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Y="-492"/>
        <w:tblW w:w="10031" w:type="dxa"/>
        <w:tblLayout w:type="fixed"/>
        <w:tblLook w:val="0000" w:firstRow="0" w:lastRow="0" w:firstColumn="0" w:lastColumn="0" w:noHBand="0" w:noVBand="0"/>
      </w:tblPr>
      <w:tblGrid>
        <w:gridCol w:w="6663"/>
        <w:gridCol w:w="3368"/>
      </w:tblGrid>
      <w:tr w:rsidR="00294BF6" w:rsidRPr="00403C69" w14:paraId="54EE7DB6" w14:textId="77777777" w:rsidTr="005C3173">
        <w:trPr>
          <w:cantSplit/>
          <w:trHeight w:val="1134"/>
        </w:trPr>
        <w:tc>
          <w:tcPr>
            <w:tcW w:w="6663" w:type="dxa"/>
          </w:tcPr>
          <w:p w14:paraId="6855BA4D" w14:textId="77777777" w:rsidR="00294BF6" w:rsidRDefault="00767F2F" w:rsidP="00294BF6">
            <w:pPr>
              <w:ind w:left="34"/>
              <w:rPr>
                <w:b/>
                <w:bCs/>
                <w:sz w:val="32"/>
                <w:szCs w:val="32"/>
                <w:lang w:eastAsia="zh-CN"/>
              </w:rPr>
            </w:pPr>
            <w:r w:rsidRPr="00767F2F">
              <w:rPr>
                <w:rFonts w:ascii="Calibri" w:hAnsi="Calibri" w:hint="eastAsia"/>
                <w:b/>
                <w:bCs/>
                <w:sz w:val="32"/>
                <w:szCs w:val="32"/>
                <w:lang w:eastAsia="zh-CN"/>
              </w:rPr>
              <w:t>电信发展顾问组（</w:t>
            </w:r>
            <w:r w:rsidRPr="00767F2F">
              <w:rPr>
                <w:rFonts w:ascii="Calibri" w:hAnsi="Calibri"/>
                <w:b/>
                <w:bCs/>
                <w:sz w:val="32"/>
                <w:szCs w:val="32"/>
                <w:lang w:eastAsia="zh-CN"/>
              </w:rPr>
              <w:t>TDAG</w:t>
            </w:r>
            <w:r w:rsidRPr="00767F2F">
              <w:rPr>
                <w:rFonts w:ascii="Calibri" w:hAnsi="Calibri" w:hint="eastAsia"/>
                <w:b/>
                <w:bCs/>
                <w:sz w:val="32"/>
                <w:szCs w:val="32"/>
                <w:lang w:eastAsia="zh-CN"/>
              </w:rPr>
              <w:t>）</w:t>
            </w:r>
          </w:p>
          <w:p w14:paraId="3BD90745" w14:textId="77777777" w:rsidR="00294BF6" w:rsidRPr="00403C69" w:rsidRDefault="00767F2F" w:rsidP="00294BF6">
            <w:pPr>
              <w:tabs>
                <w:tab w:val="clear" w:pos="1134"/>
              </w:tabs>
              <w:spacing w:after="48" w:line="240" w:lineRule="atLeast"/>
              <w:ind w:left="34"/>
              <w:rPr>
                <w:b/>
                <w:bCs/>
                <w:sz w:val="28"/>
                <w:szCs w:val="28"/>
                <w:lang w:eastAsia="zh-CN"/>
              </w:rPr>
            </w:pPr>
            <w:r w:rsidRPr="00767F2F">
              <w:rPr>
                <w:rFonts w:ascii="Calibri" w:hAnsi="Calibri" w:hint="eastAsia"/>
                <w:b/>
                <w:bCs/>
                <w:sz w:val="26"/>
                <w:szCs w:val="26"/>
                <w:lang w:eastAsia="zh-CN"/>
              </w:rPr>
              <w:t>第</w:t>
            </w:r>
            <w:r w:rsidRPr="00767F2F">
              <w:rPr>
                <w:rFonts w:ascii="Calibri" w:hAnsi="Calibri"/>
                <w:b/>
                <w:bCs/>
                <w:sz w:val="26"/>
                <w:szCs w:val="26"/>
                <w:lang w:eastAsia="zh-CN"/>
              </w:rPr>
              <w:t>3</w:t>
            </w:r>
            <w:r>
              <w:rPr>
                <w:rFonts w:ascii="Calibri" w:hAnsi="Calibri"/>
                <w:b/>
                <w:bCs/>
                <w:sz w:val="26"/>
                <w:szCs w:val="26"/>
                <w:lang w:eastAsia="zh-CN"/>
              </w:rPr>
              <w:t>3</w:t>
            </w:r>
            <w:r w:rsidRPr="00767F2F">
              <w:rPr>
                <w:rFonts w:ascii="Calibri" w:hAnsi="Calibri" w:hint="eastAsia"/>
                <w:b/>
                <w:bCs/>
                <w:sz w:val="26"/>
                <w:szCs w:val="26"/>
                <w:lang w:eastAsia="zh-CN"/>
              </w:rPr>
              <w:t>次会议，</w:t>
            </w:r>
            <w:r w:rsidRPr="00767F2F">
              <w:rPr>
                <w:rFonts w:ascii="Calibri" w:hAnsi="Calibri"/>
                <w:b/>
                <w:bCs/>
                <w:sz w:val="26"/>
                <w:szCs w:val="26"/>
                <w:lang w:eastAsia="zh-CN"/>
              </w:rPr>
              <w:t>202</w:t>
            </w:r>
            <w:r>
              <w:rPr>
                <w:rFonts w:ascii="Calibri" w:hAnsi="Calibri"/>
                <w:b/>
                <w:bCs/>
                <w:sz w:val="26"/>
                <w:szCs w:val="26"/>
                <w:lang w:eastAsia="zh-CN"/>
              </w:rPr>
              <w:t>6</w:t>
            </w:r>
            <w:r w:rsidRPr="00767F2F">
              <w:rPr>
                <w:rFonts w:ascii="Calibri" w:hAnsi="Calibri" w:hint="eastAsia"/>
                <w:b/>
                <w:bCs/>
                <w:sz w:val="26"/>
                <w:szCs w:val="26"/>
                <w:lang w:eastAsia="zh-CN"/>
              </w:rPr>
              <w:t>年</w:t>
            </w:r>
            <w:r>
              <w:rPr>
                <w:rFonts w:ascii="Calibri" w:hAnsi="Calibri"/>
                <w:b/>
                <w:bCs/>
                <w:sz w:val="26"/>
                <w:szCs w:val="26"/>
                <w:lang w:eastAsia="zh-CN"/>
              </w:rPr>
              <w:t>4</w:t>
            </w:r>
            <w:r w:rsidRPr="00767F2F">
              <w:rPr>
                <w:rFonts w:ascii="Calibri" w:hAnsi="Calibri" w:hint="eastAsia"/>
                <w:b/>
                <w:bCs/>
                <w:sz w:val="26"/>
                <w:szCs w:val="26"/>
                <w:lang w:eastAsia="zh-CN"/>
              </w:rPr>
              <w:t>月</w:t>
            </w:r>
            <w:r>
              <w:rPr>
                <w:rFonts w:ascii="Calibri" w:hAnsi="Calibri"/>
                <w:b/>
                <w:bCs/>
                <w:sz w:val="26"/>
                <w:szCs w:val="26"/>
                <w:lang w:eastAsia="zh-CN"/>
              </w:rPr>
              <w:t>7</w:t>
            </w:r>
            <w:r w:rsidRPr="00767F2F">
              <w:rPr>
                <w:rFonts w:ascii="Calibri" w:hAnsi="Calibri"/>
                <w:b/>
                <w:bCs/>
                <w:sz w:val="26"/>
                <w:szCs w:val="26"/>
                <w:lang w:eastAsia="zh-CN"/>
              </w:rPr>
              <w:t>-</w:t>
            </w:r>
            <w:r w:rsidRPr="00767F2F">
              <w:rPr>
                <w:rFonts w:ascii="Calibri" w:hAnsi="Calibri" w:hint="eastAsia"/>
                <w:b/>
                <w:bCs/>
                <w:sz w:val="26"/>
                <w:szCs w:val="26"/>
                <w:lang w:eastAsia="zh-CN"/>
              </w:rPr>
              <w:t>1</w:t>
            </w:r>
            <w:r>
              <w:rPr>
                <w:rFonts w:ascii="Calibri" w:hAnsi="Calibri"/>
                <w:b/>
                <w:bCs/>
                <w:sz w:val="26"/>
                <w:szCs w:val="26"/>
                <w:lang w:eastAsia="zh-CN"/>
              </w:rPr>
              <w:t>0</w:t>
            </w:r>
            <w:r w:rsidRPr="00767F2F">
              <w:rPr>
                <w:rFonts w:ascii="Calibri" w:hAnsi="Calibri" w:hint="eastAsia"/>
                <w:b/>
                <w:bCs/>
                <w:sz w:val="26"/>
                <w:szCs w:val="26"/>
                <w:lang w:eastAsia="zh-CN"/>
              </w:rPr>
              <w:t>日，瑞士日内瓦</w:t>
            </w:r>
          </w:p>
        </w:tc>
        <w:tc>
          <w:tcPr>
            <w:tcW w:w="3368" w:type="dxa"/>
          </w:tcPr>
          <w:p w14:paraId="0FF8C01B" w14:textId="77777777" w:rsidR="00294BF6" w:rsidRPr="00403C69" w:rsidRDefault="00294BF6" w:rsidP="00294BF6">
            <w:pPr>
              <w:spacing w:line="240" w:lineRule="atLeast"/>
              <w:jc w:val="right"/>
              <w:rPr>
                <w:rFonts w:cstheme="minorHAnsi"/>
              </w:rPr>
            </w:pPr>
            <w:bookmarkStart w:id="0" w:name="ditulogo"/>
            <w:bookmarkEnd w:id="0"/>
            <w:r>
              <w:rPr>
                <w:noProof/>
                <w:lang w:val="fr-FR" w:eastAsia="fr-FR"/>
              </w:rPr>
              <w:drawing>
                <wp:inline distT="0" distB="0" distL="0" distR="0" wp14:anchorId="7DBF473A" wp14:editId="2E1C8112">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D83BF5" w:rsidRPr="00403C69" w14:paraId="622F2BC4" w14:textId="77777777" w:rsidTr="005C3173">
        <w:trPr>
          <w:cantSplit/>
        </w:trPr>
        <w:tc>
          <w:tcPr>
            <w:tcW w:w="6663" w:type="dxa"/>
            <w:tcBorders>
              <w:top w:val="single" w:sz="12" w:space="0" w:color="auto"/>
            </w:tcBorders>
          </w:tcPr>
          <w:p w14:paraId="5C5987E8" w14:textId="77777777" w:rsidR="00D83BF5" w:rsidRPr="00403C69" w:rsidRDefault="00D83BF5" w:rsidP="00403C69">
            <w:pPr>
              <w:spacing w:before="0" w:after="48" w:line="240" w:lineRule="atLeast"/>
              <w:rPr>
                <w:rFonts w:cstheme="minorHAnsi"/>
                <w:b/>
                <w:smallCaps/>
                <w:sz w:val="20"/>
              </w:rPr>
            </w:pPr>
            <w:bookmarkStart w:id="1" w:name="dhead"/>
          </w:p>
        </w:tc>
        <w:tc>
          <w:tcPr>
            <w:tcW w:w="3368" w:type="dxa"/>
            <w:tcBorders>
              <w:top w:val="single" w:sz="12" w:space="0" w:color="auto"/>
            </w:tcBorders>
          </w:tcPr>
          <w:p w14:paraId="71BFB27C" w14:textId="77777777" w:rsidR="00D83BF5" w:rsidRPr="00403C69" w:rsidRDefault="00D83BF5" w:rsidP="00403C69">
            <w:pPr>
              <w:spacing w:before="0" w:line="240" w:lineRule="atLeast"/>
              <w:rPr>
                <w:rFonts w:cstheme="minorHAnsi"/>
                <w:sz w:val="20"/>
              </w:rPr>
            </w:pPr>
          </w:p>
        </w:tc>
      </w:tr>
      <w:tr w:rsidR="00D87035" w:rsidRPr="00403C69" w14:paraId="61086D05" w14:textId="77777777" w:rsidTr="005C3173">
        <w:trPr>
          <w:cantSplit/>
          <w:trHeight w:val="23"/>
        </w:trPr>
        <w:tc>
          <w:tcPr>
            <w:tcW w:w="6663" w:type="dxa"/>
          </w:tcPr>
          <w:p w14:paraId="46AEED9F" w14:textId="77777777" w:rsidR="00D87035" w:rsidRPr="00403C69" w:rsidRDefault="00D87035" w:rsidP="00403C69">
            <w:pPr>
              <w:pStyle w:val="Committee"/>
              <w:framePr w:hSpace="0" w:wrap="auto" w:hAnchor="text" w:yAlign="inline"/>
            </w:pPr>
            <w:bookmarkStart w:id="2" w:name="dnum" w:colFirst="1" w:colLast="1"/>
            <w:bookmarkStart w:id="3" w:name="dmeeting" w:colFirst="0" w:colLast="0"/>
            <w:bookmarkEnd w:id="1"/>
          </w:p>
        </w:tc>
        <w:tc>
          <w:tcPr>
            <w:tcW w:w="3368" w:type="dxa"/>
          </w:tcPr>
          <w:p w14:paraId="3FDECA6C" w14:textId="37563CDA" w:rsidR="00D87035" w:rsidRPr="00403C69" w:rsidRDefault="00767F2F" w:rsidP="00403C69">
            <w:pPr>
              <w:tabs>
                <w:tab w:val="left" w:pos="851"/>
              </w:tabs>
              <w:spacing w:before="0" w:line="240" w:lineRule="atLeast"/>
              <w:rPr>
                <w:rFonts w:cstheme="minorHAnsi"/>
                <w:szCs w:val="24"/>
              </w:rPr>
            </w:pPr>
            <w:proofErr w:type="spellStart"/>
            <w:r w:rsidRPr="00767F2F">
              <w:rPr>
                <w:rFonts w:ascii="Calibri" w:hAnsi="Calibri" w:hint="eastAsia"/>
                <w:b/>
                <w:bCs/>
                <w:lang w:val="en-US"/>
              </w:rPr>
              <w:t>文件</w:t>
            </w:r>
            <w:proofErr w:type="spellEnd"/>
            <w:r w:rsidRPr="00767F2F">
              <w:rPr>
                <w:rFonts w:ascii="Calibri" w:hAnsi="Calibri"/>
                <w:b/>
                <w:bCs/>
                <w:lang w:val="en-US"/>
              </w:rPr>
              <w:t xml:space="preserve"> </w:t>
            </w:r>
            <w:bookmarkStart w:id="4" w:name="DocRef1"/>
            <w:bookmarkEnd w:id="4"/>
            <w:r w:rsidRPr="00767F2F">
              <w:rPr>
                <w:rFonts w:ascii="Calibri" w:hAnsi="Calibri"/>
                <w:b/>
                <w:bCs/>
                <w:lang w:val="en-US"/>
              </w:rPr>
              <w:t>TDAG-2</w:t>
            </w:r>
            <w:bookmarkStart w:id="5" w:name="DocNo1"/>
            <w:bookmarkEnd w:id="5"/>
            <w:r>
              <w:rPr>
                <w:rFonts w:ascii="Calibri" w:hAnsi="Calibri"/>
                <w:b/>
                <w:bCs/>
                <w:lang w:val="en-US" w:eastAsia="zh-CN"/>
              </w:rPr>
              <w:t>6</w:t>
            </w:r>
            <w:r w:rsidRPr="00767F2F">
              <w:rPr>
                <w:rFonts w:ascii="Calibri" w:hAnsi="Calibri"/>
                <w:b/>
                <w:bCs/>
                <w:lang w:val="en-US"/>
              </w:rPr>
              <w:t>/</w:t>
            </w:r>
            <w:r w:rsidR="00E36441">
              <w:rPr>
                <w:rFonts w:ascii="Calibri" w:hAnsi="Calibri" w:hint="eastAsia"/>
                <w:b/>
                <w:bCs/>
                <w:lang w:val="en-US" w:eastAsia="zh-CN"/>
              </w:rPr>
              <w:t>18</w:t>
            </w:r>
            <w:r w:rsidRPr="00767F2F">
              <w:rPr>
                <w:rFonts w:ascii="Calibri" w:hAnsi="Calibri"/>
                <w:b/>
                <w:bCs/>
                <w:lang w:val="en-US"/>
              </w:rPr>
              <w:t>-</w:t>
            </w:r>
            <w:r w:rsidRPr="00767F2F">
              <w:rPr>
                <w:rFonts w:ascii="Calibri" w:hAnsi="Calibri" w:hint="eastAsia"/>
                <w:b/>
                <w:bCs/>
                <w:lang w:val="en-US" w:eastAsia="zh-CN"/>
              </w:rPr>
              <w:t>C</w:t>
            </w:r>
          </w:p>
        </w:tc>
      </w:tr>
      <w:tr w:rsidR="00D87035" w:rsidRPr="00403C69" w14:paraId="4967503E" w14:textId="77777777" w:rsidTr="005C3173">
        <w:trPr>
          <w:cantSplit/>
          <w:trHeight w:val="23"/>
        </w:trPr>
        <w:tc>
          <w:tcPr>
            <w:tcW w:w="6663" w:type="dxa"/>
          </w:tcPr>
          <w:p w14:paraId="1B4B4637" w14:textId="77777777" w:rsidR="00D87035" w:rsidRPr="00403C69" w:rsidRDefault="00D87035" w:rsidP="00403C69">
            <w:pPr>
              <w:tabs>
                <w:tab w:val="left" w:pos="851"/>
              </w:tabs>
              <w:spacing w:before="0" w:line="240" w:lineRule="atLeast"/>
              <w:rPr>
                <w:rFonts w:cstheme="minorHAnsi"/>
                <w:b/>
                <w:szCs w:val="24"/>
              </w:rPr>
            </w:pPr>
            <w:bookmarkStart w:id="6" w:name="ddate" w:colFirst="1" w:colLast="1"/>
            <w:bookmarkStart w:id="7" w:name="dblank" w:colFirst="0" w:colLast="0"/>
            <w:bookmarkEnd w:id="2"/>
            <w:bookmarkEnd w:id="3"/>
          </w:p>
        </w:tc>
        <w:tc>
          <w:tcPr>
            <w:tcW w:w="3368" w:type="dxa"/>
          </w:tcPr>
          <w:p w14:paraId="31D166F3" w14:textId="776D07F4" w:rsidR="00D87035" w:rsidRPr="00767F2F" w:rsidRDefault="00767F2F" w:rsidP="00403C69">
            <w:pPr>
              <w:spacing w:before="0" w:line="240" w:lineRule="atLeast"/>
              <w:rPr>
                <w:rFonts w:cstheme="minorHAnsi"/>
                <w:szCs w:val="24"/>
                <w:lang w:val="en-US"/>
              </w:rPr>
            </w:pPr>
            <w:r w:rsidRPr="00767F2F">
              <w:rPr>
                <w:rFonts w:ascii="Calibri" w:hAnsi="Calibri"/>
                <w:b/>
                <w:bCs/>
                <w:szCs w:val="28"/>
              </w:rPr>
              <w:t>202</w:t>
            </w:r>
            <w:r>
              <w:rPr>
                <w:rFonts w:ascii="Calibri" w:hAnsi="Calibri"/>
                <w:b/>
                <w:bCs/>
                <w:szCs w:val="28"/>
              </w:rPr>
              <w:t>6</w:t>
            </w:r>
            <w:r w:rsidRPr="00767F2F">
              <w:rPr>
                <w:rFonts w:ascii="SimSun" w:hAnsi="SimSun" w:hint="eastAsia"/>
                <w:b/>
                <w:bCs/>
                <w:szCs w:val="28"/>
                <w:lang w:eastAsia="zh-CN"/>
              </w:rPr>
              <w:t>年</w:t>
            </w:r>
            <w:r w:rsidR="00E36441" w:rsidRPr="00E36441">
              <w:rPr>
                <w:rFonts w:cstheme="minorHAnsi"/>
                <w:b/>
                <w:bCs/>
                <w:szCs w:val="28"/>
                <w:lang w:eastAsia="zh-CN"/>
              </w:rPr>
              <w:t>3</w:t>
            </w:r>
            <w:r w:rsidRPr="00767F2F">
              <w:rPr>
                <w:rFonts w:ascii="SimSun" w:hAnsi="SimSun" w:hint="eastAsia"/>
                <w:b/>
                <w:bCs/>
                <w:szCs w:val="28"/>
                <w:lang w:eastAsia="zh-CN"/>
              </w:rPr>
              <w:t>月</w:t>
            </w:r>
            <w:r w:rsidR="00E36441">
              <w:rPr>
                <w:rFonts w:ascii="Calibri" w:hAnsi="Calibri" w:hint="eastAsia"/>
                <w:b/>
                <w:bCs/>
                <w:szCs w:val="28"/>
                <w:lang w:eastAsia="zh-CN"/>
              </w:rPr>
              <w:t>3</w:t>
            </w:r>
            <w:r w:rsidRPr="00767F2F">
              <w:rPr>
                <w:rFonts w:ascii="SimSun" w:hAnsi="SimSun" w:hint="eastAsia"/>
                <w:b/>
                <w:bCs/>
                <w:szCs w:val="28"/>
                <w:lang w:eastAsia="zh-CN"/>
              </w:rPr>
              <w:t>日</w:t>
            </w:r>
          </w:p>
        </w:tc>
      </w:tr>
      <w:bookmarkEnd w:id="6"/>
      <w:bookmarkEnd w:id="7"/>
      <w:tr w:rsidR="00D87035" w:rsidRPr="00403C69" w14:paraId="419F711E" w14:textId="77777777" w:rsidTr="005C3173">
        <w:trPr>
          <w:cantSplit/>
          <w:trHeight w:val="23"/>
        </w:trPr>
        <w:tc>
          <w:tcPr>
            <w:tcW w:w="6663" w:type="dxa"/>
          </w:tcPr>
          <w:p w14:paraId="1B7E3DCE" w14:textId="77777777" w:rsidR="00D87035" w:rsidRPr="00403C69" w:rsidRDefault="00D87035" w:rsidP="00403C69">
            <w:pPr>
              <w:tabs>
                <w:tab w:val="left" w:pos="851"/>
              </w:tabs>
              <w:spacing w:before="0" w:line="240" w:lineRule="atLeast"/>
              <w:rPr>
                <w:rFonts w:cstheme="minorHAnsi"/>
                <w:szCs w:val="24"/>
              </w:rPr>
            </w:pPr>
          </w:p>
        </w:tc>
        <w:tc>
          <w:tcPr>
            <w:tcW w:w="3368" w:type="dxa"/>
          </w:tcPr>
          <w:p w14:paraId="5515D529" w14:textId="77777777" w:rsidR="00D87035" w:rsidRPr="00403C69" w:rsidRDefault="00767F2F" w:rsidP="00403C69">
            <w:pPr>
              <w:tabs>
                <w:tab w:val="left" w:pos="993"/>
              </w:tabs>
              <w:spacing w:before="0"/>
              <w:rPr>
                <w:rFonts w:cstheme="minorHAnsi"/>
                <w:b/>
                <w:szCs w:val="24"/>
              </w:rPr>
            </w:pPr>
            <w:r w:rsidRPr="00767F2F">
              <w:rPr>
                <w:rFonts w:ascii="Calibri" w:hAnsi="Calibri" w:hint="eastAsia"/>
                <w:b/>
                <w:lang w:eastAsia="zh-CN"/>
              </w:rPr>
              <w:t>原文：英文</w:t>
            </w:r>
          </w:p>
        </w:tc>
      </w:tr>
      <w:tr w:rsidR="00E36441" w:rsidRPr="00403C69" w14:paraId="0EB87A1F" w14:textId="77777777" w:rsidTr="00D87035">
        <w:trPr>
          <w:cantSplit/>
          <w:trHeight w:val="23"/>
        </w:trPr>
        <w:tc>
          <w:tcPr>
            <w:tcW w:w="10031" w:type="dxa"/>
            <w:gridSpan w:val="2"/>
          </w:tcPr>
          <w:p w14:paraId="1CC362F8" w14:textId="569971A5" w:rsidR="00E36441" w:rsidRPr="00767F2F" w:rsidRDefault="00E36441" w:rsidP="00E36441">
            <w:pPr>
              <w:pStyle w:val="Source"/>
              <w:spacing w:before="240" w:after="240"/>
              <w:rPr>
                <w:rFonts w:eastAsiaTheme="minorEastAsia"/>
                <w:lang w:eastAsia="zh-CN"/>
              </w:rPr>
            </w:pPr>
            <w:bookmarkStart w:id="8" w:name="dbluepink" w:colFirst="0" w:colLast="0"/>
            <w:bookmarkStart w:id="9" w:name="dorlang" w:colFirst="1" w:colLast="1"/>
            <w:proofErr w:type="spellStart"/>
            <w:r>
              <w:rPr>
                <w:rFonts w:hint="eastAsia"/>
                <w:color w:val="000000"/>
              </w:rPr>
              <w:t>电信发展局主任</w:t>
            </w:r>
            <w:proofErr w:type="spellEnd"/>
          </w:p>
        </w:tc>
      </w:tr>
      <w:tr w:rsidR="00E36441" w:rsidRPr="00403C69" w14:paraId="4A3948CA" w14:textId="77777777" w:rsidTr="00D87035">
        <w:trPr>
          <w:cantSplit/>
          <w:trHeight w:val="23"/>
        </w:trPr>
        <w:tc>
          <w:tcPr>
            <w:tcW w:w="10031" w:type="dxa"/>
            <w:gridSpan w:val="2"/>
            <w:vAlign w:val="center"/>
          </w:tcPr>
          <w:p w14:paraId="5631A950" w14:textId="20DA9238" w:rsidR="00E36441" w:rsidRPr="00403C69" w:rsidRDefault="00E36441" w:rsidP="00E36441">
            <w:pPr>
              <w:pStyle w:val="Title1"/>
              <w:spacing w:before="120" w:after="120"/>
              <w:rPr>
                <w:caps w:val="0"/>
                <w:lang w:eastAsia="zh-CN"/>
              </w:rPr>
            </w:pPr>
            <w:r>
              <w:rPr>
                <w:color w:val="000000"/>
                <w:lang w:val="zh-CN" w:eastAsia="zh-CN"/>
              </w:rPr>
              <w:t>TDAG</w:t>
            </w:r>
            <w:r>
              <w:rPr>
                <w:color w:val="000000"/>
                <w:lang w:val="zh-CN" w:eastAsia="zh-CN"/>
              </w:rPr>
              <w:t>的工作范围和工作方法</w:t>
            </w:r>
          </w:p>
        </w:tc>
      </w:tr>
      <w:tr w:rsidR="00767F2F" w:rsidRPr="00403C69" w14:paraId="29A64571" w14:textId="77777777" w:rsidTr="00D87035">
        <w:trPr>
          <w:cantSplit/>
          <w:trHeight w:val="23"/>
        </w:trPr>
        <w:tc>
          <w:tcPr>
            <w:tcW w:w="10031" w:type="dxa"/>
            <w:gridSpan w:val="2"/>
            <w:tcBorders>
              <w:bottom w:val="single" w:sz="4" w:space="0" w:color="auto"/>
            </w:tcBorders>
          </w:tcPr>
          <w:p w14:paraId="12AA4859" w14:textId="77777777" w:rsidR="00767F2F" w:rsidRPr="00403C69" w:rsidRDefault="00767F2F" w:rsidP="00403C69">
            <w:pPr>
              <w:pStyle w:val="Title1"/>
              <w:spacing w:before="120" w:after="120"/>
              <w:jc w:val="left"/>
              <w:rPr>
                <w:rFonts w:cs="Times New Roman Bold"/>
                <w:caps w:val="0"/>
                <w:szCs w:val="28"/>
                <w:lang w:eastAsia="zh-CN"/>
              </w:rPr>
            </w:pPr>
          </w:p>
        </w:tc>
      </w:tr>
      <w:tr w:rsidR="00767F2F" w:rsidRPr="00403C69" w14:paraId="6E7C1E50" w14:textId="77777777" w:rsidTr="00D87035">
        <w:trPr>
          <w:cantSplit/>
          <w:trHeight w:val="23"/>
        </w:trPr>
        <w:tc>
          <w:tcPr>
            <w:tcW w:w="10031" w:type="dxa"/>
            <w:gridSpan w:val="2"/>
            <w:tcBorders>
              <w:top w:val="single" w:sz="4" w:space="0" w:color="auto"/>
              <w:left w:val="single" w:sz="4" w:space="0" w:color="auto"/>
              <w:bottom w:val="single" w:sz="4" w:space="0" w:color="auto"/>
              <w:right w:val="single" w:sz="4" w:space="0" w:color="auto"/>
            </w:tcBorders>
          </w:tcPr>
          <w:p w14:paraId="6AC2C1FC" w14:textId="77777777" w:rsidR="00767F2F" w:rsidRPr="00403C69" w:rsidRDefault="00767F2F" w:rsidP="00403C69">
            <w:pPr>
              <w:rPr>
                <w:b/>
                <w:bCs/>
                <w:szCs w:val="24"/>
                <w:lang w:eastAsia="zh-CN"/>
              </w:rPr>
            </w:pPr>
            <w:r>
              <w:rPr>
                <w:rFonts w:asciiTheme="minorEastAsia" w:eastAsiaTheme="minorEastAsia" w:hAnsiTheme="minorEastAsia" w:hint="eastAsia"/>
                <w:b/>
                <w:bCs/>
                <w:szCs w:val="24"/>
                <w:lang w:eastAsia="zh-CN"/>
              </w:rPr>
              <w:t>摘要：</w:t>
            </w:r>
          </w:p>
          <w:p w14:paraId="670D9CBD" w14:textId="1E91E115" w:rsidR="00E36441" w:rsidRPr="00E36441" w:rsidRDefault="00E36441" w:rsidP="00E36441">
            <w:pPr>
              <w:ind w:firstLineChars="200" w:firstLine="480"/>
              <w:rPr>
                <w:rFonts w:cstheme="minorHAnsi"/>
                <w:lang w:eastAsia="zh-CN"/>
              </w:rPr>
            </w:pPr>
            <w:r w:rsidRPr="00E36441">
              <w:rPr>
                <w:rFonts w:cstheme="minorHAnsi"/>
                <w:lang w:eastAsia="zh-CN"/>
              </w:rPr>
              <w:t>国际电联《公约》具体规定了电信发展顾问组（</w:t>
            </w:r>
            <w:r w:rsidRPr="00E36441">
              <w:rPr>
                <w:rFonts w:cstheme="minorHAnsi"/>
                <w:lang w:eastAsia="zh-CN"/>
              </w:rPr>
              <w:t>TDAG</w:t>
            </w:r>
            <w:r w:rsidRPr="00E36441">
              <w:rPr>
                <w:rFonts w:cstheme="minorHAnsi"/>
                <w:lang w:eastAsia="zh-CN"/>
              </w:rPr>
              <w:t>）的职责。</w:t>
            </w:r>
            <w:r w:rsidRPr="00E36441">
              <w:rPr>
                <w:rFonts w:cstheme="minorHAnsi"/>
                <w:lang w:eastAsia="zh-CN"/>
              </w:rPr>
              <w:t>TDAG</w:t>
            </w:r>
            <w:proofErr w:type="gramStart"/>
            <w:r w:rsidRPr="00E36441">
              <w:rPr>
                <w:rFonts w:cstheme="minorHAnsi"/>
                <w:lang w:eastAsia="zh-CN"/>
              </w:rPr>
              <w:t>的工作范围见题为</w:t>
            </w:r>
            <w:bookmarkStart w:id="10" w:name="_Toc116895602"/>
            <w:bookmarkStart w:id="11" w:name="_Toc116911731"/>
            <w:bookmarkStart w:id="12" w:name="_Toc221108834"/>
            <w:r>
              <w:rPr>
                <w:rFonts w:cstheme="minorHAnsi" w:hint="eastAsia"/>
                <w:lang w:eastAsia="zh-CN"/>
              </w:rPr>
              <w:t>“</w:t>
            </w:r>
            <w:r w:rsidRPr="00E36441">
              <w:rPr>
                <w:rFonts w:cstheme="minorHAnsi"/>
                <w:lang w:eastAsia="zh-CN"/>
              </w:rPr>
              <w:t>授权电信发展顾问组在世界电信发展大会之间采取行动</w:t>
            </w:r>
            <w:bookmarkEnd w:id="10"/>
            <w:bookmarkEnd w:id="11"/>
            <w:bookmarkEnd w:id="12"/>
            <w:r>
              <w:rPr>
                <w:rFonts w:cstheme="minorHAnsi" w:hint="eastAsia"/>
                <w:lang w:eastAsia="zh-CN"/>
              </w:rPr>
              <w:t>”</w:t>
            </w:r>
            <w:r w:rsidRPr="00E36441">
              <w:rPr>
                <w:rFonts w:cstheme="minorHAnsi"/>
                <w:lang w:eastAsia="zh-CN"/>
              </w:rPr>
              <w:t>的第</w:t>
            </w:r>
            <w:proofErr w:type="gramEnd"/>
            <w:r w:rsidRPr="00E36441">
              <w:rPr>
                <w:rFonts w:cstheme="minorHAnsi"/>
                <w:lang w:eastAsia="zh-CN"/>
              </w:rPr>
              <w:t>24</w:t>
            </w:r>
            <w:r w:rsidRPr="00E36441">
              <w:rPr>
                <w:rFonts w:cstheme="minorHAnsi"/>
                <w:lang w:eastAsia="zh-CN"/>
              </w:rPr>
              <w:t>号决议（</w:t>
            </w:r>
            <w:r w:rsidRPr="00E36441">
              <w:rPr>
                <w:rFonts w:cstheme="minorHAnsi"/>
                <w:lang w:eastAsia="zh-CN"/>
              </w:rPr>
              <w:t>2025</w:t>
            </w:r>
            <w:r w:rsidRPr="00E36441">
              <w:rPr>
                <w:rFonts w:cstheme="minorHAnsi"/>
                <w:lang w:eastAsia="zh-CN"/>
              </w:rPr>
              <w:t>年，巴库，修订版）。</w:t>
            </w:r>
          </w:p>
          <w:p w14:paraId="4C98DAC1" w14:textId="1042DC40" w:rsidR="00767F2F" w:rsidRPr="00E36441" w:rsidRDefault="00E36441" w:rsidP="00E36441">
            <w:pPr>
              <w:ind w:firstLineChars="200" w:firstLine="480"/>
              <w:rPr>
                <w:rFonts w:cstheme="minorHAnsi"/>
                <w:lang w:eastAsia="zh-CN"/>
              </w:rPr>
            </w:pPr>
            <w:r w:rsidRPr="00E36441">
              <w:rPr>
                <w:rFonts w:cstheme="minorHAnsi"/>
                <w:lang w:eastAsia="zh-CN"/>
              </w:rPr>
              <w:t>本文件概述了</w:t>
            </w:r>
            <w:r w:rsidRPr="00E36441">
              <w:rPr>
                <w:rFonts w:cstheme="minorHAnsi"/>
                <w:lang w:eastAsia="zh-CN"/>
              </w:rPr>
              <w:t>TDAG</w:t>
            </w:r>
            <w:r w:rsidRPr="00E36441">
              <w:rPr>
                <w:rFonts w:cstheme="minorHAnsi"/>
                <w:lang w:eastAsia="zh-CN"/>
              </w:rPr>
              <w:t>的工作范围和工作方法。</w:t>
            </w:r>
          </w:p>
          <w:p w14:paraId="1F0D01C5" w14:textId="77777777" w:rsidR="00767F2F" w:rsidRPr="00403C69" w:rsidRDefault="00767F2F" w:rsidP="00403C69">
            <w:pPr>
              <w:rPr>
                <w:b/>
                <w:bCs/>
                <w:szCs w:val="24"/>
                <w:lang w:eastAsia="zh-CN"/>
              </w:rPr>
            </w:pPr>
            <w:r>
              <w:rPr>
                <w:rFonts w:asciiTheme="minorEastAsia" w:eastAsiaTheme="minorEastAsia" w:hAnsiTheme="minorEastAsia" w:hint="eastAsia"/>
                <w:b/>
                <w:bCs/>
                <w:lang w:eastAsia="zh-CN"/>
              </w:rPr>
              <w:t>需采取的行动：</w:t>
            </w:r>
          </w:p>
          <w:p w14:paraId="5109AC5F" w14:textId="77777777" w:rsidR="00767F2F" w:rsidRPr="00403C69" w:rsidRDefault="00767F2F" w:rsidP="00767F2F">
            <w:pPr>
              <w:ind w:firstLineChars="200" w:firstLine="480"/>
              <w:rPr>
                <w:szCs w:val="24"/>
                <w:lang w:eastAsia="zh-CN"/>
              </w:rPr>
            </w:pPr>
            <w:r w:rsidRPr="00767F2F">
              <w:rPr>
                <w:rFonts w:ascii="SimSun" w:hAnsi="SimSun" w:cs="SimSun" w:hint="eastAsia"/>
                <w:lang w:eastAsia="zh-CN"/>
              </w:rPr>
              <w:t>请</w:t>
            </w:r>
            <w:r w:rsidRPr="00767F2F">
              <w:rPr>
                <w:rFonts w:ascii="Calibri" w:hAnsi="Calibri" w:cs="Calibri"/>
                <w:lang w:eastAsia="zh-CN"/>
              </w:rPr>
              <w:t>TDAG</w:t>
            </w:r>
            <w:r w:rsidRPr="00767F2F">
              <w:rPr>
                <w:rFonts w:ascii="SimSun" w:hAnsi="SimSun" w:cs="SimSun" w:hint="eastAsia"/>
                <w:lang w:eastAsia="zh-CN"/>
              </w:rPr>
              <w:t>将</w:t>
            </w:r>
            <w:r w:rsidRPr="00767F2F">
              <w:rPr>
                <w:rFonts w:ascii="SimSun" w:hAnsi="SimSun" w:cs="Calibri" w:hint="eastAsia"/>
                <w:lang w:eastAsia="zh-CN"/>
              </w:rPr>
              <w:t>本文件</w:t>
            </w:r>
            <w:r w:rsidRPr="00767F2F">
              <w:rPr>
                <w:rFonts w:ascii="SimSun" w:hAnsi="SimSun" w:cs="SimSun" w:hint="eastAsia"/>
                <w:lang w:eastAsia="zh-CN"/>
              </w:rPr>
              <w:t>记录</w:t>
            </w:r>
            <w:r w:rsidRPr="00767F2F">
              <w:rPr>
                <w:rFonts w:ascii="SimSun" w:hAnsi="SimSun" w:cs="Batang" w:hint="eastAsia"/>
                <w:lang w:eastAsia="zh-CN"/>
              </w:rPr>
              <w:t>在案</w:t>
            </w:r>
            <w:r w:rsidRPr="00767F2F">
              <w:rPr>
                <w:rFonts w:ascii="SimSun" w:hAnsi="SimSun" w:cs="SimSun" w:hint="eastAsia"/>
                <w:lang w:eastAsia="zh-CN"/>
              </w:rPr>
              <w:t>并</w:t>
            </w:r>
            <w:r w:rsidRPr="00767F2F">
              <w:rPr>
                <w:rFonts w:ascii="SimSun" w:hAnsi="SimSun" w:cs="Batang" w:hint="eastAsia"/>
                <w:lang w:eastAsia="zh-CN"/>
              </w:rPr>
              <w:t>提供适</w:t>
            </w:r>
            <w:r w:rsidRPr="00767F2F">
              <w:rPr>
                <w:rFonts w:ascii="SimSun" w:hAnsi="SimSun" w:cs="SimSun" w:hint="eastAsia"/>
                <w:lang w:eastAsia="zh-CN"/>
              </w:rPr>
              <w:t>当</w:t>
            </w:r>
            <w:r w:rsidRPr="00767F2F">
              <w:rPr>
                <w:rFonts w:ascii="SimSun" w:hAnsi="SimSun" w:cs="Batang" w:hint="eastAsia"/>
                <w:lang w:eastAsia="zh-CN"/>
              </w:rPr>
              <w:t>指</w:t>
            </w:r>
            <w:r w:rsidRPr="00767F2F">
              <w:rPr>
                <w:rFonts w:ascii="SimSun" w:hAnsi="SimSun" w:cs="SimSun" w:hint="eastAsia"/>
                <w:lang w:eastAsia="zh-CN"/>
              </w:rPr>
              <w:t>导。</w:t>
            </w:r>
          </w:p>
          <w:p w14:paraId="7B268F20" w14:textId="77777777" w:rsidR="00767F2F" w:rsidRPr="00403C69" w:rsidRDefault="00767F2F" w:rsidP="00403C69">
            <w:pPr>
              <w:rPr>
                <w:b/>
                <w:bCs/>
                <w:szCs w:val="24"/>
                <w:lang w:eastAsia="zh-CN"/>
              </w:rPr>
            </w:pPr>
            <w:r>
              <w:rPr>
                <w:rFonts w:ascii="SimSun" w:hAnsi="SimSun" w:cs="SimSun" w:hint="eastAsia"/>
                <w:b/>
                <w:bCs/>
                <w:szCs w:val="24"/>
                <w:lang w:eastAsia="zh-CN"/>
              </w:rPr>
              <w:t>参考文件：</w:t>
            </w:r>
          </w:p>
          <w:p w14:paraId="114DBDEE" w14:textId="014AEA4E" w:rsidR="00767F2F" w:rsidRPr="00E36441" w:rsidRDefault="00E36441" w:rsidP="00A65363">
            <w:pPr>
              <w:spacing w:after="120"/>
              <w:ind w:firstLineChars="200" w:firstLine="480"/>
              <w:rPr>
                <w:rFonts w:cstheme="minorHAnsi"/>
                <w:lang w:eastAsia="zh-CN"/>
              </w:rPr>
            </w:pPr>
            <w:r w:rsidRPr="00E36441">
              <w:rPr>
                <w:rFonts w:cstheme="minorHAnsi"/>
                <w:lang w:eastAsia="zh-CN"/>
              </w:rPr>
              <w:t>国际电联《公约》第</w:t>
            </w:r>
            <w:r w:rsidRPr="00E36441">
              <w:rPr>
                <w:rFonts w:cstheme="minorHAnsi"/>
                <w:lang w:eastAsia="zh-CN"/>
              </w:rPr>
              <w:t>17A</w:t>
            </w:r>
            <w:r w:rsidRPr="00E36441">
              <w:rPr>
                <w:rFonts w:cstheme="minorHAnsi"/>
                <w:lang w:eastAsia="zh-CN"/>
              </w:rPr>
              <w:t>、</w:t>
            </w:r>
            <w:r w:rsidRPr="00E36441">
              <w:rPr>
                <w:rFonts w:cstheme="minorHAnsi"/>
                <w:lang w:eastAsia="zh-CN"/>
              </w:rPr>
              <w:t>213A</w:t>
            </w:r>
            <w:r w:rsidRPr="00E36441">
              <w:rPr>
                <w:rFonts w:cstheme="minorHAnsi"/>
                <w:lang w:eastAsia="zh-CN"/>
              </w:rPr>
              <w:t>、</w:t>
            </w:r>
            <w:r w:rsidRPr="00E36441">
              <w:rPr>
                <w:rFonts w:cstheme="minorHAnsi"/>
                <w:lang w:eastAsia="zh-CN"/>
              </w:rPr>
              <w:t>215C</w:t>
            </w:r>
            <w:r w:rsidRPr="00E36441">
              <w:rPr>
                <w:rFonts w:cstheme="minorHAnsi"/>
                <w:lang w:eastAsia="zh-CN"/>
              </w:rPr>
              <w:t>和</w:t>
            </w:r>
            <w:r w:rsidRPr="00E36441">
              <w:rPr>
                <w:rFonts w:cstheme="minorHAnsi"/>
                <w:lang w:eastAsia="zh-CN"/>
              </w:rPr>
              <w:t>215JA</w:t>
            </w:r>
            <w:r w:rsidRPr="00E36441">
              <w:rPr>
                <w:rFonts w:cstheme="minorHAnsi"/>
                <w:lang w:eastAsia="zh-CN"/>
              </w:rPr>
              <w:t>款、</w:t>
            </w:r>
            <w:r w:rsidRPr="00E36441">
              <w:rPr>
                <w:rFonts w:cstheme="minorHAnsi"/>
                <w:lang w:eastAsia="zh-CN"/>
              </w:rPr>
              <w:t>WTDC</w:t>
            </w:r>
            <w:r w:rsidRPr="00E36441">
              <w:rPr>
                <w:rFonts w:cstheme="minorHAnsi"/>
                <w:lang w:eastAsia="zh-CN"/>
              </w:rPr>
              <w:t>第</w:t>
            </w:r>
            <w:r w:rsidRPr="00E36441">
              <w:rPr>
                <w:rFonts w:cstheme="minorHAnsi"/>
                <w:lang w:eastAsia="zh-CN"/>
              </w:rPr>
              <w:t>24</w:t>
            </w:r>
            <w:r w:rsidRPr="00E36441">
              <w:rPr>
                <w:rFonts w:cstheme="minorHAnsi"/>
                <w:lang w:eastAsia="zh-CN"/>
              </w:rPr>
              <w:t>号决议（</w:t>
            </w:r>
            <w:r w:rsidRPr="00E36441">
              <w:rPr>
                <w:rFonts w:cstheme="minorHAnsi"/>
                <w:lang w:eastAsia="zh-CN"/>
              </w:rPr>
              <w:t>2025</w:t>
            </w:r>
            <w:r w:rsidRPr="00E36441">
              <w:rPr>
                <w:rFonts w:cstheme="minorHAnsi"/>
                <w:lang w:eastAsia="zh-CN"/>
              </w:rPr>
              <w:t>年，巴库，修订版）和</w:t>
            </w:r>
            <w:r w:rsidRPr="00E36441">
              <w:rPr>
                <w:rFonts w:cstheme="minorHAnsi"/>
                <w:lang w:eastAsia="zh-CN"/>
              </w:rPr>
              <w:t>WTDC</w:t>
            </w:r>
            <w:r w:rsidRPr="00E36441">
              <w:rPr>
                <w:rFonts w:cstheme="minorHAnsi"/>
                <w:lang w:eastAsia="zh-CN"/>
              </w:rPr>
              <w:t>第</w:t>
            </w:r>
            <w:r w:rsidRPr="00E36441">
              <w:rPr>
                <w:rFonts w:cstheme="minorHAnsi"/>
                <w:lang w:eastAsia="zh-CN"/>
              </w:rPr>
              <w:t>1</w:t>
            </w:r>
            <w:r w:rsidRPr="00E36441">
              <w:rPr>
                <w:rFonts w:cstheme="minorHAnsi"/>
                <w:lang w:eastAsia="zh-CN"/>
              </w:rPr>
              <w:t>号决议（</w:t>
            </w:r>
            <w:r w:rsidRPr="00E36441">
              <w:rPr>
                <w:rFonts w:cstheme="minorHAnsi"/>
                <w:lang w:eastAsia="zh-CN"/>
              </w:rPr>
              <w:t>2025</w:t>
            </w:r>
            <w:r w:rsidRPr="00E36441">
              <w:rPr>
                <w:rFonts w:cstheme="minorHAnsi"/>
                <w:lang w:eastAsia="zh-CN"/>
              </w:rPr>
              <w:t>年，巴库，修订版）及《巴库行动计划》。</w:t>
            </w:r>
          </w:p>
        </w:tc>
      </w:tr>
      <w:bookmarkEnd w:id="8"/>
      <w:bookmarkEnd w:id="9"/>
    </w:tbl>
    <w:p w14:paraId="2AA3CE83" w14:textId="77777777" w:rsidR="00075C63" w:rsidRPr="00403C69" w:rsidRDefault="00075C63" w:rsidP="0062421D">
      <w:pPr>
        <w:pStyle w:val="Headingi"/>
        <w:rPr>
          <w:lang w:eastAsia="zh-CN"/>
        </w:rPr>
      </w:pPr>
      <w:r w:rsidRPr="00403C69">
        <w:rPr>
          <w:lang w:eastAsia="zh-CN"/>
        </w:rPr>
        <w:br w:type="page"/>
      </w:r>
    </w:p>
    <w:p w14:paraId="7738C87A" w14:textId="61449879" w:rsidR="00E36441" w:rsidRPr="00885D75" w:rsidRDefault="00E36441" w:rsidP="00E36441">
      <w:pPr>
        <w:pStyle w:val="Heading1"/>
        <w:rPr>
          <w:lang w:eastAsia="zh-CN"/>
        </w:rPr>
      </w:pPr>
      <w:r w:rsidRPr="00885D75">
        <w:rPr>
          <w:lang w:eastAsia="zh-CN"/>
        </w:rPr>
        <w:lastRenderedPageBreak/>
        <w:t>1</w:t>
      </w:r>
      <w:r w:rsidRPr="00885D75">
        <w:rPr>
          <w:lang w:eastAsia="zh-CN"/>
        </w:rPr>
        <w:tab/>
      </w:r>
      <w:r w:rsidRPr="00885D75">
        <w:rPr>
          <w:rFonts w:hint="eastAsia"/>
          <w:lang w:eastAsia="zh-CN"/>
        </w:rPr>
        <w:t>引言</w:t>
      </w:r>
    </w:p>
    <w:p w14:paraId="586FE462" w14:textId="77777777" w:rsidR="00E36441" w:rsidRPr="00885D75" w:rsidRDefault="00E36441" w:rsidP="00E36441">
      <w:pPr>
        <w:rPr>
          <w:lang w:eastAsia="zh-CN"/>
        </w:rPr>
      </w:pPr>
      <w:r w:rsidRPr="00885D75">
        <w:rPr>
          <w:lang w:eastAsia="zh-CN"/>
        </w:rPr>
        <w:t>1.1</w:t>
      </w:r>
      <w:r w:rsidRPr="00885D75">
        <w:rPr>
          <w:lang w:eastAsia="zh-CN"/>
        </w:rPr>
        <w:tab/>
        <w:t>TDAG</w:t>
      </w:r>
      <w:r w:rsidRPr="00885D75">
        <w:rPr>
          <w:lang w:eastAsia="zh-CN"/>
        </w:rPr>
        <w:t>向成员国主管部门的代表、</w:t>
      </w:r>
      <w:r w:rsidRPr="00885D75">
        <w:rPr>
          <w:lang w:eastAsia="zh-CN"/>
        </w:rPr>
        <w:t>ITU-D</w:t>
      </w:r>
      <w:r w:rsidRPr="00885D75">
        <w:rPr>
          <w:lang w:eastAsia="zh-CN"/>
        </w:rPr>
        <w:t>部门成员的代表和各研究组及其它组的正副主席开放。</w:t>
      </w:r>
      <w:r w:rsidRPr="00885D75">
        <w:rPr>
          <w:lang w:eastAsia="zh-CN"/>
        </w:rPr>
        <w:t>TDAG</w:t>
      </w:r>
      <w:r w:rsidRPr="00885D75">
        <w:rPr>
          <w:lang w:eastAsia="zh-CN"/>
        </w:rPr>
        <w:t>通过电信发展局（</w:t>
      </w:r>
      <w:r w:rsidRPr="00885D75">
        <w:rPr>
          <w:lang w:eastAsia="zh-CN"/>
        </w:rPr>
        <w:t>BDT</w:t>
      </w:r>
      <w:r w:rsidRPr="00885D75">
        <w:rPr>
          <w:lang w:eastAsia="zh-CN"/>
        </w:rPr>
        <w:t>）主任开展工作。学术成员可根据全权代表大会第</w:t>
      </w:r>
      <w:r w:rsidRPr="00885D75">
        <w:rPr>
          <w:lang w:eastAsia="zh-CN"/>
        </w:rPr>
        <w:t>169</w:t>
      </w:r>
      <w:r w:rsidRPr="00885D75">
        <w:rPr>
          <w:lang w:eastAsia="zh-CN"/>
        </w:rPr>
        <w:t>号决议（</w:t>
      </w:r>
      <w:r w:rsidRPr="00885D75">
        <w:rPr>
          <w:lang w:eastAsia="zh-CN"/>
        </w:rPr>
        <w:t>2022</w:t>
      </w:r>
      <w:r w:rsidRPr="00885D75">
        <w:rPr>
          <w:lang w:eastAsia="zh-CN"/>
        </w:rPr>
        <w:t>年，布加勒斯特，修订版）参与工作。主任还可以邀请双边合作与发展援助机构和多边发展机构的代表参加</w:t>
      </w:r>
      <w:r w:rsidRPr="00885D75">
        <w:rPr>
          <w:lang w:eastAsia="zh-CN"/>
        </w:rPr>
        <w:t>TDAG</w:t>
      </w:r>
      <w:r w:rsidRPr="00885D75">
        <w:rPr>
          <w:lang w:eastAsia="zh-CN"/>
        </w:rPr>
        <w:t>的会议。</w:t>
      </w:r>
    </w:p>
    <w:p w14:paraId="57996B60" w14:textId="77777777" w:rsidR="00E36441" w:rsidRPr="00885D75" w:rsidRDefault="00E36441" w:rsidP="00E36441">
      <w:pPr>
        <w:rPr>
          <w:lang w:eastAsia="zh-CN"/>
        </w:rPr>
      </w:pPr>
      <w:r w:rsidRPr="00885D75">
        <w:rPr>
          <w:lang w:eastAsia="zh-CN"/>
        </w:rPr>
        <w:t>1.2</w:t>
      </w:r>
      <w:r w:rsidRPr="00885D75">
        <w:rPr>
          <w:lang w:eastAsia="zh-CN"/>
        </w:rPr>
        <w:tab/>
        <w:t>WTDC-25</w:t>
      </w:r>
      <w:r w:rsidRPr="00885D75">
        <w:rPr>
          <w:lang w:eastAsia="zh-CN"/>
        </w:rPr>
        <w:t>根据全权代表大会第</w:t>
      </w:r>
      <w:r w:rsidRPr="00885D75">
        <w:rPr>
          <w:lang w:eastAsia="zh-CN"/>
        </w:rPr>
        <w:t>208</w:t>
      </w:r>
      <w:r w:rsidRPr="00885D75">
        <w:rPr>
          <w:lang w:eastAsia="zh-CN"/>
        </w:rPr>
        <w:t>号决议（</w:t>
      </w:r>
      <w:r w:rsidRPr="00885D75">
        <w:rPr>
          <w:lang w:eastAsia="zh-CN"/>
        </w:rPr>
        <w:t>2022</w:t>
      </w:r>
      <w:r w:rsidRPr="00885D75">
        <w:rPr>
          <w:lang w:eastAsia="zh-CN"/>
        </w:rPr>
        <w:t>年，布加勒斯特，修订版）任命了</w:t>
      </w:r>
      <w:r w:rsidRPr="00885D75">
        <w:rPr>
          <w:lang w:eastAsia="zh-CN"/>
        </w:rPr>
        <w:t>2026-2029</w:t>
      </w:r>
      <w:r w:rsidRPr="00885D75">
        <w:rPr>
          <w:lang w:eastAsia="zh-CN"/>
        </w:rPr>
        <w:t>年</w:t>
      </w:r>
      <w:r w:rsidRPr="00885D75">
        <w:rPr>
          <w:lang w:eastAsia="zh-CN"/>
        </w:rPr>
        <w:t>TDAG</w:t>
      </w:r>
      <w:r w:rsidRPr="00885D75">
        <w:rPr>
          <w:lang w:eastAsia="zh-CN"/>
        </w:rPr>
        <w:t>领导</w:t>
      </w:r>
      <w:r w:rsidRPr="00885D75">
        <w:rPr>
          <w:rFonts w:hint="eastAsia"/>
          <w:lang w:eastAsia="zh-CN"/>
        </w:rPr>
        <w:t>班子</w:t>
      </w:r>
      <w:r w:rsidRPr="00885D75">
        <w:rPr>
          <w:lang w:eastAsia="zh-CN"/>
        </w:rPr>
        <w:t>，由</w:t>
      </w:r>
      <w:r w:rsidRPr="00885D75">
        <w:rPr>
          <w:lang w:eastAsia="zh-CN"/>
        </w:rPr>
        <w:t>TDAG</w:t>
      </w:r>
      <w:r w:rsidRPr="00885D75">
        <w:rPr>
          <w:lang w:eastAsia="zh-CN"/>
        </w:rPr>
        <w:t>主席和副主席组成。在进行这些任命时，特别考虑了工作能力和加强领导岗位性别平等的必要性以及公平地域分配的需要，以及促进发展中国家有效参与的必要性。</w:t>
      </w:r>
      <w:r w:rsidRPr="00885D75">
        <w:rPr>
          <w:lang w:eastAsia="zh-CN"/>
        </w:rPr>
        <w:t>ITU-D</w:t>
      </w:r>
      <w:r w:rsidRPr="00885D75">
        <w:rPr>
          <w:lang w:eastAsia="zh-CN"/>
        </w:rPr>
        <w:t>研究组主席亦是</w:t>
      </w:r>
      <w:r w:rsidRPr="00885D75">
        <w:rPr>
          <w:lang w:eastAsia="zh-CN"/>
        </w:rPr>
        <w:t>TDAG</w:t>
      </w:r>
      <w:r w:rsidRPr="00885D75">
        <w:rPr>
          <w:rFonts w:hint="eastAsia"/>
          <w:lang w:eastAsia="zh-CN"/>
        </w:rPr>
        <w:t>领导</w:t>
      </w:r>
      <w:r w:rsidRPr="00885D75">
        <w:rPr>
          <w:lang w:eastAsia="zh-CN"/>
        </w:rPr>
        <w:t>班子成员。</w:t>
      </w:r>
    </w:p>
    <w:p w14:paraId="33B931AB" w14:textId="44CD984E" w:rsidR="00E36441" w:rsidRPr="00885D75" w:rsidRDefault="00E36441" w:rsidP="00E36441">
      <w:pPr>
        <w:pStyle w:val="Heading1"/>
        <w:rPr>
          <w:lang w:eastAsia="zh-CN"/>
        </w:rPr>
      </w:pPr>
      <w:r w:rsidRPr="00885D75">
        <w:rPr>
          <w:lang w:eastAsia="zh-CN"/>
        </w:rPr>
        <w:t>2</w:t>
      </w:r>
      <w:r w:rsidRPr="00885D75">
        <w:rPr>
          <w:lang w:eastAsia="zh-CN"/>
        </w:rPr>
        <w:tab/>
        <w:t>TDAG</w:t>
      </w:r>
      <w:r w:rsidRPr="00885D75">
        <w:rPr>
          <w:lang w:eastAsia="zh-CN"/>
        </w:rPr>
        <w:t>的范围</w:t>
      </w:r>
    </w:p>
    <w:p w14:paraId="62B34742" w14:textId="77777777" w:rsidR="00E36441" w:rsidRPr="00885D75" w:rsidRDefault="00E36441" w:rsidP="00E36441">
      <w:pPr>
        <w:rPr>
          <w:lang w:eastAsia="zh-CN"/>
        </w:rPr>
      </w:pPr>
      <w:r w:rsidRPr="00885D75">
        <w:rPr>
          <w:lang w:eastAsia="zh-CN"/>
        </w:rPr>
        <w:t>2.1</w:t>
      </w:r>
      <w:r w:rsidRPr="00885D75">
        <w:rPr>
          <w:lang w:eastAsia="zh-CN"/>
        </w:rPr>
        <w:tab/>
      </w:r>
      <w:r w:rsidRPr="00885D75">
        <w:rPr>
          <w:lang w:eastAsia="zh-CN"/>
        </w:rPr>
        <w:t>根据国际电联《公约》第</w:t>
      </w:r>
      <w:r w:rsidRPr="00885D75">
        <w:rPr>
          <w:lang w:eastAsia="zh-CN"/>
        </w:rPr>
        <w:t>17A</w:t>
      </w:r>
      <w:r w:rsidRPr="00885D75">
        <w:rPr>
          <w:lang w:eastAsia="zh-CN"/>
        </w:rPr>
        <w:t>条，</w:t>
      </w:r>
      <w:r w:rsidRPr="00885D75">
        <w:rPr>
          <w:lang w:eastAsia="zh-CN"/>
        </w:rPr>
        <w:t>TDAG</w:t>
      </w:r>
      <w:r w:rsidRPr="00885D75">
        <w:rPr>
          <w:lang w:eastAsia="zh-CN"/>
        </w:rPr>
        <w:t>审议电信发展部门（</w:t>
      </w:r>
      <w:r w:rsidRPr="00885D75">
        <w:rPr>
          <w:lang w:eastAsia="zh-CN"/>
        </w:rPr>
        <w:t>ITU-D</w:t>
      </w:r>
      <w:r w:rsidRPr="00885D75">
        <w:rPr>
          <w:lang w:eastAsia="zh-CN"/>
        </w:rPr>
        <w:t>）活动的重点</w:t>
      </w:r>
      <w:r w:rsidRPr="00885D75">
        <w:rPr>
          <w:rFonts w:hint="eastAsia"/>
          <w:lang w:eastAsia="zh-CN"/>
        </w:rPr>
        <w:t>工作</w:t>
      </w:r>
      <w:r w:rsidRPr="00885D75">
        <w:rPr>
          <w:lang w:eastAsia="zh-CN"/>
        </w:rPr>
        <w:t>、计划、运作、财务问题和战略。</w:t>
      </w:r>
      <w:r w:rsidRPr="00885D75">
        <w:rPr>
          <w:lang w:eastAsia="zh-CN"/>
        </w:rPr>
        <w:t>TDAG</w:t>
      </w:r>
      <w:r w:rsidRPr="00885D75">
        <w:rPr>
          <w:lang w:eastAsia="zh-CN"/>
        </w:rPr>
        <w:t>还审查上一周期运作规划的实施情况，并就一切必要措施向主任提出建议。</w:t>
      </w:r>
    </w:p>
    <w:p w14:paraId="12C19C86" w14:textId="77777777" w:rsidR="00E36441" w:rsidRPr="00885D75" w:rsidRDefault="00E36441" w:rsidP="00E36441">
      <w:pPr>
        <w:rPr>
          <w:lang w:eastAsia="zh-CN"/>
        </w:rPr>
      </w:pPr>
      <w:r w:rsidRPr="00885D75">
        <w:rPr>
          <w:lang w:eastAsia="zh-CN"/>
        </w:rPr>
        <w:t>2.2</w:t>
      </w:r>
      <w:r w:rsidRPr="00885D75">
        <w:rPr>
          <w:lang w:eastAsia="zh-CN"/>
        </w:rPr>
        <w:tab/>
      </w:r>
      <w:r w:rsidRPr="00885D75">
        <w:rPr>
          <w:lang w:eastAsia="zh-CN"/>
        </w:rPr>
        <w:t>此外，</w:t>
      </w:r>
      <w:r w:rsidRPr="00885D75">
        <w:rPr>
          <w:lang w:eastAsia="zh-CN"/>
        </w:rPr>
        <w:t>TDAG</w:t>
      </w:r>
      <w:r w:rsidRPr="00885D75">
        <w:rPr>
          <w:lang w:eastAsia="zh-CN"/>
        </w:rPr>
        <w:t>还审议根据《公约》第</w:t>
      </w:r>
      <w:r w:rsidRPr="00885D75">
        <w:rPr>
          <w:lang w:eastAsia="zh-CN"/>
        </w:rPr>
        <w:t>209</w:t>
      </w:r>
      <w:r w:rsidRPr="00885D75">
        <w:rPr>
          <w:lang w:eastAsia="zh-CN"/>
        </w:rPr>
        <w:t>款制定的工作计划的实施进展情况。它为研究组的工作提供指导原则，并建议促进与无线电通信部门、电信标准化部门和总秘书处以及相关发展和金融机构的合作与协调的措施。</w:t>
      </w:r>
    </w:p>
    <w:p w14:paraId="289E8996" w14:textId="77777777" w:rsidR="00E36441" w:rsidRPr="00885D75" w:rsidRDefault="00E36441" w:rsidP="00E36441">
      <w:pPr>
        <w:rPr>
          <w:lang w:eastAsia="zh-CN"/>
        </w:rPr>
      </w:pPr>
      <w:bookmarkStart w:id="13" w:name="_Toc268858428"/>
      <w:bookmarkStart w:id="14" w:name="_Toc496806874"/>
      <w:bookmarkStart w:id="15" w:name="_Toc500344028"/>
      <w:r w:rsidRPr="00885D75">
        <w:rPr>
          <w:lang w:eastAsia="zh-CN"/>
        </w:rPr>
        <w:t>2.3</w:t>
      </w:r>
      <w:r w:rsidRPr="00885D75">
        <w:rPr>
          <w:lang w:eastAsia="zh-CN"/>
        </w:rPr>
        <w:tab/>
        <w:t>WTDC</w:t>
      </w:r>
      <w:r w:rsidRPr="00885D75">
        <w:rPr>
          <w:lang w:eastAsia="zh-CN"/>
        </w:rPr>
        <w:t>第</w:t>
      </w:r>
      <w:r w:rsidRPr="00885D75">
        <w:rPr>
          <w:lang w:eastAsia="zh-CN"/>
        </w:rPr>
        <w:t>24</w:t>
      </w:r>
      <w:r w:rsidRPr="00885D75">
        <w:rPr>
          <w:lang w:eastAsia="zh-CN"/>
        </w:rPr>
        <w:t>号决议（</w:t>
      </w:r>
      <w:r w:rsidRPr="00885D75">
        <w:rPr>
          <w:lang w:eastAsia="zh-CN"/>
        </w:rPr>
        <w:t>2025</w:t>
      </w:r>
      <w:r w:rsidRPr="00885D75">
        <w:rPr>
          <w:lang w:eastAsia="zh-CN"/>
        </w:rPr>
        <w:t>年，巴库，修订版</w:t>
      </w:r>
      <w:proofErr w:type="gramStart"/>
      <w:r w:rsidRPr="00885D75">
        <w:rPr>
          <w:lang w:eastAsia="zh-CN"/>
        </w:rPr>
        <w:t>）</w:t>
      </w:r>
      <w:r w:rsidRPr="00885D75">
        <w:rPr>
          <w:rFonts w:hint="eastAsia"/>
          <w:lang w:eastAsia="zh-CN"/>
        </w:rPr>
        <w:t>“授权电信发展顾问组在世界电信发展大会之间采取行动”为</w:t>
      </w:r>
      <w:proofErr w:type="gramEnd"/>
      <w:r w:rsidRPr="00885D75">
        <w:rPr>
          <w:lang w:eastAsia="zh-CN"/>
        </w:rPr>
        <w:t>TDAG</w:t>
      </w:r>
      <w:r w:rsidRPr="00885D75">
        <w:rPr>
          <w:lang w:eastAsia="zh-CN"/>
        </w:rPr>
        <w:t>在两届接续的</w:t>
      </w:r>
      <w:r w:rsidRPr="00885D75">
        <w:rPr>
          <w:lang w:eastAsia="zh-CN"/>
        </w:rPr>
        <w:t>WTDC</w:t>
      </w:r>
      <w:r w:rsidRPr="00885D75">
        <w:rPr>
          <w:lang w:eastAsia="zh-CN"/>
        </w:rPr>
        <w:t>之间</w:t>
      </w:r>
      <w:r w:rsidRPr="00885D75">
        <w:rPr>
          <w:rFonts w:hint="eastAsia"/>
          <w:lang w:eastAsia="zh-CN"/>
        </w:rPr>
        <w:t>指派了</w:t>
      </w:r>
      <w:r w:rsidRPr="00885D75">
        <w:rPr>
          <w:lang w:eastAsia="zh-CN"/>
        </w:rPr>
        <w:t>以下具体事项：</w:t>
      </w:r>
    </w:p>
    <w:p w14:paraId="65110F37" w14:textId="122C1F29" w:rsidR="00E36441" w:rsidRPr="00885D75" w:rsidRDefault="00E36441" w:rsidP="00E36441">
      <w:pPr>
        <w:pStyle w:val="enumlev1"/>
        <w:rPr>
          <w:lang w:eastAsia="zh-CN"/>
        </w:rPr>
      </w:pPr>
      <w:proofErr w:type="spellStart"/>
      <w:r>
        <w:rPr>
          <w:rFonts w:hint="eastAsia"/>
          <w:lang w:eastAsia="zh-CN"/>
        </w:rPr>
        <w:t>i</w:t>
      </w:r>
      <w:proofErr w:type="spellEnd"/>
      <w:r>
        <w:rPr>
          <w:rFonts w:hint="eastAsia"/>
          <w:lang w:eastAsia="zh-CN"/>
        </w:rPr>
        <w:t>)</w:t>
      </w:r>
      <w:r>
        <w:rPr>
          <w:lang w:eastAsia="zh-CN"/>
        </w:rPr>
        <w:tab/>
      </w:r>
      <w:r w:rsidRPr="00885D75">
        <w:rPr>
          <w:rFonts w:hint="eastAsia"/>
          <w:lang w:eastAsia="zh-CN"/>
        </w:rPr>
        <w:t>继续保持高效灵活的工作方针，并在必要时予以更新，包括提供机会，就区域性行动、</w:t>
      </w:r>
      <w:proofErr w:type="gramStart"/>
      <w:r w:rsidRPr="00885D75">
        <w:rPr>
          <w:rFonts w:hint="eastAsia"/>
          <w:lang w:eastAsia="zh-CN"/>
        </w:rPr>
        <w:t>举措和项目的落实进行跨区域经验共享；</w:t>
      </w:r>
      <w:proofErr w:type="gramEnd"/>
    </w:p>
    <w:p w14:paraId="5A819502" w14:textId="4701F036" w:rsidR="00E36441" w:rsidRPr="00885D75" w:rsidRDefault="00E36441" w:rsidP="00E36441">
      <w:pPr>
        <w:pStyle w:val="enumlev1"/>
        <w:rPr>
          <w:lang w:eastAsia="zh-CN"/>
        </w:rPr>
      </w:pPr>
      <w:r>
        <w:rPr>
          <w:rFonts w:hint="eastAsia"/>
          <w:lang w:eastAsia="zh-CN"/>
        </w:rPr>
        <w:t>ii)</w:t>
      </w:r>
      <w:r>
        <w:rPr>
          <w:lang w:eastAsia="zh-CN"/>
        </w:rPr>
        <w:tab/>
      </w:r>
      <w:r w:rsidRPr="00885D75">
        <w:rPr>
          <w:rFonts w:hint="eastAsia"/>
          <w:lang w:eastAsia="zh-CN"/>
        </w:rPr>
        <w:t>持续审议国际电联《战略规划》中阐述的</w:t>
      </w:r>
      <w:r w:rsidRPr="00885D75">
        <w:rPr>
          <w:lang w:eastAsia="zh-CN"/>
        </w:rPr>
        <w:t>ITU-D</w:t>
      </w:r>
      <w:r w:rsidRPr="00885D75">
        <w:rPr>
          <w:rFonts w:hint="eastAsia"/>
          <w:lang w:eastAsia="zh-CN"/>
        </w:rPr>
        <w:t>部门目标与各项活动（特别是项目和区域性举措）可用的预算拨款之间的关系，以便提出确保本部门高效和有效地交付其主要产品及服务（输出成果）</w:t>
      </w:r>
      <w:proofErr w:type="gramStart"/>
      <w:r w:rsidRPr="00885D75">
        <w:rPr>
          <w:rFonts w:hint="eastAsia"/>
          <w:lang w:eastAsia="zh-CN"/>
        </w:rPr>
        <w:t>的必要措施；</w:t>
      </w:r>
      <w:proofErr w:type="gramEnd"/>
    </w:p>
    <w:p w14:paraId="383E5A60" w14:textId="4BAA2535" w:rsidR="00E36441" w:rsidRPr="00885D75" w:rsidRDefault="00E36441" w:rsidP="00E36441">
      <w:pPr>
        <w:pStyle w:val="enumlev1"/>
        <w:rPr>
          <w:lang w:eastAsia="zh-CN"/>
        </w:rPr>
      </w:pPr>
      <w:r>
        <w:rPr>
          <w:rFonts w:hint="eastAsia"/>
          <w:lang w:eastAsia="zh-CN"/>
        </w:rPr>
        <w:t>iii)</w:t>
      </w:r>
      <w:r>
        <w:rPr>
          <w:lang w:eastAsia="zh-CN"/>
        </w:rPr>
        <w:tab/>
      </w:r>
      <w:r w:rsidRPr="00885D75">
        <w:rPr>
          <w:rFonts w:hint="eastAsia"/>
          <w:lang w:eastAsia="zh-CN"/>
        </w:rPr>
        <w:t>根据《公约》第</w:t>
      </w:r>
      <w:r w:rsidRPr="00885D75">
        <w:rPr>
          <w:lang w:eastAsia="zh-CN"/>
        </w:rPr>
        <w:t>223A</w:t>
      </w:r>
      <w:r w:rsidRPr="00885D75">
        <w:rPr>
          <w:rFonts w:hint="eastAsia"/>
          <w:lang w:eastAsia="zh-CN"/>
        </w:rPr>
        <w:t>款，持续审议</w:t>
      </w:r>
      <w:r w:rsidRPr="00885D75">
        <w:rPr>
          <w:lang w:eastAsia="zh-CN"/>
        </w:rPr>
        <w:t>ITU-D</w:t>
      </w:r>
      <w:r w:rsidRPr="00885D75">
        <w:rPr>
          <w:rFonts w:hint="eastAsia"/>
          <w:lang w:eastAsia="zh-CN"/>
        </w:rPr>
        <w:t>四年期滚动式运作规划的执行情况，就拟定有待国际电联理事会下一届会议批准的</w:t>
      </w:r>
      <w:r w:rsidRPr="00885D75">
        <w:rPr>
          <w:lang w:eastAsia="zh-CN"/>
        </w:rPr>
        <w:t>ITU-</w:t>
      </w:r>
      <w:proofErr w:type="gramStart"/>
      <w:r w:rsidRPr="00885D75">
        <w:rPr>
          <w:lang w:eastAsia="zh-CN"/>
        </w:rPr>
        <w:t>D</w:t>
      </w:r>
      <w:r w:rsidRPr="00885D75">
        <w:rPr>
          <w:rFonts w:hint="eastAsia"/>
          <w:lang w:eastAsia="zh-CN"/>
        </w:rPr>
        <w:t>运作规划草案向电信发展局提供指导；</w:t>
      </w:r>
      <w:proofErr w:type="gramEnd"/>
    </w:p>
    <w:p w14:paraId="4B1DD6E3" w14:textId="70543EE0" w:rsidR="00E36441" w:rsidRPr="00885D75" w:rsidRDefault="00E36441" w:rsidP="00E36441">
      <w:pPr>
        <w:pStyle w:val="enumlev1"/>
        <w:rPr>
          <w:lang w:eastAsia="zh-CN"/>
        </w:rPr>
      </w:pPr>
      <w:r>
        <w:rPr>
          <w:rFonts w:hint="eastAsia"/>
          <w:lang w:eastAsia="zh-CN"/>
        </w:rPr>
        <w:t>iv)</w:t>
      </w:r>
      <w:r>
        <w:rPr>
          <w:lang w:eastAsia="zh-CN"/>
        </w:rPr>
        <w:tab/>
      </w:r>
      <w:r w:rsidRPr="00885D75">
        <w:rPr>
          <w:rFonts w:hint="eastAsia"/>
          <w:lang w:eastAsia="zh-CN"/>
        </w:rPr>
        <w:t>评估并在必要时更新工作方法和指导原则，以确保</w:t>
      </w:r>
      <w:r w:rsidRPr="00885D75">
        <w:rPr>
          <w:lang w:eastAsia="zh-CN"/>
        </w:rPr>
        <w:t>ITU-</w:t>
      </w:r>
      <w:proofErr w:type="gramStart"/>
      <w:r w:rsidRPr="00885D75">
        <w:rPr>
          <w:lang w:eastAsia="zh-CN"/>
        </w:rPr>
        <w:t>D</w:t>
      </w:r>
      <w:r w:rsidRPr="00885D75">
        <w:rPr>
          <w:rFonts w:hint="eastAsia"/>
          <w:lang w:eastAsia="zh-CN"/>
        </w:rPr>
        <w:t>行动计划的主要内容得到最高效灵活的落实；</w:t>
      </w:r>
      <w:proofErr w:type="gramEnd"/>
    </w:p>
    <w:p w14:paraId="52C99D47" w14:textId="74CF9B40" w:rsidR="00E36441" w:rsidRPr="00885D75" w:rsidRDefault="00E36441" w:rsidP="00E36441">
      <w:pPr>
        <w:pStyle w:val="enumlev1"/>
        <w:rPr>
          <w:lang w:eastAsia="zh-CN"/>
        </w:rPr>
      </w:pPr>
      <w:r>
        <w:rPr>
          <w:rFonts w:hint="eastAsia"/>
          <w:lang w:eastAsia="zh-CN"/>
        </w:rPr>
        <w:t>v)</w:t>
      </w:r>
      <w:r>
        <w:rPr>
          <w:lang w:eastAsia="zh-CN"/>
        </w:rPr>
        <w:tab/>
      </w:r>
      <w:r w:rsidRPr="00885D75">
        <w:rPr>
          <w:rFonts w:hint="eastAsia"/>
          <w:lang w:eastAsia="zh-CN"/>
        </w:rPr>
        <w:t>定期评估</w:t>
      </w:r>
      <w:r w:rsidRPr="00885D75">
        <w:rPr>
          <w:lang w:eastAsia="zh-CN"/>
        </w:rPr>
        <w:t>ITU-D</w:t>
      </w:r>
      <w:r w:rsidRPr="00885D75">
        <w:rPr>
          <w:rFonts w:hint="eastAsia"/>
          <w:lang w:eastAsia="zh-CN"/>
        </w:rPr>
        <w:t>研究组的工作方法和运行，确定充分体现项目交付的方案，并在对其工作计划做出评估后，批准其中适当的改变，包括加强研究课题、</w:t>
      </w:r>
      <w:proofErr w:type="gramStart"/>
      <w:r w:rsidRPr="00885D75">
        <w:rPr>
          <w:rFonts w:hint="eastAsia"/>
          <w:lang w:eastAsia="zh-CN"/>
        </w:rPr>
        <w:t>项目和区域性举措之间的合力；</w:t>
      </w:r>
      <w:proofErr w:type="gramEnd"/>
    </w:p>
    <w:p w14:paraId="1BA38C54" w14:textId="421C2208" w:rsidR="00E36441" w:rsidRPr="00885D75" w:rsidRDefault="00E36441" w:rsidP="00E36441">
      <w:pPr>
        <w:pStyle w:val="enumlev1"/>
        <w:rPr>
          <w:lang w:eastAsia="zh-CN"/>
        </w:rPr>
      </w:pPr>
      <w:r>
        <w:rPr>
          <w:rFonts w:hint="eastAsia"/>
          <w:lang w:eastAsia="zh-CN"/>
        </w:rPr>
        <w:t>v</w:t>
      </w:r>
      <w:r>
        <w:rPr>
          <w:rFonts w:hint="eastAsia"/>
          <w:lang w:eastAsia="zh-CN"/>
        </w:rPr>
        <w:t>i</w:t>
      </w:r>
      <w:r>
        <w:rPr>
          <w:rFonts w:hint="eastAsia"/>
          <w:lang w:eastAsia="zh-CN"/>
        </w:rPr>
        <w:t>)</w:t>
      </w:r>
      <w:r>
        <w:rPr>
          <w:lang w:eastAsia="zh-CN"/>
        </w:rPr>
        <w:tab/>
      </w:r>
      <w:r w:rsidRPr="00885D75">
        <w:rPr>
          <w:rFonts w:hint="eastAsia"/>
          <w:lang w:eastAsia="zh-CN"/>
        </w:rPr>
        <w:t>按照上述</w:t>
      </w:r>
      <w:r w:rsidRPr="00E36441">
        <w:rPr>
          <w:rFonts w:ascii="STKaiti" w:eastAsia="STKaiti" w:hAnsi="STKaiti" w:hint="eastAsia"/>
          <w:lang w:eastAsia="zh-CN"/>
        </w:rPr>
        <w:t>做出决议</w:t>
      </w:r>
      <w:r w:rsidRPr="00885D75">
        <w:rPr>
          <w:rFonts w:hint="eastAsia"/>
          <w:lang w:eastAsia="zh-CN"/>
        </w:rPr>
        <w:t xml:space="preserve">1 </w:t>
      </w:r>
      <w:proofErr w:type="gramStart"/>
      <w:r w:rsidRPr="00885D75">
        <w:rPr>
          <w:lang w:eastAsia="zh-CN"/>
        </w:rPr>
        <w:t>v)</w:t>
      </w:r>
      <w:r w:rsidRPr="00885D75">
        <w:rPr>
          <w:rFonts w:hint="eastAsia"/>
          <w:lang w:eastAsia="zh-CN"/>
        </w:rPr>
        <w:t>段开展评估</w:t>
      </w:r>
      <w:proofErr w:type="gramEnd"/>
      <w:r w:rsidRPr="00885D75">
        <w:rPr>
          <w:rFonts w:hint="eastAsia"/>
          <w:lang w:eastAsia="zh-CN"/>
        </w:rPr>
        <w:t>，同时在必要时针对研究组的当前工作计划考虑采取下列行动：</w:t>
      </w:r>
    </w:p>
    <w:p w14:paraId="6C4B3CB1" w14:textId="1061DD61" w:rsidR="00E36441" w:rsidRPr="00885D75" w:rsidRDefault="00E36441" w:rsidP="00E36441">
      <w:pPr>
        <w:pStyle w:val="enumlev2"/>
        <w:rPr>
          <w:lang w:eastAsia="zh-CN"/>
        </w:rPr>
      </w:pPr>
      <w:r>
        <w:rPr>
          <w:lang w:eastAsia="zh-CN"/>
        </w:rPr>
        <w:t>–</w:t>
      </w:r>
      <w:r>
        <w:rPr>
          <w:lang w:eastAsia="zh-CN"/>
        </w:rPr>
        <w:tab/>
      </w:r>
      <w:r w:rsidRPr="00885D75">
        <w:rPr>
          <w:rFonts w:hint="eastAsia"/>
          <w:lang w:eastAsia="zh-CN"/>
        </w:rPr>
        <w:t>重新定义研究课题的职责范围，</w:t>
      </w:r>
      <w:proofErr w:type="gramStart"/>
      <w:r w:rsidRPr="00885D75">
        <w:rPr>
          <w:rFonts w:hint="eastAsia"/>
          <w:lang w:eastAsia="zh-CN"/>
        </w:rPr>
        <w:t>以确定研究重点并消除工作重叠；</w:t>
      </w:r>
      <w:proofErr w:type="gramEnd"/>
    </w:p>
    <w:p w14:paraId="1D644BC3" w14:textId="0C7BF96F" w:rsidR="00E36441" w:rsidRPr="00885D75" w:rsidRDefault="00E36441" w:rsidP="00E36441">
      <w:pPr>
        <w:pStyle w:val="enumlev2"/>
        <w:rPr>
          <w:lang w:eastAsia="zh-CN"/>
        </w:rPr>
      </w:pPr>
      <w:r>
        <w:rPr>
          <w:lang w:eastAsia="zh-CN"/>
        </w:rPr>
        <w:t>–</w:t>
      </w:r>
      <w:r>
        <w:rPr>
          <w:lang w:eastAsia="zh-CN"/>
        </w:rPr>
        <w:tab/>
      </w:r>
      <w:r w:rsidRPr="00885D75">
        <w:rPr>
          <w:rFonts w:hint="eastAsia"/>
          <w:lang w:eastAsia="zh-CN"/>
        </w:rPr>
        <w:t>酌情删除或合并研究课题；</w:t>
      </w:r>
      <w:r w:rsidRPr="00885D75">
        <w:rPr>
          <w:lang w:eastAsia="zh-CN"/>
        </w:rPr>
        <w:t>和</w:t>
      </w:r>
    </w:p>
    <w:p w14:paraId="2BBB3C40" w14:textId="0B1CBD9E" w:rsidR="00E36441" w:rsidRPr="00885D75" w:rsidRDefault="00E36441" w:rsidP="00E36441">
      <w:pPr>
        <w:pStyle w:val="enumlev2"/>
        <w:rPr>
          <w:lang w:eastAsia="zh-CN"/>
        </w:rPr>
      </w:pPr>
      <w:r>
        <w:rPr>
          <w:lang w:eastAsia="zh-CN"/>
        </w:rPr>
        <w:t>–</w:t>
      </w:r>
      <w:r>
        <w:rPr>
          <w:lang w:eastAsia="zh-CN"/>
        </w:rPr>
        <w:tab/>
      </w:r>
      <w:r w:rsidRPr="00885D75">
        <w:rPr>
          <w:rFonts w:hint="eastAsia"/>
          <w:lang w:eastAsia="zh-CN"/>
        </w:rPr>
        <w:t>对衡量研究课题研究效果的标准进行定性和定量评价，包括根据</w:t>
      </w:r>
      <w:r w:rsidRPr="00885D75">
        <w:rPr>
          <w:lang w:eastAsia="zh-CN"/>
        </w:rPr>
        <w:t>ITU-D</w:t>
      </w:r>
      <w:r w:rsidRPr="00885D75">
        <w:rPr>
          <w:rFonts w:hint="eastAsia"/>
          <w:lang w:eastAsia="zh-CN"/>
        </w:rPr>
        <w:t>行动规划进行定期审议，以便进一步探讨绩效措施，从而更有效地实施上述</w:t>
      </w:r>
      <w:r w:rsidRPr="00A01DCF">
        <w:rPr>
          <w:rFonts w:ascii="STKaiti" w:eastAsia="STKaiti" w:hAnsi="STKaiti" w:hint="eastAsia"/>
          <w:lang w:eastAsia="zh-CN"/>
        </w:rPr>
        <w:t>做出决议</w:t>
      </w:r>
      <w:r w:rsidRPr="00885D75">
        <w:rPr>
          <w:rFonts w:hint="eastAsia"/>
          <w:lang w:eastAsia="zh-CN"/>
        </w:rPr>
        <w:t xml:space="preserve">1 </w:t>
      </w:r>
      <w:proofErr w:type="gramStart"/>
      <w:r w:rsidRPr="00885D75">
        <w:rPr>
          <w:lang w:eastAsia="zh-CN"/>
        </w:rPr>
        <w:t>v)</w:t>
      </w:r>
      <w:r w:rsidRPr="00885D75">
        <w:rPr>
          <w:rFonts w:hint="eastAsia"/>
          <w:lang w:eastAsia="zh-CN"/>
        </w:rPr>
        <w:t>点规定的行动</w:t>
      </w:r>
      <w:proofErr w:type="gramEnd"/>
      <w:r w:rsidRPr="00885D75">
        <w:rPr>
          <w:rFonts w:hint="eastAsia"/>
          <w:lang w:eastAsia="zh-CN"/>
        </w:rPr>
        <w:t>；</w:t>
      </w:r>
    </w:p>
    <w:p w14:paraId="490336DF" w14:textId="71EF2313" w:rsidR="00E36441" w:rsidRPr="00885D75" w:rsidRDefault="00E36441" w:rsidP="00E36441">
      <w:pPr>
        <w:pStyle w:val="enumlev1"/>
        <w:rPr>
          <w:lang w:eastAsia="zh-CN"/>
        </w:rPr>
      </w:pPr>
      <w:r>
        <w:rPr>
          <w:rFonts w:hint="eastAsia"/>
          <w:lang w:eastAsia="zh-CN"/>
        </w:rPr>
        <w:lastRenderedPageBreak/>
        <w:t>vi</w:t>
      </w:r>
      <w:r>
        <w:rPr>
          <w:rFonts w:hint="eastAsia"/>
          <w:lang w:eastAsia="zh-CN"/>
        </w:rPr>
        <w:t>i</w:t>
      </w:r>
      <w:r>
        <w:rPr>
          <w:rFonts w:hint="eastAsia"/>
          <w:lang w:eastAsia="zh-CN"/>
        </w:rPr>
        <w:t>)</w:t>
      </w:r>
      <w:r>
        <w:rPr>
          <w:lang w:eastAsia="zh-CN"/>
        </w:rPr>
        <w:tab/>
      </w:r>
      <w:r w:rsidRPr="00885D75">
        <w:rPr>
          <w:rFonts w:hint="eastAsia"/>
          <w:lang w:eastAsia="zh-CN"/>
        </w:rPr>
        <w:t>必要时重组</w:t>
      </w:r>
      <w:r w:rsidRPr="00885D75">
        <w:rPr>
          <w:lang w:eastAsia="zh-CN"/>
        </w:rPr>
        <w:t>ITU-D</w:t>
      </w:r>
      <w:r w:rsidRPr="00885D75">
        <w:rPr>
          <w:rFonts w:hint="eastAsia"/>
          <w:lang w:eastAsia="zh-CN"/>
        </w:rPr>
        <w:t>研究组，并因</w:t>
      </w:r>
      <w:r w:rsidRPr="00885D75">
        <w:rPr>
          <w:lang w:eastAsia="zh-CN"/>
        </w:rPr>
        <w:t>ITU-D</w:t>
      </w:r>
      <w:r w:rsidRPr="00885D75">
        <w:rPr>
          <w:rFonts w:hint="eastAsia"/>
          <w:lang w:eastAsia="zh-CN"/>
        </w:rPr>
        <w:t>研究组的重组或设立而任命其正副主席，直到下届</w:t>
      </w:r>
      <w:r w:rsidRPr="00885D75">
        <w:rPr>
          <w:lang w:eastAsia="zh-CN"/>
        </w:rPr>
        <w:t>WTDC</w:t>
      </w:r>
      <w:r w:rsidRPr="00885D75">
        <w:rPr>
          <w:rFonts w:hint="eastAsia"/>
          <w:lang w:eastAsia="zh-CN"/>
        </w:rPr>
        <w:t>为止，以便在已达成一致的预算限制范围内满足成员国的需要，</w:t>
      </w:r>
      <w:proofErr w:type="gramStart"/>
      <w:r w:rsidRPr="00885D75">
        <w:rPr>
          <w:rFonts w:hint="eastAsia"/>
          <w:lang w:eastAsia="zh-CN"/>
        </w:rPr>
        <w:t>并对其关心的问题做出反应；</w:t>
      </w:r>
      <w:proofErr w:type="gramEnd"/>
    </w:p>
    <w:p w14:paraId="1B5CD7C4" w14:textId="383CDA63" w:rsidR="00E36441" w:rsidRPr="00885D75" w:rsidRDefault="00E36441" w:rsidP="00E36441">
      <w:pPr>
        <w:pStyle w:val="enumlev1"/>
        <w:rPr>
          <w:lang w:eastAsia="zh-CN"/>
        </w:rPr>
      </w:pPr>
      <w:r>
        <w:rPr>
          <w:rFonts w:hint="eastAsia"/>
          <w:lang w:eastAsia="zh-CN"/>
        </w:rPr>
        <w:t>vi</w:t>
      </w:r>
      <w:r>
        <w:rPr>
          <w:rFonts w:hint="eastAsia"/>
          <w:lang w:eastAsia="zh-CN"/>
        </w:rPr>
        <w:t>ii</w:t>
      </w:r>
      <w:r>
        <w:rPr>
          <w:rFonts w:hint="eastAsia"/>
          <w:lang w:eastAsia="zh-CN"/>
        </w:rPr>
        <w:t>)</w:t>
      </w:r>
      <w:r>
        <w:rPr>
          <w:lang w:eastAsia="zh-CN"/>
        </w:rPr>
        <w:tab/>
      </w:r>
      <w:proofErr w:type="gramStart"/>
      <w:r w:rsidRPr="00885D75">
        <w:rPr>
          <w:rFonts w:hint="eastAsia"/>
          <w:lang w:eastAsia="zh-CN"/>
        </w:rPr>
        <w:t>对研究组能够满足优先发展工作的进程表提出建议；</w:t>
      </w:r>
      <w:proofErr w:type="gramEnd"/>
    </w:p>
    <w:p w14:paraId="53CE2A02" w14:textId="3896C537" w:rsidR="00E36441" w:rsidRPr="00885D75" w:rsidRDefault="00E36441" w:rsidP="00E36441">
      <w:pPr>
        <w:pStyle w:val="enumlev1"/>
        <w:rPr>
          <w:lang w:eastAsia="zh-CN"/>
        </w:rPr>
      </w:pPr>
      <w:r>
        <w:rPr>
          <w:rFonts w:hint="eastAsia"/>
          <w:lang w:eastAsia="zh-CN"/>
        </w:rPr>
        <w:t>i</w:t>
      </w:r>
      <w:r>
        <w:rPr>
          <w:rFonts w:hint="eastAsia"/>
          <w:lang w:eastAsia="zh-CN"/>
        </w:rPr>
        <w:t>x</w:t>
      </w:r>
      <w:r>
        <w:rPr>
          <w:rFonts w:hint="eastAsia"/>
          <w:lang w:eastAsia="zh-CN"/>
        </w:rPr>
        <w:t>)</w:t>
      </w:r>
      <w:r>
        <w:rPr>
          <w:lang w:eastAsia="zh-CN"/>
        </w:rPr>
        <w:tab/>
      </w:r>
      <w:r w:rsidRPr="00885D75">
        <w:rPr>
          <w:rFonts w:hint="eastAsia"/>
          <w:lang w:eastAsia="zh-CN"/>
        </w:rPr>
        <w:t>与</w:t>
      </w:r>
      <w:r w:rsidRPr="00885D75">
        <w:rPr>
          <w:rFonts w:hint="eastAsia"/>
          <w:lang w:eastAsia="zh-CN"/>
        </w:rPr>
        <w:t>ITU-R</w:t>
      </w:r>
      <w:r w:rsidRPr="00885D75">
        <w:rPr>
          <w:rFonts w:hint="eastAsia"/>
          <w:lang w:eastAsia="zh-CN"/>
        </w:rPr>
        <w:t>和</w:t>
      </w:r>
      <w:r w:rsidRPr="00885D75">
        <w:rPr>
          <w:rFonts w:hint="eastAsia"/>
          <w:lang w:eastAsia="zh-CN"/>
        </w:rPr>
        <w:t>ITU-T</w:t>
      </w:r>
      <w:r w:rsidRPr="00885D75">
        <w:rPr>
          <w:rFonts w:hint="eastAsia"/>
          <w:lang w:eastAsia="zh-CN"/>
        </w:rPr>
        <w:t>开展合作与协调；同时考虑到本届大会第</w:t>
      </w:r>
      <w:r w:rsidRPr="00885D75">
        <w:rPr>
          <w:rFonts w:hint="eastAsia"/>
          <w:lang w:eastAsia="zh-CN"/>
        </w:rPr>
        <w:t>59</w:t>
      </w:r>
      <w:r w:rsidRPr="00885D75">
        <w:rPr>
          <w:rFonts w:hint="eastAsia"/>
          <w:lang w:eastAsia="zh-CN"/>
        </w:rPr>
        <w:t>号决议（</w:t>
      </w:r>
      <w:r w:rsidRPr="00885D75">
        <w:rPr>
          <w:rFonts w:hint="eastAsia"/>
          <w:lang w:eastAsia="zh-CN"/>
        </w:rPr>
        <w:t>2025</w:t>
      </w:r>
      <w:r w:rsidRPr="00885D75">
        <w:rPr>
          <w:rFonts w:hint="eastAsia"/>
          <w:lang w:eastAsia="zh-CN"/>
        </w:rPr>
        <w:t>年，巴库，修订版</w:t>
      </w:r>
      <w:proofErr w:type="gramStart"/>
      <w:r w:rsidRPr="00885D75">
        <w:rPr>
          <w:rFonts w:hint="eastAsia"/>
          <w:lang w:eastAsia="zh-CN"/>
        </w:rPr>
        <w:t>）；</w:t>
      </w:r>
      <w:proofErr w:type="gramEnd"/>
    </w:p>
    <w:p w14:paraId="272E6439" w14:textId="20FA5E59" w:rsidR="00E36441" w:rsidRPr="00885D75" w:rsidRDefault="00E36441" w:rsidP="00E36441">
      <w:pPr>
        <w:pStyle w:val="enumlev1"/>
        <w:rPr>
          <w:lang w:eastAsia="zh-CN"/>
        </w:rPr>
      </w:pPr>
      <w:r>
        <w:rPr>
          <w:rFonts w:hint="eastAsia"/>
          <w:lang w:eastAsia="zh-CN"/>
        </w:rPr>
        <w:t>x)</w:t>
      </w:r>
      <w:r>
        <w:rPr>
          <w:lang w:eastAsia="zh-CN"/>
        </w:rPr>
        <w:tab/>
      </w:r>
      <w:proofErr w:type="gramStart"/>
      <w:r w:rsidRPr="00885D75">
        <w:rPr>
          <w:rFonts w:hint="eastAsia"/>
          <w:lang w:eastAsia="zh-CN"/>
        </w:rPr>
        <w:t>就相关财务和其它问题向</w:t>
      </w:r>
      <w:r w:rsidRPr="00885D75">
        <w:rPr>
          <w:lang w:eastAsia="zh-CN"/>
        </w:rPr>
        <w:t>BDT</w:t>
      </w:r>
      <w:r w:rsidRPr="00885D75">
        <w:rPr>
          <w:rFonts w:hint="eastAsia"/>
          <w:lang w:eastAsia="zh-CN"/>
        </w:rPr>
        <w:t>主任提出建议；</w:t>
      </w:r>
      <w:proofErr w:type="gramEnd"/>
    </w:p>
    <w:p w14:paraId="39C79BD9" w14:textId="64F0283F" w:rsidR="00E36441" w:rsidRPr="00885D75" w:rsidRDefault="00E36441" w:rsidP="00E36441">
      <w:pPr>
        <w:pStyle w:val="enumlev1"/>
        <w:rPr>
          <w:lang w:eastAsia="zh-CN"/>
        </w:rPr>
      </w:pPr>
      <w:r>
        <w:rPr>
          <w:rFonts w:hint="eastAsia"/>
          <w:lang w:eastAsia="zh-CN"/>
        </w:rPr>
        <w:t>x</w:t>
      </w:r>
      <w:r>
        <w:rPr>
          <w:rFonts w:hint="eastAsia"/>
          <w:lang w:eastAsia="zh-CN"/>
        </w:rPr>
        <w:t>i</w:t>
      </w:r>
      <w:r>
        <w:rPr>
          <w:rFonts w:hint="eastAsia"/>
          <w:lang w:eastAsia="zh-CN"/>
        </w:rPr>
        <w:t>)</w:t>
      </w:r>
      <w:r>
        <w:rPr>
          <w:lang w:eastAsia="zh-CN"/>
        </w:rPr>
        <w:tab/>
      </w:r>
      <w:r w:rsidRPr="00885D75">
        <w:rPr>
          <w:rFonts w:hint="eastAsia"/>
          <w:lang w:eastAsia="zh-CN"/>
        </w:rPr>
        <w:t>批准由于审议现有的及新研究课题而产生的工作计划，决定其优先顺序及紧迫程度，</w:t>
      </w:r>
      <w:proofErr w:type="gramStart"/>
      <w:r w:rsidRPr="00885D75">
        <w:rPr>
          <w:rFonts w:hint="eastAsia"/>
          <w:lang w:eastAsia="zh-CN"/>
        </w:rPr>
        <w:t>预计的财务影响及完成这些研究的时间表；</w:t>
      </w:r>
      <w:proofErr w:type="gramEnd"/>
    </w:p>
    <w:p w14:paraId="39B2B610" w14:textId="2FE99D31" w:rsidR="00E36441" w:rsidRPr="00885D75" w:rsidRDefault="00E36441" w:rsidP="00E36441">
      <w:pPr>
        <w:pStyle w:val="enumlev1"/>
        <w:rPr>
          <w:lang w:eastAsia="zh-CN"/>
        </w:rPr>
      </w:pPr>
      <w:r>
        <w:rPr>
          <w:rFonts w:hint="eastAsia"/>
          <w:lang w:eastAsia="zh-CN"/>
        </w:rPr>
        <w:t>x</w:t>
      </w:r>
      <w:r>
        <w:rPr>
          <w:rFonts w:hint="eastAsia"/>
          <w:lang w:eastAsia="zh-CN"/>
        </w:rPr>
        <w:t>ii</w:t>
      </w:r>
      <w:r>
        <w:rPr>
          <w:rFonts w:hint="eastAsia"/>
          <w:lang w:eastAsia="zh-CN"/>
        </w:rPr>
        <w:t>)</w:t>
      </w:r>
      <w:r>
        <w:rPr>
          <w:lang w:eastAsia="zh-CN"/>
        </w:rPr>
        <w:tab/>
      </w:r>
      <w:r w:rsidRPr="00885D75">
        <w:rPr>
          <w:rFonts w:hint="eastAsia"/>
          <w:lang w:eastAsia="zh-CN"/>
        </w:rPr>
        <w:t>根据全权代表大会第</w:t>
      </w:r>
      <w:r w:rsidRPr="00885D75">
        <w:rPr>
          <w:rFonts w:hint="eastAsia"/>
          <w:lang w:eastAsia="zh-CN"/>
        </w:rPr>
        <w:t>208</w:t>
      </w:r>
      <w:r w:rsidRPr="00885D75">
        <w:rPr>
          <w:rFonts w:hint="eastAsia"/>
          <w:lang w:eastAsia="zh-CN"/>
        </w:rPr>
        <w:t>号决议（</w:t>
      </w:r>
      <w:r w:rsidRPr="00885D75">
        <w:rPr>
          <w:rFonts w:hint="eastAsia"/>
          <w:lang w:eastAsia="zh-CN"/>
        </w:rPr>
        <w:t>2022</w:t>
      </w:r>
      <w:r w:rsidRPr="00885D75">
        <w:rPr>
          <w:rFonts w:hint="eastAsia"/>
          <w:lang w:eastAsia="zh-CN"/>
        </w:rPr>
        <w:t>年，布加勒斯特，修订版）和本届大会第</w:t>
      </w:r>
      <w:r w:rsidRPr="00885D75">
        <w:rPr>
          <w:rFonts w:hint="eastAsia"/>
          <w:lang w:eastAsia="zh-CN"/>
        </w:rPr>
        <w:t>1</w:t>
      </w:r>
      <w:r w:rsidRPr="00885D75">
        <w:rPr>
          <w:rFonts w:hint="eastAsia"/>
          <w:lang w:eastAsia="zh-CN"/>
        </w:rPr>
        <w:t>号决议（</w:t>
      </w:r>
      <w:r w:rsidRPr="00885D75">
        <w:rPr>
          <w:rFonts w:hint="eastAsia"/>
          <w:lang w:eastAsia="zh-CN"/>
        </w:rPr>
        <w:t>2025</w:t>
      </w:r>
      <w:r w:rsidRPr="00885D75">
        <w:rPr>
          <w:rFonts w:hint="eastAsia"/>
          <w:lang w:eastAsia="zh-CN"/>
        </w:rPr>
        <w:t>年，巴库，修订版），审查</w:t>
      </w:r>
      <w:r w:rsidRPr="00885D75">
        <w:rPr>
          <w:rFonts w:hint="eastAsia"/>
          <w:lang w:eastAsia="zh-CN"/>
        </w:rPr>
        <w:t>ITU-D</w:t>
      </w:r>
      <w:r w:rsidRPr="00885D75">
        <w:rPr>
          <w:rFonts w:hint="eastAsia"/>
          <w:lang w:eastAsia="zh-CN"/>
        </w:rPr>
        <w:t>工作计划的实施进展和</w:t>
      </w:r>
      <w:r w:rsidRPr="00885D75">
        <w:rPr>
          <w:rFonts w:hint="eastAsia"/>
          <w:lang w:eastAsia="zh-CN"/>
        </w:rPr>
        <w:t>ITU-D</w:t>
      </w:r>
      <w:r w:rsidRPr="00885D75">
        <w:rPr>
          <w:rFonts w:hint="eastAsia"/>
          <w:lang w:eastAsia="zh-CN"/>
        </w:rPr>
        <w:t>研究组活动的总体情况，</w:t>
      </w:r>
      <w:proofErr w:type="gramStart"/>
      <w:r w:rsidRPr="00885D75">
        <w:rPr>
          <w:rFonts w:hint="eastAsia"/>
          <w:lang w:eastAsia="zh-CN"/>
        </w:rPr>
        <w:t>包括正副主席的出席程度；</w:t>
      </w:r>
      <w:proofErr w:type="gramEnd"/>
    </w:p>
    <w:p w14:paraId="17FF62AD" w14:textId="73ADA828" w:rsidR="00E36441" w:rsidRPr="00885D75" w:rsidRDefault="00E36441" w:rsidP="00E36441">
      <w:pPr>
        <w:pStyle w:val="enumlev1"/>
        <w:rPr>
          <w:lang w:eastAsia="zh-CN"/>
        </w:rPr>
      </w:pPr>
      <w:r>
        <w:rPr>
          <w:rFonts w:hint="eastAsia"/>
          <w:lang w:eastAsia="zh-CN"/>
        </w:rPr>
        <w:t>x</w:t>
      </w:r>
      <w:r>
        <w:rPr>
          <w:rFonts w:hint="eastAsia"/>
          <w:lang w:eastAsia="zh-CN"/>
        </w:rPr>
        <w:t>iii</w:t>
      </w:r>
      <w:r>
        <w:rPr>
          <w:rFonts w:hint="eastAsia"/>
          <w:lang w:eastAsia="zh-CN"/>
        </w:rPr>
        <w:t>)</w:t>
      </w:r>
      <w:r>
        <w:rPr>
          <w:lang w:eastAsia="zh-CN"/>
        </w:rPr>
        <w:tab/>
      </w:r>
      <w:r w:rsidRPr="00885D75">
        <w:rPr>
          <w:rFonts w:hint="eastAsia"/>
          <w:lang w:eastAsia="zh-CN"/>
        </w:rPr>
        <w:t>为提高对最为优先关注的事宜进行快速响应的灵活性，必要时按照《公约》第</w:t>
      </w:r>
      <w:r w:rsidRPr="00885D75">
        <w:rPr>
          <w:lang w:eastAsia="zh-CN"/>
        </w:rPr>
        <w:t>209A</w:t>
      </w:r>
      <w:r w:rsidRPr="00885D75">
        <w:rPr>
          <w:rFonts w:hint="eastAsia"/>
          <w:lang w:eastAsia="zh-CN"/>
        </w:rPr>
        <w:t>和</w:t>
      </w:r>
      <w:r w:rsidRPr="00885D75">
        <w:rPr>
          <w:lang w:eastAsia="zh-CN"/>
        </w:rPr>
        <w:t>209B</w:t>
      </w:r>
      <w:r w:rsidRPr="00885D75">
        <w:rPr>
          <w:rFonts w:hint="eastAsia"/>
          <w:lang w:eastAsia="zh-CN"/>
        </w:rPr>
        <w:t>款并考虑各研究组在研究这些问题上的主导作用，建立、终止或保留其它小组，任命其主席和副主席并确定其职责范围，明确其任期，</w:t>
      </w:r>
      <w:proofErr w:type="gramStart"/>
      <w:r w:rsidRPr="00885D75">
        <w:rPr>
          <w:rFonts w:hint="eastAsia"/>
          <w:lang w:eastAsia="zh-CN"/>
        </w:rPr>
        <w:t>但此类其它组不得通过研究课题或建议书；</w:t>
      </w:r>
      <w:proofErr w:type="gramEnd"/>
    </w:p>
    <w:p w14:paraId="3B7938AD" w14:textId="125E6FC5" w:rsidR="00E36441" w:rsidRPr="00885D75" w:rsidRDefault="00E36441" w:rsidP="00E36441">
      <w:pPr>
        <w:pStyle w:val="enumlev1"/>
        <w:rPr>
          <w:lang w:eastAsia="zh-CN"/>
        </w:rPr>
      </w:pPr>
      <w:r>
        <w:rPr>
          <w:rFonts w:hint="eastAsia"/>
          <w:lang w:eastAsia="zh-CN"/>
        </w:rPr>
        <w:t>x</w:t>
      </w:r>
      <w:r>
        <w:rPr>
          <w:rFonts w:hint="eastAsia"/>
          <w:lang w:eastAsia="zh-CN"/>
        </w:rPr>
        <w:t>iv</w:t>
      </w:r>
      <w:r>
        <w:rPr>
          <w:rFonts w:hint="eastAsia"/>
          <w:lang w:eastAsia="zh-CN"/>
        </w:rPr>
        <w:t>)</w:t>
      </w:r>
      <w:r>
        <w:rPr>
          <w:lang w:eastAsia="zh-CN"/>
        </w:rPr>
        <w:tab/>
      </w:r>
      <w:r w:rsidRPr="00885D75">
        <w:rPr>
          <w:lang w:eastAsia="zh-CN"/>
        </w:rPr>
        <w:t>就制定和实施有关电子工作方法行动计划以及今后电子会议的程序和规定（包括法律方面问题）的事宜征求电信发展局主任的意见，同时考虑到发展中国家，</w:t>
      </w:r>
      <w:proofErr w:type="gramStart"/>
      <w:r w:rsidRPr="00885D75">
        <w:rPr>
          <w:lang w:eastAsia="zh-CN"/>
        </w:rPr>
        <w:t>尤其是最不发达国家的需要和手段</w:t>
      </w:r>
      <w:r w:rsidR="00A01DCF">
        <w:rPr>
          <w:rFonts w:hint="eastAsia"/>
          <w:lang w:eastAsia="zh-CN"/>
        </w:rPr>
        <w:t>；</w:t>
      </w:r>
      <w:proofErr w:type="gramEnd"/>
    </w:p>
    <w:p w14:paraId="348016AC" w14:textId="31502457" w:rsidR="00E36441" w:rsidRPr="00885D75" w:rsidRDefault="00E36441" w:rsidP="00E36441">
      <w:pPr>
        <w:pStyle w:val="enumlev1"/>
        <w:rPr>
          <w:lang w:eastAsia="zh-CN"/>
        </w:rPr>
      </w:pPr>
      <w:r>
        <w:rPr>
          <w:rFonts w:hint="eastAsia"/>
          <w:lang w:eastAsia="zh-CN"/>
        </w:rPr>
        <w:t>x</w:t>
      </w:r>
      <w:r>
        <w:rPr>
          <w:rFonts w:hint="eastAsia"/>
          <w:lang w:eastAsia="zh-CN"/>
        </w:rPr>
        <w:t>v</w:t>
      </w:r>
      <w:r>
        <w:rPr>
          <w:rFonts w:hint="eastAsia"/>
          <w:lang w:eastAsia="zh-CN"/>
        </w:rPr>
        <w:t>)</w:t>
      </w:r>
      <w:r>
        <w:rPr>
          <w:lang w:eastAsia="zh-CN"/>
        </w:rPr>
        <w:tab/>
      </w:r>
      <w:r w:rsidRPr="00885D75">
        <w:rPr>
          <w:rFonts w:hint="eastAsia"/>
          <w:lang w:eastAsia="zh-CN"/>
        </w:rPr>
        <w:t>每年审议</w:t>
      </w:r>
      <w:r w:rsidRPr="00885D75">
        <w:rPr>
          <w:rFonts w:hint="eastAsia"/>
          <w:lang w:eastAsia="zh-CN"/>
        </w:rPr>
        <w:t>ITU-D</w:t>
      </w:r>
      <w:r w:rsidRPr="00885D75">
        <w:rPr>
          <w:rFonts w:hint="eastAsia"/>
          <w:lang w:eastAsia="zh-CN"/>
        </w:rPr>
        <w:t>出版物和</w:t>
      </w:r>
      <w:r w:rsidRPr="00885D75">
        <w:rPr>
          <w:rFonts w:hint="eastAsia"/>
          <w:lang w:eastAsia="zh-CN"/>
        </w:rPr>
        <w:t>ITU-D</w:t>
      </w:r>
      <w:r w:rsidRPr="00885D75">
        <w:rPr>
          <w:rFonts w:hint="eastAsia"/>
          <w:lang w:eastAsia="zh-CN"/>
        </w:rPr>
        <w:t>网站中在同等地位上使用国际电联所有正式语文的情况</w:t>
      </w:r>
      <w:r w:rsidRPr="00885D75">
        <w:rPr>
          <w:lang w:eastAsia="zh-CN"/>
        </w:rPr>
        <w:t>。</w:t>
      </w:r>
    </w:p>
    <w:p w14:paraId="30F28573" w14:textId="77777777" w:rsidR="00E36441" w:rsidRPr="00885D75" w:rsidRDefault="00E36441" w:rsidP="00E36441">
      <w:pPr>
        <w:rPr>
          <w:lang w:eastAsia="zh-CN"/>
        </w:rPr>
      </w:pPr>
      <w:r w:rsidRPr="00885D75">
        <w:rPr>
          <w:lang w:eastAsia="zh-CN"/>
        </w:rPr>
        <w:t>2.4</w:t>
      </w:r>
      <w:r w:rsidRPr="00885D75">
        <w:rPr>
          <w:lang w:eastAsia="zh-CN"/>
        </w:rPr>
        <w:tab/>
      </w:r>
      <w:r w:rsidRPr="00A01DCF">
        <w:rPr>
          <w:spacing w:val="2"/>
          <w:lang w:eastAsia="zh-CN"/>
        </w:rPr>
        <w:t>根据</w:t>
      </w:r>
      <w:r w:rsidRPr="00A01DCF">
        <w:rPr>
          <w:spacing w:val="2"/>
          <w:lang w:eastAsia="zh-CN"/>
        </w:rPr>
        <w:t>WTDC</w:t>
      </w:r>
      <w:r w:rsidRPr="00A01DCF">
        <w:rPr>
          <w:spacing w:val="2"/>
          <w:lang w:eastAsia="zh-CN"/>
        </w:rPr>
        <w:t>第</w:t>
      </w:r>
      <w:r w:rsidRPr="00A01DCF">
        <w:rPr>
          <w:spacing w:val="2"/>
          <w:lang w:eastAsia="zh-CN"/>
        </w:rPr>
        <w:t>24</w:t>
      </w:r>
      <w:r w:rsidRPr="00A01DCF">
        <w:rPr>
          <w:spacing w:val="2"/>
          <w:lang w:eastAsia="zh-CN"/>
        </w:rPr>
        <w:t>号决议（</w:t>
      </w:r>
      <w:r w:rsidRPr="00A01DCF">
        <w:rPr>
          <w:spacing w:val="2"/>
          <w:lang w:eastAsia="zh-CN"/>
        </w:rPr>
        <w:t>2025</w:t>
      </w:r>
      <w:r w:rsidRPr="00A01DCF">
        <w:rPr>
          <w:spacing w:val="2"/>
          <w:lang w:eastAsia="zh-CN"/>
        </w:rPr>
        <w:t>年，巴库，修订版）的修订</w:t>
      </w:r>
      <w:r w:rsidRPr="00A01DCF">
        <w:rPr>
          <w:rFonts w:hint="eastAsia"/>
          <w:spacing w:val="2"/>
          <w:lang w:eastAsia="zh-CN"/>
        </w:rPr>
        <w:t>案</w:t>
      </w:r>
      <w:r w:rsidRPr="00A01DCF">
        <w:rPr>
          <w:spacing w:val="2"/>
          <w:lang w:eastAsia="zh-CN"/>
        </w:rPr>
        <w:t>，</w:t>
      </w:r>
      <w:r w:rsidRPr="00A01DCF">
        <w:rPr>
          <w:spacing w:val="2"/>
          <w:lang w:eastAsia="zh-CN"/>
        </w:rPr>
        <w:t>TDAG</w:t>
      </w:r>
      <w:r w:rsidRPr="00A01DCF">
        <w:rPr>
          <w:spacing w:val="2"/>
          <w:lang w:eastAsia="zh-CN"/>
        </w:rPr>
        <w:t>的任务是</w:t>
      </w:r>
      <w:r w:rsidRPr="00A01DCF">
        <w:rPr>
          <w:rFonts w:hint="eastAsia"/>
          <w:spacing w:val="2"/>
          <w:lang w:eastAsia="zh-CN"/>
        </w:rPr>
        <w:t>特别基于对</w:t>
      </w:r>
      <w:r w:rsidRPr="00A01DCF">
        <w:rPr>
          <w:rFonts w:hint="eastAsia"/>
          <w:spacing w:val="2"/>
          <w:lang w:eastAsia="zh-CN"/>
        </w:rPr>
        <w:t>TDAG</w:t>
      </w:r>
      <w:r w:rsidRPr="00A01DCF">
        <w:rPr>
          <w:rFonts w:hint="eastAsia"/>
          <w:spacing w:val="2"/>
          <w:lang w:eastAsia="zh-CN"/>
        </w:rPr>
        <w:t>商定的适当</w:t>
      </w:r>
      <w:r w:rsidRPr="00A01DCF">
        <w:rPr>
          <w:rFonts w:hint="eastAsia"/>
          <w:spacing w:val="2"/>
          <w:lang w:eastAsia="zh-CN"/>
        </w:rPr>
        <w:t>KPI</w:t>
      </w:r>
      <w:r w:rsidRPr="00A01DCF">
        <w:rPr>
          <w:rFonts w:hint="eastAsia"/>
          <w:spacing w:val="2"/>
          <w:lang w:eastAsia="zh-CN"/>
        </w:rPr>
        <w:t>的评估，对</w:t>
      </w:r>
      <w:r w:rsidRPr="00A01DCF">
        <w:rPr>
          <w:rFonts w:hint="eastAsia"/>
          <w:spacing w:val="2"/>
          <w:lang w:eastAsia="zh-CN"/>
        </w:rPr>
        <w:t>WTDC</w:t>
      </w:r>
      <w:r w:rsidRPr="00A01DCF">
        <w:rPr>
          <w:rFonts w:hint="eastAsia"/>
          <w:spacing w:val="2"/>
          <w:lang w:eastAsia="zh-CN"/>
        </w:rPr>
        <w:t>各项决议的实施情况和</w:t>
      </w:r>
      <w:r w:rsidRPr="00A01DCF">
        <w:rPr>
          <w:rFonts w:hint="eastAsia"/>
          <w:spacing w:val="2"/>
          <w:lang w:eastAsia="zh-CN"/>
        </w:rPr>
        <w:t>ITU</w:t>
      </w:r>
      <w:r w:rsidRPr="00A01DCF">
        <w:rPr>
          <w:spacing w:val="2"/>
          <w:lang w:eastAsia="zh-CN"/>
        </w:rPr>
        <w:t>-</w:t>
      </w:r>
      <w:r w:rsidRPr="00A01DCF">
        <w:rPr>
          <w:rFonts w:hint="eastAsia"/>
          <w:spacing w:val="2"/>
          <w:lang w:eastAsia="zh-CN"/>
        </w:rPr>
        <w:t>D</w:t>
      </w:r>
      <w:r w:rsidRPr="00A01DCF">
        <w:rPr>
          <w:rFonts w:hint="eastAsia"/>
          <w:spacing w:val="2"/>
          <w:lang w:eastAsia="zh-CN"/>
        </w:rPr>
        <w:t>年度运作规划及</w:t>
      </w:r>
      <w:r w:rsidRPr="00A01DCF">
        <w:rPr>
          <w:rFonts w:hint="eastAsia"/>
          <w:spacing w:val="2"/>
          <w:lang w:eastAsia="zh-CN"/>
        </w:rPr>
        <w:t>ITU-D</w:t>
      </w:r>
      <w:r w:rsidRPr="00A01DCF">
        <w:rPr>
          <w:rFonts w:hint="eastAsia"/>
          <w:spacing w:val="2"/>
          <w:lang w:eastAsia="zh-CN"/>
        </w:rPr>
        <w:t>行动计划中规定的目标行动和成就进行审查，目的是确定在实施关键要素过程中可能遇到的困难及战略，并向</w:t>
      </w:r>
      <w:r w:rsidRPr="00A01DCF">
        <w:rPr>
          <w:rFonts w:hint="eastAsia"/>
          <w:spacing w:val="2"/>
          <w:lang w:eastAsia="zh-CN"/>
        </w:rPr>
        <w:t>BDT</w:t>
      </w:r>
      <w:r w:rsidRPr="00A01DCF">
        <w:rPr>
          <w:rFonts w:hint="eastAsia"/>
          <w:spacing w:val="2"/>
          <w:lang w:eastAsia="zh-CN"/>
        </w:rPr>
        <w:t>主任提出有关解决方案</w:t>
      </w:r>
      <w:r w:rsidRPr="00A01DCF">
        <w:rPr>
          <w:spacing w:val="2"/>
          <w:lang w:eastAsia="zh-CN"/>
        </w:rPr>
        <w:t>。</w:t>
      </w:r>
    </w:p>
    <w:p w14:paraId="62F652C2" w14:textId="77777777" w:rsidR="00E36441" w:rsidRPr="00885D75" w:rsidRDefault="00E36441" w:rsidP="00E36441">
      <w:pPr>
        <w:rPr>
          <w:lang w:eastAsia="zh-CN"/>
        </w:rPr>
      </w:pPr>
      <w:r w:rsidRPr="00885D75">
        <w:rPr>
          <w:lang w:eastAsia="zh-CN"/>
        </w:rPr>
        <w:t>2.5</w:t>
      </w:r>
      <w:r w:rsidRPr="00885D75">
        <w:rPr>
          <w:lang w:eastAsia="zh-CN"/>
        </w:rPr>
        <w:tab/>
        <w:t>TDAG</w:t>
      </w:r>
      <w:r w:rsidRPr="00885D75">
        <w:rPr>
          <w:rFonts w:hint="eastAsia"/>
          <w:lang w:eastAsia="zh-CN"/>
        </w:rPr>
        <w:t>在开展工作过程中应酌情征求</w:t>
      </w:r>
      <w:r w:rsidRPr="00885D75">
        <w:rPr>
          <w:lang w:eastAsia="zh-CN"/>
        </w:rPr>
        <w:t>BDT</w:t>
      </w:r>
      <w:r w:rsidRPr="00885D75">
        <w:rPr>
          <w:rFonts w:hint="eastAsia"/>
          <w:lang w:eastAsia="zh-CN"/>
        </w:rPr>
        <w:t>主任的意见，与其它部门顾问组协作，以协调工作并消除重复工作</w:t>
      </w:r>
      <w:r w:rsidRPr="00885D75">
        <w:rPr>
          <w:lang w:eastAsia="zh-CN"/>
        </w:rPr>
        <w:t>。</w:t>
      </w:r>
    </w:p>
    <w:p w14:paraId="1ED1CF58" w14:textId="77777777" w:rsidR="00E36441" w:rsidRPr="00885D75" w:rsidRDefault="00E36441" w:rsidP="00E36441">
      <w:pPr>
        <w:rPr>
          <w:lang w:eastAsia="zh-CN"/>
        </w:rPr>
      </w:pPr>
      <w:r w:rsidRPr="00885D75">
        <w:rPr>
          <w:lang w:eastAsia="zh-CN"/>
        </w:rPr>
        <w:t>2.6</w:t>
      </w:r>
      <w:r w:rsidRPr="00885D75">
        <w:rPr>
          <w:lang w:eastAsia="zh-CN"/>
        </w:rPr>
        <w:tab/>
        <w:t>TDAG</w:t>
      </w:r>
      <w:r w:rsidRPr="00885D75">
        <w:rPr>
          <w:rFonts w:hint="eastAsia"/>
          <w:lang w:eastAsia="zh-CN"/>
        </w:rPr>
        <w:t>须在其会议上及时审议国际电联全权代表大会和其它大会及全会所做各项决定中有关</w:t>
      </w:r>
      <w:r w:rsidRPr="00885D75">
        <w:rPr>
          <w:lang w:eastAsia="zh-CN"/>
        </w:rPr>
        <w:t>ITU-D</w:t>
      </w:r>
      <w:r w:rsidRPr="00885D75">
        <w:rPr>
          <w:rFonts w:hint="eastAsia"/>
          <w:lang w:eastAsia="zh-CN"/>
        </w:rPr>
        <w:t>工作的内容</w:t>
      </w:r>
      <w:r w:rsidRPr="00885D75">
        <w:rPr>
          <w:lang w:eastAsia="zh-CN"/>
        </w:rPr>
        <w:t>。</w:t>
      </w:r>
    </w:p>
    <w:p w14:paraId="720C27E6" w14:textId="77777777" w:rsidR="00E36441" w:rsidRPr="00885D75" w:rsidRDefault="00E36441" w:rsidP="00E36441">
      <w:pPr>
        <w:rPr>
          <w:lang w:eastAsia="zh-CN"/>
        </w:rPr>
      </w:pPr>
      <w:r w:rsidRPr="00885D75">
        <w:rPr>
          <w:lang w:eastAsia="zh-CN"/>
        </w:rPr>
        <w:t>2.7</w:t>
      </w:r>
      <w:r w:rsidRPr="00885D75">
        <w:rPr>
          <w:lang w:eastAsia="zh-CN"/>
        </w:rPr>
        <w:tab/>
      </w:r>
      <w:r w:rsidRPr="00885D75">
        <w:rPr>
          <w:lang w:eastAsia="zh-CN"/>
        </w:rPr>
        <w:t>在</w:t>
      </w:r>
      <w:r w:rsidRPr="00885D75">
        <w:rPr>
          <w:lang w:eastAsia="zh-CN"/>
        </w:rPr>
        <w:t>WTDC</w:t>
      </w:r>
      <w:r w:rsidRPr="00885D75">
        <w:rPr>
          <w:lang w:eastAsia="zh-CN"/>
        </w:rPr>
        <w:t>召开前，</w:t>
      </w:r>
      <w:r w:rsidRPr="00885D75">
        <w:rPr>
          <w:lang w:eastAsia="zh-CN"/>
        </w:rPr>
        <w:t>TDAG</w:t>
      </w:r>
      <w:r w:rsidRPr="00885D75">
        <w:rPr>
          <w:lang w:eastAsia="zh-CN"/>
        </w:rPr>
        <w:t>须审查拟议的</w:t>
      </w:r>
      <w:r w:rsidRPr="00885D75">
        <w:rPr>
          <w:lang w:eastAsia="zh-CN"/>
        </w:rPr>
        <w:t>ITU-D</w:t>
      </w:r>
      <w:r w:rsidRPr="00885D75">
        <w:rPr>
          <w:lang w:eastAsia="zh-CN"/>
        </w:rPr>
        <w:t>新研究课题，并提出必要的修改建议，以便考虑</w:t>
      </w:r>
      <w:r w:rsidRPr="00885D75">
        <w:rPr>
          <w:lang w:eastAsia="zh-CN"/>
        </w:rPr>
        <w:t>ITU-D</w:t>
      </w:r>
      <w:r w:rsidRPr="00885D75">
        <w:rPr>
          <w:lang w:eastAsia="zh-CN"/>
        </w:rPr>
        <w:t>的总体发展政策目标和相关</w:t>
      </w:r>
      <w:r w:rsidRPr="00885D75">
        <w:rPr>
          <w:rFonts w:hint="eastAsia"/>
          <w:lang w:eastAsia="zh-CN"/>
        </w:rPr>
        <w:t>重点工作</w:t>
      </w:r>
      <w:r w:rsidRPr="00885D75">
        <w:rPr>
          <w:lang w:eastAsia="zh-CN"/>
        </w:rPr>
        <w:t>，同时，审议国际电联</w:t>
      </w:r>
      <w:r w:rsidRPr="00885D75">
        <w:rPr>
          <w:lang w:eastAsia="zh-CN"/>
        </w:rPr>
        <w:t>WTDC</w:t>
      </w:r>
      <w:r w:rsidRPr="00885D75">
        <w:rPr>
          <w:lang w:eastAsia="zh-CN"/>
        </w:rPr>
        <w:t>区域性筹备会议的报告。</w:t>
      </w:r>
    </w:p>
    <w:p w14:paraId="5763A6F4" w14:textId="77777777" w:rsidR="00E36441" w:rsidRPr="00885D75" w:rsidRDefault="00E36441" w:rsidP="00E36441">
      <w:pPr>
        <w:rPr>
          <w:lang w:eastAsia="zh-CN"/>
        </w:rPr>
      </w:pPr>
      <w:r w:rsidRPr="00885D75">
        <w:rPr>
          <w:lang w:eastAsia="zh-CN"/>
        </w:rPr>
        <w:t>2.8</w:t>
      </w:r>
      <w:r w:rsidRPr="00885D75">
        <w:rPr>
          <w:lang w:eastAsia="zh-CN"/>
        </w:rPr>
        <w:tab/>
        <w:t>WTDC</w:t>
      </w:r>
      <w:r w:rsidRPr="00885D75">
        <w:rPr>
          <w:lang w:eastAsia="zh-CN"/>
        </w:rPr>
        <w:t>可根据《公约》第</w:t>
      </w:r>
      <w:r w:rsidRPr="00885D75">
        <w:rPr>
          <w:lang w:eastAsia="zh-CN"/>
        </w:rPr>
        <w:t>213A</w:t>
      </w:r>
      <w:r w:rsidRPr="00885D75">
        <w:rPr>
          <w:lang w:eastAsia="zh-CN"/>
        </w:rPr>
        <w:t>款和</w:t>
      </w:r>
      <w:r w:rsidRPr="00885D75">
        <w:rPr>
          <w:lang w:eastAsia="zh-CN"/>
        </w:rPr>
        <w:t>WTDC</w:t>
      </w:r>
      <w:r w:rsidRPr="00885D75">
        <w:rPr>
          <w:lang w:eastAsia="zh-CN"/>
        </w:rPr>
        <w:t>第</w:t>
      </w:r>
      <w:r w:rsidRPr="00885D75">
        <w:rPr>
          <w:lang w:eastAsia="zh-CN"/>
        </w:rPr>
        <w:t>24</w:t>
      </w:r>
      <w:r w:rsidRPr="00885D75">
        <w:rPr>
          <w:lang w:eastAsia="zh-CN"/>
        </w:rPr>
        <w:t>号决议（</w:t>
      </w:r>
      <w:r w:rsidRPr="00885D75">
        <w:rPr>
          <w:lang w:eastAsia="zh-CN"/>
        </w:rPr>
        <w:t>2025</w:t>
      </w:r>
      <w:r w:rsidRPr="00885D75">
        <w:rPr>
          <w:lang w:eastAsia="zh-CN"/>
        </w:rPr>
        <w:t>年，巴库，修订版），将其权能范围内的具体事项分配给</w:t>
      </w:r>
      <w:r w:rsidRPr="00885D75">
        <w:rPr>
          <w:lang w:eastAsia="zh-CN"/>
        </w:rPr>
        <w:t>TDAG</w:t>
      </w:r>
      <w:r w:rsidRPr="00885D75">
        <w:rPr>
          <w:lang w:eastAsia="zh-CN"/>
        </w:rPr>
        <w:t>，并说明对这些事项的建议行动。</w:t>
      </w:r>
    </w:p>
    <w:p w14:paraId="2508B6FC" w14:textId="088D683B" w:rsidR="00E36441" w:rsidRPr="00885D75" w:rsidRDefault="00E36441" w:rsidP="00E36441">
      <w:pPr>
        <w:pStyle w:val="Heading1"/>
        <w:rPr>
          <w:lang w:eastAsia="zh-CN"/>
        </w:rPr>
      </w:pPr>
      <w:r w:rsidRPr="00885D75">
        <w:rPr>
          <w:lang w:eastAsia="zh-CN"/>
        </w:rPr>
        <w:t>3</w:t>
      </w:r>
      <w:r w:rsidRPr="00885D75">
        <w:rPr>
          <w:lang w:eastAsia="zh-CN"/>
        </w:rPr>
        <w:tab/>
      </w:r>
      <w:r w:rsidRPr="00885D75">
        <w:rPr>
          <w:lang w:eastAsia="zh-CN"/>
        </w:rPr>
        <w:t>工作方法</w:t>
      </w:r>
    </w:p>
    <w:p w14:paraId="5A609AF1" w14:textId="77777777" w:rsidR="00E36441" w:rsidRPr="00885D75" w:rsidRDefault="00E36441" w:rsidP="00E36441">
      <w:pPr>
        <w:rPr>
          <w:lang w:eastAsia="zh-CN"/>
        </w:rPr>
      </w:pPr>
      <w:r w:rsidRPr="00885D75">
        <w:rPr>
          <w:lang w:eastAsia="zh-CN"/>
        </w:rPr>
        <w:t>3.1</w:t>
      </w:r>
      <w:r w:rsidRPr="00885D75">
        <w:rPr>
          <w:lang w:eastAsia="zh-CN"/>
        </w:rPr>
        <w:tab/>
      </w:r>
      <w:r w:rsidRPr="00885D75">
        <w:rPr>
          <w:lang w:eastAsia="zh-CN"/>
        </w:rPr>
        <w:t>在工作方法方面，</w:t>
      </w:r>
      <w:r w:rsidRPr="00885D75">
        <w:rPr>
          <w:lang w:eastAsia="zh-CN"/>
        </w:rPr>
        <w:t>WTDC</w:t>
      </w:r>
      <w:r w:rsidRPr="00885D75">
        <w:rPr>
          <w:lang w:eastAsia="zh-CN"/>
        </w:rPr>
        <w:t>第</w:t>
      </w:r>
      <w:r w:rsidRPr="00885D75">
        <w:rPr>
          <w:lang w:eastAsia="zh-CN"/>
        </w:rPr>
        <w:t>1</w:t>
      </w:r>
      <w:r w:rsidRPr="00885D75">
        <w:rPr>
          <w:lang w:eastAsia="zh-CN"/>
        </w:rPr>
        <w:t>号决议（</w:t>
      </w:r>
      <w:r w:rsidRPr="00885D75">
        <w:rPr>
          <w:lang w:eastAsia="zh-CN"/>
        </w:rPr>
        <w:t>2025</w:t>
      </w:r>
      <w:r w:rsidRPr="00885D75">
        <w:rPr>
          <w:lang w:eastAsia="zh-CN"/>
        </w:rPr>
        <w:t>年，巴库，修订版）提供了指导方针，其中一些总结如下。</w:t>
      </w:r>
    </w:p>
    <w:p w14:paraId="4724EEA2" w14:textId="77777777" w:rsidR="00E36441" w:rsidRPr="00885D75" w:rsidRDefault="00E36441" w:rsidP="00A01DCF">
      <w:pPr>
        <w:keepLines/>
        <w:rPr>
          <w:lang w:eastAsia="zh-CN"/>
        </w:rPr>
      </w:pPr>
      <w:r w:rsidRPr="00885D75">
        <w:rPr>
          <w:lang w:eastAsia="zh-CN"/>
        </w:rPr>
        <w:lastRenderedPageBreak/>
        <w:t>3.2</w:t>
      </w:r>
      <w:r w:rsidRPr="00885D75">
        <w:rPr>
          <w:lang w:eastAsia="zh-CN"/>
        </w:rPr>
        <w:tab/>
        <w:t>TDAG</w:t>
      </w:r>
      <w:r w:rsidRPr="00885D75">
        <w:rPr>
          <w:lang w:eastAsia="zh-CN"/>
        </w:rPr>
        <w:t>按</w:t>
      </w:r>
      <w:r w:rsidRPr="00885D75">
        <w:rPr>
          <w:lang w:eastAsia="zh-CN"/>
        </w:rPr>
        <w:t>ITU-D</w:t>
      </w:r>
      <w:r w:rsidRPr="00885D75">
        <w:rPr>
          <w:lang w:eastAsia="zh-CN"/>
        </w:rPr>
        <w:t>活动日历定期召开会议。每年至少召开一次面对面会议。这些年度会议召开的时间应为</w:t>
      </w:r>
      <w:r w:rsidRPr="00885D75">
        <w:rPr>
          <w:lang w:eastAsia="zh-CN"/>
        </w:rPr>
        <w:t>TDAG</w:t>
      </w:r>
      <w:r w:rsidRPr="00885D75">
        <w:rPr>
          <w:lang w:eastAsia="zh-CN"/>
        </w:rPr>
        <w:t>有效审议国际电联理事会通过并由电信发展局实施的运作规划草案留有余地。在规划过程中，还应尽一切努力确保</w:t>
      </w:r>
      <w:r w:rsidRPr="00885D75">
        <w:rPr>
          <w:lang w:eastAsia="zh-CN"/>
        </w:rPr>
        <w:t>TDAG</w:t>
      </w:r>
      <w:r w:rsidRPr="00885D75">
        <w:rPr>
          <w:lang w:eastAsia="zh-CN"/>
        </w:rPr>
        <w:t>会议不与研究组会议同时举行。在可能的情况下，</w:t>
      </w:r>
      <w:r w:rsidRPr="00885D75">
        <w:rPr>
          <w:lang w:eastAsia="zh-CN"/>
        </w:rPr>
        <w:t>TDAG</w:t>
      </w:r>
      <w:r w:rsidRPr="00885D75">
        <w:rPr>
          <w:lang w:eastAsia="zh-CN"/>
        </w:rPr>
        <w:t>、</w:t>
      </w:r>
      <w:r w:rsidRPr="00885D75">
        <w:rPr>
          <w:lang w:eastAsia="zh-CN"/>
        </w:rPr>
        <w:t>RAG</w:t>
      </w:r>
      <w:r w:rsidRPr="00885D75">
        <w:rPr>
          <w:lang w:eastAsia="zh-CN"/>
        </w:rPr>
        <w:t>和</w:t>
      </w:r>
      <w:r w:rsidRPr="00885D75">
        <w:rPr>
          <w:lang w:eastAsia="zh-CN"/>
        </w:rPr>
        <w:t>TSAG</w:t>
      </w:r>
      <w:r w:rsidRPr="00885D75">
        <w:rPr>
          <w:lang w:eastAsia="zh-CN"/>
        </w:rPr>
        <w:t>会议接续召开。</w:t>
      </w:r>
    </w:p>
    <w:p w14:paraId="6EE3A9F2" w14:textId="77777777" w:rsidR="00E36441" w:rsidRPr="00885D75" w:rsidRDefault="00E36441" w:rsidP="00E36441">
      <w:pPr>
        <w:rPr>
          <w:lang w:eastAsia="zh-CN"/>
        </w:rPr>
      </w:pPr>
      <w:r w:rsidRPr="00885D75">
        <w:rPr>
          <w:lang w:eastAsia="zh-CN"/>
        </w:rPr>
        <w:t>3.3</w:t>
      </w:r>
      <w:r w:rsidRPr="00885D75">
        <w:rPr>
          <w:lang w:eastAsia="zh-CN"/>
        </w:rPr>
        <w:tab/>
      </w:r>
      <w:r w:rsidRPr="00885D75">
        <w:rPr>
          <w:lang w:eastAsia="zh-CN"/>
        </w:rPr>
        <w:t>为了缩短会议</w:t>
      </w:r>
      <w:r w:rsidRPr="00885D75">
        <w:rPr>
          <w:rFonts w:hint="eastAsia"/>
          <w:lang w:eastAsia="zh-CN"/>
        </w:rPr>
        <w:t>长度</w:t>
      </w:r>
      <w:r w:rsidRPr="00885D75">
        <w:rPr>
          <w:lang w:eastAsia="zh-CN"/>
        </w:rPr>
        <w:t>和削减费用，</w:t>
      </w:r>
      <w:r w:rsidRPr="00885D75">
        <w:rPr>
          <w:lang w:eastAsia="zh-CN"/>
        </w:rPr>
        <w:t>TDAG</w:t>
      </w:r>
      <w:r w:rsidRPr="00885D75">
        <w:rPr>
          <w:lang w:eastAsia="zh-CN"/>
        </w:rPr>
        <w:t>主席应与</w:t>
      </w:r>
      <w:r w:rsidRPr="00885D75">
        <w:rPr>
          <w:rFonts w:hint="eastAsia"/>
          <w:lang w:eastAsia="zh-CN"/>
        </w:rPr>
        <w:t>BDT</w:t>
      </w:r>
      <w:r w:rsidRPr="00885D75">
        <w:rPr>
          <w:lang w:eastAsia="zh-CN"/>
        </w:rPr>
        <w:t>主任</w:t>
      </w:r>
      <w:r w:rsidRPr="00885D75">
        <w:rPr>
          <w:rFonts w:hint="eastAsia"/>
          <w:lang w:eastAsia="zh-CN"/>
        </w:rPr>
        <w:t>协</w:t>
      </w:r>
      <w:r w:rsidRPr="00885D75">
        <w:rPr>
          <w:lang w:eastAsia="zh-CN"/>
        </w:rPr>
        <w:t>作，事先做好</w:t>
      </w:r>
      <w:r w:rsidRPr="00885D75">
        <w:rPr>
          <w:rFonts w:hint="eastAsia"/>
          <w:lang w:eastAsia="zh-CN"/>
        </w:rPr>
        <w:t>适当</w:t>
      </w:r>
      <w:r w:rsidRPr="00885D75">
        <w:rPr>
          <w:lang w:eastAsia="zh-CN"/>
        </w:rPr>
        <w:t>准备，</w:t>
      </w:r>
      <w:r w:rsidRPr="00885D75">
        <w:rPr>
          <w:rFonts w:hint="eastAsia"/>
          <w:lang w:eastAsia="zh-CN"/>
        </w:rPr>
        <w:t>如</w:t>
      </w:r>
      <w:r w:rsidRPr="00885D75">
        <w:rPr>
          <w:lang w:eastAsia="zh-CN"/>
        </w:rPr>
        <w:t>确定重大</w:t>
      </w:r>
      <w:r w:rsidRPr="00885D75">
        <w:rPr>
          <w:rFonts w:hint="eastAsia"/>
          <w:lang w:eastAsia="zh-CN"/>
        </w:rPr>
        <w:t>讨论</w:t>
      </w:r>
      <w:r w:rsidRPr="00885D75">
        <w:rPr>
          <w:lang w:eastAsia="zh-CN"/>
        </w:rPr>
        <w:t>议题等。</w:t>
      </w:r>
    </w:p>
    <w:p w14:paraId="2EFB94BD" w14:textId="77777777" w:rsidR="00E36441" w:rsidRPr="00885D75" w:rsidRDefault="00E36441" w:rsidP="00E36441">
      <w:pPr>
        <w:rPr>
          <w:lang w:eastAsia="zh-CN"/>
        </w:rPr>
      </w:pPr>
      <w:r w:rsidRPr="00885D75">
        <w:rPr>
          <w:lang w:eastAsia="zh-CN"/>
        </w:rPr>
        <w:t>3.4</w:t>
      </w:r>
      <w:r w:rsidRPr="00885D75">
        <w:rPr>
          <w:lang w:eastAsia="zh-CN"/>
        </w:rPr>
        <w:tab/>
      </w:r>
      <w:r w:rsidRPr="00885D75">
        <w:rPr>
          <w:lang w:eastAsia="zh-CN"/>
        </w:rPr>
        <w:t>一般而言，</w:t>
      </w:r>
      <w:r w:rsidRPr="00885D75">
        <w:rPr>
          <w:lang w:eastAsia="zh-CN"/>
        </w:rPr>
        <w:t>WTDC</w:t>
      </w:r>
      <w:r w:rsidRPr="00885D75">
        <w:rPr>
          <w:lang w:eastAsia="zh-CN"/>
        </w:rPr>
        <w:t>第</w:t>
      </w:r>
      <w:r w:rsidRPr="00885D75">
        <w:rPr>
          <w:lang w:eastAsia="zh-CN"/>
        </w:rPr>
        <w:t>1</w:t>
      </w:r>
      <w:r w:rsidRPr="00885D75">
        <w:rPr>
          <w:lang w:eastAsia="zh-CN"/>
        </w:rPr>
        <w:t>号决议（</w:t>
      </w:r>
      <w:r w:rsidRPr="00885D75">
        <w:rPr>
          <w:lang w:eastAsia="zh-CN"/>
        </w:rPr>
        <w:t>2025</w:t>
      </w:r>
      <w:r w:rsidRPr="00885D75">
        <w:rPr>
          <w:lang w:eastAsia="zh-CN"/>
        </w:rPr>
        <w:t>年，巴库，修订版）中概述的研究组议事规则同样适用于</w:t>
      </w:r>
      <w:r w:rsidRPr="00885D75">
        <w:rPr>
          <w:lang w:eastAsia="zh-CN"/>
        </w:rPr>
        <w:t>TDAG</w:t>
      </w:r>
      <w:r w:rsidRPr="00885D75">
        <w:rPr>
          <w:lang w:eastAsia="zh-CN"/>
        </w:rPr>
        <w:t>及其会议，例如，在文稿提交方面。</w:t>
      </w:r>
    </w:p>
    <w:p w14:paraId="0485D8D3" w14:textId="77777777" w:rsidR="00E36441" w:rsidRPr="00885D75" w:rsidRDefault="00E36441" w:rsidP="00E36441">
      <w:pPr>
        <w:rPr>
          <w:lang w:eastAsia="zh-CN"/>
        </w:rPr>
      </w:pPr>
      <w:r w:rsidRPr="00885D75">
        <w:rPr>
          <w:lang w:eastAsia="zh-CN"/>
        </w:rPr>
        <w:t>3.5</w:t>
      </w:r>
      <w:r w:rsidRPr="00885D75">
        <w:rPr>
          <w:lang w:eastAsia="zh-CN"/>
        </w:rPr>
        <w:tab/>
      </w:r>
      <w:r w:rsidRPr="00885D75">
        <w:rPr>
          <w:lang w:eastAsia="zh-CN"/>
        </w:rPr>
        <w:t>在电信发展顾问组</w:t>
      </w:r>
      <w:r w:rsidRPr="00885D75">
        <w:rPr>
          <w:rFonts w:hint="eastAsia"/>
          <w:lang w:eastAsia="zh-CN"/>
        </w:rPr>
        <w:t>领导班子</w:t>
      </w:r>
      <w:r w:rsidRPr="00885D75">
        <w:rPr>
          <w:lang w:eastAsia="zh-CN"/>
        </w:rPr>
        <w:t>内部及其与电信发展局之间应尽可能以电子方式保持联系，每年至少召开一次会议，以便妥善组织即将召开的会议，包括时间管理计划的审议和批准。</w:t>
      </w:r>
    </w:p>
    <w:p w14:paraId="1DDBD90B" w14:textId="77777777" w:rsidR="00E36441" w:rsidRPr="00885D75" w:rsidRDefault="00E36441" w:rsidP="00E36441">
      <w:pPr>
        <w:rPr>
          <w:lang w:eastAsia="zh-CN"/>
        </w:rPr>
      </w:pPr>
      <w:r w:rsidRPr="00885D75">
        <w:rPr>
          <w:lang w:eastAsia="zh-CN"/>
        </w:rPr>
        <w:t>3.6</w:t>
      </w:r>
      <w:r w:rsidRPr="00885D75">
        <w:rPr>
          <w:lang w:eastAsia="zh-CN"/>
        </w:rPr>
        <w:tab/>
      </w:r>
      <w:r w:rsidRPr="00885D75">
        <w:rPr>
          <w:lang w:eastAsia="zh-CN"/>
        </w:rPr>
        <w:t>为方便开展工作，</w:t>
      </w:r>
      <w:r w:rsidRPr="00885D75">
        <w:rPr>
          <w:lang w:eastAsia="zh-CN"/>
        </w:rPr>
        <w:t>TDAG</w:t>
      </w:r>
      <w:r w:rsidRPr="00885D75">
        <w:rPr>
          <w:lang w:eastAsia="zh-CN"/>
        </w:rPr>
        <w:t>可提出补充上述工作程序的附加或经修订的程序。可以按照</w:t>
      </w:r>
      <w:r w:rsidRPr="00885D75">
        <w:rPr>
          <w:lang w:eastAsia="zh-CN"/>
        </w:rPr>
        <w:t>WTDC</w:t>
      </w:r>
      <w:r w:rsidRPr="00885D75">
        <w:rPr>
          <w:lang w:eastAsia="zh-CN"/>
        </w:rPr>
        <w:t>第</w:t>
      </w:r>
      <w:r w:rsidRPr="00885D75">
        <w:rPr>
          <w:lang w:eastAsia="zh-CN"/>
        </w:rPr>
        <w:t>24</w:t>
      </w:r>
      <w:r w:rsidRPr="00885D75">
        <w:rPr>
          <w:lang w:eastAsia="zh-CN"/>
        </w:rPr>
        <w:t>号决议（</w:t>
      </w:r>
      <w:r w:rsidRPr="00885D75">
        <w:rPr>
          <w:lang w:eastAsia="zh-CN"/>
        </w:rPr>
        <w:t>2025</w:t>
      </w:r>
      <w:r w:rsidRPr="00885D75">
        <w:rPr>
          <w:lang w:eastAsia="zh-CN"/>
        </w:rPr>
        <w:t>年，巴库，修订版）并在现有财务资源范围内酌情成立研究某项议题的工作组和其他组，并任命其正副主席。</w:t>
      </w:r>
    </w:p>
    <w:p w14:paraId="16222BED" w14:textId="77777777" w:rsidR="00E36441" w:rsidRPr="00885D75" w:rsidRDefault="00E36441" w:rsidP="00E36441">
      <w:pPr>
        <w:rPr>
          <w:lang w:eastAsia="zh-CN"/>
        </w:rPr>
      </w:pPr>
      <w:r w:rsidRPr="00885D75">
        <w:rPr>
          <w:lang w:eastAsia="zh-CN"/>
        </w:rPr>
        <w:t>3.7</w:t>
      </w:r>
      <w:r w:rsidRPr="00885D75">
        <w:rPr>
          <w:lang w:eastAsia="zh-CN"/>
        </w:rPr>
        <w:tab/>
        <w:t>TDAG</w:t>
      </w:r>
      <w:r w:rsidRPr="00885D75">
        <w:rPr>
          <w:lang w:eastAsia="zh-CN"/>
        </w:rPr>
        <w:t>须在世界电信发展大会后的第一次会议上任命两名代表为共同关心问题跨部门协调组的副主席。</w:t>
      </w:r>
    </w:p>
    <w:p w14:paraId="37FBEE07" w14:textId="77777777" w:rsidR="00E36441" w:rsidRPr="00885D75" w:rsidRDefault="00E36441" w:rsidP="00E36441">
      <w:pPr>
        <w:rPr>
          <w:lang w:eastAsia="zh-CN"/>
        </w:rPr>
      </w:pPr>
      <w:r w:rsidRPr="00885D75">
        <w:rPr>
          <w:lang w:eastAsia="zh-CN"/>
        </w:rPr>
        <w:t>3.8</w:t>
      </w:r>
      <w:r w:rsidRPr="00885D75">
        <w:rPr>
          <w:lang w:eastAsia="zh-CN"/>
        </w:rPr>
        <w:tab/>
        <w:t>TDAG</w:t>
      </w:r>
      <w:r w:rsidRPr="00885D75">
        <w:rPr>
          <w:rFonts w:hint="eastAsia"/>
          <w:lang w:eastAsia="zh-CN"/>
        </w:rPr>
        <w:t>领导班子</w:t>
      </w:r>
      <w:r w:rsidRPr="00885D75">
        <w:rPr>
          <w:lang w:eastAsia="zh-CN"/>
        </w:rPr>
        <w:t>成员未出席</w:t>
      </w:r>
      <w:r w:rsidRPr="00885D75">
        <w:rPr>
          <w:lang w:eastAsia="zh-CN"/>
        </w:rPr>
        <w:t>TDAG</w:t>
      </w:r>
      <w:r w:rsidRPr="00885D75">
        <w:rPr>
          <w:lang w:eastAsia="zh-CN"/>
        </w:rPr>
        <w:t>会议的情况须告知</w:t>
      </w:r>
      <w:r w:rsidRPr="00885D75">
        <w:rPr>
          <w:lang w:eastAsia="zh-CN"/>
        </w:rPr>
        <w:t>TDAG</w:t>
      </w:r>
      <w:r w:rsidRPr="00885D75">
        <w:rPr>
          <w:lang w:eastAsia="zh-CN"/>
        </w:rPr>
        <w:t>，并须通过</w:t>
      </w:r>
      <w:r w:rsidRPr="00885D75">
        <w:rPr>
          <w:lang w:eastAsia="zh-CN"/>
        </w:rPr>
        <w:t>BDT</w:t>
      </w:r>
      <w:r w:rsidRPr="00885D75">
        <w:rPr>
          <w:lang w:eastAsia="zh-CN"/>
        </w:rPr>
        <w:t>主任向相关成员国或</w:t>
      </w:r>
      <w:r w:rsidRPr="00885D75">
        <w:rPr>
          <w:lang w:eastAsia="zh-CN"/>
        </w:rPr>
        <w:t>ITU-D</w:t>
      </w:r>
      <w:r w:rsidRPr="00885D75">
        <w:rPr>
          <w:lang w:eastAsia="zh-CN"/>
        </w:rPr>
        <w:t>部门成员提出这一问题，以</w:t>
      </w:r>
      <w:r w:rsidRPr="00885D75">
        <w:rPr>
          <w:rFonts w:hint="eastAsia"/>
          <w:lang w:eastAsia="zh-CN"/>
        </w:rPr>
        <w:t>试图</w:t>
      </w:r>
      <w:r w:rsidRPr="00885D75">
        <w:rPr>
          <w:lang w:eastAsia="zh-CN"/>
        </w:rPr>
        <w:t>确保其能够参与</w:t>
      </w:r>
      <w:r w:rsidRPr="00885D75">
        <w:rPr>
          <w:lang w:eastAsia="zh-CN"/>
        </w:rPr>
        <w:t>TDAG</w:t>
      </w:r>
      <w:r w:rsidRPr="00885D75">
        <w:rPr>
          <w:lang w:eastAsia="zh-CN"/>
        </w:rPr>
        <w:t>的这些工作，并确保成员履行所承诺的义务。</w:t>
      </w:r>
    </w:p>
    <w:p w14:paraId="56E74E98" w14:textId="77777777" w:rsidR="00E36441" w:rsidRPr="00885D75" w:rsidRDefault="00E36441" w:rsidP="00E36441">
      <w:pPr>
        <w:rPr>
          <w:lang w:eastAsia="zh-CN"/>
        </w:rPr>
      </w:pPr>
      <w:r w:rsidRPr="00885D75">
        <w:rPr>
          <w:lang w:eastAsia="zh-CN"/>
        </w:rPr>
        <w:t>3.9</w:t>
      </w:r>
      <w:r w:rsidRPr="00885D75">
        <w:rPr>
          <w:lang w:eastAsia="zh-CN"/>
        </w:rPr>
        <w:tab/>
        <w:t>TDAG</w:t>
      </w:r>
      <w:r w:rsidRPr="00885D75">
        <w:rPr>
          <w:rFonts w:hint="eastAsia"/>
          <w:lang w:eastAsia="zh-CN"/>
        </w:rPr>
        <w:t>领导</w:t>
      </w:r>
      <w:r w:rsidRPr="00885D75">
        <w:rPr>
          <w:lang w:eastAsia="zh-CN"/>
        </w:rPr>
        <w:t>班子成员在履行职责时须保持公正。</w:t>
      </w:r>
    </w:p>
    <w:p w14:paraId="02BF0513" w14:textId="77777777" w:rsidR="00E36441" w:rsidRPr="00885D75" w:rsidRDefault="00E36441" w:rsidP="00E36441">
      <w:pPr>
        <w:rPr>
          <w:lang w:eastAsia="zh-CN"/>
        </w:rPr>
      </w:pPr>
      <w:r w:rsidRPr="00885D75">
        <w:rPr>
          <w:lang w:eastAsia="zh-CN"/>
        </w:rPr>
        <w:t>3.10</w:t>
      </w:r>
      <w:r w:rsidRPr="00885D75">
        <w:rPr>
          <w:lang w:eastAsia="zh-CN"/>
        </w:rPr>
        <w:tab/>
      </w:r>
      <w:r w:rsidRPr="00885D75">
        <w:rPr>
          <w:lang w:eastAsia="zh-CN"/>
        </w:rPr>
        <w:t>除其它职责外，</w:t>
      </w:r>
      <w:r w:rsidRPr="00885D75">
        <w:rPr>
          <w:lang w:eastAsia="zh-CN"/>
        </w:rPr>
        <w:t>TDAG</w:t>
      </w:r>
      <w:r w:rsidRPr="00885D75">
        <w:rPr>
          <w:lang w:eastAsia="zh-CN"/>
        </w:rPr>
        <w:t>副主席应与各自的区域代表处和地区办事处以及所在区域的成员接触，以便跟进区域性举措的进展。</w:t>
      </w:r>
    </w:p>
    <w:p w14:paraId="753253EF" w14:textId="77777777" w:rsidR="00E36441" w:rsidRPr="00885D75" w:rsidRDefault="00E36441" w:rsidP="00E36441">
      <w:pPr>
        <w:rPr>
          <w:lang w:eastAsia="zh-CN"/>
        </w:rPr>
      </w:pPr>
      <w:r w:rsidRPr="00885D75">
        <w:rPr>
          <w:lang w:eastAsia="zh-CN"/>
        </w:rPr>
        <w:t>3.11</w:t>
      </w:r>
      <w:r w:rsidRPr="00885D75">
        <w:rPr>
          <w:lang w:eastAsia="zh-CN"/>
        </w:rPr>
        <w:tab/>
      </w:r>
      <w:r w:rsidRPr="00885D75">
        <w:rPr>
          <w:lang w:eastAsia="zh-CN"/>
        </w:rPr>
        <w:t>每次</w:t>
      </w:r>
      <w:r w:rsidRPr="00885D75">
        <w:rPr>
          <w:lang w:eastAsia="zh-CN"/>
        </w:rPr>
        <w:t>TDAG</w:t>
      </w:r>
      <w:r w:rsidRPr="00885D75">
        <w:rPr>
          <w:lang w:eastAsia="zh-CN"/>
        </w:rPr>
        <w:t>会议之后，</w:t>
      </w:r>
      <w:r w:rsidRPr="00885D75">
        <w:rPr>
          <w:lang w:eastAsia="zh-CN"/>
        </w:rPr>
        <w:t>BDT</w:t>
      </w:r>
      <w:r w:rsidRPr="00885D75">
        <w:rPr>
          <w:lang w:eastAsia="zh-CN"/>
        </w:rPr>
        <w:t>秘书处与</w:t>
      </w:r>
      <w:r w:rsidRPr="00885D75">
        <w:rPr>
          <w:lang w:eastAsia="zh-CN"/>
        </w:rPr>
        <w:t>TDAG</w:t>
      </w:r>
      <w:r w:rsidRPr="00885D75">
        <w:rPr>
          <w:lang w:eastAsia="zh-CN"/>
        </w:rPr>
        <w:t>主席合作起草一份结论简明摘要。</w:t>
      </w:r>
      <w:r w:rsidRPr="00885D75">
        <w:rPr>
          <w:rFonts w:hint="eastAsia"/>
          <w:lang w:eastAsia="zh-CN"/>
        </w:rPr>
        <w:t>此</w:t>
      </w:r>
      <w:r w:rsidRPr="00885D75">
        <w:rPr>
          <w:lang w:eastAsia="zh-CN"/>
        </w:rPr>
        <w:t>摘要仅包括与议程议项相关的</w:t>
      </w:r>
      <w:r w:rsidRPr="00885D75">
        <w:rPr>
          <w:lang w:eastAsia="zh-CN"/>
        </w:rPr>
        <w:t>TDAG</w:t>
      </w:r>
      <w:r w:rsidRPr="00885D75">
        <w:rPr>
          <w:lang w:eastAsia="zh-CN"/>
        </w:rPr>
        <w:t>提案、建议和结论。</w:t>
      </w:r>
      <w:r w:rsidRPr="00885D75">
        <w:rPr>
          <w:lang w:eastAsia="zh-CN"/>
        </w:rPr>
        <w:t>TDAG</w:t>
      </w:r>
      <w:r w:rsidRPr="00885D75">
        <w:rPr>
          <w:lang w:eastAsia="zh-CN"/>
        </w:rPr>
        <w:t>关于其活动（包括上届</w:t>
      </w:r>
      <w:r w:rsidRPr="00885D75">
        <w:rPr>
          <w:lang w:eastAsia="zh-CN"/>
        </w:rPr>
        <w:t>WTDC</w:t>
      </w:r>
      <w:r w:rsidRPr="00885D75">
        <w:rPr>
          <w:lang w:eastAsia="zh-CN"/>
        </w:rPr>
        <w:t>分配给</w:t>
      </w:r>
      <w:r w:rsidRPr="00885D75">
        <w:rPr>
          <w:lang w:eastAsia="zh-CN"/>
        </w:rPr>
        <w:t>TDAG</w:t>
      </w:r>
      <w:r w:rsidRPr="00885D75">
        <w:rPr>
          <w:lang w:eastAsia="zh-CN"/>
        </w:rPr>
        <w:t>的事项）的详细报告须在会议结束后三周内提供。该报告须根据正常的</w:t>
      </w:r>
      <w:r w:rsidRPr="00885D75">
        <w:rPr>
          <w:lang w:eastAsia="zh-CN"/>
        </w:rPr>
        <w:t>ITU-D</w:t>
      </w:r>
      <w:r w:rsidRPr="00885D75">
        <w:rPr>
          <w:lang w:eastAsia="zh-CN"/>
        </w:rPr>
        <w:t>程序分发，并须以国际电联所有正式语文提供。</w:t>
      </w:r>
    </w:p>
    <w:p w14:paraId="26CAF436" w14:textId="67BD2917" w:rsidR="00E36441" w:rsidRPr="00885D75" w:rsidRDefault="00E36441" w:rsidP="00E36441">
      <w:pPr>
        <w:pStyle w:val="Heading1"/>
        <w:rPr>
          <w:lang w:eastAsia="zh-CN"/>
        </w:rPr>
      </w:pPr>
      <w:r w:rsidRPr="00885D75">
        <w:rPr>
          <w:lang w:eastAsia="zh-CN"/>
        </w:rPr>
        <w:t>4</w:t>
      </w:r>
      <w:r w:rsidRPr="00885D75">
        <w:rPr>
          <w:lang w:eastAsia="zh-CN"/>
        </w:rPr>
        <w:tab/>
        <w:t>TDAG</w:t>
      </w:r>
      <w:r w:rsidRPr="00885D75">
        <w:rPr>
          <w:lang w:eastAsia="zh-CN"/>
        </w:rPr>
        <w:t>输出成果：提交电信发展局主任和</w:t>
      </w:r>
      <w:r w:rsidRPr="00885D75">
        <w:rPr>
          <w:lang w:eastAsia="zh-CN"/>
        </w:rPr>
        <w:t>WTDC</w:t>
      </w:r>
      <w:r w:rsidRPr="00885D75">
        <w:rPr>
          <w:lang w:eastAsia="zh-CN"/>
        </w:rPr>
        <w:t>的报告</w:t>
      </w:r>
    </w:p>
    <w:p w14:paraId="530773E3" w14:textId="77777777" w:rsidR="00E36441" w:rsidRPr="00885D75" w:rsidRDefault="00E36441" w:rsidP="00E36441">
      <w:pPr>
        <w:rPr>
          <w:lang w:eastAsia="zh-CN"/>
        </w:rPr>
      </w:pPr>
      <w:r w:rsidRPr="00885D75">
        <w:rPr>
          <w:lang w:eastAsia="zh-CN"/>
        </w:rPr>
        <w:t>4.1</w:t>
      </w:r>
      <w:r w:rsidRPr="00885D75">
        <w:rPr>
          <w:lang w:eastAsia="zh-CN"/>
        </w:rPr>
        <w:tab/>
        <w:t>WTDC-25</w:t>
      </w:r>
      <w:r w:rsidRPr="00885D75">
        <w:rPr>
          <w:lang w:eastAsia="zh-CN"/>
        </w:rPr>
        <w:t>通过的《巴库行动计划》描绘了</w:t>
      </w:r>
      <w:r w:rsidRPr="00885D75">
        <w:rPr>
          <w:lang w:eastAsia="zh-CN"/>
        </w:rPr>
        <w:t>ITU-D</w:t>
      </w:r>
      <w:r w:rsidRPr="00885D75">
        <w:rPr>
          <w:lang w:eastAsia="zh-CN"/>
        </w:rPr>
        <w:t>在</w:t>
      </w:r>
      <w:r w:rsidRPr="00885D75">
        <w:rPr>
          <w:lang w:eastAsia="zh-CN"/>
        </w:rPr>
        <w:t>2026-2029</w:t>
      </w:r>
      <w:r w:rsidRPr="00885D75">
        <w:rPr>
          <w:lang w:eastAsia="zh-CN"/>
        </w:rPr>
        <w:t>年期间的职责。</w:t>
      </w:r>
    </w:p>
    <w:p w14:paraId="5FF5B51D" w14:textId="77777777" w:rsidR="00E36441" w:rsidRPr="00885D75" w:rsidRDefault="00E36441" w:rsidP="00E36441">
      <w:pPr>
        <w:rPr>
          <w:lang w:eastAsia="zh-CN"/>
        </w:rPr>
      </w:pPr>
      <w:r w:rsidRPr="00885D75">
        <w:rPr>
          <w:lang w:eastAsia="zh-CN"/>
        </w:rPr>
        <w:t>4.2</w:t>
      </w:r>
      <w:r w:rsidRPr="00885D75">
        <w:rPr>
          <w:lang w:eastAsia="zh-CN"/>
        </w:rPr>
        <w:tab/>
      </w:r>
      <w:r w:rsidRPr="00885D75">
        <w:rPr>
          <w:lang w:eastAsia="zh-CN"/>
        </w:rPr>
        <w:t>在输出成果方面，</w:t>
      </w:r>
      <w:r w:rsidRPr="00885D75">
        <w:rPr>
          <w:lang w:eastAsia="zh-CN"/>
        </w:rPr>
        <w:t>TDAG</w:t>
      </w:r>
      <w:r w:rsidRPr="00885D75">
        <w:rPr>
          <w:lang w:eastAsia="zh-CN"/>
        </w:rPr>
        <w:t>为电信发展局主任起草一份报告，说明有关工作程序的行动</w:t>
      </w:r>
      <w:r w:rsidRPr="00885D75">
        <w:rPr>
          <w:rFonts w:hint="eastAsia"/>
          <w:lang w:eastAsia="zh-CN"/>
        </w:rPr>
        <w:t>；</w:t>
      </w:r>
      <w:r w:rsidRPr="00885D75">
        <w:rPr>
          <w:lang w:eastAsia="zh-CN"/>
        </w:rPr>
        <w:t>与无线电通信部门、电信标准化部门和总秘书处的合作与协调</w:t>
      </w:r>
      <w:r w:rsidRPr="00885D75">
        <w:rPr>
          <w:rFonts w:hint="eastAsia"/>
          <w:lang w:eastAsia="zh-CN"/>
        </w:rPr>
        <w:t>；</w:t>
      </w:r>
      <w:r w:rsidRPr="00885D75">
        <w:rPr>
          <w:lang w:eastAsia="zh-CN"/>
        </w:rPr>
        <w:t>研究组工作的指导方针</w:t>
      </w:r>
      <w:r w:rsidRPr="00885D75">
        <w:rPr>
          <w:rFonts w:hint="eastAsia"/>
          <w:lang w:eastAsia="zh-CN"/>
        </w:rPr>
        <w:t>；</w:t>
      </w:r>
      <w:r w:rsidRPr="00885D75">
        <w:rPr>
          <w:lang w:eastAsia="zh-CN"/>
        </w:rPr>
        <w:t>工作计划的实施进度，以及前一阶段运作规划的执行情况。</w:t>
      </w:r>
    </w:p>
    <w:p w14:paraId="7031F7B8" w14:textId="77777777" w:rsidR="00E36441" w:rsidRPr="00885D75" w:rsidRDefault="00E36441" w:rsidP="00E36441">
      <w:pPr>
        <w:rPr>
          <w:lang w:eastAsia="zh-CN"/>
        </w:rPr>
      </w:pPr>
      <w:r w:rsidRPr="00885D75">
        <w:rPr>
          <w:lang w:eastAsia="zh-CN"/>
        </w:rPr>
        <w:t>4.3</w:t>
      </w:r>
      <w:r w:rsidRPr="00885D75">
        <w:rPr>
          <w:lang w:eastAsia="zh-CN"/>
        </w:rPr>
        <w:tab/>
        <w:t>TDAG</w:t>
      </w:r>
      <w:r w:rsidRPr="00885D75">
        <w:rPr>
          <w:lang w:eastAsia="zh-CN"/>
        </w:rPr>
        <w:t>还可以确定优先领域，包括</w:t>
      </w:r>
      <w:r w:rsidRPr="00885D75">
        <w:rPr>
          <w:lang w:eastAsia="zh-CN"/>
        </w:rPr>
        <w:t>WTDC</w:t>
      </w:r>
      <w:r w:rsidRPr="00885D75">
        <w:rPr>
          <w:lang w:eastAsia="zh-CN"/>
        </w:rPr>
        <w:t>宣言草案、</w:t>
      </w:r>
      <w:r w:rsidRPr="00885D75">
        <w:rPr>
          <w:lang w:eastAsia="zh-CN"/>
        </w:rPr>
        <w:t>WTDC</w:t>
      </w:r>
      <w:r w:rsidRPr="00885D75">
        <w:rPr>
          <w:rFonts w:hint="eastAsia"/>
          <w:lang w:eastAsia="zh-CN"/>
        </w:rPr>
        <w:t>提交</w:t>
      </w:r>
      <w:r w:rsidRPr="00885D75">
        <w:rPr>
          <w:lang w:eastAsia="zh-CN"/>
        </w:rPr>
        <w:t>国际电联战略规划</w:t>
      </w:r>
      <w:r w:rsidRPr="00885D75">
        <w:rPr>
          <w:rFonts w:hint="eastAsia"/>
          <w:lang w:eastAsia="zh-CN"/>
        </w:rPr>
        <w:t>的输入内容</w:t>
      </w:r>
      <w:r w:rsidRPr="00885D75">
        <w:rPr>
          <w:lang w:eastAsia="zh-CN"/>
        </w:rPr>
        <w:t>、</w:t>
      </w:r>
      <w:r w:rsidRPr="00885D75">
        <w:rPr>
          <w:lang w:eastAsia="zh-CN"/>
        </w:rPr>
        <w:t>WTDC</w:t>
      </w:r>
      <w:r w:rsidRPr="00885D75">
        <w:rPr>
          <w:lang w:eastAsia="zh-CN"/>
        </w:rPr>
        <w:t>行动计划草案和研究组。</w:t>
      </w:r>
    </w:p>
    <w:p w14:paraId="47F9340C" w14:textId="2C7C3E07" w:rsidR="00E36441" w:rsidRPr="00885D75" w:rsidRDefault="00E36441" w:rsidP="00E36441">
      <w:pPr>
        <w:rPr>
          <w:lang w:eastAsia="zh-CN"/>
        </w:rPr>
      </w:pPr>
      <w:r w:rsidRPr="00885D75">
        <w:rPr>
          <w:lang w:eastAsia="zh-CN"/>
        </w:rPr>
        <w:t>4.4</w:t>
      </w:r>
      <w:r w:rsidRPr="00885D75">
        <w:rPr>
          <w:lang w:eastAsia="zh-CN"/>
        </w:rPr>
        <w:tab/>
        <w:t>TDAG</w:t>
      </w:r>
      <w:r w:rsidRPr="00885D75">
        <w:rPr>
          <w:lang w:eastAsia="zh-CN"/>
        </w:rPr>
        <w:t>须在其</w:t>
      </w:r>
      <w:r w:rsidRPr="00885D75">
        <w:rPr>
          <w:lang w:eastAsia="zh-CN"/>
        </w:rPr>
        <w:t>WTDC</w:t>
      </w:r>
      <w:r w:rsidRPr="00885D75">
        <w:rPr>
          <w:lang w:eastAsia="zh-CN"/>
        </w:rPr>
        <w:t>前的最后一次会议上起草一份报告，总结其根据《公约》第</w:t>
      </w:r>
      <w:r w:rsidRPr="00885D75">
        <w:rPr>
          <w:lang w:eastAsia="zh-CN"/>
        </w:rPr>
        <w:t>213A</w:t>
      </w:r>
      <w:r w:rsidRPr="00885D75">
        <w:rPr>
          <w:lang w:eastAsia="zh-CN"/>
        </w:rPr>
        <w:t>款</w:t>
      </w:r>
      <w:r w:rsidRPr="00885D75">
        <w:rPr>
          <w:rFonts w:hint="eastAsia"/>
          <w:lang w:eastAsia="zh-CN"/>
        </w:rPr>
        <w:t>开展</w:t>
      </w:r>
      <w:r w:rsidRPr="00885D75">
        <w:rPr>
          <w:lang w:eastAsia="zh-CN"/>
        </w:rPr>
        <w:t>WTDC</w:t>
      </w:r>
      <w:r w:rsidRPr="00885D75">
        <w:rPr>
          <w:rFonts w:hint="eastAsia"/>
          <w:lang w:eastAsia="zh-CN"/>
        </w:rPr>
        <w:t>交办</w:t>
      </w:r>
      <w:r w:rsidRPr="00885D75">
        <w:rPr>
          <w:lang w:eastAsia="zh-CN"/>
        </w:rPr>
        <w:t>事项的活动，其中包括为促进与国际电联战略规划和</w:t>
      </w:r>
      <w:r w:rsidRPr="00885D75">
        <w:rPr>
          <w:lang w:eastAsia="zh-CN"/>
        </w:rPr>
        <w:t>ITU-D</w:t>
      </w:r>
      <w:r w:rsidRPr="00885D75">
        <w:rPr>
          <w:lang w:eastAsia="zh-CN"/>
        </w:rPr>
        <w:t>四年期滚动式运作规划的联系而开展的工作，以及关于工作分配的建议，就国际电联</w:t>
      </w:r>
      <w:r w:rsidRPr="00885D75">
        <w:rPr>
          <w:rFonts w:hint="eastAsia"/>
          <w:lang w:eastAsia="zh-CN"/>
        </w:rPr>
        <w:t>电信</w:t>
      </w:r>
      <w:r w:rsidRPr="00885D75">
        <w:rPr>
          <w:lang w:eastAsia="zh-CN"/>
        </w:rPr>
        <w:t>发展</w:t>
      </w:r>
      <w:r w:rsidRPr="00885D75">
        <w:rPr>
          <w:rFonts w:hint="eastAsia"/>
          <w:lang w:eastAsia="zh-CN"/>
        </w:rPr>
        <w:t>部门</w:t>
      </w:r>
      <w:r w:rsidRPr="00885D75">
        <w:rPr>
          <w:lang w:eastAsia="zh-CN"/>
        </w:rPr>
        <w:t>的工作方法和战略、与国际电联内外其他相关机构的关系以及区域性行动、举措和项目的实施提出建议。此类报告亦应在不迟于</w:t>
      </w:r>
      <w:r w:rsidRPr="00885D75">
        <w:rPr>
          <w:lang w:eastAsia="zh-CN"/>
        </w:rPr>
        <w:t>WTDC</w:t>
      </w:r>
      <w:r w:rsidRPr="00885D75">
        <w:rPr>
          <w:lang w:eastAsia="zh-CN"/>
        </w:rPr>
        <w:t>开幕前</w:t>
      </w:r>
      <w:r w:rsidRPr="00885D75">
        <w:rPr>
          <w:lang w:eastAsia="zh-CN"/>
        </w:rPr>
        <w:t>35</w:t>
      </w:r>
      <w:r w:rsidRPr="00885D75">
        <w:rPr>
          <w:lang w:eastAsia="zh-CN"/>
        </w:rPr>
        <w:t>个日历日转呈电信发展局主任，以便为及时翻译和代表团认真审议报告留出时间。</w:t>
      </w:r>
    </w:p>
    <w:p w14:paraId="3E4E80E8" w14:textId="77777777" w:rsidR="00E36441" w:rsidRPr="00885D75" w:rsidRDefault="00E36441" w:rsidP="00E36441">
      <w:pPr>
        <w:rPr>
          <w:lang w:eastAsia="zh-CN"/>
        </w:rPr>
      </w:pPr>
      <w:r w:rsidRPr="00885D75">
        <w:rPr>
          <w:lang w:eastAsia="zh-CN"/>
        </w:rPr>
        <w:lastRenderedPageBreak/>
        <w:t>4.5</w:t>
      </w:r>
      <w:r w:rsidRPr="00885D75">
        <w:rPr>
          <w:lang w:eastAsia="zh-CN"/>
        </w:rPr>
        <w:tab/>
        <w:t>WTDC</w:t>
      </w:r>
      <w:r w:rsidRPr="00885D75">
        <w:rPr>
          <w:lang w:eastAsia="zh-CN"/>
        </w:rPr>
        <w:t>召开前的最后一次</w:t>
      </w:r>
      <w:r w:rsidRPr="00885D75">
        <w:rPr>
          <w:lang w:eastAsia="zh-CN"/>
        </w:rPr>
        <w:t>TDAG</w:t>
      </w:r>
      <w:r w:rsidRPr="00885D75">
        <w:rPr>
          <w:lang w:eastAsia="zh-CN"/>
        </w:rPr>
        <w:t>会议应至少在相关</w:t>
      </w:r>
      <w:r w:rsidRPr="00885D75">
        <w:rPr>
          <w:lang w:eastAsia="zh-CN"/>
        </w:rPr>
        <w:t>WTDC</w:t>
      </w:r>
      <w:r w:rsidRPr="00885D75">
        <w:rPr>
          <w:lang w:eastAsia="zh-CN"/>
        </w:rPr>
        <w:t>召开的三个月且不超过六个月之前召开，以便同时研究、讨论并通过提交</w:t>
      </w:r>
      <w:r w:rsidRPr="00885D75">
        <w:rPr>
          <w:lang w:eastAsia="zh-CN"/>
        </w:rPr>
        <w:t>WTDC</w:t>
      </w:r>
      <w:r w:rsidRPr="00885D75">
        <w:rPr>
          <w:lang w:eastAsia="zh-CN"/>
        </w:rPr>
        <w:t>的、介绍六个区域性筹备会议输出成果的最终综合报告。</w:t>
      </w:r>
      <w:bookmarkEnd w:id="13"/>
      <w:bookmarkEnd w:id="14"/>
      <w:bookmarkEnd w:id="15"/>
    </w:p>
    <w:p w14:paraId="69363D59" w14:textId="77777777" w:rsidR="0081159E" w:rsidRDefault="0081159E" w:rsidP="0081159E">
      <w:pPr>
        <w:rPr>
          <w:szCs w:val="24"/>
          <w:lang w:eastAsia="zh-CN"/>
        </w:rPr>
      </w:pPr>
    </w:p>
    <w:p w14:paraId="60DC5D4A" w14:textId="77777777" w:rsidR="00D83BF5" w:rsidRPr="0084734D" w:rsidRDefault="00D83BF5" w:rsidP="00403C69">
      <w:pPr>
        <w:jc w:val="center"/>
        <w:rPr>
          <w:szCs w:val="24"/>
        </w:rPr>
      </w:pPr>
      <w:r w:rsidRPr="00403C69">
        <w:rPr>
          <w:szCs w:val="24"/>
        </w:rPr>
        <w:t>_______________</w:t>
      </w:r>
    </w:p>
    <w:sectPr w:rsidR="00D83BF5" w:rsidRPr="0084734D" w:rsidSect="0081159E">
      <w:headerReference w:type="default" r:id="rId12"/>
      <w:footerReference w:type="first" r:id="rId13"/>
      <w:pgSz w:w="11907" w:h="16840" w:code="9"/>
      <w:pgMar w:top="1418" w:right="113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088FE" w14:textId="77777777" w:rsidR="00E36441" w:rsidRDefault="00E36441">
      <w:r>
        <w:separator/>
      </w:r>
    </w:p>
    <w:p w14:paraId="1B546DFD" w14:textId="77777777" w:rsidR="00E36441" w:rsidRDefault="00E36441"/>
  </w:endnote>
  <w:endnote w:type="continuationSeparator" w:id="0">
    <w:p w14:paraId="1E9D4DF9" w14:textId="77777777" w:rsidR="00E36441" w:rsidRDefault="00E36441">
      <w:r>
        <w:continuationSeparator/>
      </w:r>
    </w:p>
    <w:p w14:paraId="13C50999" w14:textId="77777777" w:rsidR="00E36441" w:rsidRDefault="00E36441"/>
  </w:endnote>
  <w:endnote w:type="continuationNotice" w:id="1">
    <w:p w14:paraId="78087F0C" w14:textId="77777777" w:rsidR="00E36441" w:rsidRDefault="00E36441">
      <w:pPr>
        <w:spacing w:before="0"/>
      </w:pPr>
    </w:p>
    <w:p w14:paraId="78FED688" w14:textId="77777777" w:rsidR="00E36441" w:rsidRDefault="00E364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TKaiti">
    <w:charset w:val="86"/>
    <w:family w:val="auto"/>
    <w:pitch w:val="variable"/>
    <w:sig w:usb0="00000287" w:usb1="080F0000" w:usb2="00000010" w:usb3="00000000" w:csb0="0004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GulimChe">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Layout w:type="fixed"/>
      <w:tblLook w:val="04A0" w:firstRow="1" w:lastRow="0" w:firstColumn="1" w:lastColumn="0" w:noHBand="0" w:noVBand="1"/>
    </w:tblPr>
    <w:tblGrid>
      <w:gridCol w:w="1526"/>
      <w:gridCol w:w="2410"/>
      <w:gridCol w:w="5987"/>
    </w:tblGrid>
    <w:tr w:rsidR="00E36441" w:rsidRPr="004D495C" w14:paraId="583AC6BD" w14:textId="77777777" w:rsidTr="00E36441">
      <w:tc>
        <w:tcPr>
          <w:tcW w:w="1526" w:type="dxa"/>
          <w:tcBorders>
            <w:top w:val="single" w:sz="4" w:space="0" w:color="000000"/>
          </w:tcBorders>
        </w:tcPr>
        <w:p w14:paraId="11AF5A24" w14:textId="77777777" w:rsidR="00E36441" w:rsidRPr="00E36441" w:rsidRDefault="00E36441" w:rsidP="00E36441">
          <w:pPr>
            <w:pStyle w:val="FirstFooter"/>
            <w:tabs>
              <w:tab w:val="left" w:pos="1559"/>
              <w:tab w:val="left" w:pos="3828"/>
            </w:tabs>
            <w:rPr>
              <w:sz w:val="18"/>
              <w:szCs w:val="18"/>
            </w:rPr>
          </w:pPr>
          <w:r w:rsidRPr="00E36441">
            <w:rPr>
              <w:rFonts w:ascii="SimSun" w:hAnsi="SimSun"/>
              <w:sz w:val="18"/>
              <w:szCs w:val="18"/>
              <w:lang w:val="es-ES_tradnl" w:eastAsia="zh-CN"/>
            </w:rPr>
            <w:t>联系人</w:t>
          </w:r>
          <w:r w:rsidRPr="00E36441">
            <w:rPr>
              <w:rFonts w:ascii="SimSun" w:hAnsi="SimSun" w:hint="eastAsia"/>
              <w:sz w:val="18"/>
              <w:szCs w:val="18"/>
              <w:lang w:val="es-ES_tradnl" w:eastAsia="zh-CN"/>
            </w:rPr>
            <w:t>：</w:t>
          </w:r>
        </w:p>
      </w:tc>
      <w:tc>
        <w:tcPr>
          <w:tcW w:w="2410" w:type="dxa"/>
          <w:tcBorders>
            <w:top w:val="single" w:sz="4" w:space="0" w:color="000000"/>
          </w:tcBorders>
        </w:tcPr>
        <w:p w14:paraId="0F21D400" w14:textId="77777777" w:rsidR="00E36441" w:rsidRPr="00E36441" w:rsidRDefault="00E36441" w:rsidP="00E36441">
          <w:pPr>
            <w:pStyle w:val="FirstFooter"/>
            <w:tabs>
              <w:tab w:val="left" w:pos="2302"/>
            </w:tabs>
            <w:ind w:left="2302" w:hanging="2302"/>
            <w:rPr>
              <w:sz w:val="18"/>
              <w:szCs w:val="18"/>
              <w:lang w:val="en-US"/>
            </w:rPr>
          </w:pPr>
          <w:r w:rsidRPr="00E36441">
            <w:rPr>
              <w:rFonts w:ascii="SimSun" w:hAnsi="SimSun" w:hint="eastAsia"/>
              <w:sz w:val="18"/>
              <w:szCs w:val="18"/>
              <w:lang w:val="es-ES_tradnl" w:eastAsia="zh-CN"/>
            </w:rPr>
            <w:t>姓名</w:t>
          </w:r>
          <w:r w:rsidRPr="00E36441">
            <w:rPr>
              <w:rFonts w:cstheme="minorHAnsi"/>
              <w:sz w:val="18"/>
              <w:szCs w:val="18"/>
              <w:lang w:val="es-ES_tradnl" w:eastAsia="zh-CN"/>
            </w:rPr>
            <w:t>/</w:t>
          </w:r>
          <w:r w:rsidRPr="00E36441">
            <w:rPr>
              <w:rFonts w:ascii="SimSun" w:hAnsi="SimSun"/>
              <w:sz w:val="18"/>
              <w:szCs w:val="18"/>
              <w:lang w:val="es-ES_tradnl" w:eastAsia="zh-CN"/>
            </w:rPr>
            <w:t>组织</w:t>
          </w:r>
          <w:r w:rsidRPr="00E36441">
            <w:rPr>
              <w:rFonts w:cstheme="minorHAnsi"/>
              <w:caps/>
              <w:sz w:val="18"/>
              <w:szCs w:val="18"/>
              <w:lang w:val="es-ES_tradnl" w:eastAsia="zh-CN"/>
            </w:rPr>
            <w:t>/</w:t>
          </w:r>
          <w:r w:rsidRPr="00E36441">
            <w:rPr>
              <w:rFonts w:ascii="SimSun" w:hAnsi="SimSun"/>
              <w:sz w:val="18"/>
              <w:szCs w:val="18"/>
              <w:lang w:val="es-ES_tradnl" w:eastAsia="zh-CN"/>
            </w:rPr>
            <w:t>实体</w:t>
          </w:r>
          <w:r w:rsidRPr="00E36441">
            <w:rPr>
              <w:rFonts w:ascii="SimSun" w:hAnsi="SimSun" w:hint="eastAsia"/>
              <w:sz w:val="18"/>
              <w:szCs w:val="18"/>
              <w:lang w:val="es-ES_tradnl" w:eastAsia="zh-CN"/>
            </w:rPr>
            <w:t>：</w:t>
          </w:r>
        </w:p>
      </w:tc>
      <w:tc>
        <w:tcPr>
          <w:tcW w:w="5987" w:type="dxa"/>
        </w:tcPr>
        <w:p w14:paraId="57B6081C" w14:textId="11643BAA" w:rsidR="00E36441" w:rsidRPr="00E36441" w:rsidRDefault="00E36441" w:rsidP="00E36441">
          <w:pPr>
            <w:pStyle w:val="FirstFooter"/>
            <w:tabs>
              <w:tab w:val="left" w:pos="2302"/>
            </w:tabs>
            <w:rPr>
              <w:rFonts w:ascii="Calibri" w:hAnsi="Calibri" w:cs="Calibri"/>
              <w:sz w:val="18"/>
              <w:szCs w:val="18"/>
              <w:lang w:val="en-US"/>
            </w:rPr>
          </w:pPr>
          <w:proofErr w:type="spellStart"/>
          <w:r w:rsidRPr="00E36441">
            <w:rPr>
              <w:rFonts w:ascii="Calibri" w:hAnsi="Calibri" w:cs="Calibri"/>
              <w:sz w:val="18"/>
              <w:szCs w:val="18"/>
              <w:lang w:val="zh-CN"/>
            </w:rPr>
            <w:t>电信发展局副主任</w:t>
          </w:r>
          <w:proofErr w:type="spellEnd"/>
          <w:r w:rsidRPr="00E36441">
            <w:rPr>
              <w:rFonts w:ascii="Calibri" w:hAnsi="Calibri" w:cs="Calibri"/>
              <w:sz w:val="18"/>
              <w:szCs w:val="18"/>
              <w:lang w:val="zh-CN"/>
            </w:rPr>
            <w:t>Archana Gulati</w:t>
          </w:r>
          <w:proofErr w:type="spellStart"/>
          <w:r w:rsidRPr="00E36441">
            <w:rPr>
              <w:rFonts w:ascii="Calibri" w:hAnsi="Calibri" w:cs="Calibri"/>
              <w:sz w:val="18"/>
              <w:szCs w:val="18"/>
              <w:lang w:val="zh-CN"/>
            </w:rPr>
            <w:t>女士</w:t>
          </w:r>
          <w:proofErr w:type="spellEnd"/>
        </w:p>
      </w:tc>
      <w:bookmarkStart w:id="16" w:name="OrgName"/>
      <w:bookmarkEnd w:id="16"/>
    </w:tr>
    <w:tr w:rsidR="00E36441" w:rsidRPr="004D495C" w14:paraId="44DDACD8" w14:textId="77777777" w:rsidTr="00E36441">
      <w:tc>
        <w:tcPr>
          <w:tcW w:w="1526" w:type="dxa"/>
        </w:tcPr>
        <w:p w14:paraId="61E71823" w14:textId="77777777" w:rsidR="00E36441" w:rsidRPr="00E36441" w:rsidRDefault="00E36441" w:rsidP="00E36441">
          <w:pPr>
            <w:pStyle w:val="FirstFooter"/>
            <w:tabs>
              <w:tab w:val="left" w:pos="1559"/>
              <w:tab w:val="left" w:pos="3828"/>
            </w:tabs>
            <w:rPr>
              <w:sz w:val="18"/>
              <w:szCs w:val="18"/>
              <w:lang w:val="en-US"/>
            </w:rPr>
          </w:pPr>
        </w:p>
      </w:tc>
      <w:tc>
        <w:tcPr>
          <w:tcW w:w="2410" w:type="dxa"/>
        </w:tcPr>
        <w:p w14:paraId="7995E634" w14:textId="77777777" w:rsidR="00E36441" w:rsidRPr="00E36441" w:rsidRDefault="00E36441" w:rsidP="00E36441">
          <w:pPr>
            <w:pStyle w:val="FirstFooter"/>
            <w:tabs>
              <w:tab w:val="left" w:pos="2302"/>
            </w:tabs>
            <w:rPr>
              <w:sz w:val="18"/>
              <w:szCs w:val="18"/>
              <w:lang w:val="en-US"/>
            </w:rPr>
          </w:pPr>
          <w:r w:rsidRPr="00E36441">
            <w:rPr>
              <w:rFonts w:ascii="SimSun" w:hAnsi="SimSun"/>
              <w:sz w:val="18"/>
              <w:szCs w:val="18"/>
              <w:lang w:eastAsia="zh-CN"/>
            </w:rPr>
            <w:t>电话号码</w:t>
          </w:r>
          <w:r w:rsidRPr="00E36441">
            <w:rPr>
              <w:rFonts w:ascii="SimSun" w:hAnsi="SimSun" w:hint="eastAsia"/>
              <w:sz w:val="18"/>
              <w:szCs w:val="18"/>
              <w:lang w:eastAsia="zh-CN"/>
            </w:rPr>
            <w:t>：</w:t>
          </w:r>
        </w:p>
      </w:tc>
      <w:tc>
        <w:tcPr>
          <w:tcW w:w="5987" w:type="dxa"/>
        </w:tcPr>
        <w:p w14:paraId="3305DB50" w14:textId="4C9D6DFE" w:rsidR="00E36441" w:rsidRPr="00E36441" w:rsidRDefault="00E36441" w:rsidP="00E36441">
          <w:pPr>
            <w:pStyle w:val="FirstFooter"/>
            <w:tabs>
              <w:tab w:val="left" w:pos="2302"/>
            </w:tabs>
            <w:rPr>
              <w:sz w:val="18"/>
              <w:szCs w:val="18"/>
              <w:lang w:val="en-US"/>
            </w:rPr>
          </w:pPr>
          <w:r w:rsidRPr="00E36441">
            <w:rPr>
              <w:sz w:val="18"/>
              <w:szCs w:val="18"/>
            </w:rPr>
            <w:t>+41 22 730 6475</w:t>
          </w:r>
        </w:p>
      </w:tc>
      <w:bookmarkStart w:id="17" w:name="PhoneNo"/>
      <w:bookmarkEnd w:id="17"/>
    </w:tr>
    <w:tr w:rsidR="00E36441" w:rsidRPr="004D495C" w14:paraId="3FBB8A1F" w14:textId="77777777" w:rsidTr="00E36441">
      <w:tc>
        <w:tcPr>
          <w:tcW w:w="1526" w:type="dxa"/>
        </w:tcPr>
        <w:p w14:paraId="073CA8D9" w14:textId="77777777" w:rsidR="00E36441" w:rsidRPr="00E36441" w:rsidRDefault="00E36441" w:rsidP="00E36441">
          <w:pPr>
            <w:pStyle w:val="FirstFooter"/>
            <w:tabs>
              <w:tab w:val="left" w:pos="1559"/>
              <w:tab w:val="left" w:pos="3828"/>
            </w:tabs>
            <w:rPr>
              <w:sz w:val="18"/>
              <w:szCs w:val="18"/>
              <w:lang w:val="en-US"/>
            </w:rPr>
          </w:pPr>
        </w:p>
      </w:tc>
      <w:tc>
        <w:tcPr>
          <w:tcW w:w="2410" w:type="dxa"/>
        </w:tcPr>
        <w:p w14:paraId="3D264029" w14:textId="77777777" w:rsidR="00E36441" w:rsidRPr="00E36441" w:rsidRDefault="00E36441" w:rsidP="00E36441">
          <w:pPr>
            <w:pStyle w:val="FirstFooter"/>
            <w:tabs>
              <w:tab w:val="left" w:pos="2302"/>
            </w:tabs>
            <w:rPr>
              <w:sz w:val="18"/>
              <w:szCs w:val="18"/>
              <w:lang w:val="en-US"/>
            </w:rPr>
          </w:pPr>
          <w:r w:rsidRPr="00E36441">
            <w:rPr>
              <w:rFonts w:ascii="SimSun" w:hAnsi="SimSun"/>
              <w:sz w:val="18"/>
              <w:szCs w:val="18"/>
              <w:lang w:eastAsia="zh-CN"/>
            </w:rPr>
            <w:t>电子邮件</w:t>
          </w:r>
          <w:r w:rsidRPr="00E36441">
            <w:rPr>
              <w:rFonts w:ascii="SimSun" w:hAnsi="SimSun" w:hint="eastAsia"/>
              <w:sz w:val="18"/>
              <w:szCs w:val="18"/>
              <w:lang w:eastAsia="zh-CN"/>
            </w:rPr>
            <w:t>：</w:t>
          </w:r>
        </w:p>
      </w:tc>
      <w:tc>
        <w:tcPr>
          <w:tcW w:w="5987" w:type="dxa"/>
        </w:tcPr>
        <w:p w14:paraId="6938AC7C" w14:textId="4E9192FF" w:rsidR="00E36441" w:rsidRPr="00E36441" w:rsidRDefault="00E36441" w:rsidP="00E36441">
          <w:pPr>
            <w:pStyle w:val="FirstFooter"/>
            <w:tabs>
              <w:tab w:val="left" w:pos="2302"/>
            </w:tabs>
            <w:rPr>
              <w:sz w:val="18"/>
              <w:szCs w:val="18"/>
            </w:rPr>
          </w:pPr>
          <w:hyperlink r:id="rId1" w:history="1">
            <w:r w:rsidRPr="00E36441">
              <w:rPr>
                <w:rStyle w:val="Hyperlink"/>
                <w:sz w:val="18"/>
                <w:szCs w:val="18"/>
              </w:rPr>
              <w:t>archana.gulati@itu.int</w:t>
            </w:r>
          </w:hyperlink>
          <w:r w:rsidRPr="00E36441">
            <w:rPr>
              <w:sz w:val="18"/>
              <w:szCs w:val="18"/>
            </w:rPr>
            <w:t xml:space="preserve"> </w:t>
          </w:r>
        </w:p>
      </w:tc>
      <w:bookmarkStart w:id="18" w:name="Email"/>
      <w:bookmarkEnd w:id="18"/>
    </w:tr>
  </w:tbl>
  <w:p w14:paraId="18AE94D1" w14:textId="77777777" w:rsidR="00602CFD" w:rsidRPr="00602CFD" w:rsidRDefault="00602CFD" w:rsidP="00602C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0CC69" w14:textId="77777777" w:rsidR="00E36441" w:rsidRPr="0054377E" w:rsidRDefault="00E36441" w:rsidP="0054377E">
      <w:pPr>
        <w:spacing w:before="0"/>
      </w:pPr>
      <w:r w:rsidRPr="0054377E">
        <w:rPr>
          <w:b/>
        </w:rPr>
        <w:t>_______________</w:t>
      </w:r>
    </w:p>
  </w:footnote>
  <w:footnote w:type="continuationSeparator" w:id="0">
    <w:p w14:paraId="2428206B" w14:textId="77777777" w:rsidR="00E36441" w:rsidRDefault="00E36441" w:rsidP="0054377E">
      <w:pPr>
        <w:spacing w:before="0"/>
      </w:pPr>
      <w:r>
        <w:continuationSeparator/>
      </w:r>
    </w:p>
    <w:p w14:paraId="32706EBE" w14:textId="77777777" w:rsidR="00E36441" w:rsidRDefault="00E36441"/>
  </w:footnote>
  <w:footnote w:type="continuationNotice" w:id="1">
    <w:p w14:paraId="48284FE9" w14:textId="77777777" w:rsidR="00E36441" w:rsidRDefault="00E36441">
      <w:pPr>
        <w:spacing w:before="0"/>
      </w:pPr>
    </w:p>
    <w:p w14:paraId="4D8E7B1E" w14:textId="77777777" w:rsidR="00E36441" w:rsidRDefault="00E364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90F73" w14:textId="2D2F7920" w:rsidR="00636181" w:rsidRPr="00E36441" w:rsidRDefault="00636181" w:rsidP="00E36441">
    <w:pPr>
      <w:tabs>
        <w:tab w:val="clear" w:pos="1134"/>
        <w:tab w:val="clear" w:pos="1871"/>
        <w:tab w:val="clear" w:pos="2268"/>
        <w:tab w:val="center" w:pos="4820"/>
        <w:tab w:val="right" w:pos="14003"/>
      </w:tabs>
      <w:ind w:right="1"/>
      <w:rPr>
        <w:smallCaps/>
        <w:spacing w:val="24"/>
        <w:sz w:val="22"/>
        <w:szCs w:val="22"/>
        <w:lang w:val="es-ES_tradnl"/>
      </w:rPr>
    </w:pPr>
    <w:r w:rsidRPr="004D495C">
      <w:rPr>
        <w:sz w:val="22"/>
        <w:szCs w:val="22"/>
      </w:rPr>
      <w:tab/>
    </w:r>
    <w:r>
      <w:rPr>
        <w:sz w:val="22"/>
        <w:szCs w:val="22"/>
        <w:lang w:val="es-ES_tradnl"/>
      </w:rPr>
      <w:t>TDAG-2</w:t>
    </w:r>
    <w:r w:rsidR="00EF4D25">
      <w:rPr>
        <w:sz w:val="22"/>
        <w:szCs w:val="22"/>
        <w:lang w:val="es-ES_tradnl"/>
      </w:rPr>
      <w:t>6</w:t>
    </w:r>
    <w:r w:rsidRPr="00FF089C">
      <w:rPr>
        <w:sz w:val="22"/>
        <w:szCs w:val="22"/>
        <w:lang w:val="es-ES_tradnl"/>
      </w:rPr>
      <w:t>/</w:t>
    </w:r>
    <w:r w:rsidR="00E36441">
      <w:rPr>
        <w:rFonts w:hint="eastAsia"/>
        <w:sz w:val="22"/>
        <w:szCs w:val="22"/>
        <w:lang w:val="es-ES_tradnl" w:eastAsia="zh-CN"/>
      </w:rPr>
      <w:t>18</w:t>
    </w:r>
    <w:r w:rsidRPr="00FF089C">
      <w:rPr>
        <w:sz w:val="22"/>
        <w:szCs w:val="22"/>
        <w:lang w:val="es-ES_tradnl"/>
      </w:rPr>
      <w:t>-</w:t>
    </w:r>
    <w:r w:rsidR="00767F2F">
      <w:rPr>
        <w:rFonts w:asciiTheme="minorEastAsia" w:eastAsiaTheme="minorEastAsia" w:hAnsiTheme="minorEastAsia" w:hint="eastAsia"/>
        <w:sz w:val="22"/>
        <w:szCs w:val="22"/>
        <w:lang w:val="es-ES_tradnl" w:eastAsia="zh-CN"/>
      </w:rPr>
      <w:t>C</w:t>
    </w:r>
    <w:r w:rsidRPr="00FF089C">
      <w:rPr>
        <w:sz w:val="22"/>
        <w:szCs w:val="22"/>
        <w:lang w:val="es-ES_tradnl"/>
      </w:rPr>
      <w:tab/>
    </w:r>
    <w:r w:rsidR="00767F2F">
      <w:rPr>
        <w:rFonts w:asciiTheme="minorEastAsia" w:eastAsiaTheme="minorEastAsia" w:hAnsiTheme="minorEastAsia" w:hint="eastAsia"/>
        <w:sz w:val="22"/>
        <w:szCs w:val="22"/>
        <w:lang w:val="es-ES_tradnl" w:eastAsia="zh-CN"/>
      </w:rPr>
      <w:t>第</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sidR="00893B2C">
      <w:rPr>
        <w:noProof/>
        <w:sz w:val="22"/>
        <w:szCs w:val="22"/>
        <w:lang w:val="es-ES_tradnl"/>
      </w:rPr>
      <w:t>19</w:t>
    </w:r>
    <w:r w:rsidRPr="004D495C">
      <w:rPr>
        <w:sz w:val="22"/>
        <w:szCs w:val="22"/>
      </w:rPr>
      <w:fldChar w:fldCharType="end"/>
    </w:r>
    <w:r w:rsidR="00767F2F">
      <w:rPr>
        <w:rFonts w:asciiTheme="minorEastAsia" w:eastAsiaTheme="minorEastAsia" w:hAnsiTheme="minorEastAsia" w:hint="eastAsia"/>
        <w:sz w:val="22"/>
        <w:szCs w:val="22"/>
        <w:lang w:val="es-ES_tradnl" w:eastAsia="zh-CN"/>
      </w:rPr>
      <w:t>页</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81657E8"/>
    <w:lvl w:ilvl="0">
      <w:start w:val="1"/>
      <w:numFmt w:val="decimal"/>
      <w:lvlText w:val="%1."/>
      <w:lvlJc w:val="left"/>
      <w:pPr>
        <w:tabs>
          <w:tab w:val="num" w:pos="360"/>
        </w:tabs>
        <w:ind w:left="360" w:hanging="360"/>
      </w:pPr>
    </w:lvl>
  </w:abstractNum>
  <w:abstractNum w:abstractNumId="1" w15:restartNumberingAfterBreak="0">
    <w:nsid w:val="FFFFFFFE"/>
    <w:multiLevelType w:val="singleLevel"/>
    <w:tmpl w:val="B39284A0"/>
    <w:lvl w:ilvl="0">
      <w:numFmt w:val="decimal"/>
      <w:lvlText w:val="*"/>
      <w:lvlJc w:val="left"/>
    </w:lvl>
  </w:abstractNum>
  <w:abstractNum w:abstractNumId="2" w15:restartNumberingAfterBreak="0">
    <w:nsid w:val="019C7575"/>
    <w:multiLevelType w:val="hybridMultilevel"/>
    <w:tmpl w:val="D910B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B130A1"/>
    <w:multiLevelType w:val="hybridMultilevel"/>
    <w:tmpl w:val="A456110E"/>
    <w:lvl w:ilvl="0" w:tplc="AA003B62">
      <w:numFmt w:val="bullet"/>
      <w:lvlText w:val="-"/>
      <w:lvlJc w:val="left"/>
      <w:pPr>
        <w:ind w:left="644" w:hanging="360"/>
      </w:pPr>
      <w:rPr>
        <w:rFonts w:ascii="Calibri" w:eastAsia="Times New Roman" w:hAnsi="Calibri"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0C235FC0"/>
    <w:multiLevelType w:val="multilevel"/>
    <w:tmpl w:val="B38C879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C5D002E"/>
    <w:multiLevelType w:val="hybridMultilevel"/>
    <w:tmpl w:val="2F74F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EA151C"/>
    <w:multiLevelType w:val="hybridMultilevel"/>
    <w:tmpl w:val="BAA4C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59787A"/>
    <w:multiLevelType w:val="hybridMultilevel"/>
    <w:tmpl w:val="5AEEB62A"/>
    <w:lvl w:ilvl="0" w:tplc="0409000F">
      <w:start w:val="1"/>
      <w:numFmt w:val="decimal"/>
      <w:lvlText w:val="%1."/>
      <w:lvlJc w:val="left"/>
      <w:pPr>
        <w:ind w:left="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11AE7C98"/>
    <w:multiLevelType w:val="hybridMultilevel"/>
    <w:tmpl w:val="3A38FFDC"/>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FC92716"/>
    <w:multiLevelType w:val="hybridMultilevel"/>
    <w:tmpl w:val="CF6048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B91A61"/>
    <w:multiLevelType w:val="multilevel"/>
    <w:tmpl w:val="2A0EB1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EB0E89"/>
    <w:multiLevelType w:val="hybridMultilevel"/>
    <w:tmpl w:val="A216BE10"/>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B7859BE"/>
    <w:multiLevelType w:val="hybridMultilevel"/>
    <w:tmpl w:val="4AC24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C9554F"/>
    <w:multiLevelType w:val="multilevel"/>
    <w:tmpl w:val="2A0EB1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33C526F"/>
    <w:multiLevelType w:val="hybridMultilevel"/>
    <w:tmpl w:val="5AEEB62A"/>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15" w15:restartNumberingAfterBreak="0">
    <w:nsid w:val="36AC2AF5"/>
    <w:multiLevelType w:val="hybridMultilevel"/>
    <w:tmpl w:val="5AEEB62A"/>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16" w15:restartNumberingAfterBreak="0">
    <w:nsid w:val="3D245CDC"/>
    <w:multiLevelType w:val="hybridMultilevel"/>
    <w:tmpl w:val="45681C7A"/>
    <w:lvl w:ilvl="0" w:tplc="E6528D8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A51160"/>
    <w:multiLevelType w:val="hybridMultilevel"/>
    <w:tmpl w:val="A5565226"/>
    <w:lvl w:ilvl="0" w:tplc="58D4582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8" w15:restartNumberingAfterBreak="0">
    <w:nsid w:val="3FCA6F8F"/>
    <w:multiLevelType w:val="hybridMultilevel"/>
    <w:tmpl w:val="23C0C3CA"/>
    <w:lvl w:ilvl="0" w:tplc="5DC8402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1761F30"/>
    <w:multiLevelType w:val="hybridMultilevel"/>
    <w:tmpl w:val="5F5E2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1350A7"/>
    <w:multiLevelType w:val="hybridMultilevel"/>
    <w:tmpl w:val="F7425BB4"/>
    <w:lvl w:ilvl="0" w:tplc="58D4582A">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45C13579"/>
    <w:multiLevelType w:val="hybridMultilevel"/>
    <w:tmpl w:val="5AC83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113DBD"/>
    <w:multiLevelType w:val="hybridMultilevel"/>
    <w:tmpl w:val="66B00604"/>
    <w:lvl w:ilvl="0" w:tplc="101C4DB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B1E0686"/>
    <w:multiLevelType w:val="multilevel"/>
    <w:tmpl w:val="D388BB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E710DF7"/>
    <w:multiLevelType w:val="multilevel"/>
    <w:tmpl w:val="30547854"/>
    <w:lvl w:ilvl="0">
      <w:start w:val="4"/>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50CD1421"/>
    <w:multiLevelType w:val="hybridMultilevel"/>
    <w:tmpl w:val="C0762ACE"/>
    <w:lvl w:ilvl="0" w:tplc="10F85E9E">
      <w:numFmt w:val="bullet"/>
      <w:lvlText w:val="–"/>
      <w:lvlJc w:val="left"/>
      <w:pPr>
        <w:ind w:left="720" w:hanging="360"/>
      </w:pPr>
      <w:rPr>
        <w:rFonts w:ascii="Calibri" w:eastAsia="Batang"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88098E"/>
    <w:multiLevelType w:val="hybridMultilevel"/>
    <w:tmpl w:val="8AEC20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41F7CEF"/>
    <w:multiLevelType w:val="hybridMultilevel"/>
    <w:tmpl w:val="3258B99E"/>
    <w:lvl w:ilvl="0" w:tplc="E84429C0">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DA06AE"/>
    <w:multiLevelType w:val="hybridMultilevel"/>
    <w:tmpl w:val="E7DEA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FB1BF0"/>
    <w:multiLevelType w:val="hybridMultilevel"/>
    <w:tmpl w:val="741CDA2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31" w15:restartNumberingAfterBreak="0">
    <w:nsid w:val="5E7A37EA"/>
    <w:multiLevelType w:val="hybridMultilevel"/>
    <w:tmpl w:val="8ABE06AE"/>
    <w:lvl w:ilvl="0" w:tplc="D8AA70EE">
      <w:start w:val="1"/>
      <w:numFmt w:val="bullet"/>
      <w:lvlText w:val=""/>
      <w:lvlJc w:val="left"/>
      <w:pPr>
        <w:tabs>
          <w:tab w:val="num" w:pos="360"/>
        </w:tabs>
        <w:ind w:left="360" w:hanging="360"/>
      </w:pPr>
      <w:rPr>
        <w:rFonts w:ascii="Symbol" w:hAnsi="Symbol" w:hint="default"/>
      </w:rPr>
    </w:lvl>
    <w:lvl w:ilvl="1" w:tplc="6CF218A8">
      <w:start w:val="1"/>
      <w:numFmt w:val="bullet"/>
      <w:lvlText w:val=""/>
      <w:lvlJc w:val="left"/>
      <w:pPr>
        <w:tabs>
          <w:tab w:val="num" w:pos="1080"/>
        </w:tabs>
        <w:ind w:left="1080" w:hanging="360"/>
      </w:pPr>
      <w:rPr>
        <w:rFonts w:ascii="Wingdings" w:hAnsi="Wingdings" w:hint="default"/>
      </w:rPr>
    </w:lvl>
    <w:lvl w:ilvl="2" w:tplc="4922195A" w:tentative="1">
      <w:start w:val="1"/>
      <w:numFmt w:val="bullet"/>
      <w:lvlText w:val=""/>
      <w:lvlJc w:val="left"/>
      <w:pPr>
        <w:tabs>
          <w:tab w:val="num" w:pos="1800"/>
        </w:tabs>
        <w:ind w:left="1800" w:hanging="360"/>
      </w:pPr>
      <w:rPr>
        <w:rFonts w:ascii="Wingdings" w:hAnsi="Wingdings" w:hint="default"/>
      </w:rPr>
    </w:lvl>
    <w:lvl w:ilvl="3" w:tplc="01B83F3E" w:tentative="1">
      <w:start w:val="1"/>
      <w:numFmt w:val="bullet"/>
      <w:lvlText w:val=""/>
      <w:lvlJc w:val="left"/>
      <w:pPr>
        <w:tabs>
          <w:tab w:val="num" w:pos="2520"/>
        </w:tabs>
        <w:ind w:left="2520" w:hanging="360"/>
      </w:pPr>
      <w:rPr>
        <w:rFonts w:ascii="Wingdings" w:hAnsi="Wingdings" w:hint="default"/>
      </w:rPr>
    </w:lvl>
    <w:lvl w:ilvl="4" w:tplc="94AE58FC" w:tentative="1">
      <w:start w:val="1"/>
      <w:numFmt w:val="bullet"/>
      <w:lvlText w:val=""/>
      <w:lvlJc w:val="left"/>
      <w:pPr>
        <w:tabs>
          <w:tab w:val="num" w:pos="3240"/>
        </w:tabs>
        <w:ind w:left="3240" w:hanging="360"/>
      </w:pPr>
      <w:rPr>
        <w:rFonts w:ascii="Wingdings" w:hAnsi="Wingdings" w:hint="default"/>
      </w:rPr>
    </w:lvl>
    <w:lvl w:ilvl="5" w:tplc="55D41062" w:tentative="1">
      <w:start w:val="1"/>
      <w:numFmt w:val="bullet"/>
      <w:lvlText w:val=""/>
      <w:lvlJc w:val="left"/>
      <w:pPr>
        <w:tabs>
          <w:tab w:val="num" w:pos="3960"/>
        </w:tabs>
        <w:ind w:left="3960" w:hanging="360"/>
      </w:pPr>
      <w:rPr>
        <w:rFonts w:ascii="Wingdings" w:hAnsi="Wingdings" w:hint="default"/>
      </w:rPr>
    </w:lvl>
    <w:lvl w:ilvl="6" w:tplc="BF3882EE" w:tentative="1">
      <w:start w:val="1"/>
      <w:numFmt w:val="bullet"/>
      <w:lvlText w:val=""/>
      <w:lvlJc w:val="left"/>
      <w:pPr>
        <w:tabs>
          <w:tab w:val="num" w:pos="4680"/>
        </w:tabs>
        <w:ind w:left="4680" w:hanging="360"/>
      </w:pPr>
      <w:rPr>
        <w:rFonts w:ascii="Wingdings" w:hAnsi="Wingdings" w:hint="default"/>
      </w:rPr>
    </w:lvl>
    <w:lvl w:ilvl="7" w:tplc="785CEF80" w:tentative="1">
      <w:start w:val="1"/>
      <w:numFmt w:val="bullet"/>
      <w:lvlText w:val=""/>
      <w:lvlJc w:val="left"/>
      <w:pPr>
        <w:tabs>
          <w:tab w:val="num" w:pos="5400"/>
        </w:tabs>
        <w:ind w:left="5400" w:hanging="360"/>
      </w:pPr>
      <w:rPr>
        <w:rFonts w:ascii="Wingdings" w:hAnsi="Wingdings" w:hint="default"/>
      </w:rPr>
    </w:lvl>
    <w:lvl w:ilvl="8" w:tplc="812AC026"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36C7BFC"/>
    <w:multiLevelType w:val="hybridMultilevel"/>
    <w:tmpl w:val="9D5C7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B44F9C"/>
    <w:multiLevelType w:val="multilevel"/>
    <w:tmpl w:val="3918D7F8"/>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67BF5915"/>
    <w:multiLevelType w:val="hybridMultilevel"/>
    <w:tmpl w:val="8E8AC6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3963B4"/>
    <w:multiLevelType w:val="hybridMultilevel"/>
    <w:tmpl w:val="8F369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042CAE"/>
    <w:multiLevelType w:val="hybridMultilevel"/>
    <w:tmpl w:val="BB6A7126"/>
    <w:lvl w:ilvl="0" w:tplc="2542BA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F567739"/>
    <w:multiLevelType w:val="hybridMultilevel"/>
    <w:tmpl w:val="7A069DA6"/>
    <w:lvl w:ilvl="0" w:tplc="04090001">
      <w:start w:val="1"/>
      <w:numFmt w:val="bullet"/>
      <w:lvlText w:val=""/>
      <w:lvlJc w:val="left"/>
      <w:pPr>
        <w:ind w:left="1080" w:hanging="360"/>
      </w:pPr>
      <w:rPr>
        <w:rFonts w:ascii="Symbol" w:hAnsi="Symbol" w:hint="default"/>
        <w:b/>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0D7479A"/>
    <w:multiLevelType w:val="hybridMultilevel"/>
    <w:tmpl w:val="5FEC3B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0754E3"/>
    <w:multiLevelType w:val="hybridMultilevel"/>
    <w:tmpl w:val="20BC0F08"/>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40" w15:restartNumberingAfterBreak="0">
    <w:nsid w:val="785B1AAF"/>
    <w:multiLevelType w:val="hybridMultilevel"/>
    <w:tmpl w:val="C89C861E"/>
    <w:lvl w:ilvl="0" w:tplc="10F85E9E">
      <w:numFmt w:val="bullet"/>
      <w:lvlText w:val="–"/>
      <w:lvlJc w:val="left"/>
      <w:pPr>
        <w:ind w:left="360" w:hanging="360"/>
      </w:pPr>
      <w:rPr>
        <w:rFonts w:ascii="Calibri" w:eastAsia="Batang"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9155DC9"/>
    <w:multiLevelType w:val="hybridMultilevel"/>
    <w:tmpl w:val="87C4D738"/>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9CC5F32"/>
    <w:multiLevelType w:val="hybridMultilevel"/>
    <w:tmpl w:val="ACAA88E8"/>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D3A6D1D"/>
    <w:multiLevelType w:val="hybridMultilevel"/>
    <w:tmpl w:val="033A0A38"/>
    <w:lvl w:ilvl="0" w:tplc="DAF21B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48336415">
    <w:abstractNumId w:val="0"/>
  </w:num>
  <w:num w:numId="2" w16cid:durableId="1358193978">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520630542">
    <w:abstractNumId w:val="38"/>
  </w:num>
  <w:num w:numId="4" w16cid:durableId="1830174465">
    <w:abstractNumId w:val="3"/>
  </w:num>
  <w:num w:numId="5" w16cid:durableId="1479105461">
    <w:abstractNumId w:val="30"/>
  </w:num>
  <w:num w:numId="6" w16cid:durableId="869954702">
    <w:abstractNumId w:val="36"/>
  </w:num>
  <w:num w:numId="7" w16cid:durableId="444734477">
    <w:abstractNumId w:val="4"/>
  </w:num>
  <w:num w:numId="8" w16cid:durableId="362947223">
    <w:abstractNumId w:val="13"/>
  </w:num>
  <w:num w:numId="9" w16cid:durableId="458111764">
    <w:abstractNumId w:val="6"/>
  </w:num>
  <w:num w:numId="10" w16cid:durableId="1195534353">
    <w:abstractNumId w:val="12"/>
  </w:num>
  <w:num w:numId="11" w16cid:durableId="1826580952">
    <w:abstractNumId w:val="28"/>
  </w:num>
  <w:num w:numId="12" w16cid:durableId="1514690498">
    <w:abstractNumId w:val="35"/>
  </w:num>
  <w:num w:numId="13" w16cid:durableId="1235118698">
    <w:abstractNumId w:val="2"/>
  </w:num>
  <w:num w:numId="14" w16cid:durableId="509291828">
    <w:abstractNumId w:val="5"/>
  </w:num>
  <w:num w:numId="15" w16cid:durableId="383218916">
    <w:abstractNumId w:val="11"/>
  </w:num>
  <w:num w:numId="16" w16cid:durableId="1227569663">
    <w:abstractNumId w:val="8"/>
  </w:num>
  <w:num w:numId="17" w16cid:durableId="810974550">
    <w:abstractNumId w:val="41"/>
  </w:num>
  <w:num w:numId="18" w16cid:durableId="1354573477">
    <w:abstractNumId w:val="33"/>
  </w:num>
  <w:num w:numId="19" w16cid:durableId="435754545">
    <w:abstractNumId w:val="17"/>
  </w:num>
  <w:num w:numId="20" w16cid:durableId="1066875134">
    <w:abstractNumId w:val="27"/>
  </w:num>
  <w:num w:numId="21" w16cid:durableId="1689939216">
    <w:abstractNumId w:val="26"/>
  </w:num>
  <w:num w:numId="22" w16cid:durableId="1257783837">
    <w:abstractNumId w:val="42"/>
  </w:num>
  <w:num w:numId="23" w16cid:durableId="970285242">
    <w:abstractNumId w:val="22"/>
  </w:num>
  <w:num w:numId="24" w16cid:durableId="1876889861">
    <w:abstractNumId w:val="16"/>
  </w:num>
  <w:num w:numId="25" w16cid:durableId="138228398">
    <w:abstractNumId w:val="19"/>
  </w:num>
  <w:num w:numId="26" w16cid:durableId="1871145006">
    <w:abstractNumId w:val="20"/>
  </w:num>
  <w:num w:numId="27" w16cid:durableId="1946108508">
    <w:abstractNumId w:val="23"/>
  </w:num>
  <w:num w:numId="28" w16cid:durableId="1629045729">
    <w:abstractNumId w:val="10"/>
  </w:num>
  <w:num w:numId="29" w16cid:durableId="2010906637">
    <w:abstractNumId w:val="24"/>
  </w:num>
  <w:num w:numId="30" w16cid:durableId="290525213">
    <w:abstractNumId w:val="40"/>
  </w:num>
  <w:num w:numId="31" w16cid:durableId="191966975">
    <w:abstractNumId w:val="25"/>
  </w:num>
  <w:num w:numId="32" w16cid:durableId="2014406757">
    <w:abstractNumId w:val="31"/>
  </w:num>
  <w:num w:numId="33" w16cid:durableId="648558829">
    <w:abstractNumId w:val="18"/>
  </w:num>
  <w:num w:numId="34" w16cid:durableId="2071807613">
    <w:abstractNumId w:val="9"/>
  </w:num>
  <w:num w:numId="35" w16cid:durableId="271744889">
    <w:abstractNumId w:val="34"/>
  </w:num>
  <w:num w:numId="36" w16cid:durableId="1457527817">
    <w:abstractNumId w:val="21"/>
  </w:num>
  <w:num w:numId="37" w16cid:durableId="106610108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73069455">
    <w:abstractNumId w:val="32"/>
  </w:num>
  <w:num w:numId="39" w16cid:durableId="359361948">
    <w:abstractNumId w:val="37"/>
  </w:num>
  <w:num w:numId="40" w16cid:durableId="1037706265">
    <w:abstractNumId w:val="7"/>
  </w:num>
  <w:num w:numId="41" w16cid:durableId="447436251">
    <w:abstractNumId w:val="43"/>
  </w:num>
  <w:num w:numId="42" w16cid:durableId="655766109">
    <w:abstractNumId w:val="15"/>
  </w:num>
  <w:num w:numId="43" w16cid:durableId="577523632">
    <w:abstractNumId w:val="14"/>
  </w:num>
  <w:num w:numId="44" w16cid:durableId="113806366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intFractionalCharacterWidth/>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SyMDczsDAwtzQxNTFU0lEKTi0uzszPAykwqgUADu+8fCwAAAA="/>
  </w:docVars>
  <w:rsids>
    <w:rsidRoot w:val="00A066F1"/>
    <w:rsid w:val="00002BBA"/>
    <w:rsid w:val="000041EA"/>
    <w:rsid w:val="00004EB7"/>
    <w:rsid w:val="00005A53"/>
    <w:rsid w:val="00005FBD"/>
    <w:rsid w:val="00011ECB"/>
    <w:rsid w:val="000150B0"/>
    <w:rsid w:val="00015E52"/>
    <w:rsid w:val="00022A29"/>
    <w:rsid w:val="00025926"/>
    <w:rsid w:val="00025965"/>
    <w:rsid w:val="000355FD"/>
    <w:rsid w:val="0003589F"/>
    <w:rsid w:val="0005184F"/>
    <w:rsid w:val="00051E39"/>
    <w:rsid w:val="00053725"/>
    <w:rsid w:val="00054B72"/>
    <w:rsid w:val="0005581A"/>
    <w:rsid w:val="0005619C"/>
    <w:rsid w:val="0005747E"/>
    <w:rsid w:val="000604E5"/>
    <w:rsid w:val="000617DF"/>
    <w:rsid w:val="0006550B"/>
    <w:rsid w:val="0007000B"/>
    <w:rsid w:val="000735FD"/>
    <w:rsid w:val="00074109"/>
    <w:rsid w:val="00074C4D"/>
    <w:rsid w:val="00075C63"/>
    <w:rsid w:val="00076288"/>
    <w:rsid w:val="00077239"/>
    <w:rsid w:val="000778CA"/>
    <w:rsid w:val="000805BB"/>
    <w:rsid w:val="00080905"/>
    <w:rsid w:val="00081C9D"/>
    <w:rsid w:val="000822BE"/>
    <w:rsid w:val="000829BB"/>
    <w:rsid w:val="00082B11"/>
    <w:rsid w:val="000840A7"/>
    <w:rsid w:val="00085C6A"/>
    <w:rsid w:val="00086491"/>
    <w:rsid w:val="000904F9"/>
    <w:rsid w:val="000909ED"/>
    <w:rsid w:val="00091346"/>
    <w:rsid w:val="00091C80"/>
    <w:rsid w:val="0009581F"/>
    <w:rsid w:val="00095901"/>
    <w:rsid w:val="00097074"/>
    <w:rsid w:val="000A3B54"/>
    <w:rsid w:val="000A59AE"/>
    <w:rsid w:val="000B738A"/>
    <w:rsid w:val="000C03F4"/>
    <w:rsid w:val="000C17EA"/>
    <w:rsid w:val="000C2592"/>
    <w:rsid w:val="000C42BA"/>
    <w:rsid w:val="000C4FD1"/>
    <w:rsid w:val="000D1759"/>
    <w:rsid w:val="000D38EB"/>
    <w:rsid w:val="000D4875"/>
    <w:rsid w:val="000D6891"/>
    <w:rsid w:val="000D6E8D"/>
    <w:rsid w:val="000E71F8"/>
    <w:rsid w:val="000F29EC"/>
    <w:rsid w:val="000F38EA"/>
    <w:rsid w:val="000F542E"/>
    <w:rsid w:val="000F641B"/>
    <w:rsid w:val="000F73FF"/>
    <w:rsid w:val="000F7F1C"/>
    <w:rsid w:val="00102175"/>
    <w:rsid w:val="00102343"/>
    <w:rsid w:val="001029B3"/>
    <w:rsid w:val="00105DCD"/>
    <w:rsid w:val="001066B3"/>
    <w:rsid w:val="001114AC"/>
    <w:rsid w:val="00114584"/>
    <w:rsid w:val="00114CF7"/>
    <w:rsid w:val="00115411"/>
    <w:rsid w:val="00115B33"/>
    <w:rsid w:val="00116B95"/>
    <w:rsid w:val="00117233"/>
    <w:rsid w:val="00123B68"/>
    <w:rsid w:val="00124AF4"/>
    <w:rsid w:val="00124CAA"/>
    <w:rsid w:val="00125E69"/>
    <w:rsid w:val="00126F2E"/>
    <w:rsid w:val="00126F49"/>
    <w:rsid w:val="00127FC6"/>
    <w:rsid w:val="001424DC"/>
    <w:rsid w:val="00143A87"/>
    <w:rsid w:val="00144E69"/>
    <w:rsid w:val="00146F6F"/>
    <w:rsid w:val="0014714E"/>
    <w:rsid w:val="00147DA1"/>
    <w:rsid w:val="00152957"/>
    <w:rsid w:val="00166196"/>
    <w:rsid w:val="001664A7"/>
    <w:rsid w:val="00167327"/>
    <w:rsid w:val="00167A9D"/>
    <w:rsid w:val="00170C5A"/>
    <w:rsid w:val="00171758"/>
    <w:rsid w:val="0017500F"/>
    <w:rsid w:val="00176991"/>
    <w:rsid w:val="00180444"/>
    <w:rsid w:val="001832B9"/>
    <w:rsid w:val="00185737"/>
    <w:rsid w:val="00187BD9"/>
    <w:rsid w:val="0019060A"/>
    <w:rsid w:val="00190B55"/>
    <w:rsid w:val="00191F5C"/>
    <w:rsid w:val="00192FA9"/>
    <w:rsid w:val="00194CFB"/>
    <w:rsid w:val="001A1FFD"/>
    <w:rsid w:val="001A3858"/>
    <w:rsid w:val="001A4BD2"/>
    <w:rsid w:val="001B2ED3"/>
    <w:rsid w:val="001B643A"/>
    <w:rsid w:val="001B6675"/>
    <w:rsid w:val="001B7EA3"/>
    <w:rsid w:val="001C3B5F"/>
    <w:rsid w:val="001C61EA"/>
    <w:rsid w:val="001D058F"/>
    <w:rsid w:val="001D2025"/>
    <w:rsid w:val="001D520B"/>
    <w:rsid w:val="001E0384"/>
    <w:rsid w:val="001E24AF"/>
    <w:rsid w:val="001E252D"/>
    <w:rsid w:val="001E43DC"/>
    <w:rsid w:val="002009EA"/>
    <w:rsid w:val="00202CA0"/>
    <w:rsid w:val="00207A5D"/>
    <w:rsid w:val="002154A6"/>
    <w:rsid w:val="002162CD"/>
    <w:rsid w:val="00216478"/>
    <w:rsid w:val="00220634"/>
    <w:rsid w:val="00221C1D"/>
    <w:rsid w:val="002226B9"/>
    <w:rsid w:val="00224B7C"/>
    <w:rsid w:val="00224CDD"/>
    <w:rsid w:val="002255B3"/>
    <w:rsid w:val="0023164A"/>
    <w:rsid w:val="002319F6"/>
    <w:rsid w:val="0023409C"/>
    <w:rsid w:val="002346C7"/>
    <w:rsid w:val="002351D4"/>
    <w:rsid w:val="00236E8A"/>
    <w:rsid w:val="00240BC8"/>
    <w:rsid w:val="002420D0"/>
    <w:rsid w:val="00242487"/>
    <w:rsid w:val="00243411"/>
    <w:rsid w:val="00246B32"/>
    <w:rsid w:val="00251A53"/>
    <w:rsid w:val="0025489C"/>
    <w:rsid w:val="0026406F"/>
    <w:rsid w:val="002653F2"/>
    <w:rsid w:val="00266589"/>
    <w:rsid w:val="00267792"/>
    <w:rsid w:val="002712A9"/>
    <w:rsid w:val="00271316"/>
    <w:rsid w:val="00272417"/>
    <w:rsid w:val="00274CC3"/>
    <w:rsid w:val="00276414"/>
    <w:rsid w:val="00283F74"/>
    <w:rsid w:val="00286C1D"/>
    <w:rsid w:val="00286C4C"/>
    <w:rsid w:val="00294BF6"/>
    <w:rsid w:val="00294D5A"/>
    <w:rsid w:val="002955DA"/>
    <w:rsid w:val="00295A71"/>
    <w:rsid w:val="00296313"/>
    <w:rsid w:val="00296DA0"/>
    <w:rsid w:val="00297006"/>
    <w:rsid w:val="002A0A7A"/>
    <w:rsid w:val="002A0D8C"/>
    <w:rsid w:val="002A27F8"/>
    <w:rsid w:val="002A51DF"/>
    <w:rsid w:val="002A684E"/>
    <w:rsid w:val="002B074A"/>
    <w:rsid w:val="002B10D5"/>
    <w:rsid w:val="002B3296"/>
    <w:rsid w:val="002B3C84"/>
    <w:rsid w:val="002B5490"/>
    <w:rsid w:val="002C12ED"/>
    <w:rsid w:val="002C49BA"/>
    <w:rsid w:val="002C4B75"/>
    <w:rsid w:val="002C73F6"/>
    <w:rsid w:val="002C7D5E"/>
    <w:rsid w:val="002D58BE"/>
    <w:rsid w:val="002E4D1D"/>
    <w:rsid w:val="002E51E0"/>
    <w:rsid w:val="002E5411"/>
    <w:rsid w:val="002E7A84"/>
    <w:rsid w:val="002F1BD0"/>
    <w:rsid w:val="003013EE"/>
    <w:rsid w:val="00304031"/>
    <w:rsid w:val="00311808"/>
    <w:rsid w:val="00311851"/>
    <w:rsid w:val="00311CD5"/>
    <w:rsid w:val="00316725"/>
    <w:rsid w:val="00316A69"/>
    <w:rsid w:val="003231C6"/>
    <w:rsid w:val="00323E49"/>
    <w:rsid w:val="003247A5"/>
    <w:rsid w:val="00325939"/>
    <w:rsid w:val="003273BC"/>
    <w:rsid w:val="00331F05"/>
    <w:rsid w:val="00335759"/>
    <w:rsid w:val="00337750"/>
    <w:rsid w:val="0034384D"/>
    <w:rsid w:val="00345D42"/>
    <w:rsid w:val="00346224"/>
    <w:rsid w:val="0034636C"/>
    <w:rsid w:val="0035089A"/>
    <w:rsid w:val="003511BC"/>
    <w:rsid w:val="00356083"/>
    <w:rsid w:val="00361609"/>
    <w:rsid w:val="00364098"/>
    <w:rsid w:val="00366978"/>
    <w:rsid w:val="0037003F"/>
    <w:rsid w:val="00372BCF"/>
    <w:rsid w:val="00373365"/>
    <w:rsid w:val="00377BD3"/>
    <w:rsid w:val="003807EA"/>
    <w:rsid w:val="003829D8"/>
    <w:rsid w:val="0038304D"/>
    <w:rsid w:val="00384088"/>
    <w:rsid w:val="0038489B"/>
    <w:rsid w:val="00385BE9"/>
    <w:rsid w:val="0039169B"/>
    <w:rsid w:val="00392277"/>
    <w:rsid w:val="00394B90"/>
    <w:rsid w:val="003968CC"/>
    <w:rsid w:val="003A03FF"/>
    <w:rsid w:val="003A04F5"/>
    <w:rsid w:val="003A22FC"/>
    <w:rsid w:val="003A5137"/>
    <w:rsid w:val="003A6BAC"/>
    <w:rsid w:val="003A6BED"/>
    <w:rsid w:val="003A7F8C"/>
    <w:rsid w:val="003B08DA"/>
    <w:rsid w:val="003B11F9"/>
    <w:rsid w:val="003B2B56"/>
    <w:rsid w:val="003B532E"/>
    <w:rsid w:val="003B6306"/>
    <w:rsid w:val="003B6602"/>
    <w:rsid w:val="003B6F14"/>
    <w:rsid w:val="003B6F60"/>
    <w:rsid w:val="003C1870"/>
    <w:rsid w:val="003C6136"/>
    <w:rsid w:val="003D0F8B"/>
    <w:rsid w:val="003D39F2"/>
    <w:rsid w:val="003D5A63"/>
    <w:rsid w:val="003D6425"/>
    <w:rsid w:val="003D66A7"/>
    <w:rsid w:val="003D7EE8"/>
    <w:rsid w:val="003F0A6C"/>
    <w:rsid w:val="003F0F49"/>
    <w:rsid w:val="003F1363"/>
    <w:rsid w:val="00403C69"/>
    <w:rsid w:val="00405EC2"/>
    <w:rsid w:val="00406278"/>
    <w:rsid w:val="00406297"/>
    <w:rsid w:val="00412C81"/>
    <w:rsid w:val="004131D4"/>
    <w:rsid w:val="0041348E"/>
    <w:rsid w:val="00414895"/>
    <w:rsid w:val="004208C6"/>
    <w:rsid w:val="00421605"/>
    <w:rsid w:val="004269E6"/>
    <w:rsid w:val="00433357"/>
    <w:rsid w:val="00435762"/>
    <w:rsid w:val="00435E45"/>
    <w:rsid w:val="004364D9"/>
    <w:rsid w:val="00437819"/>
    <w:rsid w:val="00437A8D"/>
    <w:rsid w:val="00440C4F"/>
    <w:rsid w:val="00441E8B"/>
    <w:rsid w:val="004445FD"/>
    <w:rsid w:val="00446FBA"/>
    <w:rsid w:val="00447308"/>
    <w:rsid w:val="00447990"/>
    <w:rsid w:val="004500BC"/>
    <w:rsid w:val="00451B1B"/>
    <w:rsid w:val="004552B4"/>
    <w:rsid w:val="00460CF8"/>
    <w:rsid w:val="00462253"/>
    <w:rsid w:val="00462CB2"/>
    <w:rsid w:val="004631CC"/>
    <w:rsid w:val="00467DB2"/>
    <w:rsid w:val="00472FC1"/>
    <w:rsid w:val="004755BA"/>
    <w:rsid w:val="004765FF"/>
    <w:rsid w:val="00481CDF"/>
    <w:rsid w:val="00481E58"/>
    <w:rsid w:val="0048520E"/>
    <w:rsid w:val="00486163"/>
    <w:rsid w:val="00492075"/>
    <w:rsid w:val="0049304E"/>
    <w:rsid w:val="00495290"/>
    <w:rsid w:val="004969AD"/>
    <w:rsid w:val="00496E2A"/>
    <w:rsid w:val="004A0244"/>
    <w:rsid w:val="004A3FF4"/>
    <w:rsid w:val="004A7674"/>
    <w:rsid w:val="004A783D"/>
    <w:rsid w:val="004B13CB"/>
    <w:rsid w:val="004B2466"/>
    <w:rsid w:val="004B3C6F"/>
    <w:rsid w:val="004B4FDF"/>
    <w:rsid w:val="004B4FF2"/>
    <w:rsid w:val="004B716F"/>
    <w:rsid w:val="004B7C16"/>
    <w:rsid w:val="004B7E77"/>
    <w:rsid w:val="004C3355"/>
    <w:rsid w:val="004D04E2"/>
    <w:rsid w:val="004D4243"/>
    <w:rsid w:val="004D5D5C"/>
    <w:rsid w:val="004D752D"/>
    <w:rsid w:val="004D7763"/>
    <w:rsid w:val="004E27DE"/>
    <w:rsid w:val="004E2F10"/>
    <w:rsid w:val="004E3276"/>
    <w:rsid w:val="004E4F74"/>
    <w:rsid w:val="004E5959"/>
    <w:rsid w:val="004E704A"/>
    <w:rsid w:val="004F051F"/>
    <w:rsid w:val="004F3D95"/>
    <w:rsid w:val="004F660E"/>
    <w:rsid w:val="004F7270"/>
    <w:rsid w:val="005004A4"/>
    <w:rsid w:val="0050139F"/>
    <w:rsid w:val="0050712D"/>
    <w:rsid w:val="00510692"/>
    <w:rsid w:val="00510F4D"/>
    <w:rsid w:val="00516722"/>
    <w:rsid w:val="00517624"/>
    <w:rsid w:val="00520565"/>
    <w:rsid w:val="00521223"/>
    <w:rsid w:val="00523934"/>
    <w:rsid w:val="00523D3E"/>
    <w:rsid w:val="00524DF1"/>
    <w:rsid w:val="005252E6"/>
    <w:rsid w:val="0052716E"/>
    <w:rsid w:val="00531317"/>
    <w:rsid w:val="00533CBA"/>
    <w:rsid w:val="00536513"/>
    <w:rsid w:val="00536DB4"/>
    <w:rsid w:val="00541D24"/>
    <w:rsid w:val="00543159"/>
    <w:rsid w:val="0054377E"/>
    <w:rsid w:val="0054450F"/>
    <w:rsid w:val="0055140B"/>
    <w:rsid w:val="00552F9E"/>
    <w:rsid w:val="00554C4F"/>
    <w:rsid w:val="00561D72"/>
    <w:rsid w:val="00564F36"/>
    <w:rsid w:val="00566EEB"/>
    <w:rsid w:val="00570FA3"/>
    <w:rsid w:val="00571767"/>
    <w:rsid w:val="00576FB4"/>
    <w:rsid w:val="00581664"/>
    <w:rsid w:val="00585238"/>
    <w:rsid w:val="005855FC"/>
    <w:rsid w:val="00586EB9"/>
    <w:rsid w:val="00592321"/>
    <w:rsid w:val="005933B2"/>
    <w:rsid w:val="00593B87"/>
    <w:rsid w:val="005964AB"/>
    <w:rsid w:val="005A2BEB"/>
    <w:rsid w:val="005A3485"/>
    <w:rsid w:val="005A5E0C"/>
    <w:rsid w:val="005A6739"/>
    <w:rsid w:val="005B0278"/>
    <w:rsid w:val="005B0742"/>
    <w:rsid w:val="005B25C3"/>
    <w:rsid w:val="005B2DD6"/>
    <w:rsid w:val="005B41B7"/>
    <w:rsid w:val="005B44F5"/>
    <w:rsid w:val="005B6D88"/>
    <w:rsid w:val="005C099A"/>
    <w:rsid w:val="005C116F"/>
    <w:rsid w:val="005C13B5"/>
    <w:rsid w:val="005C26D1"/>
    <w:rsid w:val="005C3173"/>
    <w:rsid w:val="005C31A5"/>
    <w:rsid w:val="005C3248"/>
    <w:rsid w:val="005C3F17"/>
    <w:rsid w:val="005C4740"/>
    <w:rsid w:val="005D0BEA"/>
    <w:rsid w:val="005D4916"/>
    <w:rsid w:val="005E0641"/>
    <w:rsid w:val="005E0D2B"/>
    <w:rsid w:val="005E10C9"/>
    <w:rsid w:val="005E61DD"/>
    <w:rsid w:val="005E6321"/>
    <w:rsid w:val="005F5413"/>
    <w:rsid w:val="00600B9C"/>
    <w:rsid w:val="006023DF"/>
    <w:rsid w:val="00602CFD"/>
    <w:rsid w:val="0060693B"/>
    <w:rsid w:val="006117C6"/>
    <w:rsid w:val="00611CD2"/>
    <w:rsid w:val="00615AB9"/>
    <w:rsid w:val="00617602"/>
    <w:rsid w:val="00620ECD"/>
    <w:rsid w:val="00621FDD"/>
    <w:rsid w:val="00622B63"/>
    <w:rsid w:val="0062421D"/>
    <w:rsid w:val="00624A81"/>
    <w:rsid w:val="0062697F"/>
    <w:rsid w:val="00627881"/>
    <w:rsid w:val="00636181"/>
    <w:rsid w:val="00637E99"/>
    <w:rsid w:val="006422AD"/>
    <w:rsid w:val="006430DA"/>
    <w:rsid w:val="0064322F"/>
    <w:rsid w:val="006449A5"/>
    <w:rsid w:val="00644F99"/>
    <w:rsid w:val="006463EE"/>
    <w:rsid w:val="00657DE0"/>
    <w:rsid w:val="006608C4"/>
    <w:rsid w:val="006612C2"/>
    <w:rsid w:val="00661FB8"/>
    <w:rsid w:val="00665B75"/>
    <w:rsid w:val="00667F38"/>
    <w:rsid w:val="0067199F"/>
    <w:rsid w:val="006747D8"/>
    <w:rsid w:val="00674AEF"/>
    <w:rsid w:val="00675DB5"/>
    <w:rsid w:val="00676ED7"/>
    <w:rsid w:val="00677048"/>
    <w:rsid w:val="00680225"/>
    <w:rsid w:val="00685313"/>
    <w:rsid w:val="00690B44"/>
    <w:rsid w:val="006912F3"/>
    <w:rsid w:val="00696E7A"/>
    <w:rsid w:val="006A0D14"/>
    <w:rsid w:val="006A47E5"/>
    <w:rsid w:val="006A6E9B"/>
    <w:rsid w:val="006A747C"/>
    <w:rsid w:val="006B1038"/>
    <w:rsid w:val="006B502E"/>
    <w:rsid w:val="006B73C2"/>
    <w:rsid w:val="006B7C2A"/>
    <w:rsid w:val="006C03CD"/>
    <w:rsid w:val="006C23DA"/>
    <w:rsid w:val="006C7898"/>
    <w:rsid w:val="006C7CA9"/>
    <w:rsid w:val="006D2DD5"/>
    <w:rsid w:val="006D4843"/>
    <w:rsid w:val="006D6130"/>
    <w:rsid w:val="006D6DDA"/>
    <w:rsid w:val="006E099C"/>
    <w:rsid w:val="006E3D45"/>
    <w:rsid w:val="006E64F1"/>
    <w:rsid w:val="006E7629"/>
    <w:rsid w:val="006F0C99"/>
    <w:rsid w:val="006F1889"/>
    <w:rsid w:val="006F7874"/>
    <w:rsid w:val="006F7BD3"/>
    <w:rsid w:val="007034D9"/>
    <w:rsid w:val="00705932"/>
    <w:rsid w:val="007149F9"/>
    <w:rsid w:val="0071531C"/>
    <w:rsid w:val="0071541F"/>
    <w:rsid w:val="007167D5"/>
    <w:rsid w:val="00720DD1"/>
    <w:rsid w:val="007265FE"/>
    <w:rsid w:val="00730009"/>
    <w:rsid w:val="00733A30"/>
    <w:rsid w:val="007372E2"/>
    <w:rsid w:val="007379E5"/>
    <w:rsid w:val="00743072"/>
    <w:rsid w:val="00745AEE"/>
    <w:rsid w:val="00747028"/>
    <w:rsid w:val="007479EA"/>
    <w:rsid w:val="00747A98"/>
    <w:rsid w:val="00750F10"/>
    <w:rsid w:val="0075242F"/>
    <w:rsid w:val="00756ADC"/>
    <w:rsid w:val="00761CEF"/>
    <w:rsid w:val="007654FE"/>
    <w:rsid w:val="00765BA5"/>
    <w:rsid w:val="007664D4"/>
    <w:rsid w:val="00767F2F"/>
    <w:rsid w:val="00770D7E"/>
    <w:rsid w:val="007742CA"/>
    <w:rsid w:val="0077509B"/>
    <w:rsid w:val="00776DB1"/>
    <w:rsid w:val="0077768B"/>
    <w:rsid w:val="0077794B"/>
    <w:rsid w:val="00792DB8"/>
    <w:rsid w:val="00793BB0"/>
    <w:rsid w:val="00794ABD"/>
    <w:rsid w:val="00795C00"/>
    <w:rsid w:val="0079605E"/>
    <w:rsid w:val="007A2D06"/>
    <w:rsid w:val="007A7FAF"/>
    <w:rsid w:val="007B12EB"/>
    <w:rsid w:val="007B2EB6"/>
    <w:rsid w:val="007B3BF6"/>
    <w:rsid w:val="007B4578"/>
    <w:rsid w:val="007C0A4D"/>
    <w:rsid w:val="007C2360"/>
    <w:rsid w:val="007C5A7B"/>
    <w:rsid w:val="007D06F0"/>
    <w:rsid w:val="007D35D0"/>
    <w:rsid w:val="007D3C25"/>
    <w:rsid w:val="007D45E3"/>
    <w:rsid w:val="007D5320"/>
    <w:rsid w:val="007D714B"/>
    <w:rsid w:val="007E065B"/>
    <w:rsid w:val="007E0A1D"/>
    <w:rsid w:val="007E28A9"/>
    <w:rsid w:val="007E713F"/>
    <w:rsid w:val="007E7819"/>
    <w:rsid w:val="007E799D"/>
    <w:rsid w:val="007F236E"/>
    <w:rsid w:val="007F2668"/>
    <w:rsid w:val="007F26E3"/>
    <w:rsid w:val="007F535C"/>
    <w:rsid w:val="007F54EB"/>
    <w:rsid w:val="007F735C"/>
    <w:rsid w:val="00800972"/>
    <w:rsid w:val="00804475"/>
    <w:rsid w:val="0081159E"/>
    <w:rsid w:val="00811633"/>
    <w:rsid w:val="00814C00"/>
    <w:rsid w:val="00821CEF"/>
    <w:rsid w:val="00823BDC"/>
    <w:rsid w:val="00832828"/>
    <w:rsid w:val="008334AF"/>
    <w:rsid w:val="0083645A"/>
    <w:rsid w:val="0083797D"/>
    <w:rsid w:val="00837AB9"/>
    <w:rsid w:val="00840B0F"/>
    <w:rsid w:val="00840FD0"/>
    <w:rsid w:val="0084590A"/>
    <w:rsid w:val="00845C0D"/>
    <w:rsid w:val="008529D3"/>
    <w:rsid w:val="00854840"/>
    <w:rsid w:val="0085555B"/>
    <w:rsid w:val="00855FDC"/>
    <w:rsid w:val="00860F8A"/>
    <w:rsid w:val="0086299C"/>
    <w:rsid w:val="00863096"/>
    <w:rsid w:val="00863578"/>
    <w:rsid w:val="00863FC4"/>
    <w:rsid w:val="00867B8E"/>
    <w:rsid w:val="008711AE"/>
    <w:rsid w:val="00872FC8"/>
    <w:rsid w:val="00874817"/>
    <w:rsid w:val="00877397"/>
    <w:rsid w:val="00877D80"/>
    <w:rsid w:val="008801D3"/>
    <w:rsid w:val="00880325"/>
    <w:rsid w:val="008806F3"/>
    <w:rsid w:val="00881DBB"/>
    <w:rsid w:val="00882996"/>
    <w:rsid w:val="00883866"/>
    <w:rsid w:val="008845D0"/>
    <w:rsid w:val="0089151A"/>
    <w:rsid w:val="00893B2C"/>
    <w:rsid w:val="00894F96"/>
    <w:rsid w:val="008A0BFE"/>
    <w:rsid w:val="008A2753"/>
    <w:rsid w:val="008A3933"/>
    <w:rsid w:val="008A7165"/>
    <w:rsid w:val="008B20A4"/>
    <w:rsid w:val="008B3713"/>
    <w:rsid w:val="008B43F2"/>
    <w:rsid w:val="008B54AB"/>
    <w:rsid w:val="008B54D9"/>
    <w:rsid w:val="008B61EA"/>
    <w:rsid w:val="008B63AA"/>
    <w:rsid w:val="008B6CFF"/>
    <w:rsid w:val="008C28A0"/>
    <w:rsid w:val="008C3D02"/>
    <w:rsid w:val="008C4ADD"/>
    <w:rsid w:val="008D06CB"/>
    <w:rsid w:val="008D279B"/>
    <w:rsid w:val="008D2B46"/>
    <w:rsid w:val="008D678E"/>
    <w:rsid w:val="008E33DA"/>
    <w:rsid w:val="008E6B36"/>
    <w:rsid w:val="008E7DF8"/>
    <w:rsid w:val="008F04EE"/>
    <w:rsid w:val="008F238A"/>
    <w:rsid w:val="008F3284"/>
    <w:rsid w:val="008F36FB"/>
    <w:rsid w:val="009006A0"/>
    <w:rsid w:val="00900E22"/>
    <w:rsid w:val="009023DF"/>
    <w:rsid w:val="0090293E"/>
    <w:rsid w:val="0091016B"/>
    <w:rsid w:val="00910408"/>
    <w:rsid w:val="00910B26"/>
    <w:rsid w:val="00912004"/>
    <w:rsid w:val="009238B9"/>
    <w:rsid w:val="009274B4"/>
    <w:rsid w:val="00934743"/>
    <w:rsid w:val="00934EA2"/>
    <w:rsid w:val="009373C9"/>
    <w:rsid w:val="00941B98"/>
    <w:rsid w:val="00942FC1"/>
    <w:rsid w:val="00943545"/>
    <w:rsid w:val="00944A5C"/>
    <w:rsid w:val="00944A99"/>
    <w:rsid w:val="00951816"/>
    <w:rsid w:val="00952A66"/>
    <w:rsid w:val="00953C32"/>
    <w:rsid w:val="00964C68"/>
    <w:rsid w:val="009737F9"/>
    <w:rsid w:val="00980AD1"/>
    <w:rsid w:val="00980AD6"/>
    <w:rsid w:val="009828A4"/>
    <w:rsid w:val="00985001"/>
    <w:rsid w:val="00986EBB"/>
    <w:rsid w:val="009907F3"/>
    <w:rsid w:val="00990A55"/>
    <w:rsid w:val="00992F9A"/>
    <w:rsid w:val="009944BE"/>
    <w:rsid w:val="00996913"/>
    <w:rsid w:val="00996ACA"/>
    <w:rsid w:val="00997678"/>
    <w:rsid w:val="009A04EC"/>
    <w:rsid w:val="009A234F"/>
    <w:rsid w:val="009A291A"/>
    <w:rsid w:val="009B28F2"/>
    <w:rsid w:val="009B5126"/>
    <w:rsid w:val="009B71C3"/>
    <w:rsid w:val="009B75FF"/>
    <w:rsid w:val="009C39A2"/>
    <w:rsid w:val="009C4D44"/>
    <w:rsid w:val="009C56E5"/>
    <w:rsid w:val="009C6F7B"/>
    <w:rsid w:val="009D3343"/>
    <w:rsid w:val="009D3429"/>
    <w:rsid w:val="009E12CB"/>
    <w:rsid w:val="009E3F7C"/>
    <w:rsid w:val="009E5FC8"/>
    <w:rsid w:val="009E687A"/>
    <w:rsid w:val="009E72E7"/>
    <w:rsid w:val="009F1542"/>
    <w:rsid w:val="00A00AC6"/>
    <w:rsid w:val="00A01DCF"/>
    <w:rsid w:val="00A03C5C"/>
    <w:rsid w:val="00A04FB0"/>
    <w:rsid w:val="00A066F1"/>
    <w:rsid w:val="00A1280A"/>
    <w:rsid w:val="00A141AF"/>
    <w:rsid w:val="00A15958"/>
    <w:rsid w:val="00A16D29"/>
    <w:rsid w:val="00A20E5E"/>
    <w:rsid w:val="00A2101B"/>
    <w:rsid w:val="00A21E18"/>
    <w:rsid w:val="00A235FD"/>
    <w:rsid w:val="00A2618D"/>
    <w:rsid w:val="00A27146"/>
    <w:rsid w:val="00A30305"/>
    <w:rsid w:val="00A31315"/>
    <w:rsid w:val="00A31D2D"/>
    <w:rsid w:val="00A32267"/>
    <w:rsid w:val="00A32291"/>
    <w:rsid w:val="00A33D45"/>
    <w:rsid w:val="00A34772"/>
    <w:rsid w:val="00A35D6D"/>
    <w:rsid w:val="00A4049B"/>
    <w:rsid w:val="00A43642"/>
    <w:rsid w:val="00A44D51"/>
    <w:rsid w:val="00A4600A"/>
    <w:rsid w:val="00A524E6"/>
    <w:rsid w:val="00A538A6"/>
    <w:rsid w:val="00A54C25"/>
    <w:rsid w:val="00A56C71"/>
    <w:rsid w:val="00A612BB"/>
    <w:rsid w:val="00A62F73"/>
    <w:rsid w:val="00A65363"/>
    <w:rsid w:val="00A67FB8"/>
    <w:rsid w:val="00A710E7"/>
    <w:rsid w:val="00A7140C"/>
    <w:rsid w:val="00A7372E"/>
    <w:rsid w:val="00A74739"/>
    <w:rsid w:val="00A76372"/>
    <w:rsid w:val="00A76BD5"/>
    <w:rsid w:val="00A80D65"/>
    <w:rsid w:val="00A81F59"/>
    <w:rsid w:val="00A83E00"/>
    <w:rsid w:val="00A853F5"/>
    <w:rsid w:val="00A9323C"/>
    <w:rsid w:val="00A93364"/>
    <w:rsid w:val="00A93B85"/>
    <w:rsid w:val="00A96F7D"/>
    <w:rsid w:val="00AA05FD"/>
    <w:rsid w:val="00AA0B18"/>
    <w:rsid w:val="00AA4774"/>
    <w:rsid w:val="00AA666F"/>
    <w:rsid w:val="00AA7A11"/>
    <w:rsid w:val="00AB15BE"/>
    <w:rsid w:val="00AB4006"/>
    <w:rsid w:val="00AB4927"/>
    <w:rsid w:val="00AB4EF9"/>
    <w:rsid w:val="00AC007A"/>
    <w:rsid w:val="00AC034F"/>
    <w:rsid w:val="00AC1A8E"/>
    <w:rsid w:val="00AC4C17"/>
    <w:rsid w:val="00AC4DB5"/>
    <w:rsid w:val="00AD0AEB"/>
    <w:rsid w:val="00AD4C7B"/>
    <w:rsid w:val="00AF17A2"/>
    <w:rsid w:val="00AF2081"/>
    <w:rsid w:val="00AF2664"/>
    <w:rsid w:val="00AF57EF"/>
    <w:rsid w:val="00B004E5"/>
    <w:rsid w:val="00B053F3"/>
    <w:rsid w:val="00B10A09"/>
    <w:rsid w:val="00B124F9"/>
    <w:rsid w:val="00B13FFC"/>
    <w:rsid w:val="00B15F9D"/>
    <w:rsid w:val="00B17325"/>
    <w:rsid w:val="00B17BDC"/>
    <w:rsid w:val="00B20035"/>
    <w:rsid w:val="00B20480"/>
    <w:rsid w:val="00B20F6D"/>
    <w:rsid w:val="00B21BEA"/>
    <w:rsid w:val="00B2212C"/>
    <w:rsid w:val="00B232A2"/>
    <w:rsid w:val="00B247C3"/>
    <w:rsid w:val="00B27180"/>
    <w:rsid w:val="00B27EA8"/>
    <w:rsid w:val="00B30ECC"/>
    <w:rsid w:val="00B35A1C"/>
    <w:rsid w:val="00B35BC5"/>
    <w:rsid w:val="00B36A3C"/>
    <w:rsid w:val="00B4012B"/>
    <w:rsid w:val="00B41367"/>
    <w:rsid w:val="00B423AE"/>
    <w:rsid w:val="00B43D73"/>
    <w:rsid w:val="00B44083"/>
    <w:rsid w:val="00B441B1"/>
    <w:rsid w:val="00B45C98"/>
    <w:rsid w:val="00B50520"/>
    <w:rsid w:val="00B5544A"/>
    <w:rsid w:val="00B639E9"/>
    <w:rsid w:val="00B6598C"/>
    <w:rsid w:val="00B66F17"/>
    <w:rsid w:val="00B71863"/>
    <w:rsid w:val="00B7345F"/>
    <w:rsid w:val="00B817CD"/>
    <w:rsid w:val="00B81D00"/>
    <w:rsid w:val="00B825BC"/>
    <w:rsid w:val="00B830CC"/>
    <w:rsid w:val="00B850F8"/>
    <w:rsid w:val="00B86916"/>
    <w:rsid w:val="00B87DA1"/>
    <w:rsid w:val="00B9105F"/>
    <w:rsid w:val="00B911B2"/>
    <w:rsid w:val="00B917E9"/>
    <w:rsid w:val="00B92195"/>
    <w:rsid w:val="00B92520"/>
    <w:rsid w:val="00B951D0"/>
    <w:rsid w:val="00B95DA2"/>
    <w:rsid w:val="00B97C6E"/>
    <w:rsid w:val="00BA231A"/>
    <w:rsid w:val="00BA2D00"/>
    <w:rsid w:val="00BA2FE8"/>
    <w:rsid w:val="00BB1F53"/>
    <w:rsid w:val="00BB29C8"/>
    <w:rsid w:val="00BB3A95"/>
    <w:rsid w:val="00BB42AD"/>
    <w:rsid w:val="00BB4491"/>
    <w:rsid w:val="00BB66DD"/>
    <w:rsid w:val="00BB6DD0"/>
    <w:rsid w:val="00BC00FB"/>
    <w:rsid w:val="00BC0382"/>
    <w:rsid w:val="00BC1DBF"/>
    <w:rsid w:val="00BC31AC"/>
    <w:rsid w:val="00BC401E"/>
    <w:rsid w:val="00BC6488"/>
    <w:rsid w:val="00BD11D6"/>
    <w:rsid w:val="00BD239D"/>
    <w:rsid w:val="00BD31E7"/>
    <w:rsid w:val="00BD50BD"/>
    <w:rsid w:val="00BD618D"/>
    <w:rsid w:val="00BD62C6"/>
    <w:rsid w:val="00BE34A3"/>
    <w:rsid w:val="00BE7042"/>
    <w:rsid w:val="00BE7870"/>
    <w:rsid w:val="00BF095D"/>
    <w:rsid w:val="00BF32A7"/>
    <w:rsid w:val="00BF3618"/>
    <w:rsid w:val="00BF4F16"/>
    <w:rsid w:val="00BF65C9"/>
    <w:rsid w:val="00C0018F"/>
    <w:rsid w:val="00C02828"/>
    <w:rsid w:val="00C03779"/>
    <w:rsid w:val="00C05634"/>
    <w:rsid w:val="00C07B4E"/>
    <w:rsid w:val="00C10393"/>
    <w:rsid w:val="00C14872"/>
    <w:rsid w:val="00C14874"/>
    <w:rsid w:val="00C166D0"/>
    <w:rsid w:val="00C16D39"/>
    <w:rsid w:val="00C20466"/>
    <w:rsid w:val="00C214ED"/>
    <w:rsid w:val="00C227EF"/>
    <w:rsid w:val="00C234E6"/>
    <w:rsid w:val="00C24E20"/>
    <w:rsid w:val="00C324A8"/>
    <w:rsid w:val="00C349B4"/>
    <w:rsid w:val="00C35C13"/>
    <w:rsid w:val="00C36662"/>
    <w:rsid w:val="00C40DF2"/>
    <w:rsid w:val="00C54517"/>
    <w:rsid w:val="00C55DBA"/>
    <w:rsid w:val="00C56E3C"/>
    <w:rsid w:val="00C60AEF"/>
    <w:rsid w:val="00C6240E"/>
    <w:rsid w:val="00C6439C"/>
    <w:rsid w:val="00C64CD8"/>
    <w:rsid w:val="00C720B0"/>
    <w:rsid w:val="00C73347"/>
    <w:rsid w:val="00C75E0E"/>
    <w:rsid w:val="00C75FF8"/>
    <w:rsid w:val="00C76A6C"/>
    <w:rsid w:val="00C80652"/>
    <w:rsid w:val="00C80A64"/>
    <w:rsid w:val="00C87447"/>
    <w:rsid w:val="00C90579"/>
    <w:rsid w:val="00C976EE"/>
    <w:rsid w:val="00C97C68"/>
    <w:rsid w:val="00CA18A2"/>
    <w:rsid w:val="00CA1A47"/>
    <w:rsid w:val="00CA36C5"/>
    <w:rsid w:val="00CA48CF"/>
    <w:rsid w:val="00CB1404"/>
    <w:rsid w:val="00CB1D84"/>
    <w:rsid w:val="00CB3537"/>
    <w:rsid w:val="00CB40E5"/>
    <w:rsid w:val="00CB615D"/>
    <w:rsid w:val="00CB6664"/>
    <w:rsid w:val="00CC247A"/>
    <w:rsid w:val="00CC41F6"/>
    <w:rsid w:val="00CD2733"/>
    <w:rsid w:val="00CD2A68"/>
    <w:rsid w:val="00CD2BC1"/>
    <w:rsid w:val="00CD3139"/>
    <w:rsid w:val="00CD4117"/>
    <w:rsid w:val="00CD7BC2"/>
    <w:rsid w:val="00CD7EC4"/>
    <w:rsid w:val="00CE5ACA"/>
    <w:rsid w:val="00CE5E47"/>
    <w:rsid w:val="00CE7A25"/>
    <w:rsid w:val="00CF020F"/>
    <w:rsid w:val="00CF269A"/>
    <w:rsid w:val="00CF2A29"/>
    <w:rsid w:val="00CF2B5B"/>
    <w:rsid w:val="00CF33C0"/>
    <w:rsid w:val="00CF4A84"/>
    <w:rsid w:val="00D00E2A"/>
    <w:rsid w:val="00D0723D"/>
    <w:rsid w:val="00D10D23"/>
    <w:rsid w:val="00D12A27"/>
    <w:rsid w:val="00D14CE0"/>
    <w:rsid w:val="00D217E0"/>
    <w:rsid w:val="00D233CB"/>
    <w:rsid w:val="00D27D0F"/>
    <w:rsid w:val="00D33DC1"/>
    <w:rsid w:val="00D36333"/>
    <w:rsid w:val="00D42CDE"/>
    <w:rsid w:val="00D42FEE"/>
    <w:rsid w:val="00D44DE2"/>
    <w:rsid w:val="00D45A9C"/>
    <w:rsid w:val="00D53EAE"/>
    <w:rsid w:val="00D541E4"/>
    <w:rsid w:val="00D5651D"/>
    <w:rsid w:val="00D56836"/>
    <w:rsid w:val="00D61378"/>
    <w:rsid w:val="00D62D8E"/>
    <w:rsid w:val="00D634E2"/>
    <w:rsid w:val="00D67A2E"/>
    <w:rsid w:val="00D71278"/>
    <w:rsid w:val="00D724BE"/>
    <w:rsid w:val="00D73CFE"/>
    <w:rsid w:val="00D74898"/>
    <w:rsid w:val="00D75941"/>
    <w:rsid w:val="00D75EB3"/>
    <w:rsid w:val="00D801ED"/>
    <w:rsid w:val="00D83BF5"/>
    <w:rsid w:val="00D8609B"/>
    <w:rsid w:val="00D864B0"/>
    <w:rsid w:val="00D87035"/>
    <w:rsid w:val="00D87E9C"/>
    <w:rsid w:val="00D91F0E"/>
    <w:rsid w:val="00D925C2"/>
    <w:rsid w:val="00D936BC"/>
    <w:rsid w:val="00D95534"/>
    <w:rsid w:val="00D9621A"/>
    <w:rsid w:val="00D96530"/>
    <w:rsid w:val="00D96B4B"/>
    <w:rsid w:val="00DA2345"/>
    <w:rsid w:val="00DA273A"/>
    <w:rsid w:val="00DA3AC1"/>
    <w:rsid w:val="00DA3AC4"/>
    <w:rsid w:val="00DA453A"/>
    <w:rsid w:val="00DA561A"/>
    <w:rsid w:val="00DA5C6F"/>
    <w:rsid w:val="00DA6B46"/>
    <w:rsid w:val="00DA7078"/>
    <w:rsid w:val="00DB1086"/>
    <w:rsid w:val="00DB2FB8"/>
    <w:rsid w:val="00DB4598"/>
    <w:rsid w:val="00DB4E0A"/>
    <w:rsid w:val="00DB71F7"/>
    <w:rsid w:val="00DB750F"/>
    <w:rsid w:val="00DC19DC"/>
    <w:rsid w:val="00DC2A65"/>
    <w:rsid w:val="00DC3758"/>
    <w:rsid w:val="00DC3FC1"/>
    <w:rsid w:val="00DC574F"/>
    <w:rsid w:val="00DC6EEA"/>
    <w:rsid w:val="00DD08B4"/>
    <w:rsid w:val="00DD44AF"/>
    <w:rsid w:val="00DE2AC3"/>
    <w:rsid w:val="00DE434C"/>
    <w:rsid w:val="00DE5692"/>
    <w:rsid w:val="00DE5E67"/>
    <w:rsid w:val="00DE7766"/>
    <w:rsid w:val="00DE79F1"/>
    <w:rsid w:val="00DF02A0"/>
    <w:rsid w:val="00DF1E46"/>
    <w:rsid w:val="00DF21DF"/>
    <w:rsid w:val="00DF2D60"/>
    <w:rsid w:val="00DF6F8E"/>
    <w:rsid w:val="00E02014"/>
    <w:rsid w:val="00E03C94"/>
    <w:rsid w:val="00E03CF8"/>
    <w:rsid w:val="00E06603"/>
    <w:rsid w:val="00E06AEA"/>
    <w:rsid w:val="00E07105"/>
    <w:rsid w:val="00E11115"/>
    <w:rsid w:val="00E12074"/>
    <w:rsid w:val="00E1307C"/>
    <w:rsid w:val="00E17BAD"/>
    <w:rsid w:val="00E21B22"/>
    <w:rsid w:val="00E239BD"/>
    <w:rsid w:val="00E241C9"/>
    <w:rsid w:val="00E26226"/>
    <w:rsid w:val="00E31B77"/>
    <w:rsid w:val="00E36441"/>
    <w:rsid w:val="00E36E67"/>
    <w:rsid w:val="00E378D8"/>
    <w:rsid w:val="00E4021C"/>
    <w:rsid w:val="00E4059F"/>
    <w:rsid w:val="00E4165C"/>
    <w:rsid w:val="00E422AC"/>
    <w:rsid w:val="00E425D0"/>
    <w:rsid w:val="00E45D05"/>
    <w:rsid w:val="00E528F8"/>
    <w:rsid w:val="00E5442B"/>
    <w:rsid w:val="00E55816"/>
    <w:rsid w:val="00E55AEF"/>
    <w:rsid w:val="00E61442"/>
    <w:rsid w:val="00E64B4B"/>
    <w:rsid w:val="00E66A93"/>
    <w:rsid w:val="00E71B64"/>
    <w:rsid w:val="00E81961"/>
    <w:rsid w:val="00E82877"/>
    <w:rsid w:val="00E83BBB"/>
    <w:rsid w:val="00E84088"/>
    <w:rsid w:val="00E90BE9"/>
    <w:rsid w:val="00E976C1"/>
    <w:rsid w:val="00EA025D"/>
    <w:rsid w:val="00EA07F0"/>
    <w:rsid w:val="00EA12E5"/>
    <w:rsid w:val="00EA2136"/>
    <w:rsid w:val="00EA36A2"/>
    <w:rsid w:val="00EA3D99"/>
    <w:rsid w:val="00EA66A4"/>
    <w:rsid w:val="00EB00F7"/>
    <w:rsid w:val="00EB0E5E"/>
    <w:rsid w:val="00EB2238"/>
    <w:rsid w:val="00EB4C45"/>
    <w:rsid w:val="00EC00DF"/>
    <w:rsid w:val="00EC0FC2"/>
    <w:rsid w:val="00EC3585"/>
    <w:rsid w:val="00EC6B65"/>
    <w:rsid w:val="00ED29AB"/>
    <w:rsid w:val="00ED335C"/>
    <w:rsid w:val="00ED44A8"/>
    <w:rsid w:val="00ED5AAF"/>
    <w:rsid w:val="00EE3198"/>
    <w:rsid w:val="00EE4646"/>
    <w:rsid w:val="00EE67EC"/>
    <w:rsid w:val="00EF33D5"/>
    <w:rsid w:val="00EF481F"/>
    <w:rsid w:val="00EF4D25"/>
    <w:rsid w:val="00F000EA"/>
    <w:rsid w:val="00F02766"/>
    <w:rsid w:val="00F03EB7"/>
    <w:rsid w:val="00F04067"/>
    <w:rsid w:val="00F0520E"/>
    <w:rsid w:val="00F05BD4"/>
    <w:rsid w:val="00F07F46"/>
    <w:rsid w:val="00F11A98"/>
    <w:rsid w:val="00F13242"/>
    <w:rsid w:val="00F1463E"/>
    <w:rsid w:val="00F15368"/>
    <w:rsid w:val="00F15E05"/>
    <w:rsid w:val="00F16F35"/>
    <w:rsid w:val="00F20CA2"/>
    <w:rsid w:val="00F21A1D"/>
    <w:rsid w:val="00F277F9"/>
    <w:rsid w:val="00F339E3"/>
    <w:rsid w:val="00F340C8"/>
    <w:rsid w:val="00F349CB"/>
    <w:rsid w:val="00F354F7"/>
    <w:rsid w:val="00F357E0"/>
    <w:rsid w:val="00F45892"/>
    <w:rsid w:val="00F53615"/>
    <w:rsid w:val="00F579D6"/>
    <w:rsid w:val="00F61818"/>
    <w:rsid w:val="00F623D9"/>
    <w:rsid w:val="00F64274"/>
    <w:rsid w:val="00F64DBC"/>
    <w:rsid w:val="00F659A6"/>
    <w:rsid w:val="00F65C19"/>
    <w:rsid w:val="00F6660F"/>
    <w:rsid w:val="00F66B3A"/>
    <w:rsid w:val="00F67276"/>
    <w:rsid w:val="00F7338B"/>
    <w:rsid w:val="00F7440E"/>
    <w:rsid w:val="00F76603"/>
    <w:rsid w:val="00F772D4"/>
    <w:rsid w:val="00F808C6"/>
    <w:rsid w:val="00F80F20"/>
    <w:rsid w:val="00F83F60"/>
    <w:rsid w:val="00F8476E"/>
    <w:rsid w:val="00F848EE"/>
    <w:rsid w:val="00F84DF8"/>
    <w:rsid w:val="00F91898"/>
    <w:rsid w:val="00F94FEF"/>
    <w:rsid w:val="00F971FB"/>
    <w:rsid w:val="00FA4CD4"/>
    <w:rsid w:val="00FA579C"/>
    <w:rsid w:val="00FA668B"/>
    <w:rsid w:val="00FB20E0"/>
    <w:rsid w:val="00FB34B9"/>
    <w:rsid w:val="00FC0BEF"/>
    <w:rsid w:val="00FC24DA"/>
    <w:rsid w:val="00FC4678"/>
    <w:rsid w:val="00FC6545"/>
    <w:rsid w:val="00FD0183"/>
    <w:rsid w:val="00FD037B"/>
    <w:rsid w:val="00FD2546"/>
    <w:rsid w:val="00FD772E"/>
    <w:rsid w:val="00FE3346"/>
    <w:rsid w:val="00FE3926"/>
    <w:rsid w:val="00FE48BE"/>
    <w:rsid w:val="00FE7205"/>
    <w:rsid w:val="00FE78C7"/>
    <w:rsid w:val="00FF21ED"/>
    <w:rsid w:val="00FF2A26"/>
    <w:rsid w:val="00FF3D55"/>
    <w:rsid w:val="00FF43AC"/>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F03247"/>
  <w15:docId w15:val="{2B1DDD2B-189C-45BE-AE9C-2EE3A3BA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Batang" w:hAnsi="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6441"/>
    <w:pPr>
      <w:tabs>
        <w:tab w:val="left" w:pos="1134"/>
        <w:tab w:val="left" w:pos="1871"/>
        <w:tab w:val="left" w:pos="2268"/>
      </w:tabs>
      <w:overflowPunct w:val="0"/>
      <w:autoSpaceDE w:val="0"/>
      <w:autoSpaceDN w:val="0"/>
      <w:adjustRightInd w:val="0"/>
      <w:spacing w:before="120"/>
      <w:textAlignment w:val="baseline"/>
    </w:pPr>
    <w:rPr>
      <w:rFonts w:asciiTheme="minorHAnsi" w:eastAsia="SimSun" w:hAnsiTheme="minorHAnsi"/>
      <w:sz w:val="24"/>
      <w:lang w:val="en-GB" w:eastAsia="en-US"/>
    </w:rPr>
  </w:style>
  <w:style w:type="paragraph" w:styleId="Heading1">
    <w:name w:val="heading 1"/>
    <w:basedOn w:val="Normal"/>
    <w:next w:val="Normal"/>
    <w:qFormat/>
    <w:rsid w:val="00CB3537"/>
    <w:pPr>
      <w:keepNext/>
      <w:keepLines/>
      <w:spacing w:before="280"/>
      <w:ind w:left="1134" w:hanging="1134"/>
      <w:outlineLvl w:val="0"/>
    </w:pPr>
    <w:rPr>
      <w:b/>
      <w:sz w:val="28"/>
    </w:rPr>
  </w:style>
  <w:style w:type="paragraph" w:styleId="Heading2">
    <w:name w:val="heading 2"/>
    <w:basedOn w:val="Heading1"/>
    <w:next w:val="Normal"/>
    <w:qFormat/>
    <w:rsid w:val="00CB3537"/>
    <w:pPr>
      <w:spacing w:before="200"/>
      <w:outlineLvl w:val="1"/>
    </w:pPr>
    <w:rPr>
      <w:sz w:val="24"/>
    </w:rPr>
  </w:style>
  <w:style w:type="paragraph" w:styleId="Heading3">
    <w:name w:val="heading 3"/>
    <w:basedOn w:val="Heading1"/>
    <w:next w:val="Normal"/>
    <w:qFormat/>
    <w:rsid w:val="00CB3537"/>
    <w:pPr>
      <w:tabs>
        <w:tab w:val="clear" w:pos="1134"/>
      </w:tabs>
      <w:spacing w:before="200"/>
      <w:outlineLvl w:val="2"/>
    </w:pPr>
    <w:rPr>
      <w:sz w:val="24"/>
    </w:rPr>
  </w:style>
  <w:style w:type="paragraph" w:styleId="Heading4">
    <w:name w:val="heading 4"/>
    <w:basedOn w:val="Heading3"/>
    <w:next w:val="Normal"/>
    <w:qFormat/>
    <w:rsid w:val="00CB3537"/>
    <w:pPr>
      <w:outlineLvl w:val="3"/>
    </w:pPr>
  </w:style>
  <w:style w:type="paragraph" w:styleId="Heading5">
    <w:name w:val="heading 5"/>
    <w:basedOn w:val="Heading4"/>
    <w:next w:val="Normal"/>
    <w:qFormat/>
    <w:rsid w:val="00CB3537"/>
    <w:pPr>
      <w:outlineLvl w:val="4"/>
    </w:pPr>
  </w:style>
  <w:style w:type="paragraph" w:styleId="Heading6">
    <w:name w:val="heading 6"/>
    <w:basedOn w:val="Heading4"/>
    <w:next w:val="Normal"/>
    <w:qFormat/>
    <w:rsid w:val="00CB3537"/>
    <w:pPr>
      <w:outlineLvl w:val="5"/>
    </w:pPr>
  </w:style>
  <w:style w:type="paragraph" w:styleId="Heading7">
    <w:name w:val="heading 7"/>
    <w:basedOn w:val="Heading6"/>
    <w:next w:val="Normal"/>
    <w:qFormat/>
    <w:rsid w:val="00CB3537"/>
    <w:pPr>
      <w:outlineLvl w:val="6"/>
    </w:pPr>
  </w:style>
  <w:style w:type="paragraph" w:styleId="Heading8">
    <w:name w:val="heading 8"/>
    <w:basedOn w:val="Heading6"/>
    <w:next w:val="Normal"/>
    <w:qFormat/>
    <w:rsid w:val="00CB3537"/>
    <w:pPr>
      <w:outlineLvl w:val="7"/>
    </w:pPr>
  </w:style>
  <w:style w:type="paragraph" w:styleId="Heading9">
    <w:name w:val="heading 9"/>
    <w:basedOn w:val="Heading6"/>
    <w:next w:val="Normal"/>
    <w:qFormat/>
    <w:rsid w:val="00CB353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D96B4B"/>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D96B4B"/>
    <w:pPr>
      <w:keepNext/>
      <w:keepLines/>
      <w:spacing w:before="240" w:after="280"/>
      <w:jc w:val="center"/>
    </w:pPr>
    <w:rPr>
      <w:b/>
      <w:sz w:val="28"/>
    </w:rPr>
  </w:style>
  <w:style w:type="character" w:customStyle="1" w:styleId="Appdef">
    <w:name w:val="App_def"/>
    <w:basedOn w:val="DefaultParagraphFont"/>
    <w:rsid w:val="00D96B4B"/>
    <w:rPr>
      <w:rFonts w:asciiTheme="minorHAnsi" w:hAnsiTheme="minorHAnsi"/>
      <w:b/>
    </w:rPr>
  </w:style>
  <w:style w:type="character" w:customStyle="1" w:styleId="Appref">
    <w:name w:val="App_ref"/>
    <w:basedOn w:val="DefaultParagraphFont"/>
    <w:rsid w:val="00D96B4B"/>
    <w:rPr>
      <w:rFonts w:asciiTheme="minorHAnsi" w:hAnsiTheme="minorHAnsi"/>
    </w:rPr>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D96B4B"/>
    <w:rPr>
      <w:rFonts w:asciiTheme="minorHAnsi" w:hAnsiTheme="minorHAnsi"/>
      <w:b/>
    </w:rPr>
  </w:style>
  <w:style w:type="paragraph" w:customStyle="1" w:styleId="Artheading">
    <w:name w:val="Art_heading"/>
    <w:basedOn w:val="Normal"/>
    <w:next w:val="Normal"/>
    <w:rsid w:val="00D96B4B"/>
    <w:pPr>
      <w:spacing w:before="480"/>
      <w:jc w:val="center"/>
    </w:pPr>
    <w:rPr>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rsid w:val="00D96B4B"/>
    <w:rPr>
      <w:rFonts w:asciiTheme="minorHAnsi" w:hAnsiTheme="minorHAnsi"/>
    </w:rPr>
  </w:style>
  <w:style w:type="paragraph" w:customStyle="1" w:styleId="Arttitle">
    <w:name w:val="Art_title"/>
    <w:basedOn w:val="Normal"/>
    <w:next w:val="Normal"/>
    <w:rsid w:val="00745AEE"/>
    <w:pPr>
      <w:keepNext/>
      <w:keepLines/>
      <w:spacing w:before="240"/>
      <w:jc w:val="center"/>
    </w:pPr>
    <w:rPr>
      <w:b/>
      <w:sz w:val="28"/>
    </w:rPr>
  </w:style>
  <w:style w:type="paragraph" w:customStyle="1" w:styleId="Call">
    <w:name w:val="Call"/>
    <w:basedOn w:val="Normal"/>
    <w:next w:val="Normal"/>
    <w:rsid w:val="00BF32A7"/>
    <w:pPr>
      <w:keepNext/>
      <w:keepLines/>
      <w:spacing w:before="160"/>
      <w:ind w:left="1134"/>
    </w:pPr>
    <w:rPr>
      <w:rFonts w:eastAsia="STKaiti"/>
    </w:rPr>
  </w:style>
  <w:style w:type="paragraph" w:customStyle="1" w:styleId="ChapNo">
    <w:name w:val="Chap_No"/>
    <w:basedOn w:val="ArtNo"/>
    <w:next w:val="Normal"/>
    <w:rsid w:val="00D96B4B"/>
    <w:rPr>
      <w:b/>
    </w:rPr>
  </w:style>
  <w:style w:type="paragraph" w:customStyle="1" w:styleId="Chaptitle">
    <w:name w:val="Chap_title"/>
    <w:basedOn w:val="Arttitle"/>
    <w:next w:val="Normal"/>
    <w:rsid w:val="00745AEE"/>
  </w:style>
  <w:style w:type="paragraph" w:customStyle="1" w:styleId="enumlev1">
    <w:name w:val="enumlev1"/>
    <w:basedOn w:val="Normal"/>
    <w:link w:val="enumlev1Char"/>
    <w:qFormat/>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2154A6"/>
    <w:pPr>
      <w:keepNext/>
      <w:keepLines/>
      <w:spacing w:before="0" w:after="480"/>
      <w:jc w:val="center"/>
    </w:pPr>
    <w:rPr>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Ref,de nota al pie,Style 12,(NECG) Footnote Reference,Style 124,o,fr,Style 13,FR,Style 17,Appel note de bas de p + 11 pt,Italic,Footnote,Appel note de bas de p1,Style 3"/>
    <w:basedOn w:val="DefaultParagraphFont"/>
    <w:qFormat/>
    <w:rsid w:val="002154A6"/>
    <w:rPr>
      <w:rFonts w:asciiTheme="minorHAnsi" w:hAnsiTheme="minorHAnsi"/>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qFormat/>
    <w:rsid w:val="00745AEE"/>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qFormat/>
    <w:rsid w:val="00745AEE"/>
    <w:rPr>
      <w:rFonts w:ascii="Times New Roman" w:hAnsi="Times New Roman"/>
      <w:sz w:val="24"/>
      <w:lang w:val="en-GB" w:eastAsia="en-US"/>
    </w:rPr>
  </w:style>
  <w:style w:type="paragraph" w:styleId="Header">
    <w:name w:val="header"/>
    <w:basedOn w:val="Normal"/>
    <w:link w:val="HeaderChar"/>
    <w:rsid w:val="00745AEE"/>
    <w:pPr>
      <w:spacing w:before="0"/>
      <w:jc w:val="center"/>
    </w:pPr>
    <w:rPr>
      <w:sz w:val="18"/>
    </w:rPr>
  </w:style>
  <w:style w:type="character" w:customStyle="1" w:styleId="HeaderChar">
    <w:name w:val="Header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link w:val="NormalaftertitleChar"/>
    <w:rsid w:val="00190B55"/>
    <w:pPr>
      <w:spacing w:before="280"/>
    </w:pPr>
  </w:style>
  <w:style w:type="paragraph" w:customStyle="1" w:styleId="Section1">
    <w:name w:val="Section_1"/>
    <w:basedOn w:val="Normal"/>
    <w:rsid w:val="00190B55"/>
    <w:pPr>
      <w:tabs>
        <w:tab w:val="clear" w:pos="1134"/>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1134"/>
        <w:tab w:val="left" w:pos="2268"/>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D96B4B"/>
    <w:rPr>
      <w:rFonts w:asciiTheme="minorHAnsi" w:hAnsiTheme="minorHAnsi"/>
      <w:b/>
      <w:color w:val="auto"/>
      <w:sz w:val="20"/>
    </w:rPr>
  </w:style>
  <w:style w:type="paragraph" w:customStyle="1" w:styleId="Tablehead">
    <w:name w:val="Table_head"/>
    <w:basedOn w:val="Normal"/>
    <w:rsid w:val="00D96B4B"/>
    <w:pPr>
      <w:keepNext/>
      <w:spacing w:before="80" w:after="80"/>
      <w:jc w:val="center"/>
    </w:pPr>
    <w:rPr>
      <w:rFonts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DE5692"/>
    <w:pPr>
      <w:keepNext/>
      <w:spacing w:before="240"/>
    </w:pPr>
    <w:rPr>
      <w:rFonts w:hAnsi="Times New Roman Bold"/>
    </w:rPr>
  </w:style>
  <w:style w:type="paragraph" w:customStyle="1" w:styleId="Reasons">
    <w:name w:val="Reasons"/>
    <w:basedOn w:val="Normal"/>
    <w:rsid w:val="00DE5692"/>
    <w:pPr>
      <w:tabs>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D96B4B"/>
    <w:pPr>
      <w:keepNext/>
      <w:keepLines/>
      <w:spacing w:before="240"/>
      <w:jc w:val="center"/>
    </w:pPr>
    <w:rPr>
      <w:b/>
      <w:sz w:val="28"/>
    </w:rPr>
  </w:style>
  <w:style w:type="paragraph" w:styleId="TOC1">
    <w:name w:val="toc 1"/>
    <w:basedOn w:val="Normal"/>
    <w:rsid w:val="001D058F"/>
    <w:pPr>
      <w:keepLines/>
      <w:tabs>
        <w:tab w:val="clear" w:pos="1134"/>
        <w:tab w:val="clear" w:pos="2268"/>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1D058F"/>
    <w:pPr>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rsid w:val="001D058F"/>
    <w:pPr>
      <w:tabs>
        <w:tab w:val="left" w:pos="284"/>
        <w:tab w:val="left" w:pos="851"/>
        <w:tab w:val="left" w:pos="1418"/>
        <w:tab w:val="left" w:pos="1985"/>
        <w:tab w:val="left" w:pos="2552"/>
        <w:tab w:val="left" w:pos="3119"/>
        <w:tab w:val="left" w:pos="3402"/>
        <w:tab w:val="left" w:pos="3686"/>
        <w:tab w:val="left" w:pos="3969"/>
      </w:tabs>
      <w:spacing w:before="40" w:after="40"/>
    </w:pPr>
    <w:rPr>
      <w:sz w:val="20"/>
    </w:rPr>
  </w:style>
  <w:style w:type="paragraph" w:customStyle="1" w:styleId="Tabletitle">
    <w:name w:val="Table_title"/>
    <w:basedOn w:val="Normal"/>
    <w:next w:val="Tabletext"/>
    <w:rsid w:val="00D96B4B"/>
    <w:pPr>
      <w:keepNext/>
      <w:keepLines/>
      <w:spacing w:before="0" w:after="120"/>
      <w:jc w:val="center"/>
    </w:pPr>
    <w:rPr>
      <w:b/>
      <w:sz w:val="20"/>
    </w:rPr>
  </w:style>
  <w:style w:type="paragraph" w:customStyle="1" w:styleId="Headingi">
    <w:name w:val="Heading_i"/>
    <w:basedOn w:val="Normal"/>
    <w:next w:val="Normal"/>
    <w:qFormat/>
    <w:rsid w:val="0062421D"/>
    <w:pPr>
      <w:spacing w:before="160"/>
    </w:pPr>
    <w:rPr>
      <w:rFonts w:eastAsia="STKaiti"/>
    </w:rPr>
  </w:style>
  <w:style w:type="paragraph" w:customStyle="1" w:styleId="Headingb">
    <w:name w:val="Heading_b"/>
    <w:basedOn w:val="Normal"/>
    <w:next w:val="Normal"/>
    <w:qFormat/>
    <w:rsid w:val="00D96B4B"/>
    <w:pPr>
      <w:spacing w:before="160"/>
    </w:pPr>
    <w:rPr>
      <w:rFonts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96B4B"/>
    <w:pPr>
      <w:spacing w:before="240"/>
    </w:pPr>
    <w:rPr>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styleId="ListParagraph">
    <w:name w:val="List Paragraph"/>
    <w:aliases w:val="List Paragraph1,Recommendation,List Paragraph11,O5,Para_sk,Resume Title,- Bullets,Equipment,Numbered Indented Text,Figure_name"/>
    <w:basedOn w:val="Normal"/>
    <w:link w:val="ListParagraphChar"/>
    <w:uiPriority w:val="34"/>
    <w:qFormat/>
    <w:rsid w:val="00D925C2"/>
    <w:pPr>
      <w:ind w:left="720"/>
      <w:contextualSpacing/>
    </w:pPr>
  </w:style>
  <w:style w:type="paragraph" w:customStyle="1" w:styleId="Opiniontitle">
    <w:name w:val="Opinion_title"/>
    <w:basedOn w:val="Rectitle"/>
    <w:next w:val="Normalaftertitle"/>
    <w:qFormat/>
    <w:rsid w:val="00152957"/>
  </w:style>
  <w:style w:type="paragraph" w:customStyle="1" w:styleId="OpinionNo">
    <w:name w:val="Opinion_No"/>
    <w:basedOn w:val="RecNo"/>
    <w:next w:val="Opiniontitle"/>
    <w:qFormat/>
    <w:rsid w:val="00152957"/>
  </w:style>
  <w:style w:type="paragraph" w:customStyle="1" w:styleId="Volumetitle">
    <w:name w:val="Volume_title"/>
    <w:basedOn w:val="Normal"/>
    <w:qFormat/>
    <w:rsid w:val="007D45E3"/>
    <w:pPr>
      <w:tabs>
        <w:tab w:val="clear" w:pos="1134"/>
        <w:tab w:val="clear" w:pos="2268"/>
      </w:tabs>
      <w:overflowPunct/>
      <w:autoSpaceDE/>
      <w:autoSpaceDN/>
      <w:adjustRightInd/>
      <w:spacing w:before="0"/>
      <w:textAlignment w:val="auto"/>
    </w:pPr>
    <w:rPr>
      <w:b/>
      <w:sz w:val="28"/>
      <w:lang w:val="en-US"/>
    </w:rPr>
  </w:style>
  <w:style w:type="paragraph" w:styleId="BalloonText">
    <w:name w:val="Balloon Text"/>
    <w:basedOn w:val="Normal"/>
    <w:link w:val="BalloonTextChar"/>
    <w:rsid w:val="004131D4"/>
    <w:pPr>
      <w:spacing w:before="0"/>
    </w:pPr>
    <w:rPr>
      <w:rFonts w:ascii="Tahoma" w:hAnsi="Tahoma" w:cs="Tahoma"/>
      <w:sz w:val="16"/>
      <w:szCs w:val="16"/>
    </w:rPr>
  </w:style>
  <w:style w:type="character" w:customStyle="1" w:styleId="BalloonTextChar">
    <w:name w:val="Balloon Text Char"/>
    <w:basedOn w:val="DefaultParagraphFont"/>
    <w:link w:val="BalloonText"/>
    <w:rsid w:val="004131D4"/>
    <w:rPr>
      <w:rFonts w:ascii="Tahoma" w:hAnsi="Tahoma" w:cs="Tahoma"/>
      <w:sz w:val="16"/>
      <w:szCs w:val="16"/>
      <w:lang w:val="en-GB" w:eastAsia="en-US"/>
    </w:rPr>
  </w:style>
  <w:style w:type="paragraph" w:customStyle="1" w:styleId="Committee">
    <w:name w:val="Committee"/>
    <w:basedOn w:val="Normal"/>
    <w:qFormat/>
    <w:rsid w:val="004131D4"/>
    <w:pPr>
      <w:framePr w:hSpace="180" w:wrap="around" w:hAnchor="margin" w:y="-675"/>
      <w:tabs>
        <w:tab w:val="left" w:pos="851"/>
      </w:tabs>
      <w:spacing w:before="0" w:line="240" w:lineRule="atLeast"/>
    </w:pPr>
    <w:rPr>
      <w:rFonts w:cstheme="minorHAnsi"/>
      <w:b/>
      <w:szCs w:val="24"/>
    </w:rPr>
  </w:style>
  <w:style w:type="character" w:styleId="Hyperlink">
    <w:name w:val="Hyperlink"/>
    <w:aliases w:val="CEO_Hyperlink,超级链接,超?级链,Style 58,超????,하이퍼링크2,超链接1,超?级链?,Style?,S,하이퍼링크21,ECC Hyperlink"/>
    <w:uiPriority w:val="99"/>
    <w:qFormat/>
    <w:rsid w:val="00D83BF5"/>
    <w:rPr>
      <w:color w:val="0000FF"/>
      <w:u w:val="single"/>
    </w:rPr>
  </w:style>
  <w:style w:type="character" w:customStyle="1" w:styleId="NormalaftertitleChar">
    <w:name w:val="Normal after title Char"/>
    <w:basedOn w:val="DefaultParagraphFont"/>
    <w:link w:val="Normalaftertitle"/>
    <w:locked/>
    <w:rsid w:val="00D83BF5"/>
    <w:rPr>
      <w:rFonts w:asciiTheme="minorHAnsi" w:hAnsiTheme="minorHAnsi"/>
      <w:sz w:val="24"/>
      <w:lang w:val="en-GB" w:eastAsia="en-US"/>
    </w:rPr>
  </w:style>
  <w:style w:type="table" w:styleId="TableGrid">
    <w:name w:val="Table Grid"/>
    <w:basedOn w:val="TableNormal"/>
    <w:rsid w:val="001E252D"/>
    <w:rPr>
      <w:rFonts w:ascii="CG Times" w:hAnsi="CG Tim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List Paragraph1 Char,Recommendation Char,List Paragraph11 Char,O5 Char,Para_sk Char,Resume Title Char,- Bullets Char,Equipment Char,Numbered Indented Text Char,Figure_name Char"/>
    <w:link w:val="ListParagraph"/>
    <w:uiPriority w:val="34"/>
    <w:qFormat/>
    <w:rsid w:val="003F1363"/>
    <w:rPr>
      <w:rFonts w:asciiTheme="minorHAnsi" w:hAnsiTheme="minorHAnsi"/>
      <w:sz w:val="24"/>
      <w:lang w:val="en-GB" w:eastAsia="en-US"/>
    </w:rPr>
  </w:style>
  <w:style w:type="character" w:styleId="FollowedHyperlink">
    <w:name w:val="FollowedHyperlink"/>
    <w:basedOn w:val="DefaultParagraphFont"/>
    <w:semiHidden/>
    <w:unhideWhenUsed/>
    <w:rsid w:val="00412C81"/>
    <w:rPr>
      <w:color w:val="800080" w:themeColor="followedHyperlink"/>
      <w:u w:val="single"/>
    </w:rPr>
  </w:style>
  <w:style w:type="paragraph" w:customStyle="1" w:styleId="Default">
    <w:name w:val="Default"/>
    <w:rsid w:val="00DB4598"/>
    <w:pPr>
      <w:autoSpaceDE w:val="0"/>
      <w:autoSpaceDN w:val="0"/>
      <w:adjustRightInd w:val="0"/>
    </w:pPr>
    <w:rPr>
      <w:rFonts w:ascii="Verdana" w:hAnsi="Verdana" w:cs="Verdana"/>
      <w:color w:val="000000"/>
      <w:sz w:val="24"/>
      <w:szCs w:val="24"/>
      <w:lang w:val="en-GB"/>
    </w:rPr>
  </w:style>
  <w:style w:type="paragraph" w:customStyle="1" w:styleId="CEOcontributionStart">
    <w:name w:val="CEO_contributionStart"/>
    <w:basedOn w:val="Normal"/>
    <w:rsid w:val="003C1870"/>
    <w:pPr>
      <w:tabs>
        <w:tab w:val="clear" w:pos="1134"/>
        <w:tab w:val="clear" w:pos="1871"/>
        <w:tab w:val="clear" w:pos="2268"/>
      </w:tabs>
      <w:overflowPunct/>
      <w:autoSpaceDE/>
      <w:autoSpaceDN/>
      <w:adjustRightInd/>
      <w:spacing w:before="360" w:after="120"/>
      <w:textAlignment w:val="auto"/>
    </w:pPr>
    <w:rPr>
      <w:rFonts w:ascii="Verdana" w:eastAsia="SimHei" w:hAnsi="Verdana" w:cs="Simplified Arabic"/>
      <w:sz w:val="19"/>
      <w:szCs w:val="19"/>
    </w:rPr>
  </w:style>
  <w:style w:type="character" w:styleId="CommentReference">
    <w:name w:val="annotation reference"/>
    <w:basedOn w:val="DefaultParagraphFont"/>
    <w:semiHidden/>
    <w:unhideWhenUsed/>
    <w:rsid w:val="006747D8"/>
    <w:rPr>
      <w:sz w:val="16"/>
      <w:szCs w:val="16"/>
    </w:rPr>
  </w:style>
  <w:style w:type="paragraph" w:styleId="CommentText">
    <w:name w:val="annotation text"/>
    <w:basedOn w:val="Normal"/>
    <w:link w:val="CommentTextChar"/>
    <w:unhideWhenUsed/>
    <w:rsid w:val="006747D8"/>
    <w:rPr>
      <w:sz w:val="20"/>
    </w:rPr>
  </w:style>
  <w:style w:type="character" w:customStyle="1" w:styleId="CommentTextChar">
    <w:name w:val="Comment Text Char"/>
    <w:basedOn w:val="DefaultParagraphFont"/>
    <w:link w:val="CommentText"/>
    <w:rsid w:val="006747D8"/>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6747D8"/>
    <w:rPr>
      <w:b/>
      <w:bCs/>
    </w:rPr>
  </w:style>
  <w:style w:type="character" w:customStyle="1" w:styleId="CommentSubjectChar">
    <w:name w:val="Comment Subject Char"/>
    <w:basedOn w:val="CommentTextChar"/>
    <w:link w:val="CommentSubject"/>
    <w:semiHidden/>
    <w:rsid w:val="006747D8"/>
    <w:rPr>
      <w:rFonts w:asciiTheme="minorHAnsi" w:hAnsiTheme="minorHAnsi"/>
      <w:b/>
      <w:bCs/>
      <w:lang w:val="en-GB" w:eastAsia="en-US"/>
    </w:rPr>
  </w:style>
  <w:style w:type="paragraph" w:styleId="Revision">
    <w:name w:val="Revision"/>
    <w:hidden/>
    <w:uiPriority w:val="99"/>
    <w:semiHidden/>
    <w:rsid w:val="006747D8"/>
    <w:rPr>
      <w:rFonts w:asciiTheme="minorHAnsi" w:hAnsiTheme="minorHAnsi"/>
      <w:sz w:val="24"/>
      <w:lang w:val="en-GB" w:eastAsia="en-US"/>
    </w:rPr>
  </w:style>
  <w:style w:type="character" w:customStyle="1" w:styleId="UnresolvedMention1">
    <w:name w:val="Unresolved Mention1"/>
    <w:basedOn w:val="DefaultParagraphFont"/>
    <w:uiPriority w:val="99"/>
    <w:semiHidden/>
    <w:unhideWhenUsed/>
    <w:rsid w:val="006449A5"/>
    <w:rPr>
      <w:color w:val="605E5C"/>
      <w:shd w:val="clear" w:color="auto" w:fill="E1DFDD"/>
    </w:rPr>
  </w:style>
  <w:style w:type="paragraph" w:customStyle="1" w:styleId="CEOAgendaItemN">
    <w:name w:val="CEO_AgendaItemN°"/>
    <w:basedOn w:val="Normal"/>
    <w:rsid w:val="00BF4F16"/>
    <w:pPr>
      <w:tabs>
        <w:tab w:val="clear" w:pos="1134"/>
        <w:tab w:val="clear" w:pos="1871"/>
        <w:tab w:val="clear" w:pos="2268"/>
      </w:tabs>
      <w:overflowPunct/>
      <w:autoSpaceDE/>
      <w:autoSpaceDN/>
      <w:adjustRightInd/>
      <w:spacing w:before="60" w:after="60"/>
      <w:ind w:right="12"/>
      <w:jc w:val="right"/>
      <w:textAlignment w:val="auto"/>
    </w:pPr>
    <w:rPr>
      <w:rFonts w:ascii="Verdana" w:eastAsia="SimHei" w:hAnsi="Verdana" w:cs="Simplified Arabic"/>
      <w:bCs/>
      <w:sz w:val="19"/>
      <w:szCs w:val="19"/>
      <w:lang w:val="en-US"/>
    </w:rPr>
  </w:style>
  <w:style w:type="character" w:customStyle="1" w:styleId="enumlev1Char">
    <w:name w:val="enumlev1 Char"/>
    <w:link w:val="enumlev1"/>
    <w:qFormat/>
    <w:rsid w:val="00A62F73"/>
    <w:rPr>
      <w:rFonts w:asciiTheme="minorHAnsi" w:hAnsiTheme="minorHAnsi"/>
      <w:sz w:val="24"/>
      <w:lang w:val="en-GB" w:eastAsia="en-US"/>
    </w:rPr>
  </w:style>
  <w:style w:type="character" w:customStyle="1" w:styleId="UnresolvedMention2">
    <w:name w:val="Unresolved Mention2"/>
    <w:basedOn w:val="DefaultParagraphFont"/>
    <w:uiPriority w:val="99"/>
    <w:semiHidden/>
    <w:unhideWhenUsed/>
    <w:rsid w:val="00B7345F"/>
    <w:rPr>
      <w:color w:val="605E5C"/>
      <w:shd w:val="clear" w:color="auto" w:fill="E1DFDD"/>
    </w:rPr>
  </w:style>
  <w:style w:type="paragraph" w:styleId="HTMLPreformatted">
    <w:name w:val="HTML Preformatted"/>
    <w:basedOn w:val="Normal"/>
    <w:link w:val="HTMLPreformattedChar"/>
    <w:uiPriority w:val="99"/>
    <w:unhideWhenUsed/>
    <w:qFormat/>
    <w:rsid w:val="00636181"/>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GulimChe" w:eastAsia="GulimChe" w:hAnsi="GulimChe"/>
      <w:szCs w:val="24"/>
      <w:lang w:val="zh-CN" w:eastAsia="zh-CN"/>
    </w:rPr>
  </w:style>
  <w:style w:type="character" w:customStyle="1" w:styleId="HTMLPreformattedChar">
    <w:name w:val="HTML Preformatted Char"/>
    <w:basedOn w:val="DefaultParagraphFont"/>
    <w:link w:val="HTMLPreformatted"/>
    <w:uiPriority w:val="99"/>
    <w:qFormat/>
    <w:rsid w:val="00636181"/>
    <w:rPr>
      <w:rFonts w:ascii="GulimChe" w:eastAsia="GulimChe" w:hAnsi="GulimChe"/>
      <w:sz w:val="24"/>
      <w:szCs w:val="24"/>
      <w:lang w:val="zh-CN"/>
    </w:rPr>
  </w:style>
  <w:style w:type="character" w:styleId="UnresolvedMention">
    <w:name w:val="Unresolved Mention"/>
    <w:basedOn w:val="DefaultParagraphFont"/>
    <w:uiPriority w:val="99"/>
    <w:semiHidden/>
    <w:unhideWhenUsed/>
    <w:rsid w:val="00D10D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6998">
      <w:bodyDiv w:val="1"/>
      <w:marLeft w:val="0"/>
      <w:marRight w:val="0"/>
      <w:marTop w:val="0"/>
      <w:marBottom w:val="0"/>
      <w:divBdr>
        <w:top w:val="none" w:sz="0" w:space="0" w:color="auto"/>
        <w:left w:val="none" w:sz="0" w:space="0" w:color="auto"/>
        <w:bottom w:val="none" w:sz="0" w:space="0" w:color="auto"/>
        <w:right w:val="none" w:sz="0" w:space="0" w:color="auto"/>
      </w:divBdr>
    </w:div>
    <w:div w:id="297612129">
      <w:bodyDiv w:val="1"/>
      <w:marLeft w:val="0"/>
      <w:marRight w:val="0"/>
      <w:marTop w:val="0"/>
      <w:marBottom w:val="0"/>
      <w:divBdr>
        <w:top w:val="none" w:sz="0" w:space="0" w:color="auto"/>
        <w:left w:val="none" w:sz="0" w:space="0" w:color="auto"/>
        <w:bottom w:val="none" w:sz="0" w:space="0" w:color="auto"/>
        <w:right w:val="none" w:sz="0" w:space="0" w:color="auto"/>
      </w:divBdr>
    </w:div>
    <w:div w:id="353574869">
      <w:bodyDiv w:val="1"/>
      <w:marLeft w:val="0"/>
      <w:marRight w:val="0"/>
      <w:marTop w:val="0"/>
      <w:marBottom w:val="0"/>
      <w:divBdr>
        <w:top w:val="none" w:sz="0" w:space="0" w:color="auto"/>
        <w:left w:val="none" w:sz="0" w:space="0" w:color="auto"/>
        <w:bottom w:val="none" w:sz="0" w:space="0" w:color="auto"/>
        <w:right w:val="none" w:sz="0" w:space="0" w:color="auto"/>
      </w:divBdr>
    </w:div>
    <w:div w:id="452552559">
      <w:bodyDiv w:val="1"/>
      <w:marLeft w:val="0"/>
      <w:marRight w:val="0"/>
      <w:marTop w:val="0"/>
      <w:marBottom w:val="0"/>
      <w:divBdr>
        <w:top w:val="none" w:sz="0" w:space="0" w:color="auto"/>
        <w:left w:val="none" w:sz="0" w:space="0" w:color="auto"/>
        <w:bottom w:val="none" w:sz="0" w:space="0" w:color="auto"/>
        <w:right w:val="none" w:sz="0" w:space="0" w:color="auto"/>
      </w:divBdr>
    </w:div>
    <w:div w:id="452796831">
      <w:bodyDiv w:val="1"/>
      <w:marLeft w:val="0"/>
      <w:marRight w:val="0"/>
      <w:marTop w:val="0"/>
      <w:marBottom w:val="0"/>
      <w:divBdr>
        <w:top w:val="none" w:sz="0" w:space="0" w:color="auto"/>
        <w:left w:val="none" w:sz="0" w:space="0" w:color="auto"/>
        <w:bottom w:val="none" w:sz="0" w:space="0" w:color="auto"/>
        <w:right w:val="none" w:sz="0" w:space="0" w:color="auto"/>
      </w:divBdr>
    </w:div>
    <w:div w:id="667026217">
      <w:bodyDiv w:val="1"/>
      <w:marLeft w:val="0"/>
      <w:marRight w:val="0"/>
      <w:marTop w:val="0"/>
      <w:marBottom w:val="0"/>
      <w:divBdr>
        <w:top w:val="none" w:sz="0" w:space="0" w:color="auto"/>
        <w:left w:val="none" w:sz="0" w:space="0" w:color="auto"/>
        <w:bottom w:val="none" w:sz="0" w:space="0" w:color="auto"/>
        <w:right w:val="none" w:sz="0" w:space="0" w:color="auto"/>
      </w:divBdr>
    </w:div>
    <w:div w:id="1228954848">
      <w:bodyDiv w:val="1"/>
      <w:marLeft w:val="0"/>
      <w:marRight w:val="0"/>
      <w:marTop w:val="0"/>
      <w:marBottom w:val="0"/>
      <w:divBdr>
        <w:top w:val="none" w:sz="0" w:space="0" w:color="auto"/>
        <w:left w:val="none" w:sz="0" w:space="0" w:color="auto"/>
        <w:bottom w:val="none" w:sz="0" w:space="0" w:color="auto"/>
        <w:right w:val="none" w:sz="0" w:space="0" w:color="auto"/>
      </w:divBdr>
    </w:div>
    <w:div w:id="1633516485">
      <w:bodyDiv w:val="1"/>
      <w:marLeft w:val="0"/>
      <w:marRight w:val="0"/>
      <w:marTop w:val="0"/>
      <w:marBottom w:val="0"/>
      <w:divBdr>
        <w:top w:val="none" w:sz="0" w:space="0" w:color="auto"/>
        <w:left w:val="none" w:sz="0" w:space="0" w:color="auto"/>
        <w:bottom w:val="none" w:sz="0" w:space="0" w:color="auto"/>
        <w:right w:val="none" w:sz="0" w:space="0" w:color="auto"/>
      </w:divBdr>
    </w:div>
    <w:div w:id="1945571481">
      <w:bodyDiv w:val="1"/>
      <w:marLeft w:val="0"/>
      <w:marRight w:val="0"/>
      <w:marTop w:val="0"/>
      <w:marBottom w:val="0"/>
      <w:divBdr>
        <w:top w:val="none" w:sz="0" w:space="0" w:color="auto"/>
        <w:left w:val="none" w:sz="0" w:space="0" w:color="auto"/>
        <w:bottom w:val="none" w:sz="0" w:space="0" w:color="auto"/>
        <w:right w:val="none" w:sz="0" w:space="0" w:color="auto"/>
      </w:divBdr>
    </w:div>
    <w:div w:id="2000844044">
      <w:bodyDiv w:val="1"/>
      <w:marLeft w:val="0"/>
      <w:marRight w:val="0"/>
      <w:marTop w:val="0"/>
      <w:marBottom w:val="0"/>
      <w:divBdr>
        <w:top w:val="none" w:sz="0" w:space="0" w:color="auto"/>
        <w:left w:val="none" w:sz="0" w:space="0" w:color="auto"/>
        <w:bottom w:val="none" w:sz="0" w:space="0" w:color="auto"/>
        <w:right w:val="none" w:sz="0" w:space="0" w:color="auto"/>
      </w:divBdr>
    </w:div>
    <w:div w:id="210884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stephen.bereaux@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Props1.xml><?xml version="1.0" encoding="utf-8"?>
<ds:datastoreItem xmlns:ds="http://schemas.openxmlformats.org/officeDocument/2006/customXml" ds:itemID="{91D358B6-82FD-4ED4-B974-7341365ED933}">
  <ds:schemaRefs>
    <ds:schemaRef ds:uri="http://schemas.microsoft.com/sharepoint/v3/contenttype/forms"/>
  </ds:schemaRefs>
</ds:datastoreItem>
</file>

<file path=customXml/itemProps2.xml><?xml version="1.0" encoding="utf-8"?>
<ds:datastoreItem xmlns:ds="http://schemas.openxmlformats.org/officeDocument/2006/customXml" ds:itemID="{8BE38F01-714C-463B-9700-C16DFC2B9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12A876-AB41-4784-9C7F-CAA56FAF5040}">
  <ds:schemaRefs>
    <ds:schemaRef ds:uri="http://schemas.openxmlformats.org/officeDocument/2006/bibliography"/>
  </ds:schemaRefs>
</ds:datastoreItem>
</file>

<file path=customXml/itemProps4.xml><?xml version="1.0" encoding="utf-8"?>
<ds:datastoreItem xmlns:ds="http://schemas.openxmlformats.org/officeDocument/2006/customXml" ds:itemID="{8A7C67D6-CEFE-4AFE-8EC3-4585BFEF5BAE}">
  <ds:schemaRefs>
    <ds:schemaRef ds:uri="http://schemas.microsoft.com/office/2006/metadata/properties"/>
    <ds:schemaRef ds:uri="http://schemas.microsoft.com/office/infopath/2007/PartnerControls"/>
    <ds:schemaRef ds:uri="d4ea696a-cca3-460b-a983-57ac2621983a"/>
    <ds:schemaRef ds:uri="29399490-13b9-4c73-b71e-403b715b75a7"/>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5</Pages>
  <Words>3413</Words>
  <Characters>723</Characters>
  <Application>Microsoft Office Word</Application>
  <DocSecurity>0</DocSecurity>
  <Lines>6</Lines>
  <Paragraphs>8</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
  <LinksUpToDate>false</LinksUpToDate>
  <CharactersWithSpaces>4128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LING-C (ZB)</dc:creator>
  <cp:lastModifiedBy>LING-C (ZB)</cp:lastModifiedBy>
  <cp:revision>3</cp:revision>
  <cp:lastPrinted>2019-01-16T07:57:00Z</cp:lastPrinted>
  <dcterms:created xsi:type="dcterms:W3CDTF">2026-03-12T09:53:00Z</dcterms:created>
  <dcterms:modified xsi:type="dcterms:W3CDTF">2026-03-12T13:52:00Z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0x0101000421F7F6C5263B4B928A068E40912AB8</vt:lpwstr>
  </property>
  <property fmtid="{D5CDD505-2E9C-101B-9397-08002B2CF9AE}" pid="10" name="_dlc_DocIdItemGuid">
    <vt:lpwstr>1277586e-23f4-4a9c-8b22-c68c4fc349db</vt:lpwstr>
  </property>
  <property fmtid="{D5CDD505-2E9C-101B-9397-08002B2CF9AE}" pid="11" name="Mendeley Recent Style Id 0_1">
    <vt:lpwstr>http://www.zotero.org/styles/american-medical-association</vt:lpwstr>
  </property>
  <property fmtid="{D5CDD505-2E9C-101B-9397-08002B2CF9AE}" pid="12" name="Mendeley Recent Style Name 0_1">
    <vt:lpwstr>American Medical Association</vt:lpwstr>
  </property>
  <property fmtid="{D5CDD505-2E9C-101B-9397-08002B2CF9AE}" pid="13" name="Mendeley Recent Style Id 1_1">
    <vt:lpwstr>http://www.zotero.org/styles/american-political-science-association</vt:lpwstr>
  </property>
  <property fmtid="{D5CDD505-2E9C-101B-9397-08002B2CF9AE}" pid="14" name="Mendeley Recent Style Name 1_1">
    <vt:lpwstr>American Political Science Association</vt:lpwstr>
  </property>
  <property fmtid="{D5CDD505-2E9C-101B-9397-08002B2CF9AE}" pid="15" name="Mendeley Recent Style Id 2_1">
    <vt:lpwstr>http://www.zotero.org/styles/apa</vt:lpwstr>
  </property>
  <property fmtid="{D5CDD505-2E9C-101B-9397-08002B2CF9AE}" pid="16" name="Mendeley Recent Style Name 2_1">
    <vt:lpwstr>American Psychological Association 6th edition</vt:lpwstr>
  </property>
  <property fmtid="{D5CDD505-2E9C-101B-9397-08002B2CF9AE}" pid="17" name="Mendeley Recent Style Id 3_1">
    <vt:lpwstr>http://www.zotero.org/styles/american-sociological-association</vt:lpwstr>
  </property>
  <property fmtid="{D5CDD505-2E9C-101B-9397-08002B2CF9AE}" pid="18" name="Mendeley Recent Style Name 3_1">
    <vt:lpwstr>American Sociological Association</vt:lpwstr>
  </property>
  <property fmtid="{D5CDD505-2E9C-101B-9397-08002B2CF9AE}" pid="19" name="Mendeley Recent Style Id 4_1">
    <vt:lpwstr>http://www.zotero.org/styles/chicago-author-date</vt:lpwstr>
  </property>
  <property fmtid="{D5CDD505-2E9C-101B-9397-08002B2CF9AE}" pid="20" name="Mendeley Recent Style Name 4_1">
    <vt:lpwstr>Chicago Manual of Style 16th edition (author-date)</vt:lpwstr>
  </property>
  <property fmtid="{D5CDD505-2E9C-101B-9397-08002B2CF9AE}" pid="21" name="Mendeley Recent Style Id 5_1">
    <vt:lpwstr>http://www.zotero.org/styles/harvard1</vt:lpwstr>
  </property>
  <property fmtid="{D5CDD505-2E9C-101B-9397-08002B2CF9AE}" pid="22" name="Mendeley Recent Style Name 5_1">
    <vt:lpwstr>Harvard Reference format 1 (author-date)</vt:lpwstr>
  </property>
  <property fmtid="{D5CDD505-2E9C-101B-9397-08002B2CF9AE}" pid="23" name="Mendeley Recent Style Id 6_1">
    <vt:lpwstr>http://www.zotero.org/styles/ieee</vt:lpwstr>
  </property>
  <property fmtid="{D5CDD505-2E9C-101B-9397-08002B2CF9AE}" pid="24" name="Mendeley Recent Style Name 6_1">
    <vt:lpwstr>IEEE</vt:lpwstr>
  </property>
  <property fmtid="{D5CDD505-2E9C-101B-9397-08002B2CF9AE}" pid="25" name="Mendeley Recent Style Id 7_1">
    <vt:lpwstr>http://www.zotero.org/styles/modern-humanities-research-association</vt:lpwstr>
  </property>
  <property fmtid="{D5CDD505-2E9C-101B-9397-08002B2CF9AE}" pid="26" name="Mendeley Recent Style Name 7_1">
    <vt:lpwstr>Modern Humanities Research Association 3rd edition (note with bibliography)</vt:lpwstr>
  </property>
  <property fmtid="{D5CDD505-2E9C-101B-9397-08002B2CF9AE}" pid="27" name="Mendeley Recent Style Id 8_1">
    <vt:lpwstr>http://www.zotero.org/styles/modern-language-association</vt:lpwstr>
  </property>
  <property fmtid="{D5CDD505-2E9C-101B-9397-08002B2CF9AE}" pid="28" name="Mendeley Recent Style Name 8_1">
    <vt:lpwstr>Modern Language Association 7th edition</vt:lpwstr>
  </property>
  <property fmtid="{D5CDD505-2E9C-101B-9397-08002B2CF9AE}" pid="29" name="Mendeley Recent Style Id 9_1">
    <vt:lpwstr>http://www.zotero.org/styles/nature</vt:lpwstr>
  </property>
  <property fmtid="{D5CDD505-2E9C-101B-9397-08002B2CF9AE}" pid="30" name="Mendeley Recent Style Name 9_1">
    <vt:lpwstr>Nature</vt:lpwstr>
  </property>
  <property fmtid="{D5CDD505-2E9C-101B-9397-08002B2CF9AE}" pid="31" name="MediaServiceImageTags">
    <vt:lpwstr/>
  </property>
  <property fmtid="{D5CDD505-2E9C-101B-9397-08002B2CF9AE}" pid="32" name="docLang">
    <vt:lpwstr>en</vt:lpwstr>
  </property>
</Properties>
</file>