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5000"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6660"/>
        <w:gridCol w:w="1559"/>
        <w:gridCol w:w="1420"/>
      </w:tblGrid>
      <w:tr w:rsidR="00105EF4" w:rsidRPr="00783A69" w14:paraId="610E3F32" w14:textId="77777777" w:rsidTr="004F5BCA">
        <w:trPr>
          <w:cantSplit/>
          <w:trHeight w:val="1310"/>
          <w:jc w:val="center"/>
        </w:trPr>
        <w:tc>
          <w:tcPr>
            <w:tcW w:w="8219" w:type="dxa"/>
            <w:gridSpan w:val="2"/>
            <w:tcBorders>
              <w:bottom w:val="single" w:sz="12" w:space="0" w:color="auto"/>
            </w:tcBorders>
            <w:vAlign w:val="center"/>
          </w:tcPr>
          <w:p w14:paraId="4B5D5CE9" w14:textId="77777777" w:rsidR="00105EF4" w:rsidRDefault="00105EF4" w:rsidP="00AD1E92">
            <w:pPr>
              <w:jc w:val="left"/>
              <w:rPr>
                <w:b/>
                <w:bCs/>
                <w:sz w:val="32"/>
                <w:szCs w:val="32"/>
                <w:lang w:bidi="ar-EG"/>
              </w:rPr>
            </w:pPr>
            <w:r w:rsidRPr="00C85CB5">
              <w:rPr>
                <w:rFonts w:hint="cs"/>
                <w:b/>
                <w:bCs/>
                <w:sz w:val="32"/>
                <w:szCs w:val="32"/>
                <w:rtl/>
                <w:lang w:bidi="ar-EG"/>
              </w:rPr>
              <w:t xml:space="preserve">الفريق الاستشاري لتنمية الاتصالات </w:t>
            </w:r>
            <w:r w:rsidRPr="00C85CB5">
              <w:rPr>
                <w:b/>
                <w:bCs/>
                <w:sz w:val="32"/>
                <w:szCs w:val="32"/>
                <w:lang w:bidi="ar-EG"/>
              </w:rPr>
              <w:t>(TDAG)</w:t>
            </w:r>
          </w:p>
          <w:p w14:paraId="57C22A57" w14:textId="77777777" w:rsidR="00105EF4" w:rsidRPr="00457D22" w:rsidRDefault="00105EF4" w:rsidP="00AD1E92">
            <w:pPr>
              <w:jc w:val="left"/>
              <w:rPr>
                <w:b/>
                <w:bCs/>
                <w:sz w:val="28"/>
                <w:szCs w:val="28"/>
                <w:rtl/>
                <w:lang w:bidi="ar-EG"/>
              </w:rPr>
            </w:pPr>
            <w:r w:rsidRPr="00457D22">
              <w:rPr>
                <w:b/>
                <w:bCs/>
                <w:sz w:val="26"/>
                <w:szCs w:val="26"/>
                <w:rtl/>
              </w:rPr>
              <w:t xml:space="preserve">الاجتماع </w:t>
            </w:r>
            <w:r>
              <w:rPr>
                <w:rFonts w:hint="cs"/>
                <w:b/>
                <w:bCs/>
                <w:sz w:val="26"/>
                <w:szCs w:val="26"/>
                <w:rtl/>
              </w:rPr>
              <w:t xml:space="preserve">الثالث </w:t>
            </w:r>
            <w:r w:rsidRPr="00457D22">
              <w:rPr>
                <w:b/>
                <w:bCs/>
                <w:sz w:val="26"/>
                <w:szCs w:val="26"/>
                <w:rtl/>
              </w:rPr>
              <w:t xml:space="preserve">والثلاثون، جنيف، سويسرا، </w:t>
            </w:r>
            <w:r>
              <w:rPr>
                <w:b/>
                <w:bCs/>
                <w:sz w:val="26"/>
                <w:szCs w:val="26"/>
              </w:rPr>
              <w:t>10-7</w:t>
            </w:r>
            <w:r>
              <w:rPr>
                <w:rFonts w:hint="cs"/>
                <w:b/>
                <w:bCs/>
                <w:sz w:val="26"/>
                <w:szCs w:val="26"/>
                <w:rtl/>
                <w:lang w:bidi="ar-EG"/>
              </w:rPr>
              <w:t xml:space="preserve"> أبريل </w:t>
            </w:r>
            <w:r>
              <w:rPr>
                <w:b/>
                <w:bCs/>
                <w:sz w:val="26"/>
                <w:szCs w:val="26"/>
              </w:rPr>
              <w:t>2026</w:t>
            </w:r>
          </w:p>
        </w:tc>
        <w:tc>
          <w:tcPr>
            <w:tcW w:w="1420" w:type="dxa"/>
            <w:tcBorders>
              <w:bottom w:val="single" w:sz="12" w:space="0" w:color="auto"/>
            </w:tcBorders>
            <w:vAlign w:val="center"/>
          </w:tcPr>
          <w:p w14:paraId="4EDF2153" w14:textId="77777777" w:rsidR="00105EF4" w:rsidRPr="00783A69" w:rsidRDefault="00105EF4" w:rsidP="00AD1E92">
            <w:pPr>
              <w:jc w:val="center"/>
              <w:rPr>
                <w:lang w:val="en-GB" w:bidi="ar-EG"/>
              </w:rPr>
            </w:pPr>
            <w:bookmarkStart w:id="0" w:name="ditulogo"/>
            <w:bookmarkEnd w:id="0"/>
            <w:r>
              <w:rPr>
                <w:noProof/>
                <w:lang w:val="fr-FR" w:eastAsia="fr-FR"/>
              </w:rPr>
              <w:drawing>
                <wp:inline distT="0" distB="0" distL="0" distR="0" wp14:anchorId="41956B11" wp14:editId="1C393056">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CA08BA" w:rsidRPr="00783A69" w14:paraId="7744798C" w14:textId="77777777" w:rsidTr="00AD1E92">
        <w:trPr>
          <w:cantSplit/>
          <w:jc w:val="center"/>
        </w:trPr>
        <w:tc>
          <w:tcPr>
            <w:tcW w:w="6660" w:type="dxa"/>
            <w:tcBorders>
              <w:top w:val="single" w:sz="12" w:space="0" w:color="auto"/>
            </w:tcBorders>
          </w:tcPr>
          <w:p w14:paraId="7A9B5D64" w14:textId="77777777" w:rsidR="00CA08BA" w:rsidRPr="00783A69" w:rsidRDefault="00CA08BA" w:rsidP="00B93B7B">
            <w:pPr>
              <w:spacing w:before="20" w:after="20" w:line="300" w:lineRule="exact"/>
              <w:rPr>
                <w:b/>
                <w:bCs/>
                <w:rtl/>
                <w:lang w:bidi="ar-EG"/>
              </w:rPr>
            </w:pPr>
          </w:p>
        </w:tc>
        <w:tc>
          <w:tcPr>
            <w:tcW w:w="2979" w:type="dxa"/>
            <w:gridSpan w:val="2"/>
            <w:tcBorders>
              <w:top w:val="single" w:sz="12" w:space="0" w:color="auto"/>
            </w:tcBorders>
          </w:tcPr>
          <w:p w14:paraId="355ACBAD" w14:textId="77777777" w:rsidR="00CA08BA" w:rsidRPr="00C85CB5" w:rsidRDefault="00CA08BA" w:rsidP="00B93B7B">
            <w:pPr>
              <w:spacing w:before="20" w:after="20" w:line="300" w:lineRule="exact"/>
              <w:rPr>
                <w:b/>
                <w:bCs/>
                <w:highlight w:val="yellow"/>
                <w:rtl/>
                <w:lang w:bidi="ar-EG"/>
              </w:rPr>
            </w:pPr>
          </w:p>
        </w:tc>
      </w:tr>
      <w:tr w:rsidR="00783A69" w:rsidRPr="00783A69" w14:paraId="0CBA9731" w14:textId="77777777" w:rsidTr="00AD1E92">
        <w:trPr>
          <w:cantSplit/>
          <w:jc w:val="center"/>
        </w:trPr>
        <w:tc>
          <w:tcPr>
            <w:tcW w:w="6660" w:type="dxa"/>
          </w:tcPr>
          <w:p w14:paraId="18F7D790" w14:textId="77777777" w:rsidR="00783A69" w:rsidRPr="00783A69" w:rsidRDefault="00783A69" w:rsidP="00B93B7B">
            <w:pPr>
              <w:spacing w:before="20" w:after="20" w:line="300" w:lineRule="exact"/>
              <w:rPr>
                <w:b/>
                <w:bCs/>
                <w:rtl/>
                <w:lang w:bidi="ar-EG"/>
              </w:rPr>
            </w:pPr>
          </w:p>
        </w:tc>
        <w:tc>
          <w:tcPr>
            <w:tcW w:w="2979" w:type="dxa"/>
            <w:gridSpan w:val="2"/>
          </w:tcPr>
          <w:p w14:paraId="771571C5" w14:textId="2E2D5F20" w:rsidR="00783A69" w:rsidRPr="00153471" w:rsidRDefault="00783A69" w:rsidP="006B266A">
            <w:pPr>
              <w:spacing w:before="20" w:after="20" w:line="300" w:lineRule="exact"/>
              <w:rPr>
                <w:b/>
                <w:bCs/>
                <w:rtl/>
                <w:lang w:bidi="ar-SY"/>
              </w:rPr>
            </w:pPr>
            <w:r w:rsidRPr="00153471">
              <w:rPr>
                <w:rFonts w:hint="cs"/>
                <w:b/>
                <w:bCs/>
                <w:rtl/>
                <w:lang w:bidi="ar-EG"/>
              </w:rPr>
              <w:t xml:space="preserve">الوثيقة </w:t>
            </w:r>
            <w:r w:rsidRPr="00153471">
              <w:rPr>
                <w:b/>
                <w:bCs/>
                <w:lang w:bidi="ar-EG"/>
              </w:rPr>
              <w:t>TDAG-</w:t>
            </w:r>
            <w:r w:rsidR="006B266A">
              <w:rPr>
                <w:b/>
                <w:bCs/>
                <w:lang w:bidi="ar-EG"/>
              </w:rPr>
              <w:t>2</w:t>
            </w:r>
            <w:r w:rsidR="00105EF4">
              <w:rPr>
                <w:b/>
                <w:bCs/>
                <w:lang w:bidi="ar-EG"/>
              </w:rPr>
              <w:t>6</w:t>
            </w:r>
            <w:r w:rsidR="008562F3" w:rsidRPr="006B266A">
              <w:rPr>
                <w:b/>
                <w:bCs/>
                <w:lang w:bidi="ar-EG"/>
              </w:rPr>
              <w:t>/</w:t>
            </w:r>
            <w:r w:rsidR="00C4430E">
              <w:rPr>
                <w:b/>
                <w:bCs/>
                <w:lang w:bidi="ar-EG"/>
              </w:rPr>
              <w:t>18</w:t>
            </w:r>
            <w:r w:rsidRPr="00153471">
              <w:rPr>
                <w:b/>
                <w:bCs/>
                <w:lang w:bidi="ar-EG"/>
              </w:rPr>
              <w:t>-A</w:t>
            </w:r>
          </w:p>
        </w:tc>
      </w:tr>
      <w:tr w:rsidR="00783A69" w:rsidRPr="00783A69" w14:paraId="2BFE5158" w14:textId="77777777" w:rsidTr="00AD1E92">
        <w:trPr>
          <w:cantSplit/>
          <w:jc w:val="center"/>
        </w:trPr>
        <w:tc>
          <w:tcPr>
            <w:tcW w:w="6660" w:type="dxa"/>
          </w:tcPr>
          <w:p w14:paraId="6D46F9C1" w14:textId="77777777" w:rsidR="00783A69" w:rsidRPr="00783A69" w:rsidRDefault="00783A69" w:rsidP="00B93B7B">
            <w:pPr>
              <w:spacing w:before="20" w:after="20" w:line="300" w:lineRule="exact"/>
              <w:rPr>
                <w:b/>
                <w:bCs/>
              </w:rPr>
            </w:pPr>
          </w:p>
        </w:tc>
        <w:tc>
          <w:tcPr>
            <w:tcW w:w="2979" w:type="dxa"/>
            <w:gridSpan w:val="2"/>
          </w:tcPr>
          <w:p w14:paraId="56E861D7" w14:textId="3D60126F" w:rsidR="00783A69" w:rsidRPr="00C85CB5" w:rsidRDefault="00C4430E" w:rsidP="00B319BC">
            <w:pPr>
              <w:spacing w:before="20" w:after="20" w:line="300" w:lineRule="exact"/>
              <w:rPr>
                <w:b/>
                <w:bCs/>
                <w:highlight w:val="yellow"/>
                <w:rtl/>
              </w:rPr>
            </w:pPr>
            <w:r>
              <w:rPr>
                <w:b/>
                <w:bCs/>
                <w:lang w:bidi="ar-EG"/>
              </w:rPr>
              <w:t>3</w:t>
            </w:r>
            <w:r w:rsidR="00783A69" w:rsidRPr="006B266A">
              <w:rPr>
                <w:rFonts w:hint="cs"/>
                <w:b/>
                <w:bCs/>
                <w:rtl/>
                <w:lang w:bidi="ar-EG"/>
              </w:rPr>
              <w:t xml:space="preserve"> </w:t>
            </w:r>
            <w:r>
              <w:rPr>
                <w:rFonts w:hint="cs"/>
                <w:b/>
                <w:bCs/>
                <w:rtl/>
                <w:lang w:bidi="ar-EG"/>
              </w:rPr>
              <w:t>مارس</w:t>
            </w:r>
            <w:r w:rsidR="00783A69" w:rsidRPr="006B266A">
              <w:rPr>
                <w:rFonts w:hint="cs"/>
                <w:b/>
                <w:bCs/>
                <w:rtl/>
                <w:lang w:bidi="ar-EG"/>
              </w:rPr>
              <w:t xml:space="preserve"> </w:t>
            </w:r>
            <w:r w:rsidR="00105EF4">
              <w:rPr>
                <w:b/>
                <w:bCs/>
                <w:lang w:bidi="ar-EG"/>
              </w:rPr>
              <w:t>2026</w:t>
            </w:r>
          </w:p>
        </w:tc>
      </w:tr>
      <w:tr w:rsidR="00783A69" w:rsidRPr="00783A69" w14:paraId="32D1DCD1" w14:textId="77777777" w:rsidTr="00AD1E92">
        <w:trPr>
          <w:cantSplit/>
          <w:jc w:val="center"/>
        </w:trPr>
        <w:tc>
          <w:tcPr>
            <w:tcW w:w="6660" w:type="dxa"/>
          </w:tcPr>
          <w:p w14:paraId="56836772" w14:textId="77777777" w:rsidR="00783A69" w:rsidRPr="00783A69" w:rsidRDefault="00783A69" w:rsidP="00B93B7B">
            <w:pPr>
              <w:spacing w:before="20" w:after="20" w:line="300" w:lineRule="exact"/>
              <w:rPr>
                <w:b/>
                <w:bCs/>
                <w:lang w:bidi="ar-EG"/>
              </w:rPr>
            </w:pPr>
          </w:p>
        </w:tc>
        <w:tc>
          <w:tcPr>
            <w:tcW w:w="2979" w:type="dxa"/>
            <w:gridSpan w:val="2"/>
          </w:tcPr>
          <w:p w14:paraId="0A246F63" w14:textId="77777777" w:rsidR="00783A69" w:rsidRPr="00153471" w:rsidRDefault="00783A69" w:rsidP="00B93B7B">
            <w:pPr>
              <w:spacing w:before="20" w:after="20" w:line="300" w:lineRule="exact"/>
              <w:rPr>
                <w:b/>
                <w:bCs/>
                <w:rtl/>
                <w:lang w:bidi="ar-EG"/>
              </w:rPr>
            </w:pPr>
            <w:r w:rsidRPr="00153471">
              <w:rPr>
                <w:rFonts w:hint="cs"/>
                <w:b/>
                <w:bCs/>
                <w:rtl/>
                <w:lang w:bidi="ar-EG"/>
              </w:rPr>
              <w:t>الأصل: بالإنكليزية</w:t>
            </w:r>
          </w:p>
        </w:tc>
      </w:tr>
      <w:tr w:rsidR="00783A69" w:rsidRPr="00783A69" w14:paraId="0109200E" w14:textId="77777777" w:rsidTr="00EE5CF2">
        <w:trPr>
          <w:cantSplit/>
          <w:jc w:val="center"/>
        </w:trPr>
        <w:tc>
          <w:tcPr>
            <w:tcW w:w="9639" w:type="dxa"/>
            <w:gridSpan w:val="3"/>
          </w:tcPr>
          <w:p w14:paraId="38110C14" w14:textId="4D6F848B" w:rsidR="00783A69" w:rsidRPr="00783A69" w:rsidRDefault="00C4430E" w:rsidP="00C4430E">
            <w:pPr>
              <w:pStyle w:val="Source"/>
            </w:pPr>
            <w:r w:rsidRPr="00C4430E">
              <w:rPr>
                <w:sz w:val="28"/>
                <w:szCs w:val="28"/>
                <w:rtl/>
              </w:rPr>
              <w:t>مدير مكتب تنمية الاتصالات</w:t>
            </w:r>
          </w:p>
        </w:tc>
      </w:tr>
      <w:tr w:rsidR="00783A69" w:rsidRPr="00783A69" w14:paraId="0D1EF2CD" w14:textId="77777777" w:rsidTr="00EE5CF2">
        <w:trPr>
          <w:cantSplit/>
          <w:jc w:val="center"/>
        </w:trPr>
        <w:tc>
          <w:tcPr>
            <w:tcW w:w="9639" w:type="dxa"/>
            <w:gridSpan w:val="3"/>
          </w:tcPr>
          <w:p w14:paraId="561F62D2" w14:textId="42050AED" w:rsidR="00783A69" w:rsidRPr="00783A69" w:rsidRDefault="00C4430E" w:rsidP="00C4430E">
            <w:pPr>
              <w:pStyle w:val="Title1"/>
              <w:rPr>
                <w:lang w:bidi="ar-EG"/>
              </w:rPr>
            </w:pPr>
            <w:r w:rsidRPr="00C4430E">
              <w:rPr>
                <w:rtl/>
              </w:rPr>
              <w:t>الفريق الاستشاري لتنمية الاتصالات: نطاق العمل وأساليبه</w:t>
            </w:r>
          </w:p>
        </w:tc>
      </w:tr>
    </w:tbl>
    <w:p w14:paraId="77555F9C" w14:textId="77777777" w:rsidR="00EE5CF2" w:rsidRDefault="00EE5CF2"/>
    <w:tbl>
      <w:tblPr>
        <w:bidiVisual/>
        <w:tblW w:w="5008" w:type="pct"/>
        <w:jc w:val="center"/>
        <w:tblLayout w:type="fixed"/>
        <w:tblLook w:val="0000" w:firstRow="0" w:lastRow="0" w:firstColumn="0" w:lastColumn="0" w:noHBand="0" w:noVBand="0"/>
        <w:tblCaption w:val="معلومات عن الوثيقة (لجنة الدراسات، الاجتماع، المسألة، المصدر، العنوان)"/>
      </w:tblPr>
      <w:tblGrid>
        <w:gridCol w:w="9638"/>
      </w:tblGrid>
      <w:tr w:rsidR="00783A69" w:rsidRPr="00153471" w14:paraId="7FDB3DBA" w14:textId="77777777" w:rsidTr="006B266A">
        <w:trPr>
          <w:cantSplit/>
          <w:jc w:val="center"/>
        </w:trPr>
        <w:tc>
          <w:tcPr>
            <w:tcW w:w="9638" w:type="dxa"/>
            <w:tcBorders>
              <w:top w:val="single" w:sz="6" w:space="0" w:color="auto"/>
              <w:left w:val="single" w:sz="6" w:space="0" w:color="auto"/>
              <w:bottom w:val="single" w:sz="6" w:space="0" w:color="auto"/>
              <w:right w:val="single" w:sz="6" w:space="0" w:color="auto"/>
            </w:tcBorders>
          </w:tcPr>
          <w:p w14:paraId="2141EC45" w14:textId="77777777" w:rsidR="00783A69" w:rsidRPr="00153471" w:rsidRDefault="00783A69" w:rsidP="00EE5CF2">
            <w:pPr>
              <w:rPr>
                <w:b/>
                <w:bCs/>
                <w:rtl/>
                <w:lang w:bidi="ar-SY"/>
              </w:rPr>
            </w:pPr>
            <w:r w:rsidRPr="00153471">
              <w:rPr>
                <w:rFonts w:hint="cs"/>
                <w:b/>
                <w:bCs/>
                <w:rtl/>
                <w:lang w:bidi="ar-SY"/>
              </w:rPr>
              <w:t>ملخص</w:t>
            </w:r>
            <w:r w:rsidR="005874F2" w:rsidRPr="00153471">
              <w:rPr>
                <w:rFonts w:hint="cs"/>
                <w:b/>
                <w:bCs/>
                <w:rtl/>
                <w:lang w:bidi="ar-SY"/>
              </w:rPr>
              <w:t>:</w:t>
            </w:r>
          </w:p>
          <w:p w14:paraId="37492E68" w14:textId="51CBC306" w:rsidR="00FE75FD" w:rsidRPr="00FE75FD" w:rsidRDefault="00FE75FD" w:rsidP="0010520F">
            <w:pPr>
              <w:rPr>
                <w:color w:val="000000"/>
              </w:rPr>
            </w:pPr>
            <w:r w:rsidRPr="00FE75FD">
              <w:rPr>
                <w:color w:val="000000"/>
                <w:rtl/>
              </w:rPr>
              <w:t>تحدد اتفاقية الاتحاد الدولي للاتصالات مهام الفريق الاستشاري لتنمية الاتصالات</w:t>
            </w:r>
            <w:r w:rsidR="0010520F">
              <w:rPr>
                <w:rFonts w:hint="cs"/>
                <w:color w:val="000000"/>
                <w:rtl/>
                <w:lang w:bidi="ar-EG"/>
              </w:rPr>
              <w:t xml:space="preserve"> </w:t>
            </w:r>
            <w:r w:rsidR="0010520F" w:rsidRPr="0010520F">
              <w:rPr>
                <w:color w:val="000000"/>
                <w:lang w:val="en-GB" w:bidi="ar-EG"/>
              </w:rPr>
              <w:t>(TDAG)</w:t>
            </w:r>
            <w:r w:rsidRPr="00FE75FD">
              <w:rPr>
                <w:color w:val="000000"/>
                <w:rtl/>
              </w:rPr>
              <w:t>. يحدد القـرار 24 (المراجَع في باكو، 2025) والمعنون "تفويض الفريق الاستشاري لتنمية الاتصالات للتصرف بين المؤتمرات العالمية لتنمية الاتصالات" نطاق عمل الفريق الاستشاري لتنمية الاتصالات.</w:t>
            </w:r>
          </w:p>
          <w:p w14:paraId="7911CBA2" w14:textId="19128C1B" w:rsidR="00783A69" w:rsidRPr="006B266A" w:rsidRDefault="00C4430E" w:rsidP="00C4430E">
            <w:pPr>
              <w:rPr>
                <w:rtl/>
                <w:lang w:val="en-GB"/>
              </w:rPr>
            </w:pPr>
            <w:r>
              <w:rPr>
                <w:color w:val="000000"/>
                <w:rtl/>
              </w:rPr>
              <w:t>وتقدم هذه الوثيقة ملخصاً لنطاق عمل الفريق الاستشاري لتنمية الاتصالات وأساليب عمله.</w:t>
            </w:r>
          </w:p>
          <w:p w14:paraId="3ABE0B60" w14:textId="77777777" w:rsidR="00783A69" w:rsidRPr="00E43176" w:rsidRDefault="00783A69" w:rsidP="00EE5CF2">
            <w:pPr>
              <w:rPr>
                <w:rtl/>
                <w:lang w:bidi="ar-SY"/>
              </w:rPr>
            </w:pPr>
            <w:r w:rsidRPr="00153471">
              <w:rPr>
                <w:rFonts w:hint="cs"/>
                <w:b/>
                <w:bCs/>
                <w:rtl/>
                <w:lang w:bidi="ar-SY"/>
              </w:rPr>
              <w:t>الإجراء المطلوب</w:t>
            </w:r>
            <w:r w:rsidR="005874F2" w:rsidRPr="00153471">
              <w:rPr>
                <w:rFonts w:hint="cs"/>
                <w:b/>
                <w:bCs/>
                <w:rtl/>
                <w:lang w:bidi="ar-SY"/>
              </w:rPr>
              <w:t>:</w:t>
            </w:r>
          </w:p>
          <w:p w14:paraId="27C72FBA" w14:textId="77777777" w:rsidR="004F0F62" w:rsidRPr="004F0F62" w:rsidRDefault="00105EF4" w:rsidP="00105EF4">
            <w:pPr>
              <w:rPr>
                <w:color w:val="000000"/>
                <w:rtl/>
                <w:lang w:bidi="ar-EG"/>
              </w:rPr>
            </w:pPr>
            <w:r w:rsidRPr="00105EF4">
              <w:rPr>
                <w:color w:val="000000"/>
                <w:rtl/>
              </w:rPr>
              <w:t>يُدعى الفريق الاستشاري لتنمية الاتصالات إلى الإحاطة علماً بهذه الوثيقة وتقديم التوجيهات التي يراها مناسبة.</w:t>
            </w:r>
          </w:p>
          <w:p w14:paraId="1F7EC1D9" w14:textId="77777777" w:rsidR="00783A69" w:rsidRPr="00153471" w:rsidRDefault="00783A69" w:rsidP="00EE5CF2">
            <w:pPr>
              <w:rPr>
                <w:b/>
                <w:bCs/>
                <w:rtl/>
                <w:lang w:bidi="ar-SY"/>
              </w:rPr>
            </w:pPr>
            <w:r w:rsidRPr="00153471">
              <w:rPr>
                <w:rFonts w:hint="cs"/>
                <w:b/>
                <w:bCs/>
                <w:rtl/>
                <w:lang w:bidi="ar-SY"/>
              </w:rPr>
              <w:t>المراجع</w:t>
            </w:r>
            <w:r w:rsidR="005874F2" w:rsidRPr="00153471">
              <w:rPr>
                <w:rFonts w:hint="cs"/>
                <w:b/>
                <w:bCs/>
                <w:rtl/>
                <w:lang w:bidi="ar-SY"/>
              </w:rPr>
              <w:t>:</w:t>
            </w:r>
          </w:p>
          <w:p w14:paraId="5CDF5C0D" w14:textId="6C4E4C81" w:rsidR="00783A69" w:rsidRPr="00153471" w:rsidRDefault="00C4430E" w:rsidP="00C4430E">
            <w:pPr>
              <w:rPr>
                <w:rtl/>
              </w:rPr>
            </w:pPr>
            <w:r w:rsidRPr="00C4430E">
              <w:rPr>
                <w:rtl/>
                <w:lang w:val="en-GB"/>
              </w:rPr>
              <w:t>الأرقام 17A و213A و215C و215JA من اتفاقية الاتحاد، والقرار 24 (المرا</w:t>
            </w:r>
            <w:r w:rsidR="00E61B39">
              <w:rPr>
                <w:rFonts w:hint="cs"/>
                <w:rtl/>
                <w:lang w:val="en-GB"/>
              </w:rPr>
              <w:t>جَ</w:t>
            </w:r>
            <w:r w:rsidRPr="00C4430E">
              <w:rPr>
                <w:rtl/>
                <w:lang w:val="en-GB"/>
              </w:rPr>
              <w:t>ع في باكو، 2025) للمؤتمر العالمي لتنمية الاتصالات، والقرار 1 (</w:t>
            </w:r>
            <w:r w:rsidR="00E61B39" w:rsidRPr="00C4430E">
              <w:rPr>
                <w:rtl/>
                <w:lang w:val="en-GB"/>
              </w:rPr>
              <w:t>المرا</w:t>
            </w:r>
            <w:r w:rsidR="00E61B39">
              <w:rPr>
                <w:rFonts w:hint="cs"/>
                <w:rtl/>
                <w:lang w:val="en-GB"/>
              </w:rPr>
              <w:t>جَ</w:t>
            </w:r>
            <w:r w:rsidR="00E61B39" w:rsidRPr="00C4430E">
              <w:rPr>
                <w:rtl/>
                <w:lang w:val="en-GB"/>
              </w:rPr>
              <w:t xml:space="preserve">ع </w:t>
            </w:r>
            <w:r w:rsidRPr="00C4430E">
              <w:rPr>
                <w:rtl/>
                <w:lang w:val="en-GB"/>
              </w:rPr>
              <w:t>في باكو، 2025) للمؤتمر العالمي لتنمية الاتصالات، وخطة عمل باكو.</w:t>
            </w:r>
          </w:p>
        </w:tc>
      </w:tr>
    </w:tbl>
    <w:p w14:paraId="18DC1510" w14:textId="77777777" w:rsidR="00882A17" w:rsidRDefault="00882A17" w:rsidP="00C4430E">
      <w:pPr>
        <w:rPr>
          <w:lang w:bidi="ar-EG"/>
        </w:rPr>
      </w:pPr>
      <w:r>
        <w:rPr>
          <w:rtl/>
          <w:lang w:bidi="ar-EG"/>
        </w:rPr>
        <w:br w:type="page"/>
      </w:r>
    </w:p>
    <w:p w14:paraId="7A170CB9" w14:textId="45E24FDE" w:rsidR="00BF249E" w:rsidRPr="00BF249E" w:rsidRDefault="00BF249E" w:rsidP="00A625F1">
      <w:pPr>
        <w:pStyle w:val="Heading1"/>
        <w:rPr>
          <w:lang w:val="ar-SA" w:bidi="ar-EG"/>
        </w:rPr>
      </w:pPr>
      <w:r w:rsidRPr="00BF249E">
        <w:rPr>
          <w:rtl/>
        </w:rPr>
        <w:lastRenderedPageBreak/>
        <w:t>1</w:t>
      </w:r>
      <w:r w:rsidRPr="00BF249E">
        <w:rPr>
          <w:rtl/>
        </w:rPr>
        <w:tab/>
        <w:t>مقدمة</w:t>
      </w:r>
    </w:p>
    <w:p w14:paraId="61500EB4" w14:textId="501FC692" w:rsidR="00BF249E" w:rsidRPr="00BF249E" w:rsidRDefault="00A625F1" w:rsidP="00BF249E">
      <w:pPr>
        <w:rPr>
          <w:lang w:val="ar-SA" w:bidi="ar-EG"/>
        </w:rPr>
      </w:pPr>
      <w:r>
        <w:t>1.1</w:t>
      </w:r>
      <w:r w:rsidR="00BF249E" w:rsidRPr="00BF249E">
        <w:rPr>
          <w:rtl/>
        </w:rPr>
        <w:tab/>
        <w:t xml:space="preserve">المشاركة في الفريق الاستشاري مفتوحة لممثلي إدارات الدول الأعضاء وممثلي أعضاء قطاع تنمية الاتصالات ورؤساء ونواب رؤساء لجان الدراسات والأفرقة الأخرى. ويعمل الفريق الاستشاري من خلال مدير مكتب تنمية الاتصالات </w:t>
      </w:r>
      <w:r w:rsidR="00BF249E" w:rsidRPr="00BF249E">
        <w:rPr>
          <w:lang w:bidi="ar-EG"/>
        </w:rPr>
        <w:t>(BDT)</w:t>
      </w:r>
      <w:r w:rsidR="00BF249E" w:rsidRPr="00BF249E">
        <w:rPr>
          <w:rtl/>
        </w:rPr>
        <w:t>. ويمكن للهيئات الأكاديمية أن تشارك وفقاً للقرار 169 (المراجَع في بوخارست، 2022) لمؤتمر المندوبين المفوضين. ويمكن للمدير أيضاً أن يدعو ممثلي وكالات التعاون والمساعدة الإنمائية الثنائية والمؤسسات الإنمائية المتعددة الأطراف للمشاركة في اجتماعات الفريق الاستشاري لتنمية الاتصالات.</w:t>
      </w:r>
    </w:p>
    <w:p w14:paraId="5750EA6D" w14:textId="0C50FA5A" w:rsidR="00BF249E" w:rsidRPr="00BF249E" w:rsidRDefault="00A625F1" w:rsidP="00BF249E">
      <w:pPr>
        <w:rPr>
          <w:spacing w:val="-2"/>
          <w:lang w:val="ar-SA" w:bidi="ar-EG"/>
        </w:rPr>
      </w:pPr>
      <w:r w:rsidRPr="00F11CA9">
        <w:rPr>
          <w:spacing w:val="-2"/>
        </w:rPr>
        <w:t>2.1</w:t>
      </w:r>
      <w:r w:rsidR="00BF249E" w:rsidRPr="00BF249E">
        <w:rPr>
          <w:spacing w:val="-2"/>
          <w:rtl/>
        </w:rPr>
        <w:tab/>
        <w:t>عين المؤتمر WTDC-25 مكتب الفريق الاستشاري لتنمية الاتصالات للفترة 2026-2029 وفقاً للقرار 208 (المراج</w:t>
      </w:r>
      <w:r w:rsidR="005653F0" w:rsidRPr="00F11CA9">
        <w:rPr>
          <w:rFonts w:hint="cs"/>
          <w:spacing w:val="-2"/>
          <w:rtl/>
        </w:rPr>
        <w:t>َ</w:t>
      </w:r>
      <w:r w:rsidR="00BF249E" w:rsidRPr="00BF249E">
        <w:rPr>
          <w:spacing w:val="-2"/>
          <w:rtl/>
        </w:rPr>
        <w:t>ع في</w:t>
      </w:r>
      <w:r w:rsidR="00F11CA9">
        <w:rPr>
          <w:rFonts w:hint="cs"/>
          <w:spacing w:val="-2"/>
          <w:rtl/>
        </w:rPr>
        <w:t> </w:t>
      </w:r>
      <w:r w:rsidR="00BF249E" w:rsidRPr="00BF249E">
        <w:rPr>
          <w:spacing w:val="-2"/>
          <w:rtl/>
        </w:rPr>
        <w:t>بوخارست، 2022) لمؤتمر المندوبين المفوضين، ويتألف من رئيس الفريق الاستشاري ونواب رئيسه. وعند إجراء تلك التعيينات، أخذ في الاعتبار بصورة خاصة متطلبات الكفاءة والحاجة إلى تعزيز التوازن بين الجنسين في المناصب القيادية والتوزيع الجغرافي المنصف وضرورة تعزيز مشاركة البلدان النامية بكفاءة أكبر. ويشمل مكتب الفريق الاستشاري بين أعضائه كذلك رؤساء لجان دراسات قطاع التنمية.</w:t>
      </w:r>
    </w:p>
    <w:p w14:paraId="563E4C09" w14:textId="309578EF" w:rsidR="00BF249E" w:rsidRPr="00BF249E" w:rsidRDefault="00BF249E" w:rsidP="00A625F1">
      <w:pPr>
        <w:pStyle w:val="Heading1"/>
        <w:rPr>
          <w:lang w:val="ar-SA" w:bidi="ar-EG"/>
        </w:rPr>
      </w:pPr>
      <w:r w:rsidRPr="00BF249E">
        <w:rPr>
          <w:rtl/>
        </w:rPr>
        <w:t>2</w:t>
      </w:r>
      <w:r w:rsidRPr="00BF249E">
        <w:rPr>
          <w:rtl/>
        </w:rPr>
        <w:tab/>
        <w:t>نطاق العمل</w:t>
      </w:r>
    </w:p>
    <w:p w14:paraId="2EF7D973" w14:textId="37029841" w:rsidR="00BF249E" w:rsidRPr="00BF249E" w:rsidRDefault="003D1DFD" w:rsidP="009B3160">
      <w:pPr>
        <w:rPr>
          <w:lang w:val="ar-SA" w:bidi="ar-EG"/>
        </w:rPr>
      </w:pPr>
      <w:r w:rsidRPr="009B3160">
        <w:t>1.2</w:t>
      </w:r>
      <w:r w:rsidR="00BF249E" w:rsidRPr="00BF249E">
        <w:rPr>
          <w:rtl/>
        </w:rPr>
        <w:tab/>
        <w:t>‏وفقاً للمادة ‎17A ‏من اتفاقية الاتحاد، يستعرض الفريق الاستشاري لتنمية الاتصالات الأولويات والبرامج والعمليات والمسائل المالية والاستراتيجيات المتعلقة بأنشطة قطاع تنمية الاتصالات</w:t>
      </w:r>
      <w:r w:rsidR="009B3160" w:rsidRPr="009B3160">
        <w:rPr>
          <w:rFonts w:hint="cs"/>
          <w:rtl/>
        </w:rPr>
        <w:t xml:space="preserve"> </w:t>
      </w:r>
      <w:r w:rsidR="009B3160" w:rsidRPr="009B3160">
        <w:rPr>
          <w:lang w:val="en-GB"/>
        </w:rPr>
        <w:t>(ITU-D)</w:t>
      </w:r>
      <w:r w:rsidR="00BF249E" w:rsidRPr="00BF249E">
        <w:rPr>
          <w:rtl/>
        </w:rPr>
        <w:t>. ويستعرض الفريق الاستشاري أيضاً تنفيذ الخطة التشغيلية للفترة السابقة ويقدم المشورة إلى المدير بشأن أي تدابير ضرورية.</w:t>
      </w:r>
    </w:p>
    <w:p w14:paraId="755DE4FE" w14:textId="09E372A2" w:rsidR="00BF249E" w:rsidRPr="00BF249E" w:rsidRDefault="003D1DFD" w:rsidP="00BF249E">
      <w:pPr>
        <w:rPr>
          <w:spacing w:val="-2"/>
          <w:lang w:val="ar-SA" w:bidi="ar-EG"/>
        </w:rPr>
      </w:pPr>
      <w:r w:rsidRPr="009B3160">
        <w:rPr>
          <w:spacing w:val="-2"/>
        </w:rPr>
        <w:t>2.2</w:t>
      </w:r>
      <w:r w:rsidR="00BF249E" w:rsidRPr="00BF249E">
        <w:rPr>
          <w:spacing w:val="-2"/>
          <w:rtl/>
        </w:rPr>
        <w:tab/>
        <w:t>و</w:t>
      </w:r>
      <w:r w:rsidR="004C10F1">
        <w:rPr>
          <w:rFonts w:hint="cs"/>
          <w:spacing w:val="-2"/>
          <w:rtl/>
        </w:rPr>
        <w:t>ع</w:t>
      </w:r>
      <w:r w:rsidR="00BF249E" w:rsidRPr="00BF249E">
        <w:rPr>
          <w:spacing w:val="-2"/>
          <w:rtl/>
        </w:rPr>
        <w:t>لى جانب ذلك، يستعرض الفريق الاستشاري لتنمية الاتصالات التقدم المحرز في تنفيذ برنامج العمل المعد بموجب أحكام الرقم 209 من الاتفاقية. ‏ويقدم الخطوط التوجيهية لأعمال لجان الدراسات ويوصي ‎بالترتيبات اللازمة لتعزيز التعاون والتنسيق مع قطاع الاتصالات الراديوية وقطاع تقييس الاتصالات والأمانة العامة، ومع مؤسسات التنمية والتمويل المعنية الأخرى.</w:t>
      </w:r>
    </w:p>
    <w:p w14:paraId="2E26EAC5" w14:textId="4A645491" w:rsidR="00BF249E" w:rsidRPr="00BF249E" w:rsidRDefault="003D1DFD" w:rsidP="00BF249E">
      <w:pPr>
        <w:rPr>
          <w:iCs/>
          <w:lang w:val="ar-SA" w:bidi="ar-EG"/>
        </w:rPr>
      </w:pPr>
      <w:bookmarkStart w:id="1" w:name="_Toc268858428"/>
      <w:bookmarkStart w:id="2" w:name="_Toc496806874"/>
      <w:bookmarkStart w:id="3" w:name="_Toc500344028"/>
      <w:r>
        <w:t>3.2</w:t>
      </w:r>
      <w:r w:rsidR="00BF249E" w:rsidRPr="00BF249E">
        <w:rPr>
          <w:rtl/>
        </w:rPr>
        <w:tab/>
        <w:t>أسند القرار 24 (</w:t>
      </w:r>
      <w:r w:rsidR="00E61B39">
        <w:rPr>
          <w:rtl/>
        </w:rPr>
        <w:t xml:space="preserve">المراجَع </w:t>
      </w:r>
      <w:r w:rsidR="00BF249E" w:rsidRPr="00BF249E">
        <w:rPr>
          <w:rtl/>
        </w:rPr>
        <w:t>في باكو، 2025) للمؤتمر العالمي لتنمية الاتصالات بشأن "تفويض الفريق الاستشاري لتنمية الاتصالات للتصرف بين المؤتمرات العالمية لتنمية الاتصالات" المسائل المحددة التالية إلى الفريق الاستشاري لتنمية الاتصالات:</w:t>
      </w:r>
    </w:p>
    <w:p w14:paraId="26096335" w14:textId="44A2954E" w:rsidR="00BF249E" w:rsidRPr="00BF249E" w:rsidRDefault="009B3160" w:rsidP="00EC791C">
      <w:pPr>
        <w:pStyle w:val="enumlev1"/>
        <w:rPr>
          <w:lang w:val="ar-SA" w:bidi="ar-EG"/>
        </w:rPr>
      </w:pPr>
      <w:r>
        <w:rPr>
          <w:rFonts w:hint="cs"/>
          <w:rtl/>
        </w:rPr>
        <w:t>’</w:t>
      </w:r>
      <w:r w:rsidR="00F5034A">
        <w:t>1</w:t>
      </w:r>
      <w:r w:rsidR="00F5034A">
        <w:rPr>
          <w:rFonts w:hint="cs"/>
          <w:rtl/>
        </w:rPr>
        <w:t>‘</w:t>
      </w:r>
      <w:r w:rsidR="00BF249E" w:rsidRPr="00BF249E">
        <w:rPr>
          <w:rtl/>
        </w:rPr>
        <w:tab/>
        <w:t>الاستمرار في وضع خطوط توجيهية للعمل تتسم بالكفاءة والمرونة وتحديثها عند اللزوم، بما في ذلك إتاحة الفرص لتبادل الخبرات بين المناطق في مجال تنفيذ الأعمال والمبادرات والمشاريع الإقليمية؛</w:t>
      </w:r>
    </w:p>
    <w:p w14:paraId="512FA159" w14:textId="7520EB55" w:rsidR="00BF249E" w:rsidRPr="00BF249E" w:rsidRDefault="00F5034A" w:rsidP="00EC791C">
      <w:pPr>
        <w:pStyle w:val="enumlev1"/>
        <w:rPr>
          <w:lang w:val="ar-SA" w:bidi="ar-EG"/>
        </w:rPr>
      </w:pPr>
      <w:r>
        <w:rPr>
          <w:rFonts w:hint="cs"/>
          <w:rtl/>
        </w:rPr>
        <w:t>’</w:t>
      </w:r>
      <w:r w:rsidR="00EC791C">
        <w:t>2</w:t>
      </w:r>
      <w:r>
        <w:rPr>
          <w:rFonts w:hint="cs"/>
          <w:rtl/>
        </w:rPr>
        <w:t>‘</w:t>
      </w:r>
      <w:r w:rsidR="00BF249E" w:rsidRPr="00BF249E">
        <w:rPr>
          <w:rtl/>
        </w:rPr>
        <w:tab/>
        <w:t>الاستعراض المستمر للعلاقة بين أهداف قطاع تنمية الاتصالات المبينة في الخطة الاستراتيجية للاتحاد واعتمادات الميزانية المتاحة للأنشطة، وخاصة البرامج والمبادرات الإقليمية، بغية التوصية بأي تدابير ضرورية لضمان كفاءة وفعالية تقديم القطاع لمنتجاته وخدماته الرئيسية (النواتج)؛</w:t>
      </w:r>
    </w:p>
    <w:p w14:paraId="2B4DBCE8" w14:textId="17497F0C" w:rsidR="00BF249E" w:rsidRPr="00EC04E3" w:rsidRDefault="00F5034A" w:rsidP="00EC791C">
      <w:pPr>
        <w:pStyle w:val="enumlev1"/>
        <w:rPr>
          <w:spacing w:val="-2"/>
          <w:lang w:val="ar-SA" w:bidi="ar-EG"/>
        </w:rPr>
      </w:pPr>
      <w:r w:rsidRPr="00EC04E3">
        <w:rPr>
          <w:rFonts w:hint="cs"/>
          <w:spacing w:val="-2"/>
          <w:rtl/>
        </w:rPr>
        <w:t>’</w:t>
      </w:r>
      <w:r w:rsidR="00EC791C" w:rsidRPr="00EC04E3">
        <w:rPr>
          <w:spacing w:val="-2"/>
        </w:rPr>
        <w:t>3</w:t>
      </w:r>
      <w:r w:rsidRPr="00EC04E3">
        <w:rPr>
          <w:rFonts w:hint="cs"/>
          <w:spacing w:val="-2"/>
          <w:rtl/>
        </w:rPr>
        <w:t>‘</w:t>
      </w:r>
      <w:r w:rsidR="00BF249E" w:rsidRPr="00EC04E3">
        <w:rPr>
          <w:spacing w:val="-2"/>
          <w:rtl/>
        </w:rPr>
        <w:tab/>
        <w:t>الاستعراض المستمر، وفقاً للرقم 223A من الاتفاقية، لتنفيذ الخطة التشغيلية الممتدة لمدة أربع سنوات لقطاع تنمية الاتصالات وتقديم التوجيهات لمكتب تنمية الاتصالات بشأن إعداد مشروع الخطة التشغيلية لقطاع تنمية الاتصالات لكي يوافق عليها مجلس الاتحاد في دورته التالية؛</w:t>
      </w:r>
    </w:p>
    <w:p w14:paraId="6054E77F" w14:textId="757F3F11" w:rsidR="00BF249E" w:rsidRPr="00BF249E" w:rsidRDefault="00F5034A" w:rsidP="00EC791C">
      <w:pPr>
        <w:pStyle w:val="enumlev1"/>
        <w:rPr>
          <w:lang w:val="ar-SA" w:bidi="ar-EG"/>
        </w:rPr>
      </w:pPr>
      <w:r>
        <w:rPr>
          <w:rFonts w:hint="cs"/>
          <w:rtl/>
        </w:rPr>
        <w:t>’</w:t>
      </w:r>
      <w:r w:rsidR="00EC791C">
        <w:t>4</w:t>
      </w:r>
      <w:r>
        <w:rPr>
          <w:rFonts w:hint="cs"/>
          <w:rtl/>
        </w:rPr>
        <w:t>‘</w:t>
      </w:r>
      <w:r w:rsidR="00BF249E" w:rsidRPr="00BF249E">
        <w:rPr>
          <w:rtl/>
        </w:rPr>
        <w:tab/>
        <w:t>تقييم أساليب العمل والمبادئ التوجيهية، حسب الاقتضاء، لضمان التنفيذ الأكثر كفاءة ومرونة للعناصر الأساسية في</w:t>
      </w:r>
      <w:r w:rsidR="00EC04E3">
        <w:rPr>
          <w:rFonts w:hint="cs"/>
          <w:rtl/>
        </w:rPr>
        <w:t> </w:t>
      </w:r>
      <w:r w:rsidR="00BF249E" w:rsidRPr="00BF249E">
        <w:rPr>
          <w:rtl/>
        </w:rPr>
        <w:t>خطة عمل قطاع تنمية الاتصالات؛</w:t>
      </w:r>
    </w:p>
    <w:p w14:paraId="3441DD76" w14:textId="7A7ABCE4" w:rsidR="00BF249E" w:rsidRPr="00BF249E" w:rsidRDefault="00F5034A" w:rsidP="00EC791C">
      <w:pPr>
        <w:pStyle w:val="enumlev1"/>
        <w:rPr>
          <w:lang w:val="ar-SA" w:bidi="ar-EG"/>
        </w:rPr>
      </w:pPr>
      <w:r>
        <w:rPr>
          <w:rFonts w:hint="cs"/>
          <w:rtl/>
        </w:rPr>
        <w:t>’</w:t>
      </w:r>
      <w:r>
        <w:t>5</w:t>
      </w:r>
      <w:r>
        <w:rPr>
          <w:rFonts w:hint="cs"/>
          <w:rtl/>
        </w:rPr>
        <w:t>‘</w:t>
      </w:r>
      <w:r w:rsidR="00BF249E" w:rsidRPr="00BF249E">
        <w:rPr>
          <w:rtl/>
        </w:rPr>
        <w:tab/>
        <w:t>إجراء تقييم دوري لأساليب عمل لجان دراسات قطاع تنمية الاتصالات وتسيير أعمالها، لتحديد خيارات تعظيم تنفيذ البرامج، والموافقة على التغييرات التي قد تكون ملائمة لها بعد تقييم برنامج عملها بما في ذلك تعزيز التآزر بين المسائل والبرامج والمبادرات الإقليمية؛</w:t>
      </w:r>
    </w:p>
    <w:p w14:paraId="5DD9C80A" w14:textId="4C58AF64" w:rsidR="00BF249E" w:rsidRPr="00BF249E" w:rsidRDefault="00F5034A" w:rsidP="00EC791C">
      <w:pPr>
        <w:pStyle w:val="enumlev1"/>
        <w:rPr>
          <w:lang w:val="ar-SA" w:bidi="ar-EG"/>
        </w:rPr>
      </w:pPr>
      <w:r>
        <w:rPr>
          <w:rFonts w:hint="cs"/>
          <w:rtl/>
        </w:rPr>
        <w:t>’</w:t>
      </w:r>
      <w:r>
        <w:t>6</w:t>
      </w:r>
      <w:r>
        <w:rPr>
          <w:rFonts w:hint="cs"/>
          <w:rtl/>
        </w:rPr>
        <w:t>‘</w:t>
      </w:r>
      <w:r w:rsidR="00BF249E" w:rsidRPr="00BF249E">
        <w:rPr>
          <w:rtl/>
        </w:rPr>
        <w:tab/>
        <w:t xml:space="preserve">إجراء التقييم عملاً بالفقرة ‎1 </w:t>
      </w:r>
      <w:r w:rsidR="006B1791">
        <w:rPr>
          <w:rFonts w:hint="cs"/>
          <w:rtl/>
        </w:rPr>
        <w:t>’</w:t>
      </w:r>
      <w:r w:rsidR="006B1791">
        <w:t>5</w:t>
      </w:r>
      <w:r w:rsidR="006B1791">
        <w:rPr>
          <w:rFonts w:hint="cs"/>
          <w:rtl/>
        </w:rPr>
        <w:t>‘</w:t>
      </w:r>
      <w:r w:rsidR="00BF249E" w:rsidRPr="00BF249E">
        <w:rPr>
          <w:rtl/>
        </w:rPr>
        <w:t xml:space="preserve"> ‏من </w:t>
      </w:r>
      <w:r w:rsidR="00BF249E" w:rsidRPr="00344604">
        <w:rPr>
          <w:i/>
          <w:iCs/>
          <w:rtl/>
        </w:rPr>
        <w:t>يقرر</w:t>
      </w:r>
      <w:r w:rsidR="00BF249E" w:rsidRPr="00BF249E">
        <w:rPr>
          <w:rtl/>
        </w:rPr>
        <w:t xml:space="preserve"> أعلاه، مع مراعاة الإجراءات التالية المتعلقة ببرامج العمل الحالية للجان الدراسات عند اللزوم:</w:t>
      </w:r>
    </w:p>
    <w:p w14:paraId="06DC0F1D" w14:textId="55ECC347" w:rsidR="00BF249E" w:rsidRPr="00BF249E" w:rsidRDefault="00EC791C" w:rsidP="00EC791C">
      <w:pPr>
        <w:pStyle w:val="enumlev2"/>
        <w:rPr>
          <w:lang w:val="ar-SA" w:bidi="ar-EG"/>
        </w:rPr>
      </w:pPr>
      <w:r>
        <w:rPr>
          <w:rFonts w:hint="cs"/>
          <w:rtl/>
          <w:lang w:bidi="ar-EG"/>
        </w:rPr>
        <w:t>-</w:t>
      </w:r>
      <w:r>
        <w:rPr>
          <w:rtl/>
          <w:lang w:bidi="ar-EG"/>
        </w:rPr>
        <w:tab/>
      </w:r>
      <w:r w:rsidR="00BF249E" w:rsidRPr="00BF249E">
        <w:rPr>
          <w:rtl/>
        </w:rPr>
        <w:t>إعادة تحديد اختصاصات مسائل الدراسة لزيادة التركيز وإزالة التداخل؛</w:t>
      </w:r>
    </w:p>
    <w:p w14:paraId="433C7917" w14:textId="758DAEE3" w:rsidR="00BF249E" w:rsidRPr="00BF249E" w:rsidRDefault="00EC791C" w:rsidP="00EC791C">
      <w:pPr>
        <w:pStyle w:val="enumlev2"/>
        <w:rPr>
          <w:lang w:val="ar-SA" w:bidi="ar-EG"/>
        </w:rPr>
      </w:pPr>
      <w:r>
        <w:rPr>
          <w:rFonts w:hint="cs"/>
          <w:rtl/>
          <w:lang w:bidi="ar-EG"/>
        </w:rPr>
        <w:t>-</w:t>
      </w:r>
      <w:r>
        <w:rPr>
          <w:rtl/>
          <w:lang w:bidi="ar-EG"/>
        </w:rPr>
        <w:tab/>
      </w:r>
      <w:r w:rsidR="00D50684">
        <w:rPr>
          <w:rFonts w:hint="cs"/>
          <w:rtl/>
          <w:lang w:bidi="ar-EG"/>
        </w:rPr>
        <w:t>و</w:t>
      </w:r>
      <w:r w:rsidR="00BF249E" w:rsidRPr="00BF249E">
        <w:rPr>
          <w:rtl/>
        </w:rPr>
        <w:t>حذف أو دمج مسائل الدراسة، حسب الاقتضاء؛</w:t>
      </w:r>
    </w:p>
    <w:p w14:paraId="01FE51FC" w14:textId="360B2CE4" w:rsidR="00BF249E" w:rsidRPr="00BF249E" w:rsidRDefault="00EC791C" w:rsidP="00EC791C">
      <w:pPr>
        <w:pStyle w:val="enumlev2"/>
        <w:rPr>
          <w:lang w:val="ar-SA" w:bidi="ar-EG"/>
        </w:rPr>
      </w:pPr>
      <w:r>
        <w:rPr>
          <w:rFonts w:hint="cs"/>
          <w:rtl/>
          <w:lang w:bidi="ar-EG"/>
        </w:rPr>
        <w:t>-</w:t>
      </w:r>
      <w:r>
        <w:rPr>
          <w:rtl/>
          <w:lang w:bidi="ar-EG"/>
        </w:rPr>
        <w:tab/>
      </w:r>
      <w:r w:rsidR="00D50684">
        <w:rPr>
          <w:rFonts w:hint="cs"/>
          <w:rtl/>
          <w:lang w:bidi="ar-EG"/>
        </w:rPr>
        <w:t>و</w:t>
      </w:r>
      <w:r w:rsidR="00BF249E" w:rsidRPr="00BF249E">
        <w:rPr>
          <w:rtl/>
        </w:rPr>
        <w:t xml:space="preserve">تقييم معايير قياس فعالية مسائل الدراسة، كماً ونوعاً، بما في ذلك إجراء استعراض دوري يستند إلى خطة العمل لقطاع تنمية الاتصالات بغية مواصلة استكشاف تدابير الأداء من أجل تنفيذ الإجراءات المشار إليها في الفقرة ‎1 </w:t>
      </w:r>
      <w:r w:rsidR="00344604">
        <w:rPr>
          <w:rFonts w:hint="cs"/>
          <w:rtl/>
        </w:rPr>
        <w:t>’</w:t>
      </w:r>
      <w:r w:rsidR="00344604">
        <w:t>5</w:t>
      </w:r>
      <w:r w:rsidR="00344604">
        <w:rPr>
          <w:rFonts w:hint="cs"/>
          <w:rtl/>
        </w:rPr>
        <w:t>‘</w:t>
      </w:r>
      <w:r w:rsidR="00BF249E" w:rsidRPr="00BF249E">
        <w:rPr>
          <w:rtl/>
        </w:rPr>
        <w:t xml:space="preserve"> من </w:t>
      </w:r>
      <w:r w:rsidR="00BF249E" w:rsidRPr="00344604">
        <w:rPr>
          <w:i/>
          <w:iCs/>
          <w:rtl/>
        </w:rPr>
        <w:t>يقرر</w:t>
      </w:r>
      <w:r w:rsidR="00BF249E" w:rsidRPr="00BF249E">
        <w:rPr>
          <w:rtl/>
        </w:rPr>
        <w:t xml:space="preserve"> أعلاه على نحو أكثر فعالية؛</w:t>
      </w:r>
    </w:p>
    <w:p w14:paraId="149BCFDF" w14:textId="5E2FF6BD" w:rsidR="00BF249E" w:rsidRPr="00BF249E" w:rsidRDefault="00F5034A" w:rsidP="00344604">
      <w:pPr>
        <w:pStyle w:val="enumlev1"/>
        <w:rPr>
          <w:lang w:val="ar-SA" w:bidi="ar-EG"/>
        </w:rPr>
      </w:pPr>
      <w:r>
        <w:rPr>
          <w:rFonts w:hint="cs"/>
          <w:rtl/>
        </w:rPr>
        <w:lastRenderedPageBreak/>
        <w:t>’</w:t>
      </w:r>
      <w:r>
        <w:t>7</w:t>
      </w:r>
      <w:r>
        <w:rPr>
          <w:rFonts w:hint="cs"/>
          <w:rtl/>
        </w:rPr>
        <w:t>‘</w:t>
      </w:r>
      <w:r w:rsidR="00BF249E" w:rsidRPr="00BF249E">
        <w:rPr>
          <w:rtl/>
        </w:rPr>
        <w:tab/>
        <w:t>إعادة هيكلة لجنتي دراسات قطاع تنمية الاتصالات عند اللزوم، وكنتيجة لإعادة هيكلة أو إنشاء لجان دراسات جديدة لقطاع تنمية الاتصالات، تسمية رؤسائها ونوابهم، للعمل حتى انعقاد المؤتمر التالي لتنمية الاتصالات، استجابةً لاحتياجات واهتمامات الدول الأعضاء، ضمن حدود الميزانية المعتمدة لذلك؛</w:t>
      </w:r>
    </w:p>
    <w:p w14:paraId="38824EA5" w14:textId="2168C99B" w:rsidR="00BF249E" w:rsidRPr="00BF249E" w:rsidRDefault="00F5034A" w:rsidP="00344604">
      <w:pPr>
        <w:pStyle w:val="enumlev1"/>
        <w:rPr>
          <w:lang w:val="ar-SA" w:bidi="ar-EG"/>
        </w:rPr>
      </w:pPr>
      <w:r>
        <w:rPr>
          <w:rFonts w:hint="cs"/>
          <w:rtl/>
        </w:rPr>
        <w:t>’</w:t>
      </w:r>
      <w:r>
        <w:t>8</w:t>
      </w:r>
      <w:r>
        <w:rPr>
          <w:rFonts w:hint="cs"/>
          <w:rtl/>
        </w:rPr>
        <w:t>‘</w:t>
      </w:r>
      <w:r w:rsidR="00BF249E" w:rsidRPr="00BF249E">
        <w:rPr>
          <w:rtl/>
        </w:rPr>
        <w:tab/>
        <w:t>إسداء المشورة بشأن الجداول الزمنية لانعقاد لجان الدراسات للاستجابة للأولويات الإنمائية؛</w:t>
      </w:r>
    </w:p>
    <w:p w14:paraId="7A0FD5FF" w14:textId="625270E6" w:rsidR="00BF249E" w:rsidRPr="00BF249E" w:rsidRDefault="00F5034A" w:rsidP="00344604">
      <w:pPr>
        <w:pStyle w:val="enumlev1"/>
        <w:rPr>
          <w:lang w:val="ar-SA" w:bidi="ar-EG"/>
        </w:rPr>
      </w:pPr>
      <w:r>
        <w:rPr>
          <w:rFonts w:hint="cs"/>
          <w:rtl/>
        </w:rPr>
        <w:t>’</w:t>
      </w:r>
      <w:r>
        <w:t>9</w:t>
      </w:r>
      <w:r>
        <w:rPr>
          <w:rFonts w:hint="cs"/>
          <w:rtl/>
        </w:rPr>
        <w:t>‘</w:t>
      </w:r>
      <w:r w:rsidR="00BF249E" w:rsidRPr="00BF249E">
        <w:rPr>
          <w:rtl/>
        </w:rPr>
        <w:tab/>
        <w:t>التعاون والتنسيق مع قطاع الاتصالات الراديوية وقطاع التقييس بالاتحاد، مع مراعاة القرار 59 (المراجَع باكو، 2025) لهذا المؤتمر؛</w:t>
      </w:r>
    </w:p>
    <w:p w14:paraId="4C919178" w14:textId="2B8A8FAD" w:rsidR="00BF249E" w:rsidRPr="00BF249E" w:rsidRDefault="00F5034A" w:rsidP="00344604">
      <w:pPr>
        <w:pStyle w:val="enumlev1"/>
        <w:rPr>
          <w:lang w:val="ar-SA" w:bidi="ar-EG"/>
        </w:rPr>
      </w:pPr>
      <w:r>
        <w:rPr>
          <w:rFonts w:hint="cs"/>
          <w:rtl/>
        </w:rPr>
        <w:t>’</w:t>
      </w:r>
      <w:r>
        <w:t>10</w:t>
      </w:r>
      <w:r>
        <w:rPr>
          <w:rFonts w:hint="cs"/>
          <w:rtl/>
        </w:rPr>
        <w:t>‘</w:t>
      </w:r>
      <w:r w:rsidR="00BF249E" w:rsidRPr="00BF249E">
        <w:rPr>
          <w:rtl/>
        </w:rPr>
        <w:tab/>
        <w:t>إسداء المشورة لمدير مكتب تنمية الاتصالات بشأن المسائل المالية ذات الصلة وغيرها؛</w:t>
      </w:r>
    </w:p>
    <w:p w14:paraId="07868FEC" w14:textId="0FA7984E" w:rsidR="00BF249E" w:rsidRPr="00BF249E" w:rsidRDefault="00F5034A" w:rsidP="00344604">
      <w:pPr>
        <w:pStyle w:val="enumlev1"/>
        <w:rPr>
          <w:lang w:val="ar-SA" w:bidi="ar-EG"/>
        </w:rPr>
      </w:pPr>
      <w:r>
        <w:rPr>
          <w:rFonts w:hint="cs"/>
          <w:rtl/>
        </w:rPr>
        <w:t>’</w:t>
      </w:r>
      <w:r>
        <w:t>11</w:t>
      </w:r>
      <w:r>
        <w:rPr>
          <w:rFonts w:hint="cs"/>
          <w:rtl/>
        </w:rPr>
        <w:t>‘</w:t>
      </w:r>
      <w:r w:rsidR="00BF249E" w:rsidRPr="00BF249E">
        <w:rPr>
          <w:rtl/>
        </w:rPr>
        <w:tab/>
        <w:t>الموافقة على برنامج العمل الناجم عن استعراض مسائل الدراسة القائمة والجديدة، وتحديد أولوياتها، ومدى الحاجة الماسة لها وآثارها المالية التقديرية، والفترة الزمنية اللازمة لاستكمال دراستها؛</w:t>
      </w:r>
    </w:p>
    <w:p w14:paraId="504C16B7" w14:textId="5790DAB9" w:rsidR="00BF249E" w:rsidRPr="00BF249E" w:rsidRDefault="00F5034A" w:rsidP="00344604">
      <w:pPr>
        <w:pStyle w:val="enumlev1"/>
        <w:rPr>
          <w:lang w:val="ar-SA" w:bidi="ar-EG"/>
        </w:rPr>
      </w:pPr>
      <w:r>
        <w:rPr>
          <w:rFonts w:hint="cs"/>
          <w:rtl/>
        </w:rPr>
        <w:t>’</w:t>
      </w:r>
      <w:r>
        <w:t>12</w:t>
      </w:r>
      <w:r>
        <w:rPr>
          <w:rFonts w:hint="cs"/>
          <w:rtl/>
        </w:rPr>
        <w:t>‘</w:t>
      </w:r>
      <w:r w:rsidR="00BF249E" w:rsidRPr="00BF249E">
        <w:rPr>
          <w:rtl/>
        </w:rPr>
        <w:tab/>
        <w:t>‏استعراض التقدم المحرز في تنفيذ برنامج عمل قطاع تنمية الاتصالات وأنشطة لجنتي الدراسات بالقطاع بوجه عام، بما في ذلك مستوى حضور الرؤساء ونوابهم، وفقاً للقرار ‎208 (‏المراجَع في بوخارست، ‎2022) ‏لمؤتمر المندوبين المفوضين والقرار ‎1 (‏المراجَع في ‎باكو‏، ‎2025) ‏لهذا المؤتمر؛</w:t>
      </w:r>
    </w:p>
    <w:p w14:paraId="12105D59" w14:textId="5076D8A1" w:rsidR="00BF249E" w:rsidRPr="00127844" w:rsidRDefault="00F5034A" w:rsidP="00344604">
      <w:pPr>
        <w:pStyle w:val="enumlev1"/>
        <w:rPr>
          <w:spacing w:val="-4"/>
          <w:lang w:val="ar-SA" w:bidi="ar-EG"/>
        </w:rPr>
      </w:pPr>
      <w:r w:rsidRPr="00127844">
        <w:rPr>
          <w:rFonts w:hint="cs"/>
          <w:spacing w:val="-4"/>
          <w:rtl/>
        </w:rPr>
        <w:t>’</w:t>
      </w:r>
      <w:r w:rsidRPr="00127844">
        <w:rPr>
          <w:spacing w:val="-4"/>
        </w:rPr>
        <w:t>13</w:t>
      </w:r>
      <w:r w:rsidRPr="00127844">
        <w:rPr>
          <w:rFonts w:hint="cs"/>
          <w:spacing w:val="-4"/>
          <w:rtl/>
        </w:rPr>
        <w:t>‘</w:t>
      </w:r>
      <w:r w:rsidR="00BF249E" w:rsidRPr="00127844">
        <w:rPr>
          <w:spacing w:val="-4"/>
          <w:rtl/>
        </w:rPr>
        <w:tab/>
        <w:t>يجوز للفريق الاستشاري، عند الحاجة، تحقيقاً للمرونة في الاستجابة السريعة للأمور ذات الأولوية، إنشاء أفرقة أخرى لفترات محددة أو حلها أو الاحتفاظ بها مع تحديد اختصاصات هذه الأفرقة وتسمية رؤسائها ونوابهم، عملاً بالرقمين 209A و209B من الاتفاقية، مع الأخذ بعين الاعتبار الدور الرائد للجان الدراسات في القيام بدراسات لهذه الأمور؛ على</w:t>
      </w:r>
      <w:r w:rsidR="00127844" w:rsidRPr="00127844">
        <w:rPr>
          <w:rFonts w:hint="cs"/>
          <w:spacing w:val="-4"/>
          <w:rtl/>
        </w:rPr>
        <w:t> </w:t>
      </w:r>
      <w:r w:rsidR="00BF249E" w:rsidRPr="00127844">
        <w:rPr>
          <w:spacing w:val="-4"/>
          <w:rtl/>
        </w:rPr>
        <w:t>ألا</w:t>
      </w:r>
      <w:r w:rsidR="00127844" w:rsidRPr="00127844">
        <w:rPr>
          <w:rFonts w:hint="cs"/>
          <w:spacing w:val="-4"/>
          <w:rtl/>
        </w:rPr>
        <w:t> </w:t>
      </w:r>
      <w:r w:rsidR="00BF249E" w:rsidRPr="00127844">
        <w:rPr>
          <w:spacing w:val="-4"/>
          <w:rtl/>
        </w:rPr>
        <w:t>تعتمد هذه الأفرقة الأخرى مسائل دراسة أو توصيات؛</w:t>
      </w:r>
    </w:p>
    <w:p w14:paraId="18D9E445" w14:textId="5D979E55" w:rsidR="00BF249E" w:rsidRPr="00BF249E" w:rsidRDefault="00F5034A" w:rsidP="00344604">
      <w:pPr>
        <w:pStyle w:val="enumlev1"/>
        <w:rPr>
          <w:lang w:val="ar-SA" w:bidi="ar-EG"/>
        </w:rPr>
      </w:pPr>
      <w:r>
        <w:rPr>
          <w:rFonts w:hint="cs"/>
          <w:rtl/>
        </w:rPr>
        <w:t>’</w:t>
      </w:r>
      <w:r>
        <w:t>14</w:t>
      </w:r>
      <w:r>
        <w:rPr>
          <w:rFonts w:hint="cs"/>
          <w:rtl/>
        </w:rPr>
        <w:t>‘</w:t>
      </w:r>
      <w:r w:rsidR="00BF249E" w:rsidRPr="00BF249E">
        <w:rPr>
          <w:rtl/>
        </w:rPr>
        <w:tab/>
        <w:t>استشارة مدير مكتب تنمية الاتصالات بخصوص وضع وتنفيذ خطة عمل بشأن أساليب العمل الإلكترونية، ثم بشأن الإجراءات والقواعد بالنسبة للاجتماعات الإلكترونية، بما في ذلك الجوانب القانونية مع مراعاة احتياجات البلدان النامية، لا سيما أقل البلدان نمواً، والوسائل المتاحة لديها؛</w:t>
      </w:r>
    </w:p>
    <w:p w14:paraId="7A16E2BC" w14:textId="5F94769F" w:rsidR="00BF249E" w:rsidRPr="00BF249E" w:rsidRDefault="00F5034A" w:rsidP="00344604">
      <w:pPr>
        <w:pStyle w:val="enumlev1"/>
        <w:rPr>
          <w:lang w:val="ar-SA" w:bidi="ar-EG"/>
        </w:rPr>
      </w:pPr>
      <w:r>
        <w:rPr>
          <w:rFonts w:hint="cs"/>
          <w:rtl/>
        </w:rPr>
        <w:t>’</w:t>
      </w:r>
      <w:r>
        <w:t>15</w:t>
      </w:r>
      <w:r>
        <w:rPr>
          <w:rFonts w:hint="cs"/>
          <w:rtl/>
        </w:rPr>
        <w:t>‘</w:t>
      </w:r>
      <w:r w:rsidR="00BF249E" w:rsidRPr="00BF249E">
        <w:rPr>
          <w:rtl/>
        </w:rPr>
        <w:tab/>
        <w:t xml:space="preserve">‏إجراء استعراض سنوي لكيفية استخدام جميع لغات الاتحاد الرسمية على قدم المساواة في منشورات قطاع تنمية الاتصالات وفي المواقع الإلكترونية للقطاع‎. </w:t>
      </w:r>
    </w:p>
    <w:p w14:paraId="5B0544ED" w14:textId="304C0DFD" w:rsidR="00BF249E" w:rsidRPr="00BF249E" w:rsidRDefault="003D1DFD" w:rsidP="00BF249E">
      <w:pPr>
        <w:rPr>
          <w:spacing w:val="-2"/>
          <w:lang w:val="ar-SA" w:bidi="ar-EG"/>
        </w:rPr>
      </w:pPr>
      <w:r w:rsidRPr="00127844">
        <w:rPr>
          <w:spacing w:val="-2"/>
        </w:rPr>
        <w:t>4.2</w:t>
      </w:r>
      <w:r w:rsidR="00BF249E" w:rsidRPr="00BF249E">
        <w:rPr>
          <w:spacing w:val="-2"/>
          <w:rtl/>
        </w:rPr>
        <w:tab/>
        <w:t>‏في ضوء المراجعات التي أدخلت على القرار ‎24 (‏</w:t>
      </w:r>
      <w:r w:rsidR="00E61B39" w:rsidRPr="00127844">
        <w:rPr>
          <w:spacing w:val="-2"/>
          <w:rtl/>
        </w:rPr>
        <w:t xml:space="preserve">المراجَع </w:t>
      </w:r>
      <w:r w:rsidR="00BF249E" w:rsidRPr="00BF249E">
        <w:rPr>
          <w:spacing w:val="-2"/>
          <w:rtl/>
        </w:rPr>
        <w:t>في باكو، ‎2025) ‏للمؤتمر العالمي لتنمية الاتصالات، يكلف الفريق الاستشاري بدراسة تنفيذ قرارات المؤتمر العالمي لتنمية الاتصالات وإجراءاته، بالإضافة إلى تحقيق الأهداف المحددة في</w:t>
      </w:r>
      <w:r w:rsidR="00127844" w:rsidRPr="00127844">
        <w:rPr>
          <w:rFonts w:hint="cs"/>
          <w:spacing w:val="-2"/>
          <w:rtl/>
        </w:rPr>
        <w:t> </w:t>
      </w:r>
      <w:r w:rsidR="00BF249E" w:rsidRPr="00BF249E">
        <w:rPr>
          <w:spacing w:val="-2"/>
          <w:rtl/>
        </w:rPr>
        <w:t>الخطة التشغيلية السنوية وخطة عمل قطاع تنمية الاتصالات، بالاستناد إلى عدة أمور من بينها تقييم مؤشرات الأداء الرئيسية المناسبة التي وافق عليها الفريق الاستشاري، لغرض تحديد الصعوبات المحتملة والاستراتيجيات لتنفيذ العناصر الرئيسية، والتوصية بحلول لمدير مكتب تنمية الاتصالات في هذا الصدد.</w:t>
      </w:r>
    </w:p>
    <w:p w14:paraId="74321109" w14:textId="476F341B" w:rsidR="00BF249E" w:rsidRPr="00BF249E" w:rsidRDefault="003D1DFD" w:rsidP="00BF249E">
      <w:pPr>
        <w:rPr>
          <w:spacing w:val="-2"/>
          <w:lang w:val="ar-SA" w:bidi="ar-EG"/>
        </w:rPr>
      </w:pPr>
      <w:r w:rsidRPr="00102107">
        <w:rPr>
          <w:spacing w:val="-2"/>
        </w:rPr>
        <w:t>5.2</w:t>
      </w:r>
      <w:r w:rsidR="00BF249E" w:rsidRPr="00BF249E">
        <w:rPr>
          <w:spacing w:val="-2"/>
          <w:rtl/>
        </w:rPr>
        <w:tab/>
        <w:t>أن يتعاون الفريق الاستشاري لتنمية الاتصالات، عند أدائه لعمله، مع الفريقين الاستشاريين التابعين للقطاعين الآخرين بهدف تنسيق الجهود وتفادي الازدواج، بالتشاور مع مدير مكتب تنمية الاتصالات حسب الاقتضاء.</w:t>
      </w:r>
    </w:p>
    <w:p w14:paraId="3FC47769" w14:textId="653FED4F" w:rsidR="00BF249E" w:rsidRPr="00BF249E" w:rsidRDefault="003D1DFD" w:rsidP="00BF249E">
      <w:pPr>
        <w:rPr>
          <w:lang w:val="ar-SA" w:bidi="ar-EG"/>
        </w:rPr>
      </w:pPr>
      <w:r>
        <w:t>6.2</w:t>
      </w:r>
      <w:r w:rsidR="00BF249E" w:rsidRPr="00BF249E">
        <w:rPr>
          <w:rtl/>
        </w:rPr>
        <w:tab/>
        <w:t>‏يتعين على الفريق الاستشاري لتنمية الاتصالات أن يعجل في اجتماعاته بالنظر على وجه السرعة في جوانب قرارات مؤتمر المندوبين المفوضين ومؤتمرات الاتحاد وجمعياته الأخرى المتصلة بعمل قطاع تنمية الاتصالات.‎</w:t>
      </w:r>
    </w:p>
    <w:p w14:paraId="6F25DBC5" w14:textId="42D84127" w:rsidR="00BF249E" w:rsidRPr="00BF249E" w:rsidRDefault="003D1DFD" w:rsidP="00BF249E">
      <w:pPr>
        <w:rPr>
          <w:spacing w:val="-2"/>
          <w:lang w:val="ar-SA" w:bidi="ar-EG"/>
        </w:rPr>
      </w:pPr>
      <w:r w:rsidRPr="00102107">
        <w:rPr>
          <w:spacing w:val="-2"/>
        </w:rPr>
        <w:t>7.3</w:t>
      </w:r>
      <w:r w:rsidR="00BF249E" w:rsidRPr="00BF249E">
        <w:rPr>
          <w:spacing w:val="-2"/>
          <w:rtl/>
        </w:rPr>
        <w:tab/>
        <w:t>يتعين على الفريق الاستشاري لتنمية الاتصالات قبل كل مؤتمر عالمي لتنمية الاتصالات بحث مسائل الدراسة الجديدة لقطاع تنمية الاتصالات المقترحة وليوصي إذا استدعى الأمر بتعديلات لمراعاة أهداف السياسة الإنمائية العامة لقطاع تنمية الاتصالات والأولويات المرتبطة بهذه الأهداف ولاستعراض تقارير الاجتماعات التحضيرية الإقليمية التي ينظمها الاتحاد استعداداً للمؤتمر العالمي لتنمية الاتصالات.</w:t>
      </w:r>
    </w:p>
    <w:p w14:paraId="1A6D1299" w14:textId="3485BE7A" w:rsidR="00BF249E" w:rsidRPr="00BF249E" w:rsidRDefault="00A625F1" w:rsidP="00BF249E">
      <w:pPr>
        <w:rPr>
          <w:lang w:val="ar-SA" w:bidi="ar-EG"/>
        </w:rPr>
      </w:pPr>
      <w:r w:rsidRPr="00102107">
        <w:t>8.</w:t>
      </w:r>
      <w:r w:rsidR="003D1DFD" w:rsidRPr="00102107">
        <w:t>2</w:t>
      </w:r>
      <w:r w:rsidR="00BF249E" w:rsidRPr="00BF249E">
        <w:rPr>
          <w:rtl/>
        </w:rPr>
        <w:tab/>
        <w:t>‏يجوز للمؤتمر العالمي لتنمية الاتصالات، وفقاً للرقم ‎213A ‏من الاتفاقية والقرار ‎24 (‏</w:t>
      </w:r>
      <w:r w:rsidR="00E61B39" w:rsidRPr="00102107">
        <w:rPr>
          <w:rtl/>
        </w:rPr>
        <w:t xml:space="preserve">المراجَع </w:t>
      </w:r>
      <w:r w:rsidR="00BF249E" w:rsidRPr="00BF249E">
        <w:rPr>
          <w:rtl/>
        </w:rPr>
        <w:t>في باكو، ‎</w:t>
      </w:r>
      <w:proofErr w:type="gramStart"/>
      <w:r w:rsidR="00BF249E" w:rsidRPr="00BF249E">
        <w:rPr>
          <w:rtl/>
        </w:rPr>
        <w:t>2025)،</w:t>
      </w:r>
      <w:proofErr w:type="gramEnd"/>
      <w:r w:rsidR="00BF249E" w:rsidRPr="00BF249E">
        <w:rPr>
          <w:rtl/>
        </w:rPr>
        <w:t xml:space="preserve"> إسناد مسائل محددة تقع ضمن اختصاصه إلى الفريق الاستشاري لتنمية الاتصالات مع توضيح الإجراء </w:t>
      </w:r>
      <w:proofErr w:type="spellStart"/>
      <w:r w:rsidR="00BF249E" w:rsidRPr="00BF249E">
        <w:rPr>
          <w:rtl/>
        </w:rPr>
        <w:t>الموصى</w:t>
      </w:r>
      <w:proofErr w:type="spellEnd"/>
      <w:r w:rsidR="00BF249E" w:rsidRPr="00BF249E">
        <w:rPr>
          <w:rtl/>
        </w:rPr>
        <w:t xml:space="preserve"> به بشأن هذه المسائل.‎</w:t>
      </w:r>
    </w:p>
    <w:p w14:paraId="656F3F23" w14:textId="7B85898A" w:rsidR="00BF249E" w:rsidRPr="00BF249E" w:rsidRDefault="00BF249E" w:rsidP="00A625F1">
      <w:pPr>
        <w:pStyle w:val="Heading1"/>
        <w:rPr>
          <w:lang w:val="ar-SA" w:bidi="ar-EG"/>
        </w:rPr>
      </w:pPr>
      <w:r w:rsidRPr="00BF249E">
        <w:rPr>
          <w:rtl/>
        </w:rPr>
        <w:t>3</w:t>
      </w:r>
      <w:r w:rsidRPr="00BF249E">
        <w:rPr>
          <w:rtl/>
        </w:rPr>
        <w:tab/>
        <w:t>أساليب العمل</w:t>
      </w:r>
    </w:p>
    <w:p w14:paraId="77D60D75" w14:textId="7A1271B6" w:rsidR="00BF249E" w:rsidRPr="00BF249E" w:rsidRDefault="00A625F1" w:rsidP="00BF249E">
      <w:pPr>
        <w:rPr>
          <w:spacing w:val="-2"/>
          <w:lang w:val="ar-SA" w:bidi="ar-EG"/>
        </w:rPr>
      </w:pPr>
      <w:r w:rsidRPr="00FD3F31">
        <w:rPr>
          <w:spacing w:val="-2"/>
        </w:rPr>
        <w:t>1.3</w:t>
      </w:r>
      <w:r w:rsidR="00BF249E" w:rsidRPr="00BF249E">
        <w:rPr>
          <w:spacing w:val="-2"/>
          <w:rtl/>
        </w:rPr>
        <w:tab/>
        <w:t>وفيما يتعلق بأساليب العمل، يقدم القرار 1 (</w:t>
      </w:r>
      <w:r w:rsidR="00E61B39" w:rsidRPr="00FD3F31">
        <w:rPr>
          <w:spacing w:val="-2"/>
          <w:rtl/>
        </w:rPr>
        <w:t xml:space="preserve">المراجَع </w:t>
      </w:r>
      <w:r w:rsidR="00BF249E" w:rsidRPr="00BF249E">
        <w:rPr>
          <w:spacing w:val="-2"/>
          <w:rtl/>
        </w:rPr>
        <w:t>في باكو، 2025) للمؤتمر العالمي لتنمية الاتصالات مبادئ توجيهية، يرد أدناه ملخص لبعضها.</w:t>
      </w:r>
    </w:p>
    <w:p w14:paraId="69CF4959" w14:textId="1F742B98" w:rsidR="00BF249E" w:rsidRPr="00BF249E" w:rsidRDefault="00A625F1" w:rsidP="00BF249E">
      <w:pPr>
        <w:rPr>
          <w:lang w:val="ar-SA" w:bidi="ar-EG"/>
        </w:rPr>
      </w:pPr>
      <w:r>
        <w:lastRenderedPageBreak/>
        <w:t>2.3</w:t>
      </w:r>
      <w:r w:rsidR="00BF249E" w:rsidRPr="00BF249E">
        <w:rPr>
          <w:rtl/>
        </w:rPr>
        <w:tab/>
        <w:t>‏ويعقد الفريق الاستشاري لتنمية الاتصالات اجتماعات منتظمة محددة سلفاً تدرج في الجدول الزمني لأحداث قطاع تنمية الاتصالات.‎ وتُعقد الاجتماعات الحضورية مرة واحدة على الأقل في السنة. ‏وقد تم تخطيط توقيت هذه الاجتماعات السنوية بطريقة تسمح للفريق الاستشاري لتنمية الاتصالات باستعراض مشروع الخطة التشغيلية بفعالية قبل أن يعتمده مجلس الاتحاد وينفذه مكتب تنمية الاتصالات.‎ ويبذل كل جهد ممكن أيضاً في عملية التخطيط لضمان ألا تعقد اجتماعات الفريق الاستشاري بالتزامن مع اجتماعات لجان الدراسات. وتعقد اجتماعات الفريق الاستشاري لتنمية الاتصالات والفريق الاستشاري للاتصالات الراديوية والفريق الاستشاري لتقييس الاتصالات بالتعاقب كلما أمكن.</w:t>
      </w:r>
    </w:p>
    <w:p w14:paraId="503DC14F" w14:textId="49930484" w:rsidR="00BF249E" w:rsidRPr="00BF249E" w:rsidRDefault="00A625F1" w:rsidP="00BF249E">
      <w:pPr>
        <w:rPr>
          <w:lang w:val="ar-SA" w:bidi="ar-EG"/>
        </w:rPr>
      </w:pPr>
      <w:r>
        <w:t>3.3</w:t>
      </w:r>
      <w:r w:rsidR="00BF249E" w:rsidRPr="00BF249E">
        <w:rPr>
          <w:rtl/>
        </w:rPr>
        <w:tab/>
        <w:t>‏ولتقليل مدة الاجتماعات وتكاليفها إلى أدنى حد، يتعاون رئيس الفريق الاستشاري مع مدير مكتب تنمية الاتصالات في</w:t>
      </w:r>
      <w:r w:rsidR="00FD3F31">
        <w:rPr>
          <w:rFonts w:hint="cs"/>
          <w:rtl/>
        </w:rPr>
        <w:t> </w:t>
      </w:r>
      <w:r w:rsidR="00BF249E" w:rsidRPr="00BF249E">
        <w:rPr>
          <w:rtl/>
        </w:rPr>
        <w:t>اتخاذ الترتيبات التحضيرية الملائمة مسبقاً، وذلك مثلاً بتحديد القضايا الرئيسية للمناقشة.‎</w:t>
      </w:r>
    </w:p>
    <w:p w14:paraId="6C2DD5B4" w14:textId="347E969E" w:rsidR="00BF249E" w:rsidRPr="00BF249E" w:rsidRDefault="00A625F1" w:rsidP="00BF249E">
      <w:pPr>
        <w:rPr>
          <w:spacing w:val="-4"/>
          <w:lang w:val="ar-SA" w:bidi="ar-EG"/>
        </w:rPr>
      </w:pPr>
      <w:r w:rsidRPr="00FD3F31">
        <w:rPr>
          <w:spacing w:val="-4"/>
        </w:rPr>
        <w:t>4.3</w:t>
      </w:r>
      <w:r w:rsidR="00BF249E" w:rsidRPr="00BF249E">
        <w:rPr>
          <w:spacing w:val="-4"/>
          <w:rtl/>
        </w:rPr>
        <w:tab/>
        <w:t>‏وبشكل عام، تنطبق على الفريق الاستشاري لتنمية الاتصالات واجتماعاته نفس قواعد الإجراءات المنطبقة على لجان الدراسات الواردة في القرار ‎1 (‏</w:t>
      </w:r>
      <w:r w:rsidR="00E61B39" w:rsidRPr="00FD3F31">
        <w:rPr>
          <w:spacing w:val="-4"/>
          <w:rtl/>
        </w:rPr>
        <w:t xml:space="preserve">المراجَع </w:t>
      </w:r>
      <w:r w:rsidR="00BF249E" w:rsidRPr="00BF249E">
        <w:rPr>
          <w:spacing w:val="-4"/>
          <w:rtl/>
        </w:rPr>
        <w:t>في باكو، ‎2025) ‏للمؤتمر العالمي لتنمية الاتصالات، وذلك مثلا</w:t>
      </w:r>
      <w:r w:rsidR="00A66EB0">
        <w:rPr>
          <w:rFonts w:hint="cs"/>
          <w:spacing w:val="-4"/>
          <w:rtl/>
        </w:rPr>
        <w:t>ً</w:t>
      </w:r>
      <w:r w:rsidR="00BF249E" w:rsidRPr="00BF249E">
        <w:rPr>
          <w:spacing w:val="-4"/>
          <w:rtl/>
        </w:rPr>
        <w:t xml:space="preserve"> فيما يتعلق بتقديم المساهمات.‎</w:t>
      </w:r>
    </w:p>
    <w:p w14:paraId="356C4AB6" w14:textId="0534D0BA" w:rsidR="00BF249E" w:rsidRPr="00BF249E" w:rsidRDefault="00A625F1" w:rsidP="00BF249E">
      <w:pPr>
        <w:rPr>
          <w:lang w:val="ar-SA" w:bidi="ar-EG"/>
        </w:rPr>
      </w:pPr>
      <w:r w:rsidRPr="00FD3F31">
        <w:t>5.3</w:t>
      </w:r>
      <w:r w:rsidR="00BF249E" w:rsidRPr="00BF249E">
        <w:rPr>
          <w:rtl/>
        </w:rPr>
        <w:tab/>
        <w:t>يحافظ أعضاء مكتب الفريق الاستشاري لتنمية الاتصالات على التواصل فيما بينهم ومع مكتب تنمية الاتصالات عن طريق الوسائل الإلكترونية إلى أقصى درجة عملية ممكنة والاجتماع مرة واحدة على الأقل في السنة، حتى يتم تنظيم الاجتماع التالي على النحو الملائم، بما في ذلك استعراض خطة إدارة الوقت والموافقة عليها.</w:t>
      </w:r>
    </w:p>
    <w:p w14:paraId="167AE663" w14:textId="43C4BCBE" w:rsidR="00BF249E" w:rsidRPr="00BF249E" w:rsidRDefault="00A625F1" w:rsidP="00BF249E">
      <w:pPr>
        <w:rPr>
          <w:lang w:val="ar-SA" w:bidi="ar-EG"/>
        </w:rPr>
      </w:pPr>
      <w:r>
        <w:t>6.3</w:t>
      </w:r>
      <w:r w:rsidR="00BF249E" w:rsidRPr="00BF249E">
        <w:rPr>
          <w:rtl/>
        </w:rPr>
        <w:tab/>
        <w:t>لتسهيل مهمة الفريق الاستشاري لتنمية الاتصالات، يجوز للفريق أن يستكمل إجراءات العمل هذه بإجراءات إضافية أو مراجعة. ويمكن للفريق إنشاء أفرقة عمل وأفرقة أخرى لدراسة موضوع معين عند الاقتضاء، على النحو المنصوص عليه في</w:t>
      </w:r>
      <w:r w:rsidR="007A20EB">
        <w:rPr>
          <w:rFonts w:hint="cs"/>
          <w:rtl/>
        </w:rPr>
        <w:t> </w:t>
      </w:r>
      <w:r w:rsidR="00BF249E" w:rsidRPr="00BF249E">
        <w:rPr>
          <w:rtl/>
        </w:rPr>
        <w:t>القرار 24 (</w:t>
      </w:r>
      <w:r w:rsidR="00E61B39">
        <w:rPr>
          <w:rtl/>
        </w:rPr>
        <w:t xml:space="preserve">المراجَع </w:t>
      </w:r>
      <w:r w:rsidR="00BF249E" w:rsidRPr="00BF249E">
        <w:rPr>
          <w:rtl/>
        </w:rPr>
        <w:t>في باكو، 2025) للمؤتمر العالمي لتنمية الاتصالات وفي حدود الموارد المالية المتوفرة.</w:t>
      </w:r>
    </w:p>
    <w:p w14:paraId="03E51546" w14:textId="7FBE0DC4" w:rsidR="00BF249E" w:rsidRPr="00BF249E" w:rsidRDefault="00A625F1" w:rsidP="00BF249E">
      <w:pPr>
        <w:rPr>
          <w:lang w:val="ar-SA" w:bidi="ar-EG"/>
        </w:rPr>
      </w:pPr>
      <w:r>
        <w:t>7.3</w:t>
      </w:r>
      <w:r w:rsidR="00BF249E" w:rsidRPr="00BF249E">
        <w:rPr>
          <w:rtl/>
        </w:rPr>
        <w:tab/>
        <w:t>في أول اجتماع له بعد المؤتمر العالمي لتنمية الاتصالات، يُعين الفريق الاستشاري لتنمية الاتصالات اثنين من ممثليه نائبين لرئيس فريق التنسيق بين القطاعات المعني بالمسائل ذات الاهتمام المشترك.</w:t>
      </w:r>
    </w:p>
    <w:p w14:paraId="066DBF7A" w14:textId="6D8997D1" w:rsidR="00BF249E" w:rsidRPr="00BF249E" w:rsidRDefault="00A625F1" w:rsidP="00BF249E">
      <w:pPr>
        <w:rPr>
          <w:lang w:val="ar-SA" w:bidi="ar-EG"/>
        </w:rPr>
      </w:pPr>
      <w:r>
        <w:t>8.3</w:t>
      </w:r>
      <w:r w:rsidR="00BF249E" w:rsidRPr="00BF249E">
        <w:rPr>
          <w:rtl/>
        </w:rPr>
        <w:tab/>
        <w:t>يجب إبلاغ الفريق الاستشاري لتنمية الاتصالات بعدم حضور أعضاء مكتب الفريق الاستشاري في اجتماعات الفريق، ويجب أن يثير هذا الموضوعَ عن طريق مدير مكتب تنمية الاتصالات مع الدول الأعضاء المعنية، أو الأعضاء المعنيين في قطاع تنمية الاتصالات سعياً إلى ضمان مشاركتهم في هذه الأدوار في إطار الفريق، وضمان الوفاء بالالتزامات التي تعهد بها الأعضاء.</w:t>
      </w:r>
    </w:p>
    <w:p w14:paraId="3B5762C5" w14:textId="16A74286" w:rsidR="00BF249E" w:rsidRPr="00BF249E" w:rsidRDefault="00A625F1" w:rsidP="00BF249E">
      <w:pPr>
        <w:rPr>
          <w:lang w:val="ar-SA" w:bidi="ar-EG"/>
        </w:rPr>
      </w:pPr>
      <w:r w:rsidRPr="007A20EB">
        <w:t>9.3</w:t>
      </w:r>
      <w:r w:rsidR="00BF249E" w:rsidRPr="00BF249E">
        <w:rPr>
          <w:rtl/>
        </w:rPr>
        <w:tab/>
        <w:t>يجب أن يكون أعضاء مكتب الفريق الاستشاري لتنمية الاتصالات محايدين في أداء واجباتهم.</w:t>
      </w:r>
    </w:p>
    <w:p w14:paraId="2274E2EE" w14:textId="60C83999" w:rsidR="00BF249E" w:rsidRPr="00BF249E" w:rsidRDefault="00A625F1" w:rsidP="00BF249E">
      <w:pPr>
        <w:rPr>
          <w:spacing w:val="-2"/>
          <w:lang w:val="ar-SA" w:bidi="ar-EG"/>
        </w:rPr>
      </w:pPr>
      <w:r w:rsidRPr="007A20EB">
        <w:rPr>
          <w:spacing w:val="-2"/>
        </w:rPr>
        <w:t>10.3</w:t>
      </w:r>
      <w:r w:rsidR="00BF249E" w:rsidRPr="00BF249E">
        <w:rPr>
          <w:spacing w:val="-2"/>
          <w:rtl/>
        </w:rPr>
        <w:tab/>
        <w:t>إضافة إلى الواجبات الأخرى لنواب رئيس الفريق الاستشاري لتنمية الاتصالات، ينبغي لهم التواصل مع المكاتب الإقليمية ومكاتب المناطق والأعضاء في مناطقهم، من أجل متابعة التقدم المحرز بشأن المبادرات الإقليمية.</w:t>
      </w:r>
    </w:p>
    <w:p w14:paraId="7932833F" w14:textId="7B5AC46A" w:rsidR="00BF249E" w:rsidRPr="00BF249E" w:rsidRDefault="00A625F1" w:rsidP="00BF249E">
      <w:pPr>
        <w:rPr>
          <w:lang w:val="ar-SA" w:bidi="ar-EG"/>
        </w:rPr>
      </w:pPr>
      <w:r>
        <w:t>11.3</w:t>
      </w:r>
      <w:r w:rsidR="00BF249E" w:rsidRPr="00BF249E">
        <w:rPr>
          <w:rtl/>
        </w:rPr>
        <w:tab/>
        <w:t>بعد كل اجتماع للفريق الاستشاري، تقوم أمانة مكتب تنمية الاتصالات بالتعاون مع رئيس الفريق الاستشاري لتنمية الاتصالات بصياغة ملخص مقتضب للاستنتاجات. يقتصر هذا الملخص على اقتراحات الفريق الاستشاري وتوصياته واستنتاجاته في صدد البنود المدرجة في جدول أعماله.‎ ويقدم الفريق الاستشاري لتنمية الاتصالات تقريراً مفصلاً عن أنشطته، بما</w:t>
      </w:r>
      <w:r w:rsidR="007A20EB">
        <w:rPr>
          <w:rFonts w:hint="cs"/>
          <w:rtl/>
        </w:rPr>
        <w:t> </w:t>
      </w:r>
      <w:r w:rsidR="00BF249E" w:rsidRPr="00BF249E">
        <w:rPr>
          <w:rtl/>
        </w:rPr>
        <w:t>في</w:t>
      </w:r>
      <w:r w:rsidR="007A20EB">
        <w:rPr>
          <w:rFonts w:hint="cs"/>
          <w:rtl/>
        </w:rPr>
        <w:t> </w:t>
      </w:r>
      <w:r w:rsidR="00BF249E" w:rsidRPr="00BF249E">
        <w:rPr>
          <w:rtl/>
        </w:rPr>
        <w:t>ذلك المسائل التي أسندها إليه المؤتمر العالمي السابق لتنمية الاتصالات، في موعد أقصاه ثلاثة أسابيع من اختتام الاجتماع. ويُوزع هذا التقرير وفقاً للإجراءات الاعتيادية لقطاع تنمية الاتصالات، ويتاح بجميع اللغات الرسمية للاتحاد.</w:t>
      </w:r>
    </w:p>
    <w:p w14:paraId="21E21055" w14:textId="26ED402C" w:rsidR="00BF249E" w:rsidRPr="009B2F53" w:rsidRDefault="00BF249E" w:rsidP="00A625F1">
      <w:pPr>
        <w:pStyle w:val="Heading1"/>
        <w:rPr>
          <w:spacing w:val="-2"/>
          <w:lang w:val="ar-SA" w:bidi="ar-EG"/>
        </w:rPr>
      </w:pPr>
      <w:r w:rsidRPr="009B2F53">
        <w:rPr>
          <w:spacing w:val="-2"/>
          <w:rtl/>
        </w:rPr>
        <w:t>4</w:t>
      </w:r>
      <w:r w:rsidRPr="009B2F53">
        <w:rPr>
          <w:spacing w:val="-2"/>
          <w:rtl/>
        </w:rPr>
        <w:tab/>
        <w:t>نواتج الفريق الاستشاري لتنمية الاتصالات: تقارير مدير مكتب تنمية الاتصالات والمؤتمر العالمي لتنمية الاتصالات</w:t>
      </w:r>
    </w:p>
    <w:p w14:paraId="78995DE0" w14:textId="443B1CAA" w:rsidR="00BF249E" w:rsidRPr="00BF249E" w:rsidRDefault="00A625F1" w:rsidP="00BF249E">
      <w:pPr>
        <w:rPr>
          <w:lang w:val="ar-SA" w:bidi="ar-EG"/>
        </w:rPr>
      </w:pPr>
      <w:r>
        <w:t>1.4</w:t>
      </w:r>
      <w:r w:rsidR="00BF249E" w:rsidRPr="00BF249E">
        <w:rPr>
          <w:rtl/>
        </w:rPr>
        <w:tab/>
        <w:t>تحدد خطة عمل باكو التي اعتمدها المؤتمر العالمي لتنمية الاتصالات لعام 2025 ولاية قطاع تنمية الاتصالات للفترة</w:t>
      </w:r>
      <w:r w:rsidR="009B2F53">
        <w:rPr>
          <w:rFonts w:hint="cs"/>
          <w:rtl/>
        </w:rPr>
        <w:t> </w:t>
      </w:r>
      <w:r w:rsidR="00BF249E" w:rsidRPr="00BF249E">
        <w:rPr>
          <w:rtl/>
        </w:rPr>
        <w:t>2026-2029.</w:t>
      </w:r>
    </w:p>
    <w:p w14:paraId="2EB341C7" w14:textId="04E257D7" w:rsidR="00BF249E" w:rsidRPr="00BF249E" w:rsidRDefault="00A625F1" w:rsidP="00BF249E">
      <w:pPr>
        <w:rPr>
          <w:lang w:val="ar-SA" w:bidi="ar-EG"/>
        </w:rPr>
      </w:pPr>
      <w:r w:rsidRPr="009B2F53">
        <w:t>2.4</w:t>
      </w:r>
      <w:r w:rsidR="00BF249E" w:rsidRPr="00BF249E">
        <w:rPr>
          <w:rtl/>
        </w:rPr>
        <w:tab/>
        <w:t>‏وفيما يتعلق بالنواتج، يعد الفريق الاستشاري تقريراً يعرضه على مدير مكتب تنمية الاتصالات مبيناً فيه الإجراءات المتخذة بشأن إجراءات العمل؛‎ التعاون والتنسيق مع قطاع الاتصالات الراديوية وقطاع تقييس الاتصالات ومع الأمانة العامة؛ المبادئ التوجيهية لعمل لجان الدراسات؛ التقدم المحرز في تنفيذ برنامج العمل وتنفيذ الخطة التشغيلية للفترة السابقة.</w:t>
      </w:r>
    </w:p>
    <w:p w14:paraId="2DEF3C3F" w14:textId="6134B897" w:rsidR="00BF249E" w:rsidRPr="00BF249E" w:rsidRDefault="00A625F1" w:rsidP="00BF249E">
      <w:pPr>
        <w:rPr>
          <w:lang w:val="ar-SA" w:bidi="ar-EG"/>
        </w:rPr>
      </w:pPr>
      <w:r>
        <w:t>3.4</w:t>
      </w:r>
      <w:r w:rsidR="00BF249E" w:rsidRPr="00BF249E">
        <w:rPr>
          <w:rtl/>
        </w:rPr>
        <w:tab/>
        <w:t>ويجوز كذلك للفريق الاستشاري لتنمية الاتصالات، أن يحدد مجالات الأولوية، بما فيها فيما يتعلق بمشروع إعلان المؤتمر العالمي لتنمية الاتصالات، ومشرع مساهمة المؤتمر العالمي لتنمية الاتصالات في الخطة الاستراتيجية للاتحاد، ومشروع خطة عمل المؤتمر العالمي لتنمية الاتصالات، ولجان الدراسات.</w:t>
      </w:r>
    </w:p>
    <w:p w14:paraId="4DE70544" w14:textId="178B5F88" w:rsidR="00BF249E" w:rsidRPr="00BF249E" w:rsidRDefault="00A625F1" w:rsidP="00985B53">
      <w:pPr>
        <w:keepNext/>
        <w:keepLines/>
        <w:rPr>
          <w:lang w:val="ar-SA" w:bidi="ar-EG"/>
        </w:rPr>
      </w:pPr>
      <w:r>
        <w:lastRenderedPageBreak/>
        <w:t>4.4</w:t>
      </w:r>
      <w:r w:rsidR="00BF249E" w:rsidRPr="00BF249E">
        <w:rPr>
          <w:rtl/>
        </w:rPr>
        <w:tab/>
        <w:t>يعد الفريق الاستشاري لتنمية الاتصالات في اجتماعه الأخير الذي يسبق المؤتمر العالمي لتنمية الاتصالات تقريراً يلخص أنشطته بشأن الموضوعات المسندة إليه من المؤتمر العالمي وفقاً للرقم 213A من الاتفاقية، بما في ذلك أعماله لتيسير صلتها بالخطة الاستراتيجية للاتحاد والخطة التشغيلية الرباعية المتجددة لقطاع تنمية الاتصالات، ومشورته بشأن توزيع العمل، مقترحات بشأن أساليب عمل قطاع تنمية الاتصالات واستراتيجياته وعلاقاته بالهيئات الأخرى ذات الصلة داخل الاتحاد وخارجه، وكذلك بشأن تنفيذ الأعمال والمبادرات والمشاريع الإقليمية. ‏ويحال هذا التقرير أيضاً إلى مدير مكتب تنمية الاتصالات لتقديمه إلى المؤتمر العالمي لتنمية الاتصالات قبل افتتاح المؤتمر العالمي لتنمية الاتصالات بفترة لا تقل عن 35 يوماً تقويمياً من أجل ضمان ترجمة هذه الوثائق في الوقت المناسب ونظر الوفود فيها بإمعان.‎</w:t>
      </w:r>
    </w:p>
    <w:p w14:paraId="32C1ED60" w14:textId="23E09213" w:rsidR="00BF249E" w:rsidRPr="00BF249E" w:rsidRDefault="00A625F1" w:rsidP="00BF249E">
      <w:pPr>
        <w:rPr>
          <w:lang w:val="ar-SA" w:bidi="ar-EG"/>
        </w:rPr>
      </w:pPr>
      <w:r>
        <w:t>5.4</w:t>
      </w:r>
      <w:r w:rsidR="00BF249E" w:rsidRPr="00BF249E">
        <w:rPr>
          <w:rtl/>
        </w:rPr>
        <w:tab/>
        <w:t>ينبغي أن يعقد الاجتماع الأخير للفريق الاستشاري لتنمية الاتصالات قبل المؤتمر العالمي لتنمية الاتصالات في</w:t>
      </w:r>
      <w:r w:rsidR="00985B53">
        <w:rPr>
          <w:rFonts w:hint="cs"/>
          <w:rtl/>
        </w:rPr>
        <w:t> </w:t>
      </w:r>
      <w:r w:rsidR="00BF249E" w:rsidRPr="00BF249E">
        <w:rPr>
          <w:rtl/>
        </w:rPr>
        <w:t>موعد لا يقل عن ثلاثة أشهر ولا تزيد عن ستة أشهر قبل المؤتمر العالمي لتنمية الاتصالات المعني من أجل دراسة التقرير الموحد الذي يعرض نتائج الاجتماعات التحضيرية الإقليمية الستة ومناقشته واعتماده، في صيغته النهائية، لتقديمه إلى المؤتمر.</w:t>
      </w:r>
      <w:bookmarkEnd w:id="1"/>
      <w:bookmarkEnd w:id="2"/>
      <w:bookmarkEnd w:id="3"/>
    </w:p>
    <w:p w14:paraId="47AFE29D" w14:textId="2A117D3F" w:rsidR="007B4FA0" w:rsidRDefault="00153471" w:rsidP="00153471">
      <w:pPr>
        <w:spacing w:before="600"/>
        <w:jc w:val="center"/>
        <w:rPr>
          <w:lang w:bidi="ar-EG"/>
        </w:rPr>
      </w:pPr>
      <w:r w:rsidRPr="00FC4592">
        <w:rPr>
          <w:rFonts w:hint="cs"/>
          <w:rtl/>
          <w:lang w:bidi="ar-EG"/>
        </w:rPr>
        <w:t>ــــــــــــــــــــــــــــــــــــــــــــــــــــــــــــــــــــــــــــــــــــــــــــــــ</w:t>
      </w:r>
    </w:p>
    <w:sectPr w:rsidR="007B4FA0" w:rsidSect="006C3242">
      <w:headerReference w:type="default" r:id="rId9"/>
      <w:footerReference w:type="first" r:id="rId10"/>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24DC2" w14:textId="77777777" w:rsidR="0098073E" w:rsidRDefault="0098073E" w:rsidP="006C3242">
      <w:pPr>
        <w:spacing w:before="0" w:line="240" w:lineRule="auto"/>
      </w:pPr>
      <w:r>
        <w:separator/>
      </w:r>
    </w:p>
  </w:endnote>
  <w:endnote w:type="continuationSeparator" w:id="0">
    <w:p w14:paraId="3BF433BC" w14:textId="77777777" w:rsidR="0098073E" w:rsidRDefault="0098073E"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ook w:val="04A0" w:firstRow="1" w:lastRow="0" w:firstColumn="1" w:lastColumn="0" w:noHBand="0" w:noVBand="1"/>
      <w:tblCaption w:val="اسم الشخص الذي يمكن الاتصال به بشأن الوثيقة وبيانات الاتصال الخاصة به"/>
    </w:tblPr>
    <w:tblGrid>
      <w:gridCol w:w="991"/>
      <w:gridCol w:w="2411"/>
      <w:gridCol w:w="6237"/>
    </w:tblGrid>
    <w:tr w:rsidR="00AD1E92" w:rsidRPr="00AD1E92" w14:paraId="3FDAC14B" w14:textId="77777777" w:rsidTr="00031158">
      <w:tc>
        <w:tcPr>
          <w:tcW w:w="991" w:type="dxa"/>
          <w:tcBorders>
            <w:top w:val="single" w:sz="4" w:space="0" w:color="auto"/>
            <w:left w:val="nil"/>
            <w:bottom w:val="nil"/>
            <w:right w:val="nil"/>
          </w:tcBorders>
          <w:shd w:val="clear" w:color="auto" w:fill="FFFFFF" w:themeFill="background1"/>
          <w:hideMark/>
        </w:tcPr>
        <w:p w14:paraId="3C1904BB"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للاتصال:</w:t>
          </w:r>
        </w:p>
      </w:tc>
      <w:tc>
        <w:tcPr>
          <w:tcW w:w="2411" w:type="dxa"/>
          <w:tcBorders>
            <w:top w:val="single" w:sz="4" w:space="0" w:color="auto"/>
            <w:left w:val="nil"/>
            <w:bottom w:val="nil"/>
            <w:right w:val="nil"/>
          </w:tcBorders>
          <w:shd w:val="clear" w:color="auto" w:fill="FFFFFF" w:themeFill="background1"/>
          <w:hideMark/>
        </w:tcPr>
        <w:p w14:paraId="26D76023"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الاسم/المنظمة/الكيان:</w:t>
          </w:r>
        </w:p>
      </w:tc>
      <w:tc>
        <w:tcPr>
          <w:tcW w:w="6237" w:type="dxa"/>
          <w:tcBorders>
            <w:top w:val="single" w:sz="4" w:space="0" w:color="auto"/>
            <w:left w:val="nil"/>
            <w:bottom w:val="nil"/>
            <w:right w:val="nil"/>
          </w:tcBorders>
          <w:shd w:val="clear" w:color="auto" w:fill="FFFFFF" w:themeFill="background1"/>
        </w:tcPr>
        <w:p w14:paraId="2F8FEF44" w14:textId="0090DD35" w:rsidR="00AD1E92" w:rsidRPr="00AD1E92" w:rsidRDefault="00C4430E" w:rsidP="00395915">
          <w:pPr>
            <w:spacing w:before="60" w:after="40" w:line="260" w:lineRule="exact"/>
            <w:rPr>
              <w:position w:val="2"/>
              <w:sz w:val="18"/>
              <w:szCs w:val="18"/>
              <w:lang w:val="en-GB"/>
            </w:rPr>
          </w:pPr>
          <w:r w:rsidRPr="00C4430E">
            <w:rPr>
              <w:position w:val="2"/>
              <w:sz w:val="18"/>
              <w:szCs w:val="18"/>
              <w:rtl/>
              <w:lang w:val="fr-FR"/>
            </w:rPr>
            <w:t xml:space="preserve">السيدة </w:t>
          </w:r>
          <w:r w:rsidR="00395915" w:rsidRPr="00395915">
            <w:rPr>
              <w:position w:val="2"/>
              <w:sz w:val="18"/>
              <w:szCs w:val="18"/>
              <w:lang w:val="en-GB"/>
            </w:rPr>
            <w:t>Archana Gulati</w:t>
          </w:r>
          <w:r w:rsidRPr="00C4430E">
            <w:rPr>
              <w:position w:val="2"/>
              <w:sz w:val="18"/>
              <w:szCs w:val="18"/>
              <w:rtl/>
              <w:lang w:val="fr-FR"/>
            </w:rPr>
            <w:t>، نائبة مدير مكتب تنمية الاتصالات</w:t>
          </w:r>
        </w:p>
      </w:tc>
    </w:tr>
    <w:tr w:rsidR="00AD1E92" w:rsidRPr="00AD1E92" w14:paraId="0D28F012" w14:textId="77777777" w:rsidTr="00031158">
      <w:tc>
        <w:tcPr>
          <w:tcW w:w="991" w:type="dxa"/>
        </w:tcPr>
        <w:p w14:paraId="46363FEC" w14:textId="77777777" w:rsidR="00AD1E92" w:rsidRPr="00AD1E92" w:rsidRDefault="00AD1E92" w:rsidP="00AD1E92">
          <w:pPr>
            <w:spacing w:before="60" w:after="40" w:line="260" w:lineRule="exact"/>
            <w:rPr>
              <w:position w:val="2"/>
              <w:sz w:val="18"/>
              <w:szCs w:val="18"/>
              <w:lang w:val="en-GB"/>
            </w:rPr>
          </w:pPr>
        </w:p>
      </w:tc>
      <w:tc>
        <w:tcPr>
          <w:tcW w:w="2411" w:type="dxa"/>
          <w:hideMark/>
        </w:tcPr>
        <w:p w14:paraId="2A3F2D3B"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رقم الهاتف:</w:t>
          </w:r>
        </w:p>
      </w:tc>
      <w:tc>
        <w:tcPr>
          <w:tcW w:w="6237" w:type="dxa"/>
        </w:tcPr>
        <w:p w14:paraId="54B70ADF" w14:textId="1A5B1732" w:rsidR="00AD1E92" w:rsidRPr="00AD1E92" w:rsidRDefault="00395915" w:rsidP="00395915">
          <w:pPr>
            <w:spacing w:before="60" w:after="40" w:line="260" w:lineRule="exact"/>
            <w:rPr>
              <w:position w:val="2"/>
              <w:sz w:val="18"/>
              <w:szCs w:val="18"/>
              <w:lang w:val="en-GB"/>
            </w:rPr>
          </w:pPr>
          <w:r w:rsidRPr="00395915">
            <w:rPr>
              <w:position w:val="2"/>
              <w:sz w:val="18"/>
              <w:szCs w:val="18"/>
              <w:lang w:val="en-GB" w:bidi="ar-EG"/>
            </w:rPr>
            <w:t>+41 22 730 6475</w:t>
          </w:r>
        </w:p>
      </w:tc>
    </w:tr>
    <w:tr w:rsidR="00AD1E92" w:rsidRPr="00AD1E92" w14:paraId="3B21F710" w14:textId="77777777" w:rsidTr="00031158">
      <w:tc>
        <w:tcPr>
          <w:tcW w:w="991" w:type="dxa"/>
        </w:tcPr>
        <w:p w14:paraId="768E9AF5" w14:textId="77777777" w:rsidR="00AD1E92" w:rsidRPr="00AD1E92" w:rsidRDefault="00AD1E92" w:rsidP="00AD1E92">
          <w:pPr>
            <w:spacing w:before="60" w:after="40" w:line="260" w:lineRule="exact"/>
            <w:rPr>
              <w:position w:val="2"/>
              <w:sz w:val="18"/>
              <w:szCs w:val="18"/>
              <w:lang w:val="en-GB"/>
            </w:rPr>
          </w:pPr>
        </w:p>
      </w:tc>
      <w:tc>
        <w:tcPr>
          <w:tcW w:w="2411" w:type="dxa"/>
          <w:hideMark/>
        </w:tcPr>
        <w:p w14:paraId="57DBA097" w14:textId="77777777" w:rsidR="00AD1E92" w:rsidRPr="00AD1E92" w:rsidRDefault="00AD1E92" w:rsidP="00AD1E92">
          <w:pPr>
            <w:spacing w:before="60" w:after="40" w:line="260" w:lineRule="exact"/>
            <w:rPr>
              <w:position w:val="2"/>
              <w:sz w:val="18"/>
              <w:szCs w:val="18"/>
              <w:lang w:val="en-GB"/>
            </w:rPr>
          </w:pPr>
          <w:r w:rsidRPr="00AD1E92">
            <w:rPr>
              <w:position w:val="2"/>
              <w:sz w:val="18"/>
              <w:szCs w:val="18"/>
              <w:rtl/>
              <w:lang w:val="fr-FR" w:bidi="ar-EG"/>
            </w:rPr>
            <w:t>البريد الإلكتروني:</w:t>
          </w:r>
        </w:p>
      </w:tc>
      <w:tc>
        <w:tcPr>
          <w:tcW w:w="6237" w:type="dxa"/>
        </w:tcPr>
        <w:p w14:paraId="1FAC96CD" w14:textId="3C92BDDF" w:rsidR="00AD1E92" w:rsidRPr="00AD1E92" w:rsidRDefault="00321B0B" w:rsidP="00AD1E92">
          <w:pPr>
            <w:spacing w:before="60" w:after="40" w:line="260" w:lineRule="exact"/>
            <w:rPr>
              <w:position w:val="2"/>
              <w:sz w:val="18"/>
              <w:szCs w:val="18"/>
              <w:rtl/>
              <w:lang w:val="fr-FR" w:bidi="ar-EG"/>
            </w:rPr>
          </w:pPr>
          <w:hyperlink r:id="rId1" w:history="1">
            <w:r w:rsidR="00395915">
              <w:rPr>
                <w:rStyle w:val="Hyperlink"/>
                <w:sz w:val="18"/>
              </w:rPr>
              <w:t>archana.gulati@itu.int</w:t>
            </w:r>
          </w:hyperlink>
        </w:p>
      </w:tc>
    </w:tr>
  </w:tbl>
  <w:p w14:paraId="210FEA52" w14:textId="77777777" w:rsidR="00AD1E92" w:rsidRPr="004A0B7B" w:rsidRDefault="00AD1E9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A5B38" w14:textId="77777777" w:rsidR="0098073E" w:rsidRDefault="0098073E" w:rsidP="006C3242">
      <w:pPr>
        <w:spacing w:before="0" w:line="240" w:lineRule="auto"/>
      </w:pPr>
      <w:r>
        <w:separator/>
      </w:r>
    </w:p>
  </w:footnote>
  <w:footnote w:type="continuationSeparator" w:id="0">
    <w:p w14:paraId="46E4AB89" w14:textId="77777777" w:rsidR="0098073E" w:rsidRDefault="0098073E"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tl/>
      </w:rPr>
      <w:id w:val="-1375531529"/>
      <w:docPartObj>
        <w:docPartGallery w:val="Page Numbers (Top of Page)"/>
        <w:docPartUnique/>
      </w:docPartObj>
    </w:sdtPr>
    <w:sdtEndPr>
      <w:rPr>
        <w:rFonts w:cs="Calibri"/>
        <w:noProof/>
        <w:sz w:val="18"/>
        <w:szCs w:val="18"/>
      </w:rPr>
    </w:sdtEndPr>
    <w:sdtContent>
      <w:p w14:paraId="5A895E4E" w14:textId="44F36CA5" w:rsidR="00882A17" w:rsidRPr="00FC3D2F" w:rsidRDefault="00882A17" w:rsidP="004F0F62">
        <w:pPr>
          <w:pStyle w:val="Header"/>
          <w:tabs>
            <w:tab w:val="clear" w:pos="794"/>
            <w:tab w:val="clear" w:pos="4680"/>
            <w:tab w:val="clear" w:pos="9360"/>
            <w:tab w:val="center" w:pos="4819"/>
            <w:tab w:val="right" w:pos="9639"/>
          </w:tabs>
          <w:spacing w:before="120" w:line="192" w:lineRule="auto"/>
          <w:rPr>
            <w:sz w:val="20"/>
            <w:szCs w:val="20"/>
            <w:rtl/>
            <w:lang w:bidi="ar-EG"/>
          </w:rPr>
        </w:pPr>
        <w:r w:rsidRPr="00FC3D2F">
          <w:rPr>
            <w:sz w:val="20"/>
            <w:szCs w:val="20"/>
          </w:rPr>
          <w:tab/>
        </w:r>
        <w:r w:rsidR="00983DA5">
          <w:rPr>
            <w:sz w:val="20"/>
            <w:szCs w:val="20"/>
            <w:lang w:val="es-ES_tradnl"/>
          </w:rPr>
          <w:t>TDAG</w:t>
        </w:r>
        <w:r>
          <w:rPr>
            <w:sz w:val="20"/>
            <w:szCs w:val="20"/>
            <w:lang w:val="es-ES_tradnl"/>
          </w:rPr>
          <w:t>-2</w:t>
        </w:r>
        <w:bookmarkStart w:id="4" w:name="DocNo2"/>
        <w:bookmarkEnd w:id="4"/>
        <w:r w:rsidR="00105EF4">
          <w:rPr>
            <w:sz w:val="20"/>
            <w:szCs w:val="20"/>
            <w:lang w:val="es-ES_tradnl"/>
          </w:rPr>
          <w:t>6</w:t>
        </w:r>
        <w:r w:rsidR="004F0F62" w:rsidRPr="004F0F62">
          <w:rPr>
            <w:sz w:val="20"/>
            <w:szCs w:val="20"/>
            <w:lang w:val="es-ES_tradnl"/>
          </w:rPr>
          <w:t>/</w:t>
        </w:r>
        <w:r w:rsidR="00BF249E">
          <w:rPr>
            <w:sz w:val="20"/>
            <w:szCs w:val="20"/>
            <w:lang w:val="es-ES_tradnl"/>
          </w:rPr>
          <w:t>18</w:t>
        </w:r>
        <w:r w:rsidRPr="00FC3D2F">
          <w:rPr>
            <w:sz w:val="20"/>
            <w:szCs w:val="20"/>
            <w:lang w:val="en-GB"/>
          </w:rPr>
          <w:t>-A</w:t>
        </w:r>
        <w:r w:rsidRPr="00FC3D2F">
          <w:rPr>
            <w:sz w:val="20"/>
            <w:szCs w:val="20"/>
            <w:rtl/>
            <w:lang w:bidi="ar-EG"/>
          </w:rPr>
          <w:tab/>
        </w:r>
        <w:r w:rsidRPr="00FC3D2F">
          <w:rPr>
            <w:rFonts w:hint="cs"/>
            <w:sz w:val="20"/>
            <w:szCs w:val="20"/>
            <w:rtl/>
          </w:rPr>
          <w:t>الصفحة</w:t>
        </w:r>
        <w:r w:rsidRPr="00FC3D2F">
          <w:rPr>
            <w:rFonts w:hint="cs"/>
            <w:sz w:val="20"/>
            <w:szCs w:val="20"/>
            <w:rtl/>
            <w:lang w:bidi="ar-EG"/>
          </w:rPr>
          <w:t xml:space="preserve"> </w:t>
        </w:r>
        <w:r w:rsidRPr="00FC3D2F">
          <w:rPr>
            <w:sz w:val="20"/>
            <w:szCs w:val="20"/>
            <w:lang w:val="en-GB"/>
          </w:rPr>
          <w:fldChar w:fldCharType="begin"/>
        </w:r>
        <w:r w:rsidRPr="00FC3D2F">
          <w:rPr>
            <w:sz w:val="20"/>
            <w:szCs w:val="20"/>
            <w:lang w:val="en-GB"/>
          </w:rPr>
          <w:instrText xml:space="preserve"> PAGE </w:instrText>
        </w:r>
        <w:r w:rsidRPr="00FC3D2F">
          <w:rPr>
            <w:sz w:val="20"/>
            <w:szCs w:val="20"/>
            <w:lang w:val="en-GB"/>
          </w:rPr>
          <w:fldChar w:fldCharType="separate"/>
        </w:r>
        <w:r>
          <w:rPr>
            <w:sz w:val="20"/>
            <w:szCs w:val="20"/>
            <w:lang w:val="en-GB"/>
          </w:rPr>
          <w:t>2</w:t>
        </w:r>
        <w:r w:rsidRPr="00FC3D2F">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D4902BB"/>
    <w:multiLevelType w:val="hybridMultilevel"/>
    <w:tmpl w:val="D34C965A"/>
    <w:lvl w:ilvl="0" w:tplc="93E6492E">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num w:numId="1" w16cid:durableId="161052376">
    <w:abstractNumId w:val="9"/>
  </w:num>
  <w:num w:numId="2" w16cid:durableId="1147554591">
    <w:abstractNumId w:val="7"/>
  </w:num>
  <w:num w:numId="3" w16cid:durableId="1041170884">
    <w:abstractNumId w:val="6"/>
  </w:num>
  <w:num w:numId="4" w16cid:durableId="1808467772">
    <w:abstractNumId w:val="5"/>
  </w:num>
  <w:num w:numId="5" w16cid:durableId="939215603">
    <w:abstractNumId w:val="4"/>
  </w:num>
  <w:num w:numId="6" w16cid:durableId="1171480664">
    <w:abstractNumId w:val="8"/>
  </w:num>
  <w:num w:numId="7" w16cid:durableId="1511486152">
    <w:abstractNumId w:val="3"/>
  </w:num>
  <w:num w:numId="8" w16cid:durableId="1234042883">
    <w:abstractNumId w:val="2"/>
  </w:num>
  <w:num w:numId="9" w16cid:durableId="285890177">
    <w:abstractNumId w:val="1"/>
  </w:num>
  <w:num w:numId="10" w16cid:durableId="1410539016">
    <w:abstractNumId w:val="0"/>
  </w:num>
  <w:num w:numId="11" w16cid:durableId="1773476791">
    <w:abstractNumId w:val="10"/>
  </w:num>
  <w:num w:numId="12" w16cid:durableId="8566975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125"/>
    <w:rsid w:val="00026D7C"/>
    <w:rsid w:val="0006468A"/>
    <w:rsid w:val="00090574"/>
    <w:rsid w:val="000B1115"/>
    <w:rsid w:val="000C1C0E"/>
    <w:rsid w:val="000C548A"/>
    <w:rsid w:val="00102107"/>
    <w:rsid w:val="0010520F"/>
    <w:rsid w:val="00105EF4"/>
    <w:rsid w:val="00127844"/>
    <w:rsid w:val="00145668"/>
    <w:rsid w:val="00153471"/>
    <w:rsid w:val="0019128D"/>
    <w:rsid w:val="001C0169"/>
    <w:rsid w:val="001D1D50"/>
    <w:rsid w:val="001D6745"/>
    <w:rsid w:val="001E446E"/>
    <w:rsid w:val="0021016E"/>
    <w:rsid w:val="002154EE"/>
    <w:rsid w:val="002276D2"/>
    <w:rsid w:val="0023283D"/>
    <w:rsid w:val="0026373E"/>
    <w:rsid w:val="00271C43"/>
    <w:rsid w:val="00290728"/>
    <w:rsid w:val="002978F4"/>
    <w:rsid w:val="002B028D"/>
    <w:rsid w:val="002D695E"/>
    <w:rsid w:val="002E6541"/>
    <w:rsid w:val="002F6DD0"/>
    <w:rsid w:val="00317741"/>
    <w:rsid w:val="00321B0B"/>
    <w:rsid w:val="00334924"/>
    <w:rsid w:val="003409BC"/>
    <w:rsid w:val="00344604"/>
    <w:rsid w:val="00352462"/>
    <w:rsid w:val="00357185"/>
    <w:rsid w:val="00373CBB"/>
    <w:rsid w:val="00383829"/>
    <w:rsid w:val="00395915"/>
    <w:rsid w:val="003971E3"/>
    <w:rsid w:val="003C4402"/>
    <w:rsid w:val="003D1DFD"/>
    <w:rsid w:val="003F4B29"/>
    <w:rsid w:val="004200BD"/>
    <w:rsid w:val="0042686F"/>
    <w:rsid w:val="004317D8"/>
    <w:rsid w:val="00434183"/>
    <w:rsid w:val="00443869"/>
    <w:rsid w:val="00447F32"/>
    <w:rsid w:val="00457D22"/>
    <w:rsid w:val="004A0B7B"/>
    <w:rsid w:val="004C10F1"/>
    <w:rsid w:val="004D0D1B"/>
    <w:rsid w:val="004E11DC"/>
    <w:rsid w:val="004E2A17"/>
    <w:rsid w:val="004F0F62"/>
    <w:rsid w:val="004F3C48"/>
    <w:rsid w:val="00506E94"/>
    <w:rsid w:val="00525DDD"/>
    <w:rsid w:val="005409AC"/>
    <w:rsid w:val="0055516A"/>
    <w:rsid w:val="005653F0"/>
    <w:rsid w:val="0058491B"/>
    <w:rsid w:val="005874F2"/>
    <w:rsid w:val="00592EA5"/>
    <w:rsid w:val="005A3170"/>
    <w:rsid w:val="005A5385"/>
    <w:rsid w:val="005B2C89"/>
    <w:rsid w:val="005C0C76"/>
    <w:rsid w:val="005D5125"/>
    <w:rsid w:val="005D610E"/>
    <w:rsid w:val="005D63D6"/>
    <w:rsid w:val="005E1E6D"/>
    <w:rsid w:val="006128FC"/>
    <w:rsid w:val="00677396"/>
    <w:rsid w:val="0069200F"/>
    <w:rsid w:val="006A5FEC"/>
    <w:rsid w:val="006A65CB"/>
    <w:rsid w:val="006B1791"/>
    <w:rsid w:val="006B266A"/>
    <w:rsid w:val="006C3242"/>
    <w:rsid w:val="006C7CC0"/>
    <w:rsid w:val="006E4285"/>
    <w:rsid w:val="006F63F7"/>
    <w:rsid w:val="007025C7"/>
    <w:rsid w:val="00706D7A"/>
    <w:rsid w:val="00722F0D"/>
    <w:rsid w:val="0074420E"/>
    <w:rsid w:val="0074742E"/>
    <w:rsid w:val="00747A70"/>
    <w:rsid w:val="00783A69"/>
    <w:rsid w:val="00783E26"/>
    <w:rsid w:val="007A1D77"/>
    <w:rsid w:val="007A20EB"/>
    <w:rsid w:val="007B4FA0"/>
    <w:rsid w:val="007C3BC7"/>
    <w:rsid w:val="007C3BCD"/>
    <w:rsid w:val="007D345C"/>
    <w:rsid w:val="007D4ACF"/>
    <w:rsid w:val="007F0787"/>
    <w:rsid w:val="00810B7B"/>
    <w:rsid w:val="0082358A"/>
    <w:rsid w:val="008235CD"/>
    <w:rsid w:val="008247DE"/>
    <w:rsid w:val="00840B10"/>
    <w:rsid w:val="008513CB"/>
    <w:rsid w:val="00855F97"/>
    <w:rsid w:val="008562F3"/>
    <w:rsid w:val="00874F08"/>
    <w:rsid w:val="00882A17"/>
    <w:rsid w:val="008A7F84"/>
    <w:rsid w:val="00906B07"/>
    <w:rsid w:val="0091702E"/>
    <w:rsid w:val="00923B0C"/>
    <w:rsid w:val="0094021C"/>
    <w:rsid w:val="0094065A"/>
    <w:rsid w:val="00952F86"/>
    <w:rsid w:val="00957084"/>
    <w:rsid w:val="0098073E"/>
    <w:rsid w:val="00982B28"/>
    <w:rsid w:val="00983DA5"/>
    <w:rsid w:val="00985B53"/>
    <w:rsid w:val="009B2F53"/>
    <w:rsid w:val="009B3160"/>
    <w:rsid w:val="009D313F"/>
    <w:rsid w:val="00A15396"/>
    <w:rsid w:val="00A24359"/>
    <w:rsid w:val="00A47A5A"/>
    <w:rsid w:val="00A625F1"/>
    <w:rsid w:val="00A6683B"/>
    <w:rsid w:val="00A66EB0"/>
    <w:rsid w:val="00A776F3"/>
    <w:rsid w:val="00A97F94"/>
    <w:rsid w:val="00AA7EA2"/>
    <w:rsid w:val="00AD1E92"/>
    <w:rsid w:val="00B03099"/>
    <w:rsid w:val="00B05BC8"/>
    <w:rsid w:val="00B319BC"/>
    <w:rsid w:val="00B64B47"/>
    <w:rsid w:val="00B93B7B"/>
    <w:rsid w:val="00BC4B48"/>
    <w:rsid w:val="00BF249E"/>
    <w:rsid w:val="00C002DE"/>
    <w:rsid w:val="00C23B80"/>
    <w:rsid w:val="00C4430E"/>
    <w:rsid w:val="00C53BF8"/>
    <w:rsid w:val="00C56B5F"/>
    <w:rsid w:val="00C66157"/>
    <w:rsid w:val="00C674FE"/>
    <w:rsid w:val="00C67501"/>
    <w:rsid w:val="00C75633"/>
    <w:rsid w:val="00C85CB5"/>
    <w:rsid w:val="00CA08BA"/>
    <w:rsid w:val="00CE2EE1"/>
    <w:rsid w:val="00CE3349"/>
    <w:rsid w:val="00CE36E5"/>
    <w:rsid w:val="00CF27F5"/>
    <w:rsid w:val="00CF3FFD"/>
    <w:rsid w:val="00CF4342"/>
    <w:rsid w:val="00D10CCF"/>
    <w:rsid w:val="00D50684"/>
    <w:rsid w:val="00D77D0F"/>
    <w:rsid w:val="00D8311F"/>
    <w:rsid w:val="00D84440"/>
    <w:rsid w:val="00DA1CF0"/>
    <w:rsid w:val="00DC1E02"/>
    <w:rsid w:val="00DC24B4"/>
    <w:rsid w:val="00DC5FB0"/>
    <w:rsid w:val="00DF16DC"/>
    <w:rsid w:val="00E43176"/>
    <w:rsid w:val="00E45211"/>
    <w:rsid w:val="00E473C5"/>
    <w:rsid w:val="00E61B39"/>
    <w:rsid w:val="00E92863"/>
    <w:rsid w:val="00EB796D"/>
    <w:rsid w:val="00EC04E3"/>
    <w:rsid w:val="00EC791C"/>
    <w:rsid w:val="00ED19BA"/>
    <w:rsid w:val="00EE5CF2"/>
    <w:rsid w:val="00F058DC"/>
    <w:rsid w:val="00F11CA9"/>
    <w:rsid w:val="00F24FC4"/>
    <w:rsid w:val="00F2676C"/>
    <w:rsid w:val="00F43D01"/>
    <w:rsid w:val="00F5034A"/>
    <w:rsid w:val="00F77022"/>
    <w:rsid w:val="00F84366"/>
    <w:rsid w:val="00F85089"/>
    <w:rsid w:val="00F974C5"/>
    <w:rsid w:val="00FA6F46"/>
    <w:rsid w:val="00FD3F31"/>
    <w:rsid w:val="00FE5872"/>
    <w:rsid w:val="00FE75FD"/>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49B8B"/>
  <w15:chartTrackingRefBased/>
  <w15:docId w15:val="{75BA7EEF-F7DA-412E-8296-A263CD17F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668"/>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autoRedefine/>
    <w:uiPriority w:val="99"/>
    <w:semiHidden/>
    <w:unhideWhenUsed/>
    <w:qFormat/>
    <w:rsid w:val="00747A70"/>
    <w:pPr>
      <w:spacing w:before="60" w:line="168" w:lineRule="auto"/>
    </w:pPr>
    <w:rPr>
      <w:sz w:val="18"/>
      <w:szCs w:val="18"/>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747A70"/>
    <w:rPr>
      <w:rFonts w:ascii="Dubai" w:hAnsi="Dubai" w:cs="Dubai"/>
      <w:sz w:val="18"/>
      <w:szCs w:val="18"/>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aliases w:val="CEO_Hyperlink,超级链接,超?级链,Style 58,超????,하이퍼링크2,하이퍼링크21"/>
    <w:basedOn w:val="DefaultParagraphFont"/>
    <w:uiPriority w:val="99"/>
    <w:unhideWhenUsed/>
    <w:qFormat/>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mailto:stephen.bereaux@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yabdul\Desktop\type\Arabic%20Templates%202026\ITU-D%20(BDT)\PA_TDAG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D2A43E68-FEE1-4201-87D6-0DF5EF736C30}">
  <ds:schemaRefs>
    <ds:schemaRef ds:uri="http://schemas.openxmlformats.org/officeDocument/2006/bibliography"/>
  </ds:schemaRefs>
</ds:datastoreItem>
</file>

<file path=customXml/itemProps2.xml><?xml version="1.0" encoding="utf-8"?>
<ds:datastoreItem xmlns:ds="http://schemas.openxmlformats.org/officeDocument/2006/customXml" ds:itemID="{446A797A-4A5D-49C5-8AF0-1C4CBDDC7CC3}"/>
</file>

<file path=customXml/itemProps3.xml><?xml version="1.0" encoding="utf-8"?>
<ds:datastoreItem xmlns:ds="http://schemas.openxmlformats.org/officeDocument/2006/customXml" ds:itemID="{1A8B48D0-6462-4CE5-8ACB-D7091F556211}"/>
</file>

<file path=customXml/itemProps4.xml><?xml version="1.0" encoding="utf-8"?>
<ds:datastoreItem xmlns:ds="http://schemas.openxmlformats.org/officeDocument/2006/customXml" ds:itemID="{A19C67C4-657A-4C16-B522-4ECCE91674FD}"/>
</file>

<file path=docProps/app.xml><?xml version="1.0" encoding="utf-8"?>
<Properties xmlns="http://schemas.openxmlformats.org/officeDocument/2006/extended-properties" xmlns:vt="http://schemas.openxmlformats.org/officeDocument/2006/docPropsVTypes">
  <Template>PA_TDAG26.dotx</Template>
  <TotalTime>28</TotalTime>
  <Pages>5</Pages>
  <Words>1958</Words>
  <Characters>11163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Arabic_AA</dc:creator>
  <cp:keywords/>
  <dc:description/>
  <cp:lastModifiedBy>Arabic_I.R</cp:lastModifiedBy>
  <cp:revision>9</cp:revision>
  <dcterms:created xsi:type="dcterms:W3CDTF">2026-03-25T13:32:00Z</dcterms:created>
  <dcterms:modified xsi:type="dcterms:W3CDTF">2026-03-25T14:00:00Z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0x0101000421F7F6C5263B4B928A068E40912AB8</vt:lpwstr>
  </property>
</Properties>
</file>