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284EC2" w14:paraId="48E6B6EC" w14:textId="77777777" w:rsidTr="00FC1EC2">
        <w:trPr>
          <w:cantSplit/>
          <w:trHeight w:val="1425"/>
        </w:trPr>
        <w:tc>
          <w:tcPr>
            <w:tcW w:w="6663" w:type="dxa"/>
          </w:tcPr>
          <w:p w14:paraId="41609CFC" w14:textId="77777777" w:rsidR="004B2111" w:rsidRPr="00284EC2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284EC2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284EC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327356E0" w14:textId="77777777" w:rsidR="004B2111" w:rsidRPr="00284EC2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DD8955D" w14:textId="77777777" w:rsidR="004B2111" w:rsidRPr="00284EC2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284EC2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284EC2" w14:paraId="282CA4D1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6046708" w14:textId="77777777" w:rsidR="00D83BF5" w:rsidRPr="00284EC2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1F17BF2" w14:textId="77777777" w:rsidR="00D83BF5" w:rsidRPr="00284EC2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284EC2" w14:paraId="13A67F98" w14:textId="77777777" w:rsidTr="00FC1EC2">
        <w:trPr>
          <w:cantSplit/>
          <w:trHeight w:val="23"/>
        </w:trPr>
        <w:tc>
          <w:tcPr>
            <w:tcW w:w="6663" w:type="dxa"/>
          </w:tcPr>
          <w:p w14:paraId="53BBBEB8" w14:textId="77777777" w:rsidR="00D87035" w:rsidRPr="00284EC2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4906CB0" w14:textId="1B1C8E00" w:rsidR="00D87035" w:rsidRPr="00284EC2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284EC2">
              <w:rPr>
                <w:b/>
                <w:bCs/>
                <w:szCs w:val="22"/>
              </w:rPr>
              <w:t>Документ</w:t>
            </w:r>
            <w:r w:rsidR="00D87035" w:rsidRPr="00284EC2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284EC2">
              <w:rPr>
                <w:b/>
                <w:bCs/>
                <w:szCs w:val="22"/>
              </w:rPr>
              <w:t>TDAG-</w:t>
            </w:r>
            <w:r w:rsidR="00523934" w:rsidRPr="00284EC2">
              <w:rPr>
                <w:b/>
                <w:bCs/>
                <w:szCs w:val="22"/>
              </w:rPr>
              <w:t>2</w:t>
            </w:r>
            <w:r w:rsidR="000674FE" w:rsidRPr="00284EC2">
              <w:rPr>
                <w:b/>
                <w:bCs/>
                <w:szCs w:val="22"/>
              </w:rPr>
              <w:t>6</w:t>
            </w:r>
            <w:r w:rsidR="00D87035" w:rsidRPr="00284EC2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2B327E" w:rsidRPr="00284EC2">
              <w:rPr>
                <w:b/>
                <w:bCs/>
                <w:szCs w:val="22"/>
              </w:rPr>
              <w:t>17</w:t>
            </w:r>
            <w:r w:rsidR="00C539CE" w:rsidRPr="00C539CE">
              <w:rPr>
                <w:b/>
                <w:bCs/>
                <w:szCs w:val="22"/>
              </w:rPr>
              <w:t>(Rev.1)</w:t>
            </w:r>
            <w:r w:rsidR="00D87035" w:rsidRPr="00284EC2">
              <w:rPr>
                <w:b/>
                <w:bCs/>
                <w:szCs w:val="22"/>
              </w:rPr>
              <w:t>-</w:t>
            </w:r>
            <w:r w:rsidRPr="00284EC2">
              <w:rPr>
                <w:b/>
                <w:bCs/>
                <w:szCs w:val="22"/>
              </w:rPr>
              <w:t>R</w:t>
            </w:r>
          </w:p>
        </w:tc>
      </w:tr>
      <w:tr w:rsidR="00D87035" w:rsidRPr="00284EC2" w14:paraId="5B830B0C" w14:textId="77777777" w:rsidTr="00FC1EC2">
        <w:trPr>
          <w:cantSplit/>
          <w:trHeight w:val="23"/>
        </w:trPr>
        <w:tc>
          <w:tcPr>
            <w:tcW w:w="6663" w:type="dxa"/>
          </w:tcPr>
          <w:p w14:paraId="7579B405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58FC20CC" w14:textId="68AEDC04" w:rsidR="00D87035" w:rsidRPr="00284EC2" w:rsidRDefault="00C539CE" w:rsidP="00CE66E4">
            <w:pPr>
              <w:spacing w:before="0"/>
              <w:rPr>
                <w:rFonts w:cstheme="minorHAnsi"/>
                <w:szCs w:val="22"/>
              </w:rPr>
            </w:pPr>
            <w:r>
              <w:rPr>
                <w:b/>
                <w:bCs/>
                <w:color w:val="000000"/>
              </w:rPr>
              <w:t>1</w:t>
            </w:r>
            <w:r w:rsidR="002B327E" w:rsidRPr="00284EC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апреля </w:t>
            </w:r>
            <w:r w:rsidR="002B327E" w:rsidRPr="00284EC2">
              <w:rPr>
                <w:b/>
                <w:bCs/>
                <w:color w:val="000000"/>
              </w:rPr>
              <w:t>2026 года</w:t>
            </w:r>
          </w:p>
        </w:tc>
      </w:tr>
      <w:bookmarkEnd w:id="6"/>
      <w:bookmarkEnd w:id="7"/>
      <w:tr w:rsidR="00D87035" w:rsidRPr="00284EC2" w14:paraId="16C78CEA" w14:textId="77777777" w:rsidTr="00FC1EC2">
        <w:trPr>
          <w:cantSplit/>
          <w:trHeight w:val="23"/>
        </w:trPr>
        <w:tc>
          <w:tcPr>
            <w:tcW w:w="6663" w:type="dxa"/>
          </w:tcPr>
          <w:p w14:paraId="4D4BBC80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6D8B5EFA" w14:textId="77777777" w:rsidR="00D87035" w:rsidRPr="00284EC2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284EC2">
              <w:rPr>
                <w:b/>
                <w:bCs/>
                <w:szCs w:val="22"/>
              </w:rPr>
              <w:t>Оригинал</w:t>
            </w:r>
            <w:r w:rsidR="00D87035" w:rsidRPr="00284EC2">
              <w:rPr>
                <w:b/>
                <w:bCs/>
                <w:szCs w:val="22"/>
              </w:rPr>
              <w:t xml:space="preserve">: </w:t>
            </w:r>
            <w:r w:rsidRPr="00284EC2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284EC2" w14:paraId="3FD35618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0075BCA9" w14:textId="3C7C27B3" w:rsidR="00D83BF5" w:rsidRPr="00284EC2" w:rsidRDefault="002B327E" w:rsidP="006774C6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284EC2">
              <w:rPr>
                <w:bCs/>
                <w:color w:val="000000"/>
              </w:rPr>
              <w:t>Директор Бюро развития электросвязи</w:t>
            </w:r>
          </w:p>
        </w:tc>
      </w:tr>
      <w:tr w:rsidR="00D83BF5" w:rsidRPr="00284EC2" w14:paraId="2C2415BA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299AA120" w14:textId="0EE384DA" w:rsidR="00D83BF5" w:rsidRPr="00284EC2" w:rsidRDefault="002B327E" w:rsidP="006774C6">
            <w:pPr>
              <w:pStyle w:val="Title1"/>
              <w:rPr>
                <w:caps/>
              </w:rPr>
            </w:pPr>
            <w:r w:rsidRPr="00284EC2">
              <w:rPr>
                <w:color w:val="000000"/>
              </w:rPr>
              <w:t>Оперативный план МСЭ-D на 2026 год</w:t>
            </w:r>
          </w:p>
        </w:tc>
      </w:tr>
      <w:tr w:rsidR="00D83BF5" w:rsidRPr="00284EC2" w14:paraId="7AAC25E4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F6256E2" w14:textId="77777777" w:rsidR="00D83BF5" w:rsidRPr="00284EC2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284EC2" w14:paraId="7DB4AB6D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D88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Резюме</w:t>
            </w:r>
          </w:p>
          <w:p w14:paraId="7F462E10" w14:textId="541C497A" w:rsidR="001E252D" w:rsidRDefault="002B327E" w:rsidP="00EB4AE6">
            <w:pPr>
              <w:rPr>
                <w:color w:val="000000"/>
              </w:rPr>
            </w:pPr>
            <w:r w:rsidRPr="00284EC2">
              <w:rPr>
                <w:color w:val="000000"/>
              </w:rPr>
              <w:t>В настоящем документе представлен обзор действий, осуществляемых в рамках Оперативного плана</w:t>
            </w:r>
            <w:r w:rsidR="00C539CE">
              <w:rPr>
                <w:color w:val="000000"/>
              </w:rPr>
              <w:t>, видов деятельности и программ</w:t>
            </w:r>
            <w:r w:rsidRPr="00284EC2">
              <w:rPr>
                <w:color w:val="000000"/>
              </w:rPr>
              <w:t xml:space="preserve"> МСЭ-D на 2026 год на региональном и глобальном уровнях в соответствии с Бакинским планом действий (БПД). В нем описывается распределение средств для достижения намеченных результатов деятельности в каждом регионе МСЭ и на межрегиональном уровне, а также в разбивке по приоритетам и средствам достижения целей МСЭ-D.</w:t>
            </w:r>
          </w:p>
          <w:p w14:paraId="5C3BA429" w14:textId="0D35871F" w:rsidR="00C539CE" w:rsidRDefault="00C539CE" w:rsidP="00EB4AE6">
            <w:pPr>
              <w:rPr>
                <w:szCs w:val="22"/>
              </w:rPr>
            </w:pPr>
            <w:r w:rsidRPr="00C539CE">
              <w:rPr>
                <w:szCs w:val="22"/>
              </w:rPr>
              <w:t xml:space="preserve">Проект Оперативного плана Союза на 2027–2030 годы, </w:t>
            </w:r>
            <w:r>
              <w:rPr>
                <w:szCs w:val="22"/>
              </w:rPr>
              <w:t xml:space="preserve">охватывающий </w:t>
            </w:r>
            <w:r w:rsidRPr="00C539CE">
              <w:rPr>
                <w:szCs w:val="22"/>
              </w:rPr>
              <w:t xml:space="preserve">все три Сектора, будет представлен </w:t>
            </w:r>
            <w:r w:rsidR="00230EBF">
              <w:rPr>
                <w:szCs w:val="22"/>
              </w:rPr>
              <w:t xml:space="preserve">на </w:t>
            </w:r>
            <w:r w:rsidRPr="00C539CE">
              <w:rPr>
                <w:szCs w:val="22"/>
              </w:rPr>
              <w:t>предстоящей сессии Совета в Документе C26/28.</w:t>
            </w:r>
          </w:p>
          <w:p w14:paraId="66A6C3CF" w14:textId="4792F68C" w:rsidR="00C539CE" w:rsidRPr="00284EC2" w:rsidRDefault="00C539CE" w:rsidP="00EB4AE6">
            <w:pPr>
              <w:rPr>
                <w:szCs w:val="22"/>
              </w:rPr>
            </w:pPr>
            <w:r w:rsidRPr="00C539CE">
              <w:rPr>
                <w:szCs w:val="22"/>
              </w:rPr>
              <w:t>Проект Оперативного плана МСЭ-D на 2027−2030 годы будет подготовлен после утверждения Документа C26/28.</w:t>
            </w:r>
          </w:p>
          <w:p w14:paraId="42621CD7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Необходимые действия</w:t>
            </w:r>
          </w:p>
          <w:p w14:paraId="48F935DA" w14:textId="58E6B823" w:rsidR="001E252D" w:rsidRPr="00284EC2" w:rsidRDefault="002B327E" w:rsidP="00EB4AE6">
            <w:pPr>
              <w:rPr>
                <w:szCs w:val="22"/>
              </w:rPr>
            </w:pPr>
            <w:r w:rsidRPr="00284EC2">
              <w:rPr>
                <w:color w:val="000000"/>
              </w:rPr>
              <w:t>КГРЭ предлагается принять настоящий документ к сведению.</w:t>
            </w:r>
          </w:p>
          <w:p w14:paraId="1B93CC8E" w14:textId="77777777" w:rsidR="001E252D" w:rsidRPr="00284EC2" w:rsidRDefault="004A3CDF" w:rsidP="00EB4AE6">
            <w:pPr>
              <w:rPr>
                <w:b/>
                <w:bCs/>
                <w:szCs w:val="22"/>
              </w:rPr>
            </w:pPr>
            <w:r w:rsidRPr="00284EC2">
              <w:rPr>
                <w:b/>
                <w:bCs/>
                <w:szCs w:val="22"/>
              </w:rPr>
              <w:t>Справочные материалы</w:t>
            </w:r>
          </w:p>
          <w:p w14:paraId="101B2DB1" w14:textId="3F2C9678" w:rsidR="001E252D" w:rsidRPr="00284EC2" w:rsidRDefault="002B327E" w:rsidP="00EB4AE6">
            <w:pPr>
              <w:spacing w:after="120"/>
            </w:pPr>
            <w:hyperlink r:id="rId12" w:history="1">
              <w:r w:rsidRPr="00284EC2">
                <w:rPr>
                  <w:rStyle w:val="Hyperlink"/>
                </w:rPr>
                <w:t>Бакинский план действий ВКРЭ-25</w:t>
              </w:r>
            </w:hyperlink>
          </w:p>
        </w:tc>
      </w:tr>
      <w:bookmarkEnd w:id="8"/>
      <w:bookmarkEnd w:id="9"/>
    </w:tbl>
    <w:p w14:paraId="76EFCC38" w14:textId="77777777" w:rsidR="00075C63" w:rsidRPr="00284EC2" w:rsidRDefault="00075C63" w:rsidP="00E64779">
      <w:pPr>
        <w:rPr>
          <w:szCs w:val="24"/>
        </w:rPr>
      </w:pPr>
      <w:r w:rsidRPr="00284EC2">
        <w:rPr>
          <w:szCs w:val="24"/>
        </w:rPr>
        <w:br w:type="page"/>
      </w:r>
    </w:p>
    <w:p w14:paraId="484D2D45" w14:textId="2978C01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lastRenderedPageBreak/>
        <w:t>1</w:t>
      </w:r>
      <w:r w:rsidRPr="00284EC2">
        <w:tab/>
        <w:t>Введение</w:t>
      </w:r>
    </w:p>
    <w:p w14:paraId="53CE99F0" w14:textId="77777777" w:rsidR="002B327E" w:rsidRPr="00284EC2" w:rsidRDefault="002B327E" w:rsidP="00C100F2">
      <w:r w:rsidRPr="00284EC2">
        <w:t xml:space="preserve">Оперативный план (ОП) МСЭ-D на 2026 год соответствует структуре Стратегического плана Союза на 2024−2027 годы. Структура плана соответствует </w:t>
      </w:r>
      <w:hyperlink r:id="rId13" w:history="1">
        <w:r w:rsidRPr="00284EC2">
          <w:rPr>
            <w:rStyle w:val="Hyperlink"/>
          </w:rPr>
          <w:t>Бакинскому плану действий</w:t>
        </w:r>
      </w:hyperlink>
      <w:r w:rsidRPr="00284EC2">
        <w:t xml:space="preserve"> (БПД), в котором определены приоритеты МСЭ-D и соответствующие средства достижения целей, соответствующие конечные результаты, продукты и услуги, а также показатели, используемые для измерения уровня достижения результатов деятельности Сектора.</w:t>
      </w:r>
      <w:hyperlink r:id="rId14"/>
    </w:p>
    <w:p w14:paraId="37F47F47" w14:textId="7498C7D4" w:rsidR="002B327E" w:rsidRPr="00284EC2" w:rsidRDefault="002B327E" w:rsidP="00C100F2">
      <w:r w:rsidRPr="00284EC2">
        <w:t>В процесс</w:t>
      </w:r>
      <w:r w:rsidR="00C539CE">
        <w:t>е</w:t>
      </w:r>
      <w:r w:rsidRPr="00284EC2">
        <w:t xml:space="preserve"> </w:t>
      </w:r>
      <w:r w:rsidR="00C539CE">
        <w:t>планирования действий</w:t>
      </w:r>
      <w:r w:rsidRPr="00284EC2">
        <w:t xml:space="preserve"> ОП-26 </w:t>
      </w:r>
      <w:r w:rsidR="00C539CE">
        <w:t xml:space="preserve">основное внимание </w:t>
      </w:r>
      <w:r w:rsidR="00C53A59">
        <w:t xml:space="preserve">уделяется </w:t>
      </w:r>
      <w:r w:rsidRPr="00284EC2">
        <w:t>определени</w:t>
      </w:r>
      <w:r w:rsidR="00C539CE">
        <w:t>ю</w:t>
      </w:r>
      <w:r w:rsidRPr="00284EC2">
        <w:t xml:space="preserve"> согласованной основы для </w:t>
      </w:r>
      <w:r w:rsidR="00C539CE">
        <w:t xml:space="preserve">такого </w:t>
      </w:r>
      <w:r w:rsidRPr="00284EC2">
        <w:t>планирования, обеспечени</w:t>
      </w:r>
      <w:r w:rsidR="00C539CE">
        <w:t>ю</w:t>
      </w:r>
      <w:r w:rsidRPr="00284EC2">
        <w:t xml:space="preserve"> полного соответствия БПД и общ</w:t>
      </w:r>
      <w:r w:rsidR="00C539CE">
        <w:t>ей</w:t>
      </w:r>
      <w:r w:rsidRPr="00284EC2">
        <w:t xml:space="preserve"> стратегическ</w:t>
      </w:r>
      <w:r w:rsidR="00C539CE">
        <w:t>ой</w:t>
      </w:r>
      <w:r w:rsidRPr="00284EC2">
        <w:t xml:space="preserve"> согласованност</w:t>
      </w:r>
      <w:r w:rsidR="00C539CE">
        <w:t>и</w:t>
      </w:r>
      <w:r w:rsidRPr="00284EC2">
        <w:t xml:space="preserve">. </w:t>
      </w:r>
      <w:r w:rsidR="00C539CE">
        <w:t>Предложенные д</w:t>
      </w:r>
      <w:r w:rsidRPr="00284EC2">
        <w:t>ействия</w:t>
      </w:r>
      <w:r w:rsidR="00C539CE">
        <w:t xml:space="preserve"> </w:t>
      </w:r>
      <w:r w:rsidRPr="00284EC2">
        <w:t>были разработаны на основе подробных консультаций с Государствами-Членами и согласованы с приоритетами каждого региона.</w:t>
      </w:r>
    </w:p>
    <w:p w14:paraId="39C3A0A2" w14:textId="3BD47DCE" w:rsidR="002B327E" w:rsidRPr="00284EC2" w:rsidRDefault="002B327E" w:rsidP="00C100F2">
      <w:pPr>
        <w:pStyle w:val="Heading1"/>
        <w:ind w:left="0" w:firstLine="0"/>
        <w:rPr>
          <w:rFonts w:cstheme="minorHAnsi"/>
          <w:sz w:val="24"/>
          <w:szCs w:val="24"/>
        </w:rPr>
      </w:pPr>
      <w:r w:rsidRPr="00284EC2">
        <w:t>2</w:t>
      </w:r>
      <w:r w:rsidRPr="00284EC2">
        <w:tab/>
        <w:t>Распределение средств по регионам-бенефициарам</w:t>
      </w:r>
    </w:p>
    <w:p w14:paraId="20F63887" w14:textId="60F891F7" w:rsidR="002B327E" w:rsidRPr="00284EC2" w:rsidRDefault="002B327E" w:rsidP="00C100F2">
      <w:r w:rsidRPr="00284EC2">
        <w:t>В настоящее время на глобальном уровне и в разных регионах осуществляется в общей сложности 13</w:t>
      </w:r>
      <w:r w:rsidR="00C539CE">
        <w:t>1</w:t>
      </w:r>
      <w:r w:rsidR="00420E62">
        <w:rPr>
          <w:lang w:val="en-US"/>
        </w:rPr>
        <w:t> </w:t>
      </w:r>
      <w:r w:rsidRPr="00284EC2">
        <w:t>действи</w:t>
      </w:r>
      <w:r w:rsidR="00C539CE">
        <w:t>е</w:t>
      </w:r>
      <w:r w:rsidRPr="00284EC2">
        <w:t>. Немногим более половины бюджета ОП-26 (5</w:t>
      </w:r>
      <w:r w:rsidR="00C539CE">
        <w:t>6</w:t>
      </w:r>
      <w:r w:rsidRPr="00284EC2">
        <w:t> процентов) направлено на достижение намеченных результатов деятельности глобального характера и на действия, ориентированные сразу на несколько регионов, что отражает потенциал широкого воздействия и оперативной эффективности. Около 7 процентов бюджета выделяется каждому региону в целях поддержки достижения намеченных результатов деятельности, которые полезны всем шести регионам МСЭ.</w:t>
      </w:r>
    </w:p>
    <w:p w14:paraId="20E34612" w14:textId="77777777" w:rsidR="002B327E" w:rsidRPr="00284EC2" w:rsidRDefault="002B327E" w:rsidP="00C100F2">
      <w:r w:rsidRPr="00284EC2">
        <w:t>В сотрудничестве с Бюро радиосвязи, Бюро стандартизации и Генеральным секретариатом для повышения эффективности будет обеспечиваться синергия между региональными намеченными результатами деятельности и между региональными и глобальными инициативами. Кроме того, приоритет будет по-прежнему отдаваться партнерским отношениям с национальными, региональными и глобальными структурами, а также с проектами, осуществляемыми БРЭ, в целях усиления эффекта от реализации БПД как на региональном, так и на глобальном уровнях.</w:t>
      </w:r>
    </w:p>
    <w:p w14:paraId="0214A6EF" w14:textId="77777777" w:rsidR="00C100F2" w:rsidRPr="00284EC2" w:rsidRDefault="002B327E" w:rsidP="00284EC2">
      <w:pPr>
        <w:pStyle w:val="FigureNo"/>
      </w:pPr>
      <w:r w:rsidRPr="00284EC2">
        <w:t>Рисунок 1</w:t>
      </w:r>
    </w:p>
    <w:p w14:paraId="4A03EEC4" w14:textId="21A23E58" w:rsidR="002B327E" w:rsidRPr="00284EC2" w:rsidRDefault="002B327E" w:rsidP="00284EC2">
      <w:pPr>
        <w:pStyle w:val="Figuretitle"/>
        <w:spacing w:after="240"/>
      </w:pPr>
      <w:r w:rsidRPr="00284EC2">
        <w:t>Обзор распределения средств ОП-26 по регионам-бенефициарам</w:t>
      </w:r>
    </w:p>
    <w:p w14:paraId="5FE11199" w14:textId="3AAA93CF" w:rsidR="00284EC2" w:rsidRPr="00284EC2" w:rsidRDefault="00284EC2" w:rsidP="00284EC2">
      <w:pPr>
        <w:pStyle w:val="Figure"/>
        <w:keepNext w:val="0"/>
        <w:keepLines w:val="0"/>
      </w:pPr>
      <w:r w:rsidRPr="00284EC2">
        <w:rPr>
          <w:noProof/>
        </w:rPr>
        <w:drawing>
          <wp:inline distT="0" distB="0" distL="0" distR="0" wp14:anchorId="3CF53E79" wp14:editId="6FA9093A">
            <wp:extent cx="4919931" cy="3151163"/>
            <wp:effectExtent l="0" t="0" r="14605" b="11430"/>
            <wp:docPr id="1906222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2A987-F18C-9D08-61CE-DF214CD61F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A57431" w14:textId="07BF27A4" w:rsidR="00C100F2" w:rsidRPr="00284EC2" w:rsidRDefault="00C539CE" w:rsidP="00284EC2">
      <w:pPr>
        <w:pStyle w:val="FigureNo"/>
      </w:pPr>
      <w:r>
        <w:lastRenderedPageBreak/>
        <w:t xml:space="preserve">ТАБЛИЦА </w:t>
      </w:r>
      <w:r w:rsidR="00230EBF">
        <w:t>1</w:t>
      </w:r>
    </w:p>
    <w:p w14:paraId="171C9107" w14:textId="3B048DDE" w:rsidR="002B327E" w:rsidRPr="00420E62" w:rsidRDefault="002B327E" w:rsidP="00284EC2">
      <w:pPr>
        <w:pStyle w:val="Figuretitle"/>
        <w:spacing w:after="240"/>
        <w:rPr>
          <w:lang w:val="en-US"/>
        </w:rPr>
      </w:pPr>
      <w:r w:rsidRPr="00284EC2">
        <w:t xml:space="preserve">Обзор выделенных средств ОП-26 в разбивке по приоритетам </w:t>
      </w:r>
      <w:r w:rsidR="00C100F2" w:rsidRPr="00284EC2">
        <w:br/>
      </w:r>
      <w:r w:rsidRPr="00284EC2">
        <w:t>и средствам достижения целей МСЭ-D (в шв. фр.)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696"/>
      </w:tblGrid>
      <w:tr w:rsidR="00C100F2" w:rsidRPr="00284EC2" w14:paraId="2363A520" w14:textId="77777777" w:rsidTr="00C100F2">
        <w:trPr>
          <w:trHeight w:val="372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3DF47317" w14:textId="77777777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Приоритеты и средства достижения целей МСЭ-D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65F00003" w14:textId="36773556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Бюджет на 2026 г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t>.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(шв. фр.)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433D57F2" w14:textId="6ADC2793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Доля бюджета,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%</w:t>
            </w:r>
          </w:p>
        </w:tc>
      </w:tr>
      <w:tr w:rsidR="00C100F2" w:rsidRPr="00284EC2" w14:paraId="6C1760BC" w14:textId="77777777" w:rsidTr="00420E62">
        <w:trPr>
          <w:trHeight w:val="591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40C277AB" w14:textId="3EFDD350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284EC2">
              <w:rPr>
                <w:b/>
                <w:bCs/>
                <w:color w:val="000000"/>
                <w:sz w:val="20"/>
                <w:szCs w:val="18"/>
              </w:rPr>
              <w:t>P1</w:t>
            </w:r>
            <w:proofErr w:type="spellEnd"/>
            <w:r w:rsidRPr="00284EC2">
              <w:rPr>
                <w:b/>
                <w:bCs/>
                <w:color w:val="000000"/>
                <w:sz w:val="20"/>
                <w:szCs w:val="18"/>
              </w:rPr>
              <w:t xml:space="preserve"> − Возможность установления приемлемых в ценовом отношении соединений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(в том числе сети и цифровая инфраструктура, электросвязь в чрезвычайных ситуациях)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7F75BA0D" w14:textId="7CEB2363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 w:rsidRPr="00420E62">
              <w:rPr>
                <w:sz w:val="20"/>
                <w:szCs w:val="18"/>
                <w:lang w:val="en-US"/>
              </w:rPr>
              <w:t>552 000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626F8A3E" w14:textId="02E3039F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14,48%</w:t>
            </w:r>
          </w:p>
        </w:tc>
      </w:tr>
      <w:tr w:rsidR="00C100F2" w:rsidRPr="00284EC2" w14:paraId="6879214A" w14:textId="77777777" w:rsidTr="00420E62">
        <w:trPr>
          <w:trHeight w:val="673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57E701EF" w14:textId="2AA0804D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284EC2">
              <w:rPr>
                <w:b/>
                <w:bCs/>
                <w:color w:val="000000"/>
                <w:sz w:val="20"/>
                <w:szCs w:val="18"/>
              </w:rPr>
              <w:t>P2</w:t>
            </w:r>
            <w:proofErr w:type="spellEnd"/>
            <w:r w:rsidRPr="00284EC2">
              <w:rPr>
                <w:b/>
                <w:bCs/>
                <w:color w:val="000000"/>
                <w:sz w:val="20"/>
                <w:szCs w:val="18"/>
              </w:rPr>
              <w:t xml:space="preserve"> – Цифровая трансформация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 xml:space="preserve">(в том числе </w:t>
            </w:r>
            <w:r w:rsidR="00C539CE" w:rsidRPr="00284EC2">
              <w:rPr>
                <w:color w:val="000000"/>
                <w:sz w:val="20"/>
                <w:szCs w:val="18"/>
              </w:rPr>
              <w:t>цифровые услуги и приложения</w:t>
            </w:r>
            <w:r w:rsidR="00C539CE">
              <w:rPr>
                <w:color w:val="000000"/>
                <w:sz w:val="20"/>
                <w:szCs w:val="18"/>
              </w:rPr>
              <w:t xml:space="preserve">, </w:t>
            </w:r>
            <w:r w:rsidRPr="00284EC2">
              <w:rPr>
                <w:color w:val="000000"/>
                <w:sz w:val="20"/>
                <w:szCs w:val="18"/>
              </w:rPr>
              <w:t>экосистемы цифровых инноваций, приверженность экологической устойчивости)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</w:tcPr>
          <w:p w14:paraId="54420E8E" w14:textId="4719F8C8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899 500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05354A89" w14:textId="1CC861A3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23,59%</w:t>
            </w:r>
          </w:p>
        </w:tc>
      </w:tr>
      <w:tr w:rsidR="00C100F2" w:rsidRPr="00284EC2" w14:paraId="3B46F60F" w14:textId="77777777" w:rsidTr="00420E62">
        <w:trPr>
          <w:trHeight w:val="578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09FF0494" w14:textId="6A66D473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284EC2">
              <w:rPr>
                <w:b/>
                <w:bCs/>
                <w:color w:val="000000"/>
                <w:sz w:val="20"/>
                <w:szCs w:val="18"/>
              </w:rPr>
              <w:t>P3</w:t>
            </w:r>
            <w:proofErr w:type="spellEnd"/>
            <w:r w:rsidRPr="00284EC2">
              <w:rPr>
                <w:b/>
                <w:bCs/>
                <w:color w:val="000000"/>
                <w:sz w:val="20"/>
                <w:szCs w:val="18"/>
              </w:rPr>
              <w:t xml:space="preserve"> – Благоприятная политическая и регуляторная среда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 xml:space="preserve">(в том числе </w:t>
            </w:r>
            <w:r w:rsidR="00C539CE">
              <w:rPr>
                <w:color w:val="000000"/>
                <w:sz w:val="20"/>
                <w:szCs w:val="18"/>
              </w:rPr>
              <w:t xml:space="preserve">развитие потенциала, </w:t>
            </w:r>
            <w:r w:rsidRPr="00284EC2">
              <w:rPr>
                <w:color w:val="000000"/>
                <w:sz w:val="20"/>
                <w:szCs w:val="18"/>
              </w:rPr>
              <w:t>предоставление данных и статистических показателей, политика и регулирование)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</w:tcPr>
          <w:p w14:paraId="175F5C70" w14:textId="38F3A535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725 000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4069F0C8" w14:textId="695041B0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19,01%</w:t>
            </w:r>
          </w:p>
        </w:tc>
      </w:tr>
      <w:tr w:rsidR="00C100F2" w:rsidRPr="00284EC2" w14:paraId="4262CA21" w14:textId="77777777" w:rsidTr="00420E62">
        <w:trPr>
          <w:trHeight w:val="546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2C5A6947" w14:textId="2C7DF519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284EC2">
              <w:rPr>
                <w:b/>
                <w:bCs/>
                <w:color w:val="000000"/>
                <w:sz w:val="20"/>
                <w:szCs w:val="18"/>
              </w:rPr>
              <w:t>P4</w:t>
            </w:r>
            <w:proofErr w:type="spellEnd"/>
            <w:r w:rsidRPr="00284EC2">
              <w:rPr>
                <w:b/>
                <w:bCs/>
                <w:color w:val="000000"/>
                <w:sz w:val="20"/>
                <w:szCs w:val="18"/>
              </w:rPr>
              <w:t xml:space="preserve"> – Мобилизация ресурсов, партнерства и международное сотрудничество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</w:t>
            </w:r>
            <w:r w:rsidR="00C539CE">
              <w:rPr>
                <w:color w:val="000000"/>
                <w:sz w:val="20"/>
                <w:szCs w:val="18"/>
              </w:rPr>
              <w:t>сквозно</w:t>
            </w:r>
            <w:r w:rsidR="00DA0BD9">
              <w:rPr>
                <w:color w:val="000000"/>
                <w:sz w:val="20"/>
                <w:szCs w:val="18"/>
              </w:rPr>
              <w:t>го</w:t>
            </w:r>
            <w:r w:rsidR="00C539CE">
              <w:rPr>
                <w:color w:val="000000"/>
                <w:sz w:val="20"/>
                <w:szCs w:val="18"/>
              </w:rPr>
              <w:t xml:space="preserve"> характер</w:t>
            </w:r>
            <w:r w:rsidR="00DA0BD9">
              <w:rPr>
                <w:color w:val="000000"/>
                <w:sz w:val="20"/>
                <w:szCs w:val="18"/>
              </w:rPr>
              <w:t>а</w:t>
            </w:r>
            <w:r w:rsidRPr="00284EC2">
              <w:rPr>
                <w:color w:val="000000"/>
                <w:sz w:val="20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23859BBE" w14:textId="5EBB8CF0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319 385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57B47E6C" w14:textId="3B8E1EED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8,38%</w:t>
            </w:r>
          </w:p>
        </w:tc>
      </w:tr>
      <w:tr w:rsidR="00C100F2" w:rsidRPr="00284EC2" w14:paraId="12B87BDC" w14:textId="77777777" w:rsidTr="00420E62">
        <w:trPr>
          <w:trHeight w:val="69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62F1261C" w14:textId="05F12EC0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284EC2">
              <w:rPr>
                <w:b/>
                <w:bCs/>
                <w:color w:val="000000"/>
                <w:sz w:val="20"/>
                <w:szCs w:val="18"/>
              </w:rPr>
              <w:t>P4</w:t>
            </w:r>
            <w:proofErr w:type="spellEnd"/>
            <w:r w:rsidRPr="00284EC2">
              <w:rPr>
                <w:b/>
                <w:bCs/>
                <w:color w:val="000000"/>
                <w:sz w:val="20"/>
                <w:szCs w:val="18"/>
              </w:rPr>
              <w:t xml:space="preserve"> − Инклюзивная, безопасная и защищенная электросвязь/ИКТ для устойчивого развития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(в том числе кибербезопасность, охват цифровыми технологиями)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</w:tcPr>
          <w:p w14:paraId="584FDD02" w14:textId="69F71D7C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736 500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0ADE7198" w14:textId="70EDFD3E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19,32%</w:t>
            </w:r>
          </w:p>
        </w:tc>
      </w:tr>
      <w:tr w:rsidR="00C100F2" w:rsidRPr="00284EC2" w14:paraId="0F8EC8DF" w14:textId="77777777" w:rsidTr="00420E62">
        <w:trPr>
          <w:trHeight w:val="714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4A745DC5" w14:textId="109B2F9B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Е – Организационная эффективность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(сквозного характера, в том числе ориентация на интересы членов, региональное присутствие, вспомогательные услуги)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</w:tcPr>
          <w:p w14:paraId="6D3E26E8" w14:textId="048F36BF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580 615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0467720B" w14:textId="1759F57B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15,23%</w:t>
            </w:r>
          </w:p>
        </w:tc>
      </w:tr>
      <w:tr w:rsidR="00C100F2" w:rsidRPr="00284EC2" w14:paraId="256705EC" w14:textId="77777777" w:rsidTr="00C100F2">
        <w:trPr>
          <w:trHeight w:val="22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73BCC151" w14:textId="77777777" w:rsidR="002B327E" w:rsidRPr="00284EC2" w:rsidRDefault="002B327E" w:rsidP="00C100F2">
            <w:pPr>
              <w:spacing w:before="40" w:after="40"/>
              <w:rPr>
                <w:b/>
                <w:bCs/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2B512402" w14:textId="77777777" w:rsidR="002B327E" w:rsidRPr="00420E62" w:rsidRDefault="002B327E" w:rsidP="00420E62">
            <w:pPr>
              <w:spacing w:before="40" w:after="40"/>
              <w:ind w:right="170"/>
              <w:jc w:val="right"/>
              <w:rPr>
                <w:b/>
                <w:bCs/>
                <w:sz w:val="20"/>
                <w:szCs w:val="18"/>
              </w:rPr>
            </w:pPr>
            <w:r w:rsidRPr="00420E62">
              <w:rPr>
                <w:b/>
                <w:bCs/>
                <w:color w:val="000000"/>
                <w:sz w:val="20"/>
                <w:szCs w:val="18"/>
              </w:rPr>
              <w:t>3 813 000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62DF23A3" w14:textId="4A96194D" w:rsidR="002B327E" w:rsidRPr="00420E62" w:rsidRDefault="002B327E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</w:p>
        </w:tc>
      </w:tr>
    </w:tbl>
    <w:p w14:paraId="4A95CA63" w14:textId="14525D3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t>3</w:t>
      </w:r>
      <w:r w:rsidRPr="00284EC2">
        <w:tab/>
        <w:t>Заключение</w:t>
      </w:r>
    </w:p>
    <w:p w14:paraId="6F820750" w14:textId="77777777" w:rsidR="002B327E" w:rsidRPr="00284EC2" w:rsidRDefault="002B327E" w:rsidP="00C100F2">
      <w:r w:rsidRPr="00284EC2">
        <w:t>КГРЭ предлагается принять к сведению настоящий документ и предоставить рекомендации по тому, как именно продолжать оказывать воздействие на глобальном уровне и в различных регионах, обеспечивая при этом согласование с конечными результатами, установленными в Бакинском плане действий.</w:t>
      </w:r>
    </w:p>
    <w:p w14:paraId="3F29669A" w14:textId="77777777" w:rsidR="00CE66E4" w:rsidRPr="00284EC2" w:rsidRDefault="00CE66E4" w:rsidP="002B327E">
      <w:pPr>
        <w:spacing w:before="480"/>
        <w:jc w:val="center"/>
      </w:pPr>
      <w:r w:rsidRPr="00284EC2">
        <w:t>______________</w:t>
      </w:r>
    </w:p>
    <w:sectPr w:rsidR="00CE66E4" w:rsidRPr="00284EC2" w:rsidSect="00FC1EC2">
      <w:headerReference w:type="default" r:id="rId16"/>
      <w:footerReference w:type="first" r:id="rId17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5AEC" w14:textId="77777777" w:rsidR="00404779" w:rsidRDefault="00404779">
      <w:r>
        <w:separator/>
      </w:r>
    </w:p>
    <w:p w14:paraId="36EAE501" w14:textId="77777777" w:rsidR="00404779" w:rsidRDefault="00404779"/>
  </w:endnote>
  <w:endnote w:type="continuationSeparator" w:id="0">
    <w:p w14:paraId="3F9D3CF6" w14:textId="77777777" w:rsidR="00404779" w:rsidRDefault="00404779">
      <w:r>
        <w:continuationSeparator/>
      </w:r>
    </w:p>
    <w:p w14:paraId="0E38871B" w14:textId="77777777" w:rsidR="00404779" w:rsidRDefault="00404779"/>
  </w:endnote>
  <w:endnote w:type="continuationNotice" w:id="1">
    <w:p w14:paraId="0CEA34CE" w14:textId="77777777" w:rsidR="00404779" w:rsidRDefault="00404779">
      <w:pPr>
        <w:spacing w:before="0"/>
      </w:pPr>
    </w:p>
    <w:p w14:paraId="0FF87E2F" w14:textId="77777777" w:rsidR="00404779" w:rsidRDefault="00404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365AB0" w14:paraId="4F50C6BF" w14:textId="77777777" w:rsidTr="00304CF6">
      <w:tc>
        <w:tcPr>
          <w:tcW w:w="1526" w:type="dxa"/>
          <w:tcBorders>
            <w:top w:val="single" w:sz="4" w:space="0" w:color="000000" w:themeColor="text1"/>
          </w:tcBorders>
        </w:tcPr>
        <w:p w14:paraId="38078938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142806A2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5E932DCC" w14:textId="14539AF0" w:rsidR="00F723AC" w:rsidRPr="002B327E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</w:rPr>
            <w:t xml:space="preserve">г-жа </w:t>
          </w:r>
          <w:proofErr w:type="spellStart"/>
          <w:r w:rsidRPr="002B327E">
            <w:rPr>
              <w:sz w:val="18"/>
              <w:szCs w:val="18"/>
            </w:rPr>
            <w:t>Арчана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proofErr w:type="spellStart"/>
          <w:r w:rsidRPr="002B327E">
            <w:rPr>
              <w:sz w:val="18"/>
              <w:szCs w:val="18"/>
            </w:rPr>
            <w:t>Гулати</w:t>
          </w:r>
          <w:proofErr w:type="spellEnd"/>
          <w:r w:rsidRPr="002B327E">
            <w:rPr>
              <w:sz w:val="18"/>
              <w:szCs w:val="18"/>
            </w:rPr>
            <w:t xml:space="preserve"> (</w:t>
          </w:r>
          <w:proofErr w:type="spellStart"/>
          <w:r w:rsidRPr="002B327E">
            <w:rPr>
              <w:sz w:val="18"/>
              <w:szCs w:val="18"/>
              <w:lang w:val="en-US"/>
            </w:rPr>
            <w:t>Ms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Archana</w:t>
          </w:r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Gulati</w:t>
          </w:r>
          <w:r w:rsidRPr="002B327E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0" w:name="OrgName"/>
      <w:bookmarkEnd w:id="10"/>
    </w:tr>
    <w:tr w:rsidR="00F723AC" w:rsidRPr="00365AB0" w14:paraId="5F770EF0" w14:textId="77777777" w:rsidTr="00304CF6">
      <w:trPr>
        <w:trHeight w:val="165"/>
      </w:trPr>
      <w:tc>
        <w:tcPr>
          <w:tcW w:w="1526" w:type="dxa"/>
        </w:tcPr>
        <w:p w14:paraId="68E56CD8" w14:textId="77777777" w:rsidR="00F723AC" w:rsidRPr="002B327E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448D840B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040F7137" w14:textId="0A63915F" w:rsidR="00F723AC" w:rsidRPr="00365AB0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  <w:lang w:val="en-US"/>
            </w:rPr>
            <w:t>+41 22 730 6475</w:t>
          </w:r>
        </w:p>
      </w:tc>
      <w:bookmarkStart w:id="11" w:name="PhoneNo"/>
      <w:bookmarkEnd w:id="11"/>
    </w:tr>
    <w:tr w:rsidR="00F723AC" w:rsidRPr="00365AB0" w14:paraId="24371445" w14:textId="77777777" w:rsidTr="00304CF6">
      <w:tc>
        <w:tcPr>
          <w:tcW w:w="1526" w:type="dxa"/>
        </w:tcPr>
        <w:p w14:paraId="758503B9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0AECB7B0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364F8892" w14:textId="6BD0A7FD" w:rsidR="00F723AC" w:rsidRPr="002B327E" w:rsidRDefault="002B327E" w:rsidP="00F723AC">
          <w:pPr>
            <w:pStyle w:val="FirstFooter"/>
            <w:rPr>
              <w:sz w:val="18"/>
              <w:szCs w:val="18"/>
            </w:rPr>
          </w:pPr>
          <w:hyperlink r:id="rId1" w:history="1">
            <w:r w:rsidRPr="00F63493">
              <w:rPr>
                <w:rStyle w:val="Hyperlink"/>
                <w:sz w:val="18"/>
                <w:szCs w:val="18"/>
                <w:lang w:val="en-US"/>
              </w:rPr>
              <w:t>archana.gulati@itu.int</w:t>
            </w:r>
          </w:hyperlink>
          <w:r>
            <w:rPr>
              <w:sz w:val="18"/>
              <w:szCs w:val="18"/>
            </w:rPr>
            <w:t xml:space="preserve"> </w:t>
          </w:r>
        </w:p>
      </w:tc>
      <w:bookmarkStart w:id="12" w:name="Email"/>
      <w:bookmarkEnd w:id="12"/>
    </w:tr>
  </w:tbl>
  <w:p w14:paraId="70115CA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9625" w14:textId="77777777" w:rsidR="00404779" w:rsidRPr="0054377E" w:rsidRDefault="00404779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B2FD071" w14:textId="77777777" w:rsidR="00404779" w:rsidRDefault="00404779" w:rsidP="0054377E">
      <w:pPr>
        <w:spacing w:before="0"/>
      </w:pPr>
      <w:r>
        <w:continuationSeparator/>
      </w:r>
    </w:p>
    <w:p w14:paraId="045C6F72" w14:textId="77777777" w:rsidR="00404779" w:rsidRDefault="00404779"/>
  </w:footnote>
  <w:footnote w:type="continuationNotice" w:id="1">
    <w:p w14:paraId="5EDD2CFA" w14:textId="77777777" w:rsidR="00404779" w:rsidRDefault="00404779">
      <w:pPr>
        <w:spacing w:before="0"/>
      </w:pPr>
    </w:p>
    <w:p w14:paraId="66136515" w14:textId="77777777" w:rsidR="00404779" w:rsidRDefault="00404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776E" w14:textId="74B92373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proofErr w:type="spellStart"/>
    <w:r w:rsidRPr="00CE66E4">
      <w:rPr>
        <w:sz w:val="20"/>
        <w:lang w:val="es-ES_tradnl"/>
      </w:rPr>
      <w:t>TDAG</w:t>
    </w:r>
    <w:proofErr w:type="spellEnd"/>
    <w:r w:rsidRPr="00CE66E4">
      <w:rPr>
        <w:sz w:val="20"/>
        <w:lang w:val="es-ES_tradnl"/>
      </w:rPr>
      <w:t>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2B327E">
      <w:rPr>
        <w:sz w:val="20"/>
      </w:rPr>
      <w:t>17</w:t>
    </w:r>
    <w:r w:rsidR="00420E62">
      <w:rPr>
        <w:sz w:val="20"/>
        <w:lang w:val="en-US"/>
      </w:rPr>
      <w:t>(Rev.1)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4"/>
  </w:num>
  <w:num w:numId="9" w16cid:durableId="458111764">
    <w:abstractNumId w:val="6"/>
  </w:num>
  <w:num w:numId="10" w16cid:durableId="1195534353">
    <w:abstractNumId w:val="13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8"/>
  </w:num>
  <w:num w:numId="20" w16cid:durableId="1066875134">
    <w:abstractNumId w:val="28"/>
  </w:num>
  <w:num w:numId="21" w16cid:durableId="1689939216">
    <w:abstractNumId w:val="27"/>
  </w:num>
  <w:num w:numId="22" w16cid:durableId="1257783837">
    <w:abstractNumId w:val="43"/>
  </w:num>
  <w:num w:numId="23" w16cid:durableId="970285242">
    <w:abstractNumId w:val="23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4"/>
  </w:num>
  <w:num w:numId="28" w16cid:durableId="1629045729">
    <w:abstractNumId w:val="11"/>
  </w:num>
  <w:num w:numId="29" w16cid:durableId="2010906637">
    <w:abstractNumId w:val="25"/>
  </w:num>
  <w:num w:numId="30" w16cid:durableId="290525213">
    <w:abstractNumId w:val="41"/>
  </w:num>
  <w:num w:numId="31" w16cid:durableId="191966975">
    <w:abstractNumId w:val="26"/>
  </w:num>
  <w:num w:numId="32" w16cid:durableId="2014406757">
    <w:abstractNumId w:val="32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5"/>
  </w:num>
  <w:num w:numId="36" w16cid:durableId="1457527817">
    <w:abstractNumId w:val="22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8"/>
  </w:num>
  <w:num w:numId="41" w16cid:durableId="447436251">
    <w:abstractNumId w:val="44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0"/>
  </w:num>
  <w:num w:numId="45" w16cid:durableId="2552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312A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0EBF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4EC2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7E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04CF6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477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0E62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8DC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C87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96E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0F2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39CE"/>
    <w:rsid w:val="00C53A59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56F8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CF702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0BD9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A5854"/>
  <w15:docId w15:val="{14D9042F-B4A8-4C22-8CB3-79EE0089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tu.int/go/wtdc25-final-re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695992740558274"/>
          <c:y val="0.17468982164468508"/>
          <c:w val="0.45487287002814486"/>
          <c:h val="0.664644084416215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4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6-4059-95DD-EC76337DF6F1}"/>
              </c:ext>
            </c:extLst>
          </c:dPt>
          <c:dPt>
            <c:idx val="1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6-4059-95DD-EC76337DF6F1}"/>
              </c:ext>
            </c:extLst>
          </c:dPt>
          <c:dPt>
            <c:idx val="2"/>
            <c:bubble3D val="0"/>
            <c:spPr>
              <a:solidFill>
                <a:schemeClr val="accent4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6-4059-95DD-EC76337DF6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96-4059-95DD-EC76337DF6F1}"/>
              </c:ext>
            </c:extLst>
          </c:dPt>
          <c:dPt>
            <c:idx val="4"/>
            <c:bubble3D val="0"/>
            <c:spPr>
              <a:solidFill>
                <a:schemeClr val="accent4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96-4059-95DD-EC76337DF6F1}"/>
              </c:ext>
            </c:extLst>
          </c:dPt>
          <c:dPt>
            <c:idx val="5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96-4059-95DD-EC76337DF6F1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96-4059-95DD-EC76337DF6F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A9E2FDD-0776-45C5-889C-9349818A34AD}" type="CATEGORYNAME">
                      <a:rPr lang="kk-KZ"/>
                      <a:pPr/>
                      <a:t>[CATEGORY NAME]</a:t>
                    </a:fld>
                    <a:br>
                      <a:rPr lang="kk-KZ"/>
                    </a:br>
                    <a:fld id="{6EACC56E-BB8D-444F-9587-169CA04C61B0}" type="VALUE">
                      <a:rPr lang="kk-KZ" baseline="0"/>
                      <a:pPr/>
                      <a:t>[VALUE]</a:t>
                    </a:fld>
                    <a:r>
                      <a:rPr lang="kk-KZ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96-4059-95DD-EC76337DF6F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4AA53C7-4E39-403E-AFB4-1A8110E92BAD}" type="CATEGORYNAME">
                      <a:rPr lang="kk-KZ"/>
                      <a:pPr/>
                      <a:t>[CATEGORY NAME]</a:t>
                    </a:fld>
                    <a:br>
                      <a:rPr lang="kk-KZ"/>
                    </a:br>
                    <a:fld id="{7F66A3EB-9EF6-4BD5-B498-BE6DDC6C6103}" type="VALUE">
                      <a:rPr lang="kk-KZ" baseline="0"/>
                      <a:pPr/>
                      <a:t>[VALUE]</a:t>
                    </a:fld>
                    <a:r>
                      <a:rPr lang="kk-KZ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96-4059-95DD-EC76337DF6F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93EAE8E-D366-4EFE-9F60-B83C6234166E}" type="CATEGORYNAME">
                      <a:rPr lang="kk-KZ"/>
                      <a:pPr/>
                      <a:t>[CATEGORY NAME]</a:t>
                    </a:fld>
                    <a:br>
                      <a:rPr lang="kk-KZ" baseline="0"/>
                    </a:br>
                    <a:fld id="{9E7D462C-C2DB-4230-B3F2-CE3488F69B96}" type="VALUE">
                      <a:rPr lang="kk-KZ" baseline="0"/>
                      <a:pPr/>
                      <a:t>[VALUE]</a:t>
                    </a:fld>
                    <a:r>
                      <a:rPr lang="kk-KZ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96-4059-95DD-EC76337DF6F1}"/>
                </c:ext>
              </c:extLst>
            </c:dLbl>
            <c:dLbl>
              <c:idx val="3"/>
              <c:layout>
                <c:manualLayout>
                  <c:x val="2.3380450039588514E-2"/>
                  <c:y val="8.061265618702059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kk-KZ" altLang="zh-CN" sz="900" baseline="0"/>
                      <a:t>Азиатско-Тихоокеанский регион</a:t>
                    </a:r>
                    <a:br>
                      <a:rPr lang="kk-KZ" sz="900"/>
                    </a:br>
                    <a:fld id="{220B8583-4D00-4D7E-892C-C82D0D553028}" type="VALUE">
                      <a:rPr lang="en-US" sz="900" baseline="0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900">
                          <a:solidFill>
                            <a:sysClr val="windowText" lastClr="000000"/>
                          </a:solidFill>
                          <a:latin typeface="Calibri" panose="020F0502020204030204" pitchFamily="34" charset="0"/>
                          <a:ea typeface="Calibri" panose="020F0502020204030204" pitchFamily="34" charset="0"/>
                          <a:cs typeface="Calibri" panose="020F0502020204030204" pitchFamily="34" charset="0"/>
                        </a:defRPr>
                      </a:pPr>
                      <a:t>[VALUE]</a:t>
                    </a:fld>
                    <a:r>
                      <a:rPr lang="en-US" sz="900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8133196594262"/>
                      <c:h val="0.215276098347440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996-4059-95DD-EC76337DF6F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k-KZ"/>
                      <a:t>Страны</a:t>
                    </a:r>
                    <a:r>
                      <a:rPr lang="kk-KZ" baseline="0"/>
                      <a:t> </a:t>
                    </a:r>
                    <a:fld id="{87F0C8E4-7DCB-45E0-8278-46E228156FF4}" type="CATEGORYNAME">
                      <a:rPr lang="en-US"/>
                      <a:pPr/>
                      <a:t>[CATEGORY NAME]</a:t>
                    </a:fld>
                    <a:br>
                      <a:rPr lang="en-US" baseline="0"/>
                    </a:br>
                    <a:fld id="{5ABAD267-E392-4602-B7BE-0EEFBC65B32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18042950839996"/>
                      <c:h val="0.110479645304312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996-4059-95DD-EC76337DF6F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2B7DBC6-B05F-4A05-867F-20D730A14048}" type="CATEGORYNAME">
                      <a:rPr lang="kk-KZ"/>
                      <a:pPr/>
                      <a:t>[CATEGORY NAME]</a:t>
                    </a:fld>
                    <a:br>
                      <a:rPr lang="kk-KZ"/>
                    </a:br>
                    <a:fld id="{10F4FCA1-C08D-43AF-B174-DAF23E1EE8C7}" type="VALUE">
                      <a:rPr lang="kk-KZ" baseline="0"/>
                      <a:pPr/>
                      <a:t>[VALUE]</a:t>
                    </a:fld>
                    <a:r>
                      <a:rPr lang="kk-KZ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996-4059-95DD-EC76337DF6F1}"/>
                </c:ext>
              </c:extLst>
            </c:dLbl>
            <c:dLbl>
              <c:idx val="6"/>
              <c:layout>
                <c:manualLayout>
                  <c:x val="-2.3994094807658992E-3"/>
                  <c:y val="-3.50593192639647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kk-KZ" sz="900"/>
                      <a:t>Весь мир или несколько регионов</a:t>
                    </a:r>
                    <a:br>
                      <a:rPr lang="kk-KZ" sz="900"/>
                    </a:br>
                    <a:r>
                      <a:rPr lang="kk-KZ" sz="900"/>
                      <a:t>55,6%</a:t>
                    </a:r>
                    <a:endParaRPr lang="kk-KZ" sz="9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8567144451442"/>
                      <c:h val="0.2132307797634296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D-1996-4059-95DD-EC76337DF6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АТР</c:v>
                </c:pt>
                <c:pt idx="4">
                  <c:v>СНГ</c:v>
                </c:pt>
                <c:pt idx="5">
                  <c:v>Европа</c:v>
                </c:pt>
                <c:pt idx="6">
                  <c:v>Глобальный или межрегиональный уровень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7.4</c:v>
                </c:pt>
                <c:pt idx="1">
                  <c:v>7.4</c:v>
                </c:pt>
                <c:pt idx="2">
                  <c:v>7.4</c:v>
                </c:pt>
                <c:pt idx="3">
                  <c:v>7.4</c:v>
                </c:pt>
                <c:pt idx="4">
                  <c:v>7.4</c:v>
                </c:pt>
                <c:pt idx="5">
                  <c:v>7.4</c:v>
                </c:pt>
                <c:pt idx="6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996-4059-95DD-EC76337DF6F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3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3</Pages>
  <Words>565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4683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Russian</cp:lastModifiedBy>
  <cp:revision>4</cp:revision>
  <cp:lastPrinted>2019-01-16T07:57:00Z</cp:lastPrinted>
  <dcterms:created xsi:type="dcterms:W3CDTF">2026-04-01T15:17:00Z</dcterms:created>
  <dcterms:modified xsi:type="dcterms:W3CDTF">2026-04-02T07:06:00Z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