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75"/>
        <w:tblW w:w="10031" w:type="dxa"/>
        <w:tblLayout w:type="fixed"/>
        <w:tblLook w:val="0000" w:firstRow="0" w:lastRow="0" w:firstColumn="0" w:lastColumn="0" w:noHBand="0" w:noVBand="0"/>
      </w:tblPr>
      <w:tblGrid>
        <w:gridCol w:w="6804"/>
        <w:gridCol w:w="3227"/>
      </w:tblGrid>
      <w:tr w:rsidR="00C7625B" w:rsidRPr="00350245" w14:paraId="504926DB" w14:textId="77777777" w:rsidTr="109A6197">
        <w:trPr>
          <w:cantSplit/>
          <w:trHeight w:val="1134"/>
        </w:trPr>
        <w:tc>
          <w:tcPr>
            <w:tcW w:w="6804" w:type="dxa"/>
          </w:tcPr>
          <w:p w14:paraId="124EAA9B" w14:textId="4283CABB" w:rsidR="002C0452" w:rsidRPr="00350245" w:rsidRDefault="002C0452" w:rsidP="002C0452">
            <w:pPr>
              <w:ind w:left="34"/>
              <w:rPr>
                <w:rFonts w:cstheme="minorHAnsi"/>
                <w:b/>
                <w:bCs/>
                <w:sz w:val="32"/>
                <w:szCs w:val="32"/>
                <w:lang w:val="es-ES"/>
              </w:rPr>
            </w:pPr>
            <w:r w:rsidRPr="00350245">
              <w:rPr>
                <w:rFonts w:cstheme="minorHAnsi"/>
                <w:b/>
                <w:bCs/>
                <w:color w:val="000000"/>
                <w:sz w:val="32"/>
                <w:szCs w:val="32"/>
                <w:lang w:val="es-ES"/>
              </w:rPr>
              <w:t>Grupo Asesor de Desarrollo</w:t>
            </w:r>
            <w:r w:rsidR="007C641A" w:rsidRPr="00350245">
              <w:rPr>
                <w:rFonts w:cstheme="minorHAnsi"/>
                <w:b/>
                <w:bCs/>
                <w:color w:val="000000"/>
                <w:sz w:val="32"/>
                <w:szCs w:val="32"/>
                <w:lang w:val="es-ES"/>
              </w:rPr>
              <w:br/>
            </w:r>
            <w:r w:rsidRPr="00350245">
              <w:rPr>
                <w:rFonts w:cstheme="minorHAnsi"/>
                <w:b/>
                <w:bCs/>
                <w:color w:val="000000"/>
                <w:sz w:val="32"/>
                <w:szCs w:val="32"/>
                <w:lang w:val="es-ES"/>
              </w:rPr>
              <w:t>de las Telecomunicaciones (GADT)</w:t>
            </w:r>
          </w:p>
          <w:p w14:paraId="5BE16DD5" w14:textId="6EF3A657" w:rsidR="00C7625B" w:rsidRPr="00350245" w:rsidRDefault="00C7625B" w:rsidP="00C7625B">
            <w:pPr>
              <w:tabs>
                <w:tab w:val="clear" w:pos="1134"/>
              </w:tabs>
              <w:spacing w:after="48" w:line="240" w:lineRule="atLeast"/>
              <w:ind w:left="34"/>
              <w:rPr>
                <w:rFonts w:cstheme="minorHAnsi"/>
                <w:b/>
                <w:bCs/>
                <w:sz w:val="26"/>
                <w:szCs w:val="26"/>
                <w:lang w:val="es-ES"/>
              </w:rPr>
            </w:pPr>
            <w:r w:rsidRPr="00350245">
              <w:rPr>
                <w:rFonts w:cstheme="minorHAnsi"/>
                <w:b/>
                <w:bCs/>
                <w:color w:val="000000"/>
                <w:sz w:val="26"/>
                <w:szCs w:val="26"/>
                <w:lang w:val="es-ES"/>
              </w:rPr>
              <w:t>33.ª reunión, Ginebra (Suiza), 7-10 de abril de 2026</w:t>
            </w:r>
          </w:p>
        </w:tc>
        <w:tc>
          <w:tcPr>
            <w:tcW w:w="3227" w:type="dxa"/>
          </w:tcPr>
          <w:p w14:paraId="672A6659" w14:textId="397B0D3E" w:rsidR="00C7625B" w:rsidRPr="00350245" w:rsidRDefault="00B20CDD" w:rsidP="00D52E17">
            <w:pPr>
              <w:spacing w:line="240" w:lineRule="atLeast"/>
              <w:jc w:val="right"/>
              <w:rPr>
                <w:rFonts w:cstheme="minorHAnsi"/>
              </w:rPr>
            </w:pPr>
            <w:bookmarkStart w:id="0" w:name="ditulogo"/>
            <w:bookmarkEnd w:id="0"/>
            <w:r w:rsidRPr="00350245">
              <w:rPr>
                <w:rFonts w:cstheme="minorHAnsi"/>
                <w:noProof/>
                <w:color w:val="000000"/>
                <w:lang w:val="fr-FR" w:eastAsia="fr-FR"/>
              </w:rPr>
              <w:drawing>
                <wp:inline distT="0" distB="0" distL="0" distR="0" wp14:anchorId="40B7D725" wp14:editId="67C57530">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r w:rsidR="00C7625B" w:rsidRPr="00350245">
              <w:rPr>
                <w:rStyle w:val="eop"/>
                <w:rFonts w:cstheme="minorHAnsi"/>
                <w:color w:val="000000"/>
              </w:rPr>
              <w:t> </w:t>
            </w:r>
          </w:p>
        </w:tc>
      </w:tr>
      <w:tr w:rsidR="00CF7A3C" w:rsidRPr="00350245" w14:paraId="4009051B" w14:textId="77777777" w:rsidTr="109A6197">
        <w:trPr>
          <w:cantSplit/>
        </w:trPr>
        <w:tc>
          <w:tcPr>
            <w:tcW w:w="6804" w:type="dxa"/>
            <w:tcBorders>
              <w:top w:val="single" w:sz="12" w:space="0" w:color="auto"/>
            </w:tcBorders>
          </w:tcPr>
          <w:p w14:paraId="0A37501D" w14:textId="77777777" w:rsidR="00CF7A3C" w:rsidRPr="00350245" w:rsidRDefault="00CF7A3C" w:rsidP="00CF7A3C">
            <w:pPr>
              <w:spacing w:before="0" w:after="48" w:line="240" w:lineRule="atLeast"/>
              <w:rPr>
                <w:rFonts w:cstheme="minorHAnsi"/>
                <w:b/>
                <w:smallCaps/>
                <w:sz w:val="20"/>
              </w:rPr>
            </w:pPr>
            <w:bookmarkStart w:id="1" w:name="dhead"/>
          </w:p>
        </w:tc>
        <w:tc>
          <w:tcPr>
            <w:tcW w:w="3227" w:type="dxa"/>
            <w:tcBorders>
              <w:top w:val="single" w:sz="12" w:space="0" w:color="auto"/>
            </w:tcBorders>
          </w:tcPr>
          <w:p w14:paraId="5C1AB9BD" w14:textId="746FD1D4" w:rsidR="00CF7A3C" w:rsidRPr="00350245" w:rsidRDefault="00CF7A3C" w:rsidP="00CF7A3C">
            <w:pPr>
              <w:spacing w:before="0" w:line="240" w:lineRule="atLeast"/>
              <w:rPr>
                <w:rFonts w:cstheme="minorHAnsi"/>
                <w:b/>
                <w:bCs/>
                <w:szCs w:val="24"/>
              </w:rPr>
            </w:pPr>
          </w:p>
        </w:tc>
      </w:tr>
      <w:tr w:rsidR="00CF7A3C" w:rsidRPr="00350245" w14:paraId="23831F19" w14:textId="77777777" w:rsidTr="109A6197">
        <w:trPr>
          <w:cantSplit/>
          <w:trHeight w:val="23"/>
        </w:trPr>
        <w:tc>
          <w:tcPr>
            <w:tcW w:w="6804" w:type="dxa"/>
          </w:tcPr>
          <w:p w14:paraId="5DAB6C7B" w14:textId="77777777" w:rsidR="00CF7A3C" w:rsidRPr="00350245" w:rsidRDefault="00CF7A3C" w:rsidP="00CF7A3C">
            <w:pPr>
              <w:pStyle w:val="Committee"/>
              <w:framePr w:hSpace="0" w:wrap="auto" w:hAnchor="text" w:yAlign="inline"/>
            </w:pPr>
            <w:bookmarkStart w:id="2" w:name="dnum" w:colFirst="1" w:colLast="1"/>
            <w:bookmarkStart w:id="3" w:name="dmeeting" w:colFirst="0" w:colLast="0"/>
            <w:bookmarkEnd w:id="1"/>
          </w:p>
        </w:tc>
        <w:tc>
          <w:tcPr>
            <w:tcW w:w="3227" w:type="dxa"/>
          </w:tcPr>
          <w:p w14:paraId="16CAB3B1" w14:textId="505FC4F0" w:rsidR="00CF7A3C" w:rsidRPr="00350245" w:rsidRDefault="00CF7A3C" w:rsidP="0355F7CC">
            <w:pPr>
              <w:tabs>
                <w:tab w:val="left" w:pos="851"/>
              </w:tabs>
              <w:spacing w:before="0" w:line="240" w:lineRule="atLeast"/>
              <w:rPr>
                <w:rFonts w:cstheme="minorHAnsi"/>
              </w:rPr>
            </w:pPr>
            <w:r w:rsidRPr="00350245">
              <w:rPr>
                <w:rFonts w:cstheme="minorHAnsi"/>
                <w:b/>
                <w:bCs/>
                <w:color w:val="000000"/>
                <w:lang w:val="es-ES"/>
              </w:rPr>
              <w:t>Documento TDAG-26/14-S</w:t>
            </w:r>
            <w:bookmarkStart w:id="4" w:name="DocRef1"/>
            <w:bookmarkEnd w:id="4"/>
          </w:p>
        </w:tc>
      </w:tr>
      <w:tr w:rsidR="00CF7A3C" w:rsidRPr="00350245" w14:paraId="428A0E59" w14:textId="77777777" w:rsidTr="109A6197">
        <w:trPr>
          <w:cantSplit/>
          <w:trHeight w:val="23"/>
        </w:trPr>
        <w:tc>
          <w:tcPr>
            <w:tcW w:w="6804" w:type="dxa"/>
          </w:tcPr>
          <w:p w14:paraId="02EB378F" w14:textId="77777777" w:rsidR="00CF7A3C" w:rsidRPr="00350245" w:rsidRDefault="00CF7A3C" w:rsidP="00CF7A3C">
            <w:pPr>
              <w:tabs>
                <w:tab w:val="left" w:pos="851"/>
              </w:tabs>
              <w:spacing w:before="0" w:line="240" w:lineRule="atLeast"/>
              <w:rPr>
                <w:rFonts w:cstheme="minorHAnsi"/>
                <w:b/>
                <w:szCs w:val="24"/>
                <w:lang w:val="es-ES_tradnl"/>
              </w:rPr>
            </w:pPr>
            <w:bookmarkStart w:id="5" w:name="ddate" w:colFirst="1" w:colLast="1"/>
            <w:bookmarkStart w:id="6" w:name="dblank" w:colFirst="0" w:colLast="0"/>
            <w:bookmarkEnd w:id="2"/>
            <w:bookmarkEnd w:id="3"/>
          </w:p>
        </w:tc>
        <w:tc>
          <w:tcPr>
            <w:tcW w:w="3227" w:type="dxa"/>
          </w:tcPr>
          <w:p w14:paraId="6C9ACDCB" w14:textId="46869EC6" w:rsidR="00CF7A3C" w:rsidRPr="00350245" w:rsidRDefault="13D4B583" w:rsidP="109A6197">
            <w:pPr>
              <w:spacing w:before="0" w:line="240" w:lineRule="atLeast"/>
              <w:rPr>
                <w:rFonts w:cstheme="minorHAnsi"/>
              </w:rPr>
            </w:pPr>
            <w:r w:rsidRPr="00350245">
              <w:rPr>
                <w:rFonts w:cstheme="minorHAnsi"/>
                <w:b/>
                <w:bCs/>
                <w:color w:val="000000"/>
                <w:lang w:val="es-ES"/>
              </w:rPr>
              <w:t>3 de marzo de 2026</w:t>
            </w:r>
          </w:p>
        </w:tc>
      </w:tr>
      <w:tr w:rsidR="00CF7A3C" w:rsidRPr="00350245" w14:paraId="24ED268E" w14:textId="77777777" w:rsidTr="109A6197">
        <w:trPr>
          <w:cantSplit/>
          <w:trHeight w:val="23"/>
        </w:trPr>
        <w:tc>
          <w:tcPr>
            <w:tcW w:w="6804" w:type="dxa"/>
          </w:tcPr>
          <w:p w14:paraId="6A05A809" w14:textId="77777777" w:rsidR="00CF7A3C" w:rsidRPr="00350245" w:rsidRDefault="00CF7A3C" w:rsidP="00CF7A3C">
            <w:pPr>
              <w:tabs>
                <w:tab w:val="left" w:pos="851"/>
              </w:tabs>
              <w:spacing w:before="0" w:line="240" w:lineRule="atLeast"/>
              <w:rPr>
                <w:rFonts w:cstheme="minorHAnsi"/>
                <w:szCs w:val="24"/>
              </w:rPr>
            </w:pPr>
            <w:bookmarkStart w:id="7" w:name="dbluepink" w:colFirst="0" w:colLast="0"/>
            <w:bookmarkStart w:id="8" w:name="dorlang" w:colFirst="1" w:colLast="1"/>
            <w:bookmarkEnd w:id="5"/>
            <w:bookmarkEnd w:id="6"/>
          </w:p>
        </w:tc>
        <w:tc>
          <w:tcPr>
            <w:tcW w:w="3227" w:type="dxa"/>
          </w:tcPr>
          <w:p w14:paraId="0B1DA3DE" w14:textId="77777777" w:rsidR="00CF7A3C" w:rsidRPr="00350245" w:rsidRDefault="00CF7A3C" w:rsidP="00CF7A3C">
            <w:pPr>
              <w:tabs>
                <w:tab w:val="left" w:pos="993"/>
              </w:tabs>
              <w:spacing w:before="0"/>
              <w:rPr>
                <w:rFonts w:cstheme="minorHAnsi"/>
                <w:b/>
                <w:szCs w:val="24"/>
              </w:rPr>
            </w:pPr>
            <w:r w:rsidRPr="00350245">
              <w:rPr>
                <w:rFonts w:cstheme="minorHAnsi"/>
                <w:b/>
                <w:bCs/>
                <w:color w:val="000000"/>
                <w:lang w:val="es-ES"/>
              </w:rPr>
              <w:t>Original: inglés</w:t>
            </w:r>
          </w:p>
        </w:tc>
      </w:tr>
      <w:tr w:rsidR="00CF7A3C" w:rsidRPr="00F57B93" w14:paraId="53F1FE98" w14:textId="77777777" w:rsidTr="109A6197">
        <w:trPr>
          <w:cantSplit/>
          <w:trHeight w:val="23"/>
        </w:trPr>
        <w:tc>
          <w:tcPr>
            <w:tcW w:w="10031" w:type="dxa"/>
            <w:gridSpan w:val="2"/>
          </w:tcPr>
          <w:p w14:paraId="188B6ED4" w14:textId="77777777" w:rsidR="00CF7A3C" w:rsidRPr="00350245" w:rsidRDefault="00DD44A5" w:rsidP="00CF7A3C">
            <w:pPr>
              <w:pStyle w:val="Source"/>
              <w:spacing w:before="240" w:after="240"/>
              <w:rPr>
                <w:rFonts w:cstheme="minorHAnsi"/>
                <w:lang w:val="es-ES"/>
              </w:rPr>
            </w:pPr>
            <w:r w:rsidRPr="00350245">
              <w:rPr>
                <w:rFonts w:cstheme="minorHAnsi"/>
                <w:bCs/>
                <w:color w:val="000000"/>
                <w:lang w:val="es-ES"/>
              </w:rPr>
              <w:t>Director de la Oficina de Desarrollo de las Telecomunicaciones</w:t>
            </w:r>
          </w:p>
        </w:tc>
      </w:tr>
      <w:tr w:rsidR="00CF7A3C" w:rsidRPr="00F57B93" w14:paraId="540B6D48" w14:textId="77777777" w:rsidTr="109A6197">
        <w:trPr>
          <w:cantSplit/>
          <w:trHeight w:val="23"/>
        </w:trPr>
        <w:tc>
          <w:tcPr>
            <w:tcW w:w="10031" w:type="dxa"/>
            <w:gridSpan w:val="2"/>
            <w:vAlign w:val="center"/>
          </w:tcPr>
          <w:p w14:paraId="40191E4D" w14:textId="6C5CBBB1" w:rsidR="00CF7A3C" w:rsidRPr="00350245" w:rsidRDefault="28D207D2" w:rsidP="7AF3D878">
            <w:pPr>
              <w:spacing w:after="120"/>
              <w:jc w:val="center"/>
              <w:rPr>
                <w:rFonts w:cstheme="minorHAnsi"/>
                <w:sz w:val="28"/>
                <w:szCs w:val="28"/>
                <w:lang w:val="es-ES"/>
              </w:rPr>
            </w:pPr>
            <w:r w:rsidRPr="00350245">
              <w:rPr>
                <w:rFonts w:cstheme="minorHAnsi"/>
                <w:color w:val="000000"/>
                <w:sz w:val="28"/>
                <w:szCs w:val="28"/>
                <w:lang w:val="es-ES"/>
              </w:rPr>
              <w:t>Utilización de todos los idiomas oficiales en igualdad de condiciones en el UIT-D</w:t>
            </w:r>
          </w:p>
        </w:tc>
      </w:tr>
      <w:tr w:rsidR="00CF7A3C" w:rsidRPr="00F57B93" w14:paraId="5A39BBE3" w14:textId="77777777" w:rsidTr="109A6197">
        <w:trPr>
          <w:cantSplit/>
          <w:trHeight w:val="23"/>
        </w:trPr>
        <w:tc>
          <w:tcPr>
            <w:tcW w:w="10031" w:type="dxa"/>
            <w:gridSpan w:val="2"/>
            <w:tcBorders>
              <w:bottom w:val="single" w:sz="4" w:space="0" w:color="auto"/>
            </w:tcBorders>
          </w:tcPr>
          <w:p w14:paraId="41C8F396" w14:textId="77777777" w:rsidR="00CF7A3C" w:rsidRPr="00350245" w:rsidRDefault="00CF7A3C" w:rsidP="00CF7A3C">
            <w:pPr>
              <w:pStyle w:val="Title1"/>
              <w:spacing w:before="120" w:after="120"/>
              <w:jc w:val="left"/>
              <w:rPr>
                <w:rFonts w:cstheme="minorHAnsi"/>
                <w:szCs w:val="28"/>
                <w:lang w:val="es-ES"/>
              </w:rPr>
            </w:pPr>
          </w:p>
        </w:tc>
      </w:tr>
      <w:tr w:rsidR="00CF7A3C" w:rsidRPr="00F57B93" w14:paraId="4F352186" w14:textId="77777777" w:rsidTr="109A6197">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5695B085" w14:textId="2E6E38CD" w:rsidR="007A7AFB" w:rsidRPr="00350245" w:rsidRDefault="00CF7A3C" w:rsidP="00F57E57">
            <w:pPr>
              <w:spacing w:after="120"/>
              <w:rPr>
                <w:rFonts w:cstheme="minorHAnsi"/>
                <w:szCs w:val="24"/>
                <w:lang w:val="es-ES"/>
              </w:rPr>
            </w:pPr>
            <w:r w:rsidRPr="00350245">
              <w:rPr>
                <w:rFonts w:cstheme="minorHAnsi"/>
                <w:b/>
                <w:bCs/>
                <w:color w:val="000000"/>
                <w:lang w:val="es-ES"/>
              </w:rPr>
              <w:t>Resumen:</w:t>
            </w:r>
          </w:p>
          <w:p w14:paraId="1F031DC1" w14:textId="59071C7B" w:rsidR="0089493A" w:rsidRPr="00350245" w:rsidRDefault="0089493A" w:rsidP="00F57E57">
            <w:pPr>
              <w:spacing w:after="120"/>
              <w:rPr>
                <w:rFonts w:cstheme="minorHAnsi"/>
                <w:lang w:val="es-ES"/>
              </w:rPr>
            </w:pPr>
            <w:r w:rsidRPr="00350245">
              <w:rPr>
                <w:rFonts w:cstheme="minorHAnsi"/>
                <w:color w:val="000000"/>
                <w:lang w:val="es-ES"/>
              </w:rPr>
              <w:t>En el presente documento se proporciona información actualizada sobre las actividades emprendidas por la Oficina de Desarrollo de las Telecomunicaciones (BDT) para garantizar la utilización de los seis idiomas oficiales de la Unión en igualdad de condiciones, de conformidad con la Resolución</w:t>
            </w:r>
            <w:r w:rsidR="00580B21">
              <w:rPr>
                <w:rFonts w:cstheme="minorHAnsi"/>
                <w:color w:val="000000"/>
                <w:lang w:val="es-ES"/>
              </w:rPr>
              <w:t> </w:t>
            </w:r>
            <w:r w:rsidRPr="00350245">
              <w:rPr>
                <w:rFonts w:cstheme="minorHAnsi"/>
                <w:color w:val="000000"/>
                <w:lang w:val="es-ES"/>
              </w:rPr>
              <w:t>154 (Rev. Bucarest, 2022) de la Conferencia de Plenipotenciarios y las Resoluciones pertinentes de la CMDT.</w:t>
            </w:r>
          </w:p>
          <w:p w14:paraId="55993134" w14:textId="77777777" w:rsidR="0089493A" w:rsidRPr="00350245" w:rsidRDefault="0089493A" w:rsidP="00F57E57">
            <w:pPr>
              <w:spacing w:after="120"/>
              <w:rPr>
                <w:rFonts w:cstheme="minorHAnsi"/>
                <w:lang w:val="es-ES"/>
              </w:rPr>
            </w:pPr>
            <w:r w:rsidRPr="00350245">
              <w:rPr>
                <w:rFonts w:cstheme="minorHAnsi"/>
                <w:color w:val="000000"/>
                <w:lang w:val="es-ES"/>
              </w:rPr>
              <w:t>Se destacan los avances recientes relacionados con:</w:t>
            </w:r>
          </w:p>
          <w:p w14:paraId="71018BA7" w14:textId="4A418EEB" w:rsidR="0089493A" w:rsidRPr="00350245" w:rsidRDefault="00F57B93" w:rsidP="00F57B93">
            <w:pPr>
              <w:pStyle w:val="enumlev1"/>
              <w:rPr>
                <w:lang w:val="es-ES"/>
              </w:rPr>
            </w:pPr>
            <w:r w:rsidRPr="00F57B93">
              <w:rPr>
                <w:lang w:val="es-ES"/>
              </w:rPr>
              <w:t>–</w:t>
            </w:r>
            <w:r>
              <w:rPr>
                <w:lang w:val="es-ES"/>
              </w:rPr>
              <w:tab/>
            </w:r>
            <w:r w:rsidR="0089493A" w:rsidRPr="00350245">
              <w:rPr>
                <w:lang w:val="es-ES"/>
              </w:rPr>
              <w:t>el acceso plurilingüe a los contenidos digitales del UIT-D;</w:t>
            </w:r>
          </w:p>
          <w:p w14:paraId="635777DB" w14:textId="41EFA4D8" w:rsidR="0089493A" w:rsidRPr="00350245" w:rsidRDefault="00F57B93" w:rsidP="00F57B93">
            <w:pPr>
              <w:pStyle w:val="enumlev1"/>
              <w:rPr>
                <w:lang w:val="es-ES"/>
              </w:rPr>
            </w:pPr>
            <w:r w:rsidRPr="00F57B93">
              <w:rPr>
                <w:lang w:val="es-ES"/>
              </w:rPr>
              <w:t>–</w:t>
            </w:r>
            <w:r>
              <w:rPr>
                <w:lang w:val="es-ES"/>
              </w:rPr>
              <w:tab/>
            </w:r>
            <w:r w:rsidR="0089493A" w:rsidRPr="00350245">
              <w:rPr>
                <w:lang w:val="es-ES"/>
              </w:rPr>
              <w:t>el uso de la traducción automática y las tecnologías lingüísticas emergentes;</w:t>
            </w:r>
          </w:p>
          <w:p w14:paraId="2D9E05DE" w14:textId="28F8561B" w:rsidR="0089493A" w:rsidRPr="00350245" w:rsidRDefault="00F57B93" w:rsidP="00F57B93">
            <w:pPr>
              <w:pStyle w:val="enumlev1"/>
              <w:rPr>
                <w:lang w:val="es-ES"/>
              </w:rPr>
            </w:pPr>
            <w:r w:rsidRPr="00F57B93">
              <w:rPr>
                <w:lang w:val="es-ES"/>
              </w:rPr>
              <w:t>–</w:t>
            </w:r>
            <w:r>
              <w:rPr>
                <w:lang w:val="es-ES"/>
              </w:rPr>
              <w:tab/>
            </w:r>
            <w:r w:rsidR="0089493A" w:rsidRPr="00350245">
              <w:rPr>
                <w:lang w:val="es-ES"/>
              </w:rPr>
              <w:t>las disposiciones de interpretación para las reuniones del UIT-D</w:t>
            </w:r>
            <w:r w:rsidR="00580B21">
              <w:rPr>
                <w:lang w:val="es-ES"/>
              </w:rPr>
              <w:t>,</w:t>
            </w:r>
            <w:r w:rsidR="0089493A" w:rsidRPr="00350245">
              <w:rPr>
                <w:lang w:val="es-ES"/>
              </w:rPr>
              <w:t xml:space="preserve"> y</w:t>
            </w:r>
          </w:p>
          <w:p w14:paraId="0C5E96DA" w14:textId="54D8F5F9" w:rsidR="00066A64" w:rsidRPr="00350245" w:rsidRDefault="00F57B93" w:rsidP="00F57B93">
            <w:pPr>
              <w:pStyle w:val="enumlev1"/>
              <w:rPr>
                <w:lang w:val="es-ES"/>
              </w:rPr>
            </w:pPr>
            <w:r w:rsidRPr="00F57B93">
              <w:rPr>
                <w:lang w:val="es-ES"/>
              </w:rPr>
              <w:t>–</w:t>
            </w:r>
            <w:r>
              <w:rPr>
                <w:lang w:val="es-ES"/>
              </w:rPr>
              <w:tab/>
            </w:r>
            <w:r w:rsidR="0089493A" w:rsidRPr="00350245">
              <w:rPr>
                <w:lang w:val="es-ES"/>
              </w:rPr>
              <w:t>la armonización con las iniciativas de multilingüismo a escala de la Unión debatidas en el Grupo de Trabajo del Consejo sobre los Idiomas (GTC-Idiomas).</w:t>
            </w:r>
          </w:p>
          <w:p w14:paraId="1BDDDA08" w14:textId="77777777" w:rsidR="007A7AFB" w:rsidRPr="00350245" w:rsidRDefault="00CF7A3C" w:rsidP="00F57E57">
            <w:pPr>
              <w:spacing w:after="120"/>
              <w:rPr>
                <w:rFonts w:cstheme="minorHAnsi"/>
                <w:b/>
                <w:bCs/>
                <w:szCs w:val="24"/>
                <w:lang w:val="es-ES"/>
              </w:rPr>
            </w:pPr>
            <w:r w:rsidRPr="00350245">
              <w:rPr>
                <w:rFonts w:cstheme="minorHAnsi"/>
                <w:b/>
                <w:bCs/>
                <w:color w:val="000000"/>
                <w:lang w:val="es-ES"/>
              </w:rPr>
              <w:t>Acción solicitada:</w:t>
            </w:r>
          </w:p>
          <w:p w14:paraId="3DABEFBB" w14:textId="1E98B72C" w:rsidR="00CF7A3C" w:rsidRPr="00350245" w:rsidRDefault="00066A64" w:rsidP="00F57E57">
            <w:pPr>
              <w:spacing w:after="120"/>
              <w:rPr>
                <w:rFonts w:cstheme="minorHAnsi"/>
                <w:szCs w:val="24"/>
                <w:lang w:val="es-ES"/>
              </w:rPr>
            </w:pPr>
            <w:r w:rsidRPr="00350245">
              <w:rPr>
                <w:rFonts w:cstheme="minorHAnsi"/>
                <w:color w:val="000000"/>
                <w:lang w:val="es-ES"/>
              </w:rPr>
              <w:t>Se invita al GADT a tomar nota del presente documento.</w:t>
            </w:r>
          </w:p>
          <w:p w14:paraId="7021E8D9" w14:textId="77777777" w:rsidR="007A7AFB" w:rsidRPr="00350245" w:rsidRDefault="00CF7A3C" w:rsidP="00F57E57">
            <w:pPr>
              <w:spacing w:after="120"/>
              <w:rPr>
                <w:rFonts w:cstheme="minorHAnsi"/>
                <w:szCs w:val="24"/>
                <w:lang w:val="es-ES"/>
              </w:rPr>
            </w:pPr>
            <w:r w:rsidRPr="00350245">
              <w:rPr>
                <w:rFonts w:cstheme="minorHAnsi"/>
                <w:b/>
                <w:bCs/>
                <w:color w:val="000000"/>
                <w:lang w:val="es-ES"/>
              </w:rPr>
              <w:t>Referencias:</w:t>
            </w:r>
            <w:r w:rsidRPr="00350245">
              <w:rPr>
                <w:rFonts w:cstheme="minorHAnsi"/>
                <w:color w:val="000000"/>
                <w:lang w:val="es-ES"/>
              </w:rPr>
              <w:t xml:space="preserve"> </w:t>
            </w:r>
          </w:p>
          <w:p w14:paraId="581E4D3F" w14:textId="064C2118" w:rsidR="00C32B41" w:rsidRPr="00350245" w:rsidRDefault="00BD2BD2" w:rsidP="00F57E57">
            <w:pPr>
              <w:spacing w:after="120"/>
              <w:rPr>
                <w:rFonts w:cstheme="minorHAnsi"/>
                <w:lang w:val="es-ES"/>
              </w:rPr>
            </w:pPr>
            <w:hyperlink r:id="rId12" w:history="1">
              <w:r w:rsidR="00C32B41" w:rsidRPr="00350245">
                <w:rPr>
                  <w:rStyle w:val="Hyperlink"/>
                  <w:rFonts w:cstheme="minorHAnsi"/>
                  <w:lang w:val="es-ES"/>
                </w:rPr>
                <w:t>Resolución 154</w:t>
              </w:r>
            </w:hyperlink>
            <w:r w:rsidR="00C32B41" w:rsidRPr="00350245">
              <w:rPr>
                <w:rFonts w:cstheme="minorHAnsi"/>
                <w:color w:val="000000"/>
                <w:lang w:val="es-ES"/>
              </w:rPr>
              <w:t xml:space="preserve"> (Rev. Bucarest, 2022) de la Conferencia de Plenipotenciarios (PP-22)</w:t>
            </w:r>
          </w:p>
          <w:p w14:paraId="1D86466D" w14:textId="63A335D6" w:rsidR="00C32B41" w:rsidRPr="00350245" w:rsidRDefault="00BD2BD2" w:rsidP="00F57E57">
            <w:pPr>
              <w:spacing w:after="120"/>
              <w:rPr>
                <w:rFonts w:cstheme="minorHAnsi"/>
                <w:lang w:val="es-ES"/>
              </w:rPr>
            </w:pPr>
            <w:hyperlink r:id="rId13" w:history="1">
              <w:r w:rsidR="00C32B41" w:rsidRPr="00350245">
                <w:rPr>
                  <w:rStyle w:val="Hyperlink"/>
                  <w:rFonts w:cstheme="minorHAnsi"/>
                  <w:lang w:val="es-ES"/>
                </w:rPr>
                <w:t>Resolución 1</w:t>
              </w:r>
            </w:hyperlink>
            <w:r w:rsidR="00C32B41" w:rsidRPr="00350245">
              <w:rPr>
                <w:rFonts w:cstheme="minorHAnsi"/>
                <w:color w:val="000000"/>
                <w:lang w:val="es-ES"/>
              </w:rPr>
              <w:t xml:space="preserve"> (Rev. Bakú, 2025) de la Conferencia Mundial de Desarrollo de las Telecomunicaciones (CMDT-25)</w:t>
            </w:r>
          </w:p>
          <w:p w14:paraId="43488396" w14:textId="3A98172D" w:rsidR="00C32B41" w:rsidRPr="00350245" w:rsidRDefault="00BD2BD2" w:rsidP="00F57E57">
            <w:pPr>
              <w:spacing w:after="120"/>
              <w:rPr>
                <w:rFonts w:cstheme="minorHAnsi"/>
                <w:lang w:val="es-ES"/>
              </w:rPr>
            </w:pPr>
            <w:hyperlink r:id="rId14" w:history="1">
              <w:r w:rsidR="00C32B41" w:rsidRPr="00350245">
                <w:rPr>
                  <w:rStyle w:val="Hyperlink"/>
                  <w:rFonts w:cstheme="minorHAnsi"/>
                  <w:lang w:val="es-ES"/>
                </w:rPr>
                <w:t>Resolución 1386 del Consejo de la UIT</w:t>
              </w:r>
            </w:hyperlink>
            <w:r w:rsidR="00C32B41" w:rsidRPr="00350245">
              <w:rPr>
                <w:rFonts w:cstheme="minorHAnsi"/>
                <w:color w:val="000000"/>
                <w:lang w:val="es-ES"/>
              </w:rPr>
              <w:t xml:space="preserve"> (C17, modificada por última vez C24)</w:t>
            </w:r>
          </w:p>
          <w:p w14:paraId="0ED269C3" w14:textId="4E3CA2B4" w:rsidR="00CF7A3C" w:rsidRPr="00350245" w:rsidRDefault="00BD2BD2" w:rsidP="00F57E57">
            <w:pPr>
              <w:spacing w:after="120"/>
              <w:rPr>
                <w:rFonts w:cstheme="minorHAnsi"/>
                <w:lang w:val="es-ES"/>
              </w:rPr>
            </w:pPr>
            <w:hyperlink r:id="rId15" w:history="1">
              <w:r w:rsidR="00C32B41" w:rsidRPr="00350245">
                <w:rPr>
                  <w:rStyle w:val="Hyperlink"/>
                  <w:rFonts w:cstheme="minorHAnsi"/>
                  <w:lang w:val="es-ES"/>
                </w:rPr>
                <w:t>Resolución 1372 del Consejo</w:t>
              </w:r>
            </w:hyperlink>
            <w:r w:rsidR="00C32B41" w:rsidRPr="00350245">
              <w:rPr>
                <w:rFonts w:cstheme="minorHAnsi"/>
                <w:color w:val="000000"/>
                <w:lang w:val="es-ES"/>
              </w:rPr>
              <w:t xml:space="preserve"> (C15, modificada por última vez C24)</w:t>
            </w:r>
          </w:p>
        </w:tc>
      </w:tr>
      <w:bookmarkEnd w:id="7"/>
      <w:bookmarkEnd w:id="8"/>
    </w:tbl>
    <w:p w14:paraId="72A3D3EC" w14:textId="77777777" w:rsidR="00075C63" w:rsidRPr="00350245" w:rsidRDefault="00075C63" w:rsidP="00F00B00">
      <w:pPr>
        <w:tabs>
          <w:tab w:val="clear" w:pos="1134"/>
          <w:tab w:val="clear" w:pos="1871"/>
          <w:tab w:val="clear" w:pos="2268"/>
        </w:tabs>
        <w:overflowPunct/>
        <w:autoSpaceDE/>
        <w:autoSpaceDN/>
        <w:adjustRightInd/>
        <w:spacing w:beforeLines="120" w:before="288"/>
        <w:textAlignment w:val="auto"/>
        <w:rPr>
          <w:rFonts w:cstheme="minorHAnsi"/>
          <w:szCs w:val="24"/>
          <w:lang w:val="es-ES"/>
        </w:rPr>
      </w:pPr>
      <w:r w:rsidRPr="00350245">
        <w:rPr>
          <w:rFonts w:cstheme="minorHAnsi"/>
          <w:szCs w:val="24"/>
          <w:lang w:val="es-ES"/>
        </w:rPr>
        <w:br w:type="page"/>
      </w:r>
    </w:p>
    <w:p w14:paraId="377B6691" w14:textId="4690F05B" w:rsidR="00F00B00" w:rsidRPr="00F57B93" w:rsidRDefault="00F57B93" w:rsidP="00F57B93">
      <w:pPr>
        <w:pStyle w:val="Heading1"/>
        <w:rPr>
          <w:szCs w:val="24"/>
          <w:lang w:val="es-ES"/>
        </w:rPr>
      </w:pPr>
      <w:r>
        <w:rPr>
          <w:lang w:val="es-ES"/>
        </w:rPr>
        <w:lastRenderedPageBreak/>
        <w:t>1</w:t>
      </w:r>
      <w:r>
        <w:rPr>
          <w:lang w:val="es-ES"/>
        </w:rPr>
        <w:tab/>
      </w:r>
      <w:r w:rsidR="00A854E9" w:rsidRPr="00350245">
        <w:rPr>
          <w:lang w:val="es-ES"/>
        </w:rPr>
        <w:t>Introducción</w:t>
      </w:r>
    </w:p>
    <w:p w14:paraId="23B7202C" w14:textId="1BE7B1B6" w:rsidR="00433677" w:rsidRPr="00350245" w:rsidRDefault="00433677" w:rsidP="00F57B93">
      <w:pPr>
        <w:rPr>
          <w:rFonts w:eastAsia="SimSun"/>
          <w:lang w:val="es-ES"/>
        </w:rPr>
      </w:pPr>
      <w:r w:rsidRPr="00350245">
        <w:rPr>
          <w:lang w:val="es-ES"/>
        </w:rPr>
        <w:t>1.1</w:t>
      </w:r>
      <w:r w:rsidR="00F57B93">
        <w:rPr>
          <w:lang w:val="es-ES"/>
        </w:rPr>
        <w:tab/>
      </w:r>
      <w:r w:rsidRPr="00350245">
        <w:rPr>
          <w:lang w:val="es-ES"/>
        </w:rPr>
        <w:t>La Conferencia de Plenipotenciarios de 2022 (PP-22), a través de su Resolución</w:t>
      </w:r>
      <w:r w:rsidR="00F57B93">
        <w:rPr>
          <w:lang w:val="es-ES"/>
        </w:rPr>
        <w:t> </w:t>
      </w:r>
      <w:r w:rsidRPr="00350245">
        <w:rPr>
          <w:lang w:val="es-ES"/>
        </w:rPr>
        <w:t>154 (Rev. Bucarest, 2022), reafirmó el principio de utilización de los seis idiomas oficiales de la Unión y encargó a esta seguir adoptando todas las medidas necesarias para garantizar la interpretación y la traducción de los documentos de la UIT, reconociendo al mismo tiempo que ciertas actividades pueden no requerir la utilización de los seis idiomas.</w:t>
      </w:r>
    </w:p>
    <w:p w14:paraId="4359F56D" w14:textId="42B4DE54" w:rsidR="00433677" w:rsidRPr="00350245" w:rsidRDefault="00433677" w:rsidP="00F57B93">
      <w:pPr>
        <w:rPr>
          <w:rFonts w:eastAsia="SimSun"/>
          <w:lang w:val="es-ES"/>
        </w:rPr>
      </w:pPr>
      <w:r w:rsidRPr="00350245">
        <w:rPr>
          <w:lang w:val="es-ES"/>
        </w:rPr>
        <w:t>1.2</w:t>
      </w:r>
      <w:r w:rsidR="00F57B93">
        <w:rPr>
          <w:lang w:val="es-ES"/>
        </w:rPr>
        <w:tab/>
      </w:r>
      <w:r w:rsidRPr="00350245">
        <w:rPr>
          <w:lang w:val="es-ES"/>
        </w:rPr>
        <w:t xml:space="preserve">En la </w:t>
      </w:r>
      <w:hyperlink r:id="rId16" w:history="1">
        <w:r w:rsidRPr="001951BD">
          <w:rPr>
            <w:rStyle w:val="Hyperlink"/>
            <w:rFonts w:cstheme="minorHAnsi"/>
            <w:lang w:val="es-ES"/>
          </w:rPr>
          <w:t>Resolución 154</w:t>
        </w:r>
      </w:hyperlink>
      <w:r w:rsidRPr="00350245">
        <w:rPr>
          <w:lang w:val="es-ES"/>
        </w:rPr>
        <w:t xml:space="preserve"> (Rev. Bucarest, 2022) se encarga además al Secretario General que, en estrecha colaboración con los Directores de las Oficinas, informe anualmente al Consejo y al </w:t>
      </w:r>
      <w:hyperlink r:id="rId17" w:history="1">
        <w:r w:rsidRPr="00B956DD">
          <w:rPr>
            <w:rStyle w:val="Hyperlink"/>
            <w:rFonts w:cstheme="minorHAnsi"/>
            <w:lang w:val="es-ES"/>
          </w:rPr>
          <w:t>Grupo de Trabajo del Consejo sobre los Idiomas (GTC-Idiomas)</w:t>
        </w:r>
      </w:hyperlink>
      <w:r w:rsidRPr="00350245">
        <w:rPr>
          <w:lang w:val="es-ES"/>
        </w:rPr>
        <w:t xml:space="preserve"> sobre su aplicación. El Consejo ha seguido examinando los progresos realizados por el GTC-Idiomas, incluidos los recientes debates sobre el </w:t>
      </w:r>
      <w:r w:rsidR="00A957DD">
        <w:rPr>
          <w:lang w:val="es-ES"/>
        </w:rPr>
        <w:t>plurilingüismo</w:t>
      </w:r>
      <w:r w:rsidRPr="00350245">
        <w:rPr>
          <w:lang w:val="es-ES"/>
        </w:rPr>
        <w:t xml:space="preserve"> digital, las modalidades de interpretación, la coordinación terminológica y la utilización de nuevas tecnologías.</w:t>
      </w:r>
      <w:hyperlink r:id="rId18"/>
      <w:hyperlink r:id="rId19"/>
    </w:p>
    <w:p w14:paraId="6D292E56" w14:textId="1C64CFA4" w:rsidR="00433677" w:rsidRPr="00350245" w:rsidRDefault="00433677" w:rsidP="00F57B93">
      <w:pPr>
        <w:rPr>
          <w:rFonts w:eastAsia="SimSun"/>
          <w:lang w:val="es-ES"/>
        </w:rPr>
      </w:pPr>
      <w:r w:rsidRPr="00350245">
        <w:rPr>
          <w:lang w:val="es-ES"/>
        </w:rPr>
        <w:t>1.3</w:t>
      </w:r>
      <w:r w:rsidR="00F57B93">
        <w:rPr>
          <w:lang w:val="es-ES"/>
        </w:rPr>
        <w:tab/>
      </w:r>
      <w:r w:rsidRPr="00350245">
        <w:rPr>
          <w:lang w:val="es-ES"/>
        </w:rPr>
        <w:t>La Resolución 154 también encarga a los Grupos Asesores de los Sectores, incluido el</w:t>
      </w:r>
      <w:r w:rsidR="00580B21">
        <w:rPr>
          <w:lang w:val="es-ES"/>
        </w:rPr>
        <w:t> </w:t>
      </w:r>
      <w:r w:rsidRPr="00350245">
        <w:rPr>
          <w:lang w:val="es-ES"/>
        </w:rPr>
        <w:t>GADT, que examinen anualmente la utilización de todos los idiomas oficiales de la Unión en igualdad de condiciones en las publicaciones y sitios web de los Sectores.</w:t>
      </w:r>
    </w:p>
    <w:p w14:paraId="1D14DAB9" w14:textId="0C759B9F" w:rsidR="0014323C" w:rsidRPr="00350245" w:rsidRDefault="00433677" w:rsidP="00F57B93">
      <w:pPr>
        <w:rPr>
          <w:rFonts w:eastAsia="SimSun"/>
          <w:lang w:val="es-ES"/>
        </w:rPr>
      </w:pPr>
      <w:r w:rsidRPr="00350245">
        <w:rPr>
          <w:lang w:val="es-ES"/>
        </w:rPr>
        <w:t>1.4</w:t>
      </w:r>
      <w:r w:rsidR="00F57B93">
        <w:rPr>
          <w:lang w:val="es-ES"/>
        </w:rPr>
        <w:tab/>
      </w:r>
      <w:r w:rsidRPr="00350245">
        <w:rPr>
          <w:lang w:val="es-ES"/>
        </w:rPr>
        <w:t>En este contexto, el presente documento proporciona información actualizada sobre las acciones y prácticas específicas de la BDT, teniendo en cuenta los últimos desarrollos en toda la UIT discutidos en el GTC-Idiomas, en la medida en que son pertinentes para las actividades del UIT-D.</w:t>
      </w:r>
    </w:p>
    <w:p w14:paraId="775EFE48" w14:textId="14476B84" w:rsidR="00EC1684" w:rsidRPr="00350245" w:rsidRDefault="00F57B93" w:rsidP="00F57B93">
      <w:pPr>
        <w:pStyle w:val="Heading1"/>
        <w:rPr>
          <w:color w:val="000000"/>
          <w:lang w:val="es-ES"/>
        </w:rPr>
      </w:pPr>
      <w:bookmarkStart w:id="9" w:name="_Toc268858428"/>
      <w:bookmarkStart w:id="10" w:name="_Toc496806874"/>
      <w:bookmarkStart w:id="11" w:name="_Toc500344028"/>
      <w:r>
        <w:rPr>
          <w:lang w:val="es-ES"/>
        </w:rPr>
        <w:t>2</w:t>
      </w:r>
      <w:r>
        <w:rPr>
          <w:lang w:val="es-ES"/>
        </w:rPr>
        <w:tab/>
      </w:r>
      <w:r w:rsidR="00EC1684" w:rsidRPr="00350245">
        <w:rPr>
          <w:lang w:val="es-ES"/>
        </w:rPr>
        <w:t>Actividades de la BDT sobre la utilización de todos los idiomas oficiales</w:t>
      </w:r>
    </w:p>
    <w:p w14:paraId="1E08DDF5" w14:textId="3279B658" w:rsidR="00EE6E7D" w:rsidRPr="00350245" w:rsidRDefault="00F57B93" w:rsidP="00F57B93">
      <w:pPr>
        <w:pStyle w:val="Heading2"/>
        <w:rPr>
          <w:szCs w:val="24"/>
          <w:lang w:val="es-ES"/>
        </w:rPr>
      </w:pPr>
      <w:r>
        <w:rPr>
          <w:lang w:val="es-ES"/>
        </w:rPr>
        <w:t>2.1</w:t>
      </w:r>
      <w:r>
        <w:rPr>
          <w:lang w:val="es-ES"/>
        </w:rPr>
        <w:tab/>
      </w:r>
      <w:r w:rsidR="00EE6E7D" w:rsidRPr="00350245">
        <w:rPr>
          <w:lang w:val="es-ES"/>
        </w:rPr>
        <w:t>Acceso plurilingüe a los sitios web del UIT-D</w:t>
      </w:r>
    </w:p>
    <w:p w14:paraId="5537C71C" w14:textId="5728ECE0" w:rsidR="00EE6E7D" w:rsidRPr="00350245" w:rsidRDefault="00EE6E7D" w:rsidP="00F57B93">
      <w:pPr>
        <w:rPr>
          <w:lang w:val="es-ES"/>
        </w:rPr>
      </w:pPr>
      <w:r w:rsidRPr="00350245">
        <w:rPr>
          <w:lang w:val="es-ES"/>
        </w:rPr>
        <w:t>2.1.1</w:t>
      </w:r>
      <w:r w:rsidR="00F57B93">
        <w:rPr>
          <w:lang w:val="es-ES"/>
        </w:rPr>
        <w:tab/>
      </w:r>
      <w:r w:rsidRPr="00350245">
        <w:rPr>
          <w:lang w:val="es-ES"/>
        </w:rPr>
        <w:t xml:space="preserve">La BDT ha proseguido la migración de los sitios web del UIT-D a la plataforma oficial WordPress de la UIT. Esta transición permite el acceso plurilingüe mediante la traducción automática y está armonizada con el nuevo proyecto de sitio web de la UIT, cuyo objetivo es mejorar la coherencia </w:t>
      </w:r>
      <w:r w:rsidR="00A957DD">
        <w:rPr>
          <w:lang w:val="es-ES"/>
        </w:rPr>
        <w:t>pluri</w:t>
      </w:r>
      <w:r w:rsidRPr="00350245">
        <w:rPr>
          <w:lang w:val="es-ES"/>
        </w:rPr>
        <w:t>lingüe, la navegación y las posibilidades de búsqueda en la presencia de la Unión en la web.</w:t>
      </w:r>
    </w:p>
    <w:p w14:paraId="57DE6579" w14:textId="28B2E18B" w:rsidR="00EE6E7D" w:rsidRPr="00350245" w:rsidRDefault="00BC589A" w:rsidP="00F57B93">
      <w:pPr>
        <w:rPr>
          <w:lang w:val="es-ES"/>
        </w:rPr>
      </w:pPr>
      <w:r w:rsidRPr="00350245">
        <w:rPr>
          <w:lang w:val="es-ES"/>
        </w:rPr>
        <w:t>2.1.2</w:t>
      </w:r>
      <w:r w:rsidR="00F57B93">
        <w:rPr>
          <w:lang w:val="es-ES"/>
        </w:rPr>
        <w:tab/>
      </w:r>
      <w:r w:rsidRPr="00350245">
        <w:rPr>
          <w:lang w:val="es-ES"/>
        </w:rPr>
        <w:t>Todos los idiomas oficiales están actualmente soportados en los sitios web del UIT</w:t>
      </w:r>
      <w:r w:rsidR="00580B21">
        <w:rPr>
          <w:lang w:val="es-ES"/>
        </w:rPr>
        <w:noBreakHyphen/>
      </w:r>
      <w:r w:rsidRPr="00350245">
        <w:rPr>
          <w:lang w:val="es-ES"/>
        </w:rPr>
        <w:t>D mediante traducción automática. La BDT colabora estrechamente con los servicios lingüísticos para mejorar la calidad de la traducción, especialmente para contenidos muy visibles y urgentes.</w:t>
      </w:r>
    </w:p>
    <w:p w14:paraId="09E7A6CE" w14:textId="7D2E1349" w:rsidR="00EE6E7D" w:rsidRPr="00350245" w:rsidRDefault="002E4B70" w:rsidP="00F57B93">
      <w:pPr>
        <w:rPr>
          <w:lang w:val="es-ES"/>
        </w:rPr>
      </w:pPr>
      <w:r w:rsidRPr="00350245">
        <w:rPr>
          <w:lang w:val="es-ES"/>
        </w:rPr>
        <w:t>2.1.3</w:t>
      </w:r>
      <w:r w:rsidR="00F57B93">
        <w:rPr>
          <w:lang w:val="es-ES"/>
        </w:rPr>
        <w:tab/>
      </w:r>
      <w:r w:rsidRPr="00350245">
        <w:rPr>
          <w:lang w:val="es-ES"/>
        </w:rPr>
        <w:t>Desde la anterior reunión del GADT, otros sitios web del UIT-D se han migrado a WordPress y ahora se benefician de acceso multilingüe, entre ellos:</w:t>
      </w:r>
    </w:p>
    <w:p w14:paraId="16F6EA21" w14:textId="78A37D7D" w:rsidR="00EE6E7D" w:rsidRPr="00350245" w:rsidRDefault="00F57B93" w:rsidP="00F57B93">
      <w:pPr>
        <w:pStyle w:val="enumlev1"/>
        <w:rPr>
          <w:lang w:val="es-ES"/>
        </w:rPr>
      </w:pPr>
      <w:r w:rsidRPr="00F57B93">
        <w:rPr>
          <w:lang w:val="es-ES"/>
        </w:rPr>
        <w:t>–</w:t>
      </w:r>
      <w:r>
        <w:rPr>
          <w:lang w:val="es-ES"/>
        </w:rPr>
        <w:tab/>
      </w:r>
      <w:r w:rsidR="00EE6E7D" w:rsidRPr="00350245">
        <w:rPr>
          <w:lang w:val="es-ES"/>
        </w:rPr>
        <w:t>el sitio web de asociaciones del UIT-D;</w:t>
      </w:r>
    </w:p>
    <w:p w14:paraId="1980BDCC" w14:textId="5982F65F" w:rsidR="00EE6E7D" w:rsidRPr="00350245" w:rsidRDefault="00F57B93" w:rsidP="00F57B93">
      <w:pPr>
        <w:pStyle w:val="enumlev1"/>
        <w:rPr>
          <w:lang w:val="es-ES"/>
        </w:rPr>
      </w:pPr>
      <w:r w:rsidRPr="00F57B93">
        <w:rPr>
          <w:lang w:val="es-ES"/>
        </w:rPr>
        <w:t>–</w:t>
      </w:r>
      <w:r>
        <w:rPr>
          <w:lang w:val="es-ES"/>
        </w:rPr>
        <w:tab/>
      </w:r>
      <w:r w:rsidR="00EE6E7D" w:rsidRPr="00350245">
        <w:rPr>
          <w:lang w:val="es-ES"/>
        </w:rPr>
        <w:t>el sitio web de los miembros del UIT-D</w:t>
      </w:r>
      <w:r w:rsidR="00580B21">
        <w:rPr>
          <w:lang w:val="es-ES"/>
        </w:rPr>
        <w:t>,</w:t>
      </w:r>
      <w:r w:rsidR="00EE6E7D" w:rsidRPr="00350245">
        <w:rPr>
          <w:lang w:val="es-ES"/>
        </w:rPr>
        <w:t xml:space="preserve"> y</w:t>
      </w:r>
    </w:p>
    <w:p w14:paraId="7AFDEB5C" w14:textId="0F1437AF" w:rsidR="00EE6E7D" w:rsidRPr="00350245" w:rsidRDefault="00F57B93" w:rsidP="00F57B93">
      <w:pPr>
        <w:pStyle w:val="enumlev1"/>
        <w:rPr>
          <w:lang w:val="es-ES"/>
        </w:rPr>
      </w:pPr>
      <w:r w:rsidRPr="00F57B93">
        <w:rPr>
          <w:lang w:val="es-ES"/>
        </w:rPr>
        <w:t>–</w:t>
      </w:r>
      <w:r>
        <w:rPr>
          <w:lang w:val="es-ES"/>
        </w:rPr>
        <w:tab/>
      </w:r>
      <w:r w:rsidR="00EE6E7D" w:rsidRPr="00350245">
        <w:rPr>
          <w:lang w:val="es-ES"/>
        </w:rPr>
        <w:t>el sitio web de proyectos del UIT-D.</w:t>
      </w:r>
    </w:p>
    <w:p w14:paraId="7A3B27B9" w14:textId="1A1DA85C" w:rsidR="00EE6E7D" w:rsidRPr="00350245" w:rsidRDefault="00F57B93" w:rsidP="00F57B93">
      <w:pPr>
        <w:pStyle w:val="Heading2"/>
        <w:rPr>
          <w:szCs w:val="24"/>
          <w:lang w:val="es-ES"/>
        </w:rPr>
      </w:pPr>
      <w:r>
        <w:rPr>
          <w:lang w:val="es-ES"/>
        </w:rPr>
        <w:t>2.2</w:t>
      </w:r>
      <w:r>
        <w:rPr>
          <w:lang w:val="es-ES"/>
        </w:rPr>
        <w:tab/>
      </w:r>
      <w:r w:rsidR="00EE6E7D" w:rsidRPr="00350245">
        <w:rPr>
          <w:lang w:val="es-ES"/>
        </w:rPr>
        <w:t>Conferencia Mundial de Desarrollo de las Telecomunicaciones (CMDT)</w:t>
      </w:r>
    </w:p>
    <w:p w14:paraId="72F5F1AE" w14:textId="26353BC8" w:rsidR="00F5694B" w:rsidRPr="00FB32C2" w:rsidRDefault="002E4B70" w:rsidP="00F57B93">
      <w:pPr>
        <w:rPr>
          <w:lang w:val="es-ES"/>
        </w:rPr>
      </w:pPr>
      <w:r w:rsidRPr="00350245">
        <w:rPr>
          <w:lang w:val="es-ES"/>
        </w:rPr>
        <w:t>2.2.1</w:t>
      </w:r>
      <w:r w:rsidR="00F57B93">
        <w:rPr>
          <w:lang w:val="es-ES"/>
        </w:rPr>
        <w:tab/>
      </w:r>
      <w:r w:rsidRPr="00350245">
        <w:rPr>
          <w:lang w:val="es-ES"/>
        </w:rPr>
        <w:t xml:space="preserve">El sitio web de la Conferencia Mundial de Desarrollo de las Telecomunicaciones de 2025 (CMDT-25), incluidas sus reuniones preparatorias regionales, fue el primer sitio web de la CMDT desarrollado íntegramente en la plataforma WordPress. </w:t>
      </w:r>
      <w:r w:rsidR="00FB32C2" w:rsidRPr="00FB32C2">
        <w:rPr>
          <w:lang w:val="es-ES"/>
        </w:rPr>
        <w:t>Se benefició de la traducción automática, complementada con procesos de posedición y control de calidad realizados por colegas de la BDT y traductores profesionales, según correspondiera</w:t>
      </w:r>
      <w:r w:rsidR="00FB32C2">
        <w:rPr>
          <w:lang w:val="es-ES"/>
        </w:rPr>
        <w:t>.</w:t>
      </w:r>
    </w:p>
    <w:p w14:paraId="3F5B7BC2" w14:textId="209177BB" w:rsidR="00EE6E7D" w:rsidRPr="00350245" w:rsidRDefault="664E1004" w:rsidP="00F57B93">
      <w:pPr>
        <w:rPr>
          <w:lang w:val="es-ES"/>
        </w:rPr>
      </w:pPr>
      <w:r w:rsidRPr="00350245">
        <w:rPr>
          <w:lang w:val="es-ES"/>
        </w:rPr>
        <w:lastRenderedPageBreak/>
        <w:t>2.2.2</w:t>
      </w:r>
      <w:r w:rsidR="00F57B93">
        <w:rPr>
          <w:lang w:val="es-ES"/>
        </w:rPr>
        <w:tab/>
      </w:r>
      <w:r w:rsidRPr="00350245">
        <w:rPr>
          <w:lang w:val="es-ES"/>
        </w:rPr>
        <w:t>Este enfoque permitió el acceso oportuno a la información relacionada con la conferencia para todos los grupos lingüísticos y contribuyó a mejorar la calidad de la traducción automática al tiempo que gestionaba las limitaciones de recursos.</w:t>
      </w:r>
    </w:p>
    <w:p w14:paraId="33A78E0E" w14:textId="47EB9944" w:rsidR="00EE6E7D" w:rsidRPr="00350245" w:rsidRDefault="00F57B93" w:rsidP="00F57B93">
      <w:pPr>
        <w:pStyle w:val="Heading2"/>
        <w:rPr>
          <w:szCs w:val="24"/>
          <w:lang w:val="es-ES"/>
        </w:rPr>
      </w:pPr>
      <w:r>
        <w:rPr>
          <w:lang w:val="es-ES"/>
        </w:rPr>
        <w:t>2.3</w:t>
      </w:r>
      <w:r>
        <w:rPr>
          <w:lang w:val="es-ES"/>
        </w:rPr>
        <w:tab/>
      </w:r>
      <w:r w:rsidR="00EE6E7D" w:rsidRPr="00350245">
        <w:rPr>
          <w:lang w:val="es-ES"/>
        </w:rPr>
        <w:t>Interpretación y traducción para las reuniones del UIT-D</w:t>
      </w:r>
    </w:p>
    <w:p w14:paraId="51CA184B" w14:textId="464EF505" w:rsidR="00EE6E7D" w:rsidRPr="00350245" w:rsidRDefault="00120BBE" w:rsidP="00F57B93">
      <w:pPr>
        <w:rPr>
          <w:lang w:val="es-ES"/>
        </w:rPr>
      </w:pPr>
      <w:r w:rsidRPr="00350245">
        <w:rPr>
          <w:lang w:val="es-ES"/>
        </w:rPr>
        <w:t>2.3.1</w:t>
      </w:r>
      <w:r w:rsidR="00F57B93">
        <w:rPr>
          <w:lang w:val="es-ES"/>
        </w:rPr>
        <w:tab/>
      </w:r>
      <w:r w:rsidRPr="00350245">
        <w:rPr>
          <w:lang w:val="es-ES"/>
        </w:rPr>
        <w:t>De conformidad con la Resolución 1 (Rev. Bakú, 2025) de la CMDT, la BDT sigue ofreciendo servicios de interpretación humana en las reuniones del GADT y de las Comisiones de Estudio del UIT-D; y traducción humana para los documentos presentados dentro de los plazos prescritos.</w:t>
      </w:r>
    </w:p>
    <w:p w14:paraId="5112CA84" w14:textId="3BB20777" w:rsidR="00EE6E7D" w:rsidRPr="00350245" w:rsidRDefault="00120BBE" w:rsidP="00F57B93">
      <w:pPr>
        <w:rPr>
          <w:lang w:val="es-ES"/>
        </w:rPr>
      </w:pPr>
      <w:r w:rsidRPr="00350245">
        <w:rPr>
          <w:lang w:val="es-ES"/>
        </w:rPr>
        <w:t>2.3.2</w:t>
      </w:r>
      <w:r w:rsidR="00F57B93">
        <w:rPr>
          <w:lang w:val="es-ES"/>
        </w:rPr>
        <w:tab/>
      </w:r>
      <w:r w:rsidRPr="00350245">
        <w:rPr>
          <w:lang w:val="es-ES"/>
        </w:rPr>
        <w:t>Además, ITU Translate, la herramienta de traducción automática de la Unión, sigue estando disponible en todo momento para facilitar el acceso a los documentos en los seis idiomas oficiales, incluidas las comunicaciones tardías y los documentos informativos.</w:t>
      </w:r>
    </w:p>
    <w:p w14:paraId="58EFF88D" w14:textId="09865D33" w:rsidR="00EE6E7D" w:rsidRPr="00350245" w:rsidRDefault="069E7081" w:rsidP="00F57B93">
      <w:pPr>
        <w:rPr>
          <w:lang w:val="es-ES"/>
        </w:rPr>
      </w:pPr>
      <w:r w:rsidRPr="00350245">
        <w:rPr>
          <w:lang w:val="es-ES"/>
        </w:rPr>
        <w:t>2.3.3</w:t>
      </w:r>
      <w:r w:rsidR="00F57B93">
        <w:rPr>
          <w:lang w:val="es-ES"/>
        </w:rPr>
        <w:tab/>
      </w:r>
      <w:r w:rsidRPr="00350245">
        <w:rPr>
          <w:lang w:val="es-ES"/>
        </w:rPr>
        <w:t>Los sitios web de las Comisiones de Estudio del UIT-D utilizan actualmente una combinación de traducción humana y traducción automática, dependiendo de la naturaleza, estabilidad y sensibilidad técnica del contenido.</w:t>
      </w:r>
    </w:p>
    <w:p w14:paraId="091F27D2" w14:textId="2EB78A8F" w:rsidR="00EE6E7D" w:rsidRPr="00F57B93" w:rsidRDefault="00F57B93" w:rsidP="00F57B93">
      <w:pPr>
        <w:pStyle w:val="Heading2"/>
        <w:rPr>
          <w:szCs w:val="24"/>
          <w:lang w:val="es-ES"/>
        </w:rPr>
      </w:pPr>
      <w:r>
        <w:rPr>
          <w:lang w:val="es-ES"/>
        </w:rPr>
        <w:t>2.4</w:t>
      </w:r>
      <w:r>
        <w:rPr>
          <w:lang w:val="es-ES"/>
        </w:rPr>
        <w:tab/>
      </w:r>
      <w:r w:rsidR="00EE6E7D" w:rsidRPr="00350245">
        <w:rPr>
          <w:lang w:val="es-ES"/>
        </w:rPr>
        <w:t>Utilización de tecnologías lingüísticas incipientes</w:t>
      </w:r>
    </w:p>
    <w:p w14:paraId="0B475AAA" w14:textId="7AD4704B" w:rsidR="00EE6E7D" w:rsidRPr="00350245" w:rsidRDefault="00120BBE" w:rsidP="00F57B93">
      <w:pPr>
        <w:rPr>
          <w:lang w:val="es-ES"/>
        </w:rPr>
      </w:pPr>
      <w:r w:rsidRPr="00350245">
        <w:rPr>
          <w:lang w:val="es-ES"/>
        </w:rPr>
        <w:t>2.4.1</w:t>
      </w:r>
      <w:r w:rsidR="00F57B93">
        <w:rPr>
          <w:lang w:val="es-ES"/>
        </w:rPr>
        <w:tab/>
      </w:r>
      <w:r w:rsidRPr="00350245">
        <w:rPr>
          <w:lang w:val="es-ES"/>
        </w:rPr>
        <w:t>La BDT sigue supervisando y probando las tecnologías lingüísticas incipientes de acuerdo con las prácticas de la Unión. En 2025, la BDT probó la interpretación basada en IA durante determinadas reuniones del equipo directivo de las Comisiones de Estudio del UIT</w:t>
      </w:r>
      <w:r w:rsidR="00580B21">
        <w:rPr>
          <w:lang w:val="es-ES"/>
        </w:rPr>
        <w:noBreakHyphen/>
      </w:r>
      <w:r w:rsidRPr="00350245">
        <w:rPr>
          <w:lang w:val="es-ES"/>
        </w:rPr>
        <w:t>D.</w:t>
      </w:r>
    </w:p>
    <w:p w14:paraId="4B6DE826" w14:textId="1DA7A3B2" w:rsidR="00EE6E7D" w:rsidRPr="00350245" w:rsidRDefault="00120BBE" w:rsidP="00F57B93">
      <w:pPr>
        <w:rPr>
          <w:lang w:val="es-ES"/>
        </w:rPr>
      </w:pPr>
      <w:r w:rsidRPr="00350245">
        <w:rPr>
          <w:lang w:val="es-ES"/>
        </w:rPr>
        <w:t>2.4.2</w:t>
      </w:r>
      <w:r w:rsidR="00F57B93">
        <w:rPr>
          <w:lang w:val="es-ES"/>
        </w:rPr>
        <w:tab/>
      </w:r>
      <w:r w:rsidRPr="00350245">
        <w:rPr>
          <w:lang w:val="es-ES"/>
        </w:rPr>
        <w:t>Estas pruebas confirmaron que, si bien las soluciones basadas en IA pueden ofrecer beneficios potenciales para las reuniones informales o las reuniones sin interpretación, no son adecuadas para reuniones formales o de toma de decisiones, donde la precisión, la terminología y la fiabilidad siguen siendo fundamentales.</w:t>
      </w:r>
    </w:p>
    <w:p w14:paraId="526FE314" w14:textId="7B22BFE6" w:rsidR="00EE6E7D" w:rsidRPr="00350245" w:rsidRDefault="00C369AC" w:rsidP="00F57B93">
      <w:pPr>
        <w:rPr>
          <w:lang w:val="es-ES"/>
        </w:rPr>
      </w:pPr>
      <w:r w:rsidRPr="00350245">
        <w:rPr>
          <w:lang w:val="es-ES"/>
        </w:rPr>
        <w:t>2.4.3</w:t>
      </w:r>
      <w:r w:rsidR="00F57B93">
        <w:rPr>
          <w:lang w:val="es-ES"/>
        </w:rPr>
        <w:tab/>
      </w:r>
      <w:r w:rsidRPr="00350245">
        <w:rPr>
          <w:lang w:val="es-ES"/>
        </w:rPr>
        <w:t>Por consiguiente, la BDT seguirá estudiando con cautela esas tecnologías, en coordinación con la Secretaría General y sin sustituir los servicios profesionales de interpretación para las reuniones reglamentarias del UIT-D.</w:t>
      </w:r>
    </w:p>
    <w:p w14:paraId="037F2D12" w14:textId="028A8162" w:rsidR="00EC1684" w:rsidRPr="00F57B93" w:rsidRDefault="00F57B93" w:rsidP="00F57B93">
      <w:pPr>
        <w:pStyle w:val="Heading1"/>
        <w:rPr>
          <w:szCs w:val="24"/>
          <w:lang w:val="es-ES"/>
        </w:rPr>
      </w:pPr>
      <w:r>
        <w:rPr>
          <w:lang w:val="es-ES"/>
        </w:rPr>
        <w:t>3</w:t>
      </w:r>
      <w:r>
        <w:rPr>
          <w:lang w:val="es-ES"/>
        </w:rPr>
        <w:tab/>
      </w:r>
      <w:r w:rsidR="00EC1684" w:rsidRPr="00350245">
        <w:rPr>
          <w:lang w:val="es-ES"/>
        </w:rPr>
        <w:t>Conclusiones</w:t>
      </w:r>
    </w:p>
    <w:p w14:paraId="4E8538A0" w14:textId="4F63EB4E" w:rsidR="00C369AC" w:rsidRPr="00350245" w:rsidRDefault="00C369AC" w:rsidP="00F57B93">
      <w:pPr>
        <w:rPr>
          <w:rFonts w:eastAsia="SimSun"/>
          <w:lang w:val="es-ES"/>
        </w:rPr>
      </w:pPr>
      <w:r w:rsidRPr="00350245">
        <w:rPr>
          <w:lang w:val="es-ES"/>
        </w:rPr>
        <w:t>3.1</w:t>
      </w:r>
      <w:r w:rsidR="00F57B93">
        <w:rPr>
          <w:lang w:val="es-ES"/>
        </w:rPr>
        <w:tab/>
      </w:r>
      <w:r w:rsidRPr="00350245">
        <w:rPr>
          <w:lang w:val="es-ES"/>
        </w:rPr>
        <w:t>La BDT mantiene su compromiso de garantizar la utilización equitativa de los seis idiomas oficiales de la Unión en las actividades del UIT-D, de conformidad con el marco jurídico de la Unión y dentro de los recursos disponibles.</w:t>
      </w:r>
    </w:p>
    <w:p w14:paraId="67DA29DD" w14:textId="05B9FD0B" w:rsidR="00C369AC" w:rsidRPr="00350245" w:rsidRDefault="008B464C" w:rsidP="00F57B93">
      <w:pPr>
        <w:rPr>
          <w:rFonts w:eastAsia="SimSun"/>
          <w:lang w:val="es-ES"/>
        </w:rPr>
      </w:pPr>
      <w:r w:rsidRPr="00350245">
        <w:rPr>
          <w:lang w:val="es-ES"/>
        </w:rPr>
        <w:t>3.2</w:t>
      </w:r>
      <w:r w:rsidR="00F57B93">
        <w:rPr>
          <w:lang w:val="es-ES"/>
        </w:rPr>
        <w:tab/>
      </w:r>
      <w:r w:rsidRPr="00350245">
        <w:rPr>
          <w:lang w:val="es-ES"/>
        </w:rPr>
        <w:t>Los recientes avances en el acceso digital multilingüe, junto con la prestación continua de servicios profesionales de interpretación y traducción, contribuyen a mejorar la participación y la integración de los Miembros del UIT-D.</w:t>
      </w:r>
    </w:p>
    <w:p w14:paraId="3784F806" w14:textId="32ED1ECD" w:rsidR="00C369AC" w:rsidRPr="00350245" w:rsidRDefault="008B464C" w:rsidP="00F57B93">
      <w:pPr>
        <w:rPr>
          <w:rFonts w:eastAsia="SimSun"/>
          <w:lang w:val="es-ES"/>
        </w:rPr>
      </w:pPr>
      <w:r w:rsidRPr="00350245">
        <w:rPr>
          <w:lang w:val="es-ES"/>
        </w:rPr>
        <w:t>3.3</w:t>
      </w:r>
      <w:r w:rsidR="00F57B93">
        <w:rPr>
          <w:lang w:val="es-ES"/>
        </w:rPr>
        <w:tab/>
      </w:r>
      <w:r w:rsidRPr="00350245">
        <w:rPr>
          <w:lang w:val="es-ES"/>
        </w:rPr>
        <w:t>La BDT seguirá manteniendo informado al GADT de las novedades pertinentes y tendrá en cuenta las orientaciones del GADT en la aplicación en curso de prácticas plurilingües en el UIT</w:t>
      </w:r>
      <w:r w:rsidR="00F57B93">
        <w:rPr>
          <w:lang w:val="es-ES"/>
        </w:rPr>
        <w:noBreakHyphen/>
      </w:r>
      <w:r w:rsidRPr="00350245">
        <w:rPr>
          <w:lang w:val="es-ES"/>
        </w:rPr>
        <w:t>D.</w:t>
      </w:r>
    </w:p>
    <w:bookmarkEnd w:id="9"/>
    <w:bookmarkEnd w:id="10"/>
    <w:bookmarkEnd w:id="11"/>
    <w:p w14:paraId="4361A6AD" w14:textId="77777777" w:rsidR="00D83BF5" w:rsidRPr="00350245" w:rsidRDefault="00D83BF5" w:rsidP="002C0452">
      <w:pPr>
        <w:tabs>
          <w:tab w:val="clear" w:pos="1871"/>
          <w:tab w:val="clear" w:pos="2268"/>
          <w:tab w:val="left" w:pos="567"/>
          <w:tab w:val="left" w:pos="1701"/>
        </w:tabs>
        <w:spacing w:after="120"/>
        <w:jc w:val="center"/>
        <w:rPr>
          <w:rFonts w:cstheme="minorHAnsi"/>
          <w:szCs w:val="24"/>
        </w:rPr>
      </w:pPr>
      <w:r w:rsidRPr="00350245">
        <w:rPr>
          <w:rFonts w:cstheme="minorHAnsi"/>
          <w:szCs w:val="24"/>
        </w:rPr>
        <w:t>_______________</w:t>
      </w:r>
    </w:p>
    <w:sectPr w:rsidR="00D83BF5" w:rsidRPr="00350245" w:rsidSect="0039169B">
      <w:headerReference w:type="default" r:id="rId20"/>
      <w:footerReference w:type="even" r:id="rId21"/>
      <w:footerReference w:type="first" r:id="rId22"/>
      <w:pgSz w:w="11907" w:h="16840" w:code="9"/>
      <w:pgMar w:top="1418" w:right="1134" w:bottom="1418" w:left="1134" w:header="720" w:footer="720" w:gutter="0"/>
      <w:paperSrc w:first="15" w:other="15"/>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0A74D" w14:textId="77777777" w:rsidR="00A458A1" w:rsidRDefault="00A458A1">
      <w:r>
        <w:separator/>
      </w:r>
    </w:p>
  </w:endnote>
  <w:endnote w:type="continuationSeparator" w:id="0">
    <w:p w14:paraId="32D3822A" w14:textId="77777777" w:rsidR="00A458A1" w:rsidRDefault="00A4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E45D05" w:rsidRDefault="00E45D05">
    <w:pPr>
      <w:framePr w:wrap="around" w:vAnchor="text" w:hAnchor="margin" w:xAlign="right" w:y="1"/>
    </w:pPr>
    <w:r>
      <w:fldChar w:fldCharType="begin"/>
    </w:r>
    <w:r>
      <w:instrText xml:space="preserve">PAGE  </w:instrText>
    </w:r>
    <w:r>
      <w:fldChar w:fldCharType="end"/>
    </w:r>
  </w:p>
  <w:p w14:paraId="0B218DD4" w14:textId="004D0D43" w:rsidR="00E45D05" w:rsidRPr="0041348E" w:rsidRDefault="00E45D05">
    <w:pPr>
      <w:ind w:right="360"/>
    </w:pPr>
    <w:r w:rsidRPr="00550BE4">
      <w:rPr>
        <w:lang w:val="en-US"/>
      </w:rPr>
      <w:t>P:\SUP\Meetings\TDAG\2018-23rd\Documents\C\007E_v1-clean_TDAG-scope.docx</w:t>
    </w:r>
    <w:r w:rsidRPr="00550BE4">
      <w:rPr>
        <w:lang w:val="en-US"/>
      </w:rPr>
      <w:tab/>
      <w:t>27/02/26</w:t>
    </w:r>
    <w:r w:rsidRPr="00550BE4">
      <w:rPr>
        <w:lang w:val="en-US"/>
      </w:rPr>
      <w:tab/>
      <w:t>31/01/18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Look w:val="04A0" w:firstRow="1" w:lastRow="0" w:firstColumn="1" w:lastColumn="0" w:noHBand="0" w:noVBand="1"/>
    </w:tblPr>
    <w:tblGrid>
      <w:gridCol w:w="1526"/>
      <w:gridCol w:w="2524"/>
      <w:gridCol w:w="5873"/>
    </w:tblGrid>
    <w:tr w:rsidR="00A02C9C" w:rsidRPr="00A02C9C" w14:paraId="5461CD31" w14:textId="77777777" w:rsidTr="007A62C8">
      <w:tc>
        <w:tcPr>
          <w:tcW w:w="1526" w:type="dxa"/>
          <w:tcBorders>
            <w:top w:val="single" w:sz="4" w:space="0" w:color="000000"/>
          </w:tcBorders>
        </w:tcPr>
        <w:p w14:paraId="28F72926" w14:textId="77777777" w:rsidR="00A02C9C" w:rsidRPr="00F42215" w:rsidRDefault="00A02C9C" w:rsidP="00A02C9C">
          <w:pPr>
            <w:pStyle w:val="FirstFooter"/>
            <w:tabs>
              <w:tab w:val="left" w:pos="2302"/>
            </w:tabs>
            <w:ind w:left="2302" w:hanging="2302"/>
            <w:rPr>
              <w:sz w:val="18"/>
              <w:szCs w:val="18"/>
              <w:lang w:val="es-ES"/>
            </w:rPr>
          </w:pPr>
          <w:r w:rsidRPr="00F42215">
            <w:rPr>
              <w:sz w:val="18"/>
              <w:szCs w:val="18"/>
              <w:lang w:val="es-ES"/>
            </w:rPr>
            <w:t>Contacto:</w:t>
          </w:r>
        </w:p>
      </w:tc>
      <w:tc>
        <w:tcPr>
          <w:tcW w:w="2524" w:type="dxa"/>
          <w:tcBorders>
            <w:top w:val="single" w:sz="4" w:space="0" w:color="000000"/>
          </w:tcBorders>
        </w:tcPr>
        <w:p w14:paraId="2CF25406" w14:textId="77777777" w:rsidR="00A02C9C" w:rsidRPr="00F42215" w:rsidRDefault="00A02C9C" w:rsidP="00A02C9C">
          <w:pPr>
            <w:pStyle w:val="FirstFooter"/>
            <w:tabs>
              <w:tab w:val="left" w:pos="2302"/>
            </w:tabs>
            <w:ind w:left="2302" w:hanging="2302"/>
            <w:rPr>
              <w:sz w:val="18"/>
              <w:szCs w:val="18"/>
              <w:lang w:val="es-ES"/>
            </w:rPr>
          </w:pPr>
          <w:r w:rsidRPr="00F42215">
            <w:rPr>
              <w:sz w:val="18"/>
              <w:szCs w:val="18"/>
              <w:lang w:val="es-ES"/>
            </w:rPr>
            <w:t>Nombre/Organización/Entidad:</w:t>
          </w:r>
        </w:p>
      </w:tc>
      <w:tc>
        <w:tcPr>
          <w:tcW w:w="5873" w:type="dxa"/>
          <w:tcBorders>
            <w:top w:val="single" w:sz="4" w:space="0" w:color="000000"/>
          </w:tcBorders>
        </w:tcPr>
        <w:p w14:paraId="678E2D03" w14:textId="60E257C7" w:rsidR="00A02C9C" w:rsidRPr="00F42215" w:rsidRDefault="00A02C9C" w:rsidP="00A02C9C">
          <w:pPr>
            <w:pStyle w:val="FirstFooter"/>
            <w:tabs>
              <w:tab w:val="left" w:pos="2302"/>
            </w:tabs>
            <w:rPr>
              <w:sz w:val="18"/>
              <w:szCs w:val="18"/>
              <w:lang w:val="es-ES"/>
            </w:rPr>
          </w:pPr>
          <w:r w:rsidRPr="00A02C9C">
            <w:rPr>
              <w:sz w:val="18"/>
              <w:szCs w:val="18"/>
              <w:lang w:val="es-ES"/>
            </w:rPr>
            <w:t>Sra. Archana Gulati, Directora Adjunta, Oficina de Desarrollo de las Telecomunicaciones</w:t>
          </w:r>
        </w:p>
      </w:tc>
    </w:tr>
    <w:tr w:rsidR="00A02C9C" w:rsidRPr="004D495C" w14:paraId="63C85D5B" w14:textId="77777777" w:rsidTr="007A62C8">
      <w:tc>
        <w:tcPr>
          <w:tcW w:w="1526" w:type="dxa"/>
        </w:tcPr>
        <w:p w14:paraId="4709A95E" w14:textId="77777777" w:rsidR="00A02C9C" w:rsidRPr="00F42215" w:rsidRDefault="00A02C9C" w:rsidP="00A02C9C">
          <w:pPr>
            <w:pStyle w:val="FirstFooter"/>
            <w:tabs>
              <w:tab w:val="left" w:pos="1559"/>
              <w:tab w:val="left" w:pos="3828"/>
            </w:tabs>
            <w:rPr>
              <w:sz w:val="18"/>
              <w:szCs w:val="18"/>
              <w:lang w:val="es-ES"/>
            </w:rPr>
          </w:pPr>
        </w:p>
      </w:tc>
      <w:tc>
        <w:tcPr>
          <w:tcW w:w="2524" w:type="dxa"/>
        </w:tcPr>
        <w:p w14:paraId="58B34973" w14:textId="77777777" w:rsidR="00A02C9C" w:rsidRPr="00F42215" w:rsidRDefault="00A02C9C" w:rsidP="00A02C9C">
          <w:pPr>
            <w:pStyle w:val="FirstFooter"/>
            <w:tabs>
              <w:tab w:val="left" w:pos="2302"/>
            </w:tabs>
            <w:ind w:left="2302" w:hanging="2302"/>
            <w:rPr>
              <w:sz w:val="18"/>
              <w:szCs w:val="18"/>
              <w:lang w:val="es-ES"/>
            </w:rPr>
          </w:pPr>
          <w:r w:rsidRPr="00F42215">
            <w:rPr>
              <w:sz w:val="18"/>
              <w:szCs w:val="18"/>
              <w:lang w:val="es-ES"/>
            </w:rPr>
            <w:t>Teléfono:</w:t>
          </w:r>
        </w:p>
      </w:tc>
      <w:tc>
        <w:tcPr>
          <w:tcW w:w="5873" w:type="dxa"/>
        </w:tcPr>
        <w:p w14:paraId="7115937F" w14:textId="771CE80C" w:rsidR="00A02C9C" w:rsidRPr="00F42215" w:rsidRDefault="00A02C9C" w:rsidP="00A02C9C">
          <w:pPr>
            <w:pStyle w:val="FirstFooter"/>
            <w:tabs>
              <w:tab w:val="left" w:pos="2302"/>
            </w:tabs>
            <w:rPr>
              <w:sz w:val="18"/>
              <w:szCs w:val="18"/>
              <w:lang w:val="es-ES"/>
            </w:rPr>
          </w:pPr>
          <w:r w:rsidRPr="00A02C9C">
            <w:rPr>
              <w:sz w:val="18"/>
              <w:szCs w:val="18"/>
              <w:lang w:val="es-ES"/>
            </w:rPr>
            <w:t>+41 22 730 6475</w:t>
          </w:r>
        </w:p>
      </w:tc>
    </w:tr>
    <w:tr w:rsidR="00A02C9C" w:rsidRPr="004D495C" w14:paraId="46A59D5E" w14:textId="77777777" w:rsidTr="007A62C8">
      <w:tc>
        <w:tcPr>
          <w:tcW w:w="1526" w:type="dxa"/>
        </w:tcPr>
        <w:p w14:paraId="18B24D65" w14:textId="77777777" w:rsidR="00A02C9C" w:rsidRPr="00F42215" w:rsidRDefault="00A02C9C" w:rsidP="00A02C9C">
          <w:pPr>
            <w:pStyle w:val="FirstFooter"/>
            <w:tabs>
              <w:tab w:val="left" w:pos="1559"/>
              <w:tab w:val="left" w:pos="3828"/>
            </w:tabs>
            <w:rPr>
              <w:sz w:val="18"/>
              <w:szCs w:val="18"/>
              <w:lang w:val="es-ES"/>
            </w:rPr>
          </w:pPr>
        </w:p>
      </w:tc>
      <w:tc>
        <w:tcPr>
          <w:tcW w:w="2524" w:type="dxa"/>
        </w:tcPr>
        <w:p w14:paraId="0B4FCD4C" w14:textId="77777777" w:rsidR="00A02C9C" w:rsidRPr="00F42215" w:rsidRDefault="00A02C9C" w:rsidP="00A02C9C">
          <w:pPr>
            <w:pStyle w:val="FirstFooter"/>
            <w:tabs>
              <w:tab w:val="left" w:pos="2302"/>
            </w:tabs>
            <w:ind w:left="2302" w:hanging="2302"/>
            <w:rPr>
              <w:sz w:val="18"/>
              <w:szCs w:val="18"/>
              <w:lang w:val="es-ES"/>
            </w:rPr>
          </w:pPr>
          <w:r w:rsidRPr="00F42215">
            <w:rPr>
              <w:sz w:val="18"/>
              <w:szCs w:val="18"/>
              <w:lang w:val="es-ES"/>
            </w:rPr>
            <w:t>Correo-e:</w:t>
          </w:r>
        </w:p>
      </w:tc>
      <w:tc>
        <w:tcPr>
          <w:tcW w:w="5873" w:type="dxa"/>
        </w:tcPr>
        <w:p w14:paraId="0F839988" w14:textId="098889DD" w:rsidR="00A02C9C" w:rsidRPr="00F42215" w:rsidRDefault="00A02C9C" w:rsidP="00A02C9C">
          <w:pPr>
            <w:pStyle w:val="FirstFooter"/>
            <w:tabs>
              <w:tab w:val="left" w:pos="2302"/>
            </w:tabs>
            <w:rPr>
              <w:sz w:val="18"/>
              <w:szCs w:val="18"/>
              <w:lang w:val="es-ES"/>
            </w:rPr>
          </w:pPr>
          <w:hyperlink r:id="rId1" w:history="1">
            <w:r w:rsidRPr="00A02C9C">
              <w:rPr>
                <w:rStyle w:val="Hyperlink"/>
                <w:sz w:val="18"/>
                <w:szCs w:val="18"/>
              </w:rPr>
              <w:t>archana.gulati@itu.int</w:t>
            </w:r>
          </w:hyperlink>
        </w:p>
      </w:tc>
    </w:tr>
  </w:tbl>
  <w:p w14:paraId="696A2AC1" w14:textId="77777777" w:rsidR="00A02C9C" w:rsidRPr="00F83810" w:rsidRDefault="00A02C9C" w:rsidP="001E252D">
    <w:pP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43D3E" w14:textId="77777777" w:rsidR="00A458A1" w:rsidRDefault="00A458A1">
      <w:r>
        <w:rPr>
          <w:b/>
        </w:rPr>
        <w:t>_______________</w:t>
      </w:r>
    </w:p>
  </w:footnote>
  <w:footnote w:type="continuationSeparator" w:id="0">
    <w:p w14:paraId="3AB29113" w14:textId="77777777" w:rsidR="00A458A1" w:rsidRDefault="00A45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DD8D" w14:textId="66102075" w:rsidR="00A066F1" w:rsidRPr="00D83BF5" w:rsidRDefault="00D83BF5" w:rsidP="00F00B00">
    <w:pPr>
      <w:tabs>
        <w:tab w:val="clear" w:pos="1134"/>
        <w:tab w:val="clear" w:pos="1871"/>
        <w:tab w:val="clear" w:pos="2268"/>
        <w:tab w:val="center" w:pos="4820"/>
        <w:tab w:val="right" w:pos="10206"/>
      </w:tabs>
      <w:ind w:right="1"/>
      <w:rPr>
        <w:smallCaps/>
        <w:spacing w:val="24"/>
        <w:sz w:val="22"/>
        <w:szCs w:val="22"/>
        <w:lang w:val="es-ES"/>
      </w:rPr>
    </w:pPr>
    <w:r w:rsidRPr="004D495C">
      <w:rPr>
        <w:sz w:val="22"/>
        <w:szCs w:val="22"/>
      </w:rPr>
      <w:tab/>
    </w:r>
    <w:r w:rsidR="001E252D" w:rsidRPr="7AF3D878">
      <w:rPr>
        <w:sz w:val="22"/>
        <w:szCs w:val="22"/>
        <w:lang w:val="es-ES"/>
      </w:rPr>
      <w:t>TDAG</w:t>
    </w:r>
    <w:r w:rsidR="008B61EA" w:rsidRPr="7AF3D878">
      <w:rPr>
        <w:sz w:val="22"/>
        <w:szCs w:val="22"/>
        <w:lang w:val="es-ES"/>
      </w:rPr>
      <w:t>-</w:t>
    </w:r>
    <w:r w:rsidR="00BA1F66" w:rsidRPr="7AF3D878">
      <w:rPr>
        <w:sz w:val="22"/>
        <w:szCs w:val="22"/>
        <w:lang w:val="es-ES"/>
      </w:rPr>
      <w:t>26</w:t>
    </w:r>
    <w:r w:rsidRPr="7AF3D878">
      <w:rPr>
        <w:sz w:val="22"/>
        <w:szCs w:val="22"/>
        <w:lang w:val="es-ES"/>
      </w:rPr>
      <w:t>/</w:t>
    </w:r>
    <w:bookmarkStart w:id="12" w:name="DocNo2"/>
    <w:bookmarkEnd w:id="12"/>
    <w:r w:rsidR="7AF3D878" w:rsidRPr="7AF3D878">
      <w:rPr>
        <w:sz w:val="22"/>
        <w:szCs w:val="22"/>
        <w:lang w:val="es-ES"/>
      </w:rPr>
      <w:t>14</w:t>
    </w:r>
    <w:r w:rsidRPr="7AF3D878">
      <w:rPr>
        <w:sz w:val="22"/>
        <w:szCs w:val="22"/>
        <w:lang w:val="es-ES"/>
      </w:rPr>
      <w:t>-</w:t>
    </w:r>
    <w:r w:rsidR="00CB082B">
      <w:rPr>
        <w:sz w:val="22"/>
        <w:szCs w:val="22"/>
        <w:lang w:val="es-ES"/>
      </w:rPr>
      <w:t>S</w:t>
    </w:r>
    <w:r w:rsidRPr="00FF089C">
      <w:rPr>
        <w:sz w:val="22"/>
        <w:szCs w:val="22"/>
        <w:lang w:val="es-ES_tradnl"/>
      </w:rPr>
      <w:tab/>
    </w:r>
    <w:r w:rsidRPr="7AF3D878">
      <w:rPr>
        <w:sz w:val="22"/>
        <w:szCs w:val="22"/>
        <w:lang w:val="es-ES"/>
      </w:rPr>
      <w:t>P</w:t>
    </w:r>
    <w:r w:rsidR="00CB082B">
      <w:rPr>
        <w:sz w:val="22"/>
        <w:szCs w:val="22"/>
        <w:lang w:val="es-ES"/>
      </w:rPr>
      <w:t>ágina</w:t>
    </w:r>
    <w:r w:rsidRPr="7AF3D878">
      <w:rPr>
        <w:sz w:val="22"/>
        <w:szCs w:val="22"/>
        <w:lang w:val="es-ES"/>
      </w:rPr>
      <w:t xml:space="preserve"> </w:t>
    </w:r>
    <w:r w:rsidRPr="7AF3D878">
      <w:rPr>
        <w:sz w:val="22"/>
        <w:szCs w:val="22"/>
        <w:lang w:val="es-ES"/>
      </w:rPr>
      <w:fldChar w:fldCharType="begin"/>
    </w:r>
    <w:r w:rsidRPr="7AF3D878">
      <w:rPr>
        <w:sz w:val="22"/>
        <w:szCs w:val="22"/>
        <w:lang w:val="es-ES"/>
      </w:rPr>
      <w:instrText xml:space="preserve"> PAGE </w:instrText>
    </w:r>
    <w:r w:rsidRPr="7AF3D878">
      <w:rPr>
        <w:sz w:val="22"/>
        <w:szCs w:val="22"/>
      </w:rPr>
      <w:fldChar w:fldCharType="separate"/>
    </w:r>
    <w:r w:rsidR="00221CF4" w:rsidRPr="7AF3D878">
      <w:rPr>
        <w:sz w:val="22"/>
        <w:szCs w:val="22"/>
        <w:lang w:val="es-ES"/>
      </w:rPr>
      <w:t>3</w:t>
    </w:r>
    <w:r w:rsidRPr="7AF3D878">
      <w:rPr>
        <w:sz w:val="22"/>
        <w:szCs w:val="22"/>
        <w:lang w:val="es-E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2885037"/>
    <w:multiLevelType w:val="multilevel"/>
    <w:tmpl w:val="EDBC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0017E"/>
    <w:multiLevelType w:val="multilevel"/>
    <w:tmpl w:val="E74A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15F03D92"/>
    <w:multiLevelType w:val="multilevel"/>
    <w:tmpl w:val="8BFA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0B4D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1C6463"/>
    <w:multiLevelType w:val="multilevel"/>
    <w:tmpl w:val="7D00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302C3E"/>
    <w:multiLevelType w:val="multilevel"/>
    <w:tmpl w:val="9F62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C00DB7"/>
    <w:multiLevelType w:val="multilevel"/>
    <w:tmpl w:val="2C16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D46E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2" w15:restartNumberingAfterBreak="0">
    <w:nsid w:val="60A9748C"/>
    <w:multiLevelType w:val="hybridMultilevel"/>
    <w:tmpl w:val="9112DBD2"/>
    <w:lvl w:ilvl="0" w:tplc="281293DA">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850454"/>
    <w:multiLevelType w:val="multilevel"/>
    <w:tmpl w:val="79E0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C316C9"/>
    <w:multiLevelType w:val="multilevel"/>
    <w:tmpl w:val="221A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590AFB"/>
    <w:multiLevelType w:val="hybridMultilevel"/>
    <w:tmpl w:val="CE869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711833">
    <w:abstractNumId w:val="0"/>
  </w:num>
  <w:num w:numId="2" w16cid:durableId="53886400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42253030">
    <w:abstractNumId w:val="15"/>
  </w:num>
  <w:num w:numId="4" w16cid:durableId="697438885">
    <w:abstractNumId w:val="4"/>
  </w:num>
  <w:num w:numId="5" w16cid:durableId="1199581750">
    <w:abstractNumId w:val="11"/>
  </w:num>
  <w:num w:numId="6" w16cid:durableId="80958748">
    <w:abstractNumId w:val="16"/>
  </w:num>
  <w:num w:numId="7" w16cid:durableId="185148315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800226017">
    <w:abstractNumId w:val="6"/>
  </w:num>
  <w:num w:numId="9" w16cid:durableId="1475830553">
    <w:abstractNumId w:val="5"/>
  </w:num>
  <w:num w:numId="10" w16cid:durableId="1656108732">
    <w:abstractNumId w:val="3"/>
  </w:num>
  <w:num w:numId="11" w16cid:durableId="697392482">
    <w:abstractNumId w:val="13"/>
  </w:num>
  <w:num w:numId="12" w16cid:durableId="1717001186">
    <w:abstractNumId w:val="7"/>
  </w:num>
  <w:num w:numId="13" w16cid:durableId="257641388">
    <w:abstractNumId w:val="10"/>
  </w:num>
  <w:num w:numId="14" w16cid:durableId="361059890">
    <w:abstractNumId w:val="12"/>
  </w:num>
  <w:num w:numId="15" w16cid:durableId="1524705783">
    <w:abstractNumId w:val="14"/>
  </w:num>
  <w:num w:numId="16" w16cid:durableId="1722903179">
    <w:abstractNumId w:val="9"/>
  </w:num>
  <w:num w:numId="17" w16cid:durableId="265045902">
    <w:abstractNumId w:val="8"/>
  </w:num>
  <w:num w:numId="18" w16cid:durableId="450827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41EA"/>
    <w:rsid w:val="00007176"/>
    <w:rsid w:val="00017B2A"/>
    <w:rsid w:val="000215B1"/>
    <w:rsid w:val="00022A29"/>
    <w:rsid w:val="00023B31"/>
    <w:rsid w:val="00027204"/>
    <w:rsid w:val="00027802"/>
    <w:rsid w:val="000300C2"/>
    <w:rsid w:val="00031642"/>
    <w:rsid w:val="000352C0"/>
    <w:rsid w:val="000355FD"/>
    <w:rsid w:val="000366E9"/>
    <w:rsid w:val="0004339D"/>
    <w:rsid w:val="00050726"/>
    <w:rsid w:val="00051E39"/>
    <w:rsid w:val="00064007"/>
    <w:rsid w:val="00066A64"/>
    <w:rsid w:val="00073CF1"/>
    <w:rsid w:val="00075A3D"/>
    <w:rsid w:val="00075C63"/>
    <w:rsid w:val="00077239"/>
    <w:rsid w:val="00080905"/>
    <w:rsid w:val="0008092A"/>
    <w:rsid w:val="000822BE"/>
    <w:rsid w:val="00085F47"/>
    <w:rsid w:val="00086491"/>
    <w:rsid w:val="00091346"/>
    <w:rsid w:val="00096C27"/>
    <w:rsid w:val="000B556F"/>
    <w:rsid w:val="000C1722"/>
    <w:rsid w:val="000C1F7D"/>
    <w:rsid w:val="000D4875"/>
    <w:rsid w:val="000E7269"/>
    <w:rsid w:val="000F30BD"/>
    <w:rsid w:val="000F4E78"/>
    <w:rsid w:val="000F5DDC"/>
    <w:rsid w:val="000F6870"/>
    <w:rsid w:val="000F73FF"/>
    <w:rsid w:val="001072F5"/>
    <w:rsid w:val="00114CF7"/>
    <w:rsid w:val="00115130"/>
    <w:rsid w:val="00120BBE"/>
    <w:rsid w:val="0012381B"/>
    <w:rsid w:val="00123B68"/>
    <w:rsid w:val="0012440A"/>
    <w:rsid w:val="00126F2E"/>
    <w:rsid w:val="0013264F"/>
    <w:rsid w:val="00132E67"/>
    <w:rsid w:val="001372EA"/>
    <w:rsid w:val="001379A9"/>
    <w:rsid w:val="0014323C"/>
    <w:rsid w:val="00146F6F"/>
    <w:rsid w:val="00147DA1"/>
    <w:rsid w:val="00151338"/>
    <w:rsid w:val="001523C4"/>
    <w:rsid w:val="00152957"/>
    <w:rsid w:val="00153CCD"/>
    <w:rsid w:val="00162E30"/>
    <w:rsid w:val="00170317"/>
    <w:rsid w:val="00173415"/>
    <w:rsid w:val="001750BA"/>
    <w:rsid w:val="00175FA0"/>
    <w:rsid w:val="00187BD9"/>
    <w:rsid w:val="00190B55"/>
    <w:rsid w:val="00190C44"/>
    <w:rsid w:val="00194CFB"/>
    <w:rsid w:val="001951BD"/>
    <w:rsid w:val="00196C80"/>
    <w:rsid w:val="001A046E"/>
    <w:rsid w:val="001A2D5C"/>
    <w:rsid w:val="001B191A"/>
    <w:rsid w:val="001B2ED3"/>
    <w:rsid w:val="001B6946"/>
    <w:rsid w:val="001B7EA3"/>
    <w:rsid w:val="001C1AB9"/>
    <w:rsid w:val="001C3B5F"/>
    <w:rsid w:val="001D058F"/>
    <w:rsid w:val="001E252D"/>
    <w:rsid w:val="001E2F71"/>
    <w:rsid w:val="001F0109"/>
    <w:rsid w:val="001F2786"/>
    <w:rsid w:val="002009EA"/>
    <w:rsid w:val="00202CA0"/>
    <w:rsid w:val="002052D5"/>
    <w:rsid w:val="00206D3D"/>
    <w:rsid w:val="00212572"/>
    <w:rsid w:val="002154A6"/>
    <w:rsid w:val="00215A50"/>
    <w:rsid w:val="00215A9F"/>
    <w:rsid w:val="002162CD"/>
    <w:rsid w:val="00221CF4"/>
    <w:rsid w:val="002228D6"/>
    <w:rsid w:val="00225413"/>
    <w:rsid w:val="002255B3"/>
    <w:rsid w:val="00231881"/>
    <w:rsid w:val="002321D2"/>
    <w:rsid w:val="00236E8A"/>
    <w:rsid w:val="00256A88"/>
    <w:rsid w:val="00256EAD"/>
    <w:rsid w:val="00271316"/>
    <w:rsid w:val="002718B9"/>
    <w:rsid w:val="00277817"/>
    <w:rsid w:val="00281A0D"/>
    <w:rsid w:val="00294D62"/>
    <w:rsid w:val="00296313"/>
    <w:rsid w:val="002A3378"/>
    <w:rsid w:val="002B0219"/>
    <w:rsid w:val="002B3C84"/>
    <w:rsid w:val="002B77A9"/>
    <w:rsid w:val="002C0452"/>
    <w:rsid w:val="002C072C"/>
    <w:rsid w:val="002C5CE1"/>
    <w:rsid w:val="002C64CC"/>
    <w:rsid w:val="002D58BE"/>
    <w:rsid w:val="002D6325"/>
    <w:rsid w:val="002E08EE"/>
    <w:rsid w:val="002E2B08"/>
    <w:rsid w:val="002E4B70"/>
    <w:rsid w:val="002F060C"/>
    <w:rsid w:val="002F0C2B"/>
    <w:rsid w:val="002F59AB"/>
    <w:rsid w:val="002F70F0"/>
    <w:rsid w:val="003013EE"/>
    <w:rsid w:val="00301773"/>
    <w:rsid w:val="00314BBD"/>
    <w:rsid w:val="0032018A"/>
    <w:rsid w:val="003212CE"/>
    <w:rsid w:val="0032336A"/>
    <w:rsid w:val="00325CF4"/>
    <w:rsid w:val="00326E05"/>
    <w:rsid w:val="00333EB6"/>
    <w:rsid w:val="00343886"/>
    <w:rsid w:val="00350245"/>
    <w:rsid w:val="00353965"/>
    <w:rsid w:val="00356DFB"/>
    <w:rsid w:val="00357C64"/>
    <w:rsid w:val="003606DC"/>
    <w:rsid w:val="00360A9B"/>
    <w:rsid w:val="0036103C"/>
    <w:rsid w:val="003657E8"/>
    <w:rsid w:val="00373CBA"/>
    <w:rsid w:val="00377BD3"/>
    <w:rsid w:val="00381309"/>
    <w:rsid w:val="00381DDB"/>
    <w:rsid w:val="00384088"/>
    <w:rsid w:val="003842F3"/>
    <w:rsid w:val="0038489B"/>
    <w:rsid w:val="0039169B"/>
    <w:rsid w:val="00396A90"/>
    <w:rsid w:val="003A2459"/>
    <w:rsid w:val="003A7F8C"/>
    <w:rsid w:val="003B532E"/>
    <w:rsid w:val="003B58CE"/>
    <w:rsid w:val="003B5C55"/>
    <w:rsid w:val="003B6F14"/>
    <w:rsid w:val="003C1D6C"/>
    <w:rsid w:val="003C479E"/>
    <w:rsid w:val="003C7922"/>
    <w:rsid w:val="003D0F8B"/>
    <w:rsid w:val="003D43A7"/>
    <w:rsid w:val="003D4E25"/>
    <w:rsid w:val="003E1A8E"/>
    <w:rsid w:val="003E276C"/>
    <w:rsid w:val="003E6EDB"/>
    <w:rsid w:val="003F64FC"/>
    <w:rsid w:val="00400D77"/>
    <w:rsid w:val="00404787"/>
    <w:rsid w:val="0041151F"/>
    <w:rsid w:val="004131D4"/>
    <w:rsid w:val="0041348E"/>
    <w:rsid w:val="00433677"/>
    <w:rsid w:val="00443C19"/>
    <w:rsid w:val="004454B1"/>
    <w:rsid w:val="00447308"/>
    <w:rsid w:val="004505C3"/>
    <w:rsid w:val="00450AB8"/>
    <w:rsid w:val="00466E66"/>
    <w:rsid w:val="00467CA3"/>
    <w:rsid w:val="004730A6"/>
    <w:rsid w:val="00475F76"/>
    <w:rsid w:val="004765FF"/>
    <w:rsid w:val="00485B1A"/>
    <w:rsid w:val="00492075"/>
    <w:rsid w:val="00496390"/>
    <w:rsid w:val="004969AD"/>
    <w:rsid w:val="00497E41"/>
    <w:rsid w:val="004B13CB"/>
    <w:rsid w:val="004B4FDF"/>
    <w:rsid w:val="004C2FAC"/>
    <w:rsid w:val="004C3CD9"/>
    <w:rsid w:val="004C6ED7"/>
    <w:rsid w:val="004D4246"/>
    <w:rsid w:val="004D5D5C"/>
    <w:rsid w:val="004E7644"/>
    <w:rsid w:val="004E7A1E"/>
    <w:rsid w:val="00500FC5"/>
    <w:rsid w:val="0050139F"/>
    <w:rsid w:val="00516741"/>
    <w:rsid w:val="00521223"/>
    <w:rsid w:val="00521CF8"/>
    <w:rsid w:val="00524DF1"/>
    <w:rsid w:val="0052543B"/>
    <w:rsid w:val="005379DE"/>
    <w:rsid w:val="00550BE4"/>
    <w:rsid w:val="0055140B"/>
    <w:rsid w:val="005546FF"/>
    <w:rsid w:val="00554C4F"/>
    <w:rsid w:val="0055505E"/>
    <w:rsid w:val="00561D72"/>
    <w:rsid w:val="00565762"/>
    <w:rsid w:val="00572703"/>
    <w:rsid w:val="00575F88"/>
    <w:rsid w:val="00580B21"/>
    <w:rsid w:val="005820E1"/>
    <w:rsid w:val="0058312A"/>
    <w:rsid w:val="00585D6F"/>
    <w:rsid w:val="005964AB"/>
    <w:rsid w:val="005B176A"/>
    <w:rsid w:val="005B1817"/>
    <w:rsid w:val="005B44F5"/>
    <w:rsid w:val="005C099A"/>
    <w:rsid w:val="005C15F2"/>
    <w:rsid w:val="005C31A5"/>
    <w:rsid w:val="005C3693"/>
    <w:rsid w:val="005C6AE1"/>
    <w:rsid w:val="005D1E17"/>
    <w:rsid w:val="005E10C9"/>
    <w:rsid w:val="005E1E73"/>
    <w:rsid w:val="005E2DC3"/>
    <w:rsid w:val="005E61DD"/>
    <w:rsid w:val="005E6321"/>
    <w:rsid w:val="006023DF"/>
    <w:rsid w:val="00613070"/>
    <w:rsid w:val="0062592B"/>
    <w:rsid w:val="00627283"/>
    <w:rsid w:val="00630A38"/>
    <w:rsid w:val="0063279C"/>
    <w:rsid w:val="006352E7"/>
    <w:rsid w:val="00636B2F"/>
    <w:rsid w:val="0064322F"/>
    <w:rsid w:val="006469C9"/>
    <w:rsid w:val="00647765"/>
    <w:rsid w:val="00657DE0"/>
    <w:rsid w:val="006640A8"/>
    <w:rsid w:val="00666615"/>
    <w:rsid w:val="00666AB3"/>
    <w:rsid w:val="0067199F"/>
    <w:rsid w:val="00677048"/>
    <w:rsid w:val="00682A7E"/>
    <w:rsid w:val="00685313"/>
    <w:rsid w:val="006904D7"/>
    <w:rsid w:val="0069188E"/>
    <w:rsid w:val="0069541C"/>
    <w:rsid w:val="0069771A"/>
    <w:rsid w:val="006A0D94"/>
    <w:rsid w:val="006A20C0"/>
    <w:rsid w:val="006A21C9"/>
    <w:rsid w:val="006A6E9B"/>
    <w:rsid w:val="006B7C2A"/>
    <w:rsid w:val="006C0862"/>
    <w:rsid w:val="006C23DA"/>
    <w:rsid w:val="006C6A73"/>
    <w:rsid w:val="006C6B03"/>
    <w:rsid w:val="006D2B97"/>
    <w:rsid w:val="006D644D"/>
    <w:rsid w:val="006E3D45"/>
    <w:rsid w:val="006E6738"/>
    <w:rsid w:val="0070260D"/>
    <w:rsid w:val="007149F9"/>
    <w:rsid w:val="007242D3"/>
    <w:rsid w:val="00730272"/>
    <w:rsid w:val="00732396"/>
    <w:rsid w:val="00733A30"/>
    <w:rsid w:val="00737BFB"/>
    <w:rsid w:val="00743E38"/>
    <w:rsid w:val="00745136"/>
    <w:rsid w:val="00745AEE"/>
    <w:rsid w:val="007479EA"/>
    <w:rsid w:val="00750F10"/>
    <w:rsid w:val="0075476F"/>
    <w:rsid w:val="00764300"/>
    <w:rsid w:val="00767BD4"/>
    <w:rsid w:val="007742CA"/>
    <w:rsid w:val="007812B2"/>
    <w:rsid w:val="00786643"/>
    <w:rsid w:val="00787CFB"/>
    <w:rsid w:val="007A0D21"/>
    <w:rsid w:val="007A7AFB"/>
    <w:rsid w:val="007C46BB"/>
    <w:rsid w:val="007C622D"/>
    <w:rsid w:val="007C641A"/>
    <w:rsid w:val="007D06F0"/>
    <w:rsid w:val="007D1532"/>
    <w:rsid w:val="007D45E3"/>
    <w:rsid w:val="007D5320"/>
    <w:rsid w:val="007D57B8"/>
    <w:rsid w:val="007E3AAE"/>
    <w:rsid w:val="007E3BB9"/>
    <w:rsid w:val="007F0F50"/>
    <w:rsid w:val="007F5BCD"/>
    <w:rsid w:val="007F735C"/>
    <w:rsid w:val="00800972"/>
    <w:rsid w:val="00804475"/>
    <w:rsid w:val="00806244"/>
    <w:rsid w:val="00811633"/>
    <w:rsid w:val="008124C6"/>
    <w:rsid w:val="00814481"/>
    <w:rsid w:val="00815E05"/>
    <w:rsid w:val="00821CEF"/>
    <w:rsid w:val="00822B3D"/>
    <w:rsid w:val="00831F0A"/>
    <w:rsid w:val="00832828"/>
    <w:rsid w:val="0083645A"/>
    <w:rsid w:val="00840B0F"/>
    <w:rsid w:val="00850AAC"/>
    <w:rsid w:val="00851768"/>
    <w:rsid w:val="00852B9B"/>
    <w:rsid w:val="00854DDE"/>
    <w:rsid w:val="00854EC5"/>
    <w:rsid w:val="0085654C"/>
    <w:rsid w:val="00864007"/>
    <w:rsid w:val="0086551B"/>
    <w:rsid w:val="00865BFD"/>
    <w:rsid w:val="00865CDD"/>
    <w:rsid w:val="008711AE"/>
    <w:rsid w:val="00872CF4"/>
    <w:rsid w:val="00872FC8"/>
    <w:rsid w:val="008748D9"/>
    <w:rsid w:val="008801D3"/>
    <w:rsid w:val="008831EA"/>
    <w:rsid w:val="008845D0"/>
    <w:rsid w:val="00884D93"/>
    <w:rsid w:val="0089257B"/>
    <w:rsid w:val="0089493A"/>
    <w:rsid w:val="00895FD2"/>
    <w:rsid w:val="008976CD"/>
    <w:rsid w:val="008B3CA0"/>
    <w:rsid w:val="008B43F2"/>
    <w:rsid w:val="008B464C"/>
    <w:rsid w:val="008B4C0A"/>
    <w:rsid w:val="008B61EA"/>
    <w:rsid w:val="008B6CFF"/>
    <w:rsid w:val="008D2E49"/>
    <w:rsid w:val="008F7197"/>
    <w:rsid w:val="009034D7"/>
    <w:rsid w:val="00906B0D"/>
    <w:rsid w:val="00910B26"/>
    <w:rsid w:val="00913D23"/>
    <w:rsid w:val="0092450C"/>
    <w:rsid w:val="00925FBF"/>
    <w:rsid w:val="009274B4"/>
    <w:rsid w:val="009323D9"/>
    <w:rsid w:val="00934EA2"/>
    <w:rsid w:val="009365FB"/>
    <w:rsid w:val="00937A5E"/>
    <w:rsid w:val="00944A5C"/>
    <w:rsid w:val="009523F9"/>
    <w:rsid w:val="00952A66"/>
    <w:rsid w:val="00953318"/>
    <w:rsid w:val="009644CC"/>
    <w:rsid w:val="009769EC"/>
    <w:rsid w:val="00980396"/>
    <w:rsid w:val="00980CB8"/>
    <w:rsid w:val="00984893"/>
    <w:rsid w:val="009A0B54"/>
    <w:rsid w:val="009A38FC"/>
    <w:rsid w:val="009A6997"/>
    <w:rsid w:val="009A7152"/>
    <w:rsid w:val="009B19C3"/>
    <w:rsid w:val="009B4757"/>
    <w:rsid w:val="009C05AA"/>
    <w:rsid w:val="009C1F14"/>
    <w:rsid w:val="009C56E5"/>
    <w:rsid w:val="009C6794"/>
    <w:rsid w:val="009C69AB"/>
    <w:rsid w:val="009E1506"/>
    <w:rsid w:val="009E1B23"/>
    <w:rsid w:val="009E37B8"/>
    <w:rsid w:val="009E5FC8"/>
    <w:rsid w:val="009E687A"/>
    <w:rsid w:val="009F0E51"/>
    <w:rsid w:val="009F3246"/>
    <w:rsid w:val="00A023B0"/>
    <w:rsid w:val="00A02C9C"/>
    <w:rsid w:val="00A03C5C"/>
    <w:rsid w:val="00A066F1"/>
    <w:rsid w:val="00A141AF"/>
    <w:rsid w:val="00A15761"/>
    <w:rsid w:val="00A16D29"/>
    <w:rsid w:val="00A17D17"/>
    <w:rsid w:val="00A20E5E"/>
    <w:rsid w:val="00A30305"/>
    <w:rsid w:val="00A31D2D"/>
    <w:rsid w:val="00A37A87"/>
    <w:rsid w:val="00A37B51"/>
    <w:rsid w:val="00A44F1E"/>
    <w:rsid w:val="00A458A1"/>
    <w:rsid w:val="00A4600A"/>
    <w:rsid w:val="00A471AF"/>
    <w:rsid w:val="00A538A6"/>
    <w:rsid w:val="00A54C25"/>
    <w:rsid w:val="00A618B7"/>
    <w:rsid w:val="00A706D6"/>
    <w:rsid w:val="00A710E7"/>
    <w:rsid w:val="00A71604"/>
    <w:rsid w:val="00A7372E"/>
    <w:rsid w:val="00A77264"/>
    <w:rsid w:val="00A77F52"/>
    <w:rsid w:val="00A846E7"/>
    <w:rsid w:val="00A854E9"/>
    <w:rsid w:val="00A855A1"/>
    <w:rsid w:val="00A90ED9"/>
    <w:rsid w:val="00A93B85"/>
    <w:rsid w:val="00A957DD"/>
    <w:rsid w:val="00AA04C7"/>
    <w:rsid w:val="00AA0B18"/>
    <w:rsid w:val="00AA666F"/>
    <w:rsid w:val="00AA68B0"/>
    <w:rsid w:val="00AB1337"/>
    <w:rsid w:val="00AB4428"/>
    <w:rsid w:val="00AB4927"/>
    <w:rsid w:val="00AC034F"/>
    <w:rsid w:val="00AC364D"/>
    <w:rsid w:val="00AC42DD"/>
    <w:rsid w:val="00AC5667"/>
    <w:rsid w:val="00AD3BB0"/>
    <w:rsid w:val="00AE74E4"/>
    <w:rsid w:val="00B004BC"/>
    <w:rsid w:val="00B004E5"/>
    <w:rsid w:val="00B13011"/>
    <w:rsid w:val="00B13CAF"/>
    <w:rsid w:val="00B15F9D"/>
    <w:rsid w:val="00B20CDD"/>
    <w:rsid w:val="00B276D0"/>
    <w:rsid w:val="00B43511"/>
    <w:rsid w:val="00B556F7"/>
    <w:rsid w:val="00B5753E"/>
    <w:rsid w:val="00B639E9"/>
    <w:rsid w:val="00B817CD"/>
    <w:rsid w:val="00B81B4C"/>
    <w:rsid w:val="00B8386B"/>
    <w:rsid w:val="00B911B2"/>
    <w:rsid w:val="00B951D0"/>
    <w:rsid w:val="00B956DD"/>
    <w:rsid w:val="00B95DA2"/>
    <w:rsid w:val="00B96C44"/>
    <w:rsid w:val="00BA0C27"/>
    <w:rsid w:val="00BA0CF3"/>
    <w:rsid w:val="00BA1F66"/>
    <w:rsid w:val="00BB29C8"/>
    <w:rsid w:val="00BB3A95"/>
    <w:rsid w:val="00BB4C13"/>
    <w:rsid w:val="00BC0382"/>
    <w:rsid w:val="00BC5491"/>
    <w:rsid w:val="00BC589A"/>
    <w:rsid w:val="00BC6345"/>
    <w:rsid w:val="00BD2791"/>
    <w:rsid w:val="00BD2BD2"/>
    <w:rsid w:val="00BD62C6"/>
    <w:rsid w:val="00BE0ED4"/>
    <w:rsid w:val="00BF2AE5"/>
    <w:rsid w:val="00C0018F"/>
    <w:rsid w:val="00C006E5"/>
    <w:rsid w:val="00C0446C"/>
    <w:rsid w:val="00C11EA4"/>
    <w:rsid w:val="00C144CA"/>
    <w:rsid w:val="00C20466"/>
    <w:rsid w:val="00C214ED"/>
    <w:rsid w:val="00C234E6"/>
    <w:rsid w:val="00C24CC8"/>
    <w:rsid w:val="00C26713"/>
    <w:rsid w:val="00C271C7"/>
    <w:rsid w:val="00C324A8"/>
    <w:rsid w:val="00C32B41"/>
    <w:rsid w:val="00C369AC"/>
    <w:rsid w:val="00C414DB"/>
    <w:rsid w:val="00C54517"/>
    <w:rsid w:val="00C64CD8"/>
    <w:rsid w:val="00C67238"/>
    <w:rsid w:val="00C75379"/>
    <w:rsid w:val="00C7625B"/>
    <w:rsid w:val="00C855D0"/>
    <w:rsid w:val="00C85E93"/>
    <w:rsid w:val="00C863BE"/>
    <w:rsid w:val="00C92766"/>
    <w:rsid w:val="00C97C68"/>
    <w:rsid w:val="00CA1A47"/>
    <w:rsid w:val="00CA5D89"/>
    <w:rsid w:val="00CB082B"/>
    <w:rsid w:val="00CB1AD5"/>
    <w:rsid w:val="00CC247A"/>
    <w:rsid w:val="00CC497A"/>
    <w:rsid w:val="00CC5206"/>
    <w:rsid w:val="00CE515F"/>
    <w:rsid w:val="00CE5B1E"/>
    <w:rsid w:val="00CE5E47"/>
    <w:rsid w:val="00CF020F"/>
    <w:rsid w:val="00CF1367"/>
    <w:rsid w:val="00CF2B5B"/>
    <w:rsid w:val="00CF7A3C"/>
    <w:rsid w:val="00D050E4"/>
    <w:rsid w:val="00D14CE0"/>
    <w:rsid w:val="00D27C08"/>
    <w:rsid w:val="00D305FC"/>
    <w:rsid w:val="00D36333"/>
    <w:rsid w:val="00D43479"/>
    <w:rsid w:val="00D4443C"/>
    <w:rsid w:val="00D52E17"/>
    <w:rsid w:val="00D5651D"/>
    <w:rsid w:val="00D62CAE"/>
    <w:rsid w:val="00D74898"/>
    <w:rsid w:val="00D801ED"/>
    <w:rsid w:val="00D83BF5"/>
    <w:rsid w:val="00D9013F"/>
    <w:rsid w:val="00D91143"/>
    <w:rsid w:val="00D925C2"/>
    <w:rsid w:val="00D936BC"/>
    <w:rsid w:val="00D9621A"/>
    <w:rsid w:val="00D96530"/>
    <w:rsid w:val="00D96B4B"/>
    <w:rsid w:val="00D972BB"/>
    <w:rsid w:val="00DA2345"/>
    <w:rsid w:val="00DA453A"/>
    <w:rsid w:val="00DA6B67"/>
    <w:rsid w:val="00DA7078"/>
    <w:rsid w:val="00DA77F5"/>
    <w:rsid w:val="00DB1A39"/>
    <w:rsid w:val="00DC1E30"/>
    <w:rsid w:val="00DD08B4"/>
    <w:rsid w:val="00DD1A0C"/>
    <w:rsid w:val="00DD44A5"/>
    <w:rsid w:val="00DD44AF"/>
    <w:rsid w:val="00DD6573"/>
    <w:rsid w:val="00DE2AC3"/>
    <w:rsid w:val="00DE2F21"/>
    <w:rsid w:val="00DE434C"/>
    <w:rsid w:val="00DE5692"/>
    <w:rsid w:val="00DE661A"/>
    <w:rsid w:val="00DF16C6"/>
    <w:rsid w:val="00DF2F16"/>
    <w:rsid w:val="00DF6F8E"/>
    <w:rsid w:val="00DF799A"/>
    <w:rsid w:val="00E01C06"/>
    <w:rsid w:val="00E03C94"/>
    <w:rsid w:val="00E07105"/>
    <w:rsid w:val="00E15BDD"/>
    <w:rsid w:val="00E21525"/>
    <w:rsid w:val="00E23573"/>
    <w:rsid w:val="00E24C4E"/>
    <w:rsid w:val="00E26226"/>
    <w:rsid w:val="00E36040"/>
    <w:rsid w:val="00E4165C"/>
    <w:rsid w:val="00E4355B"/>
    <w:rsid w:val="00E44DCB"/>
    <w:rsid w:val="00E45D05"/>
    <w:rsid w:val="00E467B4"/>
    <w:rsid w:val="00E50CCF"/>
    <w:rsid w:val="00E513B8"/>
    <w:rsid w:val="00E52C60"/>
    <w:rsid w:val="00E55816"/>
    <w:rsid w:val="00E55AEF"/>
    <w:rsid w:val="00E57578"/>
    <w:rsid w:val="00E603AE"/>
    <w:rsid w:val="00E65D0D"/>
    <w:rsid w:val="00E6719A"/>
    <w:rsid w:val="00E7004F"/>
    <w:rsid w:val="00E71808"/>
    <w:rsid w:val="00E73133"/>
    <w:rsid w:val="00E80122"/>
    <w:rsid w:val="00E92E7A"/>
    <w:rsid w:val="00E976C1"/>
    <w:rsid w:val="00EA12E5"/>
    <w:rsid w:val="00EA236B"/>
    <w:rsid w:val="00EA4616"/>
    <w:rsid w:val="00EA500C"/>
    <w:rsid w:val="00EB0071"/>
    <w:rsid w:val="00EC0BD2"/>
    <w:rsid w:val="00EC1684"/>
    <w:rsid w:val="00EC7E24"/>
    <w:rsid w:val="00ED0FF6"/>
    <w:rsid w:val="00ED67FD"/>
    <w:rsid w:val="00ED7794"/>
    <w:rsid w:val="00EE1B1B"/>
    <w:rsid w:val="00EE28D0"/>
    <w:rsid w:val="00EE6E7D"/>
    <w:rsid w:val="00EF39F2"/>
    <w:rsid w:val="00F00B00"/>
    <w:rsid w:val="00F0209C"/>
    <w:rsid w:val="00F02766"/>
    <w:rsid w:val="00F04067"/>
    <w:rsid w:val="00F04575"/>
    <w:rsid w:val="00F05BD4"/>
    <w:rsid w:val="00F11A98"/>
    <w:rsid w:val="00F1503C"/>
    <w:rsid w:val="00F21A1D"/>
    <w:rsid w:val="00F24B77"/>
    <w:rsid w:val="00F27C96"/>
    <w:rsid w:val="00F300D6"/>
    <w:rsid w:val="00F37AD7"/>
    <w:rsid w:val="00F409AE"/>
    <w:rsid w:val="00F55E48"/>
    <w:rsid w:val="00F5694B"/>
    <w:rsid w:val="00F56E4D"/>
    <w:rsid w:val="00F57B93"/>
    <w:rsid w:val="00F57E57"/>
    <w:rsid w:val="00F6138B"/>
    <w:rsid w:val="00F65C19"/>
    <w:rsid w:val="00F666B2"/>
    <w:rsid w:val="00F73848"/>
    <w:rsid w:val="00F803E4"/>
    <w:rsid w:val="00F83313"/>
    <w:rsid w:val="00F835D9"/>
    <w:rsid w:val="00F83810"/>
    <w:rsid w:val="00F855D0"/>
    <w:rsid w:val="00F908C7"/>
    <w:rsid w:val="00F915DB"/>
    <w:rsid w:val="00F9734C"/>
    <w:rsid w:val="00FA3322"/>
    <w:rsid w:val="00FA7497"/>
    <w:rsid w:val="00FB32C2"/>
    <w:rsid w:val="00FB3F64"/>
    <w:rsid w:val="00FB7F8D"/>
    <w:rsid w:val="00FC091D"/>
    <w:rsid w:val="00FC4AB2"/>
    <w:rsid w:val="00FD2546"/>
    <w:rsid w:val="00FD772E"/>
    <w:rsid w:val="00FE11DB"/>
    <w:rsid w:val="00FE3926"/>
    <w:rsid w:val="00FE53E5"/>
    <w:rsid w:val="00FE5F4B"/>
    <w:rsid w:val="00FE67C5"/>
    <w:rsid w:val="00FE78B9"/>
    <w:rsid w:val="00FE78C7"/>
    <w:rsid w:val="00FF0295"/>
    <w:rsid w:val="00FF0563"/>
    <w:rsid w:val="00FF0CA8"/>
    <w:rsid w:val="00FF1E98"/>
    <w:rsid w:val="00FF43AC"/>
    <w:rsid w:val="02941D8B"/>
    <w:rsid w:val="0355F7CC"/>
    <w:rsid w:val="03D3342C"/>
    <w:rsid w:val="069E7081"/>
    <w:rsid w:val="0983FB8C"/>
    <w:rsid w:val="0A24ACB1"/>
    <w:rsid w:val="0A5BC0BD"/>
    <w:rsid w:val="0B878FB5"/>
    <w:rsid w:val="0C0F740C"/>
    <w:rsid w:val="0D3180C5"/>
    <w:rsid w:val="0D6796D0"/>
    <w:rsid w:val="0DF17030"/>
    <w:rsid w:val="0F69E1DD"/>
    <w:rsid w:val="109A6197"/>
    <w:rsid w:val="10DD61FF"/>
    <w:rsid w:val="111980AA"/>
    <w:rsid w:val="11884A87"/>
    <w:rsid w:val="12831B46"/>
    <w:rsid w:val="13D4B583"/>
    <w:rsid w:val="16938294"/>
    <w:rsid w:val="1D8AB39F"/>
    <w:rsid w:val="1E6D48CB"/>
    <w:rsid w:val="21769E47"/>
    <w:rsid w:val="266E42A8"/>
    <w:rsid w:val="27428DB8"/>
    <w:rsid w:val="27A7F25C"/>
    <w:rsid w:val="28D207D2"/>
    <w:rsid w:val="2B07CADF"/>
    <w:rsid w:val="30041E58"/>
    <w:rsid w:val="306F4468"/>
    <w:rsid w:val="30E4387C"/>
    <w:rsid w:val="314B4DF0"/>
    <w:rsid w:val="33C24D2E"/>
    <w:rsid w:val="3407EF7F"/>
    <w:rsid w:val="340F345F"/>
    <w:rsid w:val="3416B243"/>
    <w:rsid w:val="347F2F3B"/>
    <w:rsid w:val="3481BD90"/>
    <w:rsid w:val="35C59CA1"/>
    <w:rsid w:val="377B7A54"/>
    <w:rsid w:val="3AB206BD"/>
    <w:rsid w:val="3ADFCAAB"/>
    <w:rsid w:val="3AF51F38"/>
    <w:rsid w:val="3CA9DB78"/>
    <w:rsid w:val="419B1339"/>
    <w:rsid w:val="4233EDE0"/>
    <w:rsid w:val="450E7F1E"/>
    <w:rsid w:val="462BD686"/>
    <w:rsid w:val="48A11210"/>
    <w:rsid w:val="48F32A1D"/>
    <w:rsid w:val="495916C9"/>
    <w:rsid w:val="4C0CCB96"/>
    <w:rsid w:val="4E9ADD33"/>
    <w:rsid w:val="4FCB47EB"/>
    <w:rsid w:val="50226DE2"/>
    <w:rsid w:val="512963FD"/>
    <w:rsid w:val="54CF6DC3"/>
    <w:rsid w:val="54FA3348"/>
    <w:rsid w:val="552BF88B"/>
    <w:rsid w:val="57A84376"/>
    <w:rsid w:val="57B46811"/>
    <w:rsid w:val="5891C7DF"/>
    <w:rsid w:val="59C75531"/>
    <w:rsid w:val="5BA24CD6"/>
    <w:rsid w:val="5CCB45C0"/>
    <w:rsid w:val="5F260EB7"/>
    <w:rsid w:val="60E62BFA"/>
    <w:rsid w:val="6230DCA4"/>
    <w:rsid w:val="6263F511"/>
    <w:rsid w:val="62EF7B58"/>
    <w:rsid w:val="63C07BB1"/>
    <w:rsid w:val="64ED1656"/>
    <w:rsid w:val="65D76066"/>
    <w:rsid w:val="664E1004"/>
    <w:rsid w:val="683539F6"/>
    <w:rsid w:val="69463FB9"/>
    <w:rsid w:val="69AE04A8"/>
    <w:rsid w:val="6A7BF107"/>
    <w:rsid w:val="6DB18ADF"/>
    <w:rsid w:val="6E7E46DB"/>
    <w:rsid w:val="70E7B904"/>
    <w:rsid w:val="70F24C39"/>
    <w:rsid w:val="71771E38"/>
    <w:rsid w:val="7334E64D"/>
    <w:rsid w:val="73C5B568"/>
    <w:rsid w:val="73CED0F9"/>
    <w:rsid w:val="7465A447"/>
    <w:rsid w:val="76558783"/>
    <w:rsid w:val="78ECFFEE"/>
    <w:rsid w:val="7AF3D878"/>
    <w:rsid w:val="7B57425B"/>
    <w:rsid w:val="7C617AF0"/>
    <w:rsid w:val="7C76416D"/>
    <w:rsid w:val="7CA5C576"/>
    <w:rsid w:val="7FA4F869"/>
    <w:rsid w:val="7FC33F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5C0FF"/>
  <w15:docId w15:val="{59A5E5D2-1CC3-43EE-AF41-6D0CABDF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link w:val="CallChar"/>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rsid w:val="00745AEE"/>
    <w:pPr>
      <w:tabs>
        <w:tab w:val="clear" w:pos="2268"/>
        <w:tab w:val="left" w:pos="2608"/>
        <w:tab w:val="left" w:pos="3345"/>
      </w:tabs>
      <w:spacing w:before="80"/>
      <w:ind w:left="1134" w:hanging="1134"/>
    </w:pPr>
  </w:style>
  <w:style w:type="paragraph" w:customStyle="1" w:styleId="enumlev2">
    <w:name w:val="enumlev2"/>
    <w:basedOn w:val="enumlev1"/>
    <w:link w:val="enumlev2Char"/>
    <w:qFormat/>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noProof/>
      <w:sz w:val="16"/>
    </w:rPr>
  </w:style>
  <w:style w:type="character" w:customStyle="1" w:styleId="FooterChar">
    <w:name w:val="Footer Char"/>
    <w:basedOn w:val="DefaultParagraphFont"/>
    <w:link w:val="Footer"/>
    <w:rsid w:val="00745AEE"/>
    <w:rPr>
      <w:rFonts w:ascii="Times New Roman" w:hAnsi="Times New Roman"/>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noProof w:val="0"/>
    </w:rPr>
  </w:style>
  <w:style w:type="character" w:styleId="FootnoteReference">
    <w:name w:val="footnote reference"/>
    <w:basedOn w:val="DefaultParagraphFont"/>
    <w:rsid w:val="002154A6"/>
    <w:rPr>
      <w:rFonts w:asciiTheme="minorHAnsi" w:hAnsiTheme="minorHAnsi"/>
      <w:position w:val="6"/>
      <w:sz w:val="18"/>
    </w:rPr>
  </w:style>
  <w:style w:type="paragraph" w:styleId="FootnoteText">
    <w:name w:val="footnote text"/>
    <w:basedOn w:val="Normal"/>
    <w:link w:val="FootnoteTextChar"/>
    <w:rsid w:val="00745AEE"/>
    <w:pPr>
      <w:keepLines/>
      <w:tabs>
        <w:tab w:val="left" w:pos="255"/>
      </w:tabs>
    </w:pPr>
  </w:style>
  <w:style w:type="character" w:customStyle="1" w:styleId="FootnoteTextChar">
    <w:name w:val="Footnote Text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rPr>
  </w:style>
  <w:style w:type="paragraph" w:customStyle="1" w:styleId="Title2">
    <w:name w:val="Title 2"/>
    <w:basedOn w:val="Source"/>
    <w:next w:val="Normal"/>
    <w:rsid w:val="001D058F"/>
    <w:pPr>
      <w:overflowPunct/>
      <w:autoSpaceDE/>
      <w:autoSpaceDN/>
      <w:adjustRightInd/>
      <w:spacing w:before="480"/>
      <w:textAlignment w:val="auto"/>
    </w:pPr>
    <w:rPr>
      <w:b w:val="0"/>
    </w:rPr>
  </w:style>
  <w:style w:type="paragraph" w:customStyle="1" w:styleId="Title3">
    <w:name w:val="Title 3"/>
    <w:basedOn w:val="Title2"/>
    <w:next w:val="Normal"/>
    <w:rsid w:val="001D058F"/>
    <w:pPr>
      <w:spacing w:before="240"/>
    </w:p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sz w:val="28"/>
    </w:rPr>
  </w:style>
  <w:style w:type="paragraph" w:customStyle="1" w:styleId="Rectitle">
    <w:name w:val="Rec_title"/>
    <w:basedOn w:val="RecNo"/>
    <w:next w:val="Normal"/>
    <w:rsid w:val="00D96B4B"/>
    <w:pPr>
      <w:spacing w:before="240"/>
    </w:pPr>
    <w:rPr>
      <w:b/>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basedOn w:val="Normal"/>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하이퍼링크21"/>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umlev1Char">
    <w:name w:val="enumlev1 Char"/>
    <w:basedOn w:val="DefaultParagraphFont"/>
    <w:link w:val="enumlev1"/>
    <w:rsid w:val="00F00B00"/>
    <w:rPr>
      <w:rFonts w:asciiTheme="minorHAnsi" w:hAnsiTheme="minorHAnsi"/>
      <w:sz w:val="24"/>
      <w:lang w:val="en-GB" w:eastAsia="en-US"/>
    </w:rPr>
  </w:style>
  <w:style w:type="character" w:customStyle="1" w:styleId="enumlev2Char">
    <w:name w:val="enumlev2 Char"/>
    <w:basedOn w:val="enumlev1Char"/>
    <w:link w:val="enumlev2"/>
    <w:rsid w:val="00F00B00"/>
    <w:rPr>
      <w:rFonts w:asciiTheme="minorHAnsi" w:hAnsiTheme="minorHAnsi"/>
      <w:sz w:val="24"/>
      <w:lang w:val="en-GB" w:eastAsia="en-US"/>
    </w:rPr>
  </w:style>
  <w:style w:type="character" w:customStyle="1" w:styleId="CallChar">
    <w:name w:val="Call Char"/>
    <w:basedOn w:val="DefaultParagraphFont"/>
    <w:link w:val="Call"/>
    <w:locked/>
    <w:rsid w:val="00F00B00"/>
    <w:rPr>
      <w:rFonts w:asciiTheme="minorHAnsi" w:hAnsiTheme="minorHAnsi"/>
      <w:i/>
      <w:sz w:val="24"/>
      <w:lang w:val="en-GB" w:eastAsia="en-US"/>
    </w:rPr>
  </w:style>
  <w:style w:type="paragraph" w:customStyle="1" w:styleId="paragraph">
    <w:name w:val="paragraph"/>
    <w:basedOn w:val="Normal"/>
    <w:rsid w:val="00C7625B"/>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hAnsi="Times New Roman"/>
      <w:szCs w:val="24"/>
      <w:lang w:eastAsia="en-GB"/>
    </w:rPr>
  </w:style>
  <w:style w:type="character" w:customStyle="1" w:styleId="normaltextrun">
    <w:name w:val="normaltextrun"/>
    <w:basedOn w:val="DefaultParagraphFont"/>
    <w:rsid w:val="00C7625B"/>
  </w:style>
  <w:style w:type="character" w:customStyle="1" w:styleId="scxw55723030">
    <w:name w:val="scxw55723030"/>
    <w:basedOn w:val="DefaultParagraphFont"/>
    <w:rsid w:val="00C7625B"/>
  </w:style>
  <w:style w:type="character" w:customStyle="1" w:styleId="eop">
    <w:name w:val="eop"/>
    <w:basedOn w:val="DefaultParagraphFont"/>
    <w:rsid w:val="00C7625B"/>
  </w:style>
  <w:style w:type="character" w:customStyle="1" w:styleId="wacimagecontainer">
    <w:name w:val="wacimagecontainer"/>
    <w:basedOn w:val="DefaultParagraphFont"/>
    <w:rsid w:val="00C7625B"/>
  </w:style>
  <w:style w:type="paragraph" w:styleId="Revision">
    <w:name w:val="Revision"/>
    <w:hidden/>
    <w:uiPriority w:val="99"/>
    <w:semiHidden/>
    <w:rsid w:val="00AD3BB0"/>
    <w:rPr>
      <w:rFonts w:asciiTheme="minorHAnsi" w:hAnsiTheme="minorHAnsi"/>
      <w:sz w:val="24"/>
      <w:lang w:val="en-GB" w:eastAsia="en-US"/>
    </w:rPr>
  </w:style>
  <w:style w:type="character" w:styleId="CommentReference">
    <w:name w:val="annotation reference"/>
    <w:basedOn w:val="DefaultParagraphFont"/>
    <w:semiHidden/>
    <w:unhideWhenUsed/>
    <w:rsid w:val="00C144CA"/>
    <w:rPr>
      <w:sz w:val="16"/>
      <w:szCs w:val="16"/>
    </w:rPr>
  </w:style>
  <w:style w:type="paragraph" w:styleId="CommentText">
    <w:name w:val="annotation text"/>
    <w:basedOn w:val="Normal"/>
    <w:link w:val="CommentTextChar"/>
    <w:unhideWhenUsed/>
    <w:rsid w:val="00C144CA"/>
    <w:rPr>
      <w:sz w:val="20"/>
    </w:rPr>
  </w:style>
  <w:style w:type="character" w:customStyle="1" w:styleId="CommentTextChar">
    <w:name w:val="Comment Text Char"/>
    <w:basedOn w:val="DefaultParagraphFont"/>
    <w:link w:val="CommentText"/>
    <w:rsid w:val="00C144CA"/>
    <w:rPr>
      <w:rFonts w:asciiTheme="minorHAnsi" w:eastAsia="Batang" w:hAnsiTheme="minorHAnsi"/>
      <w:lang w:val="en-GB" w:eastAsia="en-US"/>
    </w:rPr>
  </w:style>
  <w:style w:type="paragraph" w:styleId="CommentSubject">
    <w:name w:val="annotation subject"/>
    <w:basedOn w:val="CommentText"/>
    <w:next w:val="CommentText"/>
    <w:link w:val="CommentSubjectChar"/>
    <w:semiHidden/>
    <w:unhideWhenUsed/>
    <w:rsid w:val="00C144CA"/>
    <w:rPr>
      <w:b/>
      <w:bCs/>
    </w:rPr>
  </w:style>
  <w:style w:type="character" w:customStyle="1" w:styleId="CommentSubjectChar">
    <w:name w:val="Comment Subject Char"/>
    <w:basedOn w:val="CommentTextChar"/>
    <w:link w:val="CommentSubject"/>
    <w:semiHidden/>
    <w:rsid w:val="00C144CA"/>
    <w:rPr>
      <w:rFonts w:asciiTheme="minorHAnsi" w:eastAsia="Batang" w:hAnsiTheme="minorHAnsi"/>
      <w:b/>
      <w:bCs/>
      <w:lang w:val="en-GB" w:eastAsia="en-US"/>
    </w:rPr>
  </w:style>
  <w:style w:type="paragraph" w:styleId="NormalWeb">
    <w:name w:val="Normal (Web)"/>
    <w:basedOn w:val="Normal"/>
    <w:uiPriority w:val="99"/>
    <w:unhideWhenUsed/>
    <w:rsid w:val="009365FB"/>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Times New Roman" w:hAnsi="Times New Roman"/>
      <w:szCs w:val="24"/>
      <w:lang w:eastAsia="en-GB"/>
    </w:rPr>
  </w:style>
  <w:style w:type="paragraph" w:customStyle="1" w:styleId="scriptor-listitemlistlist-f69bd402-4176-4909-979b-570f783ffd6e1">
    <w:name w:val="scriptor-listitemlist!list-f69bd402-4176-4909-979b-570f783ffd6e1"/>
    <w:basedOn w:val="Normal"/>
    <w:rsid w:val="00EE6E7D"/>
    <w:pPr>
      <w:tabs>
        <w:tab w:val="clear" w:pos="1134"/>
        <w:tab w:val="clear" w:pos="1871"/>
        <w:tab w:val="clear" w:pos="2268"/>
      </w:tabs>
      <w:overflowPunct/>
      <w:autoSpaceDE/>
      <w:autoSpaceDN/>
      <w:adjustRightInd/>
      <w:spacing w:before="0" w:after="160"/>
      <w:textAlignment w:val="auto"/>
    </w:pPr>
    <w:rPr>
      <w:rFonts w:ascii="Times New Roman" w:eastAsia="Times New Roman" w:hAnsi="Times New Roman"/>
      <w:szCs w:val="24"/>
      <w:lang w:eastAsia="en-GB"/>
    </w:rPr>
  </w:style>
  <w:style w:type="paragraph" w:customStyle="1" w:styleId="scriptor-listitemlistlist-f69bd402-4176-4909-979b-570f783ffd6e2">
    <w:name w:val="scriptor-listitemlist!list-f69bd402-4176-4909-979b-570f783ffd6e2"/>
    <w:basedOn w:val="Normal"/>
    <w:rsid w:val="00EE6E7D"/>
    <w:pPr>
      <w:tabs>
        <w:tab w:val="clear" w:pos="1134"/>
        <w:tab w:val="clear" w:pos="1871"/>
        <w:tab w:val="clear" w:pos="2268"/>
      </w:tabs>
      <w:overflowPunct/>
      <w:autoSpaceDE/>
      <w:autoSpaceDN/>
      <w:adjustRightInd/>
      <w:spacing w:before="0" w:after="160"/>
      <w:textAlignment w:val="auto"/>
    </w:pPr>
    <w:rPr>
      <w:rFonts w:ascii="Times New Roman" w:eastAsia="Times New Roman" w:hAnsi="Times New Roman"/>
      <w:szCs w:val="24"/>
      <w:lang w:eastAsia="en-GB"/>
    </w:rPr>
  </w:style>
  <w:style w:type="character" w:styleId="UnresolvedMention">
    <w:name w:val="Unresolved Mention"/>
    <w:basedOn w:val="DefaultParagraphFont"/>
    <w:uiPriority w:val="99"/>
    <w:semiHidden/>
    <w:unhideWhenUsed/>
    <w:rsid w:val="00F24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pub/D-RES-D.1-2022/es" TargetMode="External"/><Relationship Id="rId18" Type="http://schemas.openxmlformats.org/officeDocument/2006/relationships/hyperlink" Target="https://www.itu.int/en/council/Documents/basic-texts-2023/RES-154-E.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tu.int/en/council/Documents/basic-texts-2023/RES-154-S.pdf" TargetMode="External"/><Relationship Id="rId17" Type="http://schemas.openxmlformats.org/officeDocument/2006/relationships/hyperlink" Target="https://www.itu.int/en/council/cwg-lang/Pages/default.aspx" TargetMode="External"/><Relationship Id="rId2" Type="http://schemas.openxmlformats.org/officeDocument/2006/relationships/customXml" Target="../customXml/item2.xml"/><Relationship Id="rId16" Type="http://schemas.openxmlformats.org/officeDocument/2006/relationships/hyperlink" Target="https://www.itu.int/en/council/Documents/basic-texts-2023/RES-154-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tu.int/md/S24-CL-C-0138/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tu.int/en/council/cwg-lang/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4-CL-C-0137/es"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DD000-1DEB-421C-968D-8A7A2914DE19}">
  <ds:schemaRefs>
    <ds:schemaRef ds:uri="http://schemas.openxmlformats.org/officeDocument/2006/bibliography"/>
  </ds:schemaRefs>
</ds:datastoreItem>
</file>

<file path=customXml/itemProps2.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3.xml><?xml version="1.0" encoding="utf-8"?>
<ds:datastoreItem xmlns:ds="http://schemas.openxmlformats.org/officeDocument/2006/customXml" ds:itemID="{8A7C67D6-CEFE-4AFE-8EC3-4585BFEF5BAE}">
  <ds:schemaRefs>
    <ds:schemaRef ds:uri="http://schemas.microsoft.com/office/2006/metadata/properties"/>
    <ds:schemaRef ds:uri="29399490-13b9-4c73-b71e-403b715b75a7"/>
    <ds:schemaRef ds:uri="http://purl.org/dc/elements/1.1/"/>
    <ds:schemaRef ds:uri="d4ea696a-cca3-460b-a983-57ac2621983a"/>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A6D191D9-DBE0-4A2D-8166-16BA69A3E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1103</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7906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Manias, Michel</dc:creator>
  <cp:keywords/>
  <dc:description/>
  <cp:lastModifiedBy>Spanish</cp:lastModifiedBy>
  <cp:revision>4</cp:revision>
  <cp:lastPrinted>2018-01-31T06:45:00Z</cp:lastPrinted>
  <dcterms:created xsi:type="dcterms:W3CDTF">2026-03-13T14:45:00Z</dcterms:created>
  <dcterms:modified xsi:type="dcterms:W3CDTF">2026-03-13T15:00:00Z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diaServiceImageTags">
    <vt:lpwstr/>
  </property>
  <property fmtid="{D5CDD505-2E9C-101B-9397-08002B2CF9AE}" pid="12" name="docLang">
    <vt:lpwstr>en</vt:lpwstr>
  </property>
  <property fmtid="{D5CDD505-2E9C-101B-9397-08002B2CF9AE}" pid="13" name="TranslatedWith">
    <vt:lpwstr>Mercury</vt:lpwstr>
  </property>
  <property fmtid="{D5CDD505-2E9C-101B-9397-08002B2CF9AE}" pid="14" name="GeneratedBy">
    <vt:lpwstr>miriam.munoz@itu.int</vt:lpwstr>
  </property>
  <property fmtid="{D5CDD505-2E9C-101B-9397-08002B2CF9AE}" pid="15" name="GeneratedDate">
    <vt:lpwstr>03/11/2026 10:48:05</vt:lpwstr>
  </property>
  <property fmtid="{D5CDD505-2E9C-101B-9397-08002B2CF9AE}" pid="16" name="OriginalDocID">
    <vt:lpwstr>e707f448-177c-4eb0-a413-0844e8c430ca</vt:lpwstr>
  </property>
</Properties>
</file>