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815C7B" w14:paraId="3F0E9EC4" w14:textId="77777777" w:rsidTr="00F7434A">
        <w:trPr>
          <w:cantSplit/>
          <w:trHeight w:val="1134"/>
        </w:trPr>
        <w:tc>
          <w:tcPr>
            <w:tcW w:w="6379" w:type="dxa"/>
          </w:tcPr>
          <w:p w14:paraId="3C20C75B" w14:textId="77777777" w:rsidR="00F7434A" w:rsidRPr="00815C7B" w:rsidRDefault="00F7434A" w:rsidP="004037AF">
            <w:pPr>
              <w:tabs>
                <w:tab w:val="clear" w:pos="1191"/>
                <w:tab w:val="clear" w:pos="1588"/>
                <w:tab w:val="clear" w:pos="1985"/>
              </w:tabs>
              <w:spacing w:before="240" w:after="240"/>
              <w:ind w:left="34"/>
              <w:rPr>
                <w:b/>
                <w:bCs/>
                <w:sz w:val="32"/>
                <w:szCs w:val="32"/>
                <w:lang w:val="fr-FR"/>
              </w:rPr>
            </w:pPr>
            <w:r w:rsidRPr="00815C7B">
              <w:rPr>
                <w:b/>
                <w:bCs/>
                <w:sz w:val="32"/>
                <w:szCs w:val="32"/>
                <w:lang w:val="fr-FR"/>
              </w:rPr>
              <w:t xml:space="preserve">Groupe consultatif pour le développement </w:t>
            </w:r>
            <w:r w:rsidRPr="00815C7B">
              <w:rPr>
                <w:b/>
                <w:bCs/>
                <w:sz w:val="32"/>
                <w:szCs w:val="32"/>
                <w:lang w:val="fr-FR"/>
              </w:rPr>
              <w:br/>
              <w:t>des télécommunications (GCDT)</w:t>
            </w:r>
          </w:p>
          <w:p w14:paraId="5F5F590A" w14:textId="39E36666" w:rsidR="00F7434A" w:rsidRPr="00815C7B" w:rsidRDefault="00F7434A" w:rsidP="001011EB">
            <w:pPr>
              <w:tabs>
                <w:tab w:val="clear" w:pos="1191"/>
                <w:tab w:val="clear" w:pos="1588"/>
                <w:tab w:val="clear" w:pos="1985"/>
              </w:tabs>
              <w:spacing w:after="120"/>
              <w:ind w:left="34"/>
              <w:rPr>
                <w:rFonts w:ascii="Verdana" w:hAnsi="Verdana"/>
                <w:sz w:val="28"/>
                <w:szCs w:val="28"/>
                <w:lang w:val="fr-FR"/>
              </w:rPr>
            </w:pPr>
            <w:r w:rsidRPr="00815C7B">
              <w:rPr>
                <w:b/>
                <w:bCs/>
                <w:sz w:val="26"/>
                <w:szCs w:val="26"/>
                <w:lang w:val="fr-FR"/>
              </w:rPr>
              <w:t>33ème réunion, Genève, Suisse, 7-10 avril 2026</w:t>
            </w:r>
          </w:p>
        </w:tc>
        <w:tc>
          <w:tcPr>
            <w:tcW w:w="3509" w:type="dxa"/>
          </w:tcPr>
          <w:p w14:paraId="67E7B4C4" w14:textId="0F52E4CC" w:rsidR="00F7434A" w:rsidRPr="00815C7B" w:rsidRDefault="00F7434A" w:rsidP="00946023">
            <w:pPr>
              <w:spacing w:before="240" w:after="120"/>
              <w:ind w:right="142"/>
              <w:jc w:val="right"/>
              <w:rPr>
                <w:lang w:val="fr-FR"/>
              </w:rPr>
            </w:pPr>
            <w:r w:rsidRPr="00815C7B">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815C7B" w14:paraId="3C13197B" w14:textId="77777777" w:rsidTr="0009076F">
        <w:trPr>
          <w:cantSplit/>
        </w:trPr>
        <w:tc>
          <w:tcPr>
            <w:tcW w:w="6379" w:type="dxa"/>
            <w:tcBorders>
              <w:top w:val="single" w:sz="12" w:space="0" w:color="auto"/>
            </w:tcBorders>
          </w:tcPr>
          <w:p w14:paraId="2EED9DB2" w14:textId="77777777" w:rsidR="00683C32" w:rsidRPr="00815C7B"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815C7B" w:rsidRDefault="00683C32" w:rsidP="00107E85">
            <w:pPr>
              <w:spacing w:before="0"/>
              <w:rPr>
                <w:b/>
                <w:bCs/>
                <w:sz w:val="20"/>
                <w:lang w:val="fr-FR"/>
              </w:rPr>
            </w:pPr>
          </w:p>
        </w:tc>
      </w:tr>
      <w:tr w:rsidR="00683C32" w:rsidRPr="00815C7B" w14:paraId="0BB3FBC4" w14:textId="77777777" w:rsidTr="0009076F">
        <w:trPr>
          <w:cantSplit/>
        </w:trPr>
        <w:tc>
          <w:tcPr>
            <w:tcW w:w="6379" w:type="dxa"/>
          </w:tcPr>
          <w:p w14:paraId="43C54B3D" w14:textId="77777777" w:rsidR="00683C32" w:rsidRPr="00815C7B" w:rsidRDefault="00683C32" w:rsidP="00400CCF">
            <w:pPr>
              <w:pStyle w:val="Committee"/>
              <w:spacing w:before="0"/>
              <w:rPr>
                <w:b w:val="0"/>
                <w:szCs w:val="24"/>
                <w:lang w:val="fr-FR"/>
              </w:rPr>
            </w:pPr>
          </w:p>
        </w:tc>
        <w:tc>
          <w:tcPr>
            <w:tcW w:w="3509" w:type="dxa"/>
          </w:tcPr>
          <w:p w14:paraId="02E44EE9" w14:textId="66C12EA3" w:rsidR="00683C32" w:rsidRPr="00815C7B" w:rsidRDefault="0096201B" w:rsidP="00E25345">
            <w:pPr>
              <w:spacing w:before="0"/>
              <w:jc w:val="both"/>
              <w:rPr>
                <w:bCs/>
                <w:szCs w:val="24"/>
                <w:lang w:val="fr-FR"/>
              </w:rPr>
            </w:pPr>
            <w:r w:rsidRPr="00815C7B">
              <w:rPr>
                <w:b/>
                <w:bCs/>
                <w:lang w:val="fr-FR"/>
              </w:rPr>
              <w:t xml:space="preserve">Document </w:t>
            </w:r>
            <w:bookmarkStart w:id="0" w:name="DocRef1"/>
            <w:bookmarkEnd w:id="0"/>
            <w:r w:rsidRPr="00815C7B">
              <w:rPr>
                <w:b/>
                <w:bCs/>
                <w:lang w:val="fr-FR"/>
              </w:rPr>
              <w:t>TDAG</w:t>
            </w:r>
            <w:r w:rsidR="003242AB" w:rsidRPr="00815C7B">
              <w:rPr>
                <w:b/>
                <w:bCs/>
                <w:lang w:val="fr-FR"/>
              </w:rPr>
              <w:t>-</w:t>
            </w:r>
            <w:r w:rsidR="00B648C7" w:rsidRPr="00815C7B">
              <w:rPr>
                <w:b/>
                <w:bCs/>
                <w:lang w:val="fr-FR"/>
              </w:rPr>
              <w:t>2</w:t>
            </w:r>
            <w:bookmarkStart w:id="1" w:name="DocNo1"/>
            <w:bookmarkEnd w:id="1"/>
            <w:r w:rsidR="00F7434A" w:rsidRPr="00815C7B">
              <w:rPr>
                <w:b/>
                <w:bCs/>
                <w:lang w:val="fr-FR"/>
              </w:rPr>
              <w:t>6</w:t>
            </w:r>
            <w:r w:rsidR="0009076F" w:rsidRPr="00815C7B">
              <w:rPr>
                <w:b/>
                <w:bCs/>
                <w:lang w:val="fr-FR"/>
              </w:rPr>
              <w:t>/</w:t>
            </w:r>
            <w:r w:rsidR="000328E2" w:rsidRPr="00815C7B">
              <w:rPr>
                <w:b/>
                <w:bCs/>
                <w:lang w:val="fr-FR"/>
              </w:rPr>
              <w:t>14</w:t>
            </w:r>
            <w:r w:rsidRPr="00815C7B">
              <w:rPr>
                <w:b/>
                <w:bCs/>
                <w:lang w:val="fr-FR"/>
              </w:rPr>
              <w:t>-</w:t>
            </w:r>
            <w:r w:rsidR="00E25345" w:rsidRPr="00815C7B">
              <w:rPr>
                <w:b/>
                <w:bCs/>
                <w:lang w:val="fr-FR"/>
              </w:rPr>
              <w:t>F</w:t>
            </w:r>
          </w:p>
        </w:tc>
      </w:tr>
      <w:tr w:rsidR="00683C32" w:rsidRPr="00815C7B" w14:paraId="24D04936" w14:textId="77777777" w:rsidTr="0009076F">
        <w:trPr>
          <w:cantSplit/>
        </w:trPr>
        <w:tc>
          <w:tcPr>
            <w:tcW w:w="6379" w:type="dxa"/>
          </w:tcPr>
          <w:p w14:paraId="12CE4DBF" w14:textId="77777777" w:rsidR="00683C32" w:rsidRPr="00815C7B" w:rsidRDefault="00683C32" w:rsidP="00400CCF">
            <w:pPr>
              <w:spacing w:before="0"/>
              <w:rPr>
                <w:b/>
                <w:bCs/>
                <w:smallCaps/>
                <w:szCs w:val="24"/>
                <w:lang w:val="fr-FR"/>
              </w:rPr>
            </w:pPr>
          </w:p>
        </w:tc>
        <w:tc>
          <w:tcPr>
            <w:tcW w:w="3509" w:type="dxa"/>
          </w:tcPr>
          <w:p w14:paraId="0F89640F" w14:textId="7FA4BBC6" w:rsidR="00683C32" w:rsidRPr="00815C7B" w:rsidRDefault="000328E2" w:rsidP="00B648C7">
            <w:pPr>
              <w:spacing w:before="0"/>
              <w:rPr>
                <w:b/>
                <w:szCs w:val="24"/>
                <w:lang w:val="fr-FR"/>
              </w:rPr>
            </w:pPr>
            <w:bookmarkStart w:id="2" w:name="CreationDate"/>
            <w:bookmarkEnd w:id="2"/>
            <w:r w:rsidRPr="00815C7B">
              <w:rPr>
                <w:b/>
                <w:bCs/>
                <w:szCs w:val="28"/>
                <w:lang w:val="fr-FR"/>
              </w:rPr>
              <w:t>3 mars 2026</w:t>
            </w:r>
          </w:p>
        </w:tc>
      </w:tr>
      <w:tr w:rsidR="00683C32" w:rsidRPr="00815C7B" w14:paraId="7B96545F" w14:textId="77777777" w:rsidTr="0009076F">
        <w:trPr>
          <w:cantSplit/>
        </w:trPr>
        <w:tc>
          <w:tcPr>
            <w:tcW w:w="6379" w:type="dxa"/>
          </w:tcPr>
          <w:p w14:paraId="65956FD3" w14:textId="77777777" w:rsidR="00683C32" w:rsidRPr="00815C7B" w:rsidRDefault="00683C32" w:rsidP="00400CCF">
            <w:pPr>
              <w:spacing w:before="0"/>
              <w:rPr>
                <w:b/>
                <w:bCs/>
                <w:smallCaps/>
                <w:szCs w:val="24"/>
                <w:lang w:val="fr-FR"/>
              </w:rPr>
            </w:pPr>
          </w:p>
        </w:tc>
        <w:tc>
          <w:tcPr>
            <w:tcW w:w="3509" w:type="dxa"/>
          </w:tcPr>
          <w:p w14:paraId="30EFD39F" w14:textId="33ACFB79" w:rsidR="00514D2F" w:rsidRPr="00815C7B" w:rsidRDefault="0096201B" w:rsidP="001011EB">
            <w:pPr>
              <w:spacing w:before="0"/>
              <w:rPr>
                <w:szCs w:val="24"/>
                <w:lang w:val="fr-FR"/>
              </w:rPr>
            </w:pPr>
            <w:r w:rsidRPr="00815C7B">
              <w:rPr>
                <w:b/>
                <w:lang w:val="fr-FR"/>
              </w:rPr>
              <w:t>Original:</w:t>
            </w:r>
            <w:bookmarkStart w:id="3" w:name="Original"/>
            <w:bookmarkEnd w:id="3"/>
            <w:r w:rsidR="00CE0422" w:rsidRPr="00815C7B">
              <w:rPr>
                <w:b/>
                <w:lang w:val="fr-FR"/>
              </w:rPr>
              <w:t xml:space="preserve"> </w:t>
            </w:r>
            <w:r w:rsidR="001011EB" w:rsidRPr="00815C7B">
              <w:rPr>
                <w:b/>
                <w:lang w:val="fr-FR"/>
              </w:rPr>
              <w:t>anglais</w:t>
            </w:r>
          </w:p>
        </w:tc>
      </w:tr>
      <w:tr w:rsidR="00A13162" w:rsidRPr="00815C7B" w14:paraId="31656E31" w14:textId="77777777" w:rsidTr="00107E85">
        <w:trPr>
          <w:cantSplit/>
          <w:trHeight w:val="852"/>
        </w:trPr>
        <w:tc>
          <w:tcPr>
            <w:tcW w:w="9888" w:type="dxa"/>
            <w:gridSpan w:val="2"/>
          </w:tcPr>
          <w:p w14:paraId="512FCA01" w14:textId="06579814" w:rsidR="00A13162" w:rsidRPr="00815C7B" w:rsidRDefault="000328E2" w:rsidP="0030353C">
            <w:pPr>
              <w:pStyle w:val="Source"/>
              <w:rPr>
                <w:lang w:val="fr-FR"/>
              </w:rPr>
            </w:pPr>
            <w:bookmarkStart w:id="4" w:name="Source"/>
            <w:bookmarkEnd w:id="4"/>
            <w:r w:rsidRPr="00815C7B">
              <w:rPr>
                <w:lang w:val="fr-FR"/>
              </w:rPr>
              <w:t>Directeur du Bureau de développement des télécommunications</w:t>
            </w:r>
          </w:p>
        </w:tc>
      </w:tr>
      <w:tr w:rsidR="00AC6F14" w:rsidRPr="00815C7B" w14:paraId="2CBD3A36" w14:textId="77777777" w:rsidTr="00107E85">
        <w:trPr>
          <w:cantSplit/>
        </w:trPr>
        <w:tc>
          <w:tcPr>
            <w:tcW w:w="9888" w:type="dxa"/>
            <w:gridSpan w:val="2"/>
          </w:tcPr>
          <w:p w14:paraId="1B4121DF" w14:textId="3554FAFE" w:rsidR="00AC6F14" w:rsidRPr="00815C7B" w:rsidRDefault="000328E2" w:rsidP="001011EB">
            <w:pPr>
              <w:pStyle w:val="Title1"/>
              <w:rPr>
                <w:lang w:val="fr-FR"/>
              </w:rPr>
            </w:pPr>
            <w:bookmarkStart w:id="5" w:name="Title"/>
            <w:bookmarkEnd w:id="5"/>
            <w:r w:rsidRPr="00815C7B">
              <w:rPr>
                <w:lang w:val="fr-FR"/>
              </w:rPr>
              <w:t>Utilisation de toutes les langues officielles sur un pied d'égalité à l'UIT-D</w:t>
            </w:r>
          </w:p>
        </w:tc>
      </w:tr>
      <w:tr w:rsidR="00A721F4" w:rsidRPr="00815C7B" w14:paraId="23A30231" w14:textId="77777777" w:rsidTr="00A721F4">
        <w:trPr>
          <w:cantSplit/>
        </w:trPr>
        <w:tc>
          <w:tcPr>
            <w:tcW w:w="9888" w:type="dxa"/>
            <w:gridSpan w:val="2"/>
            <w:tcBorders>
              <w:bottom w:val="single" w:sz="4" w:space="0" w:color="auto"/>
            </w:tcBorders>
          </w:tcPr>
          <w:p w14:paraId="726EE70E" w14:textId="77777777" w:rsidR="00A721F4" w:rsidRPr="00815C7B" w:rsidRDefault="00A721F4" w:rsidP="0030353C">
            <w:pPr>
              <w:rPr>
                <w:lang w:val="fr-FR"/>
              </w:rPr>
            </w:pPr>
          </w:p>
        </w:tc>
      </w:tr>
      <w:tr w:rsidR="00A721F4" w:rsidRPr="00815C7B"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815C7B" w:rsidRDefault="001011EB" w:rsidP="00EA0C51">
            <w:pPr>
              <w:spacing w:after="120"/>
              <w:rPr>
                <w:b/>
                <w:bCs/>
                <w:szCs w:val="24"/>
                <w:lang w:val="fr-FR"/>
              </w:rPr>
            </w:pPr>
            <w:r w:rsidRPr="00815C7B">
              <w:rPr>
                <w:b/>
                <w:bCs/>
                <w:szCs w:val="24"/>
                <w:lang w:val="fr-FR"/>
              </w:rPr>
              <w:t>Résumé</w:t>
            </w:r>
            <w:r w:rsidR="00A721F4" w:rsidRPr="00815C7B">
              <w:rPr>
                <w:b/>
                <w:bCs/>
                <w:szCs w:val="24"/>
                <w:lang w:val="fr-FR"/>
              </w:rPr>
              <w:t>:</w:t>
            </w:r>
          </w:p>
          <w:p w14:paraId="39562314" w14:textId="77777777" w:rsidR="000328E2" w:rsidRPr="00815C7B" w:rsidRDefault="000328E2" w:rsidP="000328E2">
            <w:pPr>
              <w:rPr>
                <w:lang w:val="fr-FR"/>
              </w:rPr>
            </w:pPr>
            <w:r w:rsidRPr="00815C7B">
              <w:rPr>
                <w:lang w:val="fr-FR"/>
              </w:rPr>
              <w:t>Le présent document fait le point sur les activités menées par le Bureau de développement des télécommunications (BDT) pour garantir l'utilisation des six langues officielles de l'Union sur un pied d'égalité, conformément à la Résolution 154 (Rév. Bucarest, 2022) de la Conférence de plénipotentiaires et aux résolutions pertinentes de la CMDT.</w:t>
            </w:r>
          </w:p>
          <w:p w14:paraId="388C7B80" w14:textId="77777777" w:rsidR="000328E2" w:rsidRPr="00815C7B" w:rsidRDefault="000328E2" w:rsidP="000328E2">
            <w:pPr>
              <w:rPr>
                <w:lang w:val="fr-FR"/>
              </w:rPr>
            </w:pPr>
            <w:r w:rsidRPr="00815C7B">
              <w:rPr>
                <w:lang w:val="fr-FR"/>
              </w:rPr>
              <w:t>Il met en évidence les progrès récents concernant:</w:t>
            </w:r>
          </w:p>
          <w:p w14:paraId="006AB10D" w14:textId="3096AEB0" w:rsidR="000328E2" w:rsidRPr="00815C7B" w:rsidRDefault="000328E2" w:rsidP="000328E2">
            <w:pPr>
              <w:pStyle w:val="enumlev1"/>
              <w:rPr>
                <w:lang w:val="fr-FR"/>
              </w:rPr>
            </w:pPr>
            <w:r w:rsidRPr="00815C7B">
              <w:rPr>
                <w:lang w:val="fr-FR"/>
              </w:rPr>
              <w:t>–</w:t>
            </w:r>
            <w:r w:rsidRPr="00815C7B">
              <w:rPr>
                <w:lang w:val="fr-FR"/>
              </w:rPr>
              <w:tab/>
              <w:t>l'accès multilingue aux contenus numériques de l'UIT-D;</w:t>
            </w:r>
          </w:p>
          <w:p w14:paraId="1816E125" w14:textId="0F3B9C00" w:rsidR="000328E2" w:rsidRPr="00815C7B" w:rsidRDefault="000328E2" w:rsidP="000328E2">
            <w:pPr>
              <w:pStyle w:val="enumlev1"/>
              <w:rPr>
                <w:lang w:val="fr-FR"/>
              </w:rPr>
            </w:pPr>
            <w:r w:rsidRPr="00815C7B">
              <w:rPr>
                <w:lang w:val="fr-FR"/>
              </w:rPr>
              <w:t>–</w:t>
            </w:r>
            <w:r w:rsidRPr="00815C7B">
              <w:rPr>
                <w:lang w:val="fr-FR"/>
              </w:rPr>
              <w:tab/>
              <w:t>l'utilisation de la traduction automatique et des nouvelles technologies linguistiques;</w:t>
            </w:r>
          </w:p>
          <w:p w14:paraId="40C7FC5E" w14:textId="7E6FB916" w:rsidR="000328E2" w:rsidRPr="00815C7B" w:rsidRDefault="000328E2" w:rsidP="000328E2">
            <w:pPr>
              <w:pStyle w:val="enumlev1"/>
              <w:rPr>
                <w:lang w:val="fr-FR"/>
              </w:rPr>
            </w:pPr>
            <w:r w:rsidRPr="00815C7B">
              <w:rPr>
                <w:lang w:val="fr-FR"/>
              </w:rPr>
              <w:t>–</w:t>
            </w:r>
            <w:r w:rsidRPr="00815C7B">
              <w:rPr>
                <w:lang w:val="fr-FR"/>
              </w:rPr>
              <w:tab/>
              <w:t>les dispositions prises en matière d'interprétation pour les réunions de l'UIT-D;</w:t>
            </w:r>
          </w:p>
          <w:p w14:paraId="4082D7E8" w14:textId="10D6D473" w:rsidR="00A721F4" w:rsidRPr="00815C7B" w:rsidRDefault="000328E2" w:rsidP="000328E2">
            <w:pPr>
              <w:pStyle w:val="enumlev1"/>
              <w:rPr>
                <w:szCs w:val="24"/>
                <w:lang w:val="fr-FR"/>
              </w:rPr>
            </w:pPr>
            <w:r w:rsidRPr="00815C7B">
              <w:rPr>
                <w:lang w:val="fr-FR"/>
              </w:rPr>
              <w:t>–</w:t>
            </w:r>
            <w:r w:rsidRPr="00815C7B">
              <w:rPr>
                <w:lang w:val="fr-FR"/>
              </w:rPr>
              <w:tab/>
              <w:t>l'alignement sur les initiatives en matière de multilinguisme à l'échelle de l'Union examinées par le Groupe de travail du Conseil sur l'utilisation des langues (GTC-LANG).</w:t>
            </w:r>
          </w:p>
          <w:p w14:paraId="76A1C541" w14:textId="23209CDB" w:rsidR="00A721F4" w:rsidRPr="00815C7B" w:rsidRDefault="001011EB" w:rsidP="00EA0C51">
            <w:pPr>
              <w:spacing w:after="120"/>
              <w:rPr>
                <w:b/>
                <w:bCs/>
                <w:szCs w:val="24"/>
                <w:lang w:val="fr-FR"/>
              </w:rPr>
            </w:pPr>
            <w:r w:rsidRPr="00815C7B">
              <w:rPr>
                <w:b/>
                <w:bCs/>
                <w:lang w:val="fr-FR"/>
              </w:rPr>
              <w:t>Suite à donner</w:t>
            </w:r>
            <w:r w:rsidR="00A721F4" w:rsidRPr="00815C7B">
              <w:rPr>
                <w:b/>
                <w:bCs/>
                <w:lang w:val="fr-FR"/>
              </w:rPr>
              <w:t>:</w:t>
            </w:r>
          </w:p>
          <w:p w14:paraId="371956FC" w14:textId="251E7245" w:rsidR="00A721F4" w:rsidRPr="00815C7B" w:rsidRDefault="000328E2" w:rsidP="00EA0C51">
            <w:pPr>
              <w:spacing w:after="120"/>
              <w:rPr>
                <w:szCs w:val="24"/>
                <w:lang w:val="fr-FR"/>
              </w:rPr>
            </w:pPr>
            <w:r w:rsidRPr="00815C7B">
              <w:rPr>
                <w:lang w:val="fr-FR"/>
              </w:rPr>
              <w:t>Le GCDT est invité à prendre note du présent document.</w:t>
            </w:r>
          </w:p>
          <w:p w14:paraId="622ACB80" w14:textId="39EE560D" w:rsidR="00A721F4" w:rsidRPr="00815C7B" w:rsidRDefault="00A721F4" w:rsidP="00EA0C51">
            <w:pPr>
              <w:spacing w:after="120"/>
              <w:rPr>
                <w:b/>
                <w:bCs/>
                <w:szCs w:val="24"/>
                <w:lang w:val="fr-FR"/>
              </w:rPr>
            </w:pPr>
            <w:r w:rsidRPr="00815C7B">
              <w:rPr>
                <w:b/>
                <w:bCs/>
                <w:szCs w:val="24"/>
                <w:lang w:val="fr-FR"/>
              </w:rPr>
              <w:t>R</w:t>
            </w:r>
            <w:r w:rsidR="001011EB" w:rsidRPr="00815C7B">
              <w:rPr>
                <w:b/>
                <w:bCs/>
                <w:szCs w:val="24"/>
                <w:lang w:val="fr-FR"/>
              </w:rPr>
              <w:t>é</w:t>
            </w:r>
            <w:r w:rsidRPr="00815C7B">
              <w:rPr>
                <w:b/>
                <w:bCs/>
                <w:szCs w:val="24"/>
                <w:lang w:val="fr-FR"/>
              </w:rPr>
              <w:t>f</w:t>
            </w:r>
            <w:r w:rsidR="001011EB" w:rsidRPr="00815C7B">
              <w:rPr>
                <w:b/>
                <w:bCs/>
                <w:szCs w:val="24"/>
                <w:lang w:val="fr-FR"/>
              </w:rPr>
              <w:t>é</w:t>
            </w:r>
            <w:r w:rsidRPr="00815C7B">
              <w:rPr>
                <w:b/>
                <w:bCs/>
                <w:szCs w:val="24"/>
                <w:lang w:val="fr-FR"/>
              </w:rPr>
              <w:t>rences:</w:t>
            </w:r>
          </w:p>
          <w:p w14:paraId="62108071" w14:textId="068E26B9" w:rsidR="000328E2" w:rsidRPr="00815C7B" w:rsidRDefault="000328E2" w:rsidP="000328E2">
            <w:pPr>
              <w:spacing w:after="120"/>
              <w:rPr>
                <w:lang w:val="fr-FR"/>
              </w:rPr>
            </w:pPr>
            <w:r w:rsidRPr="00815C7B">
              <w:rPr>
                <w:lang w:val="fr-FR"/>
              </w:rPr>
              <w:t xml:space="preserve">Résolution </w:t>
            </w:r>
            <w:hyperlink r:id="rId12" w:history="1">
              <w:r w:rsidRPr="00815C7B">
                <w:rPr>
                  <w:rStyle w:val="Hyperlink"/>
                  <w:lang w:val="fr-FR"/>
                </w:rPr>
                <w:t>154</w:t>
              </w:r>
            </w:hyperlink>
            <w:r w:rsidRPr="00815C7B">
              <w:rPr>
                <w:lang w:val="fr-FR"/>
              </w:rPr>
              <w:t xml:space="preserve"> (Rév. Bucarest, 2022) de la Conférence de plénipotentiaires (PP-22)</w:t>
            </w:r>
          </w:p>
          <w:p w14:paraId="2E1C6B0F" w14:textId="34F469F3" w:rsidR="000328E2" w:rsidRPr="00815C7B" w:rsidRDefault="000328E2" w:rsidP="000328E2">
            <w:pPr>
              <w:spacing w:after="120"/>
              <w:rPr>
                <w:lang w:val="fr-FR"/>
              </w:rPr>
            </w:pPr>
            <w:r w:rsidRPr="00815C7B">
              <w:rPr>
                <w:lang w:val="fr-FR"/>
              </w:rPr>
              <w:t xml:space="preserve">Résolution </w:t>
            </w:r>
            <w:hyperlink r:id="rId13" w:history="1">
              <w:r w:rsidRPr="00815C7B">
                <w:rPr>
                  <w:rStyle w:val="Hyperlink"/>
                  <w:lang w:val="fr-FR"/>
                </w:rPr>
                <w:t>1</w:t>
              </w:r>
            </w:hyperlink>
            <w:r w:rsidRPr="00815C7B">
              <w:rPr>
                <w:lang w:val="fr-FR"/>
              </w:rPr>
              <w:t xml:space="preserve"> (Rév. Bakou, 2025) de la Conférence mondiale de développement des télécommunications (CMDT-25)</w:t>
            </w:r>
          </w:p>
          <w:p w14:paraId="1343E988" w14:textId="40EC23B3" w:rsidR="000328E2" w:rsidRPr="00815C7B" w:rsidRDefault="000328E2" w:rsidP="000328E2">
            <w:pPr>
              <w:spacing w:after="120"/>
              <w:rPr>
                <w:lang w:val="fr-FR"/>
              </w:rPr>
            </w:pPr>
            <w:r w:rsidRPr="00815C7B">
              <w:rPr>
                <w:lang w:val="fr-FR"/>
              </w:rPr>
              <w:t xml:space="preserve">Résolution </w:t>
            </w:r>
            <w:hyperlink r:id="rId14" w:history="1">
              <w:r w:rsidRPr="00815C7B">
                <w:rPr>
                  <w:rStyle w:val="Hyperlink"/>
                  <w:lang w:val="fr-FR"/>
                </w:rPr>
                <w:t>13</w:t>
              </w:r>
              <w:r w:rsidRPr="00815C7B">
                <w:rPr>
                  <w:rStyle w:val="Hyperlink"/>
                  <w:lang w:val="fr-FR"/>
                </w:rPr>
                <w:t>8</w:t>
              </w:r>
              <w:r w:rsidRPr="00815C7B">
                <w:rPr>
                  <w:rStyle w:val="Hyperlink"/>
                  <w:lang w:val="fr-FR"/>
                </w:rPr>
                <w:t>6</w:t>
              </w:r>
            </w:hyperlink>
            <w:r w:rsidRPr="00815C7B">
              <w:rPr>
                <w:lang w:val="fr-FR"/>
              </w:rPr>
              <w:t xml:space="preserve"> du Conseil de l'UIT (C17, dernière mod. C24)</w:t>
            </w:r>
          </w:p>
          <w:p w14:paraId="1ECDD20E" w14:textId="5EAD6635" w:rsidR="00A721F4" w:rsidRPr="00815C7B" w:rsidRDefault="000328E2" w:rsidP="000328E2">
            <w:pPr>
              <w:spacing w:after="120"/>
              <w:rPr>
                <w:szCs w:val="24"/>
                <w:lang w:val="fr-FR"/>
              </w:rPr>
            </w:pPr>
            <w:r w:rsidRPr="00815C7B">
              <w:rPr>
                <w:lang w:val="fr-FR"/>
              </w:rPr>
              <w:t xml:space="preserve">Résolution </w:t>
            </w:r>
            <w:hyperlink r:id="rId15" w:history="1">
              <w:r w:rsidRPr="00815C7B">
                <w:rPr>
                  <w:rStyle w:val="Hyperlink"/>
                  <w:lang w:val="fr-FR"/>
                </w:rPr>
                <w:t>137</w:t>
              </w:r>
              <w:r w:rsidRPr="00815C7B">
                <w:rPr>
                  <w:rStyle w:val="Hyperlink"/>
                  <w:lang w:val="fr-FR"/>
                </w:rPr>
                <w:t>2</w:t>
              </w:r>
            </w:hyperlink>
            <w:r w:rsidRPr="00815C7B">
              <w:rPr>
                <w:lang w:val="fr-FR"/>
              </w:rPr>
              <w:t xml:space="preserve"> du Conseil (C15, dernière mod. C24)</w:t>
            </w:r>
          </w:p>
        </w:tc>
      </w:tr>
    </w:tbl>
    <w:p w14:paraId="5B29B2A3" w14:textId="77777777" w:rsidR="00923CF1" w:rsidRPr="00815C7B" w:rsidRDefault="00923CF1">
      <w:pPr>
        <w:tabs>
          <w:tab w:val="clear" w:pos="794"/>
          <w:tab w:val="clear" w:pos="1191"/>
          <w:tab w:val="clear" w:pos="1588"/>
          <w:tab w:val="clear" w:pos="1985"/>
        </w:tabs>
        <w:overflowPunct/>
        <w:autoSpaceDE/>
        <w:autoSpaceDN/>
        <w:adjustRightInd/>
        <w:spacing w:before="0"/>
        <w:textAlignment w:val="auto"/>
        <w:rPr>
          <w:lang w:val="fr-FR"/>
        </w:rPr>
      </w:pPr>
      <w:r w:rsidRPr="00815C7B">
        <w:rPr>
          <w:lang w:val="fr-FR"/>
        </w:rPr>
        <w:br w:type="page"/>
      </w:r>
    </w:p>
    <w:p w14:paraId="4318A45A" w14:textId="24E740D7" w:rsidR="000328E2" w:rsidRPr="00815C7B" w:rsidRDefault="000328E2" w:rsidP="000328E2">
      <w:pPr>
        <w:pStyle w:val="Heading1"/>
        <w:rPr>
          <w:szCs w:val="24"/>
          <w:lang w:val="fr-FR"/>
        </w:rPr>
      </w:pPr>
      <w:r w:rsidRPr="00815C7B">
        <w:rPr>
          <w:lang w:val="fr-FR"/>
        </w:rPr>
        <w:lastRenderedPageBreak/>
        <w:t>1</w:t>
      </w:r>
      <w:r w:rsidRPr="00815C7B">
        <w:rPr>
          <w:lang w:val="fr-FR"/>
        </w:rPr>
        <w:tab/>
        <w:t>Introduction</w:t>
      </w:r>
    </w:p>
    <w:p w14:paraId="2365E597" w14:textId="3F16A718" w:rsidR="000328E2" w:rsidRPr="00815C7B" w:rsidRDefault="000328E2" w:rsidP="000328E2">
      <w:pPr>
        <w:rPr>
          <w:rFonts w:eastAsia="SimSun"/>
          <w:lang w:val="fr-FR"/>
        </w:rPr>
      </w:pPr>
      <w:r w:rsidRPr="00815C7B">
        <w:rPr>
          <w:lang w:val="fr-FR"/>
        </w:rPr>
        <w:t>1.1</w:t>
      </w:r>
      <w:r w:rsidR="002911FC" w:rsidRPr="00815C7B">
        <w:rPr>
          <w:lang w:val="fr-FR"/>
        </w:rPr>
        <w:tab/>
      </w:r>
      <w:r w:rsidRPr="00815C7B">
        <w:rPr>
          <w:lang w:val="fr-FR"/>
        </w:rPr>
        <w:t>La Conférence de plénipotentiaires de 2022 (PP-22), par sa Résolution 154 (Rév.</w:t>
      </w:r>
      <w:r w:rsidR="008B6C2B" w:rsidRPr="00815C7B">
        <w:rPr>
          <w:lang w:val="fr-FR"/>
        </w:rPr>
        <w:t> </w:t>
      </w:r>
      <w:r w:rsidRPr="00815C7B">
        <w:rPr>
          <w:lang w:val="fr-FR"/>
        </w:rPr>
        <w:t>Bucarest,</w:t>
      </w:r>
      <w:r w:rsidR="008B6C2B" w:rsidRPr="00815C7B">
        <w:rPr>
          <w:lang w:val="fr-FR"/>
        </w:rPr>
        <w:t> </w:t>
      </w:r>
      <w:r w:rsidRPr="00815C7B">
        <w:rPr>
          <w:lang w:val="fr-FR"/>
        </w:rPr>
        <w:t>2022), a réaffirmé le principe de l'utilisation des six langues officielles de l'Union et chargé l'Union de continuer de prendre toutes les mesures nécessaires pour assurer l'interprétation et la traduction des documents de l'UIT, tout en reconnaissant que certaines activités peuvent ne pas nécessiter l'utilisation des six langues.</w:t>
      </w:r>
    </w:p>
    <w:p w14:paraId="1725A3FB" w14:textId="3DC5357B" w:rsidR="000328E2" w:rsidRPr="00815C7B" w:rsidRDefault="000328E2" w:rsidP="000328E2">
      <w:pPr>
        <w:rPr>
          <w:rFonts w:eastAsia="SimSun"/>
          <w:lang w:val="fr-FR"/>
        </w:rPr>
      </w:pPr>
      <w:r w:rsidRPr="00815C7B">
        <w:rPr>
          <w:lang w:val="fr-FR"/>
        </w:rPr>
        <w:t>1.2</w:t>
      </w:r>
      <w:r w:rsidR="002911FC" w:rsidRPr="00815C7B">
        <w:rPr>
          <w:lang w:val="fr-FR"/>
        </w:rPr>
        <w:tab/>
      </w:r>
      <w:r w:rsidRPr="00815C7B">
        <w:rPr>
          <w:lang w:val="fr-FR"/>
        </w:rPr>
        <w:t xml:space="preserve">Dans sa Résolution </w:t>
      </w:r>
      <w:hyperlink r:id="rId16" w:history="1">
        <w:r w:rsidRPr="00815C7B">
          <w:rPr>
            <w:rStyle w:val="Hyperlink"/>
            <w:lang w:val="fr-FR"/>
          </w:rPr>
          <w:t>154</w:t>
        </w:r>
      </w:hyperlink>
      <w:r w:rsidRPr="00815C7B">
        <w:rPr>
          <w:lang w:val="fr-FR"/>
        </w:rPr>
        <w:t xml:space="preserve"> (Rév. Bucarest, 2022), la Conférence de plénipotentiaires charge le Secrétaire général de l'UIT, en collaboration étroite avec les Directeurs des Bureaux, de présenter chaque année un rapport au </w:t>
      </w:r>
      <w:hyperlink r:id="rId17" w:anchor="/fr" w:history="1">
        <w:r w:rsidRPr="00815C7B">
          <w:rPr>
            <w:rStyle w:val="Hyperlink"/>
            <w:lang w:val="fr-FR"/>
          </w:rPr>
          <w:t>Conseil et au Groupe de travail du Conseil sur l'utilisation des langues (GTC-LANG)</w:t>
        </w:r>
      </w:hyperlink>
      <w:r w:rsidRPr="00815C7B">
        <w:rPr>
          <w:lang w:val="fr-FR"/>
        </w:rPr>
        <w:t xml:space="preserve"> sur la mise en œuvre de la résolution. Le Conseil a continué d'examiner les progrès accomplis dans le cadre du GTC-LANG, y compris les discussions récentes sur le multilinguisme numérique, les modalités d'interprétation, la coordination de la terminologie et l'utilisation des nouvelles technologies.</w:t>
      </w:r>
      <w:hyperlink r:id="rId18"/>
      <w:hyperlink r:id="rId19"/>
    </w:p>
    <w:p w14:paraId="1A108AA9" w14:textId="3DA9E567" w:rsidR="000328E2" w:rsidRPr="00815C7B" w:rsidRDefault="000328E2" w:rsidP="000328E2">
      <w:pPr>
        <w:rPr>
          <w:rFonts w:eastAsia="SimSun"/>
          <w:lang w:val="fr-FR"/>
        </w:rPr>
      </w:pPr>
      <w:r w:rsidRPr="00815C7B">
        <w:rPr>
          <w:lang w:val="fr-FR"/>
        </w:rPr>
        <w:t>1.3</w:t>
      </w:r>
      <w:r w:rsidR="002911FC" w:rsidRPr="00815C7B">
        <w:rPr>
          <w:lang w:val="fr-FR"/>
        </w:rPr>
        <w:tab/>
      </w:r>
      <w:r w:rsidRPr="00815C7B">
        <w:rPr>
          <w:lang w:val="fr-FR"/>
        </w:rPr>
        <w:t>En outre, en vertu de la Résolution 154 (Rév. Bucarest, 2022) de la Conférence de plénipotentiaires, les groupes consultatifs des Secteurs, y compris le Groupe consultatif pour le développement des télécommunications (GCDT), sont chargés de procéder chaque année à un examen de l'utilisation sur un pied d'égalité de toutes les langues officielles de l'Union dans les publications et sur les sites web des Secteurs.</w:t>
      </w:r>
    </w:p>
    <w:p w14:paraId="07A42AE6" w14:textId="4AB62BA8" w:rsidR="000328E2" w:rsidRPr="00815C7B" w:rsidRDefault="000328E2" w:rsidP="000328E2">
      <w:pPr>
        <w:rPr>
          <w:rFonts w:eastAsia="SimSun"/>
          <w:lang w:val="fr-FR"/>
        </w:rPr>
      </w:pPr>
      <w:r w:rsidRPr="00815C7B">
        <w:rPr>
          <w:lang w:val="fr-FR"/>
        </w:rPr>
        <w:t>1.4</w:t>
      </w:r>
      <w:r w:rsidR="00815C7B" w:rsidRPr="00815C7B">
        <w:rPr>
          <w:lang w:val="fr-FR"/>
        </w:rPr>
        <w:tab/>
      </w:r>
      <w:r w:rsidRPr="00815C7B">
        <w:rPr>
          <w:lang w:val="fr-FR"/>
        </w:rPr>
        <w:t>Dans ce contexte, le présent document fait le point sur les mesures et les pratiques menées par le Bureau de développement des télécommunications (BDT), compte tenu des récents développements à l'échelle de l'UIT examinés par le GTC-LANG, dans la mesure où ils présentent un intérêt pour les activités de l'UIT-D.</w:t>
      </w:r>
    </w:p>
    <w:p w14:paraId="400E6131" w14:textId="35D9420D" w:rsidR="000328E2" w:rsidRPr="00815C7B" w:rsidRDefault="000328E2" w:rsidP="000328E2">
      <w:pPr>
        <w:pStyle w:val="Heading1"/>
        <w:rPr>
          <w:color w:val="000000"/>
          <w:lang w:val="fr-FR"/>
        </w:rPr>
      </w:pPr>
      <w:bookmarkStart w:id="6" w:name="_Toc268858428"/>
      <w:bookmarkStart w:id="7" w:name="_Toc496806874"/>
      <w:bookmarkStart w:id="8" w:name="_Toc500344028"/>
      <w:r w:rsidRPr="00815C7B">
        <w:rPr>
          <w:lang w:val="fr-FR"/>
        </w:rPr>
        <w:t>2</w:t>
      </w:r>
      <w:r w:rsidRPr="00815C7B">
        <w:rPr>
          <w:lang w:val="fr-FR"/>
        </w:rPr>
        <w:tab/>
        <w:t>Initiatives du BDT concernant l'utilisation de toutes les langues officielles</w:t>
      </w:r>
    </w:p>
    <w:p w14:paraId="02B37204" w14:textId="7060C469" w:rsidR="000328E2" w:rsidRPr="00815C7B" w:rsidRDefault="000328E2" w:rsidP="000328E2">
      <w:pPr>
        <w:pStyle w:val="Heading2"/>
        <w:rPr>
          <w:szCs w:val="24"/>
          <w:lang w:val="fr-FR"/>
        </w:rPr>
      </w:pPr>
      <w:r w:rsidRPr="00815C7B">
        <w:rPr>
          <w:lang w:val="fr-FR"/>
        </w:rPr>
        <w:t>2.1</w:t>
      </w:r>
      <w:r w:rsidRPr="00815C7B">
        <w:rPr>
          <w:lang w:val="fr-FR"/>
        </w:rPr>
        <w:tab/>
        <w:t>Accès multilingue aux sites web de l'UIT-D</w:t>
      </w:r>
    </w:p>
    <w:p w14:paraId="3929B56E" w14:textId="57BD784A" w:rsidR="000328E2" w:rsidRPr="00815C7B" w:rsidRDefault="000328E2" w:rsidP="000328E2">
      <w:pPr>
        <w:rPr>
          <w:lang w:val="fr-FR"/>
        </w:rPr>
      </w:pPr>
      <w:r w:rsidRPr="00815C7B">
        <w:rPr>
          <w:lang w:val="fr-FR"/>
        </w:rPr>
        <w:t>2.1.1</w:t>
      </w:r>
      <w:r w:rsidR="00815C7B" w:rsidRPr="00815C7B">
        <w:rPr>
          <w:lang w:val="fr-FR"/>
        </w:rPr>
        <w:tab/>
      </w:r>
      <w:r w:rsidRPr="00815C7B">
        <w:rPr>
          <w:lang w:val="fr-FR"/>
        </w:rPr>
        <w:t>Le BDT a poursuivi la migration des sites web de l'UIT-D vers la plate-forme WordPress officielle de l'UIT. Cette transition favorise l'accès multilingue au moyen de la traduction automatique et s'inscrit dans le cadre du nouveau projet de site web de l'UIT, qui vise à améliorer la cohérence, la navigation et la facilité de recherche multilingues sur les pages web de l'Union.</w:t>
      </w:r>
    </w:p>
    <w:p w14:paraId="10221CBA" w14:textId="0F813602" w:rsidR="000328E2" w:rsidRPr="00815C7B" w:rsidRDefault="000328E2" w:rsidP="000328E2">
      <w:pPr>
        <w:rPr>
          <w:lang w:val="fr-FR"/>
        </w:rPr>
      </w:pPr>
      <w:r w:rsidRPr="00815C7B">
        <w:rPr>
          <w:lang w:val="fr-FR"/>
        </w:rPr>
        <w:t>2.1.2</w:t>
      </w:r>
      <w:r w:rsidR="00815C7B" w:rsidRPr="00815C7B">
        <w:rPr>
          <w:lang w:val="fr-FR"/>
        </w:rPr>
        <w:tab/>
      </w:r>
      <w:r w:rsidRPr="00815C7B">
        <w:rPr>
          <w:lang w:val="fr-FR"/>
        </w:rPr>
        <w:t>Toutes les langues officielles sont actuellement prises en charge sur les sites web de l'UIT</w:t>
      </w:r>
      <w:r w:rsidR="00815C7B" w:rsidRPr="00815C7B">
        <w:rPr>
          <w:lang w:val="fr-FR"/>
        </w:rPr>
        <w:noBreakHyphen/>
      </w:r>
      <w:r w:rsidRPr="00815C7B">
        <w:rPr>
          <w:lang w:val="fr-FR"/>
        </w:rPr>
        <w:t>D grâce à la traduction automatique. Le BDT travaille en étroite collaboration avec les services linguistiques pour améliorer la qualité de la traduction, en particulier pour les contenus à forte visibilité et les documents urgents.</w:t>
      </w:r>
    </w:p>
    <w:p w14:paraId="07B4B4EF" w14:textId="2C26DA21" w:rsidR="000328E2" w:rsidRPr="00815C7B" w:rsidRDefault="000328E2" w:rsidP="000328E2">
      <w:pPr>
        <w:rPr>
          <w:lang w:val="fr-FR"/>
        </w:rPr>
      </w:pPr>
      <w:r w:rsidRPr="00815C7B">
        <w:rPr>
          <w:lang w:val="fr-FR"/>
        </w:rPr>
        <w:t>2.1.3</w:t>
      </w:r>
      <w:r w:rsidR="00815C7B" w:rsidRPr="00815C7B">
        <w:rPr>
          <w:lang w:val="fr-FR"/>
        </w:rPr>
        <w:tab/>
      </w:r>
      <w:r w:rsidRPr="00815C7B">
        <w:rPr>
          <w:lang w:val="fr-FR"/>
        </w:rPr>
        <w:t>Depuis la dernière réunion du GCDT, d'autres sites web de l'UIT-D ont été migrés vers WordPress et bénéficient désormais d'un accès multilingue, notamment:</w:t>
      </w:r>
    </w:p>
    <w:p w14:paraId="3A8DF27E" w14:textId="1360E4AE" w:rsidR="000328E2" w:rsidRPr="00815C7B" w:rsidRDefault="000328E2" w:rsidP="000328E2">
      <w:pPr>
        <w:pStyle w:val="enumlev1"/>
        <w:rPr>
          <w:lang w:val="fr-FR"/>
        </w:rPr>
      </w:pPr>
      <w:r w:rsidRPr="00815C7B">
        <w:rPr>
          <w:lang w:val="fr-FR"/>
        </w:rPr>
        <w:t>–</w:t>
      </w:r>
      <w:r w:rsidRPr="00815C7B">
        <w:rPr>
          <w:lang w:val="fr-FR"/>
        </w:rPr>
        <w:tab/>
        <w:t>le site web des partenariats de l'UIT-</w:t>
      </w:r>
      <w:r w:rsidR="008B6C2B" w:rsidRPr="00815C7B">
        <w:rPr>
          <w:lang w:val="fr-FR"/>
        </w:rPr>
        <w:t>D</w:t>
      </w:r>
      <w:r w:rsidRPr="00815C7B">
        <w:rPr>
          <w:lang w:val="fr-FR"/>
        </w:rPr>
        <w:t>;</w:t>
      </w:r>
    </w:p>
    <w:p w14:paraId="729C920E" w14:textId="4DBD4E21" w:rsidR="000328E2" w:rsidRPr="00815C7B" w:rsidRDefault="000328E2" w:rsidP="000328E2">
      <w:pPr>
        <w:pStyle w:val="enumlev1"/>
        <w:rPr>
          <w:lang w:val="fr-FR"/>
        </w:rPr>
      </w:pPr>
      <w:r w:rsidRPr="00815C7B">
        <w:rPr>
          <w:lang w:val="fr-FR"/>
        </w:rPr>
        <w:t>–</w:t>
      </w:r>
      <w:r w:rsidRPr="00815C7B">
        <w:rPr>
          <w:lang w:val="fr-FR"/>
        </w:rPr>
        <w:tab/>
        <w:t>le site web des Membres de l'UIT-D; et</w:t>
      </w:r>
    </w:p>
    <w:p w14:paraId="7B9C0B75" w14:textId="726B2DAA" w:rsidR="000328E2" w:rsidRPr="00815C7B" w:rsidRDefault="000328E2" w:rsidP="000328E2">
      <w:pPr>
        <w:pStyle w:val="enumlev1"/>
        <w:rPr>
          <w:lang w:val="fr-FR"/>
        </w:rPr>
      </w:pPr>
      <w:r w:rsidRPr="00815C7B">
        <w:rPr>
          <w:lang w:val="fr-FR"/>
        </w:rPr>
        <w:t>–</w:t>
      </w:r>
      <w:r w:rsidRPr="00815C7B">
        <w:rPr>
          <w:lang w:val="fr-FR"/>
        </w:rPr>
        <w:tab/>
        <w:t>le site web des projets de l'UIT-D.</w:t>
      </w:r>
    </w:p>
    <w:p w14:paraId="2C7088C2" w14:textId="402C2514" w:rsidR="000328E2" w:rsidRPr="00815C7B" w:rsidRDefault="000328E2" w:rsidP="008B6C2B">
      <w:pPr>
        <w:pStyle w:val="Heading2"/>
        <w:rPr>
          <w:szCs w:val="24"/>
          <w:lang w:val="fr-FR"/>
        </w:rPr>
      </w:pPr>
      <w:r w:rsidRPr="00815C7B">
        <w:rPr>
          <w:lang w:val="fr-FR"/>
        </w:rPr>
        <w:lastRenderedPageBreak/>
        <w:t>2.2</w:t>
      </w:r>
      <w:r w:rsidRPr="00815C7B">
        <w:rPr>
          <w:lang w:val="fr-FR"/>
        </w:rPr>
        <w:tab/>
        <w:t>Conférence mondiale de développement des télécommunications (CMDT)</w:t>
      </w:r>
    </w:p>
    <w:p w14:paraId="743B3AB0" w14:textId="353A5E1D" w:rsidR="000328E2" w:rsidRPr="00815C7B" w:rsidRDefault="000328E2" w:rsidP="008B6C2B">
      <w:pPr>
        <w:keepNext/>
        <w:keepLines/>
        <w:rPr>
          <w:lang w:val="fr-FR"/>
        </w:rPr>
      </w:pPr>
      <w:r w:rsidRPr="00815C7B">
        <w:rPr>
          <w:lang w:val="fr-FR"/>
        </w:rPr>
        <w:t>2.2.1</w:t>
      </w:r>
      <w:r w:rsidR="00815C7B" w:rsidRPr="00815C7B">
        <w:rPr>
          <w:lang w:val="fr-FR"/>
        </w:rPr>
        <w:tab/>
      </w:r>
      <w:r w:rsidRPr="00815C7B">
        <w:rPr>
          <w:lang w:val="fr-FR"/>
        </w:rPr>
        <w:t>Le site web de la Conférence mondiale de développement des télécommunications de</w:t>
      </w:r>
      <w:r w:rsidR="00815C7B" w:rsidRPr="00815C7B">
        <w:rPr>
          <w:lang w:val="fr-FR"/>
        </w:rPr>
        <w:t> </w:t>
      </w:r>
      <w:r w:rsidRPr="00815C7B">
        <w:rPr>
          <w:lang w:val="fr-FR"/>
        </w:rPr>
        <w:t>2025 (CMDT-25), y compris des réunions préparatoires régionales, a été le premier site web de la CMDT entièrement conçu sur la plate-forme WordPress. La traduction automatique a été complétée par une post-édition et un contrôle de qualité effectué par des collègues du BDT et des traducteurs professionnels, le cas échéant.</w:t>
      </w:r>
    </w:p>
    <w:p w14:paraId="1F476554" w14:textId="37C2DD91" w:rsidR="000328E2" w:rsidRPr="00815C7B" w:rsidRDefault="000328E2" w:rsidP="000328E2">
      <w:pPr>
        <w:rPr>
          <w:lang w:val="fr-FR"/>
        </w:rPr>
      </w:pPr>
      <w:r w:rsidRPr="00815C7B">
        <w:rPr>
          <w:lang w:val="fr-FR"/>
        </w:rPr>
        <w:t>2.2.2</w:t>
      </w:r>
      <w:r w:rsidR="00815C7B" w:rsidRPr="00815C7B">
        <w:rPr>
          <w:lang w:val="fr-FR"/>
        </w:rPr>
        <w:tab/>
      </w:r>
      <w:r w:rsidRPr="00815C7B">
        <w:rPr>
          <w:lang w:val="fr-FR"/>
        </w:rPr>
        <w:t>Cette approche a permis à tous les groupes linguistiques d'accéder rapidement aux informations relatives à la conférence et a contribué à améliorer la qualité de la traduction automatique tout en tenant compte des contraintes en matière de ressources.</w:t>
      </w:r>
    </w:p>
    <w:p w14:paraId="110716DE" w14:textId="40029EAE" w:rsidR="000328E2" w:rsidRPr="00815C7B" w:rsidRDefault="000328E2" w:rsidP="000328E2">
      <w:pPr>
        <w:pStyle w:val="Heading2"/>
        <w:rPr>
          <w:szCs w:val="24"/>
          <w:lang w:val="fr-FR"/>
        </w:rPr>
      </w:pPr>
      <w:r w:rsidRPr="00815C7B">
        <w:rPr>
          <w:lang w:val="fr-FR"/>
        </w:rPr>
        <w:t>2.3</w:t>
      </w:r>
      <w:r w:rsidRPr="00815C7B">
        <w:rPr>
          <w:lang w:val="fr-FR"/>
        </w:rPr>
        <w:tab/>
        <w:t>Interprétation et traduction dans le cadre des réunions de l'UIT-D</w:t>
      </w:r>
    </w:p>
    <w:p w14:paraId="580503D6" w14:textId="1EF3B818" w:rsidR="000328E2" w:rsidRPr="00815C7B" w:rsidRDefault="000328E2" w:rsidP="000328E2">
      <w:pPr>
        <w:rPr>
          <w:lang w:val="fr-FR"/>
        </w:rPr>
      </w:pPr>
      <w:r w:rsidRPr="00815C7B">
        <w:rPr>
          <w:lang w:val="fr-FR"/>
        </w:rPr>
        <w:t>2.3.1</w:t>
      </w:r>
      <w:r w:rsidR="00815C7B" w:rsidRPr="00815C7B">
        <w:rPr>
          <w:lang w:val="fr-FR"/>
        </w:rPr>
        <w:tab/>
      </w:r>
      <w:r w:rsidRPr="00815C7B">
        <w:rPr>
          <w:lang w:val="fr-FR"/>
        </w:rPr>
        <w:t>Conformément à la Résolution 1 (Rév. Bakou, 2025) de la CMDT, le BDT continue de fournir un service d'interprétation assuré par des professionnels pour les réunions du GCDT et des commissions d'études de l'UIT-D,</w:t>
      </w:r>
      <w:r w:rsidR="008B6C2B" w:rsidRPr="00815C7B">
        <w:rPr>
          <w:lang w:val="fr-FR"/>
        </w:rPr>
        <w:t xml:space="preserve"> </w:t>
      </w:r>
      <w:r w:rsidRPr="00815C7B">
        <w:rPr>
          <w:lang w:val="fr-FR"/>
        </w:rPr>
        <w:t>et de garantir la traduction par des professionnels des documents soumis dans les délais prescrits.</w:t>
      </w:r>
    </w:p>
    <w:p w14:paraId="537103A1" w14:textId="6432AD84" w:rsidR="000328E2" w:rsidRPr="00815C7B" w:rsidRDefault="000328E2" w:rsidP="000328E2">
      <w:pPr>
        <w:rPr>
          <w:lang w:val="fr-FR"/>
        </w:rPr>
      </w:pPr>
      <w:r w:rsidRPr="00815C7B">
        <w:rPr>
          <w:lang w:val="fr-FR"/>
        </w:rPr>
        <w:t>2.3.2</w:t>
      </w:r>
      <w:r w:rsidR="00815C7B" w:rsidRPr="00815C7B">
        <w:rPr>
          <w:lang w:val="fr-FR"/>
        </w:rPr>
        <w:tab/>
      </w:r>
      <w:r w:rsidRPr="00815C7B">
        <w:rPr>
          <w:lang w:val="fr-FR"/>
        </w:rPr>
        <w:t>En outre, ITU Translate, l'outil de traduction automatique de l'Union, reste disponible à tout moment pour faciliter l'accès aux documents dans les six langues officielles, y compris pour les contributions tardives et les documents d'information.</w:t>
      </w:r>
    </w:p>
    <w:p w14:paraId="31A51DFE" w14:textId="7B7095BC" w:rsidR="000328E2" w:rsidRPr="00815C7B" w:rsidRDefault="000328E2" w:rsidP="000328E2">
      <w:pPr>
        <w:rPr>
          <w:lang w:val="fr-FR"/>
        </w:rPr>
      </w:pPr>
      <w:r w:rsidRPr="00815C7B">
        <w:rPr>
          <w:lang w:val="fr-FR"/>
        </w:rPr>
        <w:t>2.3.3</w:t>
      </w:r>
      <w:r w:rsidR="00815C7B" w:rsidRPr="00815C7B">
        <w:rPr>
          <w:lang w:val="fr-FR"/>
        </w:rPr>
        <w:tab/>
      </w:r>
      <w:r w:rsidRPr="00815C7B">
        <w:rPr>
          <w:lang w:val="fr-FR"/>
        </w:rPr>
        <w:t>Les sites web des Commissions d'études de l'UIT-D utilisent actuellement à la fois la traduction humaine et la traduction automatique, selon la nature, la stabilité et la sensibilité technique du contenu.</w:t>
      </w:r>
    </w:p>
    <w:p w14:paraId="267C5F55" w14:textId="65ABCBC6" w:rsidR="000328E2" w:rsidRPr="00815C7B" w:rsidRDefault="000328E2" w:rsidP="000328E2">
      <w:pPr>
        <w:pStyle w:val="Heading2"/>
        <w:rPr>
          <w:szCs w:val="24"/>
          <w:lang w:val="fr-FR"/>
        </w:rPr>
      </w:pPr>
      <w:r w:rsidRPr="00815C7B">
        <w:rPr>
          <w:lang w:val="fr-FR"/>
        </w:rPr>
        <w:t>2.4</w:t>
      </w:r>
      <w:r w:rsidRPr="00815C7B">
        <w:rPr>
          <w:lang w:val="fr-FR"/>
        </w:rPr>
        <w:tab/>
        <w:t>Utilisation des nouvelles technologies linguistiques</w:t>
      </w:r>
    </w:p>
    <w:p w14:paraId="0C62135A" w14:textId="4A75F413" w:rsidR="000328E2" w:rsidRPr="00815C7B" w:rsidRDefault="000328E2" w:rsidP="000328E2">
      <w:pPr>
        <w:rPr>
          <w:lang w:val="fr-FR"/>
        </w:rPr>
      </w:pPr>
      <w:r w:rsidRPr="00815C7B">
        <w:rPr>
          <w:lang w:val="fr-FR"/>
        </w:rPr>
        <w:t>2.4.1</w:t>
      </w:r>
      <w:r w:rsidR="00815C7B" w:rsidRPr="00815C7B">
        <w:rPr>
          <w:lang w:val="fr-FR"/>
        </w:rPr>
        <w:tab/>
      </w:r>
      <w:r w:rsidRPr="00815C7B">
        <w:rPr>
          <w:lang w:val="fr-FR"/>
        </w:rPr>
        <w:t>Le BDT continue de surveiller et de tester les nouvelles technologies linguistiques conformément aux pratiques suivies à l'échelle de l'Union. En 2025, le BDT a testé l'interprétation fondée sur l'IA lors de certaines réunions de l'équipe de direction des Commissions d'études de l'UIT-D.</w:t>
      </w:r>
    </w:p>
    <w:p w14:paraId="298D2483" w14:textId="58984D9F" w:rsidR="000328E2" w:rsidRPr="00815C7B" w:rsidRDefault="000328E2" w:rsidP="000328E2">
      <w:pPr>
        <w:rPr>
          <w:lang w:val="fr-FR"/>
        </w:rPr>
      </w:pPr>
      <w:r w:rsidRPr="00815C7B">
        <w:rPr>
          <w:lang w:val="fr-FR"/>
        </w:rPr>
        <w:t>2.4.2</w:t>
      </w:r>
      <w:r w:rsidR="00815C7B" w:rsidRPr="00815C7B">
        <w:rPr>
          <w:lang w:val="fr-FR"/>
        </w:rPr>
        <w:tab/>
      </w:r>
      <w:r w:rsidRPr="00815C7B">
        <w:rPr>
          <w:lang w:val="fr-FR"/>
        </w:rPr>
        <w:t>Ces tests ont confirmé que, si les solutions fondées sur l'IA peuvent offrir des avantages potentiels pour les réunions informelles ou les réunions sans interprétation, elles ne sont pas adaptées aux réunions formelles ou aux réunions à caractère décisionnel, où la précision, la</w:t>
      </w:r>
      <w:r w:rsidR="00815C7B" w:rsidRPr="00815C7B">
        <w:rPr>
          <w:lang w:val="fr-FR"/>
        </w:rPr>
        <w:t xml:space="preserve"> </w:t>
      </w:r>
      <w:r w:rsidRPr="00815C7B">
        <w:rPr>
          <w:lang w:val="fr-FR"/>
        </w:rPr>
        <w:t>terminologie et la fiabilité restent essentielles.</w:t>
      </w:r>
    </w:p>
    <w:p w14:paraId="26BE6DA3" w14:textId="44D20022" w:rsidR="000328E2" w:rsidRPr="00815C7B" w:rsidRDefault="000328E2" w:rsidP="000328E2">
      <w:pPr>
        <w:rPr>
          <w:lang w:val="fr-FR"/>
        </w:rPr>
      </w:pPr>
      <w:r w:rsidRPr="00815C7B">
        <w:rPr>
          <w:lang w:val="fr-FR"/>
        </w:rPr>
        <w:t>2.4.3</w:t>
      </w:r>
      <w:r w:rsidR="00815C7B" w:rsidRPr="00815C7B">
        <w:rPr>
          <w:lang w:val="fr-FR"/>
        </w:rPr>
        <w:tab/>
      </w:r>
      <w:r w:rsidRPr="00815C7B">
        <w:rPr>
          <w:lang w:val="fr-FR"/>
        </w:rPr>
        <w:t>Le BDT continuera donc d'étudier ces technologies avec prudence, en coordination avec le Secrétariat général, sans pour autant remplacer les services d'interprétation professionnels lors des réunions statutaires de l'UIT-D.</w:t>
      </w:r>
    </w:p>
    <w:p w14:paraId="7280DAF5" w14:textId="6A85E3EC" w:rsidR="000328E2" w:rsidRPr="00815C7B" w:rsidRDefault="000328E2" w:rsidP="000328E2">
      <w:pPr>
        <w:pStyle w:val="Heading1"/>
        <w:rPr>
          <w:szCs w:val="24"/>
          <w:lang w:val="fr-FR"/>
        </w:rPr>
      </w:pPr>
      <w:r w:rsidRPr="00815C7B">
        <w:rPr>
          <w:lang w:val="fr-FR"/>
        </w:rPr>
        <w:t>3</w:t>
      </w:r>
      <w:r w:rsidRPr="00815C7B">
        <w:rPr>
          <w:lang w:val="fr-FR"/>
        </w:rPr>
        <w:tab/>
        <w:t>Conclusions</w:t>
      </w:r>
    </w:p>
    <w:p w14:paraId="545CD38D" w14:textId="2B1CADDB" w:rsidR="000328E2" w:rsidRPr="00815C7B" w:rsidRDefault="000328E2" w:rsidP="000328E2">
      <w:pPr>
        <w:rPr>
          <w:rFonts w:eastAsia="SimSun"/>
          <w:lang w:val="fr-FR"/>
        </w:rPr>
      </w:pPr>
      <w:r w:rsidRPr="00815C7B">
        <w:rPr>
          <w:lang w:val="fr-FR"/>
        </w:rPr>
        <w:t>3.1</w:t>
      </w:r>
      <w:r w:rsidR="00815C7B" w:rsidRPr="00815C7B">
        <w:rPr>
          <w:lang w:val="fr-FR"/>
        </w:rPr>
        <w:tab/>
      </w:r>
      <w:r w:rsidRPr="00815C7B">
        <w:rPr>
          <w:lang w:val="fr-FR"/>
        </w:rPr>
        <w:t>Le BDT reste déterminé à garantir l'utilisation équitable des six langues officielles de l'Union dans le cadre des activités de l'UIT-D, conformément au cadre juridique de l'Union et dans les limites des ressources disponibles.</w:t>
      </w:r>
    </w:p>
    <w:p w14:paraId="082CAD74" w14:textId="59C25531" w:rsidR="000328E2" w:rsidRPr="00815C7B" w:rsidRDefault="000328E2" w:rsidP="000328E2">
      <w:pPr>
        <w:rPr>
          <w:rFonts w:eastAsia="SimSun"/>
          <w:lang w:val="fr-FR"/>
        </w:rPr>
      </w:pPr>
      <w:r w:rsidRPr="00815C7B">
        <w:rPr>
          <w:lang w:val="fr-FR"/>
        </w:rPr>
        <w:t>3.2</w:t>
      </w:r>
      <w:r w:rsidR="00815C7B" w:rsidRPr="00815C7B">
        <w:rPr>
          <w:lang w:val="fr-FR"/>
        </w:rPr>
        <w:tab/>
      </w:r>
      <w:r w:rsidRPr="00815C7B">
        <w:rPr>
          <w:lang w:val="fr-FR"/>
        </w:rPr>
        <w:t>Les progrès récents en matière d'accès numérique multilingue, conjugués à la fourniture continue de services professionnels d'interprétation et de traduction, contribuent à améliorer la</w:t>
      </w:r>
      <w:r w:rsidR="0008364E" w:rsidRPr="00815C7B">
        <w:rPr>
          <w:lang w:val="fr-FR"/>
        </w:rPr>
        <w:t> </w:t>
      </w:r>
      <w:r w:rsidRPr="00815C7B">
        <w:rPr>
          <w:lang w:val="fr-FR"/>
        </w:rPr>
        <w:t>participation et l'inclusion des membres de l'UIT-D.</w:t>
      </w:r>
    </w:p>
    <w:p w14:paraId="3506FDD4" w14:textId="5027D774" w:rsidR="000328E2" w:rsidRPr="00815C7B" w:rsidRDefault="000328E2" w:rsidP="000328E2">
      <w:pPr>
        <w:rPr>
          <w:rFonts w:eastAsia="SimSun"/>
          <w:lang w:val="fr-FR"/>
        </w:rPr>
      </w:pPr>
      <w:r w:rsidRPr="00815C7B">
        <w:rPr>
          <w:lang w:val="fr-FR"/>
        </w:rPr>
        <w:lastRenderedPageBreak/>
        <w:t>3.3</w:t>
      </w:r>
      <w:r w:rsidR="00815C7B" w:rsidRPr="00815C7B">
        <w:rPr>
          <w:lang w:val="fr-FR"/>
        </w:rPr>
        <w:tab/>
      </w:r>
      <w:r w:rsidRPr="00815C7B">
        <w:rPr>
          <w:lang w:val="fr-FR"/>
        </w:rPr>
        <w:t>Le BDT continuera de tenir le GCDT informé des faits nouveaux pertinents et tiendra compte des orientations du GCDT dans la mise en œuvre continue de pratiques multilingues au sein de l'UIT-D.</w:t>
      </w:r>
    </w:p>
    <w:bookmarkEnd w:id="6"/>
    <w:bookmarkEnd w:id="7"/>
    <w:bookmarkEnd w:id="8"/>
    <w:p w14:paraId="2EC2844A" w14:textId="2D85BB50" w:rsidR="00821996" w:rsidRPr="00815C7B" w:rsidRDefault="000328E2" w:rsidP="000328E2">
      <w:pPr>
        <w:tabs>
          <w:tab w:val="left" w:pos="567"/>
          <w:tab w:val="left" w:pos="1701"/>
        </w:tabs>
        <w:spacing w:after="120"/>
        <w:jc w:val="center"/>
        <w:rPr>
          <w:rFonts w:cstheme="minorHAnsi"/>
          <w:szCs w:val="24"/>
          <w:lang w:val="fr-FR"/>
        </w:rPr>
      </w:pPr>
      <w:r w:rsidRPr="00815C7B">
        <w:rPr>
          <w:rFonts w:cstheme="minorHAnsi"/>
          <w:lang w:val="fr-FR"/>
        </w:rPr>
        <w:t>_______________</w:t>
      </w:r>
    </w:p>
    <w:sectPr w:rsidR="00821996" w:rsidRPr="00815C7B" w:rsidSect="00473791">
      <w:headerReference w:type="default" r:id="rId20"/>
      <w:footerReference w:type="first" r:id="rId21"/>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2911FC" w14:paraId="5C2B0E2D" w14:textId="77777777" w:rsidTr="005539C3">
      <w:tc>
        <w:tcPr>
          <w:tcW w:w="1526" w:type="dxa"/>
          <w:tcBorders>
            <w:top w:val="single" w:sz="4" w:space="0" w:color="000000" w:themeColor="text1"/>
          </w:tcBorders>
        </w:tcPr>
        <w:p w14:paraId="176205BE" w14:textId="77777777" w:rsidR="001B030A" w:rsidRPr="002911FC" w:rsidRDefault="001B030A" w:rsidP="001B030A">
          <w:pPr>
            <w:pStyle w:val="FirstFooter"/>
            <w:tabs>
              <w:tab w:val="left" w:pos="1559"/>
              <w:tab w:val="left" w:pos="3828"/>
            </w:tabs>
            <w:rPr>
              <w:sz w:val="18"/>
              <w:szCs w:val="18"/>
            </w:rPr>
          </w:pPr>
          <w:bookmarkStart w:id="9" w:name="Email"/>
          <w:bookmarkEnd w:id="9"/>
          <w:r w:rsidRPr="002911FC">
            <w:rPr>
              <w:sz w:val="18"/>
              <w:szCs w:val="18"/>
            </w:rPr>
            <w:t>Contact:</w:t>
          </w:r>
        </w:p>
      </w:tc>
      <w:tc>
        <w:tcPr>
          <w:tcW w:w="2410" w:type="dxa"/>
          <w:tcBorders>
            <w:top w:val="single" w:sz="4" w:space="0" w:color="000000" w:themeColor="text1"/>
          </w:tcBorders>
        </w:tcPr>
        <w:p w14:paraId="26830CB6" w14:textId="77777777" w:rsidR="001B030A" w:rsidRPr="002911FC" w:rsidRDefault="001B030A" w:rsidP="001B030A">
          <w:pPr>
            <w:pStyle w:val="FirstFooter"/>
            <w:tabs>
              <w:tab w:val="left" w:pos="2302"/>
            </w:tabs>
            <w:ind w:left="2302" w:hanging="2302"/>
            <w:rPr>
              <w:sz w:val="18"/>
              <w:szCs w:val="18"/>
              <w:lang w:val="en-US"/>
            </w:rPr>
          </w:pPr>
          <w:r w:rsidRPr="002911FC">
            <w:rPr>
              <w:sz w:val="18"/>
              <w:szCs w:val="18"/>
              <w:lang w:val="fr-CH"/>
            </w:rPr>
            <w:t>Nom/Organisation/Entité:</w:t>
          </w:r>
        </w:p>
      </w:tc>
      <w:tc>
        <w:tcPr>
          <w:tcW w:w="5919" w:type="dxa"/>
          <w:tcBorders>
            <w:top w:val="single" w:sz="4" w:space="0" w:color="000000" w:themeColor="text1"/>
          </w:tcBorders>
        </w:tcPr>
        <w:p w14:paraId="0C8B6EEC" w14:textId="71797D63" w:rsidR="001B030A" w:rsidRPr="002911FC" w:rsidRDefault="000328E2" w:rsidP="001B030A">
          <w:pPr>
            <w:pStyle w:val="FirstFooter"/>
            <w:rPr>
              <w:sz w:val="18"/>
              <w:szCs w:val="18"/>
              <w:highlight w:val="yellow"/>
            </w:rPr>
          </w:pPr>
          <w:r w:rsidRPr="002911FC">
            <w:rPr>
              <w:sz w:val="18"/>
              <w:szCs w:val="18"/>
            </w:rPr>
            <w:t>Mme Archana Gulati, Adjointe au Directeur du Bureau de développement des télécommunications</w:t>
          </w:r>
        </w:p>
      </w:tc>
    </w:tr>
    <w:tr w:rsidR="001B030A" w:rsidRPr="002911FC" w14:paraId="298FE8EB" w14:textId="77777777" w:rsidTr="005539C3">
      <w:tc>
        <w:tcPr>
          <w:tcW w:w="1526" w:type="dxa"/>
        </w:tcPr>
        <w:p w14:paraId="7ACBC842" w14:textId="77777777" w:rsidR="001B030A" w:rsidRPr="002911FC" w:rsidRDefault="001B030A" w:rsidP="001B030A">
          <w:pPr>
            <w:pStyle w:val="FirstFooter"/>
            <w:tabs>
              <w:tab w:val="left" w:pos="1559"/>
              <w:tab w:val="left" w:pos="3828"/>
            </w:tabs>
            <w:rPr>
              <w:sz w:val="18"/>
              <w:szCs w:val="18"/>
            </w:rPr>
          </w:pPr>
        </w:p>
      </w:tc>
      <w:tc>
        <w:tcPr>
          <w:tcW w:w="2410" w:type="dxa"/>
        </w:tcPr>
        <w:p w14:paraId="76CE8C1A" w14:textId="77777777" w:rsidR="001B030A" w:rsidRPr="002911FC" w:rsidRDefault="001B030A" w:rsidP="001B030A">
          <w:pPr>
            <w:pStyle w:val="FirstFooter"/>
            <w:tabs>
              <w:tab w:val="left" w:pos="2302"/>
            </w:tabs>
            <w:rPr>
              <w:sz w:val="18"/>
              <w:szCs w:val="18"/>
              <w:lang w:val="en-US"/>
            </w:rPr>
          </w:pPr>
          <w:r w:rsidRPr="002911FC">
            <w:rPr>
              <w:sz w:val="18"/>
              <w:szCs w:val="18"/>
              <w:lang w:val="fr-CH"/>
            </w:rPr>
            <w:t>Numéro de téléphone:</w:t>
          </w:r>
        </w:p>
      </w:tc>
      <w:tc>
        <w:tcPr>
          <w:tcW w:w="5919" w:type="dxa"/>
        </w:tcPr>
        <w:p w14:paraId="6CE1B2A9" w14:textId="126C17E0" w:rsidR="001B030A" w:rsidRPr="002911FC" w:rsidRDefault="000328E2" w:rsidP="001B030A">
          <w:pPr>
            <w:pStyle w:val="FirstFooter"/>
            <w:tabs>
              <w:tab w:val="left" w:pos="2302"/>
            </w:tabs>
            <w:rPr>
              <w:sz w:val="18"/>
              <w:szCs w:val="18"/>
              <w:highlight w:val="yellow"/>
              <w:lang w:val="en-US"/>
            </w:rPr>
          </w:pPr>
          <w:r w:rsidRPr="002911FC">
            <w:rPr>
              <w:sz w:val="18"/>
              <w:szCs w:val="18"/>
              <w:lang w:val="en-US"/>
            </w:rPr>
            <w:t>+41 22 730 6475</w:t>
          </w:r>
        </w:p>
      </w:tc>
    </w:tr>
    <w:tr w:rsidR="001B030A" w:rsidRPr="002911FC" w14:paraId="336F05F8" w14:textId="77777777" w:rsidTr="005539C3">
      <w:tc>
        <w:tcPr>
          <w:tcW w:w="1526" w:type="dxa"/>
        </w:tcPr>
        <w:p w14:paraId="10E74C07" w14:textId="77777777" w:rsidR="001B030A" w:rsidRPr="002911FC" w:rsidRDefault="001B030A" w:rsidP="001B030A">
          <w:pPr>
            <w:pStyle w:val="FirstFooter"/>
            <w:tabs>
              <w:tab w:val="left" w:pos="1559"/>
              <w:tab w:val="left" w:pos="3828"/>
            </w:tabs>
            <w:rPr>
              <w:sz w:val="18"/>
              <w:szCs w:val="18"/>
              <w:lang w:val="en-US"/>
            </w:rPr>
          </w:pPr>
        </w:p>
      </w:tc>
      <w:tc>
        <w:tcPr>
          <w:tcW w:w="2410" w:type="dxa"/>
        </w:tcPr>
        <w:p w14:paraId="145C550E" w14:textId="77777777" w:rsidR="001B030A" w:rsidRPr="002911FC" w:rsidRDefault="001B030A" w:rsidP="001B030A">
          <w:pPr>
            <w:pStyle w:val="FirstFooter"/>
            <w:tabs>
              <w:tab w:val="left" w:pos="2302"/>
            </w:tabs>
            <w:rPr>
              <w:sz w:val="18"/>
              <w:szCs w:val="18"/>
              <w:lang w:val="en-US"/>
            </w:rPr>
          </w:pPr>
          <w:r w:rsidRPr="002911FC">
            <w:rPr>
              <w:sz w:val="18"/>
              <w:szCs w:val="18"/>
              <w:lang w:val="fr-CH"/>
            </w:rPr>
            <w:t>Courriel</w:t>
          </w:r>
          <w:r w:rsidRPr="002911FC">
            <w:rPr>
              <w:sz w:val="18"/>
              <w:szCs w:val="18"/>
              <w:lang w:val="en-US"/>
            </w:rPr>
            <w:t>:</w:t>
          </w:r>
        </w:p>
      </w:tc>
      <w:tc>
        <w:tcPr>
          <w:tcW w:w="5919" w:type="dxa"/>
        </w:tcPr>
        <w:p w14:paraId="3537A984" w14:textId="22486E18" w:rsidR="000328E2" w:rsidRPr="002911FC" w:rsidRDefault="00815C7B" w:rsidP="000328E2">
          <w:pPr>
            <w:pStyle w:val="FirstFooter"/>
            <w:tabs>
              <w:tab w:val="left" w:pos="2302"/>
            </w:tabs>
            <w:rPr>
              <w:sz w:val="18"/>
              <w:szCs w:val="18"/>
              <w:lang w:val="en-US"/>
            </w:rPr>
          </w:pPr>
          <w:hyperlink r:id="rId1" w:history="1">
            <w:r w:rsidR="000328E2" w:rsidRPr="002911FC">
              <w:rPr>
                <w:rStyle w:val="Hyperlink"/>
                <w:sz w:val="18"/>
                <w:szCs w:val="18"/>
                <w:lang w:val="en-US"/>
              </w:rPr>
              <w:t>archana.gulati@itu.int</w:t>
            </w:r>
          </w:hyperlink>
        </w:p>
      </w:tc>
    </w:tr>
  </w:tbl>
  <w:p w14:paraId="4830D301" w14:textId="77777777" w:rsidR="00C80022" w:rsidRPr="002911FC" w:rsidRDefault="00C80022" w:rsidP="001B03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FE77" w14:textId="52C6A5D4"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0328E2">
      <w:rPr>
        <w:sz w:val="22"/>
        <w:szCs w:val="22"/>
        <w:lang w:val="de-CH"/>
      </w:rPr>
      <w:t>14</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02C3E"/>
    <w:multiLevelType w:val="multilevel"/>
    <w:tmpl w:val="9F6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D46E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2"/>
  </w:num>
  <w:num w:numId="2" w16cid:durableId="257641388">
    <w:abstractNumId w:val="1"/>
  </w:num>
  <w:num w:numId="3" w16cid:durableId="265045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28E2"/>
    <w:rsid w:val="00037A9E"/>
    <w:rsid w:val="00037F91"/>
    <w:rsid w:val="000539F1"/>
    <w:rsid w:val="00054747"/>
    <w:rsid w:val="00055A2A"/>
    <w:rsid w:val="000615C1"/>
    <w:rsid w:val="00061675"/>
    <w:rsid w:val="000743AA"/>
    <w:rsid w:val="0007632A"/>
    <w:rsid w:val="0008364E"/>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911F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A57A4"/>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3D0F"/>
    <w:rsid w:val="006A6549"/>
    <w:rsid w:val="006A7710"/>
    <w:rsid w:val="006A7A61"/>
    <w:rsid w:val="006B1E59"/>
    <w:rsid w:val="006B2FFB"/>
    <w:rsid w:val="006B5AA9"/>
    <w:rsid w:val="006C10A2"/>
    <w:rsid w:val="006C1F18"/>
    <w:rsid w:val="006C3CC5"/>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5C7B"/>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B6C2B"/>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1E11"/>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5415B"/>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0328E2"/>
    <w:rPr>
      <w:color w:val="605E5C"/>
      <w:shd w:val="clear" w:color="auto" w:fill="E1DFDD"/>
    </w:rPr>
  </w:style>
  <w:style w:type="paragraph" w:styleId="NormalWeb">
    <w:name w:val="Normal (Web)"/>
    <w:basedOn w:val="Normal"/>
    <w:uiPriority w:val="99"/>
    <w:unhideWhenUsed/>
    <w:rsid w:val="000328E2"/>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lang w:eastAsia="en-GB"/>
    </w:rPr>
  </w:style>
  <w:style w:type="paragraph" w:customStyle="1" w:styleId="scriptor-listitemlistlist-f69bd402-4176-4909-979b-570f783ffd6e1">
    <w:name w:val="scriptor-listitemlist!list-f69bd402-4176-4909-979b-570f783ffd6e1"/>
    <w:basedOn w:val="Normal"/>
    <w:rsid w:val="000328E2"/>
    <w:pPr>
      <w:tabs>
        <w:tab w:val="clear" w:pos="794"/>
        <w:tab w:val="clear" w:pos="1191"/>
        <w:tab w:val="clear" w:pos="1588"/>
        <w:tab w:val="clear" w:pos="1985"/>
      </w:tabs>
      <w:overflowPunct/>
      <w:autoSpaceDE/>
      <w:autoSpaceDN/>
      <w:adjustRightInd/>
      <w:spacing w:before="0" w:after="160"/>
      <w:textAlignment w:val="auto"/>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pub/D-RES-D.1-2022/fr" TargetMode="External"/><Relationship Id="rId18" Type="http://schemas.openxmlformats.org/officeDocument/2006/relationships/hyperlink" Target="https://www.itu.int/en/council/Documents/basic-texts-2023/RES-154-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en/council/Documents/basic-texts-2023/RES-154-F.pdf" TargetMode="External"/><Relationship Id="rId17" Type="http://schemas.openxmlformats.org/officeDocument/2006/relationships/hyperlink" Target="https://www.itu.int/en/council/cwg-lang/Pages/default.aspx" TargetMode="External"/><Relationship Id="rId2" Type="http://schemas.openxmlformats.org/officeDocument/2006/relationships/customXml" Target="../customXml/item2.xml"/><Relationship Id="rId16" Type="http://schemas.openxmlformats.org/officeDocument/2006/relationships/hyperlink" Target="https://www.itu.int/en/council/Documents/basic-texts-2023/RES-154-F.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tu.int/md/S24-CL-C-0138/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en/council/cwg-lang/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4-CL-C-0137/f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1130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6</cp:revision>
  <cp:lastPrinted>2014-11-04T09:22:00Z</cp:lastPrinted>
  <dcterms:created xsi:type="dcterms:W3CDTF">2026-03-17T15:09:00Z</dcterms:created>
  <dcterms:modified xsi:type="dcterms:W3CDTF">2026-03-18T09:18:00Z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