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C7625B" w14:paraId="504926DB" w14:textId="77777777" w:rsidTr="109A6197">
        <w:trPr>
          <w:cantSplit/>
          <w:trHeight w:val="1134"/>
        </w:trPr>
        <w:tc>
          <w:tcPr>
            <w:tcW w:w="6804" w:type="dxa"/>
          </w:tcPr>
          <w:p w14:paraId="124EAA9B" w14:textId="77777777" w:rsidR="002C0452" w:rsidRDefault="002C0452" w:rsidP="002C0452">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BE16DD5" w14:textId="6EF3A657" w:rsidR="00C7625B" w:rsidRPr="00421F93" w:rsidRDefault="00C7625B" w:rsidP="00C7625B">
            <w:pPr>
              <w:tabs>
                <w:tab w:val="clear" w:pos="1134"/>
              </w:tabs>
              <w:spacing w:after="48" w:line="240" w:lineRule="atLeast"/>
              <w:ind w:left="34"/>
              <w:rPr>
                <w:b/>
                <w:bCs/>
                <w:sz w:val="28"/>
                <w:szCs w:val="28"/>
              </w:rPr>
            </w:pPr>
            <w:r>
              <w:rPr>
                <w:b/>
                <w:sz w:val="26"/>
                <w:szCs w:val="26"/>
              </w:rPr>
              <w:t>33rd Meeting, Geneva, Switzerland, 7-10</w:t>
            </w:r>
            <w:r w:rsidR="002C0452" w:rsidRPr="006F24AF">
              <w:rPr>
                <w:b/>
                <w:bCs/>
                <w:sz w:val="26"/>
                <w:szCs w:val="26"/>
              </w:rPr>
              <w:t xml:space="preserve"> </w:t>
            </w:r>
            <w:r>
              <w:rPr>
                <w:b/>
                <w:sz w:val="26"/>
                <w:szCs w:val="26"/>
              </w:rPr>
              <w:t>April</w:t>
            </w:r>
            <w:r w:rsidR="002C0452" w:rsidRPr="006F24AF">
              <w:rPr>
                <w:b/>
                <w:bCs/>
                <w:sz w:val="26"/>
                <w:szCs w:val="26"/>
              </w:rPr>
              <w:t xml:space="preserve"> </w:t>
            </w:r>
            <w:r w:rsidRPr="006F24AF">
              <w:rPr>
                <w:b/>
                <w:sz w:val="26"/>
                <w:szCs w:val="26"/>
              </w:rPr>
              <w:t>202</w:t>
            </w:r>
            <w:r>
              <w:rPr>
                <w:b/>
                <w:sz w:val="26"/>
                <w:szCs w:val="26"/>
              </w:rPr>
              <w:t>6</w:t>
            </w:r>
          </w:p>
        </w:tc>
        <w:tc>
          <w:tcPr>
            <w:tcW w:w="3227" w:type="dxa"/>
          </w:tcPr>
          <w:p w14:paraId="672A6659" w14:textId="397B0D3E" w:rsidR="00C7625B" w:rsidRPr="00D96B4B" w:rsidRDefault="00B20CDD" w:rsidP="00D52E17">
            <w:pPr>
              <w:spacing w:line="240" w:lineRule="atLeast"/>
              <w:jc w:val="right"/>
              <w:rPr>
                <w:rFonts w:cstheme="minorHAnsi"/>
              </w:rPr>
            </w:pPr>
            <w:bookmarkStart w:id="0" w:name="ditulogo"/>
            <w:bookmarkEnd w:id="0"/>
            <w:r>
              <w:rPr>
                <w:noProof/>
                <w:lang w:val="fr-FR" w:eastAsia="fr-FR"/>
              </w:rPr>
              <w:drawing>
                <wp:inline distT="0" distB="0" distL="0" distR="0" wp14:anchorId="40B7D725" wp14:editId="67C5753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r w:rsidR="00C7625B">
              <w:rPr>
                <w:rStyle w:val="eop"/>
                <w:rFonts w:ascii="Calibri" w:hAnsi="Calibri" w:cs="Calibri"/>
              </w:rPr>
              <w:t> </w:t>
            </w:r>
          </w:p>
        </w:tc>
      </w:tr>
      <w:tr w:rsidR="00CF7A3C" w:rsidRPr="00C324A8" w14:paraId="4009051B" w14:textId="77777777" w:rsidTr="109A6197">
        <w:trPr>
          <w:cantSplit/>
        </w:trPr>
        <w:tc>
          <w:tcPr>
            <w:tcW w:w="6804" w:type="dxa"/>
            <w:tcBorders>
              <w:top w:val="single" w:sz="12" w:space="0" w:color="auto"/>
            </w:tcBorders>
          </w:tcPr>
          <w:p w14:paraId="0A37501D" w14:textId="77777777" w:rsidR="00CF7A3C" w:rsidRPr="00D96B4B" w:rsidRDefault="00CF7A3C" w:rsidP="00CF7A3C">
            <w:pPr>
              <w:spacing w:before="0" w:after="48" w:line="240" w:lineRule="atLeast"/>
              <w:rPr>
                <w:rFonts w:cstheme="minorHAnsi"/>
                <w:b/>
                <w:smallCaps/>
                <w:sz w:val="20"/>
              </w:rPr>
            </w:pPr>
            <w:bookmarkStart w:id="1" w:name="dhead"/>
          </w:p>
        </w:tc>
        <w:tc>
          <w:tcPr>
            <w:tcW w:w="3227" w:type="dxa"/>
            <w:tcBorders>
              <w:top w:val="single" w:sz="12" w:space="0" w:color="auto"/>
            </w:tcBorders>
          </w:tcPr>
          <w:p w14:paraId="5C1AB9BD" w14:textId="746FD1D4" w:rsidR="00CF7A3C" w:rsidRPr="00221CF4" w:rsidRDefault="00CF7A3C" w:rsidP="00CF7A3C">
            <w:pPr>
              <w:spacing w:before="0" w:line="240" w:lineRule="atLeast"/>
              <w:rPr>
                <w:rFonts w:cstheme="minorHAnsi"/>
                <w:b/>
                <w:bCs/>
                <w:szCs w:val="24"/>
              </w:rPr>
            </w:pPr>
          </w:p>
        </w:tc>
      </w:tr>
      <w:tr w:rsidR="00CF7A3C" w:rsidRPr="0038489B" w14:paraId="23831F19" w14:textId="77777777" w:rsidTr="109A6197">
        <w:trPr>
          <w:cantSplit/>
          <w:trHeight w:val="23"/>
        </w:trPr>
        <w:tc>
          <w:tcPr>
            <w:tcW w:w="6804" w:type="dxa"/>
          </w:tcPr>
          <w:p w14:paraId="5DAB6C7B" w14:textId="77777777" w:rsidR="00CF7A3C" w:rsidRPr="00D96B4B" w:rsidRDefault="00CF7A3C" w:rsidP="00CF7A3C">
            <w:pPr>
              <w:pStyle w:val="Committee"/>
              <w:framePr w:hSpace="0" w:wrap="auto" w:hAnchor="text" w:yAlign="inline"/>
            </w:pPr>
            <w:bookmarkStart w:id="2" w:name="dnum" w:colFirst="1" w:colLast="1"/>
            <w:bookmarkStart w:id="3" w:name="dmeeting" w:colFirst="0" w:colLast="0"/>
            <w:bookmarkEnd w:id="1"/>
          </w:p>
        </w:tc>
        <w:tc>
          <w:tcPr>
            <w:tcW w:w="3227" w:type="dxa"/>
          </w:tcPr>
          <w:p w14:paraId="16CAB3B1" w14:textId="505FC4F0" w:rsidR="00CF7A3C" w:rsidRPr="00E07105" w:rsidRDefault="00CF7A3C" w:rsidP="0355F7CC">
            <w:pPr>
              <w:tabs>
                <w:tab w:val="left" w:pos="851"/>
              </w:tabs>
              <w:spacing w:before="0" w:line="240" w:lineRule="atLeast"/>
              <w:rPr>
                <w:rFonts w:cstheme="minorBidi"/>
                <w:lang w:val="es-ES"/>
              </w:rPr>
            </w:pPr>
            <w:r w:rsidRPr="0355F7CC">
              <w:rPr>
                <w:b/>
                <w:bCs/>
                <w:lang w:val="es-ES"/>
              </w:rPr>
              <w:t xml:space="preserve">Document </w:t>
            </w:r>
            <w:bookmarkStart w:id="4" w:name="DocRef1"/>
            <w:bookmarkEnd w:id="4"/>
            <w:r w:rsidRPr="0355F7CC">
              <w:rPr>
                <w:b/>
                <w:bCs/>
                <w:lang w:val="es-ES"/>
              </w:rPr>
              <w:t>TDAG-</w:t>
            </w:r>
            <w:r w:rsidR="00C7625B">
              <w:rPr>
                <w:b/>
                <w:bCs/>
                <w:lang w:val="es-ES"/>
              </w:rPr>
              <w:t>26</w:t>
            </w:r>
            <w:r w:rsidRPr="0355F7CC">
              <w:rPr>
                <w:b/>
                <w:bCs/>
                <w:lang w:val="es-ES"/>
              </w:rPr>
              <w:t>/</w:t>
            </w:r>
            <w:r w:rsidR="007D57B8">
              <w:rPr>
                <w:b/>
                <w:bCs/>
                <w:lang w:val="es-ES"/>
              </w:rPr>
              <w:t>1</w:t>
            </w:r>
            <w:r w:rsidR="00E36040">
              <w:rPr>
                <w:b/>
                <w:bCs/>
                <w:lang w:val="es-ES"/>
              </w:rPr>
              <w:t>4</w:t>
            </w:r>
            <w:r w:rsidRPr="0355F7CC">
              <w:rPr>
                <w:b/>
                <w:bCs/>
                <w:lang w:val="es-ES"/>
              </w:rPr>
              <w:t>-E</w:t>
            </w:r>
          </w:p>
        </w:tc>
      </w:tr>
      <w:tr w:rsidR="00CF7A3C" w:rsidRPr="00C324A8" w14:paraId="428A0E59" w14:textId="77777777" w:rsidTr="109A6197">
        <w:trPr>
          <w:cantSplit/>
          <w:trHeight w:val="23"/>
        </w:trPr>
        <w:tc>
          <w:tcPr>
            <w:tcW w:w="6804" w:type="dxa"/>
          </w:tcPr>
          <w:p w14:paraId="02EB378F" w14:textId="77777777" w:rsidR="00CF7A3C" w:rsidRPr="00E07105" w:rsidRDefault="00CF7A3C" w:rsidP="00CF7A3C">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27" w:type="dxa"/>
          </w:tcPr>
          <w:p w14:paraId="6C9ACDCB" w14:textId="46869EC6" w:rsidR="00CF7A3C" w:rsidRPr="00D96B4B" w:rsidRDefault="13D4B583" w:rsidP="109A6197">
            <w:pPr>
              <w:spacing w:before="0" w:line="240" w:lineRule="atLeast"/>
              <w:rPr>
                <w:rFonts w:cstheme="minorBidi"/>
              </w:rPr>
            </w:pPr>
            <w:r w:rsidRPr="109A6197">
              <w:rPr>
                <w:b/>
                <w:bCs/>
                <w:lang w:val="fr-FR"/>
              </w:rPr>
              <w:t>3 March</w:t>
            </w:r>
            <w:r w:rsidR="3416B243" w:rsidRPr="109A6197">
              <w:rPr>
                <w:b/>
                <w:bCs/>
                <w:lang w:val="fr-FR"/>
              </w:rPr>
              <w:t>2026</w:t>
            </w:r>
          </w:p>
        </w:tc>
      </w:tr>
      <w:tr w:rsidR="00CF7A3C" w:rsidRPr="00C324A8" w14:paraId="24ED268E" w14:textId="77777777" w:rsidTr="109A6197">
        <w:trPr>
          <w:cantSplit/>
          <w:trHeight w:val="23"/>
        </w:trPr>
        <w:tc>
          <w:tcPr>
            <w:tcW w:w="6804" w:type="dxa"/>
          </w:tcPr>
          <w:p w14:paraId="6A05A809" w14:textId="77777777" w:rsidR="00CF7A3C" w:rsidRPr="00D96B4B" w:rsidRDefault="00CF7A3C" w:rsidP="00CF7A3C">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14:paraId="0B1DA3DE" w14:textId="77777777" w:rsidR="00CF7A3C" w:rsidRPr="00D96B4B" w:rsidRDefault="00CF7A3C" w:rsidP="00CF7A3C">
            <w:pPr>
              <w:tabs>
                <w:tab w:val="left" w:pos="993"/>
              </w:tabs>
              <w:spacing w:before="0"/>
              <w:rPr>
                <w:rFonts w:cstheme="minorHAnsi"/>
                <w:b/>
                <w:szCs w:val="24"/>
              </w:rPr>
            </w:pPr>
            <w:proofErr w:type="gramStart"/>
            <w:r w:rsidRPr="00930F7E">
              <w:rPr>
                <w:b/>
                <w:bCs/>
                <w:szCs w:val="24"/>
                <w:lang w:val="fr-FR"/>
              </w:rPr>
              <w:t>Original:</w:t>
            </w:r>
            <w:proofErr w:type="gramEnd"/>
            <w:r>
              <w:rPr>
                <w:b/>
                <w:bCs/>
                <w:szCs w:val="24"/>
                <w:lang w:val="fr-FR"/>
              </w:rPr>
              <w:t xml:space="preserve"> English</w:t>
            </w:r>
          </w:p>
        </w:tc>
      </w:tr>
      <w:tr w:rsidR="00CF7A3C" w:rsidRPr="00C324A8" w14:paraId="53F1FE98" w14:textId="77777777" w:rsidTr="109A6197">
        <w:trPr>
          <w:cantSplit/>
          <w:trHeight w:val="23"/>
        </w:trPr>
        <w:tc>
          <w:tcPr>
            <w:tcW w:w="10031" w:type="dxa"/>
            <w:gridSpan w:val="2"/>
          </w:tcPr>
          <w:p w14:paraId="188B6ED4" w14:textId="77777777" w:rsidR="00CF7A3C" w:rsidRPr="00D83BF5" w:rsidRDefault="00DD44A5" w:rsidP="00CF7A3C">
            <w:pPr>
              <w:pStyle w:val="Source"/>
              <w:spacing w:before="240" w:after="240"/>
            </w:pPr>
            <w:r w:rsidRPr="00DD44A5">
              <w:t>Director, Telecommunication Development Bureau</w:t>
            </w:r>
          </w:p>
        </w:tc>
      </w:tr>
      <w:tr w:rsidR="00CF7A3C" w:rsidRPr="00C324A8" w14:paraId="540B6D48" w14:textId="77777777" w:rsidTr="109A6197">
        <w:trPr>
          <w:cantSplit/>
          <w:trHeight w:val="23"/>
        </w:trPr>
        <w:tc>
          <w:tcPr>
            <w:tcW w:w="10031" w:type="dxa"/>
            <w:gridSpan w:val="2"/>
            <w:vAlign w:val="center"/>
          </w:tcPr>
          <w:p w14:paraId="40191E4D" w14:textId="6C5CBBB1" w:rsidR="00CF7A3C" w:rsidRDefault="28D207D2" w:rsidP="7AF3D878">
            <w:pPr>
              <w:spacing w:after="120"/>
              <w:jc w:val="center"/>
              <w:rPr>
                <w:rFonts w:ascii="Calibri" w:hAnsi="Calibri"/>
                <w:sz w:val="28"/>
                <w:szCs w:val="28"/>
              </w:rPr>
            </w:pPr>
            <w:r w:rsidRPr="7AF3D878">
              <w:rPr>
                <w:rFonts w:ascii="Calibri" w:hAnsi="Calibri"/>
                <w:sz w:val="28"/>
                <w:szCs w:val="28"/>
              </w:rPr>
              <w:t>U</w:t>
            </w:r>
            <w:r w:rsidR="002C0452">
              <w:rPr>
                <w:rFonts w:ascii="Calibri" w:hAnsi="Calibri"/>
                <w:sz w:val="28"/>
                <w:szCs w:val="28"/>
              </w:rPr>
              <w:t xml:space="preserve">se of all the official languages on an equal footing in </w:t>
            </w:r>
            <w:r w:rsidRPr="7AF3D878">
              <w:rPr>
                <w:rFonts w:ascii="Calibri" w:hAnsi="Calibri"/>
                <w:sz w:val="28"/>
                <w:szCs w:val="28"/>
              </w:rPr>
              <w:t>ITU-D</w:t>
            </w:r>
          </w:p>
        </w:tc>
      </w:tr>
      <w:tr w:rsidR="00CF7A3C" w:rsidRPr="00C324A8" w14:paraId="5A39BBE3" w14:textId="77777777" w:rsidTr="109A6197">
        <w:trPr>
          <w:cantSplit/>
          <w:trHeight w:val="23"/>
        </w:trPr>
        <w:tc>
          <w:tcPr>
            <w:tcW w:w="10031" w:type="dxa"/>
            <w:gridSpan w:val="2"/>
            <w:tcBorders>
              <w:bottom w:val="single" w:sz="4" w:space="0" w:color="auto"/>
            </w:tcBorders>
          </w:tcPr>
          <w:p w14:paraId="41C8F396" w14:textId="77777777" w:rsidR="00CF7A3C" w:rsidRPr="00B911B2" w:rsidRDefault="00CF7A3C" w:rsidP="00CF7A3C">
            <w:pPr>
              <w:pStyle w:val="Title1"/>
              <w:spacing w:before="120" w:after="120"/>
              <w:jc w:val="left"/>
              <w:rPr>
                <w:rFonts w:cs="Times New Roman Bold"/>
                <w:caps w:val="0"/>
                <w:szCs w:val="28"/>
              </w:rPr>
            </w:pPr>
          </w:p>
        </w:tc>
      </w:tr>
      <w:tr w:rsidR="00CF7A3C" w:rsidRPr="00C324A8" w14:paraId="4F352186" w14:textId="77777777" w:rsidTr="109A6197">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5695B085" w14:textId="77777777" w:rsidR="007A7AFB" w:rsidRPr="007A7AFB" w:rsidRDefault="00CF7A3C" w:rsidP="00F57E57">
            <w:pPr>
              <w:spacing w:after="120"/>
              <w:rPr>
                <w:szCs w:val="24"/>
              </w:rPr>
            </w:pPr>
            <w:r w:rsidRPr="007A7AFB">
              <w:rPr>
                <w:b/>
                <w:bCs/>
                <w:szCs w:val="24"/>
              </w:rPr>
              <w:t>Summary:</w:t>
            </w:r>
            <w:r w:rsidR="00DD6573" w:rsidRPr="007A7AFB">
              <w:rPr>
                <w:szCs w:val="24"/>
              </w:rPr>
              <w:t xml:space="preserve"> </w:t>
            </w:r>
          </w:p>
          <w:p w14:paraId="1F031DC1" w14:textId="77777777" w:rsidR="0089493A" w:rsidRDefault="0089493A" w:rsidP="00F57E57">
            <w:pPr>
              <w:spacing w:after="120"/>
            </w:pPr>
            <w:r w:rsidRPr="0089493A">
              <w:t>This document provides an update on the activities undertaken by the Telecommunication Development Bureau (BDT) to ensure the use of the six official languages of the Union on an equal footing, in line with Resolution 154 (Rev. Bucharest, 2022) of the Plenipotentiary Conference and relevant WTDC resolutions.</w:t>
            </w:r>
          </w:p>
          <w:p w14:paraId="55993134" w14:textId="77777777" w:rsidR="0089493A" w:rsidRPr="0089493A" w:rsidRDefault="0089493A" w:rsidP="00F57E57">
            <w:pPr>
              <w:spacing w:after="120"/>
            </w:pPr>
            <w:r w:rsidRPr="0089493A">
              <w:t>It highlights recent progress related to:</w:t>
            </w:r>
          </w:p>
          <w:p w14:paraId="71018BA7" w14:textId="48AB99FB" w:rsidR="0089493A" w:rsidRPr="0089493A" w:rsidRDefault="0089493A" w:rsidP="00F57E57">
            <w:pPr>
              <w:numPr>
                <w:ilvl w:val="0"/>
                <w:numId w:val="18"/>
              </w:numPr>
              <w:spacing w:before="60" w:after="60"/>
              <w:ind w:left="714" w:hanging="357"/>
            </w:pPr>
            <w:r w:rsidRPr="0089493A">
              <w:t>multilingual access to ITU</w:t>
            </w:r>
            <w:r w:rsidR="5F260EB7">
              <w:t>-</w:t>
            </w:r>
            <w:r w:rsidRPr="0089493A">
              <w:t xml:space="preserve">D digital </w:t>
            </w:r>
            <w:proofErr w:type="gramStart"/>
            <w:r w:rsidRPr="0089493A">
              <w:t>content;</w:t>
            </w:r>
            <w:proofErr w:type="gramEnd"/>
          </w:p>
          <w:p w14:paraId="635777DB" w14:textId="77777777" w:rsidR="0089493A" w:rsidRPr="0089493A" w:rsidRDefault="0089493A" w:rsidP="00F57E57">
            <w:pPr>
              <w:numPr>
                <w:ilvl w:val="0"/>
                <w:numId w:val="18"/>
              </w:numPr>
              <w:spacing w:before="60" w:after="60"/>
              <w:ind w:left="714" w:hanging="357"/>
            </w:pPr>
            <w:r w:rsidRPr="0089493A">
              <w:t xml:space="preserve">the use of machine translation and emerging language </w:t>
            </w:r>
            <w:proofErr w:type="gramStart"/>
            <w:r w:rsidRPr="0089493A">
              <w:t>technologies;</w:t>
            </w:r>
            <w:proofErr w:type="gramEnd"/>
          </w:p>
          <w:p w14:paraId="2D9E05DE" w14:textId="3D7D3D17" w:rsidR="0089493A" w:rsidRPr="0089493A" w:rsidRDefault="0089493A" w:rsidP="00F57E57">
            <w:pPr>
              <w:numPr>
                <w:ilvl w:val="0"/>
                <w:numId w:val="18"/>
              </w:numPr>
              <w:spacing w:before="60" w:after="60"/>
              <w:ind w:left="714" w:hanging="357"/>
            </w:pPr>
            <w:r w:rsidRPr="0089493A">
              <w:t>interpretation arrangements for ITU</w:t>
            </w:r>
            <w:r w:rsidR="5CCB45C0">
              <w:t>-</w:t>
            </w:r>
            <w:r w:rsidRPr="0089493A">
              <w:t>D meetings; and</w:t>
            </w:r>
          </w:p>
          <w:p w14:paraId="0C5E96DA" w14:textId="0D50B6F7" w:rsidR="00066A64" w:rsidRPr="0089493A" w:rsidRDefault="0089493A" w:rsidP="00F57E57">
            <w:pPr>
              <w:numPr>
                <w:ilvl w:val="0"/>
                <w:numId w:val="18"/>
              </w:numPr>
              <w:spacing w:before="60" w:after="60"/>
              <w:ind w:left="714" w:hanging="357"/>
            </w:pPr>
            <w:r w:rsidRPr="0089493A">
              <w:t>alignment with Union</w:t>
            </w:r>
            <w:r w:rsidRPr="0089493A">
              <w:noBreakHyphen/>
              <w:t>wide multilingualism initiatives discussed within the Council Working Group on Languages (CWG</w:t>
            </w:r>
            <w:r w:rsidRPr="0089493A">
              <w:noBreakHyphen/>
              <w:t>LANG)</w:t>
            </w:r>
            <w:r>
              <w:t>.</w:t>
            </w:r>
          </w:p>
          <w:p w14:paraId="1BDDDA08" w14:textId="77777777" w:rsidR="007A7AFB" w:rsidRPr="007A7AFB" w:rsidRDefault="00CF7A3C" w:rsidP="00F57E57">
            <w:pPr>
              <w:spacing w:after="120"/>
              <w:rPr>
                <w:b/>
                <w:bCs/>
                <w:szCs w:val="24"/>
              </w:rPr>
            </w:pPr>
            <w:r w:rsidRPr="007A7AFB">
              <w:rPr>
                <w:b/>
                <w:bCs/>
                <w:szCs w:val="24"/>
              </w:rPr>
              <w:t>Action required:</w:t>
            </w:r>
          </w:p>
          <w:p w14:paraId="3DABEFBB" w14:textId="1E98B72C" w:rsidR="00CF7A3C" w:rsidRPr="007A7AFB" w:rsidRDefault="00066A64" w:rsidP="00F57E57">
            <w:pPr>
              <w:spacing w:after="120"/>
              <w:rPr>
                <w:szCs w:val="24"/>
              </w:rPr>
            </w:pPr>
            <w:r w:rsidRPr="007A7AFB">
              <w:rPr>
                <w:szCs w:val="24"/>
              </w:rPr>
              <w:t>TDAG</w:t>
            </w:r>
            <w:r w:rsidRPr="007A7AFB">
              <w:rPr>
                <w:b/>
                <w:bCs/>
                <w:szCs w:val="24"/>
              </w:rPr>
              <w:t xml:space="preserve"> </w:t>
            </w:r>
            <w:r w:rsidRPr="007A7AFB">
              <w:rPr>
                <w:szCs w:val="24"/>
              </w:rPr>
              <w:t>is invited to note the document.</w:t>
            </w:r>
          </w:p>
          <w:p w14:paraId="7021E8D9" w14:textId="77777777" w:rsidR="007A7AFB" w:rsidRPr="007A7AFB" w:rsidRDefault="00CF7A3C" w:rsidP="00F57E57">
            <w:pPr>
              <w:spacing w:after="120"/>
              <w:rPr>
                <w:szCs w:val="24"/>
              </w:rPr>
            </w:pPr>
            <w:r w:rsidRPr="007A7AFB">
              <w:rPr>
                <w:b/>
                <w:bCs/>
                <w:szCs w:val="24"/>
              </w:rPr>
              <w:t>References:</w:t>
            </w:r>
            <w:r w:rsidR="00AE74E4" w:rsidRPr="007A7AFB">
              <w:rPr>
                <w:szCs w:val="24"/>
              </w:rPr>
              <w:t xml:space="preserve"> </w:t>
            </w:r>
          </w:p>
          <w:p w14:paraId="581E4D3F" w14:textId="77777777" w:rsidR="00C32B41" w:rsidRDefault="00C32B41" w:rsidP="00F57E57">
            <w:pPr>
              <w:spacing w:after="120"/>
            </w:pPr>
            <w:hyperlink r:id="rId12" w:history="1">
              <w:r w:rsidRPr="005328C8">
                <w:rPr>
                  <w:rStyle w:val="Hyperlink"/>
                  <w:rFonts w:ascii="Calibri" w:hAnsi="Calibri"/>
                </w:rPr>
                <w:t>Resolution 154</w:t>
              </w:r>
            </w:hyperlink>
            <w:r w:rsidRPr="00D61EA2">
              <w:rPr>
                <w:rFonts w:ascii="Calibri" w:hAnsi="Calibri"/>
              </w:rPr>
              <w:t xml:space="preserve"> (Rev. Bucharest, 2022)</w:t>
            </w:r>
            <w:r>
              <w:rPr>
                <w:rFonts w:ascii="Calibri" w:hAnsi="Calibri"/>
              </w:rPr>
              <w:t xml:space="preserve"> </w:t>
            </w:r>
            <w:r w:rsidRPr="00886722">
              <w:rPr>
                <w:rFonts w:ascii="Calibri" w:hAnsi="Calibri"/>
              </w:rPr>
              <w:t xml:space="preserve">of </w:t>
            </w:r>
            <w:r w:rsidRPr="00886722">
              <w:rPr>
                <w:rFonts w:ascii="Calibri" w:hAnsi="Calibri"/>
                <w:szCs w:val="24"/>
                <w:lang w:val="en-US"/>
              </w:rPr>
              <w:t>the Plenipotentiary Conference</w:t>
            </w:r>
            <w:r>
              <w:rPr>
                <w:rFonts w:ascii="Calibri" w:hAnsi="Calibri"/>
                <w:szCs w:val="24"/>
                <w:lang w:val="en-US"/>
              </w:rPr>
              <w:t xml:space="preserve"> (PP-22)</w:t>
            </w:r>
          </w:p>
          <w:p w14:paraId="1D86466D" w14:textId="1E1CF0D1" w:rsidR="00C32B41" w:rsidRDefault="00C32B41" w:rsidP="00F57E57">
            <w:pPr>
              <w:spacing w:after="120"/>
              <w:rPr>
                <w:rFonts w:ascii="Calibri" w:hAnsi="Calibri"/>
              </w:rPr>
            </w:pPr>
            <w:hyperlink r:id="rId13" w:history="1">
              <w:r w:rsidRPr="005328C8">
                <w:rPr>
                  <w:rStyle w:val="Hyperlink"/>
                  <w:rFonts w:ascii="Calibri" w:hAnsi="Calibri"/>
                </w:rPr>
                <w:t>Resolution 1</w:t>
              </w:r>
            </w:hyperlink>
            <w:r w:rsidRPr="003744CF">
              <w:rPr>
                <w:rFonts w:ascii="Calibri" w:hAnsi="Calibri"/>
              </w:rPr>
              <w:t xml:space="preserve"> (Rev. </w:t>
            </w:r>
            <w:r w:rsidR="009A0B54">
              <w:rPr>
                <w:rFonts w:ascii="Calibri" w:hAnsi="Calibri"/>
              </w:rPr>
              <w:t>Baku</w:t>
            </w:r>
            <w:r w:rsidRPr="003744CF">
              <w:rPr>
                <w:rFonts w:ascii="Calibri" w:hAnsi="Calibri"/>
              </w:rPr>
              <w:t>, 202</w:t>
            </w:r>
            <w:r w:rsidR="009A0B54">
              <w:rPr>
                <w:rFonts w:ascii="Calibri" w:hAnsi="Calibri"/>
              </w:rPr>
              <w:t>5</w:t>
            </w:r>
            <w:r w:rsidRPr="003744CF">
              <w:rPr>
                <w:rFonts w:ascii="Calibri" w:hAnsi="Calibri"/>
              </w:rPr>
              <w:t xml:space="preserve">) </w:t>
            </w:r>
            <w:r>
              <w:rPr>
                <w:rFonts w:ascii="Calibri" w:hAnsi="Calibri"/>
              </w:rPr>
              <w:t>of the World Telecommunication Development Conference (WTDC-2</w:t>
            </w:r>
            <w:r w:rsidR="009A0B54">
              <w:rPr>
                <w:rFonts w:ascii="Calibri" w:hAnsi="Calibri"/>
              </w:rPr>
              <w:t>5</w:t>
            </w:r>
            <w:r>
              <w:rPr>
                <w:rFonts w:ascii="Calibri" w:hAnsi="Calibri"/>
              </w:rPr>
              <w:t>)</w:t>
            </w:r>
          </w:p>
          <w:p w14:paraId="43488396" w14:textId="77777777" w:rsidR="00C32B41" w:rsidRDefault="00C32B41" w:rsidP="00F57E57">
            <w:pPr>
              <w:spacing w:after="120"/>
              <w:rPr>
                <w:rFonts w:ascii="Calibri" w:hAnsi="Calibri"/>
              </w:rPr>
            </w:pPr>
            <w:hyperlink r:id="rId14" w:history="1">
              <w:r w:rsidRPr="00CD0805">
                <w:rPr>
                  <w:rStyle w:val="Hyperlink"/>
                </w:rPr>
                <w:t xml:space="preserve">ITU </w:t>
              </w:r>
              <w:r w:rsidRPr="00CD0805">
                <w:rPr>
                  <w:rStyle w:val="Hyperlink"/>
                  <w:rFonts w:ascii="Calibri" w:hAnsi="Calibri"/>
                </w:rPr>
                <w:t>Council Resolution 1386</w:t>
              </w:r>
            </w:hyperlink>
            <w:r w:rsidRPr="00D61EA2">
              <w:rPr>
                <w:rFonts w:ascii="Calibri" w:hAnsi="Calibri"/>
              </w:rPr>
              <w:t xml:space="preserve"> (C17, last amended C24)</w:t>
            </w:r>
          </w:p>
          <w:p w14:paraId="0ED269C3" w14:textId="73549FFF" w:rsidR="00CF7A3C" w:rsidRPr="00D9621A" w:rsidRDefault="00C32B41" w:rsidP="00F57E57">
            <w:pPr>
              <w:spacing w:after="120"/>
            </w:pPr>
            <w:hyperlink r:id="rId15" w:history="1">
              <w:r w:rsidRPr="00CD0805">
                <w:rPr>
                  <w:rStyle w:val="Hyperlink"/>
                  <w:rFonts w:ascii="Calibri" w:hAnsi="Calibri"/>
                </w:rPr>
                <w:t>Council Resolution 1372</w:t>
              </w:r>
            </w:hyperlink>
            <w:r w:rsidRPr="00D61EA2">
              <w:rPr>
                <w:rFonts w:ascii="Calibri" w:hAnsi="Calibri"/>
              </w:rPr>
              <w:t xml:space="preserve"> (C15, last amended C24)</w:t>
            </w:r>
          </w:p>
        </w:tc>
      </w:tr>
      <w:bookmarkEnd w:id="7"/>
      <w:bookmarkEnd w:id="8"/>
    </w:tbl>
    <w:p w14:paraId="72A3D3EC" w14:textId="77777777" w:rsidR="00075C63" w:rsidRPr="00F00B00" w:rsidRDefault="00075C63" w:rsidP="00F00B00">
      <w:pPr>
        <w:tabs>
          <w:tab w:val="clear" w:pos="1134"/>
          <w:tab w:val="clear" w:pos="1871"/>
          <w:tab w:val="clear" w:pos="2268"/>
        </w:tabs>
        <w:overflowPunct/>
        <w:autoSpaceDE/>
        <w:autoSpaceDN/>
        <w:adjustRightInd/>
        <w:spacing w:beforeLines="120" w:before="288"/>
        <w:textAlignment w:val="auto"/>
        <w:rPr>
          <w:szCs w:val="24"/>
        </w:rPr>
      </w:pPr>
      <w:r w:rsidRPr="00F00B00">
        <w:rPr>
          <w:szCs w:val="24"/>
        </w:rPr>
        <w:br w:type="page"/>
      </w:r>
    </w:p>
    <w:p w14:paraId="377B6691" w14:textId="4622FF3D" w:rsidR="00F00B00" w:rsidRPr="00215A50" w:rsidRDefault="00A854E9" w:rsidP="00151338">
      <w:pPr>
        <w:pStyle w:val="ListParagraph"/>
        <w:keepNext/>
        <w:numPr>
          <w:ilvl w:val="0"/>
          <w:numId w:val="13"/>
        </w:numPr>
        <w:tabs>
          <w:tab w:val="clear" w:pos="1871"/>
          <w:tab w:val="clear" w:pos="2268"/>
          <w:tab w:val="left" w:pos="567"/>
          <w:tab w:val="left" w:pos="1701"/>
        </w:tabs>
        <w:spacing w:after="120"/>
        <w:ind w:left="357" w:hanging="357"/>
        <w:contextualSpacing w:val="0"/>
        <w:rPr>
          <w:rFonts w:cstheme="minorHAnsi"/>
          <w:b/>
          <w:bCs/>
          <w:szCs w:val="24"/>
        </w:rPr>
      </w:pPr>
      <w:r w:rsidRPr="00215A50">
        <w:rPr>
          <w:rFonts w:cstheme="minorHAnsi"/>
          <w:b/>
          <w:bCs/>
          <w:szCs w:val="24"/>
        </w:rPr>
        <w:lastRenderedPageBreak/>
        <w:t>Introduction</w:t>
      </w:r>
    </w:p>
    <w:p w14:paraId="23B7202C" w14:textId="38FA9093" w:rsidR="00433677" w:rsidRPr="00215A50" w:rsidRDefault="00433677" w:rsidP="00151338">
      <w:pPr>
        <w:pStyle w:val="NormalWeb"/>
        <w:spacing w:before="120" w:beforeAutospacing="0" w:after="120" w:afterAutospacing="0"/>
        <w:rPr>
          <w:rFonts w:asciiTheme="minorHAnsi" w:eastAsia="SimSun" w:hAnsiTheme="minorHAnsi" w:cstheme="minorHAnsi"/>
        </w:rPr>
      </w:pPr>
      <w:r w:rsidRPr="00215A50">
        <w:rPr>
          <w:rFonts w:asciiTheme="minorHAnsi" w:eastAsia="SimSun" w:hAnsiTheme="minorHAnsi" w:cstheme="minorHAnsi"/>
        </w:rPr>
        <w:t>1.1 The Plenipotentiary Conference 2022 (PP</w:t>
      </w:r>
      <w:r w:rsidRPr="00215A50">
        <w:rPr>
          <w:rFonts w:ascii="Cambria Math" w:eastAsia="SimSun" w:hAnsi="Cambria Math" w:cs="Cambria Math"/>
        </w:rPr>
        <w:t>‑</w:t>
      </w:r>
      <w:r w:rsidRPr="00215A50">
        <w:rPr>
          <w:rFonts w:asciiTheme="minorHAnsi" w:eastAsia="SimSun" w:hAnsiTheme="minorHAnsi" w:cstheme="minorHAnsi"/>
        </w:rPr>
        <w:t>22), through Resolution 154 (Rev. Bucharest, 2022), reaffirmed the principle of the use of the six official languages of the Union and instructed the Union to continue to take all necessary measures to ensure interpretation and translation of ITU documentation, while recognizing that certain activities may not require the use of all six languages.</w:t>
      </w:r>
    </w:p>
    <w:p w14:paraId="4359F56D" w14:textId="0FA671F4" w:rsidR="00433677" w:rsidRPr="002C0452" w:rsidRDefault="00433677" w:rsidP="00151338">
      <w:pPr>
        <w:pStyle w:val="NormalWeb"/>
        <w:spacing w:before="120" w:beforeAutospacing="0" w:after="120" w:afterAutospacing="0"/>
        <w:rPr>
          <w:rFonts w:asciiTheme="minorHAnsi" w:eastAsia="SimSun" w:hAnsiTheme="minorHAnsi" w:cstheme="minorHAnsi"/>
        </w:rPr>
      </w:pPr>
      <w:r w:rsidRPr="002C0452">
        <w:rPr>
          <w:rFonts w:asciiTheme="minorHAnsi" w:eastAsia="SimSun" w:hAnsiTheme="minorHAnsi" w:cstheme="minorHAnsi"/>
        </w:rPr>
        <w:t xml:space="preserve">1.2 </w:t>
      </w:r>
      <w:hyperlink r:id="rId16">
        <w:r w:rsidR="0014323C" w:rsidRPr="002C0452">
          <w:rPr>
            <w:rStyle w:val="Hyperlink"/>
            <w:rFonts w:asciiTheme="minorHAnsi" w:hAnsiTheme="minorHAnsi" w:cstheme="minorHAnsi"/>
          </w:rPr>
          <w:t>Resolution 154</w:t>
        </w:r>
      </w:hyperlink>
      <w:r w:rsidR="0014323C" w:rsidRPr="002C0452">
        <w:rPr>
          <w:rFonts w:asciiTheme="minorHAnsi" w:hAnsiTheme="minorHAnsi" w:cstheme="minorHAnsi"/>
        </w:rPr>
        <w:t xml:space="preserve"> </w:t>
      </w:r>
      <w:r w:rsidR="0014323C" w:rsidRPr="002C0452">
        <w:rPr>
          <w:rFonts w:asciiTheme="minorHAnsi" w:hAnsiTheme="minorHAnsi" w:cstheme="minorHAnsi"/>
          <w:color w:val="000000" w:themeColor="text1"/>
        </w:rPr>
        <w:t xml:space="preserve">(Rev. Bucharest, 2022) </w:t>
      </w:r>
      <w:r w:rsidRPr="002C0452">
        <w:rPr>
          <w:rFonts w:asciiTheme="minorHAnsi" w:eastAsia="SimSun" w:hAnsiTheme="minorHAnsi" w:cstheme="minorHAnsi"/>
          <w:color w:val="000000" w:themeColor="text1"/>
        </w:rPr>
        <w:t>further</w:t>
      </w:r>
      <w:r w:rsidRPr="002C0452">
        <w:rPr>
          <w:rFonts w:asciiTheme="minorHAnsi" w:eastAsia="SimSun" w:hAnsiTheme="minorHAnsi" w:cstheme="minorHAnsi"/>
        </w:rPr>
        <w:t xml:space="preserve"> instructs the Secretary</w:t>
      </w:r>
      <w:r w:rsidRPr="00215A50">
        <w:rPr>
          <w:rFonts w:ascii="Cambria Math" w:eastAsia="SimSun" w:hAnsi="Cambria Math" w:cs="Cambria Math"/>
        </w:rPr>
        <w:t>‑</w:t>
      </w:r>
      <w:r w:rsidRPr="002C0452">
        <w:rPr>
          <w:rFonts w:asciiTheme="minorHAnsi" w:eastAsia="SimSun" w:hAnsiTheme="minorHAnsi" w:cstheme="minorHAnsi"/>
        </w:rPr>
        <w:t xml:space="preserve">General, in close collaboration with the Directors of the Bureaux, to report annually to the Council and the </w:t>
      </w:r>
      <w:hyperlink r:id="rId17">
        <w:r w:rsidR="0014323C" w:rsidRPr="002C0452">
          <w:rPr>
            <w:rStyle w:val="Hyperlink"/>
            <w:rFonts w:asciiTheme="minorHAnsi" w:hAnsiTheme="minorHAnsi" w:cstheme="minorHAnsi"/>
          </w:rPr>
          <w:t>Council Working Group on Languages (CWG-Lang)</w:t>
        </w:r>
      </w:hyperlink>
      <w:r w:rsidRPr="002C0452">
        <w:rPr>
          <w:rFonts w:asciiTheme="minorHAnsi" w:eastAsia="SimSun" w:hAnsiTheme="minorHAnsi" w:cstheme="minorHAnsi"/>
        </w:rPr>
        <w:t xml:space="preserve"> on its implementation. The Council has continued to review progress through CWG</w:t>
      </w:r>
      <w:r w:rsidRPr="00215A50">
        <w:rPr>
          <w:rFonts w:ascii="Cambria Math" w:eastAsia="SimSun" w:hAnsi="Cambria Math" w:cs="Cambria Math"/>
        </w:rPr>
        <w:t>‑</w:t>
      </w:r>
      <w:r w:rsidRPr="002C0452">
        <w:rPr>
          <w:rFonts w:asciiTheme="minorHAnsi" w:eastAsia="SimSun" w:hAnsiTheme="minorHAnsi" w:cstheme="minorHAnsi"/>
        </w:rPr>
        <w:t>LANG, including recent discussions on digital multilingualism, interpretation modalities, terminology coordination and the use of new technologies.</w:t>
      </w:r>
    </w:p>
    <w:p w14:paraId="6D292E56" w14:textId="77777777" w:rsidR="00433677" w:rsidRPr="00215A50" w:rsidRDefault="00433677" w:rsidP="00151338">
      <w:pPr>
        <w:pStyle w:val="NormalWeb"/>
        <w:spacing w:before="120" w:beforeAutospacing="0" w:after="120" w:afterAutospacing="0"/>
        <w:rPr>
          <w:rFonts w:asciiTheme="minorHAnsi" w:eastAsia="SimSun" w:hAnsiTheme="minorHAnsi" w:cstheme="minorHAnsi"/>
        </w:rPr>
      </w:pPr>
      <w:r w:rsidRPr="00215A50">
        <w:rPr>
          <w:rFonts w:asciiTheme="minorHAnsi" w:eastAsia="SimSun" w:hAnsiTheme="minorHAnsi" w:cstheme="minorHAnsi"/>
        </w:rPr>
        <w:t>1.3 Resolution 154 also instructs the Sector Advisory Groups, including TDAG, to review annually the use of all official languages of the Union on an equal footing in sector publications and websites.</w:t>
      </w:r>
    </w:p>
    <w:p w14:paraId="1D14DAB9" w14:textId="6383498D" w:rsidR="0014323C" w:rsidRPr="00215A50" w:rsidRDefault="00433677" w:rsidP="00151338">
      <w:pPr>
        <w:pStyle w:val="NormalWeb"/>
        <w:spacing w:before="120" w:beforeAutospacing="0" w:after="120" w:afterAutospacing="0"/>
        <w:rPr>
          <w:rFonts w:asciiTheme="minorHAnsi" w:eastAsia="SimSun" w:hAnsiTheme="minorHAnsi" w:cstheme="minorHAnsi"/>
        </w:rPr>
      </w:pPr>
      <w:r w:rsidRPr="00215A50">
        <w:rPr>
          <w:rFonts w:asciiTheme="minorHAnsi" w:eastAsia="SimSun" w:hAnsiTheme="minorHAnsi" w:cstheme="minorHAnsi"/>
        </w:rPr>
        <w:t>1.4 In this context, the present document provides an update on BDT</w:t>
      </w:r>
      <w:r w:rsidRPr="00215A50">
        <w:rPr>
          <w:rFonts w:ascii="Cambria Math" w:eastAsia="SimSun" w:hAnsi="Cambria Math" w:cs="Cambria Math"/>
        </w:rPr>
        <w:t>‑</w:t>
      </w:r>
      <w:r w:rsidRPr="00215A50">
        <w:rPr>
          <w:rFonts w:asciiTheme="minorHAnsi" w:eastAsia="SimSun" w:hAnsiTheme="minorHAnsi" w:cstheme="minorHAnsi"/>
        </w:rPr>
        <w:t xml:space="preserve">specific actions and practices, </w:t>
      </w:r>
      <w:proofErr w:type="gramStart"/>
      <w:r w:rsidRPr="00215A50">
        <w:rPr>
          <w:rFonts w:asciiTheme="minorHAnsi" w:eastAsia="SimSun" w:hAnsiTheme="minorHAnsi" w:cstheme="minorHAnsi"/>
        </w:rPr>
        <w:t>taking into account</w:t>
      </w:r>
      <w:proofErr w:type="gramEnd"/>
      <w:r w:rsidRPr="00215A50">
        <w:rPr>
          <w:rFonts w:asciiTheme="minorHAnsi" w:eastAsia="SimSun" w:hAnsiTheme="minorHAnsi" w:cstheme="minorHAnsi"/>
        </w:rPr>
        <w:t xml:space="preserve"> recent </w:t>
      </w:r>
      <w:r w:rsidR="00636B2F" w:rsidRPr="00215A50">
        <w:rPr>
          <w:rFonts w:asciiTheme="minorHAnsi" w:eastAsia="SimSun" w:hAnsiTheme="minorHAnsi" w:cstheme="minorHAnsi"/>
        </w:rPr>
        <w:t xml:space="preserve">ITU </w:t>
      </w:r>
      <w:r w:rsidRPr="00215A50">
        <w:rPr>
          <w:rFonts w:asciiTheme="minorHAnsi" w:eastAsia="SimSun" w:hAnsiTheme="minorHAnsi" w:cstheme="minorHAnsi"/>
        </w:rPr>
        <w:t>wide developments discussed in CWG</w:t>
      </w:r>
      <w:r w:rsidRPr="00215A50">
        <w:rPr>
          <w:rFonts w:ascii="Cambria Math" w:eastAsia="SimSun" w:hAnsi="Cambria Math" w:cs="Cambria Math"/>
        </w:rPr>
        <w:t>‑</w:t>
      </w:r>
      <w:r w:rsidRPr="00215A50">
        <w:rPr>
          <w:rFonts w:asciiTheme="minorHAnsi" w:eastAsia="SimSun" w:hAnsiTheme="minorHAnsi" w:cstheme="minorHAnsi"/>
        </w:rPr>
        <w:t>LANG, in</w:t>
      </w:r>
      <w:r w:rsidR="00AB1337">
        <w:rPr>
          <w:rFonts w:asciiTheme="minorHAnsi" w:eastAsia="SimSun" w:hAnsiTheme="minorHAnsi" w:cstheme="minorHAnsi"/>
        </w:rPr>
        <w:t xml:space="preserve"> </w:t>
      </w:r>
      <w:r w:rsidRPr="00215A50">
        <w:rPr>
          <w:rFonts w:asciiTheme="minorHAnsi" w:eastAsia="SimSun" w:hAnsiTheme="minorHAnsi" w:cstheme="minorHAnsi"/>
        </w:rPr>
        <w:t>so</w:t>
      </w:r>
      <w:r w:rsidR="00AB1337">
        <w:rPr>
          <w:rFonts w:asciiTheme="minorHAnsi" w:eastAsia="SimSun" w:hAnsiTheme="minorHAnsi" w:cstheme="minorHAnsi"/>
        </w:rPr>
        <w:t xml:space="preserve"> </w:t>
      </w:r>
      <w:r w:rsidRPr="00215A50">
        <w:rPr>
          <w:rFonts w:asciiTheme="minorHAnsi" w:eastAsia="SimSun" w:hAnsiTheme="minorHAnsi" w:cstheme="minorHAnsi"/>
        </w:rPr>
        <w:t>far as they are relevant to ITU</w:t>
      </w:r>
      <w:r w:rsidRPr="00215A50">
        <w:rPr>
          <w:rFonts w:ascii="Cambria Math" w:eastAsia="SimSun" w:hAnsi="Cambria Math" w:cs="Cambria Math"/>
        </w:rPr>
        <w:t>‑</w:t>
      </w:r>
      <w:r w:rsidRPr="00215A50">
        <w:rPr>
          <w:rFonts w:asciiTheme="minorHAnsi" w:eastAsia="SimSun" w:hAnsiTheme="minorHAnsi" w:cstheme="minorHAnsi"/>
        </w:rPr>
        <w:t>D activities</w:t>
      </w:r>
      <w:r w:rsidR="0014323C" w:rsidRPr="00215A50">
        <w:rPr>
          <w:rFonts w:asciiTheme="minorHAnsi" w:eastAsia="SimSun" w:hAnsiTheme="minorHAnsi" w:cstheme="minorHAnsi"/>
        </w:rPr>
        <w:t>.</w:t>
      </w:r>
    </w:p>
    <w:p w14:paraId="775EFE48" w14:textId="4493A6BB" w:rsidR="00EC1684" w:rsidRPr="00215A50" w:rsidRDefault="00EC1684" w:rsidP="00151338">
      <w:pPr>
        <w:pStyle w:val="ListParagraph"/>
        <w:keepNext/>
        <w:numPr>
          <w:ilvl w:val="0"/>
          <w:numId w:val="13"/>
        </w:numPr>
        <w:tabs>
          <w:tab w:val="clear" w:pos="1871"/>
          <w:tab w:val="clear" w:pos="2268"/>
          <w:tab w:val="left" w:pos="567"/>
          <w:tab w:val="left" w:pos="1701"/>
        </w:tabs>
        <w:spacing w:after="120"/>
        <w:ind w:left="357" w:hanging="357"/>
        <w:contextualSpacing w:val="0"/>
        <w:rPr>
          <w:rFonts w:cstheme="minorHAnsi"/>
          <w:b/>
          <w:bCs/>
          <w:color w:val="000000"/>
        </w:rPr>
      </w:pPr>
      <w:bookmarkStart w:id="9" w:name="_Toc268858428"/>
      <w:bookmarkStart w:id="10" w:name="_Toc496806874"/>
      <w:bookmarkStart w:id="11" w:name="_Toc500344028"/>
      <w:r w:rsidRPr="002C0452">
        <w:rPr>
          <w:rFonts w:cstheme="minorHAnsi"/>
          <w:b/>
          <w:szCs w:val="24"/>
        </w:rPr>
        <w:t>BDT</w:t>
      </w:r>
      <w:r w:rsidR="00EE6E7D" w:rsidRPr="00215A50">
        <w:rPr>
          <w:rFonts w:cstheme="minorHAnsi"/>
          <w:b/>
          <w:bCs/>
          <w:color w:val="000000"/>
        </w:rPr>
        <w:t xml:space="preserve"> </w:t>
      </w:r>
      <w:r w:rsidRPr="00215A50">
        <w:rPr>
          <w:rFonts w:cstheme="minorHAnsi"/>
          <w:b/>
          <w:bCs/>
          <w:color w:val="000000"/>
        </w:rPr>
        <w:t>efforts on the use of all the official languages</w:t>
      </w:r>
    </w:p>
    <w:p w14:paraId="1E08DDF5" w14:textId="36DB8CD9" w:rsidR="00EE6E7D" w:rsidRPr="002C0452" w:rsidRDefault="00EE6E7D" w:rsidP="00151338">
      <w:pPr>
        <w:pStyle w:val="ListParagraph"/>
        <w:keepNext/>
        <w:numPr>
          <w:ilvl w:val="1"/>
          <w:numId w:val="13"/>
        </w:numPr>
        <w:tabs>
          <w:tab w:val="clear" w:pos="1871"/>
          <w:tab w:val="clear" w:pos="2268"/>
          <w:tab w:val="left" w:pos="567"/>
          <w:tab w:val="left" w:pos="1701"/>
        </w:tabs>
        <w:spacing w:after="120"/>
        <w:ind w:left="431" w:hanging="431"/>
        <w:contextualSpacing w:val="0"/>
        <w:rPr>
          <w:rFonts w:cstheme="minorHAnsi"/>
          <w:b/>
          <w:szCs w:val="24"/>
        </w:rPr>
      </w:pPr>
      <w:r w:rsidRPr="002C0452">
        <w:rPr>
          <w:rFonts w:cstheme="minorHAnsi"/>
          <w:b/>
          <w:szCs w:val="24"/>
        </w:rPr>
        <w:t>Multilingual access to ITU</w:t>
      </w:r>
      <w:r w:rsidRPr="002C0452">
        <w:rPr>
          <w:rFonts w:cstheme="minorHAnsi"/>
          <w:b/>
          <w:szCs w:val="24"/>
        </w:rPr>
        <w:noBreakHyphen/>
        <w:t>D websites</w:t>
      </w:r>
    </w:p>
    <w:p w14:paraId="5537C71C" w14:textId="76CB7A49" w:rsidR="00EE6E7D" w:rsidRPr="002C0452" w:rsidRDefault="00EE6E7D" w:rsidP="00151338">
      <w:pPr>
        <w:spacing w:after="120"/>
        <w:rPr>
          <w:rFonts w:cstheme="minorHAnsi"/>
        </w:rPr>
      </w:pPr>
      <w:r w:rsidRPr="002C0452">
        <w:rPr>
          <w:rFonts w:cstheme="minorHAnsi"/>
        </w:rPr>
        <w:t>2.1.1 BDT has continued the migration of ITU</w:t>
      </w:r>
      <w:r w:rsidR="008F7197" w:rsidRPr="002C0452">
        <w:rPr>
          <w:rFonts w:cstheme="minorHAnsi"/>
        </w:rPr>
        <w:t>-</w:t>
      </w:r>
      <w:r w:rsidRPr="002C0452">
        <w:rPr>
          <w:rFonts w:cstheme="minorHAnsi"/>
        </w:rPr>
        <w:t xml:space="preserve">D websites to the official ITU WordPress platform. This transition supports multilingual access </w:t>
      </w:r>
      <w:r w:rsidR="7334E64D" w:rsidRPr="002C0452">
        <w:rPr>
          <w:rFonts w:cstheme="minorHAnsi"/>
        </w:rPr>
        <w:t>using</w:t>
      </w:r>
      <w:r w:rsidRPr="002C0452">
        <w:rPr>
          <w:rFonts w:cstheme="minorHAnsi"/>
        </w:rPr>
        <w:t xml:space="preserve"> machine</w:t>
      </w:r>
      <w:r w:rsidR="7C76416D" w:rsidRPr="002C0452">
        <w:rPr>
          <w:rFonts w:cstheme="minorHAnsi"/>
        </w:rPr>
        <w:t>-</w:t>
      </w:r>
      <w:r w:rsidRPr="002C0452">
        <w:rPr>
          <w:rFonts w:cstheme="minorHAnsi"/>
        </w:rPr>
        <w:t xml:space="preserve">based translation and is aligned with the broader </w:t>
      </w:r>
      <w:r w:rsidR="005546FF" w:rsidRPr="002C0452">
        <w:rPr>
          <w:rFonts w:cstheme="minorHAnsi"/>
        </w:rPr>
        <w:t>n</w:t>
      </w:r>
      <w:r w:rsidRPr="002C0452">
        <w:rPr>
          <w:rFonts w:cstheme="minorHAnsi"/>
        </w:rPr>
        <w:t>ew ITU Website Project, which aims to improve multilingual consistency, navigation and searchability across the Union’s web presence.</w:t>
      </w:r>
    </w:p>
    <w:p w14:paraId="57DE6579" w14:textId="5D11DF47" w:rsidR="00EE6E7D" w:rsidRPr="00215A50" w:rsidRDefault="00BC589A" w:rsidP="00151338">
      <w:pPr>
        <w:spacing w:after="120"/>
        <w:rPr>
          <w:rFonts w:cstheme="minorHAnsi"/>
        </w:rPr>
      </w:pPr>
      <w:r w:rsidRPr="00215A50">
        <w:rPr>
          <w:rFonts w:cstheme="minorHAnsi"/>
        </w:rPr>
        <w:t xml:space="preserve">2.1.2 </w:t>
      </w:r>
      <w:r w:rsidR="00EE6E7D" w:rsidRPr="00215A50">
        <w:rPr>
          <w:rFonts w:cstheme="minorHAnsi"/>
        </w:rPr>
        <w:t>All official languages are currently supported on ITU</w:t>
      </w:r>
      <w:r w:rsidR="00EE6E7D" w:rsidRPr="00215A50">
        <w:rPr>
          <w:rFonts w:cstheme="minorHAnsi"/>
        </w:rPr>
        <w:noBreakHyphen/>
        <w:t>D websites through machine translation. BDT works closely with language services to improve translation quality, particularly for high</w:t>
      </w:r>
      <w:r w:rsidRPr="00215A50">
        <w:rPr>
          <w:rFonts w:cstheme="minorHAnsi"/>
        </w:rPr>
        <w:t xml:space="preserve"> </w:t>
      </w:r>
      <w:r w:rsidR="00EE6E7D" w:rsidRPr="00215A50">
        <w:rPr>
          <w:rFonts w:cstheme="minorHAnsi"/>
        </w:rPr>
        <w:t>visibility and time</w:t>
      </w:r>
      <w:r w:rsidRPr="00215A50">
        <w:rPr>
          <w:rFonts w:cstheme="minorHAnsi"/>
        </w:rPr>
        <w:t xml:space="preserve"> </w:t>
      </w:r>
      <w:r w:rsidR="00EE6E7D" w:rsidRPr="00215A50">
        <w:rPr>
          <w:rFonts w:cstheme="minorHAnsi"/>
        </w:rPr>
        <w:t>sensitive content.</w:t>
      </w:r>
    </w:p>
    <w:p w14:paraId="09E7A6CE" w14:textId="11AF8BA6" w:rsidR="00EE6E7D" w:rsidRPr="00215A50" w:rsidRDefault="002E4B70" w:rsidP="00151338">
      <w:pPr>
        <w:spacing w:after="120"/>
        <w:rPr>
          <w:rFonts w:cstheme="minorHAnsi"/>
        </w:rPr>
      </w:pPr>
      <w:r w:rsidRPr="00215A50">
        <w:rPr>
          <w:rFonts w:cstheme="minorHAnsi"/>
        </w:rPr>
        <w:t xml:space="preserve">2.1.3 </w:t>
      </w:r>
      <w:r w:rsidR="00EE6E7D" w:rsidRPr="00215A50">
        <w:rPr>
          <w:rFonts w:cstheme="minorHAnsi"/>
        </w:rPr>
        <w:t>Since the previous TDAG session, additional ITU</w:t>
      </w:r>
      <w:r w:rsidR="00EE6E7D" w:rsidRPr="00215A50">
        <w:rPr>
          <w:rFonts w:cstheme="minorHAnsi"/>
        </w:rPr>
        <w:noBreakHyphen/>
        <w:t>D websites have been migrated to WordPress and now benefit from multilingual access, including:</w:t>
      </w:r>
    </w:p>
    <w:p w14:paraId="16F6EA21" w14:textId="77777777" w:rsidR="00EE6E7D" w:rsidRPr="00215A50" w:rsidRDefault="00EE6E7D" w:rsidP="00151338">
      <w:pPr>
        <w:pStyle w:val="scriptor-listitemlistlist-f69bd402-4176-4909-979b-570f783ffd6e1"/>
        <w:numPr>
          <w:ilvl w:val="0"/>
          <w:numId w:val="17"/>
        </w:numPr>
        <w:spacing w:before="60" w:after="60"/>
        <w:ind w:left="714" w:hanging="357"/>
        <w:rPr>
          <w:rFonts w:asciiTheme="minorHAnsi" w:hAnsiTheme="minorHAnsi" w:cstheme="minorHAnsi"/>
        </w:rPr>
      </w:pPr>
      <w:r w:rsidRPr="00215A50">
        <w:rPr>
          <w:rFonts w:asciiTheme="minorHAnsi" w:hAnsiTheme="minorHAnsi" w:cstheme="minorHAnsi"/>
        </w:rPr>
        <w:t>the ITU</w:t>
      </w:r>
      <w:r w:rsidRPr="00215A50">
        <w:rPr>
          <w:rFonts w:asciiTheme="minorHAnsi" w:hAnsiTheme="minorHAnsi" w:cstheme="minorHAnsi"/>
        </w:rPr>
        <w:noBreakHyphen/>
        <w:t xml:space="preserve">D Partnerships </w:t>
      </w:r>
      <w:proofErr w:type="gramStart"/>
      <w:r w:rsidRPr="00215A50">
        <w:rPr>
          <w:rFonts w:asciiTheme="minorHAnsi" w:hAnsiTheme="minorHAnsi" w:cstheme="minorHAnsi"/>
        </w:rPr>
        <w:t>website;</w:t>
      </w:r>
      <w:proofErr w:type="gramEnd"/>
    </w:p>
    <w:p w14:paraId="1980BDCC" w14:textId="77777777" w:rsidR="00EE6E7D" w:rsidRPr="00215A50" w:rsidRDefault="00EE6E7D" w:rsidP="00151338">
      <w:pPr>
        <w:pStyle w:val="scriptor-listitemlistlist-f69bd402-4176-4909-979b-570f783ffd6e1"/>
        <w:numPr>
          <w:ilvl w:val="0"/>
          <w:numId w:val="17"/>
        </w:numPr>
        <w:spacing w:before="60" w:after="60"/>
        <w:ind w:left="714" w:hanging="357"/>
        <w:rPr>
          <w:rFonts w:asciiTheme="minorHAnsi" w:hAnsiTheme="minorHAnsi" w:cstheme="minorHAnsi"/>
        </w:rPr>
      </w:pPr>
      <w:r w:rsidRPr="00215A50">
        <w:rPr>
          <w:rFonts w:asciiTheme="minorHAnsi" w:hAnsiTheme="minorHAnsi" w:cstheme="minorHAnsi"/>
        </w:rPr>
        <w:t>the ITU</w:t>
      </w:r>
      <w:r w:rsidRPr="00215A50">
        <w:rPr>
          <w:rFonts w:asciiTheme="minorHAnsi" w:hAnsiTheme="minorHAnsi" w:cstheme="minorHAnsi"/>
        </w:rPr>
        <w:noBreakHyphen/>
        <w:t>D Membership website; and</w:t>
      </w:r>
    </w:p>
    <w:p w14:paraId="7AFDEB5C" w14:textId="77777777" w:rsidR="00EE6E7D" w:rsidRPr="00215A50" w:rsidRDefault="00EE6E7D" w:rsidP="00151338">
      <w:pPr>
        <w:pStyle w:val="scriptor-listitemlistlist-f69bd402-4176-4909-979b-570f783ffd6e1"/>
        <w:numPr>
          <w:ilvl w:val="0"/>
          <w:numId w:val="17"/>
        </w:numPr>
        <w:spacing w:before="60" w:after="60"/>
        <w:ind w:left="714" w:hanging="357"/>
        <w:rPr>
          <w:rFonts w:asciiTheme="minorHAnsi" w:hAnsiTheme="minorHAnsi" w:cstheme="minorHAnsi"/>
        </w:rPr>
      </w:pPr>
      <w:r w:rsidRPr="00215A50">
        <w:rPr>
          <w:rFonts w:asciiTheme="minorHAnsi" w:hAnsiTheme="minorHAnsi" w:cstheme="minorHAnsi"/>
        </w:rPr>
        <w:t>the ITU</w:t>
      </w:r>
      <w:r w:rsidRPr="00215A50">
        <w:rPr>
          <w:rFonts w:asciiTheme="minorHAnsi" w:hAnsiTheme="minorHAnsi" w:cstheme="minorHAnsi"/>
        </w:rPr>
        <w:noBreakHyphen/>
        <w:t>D Projects website.</w:t>
      </w:r>
    </w:p>
    <w:p w14:paraId="7A3B27B9" w14:textId="68F6B8D5" w:rsidR="00EE6E7D" w:rsidRPr="002C0452" w:rsidRDefault="00EE6E7D" w:rsidP="00151338">
      <w:pPr>
        <w:pStyle w:val="ListParagraph"/>
        <w:keepNext/>
        <w:numPr>
          <w:ilvl w:val="1"/>
          <w:numId w:val="13"/>
        </w:numPr>
        <w:tabs>
          <w:tab w:val="clear" w:pos="1871"/>
          <w:tab w:val="clear" w:pos="2268"/>
          <w:tab w:val="left" w:pos="567"/>
          <w:tab w:val="left" w:pos="1701"/>
        </w:tabs>
        <w:spacing w:after="120"/>
        <w:ind w:left="431" w:hanging="431"/>
        <w:contextualSpacing w:val="0"/>
        <w:rPr>
          <w:rFonts w:cstheme="minorHAnsi"/>
          <w:b/>
          <w:szCs w:val="24"/>
        </w:rPr>
      </w:pPr>
      <w:r w:rsidRPr="002C0452">
        <w:rPr>
          <w:rFonts w:cstheme="minorHAnsi"/>
          <w:b/>
          <w:szCs w:val="24"/>
        </w:rPr>
        <w:t>World Telecommunication Development Conference (WTDC)</w:t>
      </w:r>
    </w:p>
    <w:p w14:paraId="72F5F1AE" w14:textId="35003846" w:rsidR="00F5694B" w:rsidRPr="002C0452" w:rsidRDefault="002E4B70" w:rsidP="00151338">
      <w:pPr>
        <w:spacing w:after="120"/>
        <w:rPr>
          <w:rFonts w:cstheme="minorHAnsi"/>
        </w:rPr>
      </w:pPr>
      <w:r w:rsidRPr="002C0452">
        <w:rPr>
          <w:rFonts w:cstheme="minorHAnsi"/>
        </w:rPr>
        <w:t>2.2.1</w:t>
      </w:r>
      <w:r w:rsidR="00F5694B" w:rsidRPr="002C0452">
        <w:rPr>
          <w:rFonts w:cstheme="minorHAnsi"/>
        </w:rPr>
        <w:t xml:space="preserve"> </w:t>
      </w:r>
      <w:r w:rsidR="00EE6E7D" w:rsidRPr="002C0452">
        <w:rPr>
          <w:rFonts w:cstheme="minorHAnsi"/>
        </w:rPr>
        <w:t>The World Telecommunication Development Conference 2025 (WTDC</w:t>
      </w:r>
      <w:r w:rsidR="00AC42DD" w:rsidRPr="002C0452">
        <w:rPr>
          <w:rFonts w:cstheme="minorHAnsi"/>
        </w:rPr>
        <w:t>-</w:t>
      </w:r>
      <w:r w:rsidR="00EE6E7D" w:rsidRPr="002C0452">
        <w:rPr>
          <w:rFonts w:cstheme="minorHAnsi"/>
        </w:rPr>
        <w:t xml:space="preserve">25) website, including its Regional Preparatory Meetings, </w:t>
      </w:r>
      <w:r w:rsidR="340F345F" w:rsidRPr="002C0452">
        <w:rPr>
          <w:rFonts w:cstheme="minorHAnsi"/>
        </w:rPr>
        <w:t>was</w:t>
      </w:r>
      <w:r w:rsidR="00EE6E7D" w:rsidRPr="002C0452">
        <w:rPr>
          <w:rFonts w:cstheme="minorHAnsi"/>
        </w:rPr>
        <w:t xml:space="preserve"> the first WTDC website developed entirely on the WordPress platform. It benefit</w:t>
      </w:r>
      <w:r w:rsidR="0C0F740C" w:rsidRPr="002C0452">
        <w:rPr>
          <w:rFonts w:cstheme="minorHAnsi"/>
        </w:rPr>
        <w:t>ed</w:t>
      </w:r>
      <w:r w:rsidR="00EE6E7D" w:rsidRPr="002C0452">
        <w:rPr>
          <w:rFonts w:cstheme="minorHAnsi"/>
        </w:rPr>
        <w:t xml:space="preserve"> from machine translation complemented by post</w:t>
      </w:r>
      <w:r w:rsidR="7B57425B" w:rsidRPr="002C0452">
        <w:rPr>
          <w:rFonts w:cstheme="minorHAnsi"/>
        </w:rPr>
        <w:t xml:space="preserve"> </w:t>
      </w:r>
      <w:r w:rsidR="00EE6E7D" w:rsidRPr="002C0452">
        <w:rPr>
          <w:rFonts w:cstheme="minorHAnsi"/>
        </w:rPr>
        <w:t>editing and quality control by BDT colleagues and professional translators, where appropriate.</w:t>
      </w:r>
    </w:p>
    <w:p w14:paraId="3F5B7BC2" w14:textId="55CC1BB3" w:rsidR="00EE6E7D" w:rsidRPr="00215A50" w:rsidRDefault="664E1004" w:rsidP="109A6197">
      <w:pPr>
        <w:spacing w:after="120"/>
        <w:rPr>
          <w:rFonts w:cstheme="minorBidi"/>
        </w:rPr>
      </w:pPr>
      <w:r w:rsidRPr="109A6197">
        <w:rPr>
          <w:rFonts w:cstheme="minorBidi"/>
        </w:rPr>
        <w:t>2.2.</w:t>
      </w:r>
      <w:r w:rsidR="512963FD" w:rsidRPr="109A6197">
        <w:rPr>
          <w:rFonts w:cstheme="minorBidi"/>
        </w:rPr>
        <w:t>2</w:t>
      </w:r>
      <w:r w:rsidRPr="109A6197">
        <w:rPr>
          <w:rFonts w:cstheme="minorBidi"/>
        </w:rPr>
        <w:t xml:space="preserve"> T</w:t>
      </w:r>
      <w:r w:rsidR="00865CDD" w:rsidRPr="109A6197">
        <w:rPr>
          <w:rFonts w:cstheme="minorBidi"/>
        </w:rPr>
        <w:t>his approach support</w:t>
      </w:r>
      <w:r w:rsidR="6A7BF107" w:rsidRPr="109A6197">
        <w:rPr>
          <w:rFonts w:cstheme="minorBidi"/>
        </w:rPr>
        <w:t>ed</w:t>
      </w:r>
      <w:r w:rsidR="00865CDD" w:rsidRPr="109A6197">
        <w:rPr>
          <w:rFonts w:cstheme="minorBidi"/>
        </w:rPr>
        <w:t xml:space="preserve"> timely access to conference</w:t>
      </w:r>
      <w:r w:rsidR="4FCB47EB" w:rsidRPr="109A6197">
        <w:rPr>
          <w:rFonts w:cstheme="minorBidi"/>
        </w:rPr>
        <w:t xml:space="preserve"> </w:t>
      </w:r>
      <w:r w:rsidR="00865CDD" w:rsidRPr="109A6197">
        <w:rPr>
          <w:rFonts w:cstheme="minorBidi"/>
        </w:rPr>
        <w:t xml:space="preserve">related information for all linguistic groups </w:t>
      </w:r>
      <w:r w:rsidR="4233EDE0" w:rsidRPr="109A6197">
        <w:rPr>
          <w:rFonts w:cstheme="minorBidi"/>
        </w:rPr>
        <w:t>and contribute</w:t>
      </w:r>
      <w:r w:rsidR="70E7B904" w:rsidRPr="109A6197">
        <w:rPr>
          <w:rFonts w:cstheme="minorBidi"/>
        </w:rPr>
        <w:t>d</w:t>
      </w:r>
      <w:r w:rsidR="4233EDE0" w:rsidRPr="109A6197">
        <w:rPr>
          <w:rFonts w:cstheme="minorBidi"/>
        </w:rPr>
        <w:t xml:space="preserve"> to improving the quality of machine translation</w:t>
      </w:r>
      <w:r w:rsidR="57B46811" w:rsidRPr="109A6197">
        <w:rPr>
          <w:rFonts w:cstheme="minorBidi"/>
        </w:rPr>
        <w:t xml:space="preserve"> </w:t>
      </w:r>
      <w:r w:rsidR="10DD61FF" w:rsidRPr="109A6197">
        <w:rPr>
          <w:rFonts w:cstheme="minorBidi"/>
        </w:rPr>
        <w:t>while managing resource constraints</w:t>
      </w:r>
      <w:r w:rsidR="76558783" w:rsidRPr="109A6197">
        <w:rPr>
          <w:rFonts w:cstheme="minorBidi"/>
        </w:rPr>
        <w:t>.</w:t>
      </w:r>
    </w:p>
    <w:p w14:paraId="33A78E0E" w14:textId="4B80762C" w:rsidR="00EE6E7D" w:rsidRPr="002C0452" w:rsidRDefault="00EE6E7D" w:rsidP="00151338">
      <w:pPr>
        <w:pStyle w:val="ListParagraph"/>
        <w:keepNext/>
        <w:numPr>
          <w:ilvl w:val="1"/>
          <w:numId w:val="13"/>
        </w:numPr>
        <w:tabs>
          <w:tab w:val="clear" w:pos="1871"/>
          <w:tab w:val="clear" w:pos="2268"/>
          <w:tab w:val="left" w:pos="567"/>
          <w:tab w:val="left" w:pos="1701"/>
        </w:tabs>
        <w:spacing w:after="120"/>
        <w:ind w:left="431" w:hanging="431"/>
        <w:contextualSpacing w:val="0"/>
        <w:rPr>
          <w:rFonts w:cstheme="minorHAnsi"/>
          <w:b/>
          <w:szCs w:val="24"/>
        </w:rPr>
      </w:pPr>
      <w:r w:rsidRPr="002C0452">
        <w:rPr>
          <w:rFonts w:cstheme="minorHAnsi"/>
          <w:b/>
          <w:szCs w:val="24"/>
        </w:rPr>
        <w:lastRenderedPageBreak/>
        <w:t>Interpretation and translation for ITU</w:t>
      </w:r>
      <w:r w:rsidRPr="002C0452">
        <w:rPr>
          <w:rFonts w:cstheme="minorHAnsi"/>
          <w:b/>
          <w:szCs w:val="24"/>
        </w:rPr>
        <w:noBreakHyphen/>
        <w:t>D meetings</w:t>
      </w:r>
    </w:p>
    <w:p w14:paraId="51CA184B" w14:textId="779B2043" w:rsidR="00EE6E7D" w:rsidRPr="00215A50" w:rsidRDefault="00120BBE" w:rsidP="00151338">
      <w:pPr>
        <w:spacing w:after="120"/>
        <w:rPr>
          <w:rFonts w:cstheme="minorHAnsi"/>
        </w:rPr>
      </w:pPr>
      <w:r w:rsidRPr="00215A50">
        <w:rPr>
          <w:rFonts w:cstheme="minorHAnsi"/>
        </w:rPr>
        <w:t xml:space="preserve">2.3.1 </w:t>
      </w:r>
      <w:r w:rsidR="00EE6E7D" w:rsidRPr="00215A50">
        <w:rPr>
          <w:rFonts w:cstheme="minorHAnsi"/>
        </w:rPr>
        <w:t xml:space="preserve">In accordance with WTDC Resolution 1 (Rev. </w:t>
      </w:r>
      <w:r w:rsidR="00F5694B" w:rsidRPr="00215A50">
        <w:rPr>
          <w:rFonts w:cstheme="minorHAnsi"/>
        </w:rPr>
        <w:t>Baku</w:t>
      </w:r>
      <w:r w:rsidR="00EE6E7D" w:rsidRPr="00215A50">
        <w:rPr>
          <w:rFonts w:cstheme="minorHAnsi"/>
        </w:rPr>
        <w:t>, 202</w:t>
      </w:r>
      <w:r w:rsidR="00F5694B" w:rsidRPr="00215A50">
        <w:rPr>
          <w:rFonts w:cstheme="minorHAnsi"/>
        </w:rPr>
        <w:t>5</w:t>
      </w:r>
      <w:r w:rsidR="00EE6E7D" w:rsidRPr="00215A50">
        <w:rPr>
          <w:rFonts w:cstheme="minorHAnsi"/>
        </w:rPr>
        <w:t>), BDT continues to provide</w:t>
      </w:r>
      <w:r w:rsidR="00F5694B" w:rsidRPr="00215A50">
        <w:rPr>
          <w:rFonts w:cstheme="minorHAnsi"/>
        </w:rPr>
        <w:t xml:space="preserve"> </w:t>
      </w:r>
      <w:r w:rsidR="00EE6E7D" w:rsidRPr="00215A50">
        <w:rPr>
          <w:rFonts w:cstheme="minorHAnsi"/>
        </w:rPr>
        <w:t>human interpretation for TDAG and ITU</w:t>
      </w:r>
      <w:r w:rsidR="00EE6E7D" w:rsidRPr="00215A50">
        <w:rPr>
          <w:rFonts w:cstheme="minorHAnsi"/>
        </w:rPr>
        <w:noBreakHyphen/>
        <w:t>D Study Group meetings; and</w:t>
      </w:r>
      <w:r w:rsidRPr="00215A50">
        <w:rPr>
          <w:rFonts w:cstheme="minorHAnsi"/>
        </w:rPr>
        <w:t xml:space="preserve"> </w:t>
      </w:r>
      <w:r w:rsidR="00EE6E7D" w:rsidRPr="00215A50">
        <w:rPr>
          <w:rFonts w:cstheme="minorHAnsi"/>
        </w:rPr>
        <w:t>human translation for documents submitted within the prescribed deadlines.</w:t>
      </w:r>
    </w:p>
    <w:p w14:paraId="5112CA84" w14:textId="1531A0E1" w:rsidR="00EE6E7D" w:rsidRPr="002C0452" w:rsidRDefault="00120BBE" w:rsidP="00151338">
      <w:pPr>
        <w:spacing w:after="120"/>
        <w:rPr>
          <w:rFonts w:cstheme="minorHAnsi"/>
        </w:rPr>
      </w:pPr>
      <w:r w:rsidRPr="002C0452">
        <w:rPr>
          <w:rFonts w:cstheme="minorHAnsi"/>
        </w:rPr>
        <w:t xml:space="preserve">2.3.2 </w:t>
      </w:r>
      <w:r w:rsidR="00EE6E7D" w:rsidRPr="002C0452">
        <w:rPr>
          <w:rFonts w:cstheme="minorHAnsi"/>
        </w:rPr>
        <w:t xml:space="preserve">In addition, ITU Translate, the Union’s </w:t>
      </w:r>
      <w:proofErr w:type="gramStart"/>
      <w:r w:rsidR="00EE6E7D" w:rsidRPr="002C0452">
        <w:rPr>
          <w:rFonts w:cstheme="minorHAnsi"/>
        </w:rPr>
        <w:t>machine</w:t>
      </w:r>
      <w:r w:rsidR="3CA9DB78" w:rsidRPr="002C0452">
        <w:rPr>
          <w:rFonts w:cstheme="minorHAnsi"/>
        </w:rPr>
        <w:t xml:space="preserve"> </w:t>
      </w:r>
      <w:r w:rsidR="00EE6E7D" w:rsidRPr="002C0452">
        <w:rPr>
          <w:rFonts w:cstheme="minorHAnsi"/>
        </w:rPr>
        <w:t>based</w:t>
      </w:r>
      <w:proofErr w:type="gramEnd"/>
      <w:r w:rsidR="00EE6E7D" w:rsidRPr="002C0452">
        <w:rPr>
          <w:rFonts w:cstheme="minorHAnsi"/>
        </w:rPr>
        <w:t xml:space="preserve"> translation tool, </w:t>
      </w:r>
      <w:proofErr w:type="gramStart"/>
      <w:r w:rsidR="00EE6E7D" w:rsidRPr="002C0452">
        <w:rPr>
          <w:rFonts w:cstheme="minorHAnsi"/>
        </w:rPr>
        <w:t>remains available at all times</w:t>
      </w:r>
      <w:proofErr w:type="gramEnd"/>
      <w:r w:rsidR="00EE6E7D" w:rsidRPr="002C0452">
        <w:rPr>
          <w:rFonts w:cstheme="minorHAnsi"/>
        </w:rPr>
        <w:t xml:space="preserve"> to facilitate access to documents in all six official languages, including for late submissions and information documents.</w:t>
      </w:r>
    </w:p>
    <w:p w14:paraId="58EFF88D" w14:textId="7184949B" w:rsidR="00EE6E7D" w:rsidRPr="002C0452" w:rsidRDefault="069E7081" w:rsidP="109A6197">
      <w:pPr>
        <w:spacing w:after="120"/>
        <w:rPr>
          <w:rFonts w:cstheme="minorBidi"/>
        </w:rPr>
      </w:pPr>
      <w:r w:rsidRPr="109A6197">
        <w:rPr>
          <w:rFonts w:cstheme="minorBidi"/>
        </w:rPr>
        <w:t>2.3.</w:t>
      </w:r>
      <w:r w:rsidR="0F69E1DD" w:rsidRPr="109A6197">
        <w:rPr>
          <w:rFonts w:cstheme="minorBidi"/>
        </w:rPr>
        <w:t>3</w:t>
      </w:r>
      <w:r w:rsidRPr="109A6197">
        <w:rPr>
          <w:rFonts w:cstheme="minorBidi"/>
        </w:rPr>
        <w:t xml:space="preserve"> </w:t>
      </w:r>
      <w:r w:rsidR="00865CDD" w:rsidRPr="109A6197">
        <w:rPr>
          <w:rFonts w:cstheme="minorBidi"/>
        </w:rPr>
        <w:t>The ITU</w:t>
      </w:r>
      <w:r w:rsidR="64ED1656" w:rsidRPr="109A6197">
        <w:rPr>
          <w:rFonts w:cstheme="minorBidi"/>
        </w:rPr>
        <w:t>-</w:t>
      </w:r>
      <w:r w:rsidR="00865CDD" w:rsidRPr="109A6197">
        <w:rPr>
          <w:rFonts w:cstheme="minorBidi"/>
        </w:rPr>
        <w:t xml:space="preserve">D Study Group websites currently use a combination of human translation and </w:t>
      </w:r>
      <w:proofErr w:type="gramStart"/>
      <w:r w:rsidR="00865CDD" w:rsidRPr="109A6197">
        <w:rPr>
          <w:rFonts w:cstheme="minorBidi"/>
        </w:rPr>
        <w:t>machine</w:t>
      </w:r>
      <w:r w:rsidR="266E42A8" w:rsidRPr="109A6197">
        <w:rPr>
          <w:rFonts w:cstheme="minorBidi"/>
        </w:rPr>
        <w:t xml:space="preserve"> </w:t>
      </w:r>
      <w:r w:rsidR="00865CDD" w:rsidRPr="109A6197">
        <w:rPr>
          <w:rFonts w:cstheme="minorBidi"/>
        </w:rPr>
        <w:t>based</w:t>
      </w:r>
      <w:proofErr w:type="gramEnd"/>
      <w:r w:rsidR="00865CDD" w:rsidRPr="109A6197">
        <w:rPr>
          <w:rFonts w:cstheme="minorBidi"/>
        </w:rPr>
        <w:t xml:space="preserve"> translation, depending on the nature, stability and technical sensitivity of the content.</w:t>
      </w:r>
    </w:p>
    <w:p w14:paraId="091F27D2" w14:textId="2ACBB58B" w:rsidR="00EE6E7D" w:rsidRPr="002C0452" w:rsidRDefault="00EE6E7D" w:rsidP="00151338">
      <w:pPr>
        <w:pStyle w:val="ListParagraph"/>
        <w:keepNext/>
        <w:numPr>
          <w:ilvl w:val="1"/>
          <w:numId w:val="13"/>
        </w:numPr>
        <w:tabs>
          <w:tab w:val="clear" w:pos="1871"/>
          <w:tab w:val="clear" w:pos="2268"/>
          <w:tab w:val="left" w:pos="567"/>
          <w:tab w:val="left" w:pos="1701"/>
        </w:tabs>
        <w:spacing w:after="120"/>
        <w:ind w:left="431" w:hanging="431"/>
        <w:contextualSpacing w:val="0"/>
        <w:rPr>
          <w:rFonts w:cstheme="minorHAnsi"/>
          <w:b/>
          <w:szCs w:val="24"/>
        </w:rPr>
      </w:pPr>
      <w:r w:rsidRPr="002C0452">
        <w:rPr>
          <w:rFonts w:cstheme="minorHAnsi"/>
          <w:b/>
          <w:szCs w:val="24"/>
        </w:rPr>
        <w:t>Use of emerging language technologies</w:t>
      </w:r>
    </w:p>
    <w:p w14:paraId="0B475AAA" w14:textId="07FB76DC" w:rsidR="00EE6E7D" w:rsidRPr="002C0452" w:rsidRDefault="00120BBE" w:rsidP="00151338">
      <w:pPr>
        <w:spacing w:after="120"/>
        <w:rPr>
          <w:rFonts w:cstheme="minorHAnsi"/>
        </w:rPr>
      </w:pPr>
      <w:r w:rsidRPr="002C0452">
        <w:rPr>
          <w:rFonts w:cstheme="minorHAnsi"/>
        </w:rPr>
        <w:t xml:space="preserve">2.4.1 </w:t>
      </w:r>
      <w:r w:rsidR="00EE6E7D" w:rsidRPr="002C0452">
        <w:rPr>
          <w:rFonts w:cstheme="minorHAnsi"/>
        </w:rPr>
        <w:t>BDT continues to monitor and test emerging language technologies in line with Union</w:t>
      </w:r>
      <w:r w:rsidR="1E6D48CB" w:rsidRPr="002C0452">
        <w:rPr>
          <w:rFonts w:cstheme="minorHAnsi"/>
        </w:rPr>
        <w:t xml:space="preserve"> </w:t>
      </w:r>
      <w:r w:rsidR="00EE6E7D" w:rsidRPr="002C0452">
        <w:rPr>
          <w:rFonts w:cstheme="minorHAnsi"/>
        </w:rPr>
        <w:t>wide practices. In 2025, BDT tested AI</w:t>
      </w:r>
      <w:r w:rsidR="5891C7DF" w:rsidRPr="002C0452">
        <w:rPr>
          <w:rFonts w:cstheme="minorHAnsi"/>
        </w:rPr>
        <w:t xml:space="preserve"> </w:t>
      </w:r>
      <w:r w:rsidR="00EE6E7D" w:rsidRPr="002C0452">
        <w:rPr>
          <w:rFonts w:cstheme="minorHAnsi"/>
        </w:rPr>
        <w:t>based interpretation during selected ITU</w:t>
      </w:r>
      <w:r w:rsidR="00E513B8" w:rsidRPr="002C0452">
        <w:rPr>
          <w:rFonts w:cstheme="minorHAnsi"/>
        </w:rPr>
        <w:t>-</w:t>
      </w:r>
      <w:r w:rsidR="00EE6E7D" w:rsidRPr="002C0452">
        <w:rPr>
          <w:rFonts w:cstheme="minorHAnsi"/>
        </w:rPr>
        <w:t>D Study Group management team meetings.</w:t>
      </w:r>
    </w:p>
    <w:p w14:paraId="4B6DE826" w14:textId="550B91F0" w:rsidR="00EE6E7D" w:rsidRPr="002C0452" w:rsidRDefault="00120BBE" w:rsidP="00151338">
      <w:pPr>
        <w:spacing w:after="120"/>
        <w:rPr>
          <w:rFonts w:cstheme="minorHAnsi"/>
        </w:rPr>
      </w:pPr>
      <w:r w:rsidRPr="002C0452">
        <w:rPr>
          <w:rFonts w:cstheme="minorHAnsi"/>
        </w:rPr>
        <w:t xml:space="preserve">2.4.2 </w:t>
      </w:r>
      <w:r w:rsidR="00EE6E7D" w:rsidRPr="002C0452">
        <w:rPr>
          <w:rFonts w:cstheme="minorHAnsi"/>
        </w:rPr>
        <w:t>These tests confirmed that, while AI</w:t>
      </w:r>
      <w:r w:rsidR="111980AA" w:rsidRPr="002C0452">
        <w:rPr>
          <w:rFonts w:cstheme="minorHAnsi"/>
        </w:rPr>
        <w:t xml:space="preserve"> </w:t>
      </w:r>
      <w:r w:rsidR="00EE6E7D" w:rsidRPr="002C0452">
        <w:rPr>
          <w:rFonts w:cstheme="minorHAnsi"/>
        </w:rPr>
        <w:t xml:space="preserve">based solutions may offer potential benefits for informal meetings or meetings without interpretation, they are not suitable for formal or </w:t>
      </w:r>
      <w:proofErr w:type="gramStart"/>
      <w:r w:rsidR="00EE6E7D" w:rsidRPr="002C0452">
        <w:rPr>
          <w:rFonts w:cstheme="minorHAnsi"/>
        </w:rPr>
        <w:t>decision</w:t>
      </w:r>
      <w:r w:rsidR="73CED0F9" w:rsidRPr="002C0452">
        <w:rPr>
          <w:rFonts w:cstheme="minorHAnsi"/>
        </w:rPr>
        <w:t xml:space="preserve"> </w:t>
      </w:r>
      <w:r w:rsidR="00EE6E7D" w:rsidRPr="002C0452">
        <w:rPr>
          <w:rFonts w:cstheme="minorHAnsi"/>
        </w:rPr>
        <w:t>making</w:t>
      </w:r>
      <w:proofErr w:type="gramEnd"/>
      <w:r w:rsidR="00EE6E7D" w:rsidRPr="002C0452">
        <w:rPr>
          <w:rFonts w:cstheme="minorHAnsi"/>
        </w:rPr>
        <w:t xml:space="preserve"> meetings, where accuracy, terminology and reliability remain critical.</w:t>
      </w:r>
    </w:p>
    <w:p w14:paraId="526FE314" w14:textId="37EA90FC" w:rsidR="00EE6E7D" w:rsidRPr="00215A50" w:rsidRDefault="00C369AC" w:rsidP="00151338">
      <w:pPr>
        <w:spacing w:after="120"/>
        <w:rPr>
          <w:rFonts w:cstheme="minorHAnsi"/>
        </w:rPr>
      </w:pPr>
      <w:r w:rsidRPr="00215A50">
        <w:rPr>
          <w:rFonts w:cstheme="minorHAnsi"/>
        </w:rPr>
        <w:t xml:space="preserve">2.4.3 </w:t>
      </w:r>
      <w:r w:rsidR="00EE6E7D" w:rsidRPr="00215A50">
        <w:rPr>
          <w:rFonts w:cstheme="minorHAnsi"/>
        </w:rPr>
        <w:t xml:space="preserve">BDT will therefore continue to explore such technologies cautiously, in coordination with the General Secretariat, and without replacing professional interpretation services for </w:t>
      </w:r>
      <w:r w:rsidR="002228D6">
        <w:rPr>
          <w:rFonts w:cstheme="minorHAnsi"/>
        </w:rPr>
        <w:t>statutory</w:t>
      </w:r>
      <w:r w:rsidR="00EE6E7D" w:rsidRPr="00215A50">
        <w:rPr>
          <w:rFonts w:cstheme="minorHAnsi"/>
        </w:rPr>
        <w:t xml:space="preserve"> ITU</w:t>
      </w:r>
      <w:r w:rsidR="00EE6E7D" w:rsidRPr="00215A50">
        <w:rPr>
          <w:rFonts w:cstheme="minorHAnsi"/>
        </w:rPr>
        <w:noBreakHyphen/>
        <w:t>D meetings.</w:t>
      </w:r>
    </w:p>
    <w:p w14:paraId="037F2D12" w14:textId="49FD8452" w:rsidR="00EC1684" w:rsidRPr="002C0452" w:rsidRDefault="00EC1684" w:rsidP="00151338">
      <w:pPr>
        <w:pStyle w:val="ListParagraph"/>
        <w:keepNext/>
        <w:numPr>
          <w:ilvl w:val="0"/>
          <w:numId w:val="13"/>
        </w:numPr>
        <w:tabs>
          <w:tab w:val="clear" w:pos="1871"/>
          <w:tab w:val="clear" w:pos="2268"/>
          <w:tab w:val="left" w:pos="567"/>
          <w:tab w:val="left" w:pos="1701"/>
        </w:tabs>
        <w:spacing w:after="120"/>
        <w:ind w:left="357" w:hanging="357"/>
        <w:contextualSpacing w:val="0"/>
        <w:rPr>
          <w:rFonts w:cstheme="minorHAnsi"/>
          <w:b/>
          <w:szCs w:val="24"/>
        </w:rPr>
      </w:pPr>
      <w:r w:rsidRPr="002C0452">
        <w:rPr>
          <w:rFonts w:cstheme="minorHAnsi"/>
          <w:b/>
          <w:szCs w:val="24"/>
        </w:rPr>
        <w:t>Conclusions</w:t>
      </w:r>
    </w:p>
    <w:p w14:paraId="4E8538A0" w14:textId="3CC8E37F" w:rsidR="00C369AC" w:rsidRPr="00C369AC" w:rsidRDefault="00C369AC" w:rsidP="00151338">
      <w:pPr>
        <w:tabs>
          <w:tab w:val="clear" w:pos="1871"/>
          <w:tab w:val="clear" w:pos="2268"/>
          <w:tab w:val="left" w:pos="567"/>
          <w:tab w:val="left" w:pos="1701"/>
        </w:tabs>
        <w:spacing w:after="120"/>
        <w:rPr>
          <w:rFonts w:eastAsia="SimSun" w:cstheme="minorHAnsi"/>
        </w:rPr>
      </w:pPr>
      <w:r w:rsidRPr="00215A50">
        <w:rPr>
          <w:rFonts w:eastAsia="SimSun" w:cstheme="minorHAnsi"/>
        </w:rPr>
        <w:t>3.1</w:t>
      </w:r>
      <w:r w:rsidR="008B464C" w:rsidRPr="00215A50">
        <w:rPr>
          <w:rFonts w:eastAsia="SimSun" w:cstheme="minorHAnsi"/>
        </w:rPr>
        <w:t xml:space="preserve"> </w:t>
      </w:r>
      <w:r w:rsidRPr="00C369AC">
        <w:rPr>
          <w:rFonts w:eastAsia="SimSun" w:cstheme="minorHAnsi"/>
        </w:rPr>
        <w:t>BDT remains committed to ensuring the equitable use of the six official languages of the Union in ITU</w:t>
      </w:r>
      <w:r w:rsidRPr="00C369AC">
        <w:rPr>
          <w:rFonts w:eastAsia="SimSun" w:cstheme="minorHAnsi"/>
        </w:rPr>
        <w:noBreakHyphen/>
        <w:t>D activities, in accordance with the Union’s legal framework and within available resources.</w:t>
      </w:r>
    </w:p>
    <w:p w14:paraId="67DA29DD" w14:textId="01CC51B6" w:rsidR="00C369AC" w:rsidRPr="00C369AC" w:rsidRDefault="008B464C" w:rsidP="00151338">
      <w:pPr>
        <w:tabs>
          <w:tab w:val="clear" w:pos="1871"/>
          <w:tab w:val="clear" w:pos="2268"/>
          <w:tab w:val="left" w:pos="567"/>
          <w:tab w:val="left" w:pos="1701"/>
        </w:tabs>
        <w:spacing w:after="120"/>
        <w:rPr>
          <w:rFonts w:eastAsia="SimSun" w:cstheme="minorHAnsi"/>
        </w:rPr>
      </w:pPr>
      <w:r w:rsidRPr="00215A50">
        <w:rPr>
          <w:rFonts w:eastAsia="SimSun" w:cstheme="minorHAnsi"/>
        </w:rPr>
        <w:t xml:space="preserve">3.2 </w:t>
      </w:r>
      <w:r w:rsidR="00C369AC" w:rsidRPr="00C369AC">
        <w:rPr>
          <w:rFonts w:eastAsia="SimSun" w:cstheme="minorHAnsi"/>
        </w:rPr>
        <w:t>Recent progress in digital multilingual access, combined with continued provision of professional interpretation and translation services, contributes to improved participation and inclusiveness for ITU</w:t>
      </w:r>
      <w:r w:rsidR="00C369AC" w:rsidRPr="00C369AC">
        <w:rPr>
          <w:rFonts w:eastAsia="SimSun" w:cstheme="minorHAnsi"/>
        </w:rPr>
        <w:noBreakHyphen/>
        <w:t>D membership.</w:t>
      </w:r>
    </w:p>
    <w:p w14:paraId="3784F806" w14:textId="16676D0A" w:rsidR="00C369AC" w:rsidRPr="00C369AC" w:rsidRDefault="008B464C" w:rsidP="00151338">
      <w:pPr>
        <w:tabs>
          <w:tab w:val="clear" w:pos="1871"/>
          <w:tab w:val="clear" w:pos="2268"/>
          <w:tab w:val="left" w:pos="567"/>
          <w:tab w:val="left" w:pos="1701"/>
        </w:tabs>
        <w:spacing w:after="120"/>
        <w:rPr>
          <w:rFonts w:eastAsia="SimSun" w:cstheme="minorHAnsi"/>
        </w:rPr>
      </w:pPr>
      <w:r w:rsidRPr="00215A50">
        <w:rPr>
          <w:rFonts w:eastAsia="SimSun" w:cstheme="minorHAnsi"/>
        </w:rPr>
        <w:t xml:space="preserve">3.3 </w:t>
      </w:r>
      <w:r w:rsidR="00C369AC" w:rsidRPr="00C369AC">
        <w:rPr>
          <w:rFonts w:eastAsia="SimSun" w:cstheme="minorHAnsi"/>
        </w:rPr>
        <w:t xml:space="preserve">BDT will continue to keep TDAG informed of relevant developments and will </w:t>
      </w:r>
      <w:proofErr w:type="gramStart"/>
      <w:r w:rsidR="00C369AC" w:rsidRPr="00C369AC">
        <w:rPr>
          <w:rFonts w:eastAsia="SimSun" w:cstheme="minorHAnsi"/>
        </w:rPr>
        <w:t>take into account</w:t>
      </w:r>
      <w:proofErr w:type="gramEnd"/>
      <w:r w:rsidR="00C369AC" w:rsidRPr="00C369AC">
        <w:rPr>
          <w:rFonts w:eastAsia="SimSun" w:cstheme="minorHAnsi"/>
        </w:rPr>
        <w:t xml:space="preserve"> TDAG guidance in the ongoing implementation of multilingual practices within ITU</w:t>
      </w:r>
      <w:r w:rsidR="00C369AC" w:rsidRPr="00C369AC">
        <w:rPr>
          <w:rFonts w:eastAsia="SimSun" w:cstheme="minorHAnsi"/>
        </w:rPr>
        <w:noBreakHyphen/>
        <w:t>D</w:t>
      </w:r>
      <w:r w:rsidRPr="00215A50">
        <w:rPr>
          <w:rFonts w:eastAsia="SimSun" w:cstheme="minorHAnsi"/>
        </w:rPr>
        <w:t>.</w:t>
      </w:r>
    </w:p>
    <w:bookmarkEnd w:id="9"/>
    <w:bookmarkEnd w:id="10"/>
    <w:bookmarkEnd w:id="11"/>
    <w:p w14:paraId="4361A6AD" w14:textId="77777777" w:rsidR="00D83BF5" w:rsidRPr="002C0452" w:rsidRDefault="00D83BF5" w:rsidP="002C0452">
      <w:pPr>
        <w:tabs>
          <w:tab w:val="clear" w:pos="1871"/>
          <w:tab w:val="clear" w:pos="2268"/>
          <w:tab w:val="left" w:pos="567"/>
          <w:tab w:val="left" w:pos="1701"/>
        </w:tabs>
        <w:spacing w:after="120"/>
        <w:jc w:val="center"/>
        <w:rPr>
          <w:rFonts w:cstheme="minorHAnsi"/>
          <w:szCs w:val="24"/>
        </w:rPr>
      </w:pPr>
      <w:r w:rsidRPr="002C0452">
        <w:rPr>
          <w:rFonts w:cstheme="minorHAnsi"/>
          <w:szCs w:val="24"/>
        </w:rPr>
        <w:t>_______________</w:t>
      </w:r>
    </w:p>
    <w:sectPr w:rsidR="00D83BF5" w:rsidRPr="002C0452" w:rsidSect="0039169B">
      <w:headerReference w:type="default" r:id="rId18"/>
      <w:footerReference w:type="even"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E1A3" w14:textId="77777777" w:rsidR="006E6738" w:rsidRDefault="006E6738">
      <w:r>
        <w:separator/>
      </w:r>
    </w:p>
  </w:endnote>
  <w:endnote w:type="continuationSeparator" w:id="0">
    <w:p w14:paraId="26BD111C" w14:textId="77777777" w:rsidR="006E6738" w:rsidRDefault="006E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45D05" w:rsidRDefault="00E45D05">
    <w:pPr>
      <w:framePr w:wrap="around" w:vAnchor="text" w:hAnchor="margin" w:xAlign="right" w:y="1"/>
    </w:pPr>
    <w:r>
      <w:fldChar w:fldCharType="begin"/>
    </w:r>
    <w:r>
      <w:instrText xml:space="preserve">PAGE  </w:instrText>
    </w:r>
    <w:r>
      <w:fldChar w:fldCharType="end"/>
    </w:r>
  </w:p>
  <w:p w14:paraId="0B218DD4" w14:textId="004D0D43" w:rsidR="00E45D05" w:rsidRPr="0041348E" w:rsidRDefault="00E45D05">
    <w:pPr>
      <w:ind w:right="360"/>
      <w:rPr>
        <w:lang w:val="en-US"/>
      </w:rPr>
    </w:pPr>
    <w:r>
      <w:fldChar w:fldCharType="begin"/>
    </w:r>
    <w:r w:rsidRPr="109A6197">
      <w:rPr>
        <w:lang w:val="en-US"/>
      </w:rPr>
      <w:instrText xml:space="preserve"> FILENAME \p  \* MERGEFORMAT </w:instrText>
    </w:r>
    <w:r>
      <w:fldChar w:fldCharType="separate"/>
    </w:r>
    <w:r w:rsidR="109A6197" w:rsidRPr="109A6197">
      <w:rPr>
        <w:noProof/>
        <w:lang w:val="en-US"/>
      </w:rPr>
      <w:t>P:\SUP\Meetings\TDAG\2018-23rd\Documents\C\007E_v1-clean_TDAG-scope.docx</w:t>
    </w:r>
    <w:r>
      <w:fldChar w:fldCharType="end"/>
    </w:r>
    <w:r>
      <w:tab/>
    </w:r>
    <w:r>
      <w:fldChar w:fldCharType="begin"/>
    </w:r>
    <w:r>
      <w:instrText xml:space="preserve"> SAVEDATE \@ DD.MM.YY </w:instrText>
    </w:r>
    <w:r>
      <w:fldChar w:fldCharType="separate"/>
    </w:r>
    <w:r w:rsidR="109A6197" w:rsidRPr="109A6197">
      <w:rPr>
        <w:noProof/>
      </w:rPr>
      <w:t>27.</w:t>
    </w:r>
    <w:r w:rsidR="00613070">
      <w:rPr>
        <w:noProof/>
      </w:rPr>
      <w:t>02.26</w:t>
    </w:r>
    <w:r>
      <w:fldChar w:fldCharType="end"/>
    </w:r>
    <w:r>
      <w:tab/>
    </w:r>
    <w:r>
      <w:fldChar w:fldCharType="begin"/>
    </w:r>
    <w:r>
      <w:instrText xml:space="preserve"> PRINTDATE \@ DD.MM.YY </w:instrText>
    </w:r>
    <w:r>
      <w:fldChar w:fldCharType="separate"/>
    </w:r>
    <w:r w:rsidR="109A6197" w:rsidRPr="109A6197">
      <w:rPr>
        <w:noProof/>
      </w:rPr>
      <w:t>31.01.18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A1F66" w:rsidRPr="00F83810" w14:paraId="5BD6405D" w14:textId="77777777" w:rsidTr="00C67238">
      <w:tc>
        <w:tcPr>
          <w:tcW w:w="1526" w:type="dxa"/>
          <w:tcBorders>
            <w:top w:val="single" w:sz="4" w:space="0" w:color="000000"/>
          </w:tcBorders>
        </w:tcPr>
        <w:p w14:paraId="50D9F07A" w14:textId="6279E2BE" w:rsidR="00BA1F66" w:rsidRPr="00F83810" w:rsidRDefault="00BA1F66" w:rsidP="00BA1F66">
          <w:pPr>
            <w:pStyle w:val="FirstFooter"/>
            <w:tabs>
              <w:tab w:val="left" w:pos="1559"/>
              <w:tab w:val="left" w:pos="3828"/>
            </w:tabs>
            <w:rPr>
              <w:sz w:val="18"/>
              <w:szCs w:val="18"/>
            </w:rPr>
          </w:pPr>
          <w:r w:rsidRPr="00F83810">
            <w:rPr>
              <w:sz w:val="18"/>
              <w:szCs w:val="18"/>
            </w:rPr>
            <w:t>Contact:</w:t>
          </w:r>
        </w:p>
      </w:tc>
      <w:tc>
        <w:tcPr>
          <w:tcW w:w="2410" w:type="dxa"/>
          <w:tcBorders>
            <w:top w:val="single" w:sz="4" w:space="0" w:color="000000"/>
          </w:tcBorders>
        </w:tcPr>
        <w:p w14:paraId="4145845E" w14:textId="088CD914" w:rsidR="00BA1F66" w:rsidRPr="00F83810" w:rsidRDefault="00BA1F66" w:rsidP="00BA1F66">
          <w:pPr>
            <w:pStyle w:val="FirstFooter"/>
            <w:tabs>
              <w:tab w:val="left" w:pos="2302"/>
            </w:tabs>
            <w:ind w:left="2302" w:hanging="2302"/>
            <w:rPr>
              <w:sz w:val="18"/>
              <w:szCs w:val="18"/>
              <w:lang w:val="en-US"/>
            </w:rPr>
          </w:pPr>
          <w:r w:rsidRPr="00F83810">
            <w:rPr>
              <w:sz w:val="18"/>
              <w:szCs w:val="18"/>
            </w:rPr>
            <w:t>Name/Organization/Entity:</w:t>
          </w:r>
        </w:p>
      </w:tc>
      <w:tc>
        <w:tcPr>
          <w:tcW w:w="5987" w:type="dxa"/>
          <w:tcBorders>
            <w:top w:val="single" w:sz="4" w:space="0" w:color="000000"/>
          </w:tcBorders>
        </w:tcPr>
        <w:p w14:paraId="4FD3D858" w14:textId="5FD4C185" w:rsidR="00BA1F66" w:rsidRPr="00F83810" w:rsidRDefault="00BA1F66" w:rsidP="00BA1F66">
          <w:pPr>
            <w:pStyle w:val="FirstFooter"/>
            <w:tabs>
              <w:tab w:val="left" w:pos="2302"/>
            </w:tabs>
            <w:rPr>
              <w:sz w:val="18"/>
              <w:szCs w:val="18"/>
              <w:lang w:val="en-US"/>
            </w:rPr>
          </w:pPr>
          <w:r w:rsidRPr="00F83810">
            <w:rPr>
              <w:sz w:val="18"/>
              <w:szCs w:val="18"/>
            </w:rPr>
            <w:t>Ms Archana Gulati, Deputy to the Director, Telecommunication Development Bureau</w:t>
          </w:r>
        </w:p>
      </w:tc>
      <w:bookmarkStart w:id="13" w:name="OrgName"/>
      <w:bookmarkEnd w:id="13"/>
    </w:tr>
    <w:tr w:rsidR="00BA1F66" w:rsidRPr="00F83810" w14:paraId="30709E89" w14:textId="77777777" w:rsidTr="00C67238">
      <w:tc>
        <w:tcPr>
          <w:tcW w:w="1526" w:type="dxa"/>
        </w:tcPr>
        <w:p w14:paraId="44EAFD9C" w14:textId="77777777" w:rsidR="00BA1F66" w:rsidRPr="00F83810" w:rsidRDefault="00BA1F66" w:rsidP="00BA1F66">
          <w:pPr>
            <w:pStyle w:val="FirstFooter"/>
            <w:tabs>
              <w:tab w:val="left" w:pos="1559"/>
              <w:tab w:val="left" w:pos="3828"/>
            </w:tabs>
            <w:rPr>
              <w:sz w:val="18"/>
              <w:szCs w:val="18"/>
              <w:lang w:val="en-US"/>
            </w:rPr>
          </w:pPr>
        </w:p>
      </w:tc>
      <w:tc>
        <w:tcPr>
          <w:tcW w:w="2410" w:type="dxa"/>
        </w:tcPr>
        <w:p w14:paraId="32D7C51A" w14:textId="248731F2" w:rsidR="00BA1F66" w:rsidRPr="00F83810" w:rsidRDefault="00BA1F66" w:rsidP="00BA1F66">
          <w:pPr>
            <w:pStyle w:val="FirstFooter"/>
            <w:tabs>
              <w:tab w:val="left" w:pos="2302"/>
            </w:tabs>
            <w:rPr>
              <w:sz w:val="18"/>
              <w:szCs w:val="18"/>
              <w:lang w:val="en-US"/>
            </w:rPr>
          </w:pPr>
          <w:r w:rsidRPr="00F83810">
            <w:rPr>
              <w:sz w:val="18"/>
              <w:szCs w:val="18"/>
            </w:rPr>
            <w:t>Phone number:</w:t>
          </w:r>
        </w:p>
      </w:tc>
      <w:tc>
        <w:tcPr>
          <w:tcW w:w="5987" w:type="dxa"/>
        </w:tcPr>
        <w:p w14:paraId="7900AFFD" w14:textId="4EADFAF2" w:rsidR="00BA1F66" w:rsidRPr="00F83810" w:rsidRDefault="00BA1F66" w:rsidP="00BA1F66">
          <w:pPr>
            <w:pStyle w:val="FirstFooter"/>
            <w:tabs>
              <w:tab w:val="left" w:pos="2302"/>
            </w:tabs>
            <w:rPr>
              <w:sz w:val="18"/>
              <w:szCs w:val="18"/>
              <w:lang w:val="en-US"/>
            </w:rPr>
          </w:pPr>
          <w:r w:rsidRPr="00F83810">
            <w:rPr>
              <w:sz w:val="18"/>
              <w:szCs w:val="18"/>
            </w:rPr>
            <w:t>+41 22 730 6475</w:t>
          </w:r>
        </w:p>
      </w:tc>
      <w:bookmarkStart w:id="14" w:name="PhoneNo"/>
      <w:bookmarkEnd w:id="14"/>
    </w:tr>
    <w:tr w:rsidR="00BA1F66" w:rsidRPr="00F83810" w14:paraId="781FE958" w14:textId="77777777" w:rsidTr="00C67238">
      <w:tc>
        <w:tcPr>
          <w:tcW w:w="1526" w:type="dxa"/>
        </w:tcPr>
        <w:p w14:paraId="4B94D5A5" w14:textId="77777777" w:rsidR="00BA1F66" w:rsidRPr="00F83810" w:rsidRDefault="00BA1F66" w:rsidP="00BA1F66">
          <w:pPr>
            <w:pStyle w:val="FirstFooter"/>
            <w:tabs>
              <w:tab w:val="left" w:pos="1559"/>
              <w:tab w:val="left" w:pos="3828"/>
            </w:tabs>
            <w:rPr>
              <w:sz w:val="18"/>
              <w:szCs w:val="18"/>
              <w:lang w:val="en-US"/>
            </w:rPr>
          </w:pPr>
        </w:p>
      </w:tc>
      <w:tc>
        <w:tcPr>
          <w:tcW w:w="2410" w:type="dxa"/>
        </w:tcPr>
        <w:p w14:paraId="4ED34C8C" w14:textId="03AB9A1A" w:rsidR="00BA1F66" w:rsidRPr="00F83810" w:rsidRDefault="00BA1F66" w:rsidP="00BA1F66">
          <w:pPr>
            <w:pStyle w:val="FirstFooter"/>
            <w:tabs>
              <w:tab w:val="left" w:pos="2302"/>
            </w:tabs>
            <w:rPr>
              <w:sz w:val="18"/>
              <w:szCs w:val="18"/>
              <w:lang w:val="en-US"/>
            </w:rPr>
          </w:pPr>
          <w:r w:rsidRPr="00F83810">
            <w:rPr>
              <w:sz w:val="18"/>
              <w:szCs w:val="18"/>
            </w:rPr>
            <w:t>E-mail:</w:t>
          </w:r>
        </w:p>
      </w:tc>
      <w:tc>
        <w:tcPr>
          <w:tcW w:w="5987" w:type="dxa"/>
        </w:tcPr>
        <w:p w14:paraId="6B4F55CD" w14:textId="5D9D23C5" w:rsidR="00BA1F66" w:rsidRPr="00F83810" w:rsidRDefault="00BA1F66" w:rsidP="00BA1F66">
          <w:pPr>
            <w:pStyle w:val="FirstFooter"/>
            <w:tabs>
              <w:tab w:val="left" w:pos="2302"/>
            </w:tabs>
            <w:rPr>
              <w:sz w:val="18"/>
              <w:szCs w:val="18"/>
              <w:lang w:val="en-US"/>
            </w:rPr>
          </w:pPr>
          <w:hyperlink r:id="rId1" w:history="1">
            <w:r w:rsidRPr="00F83810">
              <w:rPr>
                <w:rStyle w:val="Hyperlink"/>
                <w:sz w:val="18"/>
                <w:szCs w:val="18"/>
              </w:rPr>
              <w:t>archana.gulati@itu.int</w:t>
            </w:r>
          </w:hyperlink>
          <w:r w:rsidRPr="00F83810">
            <w:rPr>
              <w:sz w:val="18"/>
              <w:szCs w:val="18"/>
            </w:rPr>
            <w:t xml:space="preserve"> </w:t>
          </w:r>
        </w:p>
      </w:tc>
      <w:bookmarkStart w:id="15" w:name="Email"/>
      <w:bookmarkEnd w:id="15"/>
    </w:tr>
  </w:tbl>
  <w:p w14:paraId="4C73033F" w14:textId="79C2923B" w:rsidR="00E45D05" w:rsidRPr="00F83810" w:rsidRDefault="00E45D05" w:rsidP="001E252D">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8C41" w14:textId="77777777" w:rsidR="006E6738" w:rsidRDefault="006E6738">
      <w:r>
        <w:rPr>
          <w:b/>
        </w:rPr>
        <w:t>_______________</w:t>
      </w:r>
    </w:p>
  </w:footnote>
  <w:footnote w:type="continuationSeparator" w:id="0">
    <w:p w14:paraId="4D378ACB" w14:textId="77777777" w:rsidR="006E6738" w:rsidRDefault="006E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DD8D" w14:textId="6E27EF76" w:rsidR="00A066F1" w:rsidRPr="00D83BF5" w:rsidRDefault="00D83BF5" w:rsidP="00F00B00">
    <w:pPr>
      <w:tabs>
        <w:tab w:val="clear" w:pos="1134"/>
        <w:tab w:val="clear" w:pos="1871"/>
        <w:tab w:val="clear" w:pos="2268"/>
        <w:tab w:val="center" w:pos="4820"/>
        <w:tab w:val="right" w:pos="10206"/>
      </w:tabs>
      <w:ind w:right="1"/>
      <w:rPr>
        <w:smallCaps/>
        <w:spacing w:val="24"/>
        <w:sz w:val="22"/>
        <w:szCs w:val="22"/>
        <w:lang w:val="es-ES"/>
      </w:rPr>
    </w:pPr>
    <w:r w:rsidRPr="004D495C">
      <w:rPr>
        <w:sz w:val="22"/>
        <w:szCs w:val="22"/>
      </w:rPr>
      <w:tab/>
    </w:r>
    <w:r w:rsidR="001E252D" w:rsidRPr="7AF3D878">
      <w:rPr>
        <w:sz w:val="22"/>
        <w:szCs w:val="22"/>
        <w:lang w:val="es-ES"/>
      </w:rPr>
      <w:t>TDAG</w:t>
    </w:r>
    <w:r w:rsidR="008B61EA" w:rsidRPr="7AF3D878">
      <w:rPr>
        <w:sz w:val="22"/>
        <w:szCs w:val="22"/>
        <w:lang w:val="es-ES"/>
      </w:rPr>
      <w:t>-</w:t>
    </w:r>
    <w:r w:rsidR="00BA1F66" w:rsidRPr="7AF3D878">
      <w:rPr>
        <w:sz w:val="22"/>
        <w:szCs w:val="22"/>
        <w:lang w:val="es-ES"/>
      </w:rPr>
      <w:t>26</w:t>
    </w:r>
    <w:r w:rsidRPr="7AF3D878">
      <w:rPr>
        <w:sz w:val="22"/>
        <w:szCs w:val="22"/>
        <w:lang w:val="es-ES"/>
      </w:rPr>
      <w:t>/</w:t>
    </w:r>
    <w:bookmarkStart w:id="12" w:name="DocNo2"/>
    <w:bookmarkEnd w:id="12"/>
    <w:r w:rsidR="7AF3D878" w:rsidRPr="7AF3D878">
      <w:rPr>
        <w:sz w:val="22"/>
        <w:szCs w:val="22"/>
        <w:lang w:val="es-ES"/>
      </w:rPr>
      <w:t>14</w:t>
    </w:r>
    <w:r w:rsidRPr="7AF3D878">
      <w:rPr>
        <w:sz w:val="22"/>
        <w:szCs w:val="22"/>
        <w:lang w:val="es-ES"/>
      </w:rPr>
      <w:t>-E</w:t>
    </w:r>
    <w:r w:rsidRPr="00FF089C">
      <w:rPr>
        <w:sz w:val="22"/>
        <w:szCs w:val="22"/>
        <w:lang w:val="es-ES_tradnl"/>
      </w:rPr>
      <w:tab/>
    </w:r>
    <w:r w:rsidRPr="7AF3D878">
      <w:rPr>
        <w:sz w:val="22"/>
        <w:szCs w:val="22"/>
        <w:lang w:val="es-ES"/>
      </w:rPr>
      <w:t xml:space="preserve">Page </w:t>
    </w:r>
    <w:r w:rsidRPr="7AF3D878">
      <w:rPr>
        <w:sz w:val="22"/>
        <w:szCs w:val="22"/>
        <w:lang w:val="es-ES"/>
      </w:rPr>
      <w:fldChar w:fldCharType="begin"/>
    </w:r>
    <w:r w:rsidRPr="7AF3D878">
      <w:rPr>
        <w:sz w:val="22"/>
        <w:szCs w:val="22"/>
        <w:lang w:val="es-ES"/>
      </w:rPr>
      <w:instrText xml:space="preserve"> PAGE </w:instrText>
    </w:r>
    <w:r w:rsidRPr="7AF3D878">
      <w:rPr>
        <w:sz w:val="22"/>
        <w:szCs w:val="22"/>
      </w:rPr>
      <w:fldChar w:fldCharType="separate"/>
    </w:r>
    <w:r w:rsidR="00221CF4" w:rsidRPr="7AF3D878">
      <w:rPr>
        <w:sz w:val="22"/>
        <w:szCs w:val="22"/>
        <w:lang w:val="es-ES"/>
      </w:rPr>
      <w:t>3</w:t>
    </w:r>
    <w:r w:rsidRPr="7AF3D878">
      <w:rPr>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2885037"/>
    <w:multiLevelType w:val="multilevel"/>
    <w:tmpl w:val="EDBC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0017E"/>
    <w:multiLevelType w:val="multilevel"/>
    <w:tmpl w:val="E74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5F03D92"/>
    <w:multiLevelType w:val="multilevel"/>
    <w:tmpl w:val="8BF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B4D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C6463"/>
    <w:multiLevelType w:val="multilevel"/>
    <w:tmpl w:val="7D0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02C3E"/>
    <w:multiLevelType w:val="multilevel"/>
    <w:tmpl w:val="9F6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00DB7"/>
    <w:multiLevelType w:val="multilevel"/>
    <w:tmpl w:val="2C16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46E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60A9748C"/>
    <w:multiLevelType w:val="hybridMultilevel"/>
    <w:tmpl w:val="9112DBD2"/>
    <w:lvl w:ilvl="0" w:tplc="281293D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850454"/>
    <w:multiLevelType w:val="multilevel"/>
    <w:tmpl w:val="79E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316C9"/>
    <w:multiLevelType w:val="multilevel"/>
    <w:tmpl w:val="221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90AFB"/>
    <w:multiLevelType w:val="hybridMultilevel"/>
    <w:tmpl w:val="CE8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711833">
    <w:abstractNumId w:val="0"/>
  </w:num>
  <w:num w:numId="2" w16cid:durableId="5388640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42253030">
    <w:abstractNumId w:val="15"/>
  </w:num>
  <w:num w:numId="4" w16cid:durableId="697438885">
    <w:abstractNumId w:val="4"/>
  </w:num>
  <w:num w:numId="5" w16cid:durableId="1199581750">
    <w:abstractNumId w:val="11"/>
  </w:num>
  <w:num w:numId="6" w16cid:durableId="80958748">
    <w:abstractNumId w:val="16"/>
  </w:num>
  <w:num w:numId="7" w16cid:durableId="185148315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800226017">
    <w:abstractNumId w:val="6"/>
  </w:num>
  <w:num w:numId="9" w16cid:durableId="1475830553">
    <w:abstractNumId w:val="5"/>
  </w:num>
  <w:num w:numId="10" w16cid:durableId="1656108732">
    <w:abstractNumId w:val="3"/>
  </w:num>
  <w:num w:numId="11" w16cid:durableId="697392482">
    <w:abstractNumId w:val="13"/>
  </w:num>
  <w:num w:numId="12" w16cid:durableId="1717001186">
    <w:abstractNumId w:val="7"/>
  </w:num>
  <w:num w:numId="13" w16cid:durableId="257641388">
    <w:abstractNumId w:val="10"/>
  </w:num>
  <w:num w:numId="14" w16cid:durableId="361059890">
    <w:abstractNumId w:val="12"/>
  </w:num>
  <w:num w:numId="15" w16cid:durableId="1524705783">
    <w:abstractNumId w:val="14"/>
  </w:num>
  <w:num w:numId="16" w16cid:durableId="1722903179">
    <w:abstractNumId w:val="9"/>
  </w:num>
  <w:num w:numId="17" w16cid:durableId="265045902">
    <w:abstractNumId w:val="8"/>
  </w:num>
  <w:num w:numId="18" w16cid:durableId="45082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7176"/>
    <w:rsid w:val="00017B2A"/>
    <w:rsid w:val="000215B1"/>
    <w:rsid w:val="00022A29"/>
    <w:rsid w:val="00027204"/>
    <w:rsid w:val="00027802"/>
    <w:rsid w:val="000300C2"/>
    <w:rsid w:val="00031642"/>
    <w:rsid w:val="000352C0"/>
    <w:rsid w:val="000355FD"/>
    <w:rsid w:val="000366E9"/>
    <w:rsid w:val="0004339D"/>
    <w:rsid w:val="00050726"/>
    <w:rsid w:val="00051E39"/>
    <w:rsid w:val="00064007"/>
    <w:rsid w:val="00066A64"/>
    <w:rsid w:val="00073CF1"/>
    <w:rsid w:val="00075A3D"/>
    <w:rsid w:val="00075C63"/>
    <w:rsid w:val="00077239"/>
    <w:rsid w:val="00080905"/>
    <w:rsid w:val="000822BE"/>
    <w:rsid w:val="00085F47"/>
    <w:rsid w:val="00086491"/>
    <w:rsid w:val="00091346"/>
    <w:rsid w:val="00096C27"/>
    <w:rsid w:val="000B556F"/>
    <w:rsid w:val="000C1722"/>
    <w:rsid w:val="000C1F7D"/>
    <w:rsid w:val="000D4875"/>
    <w:rsid w:val="000E7269"/>
    <w:rsid w:val="000F30BD"/>
    <w:rsid w:val="000F4E78"/>
    <w:rsid w:val="000F5DDC"/>
    <w:rsid w:val="000F6870"/>
    <w:rsid w:val="000F73FF"/>
    <w:rsid w:val="001072F5"/>
    <w:rsid w:val="00114CF7"/>
    <w:rsid w:val="00115130"/>
    <w:rsid w:val="00120BBE"/>
    <w:rsid w:val="0012381B"/>
    <w:rsid w:val="00123B68"/>
    <w:rsid w:val="0012440A"/>
    <w:rsid w:val="00126F2E"/>
    <w:rsid w:val="0013264F"/>
    <w:rsid w:val="00132E67"/>
    <w:rsid w:val="001372EA"/>
    <w:rsid w:val="001379A9"/>
    <w:rsid w:val="0014323C"/>
    <w:rsid w:val="00146F6F"/>
    <w:rsid w:val="00147DA1"/>
    <w:rsid w:val="00151338"/>
    <w:rsid w:val="001523C4"/>
    <w:rsid w:val="00152957"/>
    <w:rsid w:val="00153CCD"/>
    <w:rsid w:val="00162E30"/>
    <w:rsid w:val="00170317"/>
    <w:rsid w:val="00173415"/>
    <w:rsid w:val="001750BA"/>
    <w:rsid w:val="00175FA0"/>
    <w:rsid w:val="00187BD9"/>
    <w:rsid w:val="00190B55"/>
    <w:rsid w:val="00190C44"/>
    <w:rsid w:val="00194CFB"/>
    <w:rsid w:val="00196C80"/>
    <w:rsid w:val="001A046E"/>
    <w:rsid w:val="001A2D5C"/>
    <w:rsid w:val="001B191A"/>
    <w:rsid w:val="001B2ED3"/>
    <w:rsid w:val="001B6946"/>
    <w:rsid w:val="001B7EA3"/>
    <w:rsid w:val="001C1AB9"/>
    <w:rsid w:val="001C3B5F"/>
    <w:rsid w:val="001D058F"/>
    <w:rsid w:val="001E252D"/>
    <w:rsid w:val="001E2F71"/>
    <w:rsid w:val="001F0109"/>
    <w:rsid w:val="001F2786"/>
    <w:rsid w:val="002009EA"/>
    <w:rsid w:val="00202CA0"/>
    <w:rsid w:val="002052D5"/>
    <w:rsid w:val="00206D3D"/>
    <w:rsid w:val="00212572"/>
    <w:rsid w:val="002154A6"/>
    <w:rsid w:val="00215A50"/>
    <w:rsid w:val="00215A9F"/>
    <w:rsid w:val="002162CD"/>
    <w:rsid w:val="00221CF4"/>
    <w:rsid w:val="002228D6"/>
    <w:rsid w:val="00225413"/>
    <w:rsid w:val="002255B3"/>
    <w:rsid w:val="00231881"/>
    <w:rsid w:val="002321D2"/>
    <w:rsid w:val="00236E8A"/>
    <w:rsid w:val="00256A88"/>
    <w:rsid w:val="00256EAD"/>
    <w:rsid w:val="00271316"/>
    <w:rsid w:val="002718B9"/>
    <w:rsid w:val="00277817"/>
    <w:rsid w:val="00281A0D"/>
    <w:rsid w:val="00294D62"/>
    <w:rsid w:val="00296313"/>
    <w:rsid w:val="002A3378"/>
    <w:rsid w:val="002B0219"/>
    <w:rsid w:val="002B3C84"/>
    <w:rsid w:val="002B77A9"/>
    <w:rsid w:val="002C0452"/>
    <w:rsid w:val="002C072C"/>
    <w:rsid w:val="002C5CE1"/>
    <w:rsid w:val="002C64CC"/>
    <w:rsid w:val="002D58BE"/>
    <w:rsid w:val="002D6325"/>
    <w:rsid w:val="002E08EE"/>
    <w:rsid w:val="002E2B08"/>
    <w:rsid w:val="002E4B70"/>
    <w:rsid w:val="002F060C"/>
    <w:rsid w:val="002F0C2B"/>
    <w:rsid w:val="002F59AB"/>
    <w:rsid w:val="002F70F0"/>
    <w:rsid w:val="003013EE"/>
    <w:rsid w:val="00301773"/>
    <w:rsid w:val="00314BBD"/>
    <w:rsid w:val="0032018A"/>
    <w:rsid w:val="003212CE"/>
    <w:rsid w:val="0032336A"/>
    <w:rsid w:val="00325CF4"/>
    <w:rsid w:val="00326E05"/>
    <w:rsid w:val="00333EB6"/>
    <w:rsid w:val="00343886"/>
    <w:rsid w:val="00353965"/>
    <w:rsid w:val="00356DFB"/>
    <w:rsid w:val="00357C64"/>
    <w:rsid w:val="003606DC"/>
    <w:rsid w:val="00360A9B"/>
    <w:rsid w:val="0036103C"/>
    <w:rsid w:val="003657E8"/>
    <w:rsid w:val="00373CBA"/>
    <w:rsid w:val="00377BD3"/>
    <w:rsid w:val="00381309"/>
    <w:rsid w:val="00381DDB"/>
    <w:rsid w:val="00384088"/>
    <w:rsid w:val="003842F3"/>
    <w:rsid w:val="0038489B"/>
    <w:rsid w:val="0039169B"/>
    <w:rsid w:val="00396A90"/>
    <w:rsid w:val="003A2459"/>
    <w:rsid w:val="003A7F8C"/>
    <w:rsid w:val="003B532E"/>
    <w:rsid w:val="003B58CE"/>
    <w:rsid w:val="003B5C55"/>
    <w:rsid w:val="003B6F14"/>
    <w:rsid w:val="003C1D6C"/>
    <w:rsid w:val="003C479E"/>
    <w:rsid w:val="003C7922"/>
    <w:rsid w:val="003D0F8B"/>
    <w:rsid w:val="003D43A7"/>
    <w:rsid w:val="003D4E25"/>
    <w:rsid w:val="003E1A8E"/>
    <w:rsid w:val="003E276C"/>
    <w:rsid w:val="003E6EDB"/>
    <w:rsid w:val="003F64FC"/>
    <w:rsid w:val="00400D77"/>
    <w:rsid w:val="00404787"/>
    <w:rsid w:val="0041151F"/>
    <w:rsid w:val="004131D4"/>
    <w:rsid w:val="0041348E"/>
    <w:rsid w:val="00433677"/>
    <w:rsid w:val="00443C19"/>
    <w:rsid w:val="004454B1"/>
    <w:rsid w:val="00447308"/>
    <w:rsid w:val="004505C3"/>
    <w:rsid w:val="00450AB8"/>
    <w:rsid w:val="00466E66"/>
    <w:rsid w:val="00467CA3"/>
    <w:rsid w:val="004730A6"/>
    <w:rsid w:val="00475F76"/>
    <w:rsid w:val="004765FF"/>
    <w:rsid w:val="00485B1A"/>
    <w:rsid w:val="00492075"/>
    <w:rsid w:val="00496390"/>
    <w:rsid w:val="004969AD"/>
    <w:rsid w:val="00497E41"/>
    <w:rsid w:val="004B13CB"/>
    <w:rsid w:val="004B4FDF"/>
    <w:rsid w:val="004C2FAC"/>
    <w:rsid w:val="004C3CD9"/>
    <w:rsid w:val="004C6ED7"/>
    <w:rsid w:val="004D4246"/>
    <w:rsid w:val="004D5D5C"/>
    <w:rsid w:val="004E7644"/>
    <w:rsid w:val="004E7A1E"/>
    <w:rsid w:val="00500FC5"/>
    <w:rsid w:val="0050139F"/>
    <w:rsid w:val="00516741"/>
    <w:rsid w:val="00521223"/>
    <w:rsid w:val="00521CF8"/>
    <w:rsid w:val="00524DF1"/>
    <w:rsid w:val="0052543B"/>
    <w:rsid w:val="005379DE"/>
    <w:rsid w:val="0055140B"/>
    <w:rsid w:val="005546FF"/>
    <w:rsid w:val="00554C4F"/>
    <w:rsid w:val="0055505E"/>
    <w:rsid w:val="00561D72"/>
    <w:rsid w:val="00565762"/>
    <w:rsid w:val="00572703"/>
    <w:rsid w:val="00575F88"/>
    <w:rsid w:val="005820E1"/>
    <w:rsid w:val="0058312A"/>
    <w:rsid w:val="00585D6F"/>
    <w:rsid w:val="005964AB"/>
    <w:rsid w:val="005B176A"/>
    <w:rsid w:val="005B1817"/>
    <w:rsid w:val="005B44F5"/>
    <w:rsid w:val="005C099A"/>
    <w:rsid w:val="005C15F2"/>
    <w:rsid w:val="005C31A5"/>
    <w:rsid w:val="005C3693"/>
    <w:rsid w:val="005C6AE1"/>
    <w:rsid w:val="005D1E17"/>
    <w:rsid w:val="005E10C9"/>
    <w:rsid w:val="005E1E73"/>
    <w:rsid w:val="005E2DC3"/>
    <w:rsid w:val="005E61DD"/>
    <w:rsid w:val="005E6321"/>
    <w:rsid w:val="006023DF"/>
    <w:rsid w:val="00613070"/>
    <w:rsid w:val="0062592B"/>
    <w:rsid w:val="00627283"/>
    <w:rsid w:val="00630A38"/>
    <w:rsid w:val="0063279C"/>
    <w:rsid w:val="006352E7"/>
    <w:rsid w:val="00636B2F"/>
    <w:rsid w:val="0064322F"/>
    <w:rsid w:val="006469C9"/>
    <w:rsid w:val="00647765"/>
    <w:rsid w:val="00657DE0"/>
    <w:rsid w:val="006640A8"/>
    <w:rsid w:val="00666615"/>
    <w:rsid w:val="00666AB3"/>
    <w:rsid w:val="0067199F"/>
    <w:rsid w:val="00677048"/>
    <w:rsid w:val="00682A7E"/>
    <w:rsid w:val="00685313"/>
    <w:rsid w:val="006904D7"/>
    <w:rsid w:val="0069188E"/>
    <w:rsid w:val="0069541C"/>
    <w:rsid w:val="0069771A"/>
    <w:rsid w:val="006A0D94"/>
    <w:rsid w:val="006A20C0"/>
    <w:rsid w:val="006A21C9"/>
    <w:rsid w:val="006A6E9B"/>
    <w:rsid w:val="006B7C2A"/>
    <w:rsid w:val="006C0862"/>
    <w:rsid w:val="006C23DA"/>
    <w:rsid w:val="006C6A73"/>
    <w:rsid w:val="006C6B03"/>
    <w:rsid w:val="006D2B97"/>
    <w:rsid w:val="006D644D"/>
    <w:rsid w:val="006E3D45"/>
    <w:rsid w:val="006E6738"/>
    <w:rsid w:val="0070260D"/>
    <w:rsid w:val="007149F9"/>
    <w:rsid w:val="007242D3"/>
    <w:rsid w:val="00730272"/>
    <w:rsid w:val="00732396"/>
    <w:rsid w:val="00733A30"/>
    <w:rsid w:val="00737BFB"/>
    <w:rsid w:val="00743E38"/>
    <w:rsid w:val="00745136"/>
    <w:rsid w:val="00745AEE"/>
    <w:rsid w:val="007479EA"/>
    <w:rsid w:val="00750F10"/>
    <w:rsid w:val="0075476F"/>
    <w:rsid w:val="00764300"/>
    <w:rsid w:val="00767BD4"/>
    <w:rsid w:val="007742CA"/>
    <w:rsid w:val="007812B2"/>
    <w:rsid w:val="00786643"/>
    <w:rsid w:val="00787CFB"/>
    <w:rsid w:val="007A0D21"/>
    <w:rsid w:val="007A7AFB"/>
    <w:rsid w:val="007C46BB"/>
    <w:rsid w:val="007C622D"/>
    <w:rsid w:val="007D06F0"/>
    <w:rsid w:val="007D1532"/>
    <w:rsid w:val="007D45E3"/>
    <w:rsid w:val="007D5320"/>
    <w:rsid w:val="007D57B8"/>
    <w:rsid w:val="007E3AAE"/>
    <w:rsid w:val="007E3BB9"/>
    <w:rsid w:val="007F0F50"/>
    <w:rsid w:val="007F5BCD"/>
    <w:rsid w:val="007F735C"/>
    <w:rsid w:val="00800972"/>
    <w:rsid w:val="00804475"/>
    <w:rsid w:val="00806244"/>
    <w:rsid w:val="00811633"/>
    <w:rsid w:val="008124C6"/>
    <w:rsid w:val="00814481"/>
    <w:rsid w:val="00815E05"/>
    <w:rsid w:val="00821CEF"/>
    <w:rsid w:val="00822B3D"/>
    <w:rsid w:val="00831F0A"/>
    <w:rsid w:val="00832828"/>
    <w:rsid w:val="0083645A"/>
    <w:rsid w:val="00840B0F"/>
    <w:rsid w:val="00850AAC"/>
    <w:rsid w:val="00851768"/>
    <w:rsid w:val="00852B9B"/>
    <w:rsid w:val="00854DDE"/>
    <w:rsid w:val="00854EC5"/>
    <w:rsid w:val="0085654C"/>
    <w:rsid w:val="00864007"/>
    <w:rsid w:val="0086551B"/>
    <w:rsid w:val="00865BFD"/>
    <w:rsid w:val="00865CDD"/>
    <w:rsid w:val="008711AE"/>
    <w:rsid w:val="00872CF4"/>
    <w:rsid w:val="00872FC8"/>
    <w:rsid w:val="008801D3"/>
    <w:rsid w:val="008831EA"/>
    <w:rsid w:val="008845D0"/>
    <w:rsid w:val="00884D93"/>
    <w:rsid w:val="0089493A"/>
    <w:rsid w:val="00895FD2"/>
    <w:rsid w:val="008976CD"/>
    <w:rsid w:val="008B3CA0"/>
    <w:rsid w:val="008B43F2"/>
    <w:rsid w:val="008B464C"/>
    <w:rsid w:val="008B4C0A"/>
    <w:rsid w:val="008B61EA"/>
    <w:rsid w:val="008B6CFF"/>
    <w:rsid w:val="008D2E49"/>
    <w:rsid w:val="008F7197"/>
    <w:rsid w:val="009034D7"/>
    <w:rsid w:val="00906B0D"/>
    <w:rsid w:val="00910B26"/>
    <w:rsid w:val="00913D23"/>
    <w:rsid w:val="0092450C"/>
    <w:rsid w:val="00925FBF"/>
    <w:rsid w:val="009274B4"/>
    <w:rsid w:val="009323D9"/>
    <w:rsid w:val="00934EA2"/>
    <w:rsid w:val="009365FB"/>
    <w:rsid w:val="00937A5E"/>
    <w:rsid w:val="00944A5C"/>
    <w:rsid w:val="009523F9"/>
    <w:rsid w:val="00952A66"/>
    <w:rsid w:val="00953318"/>
    <w:rsid w:val="009644CC"/>
    <w:rsid w:val="009769EC"/>
    <w:rsid w:val="00980396"/>
    <w:rsid w:val="00980CB8"/>
    <w:rsid w:val="00984893"/>
    <w:rsid w:val="009A0B54"/>
    <w:rsid w:val="009A38FC"/>
    <w:rsid w:val="009A6997"/>
    <w:rsid w:val="009A7152"/>
    <w:rsid w:val="009B19C3"/>
    <w:rsid w:val="009B4757"/>
    <w:rsid w:val="009C05AA"/>
    <w:rsid w:val="009C1F14"/>
    <w:rsid w:val="009C56E5"/>
    <w:rsid w:val="009C6794"/>
    <w:rsid w:val="009C69AB"/>
    <w:rsid w:val="009E1506"/>
    <w:rsid w:val="009E1B23"/>
    <w:rsid w:val="009E37B8"/>
    <w:rsid w:val="009E5FC8"/>
    <w:rsid w:val="009E687A"/>
    <w:rsid w:val="009F0E51"/>
    <w:rsid w:val="009F3246"/>
    <w:rsid w:val="00A023B0"/>
    <w:rsid w:val="00A03C5C"/>
    <w:rsid w:val="00A066F1"/>
    <w:rsid w:val="00A141AF"/>
    <w:rsid w:val="00A15761"/>
    <w:rsid w:val="00A16D29"/>
    <w:rsid w:val="00A17D17"/>
    <w:rsid w:val="00A20E5E"/>
    <w:rsid w:val="00A30305"/>
    <w:rsid w:val="00A31D2D"/>
    <w:rsid w:val="00A37A87"/>
    <w:rsid w:val="00A37B51"/>
    <w:rsid w:val="00A44F1E"/>
    <w:rsid w:val="00A4600A"/>
    <w:rsid w:val="00A471AF"/>
    <w:rsid w:val="00A538A6"/>
    <w:rsid w:val="00A54C25"/>
    <w:rsid w:val="00A618B7"/>
    <w:rsid w:val="00A706D6"/>
    <w:rsid w:val="00A710E7"/>
    <w:rsid w:val="00A71604"/>
    <w:rsid w:val="00A7372E"/>
    <w:rsid w:val="00A77264"/>
    <w:rsid w:val="00A77F52"/>
    <w:rsid w:val="00A846E7"/>
    <w:rsid w:val="00A854E9"/>
    <w:rsid w:val="00A855A1"/>
    <w:rsid w:val="00A90ED9"/>
    <w:rsid w:val="00A93B85"/>
    <w:rsid w:val="00AA04C7"/>
    <w:rsid w:val="00AA0B18"/>
    <w:rsid w:val="00AA666F"/>
    <w:rsid w:val="00AA68B0"/>
    <w:rsid w:val="00AB1337"/>
    <w:rsid w:val="00AB4428"/>
    <w:rsid w:val="00AB4927"/>
    <w:rsid w:val="00AC034F"/>
    <w:rsid w:val="00AC364D"/>
    <w:rsid w:val="00AC42DD"/>
    <w:rsid w:val="00AC5667"/>
    <w:rsid w:val="00AD3BB0"/>
    <w:rsid w:val="00AE74E4"/>
    <w:rsid w:val="00B004BC"/>
    <w:rsid w:val="00B004E5"/>
    <w:rsid w:val="00B13011"/>
    <w:rsid w:val="00B13CAF"/>
    <w:rsid w:val="00B15F9D"/>
    <w:rsid w:val="00B20CDD"/>
    <w:rsid w:val="00B276D0"/>
    <w:rsid w:val="00B43511"/>
    <w:rsid w:val="00B556F7"/>
    <w:rsid w:val="00B5753E"/>
    <w:rsid w:val="00B639E9"/>
    <w:rsid w:val="00B817CD"/>
    <w:rsid w:val="00B81B4C"/>
    <w:rsid w:val="00B8386B"/>
    <w:rsid w:val="00B911B2"/>
    <w:rsid w:val="00B951D0"/>
    <w:rsid w:val="00B95DA2"/>
    <w:rsid w:val="00B96C44"/>
    <w:rsid w:val="00BA0C27"/>
    <w:rsid w:val="00BA0CF3"/>
    <w:rsid w:val="00BA1F66"/>
    <w:rsid w:val="00BB29C8"/>
    <w:rsid w:val="00BB3A95"/>
    <w:rsid w:val="00BB4C13"/>
    <w:rsid w:val="00BC0382"/>
    <w:rsid w:val="00BC5491"/>
    <w:rsid w:val="00BC589A"/>
    <w:rsid w:val="00BC6345"/>
    <w:rsid w:val="00BD2791"/>
    <w:rsid w:val="00BD62C6"/>
    <w:rsid w:val="00BE0ED4"/>
    <w:rsid w:val="00C0018F"/>
    <w:rsid w:val="00C006E5"/>
    <w:rsid w:val="00C0446C"/>
    <w:rsid w:val="00C11EA4"/>
    <w:rsid w:val="00C144CA"/>
    <w:rsid w:val="00C20466"/>
    <w:rsid w:val="00C214ED"/>
    <w:rsid w:val="00C234E6"/>
    <w:rsid w:val="00C24CC8"/>
    <w:rsid w:val="00C26713"/>
    <w:rsid w:val="00C271C7"/>
    <w:rsid w:val="00C324A8"/>
    <w:rsid w:val="00C32B41"/>
    <w:rsid w:val="00C369AC"/>
    <w:rsid w:val="00C414DB"/>
    <w:rsid w:val="00C54517"/>
    <w:rsid w:val="00C64CD8"/>
    <w:rsid w:val="00C67238"/>
    <w:rsid w:val="00C7625B"/>
    <w:rsid w:val="00C855D0"/>
    <w:rsid w:val="00C863BE"/>
    <w:rsid w:val="00C92766"/>
    <w:rsid w:val="00C97C68"/>
    <w:rsid w:val="00CA1A47"/>
    <w:rsid w:val="00CA5D89"/>
    <w:rsid w:val="00CB1AD5"/>
    <w:rsid w:val="00CC247A"/>
    <w:rsid w:val="00CC497A"/>
    <w:rsid w:val="00CC5206"/>
    <w:rsid w:val="00CE515F"/>
    <w:rsid w:val="00CE5B1E"/>
    <w:rsid w:val="00CE5E47"/>
    <w:rsid w:val="00CF020F"/>
    <w:rsid w:val="00CF1367"/>
    <w:rsid w:val="00CF2B5B"/>
    <w:rsid w:val="00CF7A3C"/>
    <w:rsid w:val="00D050E4"/>
    <w:rsid w:val="00D14CE0"/>
    <w:rsid w:val="00D27C08"/>
    <w:rsid w:val="00D305FC"/>
    <w:rsid w:val="00D36333"/>
    <w:rsid w:val="00D43479"/>
    <w:rsid w:val="00D4443C"/>
    <w:rsid w:val="00D52E17"/>
    <w:rsid w:val="00D5651D"/>
    <w:rsid w:val="00D62CAE"/>
    <w:rsid w:val="00D74898"/>
    <w:rsid w:val="00D801ED"/>
    <w:rsid w:val="00D83BF5"/>
    <w:rsid w:val="00D9013F"/>
    <w:rsid w:val="00D91143"/>
    <w:rsid w:val="00D925C2"/>
    <w:rsid w:val="00D936BC"/>
    <w:rsid w:val="00D9621A"/>
    <w:rsid w:val="00D96530"/>
    <w:rsid w:val="00D96B4B"/>
    <w:rsid w:val="00D972BB"/>
    <w:rsid w:val="00DA2345"/>
    <w:rsid w:val="00DA453A"/>
    <w:rsid w:val="00DA6B67"/>
    <w:rsid w:val="00DA7078"/>
    <w:rsid w:val="00DA77F5"/>
    <w:rsid w:val="00DB1A39"/>
    <w:rsid w:val="00DC1E30"/>
    <w:rsid w:val="00DD08B4"/>
    <w:rsid w:val="00DD1A0C"/>
    <w:rsid w:val="00DD44A5"/>
    <w:rsid w:val="00DD44AF"/>
    <w:rsid w:val="00DD6573"/>
    <w:rsid w:val="00DE2AC3"/>
    <w:rsid w:val="00DE2F21"/>
    <w:rsid w:val="00DE434C"/>
    <w:rsid w:val="00DE5692"/>
    <w:rsid w:val="00DE661A"/>
    <w:rsid w:val="00DF16C6"/>
    <w:rsid w:val="00DF2F16"/>
    <w:rsid w:val="00DF6F8E"/>
    <w:rsid w:val="00DF799A"/>
    <w:rsid w:val="00E01C06"/>
    <w:rsid w:val="00E03C94"/>
    <w:rsid w:val="00E07105"/>
    <w:rsid w:val="00E15BDD"/>
    <w:rsid w:val="00E21525"/>
    <w:rsid w:val="00E23573"/>
    <w:rsid w:val="00E24C4E"/>
    <w:rsid w:val="00E26226"/>
    <w:rsid w:val="00E36040"/>
    <w:rsid w:val="00E4165C"/>
    <w:rsid w:val="00E4355B"/>
    <w:rsid w:val="00E44DCB"/>
    <w:rsid w:val="00E45D05"/>
    <w:rsid w:val="00E467B4"/>
    <w:rsid w:val="00E50CCF"/>
    <w:rsid w:val="00E513B8"/>
    <w:rsid w:val="00E52C60"/>
    <w:rsid w:val="00E55816"/>
    <w:rsid w:val="00E55AEF"/>
    <w:rsid w:val="00E57578"/>
    <w:rsid w:val="00E603AE"/>
    <w:rsid w:val="00E65D0D"/>
    <w:rsid w:val="00E6719A"/>
    <w:rsid w:val="00E7004F"/>
    <w:rsid w:val="00E71808"/>
    <w:rsid w:val="00E73133"/>
    <w:rsid w:val="00E80122"/>
    <w:rsid w:val="00E92E7A"/>
    <w:rsid w:val="00E976C1"/>
    <w:rsid w:val="00EA12E5"/>
    <w:rsid w:val="00EA236B"/>
    <w:rsid w:val="00EA4616"/>
    <w:rsid w:val="00EA500C"/>
    <w:rsid w:val="00EB0071"/>
    <w:rsid w:val="00EC0BD2"/>
    <w:rsid w:val="00EC1684"/>
    <w:rsid w:val="00EC7E24"/>
    <w:rsid w:val="00ED0FF6"/>
    <w:rsid w:val="00ED67FD"/>
    <w:rsid w:val="00ED7794"/>
    <w:rsid w:val="00EE1B1B"/>
    <w:rsid w:val="00EE28D0"/>
    <w:rsid w:val="00EE6E7D"/>
    <w:rsid w:val="00EF39F2"/>
    <w:rsid w:val="00F00B00"/>
    <w:rsid w:val="00F0209C"/>
    <w:rsid w:val="00F02766"/>
    <w:rsid w:val="00F04067"/>
    <w:rsid w:val="00F04575"/>
    <w:rsid w:val="00F05BD4"/>
    <w:rsid w:val="00F11A98"/>
    <w:rsid w:val="00F1503C"/>
    <w:rsid w:val="00F21A1D"/>
    <w:rsid w:val="00F27C96"/>
    <w:rsid w:val="00F300D6"/>
    <w:rsid w:val="00F37AD7"/>
    <w:rsid w:val="00F409AE"/>
    <w:rsid w:val="00F55E48"/>
    <w:rsid w:val="00F5694B"/>
    <w:rsid w:val="00F56E4D"/>
    <w:rsid w:val="00F57E57"/>
    <w:rsid w:val="00F6138B"/>
    <w:rsid w:val="00F65C19"/>
    <w:rsid w:val="00F666B2"/>
    <w:rsid w:val="00F73848"/>
    <w:rsid w:val="00F803E4"/>
    <w:rsid w:val="00F83313"/>
    <w:rsid w:val="00F835D9"/>
    <w:rsid w:val="00F83810"/>
    <w:rsid w:val="00F855D0"/>
    <w:rsid w:val="00F908C7"/>
    <w:rsid w:val="00F915DB"/>
    <w:rsid w:val="00F9734C"/>
    <w:rsid w:val="00FA3322"/>
    <w:rsid w:val="00FA7497"/>
    <w:rsid w:val="00FB3F64"/>
    <w:rsid w:val="00FB7F8D"/>
    <w:rsid w:val="00FC091D"/>
    <w:rsid w:val="00FC4AB2"/>
    <w:rsid w:val="00FD2546"/>
    <w:rsid w:val="00FD772E"/>
    <w:rsid w:val="00FE11DB"/>
    <w:rsid w:val="00FE3926"/>
    <w:rsid w:val="00FE53E5"/>
    <w:rsid w:val="00FE5F4B"/>
    <w:rsid w:val="00FE67C5"/>
    <w:rsid w:val="00FE78B9"/>
    <w:rsid w:val="00FE78C7"/>
    <w:rsid w:val="00FF0295"/>
    <w:rsid w:val="00FF0563"/>
    <w:rsid w:val="00FF0CA8"/>
    <w:rsid w:val="00FF1E98"/>
    <w:rsid w:val="00FF43AC"/>
    <w:rsid w:val="02941D8B"/>
    <w:rsid w:val="0355F7CC"/>
    <w:rsid w:val="03D3342C"/>
    <w:rsid w:val="069E7081"/>
    <w:rsid w:val="0983FB8C"/>
    <w:rsid w:val="0A24ACB1"/>
    <w:rsid w:val="0A5BC0BD"/>
    <w:rsid w:val="0B878FB5"/>
    <w:rsid w:val="0C0F740C"/>
    <w:rsid w:val="0D3180C5"/>
    <w:rsid w:val="0D6796D0"/>
    <w:rsid w:val="0DF17030"/>
    <w:rsid w:val="0F69E1DD"/>
    <w:rsid w:val="109A6197"/>
    <w:rsid w:val="10DD61FF"/>
    <w:rsid w:val="111980AA"/>
    <w:rsid w:val="11884A87"/>
    <w:rsid w:val="12831B46"/>
    <w:rsid w:val="13D4B583"/>
    <w:rsid w:val="16938294"/>
    <w:rsid w:val="1D8AB39F"/>
    <w:rsid w:val="1E6D48CB"/>
    <w:rsid w:val="21769E47"/>
    <w:rsid w:val="266E42A8"/>
    <w:rsid w:val="27428DB8"/>
    <w:rsid w:val="27A7F25C"/>
    <w:rsid w:val="28D207D2"/>
    <w:rsid w:val="2B07CADF"/>
    <w:rsid w:val="30041E58"/>
    <w:rsid w:val="306F4468"/>
    <w:rsid w:val="30E4387C"/>
    <w:rsid w:val="314B4DF0"/>
    <w:rsid w:val="33C24D2E"/>
    <w:rsid w:val="3407EF7F"/>
    <w:rsid w:val="340F345F"/>
    <w:rsid w:val="3416B243"/>
    <w:rsid w:val="347F2F3B"/>
    <w:rsid w:val="3481BD90"/>
    <w:rsid w:val="35C59CA1"/>
    <w:rsid w:val="377B7A54"/>
    <w:rsid w:val="3AB206BD"/>
    <w:rsid w:val="3ADFCAAB"/>
    <w:rsid w:val="3AF51F38"/>
    <w:rsid w:val="3CA9DB78"/>
    <w:rsid w:val="419B1339"/>
    <w:rsid w:val="4233EDE0"/>
    <w:rsid w:val="450E7F1E"/>
    <w:rsid w:val="462BD686"/>
    <w:rsid w:val="48A11210"/>
    <w:rsid w:val="48F32A1D"/>
    <w:rsid w:val="495916C9"/>
    <w:rsid w:val="4C0CCB96"/>
    <w:rsid w:val="4E9ADD33"/>
    <w:rsid w:val="4FCB47EB"/>
    <w:rsid w:val="50226DE2"/>
    <w:rsid w:val="512963FD"/>
    <w:rsid w:val="54CF6DC3"/>
    <w:rsid w:val="54FA3348"/>
    <w:rsid w:val="552BF88B"/>
    <w:rsid w:val="57A84376"/>
    <w:rsid w:val="57B46811"/>
    <w:rsid w:val="5891C7DF"/>
    <w:rsid w:val="59C75531"/>
    <w:rsid w:val="5BA24CD6"/>
    <w:rsid w:val="5CCB45C0"/>
    <w:rsid w:val="5F260EB7"/>
    <w:rsid w:val="60E62BFA"/>
    <w:rsid w:val="6230DCA4"/>
    <w:rsid w:val="6263F511"/>
    <w:rsid w:val="62EF7B58"/>
    <w:rsid w:val="63C07BB1"/>
    <w:rsid w:val="64ED1656"/>
    <w:rsid w:val="65D76066"/>
    <w:rsid w:val="664E1004"/>
    <w:rsid w:val="683539F6"/>
    <w:rsid w:val="69463FB9"/>
    <w:rsid w:val="69AE04A8"/>
    <w:rsid w:val="6A7BF107"/>
    <w:rsid w:val="6DB18ADF"/>
    <w:rsid w:val="6E7E46DB"/>
    <w:rsid w:val="70E7B904"/>
    <w:rsid w:val="70F24C39"/>
    <w:rsid w:val="71771E38"/>
    <w:rsid w:val="7334E64D"/>
    <w:rsid w:val="73C5B568"/>
    <w:rsid w:val="73CED0F9"/>
    <w:rsid w:val="7465A447"/>
    <w:rsid w:val="76558783"/>
    <w:rsid w:val="78ECFFEE"/>
    <w:rsid w:val="7AF3D878"/>
    <w:rsid w:val="7B57425B"/>
    <w:rsid w:val="7C617AF0"/>
    <w:rsid w:val="7C76416D"/>
    <w:rsid w:val="7CA5C576"/>
    <w:rsid w:val="7FA4F869"/>
    <w:rsid w:val="7FC33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C0FF"/>
  <w15:docId w15:val="{59A5E5D2-1CC3-43EE-AF41-6D0CABDF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하이퍼링크2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umlev1Char">
    <w:name w:val="enumlev1 Char"/>
    <w:basedOn w:val="DefaultParagraphFont"/>
    <w:link w:val="enumlev1"/>
    <w:rsid w:val="00F00B00"/>
    <w:rPr>
      <w:rFonts w:asciiTheme="minorHAnsi" w:hAnsiTheme="minorHAnsi"/>
      <w:sz w:val="24"/>
      <w:lang w:val="en-GB" w:eastAsia="en-US"/>
    </w:rPr>
  </w:style>
  <w:style w:type="character" w:customStyle="1" w:styleId="enumlev2Char">
    <w:name w:val="enumlev2 Char"/>
    <w:basedOn w:val="enumlev1Char"/>
    <w:link w:val="enumlev2"/>
    <w:rsid w:val="00F00B00"/>
    <w:rPr>
      <w:rFonts w:asciiTheme="minorHAnsi" w:hAnsiTheme="minorHAnsi"/>
      <w:sz w:val="24"/>
      <w:lang w:val="en-GB" w:eastAsia="en-US"/>
    </w:rPr>
  </w:style>
  <w:style w:type="character" w:customStyle="1" w:styleId="CallChar">
    <w:name w:val="Call Char"/>
    <w:basedOn w:val="DefaultParagraphFont"/>
    <w:link w:val="Call"/>
    <w:locked/>
    <w:rsid w:val="00F00B00"/>
    <w:rPr>
      <w:rFonts w:asciiTheme="minorHAnsi" w:hAnsiTheme="minorHAnsi"/>
      <w:i/>
      <w:sz w:val="24"/>
      <w:lang w:val="en-GB" w:eastAsia="en-US"/>
    </w:rPr>
  </w:style>
  <w:style w:type="paragraph" w:customStyle="1" w:styleId="paragraph">
    <w:name w:val="paragraph"/>
    <w:basedOn w:val="Normal"/>
    <w:rsid w:val="00C762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C7625B"/>
  </w:style>
  <w:style w:type="character" w:customStyle="1" w:styleId="scxw55723030">
    <w:name w:val="scxw55723030"/>
    <w:basedOn w:val="DefaultParagraphFont"/>
    <w:rsid w:val="00C7625B"/>
  </w:style>
  <w:style w:type="character" w:customStyle="1" w:styleId="eop">
    <w:name w:val="eop"/>
    <w:basedOn w:val="DefaultParagraphFont"/>
    <w:rsid w:val="00C7625B"/>
  </w:style>
  <w:style w:type="character" w:customStyle="1" w:styleId="wacimagecontainer">
    <w:name w:val="wacimagecontainer"/>
    <w:basedOn w:val="DefaultParagraphFont"/>
    <w:rsid w:val="00C7625B"/>
  </w:style>
  <w:style w:type="paragraph" w:styleId="Revision">
    <w:name w:val="Revision"/>
    <w:hidden/>
    <w:uiPriority w:val="99"/>
    <w:semiHidden/>
    <w:rsid w:val="00AD3BB0"/>
    <w:rPr>
      <w:rFonts w:asciiTheme="minorHAnsi" w:hAnsiTheme="minorHAnsi"/>
      <w:sz w:val="24"/>
      <w:lang w:val="en-GB" w:eastAsia="en-US"/>
    </w:rPr>
  </w:style>
  <w:style w:type="character" w:styleId="CommentReference">
    <w:name w:val="annotation reference"/>
    <w:basedOn w:val="DefaultParagraphFont"/>
    <w:semiHidden/>
    <w:unhideWhenUsed/>
    <w:rsid w:val="00C144CA"/>
    <w:rPr>
      <w:sz w:val="16"/>
      <w:szCs w:val="16"/>
    </w:rPr>
  </w:style>
  <w:style w:type="paragraph" w:styleId="CommentText">
    <w:name w:val="annotation text"/>
    <w:basedOn w:val="Normal"/>
    <w:link w:val="CommentTextChar"/>
    <w:unhideWhenUsed/>
    <w:rsid w:val="00C144CA"/>
    <w:rPr>
      <w:sz w:val="20"/>
    </w:rPr>
  </w:style>
  <w:style w:type="character" w:customStyle="1" w:styleId="CommentTextChar">
    <w:name w:val="Comment Text Char"/>
    <w:basedOn w:val="DefaultParagraphFont"/>
    <w:link w:val="CommentText"/>
    <w:rsid w:val="00C144CA"/>
    <w:rPr>
      <w:rFonts w:asciiTheme="minorHAnsi" w:eastAsia="Batang" w:hAnsiTheme="minorHAnsi"/>
      <w:lang w:val="en-GB" w:eastAsia="en-US"/>
    </w:rPr>
  </w:style>
  <w:style w:type="paragraph" w:styleId="CommentSubject">
    <w:name w:val="annotation subject"/>
    <w:basedOn w:val="CommentText"/>
    <w:next w:val="CommentText"/>
    <w:link w:val="CommentSubjectChar"/>
    <w:semiHidden/>
    <w:unhideWhenUsed/>
    <w:rsid w:val="00C144CA"/>
    <w:rPr>
      <w:b/>
      <w:bCs/>
    </w:rPr>
  </w:style>
  <w:style w:type="character" w:customStyle="1" w:styleId="CommentSubjectChar">
    <w:name w:val="Comment Subject Char"/>
    <w:basedOn w:val="CommentTextChar"/>
    <w:link w:val="CommentSubject"/>
    <w:semiHidden/>
    <w:rsid w:val="00C144CA"/>
    <w:rPr>
      <w:rFonts w:asciiTheme="minorHAnsi" w:eastAsia="Batang" w:hAnsiTheme="minorHAnsi"/>
      <w:b/>
      <w:bCs/>
      <w:lang w:val="en-GB" w:eastAsia="en-US"/>
    </w:rPr>
  </w:style>
  <w:style w:type="paragraph" w:styleId="NormalWeb">
    <w:name w:val="Normal (Web)"/>
    <w:basedOn w:val="Normal"/>
    <w:uiPriority w:val="99"/>
    <w:unhideWhenUsed/>
    <w:rsid w:val="009365F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customStyle="1" w:styleId="scriptor-listitemlistlist-f69bd402-4176-4909-979b-570f783ffd6e1">
    <w:name w:val="scriptor-listitemlist!list-f69bd402-4176-4909-979b-570f783ffd6e1"/>
    <w:basedOn w:val="Normal"/>
    <w:rsid w:val="00EE6E7D"/>
    <w:pPr>
      <w:tabs>
        <w:tab w:val="clear" w:pos="1134"/>
        <w:tab w:val="clear" w:pos="1871"/>
        <w:tab w:val="clear" w:pos="2268"/>
      </w:tabs>
      <w:overflowPunct/>
      <w:autoSpaceDE/>
      <w:autoSpaceDN/>
      <w:adjustRightInd/>
      <w:spacing w:before="0" w:after="160"/>
      <w:textAlignment w:val="auto"/>
    </w:pPr>
    <w:rPr>
      <w:rFonts w:ascii="Times New Roman" w:eastAsia="Times New Roman" w:hAnsi="Times New Roman"/>
      <w:szCs w:val="24"/>
      <w:lang w:eastAsia="en-GB"/>
    </w:rPr>
  </w:style>
  <w:style w:type="paragraph" w:customStyle="1" w:styleId="scriptor-listitemlistlist-f69bd402-4176-4909-979b-570f783ffd6e2">
    <w:name w:val="scriptor-listitemlist!list-f69bd402-4176-4909-979b-570f783ffd6e2"/>
    <w:basedOn w:val="Normal"/>
    <w:rsid w:val="00EE6E7D"/>
    <w:pPr>
      <w:tabs>
        <w:tab w:val="clear" w:pos="1134"/>
        <w:tab w:val="clear" w:pos="1871"/>
        <w:tab w:val="clear" w:pos="2268"/>
      </w:tabs>
      <w:overflowPunct/>
      <w:autoSpaceDE/>
      <w:autoSpaceDN/>
      <w:adjustRightInd/>
      <w:spacing w:before="0" w:after="160"/>
      <w:textAlignment w:val="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D-RES-D.1-20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Documents/basic-texts-2023/RES-154-E.pdf" TargetMode="External"/><Relationship Id="rId17" Type="http://schemas.openxmlformats.org/officeDocument/2006/relationships/hyperlink" Target="https://www.itu.int/en/council/cwg-lang/Pages/default.aspx" TargetMode="External"/><Relationship Id="rId2" Type="http://schemas.openxmlformats.org/officeDocument/2006/relationships/customXml" Target="../customXml/item2.xml"/><Relationship Id="rId16" Type="http://schemas.openxmlformats.org/officeDocument/2006/relationships/hyperlink" Target="https://www.itu.int/en/council/Documents/basic-texts-2023/RES-154-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S24-CL-C-0138/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7/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tephen.bereaux@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A6D191D9-DBE0-4A2D-8166-16BA69A3E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DD000-1DEB-421C-968D-8A7A2914DE19}">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5703</Characters>
  <Application>Microsoft Office Word</Application>
  <DocSecurity>0</DocSecurity>
  <Lines>47</Lines>
  <Paragraphs>13</Paragraphs>
  <ScaleCrop>false</ScaleCrop>
  <Manager>General Secretariat - Pool</Manager>
  <Company/>
  <LinksUpToDate>false</LinksUpToDate>
  <CharactersWithSpaces>6551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58</cp:revision>
  <cp:lastPrinted>2018-01-31T06:45:00Z</cp:lastPrinted>
  <dcterms:created xsi:type="dcterms:W3CDTF">2026-02-14T00:46:00Z</dcterms:created>
  <dcterms:modified xsi:type="dcterms:W3CDTF">2026-03-03T10:31:00Z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