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2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27B75579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2DCF59CB" w14:textId="56D887B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B06557">
            <w:pPr>
              <w:spacing w:before="0"/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67F56F17" w:rsidR="00D87035" w:rsidRPr="00F42215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>Document</w:t>
            </w:r>
            <w:bookmarkStart w:id="4" w:name="DocRef1"/>
            <w:bookmarkEnd w:id="4"/>
            <w:r w:rsidR="006A7603" w:rsidRPr="00F42215">
              <w:rPr>
                <w:b/>
                <w:bCs/>
                <w:lang w:val="es-ES"/>
              </w:rPr>
              <w:t>o</w:t>
            </w:r>
            <w:r w:rsidR="001A2AB4" w:rsidRPr="00F42215">
              <w:rPr>
                <w:b/>
                <w:bCs/>
                <w:lang w:val="es-ES"/>
              </w:rPr>
              <w:t xml:space="preserve"> </w:t>
            </w:r>
            <w:r w:rsidRPr="00F42215">
              <w:rPr>
                <w:b/>
                <w:bCs/>
                <w:lang w:val="es-ES"/>
              </w:rPr>
              <w:t>TDAG-</w:t>
            </w:r>
            <w:r w:rsidR="00523934" w:rsidRPr="00F42215">
              <w:rPr>
                <w:b/>
                <w:bCs/>
                <w:lang w:val="es-ES"/>
              </w:rPr>
              <w:t>2</w:t>
            </w:r>
            <w:r w:rsidR="00EF4D25" w:rsidRPr="00F42215">
              <w:rPr>
                <w:b/>
                <w:bCs/>
                <w:lang w:val="es-ES"/>
              </w:rPr>
              <w:t>6</w:t>
            </w:r>
            <w:r w:rsidRPr="00F42215">
              <w:rPr>
                <w:b/>
                <w:bCs/>
                <w:lang w:val="es-ES"/>
              </w:rPr>
              <w:t>/</w:t>
            </w:r>
            <w:bookmarkStart w:id="5" w:name="DocNo1"/>
            <w:bookmarkEnd w:id="5"/>
            <w:r w:rsidR="00EB6D30">
              <w:rPr>
                <w:b/>
                <w:bCs/>
                <w:lang w:val="es-ES"/>
              </w:rPr>
              <w:t>10</w:t>
            </w:r>
            <w:r w:rsidRPr="00F42215">
              <w:rPr>
                <w:b/>
                <w:bCs/>
                <w:lang w:val="es-ES"/>
              </w:rPr>
              <w:t>-</w:t>
            </w:r>
            <w:r w:rsidR="001A2AB4" w:rsidRPr="00F42215">
              <w:rPr>
                <w:b/>
                <w:bCs/>
                <w:lang w:val="es-ES"/>
              </w:rPr>
              <w:t>S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B06557">
            <w:pPr>
              <w:spacing w:before="0"/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5EB38D7E" w:rsidR="00D87035" w:rsidRPr="00F42215" w:rsidRDefault="00EB6D30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>
              <w:rPr>
                <w:b/>
                <w:bCs/>
                <w:lang w:val="es-ES"/>
              </w:rPr>
              <w:t>3</w:t>
            </w:r>
            <w:r w:rsidR="001A2AB4" w:rsidRPr="00F42215">
              <w:rPr>
                <w:b/>
                <w:bCs/>
                <w:lang w:val="es-ES"/>
              </w:rPr>
              <w:t xml:space="preserve"> de</w:t>
            </w:r>
            <w:r w:rsidR="0081159E" w:rsidRPr="00F42215">
              <w:rPr>
                <w:b/>
                <w:bCs/>
                <w:lang w:val="es-ES"/>
              </w:rPr>
              <w:t xml:space="preserve"> </w:t>
            </w:r>
            <w:r>
              <w:rPr>
                <w:b/>
                <w:bCs/>
                <w:lang w:val="es-ES"/>
              </w:rPr>
              <w:t>marzo</w:t>
            </w:r>
            <w:r w:rsidR="0081159E" w:rsidRPr="00F42215">
              <w:rPr>
                <w:b/>
                <w:bCs/>
                <w:lang w:val="es-ES"/>
              </w:rPr>
              <w:t xml:space="preserve"> </w:t>
            </w:r>
            <w:r w:rsidR="001A2AB4" w:rsidRPr="00F42215">
              <w:rPr>
                <w:b/>
                <w:bCs/>
                <w:lang w:val="es-ES"/>
              </w:rPr>
              <w:t xml:space="preserve">de </w:t>
            </w:r>
            <w:r w:rsidR="002955DA" w:rsidRPr="00F42215">
              <w:rPr>
                <w:b/>
                <w:bCs/>
                <w:lang w:val="es-ES"/>
              </w:rPr>
              <w:t>202</w:t>
            </w:r>
            <w:r w:rsidR="00EF4D25" w:rsidRPr="00F42215">
              <w:rPr>
                <w:b/>
                <w:bCs/>
                <w:lang w:val="es-ES"/>
              </w:rPr>
              <w:t>6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B06557">
            <w:pPr>
              <w:spacing w:before="0"/>
            </w:pPr>
          </w:p>
        </w:tc>
        <w:tc>
          <w:tcPr>
            <w:tcW w:w="3368" w:type="dxa"/>
          </w:tcPr>
          <w:p w14:paraId="2C8BB831" w14:textId="23C0B400" w:rsidR="00D87035" w:rsidRPr="00F42215" w:rsidRDefault="00D87035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 xml:space="preserve">Original: </w:t>
            </w:r>
            <w:r w:rsidR="001A2AB4" w:rsidRPr="00F42215">
              <w:rPr>
                <w:b/>
                <w:bCs/>
                <w:lang w:val="es-ES"/>
              </w:rPr>
              <w:t>inglés</w:t>
            </w:r>
          </w:p>
        </w:tc>
      </w:tr>
      <w:tr w:rsidR="00D83BF5" w:rsidRPr="00F722F3" w14:paraId="35F96F24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59A8A61C" w14:textId="432C4DDA" w:rsidR="00D83BF5" w:rsidRPr="00F42215" w:rsidRDefault="00EB6D30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EB6D30">
              <w:rPr>
                <w:lang w:val="es-ES"/>
              </w:rPr>
              <w:t>Director de la Oficina de Desarrollo de las Telecomunicaciones</w:t>
            </w:r>
          </w:p>
        </w:tc>
      </w:tr>
      <w:tr w:rsidR="00D83BF5" w:rsidRPr="00403C69" w14:paraId="7EDE1565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3D29924B" w14:textId="291C6152" w:rsidR="00D83BF5" w:rsidRPr="00F42215" w:rsidRDefault="00EB6D30" w:rsidP="00B06557">
            <w:pPr>
              <w:pStyle w:val="Title1"/>
              <w:spacing w:before="120" w:after="120"/>
              <w:rPr>
                <w:lang w:val="es-ES"/>
              </w:rPr>
            </w:pPr>
            <w:r w:rsidRPr="00EB6D30">
              <w:rPr>
                <w:caps w:val="0"/>
                <w:lang w:val="es-ES"/>
              </w:rPr>
              <w:t>Miembros de Sector, Asociados e Instituciones Académicas del UIT-D</w:t>
            </w:r>
          </w:p>
        </w:tc>
      </w:tr>
      <w:tr w:rsidR="00D83BF5" w:rsidRPr="00403C69" w14:paraId="5B2B3E5A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B06557" w:rsidRDefault="00D83BF5" w:rsidP="00B06557">
            <w:pPr>
              <w:pStyle w:val="Title1"/>
              <w:spacing w:before="120" w:after="120"/>
              <w:jc w:val="left"/>
            </w:pPr>
          </w:p>
        </w:tc>
      </w:tr>
      <w:tr w:rsidR="001E252D" w:rsidRPr="00F722F3" w14:paraId="6C9BA039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124" w14:textId="0C929A88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4F70BA09" w14:textId="73BD3091" w:rsidR="001E252D" w:rsidRPr="00B41165" w:rsidRDefault="00EB6D30" w:rsidP="00EB6D30">
            <w:pPr>
              <w:rPr>
                <w:lang w:val="es-ES"/>
              </w:rPr>
            </w:pPr>
            <w:r w:rsidRPr="00EB6D30">
              <w:rPr>
                <w:lang w:val="es-ES"/>
              </w:rPr>
              <w:t>En este documento se presenta la evolución de los Miembros del</w:t>
            </w:r>
            <w:r w:rsidR="00C01422">
              <w:rPr>
                <w:lang w:val="es-ES"/>
              </w:rPr>
              <w:t> </w:t>
            </w:r>
            <w:r w:rsidRPr="00EB6D30">
              <w:rPr>
                <w:lang w:val="es-ES"/>
              </w:rPr>
              <w:t>UIT</w:t>
            </w:r>
            <w:r w:rsidR="00C01422">
              <w:rPr>
                <w:lang w:val="es-ES"/>
              </w:rPr>
              <w:noBreakHyphen/>
            </w:r>
            <w:r w:rsidRPr="00EB6D30">
              <w:rPr>
                <w:lang w:val="es-ES"/>
              </w:rPr>
              <w:t>D en 2025. También se recomiendan varias medidas para seguir impulsando los esfuerzos encaminados a captar y conservar más Miembros, con arreglo a los resultados de la Conferencia Mundial de Desarrollo de las Telecomunicaciones de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2025 (CMDT-25) y la Conferencia de Plenipotenciarios de</w:t>
            </w:r>
            <w:r w:rsidR="005F6853">
              <w:rPr>
                <w:lang w:val="es-ES"/>
              </w:rPr>
              <w:t> </w:t>
            </w:r>
            <w:r w:rsidRPr="00EB6D30">
              <w:rPr>
                <w:lang w:val="es-ES"/>
              </w:rPr>
              <w:t>2022. Los Miembros del</w:t>
            </w:r>
            <w:r w:rsidR="00B5081E">
              <w:rPr>
                <w:lang w:val="es-ES"/>
              </w:rPr>
              <w:t> </w:t>
            </w:r>
            <w:r w:rsidRPr="00EB6D30">
              <w:rPr>
                <w:lang w:val="es-ES"/>
              </w:rPr>
              <w:t>UIT</w:t>
            </w:r>
            <w:r w:rsidR="00B5081E">
              <w:rPr>
                <w:lang w:val="es-ES"/>
              </w:rPr>
              <w:noBreakHyphen/>
            </w:r>
            <w:r w:rsidRPr="00EB6D30">
              <w:rPr>
                <w:lang w:val="es-ES"/>
              </w:rPr>
              <w:t>D incluyen Miembros de Sector, Asociados e Instituciones Académicas</w:t>
            </w:r>
            <w:r>
              <w:rPr>
                <w:rStyle w:val="FootnoteReference"/>
                <w:lang w:val="es-ES"/>
              </w:rPr>
              <w:footnoteReference w:id="2"/>
            </w:r>
            <w:r w:rsidRPr="00EB6D30">
              <w:rPr>
                <w:lang w:val="es-ES"/>
              </w:rPr>
              <w:t>.</w:t>
            </w:r>
          </w:p>
          <w:p w14:paraId="329DD418" w14:textId="1D7460A6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2D855C8F" w14:textId="226B4C8B" w:rsidR="005C33FB" w:rsidRDefault="00EB6D30" w:rsidP="00EB6D30">
            <w:pPr>
              <w:rPr>
                <w:lang w:val="es-ES"/>
              </w:rPr>
            </w:pPr>
            <w:r w:rsidRPr="00EB6D30">
              <w:rPr>
                <w:lang w:val="es-ES"/>
              </w:rPr>
              <w:t>Se invita al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GADT a tomar nota de este documento y formular las orientaciones que estime convenientes</w:t>
            </w:r>
            <w:r w:rsidR="005C33FB" w:rsidRPr="005C33FB">
              <w:rPr>
                <w:lang w:val="es-ES"/>
              </w:rPr>
              <w:t>.</w:t>
            </w:r>
          </w:p>
          <w:p w14:paraId="5120B5FD" w14:textId="79AE5880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5ADA8E2E" w14:textId="3A62D72A" w:rsidR="00EB6D30" w:rsidRPr="00EB6D30" w:rsidRDefault="00EB6D30" w:rsidP="00EB6D30">
            <w:pPr>
              <w:rPr>
                <w:lang w:val="es-ES"/>
              </w:rPr>
            </w:pPr>
            <w:r w:rsidRPr="00EB6D30">
              <w:rPr>
                <w:lang w:val="es-ES"/>
              </w:rPr>
              <w:t>Resolución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71 (Rev. Kigali, 2022) de la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CMDT, Fortalecimiento de la cooperación entre los Estados Miembros, los Miembros de Sector, los Asociados y las Instituciones Académicas del Sector de Desarrollo de las Telecomunicaciones de la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 xml:space="preserve">UIT </w:t>
            </w:r>
            <w:r w:rsidR="000470AC" w:rsidRPr="000470AC">
              <w:rPr>
                <w:lang w:val="es-ES"/>
              </w:rPr>
              <w:t>y el carácter evolutivo de la función</w:t>
            </w:r>
            <w:r w:rsidRPr="00EB6D30">
              <w:rPr>
                <w:lang w:val="es-ES"/>
              </w:rPr>
              <w:t xml:space="preserve"> del sector privado en el Sector de Desarrollo de las Telecomunicaciones de la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UIT</w:t>
            </w:r>
          </w:p>
          <w:p w14:paraId="6EF29DC6" w14:textId="00F8215C" w:rsidR="001E252D" w:rsidRPr="005C33FB" w:rsidRDefault="00EB6D30" w:rsidP="00EB6D30">
            <w:pPr>
              <w:spacing w:after="120"/>
              <w:rPr>
                <w:lang w:val="es-ES"/>
              </w:rPr>
            </w:pPr>
            <w:r w:rsidRPr="00EB6D30">
              <w:rPr>
                <w:lang w:val="es-ES"/>
              </w:rPr>
              <w:t>Resoluciones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169, 205 y 209 (Rev.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Bucarest, 2022) de la Conferencia de Plenipotenciarios</w:t>
            </w:r>
          </w:p>
        </w:tc>
      </w:tr>
      <w:bookmarkEnd w:id="8"/>
      <w:bookmarkEnd w:id="9"/>
    </w:tbl>
    <w:p w14:paraId="30707726" w14:textId="5A6143DD" w:rsidR="00075C63" w:rsidRDefault="00075C63" w:rsidP="00B06557">
      <w:pPr>
        <w:rPr>
          <w:lang w:val="es-ES"/>
        </w:rPr>
      </w:pPr>
      <w:r w:rsidRPr="005C33FB">
        <w:rPr>
          <w:lang w:val="es-ES"/>
        </w:rPr>
        <w:br w:type="page"/>
      </w:r>
    </w:p>
    <w:p w14:paraId="2B351CD1" w14:textId="5765D237" w:rsidR="00EB6D30" w:rsidRPr="00EB6D30" w:rsidRDefault="00EB6D30" w:rsidP="00EB6D30">
      <w:pPr>
        <w:pStyle w:val="Heading1"/>
      </w:pPr>
      <w:r w:rsidRPr="00EB6D30">
        <w:lastRenderedPageBreak/>
        <w:t>1</w:t>
      </w:r>
      <w:r w:rsidRPr="00EB6D30">
        <w:tab/>
        <w:t>Antecedentes</w:t>
      </w:r>
    </w:p>
    <w:p w14:paraId="2F9F3DD7" w14:textId="56A99D9A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>La Conferencia Mundial de Desarrollo de las Telecomunicaciones de</w:t>
      </w:r>
      <w:r w:rsidR="00B5081E">
        <w:rPr>
          <w:lang w:val="es-ES"/>
        </w:rPr>
        <w:t> </w:t>
      </w:r>
      <w:r w:rsidRPr="00EB6D30">
        <w:rPr>
          <w:lang w:val="es-ES"/>
        </w:rPr>
        <w:t>2022 (CMDT</w:t>
      </w:r>
      <w:r w:rsidR="00D94C8B">
        <w:rPr>
          <w:lang w:val="es-ES"/>
        </w:rPr>
        <w:noBreakHyphen/>
      </w:r>
      <w:r w:rsidRPr="00EB6D30">
        <w:rPr>
          <w:lang w:val="es-ES"/>
        </w:rPr>
        <w:t>22) revisó y adoptó la Resolución</w:t>
      </w:r>
      <w:r w:rsidR="008A0AE5">
        <w:rPr>
          <w:lang w:val="es-ES"/>
        </w:rPr>
        <w:t> </w:t>
      </w:r>
      <w:r w:rsidRPr="00EB6D30">
        <w:rPr>
          <w:lang w:val="es-ES"/>
        </w:rPr>
        <w:t>71 (Rev.</w:t>
      </w:r>
      <w:r w:rsidR="00D94C8B">
        <w:rPr>
          <w:lang w:val="es-ES"/>
        </w:rPr>
        <w:t> </w:t>
      </w:r>
      <w:r w:rsidRPr="00EB6D30">
        <w:rPr>
          <w:lang w:val="es-ES"/>
        </w:rPr>
        <w:t>Kigali, 2022)</w:t>
      </w:r>
      <w:r w:rsidR="00D94C8B">
        <w:rPr>
          <w:rStyle w:val="FootnoteReference"/>
          <w:lang w:val="es-ES"/>
        </w:rPr>
        <w:footnoteReference w:id="3"/>
      </w:r>
      <w:r w:rsidRPr="00EB6D30">
        <w:rPr>
          <w:lang w:val="es-ES"/>
        </w:rPr>
        <w:t xml:space="preserve"> para promover la participación activa de los Miembros de Sector, Asociados e Instituciones Académicas del</w:t>
      </w:r>
      <w:r w:rsidR="00C8595F">
        <w:rPr>
          <w:lang w:val="es-ES"/>
        </w:rPr>
        <w:t> </w:t>
      </w:r>
      <w:r w:rsidRPr="00EB6D30">
        <w:rPr>
          <w:lang w:val="es-ES"/>
        </w:rPr>
        <w:t>UIT</w:t>
      </w:r>
      <w:r w:rsidR="00C8595F">
        <w:rPr>
          <w:lang w:val="es-ES"/>
        </w:rPr>
        <w:noBreakHyphen/>
      </w:r>
      <w:r w:rsidRPr="00EB6D30">
        <w:rPr>
          <w:lang w:val="es-ES"/>
        </w:rPr>
        <w:t>D en las actividades del</w:t>
      </w:r>
      <w:r w:rsidR="00C8595F">
        <w:rPr>
          <w:lang w:val="es-ES"/>
        </w:rPr>
        <w:t> </w:t>
      </w:r>
      <w:r w:rsidRPr="00EB6D30">
        <w:rPr>
          <w:lang w:val="es-ES"/>
        </w:rPr>
        <w:t>UIT</w:t>
      </w:r>
      <w:r w:rsidR="00C8595F">
        <w:rPr>
          <w:lang w:val="es-ES"/>
        </w:rPr>
        <w:noBreakHyphen/>
      </w:r>
      <w:r w:rsidRPr="00EB6D30">
        <w:rPr>
          <w:lang w:val="es-ES"/>
        </w:rPr>
        <w:t>D, incluida la participación en los trabajos de las Comisiones de Estudio del</w:t>
      </w:r>
      <w:r w:rsidR="00D94C8B">
        <w:rPr>
          <w:lang w:val="es-ES"/>
        </w:rPr>
        <w:t> </w:t>
      </w:r>
      <w:r w:rsidRPr="00EB6D30">
        <w:rPr>
          <w:lang w:val="es-ES"/>
        </w:rPr>
        <w:t>UIT</w:t>
      </w:r>
      <w:r w:rsidR="00D94C8B">
        <w:rPr>
          <w:lang w:val="es-ES"/>
        </w:rPr>
        <w:noBreakHyphen/>
      </w:r>
      <w:r w:rsidRPr="00EB6D30">
        <w:rPr>
          <w:lang w:val="es-ES"/>
        </w:rPr>
        <w:t>D, y para atraer a nuevos miembros de los sectores público, privado y académico.</w:t>
      </w:r>
    </w:p>
    <w:p w14:paraId="0B1438A0" w14:textId="750AB785" w:rsidR="00EB6D30" w:rsidRPr="00EB6D30" w:rsidRDefault="00EB6D30" w:rsidP="00EB6D30">
      <w:pPr>
        <w:rPr>
          <w:iCs/>
          <w:lang w:val="es-ES"/>
        </w:rPr>
      </w:pPr>
      <w:r w:rsidRPr="00EB6D30">
        <w:rPr>
          <w:lang w:val="es-ES"/>
        </w:rPr>
        <w:t>La Resolución</w:t>
      </w:r>
      <w:r w:rsidR="008A0AE5">
        <w:rPr>
          <w:lang w:val="es-ES"/>
        </w:rPr>
        <w:t> </w:t>
      </w:r>
      <w:r w:rsidRPr="00EB6D30">
        <w:rPr>
          <w:lang w:val="es-ES"/>
        </w:rPr>
        <w:t>71 se centró en fortalecer la cooperación entre los Estados Miembros, los Miembros de Sector, los Asociados y las Instituciones Académicas del UIT-D y en ella se encargó a la</w:t>
      </w:r>
      <w:r w:rsidR="00B5081E">
        <w:rPr>
          <w:lang w:val="es-ES"/>
        </w:rPr>
        <w:t> </w:t>
      </w:r>
      <w:r w:rsidRPr="00EB6D30">
        <w:rPr>
          <w:lang w:val="es-ES"/>
        </w:rPr>
        <w:t>BDT que siguiera colaborando estrechamente con los Miembros de Sector, los Asociados y las Instituciones Académicas del</w:t>
      </w:r>
      <w:r w:rsidR="00B5081E">
        <w:rPr>
          <w:lang w:val="es-ES"/>
        </w:rPr>
        <w:t> </w:t>
      </w:r>
      <w:r w:rsidRPr="00EB6D30">
        <w:rPr>
          <w:lang w:val="es-ES"/>
        </w:rPr>
        <w:t>UIT</w:t>
      </w:r>
      <w:r w:rsidR="00B5081E">
        <w:rPr>
          <w:lang w:val="es-ES"/>
        </w:rPr>
        <w:noBreakHyphen/>
      </w:r>
      <w:r w:rsidRPr="00EB6D30">
        <w:rPr>
          <w:lang w:val="es-ES"/>
        </w:rPr>
        <w:t xml:space="preserve">D para que participasen en los trabajos del sector y que continuara organizando reuniones para altos ejecutivos de la industria, por ejemplo, reuniones del </w:t>
      </w:r>
      <w:r w:rsidR="00CE63E7" w:rsidRPr="00CE63E7">
        <w:rPr>
          <w:lang w:val="es-ES"/>
        </w:rPr>
        <w:t>Grupo Asesor de la Industria sobre Desarrollo y los Directores de Reglamentación del Sector Privado</w:t>
      </w:r>
      <w:r w:rsidRPr="00EB6D30">
        <w:rPr>
          <w:lang w:val="es-ES"/>
        </w:rPr>
        <w:t xml:space="preserve"> (IAGDI-CRO)</w:t>
      </w:r>
      <w:r w:rsidRPr="00EB6D30">
        <w:rPr>
          <w:iCs/>
          <w:lang w:val="es-ES"/>
        </w:rPr>
        <w:t>.</w:t>
      </w:r>
    </w:p>
    <w:p w14:paraId="21CD0B99" w14:textId="1B66C162" w:rsidR="00EB6D30" w:rsidRPr="00EB6D30" w:rsidRDefault="00EB6D30" w:rsidP="00EB6D30">
      <w:pPr>
        <w:pStyle w:val="Heading1"/>
      </w:pPr>
      <w:r>
        <w:t>2</w:t>
      </w:r>
      <w:r>
        <w:tab/>
      </w:r>
      <w:r w:rsidRPr="00EB6D30">
        <w:t>Evolución de los Miembros del UIT-D</w:t>
      </w:r>
    </w:p>
    <w:p w14:paraId="5242AC45" w14:textId="2A634309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 xml:space="preserve">El </w:t>
      </w:r>
      <w:r w:rsidRPr="00EB6D30">
        <w:rPr>
          <w:b/>
          <w:bCs/>
          <w:lang w:val="es-ES"/>
        </w:rPr>
        <w:t>Gráfico</w:t>
      </w:r>
      <w:r w:rsidR="008A0AE5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1</w:t>
      </w:r>
      <w:r w:rsidRPr="00EB6D30">
        <w:rPr>
          <w:lang w:val="es-ES"/>
        </w:rPr>
        <w:t xml:space="preserve"> ilustra la evolución de los Miembros del</w:t>
      </w:r>
      <w:r w:rsidR="00B5081E">
        <w:rPr>
          <w:lang w:val="es-ES"/>
        </w:rPr>
        <w:t> </w:t>
      </w:r>
      <w:r w:rsidRPr="00EB6D30">
        <w:rPr>
          <w:lang w:val="es-ES"/>
        </w:rPr>
        <w:t>UIT</w:t>
      </w:r>
      <w:r w:rsidR="00B5081E">
        <w:rPr>
          <w:lang w:val="es-ES"/>
        </w:rPr>
        <w:noBreakHyphen/>
      </w:r>
      <w:r w:rsidRPr="00EB6D30">
        <w:rPr>
          <w:lang w:val="es-ES"/>
        </w:rPr>
        <w:t>D (Miembros de Sector, Asociados e Instituciones Académicas). El gráfico muestra el número total de Miembros de Sector, Asociados e Instituciones Académicas del</w:t>
      </w:r>
      <w:r w:rsidR="00B5081E">
        <w:rPr>
          <w:lang w:val="es-ES"/>
        </w:rPr>
        <w:t> </w:t>
      </w:r>
      <w:r w:rsidRPr="00EB6D30">
        <w:rPr>
          <w:lang w:val="es-ES"/>
        </w:rPr>
        <w:t>UIT</w:t>
      </w:r>
      <w:r w:rsidR="00B5081E">
        <w:rPr>
          <w:lang w:val="es-ES"/>
        </w:rPr>
        <w:noBreakHyphen/>
      </w:r>
      <w:r w:rsidRPr="00EB6D30">
        <w:rPr>
          <w:lang w:val="es-ES"/>
        </w:rPr>
        <w:t>D en diciembre de</w:t>
      </w:r>
      <w:r w:rsidR="00B5081E">
        <w:rPr>
          <w:lang w:val="es-ES"/>
        </w:rPr>
        <w:t> </w:t>
      </w:r>
      <w:r w:rsidRPr="00EB6D30">
        <w:rPr>
          <w:lang w:val="es-ES"/>
        </w:rPr>
        <w:t>2023, diciembre de</w:t>
      </w:r>
      <w:r w:rsidR="00B5081E">
        <w:rPr>
          <w:lang w:val="es-ES"/>
        </w:rPr>
        <w:t> </w:t>
      </w:r>
      <w:r w:rsidRPr="00EB6D30">
        <w:rPr>
          <w:lang w:val="es-ES"/>
        </w:rPr>
        <w:t>2024 y diciembre de</w:t>
      </w:r>
      <w:r w:rsidR="00B5081E">
        <w:rPr>
          <w:lang w:val="es-ES"/>
        </w:rPr>
        <w:t> </w:t>
      </w:r>
      <w:r w:rsidRPr="00EB6D30">
        <w:rPr>
          <w:lang w:val="es-ES"/>
        </w:rPr>
        <w:t>2025.</w:t>
      </w:r>
    </w:p>
    <w:p w14:paraId="62D7BC0A" w14:textId="77777777" w:rsidR="00EB6D30" w:rsidRPr="00EB6D30" w:rsidRDefault="00EB6D30" w:rsidP="008A0AE5">
      <w:pPr>
        <w:pStyle w:val="Figure"/>
        <w:keepNext w:val="0"/>
        <w:keepLines w:val="0"/>
        <w:rPr>
          <w:iCs/>
        </w:rPr>
      </w:pPr>
      <w:r w:rsidRPr="00EB6D30">
        <w:rPr>
          <w:noProof/>
        </w:rPr>
        <w:drawing>
          <wp:inline distT="0" distB="0" distL="0" distR="0" wp14:anchorId="64C80882" wp14:editId="63D1DF22">
            <wp:extent cx="6115050" cy="3829050"/>
            <wp:effectExtent l="0" t="0" r="0" b="0"/>
            <wp:docPr id="10031792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F0DB859-0FD5-737B-E176-D22A580F4A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0E82517" w14:textId="62795475" w:rsidR="00EB6D30" w:rsidRPr="00EB6D30" w:rsidRDefault="00EB6D30" w:rsidP="00EB6D30">
      <w:pPr>
        <w:pStyle w:val="Heading2"/>
      </w:pPr>
      <w:r>
        <w:lastRenderedPageBreak/>
        <w:t>2.1</w:t>
      </w:r>
      <w:r>
        <w:tab/>
      </w:r>
      <w:r w:rsidRPr="00EB6D30">
        <w:t>Miembros de Sector y Asociados del UIT-D</w:t>
      </w:r>
    </w:p>
    <w:p w14:paraId="24E3C0A5" w14:textId="77777777" w:rsidR="00EB6D30" w:rsidRPr="00EB6D30" w:rsidRDefault="00EB6D30" w:rsidP="008A0AE5">
      <w:pPr>
        <w:pStyle w:val="Figure"/>
        <w:rPr>
          <w:b/>
          <w:bCs/>
        </w:rPr>
      </w:pP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F7B78" wp14:editId="0C10729A">
                <wp:simplePos x="0" y="0"/>
                <wp:positionH relativeFrom="column">
                  <wp:posOffset>1543685</wp:posOffset>
                </wp:positionH>
                <wp:positionV relativeFrom="paragraph">
                  <wp:posOffset>2704465</wp:posOffset>
                </wp:positionV>
                <wp:extent cx="609600" cy="323850"/>
                <wp:effectExtent l="0" t="0" r="0" b="0"/>
                <wp:wrapNone/>
                <wp:docPr id="423252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E09F6A" w14:textId="77777777" w:rsidR="00EB6D30" w:rsidRPr="00E9161D" w:rsidRDefault="00EB6D30" w:rsidP="00EB6D30">
                            <w:pPr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E9161D"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F7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1.55pt;margin-top:212.95pt;width:48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" fillcolor="window" stroked="f" strokeweight=".5pt">
                <v:textbox>
                  <w:txbxContent>
                    <w:p w14:paraId="7CE09F6A" w14:textId="77777777" w:rsidR="00EB6D30" w:rsidRPr="00E9161D" w:rsidRDefault="00EB6D30" w:rsidP="00EB6D30">
                      <w:pPr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</w:pPr>
                      <w:r w:rsidRPr="00E9161D"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0946C6" wp14:editId="74ED090C">
                <wp:simplePos x="0" y="0"/>
                <wp:positionH relativeFrom="column">
                  <wp:posOffset>3213100</wp:posOffset>
                </wp:positionH>
                <wp:positionV relativeFrom="paragraph">
                  <wp:posOffset>2691765</wp:posOffset>
                </wp:positionV>
                <wp:extent cx="609600" cy="323850"/>
                <wp:effectExtent l="0" t="0" r="0" b="0"/>
                <wp:wrapNone/>
                <wp:docPr id="1776853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88302E" w14:textId="77777777" w:rsidR="00EB6D30" w:rsidRPr="00E9161D" w:rsidRDefault="00EB6D30" w:rsidP="00EB6D30">
                            <w:pPr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E9161D"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946C6" id="_x0000_s1027" type="#_x0000_t202" style="position:absolute;left:0;text-align:left;margin-left:253pt;margin-top:211.95pt;width:48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" fillcolor="window" stroked="f" strokeweight=".5pt">
                <v:textbox>
                  <w:txbxContent>
                    <w:p w14:paraId="3D88302E" w14:textId="77777777" w:rsidR="00EB6D30" w:rsidRPr="00E9161D" w:rsidRDefault="00EB6D30" w:rsidP="00EB6D30">
                      <w:pPr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</w:pPr>
                      <w:r w:rsidRPr="00E9161D"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0F996" wp14:editId="22F3BC72">
                <wp:simplePos x="0" y="0"/>
                <wp:positionH relativeFrom="column">
                  <wp:posOffset>4969510</wp:posOffset>
                </wp:positionH>
                <wp:positionV relativeFrom="paragraph">
                  <wp:posOffset>2698115</wp:posOffset>
                </wp:positionV>
                <wp:extent cx="571500" cy="323850"/>
                <wp:effectExtent l="0" t="0" r="0" b="0"/>
                <wp:wrapNone/>
                <wp:docPr id="14357177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FD468" w14:textId="77777777" w:rsidR="00EB6D30" w:rsidRPr="00E9161D" w:rsidRDefault="00EB6D30" w:rsidP="00EB6D30">
                            <w:pPr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E9161D"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0F996" id="_x0000_s1028" type="#_x0000_t202" style="position:absolute;left:0;text-align:left;margin-left:391.3pt;margin-top:212.45pt;width:4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" fillcolor="window" stroked="f" strokeweight=".5pt">
                <v:textbox>
                  <w:txbxContent>
                    <w:p w14:paraId="09DFD468" w14:textId="77777777" w:rsidR="00EB6D30" w:rsidRPr="00E9161D" w:rsidRDefault="00EB6D30" w:rsidP="00EB6D30">
                      <w:pPr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</w:pPr>
                      <w:r w:rsidRPr="00E9161D"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9129CB" wp14:editId="0AFD3C6C">
                <wp:simplePos x="0" y="0"/>
                <wp:positionH relativeFrom="column">
                  <wp:posOffset>4289425</wp:posOffset>
                </wp:positionH>
                <wp:positionV relativeFrom="paragraph">
                  <wp:posOffset>450215</wp:posOffset>
                </wp:positionV>
                <wp:extent cx="0" cy="2533650"/>
                <wp:effectExtent l="0" t="0" r="38100" b="19050"/>
                <wp:wrapNone/>
                <wp:docPr id="173063814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3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6F6F6E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1D724" id="Straight Connector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75pt,35.45pt" to="337.75pt,2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" strokecolor="#6c6c6b"/>
            </w:pict>
          </mc:Fallback>
        </mc:AlternateContent>
      </w: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03AF76" wp14:editId="186F0C80">
                <wp:simplePos x="0" y="0"/>
                <wp:positionH relativeFrom="column">
                  <wp:posOffset>2587625</wp:posOffset>
                </wp:positionH>
                <wp:positionV relativeFrom="paragraph">
                  <wp:posOffset>410845</wp:posOffset>
                </wp:positionV>
                <wp:extent cx="0" cy="2533650"/>
                <wp:effectExtent l="0" t="0" r="38100" b="19050"/>
                <wp:wrapNone/>
                <wp:docPr id="94258539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3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6F6F6E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85C0E" id="Straight Connector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75pt,32.35pt" to="203.75pt,2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" strokecolor="#6c6c6b"/>
            </w:pict>
          </mc:Fallback>
        </mc:AlternateContent>
      </w: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3F3AAD" wp14:editId="4FBAF72F">
                <wp:simplePos x="0" y="0"/>
                <wp:positionH relativeFrom="column">
                  <wp:posOffset>902335</wp:posOffset>
                </wp:positionH>
                <wp:positionV relativeFrom="paragraph">
                  <wp:posOffset>427990</wp:posOffset>
                </wp:positionV>
                <wp:extent cx="0" cy="2533650"/>
                <wp:effectExtent l="0" t="0" r="38100" b="19050"/>
                <wp:wrapNone/>
                <wp:docPr id="44558030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3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C023C" id="Straight Connecto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05pt,33.7pt" to="71.05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" strokecolor="#bc4542 [3045]"/>
            </w:pict>
          </mc:Fallback>
        </mc:AlternateContent>
      </w: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9951F" wp14:editId="4ECAB84D">
                <wp:simplePos x="0" y="0"/>
                <wp:positionH relativeFrom="column">
                  <wp:posOffset>365760</wp:posOffset>
                </wp:positionH>
                <wp:positionV relativeFrom="paragraph">
                  <wp:posOffset>2704465</wp:posOffset>
                </wp:positionV>
                <wp:extent cx="609600" cy="295275"/>
                <wp:effectExtent l="0" t="0" r="0" b="9525"/>
                <wp:wrapNone/>
                <wp:docPr id="14993166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9C6A4F" w14:textId="77777777" w:rsidR="00EB6D30" w:rsidRPr="00E9161D" w:rsidRDefault="00EB6D30" w:rsidP="00EB6D30">
                            <w:pPr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E9161D">
                              <w:rPr>
                                <w:b/>
                                <w:bCs/>
                                <w:sz w:val="18"/>
                                <w:szCs w:val="14"/>
                                <w:lang w:val="en-US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9951F" id="_x0000_s1029" type="#_x0000_t202" style="position:absolute;left:0;text-align:left;margin-left:28.8pt;margin-top:212.95pt;width:48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" fillcolor="white [3201]" stroked="f" strokeweight=".5pt">
                <v:textbox>
                  <w:txbxContent>
                    <w:p w14:paraId="569C6A4F" w14:textId="77777777" w:rsidR="00EB6D30" w:rsidRPr="00E9161D" w:rsidRDefault="00EB6D30" w:rsidP="00EB6D30">
                      <w:pPr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</w:pPr>
                      <w:r w:rsidRPr="00E9161D">
                        <w:rPr>
                          <w:b/>
                          <w:bCs/>
                          <w:sz w:val="18"/>
                          <w:szCs w:val="14"/>
                          <w:lang w:val="en-US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Pr="00EB6D30">
        <w:rPr>
          <w:noProof/>
        </w:rPr>
        <mc:AlternateContent>
          <mc:Choice Requires="cx4">
            <w:drawing>
              <wp:inline distT="0" distB="0" distL="0" distR="0" wp14:anchorId="520D4D58" wp14:editId="1CC7ED39">
                <wp:extent cx="6067425" cy="2752725"/>
                <wp:effectExtent l="0" t="0" r="9525" b="9525"/>
                <wp:docPr id="1264297370" name="Chart 2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2"/>
                  </a:graphicData>
                </a:graphic>
              </wp:inline>
            </w:drawing>
          </mc:Choice>
          <mc:Fallback>
            <w:drawing>
              <wp:inline distT="0" distB="0" distL="0" distR="0" wp14:anchorId="520D4D58" wp14:editId="1CC7ED39">
                <wp:extent cx="6067425" cy="2752725"/>
                <wp:effectExtent l="0" t="0" r="9525" b="9525"/>
                <wp:docPr id="1264297370" name="Chart 2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4297370" name="Chart 2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7425" cy="2752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A5B66E7" w14:textId="176F1A75" w:rsidR="00EB6D30" w:rsidRPr="00EB6D30" w:rsidRDefault="00EB6D30" w:rsidP="00B5081E">
      <w:pPr>
        <w:pStyle w:val="Normalaftertitle"/>
        <w:spacing w:before="600"/>
        <w:rPr>
          <w:lang w:val="es-ES"/>
        </w:rPr>
      </w:pPr>
      <w:r w:rsidRPr="00EB6D30">
        <w:rPr>
          <w:lang w:val="es-ES"/>
        </w:rPr>
        <w:t>En el</w:t>
      </w:r>
      <w:r w:rsidRPr="00977B7D">
        <w:rPr>
          <w:lang w:val="es-ES"/>
        </w:rPr>
        <w:t xml:space="preserve"> </w:t>
      </w:r>
      <w:r w:rsidRPr="00EB6D30">
        <w:rPr>
          <w:b/>
          <w:bCs/>
          <w:lang w:val="es-ES"/>
        </w:rPr>
        <w:t>Gráfico</w:t>
      </w:r>
      <w:r w:rsidR="00B5081E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2</w:t>
      </w:r>
      <w:r w:rsidRPr="00B5081E">
        <w:rPr>
          <w:lang w:val="es-ES"/>
        </w:rPr>
        <w:t xml:space="preserve"> </w:t>
      </w:r>
      <w:r w:rsidRPr="00EB6D30">
        <w:rPr>
          <w:lang w:val="es-ES"/>
        </w:rPr>
        <w:t>se detalla el crecimiento sostenido de los Miembros de Sector y Asociados del</w:t>
      </w:r>
      <w:r w:rsidR="00B5081E">
        <w:rPr>
          <w:lang w:val="es-ES"/>
        </w:rPr>
        <w:t> </w:t>
      </w:r>
      <w:r w:rsidRPr="00EB6D30">
        <w:rPr>
          <w:lang w:val="es-ES"/>
        </w:rPr>
        <w:t>UIT</w:t>
      </w:r>
      <w:r w:rsidR="00B5081E">
        <w:rPr>
          <w:lang w:val="es-ES"/>
        </w:rPr>
        <w:noBreakHyphen/>
      </w:r>
      <w:r w:rsidRPr="00EB6D30">
        <w:rPr>
          <w:lang w:val="es-ES"/>
        </w:rPr>
        <w:t>D desde 2023, lo que refleja la evolución de lo</w:t>
      </w:r>
      <w:r w:rsidR="00B5081E">
        <w:rPr>
          <w:lang w:val="es-ES"/>
        </w:rPr>
        <w:t>s</w:t>
      </w:r>
      <w:r w:rsidRPr="00EB6D30">
        <w:rPr>
          <w:lang w:val="es-ES"/>
        </w:rPr>
        <w:t xml:space="preserve"> Miembros de Sector y los Asociados. Hasta diciembre de 2025 el</w:t>
      </w:r>
      <w:r w:rsidR="00977B7D">
        <w:rPr>
          <w:lang w:val="es-ES"/>
        </w:rPr>
        <w:t> </w:t>
      </w:r>
      <w:r w:rsidRPr="00EB6D30">
        <w:rPr>
          <w:lang w:val="es-ES"/>
        </w:rPr>
        <w:t>UIT</w:t>
      </w:r>
      <w:r w:rsidR="00977B7D">
        <w:rPr>
          <w:lang w:val="es-ES"/>
        </w:rPr>
        <w:noBreakHyphen/>
      </w:r>
      <w:r w:rsidRPr="00EB6D30">
        <w:rPr>
          <w:lang w:val="es-ES"/>
        </w:rPr>
        <w:t xml:space="preserve">D había atraído a un total de </w:t>
      </w:r>
      <w:r w:rsidRPr="00EB6D30">
        <w:rPr>
          <w:b/>
          <w:bCs/>
          <w:lang w:val="es-ES"/>
        </w:rPr>
        <w:t>treinta y tres nuevos Miembros</w:t>
      </w:r>
      <w:r w:rsidRPr="00977B7D">
        <w:rPr>
          <w:i/>
          <w:iCs/>
          <w:lang w:val="es-ES"/>
        </w:rPr>
        <w:t>.</w:t>
      </w:r>
      <w:r w:rsidRPr="00EB6D30">
        <w:rPr>
          <w:lang w:val="es-ES"/>
        </w:rPr>
        <w:t xml:space="preserve"> En</w:t>
      </w:r>
      <w:r w:rsidR="00B5081E">
        <w:rPr>
          <w:lang w:val="es-ES"/>
        </w:rPr>
        <w:t> </w:t>
      </w:r>
      <w:r w:rsidRPr="00EB6D30">
        <w:rPr>
          <w:lang w:val="es-ES"/>
        </w:rPr>
        <w:t>2025 el</w:t>
      </w:r>
      <w:r w:rsidR="00B5081E">
        <w:rPr>
          <w:lang w:val="es-ES"/>
        </w:rPr>
        <w:t> </w:t>
      </w:r>
      <w:r w:rsidRPr="00EB6D30">
        <w:rPr>
          <w:lang w:val="es-ES"/>
        </w:rPr>
        <w:t>UIT</w:t>
      </w:r>
      <w:r w:rsidR="00977B7D">
        <w:rPr>
          <w:lang w:val="es-ES"/>
        </w:rPr>
        <w:noBreakHyphen/>
      </w:r>
      <w:r w:rsidRPr="00EB6D30">
        <w:rPr>
          <w:lang w:val="es-ES"/>
        </w:rPr>
        <w:t xml:space="preserve">D alcanzó e mayor número total de Miembros de Sector y Asociados de los últimos </w:t>
      </w:r>
      <w:r w:rsidRPr="00EB6D30">
        <w:rPr>
          <w:b/>
          <w:bCs/>
          <w:lang w:val="es-ES"/>
        </w:rPr>
        <w:t>quince</w:t>
      </w:r>
      <w:r w:rsidR="00B5081E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años</w:t>
      </w:r>
      <w:r w:rsidRPr="00EB6D30">
        <w:rPr>
          <w:lang w:val="es-ES"/>
        </w:rPr>
        <w:t xml:space="preserve">. En 2025 registró la mayor </w:t>
      </w:r>
      <w:r w:rsidRPr="00EB6D30">
        <w:rPr>
          <w:b/>
          <w:bCs/>
          <w:lang w:val="es-ES"/>
        </w:rPr>
        <w:t xml:space="preserve">variación positiva de los ingresos netos </w:t>
      </w:r>
      <w:r w:rsidRPr="00EB6D30">
        <w:rPr>
          <w:lang w:val="es-ES"/>
        </w:rPr>
        <w:t>de la</w:t>
      </w:r>
      <w:r w:rsidR="00B5081E">
        <w:rPr>
          <w:lang w:val="es-ES"/>
        </w:rPr>
        <w:t> </w:t>
      </w:r>
      <w:r w:rsidRPr="00EB6D30">
        <w:rPr>
          <w:lang w:val="es-ES"/>
        </w:rPr>
        <w:t>UIT, con un aumento de los ingresos netos de</w:t>
      </w:r>
      <w:r w:rsidRPr="00EB6D30">
        <w:rPr>
          <w:b/>
          <w:bCs/>
          <w:lang w:val="es-ES"/>
        </w:rPr>
        <w:t xml:space="preserve"> 75</w:t>
      </w:r>
      <w:r w:rsidR="00B5081E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525</w:t>
      </w:r>
      <w:r w:rsidR="00B5081E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CHF</w:t>
      </w:r>
      <w:r w:rsidRPr="00EB6D30">
        <w:rPr>
          <w:lang w:val="es-ES"/>
        </w:rPr>
        <w:t>. La región de la</w:t>
      </w:r>
      <w:r w:rsidR="00B5081E">
        <w:rPr>
          <w:lang w:val="es-ES"/>
        </w:rPr>
        <w:t> </w:t>
      </w:r>
      <w:r w:rsidRPr="00EB6D30">
        <w:rPr>
          <w:lang w:val="es-ES"/>
        </w:rPr>
        <w:t>BDT con el mayor número de nuevos Miembros del UIT-D fue Asia</w:t>
      </w:r>
      <w:r w:rsidR="00977B7D">
        <w:rPr>
          <w:lang w:val="es-ES"/>
        </w:rPr>
        <w:noBreakHyphen/>
      </w:r>
      <w:r w:rsidRPr="00EB6D30">
        <w:rPr>
          <w:lang w:val="es-ES"/>
        </w:rPr>
        <w:t>Pacífico, con ocho nuevos Miembros en 2025, seguida de las Américas con siete nuevos Miembros, Europa con seis nuevos Miembros, África con cuatro nuevos Miembros y los Estados Árabes y la</w:t>
      </w:r>
      <w:r w:rsidR="00B5081E">
        <w:rPr>
          <w:lang w:val="es-ES"/>
        </w:rPr>
        <w:t> </w:t>
      </w:r>
      <w:r w:rsidRPr="00EB6D30">
        <w:rPr>
          <w:lang w:val="es-ES"/>
        </w:rPr>
        <w:t>CEI con dos nuevos Miembros cada una. Además, se incorporaron cuatro nuevos Miembros como organización regional o internacional (REGINTORG).</w:t>
      </w:r>
    </w:p>
    <w:p w14:paraId="7F87957D" w14:textId="4313C446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>El crecimiento sostenido del número de Miembros del</w:t>
      </w:r>
      <w:r w:rsidR="00B5081E">
        <w:rPr>
          <w:lang w:val="es-ES"/>
        </w:rPr>
        <w:t> </w:t>
      </w:r>
      <w:r w:rsidRPr="00EB6D30">
        <w:rPr>
          <w:lang w:val="es-ES"/>
        </w:rPr>
        <w:t>UIT</w:t>
      </w:r>
      <w:r w:rsidR="00C43DB0">
        <w:rPr>
          <w:lang w:val="es-ES"/>
        </w:rPr>
        <w:noBreakHyphen/>
      </w:r>
      <w:r w:rsidRPr="00EB6D30">
        <w:rPr>
          <w:lang w:val="es-ES"/>
        </w:rPr>
        <w:t>D se debe a la intensificación de las actividades de divulgación por diversos medios clave, entre los que se cuentan, entre otros, invitar a observadores e invitados a participar en eventos exclusivos para Miembros del</w:t>
      </w:r>
      <w:r w:rsidR="00B5081E">
        <w:rPr>
          <w:lang w:val="es-ES"/>
        </w:rPr>
        <w:t> </w:t>
      </w:r>
      <w:r w:rsidRPr="00EB6D30">
        <w:rPr>
          <w:lang w:val="es-ES"/>
        </w:rPr>
        <w:t>UIT-D, aumentar la capacidad interna del personal de la</w:t>
      </w:r>
      <w:r w:rsidR="00B5081E">
        <w:rPr>
          <w:lang w:val="es-ES"/>
        </w:rPr>
        <w:t> </w:t>
      </w:r>
      <w:r w:rsidRPr="00EB6D30">
        <w:rPr>
          <w:lang w:val="es-ES"/>
        </w:rPr>
        <w:t>BDT para dar a conocer efectivamente a entidades externas los beneficios de que gozan los Miembros del</w:t>
      </w:r>
      <w:r w:rsidR="00B5081E">
        <w:rPr>
          <w:lang w:val="es-ES"/>
        </w:rPr>
        <w:t> </w:t>
      </w:r>
      <w:r w:rsidRPr="00EB6D30">
        <w:rPr>
          <w:lang w:val="es-ES"/>
        </w:rPr>
        <w:t xml:space="preserve">UIT-D, llevar a cabo </w:t>
      </w:r>
      <w:r w:rsidR="008A0AE5">
        <w:rPr>
          <w:lang w:val="es-ES"/>
        </w:rPr>
        <w:t>a</w:t>
      </w:r>
      <w:r w:rsidRPr="00EB6D30">
        <w:rPr>
          <w:lang w:val="es-ES"/>
        </w:rPr>
        <w:t>ctividades de divulgación en los principales eventos mundiales e integrar la propuesta de valor de la asociación en un paquete unificado de beneficios para la membresía y la asociación. Por último, la intensificación del uso de herramientas y tablones de control basados en datos permitió hacer un seguimiento de las cuentas en riesgo, propiciando su mantenimiento y contribuyendo a lograr mayores tasas de retención y a un crecimiento neto del número de Miembros.</w:t>
      </w:r>
    </w:p>
    <w:p w14:paraId="0F7ED9FE" w14:textId="215F6E1C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>La evolución de los Miembros en 2025 en formato lista puede consultarse en el Documento</w:t>
      </w:r>
      <w:r w:rsidR="008A0AE5">
        <w:rPr>
          <w:lang w:val="es-ES"/>
        </w:rPr>
        <w:t> </w:t>
      </w:r>
      <w:hyperlink r:id="rId14" w:history="1">
        <w:r w:rsidRPr="00EB6D30">
          <w:rPr>
            <w:rStyle w:val="Hyperlink"/>
            <w:lang w:val="es-ES"/>
          </w:rPr>
          <w:t>TDAG</w:t>
        </w:r>
        <w:r w:rsidR="008A0AE5">
          <w:rPr>
            <w:rStyle w:val="Hyperlink"/>
            <w:lang w:val="es-ES"/>
          </w:rPr>
          <w:noBreakHyphen/>
        </w:r>
        <w:r w:rsidRPr="00EB6D30">
          <w:rPr>
            <w:rStyle w:val="Hyperlink"/>
            <w:lang w:val="es-ES"/>
          </w:rPr>
          <w:t>26/INF/2</w:t>
        </w:r>
      </w:hyperlink>
      <w:r w:rsidRPr="00EB6D30">
        <w:rPr>
          <w:lang w:val="es-ES"/>
        </w:rPr>
        <w:t>.</w:t>
      </w:r>
    </w:p>
    <w:p w14:paraId="107DA93D" w14:textId="440FF0CD" w:rsidR="00EB6D30" w:rsidRPr="00EB6D30" w:rsidRDefault="00EB6D30" w:rsidP="00EB6D30">
      <w:pPr>
        <w:pStyle w:val="Heading2"/>
      </w:pPr>
      <w:r>
        <w:t>2.2</w:t>
      </w:r>
      <w:r>
        <w:tab/>
      </w:r>
      <w:r w:rsidRPr="00EB6D30">
        <w:t>Solicitudes de exención del pago de cuotas</w:t>
      </w:r>
    </w:p>
    <w:p w14:paraId="3FD232F8" w14:textId="4631D2C6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>La</w:t>
      </w:r>
      <w:r w:rsidR="00B5081E">
        <w:rPr>
          <w:lang w:val="es-ES"/>
        </w:rPr>
        <w:t> </w:t>
      </w:r>
      <w:r w:rsidRPr="00EB6D30">
        <w:rPr>
          <w:lang w:val="es-ES"/>
        </w:rPr>
        <w:t>BDT siguió examinando las solicitudes de exención del pago de cuotas de conformidad con el número</w:t>
      </w:r>
      <w:r w:rsidR="00B5081E">
        <w:rPr>
          <w:lang w:val="es-ES"/>
        </w:rPr>
        <w:t> </w:t>
      </w:r>
      <w:r w:rsidRPr="00EB6D30">
        <w:rPr>
          <w:lang w:val="es-ES"/>
        </w:rPr>
        <w:t>476 del Convenio y con arreglo a los criterios del Consejo de la</w:t>
      </w:r>
      <w:r w:rsidR="00B5081E">
        <w:rPr>
          <w:lang w:val="es-ES"/>
        </w:rPr>
        <w:t> </w:t>
      </w:r>
      <w:r w:rsidRPr="00EB6D30">
        <w:rPr>
          <w:lang w:val="es-ES"/>
        </w:rPr>
        <w:t xml:space="preserve">UIT que pueden consultarse </w:t>
      </w:r>
      <w:hyperlink r:id="rId15" w:history="1">
        <w:r w:rsidRPr="00EB6D30">
          <w:rPr>
            <w:rStyle w:val="Hyperlink"/>
            <w:lang w:val="es-ES"/>
          </w:rPr>
          <w:t>aquí</w:t>
        </w:r>
      </w:hyperlink>
      <w:r w:rsidRPr="00EB6D30">
        <w:rPr>
          <w:lang w:val="es-ES"/>
        </w:rPr>
        <w:t>. En su reunión de</w:t>
      </w:r>
      <w:r w:rsidR="00977B7D">
        <w:rPr>
          <w:lang w:val="es-ES"/>
        </w:rPr>
        <w:t> </w:t>
      </w:r>
      <w:r w:rsidRPr="00EB6D30">
        <w:rPr>
          <w:lang w:val="es-ES"/>
        </w:rPr>
        <w:t>2025 el Consejo de la</w:t>
      </w:r>
      <w:r w:rsidR="00B5081E">
        <w:rPr>
          <w:lang w:val="es-ES"/>
        </w:rPr>
        <w:t> </w:t>
      </w:r>
      <w:r w:rsidRPr="00EB6D30">
        <w:rPr>
          <w:lang w:val="es-ES"/>
        </w:rPr>
        <w:t>UIT aprobó la adhesión al</w:t>
      </w:r>
      <w:r w:rsidR="00B5081E">
        <w:rPr>
          <w:lang w:val="es-ES"/>
        </w:rPr>
        <w:t> </w:t>
      </w:r>
      <w:r w:rsidRPr="00EB6D30">
        <w:rPr>
          <w:lang w:val="es-ES"/>
        </w:rPr>
        <w:t xml:space="preserve">UIT-D de </w:t>
      </w:r>
      <w:r w:rsidRPr="00EB6D30">
        <w:rPr>
          <w:b/>
          <w:bCs/>
          <w:lang w:val="es-ES"/>
        </w:rPr>
        <w:t xml:space="preserve">tres </w:t>
      </w:r>
      <w:r w:rsidRPr="00EB6D30">
        <w:rPr>
          <w:lang w:val="es-ES"/>
        </w:rPr>
        <w:t>organizaciones como Miembros exentos:</w:t>
      </w:r>
    </w:p>
    <w:p w14:paraId="7DFA3B91" w14:textId="5F42CA8D" w:rsidR="00EB6D30" w:rsidRPr="00EB6D30" w:rsidRDefault="00EB6D30" w:rsidP="00EB6D30">
      <w:pPr>
        <w:pStyle w:val="enumlev1"/>
        <w:rPr>
          <w:lang w:val="en-US"/>
        </w:rPr>
      </w:pPr>
      <w:r w:rsidRPr="00977B7D">
        <w:t>–</w:t>
      </w:r>
      <w:r w:rsidRPr="00977B7D">
        <w:tab/>
      </w:r>
      <w:r w:rsidRPr="00EB6D30">
        <w:rPr>
          <w:lang w:val="en-US"/>
        </w:rPr>
        <w:t>Cyber Institute</w:t>
      </w:r>
      <w:r w:rsidR="00977B7D">
        <w:rPr>
          <w:lang w:val="en-US"/>
        </w:rPr>
        <w:t>;</w:t>
      </w:r>
    </w:p>
    <w:p w14:paraId="03CC23F6" w14:textId="206176C4" w:rsidR="00EB6D30" w:rsidRPr="00EB6D30" w:rsidRDefault="00EB6D30" w:rsidP="00EB6D30">
      <w:pPr>
        <w:pStyle w:val="enumlev1"/>
        <w:rPr>
          <w:lang w:val="en-US"/>
        </w:rPr>
      </w:pPr>
      <w:r w:rsidRPr="00EB6D30">
        <w:lastRenderedPageBreak/>
        <w:t>–</w:t>
      </w:r>
      <w:r w:rsidRPr="00EB6D30">
        <w:tab/>
      </w:r>
      <w:r w:rsidRPr="00EB6D30">
        <w:rPr>
          <w:lang w:val="en-US"/>
        </w:rPr>
        <w:t>Space Generation Advisory Council (SGAC)</w:t>
      </w:r>
      <w:r w:rsidR="00977B7D">
        <w:rPr>
          <w:lang w:val="en-US"/>
        </w:rPr>
        <w:t>;</w:t>
      </w:r>
    </w:p>
    <w:p w14:paraId="498C58A0" w14:textId="5615FF97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Organización del Mundo Islámico para la Educación, la Ciencia y la Cultura (ICESCO)</w:t>
      </w:r>
      <w:r w:rsidR="00977B7D">
        <w:rPr>
          <w:lang w:val="es-ES"/>
        </w:rPr>
        <w:t>.</w:t>
      </w:r>
    </w:p>
    <w:p w14:paraId="2830DE2C" w14:textId="2908B5DA" w:rsidR="00EB6D30" w:rsidRPr="00EB6D30" w:rsidRDefault="00EB6D30" w:rsidP="00EB6D30">
      <w:pPr>
        <w:pStyle w:val="Heading2"/>
      </w:pPr>
      <w:r>
        <w:t>2.3</w:t>
      </w:r>
      <w:r>
        <w:tab/>
      </w:r>
      <w:r w:rsidRPr="00EB6D30">
        <w:t>Pendientes de aprobación – Miembros de Sector y Asociados del UIT-D</w:t>
      </w:r>
    </w:p>
    <w:p w14:paraId="75C814F9" w14:textId="504D4BBB" w:rsidR="00EB6D30" w:rsidRPr="00EB6D30" w:rsidRDefault="00EB6D30" w:rsidP="00977B7D">
      <w:pPr>
        <w:spacing w:after="120"/>
        <w:rPr>
          <w:lang w:val="es-ES"/>
        </w:rPr>
      </w:pPr>
      <w:r w:rsidRPr="00EB6D30">
        <w:rPr>
          <w:lang w:val="es-ES"/>
        </w:rPr>
        <w:t xml:space="preserve">A finales de diciembre de 2025, </w:t>
      </w:r>
      <w:r w:rsidRPr="00EB6D30">
        <w:rPr>
          <w:b/>
          <w:bCs/>
          <w:lang w:val="es-ES"/>
        </w:rPr>
        <w:t>siete entidades</w:t>
      </w:r>
      <w:r w:rsidRPr="00EB6D30">
        <w:rPr>
          <w:lang w:val="es-ES"/>
        </w:rPr>
        <w:t xml:space="preserve"> estaban </w:t>
      </w:r>
      <w:r w:rsidRPr="00EB6D30">
        <w:rPr>
          <w:b/>
          <w:bCs/>
          <w:lang w:val="es-ES"/>
        </w:rPr>
        <w:t xml:space="preserve">pendientes de la autorización </w:t>
      </w:r>
      <w:r w:rsidRPr="00EB6D30">
        <w:rPr>
          <w:lang w:val="es-ES"/>
        </w:rPr>
        <w:t>de sus respectivas administraciones. Deseamos dar las gracias a las administraciones de las entidades del sector privado que, según entendemos, están prestando la debida atención y examinando las solicitudes de adhesión al UIT</w:t>
      </w:r>
      <w:r w:rsidR="00977B7D">
        <w:rPr>
          <w:lang w:val="es-ES"/>
        </w:rPr>
        <w:noBreakHyphen/>
      </w:r>
      <w:r w:rsidRPr="00EB6D30">
        <w:rPr>
          <w:lang w:val="es-ES"/>
        </w:rPr>
        <w:t>D.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559"/>
        <w:gridCol w:w="2169"/>
        <w:gridCol w:w="2911"/>
      </w:tblGrid>
      <w:tr w:rsidR="00977B7D" w:rsidRPr="00977B7D" w14:paraId="7A45AEEF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156082" w:fill="156082"/>
            <w:noWrap/>
            <w:vAlign w:val="bottom"/>
            <w:hideMark/>
          </w:tcPr>
          <w:p w14:paraId="17D9903E" w14:textId="77777777" w:rsidR="00EB6D30" w:rsidRPr="00977B7D" w:rsidRDefault="00EB6D30" w:rsidP="00CE63E7">
            <w:pPr>
              <w:pStyle w:val="Tablehead"/>
              <w:jc w:val="left"/>
              <w:rPr>
                <w:color w:val="FFFFFF" w:themeColor="background1"/>
                <w:lang w:val="es-ES"/>
              </w:rPr>
            </w:pPr>
            <w:r w:rsidRPr="00977B7D">
              <w:rPr>
                <w:color w:val="FFFFFF" w:themeColor="background1"/>
                <w:lang w:val="es-ES"/>
              </w:rPr>
              <w:t>Cuenta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156082" w:fill="156082"/>
            <w:noWrap/>
            <w:vAlign w:val="bottom"/>
            <w:hideMark/>
          </w:tcPr>
          <w:p w14:paraId="107F50B3" w14:textId="77777777" w:rsidR="00EB6D30" w:rsidRPr="00977B7D" w:rsidRDefault="00EB6D30" w:rsidP="00CE63E7">
            <w:pPr>
              <w:pStyle w:val="Tablehead"/>
              <w:jc w:val="left"/>
              <w:rPr>
                <w:color w:val="FFFFFF" w:themeColor="background1"/>
                <w:lang w:val="es-ES"/>
              </w:rPr>
            </w:pPr>
            <w:r w:rsidRPr="00977B7D">
              <w:rPr>
                <w:color w:val="FFFFFF" w:themeColor="background1"/>
                <w:lang w:val="es-ES"/>
              </w:rPr>
              <w:t>País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auto"/>
              <w:right w:val="single" w:sz="4" w:space="0" w:color="44B3E1"/>
            </w:tcBorders>
            <w:shd w:val="clear" w:color="156082" w:fill="156082"/>
            <w:noWrap/>
            <w:vAlign w:val="bottom"/>
            <w:hideMark/>
          </w:tcPr>
          <w:p w14:paraId="7F47A303" w14:textId="77777777" w:rsidR="00EB6D30" w:rsidRPr="00977B7D" w:rsidRDefault="00EB6D30" w:rsidP="00CE63E7">
            <w:pPr>
              <w:pStyle w:val="Tablehead"/>
              <w:jc w:val="left"/>
              <w:rPr>
                <w:color w:val="FFFFFF" w:themeColor="background1"/>
                <w:lang w:val="es-ES"/>
              </w:rPr>
            </w:pPr>
            <w:r w:rsidRPr="00977B7D">
              <w:rPr>
                <w:color w:val="FFFFFF" w:themeColor="background1"/>
                <w:lang w:val="es-ES"/>
              </w:rPr>
              <w:t>Tipo de afiliación</w:t>
            </w:r>
          </w:p>
        </w:tc>
      </w:tr>
      <w:tr w:rsidR="00EB6D30" w:rsidRPr="00F722F3" w14:paraId="7E1F65E5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5E5508F9" w14:textId="77777777" w:rsidR="00EB6D30" w:rsidRPr="00EB6D30" w:rsidRDefault="00EB6D30" w:rsidP="00EB6D30">
            <w:pPr>
              <w:pStyle w:val="Tabletext"/>
            </w:pPr>
            <w:r w:rsidRPr="00EB6D30">
              <w:t>Motion Technology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7F4625EC" w14:textId="77777777" w:rsidR="00EB6D30" w:rsidRPr="004D35B2" w:rsidRDefault="00EB6D30" w:rsidP="00EB6D30">
            <w:pPr>
              <w:pStyle w:val="Tabletext"/>
              <w:rPr>
                <w:lang w:val="es-ES"/>
              </w:rPr>
            </w:pPr>
            <w:r w:rsidRPr="004D35B2">
              <w:rPr>
                <w:lang w:val="es-ES"/>
              </w:rPr>
              <w:t>Iraq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vAlign w:val="bottom"/>
            <w:hideMark/>
          </w:tcPr>
          <w:p w14:paraId="4129DD66" w14:textId="2CD39207" w:rsidR="00EB6D30" w:rsidRPr="00EB6D30" w:rsidRDefault="00EB6D30" w:rsidP="00EB6D30">
            <w:pPr>
              <w:pStyle w:val="Tabletext"/>
              <w:rPr>
                <w:lang w:val="es-ES"/>
              </w:rPr>
            </w:pPr>
            <w:r w:rsidRPr="00EB6D30">
              <w:rPr>
                <w:lang w:val="es-ES"/>
              </w:rPr>
              <w:t>ASOCIADO DE LA CE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2 DEL UIT-D</w:t>
            </w:r>
          </w:p>
        </w:tc>
      </w:tr>
      <w:tr w:rsidR="00EB6D30" w:rsidRPr="00F722F3" w14:paraId="6DCE0DEA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15950C36" w14:textId="77777777" w:rsidR="00EB6D30" w:rsidRPr="00EB6D30" w:rsidRDefault="00EB6D30" w:rsidP="00EB6D30">
            <w:pPr>
              <w:pStyle w:val="Tabletext"/>
            </w:pPr>
            <w:r w:rsidRPr="00EB6D30">
              <w:t>Beteseb Enterprises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12023D93" w14:textId="17237FB3" w:rsidR="00EB6D30" w:rsidRPr="004D35B2" w:rsidRDefault="00EB6D30" w:rsidP="00EB6D30">
            <w:pPr>
              <w:pStyle w:val="Tabletext"/>
              <w:rPr>
                <w:lang w:val="es-ES"/>
              </w:rPr>
            </w:pPr>
            <w:r w:rsidRPr="004D35B2">
              <w:rPr>
                <w:lang w:val="es-ES"/>
              </w:rPr>
              <w:t>Etiop</w:t>
            </w:r>
            <w:r w:rsidR="008A0AE5" w:rsidRPr="004D35B2">
              <w:rPr>
                <w:lang w:val="es-ES"/>
              </w:rPr>
              <w:t>í</w:t>
            </w:r>
            <w:r w:rsidRPr="004D35B2">
              <w:rPr>
                <w:lang w:val="es-ES"/>
              </w:rPr>
              <w:t>a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vAlign w:val="bottom"/>
            <w:hideMark/>
          </w:tcPr>
          <w:p w14:paraId="7B00EE97" w14:textId="47CD1A67" w:rsidR="00EB6D30" w:rsidRPr="00EB6D30" w:rsidRDefault="00EB6D30" w:rsidP="00EB6D30">
            <w:pPr>
              <w:pStyle w:val="Tabletext"/>
              <w:rPr>
                <w:lang w:val="es-ES"/>
              </w:rPr>
            </w:pPr>
            <w:r w:rsidRPr="00EB6D30">
              <w:rPr>
                <w:lang w:val="es-ES"/>
              </w:rPr>
              <w:t>ASOCIADO DE LA CE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2 DEL UIT-D</w:t>
            </w:r>
          </w:p>
        </w:tc>
      </w:tr>
      <w:tr w:rsidR="00EB6D30" w:rsidRPr="00F722F3" w14:paraId="4B284205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4F8BBFA" w14:textId="77777777" w:rsidR="00EB6D30" w:rsidRPr="00EB6D30" w:rsidRDefault="00EB6D30" w:rsidP="00EB6D30">
            <w:pPr>
              <w:pStyle w:val="Tabletext"/>
              <w:rPr>
                <w:lang w:val="fr-FR"/>
              </w:rPr>
            </w:pPr>
            <w:r w:rsidRPr="00EB6D30">
              <w:rPr>
                <w:lang w:val="fr-FR"/>
              </w:rPr>
              <w:t>Onward Technologies, LLC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255023F0" w14:textId="77777777" w:rsidR="00EB6D30" w:rsidRPr="004D35B2" w:rsidRDefault="00EB6D30" w:rsidP="00EB6D30">
            <w:pPr>
              <w:pStyle w:val="Tabletext"/>
              <w:rPr>
                <w:lang w:val="es-ES"/>
              </w:rPr>
            </w:pPr>
            <w:r w:rsidRPr="004D35B2">
              <w:rPr>
                <w:lang w:val="es-ES"/>
              </w:rPr>
              <w:t>Estados Unidos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vAlign w:val="bottom"/>
            <w:hideMark/>
          </w:tcPr>
          <w:p w14:paraId="0E7F77EC" w14:textId="58D08BC3" w:rsidR="00EB6D30" w:rsidRPr="00EB6D30" w:rsidRDefault="00EB6D30" w:rsidP="00EB6D30">
            <w:pPr>
              <w:pStyle w:val="Tabletext"/>
              <w:rPr>
                <w:lang w:val="es-ES"/>
              </w:rPr>
            </w:pPr>
            <w:r w:rsidRPr="00EB6D30">
              <w:rPr>
                <w:lang w:val="es-ES"/>
              </w:rPr>
              <w:t>ASOCIADO DE LA CE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2 DEL UIT-D</w:t>
            </w:r>
          </w:p>
        </w:tc>
      </w:tr>
      <w:tr w:rsidR="00EB6D30" w:rsidRPr="00F722F3" w14:paraId="5F31D699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627996E0" w14:textId="77777777" w:rsidR="00EB6D30" w:rsidRPr="00EB6D30" w:rsidRDefault="00EB6D30" w:rsidP="00EB6D30">
            <w:pPr>
              <w:pStyle w:val="Tabletext"/>
            </w:pPr>
            <w:r w:rsidRPr="00EB6D30">
              <w:t>CPX Holding – LLC – O.P.C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6D9E0024" w14:textId="77777777" w:rsidR="00EB6D30" w:rsidRPr="004D35B2" w:rsidRDefault="00EB6D30" w:rsidP="00EB6D30">
            <w:pPr>
              <w:pStyle w:val="Tabletext"/>
              <w:rPr>
                <w:lang w:val="es-ES"/>
              </w:rPr>
            </w:pPr>
            <w:r w:rsidRPr="004D35B2">
              <w:rPr>
                <w:lang w:val="es-ES"/>
              </w:rPr>
              <w:t>Emiratos Árabes Unidos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vAlign w:val="bottom"/>
            <w:hideMark/>
          </w:tcPr>
          <w:p w14:paraId="61784D14" w14:textId="77777777" w:rsidR="00EB6D30" w:rsidRPr="00EB6D30" w:rsidRDefault="00EB6D30" w:rsidP="00EB6D30">
            <w:pPr>
              <w:pStyle w:val="Tabletext"/>
              <w:rPr>
                <w:lang w:val="es-ES"/>
              </w:rPr>
            </w:pPr>
            <w:r w:rsidRPr="00EB6D30">
              <w:rPr>
                <w:lang w:val="es-ES"/>
              </w:rPr>
              <w:t>MIEMBRO DE SECTOR DEL UIT-D</w:t>
            </w:r>
          </w:p>
        </w:tc>
      </w:tr>
      <w:tr w:rsidR="00EB6D30" w:rsidRPr="00F722F3" w14:paraId="4A1C2DE1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16029FB9" w14:textId="77777777" w:rsidR="00EB6D30" w:rsidRPr="00EB6D30" w:rsidRDefault="00EB6D30" w:rsidP="00EB6D30">
            <w:pPr>
              <w:pStyle w:val="Tabletext"/>
            </w:pPr>
            <w:r w:rsidRPr="00EB6D30">
              <w:t>Safety for Humanity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DB64482" w14:textId="77777777" w:rsidR="00EB6D30" w:rsidRPr="004D35B2" w:rsidRDefault="00EB6D30" w:rsidP="00EB6D30">
            <w:pPr>
              <w:pStyle w:val="Tabletext"/>
              <w:rPr>
                <w:lang w:val="es-ES"/>
              </w:rPr>
            </w:pPr>
            <w:r w:rsidRPr="004D35B2">
              <w:rPr>
                <w:lang w:val="es-ES"/>
              </w:rPr>
              <w:t>Camerún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B6DDE8" w:themeFill="accent5" w:themeFillTint="66"/>
            <w:noWrap/>
            <w:vAlign w:val="bottom"/>
            <w:hideMark/>
          </w:tcPr>
          <w:p w14:paraId="546F3A4B" w14:textId="1EDF38BD" w:rsidR="00EB6D30" w:rsidRPr="00EB6D30" w:rsidRDefault="00EB6D30" w:rsidP="00EB6D30">
            <w:pPr>
              <w:pStyle w:val="Tabletext"/>
              <w:rPr>
                <w:lang w:val="es-ES"/>
              </w:rPr>
            </w:pPr>
            <w:r w:rsidRPr="00EB6D30">
              <w:rPr>
                <w:lang w:val="es-ES"/>
              </w:rPr>
              <w:t>ASOCIADO DE LA CE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1 DEL UIT-D</w:t>
            </w:r>
          </w:p>
        </w:tc>
      </w:tr>
      <w:tr w:rsidR="00EB6D30" w:rsidRPr="00F722F3" w14:paraId="5BCF8B46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vAlign w:val="bottom"/>
          </w:tcPr>
          <w:p w14:paraId="3618FA63" w14:textId="77777777" w:rsidR="00EB6D30" w:rsidRPr="00EB6D30" w:rsidRDefault="00EB6D30" w:rsidP="00EB6D30">
            <w:pPr>
              <w:pStyle w:val="Tabletext"/>
            </w:pPr>
            <w:r w:rsidRPr="00EB6D30">
              <w:t>Tornet General Trading and Communication Services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vAlign w:val="bottom"/>
          </w:tcPr>
          <w:p w14:paraId="774A8626" w14:textId="77777777" w:rsidR="00EB6D30" w:rsidRPr="004D35B2" w:rsidRDefault="00EB6D30" w:rsidP="00EB6D30">
            <w:pPr>
              <w:pStyle w:val="Tabletext"/>
              <w:rPr>
                <w:lang w:val="es-ES"/>
              </w:rPr>
            </w:pPr>
            <w:r w:rsidRPr="004D35B2">
              <w:rPr>
                <w:lang w:val="es-ES"/>
              </w:rPr>
              <w:t>Iraq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vAlign w:val="bottom"/>
          </w:tcPr>
          <w:p w14:paraId="01094603" w14:textId="77777777" w:rsidR="00EB6D30" w:rsidRPr="00EB6D30" w:rsidRDefault="00EB6D30" w:rsidP="00EB6D30">
            <w:pPr>
              <w:pStyle w:val="Tabletext"/>
              <w:rPr>
                <w:lang w:val="es-ES"/>
              </w:rPr>
            </w:pPr>
            <w:r w:rsidRPr="00EB6D30">
              <w:rPr>
                <w:lang w:val="es-ES"/>
              </w:rPr>
              <w:t>MIEMBRO DE SECTOR DEL UIT-D</w:t>
            </w:r>
          </w:p>
        </w:tc>
      </w:tr>
      <w:tr w:rsidR="00EB6D30" w:rsidRPr="00F722F3" w14:paraId="3E5FE7AB" w14:textId="77777777" w:rsidTr="00977B7D">
        <w:trPr>
          <w:jc w:val="center"/>
        </w:trPr>
        <w:tc>
          <w:tcPr>
            <w:tcW w:w="4559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  <w:vAlign w:val="bottom"/>
          </w:tcPr>
          <w:p w14:paraId="441EE063" w14:textId="77777777" w:rsidR="00EB6D30" w:rsidRPr="00EB6D30" w:rsidRDefault="00EB6D30" w:rsidP="00EB6D30">
            <w:pPr>
              <w:pStyle w:val="Tabletext"/>
            </w:pPr>
            <w:r w:rsidRPr="00EB6D30">
              <w:t>Enerdatics</w:t>
            </w:r>
          </w:p>
        </w:tc>
        <w:tc>
          <w:tcPr>
            <w:tcW w:w="216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  <w:vAlign w:val="bottom"/>
          </w:tcPr>
          <w:p w14:paraId="6F9300BE" w14:textId="77777777" w:rsidR="00EB6D30" w:rsidRPr="004D35B2" w:rsidRDefault="00EB6D30" w:rsidP="00EB6D30">
            <w:pPr>
              <w:pStyle w:val="Tabletext"/>
              <w:rPr>
                <w:lang w:val="es-ES"/>
              </w:rPr>
            </w:pPr>
            <w:r w:rsidRPr="004D35B2">
              <w:rPr>
                <w:lang w:val="es-ES"/>
              </w:rPr>
              <w:t>India</w:t>
            </w:r>
          </w:p>
        </w:tc>
        <w:tc>
          <w:tcPr>
            <w:tcW w:w="29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B6DDE8" w:themeFill="accent5" w:themeFillTint="66"/>
            <w:noWrap/>
            <w:vAlign w:val="bottom"/>
          </w:tcPr>
          <w:p w14:paraId="75905D80" w14:textId="65636940" w:rsidR="00EB6D30" w:rsidRPr="00EB6D30" w:rsidRDefault="00EB6D30" w:rsidP="00EB6D30">
            <w:pPr>
              <w:pStyle w:val="Tabletext"/>
              <w:rPr>
                <w:lang w:val="es-ES"/>
              </w:rPr>
            </w:pPr>
            <w:r w:rsidRPr="00EB6D30">
              <w:rPr>
                <w:lang w:val="es-ES"/>
              </w:rPr>
              <w:t>ASOCIADO DE LA CE</w:t>
            </w:r>
            <w:r w:rsidR="008A0AE5">
              <w:rPr>
                <w:lang w:val="es-ES"/>
              </w:rPr>
              <w:t> </w:t>
            </w:r>
            <w:r w:rsidRPr="00EB6D30">
              <w:rPr>
                <w:lang w:val="es-ES"/>
              </w:rPr>
              <w:t>1 DEL UIT-D</w:t>
            </w:r>
          </w:p>
        </w:tc>
      </w:tr>
    </w:tbl>
    <w:p w14:paraId="004761D1" w14:textId="654011F5" w:rsidR="00EB6D30" w:rsidRPr="00EB6D30" w:rsidRDefault="00EB6D30" w:rsidP="00EB6D30">
      <w:pPr>
        <w:pStyle w:val="Heading2"/>
      </w:pPr>
      <w:r>
        <w:t>2.4</w:t>
      </w:r>
      <w:r>
        <w:tab/>
      </w:r>
      <w:r w:rsidRPr="00EB6D30">
        <w:t>Membresía de Instituciones Académicas</w:t>
      </w:r>
      <w:r>
        <w:rPr>
          <w:rStyle w:val="FootnoteReference"/>
        </w:rPr>
        <w:footnoteReference w:id="4"/>
      </w:r>
    </w:p>
    <w:p w14:paraId="4D804878" w14:textId="77777777" w:rsidR="00EB6D30" w:rsidRPr="00EB6D30" w:rsidRDefault="00EB6D30" w:rsidP="00B5081E">
      <w:pPr>
        <w:pStyle w:val="Figure"/>
      </w:pPr>
      <w:r w:rsidRPr="00EB6D3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EDDD9B" wp14:editId="575B361C">
                <wp:simplePos x="0" y="0"/>
                <wp:positionH relativeFrom="column">
                  <wp:posOffset>323850</wp:posOffset>
                </wp:positionH>
                <wp:positionV relativeFrom="paragraph">
                  <wp:posOffset>2331085</wp:posOffset>
                </wp:positionV>
                <wp:extent cx="563880" cy="1404620"/>
                <wp:effectExtent l="0" t="0" r="0" b="0"/>
                <wp:wrapNone/>
                <wp:docPr id="2108067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B36BD" w14:textId="77777777" w:rsidR="00EB6D30" w:rsidRPr="00EC3B94" w:rsidRDefault="00EB6D30" w:rsidP="00EB6D30">
                            <w:pPr>
                              <w:spacing w:before="0"/>
                              <w:jc w:val="center"/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</w:pPr>
                            <w:r w:rsidRPr="00EC3B94"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202</w:t>
                            </w:r>
                            <w:r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DDD9B" id="_x0000_s1030" type="#_x0000_t202" style="position:absolute;left:0;text-align:left;margin-left:25.5pt;margin-top:183.55pt;width:44.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" filled="f" stroked="f">
                <v:textbox style="mso-fit-shape-to-text:t">
                  <w:txbxContent>
                    <w:p w14:paraId="2D2B36BD" w14:textId="77777777" w:rsidR="00EB6D30" w:rsidRPr="00EC3B94" w:rsidRDefault="00EB6D30" w:rsidP="00EB6D30">
                      <w:pPr>
                        <w:spacing w:before="0"/>
                        <w:jc w:val="center"/>
                        <w:rPr>
                          <w:rFonts w:ascii="Avenir Nxt2 W1G" w:hAnsi="Avenir Nxt2 W1G"/>
                          <w:sz w:val="18"/>
                          <w:szCs w:val="14"/>
                        </w:rPr>
                      </w:pPr>
                      <w:r w:rsidRPr="00EC3B94">
                        <w:rPr>
                          <w:rFonts w:ascii="Avenir Nxt2 W1G" w:hAnsi="Avenir Nxt2 W1G"/>
                          <w:sz w:val="18"/>
                          <w:szCs w:val="14"/>
                        </w:rPr>
                        <w:t>202</w:t>
                      </w:r>
                      <w:r>
                        <w:rPr>
                          <w:rFonts w:ascii="Avenir Nxt2 W1G" w:hAnsi="Avenir Nxt2 W1G"/>
                          <w:sz w:val="18"/>
                          <w:szCs w:val="1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B6D3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7AFDB" wp14:editId="30623CAD">
                <wp:simplePos x="0" y="0"/>
                <wp:positionH relativeFrom="column">
                  <wp:posOffset>1377950</wp:posOffset>
                </wp:positionH>
                <wp:positionV relativeFrom="paragraph">
                  <wp:posOffset>2347595</wp:posOffset>
                </wp:positionV>
                <wp:extent cx="563880" cy="1404620"/>
                <wp:effectExtent l="0" t="0" r="0" b="0"/>
                <wp:wrapNone/>
                <wp:docPr id="3626209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BB405" w14:textId="77777777" w:rsidR="00EB6D30" w:rsidRPr="00EC3B94" w:rsidRDefault="00EB6D30" w:rsidP="00EB6D30">
                            <w:pPr>
                              <w:spacing w:before="0"/>
                              <w:jc w:val="center"/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</w:pPr>
                            <w:r w:rsidRPr="00EC3B94"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202</w:t>
                            </w:r>
                            <w:r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37AFDB" id="_x0000_s1031" type="#_x0000_t202" style="position:absolute;left:0;text-align:left;margin-left:108.5pt;margin-top:184.85pt;width:44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" filled="f" stroked="f">
                <v:textbox style="mso-fit-shape-to-text:t">
                  <w:txbxContent>
                    <w:p w14:paraId="3BDBB405" w14:textId="77777777" w:rsidR="00EB6D30" w:rsidRPr="00EC3B94" w:rsidRDefault="00EB6D30" w:rsidP="00EB6D30">
                      <w:pPr>
                        <w:spacing w:before="0"/>
                        <w:jc w:val="center"/>
                        <w:rPr>
                          <w:rFonts w:ascii="Avenir Nxt2 W1G" w:hAnsi="Avenir Nxt2 W1G"/>
                          <w:sz w:val="18"/>
                          <w:szCs w:val="14"/>
                        </w:rPr>
                      </w:pPr>
                      <w:r w:rsidRPr="00EC3B94">
                        <w:rPr>
                          <w:rFonts w:ascii="Avenir Nxt2 W1G" w:hAnsi="Avenir Nxt2 W1G"/>
                          <w:sz w:val="18"/>
                          <w:szCs w:val="14"/>
                        </w:rPr>
                        <w:t>202</w:t>
                      </w:r>
                      <w:r>
                        <w:rPr>
                          <w:rFonts w:ascii="Avenir Nxt2 W1G" w:hAnsi="Avenir Nxt2 W1G"/>
                          <w:sz w:val="18"/>
                          <w:szCs w:val="1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B6D3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E83B3" wp14:editId="7ECF5579">
                <wp:simplePos x="0" y="0"/>
                <wp:positionH relativeFrom="margin">
                  <wp:posOffset>4835525</wp:posOffset>
                </wp:positionH>
                <wp:positionV relativeFrom="paragraph">
                  <wp:posOffset>2312670</wp:posOffset>
                </wp:positionV>
                <wp:extent cx="563880" cy="1404620"/>
                <wp:effectExtent l="0" t="0" r="0" b="0"/>
                <wp:wrapNone/>
                <wp:docPr id="19094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CF41E" w14:textId="77777777" w:rsidR="00EB6D30" w:rsidRPr="0057040A" w:rsidRDefault="00EB6D30" w:rsidP="00EB6D30">
                            <w:pPr>
                              <w:spacing w:before="0"/>
                              <w:jc w:val="center"/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</w:pPr>
                            <w:r w:rsidRPr="0057040A"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202</w:t>
                            </w:r>
                            <w:r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E83B3" id="_x0000_s1032" type="#_x0000_t202" style="position:absolute;left:0;text-align:left;margin-left:380.75pt;margin-top:182.1pt;width:44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" filled="f" stroked="f">
                <v:textbox style="mso-fit-shape-to-text:t">
                  <w:txbxContent>
                    <w:p w14:paraId="721CF41E" w14:textId="77777777" w:rsidR="00EB6D30" w:rsidRPr="0057040A" w:rsidRDefault="00EB6D30" w:rsidP="00EB6D30">
                      <w:pPr>
                        <w:spacing w:before="0"/>
                        <w:jc w:val="center"/>
                        <w:rPr>
                          <w:rFonts w:ascii="Avenir Nxt2 W1G" w:hAnsi="Avenir Nxt2 W1G"/>
                          <w:sz w:val="18"/>
                          <w:szCs w:val="14"/>
                        </w:rPr>
                      </w:pPr>
                      <w:r w:rsidRPr="0057040A">
                        <w:rPr>
                          <w:rFonts w:ascii="Avenir Nxt2 W1G" w:hAnsi="Avenir Nxt2 W1G"/>
                          <w:sz w:val="18"/>
                          <w:szCs w:val="14"/>
                        </w:rPr>
                        <w:t>202</w:t>
                      </w:r>
                      <w:r>
                        <w:rPr>
                          <w:rFonts w:ascii="Avenir Nxt2 W1G" w:hAnsi="Avenir Nxt2 W1G"/>
                          <w:sz w:val="18"/>
                          <w:szCs w:val="1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6D3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0EEEED" wp14:editId="1EF0F090">
                <wp:simplePos x="0" y="0"/>
                <wp:positionH relativeFrom="column">
                  <wp:posOffset>3115945</wp:posOffset>
                </wp:positionH>
                <wp:positionV relativeFrom="paragraph">
                  <wp:posOffset>2338070</wp:posOffset>
                </wp:positionV>
                <wp:extent cx="563880" cy="1404620"/>
                <wp:effectExtent l="0" t="0" r="0" b="0"/>
                <wp:wrapNone/>
                <wp:docPr id="14191007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61C3C" w14:textId="77777777" w:rsidR="00EB6D30" w:rsidRPr="0057040A" w:rsidRDefault="00EB6D30" w:rsidP="00EB6D30">
                            <w:pPr>
                              <w:spacing w:before="0"/>
                              <w:jc w:val="center"/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</w:pPr>
                            <w:r w:rsidRPr="0057040A"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202</w:t>
                            </w:r>
                            <w:r>
                              <w:rPr>
                                <w:rFonts w:ascii="Avenir Nxt2 W1G" w:hAnsi="Avenir Nxt2 W1G"/>
                                <w:sz w:val="18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0EEEED" id="_x0000_s1033" type="#_x0000_t202" style="position:absolute;left:0;text-align:left;margin-left:245.35pt;margin-top:184.1pt;width:44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" filled="f" stroked="f">
                <v:textbox style="mso-fit-shape-to-text:t">
                  <w:txbxContent>
                    <w:p w14:paraId="0A261C3C" w14:textId="77777777" w:rsidR="00EB6D30" w:rsidRPr="0057040A" w:rsidRDefault="00EB6D30" w:rsidP="00EB6D30">
                      <w:pPr>
                        <w:spacing w:before="0"/>
                        <w:jc w:val="center"/>
                        <w:rPr>
                          <w:rFonts w:ascii="Avenir Nxt2 W1G" w:hAnsi="Avenir Nxt2 W1G"/>
                          <w:sz w:val="18"/>
                          <w:szCs w:val="14"/>
                        </w:rPr>
                      </w:pPr>
                      <w:r w:rsidRPr="0057040A">
                        <w:rPr>
                          <w:rFonts w:ascii="Avenir Nxt2 W1G" w:hAnsi="Avenir Nxt2 W1G"/>
                          <w:sz w:val="18"/>
                          <w:szCs w:val="14"/>
                        </w:rPr>
                        <w:t>202</w:t>
                      </w:r>
                      <w:r>
                        <w:rPr>
                          <w:rFonts w:ascii="Avenir Nxt2 W1G" w:hAnsi="Avenir Nxt2 W1G"/>
                          <w:sz w:val="18"/>
                          <w:szCs w:val="1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B6D3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497E89" wp14:editId="4A88066A">
                <wp:simplePos x="0" y="0"/>
                <wp:positionH relativeFrom="column">
                  <wp:posOffset>2571750</wp:posOffset>
                </wp:positionH>
                <wp:positionV relativeFrom="paragraph">
                  <wp:posOffset>394699</wp:posOffset>
                </wp:positionV>
                <wp:extent cx="0" cy="2149746"/>
                <wp:effectExtent l="0" t="0" r="0" b="0"/>
                <wp:wrapNone/>
                <wp:docPr id="12508803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974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EF1DF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31.1pt" to="202.5pt,2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" strokecolor="#be4b48"/>
            </w:pict>
          </mc:Fallback>
        </mc:AlternateContent>
      </w:r>
      <w:r w:rsidRPr="00EB6D3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6AF6A2" wp14:editId="258494CC">
                <wp:simplePos x="0" y="0"/>
                <wp:positionH relativeFrom="margin">
                  <wp:posOffset>873760</wp:posOffset>
                </wp:positionH>
                <wp:positionV relativeFrom="paragraph">
                  <wp:posOffset>382905</wp:posOffset>
                </wp:positionV>
                <wp:extent cx="3390900" cy="2164080"/>
                <wp:effectExtent l="0" t="0" r="19050" b="266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900" cy="2164080"/>
                          <a:chOff x="0" y="5848"/>
                          <a:chExt cx="3545032" cy="1993132"/>
                        </a:xfrm>
                      </wpg:grpSpPr>
                      <wps:wsp>
                        <wps:cNvPr id="1446109044" name="Straight Connector 1"/>
                        <wps:cNvCnPr/>
                        <wps:spPr>
                          <a:xfrm>
                            <a:off x="0" y="19050"/>
                            <a:ext cx="0" cy="19799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7018271" name="Straight Connector 1"/>
                        <wps:cNvCnPr/>
                        <wps:spPr>
                          <a:xfrm>
                            <a:off x="3545032" y="5848"/>
                            <a:ext cx="0" cy="19799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1DFF9" id="Group 3" o:spid="_x0000_s1026" style="position:absolute;margin-left:68.8pt;margin-top:30.15pt;width:267pt;height:170.4pt;z-index:251669504;mso-position-horizontal-relative:margin;mso-width-relative:margin;mso-height-relative:margin" coordorigin=",58" coordsize="35450,19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">
                <v:line id="Straight Connector 1" o:spid="_x0000_s1027" style="position:absolute;visibility:visible;mso-wrap-style:square" from="0,190" to="0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" strokecolor="#bc4542 [3045]"/>
                <v:line id="Straight Connector 1" o:spid="_x0000_s1028" style="position:absolute;visibility:visible;mso-wrap-style:square" from="35450,58" to="35450,19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" strokecolor="#bc4542 [3045]"/>
                <w10:wrap anchorx="margin"/>
              </v:group>
            </w:pict>
          </mc:Fallback>
        </mc:AlternateContent>
      </w:r>
      <w:r w:rsidRPr="00EB6D30">
        <w:rPr>
          <w:noProof/>
          <w:lang w:val="en-US"/>
        </w:rPr>
        <mc:AlternateContent>
          <mc:Choice Requires="cx4">
            <w:drawing>
              <wp:inline distT="0" distB="0" distL="0" distR="0" wp14:anchorId="6A4D17D2" wp14:editId="2BEACEC4">
                <wp:extent cx="6026150" cy="2425700"/>
                <wp:effectExtent l="0" t="0" r="12700" b="12700"/>
                <wp:docPr id="86320703" name="Chart 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6"/>
                  </a:graphicData>
                </a:graphic>
              </wp:inline>
            </w:drawing>
          </mc:Choice>
          <mc:Fallback>
            <w:drawing>
              <wp:inline distT="0" distB="0" distL="0" distR="0" wp14:anchorId="6A4D17D2" wp14:editId="2BEACEC4">
                <wp:extent cx="6026150" cy="2425700"/>
                <wp:effectExtent l="0" t="0" r="12700" b="12700"/>
                <wp:docPr id="86320703" name="Chart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320703" name="Chart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150" cy="2425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2AF4A46" w14:textId="2F8DDEEF" w:rsidR="00EB6D30" w:rsidRPr="00EB6D30" w:rsidRDefault="00EB6D30" w:rsidP="004D35B2">
      <w:pPr>
        <w:pStyle w:val="Normalaftertitle"/>
        <w:spacing w:before="360"/>
        <w:rPr>
          <w:lang w:val="es-ES"/>
        </w:rPr>
      </w:pPr>
      <w:r w:rsidRPr="00EB6D30">
        <w:rPr>
          <w:lang w:val="es-ES"/>
        </w:rPr>
        <w:t xml:space="preserve">En el </w:t>
      </w:r>
      <w:r w:rsidRPr="00EB6D30">
        <w:rPr>
          <w:b/>
          <w:bCs/>
          <w:lang w:val="es-ES"/>
        </w:rPr>
        <w:t>Gráfico</w:t>
      </w:r>
      <w:r w:rsidR="004D35B2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3</w:t>
      </w:r>
      <w:r w:rsidRPr="00EB6D30">
        <w:rPr>
          <w:lang w:val="es-ES"/>
        </w:rPr>
        <w:t xml:space="preserve"> se detalla la evolución de las Instituciones Académicas desde 2023. En 2025 las Instituciones Académicas registraron veintidós nuevos Miembros y doce pérdidas, con una </w:t>
      </w:r>
      <w:r w:rsidRPr="00EB6D30">
        <w:rPr>
          <w:b/>
          <w:bCs/>
          <w:lang w:val="es-ES"/>
        </w:rPr>
        <w:t>variación positiva de los ingresos netos de 23</w:t>
      </w:r>
      <w:r w:rsidR="004D35B2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850</w:t>
      </w:r>
      <w:r w:rsidR="004D35B2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CHF</w:t>
      </w:r>
      <w:r w:rsidRPr="00EB6D30">
        <w:rPr>
          <w:lang w:val="es-ES"/>
        </w:rPr>
        <w:t>.</w:t>
      </w:r>
    </w:p>
    <w:p w14:paraId="29C14735" w14:textId="7F5990CB" w:rsidR="00EB6D30" w:rsidRPr="00EB6D30" w:rsidRDefault="00EB6D30" w:rsidP="004D35B2">
      <w:pPr>
        <w:keepNext/>
        <w:keepLines/>
        <w:rPr>
          <w:lang w:val="es-ES"/>
        </w:rPr>
      </w:pPr>
      <w:r w:rsidRPr="00EB6D30">
        <w:rPr>
          <w:lang w:val="es-ES"/>
        </w:rPr>
        <w:lastRenderedPageBreak/>
        <w:t>Las Instituciones Académicas pueden participar en los trabajos de los tres Sectores con una sola cuota y pueden contribuir a las Comisiones de Estudio de todos los Sectores. Algunas han señalado dificultades para mantener la membresía durante un per</w:t>
      </w:r>
      <w:r w:rsidR="00284412">
        <w:rPr>
          <w:lang w:val="es-ES"/>
        </w:rPr>
        <w:t>i</w:t>
      </w:r>
      <w:r w:rsidRPr="00EB6D30">
        <w:rPr>
          <w:lang w:val="es-ES"/>
        </w:rPr>
        <w:t>odo prolongado debido a las limitaciones presupuestarias.</w:t>
      </w:r>
    </w:p>
    <w:p w14:paraId="76D585AE" w14:textId="5226272B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>Se están realizando continuamente grandes esfuerzos de divulgación, incluso organizando visitas y reuniones informativas con las Instituciones Académicas y los Estados Miembros de la</w:t>
      </w:r>
      <w:r w:rsidR="004D35B2">
        <w:rPr>
          <w:lang w:val="es-ES"/>
        </w:rPr>
        <w:t> </w:t>
      </w:r>
      <w:r w:rsidRPr="00EB6D30">
        <w:rPr>
          <w:lang w:val="es-ES"/>
        </w:rPr>
        <w:t>UIT interesados en promover y apoyar la adhesión a las Instituciones Académicas. Pueden encontrarse más detalles sobre las oportunidades y el compromiso actual de replicación con Miembros y no miembros de Instituciones Académicas de la</w:t>
      </w:r>
      <w:r w:rsidR="004D35B2">
        <w:rPr>
          <w:lang w:val="es-ES"/>
        </w:rPr>
        <w:t> </w:t>
      </w:r>
      <w:r w:rsidRPr="00EB6D30">
        <w:rPr>
          <w:lang w:val="es-ES"/>
        </w:rPr>
        <w:t xml:space="preserve">UIT en </w:t>
      </w:r>
      <w:hyperlink r:id="rId18" w:history="1">
        <w:r w:rsidRPr="00EB6D30">
          <w:rPr>
            <w:rStyle w:val="Hyperlink"/>
            <w:lang w:val="es-ES"/>
          </w:rPr>
          <w:t>TDAG-26/INF/3</w:t>
        </w:r>
      </w:hyperlink>
      <w:r w:rsidRPr="00EB6D30">
        <w:rPr>
          <w:lang w:val="es-ES"/>
        </w:rPr>
        <w:t>.</w:t>
      </w:r>
    </w:p>
    <w:p w14:paraId="787664B6" w14:textId="56399CC5" w:rsidR="00EB6D30" w:rsidRPr="00EB6D30" w:rsidRDefault="00EB6D30" w:rsidP="00EB6D30">
      <w:pPr>
        <w:pStyle w:val="Heading1"/>
      </w:pPr>
      <w:r w:rsidRPr="00EB6D30">
        <w:t>3</w:t>
      </w:r>
      <w:r w:rsidRPr="00EB6D30">
        <w:tab/>
        <w:t>Participación, retención, promoción y captación</w:t>
      </w:r>
    </w:p>
    <w:p w14:paraId="710287BC" w14:textId="74E2709D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La</w:t>
      </w:r>
      <w:r w:rsidR="004D35B2">
        <w:rPr>
          <w:lang w:val="es-ES"/>
        </w:rPr>
        <w:t> </w:t>
      </w:r>
      <w:r w:rsidRPr="00EB6D30">
        <w:rPr>
          <w:lang w:val="es-ES"/>
        </w:rPr>
        <w:t xml:space="preserve">BDT llevó a cabo varias acciones destinadas a reforzar los </w:t>
      </w:r>
      <w:r w:rsidRPr="00EB6D30">
        <w:rPr>
          <w:b/>
          <w:bCs/>
          <w:lang w:val="es-ES"/>
        </w:rPr>
        <w:t>esfuerzos de divulgación y participación</w:t>
      </w:r>
      <w:r w:rsidRPr="00EB6D30">
        <w:rPr>
          <w:lang w:val="es-ES"/>
        </w:rPr>
        <w:t xml:space="preserve"> mediante campañas de promoción utilizando herramientas de medios sociales y una campaña de divulgación dirigida a audiencias prospectivas en exposiciones tecnológicas mundiales. La</w:t>
      </w:r>
      <w:r w:rsidR="004D35B2">
        <w:rPr>
          <w:lang w:val="es-ES"/>
        </w:rPr>
        <w:t> </w:t>
      </w:r>
      <w:r w:rsidRPr="00EB6D30">
        <w:rPr>
          <w:lang w:val="es-ES"/>
        </w:rPr>
        <w:t>BDT se centra además en convertir las actuales plataformas de la cartera de productos y servicios del</w:t>
      </w:r>
      <w:r w:rsidR="004D35B2">
        <w:rPr>
          <w:lang w:val="es-ES"/>
        </w:rPr>
        <w:t> </w:t>
      </w:r>
      <w:r w:rsidRPr="00EB6D30">
        <w:rPr>
          <w:lang w:val="es-ES"/>
        </w:rPr>
        <w:t>UIT</w:t>
      </w:r>
      <w:r w:rsidR="004D35B2">
        <w:rPr>
          <w:lang w:val="es-ES"/>
        </w:rPr>
        <w:noBreakHyphen/>
      </w:r>
      <w:r w:rsidRPr="00EB6D30">
        <w:rPr>
          <w:lang w:val="es-ES"/>
        </w:rPr>
        <w:t>D en canales de divulgación para Miembros efectivos, por ejemplo</w:t>
      </w:r>
      <w:r w:rsidR="00C43DB0">
        <w:rPr>
          <w:lang w:val="es-ES"/>
        </w:rPr>
        <w:t>,</w:t>
      </w:r>
      <w:r w:rsidRPr="00EB6D30">
        <w:rPr>
          <w:lang w:val="es-ES"/>
        </w:rPr>
        <w:t xml:space="preserve"> el proyecto Cyber for Good project, la iniciativa Alertas Tempranas para todos, etc. A lo largo de</w:t>
      </w:r>
      <w:r w:rsidR="004D35B2">
        <w:rPr>
          <w:lang w:val="es-ES"/>
        </w:rPr>
        <w:t> </w:t>
      </w:r>
      <w:r w:rsidRPr="00EB6D30">
        <w:rPr>
          <w:lang w:val="es-ES"/>
        </w:rPr>
        <w:t>2025 se celebró un mayor número de sesiones de información (presenciales y virtuales) para expertos temáticos y Miembros del</w:t>
      </w:r>
      <w:r w:rsidR="004D35B2">
        <w:rPr>
          <w:lang w:val="es-ES"/>
        </w:rPr>
        <w:t> </w:t>
      </w:r>
      <w:r w:rsidRPr="00EB6D30">
        <w:rPr>
          <w:lang w:val="es-ES"/>
        </w:rPr>
        <w:t>UIT</w:t>
      </w:r>
      <w:r w:rsidR="004D35B2">
        <w:rPr>
          <w:lang w:val="es-ES"/>
        </w:rPr>
        <w:noBreakHyphen/>
      </w:r>
      <w:r w:rsidRPr="00EB6D30">
        <w:rPr>
          <w:lang w:val="es-ES"/>
        </w:rPr>
        <w:t>D, en las que se expusieron las esferas en las que se puede participar.</w:t>
      </w:r>
    </w:p>
    <w:p w14:paraId="091E2D9D" w14:textId="735B6C48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El</w:t>
      </w:r>
      <w:r w:rsidR="00CE63E7">
        <w:rPr>
          <w:lang w:val="es-ES"/>
        </w:rPr>
        <w:t> </w:t>
      </w:r>
      <w:r w:rsidRPr="00EB6D30">
        <w:rPr>
          <w:b/>
          <w:bCs/>
          <w:lang w:val="es-ES"/>
        </w:rPr>
        <w:t>IAGDI</w:t>
      </w:r>
      <w:r w:rsidR="00CE63E7">
        <w:rPr>
          <w:b/>
          <w:bCs/>
          <w:lang w:val="es-ES"/>
        </w:rPr>
        <w:noBreakHyphen/>
      </w:r>
      <w:r w:rsidRPr="00EB6D30">
        <w:rPr>
          <w:b/>
          <w:bCs/>
          <w:lang w:val="es-ES"/>
        </w:rPr>
        <w:t>CRO</w:t>
      </w:r>
      <w:r w:rsidRPr="00EB6D30">
        <w:rPr>
          <w:lang w:val="es-ES"/>
        </w:rPr>
        <w:t xml:space="preserve"> sigui</w:t>
      </w:r>
      <w:r w:rsidR="00CE63E7">
        <w:rPr>
          <w:lang w:val="es-ES"/>
        </w:rPr>
        <w:t>ó</w:t>
      </w:r>
      <w:r w:rsidRPr="00EB6D30">
        <w:rPr>
          <w:lang w:val="es-ES"/>
        </w:rPr>
        <w:t xml:space="preserve"> implicando a un número cada vez mayor de Miembros de Sector del</w:t>
      </w:r>
      <w:r w:rsidR="004D35B2">
        <w:rPr>
          <w:lang w:val="es-ES"/>
        </w:rPr>
        <w:t> </w:t>
      </w:r>
      <w:r w:rsidRPr="00EB6D30">
        <w:rPr>
          <w:lang w:val="es-ES"/>
        </w:rPr>
        <w:t>UIT</w:t>
      </w:r>
      <w:r w:rsidR="004D35B2">
        <w:rPr>
          <w:lang w:val="es-ES"/>
        </w:rPr>
        <w:noBreakHyphen/>
      </w:r>
      <w:r w:rsidRPr="00EB6D30">
        <w:rPr>
          <w:lang w:val="es-ES"/>
        </w:rPr>
        <w:t>D. En particular, en 2025 se organizaron cuatro reuniones:</w:t>
      </w:r>
    </w:p>
    <w:p w14:paraId="65C88C51" w14:textId="6B05C6A2" w:rsidR="00EB6D30" w:rsidRPr="00EB6D30" w:rsidRDefault="00EB6D30" w:rsidP="00EB6D30">
      <w:pPr>
        <w:pStyle w:val="enumlev2"/>
        <w:rPr>
          <w:lang w:val="es-ES"/>
        </w:rPr>
      </w:pPr>
      <w:r w:rsidRPr="00EB6D30">
        <w:rPr>
          <w:lang w:val="es-ES"/>
        </w:rPr>
        <w:t>•</w:t>
      </w:r>
      <w:r>
        <w:rPr>
          <w:lang w:val="es-ES"/>
        </w:rPr>
        <w:tab/>
      </w:r>
      <w:r w:rsidRPr="00EB6D30">
        <w:rPr>
          <w:b/>
          <w:bCs/>
          <w:lang w:val="es-ES"/>
        </w:rPr>
        <w:t>Consulta virtual del IAGDI</w:t>
      </w:r>
      <w:r w:rsidR="00C43DB0">
        <w:rPr>
          <w:b/>
          <w:bCs/>
          <w:lang w:val="es-ES"/>
        </w:rPr>
        <w:noBreakHyphen/>
      </w:r>
      <w:r w:rsidRPr="00EB6D30">
        <w:rPr>
          <w:b/>
          <w:bCs/>
          <w:lang w:val="es-ES"/>
        </w:rPr>
        <w:t>CRO</w:t>
      </w:r>
      <w:r w:rsidRPr="00EB6D30">
        <w:rPr>
          <w:lang w:val="es-ES"/>
        </w:rPr>
        <w:t>, celebrada en junio de 2025, que alentó un mayor número de contribuciones de los Miembros de Sector del</w:t>
      </w:r>
      <w:r w:rsidR="00C43DB0">
        <w:rPr>
          <w:lang w:val="es-ES"/>
        </w:rPr>
        <w:t> </w:t>
      </w:r>
      <w:r w:rsidRPr="00EB6D30">
        <w:rPr>
          <w:lang w:val="es-ES"/>
        </w:rPr>
        <w:t>UIT</w:t>
      </w:r>
      <w:r w:rsidR="00C43DB0">
        <w:rPr>
          <w:lang w:val="es-ES"/>
        </w:rPr>
        <w:noBreakHyphen/>
      </w:r>
      <w:r w:rsidRPr="00EB6D30">
        <w:rPr>
          <w:lang w:val="es-ES"/>
        </w:rPr>
        <w:t>D al proceso de consulta de las Directrices sobre prácticas idóneas del Simposio Mundial para Organismos Reguladores (GSR</w:t>
      </w:r>
      <w:r w:rsidR="00C43DB0">
        <w:rPr>
          <w:lang w:val="es-ES"/>
        </w:rPr>
        <w:noBreakHyphen/>
      </w:r>
      <w:r w:rsidRPr="00EB6D30">
        <w:rPr>
          <w:lang w:val="es-ES"/>
        </w:rPr>
        <w:t xml:space="preserve">25) y recabó ideas sobre la definición de los </w:t>
      </w:r>
      <w:r w:rsidR="004D35B2">
        <w:rPr>
          <w:lang w:val="es-ES"/>
        </w:rPr>
        <w:t>l</w:t>
      </w:r>
      <w:r w:rsidRPr="00EB6D30">
        <w:rPr>
          <w:lang w:val="es-ES"/>
        </w:rPr>
        <w:t>emas para la reunión principal del</w:t>
      </w:r>
      <w:r w:rsidR="00C43DB0">
        <w:rPr>
          <w:lang w:val="es-ES"/>
        </w:rPr>
        <w:t> </w:t>
      </w:r>
      <w:r w:rsidRPr="00EB6D30">
        <w:rPr>
          <w:lang w:val="es-ES"/>
        </w:rPr>
        <w:t>IAGDI</w:t>
      </w:r>
      <w:r w:rsidR="00C43DB0">
        <w:rPr>
          <w:lang w:val="es-ES"/>
        </w:rPr>
        <w:noBreakHyphen/>
      </w:r>
      <w:r w:rsidRPr="00EB6D30">
        <w:rPr>
          <w:lang w:val="es-ES"/>
        </w:rPr>
        <w:t>CRO durante el</w:t>
      </w:r>
      <w:r w:rsidR="00C43DB0">
        <w:rPr>
          <w:lang w:val="es-ES"/>
        </w:rPr>
        <w:t> </w:t>
      </w:r>
      <w:r w:rsidRPr="00EB6D30">
        <w:rPr>
          <w:lang w:val="es-ES"/>
        </w:rPr>
        <w:t>GSR</w:t>
      </w:r>
      <w:r w:rsidR="004D35B2">
        <w:rPr>
          <w:lang w:val="es-ES"/>
        </w:rPr>
        <w:noBreakHyphen/>
      </w:r>
      <w:r w:rsidRPr="00EB6D30">
        <w:rPr>
          <w:lang w:val="es-ES"/>
        </w:rPr>
        <w:t xml:space="preserve">25. El Informe del Presidente puede consultarse </w:t>
      </w:r>
      <w:hyperlink r:id="rId19" w:history="1">
        <w:r w:rsidRPr="00EB6D30">
          <w:rPr>
            <w:rStyle w:val="Hyperlink"/>
            <w:lang w:val="es-ES"/>
          </w:rPr>
          <w:t>aq</w:t>
        </w:r>
        <w:r w:rsidRPr="00EB6D30">
          <w:rPr>
            <w:rStyle w:val="Hyperlink"/>
            <w:lang w:val="es-ES"/>
          </w:rPr>
          <w:t>u</w:t>
        </w:r>
        <w:r w:rsidRPr="00EB6D30">
          <w:rPr>
            <w:rStyle w:val="Hyperlink"/>
            <w:lang w:val="es-ES"/>
          </w:rPr>
          <w:t>í</w:t>
        </w:r>
      </w:hyperlink>
      <w:r w:rsidRPr="00EB6D30">
        <w:rPr>
          <w:lang w:val="es-ES"/>
        </w:rPr>
        <w:t>.</w:t>
      </w:r>
    </w:p>
    <w:p w14:paraId="59BBE6AD" w14:textId="684AB669" w:rsidR="00EB6D30" w:rsidRPr="00284412" w:rsidRDefault="00EB6D30" w:rsidP="00EB6D30">
      <w:pPr>
        <w:pStyle w:val="enumlev2"/>
        <w:rPr>
          <w:lang w:val="es-ES"/>
        </w:rPr>
      </w:pPr>
      <w:r w:rsidRPr="00EB6D30">
        <w:rPr>
          <w:lang w:val="es-ES"/>
        </w:rPr>
        <w:t>•</w:t>
      </w:r>
      <w:r>
        <w:rPr>
          <w:lang w:val="es-ES"/>
        </w:rPr>
        <w:tab/>
      </w:r>
      <w:r w:rsidRPr="00EB6D30">
        <w:rPr>
          <w:b/>
          <w:bCs/>
          <w:lang w:val="es-ES"/>
        </w:rPr>
        <w:t>Reunión del</w:t>
      </w:r>
      <w:r w:rsidR="00C43DB0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IAGDI</w:t>
      </w:r>
      <w:r w:rsidR="00C43DB0">
        <w:rPr>
          <w:b/>
          <w:bCs/>
          <w:lang w:val="es-ES"/>
        </w:rPr>
        <w:noBreakHyphen/>
      </w:r>
      <w:r w:rsidRPr="00EB6D30">
        <w:rPr>
          <w:b/>
          <w:bCs/>
          <w:lang w:val="es-ES"/>
        </w:rPr>
        <w:t>CRO</w:t>
      </w:r>
      <w:r w:rsidRPr="00C43DB0">
        <w:rPr>
          <w:lang w:val="es-ES"/>
        </w:rPr>
        <w:t xml:space="preserve"> </w:t>
      </w:r>
      <w:r w:rsidRPr="00EB6D30">
        <w:rPr>
          <w:lang w:val="es-ES"/>
        </w:rPr>
        <w:t>durante el</w:t>
      </w:r>
      <w:r w:rsidR="00C43DB0">
        <w:rPr>
          <w:lang w:val="es-ES"/>
        </w:rPr>
        <w:t> </w:t>
      </w:r>
      <w:r w:rsidRPr="00EB6D30">
        <w:rPr>
          <w:lang w:val="es-ES"/>
        </w:rPr>
        <w:t>GSR</w:t>
      </w:r>
      <w:r w:rsidR="00C43DB0">
        <w:rPr>
          <w:lang w:val="es-ES"/>
        </w:rPr>
        <w:noBreakHyphen/>
      </w:r>
      <w:r w:rsidRPr="00EB6D30">
        <w:rPr>
          <w:lang w:val="es-ES"/>
        </w:rPr>
        <w:t>25 en Riad (Reino de Arabia Saudita). El interés y el compromiso de los Miembros de Sector del</w:t>
      </w:r>
      <w:r w:rsidR="00C43DB0">
        <w:rPr>
          <w:lang w:val="es-ES"/>
        </w:rPr>
        <w:t> </w:t>
      </w:r>
      <w:r w:rsidRPr="00EB6D30">
        <w:rPr>
          <w:lang w:val="es-ES"/>
        </w:rPr>
        <w:t>UIT</w:t>
      </w:r>
      <w:r w:rsidR="00C43DB0">
        <w:rPr>
          <w:lang w:val="es-ES"/>
        </w:rPr>
        <w:noBreakHyphen/>
      </w:r>
      <w:r w:rsidRPr="00EB6D30">
        <w:rPr>
          <w:lang w:val="es-ES"/>
        </w:rPr>
        <w:t xml:space="preserve">D quedaron demostrados por sus contribuciones y por el número récord de participantes. La </w:t>
      </w:r>
      <w:hyperlink r:id="rId20">
        <w:r w:rsidRPr="00EB6D30">
          <w:rPr>
            <w:rStyle w:val="Hyperlink"/>
            <w:lang w:val="es-ES"/>
          </w:rPr>
          <w:t>Declaración Final</w:t>
        </w:r>
      </w:hyperlink>
      <w:r w:rsidRPr="00EB6D30">
        <w:rPr>
          <w:lang w:val="es-ES"/>
        </w:rPr>
        <w:t xml:space="preserve"> de la reunión y el Informe del Presidente pueden consultarse </w:t>
      </w:r>
      <w:hyperlink r:id="rId21">
        <w:r w:rsidRPr="00EB6D30">
          <w:rPr>
            <w:rStyle w:val="Hyperlink"/>
            <w:lang w:val="es-ES"/>
          </w:rPr>
          <w:t>aquí</w:t>
        </w:r>
      </w:hyperlink>
      <w:r w:rsidRPr="00EB6D30">
        <w:rPr>
          <w:lang w:val="es-ES"/>
        </w:rPr>
        <w:t>. Además de las reuniones principales, el</w:t>
      </w:r>
      <w:r w:rsidR="00C43DB0">
        <w:rPr>
          <w:lang w:val="es-ES"/>
        </w:rPr>
        <w:t> </w:t>
      </w:r>
      <w:r w:rsidRPr="00EB6D30">
        <w:rPr>
          <w:b/>
          <w:bCs/>
          <w:lang w:val="es-ES"/>
        </w:rPr>
        <w:t>IAGDI</w:t>
      </w:r>
      <w:r w:rsidR="00C43DB0">
        <w:rPr>
          <w:b/>
          <w:bCs/>
          <w:lang w:val="es-ES"/>
        </w:rPr>
        <w:noBreakHyphen/>
      </w:r>
      <w:r w:rsidRPr="00EB6D30">
        <w:rPr>
          <w:b/>
          <w:bCs/>
          <w:lang w:val="es-ES"/>
        </w:rPr>
        <w:t>CRO</w:t>
      </w:r>
      <w:r w:rsidRPr="00EB6D30">
        <w:rPr>
          <w:lang w:val="es-ES"/>
        </w:rPr>
        <w:t xml:space="preserve"> organizó además </w:t>
      </w:r>
      <w:r w:rsidRPr="00EB6D30">
        <w:rPr>
          <w:b/>
          <w:bCs/>
          <w:lang w:val="es-ES"/>
        </w:rPr>
        <w:t>dos Charlas Técnicas en febrero de 2025</w:t>
      </w:r>
      <w:r w:rsidRPr="00284412">
        <w:rPr>
          <w:lang w:val="es-ES"/>
        </w:rPr>
        <w:t xml:space="preserve">, </w:t>
      </w:r>
      <w:r w:rsidRPr="00EB6D30">
        <w:rPr>
          <w:lang w:val="es-ES"/>
        </w:rPr>
        <w:t xml:space="preserve">cada una de ellas dedicada a los temas de las </w:t>
      </w:r>
      <w:r w:rsidRPr="00EB6D30">
        <w:rPr>
          <w:b/>
          <w:bCs/>
          <w:lang w:val="es-ES"/>
        </w:rPr>
        <w:t>Comisiones de Estudio</w:t>
      </w:r>
      <w:r w:rsidR="00284412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1 y 2 del</w:t>
      </w:r>
      <w:r w:rsidR="00C43DB0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UIT</w:t>
      </w:r>
      <w:r w:rsidR="00C43DB0">
        <w:rPr>
          <w:b/>
          <w:bCs/>
          <w:lang w:val="es-ES"/>
        </w:rPr>
        <w:noBreakHyphen/>
      </w:r>
      <w:r w:rsidRPr="00EB6D30">
        <w:rPr>
          <w:b/>
          <w:bCs/>
          <w:lang w:val="es-ES"/>
        </w:rPr>
        <w:t>D</w:t>
      </w:r>
      <w:r w:rsidRPr="00EB6D30">
        <w:rPr>
          <w:lang w:val="es-ES"/>
        </w:rPr>
        <w:t>, respectivamente. Fomentó una colaboración más estrecha entre los Miembros de Sector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84412">
        <w:rPr>
          <w:lang w:val="es-ES"/>
        </w:rPr>
        <w:noBreakHyphen/>
      </w:r>
      <w:r w:rsidRPr="00EB6D30">
        <w:rPr>
          <w:lang w:val="es-ES"/>
        </w:rPr>
        <w:t>D y la dirección de las Comisiones de Estudio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84412">
        <w:rPr>
          <w:lang w:val="es-ES"/>
        </w:rPr>
        <w:noBreakHyphen/>
      </w:r>
      <w:r w:rsidRPr="00EB6D30">
        <w:rPr>
          <w:lang w:val="es-ES"/>
        </w:rPr>
        <w:t xml:space="preserve">D y los </w:t>
      </w:r>
      <w:r w:rsidR="00C43DB0" w:rsidRPr="00EB6D30">
        <w:rPr>
          <w:lang w:val="es-ES"/>
        </w:rPr>
        <w:t xml:space="preserve">Miembros </w:t>
      </w:r>
      <w:r w:rsidRPr="00EB6D30">
        <w:rPr>
          <w:lang w:val="es-ES"/>
        </w:rPr>
        <w:t>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84412">
        <w:rPr>
          <w:lang w:val="es-ES"/>
        </w:rPr>
        <w:noBreakHyphen/>
      </w:r>
      <w:r w:rsidRPr="00EB6D30">
        <w:rPr>
          <w:lang w:val="es-ES"/>
        </w:rPr>
        <w:t>D, e inspiró debates con visión de futuro sobre las tendencias y tecnologías digitales de vanguardia que podrían configurar la labor futura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84412">
        <w:rPr>
          <w:lang w:val="es-ES"/>
        </w:rPr>
        <w:noBreakHyphen/>
      </w:r>
      <w:r w:rsidRPr="00EB6D30">
        <w:rPr>
          <w:lang w:val="es-ES"/>
        </w:rPr>
        <w:t xml:space="preserve">D. Los Informes de la </w:t>
      </w:r>
      <w:r w:rsidRPr="00EB6D30">
        <w:rPr>
          <w:b/>
          <w:bCs/>
          <w:lang w:val="es-ES"/>
        </w:rPr>
        <w:t>CHARLA TÉCNICA sobre un entorno propicio para una conectividad efectiva</w:t>
      </w:r>
      <w:r w:rsidRPr="00C43DB0">
        <w:rPr>
          <w:lang w:val="es-ES"/>
        </w:rPr>
        <w:t xml:space="preserve"> </w:t>
      </w:r>
      <w:r w:rsidRPr="00EB6D30">
        <w:rPr>
          <w:lang w:val="es-ES"/>
        </w:rPr>
        <w:t xml:space="preserve">y la </w:t>
      </w:r>
      <w:r w:rsidRPr="00EB6D30">
        <w:rPr>
          <w:b/>
          <w:bCs/>
          <w:lang w:val="es-ES"/>
        </w:rPr>
        <w:t>CHARLA TÉCNICA sobre la transformación digital</w:t>
      </w:r>
      <w:r w:rsidRPr="00C43DB0">
        <w:rPr>
          <w:lang w:val="es-ES"/>
        </w:rPr>
        <w:t xml:space="preserve"> </w:t>
      </w:r>
      <w:r w:rsidRPr="00EB6D30">
        <w:rPr>
          <w:lang w:val="es-ES"/>
        </w:rPr>
        <w:t>se presentaron al Grupo de Trabajo del</w:t>
      </w:r>
      <w:r w:rsidR="00284412">
        <w:rPr>
          <w:lang w:val="es-ES"/>
        </w:rPr>
        <w:t> </w:t>
      </w:r>
      <w:r w:rsidRPr="00EB6D30">
        <w:rPr>
          <w:lang w:val="es-ES"/>
        </w:rPr>
        <w:t>GADT sobre las futuras Cuestiones de las</w:t>
      </w:r>
      <w:r w:rsidR="00C43DB0">
        <w:rPr>
          <w:lang w:val="es-ES"/>
        </w:rPr>
        <w:t> </w:t>
      </w:r>
      <w:r w:rsidRPr="00EB6D30">
        <w:rPr>
          <w:lang w:val="es-ES"/>
        </w:rPr>
        <w:t>CE, que tomó nota de los mismos con satisfacción. Los informes de las CHARLAS TÉCNICAS pueden consultarse</w:t>
      </w:r>
      <w:r w:rsidRPr="00284412">
        <w:rPr>
          <w:lang w:val="es-ES"/>
        </w:rPr>
        <w:t xml:space="preserve"> </w:t>
      </w:r>
      <w:hyperlink r:id="rId22">
        <w:r w:rsidRPr="00284412">
          <w:rPr>
            <w:rStyle w:val="Hyperlink"/>
            <w:lang w:val="es-ES"/>
          </w:rPr>
          <w:t>aquí</w:t>
        </w:r>
      </w:hyperlink>
      <w:r w:rsidRPr="00284412">
        <w:rPr>
          <w:lang w:val="es-ES"/>
        </w:rPr>
        <w:t>.</w:t>
      </w:r>
    </w:p>
    <w:p w14:paraId="02B161B2" w14:textId="2F079907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lastRenderedPageBreak/>
        <w:t>–</w:t>
      </w:r>
      <w:r>
        <w:rPr>
          <w:lang w:val="es-ES"/>
        </w:rPr>
        <w:tab/>
      </w:r>
      <w:r w:rsidRPr="00EB6D30">
        <w:rPr>
          <w:lang w:val="es-ES"/>
        </w:rPr>
        <w:t>En 2025, la</w:t>
      </w:r>
      <w:r w:rsidR="00284412">
        <w:rPr>
          <w:lang w:val="es-ES"/>
        </w:rPr>
        <w:t> </w:t>
      </w:r>
      <w:r w:rsidRPr="00EB6D30">
        <w:rPr>
          <w:lang w:val="es-ES"/>
        </w:rPr>
        <w:t xml:space="preserve">BDT siguió organizando </w:t>
      </w:r>
      <w:r w:rsidRPr="00EB6D30">
        <w:rPr>
          <w:b/>
          <w:bCs/>
          <w:lang w:val="es-ES"/>
        </w:rPr>
        <w:t>sesiones informativas virtuales</w:t>
      </w:r>
      <w:r w:rsidRPr="00EB6D30">
        <w:rPr>
          <w:lang w:val="es-ES"/>
        </w:rPr>
        <w:t xml:space="preserve"> y </w:t>
      </w:r>
      <w:r w:rsidRPr="00EB6D30">
        <w:rPr>
          <w:b/>
          <w:bCs/>
          <w:lang w:val="es-ES"/>
        </w:rPr>
        <w:t>visitas a la Sede de la</w:t>
      </w:r>
      <w:r w:rsidR="00284412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UIT</w:t>
      </w:r>
      <w:r w:rsidRPr="00EB6D30">
        <w:rPr>
          <w:lang w:val="es-ES"/>
        </w:rPr>
        <w:t xml:space="preserve"> con varios Miembros de Sector, Asociados, Instituciones Académicas y potenciales del</w:t>
      </w:r>
      <w:r w:rsidR="00284412">
        <w:rPr>
          <w:lang w:val="es-ES"/>
        </w:rPr>
        <w:t> </w:t>
      </w:r>
      <w:r w:rsidRPr="00EB6D30">
        <w:rPr>
          <w:lang w:val="es-ES"/>
        </w:rPr>
        <w:t>UIT-D, a fin de presentar los beneficios y oportunidades de participación de los Miembros en 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84412">
        <w:rPr>
          <w:lang w:val="es-ES"/>
        </w:rPr>
        <w:noBreakHyphen/>
      </w:r>
      <w:r w:rsidRPr="00EB6D30">
        <w:rPr>
          <w:lang w:val="es-ES"/>
        </w:rPr>
        <w:t>D.</w:t>
      </w:r>
    </w:p>
    <w:p w14:paraId="69FDAE39" w14:textId="56540D7C" w:rsidR="00EB6D30" w:rsidRPr="00B5081E" w:rsidRDefault="00EB6D30" w:rsidP="00B5081E">
      <w:pPr>
        <w:pStyle w:val="Heading1"/>
      </w:pPr>
      <w:r w:rsidRPr="00B5081E">
        <w:t>4</w:t>
      </w:r>
      <w:r w:rsidRPr="00B5081E">
        <w:tab/>
        <w:t>Divulgación y participación en 2026</w:t>
      </w:r>
    </w:p>
    <w:p w14:paraId="4411A244" w14:textId="7D483A43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De acuerdo con los resultados de la</w:t>
      </w:r>
      <w:r w:rsidR="00284412">
        <w:rPr>
          <w:lang w:val="es-ES"/>
        </w:rPr>
        <w:t> </w:t>
      </w:r>
      <w:r w:rsidRPr="00EB6D30">
        <w:rPr>
          <w:lang w:val="es-ES"/>
        </w:rPr>
        <w:t>CMDT-25, la</w:t>
      </w:r>
      <w:r w:rsidR="00284412">
        <w:rPr>
          <w:lang w:val="es-ES"/>
        </w:rPr>
        <w:t> </w:t>
      </w:r>
      <w:r w:rsidRPr="00EB6D30">
        <w:rPr>
          <w:lang w:val="es-ES"/>
        </w:rPr>
        <w:t>BDT seguirá ampliando su comunidad de Miembros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84412">
        <w:rPr>
          <w:lang w:val="es-ES"/>
        </w:rPr>
        <w:noBreakHyphen/>
      </w:r>
      <w:r w:rsidRPr="00EB6D30">
        <w:rPr>
          <w:lang w:val="es-ES"/>
        </w:rPr>
        <w:t>D mediante actividades estratégicas de divulgación a posibles Miembros y socios en eventos externos de alcance mundial.</w:t>
      </w:r>
    </w:p>
    <w:p w14:paraId="738AE836" w14:textId="0047B4EF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La</w:t>
      </w:r>
      <w:r w:rsidR="00284412">
        <w:rPr>
          <w:lang w:val="es-ES"/>
        </w:rPr>
        <w:t> </w:t>
      </w:r>
      <w:r w:rsidRPr="00EB6D30">
        <w:rPr>
          <w:lang w:val="es-ES"/>
        </w:rPr>
        <w:t>BDT seguirá intensificando su colaboración con los Miembros del</w:t>
      </w:r>
      <w:r w:rsidR="00284412">
        <w:rPr>
          <w:lang w:val="es-ES"/>
        </w:rPr>
        <w:t> </w:t>
      </w:r>
      <w:r w:rsidRPr="00EB6D30">
        <w:rPr>
          <w:lang w:val="es-ES"/>
        </w:rPr>
        <w:t>UIT-D y prestando una atención constante a la conversión de Miembros del</w:t>
      </w:r>
      <w:r w:rsidR="00255ECA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 del sector privado en socios privilegiados; invitará además a los socios no miembros a adherirse a la comunidad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D.</w:t>
      </w:r>
    </w:p>
    <w:p w14:paraId="32FB53D5" w14:textId="2233FBA4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La próxima reunión del</w:t>
      </w:r>
      <w:r w:rsidR="00255ECA">
        <w:rPr>
          <w:lang w:val="es-ES"/>
        </w:rPr>
        <w:t> </w:t>
      </w:r>
      <w:r w:rsidRPr="00EB6D30">
        <w:rPr>
          <w:lang w:val="es-ES"/>
        </w:rPr>
        <w:t>IAGDI</w:t>
      </w:r>
      <w:r w:rsidR="00255ECA">
        <w:rPr>
          <w:lang w:val="es-ES"/>
        </w:rPr>
        <w:noBreakHyphen/>
      </w:r>
      <w:r w:rsidRPr="00EB6D30">
        <w:rPr>
          <w:lang w:val="es-ES"/>
        </w:rPr>
        <w:t xml:space="preserve">CRO se celebrará el </w:t>
      </w:r>
      <w:r w:rsidRPr="00EB6D30">
        <w:rPr>
          <w:b/>
          <w:bCs/>
          <w:lang w:val="es-ES"/>
        </w:rPr>
        <w:t>13 de mayo de</w:t>
      </w:r>
      <w:r w:rsidR="00255ECA">
        <w:rPr>
          <w:b/>
          <w:bCs/>
          <w:lang w:val="es-ES"/>
        </w:rPr>
        <w:t> </w:t>
      </w:r>
      <w:r w:rsidRPr="00EB6D30">
        <w:rPr>
          <w:b/>
          <w:bCs/>
          <w:lang w:val="es-ES"/>
        </w:rPr>
        <w:t>2026</w:t>
      </w:r>
      <w:r w:rsidRPr="00F722F3">
        <w:rPr>
          <w:lang w:val="es-ES"/>
        </w:rPr>
        <w:t>, e</w:t>
      </w:r>
      <w:r w:rsidRPr="00EB6D30">
        <w:rPr>
          <w:lang w:val="es-ES"/>
        </w:rPr>
        <w:t>n Ankara (Türkiye), durante el GSR-26. MPS/PPS seguirá reuniéndose con los Miembros de Sector del</w:t>
      </w:r>
      <w:r w:rsidR="00284412">
        <w:rPr>
          <w:lang w:val="es-ES"/>
        </w:rPr>
        <w:t> </w:t>
      </w:r>
      <w:r w:rsidRPr="00EB6D30">
        <w:rPr>
          <w:lang w:val="es-ES"/>
        </w:rPr>
        <w:t>UIT-D para alentar su participación en el</w:t>
      </w:r>
      <w:r w:rsidR="00255ECA">
        <w:rPr>
          <w:lang w:val="es-ES"/>
        </w:rPr>
        <w:t> </w:t>
      </w:r>
      <w:r w:rsidRPr="00EB6D30">
        <w:rPr>
          <w:lang w:val="es-ES"/>
        </w:rPr>
        <w:t>IAGDI</w:t>
      </w:r>
      <w:r w:rsidR="00255ECA">
        <w:rPr>
          <w:lang w:val="es-ES"/>
        </w:rPr>
        <w:noBreakHyphen/>
      </w:r>
      <w:r w:rsidRPr="00EB6D30">
        <w:rPr>
          <w:lang w:val="es-ES"/>
        </w:rPr>
        <w:t>CRO y su contribución al proceso de consulta de las Directrices sobre prácticas idóneas del</w:t>
      </w:r>
      <w:r w:rsidR="00284412">
        <w:rPr>
          <w:lang w:val="es-ES"/>
        </w:rPr>
        <w:t> </w:t>
      </w:r>
      <w:r w:rsidRPr="00EB6D30">
        <w:rPr>
          <w:lang w:val="es-ES"/>
        </w:rPr>
        <w:t>GSR-26.</w:t>
      </w:r>
    </w:p>
    <w:p w14:paraId="6ECBE1BA" w14:textId="4B7CA40A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En 2026</w:t>
      </w:r>
      <w:r w:rsidR="00255ECA">
        <w:rPr>
          <w:lang w:val="es-ES"/>
        </w:rPr>
        <w:t>,</w:t>
      </w:r>
      <w:r w:rsidRPr="00EB6D30">
        <w:rPr>
          <w:lang w:val="es-ES"/>
        </w:rPr>
        <w:t xml:space="preserve"> la</w:t>
      </w:r>
      <w:r w:rsidR="00284412">
        <w:rPr>
          <w:lang w:val="es-ES"/>
        </w:rPr>
        <w:t> </w:t>
      </w:r>
      <w:r w:rsidRPr="00EB6D30">
        <w:rPr>
          <w:lang w:val="es-ES"/>
        </w:rPr>
        <w:t>BDT celebrará una serie de sesiones consultivas con Miembros del</w:t>
      </w:r>
      <w:r w:rsidR="00284412">
        <w:rPr>
          <w:lang w:val="es-ES"/>
        </w:rPr>
        <w:t> </w:t>
      </w:r>
      <w:r w:rsidRPr="00EB6D30">
        <w:rPr>
          <w:lang w:val="es-ES"/>
        </w:rPr>
        <w:t>UIT-D (</w:t>
      </w:r>
      <w:r w:rsidRPr="00EB6D30">
        <w:rPr>
          <w:b/>
          <w:bCs/>
          <w:lang w:val="es-ES"/>
        </w:rPr>
        <w:t>serie Conozca a sus Miembros</w:t>
      </w:r>
      <w:r w:rsidRPr="00EB6D30">
        <w:rPr>
          <w:lang w:val="es-ES"/>
        </w:rPr>
        <w:t>), con el objetivo de aumentar la participación en los trabajos del Sector. La serie Conozca a sus Miembros se ha diseñado para ofrecer oportunidades personalizadas y particulares a los Miembros para dar a conocer libre y abiertamente al Director de la</w:t>
      </w:r>
      <w:r w:rsidR="00284412">
        <w:rPr>
          <w:lang w:val="es-ES"/>
        </w:rPr>
        <w:t> </w:t>
      </w:r>
      <w:r w:rsidRPr="00EB6D30">
        <w:rPr>
          <w:lang w:val="es-ES"/>
        </w:rPr>
        <w:t>BDT su opinión sobre su participación en los trabajos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 y formular las sugerencias que consideren pertinentes.</w:t>
      </w:r>
    </w:p>
    <w:p w14:paraId="1E9F8420" w14:textId="25320D1D" w:rsidR="00EB6D30" w:rsidRPr="00EB6D30" w:rsidRDefault="00EB6D30" w:rsidP="00EB6D30">
      <w:pPr>
        <w:pStyle w:val="Heading1"/>
      </w:pPr>
      <w:r>
        <w:t>5</w:t>
      </w:r>
      <w:r>
        <w:tab/>
      </w:r>
      <w:r w:rsidRPr="00EB6D30">
        <w:t>Coordinación interna y mejora de los procesos en 2025</w:t>
      </w:r>
    </w:p>
    <w:p w14:paraId="689C744C" w14:textId="56CC0B73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>La</w:t>
      </w:r>
      <w:r w:rsidR="00284412">
        <w:rPr>
          <w:lang w:val="es-ES"/>
        </w:rPr>
        <w:t> </w:t>
      </w:r>
      <w:r w:rsidRPr="00EB6D30">
        <w:rPr>
          <w:lang w:val="es-ES"/>
        </w:rPr>
        <w:t>BDT se coordina continuamente internamente con los demás Sectores, la Secretaría General (SPM) y las Oficinas Regionales para mejorar los procesos efectivos a fin de mejorar la experiencia de los Miembros mediante:</w:t>
      </w:r>
    </w:p>
    <w:p w14:paraId="55267C0C" w14:textId="1255280F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Intensificar los esfuerzos para mejorar la experiencia de incorporación de los nuevos Miembros, en particular en las labores de las Comisiones de Estudio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D, e implicar a los equipos de expertos para garantizar el compromiso con los productos y servicios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D.</w:t>
      </w:r>
    </w:p>
    <w:p w14:paraId="4071BC8A" w14:textId="40A91293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Renovación de los paquetes de membresía con una presentación más clara de los beneficios y procesos de solicitud simplificados para alentar a los potenciales interesados a convertirse en Miembros.</w:t>
      </w:r>
    </w:p>
    <w:p w14:paraId="665ACE5A" w14:textId="33AF0C1E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Organización de llamadas particulares a los Miembros cuya participación es menor y con las cuentas en riesgo para incentivar su participación en los trabajos del Sector.</w:t>
      </w:r>
    </w:p>
    <w:p w14:paraId="44AB32D4" w14:textId="5D70AA2C" w:rsidR="00EB6D30" w:rsidRPr="00EB6D30" w:rsidRDefault="00EB6D30" w:rsidP="00EB6D30">
      <w:pPr>
        <w:pStyle w:val="enumlev1"/>
        <w:rPr>
          <w:lang w:val="es-ES"/>
        </w:rPr>
      </w:pPr>
      <w:r w:rsidRPr="00EB6D30">
        <w:rPr>
          <w:lang w:val="es-ES"/>
        </w:rPr>
        <w:t>–</w:t>
      </w:r>
      <w:r>
        <w:rPr>
          <w:lang w:val="es-ES"/>
        </w:rPr>
        <w:tab/>
      </w:r>
      <w:r w:rsidRPr="00EB6D30">
        <w:rPr>
          <w:lang w:val="es-ES"/>
        </w:rPr>
        <w:t>Coordinación con los demás Sectores y la Secretaría General para aumentar la participación, retención y transmisión cruzada de los Miembros de Sector.</w:t>
      </w:r>
    </w:p>
    <w:p w14:paraId="76C9CA93" w14:textId="77777777" w:rsidR="00EB6D30" w:rsidRPr="00EB6D30" w:rsidRDefault="00EB6D30" w:rsidP="00284412">
      <w:pPr>
        <w:pStyle w:val="Headingb"/>
        <w:keepNext/>
        <w:keepLines/>
        <w:rPr>
          <w:lang w:val="es-ES"/>
        </w:rPr>
      </w:pPr>
      <w:r w:rsidRPr="00EB6D30">
        <w:rPr>
          <w:lang w:val="es-ES"/>
        </w:rPr>
        <w:lastRenderedPageBreak/>
        <w:t>Conclusiones</w:t>
      </w:r>
    </w:p>
    <w:p w14:paraId="366D6842" w14:textId="77777777" w:rsidR="00EB6D30" w:rsidRPr="00EB6D30" w:rsidRDefault="00EB6D30" w:rsidP="00284412">
      <w:pPr>
        <w:keepNext/>
        <w:keepLines/>
        <w:rPr>
          <w:lang w:val="es-ES"/>
        </w:rPr>
      </w:pPr>
      <w:r w:rsidRPr="00EB6D30">
        <w:rPr>
          <w:lang w:val="es-ES"/>
        </w:rPr>
        <w:t>La BDT se compromete a:</w:t>
      </w:r>
    </w:p>
    <w:p w14:paraId="1E457363" w14:textId="4CB4F3E0" w:rsidR="00EB6D30" w:rsidRPr="00EB6D30" w:rsidRDefault="00EB6D30" w:rsidP="00284412">
      <w:pPr>
        <w:pStyle w:val="enumlev1"/>
        <w:keepNext/>
        <w:keepLines/>
        <w:rPr>
          <w:lang w:val="es-ES"/>
        </w:rPr>
      </w:pPr>
      <w:r>
        <w:rPr>
          <w:lang w:val="es-ES"/>
        </w:rPr>
        <w:t>a)</w:t>
      </w:r>
      <w:r w:rsidRPr="00EB6D30">
        <w:rPr>
          <w:lang w:val="es-ES"/>
        </w:rPr>
        <w:tab/>
      </w:r>
      <w:r w:rsidR="008B27A2">
        <w:rPr>
          <w:lang w:val="es-ES"/>
        </w:rPr>
        <w:t>s</w:t>
      </w:r>
      <w:r w:rsidRPr="00EB6D30">
        <w:rPr>
          <w:lang w:val="es-ES"/>
        </w:rPr>
        <w:t>eguir amplificando la participación efectiva de los Miembros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84412">
        <w:rPr>
          <w:lang w:val="es-ES"/>
        </w:rPr>
        <w:noBreakHyphen/>
      </w:r>
      <w:r w:rsidRPr="00EB6D30">
        <w:rPr>
          <w:lang w:val="es-ES"/>
        </w:rPr>
        <w:t>D en la aplicación</w:t>
      </w:r>
      <w:r>
        <w:rPr>
          <w:lang w:val="es-ES"/>
        </w:rPr>
        <w:t xml:space="preserve"> </w:t>
      </w:r>
      <w:r w:rsidRPr="00EB6D30">
        <w:rPr>
          <w:lang w:val="es-ES"/>
        </w:rPr>
        <w:t>del Plan de Acción de Bakú a través de sesiones informativas, sesiones Conozca a sus Miembros y demostrando valor y forjando alianzas para desbloquear recursos destinados a proyectos e iniciativas de gran repercusión</w:t>
      </w:r>
      <w:r w:rsidR="008B27A2">
        <w:rPr>
          <w:lang w:val="es-ES"/>
        </w:rPr>
        <w:t>;</w:t>
      </w:r>
    </w:p>
    <w:p w14:paraId="69685469" w14:textId="7FA39EC0" w:rsidR="00EB6D30" w:rsidRPr="00EB6D30" w:rsidRDefault="00EB6D30" w:rsidP="00EB6D30">
      <w:pPr>
        <w:pStyle w:val="enumlev1"/>
        <w:rPr>
          <w:lang w:val="es-ES"/>
        </w:rPr>
      </w:pPr>
      <w:r>
        <w:rPr>
          <w:lang w:val="es-ES"/>
        </w:rPr>
        <w:t>b)</w:t>
      </w:r>
      <w:r>
        <w:rPr>
          <w:lang w:val="es-ES"/>
        </w:rPr>
        <w:tab/>
      </w:r>
      <w:r w:rsidR="008B27A2">
        <w:rPr>
          <w:lang w:val="es-ES"/>
        </w:rPr>
        <w:t>p</w:t>
      </w:r>
      <w:r w:rsidRPr="00EB6D30">
        <w:rPr>
          <w:lang w:val="es-ES"/>
        </w:rPr>
        <w:t>romover una mayor participación y compromiso de los Miembros no activos en los productos y servicios del</w:t>
      </w:r>
      <w:r w:rsidR="00255ECA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D, incluidos eventos y plataformas como las Comisiones de</w:t>
      </w:r>
      <w:r>
        <w:rPr>
          <w:lang w:val="es-ES"/>
        </w:rPr>
        <w:t xml:space="preserve"> </w:t>
      </w:r>
      <w:r w:rsidRPr="00EB6D30">
        <w:rPr>
          <w:lang w:val="es-ES"/>
        </w:rPr>
        <w:t>Estudio del</w:t>
      </w:r>
      <w:r w:rsidR="00284412">
        <w:rPr>
          <w:lang w:val="es-ES"/>
        </w:rPr>
        <w:t> </w:t>
      </w:r>
      <w:r w:rsidRPr="00EB6D30">
        <w:rPr>
          <w:lang w:val="es-ES"/>
        </w:rPr>
        <w:t>UIT-D, el Simposio Mundial para Organismos Reguladores (GSR), el</w:t>
      </w:r>
      <w:r w:rsidR="00255ECA">
        <w:rPr>
          <w:lang w:val="es-ES"/>
        </w:rPr>
        <w:t> </w:t>
      </w:r>
      <w:r w:rsidRPr="00EB6D30">
        <w:rPr>
          <w:lang w:val="es-ES"/>
        </w:rPr>
        <w:t>IAGDI</w:t>
      </w:r>
      <w:r w:rsidR="00255ECA">
        <w:rPr>
          <w:lang w:val="es-ES"/>
        </w:rPr>
        <w:noBreakHyphen/>
      </w:r>
      <w:r w:rsidRPr="00EB6D30">
        <w:rPr>
          <w:lang w:val="es-ES"/>
        </w:rPr>
        <w:t>CRO, la Academia de la</w:t>
      </w:r>
      <w:r w:rsidR="00284412">
        <w:rPr>
          <w:lang w:val="es-ES"/>
        </w:rPr>
        <w:t> </w:t>
      </w:r>
      <w:r w:rsidRPr="00EB6D30">
        <w:rPr>
          <w:lang w:val="es-ES"/>
        </w:rPr>
        <w:t>UIT y los Foros Regionales de Desarrollo (FRD)</w:t>
      </w:r>
      <w:r w:rsidR="008B27A2">
        <w:rPr>
          <w:lang w:val="es-ES"/>
        </w:rPr>
        <w:t>;</w:t>
      </w:r>
    </w:p>
    <w:p w14:paraId="627B29DE" w14:textId="0FADD8EE" w:rsidR="00EB6D30" w:rsidRPr="00EB6D30" w:rsidRDefault="00EB6D30" w:rsidP="00EB6D30">
      <w:pPr>
        <w:pStyle w:val="enumlev1"/>
        <w:rPr>
          <w:lang w:val="es-ES"/>
        </w:rPr>
      </w:pPr>
      <w:r>
        <w:rPr>
          <w:lang w:val="es-ES"/>
        </w:rPr>
        <w:t>c)</w:t>
      </w:r>
      <w:r>
        <w:rPr>
          <w:lang w:val="es-ES"/>
        </w:rPr>
        <w:tab/>
      </w:r>
      <w:r w:rsidR="008B27A2">
        <w:rPr>
          <w:lang w:val="es-ES"/>
        </w:rPr>
        <w:t>r</w:t>
      </w:r>
      <w:r w:rsidRPr="00EB6D30">
        <w:rPr>
          <w:lang w:val="es-ES"/>
        </w:rPr>
        <w:t>ecabar información y comentarios de los Miembros del</w:t>
      </w:r>
      <w:r w:rsidR="00284412">
        <w:rPr>
          <w:lang w:val="es-ES"/>
        </w:rPr>
        <w:t> </w:t>
      </w:r>
      <w:r w:rsidRPr="00EB6D30">
        <w:rPr>
          <w:lang w:val="es-ES"/>
        </w:rPr>
        <w:t>UIT-D sobre el perfeccionamiento de herramientas, procesos y otros servicios.</w:t>
      </w:r>
    </w:p>
    <w:p w14:paraId="2A020ECE" w14:textId="2EFB3EEE" w:rsidR="00EB6D30" w:rsidRPr="00B5081E" w:rsidRDefault="00EB6D30" w:rsidP="00B5081E">
      <w:pPr>
        <w:pStyle w:val="Heading1"/>
      </w:pPr>
      <w:r w:rsidRPr="00B5081E">
        <w:t>6</w:t>
      </w:r>
      <w:r w:rsidRPr="00B5081E">
        <w:tab/>
        <w:t>Petición de apoyo</w:t>
      </w:r>
    </w:p>
    <w:p w14:paraId="2BFEB08E" w14:textId="001655AC" w:rsidR="00EB6D30" w:rsidRPr="00EB6D30" w:rsidRDefault="00EB6D30" w:rsidP="00EB6D30">
      <w:pPr>
        <w:rPr>
          <w:lang w:val="es-ES"/>
        </w:rPr>
      </w:pPr>
      <w:r w:rsidRPr="00EB6D30">
        <w:rPr>
          <w:lang w:val="es-ES"/>
        </w:rPr>
        <w:t>Se invita a los Miembros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 a disfrutar de los beneficios que reporta sumarse a los trabajos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 y darlos a conocer, propiciando la participación y adhesión de entidades de los sectores público y privado, de la industria y de las universidades en los trabajos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D. Se les anima asimismo a completar la debida diligencia de las nuevas solicitudes con puntualidad a fin de que las entidades solicitantes sigan motivadas para completar el proceso de afiliación en pro de la transformación digital común a través de las diversas plataformas del</w:t>
      </w:r>
      <w:r w:rsidR="00284412">
        <w:rPr>
          <w:lang w:val="es-ES"/>
        </w:rPr>
        <w:t> </w:t>
      </w:r>
      <w:r w:rsidRPr="00EB6D30">
        <w:rPr>
          <w:lang w:val="es-ES"/>
        </w:rPr>
        <w:t>UIT</w:t>
      </w:r>
      <w:r w:rsidR="00255ECA">
        <w:rPr>
          <w:lang w:val="es-ES"/>
        </w:rPr>
        <w:noBreakHyphen/>
      </w:r>
      <w:r w:rsidRPr="00EB6D30">
        <w:rPr>
          <w:lang w:val="es-ES"/>
        </w:rPr>
        <w:t>D.</w:t>
      </w:r>
    </w:p>
    <w:p w14:paraId="7CC62BC6" w14:textId="77777777" w:rsidR="00EB6D30" w:rsidRPr="00EB6D30" w:rsidRDefault="00EB6D30" w:rsidP="00B06557">
      <w:pPr>
        <w:rPr>
          <w:lang w:val="es-ES"/>
        </w:rPr>
      </w:pPr>
    </w:p>
    <w:p w14:paraId="70790A5A" w14:textId="77777777" w:rsidR="00B06557" w:rsidRDefault="00B06557">
      <w:pPr>
        <w:jc w:val="center"/>
      </w:pPr>
      <w:r>
        <w:t>______________</w:t>
      </w:r>
    </w:p>
    <w:sectPr w:rsidR="00B06557" w:rsidSect="0081159E">
      <w:headerReference w:type="default" r:id="rId23"/>
      <w:footerReference w:type="first" r:id="rId24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7578" w14:textId="77777777" w:rsidR="00030D2A" w:rsidRDefault="00030D2A">
      <w:r>
        <w:separator/>
      </w:r>
    </w:p>
    <w:p w14:paraId="5846249B" w14:textId="77777777" w:rsidR="00030D2A" w:rsidRDefault="00030D2A"/>
  </w:endnote>
  <w:endnote w:type="continuationSeparator" w:id="0">
    <w:p w14:paraId="45C662BD" w14:textId="77777777" w:rsidR="00030D2A" w:rsidRDefault="00030D2A">
      <w:r>
        <w:continuationSeparator/>
      </w:r>
    </w:p>
    <w:p w14:paraId="66C6C539" w14:textId="77777777" w:rsidR="00030D2A" w:rsidRDefault="00030D2A"/>
  </w:endnote>
  <w:endnote w:type="continuationNotice" w:id="1">
    <w:p w14:paraId="0F45DF3C" w14:textId="77777777" w:rsidR="00030D2A" w:rsidRDefault="00030D2A">
      <w:pPr>
        <w:spacing w:before="0"/>
      </w:pPr>
    </w:p>
    <w:p w14:paraId="0691C8A8" w14:textId="77777777" w:rsidR="00030D2A" w:rsidRDefault="00030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venir Nxt2 W1G">
    <w:panose1 w:val="020B0503020202020204"/>
    <w:charset w:val="00"/>
    <w:family w:val="swiss"/>
    <w:notTrueType/>
    <w:pitch w:val="variable"/>
    <w:sig w:usb0="A00002EF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602CFD" w:rsidRPr="00F722F3" w14:paraId="0250776B" w14:textId="77777777" w:rsidTr="00357049">
      <w:tc>
        <w:tcPr>
          <w:tcW w:w="1526" w:type="dxa"/>
          <w:tcBorders>
            <w:top w:val="single" w:sz="4" w:space="0" w:color="000000"/>
          </w:tcBorders>
        </w:tcPr>
        <w:p w14:paraId="7B97426B" w14:textId="6F8D125A" w:rsidR="00602CFD" w:rsidRPr="00F42215" w:rsidRDefault="00602CFD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Contact</w:t>
          </w:r>
          <w:r w:rsidR="00357049" w:rsidRPr="00F42215">
            <w:rPr>
              <w:sz w:val="18"/>
              <w:szCs w:val="18"/>
              <w:lang w:val="es-ES"/>
            </w:rPr>
            <w:t>o</w:t>
          </w:r>
          <w:r w:rsidRPr="00F42215">
            <w:rPr>
              <w:sz w:val="18"/>
              <w:szCs w:val="18"/>
              <w:lang w:val="es-ES"/>
            </w:rPr>
            <w:t>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74DBEBFE" w14:textId="3F1BB88F" w:rsidR="00602CFD" w:rsidRPr="00F42215" w:rsidRDefault="00357049" w:rsidP="00602CFD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Nombre/Organización/Entidad:</w:t>
          </w:r>
        </w:p>
      </w:tc>
      <w:tc>
        <w:tcPr>
          <w:tcW w:w="5873" w:type="dxa"/>
          <w:tcBorders>
            <w:top w:val="single" w:sz="4" w:space="0" w:color="000000"/>
          </w:tcBorders>
        </w:tcPr>
        <w:p w14:paraId="33F9697C" w14:textId="17700BE7" w:rsidR="00602CFD" w:rsidRPr="00F42215" w:rsidRDefault="00EB6D30" w:rsidP="00EB6D30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EB6D30">
            <w:rPr>
              <w:sz w:val="18"/>
              <w:szCs w:val="18"/>
              <w:lang w:val="es-ES"/>
            </w:rPr>
            <w:t xml:space="preserve">Sr. Marco Obiso, Jefe, </w:t>
          </w:r>
          <w:r w:rsidRPr="00EB6D30">
            <w:rPr>
              <w:i/>
              <w:iCs/>
              <w:sz w:val="18"/>
              <w:szCs w:val="18"/>
              <w:lang w:val="es-ES"/>
            </w:rPr>
            <w:t>a.i.</w:t>
          </w:r>
          <w:r w:rsidRPr="00EB6D30">
            <w:rPr>
              <w:sz w:val="18"/>
              <w:szCs w:val="18"/>
              <w:lang w:val="es-ES"/>
            </w:rPr>
            <w:t>, Proyectos, Asociaciones y Competencias Digitales, Oficina de Desarrollo de las Telecomunicaciones</w:t>
          </w:r>
        </w:p>
      </w:tc>
      <w:bookmarkStart w:id="10" w:name="OrgName"/>
      <w:bookmarkEnd w:id="10"/>
    </w:tr>
    <w:tr w:rsidR="00602CFD" w:rsidRPr="004D495C" w14:paraId="5230281A" w14:textId="77777777" w:rsidTr="00357049">
      <w:tc>
        <w:tcPr>
          <w:tcW w:w="1526" w:type="dxa"/>
        </w:tcPr>
        <w:p w14:paraId="6401EE47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391F12A8" w14:textId="33C02653" w:rsidR="00602CFD" w:rsidRPr="00F42215" w:rsidRDefault="00357049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Teléfono:</w:t>
          </w:r>
        </w:p>
      </w:tc>
      <w:tc>
        <w:tcPr>
          <w:tcW w:w="5873" w:type="dxa"/>
        </w:tcPr>
        <w:p w14:paraId="781B80FB" w14:textId="4563E10C" w:rsidR="00602CFD" w:rsidRPr="00F42215" w:rsidRDefault="00EB6D30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EB6D30">
            <w:rPr>
              <w:sz w:val="18"/>
              <w:szCs w:val="18"/>
              <w:lang w:val="es-ES"/>
            </w:rPr>
            <w:t>+41 22 730 6760</w:t>
          </w:r>
        </w:p>
      </w:tc>
      <w:bookmarkStart w:id="11" w:name="PhoneNo"/>
      <w:bookmarkEnd w:id="11"/>
    </w:tr>
    <w:tr w:rsidR="00602CFD" w:rsidRPr="004D495C" w14:paraId="75C00FB1" w14:textId="77777777" w:rsidTr="00357049">
      <w:tc>
        <w:tcPr>
          <w:tcW w:w="1526" w:type="dxa"/>
        </w:tcPr>
        <w:p w14:paraId="1C7F3E4C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58859CB6" w14:textId="008C889C" w:rsidR="00602CFD" w:rsidRPr="00F42215" w:rsidRDefault="00357049" w:rsidP="00864A1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Correo-e:</w:t>
          </w:r>
        </w:p>
      </w:tc>
      <w:tc>
        <w:tcPr>
          <w:tcW w:w="5873" w:type="dxa"/>
        </w:tcPr>
        <w:p w14:paraId="18D9C750" w14:textId="3B415E40" w:rsidR="00602CFD" w:rsidRPr="00F42215" w:rsidRDefault="005F6853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hyperlink r:id="rId1" w:history="1">
            <w:r w:rsidR="00EB6D30" w:rsidRPr="006D3D39">
              <w:rPr>
                <w:rStyle w:val="Hyperlink"/>
                <w:sz w:val="18"/>
                <w:szCs w:val="18"/>
                <w:lang w:val="es-ES"/>
              </w:rPr>
              <w:t>marco.obiso@itu.int</w:t>
            </w:r>
          </w:hyperlink>
        </w:p>
      </w:tc>
      <w:bookmarkStart w:id="12" w:name="Email"/>
      <w:bookmarkEnd w:id="12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1D44" w14:textId="77777777" w:rsidR="00030D2A" w:rsidRPr="0054377E" w:rsidRDefault="00030D2A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650EE2A2" w14:textId="77777777" w:rsidR="00030D2A" w:rsidRDefault="00030D2A" w:rsidP="0054377E">
      <w:pPr>
        <w:spacing w:before="0"/>
      </w:pPr>
      <w:r>
        <w:continuationSeparator/>
      </w:r>
    </w:p>
    <w:p w14:paraId="07195A2A" w14:textId="77777777" w:rsidR="00030D2A" w:rsidRDefault="00030D2A"/>
  </w:footnote>
  <w:footnote w:type="continuationNotice" w:id="1">
    <w:p w14:paraId="338D08ED" w14:textId="77777777" w:rsidR="00030D2A" w:rsidRDefault="00030D2A">
      <w:pPr>
        <w:spacing w:before="0"/>
      </w:pPr>
    </w:p>
    <w:p w14:paraId="449C3E4B" w14:textId="77777777" w:rsidR="00030D2A" w:rsidRDefault="00030D2A"/>
  </w:footnote>
  <w:footnote w:id="2">
    <w:p w14:paraId="30E54707" w14:textId="4A248955" w:rsidR="00EB6D30" w:rsidRPr="00EB6D30" w:rsidRDefault="00EB6D30" w:rsidP="00EB6D30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lang w:val="es-ES"/>
        </w:rPr>
        <w:tab/>
      </w:r>
      <w:r w:rsidRPr="00EB6D30">
        <w:rPr>
          <w:lang w:val="es-ES"/>
        </w:rPr>
        <w:t>Hace referencia a la Resolución</w:t>
      </w:r>
      <w:r w:rsidR="008A0AE5">
        <w:rPr>
          <w:lang w:val="es-ES"/>
        </w:rPr>
        <w:t> </w:t>
      </w:r>
      <w:r w:rsidRPr="00EB6D30">
        <w:rPr>
          <w:lang w:val="es-ES"/>
        </w:rPr>
        <w:t>169 (Guadalajara, 2010) de la Conferencia de Plenipotenciarios, que autorizó la nueva categoría de Instituciones Académicas a participar en los trabajos de la</w:t>
      </w:r>
      <w:r w:rsidR="00C8595F">
        <w:rPr>
          <w:lang w:val="es-ES"/>
        </w:rPr>
        <w:t> </w:t>
      </w:r>
      <w:r w:rsidRPr="00EB6D30">
        <w:rPr>
          <w:lang w:val="es-ES"/>
        </w:rPr>
        <w:t>UIT.</w:t>
      </w:r>
    </w:p>
  </w:footnote>
  <w:footnote w:id="3">
    <w:p w14:paraId="6A033C3A" w14:textId="0D7EB057" w:rsidR="00D94C8B" w:rsidRPr="00EB6D30" w:rsidRDefault="00D94C8B" w:rsidP="00D94C8B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lang w:val="es-ES"/>
        </w:rPr>
        <w:tab/>
      </w:r>
      <w:r w:rsidRPr="00EB6D30">
        <w:rPr>
          <w:lang w:val="es-ES"/>
        </w:rPr>
        <w:t>Resolución</w:t>
      </w:r>
      <w:r>
        <w:rPr>
          <w:lang w:val="es-ES"/>
        </w:rPr>
        <w:t> </w:t>
      </w:r>
      <w:r w:rsidRPr="00EB6D30">
        <w:rPr>
          <w:lang w:val="es-ES"/>
        </w:rPr>
        <w:t>71 (Rev.</w:t>
      </w:r>
      <w:r>
        <w:rPr>
          <w:lang w:val="es-ES"/>
        </w:rPr>
        <w:t> </w:t>
      </w:r>
      <w:r w:rsidRPr="00EB6D30">
        <w:rPr>
          <w:lang w:val="es-ES"/>
        </w:rPr>
        <w:t>Kigali, 2022)</w:t>
      </w:r>
      <w:r w:rsidR="005D77A5">
        <w:rPr>
          <w:lang w:val="es-ES"/>
        </w:rPr>
        <w:t xml:space="preserve"> </w:t>
      </w:r>
      <w:r w:rsidR="005D77A5" w:rsidRPr="005D77A5">
        <w:rPr>
          <w:lang w:val="es-ES"/>
        </w:rPr>
        <w:t>de la</w:t>
      </w:r>
      <w:r w:rsidR="005D77A5">
        <w:rPr>
          <w:lang w:val="es-ES"/>
        </w:rPr>
        <w:t> </w:t>
      </w:r>
      <w:r w:rsidR="005D77A5" w:rsidRPr="005D77A5">
        <w:rPr>
          <w:lang w:val="es-ES"/>
        </w:rPr>
        <w:t>CMDT</w:t>
      </w:r>
      <w:r w:rsidRPr="00EB6D30">
        <w:rPr>
          <w:lang w:val="es-ES"/>
        </w:rPr>
        <w:t xml:space="preserve">, Fortalecimiento de la cooperación entre los Estados Miembros, </w:t>
      </w:r>
      <w:r w:rsidR="000470AC">
        <w:rPr>
          <w:lang w:val="es-ES"/>
        </w:rPr>
        <w:t xml:space="preserve">los </w:t>
      </w:r>
      <w:r w:rsidRPr="00EB6D30">
        <w:rPr>
          <w:lang w:val="es-ES"/>
        </w:rPr>
        <w:t xml:space="preserve">Miembros de Sector, </w:t>
      </w:r>
      <w:r w:rsidR="000470AC">
        <w:rPr>
          <w:lang w:val="es-ES"/>
        </w:rPr>
        <w:t xml:space="preserve">los </w:t>
      </w:r>
      <w:r w:rsidRPr="00EB6D30">
        <w:rPr>
          <w:lang w:val="es-ES"/>
        </w:rPr>
        <w:t xml:space="preserve">Asociados </w:t>
      </w:r>
      <w:r w:rsidR="000470AC">
        <w:rPr>
          <w:lang w:val="es-ES"/>
        </w:rPr>
        <w:t>y las</w:t>
      </w:r>
      <w:r w:rsidRPr="00EB6D30">
        <w:rPr>
          <w:lang w:val="es-ES"/>
        </w:rPr>
        <w:t xml:space="preserve"> Instituciones Académicas del Sector de Desarrollo de las Telecomunicaciones de la</w:t>
      </w:r>
      <w:r>
        <w:rPr>
          <w:lang w:val="es-ES"/>
        </w:rPr>
        <w:t> </w:t>
      </w:r>
      <w:r w:rsidRPr="00EB6D30">
        <w:rPr>
          <w:lang w:val="es-ES"/>
        </w:rPr>
        <w:t xml:space="preserve">UIT </w:t>
      </w:r>
      <w:r w:rsidR="000470AC" w:rsidRPr="000470AC">
        <w:rPr>
          <w:lang w:val="es-ES"/>
        </w:rPr>
        <w:t>y el carácter evolutivo de la función</w:t>
      </w:r>
      <w:r w:rsidR="000470AC">
        <w:rPr>
          <w:lang w:val="es-ES"/>
        </w:rPr>
        <w:t xml:space="preserve"> </w:t>
      </w:r>
      <w:r w:rsidRPr="00EB6D30">
        <w:rPr>
          <w:lang w:val="es-ES"/>
        </w:rPr>
        <w:t>del sector privado en el Sector de Desarrollo de las Telecomunicaciones de la</w:t>
      </w:r>
      <w:r>
        <w:rPr>
          <w:lang w:val="es-ES"/>
        </w:rPr>
        <w:t> </w:t>
      </w:r>
      <w:r w:rsidRPr="00EB6D30">
        <w:rPr>
          <w:lang w:val="es-ES"/>
        </w:rPr>
        <w:t>UIT</w:t>
      </w:r>
    </w:p>
  </w:footnote>
  <w:footnote w:id="4">
    <w:p w14:paraId="0F13B564" w14:textId="693016AA" w:rsidR="00EB6D30" w:rsidRPr="00EB6D30" w:rsidRDefault="00EB6D30" w:rsidP="00EB6D30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lang w:val="es-ES"/>
        </w:rPr>
        <w:tab/>
      </w:r>
      <w:r w:rsidRPr="00EB6D30">
        <w:rPr>
          <w:lang w:val="es-ES"/>
        </w:rPr>
        <w:t>Las Instituciones Académicas miembros participan en los trabajos de los tres Sectores de la</w:t>
      </w:r>
      <w:r w:rsidR="008D5515">
        <w:rPr>
          <w:lang w:val="es-ES"/>
        </w:rPr>
        <w:t> </w:t>
      </w:r>
      <w:r w:rsidRPr="00EB6D30">
        <w:rPr>
          <w:lang w:val="es-ES"/>
        </w:rPr>
        <w:t>UIT, incluidos sus Grupos Asesores. También participan en otras conferencias mundiales y regionales, talleres y actividades de la Unión, a excepción de las Conferencias de Plenipotenciarios, las Conferencias Mundiales de Radiocomunicaciones, las Conferencias Mundiales de Telecomunicaciones Internacionales y las reuniones del Consejo de la</w:t>
      </w:r>
      <w:r w:rsidR="00C43DB0">
        <w:rPr>
          <w:lang w:val="es-ES"/>
        </w:rPr>
        <w:t> </w:t>
      </w:r>
      <w:r w:rsidRPr="00EB6D30">
        <w:rPr>
          <w:lang w:val="es-ES"/>
        </w:rPr>
        <w:t>UIT, de conformidad con el reglamento interno de cada uno de los Sectores.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127A5408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EB6D30">
      <w:rPr>
        <w:sz w:val="22"/>
        <w:szCs w:val="22"/>
        <w:lang w:val="es-ES_tradnl"/>
      </w:rPr>
      <w:t>10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470AC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55ECA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4412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48CE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5B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D77A5"/>
    <w:rsid w:val="005E0641"/>
    <w:rsid w:val="005E0D2B"/>
    <w:rsid w:val="005E10C9"/>
    <w:rsid w:val="005E61DD"/>
    <w:rsid w:val="005E6321"/>
    <w:rsid w:val="005F5413"/>
    <w:rsid w:val="005F685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AE5"/>
    <w:rsid w:val="008A0BFE"/>
    <w:rsid w:val="008A2753"/>
    <w:rsid w:val="008A3933"/>
    <w:rsid w:val="008A7165"/>
    <w:rsid w:val="008B20A4"/>
    <w:rsid w:val="008B27A2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5515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77B7D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081E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1422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43DB0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595F"/>
    <w:rsid w:val="00C87447"/>
    <w:rsid w:val="00C90579"/>
    <w:rsid w:val="00C976EE"/>
    <w:rsid w:val="00C97C68"/>
    <w:rsid w:val="00CA18A2"/>
    <w:rsid w:val="00CA1A47"/>
    <w:rsid w:val="00CA36C5"/>
    <w:rsid w:val="00CA48CF"/>
    <w:rsid w:val="00CA7A49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3E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4C8B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B6D30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2F3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5081E"/>
    <w:pPr>
      <w:keepNext/>
      <w:keepLines/>
      <w:spacing w:before="280"/>
      <w:ind w:left="1134" w:hanging="1134"/>
      <w:outlineLvl w:val="0"/>
    </w:pPr>
    <w:rPr>
      <w:b/>
      <w:sz w:val="28"/>
      <w:lang w:val="es-ES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www.itu.int/md/D26-TDAG33-INF-0003/e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itu-d/sites/membership/wp-content/uploads/sites/50/2025/09/2025-Chairmans-Report-IAGDI_CRO-GSR-Rev_final_revised.pdf" TargetMode="External"/><Relationship Id="rId7" Type="http://schemas.openxmlformats.org/officeDocument/2006/relationships/webSettings" Target="webSettings.xml"/><Relationship Id="rId12" Type="http://schemas.microsoft.com/office/2014/relationships/chartEx" Target="charts/chartEx1.xm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4/relationships/chartEx" Target="charts/chartEx2.xml"/><Relationship Id="rId20" Type="http://schemas.openxmlformats.org/officeDocument/2006/relationships/hyperlink" Target="https://www.itu.int/itu-d/sites/membership/wp-content/uploads/sites/50/2025/09/IAGDICRO-2025-Final-outcome-statement_1-Sept-2025final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itu.int/hub/membership/our-members/exempted-entities/exemption-criteria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yperlink" Target="https://www.itu.int/itu-d/sites/membership/wp-content/uploads/sites/50/2025/06/IAGDI-CRO-2025-06-Chairman-Report-1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itu.int/md/D26-TDAG33-INF-0002/es" TargetMode="External"/><Relationship Id="rId22" Type="http://schemas.openxmlformats.org/officeDocument/2006/relationships/hyperlink" Target="https://www.itu.int/en/ITU-D/MembersPartners/Pages/tech-talks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.obiso@itu.in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Microsoft_Excel_Worksheet1.xlsx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Microsoft_Excel_Worksheet2.xlsx"/><Relationship Id="rId4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050" b="1">
                <a:solidFill>
                  <a:sysClr val="windowText" lastClr="000000"/>
                </a:solidFill>
              </a:rPr>
              <a:t>Gráfico 1 </a:t>
            </a:r>
            <a:r>
              <a:rPr lang="es-ES" sz="1050" b="0" i="0" u="none" strike="noStrike" baseline="0">
                <a:effectLst/>
              </a:rPr>
              <a:t>–</a:t>
            </a:r>
            <a:r>
              <a:rPr lang="en-GB" sz="1050" b="1">
                <a:solidFill>
                  <a:sysClr val="windowText" lastClr="000000"/>
                </a:solidFill>
              </a:rPr>
              <a:t> Evolución de los Miembros del UIT-D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1761325323566373E-2"/>
          <c:y val="9.0135287143161158E-2"/>
          <c:w val="0.65543641294390753"/>
          <c:h val="0.77166377879645265"/>
        </c:manualLayout>
      </c:layout>
      <c:barChart>
        <c:barDir val="col"/>
        <c:grouping val="stacked"/>
        <c:varyColors val="0"/>
        <c:ser>
          <c:idx val="3"/>
          <c:order val="0"/>
          <c:tx>
            <c:strRef>
              <c:f>Sheet1!$D$1</c:f>
              <c:strCache>
                <c:ptCount val="1"/>
                <c:pt idx="0">
                  <c:v>Instituciones Académicas afiliadas</c:v>
                </c:pt>
              </c:strCache>
            </c:strRef>
          </c:tx>
          <c:spPr>
            <a:solidFill>
              <a:srgbClr val="F5BB64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594-49A4-8C26-8F8C9B96423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94-49A4-8C26-8F8C9B964235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594-49A4-8C26-8F8C9B9642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</c:v>
                </c:pt>
                <c:pt idx="4">
                  <c:v>2024</c:v>
                </c:pt>
                <c:pt idx="8">
                  <c:v>2025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0</c:v>
                </c:pt>
                <c:pt idx="1">
                  <c:v>169</c:v>
                </c:pt>
                <c:pt idx="4">
                  <c:v>0</c:v>
                </c:pt>
                <c:pt idx="5">
                  <c:v>171</c:v>
                </c:pt>
                <c:pt idx="8">
                  <c:v>0</c:v>
                </c:pt>
                <c:pt idx="9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94-49A4-8C26-8F8C9B964235}"/>
            </c:ext>
          </c:extLst>
        </c:ser>
        <c:ser>
          <c:idx val="0"/>
          <c:order val="1"/>
          <c:tx>
            <c:strRef>
              <c:f>Sheet1!$B$1</c:f>
              <c:strCache>
                <c:ptCount val="1"/>
                <c:pt idx="0">
                  <c:v>Miembros de Sector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009CD6">
                  <a:alpha val="33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594-49A4-8C26-8F8C9B96423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594-49A4-8C26-8F8C9B96423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329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4594-49A4-8C26-8F8C9B96423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935ABB7B-69C2-455A-85DF-7EE21808C807}" type="VALUE">
                      <a:rPr lang="en-US">
                        <a:solidFill>
                          <a:schemeClr val="bg1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4594-49A4-8C26-8F8C9B9642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</c:v>
                </c:pt>
                <c:pt idx="4">
                  <c:v>2024</c:v>
                </c:pt>
                <c:pt idx="8">
                  <c:v>2025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310</c:v>
                </c:pt>
                <c:pt idx="4">
                  <c:v>329</c:v>
                </c:pt>
                <c:pt idx="8">
                  <c:v>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594-49A4-8C26-8F8C9B964235}"/>
            </c:ext>
          </c:extLst>
        </c:ser>
        <c:ser>
          <c:idx val="1"/>
          <c:order val="2"/>
          <c:tx>
            <c:strRef>
              <c:f>Sheet1!$C$1</c:f>
              <c:strCache>
                <c:ptCount val="1"/>
                <c:pt idx="0">
                  <c:v>Asociados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2">
                  <a:alpha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4594-49A4-8C26-8F8C9B9642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</c:v>
                </c:pt>
                <c:pt idx="4">
                  <c:v>2024</c:v>
                </c:pt>
                <c:pt idx="8">
                  <c:v>2025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19</c:v>
                </c:pt>
                <c:pt idx="4">
                  <c:v>20</c:v>
                </c:pt>
                <c:pt idx="8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594-49A4-8C26-8F8C9B9642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"/>
        <c:overlap val="100"/>
        <c:axId val="2127026784"/>
        <c:axId val="692711344"/>
      </c:barChart>
      <c:lineChart>
        <c:grouping val="standard"/>
        <c:varyColors val="0"/>
        <c:ser>
          <c:idx val="2"/>
          <c:order val="3"/>
          <c:tx>
            <c:strRef>
              <c:f>Sheet1!$E$1</c:f>
              <c:strCache>
                <c:ptCount val="1"/>
                <c:pt idx="0">
                  <c:v>Sum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</c:v>
                </c:pt>
                <c:pt idx="4">
                  <c:v>2024</c:v>
                </c:pt>
                <c:pt idx="8">
                  <c:v>2025</c:v>
                </c:pt>
              </c:strCache>
            </c:strRef>
          </c:cat>
          <c:val>
            <c:numRef>
              <c:f>Sheet1!$E$2:$E$11</c:f>
              <c:numCache>
                <c:formatCode>General</c:formatCode>
                <c:ptCount val="10"/>
                <c:pt idx="0">
                  <c:v>329</c:v>
                </c:pt>
                <c:pt idx="4">
                  <c:v>349</c:v>
                </c:pt>
                <c:pt idx="8">
                  <c:v>369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4594-49A4-8C26-8F8C9B9642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7026784"/>
        <c:axId val="692711344"/>
      </c:lineChart>
      <c:catAx>
        <c:axId val="212702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6F6F6E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711344"/>
        <c:crosses val="autoZero"/>
        <c:auto val="1"/>
        <c:lblAlgn val="ctr"/>
        <c:lblOffset val="100"/>
        <c:noMultiLvlLbl val="0"/>
      </c:catAx>
      <c:valAx>
        <c:axId val="692711344"/>
        <c:scaling>
          <c:orientation val="minMax"/>
          <c:max val="450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6F6F6E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702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6764801596062171"/>
          <c:y val="0.38506731434690067"/>
          <c:w val="0.2302751408410397"/>
          <c:h val="0.279865240725506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+mn-lt"/>
        </a:defRPr>
      </a:pPr>
      <a:endParaRPr lang="en-US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Sheet1!$A$2:$A$11</cx:f>
        <cx:lvl ptCount="10">
          <cx:pt idx="0">2022</cx:pt>
          <cx:pt idx="1">g 2023</cx:pt>
          <cx:pt idx="2">l 2023</cx:pt>
          <cx:pt idx="3">2023</cx:pt>
          <cx:pt idx="4">G 2024</cx:pt>
          <cx:pt idx="5">L 2024</cx:pt>
          <cx:pt idx="6">2024</cx:pt>
          <cx:pt idx="7">G 2025</cx:pt>
          <cx:pt idx="8">L 2025</cx:pt>
          <cx:pt idx="9">2025</cx:pt>
        </cx:lvl>
      </cx:strDim>
      <cx:numDim type="val">
        <cx:f>Sheet1!$B$2:$B$11</cx:f>
        <cx:lvl ptCount="10" formatCode="General">
          <cx:pt idx="0">316</cx:pt>
          <cx:pt idx="1">27</cx:pt>
          <cx:pt idx="2">-14</cx:pt>
          <cx:pt idx="3">329</cx:pt>
          <cx:pt idx="4">28</cx:pt>
          <cx:pt idx="5">-8</cx:pt>
          <cx:pt idx="6">349</cx:pt>
          <cx:pt idx="7">33</cx:pt>
          <cx:pt idx="8">-13</cx:pt>
          <cx:pt idx="9">369</cx:pt>
        </cx:lvl>
      </cx:numDim>
    </cx:data>
  </cx:chartData>
  <cx:chart>
    <cx:title pos="t" align="ctr" overlay="0">
      <cx:tx>
        <cx:rich>
          <a:bodyPr spcFirstLastPara="1" vertOverflow="ellipsis" horzOverflow="overflow" wrap="square" lIns="0" tIns="0" rIns="0" bIns="0" anchor="ctr" anchorCtr="1"/>
          <a:lstStyle/>
          <a:p>
            <a:pPr algn="ctr" rtl="0">
              <a:defRPr>
                <a:latin typeface="+mn-lt"/>
              </a:defRPr>
            </a:pPr>
            <a:r>
              <a:rPr lang="en-US" sz="1050" b="1" i="0" u="none" strike="noStrike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</a:rPr>
              <a:t>Gráfico 2 </a:t>
            </a:r>
            <a:r>
              <a:rPr lang="es-ES" sz="1050" b="0" i="0" u="none" strike="noStrike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Calibri"/>
                <a:ea typeface="Calibri" panose="020F0502020204030204" pitchFamily="34" charset="0"/>
                <a:cs typeface="Calibri" panose="020F0502020204030204" pitchFamily="34" charset="0"/>
              </a:rPr>
              <a:t>–</a:t>
            </a:r>
            <a:r>
              <a:rPr lang="en-US" sz="1050" b="1" i="0" u="none" strike="noStrike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</a:rPr>
              <a:t> Evolución de los Miembros de Sector y los Asociados del UIT-D desde finales de 2022                                       </a:t>
            </a:r>
          </a:p>
        </cx:rich>
      </cx:tx>
    </cx:title>
    <cx:plotArea>
      <cx:plotAreaRegion>
        <cx:series layoutId="waterfall" uniqueId="{0E71AF3E-53DA-4F16-BDB1-BD4189E24036}">
          <cx:tx>
            <cx:txData>
              <cx:f>Sheet1!$B$1</cx:f>
              <cx:v>Series1</cx:v>
            </cx:txData>
          </cx:tx>
          <cx:dataPt idx="0">
            <cx:spPr>
              <a:solidFill>
                <a:srgbClr val="00B0F0"/>
              </a:solidFill>
            </cx:spPr>
          </cx:dataPt>
          <cx:dataPt idx="1">
            <cx:spPr>
              <a:solidFill>
                <a:srgbClr val="70AD47"/>
              </a:solidFill>
            </cx:spPr>
          </cx:dataPt>
          <cx:dataPt idx="2">
            <cx:spPr>
              <a:solidFill>
                <a:srgbClr val="FF0000"/>
              </a:solidFill>
            </cx:spPr>
          </cx:dataPt>
          <cx:dataPt idx="3">
            <cx:spPr>
              <a:solidFill>
                <a:srgbClr val="00B0F0"/>
              </a:solidFill>
            </cx:spPr>
          </cx:dataPt>
          <cx:dataPt idx="4">
            <cx:spPr>
              <a:solidFill>
                <a:srgbClr val="70AD47"/>
              </a:solidFill>
            </cx:spPr>
          </cx:dataPt>
          <cx:dataPt idx="5">
            <cx:spPr>
              <a:solidFill>
                <a:srgbClr val="FF0000"/>
              </a:solidFill>
            </cx:spPr>
          </cx:dataPt>
          <cx:dataPt idx="6">
            <cx:spPr>
              <a:solidFill>
                <a:srgbClr val="00B0F0"/>
              </a:solidFill>
            </cx:spPr>
          </cx:dataPt>
          <cx:dataPt idx="7">
            <cx:spPr>
              <a:solidFill>
                <a:srgbClr val="70AD47"/>
              </a:solidFill>
            </cx:spPr>
          </cx:dataPt>
          <cx:dataPt idx="8">
            <cx:spPr>
              <a:solidFill>
                <a:srgbClr val="FF0000"/>
              </a:solidFill>
            </cx:spPr>
          </cx:dataPt>
          <cx:dataPt idx="9">
            <cx:spPr>
              <a:solidFill>
                <a:srgbClr val="00B0F0"/>
              </a:solidFill>
            </cx:spPr>
          </cx:dataPt>
          <cx:dataLabels pos="outEnd">
            <cx:txPr>
              <a:bodyPr vertOverflow="overflow" horzOverflow="overflow" wrap="square" lIns="0" tIns="0" rIns="0" bIns="0"/>
              <a:lstStyle/>
              <a:p>
                <a:pPr algn="ctr" rtl="0">
                  <a:defRPr sz="900" b="0" i="0">
                    <a:solidFill>
                      <a:srgbClr val="595959"/>
                    </a:solidFill>
                    <a:latin typeface="+mn-lt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GB">
                  <a:latin typeface="+mn-lt"/>
                </a:endParaRPr>
              </a:p>
            </cx:txPr>
            <cx:visibility seriesName="0" categoryName="0" value="1"/>
            <cx:separator>, </cx:separator>
          </cx:dataLabels>
          <cx:dataId val="0"/>
          <cx:layoutPr>
            <cx:subtotals>
              <cx:idx val="3"/>
              <cx:idx val="6"/>
              <cx:idx val="9"/>
            </cx:subtotals>
          </cx:layoutPr>
        </cx:series>
      </cx:plotAreaRegion>
      <cx:axis id="0" hidden="1">
        <cx:catScaling gapWidth="0.5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rgbClr val="595959"/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latin typeface="+mn-lt"/>
            </a:endParaRPr>
          </a:p>
        </cx:txPr>
      </cx:axis>
      <cx:axis id="1">
        <cx:valScaling max="390" min="300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rgbClr val="595959"/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latin typeface="+mn-lt"/>
            </a:endParaRPr>
          </a:p>
        </cx:txPr>
      </cx:axis>
    </cx:plotArea>
  </cx:chart>
  <cx:spPr>
    <a:ln>
      <a:noFill/>
    </a:ln>
  </cx:spPr>
  <cx:fmtOvrs>
    <cx:fmtOvr idx="0">
      <cx:spPr>
        <a:solidFill>
          <a:srgbClr val="00B050"/>
        </a:solidFill>
      </cx:spPr>
    </cx:fmtOvr>
    <cx:fmtOvr idx="1">
      <cx:spPr>
        <a:solidFill>
          <a:srgbClr val="FA3000"/>
        </a:solidFill>
      </cx:spPr>
    </cx:fmtOvr>
    <cx:fmtOvr idx="2">
      <cx:spPr>
        <a:solidFill>
          <a:srgbClr val="00B0F0"/>
        </a:solidFill>
      </cx:spPr>
    </cx:fmtOvr>
  </cx:fmtOvrs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Sheet1!$A$2:$A$11</cx:f>
        <cx:lvl ptCount="10">
          <cx:pt idx="0">members 2022</cx:pt>
          <cx:pt idx="1">new members 2023</cx:pt>
          <cx:pt idx="2">lost members 2023</cx:pt>
          <cx:pt idx="3">members 2023</cx:pt>
          <cx:pt idx="4">new members 2024</cx:pt>
          <cx:pt idx="5">lost members 2024</cx:pt>
          <cx:pt idx="6">members 2024</cx:pt>
          <cx:pt idx="7">new members 2025</cx:pt>
          <cx:pt idx="8">lost members 2025</cx:pt>
          <cx:pt idx="9">members 2025</cx:pt>
        </cx:lvl>
      </cx:strDim>
      <cx:numDim type="val">
        <cx:f>Sheet1!$B$2:$B$11</cx:f>
        <cx:lvl ptCount="10" formatCode="Standard">
          <cx:pt idx="0">168</cx:pt>
          <cx:pt idx="1">16</cx:pt>
          <cx:pt idx="2">-15</cx:pt>
          <cx:pt idx="3">169</cx:pt>
          <cx:pt idx="4">15</cx:pt>
          <cx:pt idx="5">-13</cx:pt>
          <cx:pt idx="6">171</cx:pt>
          <cx:pt idx="7">22</cx:pt>
          <cx:pt idx="8">-12</cx:pt>
          <cx:pt idx="9">181</cx:pt>
        </cx:lvl>
      </cx:numDim>
    </cx:data>
  </cx:chartData>
  <cx:chart>
    <cx:title pos="t" align="ctr" overlay="0">
      <cx:tx>
        <cx:rich>
          <a:bodyPr spcFirstLastPara="1" vertOverflow="ellipsis" horzOverflow="overflow" wrap="square" lIns="0" tIns="0" rIns="0" bIns="0" anchor="ctr" anchorCtr="1"/>
          <a:lstStyle/>
          <a:p>
            <a:pPr algn="ctr" rtl="0">
              <a:defRPr sz="1200" b="1">
                <a:latin typeface="+mn-lt"/>
                <a:ea typeface="Avenir Nxt2 W1G" panose="020B0503020202020204" pitchFamily="34" charset="0"/>
                <a:cs typeface="Avenir Nxt2 W1G" panose="020B0503020202020204" pitchFamily="34" charset="0"/>
              </a:defRPr>
            </a:pPr>
            <a:r>
              <a:rPr lang="en-US" sz="1050" b="1" i="0" u="none" strike="noStrike" baseline="0">
                <a:solidFill>
                  <a:sysClr val="windowText" lastClr="000000"/>
                </a:solidFill>
                <a:latin typeface="+mn-lt"/>
              </a:rPr>
              <a:t>Gráfico 3 </a:t>
            </a:r>
            <a:r>
              <a:rPr lang="es-ES" sz="1050" b="0" i="0" u="none" strike="noStrike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Calibri"/>
                <a:ea typeface="Calibri" panose="020F0502020204030204" pitchFamily="34" charset="0"/>
                <a:cs typeface="Calibri" panose="020F0502020204030204" pitchFamily="34" charset="0"/>
              </a:rPr>
              <a:t>–</a:t>
            </a:r>
            <a:r>
              <a:rPr lang="en-US" sz="1050" b="1" i="0" u="none" strike="noStrike" baseline="0">
                <a:solidFill>
                  <a:sysClr val="windowText" lastClr="000000"/>
                </a:solidFill>
                <a:latin typeface="+mn-lt"/>
              </a:rPr>
              <a:t> Evolución de las Instituciones Académicas de la UIT desde 2023 </a:t>
            </a:r>
          </a:p>
        </cx:rich>
      </cx:tx>
    </cx:title>
    <cx:plotArea>
      <cx:plotAreaRegion>
        <cx:series layoutId="waterfall" uniqueId="{1D96F30B-B542-4D28-9FB4-5199155E5879}">
          <cx:tx>
            <cx:txData>
              <cx:f>Sheet1!$B$1</cx:f>
              <cx:v>Series1</cx:v>
            </cx:txData>
          </cx:tx>
          <cx:dataPt idx="0">
            <cx:spPr>
              <a:solidFill>
                <a:srgbClr val="00B0F0"/>
              </a:solidFill>
            </cx:spPr>
          </cx:dataPt>
          <cx:dataPt idx="1">
            <cx:spPr>
              <a:solidFill>
                <a:srgbClr val="92D050"/>
              </a:solidFill>
            </cx:spPr>
          </cx:dataPt>
          <cx:dataPt idx="2">
            <cx:spPr>
              <a:solidFill>
                <a:srgbClr val="FA3000"/>
              </a:solidFill>
            </cx:spPr>
          </cx:dataPt>
          <cx:dataPt idx="3">
            <cx:spPr>
              <a:solidFill>
                <a:srgbClr val="00B0F0"/>
              </a:solidFill>
            </cx:spPr>
          </cx:dataPt>
          <cx:dataPt idx="4">
            <cx:spPr>
              <a:solidFill>
                <a:srgbClr val="92D050"/>
              </a:solidFill>
            </cx:spPr>
          </cx:dataPt>
          <cx:dataPt idx="5">
            <cx:spPr>
              <a:solidFill>
                <a:srgbClr val="FA3000"/>
              </a:solidFill>
            </cx:spPr>
          </cx:dataPt>
          <cx:dataPt idx="6">
            <cx:spPr>
              <a:solidFill>
                <a:srgbClr val="00B0F0"/>
              </a:solidFill>
            </cx:spPr>
          </cx:dataPt>
          <cx:dataPt idx="7">
            <cx:spPr>
              <a:solidFill>
                <a:srgbClr val="92D050"/>
              </a:solidFill>
            </cx:spPr>
          </cx:dataPt>
          <cx:dataPt idx="8">
            <cx:spPr>
              <a:solidFill>
                <a:srgbClr val="FA3000"/>
              </a:solidFill>
            </cx:spPr>
          </cx:dataPt>
          <cx:dataPt idx="9">
            <cx:spPr>
              <a:solidFill>
                <a:srgbClr val="00B0F0"/>
              </a:solidFill>
            </cx:spPr>
          </cx:dataPt>
          <cx:dataLabels>
            <cx:txPr>
              <a:bodyPr vertOverflow="overflow" horzOverflow="overflow" wrap="square" lIns="0" tIns="0" rIns="0" bIns="0"/>
              <a:lstStyle/>
              <a:p>
                <a:pPr algn="ctr" rtl="0">
                  <a:defRPr sz="900" b="0" i="0">
                    <a:solidFill>
                      <a:srgbClr val="595959"/>
                    </a:solidFill>
                    <a:latin typeface="+mn-lt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GB">
                  <a:latin typeface="+mn-lt"/>
                </a:endParaRPr>
              </a:p>
            </cx:txPr>
          </cx:dataLabels>
          <cx:dataId val="0"/>
          <cx:layoutPr>
            <cx:subtotals>
              <cx:idx val="3"/>
              <cx:idx val="6"/>
              <cx:idx val="9"/>
            </cx:subtotals>
          </cx:layoutPr>
        </cx:series>
      </cx:plotAreaRegion>
      <cx:axis id="0" hidden="1">
        <cx:catScaling gapWidth="0.5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rgbClr val="595959"/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latin typeface="+mn-lt"/>
            </a:endParaRPr>
          </a:p>
        </cx:txPr>
      </cx:axis>
      <cx:axis id="1">
        <cx:valScaling max="200" min="150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rgbClr val="595959"/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latin typeface="+mn-lt"/>
            </a:endParaRPr>
          </a:p>
        </cx:txPr>
      </cx:axis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  <cx:fmtOvrs>
    <cx:fmtOvr idx="2">
      <cx:spPr>
        <a:solidFill>
          <a:srgbClr val="FFC000"/>
        </a:solidFill>
      </cx:spPr>
    </cx:fmtOvr>
    <cx:fmtOvr idx="0">
      <cx:spPr>
        <a:solidFill>
          <a:srgbClr val="FFE9A9"/>
        </a:solidFill>
      </cx:spPr>
    </cx:fmtOvr>
    <cx:fmtOvr idx="1">
      <cx:spPr>
        <a:solidFill>
          <a:srgbClr val="C37205"/>
        </a:solidFill>
      </cx:spPr>
    </cx:fmtOvr>
  </cx:fmtOvrs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9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9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ITU Template">
    <a:dk1>
      <a:sysClr val="windowText" lastClr="000000"/>
    </a:dk1>
    <a:lt1>
      <a:sysClr val="window" lastClr="FFFFFF"/>
    </a:lt1>
    <a:dk2>
      <a:srgbClr val="3A3838"/>
    </a:dk2>
    <a:lt2>
      <a:srgbClr val="F5FAFC"/>
    </a:lt2>
    <a:accent1>
      <a:srgbClr val="009CD6"/>
    </a:accent1>
    <a:accent2>
      <a:srgbClr val="757070"/>
    </a:accent2>
    <a:accent3>
      <a:srgbClr val="A5A5A5"/>
    </a:accent3>
    <a:accent4>
      <a:srgbClr val="595959"/>
    </a:accent4>
    <a:accent5>
      <a:srgbClr val="0083B3"/>
    </a:accent5>
    <a:accent6>
      <a:srgbClr val="E5F5FB"/>
    </a:accent6>
    <a:hlink>
      <a:srgbClr val="0083B3"/>
    </a:hlink>
    <a:folHlink>
      <a:srgbClr val="757070"/>
    </a:folHlink>
  </a:clrScheme>
  <a:fontScheme name="ITU Powerpoint Tempolate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ITU (Thomas Frost)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009CD5"/>
    </a:accent1>
    <a:accent2>
      <a:srgbClr val="6F6F6E"/>
    </a:accent2>
    <a:accent3>
      <a:srgbClr val="E5F5FB"/>
    </a:accent3>
    <a:accent4>
      <a:srgbClr val="F5FAFC"/>
    </a:accent4>
    <a:accent5>
      <a:srgbClr val="5B9BD5"/>
    </a:accent5>
    <a:accent6>
      <a:srgbClr val="0083B3"/>
    </a:accent6>
    <a:hlink>
      <a:srgbClr val="0083B3"/>
    </a:hlink>
    <a:folHlink>
      <a:srgbClr val="0083B3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C67D6-CEFE-4AFE-8EC3-4585BFEF5BAE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29399490-13b9-4c73-b71e-403b715b75a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d4ea696a-cca3-460b-a983-57ac2621983a"/>
  </ds:schemaRefs>
</ds:datastoreItem>
</file>

<file path=customXml/itemProps2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2157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14529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Spanish83</cp:lastModifiedBy>
  <cp:revision>10</cp:revision>
  <cp:lastPrinted>2019-01-16T07:57:00Z</cp:lastPrinted>
  <dcterms:created xsi:type="dcterms:W3CDTF">2026-03-17T15:01:00Z</dcterms:created>
  <dcterms:modified xsi:type="dcterms:W3CDTF">2026-03-18T09:37:00Z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