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Ex2.xml" ContentType="application/vnd.ms-office.chartex+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1F1E8C03" w:rsidR="00D87035" w:rsidRPr="00403C69" w:rsidRDefault="00D87035" w:rsidP="00403C69">
            <w:pPr>
              <w:tabs>
                <w:tab w:val="left" w:pos="851"/>
              </w:tabs>
              <w:spacing w:before="0" w:line="240" w:lineRule="atLeast"/>
              <w:rPr>
                <w:rFonts w:cstheme="minorHAnsi"/>
                <w:szCs w:val="24"/>
              </w:rPr>
            </w:pPr>
            <w:r w:rsidRPr="00403C69">
              <w:rPr>
                <w:b/>
                <w:bCs/>
                <w:lang w:val="en-US"/>
              </w:rPr>
              <w:t xml:space="preserve">Document </w:t>
            </w:r>
            <w:bookmarkStart w:id="4" w:name="DocRef1"/>
            <w:bookmarkEnd w:id="4"/>
            <w:r w:rsidRPr="00403C69">
              <w:rPr>
                <w:b/>
                <w:bCs/>
                <w:lang w:val="en-US"/>
              </w:rPr>
              <w:t>TDAG-</w:t>
            </w:r>
            <w:r w:rsidR="00523934" w:rsidRPr="00403C69">
              <w:rPr>
                <w:b/>
                <w:bCs/>
                <w:lang w:val="en-US"/>
              </w:rPr>
              <w:t>2</w:t>
            </w:r>
            <w:r w:rsidR="00EF4D25">
              <w:rPr>
                <w:b/>
                <w:bCs/>
                <w:lang w:val="en-US"/>
              </w:rPr>
              <w:t>6</w:t>
            </w:r>
            <w:r w:rsidRPr="00403C69">
              <w:rPr>
                <w:b/>
                <w:bCs/>
                <w:lang w:val="en-US"/>
              </w:rPr>
              <w:t>/</w:t>
            </w:r>
            <w:bookmarkStart w:id="5" w:name="DocNo1"/>
            <w:bookmarkEnd w:id="5"/>
            <w:r w:rsidR="00E9161D">
              <w:rPr>
                <w:b/>
                <w:bCs/>
                <w:lang w:val="en-US"/>
              </w:rPr>
              <w:t>10</w:t>
            </w:r>
            <w:r w:rsidRPr="00403C69">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6C90C47B" w:rsidR="00D87035" w:rsidRPr="00403C69" w:rsidRDefault="00E838B7" w:rsidP="00403C69">
            <w:pPr>
              <w:spacing w:before="0" w:line="240" w:lineRule="atLeast"/>
              <w:rPr>
                <w:rFonts w:cstheme="minorHAnsi"/>
                <w:szCs w:val="24"/>
              </w:rPr>
            </w:pPr>
            <w:r>
              <w:rPr>
                <w:b/>
                <w:bCs/>
                <w:szCs w:val="28"/>
              </w:rPr>
              <w:t>3 March</w:t>
            </w:r>
            <w:r w:rsidR="0081159E">
              <w:rPr>
                <w:b/>
                <w:bCs/>
                <w:szCs w:val="28"/>
              </w:rPr>
              <w:t xml:space="preserve"> </w:t>
            </w:r>
            <w:r w:rsidR="002955DA">
              <w:rPr>
                <w:b/>
                <w:bCs/>
                <w:szCs w:val="28"/>
              </w:rPr>
              <w:t>202</w:t>
            </w:r>
            <w:r w:rsidR="00EF4D25">
              <w:rPr>
                <w:b/>
                <w:bCs/>
                <w:szCs w:val="28"/>
              </w:rPr>
              <w:t>6</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60A573B4" w:rsidR="00D87035" w:rsidRPr="00403C69" w:rsidRDefault="00D87035" w:rsidP="00403C69">
            <w:pPr>
              <w:tabs>
                <w:tab w:val="left" w:pos="993"/>
              </w:tabs>
              <w:spacing w:before="0"/>
              <w:rPr>
                <w:rFonts w:cstheme="minorHAnsi"/>
                <w:b/>
                <w:szCs w:val="24"/>
              </w:rPr>
            </w:pPr>
            <w:r w:rsidRPr="00403C69">
              <w:rPr>
                <w:b/>
                <w:bCs/>
                <w:szCs w:val="24"/>
              </w:rPr>
              <w:t>Original: English</w:t>
            </w:r>
          </w:p>
        </w:tc>
      </w:tr>
      <w:tr w:rsidR="00D83BF5" w:rsidRPr="00403C69" w14:paraId="35F96F24" w14:textId="77777777" w:rsidTr="00D87035">
        <w:trPr>
          <w:cantSplit/>
          <w:trHeight w:val="23"/>
        </w:trPr>
        <w:tc>
          <w:tcPr>
            <w:tcW w:w="10031" w:type="dxa"/>
            <w:gridSpan w:val="2"/>
          </w:tcPr>
          <w:p w14:paraId="59A8A61C" w14:textId="4B15244C" w:rsidR="00D83BF5" w:rsidRPr="00403C69" w:rsidRDefault="007A0D80" w:rsidP="007A0D80">
            <w:pPr>
              <w:pStyle w:val="Source"/>
              <w:spacing w:before="240" w:after="240"/>
            </w:pPr>
            <w:bookmarkStart w:id="8" w:name="dbluepink" w:colFirst="0" w:colLast="0"/>
            <w:bookmarkStart w:id="9" w:name="dorlang" w:colFirst="1" w:colLast="1"/>
            <w:r>
              <w:t>Director, Telecommunication Development Bureau</w:t>
            </w:r>
          </w:p>
        </w:tc>
      </w:tr>
      <w:tr w:rsidR="00D83BF5" w:rsidRPr="00403C69" w14:paraId="7EDE1565" w14:textId="77777777" w:rsidTr="00D87035">
        <w:trPr>
          <w:cantSplit/>
          <w:trHeight w:val="23"/>
        </w:trPr>
        <w:tc>
          <w:tcPr>
            <w:tcW w:w="10031" w:type="dxa"/>
            <w:gridSpan w:val="2"/>
            <w:vAlign w:val="center"/>
          </w:tcPr>
          <w:p w14:paraId="3D29924B" w14:textId="1871D2E0" w:rsidR="00D83BF5" w:rsidRPr="00403C69" w:rsidRDefault="007A0D80" w:rsidP="00403C69">
            <w:pPr>
              <w:pStyle w:val="Title1"/>
              <w:spacing w:before="120" w:after="120"/>
              <w:rPr>
                <w:caps w:val="0"/>
              </w:rPr>
            </w:pPr>
            <w:r w:rsidRPr="007A0D80">
              <w:rPr>
                <w:caps w:val="0"/>
              </w:rPr>
              <w:t>ITU-D Sector Members, Associates and Academia</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6A3C4F">
            <w:pPr>
              <w:spacing w:after="120"/>
              <w:rPr>
                <w:b/>
                <w:bCs/>
                <w:szCs w:val="24"/>
              </w:rPr>
            </w:pPr>
            <w:r w:rsidRPr="00403C69">
              <w:rPr>
                <w:b/>
                <w:bCs/>
                <w:szCs w:val="24"/>
              </w:rPr>
              <w:t>Summary:</w:t>
            </w:r>
          </w:p>
          <w:p w14:paraId="4F70BA09" w14:textId="35C38C27" w:rsidR="001E252D" w:rsidRPr="005D6927" w:rsidRDefault="005D6927" w:rsidP="006A3C4F">
            <w:pPr>
              <w:spacing w:after="120"/>
              <w:rPr>
                <w:lang w:val="en-US"/>
              </w:rPr>
            </w:pPr>
            <w:r w:rsidRPr="005D6927">
              <w:rPr>
                <w:lang w:val="en-US"/>
              </w:rPr>
              <w:t>This document</w:t>
            </w:r>
            <w:r w:rsidRPr="005D6927">
              <w:t xml:space="preserve"> </w:t>
            </w:r>
            <w:r w:rsidRPr="005D6927">
              <w:rPr>
                <w:lang w:val="en-US"/>
              </w:rPr>
              <w:t>provides an overview of the ITU-D membership evolution in 202</w:t>
            </w:r>
            <w:r>
              <w:rPr>
                <w:lang w:val="en-US"/>
              </w:rPr>
              <w:t>5</w:t>
            </w:r>
            <w:r w:rsidRPr="005D6927">
              <w:rPr>
                <w:lang w:val="en-US"/>
              </w:rPr>
              <w:t xml:space="preserve">. It also recommends actions aimed at continued strengthening of efforts to recruit and retain more members in accordance with the outcomes of the </w:t>
            </w:r>
            <w:r w:rsidRPr="005D6927">
              <w:t xml:space="preserve">World Telecommunication Development </w:t>
            </w:r>
            <w:r w:rsidRPr="35C3E4EB">
              <w:t>Conference of 202</w:t>
            </w:r>
            <w:r w:rsidR="5E360030" w:rsidRPr="35C3E4EB">
              <w:t>5</w:t>
            </w:r>
            <w:r w:rsidRPr="35C3E4EB">
              <w:t xml:space="preserve"> (</w:t>
            </w:r>
            <w:r w:rsidRPr="35C3E4EB">
              <w:rPr>
                <w:lang w:val="en-US"/>
              </w:rPr>
              <w:t>WTDC-2</w:t>
            </w:r>
            <w:r w:rsidR="731FD76A" w:rsidRPr="35C3E4EB">
              <w:rPr>
                <w:lang w:val="en-US"/>
              </w:rPr>
              <w:t>5</w:t>
            </w:r>
            <w:r w:rsidRPr="35C3E4EB">
              <w:rPr>
                <w:lang w:val="en-US"/>
              </w:rPr>
              <w:t>) and</w:t>
            </w:r>
            <w:r w:rsidRPr="005D6927">
              <w:rPr>
                <w:lang w:val="en-US"/>
              </w:rPr>
              <w:t xml:space="preserve"> the Plenipotentiary Conference of 2022 (PP-22). ITU-D membership includes Sector Members, Associates</w:t>
            </w:r>
            <w:r w:rsidR="3DDA0112" w:rsidRPr="005D6927">
              <w:rPr>
                <w:lang w:val="en-US"/>
              </w:rPr>
              <w:t>,</w:t>
            </w:r>
            <w:r w:rsidRPr="005D6927">
              <w:rPr>
                <w:lang w:val="en-US"/>
              </w:rPr>
              <w:t xml:space="preserve"> and Academia</w:t>
            </w:r>
            <w:r w:rsidR="00CE2EF5">
              <w:rPr>
                <w:rStyle w:val="FootnoteReference"/>
                <w:lang w:val="en-US"/>
              </w:rPr>
              <w:footnoteReference w:id="2"/>
            </w:r>
            <w:r w:rsidRPr="005D6927">
              <w:rPr>
                <w:lang w:val="en-US"/>
              </w:rPr>
              <w:t>.</w:t>
            </w:r>
          </w:p>
          <w:p w14:paraId="329DD418" w14:textId="77777777" w:rsidR="001E252D" w:rsidRPr="00403C69" w:rsidRDefault="001E252D" w:rsidP="006A3C4F">
            <w:pPr>
              <w:spacing w:after="120"/>
              <w:rPr>
                <w:b/>
                <w:bCs/>
                <w:szCs w:val="24"/>
              </w:rPr>
            </w:pPr>
            <w:r w:rsidRPr="00403C69">
              <w:rPr>
                <w:b/>
                <w:bCs/>
              </w:rPr>
              <w:t>Action required</w:t>
            </w:r>
            <w:r w:rsidR="008A3933" w:rsidRPr="00403C69">
              <w:rPr>
                <w:b/>
                <w:bCs/>
              </w:rPr>
              <w:t>:</w:t>
            </w:r>
          </w:p>
          <w:p w14:paraId="6BDE7AFA" w14:textId="383DEA06" w:rsidR="001E252D" w:rsidRPr="00403C69" w:rsidRDefault="003F1363" w:rsidP="006A3C4F">
            <w:pPr>
              <w:spacing w:after="120"/>
              <w:rPr>
                <w:szCs w:val="24"/>
              </w:rPr>
            </w:pPr>
            <w:r w:rsidRPr="00403C69">
              <w:t>TDAG is invited to note this document and provide guidance as deemed appropriate.</w:t>
            </w:r>
          </w:p>
          <w:p w14:paraId="5120B5FD" w14:textId="77777777" w:rsidR="001E252D" w:rsidRPr="00403C69" w:rsidRDefault="001E252D" w:rsidP="006A3C4F">
            <w:pPr>
              <w:spacing w:after="120"/>
              <w:rPr>
                <w:b/>
                <w:bCs/>
                <w:szCs w:val="24"/>
              </w:rPr>
            </w:pPr>
            <w:r w:rsidRPr="00403C69">
              <w:rPr>
                <w:b/>
                <w:bCs/>
                <w:szCs w:val="24"/>
              </w:rPr>
              <w:t>References</w:t>
            </w:r>
            <w:r w:rsidR="008A3933" w:rsidRPr="00403C69">
              <w:rPr>
                <w:b/>
                <w:bCs/>
                <w:szCs w:val="24"/>
              </w:rPr>
              <w:t>:</w:t>
            </w:r>
          </w:p>
          <w:p w14:paraId="45278E2B" w14:textId="77777777" w:rsidR="008865FF" w:rsidRPr="008865FF" w:rsidRDefault="008865FF" w:rsidP="008865FF">
            <w:pPr>
              <w:spacing w:after="120"/>
            </w:pPr>
            <w:r w:rsidRPr="008865FF">
              <w:t xml:space="preserve">WTDC Resolution 71 (Rev. Kigali, 2022), Strengthening cooperation between Member States, Sector Members, Associates and Academia of the ITU Telecommunication Development Sector and the evolving role of the private sector in the ITU Telecommunication Development Sector. </w:t>
            </w:r>
          </w:p>
          <w:p w14:paraId="6EF29DC6" w14:textId="1985E044" w:rsidR="001E252D" w:rsidRPr="00403C69" w:rsidRDefault="008865FF" w:rsidP="008865FF">
            <w:pPr>
              <w:spacing w:after="120"/>
            </w:pPr>
            <w:r w:rsidRPr="008865FF">
              <w:t xml:space="preserve">Resolutions 169, 205 and 209 (Rev. Bucharest, 2022) of </w:t>
            </w:r>
            <w:r w:rsidRPr="008865FF">
              <w:rPr>
                <w:lang w:val="en-US"/>
              </w:rPr>
              <w:t>the Plenipotentiary Conference (PP-22)</w:t>
            </w:r>
            <w:r w:rsidRPr="008865FF">
              <w:t>.</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5856690D" w14:textId="00B26717" w:rsidR="004C3D25" w:rsidRPr="006701DA" w:rsidRDefault="004C3D25" w:rsidP="004C3D25">
      <w:pPr>
        <w:keepNext/>
        <w:numPr>
          <w:ilvl w:val="0"/>
          <w:numId w:val="45"/>
        </w:numPr>
        <w:tabs>
          <w:tab w:val="clear" w:pos="1871"/>
          <w:tab w:val="left" w:pos="567"/>
          <w:tab w:val="left" w:pos="1701"/>
        </w:tabs>
        <w:spacing w:after="120"/>
        <w:ind w:left="357" w:hanging="357"/>
        <w:rPr>
          <w:rFonts w:ascii="Calibri" w:eastAsia="SimSun" w:hAnsi="Calibri" w:cs="Arial"/>
          <w:b/>
          <w:bCs/>
          <w:szCs w:val="24"/>
          <w:lang w:val="en-US" w:eastAsia="zh-CN"/>
        </w:rPr>
      </w:pPr>
      <w:r w:rsidRPr="006701DA">
        <w:rPr>
          <w:rFonts w:ascii="Calibri" w:eastAsia="SimSun" w:hAnsi="Calibri" w:cs="Arial"/>
          <w:b/>
          <w:bCs/>
          <w:szCs w:val="24"/>
          <w:lang w:val="en-US" w:eastAsia="zh-CN"/>
        </w:rPr>
        <w:lastRenderedPageBreak/>
        <w:t>Background</w:t>
      </w:r>
    </w:p>
    <w:p w14:paraId="06090CA7" w14:textId="77777777" w:rsidR="004C3D25" w:rsidRPr="006701DA" w:rsidRDefault="004C3D25" w:rsidP="004C3D25">
      <w:pPr>
        <w:tabs>
          <w:tab w:val="left" w:pos="567"/>
          <w:tab w:val="left" w:pos="1701"/>
        </w:tabs>
        <w:spacing w:after="120"/>
        <w:rPr>
          <w:rFonts w:ascii="Calibri" w:eastAsia="SimSun" w:hAnsi="Calibri"/>
          <w:szCs w:val="24"/>
        </w:rPr>
      </w:pPr>
      <w:r w:rsidRPr="006701DA">
        <w:rPr>
          <w:rFonts w:ascii="Calibri" w:eastAsia="SimSun" w:hAnsi="Calibri"/>
          <w:szCs w:val="24"/>
        </w:rPr>
        <w:t>The World Telecommunication Development Conference in 2022 (WTDC-22) revised and adopted Resolution 71 (Rev. Kigali, 2022</w:t>
      </w:r>
      <w:r w:rsidRPr="008701D5">
        <w:rPr>
          <w:rFonts w:ascii="Calibri" w:eastAsia="SimSun" w:hAnsi="Calibri"/>
          <w:szCs w:val="24"/>
          <w:vertAlign w:val="superscript"/>
        </w:rPr>
        <w:footnoteReference w:id="3"/>
      </w:r>
      <w:r w:rsidRPr="006701DA">
        <w:rPr>
          <w:rFonts w:ascii="Calibri" w:eastAsia="SimSun" w:hAnsi="Calibri"/>
          <w:szCs w:val="24"/>
        </w:rPr>
        <w:t xml:space="preserve">) to promote active involvement of </w:t>
      </w:r>
      <w:r>
        <w:rPr>
          <w:rFonts w:ascii="Calibri" w:eastAsia="SimSun" w:hAnsi="Calibri"/>
          <w:szCs w:val="24"/>
        </w:rPr>
        <w:t>ITU-D</w:t>
      </w:r>
      <w:r w:rsidRPr="006701DA">
        <w:rPr>
          <w:rFonts w:ascii="Calibri" w:eastAsia="SimSun" w:hAnsi="Calibri"/>
          <w:szCs w:val="24"/>
        </w:rPr>
        <w:t xml:space="preserve"> Sector Members, Associates</w:t>
      </w:r>
      <w:r>
        <w:rPr>
          <w:rFonts w:ascii="Calibri" w:eastAsia="SimSun" w:hAnsi="Calibri"/>
          <w:szCs w:val="24"/>
        </w:rPr>
        <w:t>,</w:t>
      </w:r>
      <w:r w:rsidRPr="006701DA">
        <w:rPr>
          <w:rFonts w:ascii="Calibri" w:eastAsia="SimSun" w:hAnsi="Calibri"/>
          <w:szCs w:val="24"/>
        </w:rPr>
        <w:t xml:space="preserve"> and Academia in ITU-D activities, including participation in the work of ITU-D </w:t>
      </w:r>
      <w:r>
        <w:rPr>
          <w:rFonts w:ascii="Calibri" w:eastAsia="SimSun" w:hAnsi="Calibri"/>
          <w:szCs w:val="24"/>
        </w:rPr>
        <w:t>S</w:t>
      </w:r>
      <w:r w:rsidRPr="006701DA">
        <w:rPr>
          <w:rFonts w:ascii="Calibri" w:eastAsia="SimSun" w:hAnsi="Calibri"/>
          <w:szCs w:val="24"/>
        </w:rPr>
        <w:t xml:space="preserve">tudy </w:t>
      </w:r>
      <w:r>
        <w:rPr>
          <w:rFonts w:ascii="Calibri" w:eastAsia="SimSun" w:hAnsi="Calibri"/>
          <w:szCs w:val="24"/>
        </w:rPr>
        <w:t>G</w:t>
      </w:r>
      <w:r w:rsidRPr="006701DA">
        <w:rPr>
          <w:rFonts w:ascii="Calibri" w:eastAsia="SimSun" w:hAnsi="Calibri"/>
          <w:szCs w:val="24"/>
        </w:rPr>
        <w:t xml:space="preserve">roups and to attract new members from the public, private and academic sectors. </w:t>
      </w:r>
    </w:p>
    <w:p w14:paraId="24371446" w14:textId="3FE79EEB" w:rsidR="004C3D25" w:rsidRDefault="004C3D25" w:rsidP="004C3D25">
      <w:pPr>
        <w:tabs>
          <w:tab w:val="left" w:pos="567"/>
          <w:tab w:val="left" w:pos="1701"/>
        </w:tabs>
        <w:spacing w:after="120"/>
        <w:rPr>
          <w:rFonts w:ascii="Calibri" w:eastAsia="SimSun" w:hAnsi="Calibri"/>
          <w:iCs/>
          <w:szCs w:val="24"/>
        </w:rPr>
      </w:pPr>
      <w:r w:rsidRPr="006701DA">
        <w:rPr>
          <w:rFonts w:ascii="Calibri" w:eastAsia="SimSun" w:hAnsi="Calibri"/>
          <w:szCs w:val="24"/>
        </w:rPr>
        <w:t xml:space="preserve">Resolution 71 brought more focus to the strengthening of cooperation between Member States, Sector Members, Associates and Academia of ITU-D, with its instruction to BDT to work closely with ITU-D Sector Members, Associates, and Academia for their participation in the </w:t>
      </w:r>
      <w:r w:rsidR="00AA469C">
        <w:rPr>
          <w:rFonts w:ascii="Calibri" w:eastAsia="SimSun" w:hAnsi="Calibri"/>
          <w:szCs w:val="24"/>
        </w:rPr>
        <w:t>work of the Sector</w:t>
      </w:r>
      <w:r w:rsidRPr="006701DA">
        <w:rPr>
          <w:rFonts w:ascii="Calibri" w:eastAsia="SimSun" w:hAnsi="Calibri"/>
          <w:szCs w:val="24"/>
        </w:rPr>
        <w:t xml:space="preserve">, and to continue to organize meetings for high-level industry executives e.g. the </w:t>
      </w:r>
      <w:r w:rsidRPr="006701DA">
        <w:rPr>
          <w:rFonts w:ascii="Calibri" w:eastAsia="SimSun" w:hAnsi="Calibri"/>
          <w:iCs/>
          <w:szCs w:val="24"/>
        </w:rPr>
        <w:t>Industry Advisory Group for Development Issues and Private Sector</w:t>
      </w:r>
      <w:r w:rsidRPr="006701DA">
        <w:rPr>
          <w:rFonts w:ascii="Calibri" w:eastAsia="SimSun" w:hAnsi="Calibri"/>
          <w:szCs w:val="24"/>
          <w:lang w:eastAsia="en-AU"/>
        </w:rPr>
        <w:t xml:space="preserve"> Chief Regulatory Officers’ (IAGDI-CRO) meeting</w:t>
      </w:r>
      <w:r w:rsidRPr="006701DA">
        <w:rPr>
          <w:rFonts w:ascii="Calibri" w:eastAsia="SimSun" w:hAnsi="Calibri"/>
          <w:iCs/>
          <w:szCs w:val="24"/>
        </w:rPr>
        <w:t>.</w:t>
      </w:r>
    </w:p>
    <w:p w14:paraId="70117E58" w14:textId="77777777" w:rsidR="004C3D25" w:rsidRPr="00306331" w:rsidRDefault="004C3D25" w:rsidP="004C3D25">
      <w:pPr>
        <w:keepNext/>
        <w:numPr>
          <w:ilvl w:val="0"/>
          <w:numId w:val="45"/>
        </w:numPr>
        <w:tabs>
          <w:tab w:val="clear" w:pos="1871"/>
          <w:tab w:val="left" w:pos="567"/>
          <w:tab w:val="left" w:pos="1701"/>
        </w:tabs>
        <w:spacing w:after="120"/>
        <w:ind w:left="357" w:hanging="357"/>
        <w:rPr>
          <w:rFonts w:ascii="Calibri" w:eastAsia="SimSun" w:hAnsi="Calibri" w:cs="Arial"/>
          <w:b/>
          <w:bCs/>
          <w:szCs w:val="24"/>
          <w:lang w:val="en-US" w:eastAsia="zh-CN"/>
        </w:rPr>
      </w:pPr>
      <w:r w:rsidRPr="00306331">
        <w:rPr>
          <w:rFonts w:ascii="Calibri" w:eastAsia="SimSun" w:hAnsi="Calibri" w:cs="Arial"/>
          <w:b/>
          <w:bCs/>
          <w:szCs w:val="24"/>
          <w:lang w:val="en-US" w:eastAsia="zh-CN"/>
        </w:rPr>
        <w:t>ITU-D membership evolution</w:t>
      </w:r>
    </w:p>
    <w:p w14:paraId="6A28E9A8" w14:textId="2837CE81" w:rsidR="004C3D25" w:rsidRDefault="6FFE69B2" w:rsidP="6696070F">
      <w:pPr>
        <w:tabs>
          <w:tab w:val="left" w:pos="567"/>
          <w:tab w:val="left" w:pos="1701"/>
        </w:tabs>
        <w:spacing w:after="120"/>
        <w:rPr>
          <w:rFonts w:ascii="Calibri" w:eastAsia="SimSun" w:hAnsi="Calibri"/>
        </w:rPr>
      </w:pPr>
      <w:r w:rsidRPr="6696070F">
        <w:rPr>
          <w:rFonts w:ascii="Calibri" w:eastAsia="SimSun" w:hAnsi="Calibri"/>
          <w:b/>
          <w:bCs/>
        </w:rPr>
        <w:t>Chart 1</w:t>
      </w:r>
      <w:r w:rsidRPr="6696070F">
        <w:rPr>
          <w:rFonts w:ascii="Calibri" w:eastAsia="SimSun" w:hAnsi="Calibri"/>
        </w:rPr>
        <w:t xml:space="preserve"> below illustrates the ITU-D membership evolution (Sector Members, Associates and Academia). The chart shows the absolute number of ITU-D Sector Members, Associates and Academia by December 2023, December 2024, and </w:t>
      </w:r>
      <w:r w:rsidR="0A2A5B77" w:rsidRPr="6696070F">
        <w:rPr>
          <w:rFonts w:ascii="Calibri" w:eastAsia="SimSun" w:hAnsi="Calibri"/>
        </w:rPr>
        <w:t xml:space="preserve">December </w:t>
      </w:r>
      <w:r w:rsidRPr="6696070F">
        <w:rPr>
          <w:rFonts w:ascii="Calibri" w:eastAsia="SimSun" w:hAnsi="Calibri"/>
        </w:rPr>
        <w:t>202</w:t>
      </w:r>
      <w:r w:rsidR="0A2A5B77" w:rsidRPr="6696070F">
        <w:rPr>
          <w:rFonts w:ascii="Calibri" w:eastAsia="SimSun" w:hAnsi="Calibri"/>
        </w:rPr>
        <w:t>5</w:t>
      </w:r>
      <w:r w:rsidRPr="6696070F">
        <w:rPr>
          <w:rFonts w:ascii="Calibri" w:eastAsia="SimSun" w:hAnsi="Calibri"/>
        </w:rPr>
        <w:t>.</w:t>
      </w:r>
    </w:p>
    <w:p w14:paraId="3E98BD41" w14:textId="77777777" w:rsidR="004C3D25" w:rsidRDefault="004C3D25" w:rsidP="004C3D25">
      <w:pPr>
        <w:tabs>
          <w:tab w:val="left" w:pos="567"/>
          <w:tab w:val="left" w:pos="1701"/>
        </w:tabs>
        <w:spacing w:after="120"/>
        <w:jc w:val="center"/>
        <w:rPr>
          <w:rFonts w:ascii="Calibri" w:eastAsia="SimSun" w:hAnsi="Calibri"/>
          <w:iCs/>
          <w:szCs w:val="24"/>
        </w:rPr>
      </w:pPr>
      <w:r w:rsidRPr="00483B48">
        <w:rPr>
          <w:rFonts w:ascii="Calibri" w:eastAsia="SimSun" w:hAnsi="Calibri" w:cs="Arial"/>
          <w:noProof/>
          <w:lang w:eastAsia="zh-CN"/>
        </w:rPr>
        <w:drawing>
          <wp:inline distT="0" distB="0" distL="0" distR="0" wp14:anchorId="3D571800" wp14:editId="5A8631A0">
            <wp:extent cx="6115050" cy="3829050"/>
            <wp:effectExtent l="0" t="0" r="0" b="0"/>
            <wp:docPr id="1003179272" name="Chart 1">
              <a:extLst xmlns:a="http://schemas.openxmlformats.org/drawingml/2006/main">
                <a:ext uri="{FF2B5EF4-FFF2-40B4-BE49-F238E27FC236}">
                  <a16:creationId xmlns:a16="http://schemas.microsoft.com/office/drawing/2014/main" id="{8F0DB859-0FD5-737B-E176-D22A580F4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A13DAF" w14:textId="77777777" w:rsidR="004C3D25" w:rsidRPr="00306331" w:rsidRDefault="004C3D25" w:rsidP="004C3D25">
      <w:pPr>
        <w:keepNext/>
        <w:numPr>
          <w:ilvl w:val="1"/>
          <w:numId w:val="45"/>
        </w:numPr>
        <w:tabs>
          <w:tab w:val="clear" w:pos="1871"/>
          <w:tab w:val="left" w:pos="567"/>
          <w:tab w:val="left" w:pos="1701"/>
        </w:tabs>
        <w:spacing w:after="120"/>
        <w:ind w:left="431" w:hanging="431"/>
        <w:rPr>
          <w:rFonts w:ascii="Calibri" w:eastAsia="SimSun" w:hAnsi="Calibri" w:cs="Arial"/>
          <w:b/>
          <w:bCs/>
          <w:lang w:val="en-US" w:eastAsia="zh-CN"/>
        </w:rPr>
      </w:pPr>
      <w:r w:rsidRPr="3E6B2E16">
        <w:rPr>
          <w:rFonts w:ascii="Calibri" w:eastAsia="SimSun" w:hAnsi="Calibri" w:cs="Arial"/>
          <w:b/>
          <w:bCs/>
          <w:lang w:val="en-US" w:eastAsia="zh-CN"/>
        </w:rPr>
        <w:lastRenderedPageBreak/>
        <w:t>ITU-D Sector Members and Associates</w:t>
      </w:r>
    </w:p>
    <w:p w14:paraId="38C81899" w14:textId="5E6D8535" w:rsidR="004C3D25" w:rsidRDefault="00A72027" w:rsidP="004C3D25">
      <w:pPr>
        <w:keepNext/>
        <w:spacing w:after="120"/>
        <w:jc w:val="both"/>
        <w:rPr>
          <w:rFonts w:ascii="Calibri" w:eastAsia="SimSun" w:hAnsi="Calibri" w:cs="Arial"/>
          <w:b/>
          <w:bCs/>
          <w:lang w:eastAsia="zh-CN"/>
        </w:rPr>
      </w:pPr>
      <w:r>
        <w:rPr>
          <w:noProof/>
        </w:rPr>
        <mc:AlternateContent>
          <mc:Choice Requires="wps">
            <w:drawing>
              <wp:anchor distT="0" distB="0" distL="114300" distR="114300" simplePos="0" relativeHeight="251658244" behindDoc="0" locked="0" layoutInCell="1" allowOverlap="1" wp14:anchorId="54F01AF5" wp14:editId="06FFAC31">
                <wp:simplePos x="0" y="0"/>
                <wp:positionH relativeFrom="column">
                  <wp:posOffset>1543685</wp:posOffset>
                </wp:positionH>
                <wp:positionV relativeFrom="paragraph">
                  <wp:posOffset>2704465</wp:posOffset>
                </wp:positionV>
                <wp:extent cx="609600" cy="323850"/>
                <wp:effectExtent l="0" t="0" r="0" b="0"/>
                <wp:wrapNone/>
                <wp:docPr id="42325251" name="Text Box 2"/>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ysClr val="window" lastClr="FFFFFF"/>
                        </a:solidFill>
                        <a:ln w="6350">
                          <a:noFill/>
                        </a:ln>
                      </wps:spPr>
                      <wps:txbx>
                        <w:txbxContent>
                          <w:p w14:paraId="58A45FDD" w14:textId="77777777" w:rsidR="004C3D25" w:rsidRPr="00E9161D" w:rsidRDefault="004C3D25" w:rsidP="004C3D25">
                            <w:pPr>
                              <w:rPr>
                                <w:b/>
                                <w:bCs/>
                                <w:sz w:val="18"/>
                                <w:szCs w:val="14"/>
                                <w:lang w:val="en-US"/>
                              </w:rPr>
                            </w:pPr>
                            <w:r w:rsidRPr="00E9161D">
                              <w:rPr>
                                <w:b/>
                                <w:bCs/>
                                <w:sz w:val="18"/>
                                <w:szCs w:val="14"/>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01AF5" id="_x0000_t202" coordsize="21600,21600" o:spt="202" path="m,l,21600r21600,l21600,xe">
                <v:stroke joinstyle="miter"/>
                <v:path gradientshapeok="t" o:connecttype="rect"/>
              </v:shapetype>
              <v:shape id="Text Box 2" o:spid="_x0000_s1026" type="#_x0000_t202" style="position:absolute;left:0;text-align:left;margin-left:121.55pt;margin-top:212.95pt;width:48pt;height: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" fillcolor="window" stroked="f" strokeweight=".5pt">
                <v:textbox>
                  <w:txbxContent>
                    <w:p w14:paraId="58A45FDD" w14:textId="77777777" w:rsidR="004C3D25" w:rsidRPr="00E9161D" w:rsidRDefault="004C3D25" w:rsidP="004C3D25">
                      <w:pPr>
                        <w:rPr>
                          <w:b/>
                          <w:bCs/>
                          <w:sz w:val="18"/>
                          <w:szCs w:val="14"/>
                          <w:lang w:val="en-US"/>
                        </w:rPr>
                      </w:pPr>
                      <w:r w:rsidRPr="00E9161D">
                        <w:rPr>
                          <w:b/>
                          <w:bCs/>
                          <w:sz w:val="18"/>
                          <w:szCs w:val="14"/>
                          <w:lang w:val="en-US"/>
                        </w:rPr>
                        <w:t>2023</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31D1C3CE" wp14:editId="3BCA421A">
                <wp:simplePos x="0" y="0"/>
                <wp:positionH relativeFrom="column">
                  <wp:posOffset>3213100</wp:posOffset>
                </wp:positionH>
                <wp:positionV relativeFrom="paragraph">
                  <wp:posOffset>2691765</wp:posOffset>
                </wp:positionV>
                <wp:extent cx="609600" cy="323850"/>
                <wp:effectExtent l="0" t="0" r="0" b="0"/>
                <wp:wrapNone/>
                <wp:docPr id="1776853480" name="Text Box 2"/>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ysClr val="window" lastClr="FFFFFF"/>
                        </a:solidFill>
                        <a:ln w="6350">
                          <a:noFill/>
                        </a:ln>
                      </wps:spPr>
                      <wps:txbx>
                        <w:txbxContent>
                          <w:p w14:paraId="21F72A1A" w14:textId="77777777" w:rsidR="004C3D25" w:rsidRPr="00E9161D" w:rsidRDefault="004C3D25" w:rsidP="004C3D25">
                            <w:pPr>
                              <w:rPr>
                                <w:b/>
                                <w:bCs/>
                                <w:sz w:val="18"/>
                                <w:szCs w:val="14"/>
                                <w:lang w:val="en-US"/>
                              </w:rPr>
                            </w:pPr>
                            <w:r w:rsidRPr="00E9161D">
                              <w:rPr>
                                <w:b/>
                                <w:bCs/>
                                <w:sz w:val="18"/>
                                <w:szCs w:val="14"/>
                                <w:lang w:val="en-US"/>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1C3CE" id="_x0000_s1027" type="#_x0000_t202" style="position:absolute;left:0;text-align:left;margin-left:253pt;margin-top:211.95pt;width:48pt;height: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" fillcolor="window" stroked="f" strokeweight=".5pt">
                <v:textbox>
                  <w:txbxContent>
                    <w:p w14:paraId="21F72A1A" w14:textId="77777777" w:rsidR="004C3D25" w:rsidRPr="00E9161D" w:rsidRDefault="004C3D25" w:rsidP="004C3D25">
                      <w:pPr>
                        <w:rPr>
                          <w:b/>
                          <w:bCs/>
                          <w:sz w:val="18"/>
                          <w:szCs w:val="14"/>
                          <w:lang w:val="en-US"/>
                        </w:rPr>
                      </w:pPr>
                      <w:r w:rsidRPr="00E9161D">
                        <w:rPr>
                          <w:b/>
                          <w:bCs/>
                          <w:sz w:val="18"/>
                          <w:szCs w:val="14"/>
                          <w:lang w:val="en-US"/>
                        </w:rPr>
                        <w:t>2024</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31AF7EBD" wp14:editId="0EDB18C0">
                <wp:simplePos x="0" y="0"/>
                <wp:positionH relativeFrom="column">
                  <wp:posOffset>4969510</wp:posOffset>
                </wp:positionH>
                <wp:positionV relativeFrom="paragraph">
                  <wp:posOffset>2698115</wp:posOffset>
                </wp:positionV>
                <wp:extent cx="571500" cy="323850"/>
                <wp:effectExtent l="0" t="0" r="0" b="0"/>
                <wp:wrapNone/>
                <wp:docPr id="1435717725" name="Text Box 2"/>
                <wp:cNvGraphicFramePr/>
                <a:graphic xmlns:a="http://schemas.openxmlformats.org/drawingml/2006/main">
                  <a:graphicData uri="http://schemas.microsoft.com/office/word/2010/wordprocessingShape">
                    <wps:wsp>
                      <wps:cNvSpPr txBox="1"/>
                      <wps:spPr>
                        <a:xfrm>
                          <a:off x="0" y="0"/>
                          <a:ext cx="571500" cy="323850"/>
                        </a:xfrm>
                        <a:prstGeom prst="rect">
                          <a:avLst/>
                        </a:prstGeom>
                        <a:solidFill>
                          <a:sysClr val="window" lastClr="FFFFFF"/>
                        </a:solidFill>
                        <a:ln w="6350">
                          <a:noFill/>
                        </a:ln>
                      </wps:spPr>
                      <wps:txbx>
                        <w:txbxContent>
                          <w:p w14:paraId="747BF122" w14:textId="6596E87F" w:rsidR="004C3D25" w:rsidRPr="00E9161D" w:rsidRDefault="004C3D25" w:rsidP="004C3D25">
                            <w:pPr>
                              <w:rPr>
                                <w:b/>
                                <w:bCs/>
                                <w:sz w:val="18"/>
                                <w:szCs w:val="14"/>
                                <w:lang w:val="en-US"/>
                              </w:rPr>
                            </w:pPr>
                            <w:r w:rsidRPr="00E9161D">
                              <w:rPr>
                                <w:b/>
                                <w:bCs/>
                                <w:sz w:val="18"/>
                                <w:szCs w:val="14"/>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F7EBD" id="_x0000_s1028" type="#_x0000_t202" style="position:absolute;left:0;text-align:left;margin-left:391.3pt;margin-top:212.45pt;width:45pt;height: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" fillcolor="window" stroked="f" strokeweight=".5pt">
                <v:textbox>
                  <w:txbxContent>
                    <w:p w14:paraId="747BF122" w14:textId="6596E87F" w:rsidR="004C3D25" w:rsidRPr="00E9161D" w:rsidRDefault="004C3D25" w:rsidP="004C3D25">
                      <w:pPr>
                        <w:rPr>
                          <w:b/>
                          <w:bCs/>
                          <w:sz w:val="18"/>
                          <w:szCs w:val="14"/>
                          <w:lang w:val="en-US"/>
                        </w:rPr>
                      </w:pPr>
                      <w:r w:rsidRPr="00E9161D">
                        <w:rPr>
                          <w:b/>
                          <w:bCs/>
                          <w:sz w:val="18"/>
                          <w:szCs w:val="14"/>
                          <w:lang w:val="en-US"/>
                        </w:rPr>
                        <w:t>2025</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6D6C63C1" wp14:editId="4C439D22">
                <wp:simplePos x="0" y="0"/>
                <wp:positionH relativeFrom="column">
                  <wp:posOffset>4289425</wp:posOffset>
                </wp:positionH>
                <wp:positionV relativeFrom="paragraph">
                  <wp:posOffset>450215</wp:posOffset>
                </wp:positionV>
                <wp:extent cx="0" cy="2533650"/>
                <wp:effectExtent l="0" t="0" r="38100" b="19050"/>
                <wp:wrapNone/>
                <wp:docPr id="1730638141" name="Straight Connector 3"/>
                <wp:cNvGraphicFramePr/>
                <a:graphic xmlns:a="http://schemas.openxmlformats.org/drawingml/2006/main">
                  <a:graphicData uri="http://schemas.microsoft.com/office/word/2010/wordprocessingShape">
                    <wps:wsp>
                      <wps:cNvCnPr/>
                      <wps:spPr>
                        <a:xfrm>
                          <a:off x="0" y="0"/>
                          <a:ext cx="0" cy="2533650"/>
                        </a:xfrm>
                        <a:prstGeom prst="line">
                          <a:avLst/>
                        </a:prstGeom>
                        <a:noFill/>
                        <a:ln w="9525" cap="flat" cmpd="sng" algn="ctr">
                          <a:solidFill>
                            <a:srgbClr val="6F6F6E">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0CEB3D4F">
              <v:line id="Straight Connector 3" style="position:absolute;z-index:251658251;visibility:visible;mso-wrap-style:square;mso-wrap-distance-left:9pt;mso-wrap-distance-top:0;mso-wrap-distance-right:9pt;mso-wrap-distance-bottom:0;mso-position-horizontal:absolute;mso-position-horizontal-relative:text;mso-position-vertical:absolute;mso-position-vertical-relative:text" o:spid="_x0000_s1026" strokecolor="#6c6c6b" from="337.75pt,35.45pt" to="337.75pt,234.95pt" w14:anchorId="1A28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"/>
            </w:pict>
          </mc:Fallback>
        </mc:AlternateContent>
      </w:r>
      <w:r>
        <w:rPr>
          <w:noProof/>
        </w:rPr>
        <mc:AlternateContent>
          <mc:Choice Requires="wps">
            <w:drawing>
              <wp:anchor distT="0" distB="0" distL="114300" distR="114300" simplePos="0" relativeHeight="251658248" behindDoc="0" locked="0" layoutInCell="1" allowOverlap="1" wp14:anchorId="79930563" wp14:editId="27C59C3C">
                <wp:simplePos x="0" y="0"/>
                <wp:positionH relativeFrom="column">
                  <wp:posOffset>2587625</wp:posOffset>
                </wp:positionH>
                <wp:positionV relativeFrom="paragraph">
                  <wp:posOffset>410845</wp:posOffset>
                </wp:positionV>
                <wp:extent cx="0" cy="2533650"/>
                <wp:effectExtent l="0" t="0" r="38100" b="19050"/>
                <wp:wrapNone/>
                <wp:docPr id="942585395" name="Straight Connector 3"/>
                <wp:cNvGraphicFramePr/>
                <a:graphic xmlns:a="http://schemas.openxmlformats.org/drawingml/2006/main">
                  <a:graphicData uri="http://schemas.microsoft.com/office/word/2010/wordprocessingShape">
                    <wps:wsp>
                      <wps:cNvCnPr/>
                      <wps:spPr>
                        <a:xfrm>
                          <a:off x="0" y="0"/>
                          <a:ext cx="0" cy="2533650"/>
                        </a:xfrm>
                        <a:prstGeom prst="line">
                          <a:avLst/>
                        </a:prstGeom>
                        <a:noFill/>
                        <a:ln w="9525" cap="flat" cmpd="sng" algn="ctr">
                          <a:solidFill>
                            <a:srgbClr val="6F6F6E">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2A562A4D">
              <v:line id="Straight Connector 3" style="position:absolute;z-index:251658250;visibility:visible;mso-wrap-style:square;mso-wrap-distance-left:9pt;mso-wrap-distance-top:0;mso-wrap-distance-right:9pt;mso-wrap-distance-bottom:0;mso-position-horizontal:absolute;mso-position-horizontal-relative:text;mso-position-vertical:absolute;mso-position-vertical-relative:text" o:spid="_x0000_s1026" strokecolor="#6c6c6b" from="203.75pt,32.35pt" to="203.75pt,231.85pt" w14:anchorId="70058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"/>
            </w:pict>
          </mc:Fallback>
        </mc:AlternateContent>
      </w:r>
      <w:r w:rsidR="00652779">
        <w:rPr>
          <w:noProof/>
        </w:rPr>
        <mc:AlternateContent>
          <mc:Choice Requires="wps">
            <w:drawing>
              <wp:anchor distT="0" distB="0" distL="114300" distR="114300" simplePos="0" relativeHeight="251658247" behindDoc="0" locked="0" layoutInCell="1" allowOverlap="1" wp14:anchorId="4DA70A4D" wp14:editId="65D52759">
                <wp:simplePos x="0" y="0"/>
                <wp:positionH relativeFrom="column">
                  <wp:posOffset>902335</wp:posOffset>
                </wp:positionH>
                <wp:positionV relativeFrom="paragraph">
                  <wp:posOffset>427990</wp:posOffset>
                </wp:positionV>
                <wp:extent cx="0" cy="2533650"/>
                <wp:effectExtent l="0" t="0" r="38100" b="19050"/>
                <wp:wrapNone/>
                <wp:docPr id="445580303" name="Straight Connector 3"/>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5AA6CAB9">
              <v:line id="Straight Connector 3" style="position:absolute;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from="71.05pt,33.7pt" to="71.05pt,233.2pt" w14:anchorId="700B5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"/>
            </w:pict>
          </mc:Fallback>
        </mc:AlternateContent>
      </w:r>
      <w:r w:rsidR="004C3D25">
        <w:rPr>
          <w:noProof/>
        </w:rPr>
        <mc:AlternateContent>
          <mc:Choice Requires="wps">
            <w:drawing>
              <wp:anchor distT="0" distB="0" distL="114300" distR="114300" simplePos="0" relativeHeight="251658243" behindDoc="0" locked="0" layoutInCell="1" allowOverlap="1" wp14:anchorId="2B783E25" wp14:editId="19C8630F">
                <wp:simplePos x="0" y="0"/>
                <wp:positionH relativeFrom="column">
                  <wp:posOffset>365760</wp:posOffset>
                </wp:positionH>
                <wp:positionV relativeFrom="paragraph">
                  <wp:posOffset>2704465</wp:posOffset>
                </wp:positionV>
                <wp:extent cx="609600" cy="295275"/>
                <wp:effectExtent l="0" t="0" r="0" b="9525"/>
                <wp:wrapNone/>
                <wp:docPr id="1499316615" name="Text Box 2"/>
                <wp:cNvGraphicFramePr/>
                <a:graphic xmlns:a="http://schemas.openxmlformats.org/drawingml/2006/main">
                  <a:graphicData uri="http://schemas.microsoft.com/office/word/2010/wordprocessingShape">
                    <wps:wsp>
                      <wps:cNvSpPr txBox="1"/>
                      <wps:spPr>
                        <a:xfrm>
                          <a:off x="0" y="0"/>
                          <a:ext cx="609600" cy="295275"/>
                        </a:xfrm>
                        <a:prstGeom prst="rect">
                          <a:avLst/>
                        </a:prstGeom>
                        <a:solidFill>
                          <a:schemeClr val="lt1"/>
                        </a:solidFill>
                        <a:ln w="6350">
                          <a:noFill/>
                        </a:ln>
                      </wps:spPr>
                      <wps:txbx>
                        <w:txbxContent>
                          <w:p w14:paraId="66510105" w14:textId="77777777" w:rsidR="004C3D25" w:rsidRPr="00E9161D" w:rsidRDefault="004C3D25" w:rsidP="004C3D25">
                            <w:pPr>
                              <w:rPr>
                                <w:b/>
                                <w:bCs/>
                                <w:sz w:val="18"/>
                                <w:szCs w:val="14"/>
                                <w:lang w:val="en-US"/>
                              </w:rPr>
                            </w:pPr>
                            <w:r w:rsidRPr="00E9161D">
                              <w:rPr>
                                <w:b/>
                                <w:bCs/>
                                <w:sz w:val="18"/>
                                <w:szCs w:val="14"/>
                                <w:lang w:val="en-US"/>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83E25" id="_x0000_s1029" type="#_x0000_t202" style="position:absolute;left:0;text-align:left;margin-left:28.8pt;margin-top:212.95pt;width:48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SYLwIAAFoEAAAOAAAAZHJzL2Uyb0RvYy54bWysVE2P2jAQvVfqf7B8LwkssCUirCgrqkpo&#10;dyW22rNxbLDkeFzbkNBf37HDV7c9Vb04M57x88yb50w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" fillcolor="white [3201]" stroked="f" strokeweight=".5pt">
                <v:textbox>
                  <w:txbxContent>
                    <w:p w14:paraId="66510105" w14:textId="77777777" w:rsidR="004C3D25" w:rsidRPr="00E9161D" w:rsidRDefault="004C3D25" w:rsidP="004C3D25">
                      <w:pPr>
                        <w:rPr>
                          <w:b/>
                          <w:bCs/>
                          <w:sz w:val="18"/>
                          <w:szCs w:val="14"/>
                          <w:lang w:val="en-US"/>
                        </w:rPr>
                      </w:pPr>
                      <w:r w:rsidRPr="00E9161D">
                        <w:rPr>
                          <w:b/>
                          <w:bCs/>
                          <w:sz w:val="18"/>
                          <w:szCs w:val="14"/>
                          <w:lang w:val="en-US"/>
                        </w:rPr>
                        <w:t>2022</w:t>
                      </w:r>
                    </w:p>
                  </w:txbxContent>
                </v:textbox>
              </v:shape>
            </w:pict>
          </mc:Fallback>
        </mc:AlternateContent>
      </w:r>
      <w:r w:rsidR="004C3D25" w:rsidRPr="0015293D">
        <w:rPr>
          <w:noProof/>
          <w:szCs w:val="24"/>
        </w:rPr>
        <mc:AlternateContent>
          <mc:Choice Requires="cx4">
            <w:drawing>
              <wp:inline distT="0" distB="0" distL="0" distR="0" wp14:anchorId="5467D588" wp14:editId="69C920AF">
                <wp:extent cx="6067425" cy="2752725"/>
                <wp:effectExtent l="0" t="0" r="9525" b="9525"/>
                <wp:docPr id="1264297370" name="Chart 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drawing xmlns:w="http://schemas.openxmlformats.org/wordprocessingml/2006/main">
              <wp:inline xmlns:wp="http://schemas.openxmlformats.org/drawingml/2006/wordprocessingDrawing" xmlns:wp14="http://schemas.microsoft.com/office/word/2010/wordprocessingDrawing" distT="0" distB="0" distL="0" distR="0" wp14:anchorId="397D8324" wp14:editId="69C920AF">
                <wp:extent cx="6067425" cy="2752725"/>
                <wp:effectExtent l="0" t="0" r="9525" b="9525"/>
                <wp:docPr id="1324978231" name="Chart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xmlns:mc="http://schemas.openxmlformats.org/markup-compatibility/2006">
                      <pic:nvPicPr>
                        <pic:cNvPr id="1264297370" name="Chart 2"/>
                        <pic:cNvPicPr>
                          <a:picLocks noGrp="1" noRot="1" noChangeAspect="1" noMove="1" noResize="1" noEditPoints="1" noAdjustHandles="1" noChangeArrowheads="1" noChangeShapeType="1"/>
                        </pic:cNvPicPr>
                      </pic:nvPicPr>
                      <pic:blipFill>
                        <a:blip xmlns:r="http://schemas.openxmlformats.org/officeDocument/2006/relationships" r:embed="rId18"/>
                        <a:stretch>
                          <a:fillRect/>
                        </a:stretch>
                      </pic:blipFill>
                      <pic:spPr>
                        <a:xfrm>
                          <a:off x="0" y="0"/>
                          <a:ext cx="6067425" cy="2752725"/>
                        </a:xfrm>
                        <a:prstGeom prst="rect">
                          <a:avLst/>
                        </a:prstGeom>
                      </pic:spPr>
                    </pic:pic>
                  </a:graphicData>
                </a:graphic>
              </wp:inline>
            </w:drawing>
          </mc:Fallback>
        </mc:AlternateContent>
      </w:r>
    </w:p>
    <w:p w14:paraId="6F647DFF" w14:textId="77777777" w:rsidR="004C3D25" w:rsidRDefault="004C3D25" w:rsidP="004C3D25">
      <w:pPr>
        <w:keepNext/>
        <w:spacing w:after="120"/>
        <w:jc w:val="both"/>
        <w:rPr>
          <w:rFonts w:ascii="Calibri" w:eastAsia="SimSun" w:hAnsi="Calibri" w:cs="Arial"/>
          <w:b/>
          <w:bCs/>
          <w:lang w:eastAsia="zh-CN"/>
        </w:rPr>
      </w:pPr>
    </w:p>
    <w:p w14:paraId="6C1F6C1A" w14:textId="77777777" w:rsidR="006A3C4F" w:rsidRDefault="006A3C4F" w:rsidP="004C3D25">
      <w:pPr>
        <w:keepNext/>
        <w:spacing w:after="120"/>
        <w:jc w:val="both"/>
        <w:rPr>
          <w:rFonts w:ascii="Calibri" w:eastAsia="SimSun" w:hAnsi="Calibri" w:cs="Arial"/>
          <w:b/>
          <w:bCs/>
          <w:lang w:eastAsia="zh-CN"/>
        </w:rPr>
      </w:pPr>
    </w:p>
    <w:p w14:paraId="7C2978D2" w14:textId="2A4FDEBB" w:rsidR="004C3D25" w:rsidRPr="00C51C01" w:rsidRDefault="004C3D25" w:rsidP="004C3D25">
      <w:pPr>
        <w:keepNext/>
        <w:spacing w:after="120"/>
        <w:rPr>
          <w:rFonts w:ascii="Calibri" w:eastAsia="SimSun" w:hAnsi="Calibri" w:cs="Arial"/>
          <w:lang w:val="en-US" w:eastAsia="zh-CN"/>
        </w:rPr>
      </w:pPr>
      <w:r w:rsidRPr="0F3AEA1A">
        <w:rPr>
          <w:rFonts w:ascii="Calibri" w:eastAsia="SimSun" w:hAnsi="Calibri" w:cs="Arial"/>
          <w:b/>
          <w:bCs/>
          <w:lang w:eastAsia="zh-CN"/>
        </w:rPr>
        <w:t>Chart 2</w:t>
      </w:r>
      <w:r w:rsidRPr="0F3AEA1A">
        <w:rPr>
          <w:rFonts w:ascii="Calibri" w:eastAsia="SimSun" w:hAnsi="Calibri" w:cs="Arial"/>
          <w:lang w:eastAsia="zh-CN"/>
        </w:rPr>
        <w:t xml:space="preserve"> </w:t>
      </w:r>
      <w:r>
        <w:rPr>
          <w:rFonts w:ascii="Calibri" w:eastAsia="SimSun" w:hAnsi="Calibri" w:cs="Arial"/>
          <w:lang w:eastAsia="zh-CN"/>
        </w:rPr>
        <w:t xml:space="preserve">details ITU-D Sector Members and Associates sustained growth since 2023, reflecting the </w:t>
      </w:r>
      <w:r w:rsidR="57A2BFA7" w:rsidRPr="35C3E4EB">
        <w:rPr>
          <w:rFonts w:ascii="Calibri" w:eastAsia="SimSun" w:hAnsi="Calibri" w:cs="Arial"/>
          <w:lang w:eastAsia="zh-CN"/>
        </w:rPr>
        <w:t>movement</w:t>
      </w:r>
      <w:r>
        <w:rPr>
          <w:rFonts w:ascii="Calibri" w:eastAsia="SimSun" w:hAnsi="Calibri" w:cs="Arial"/>
          <w:lang w:eastAsia="zh-CN"/>
        </w:rPr>
        <w:t xml:space="preserve"> in Sector Members and Associates. </w:t>
      </w:r>
      <w:r w:rsidRPr="2ABB8982">
        <w:rPr>
          <w:rFonts w:ascii="Calibri" w:eastAsia="SimSun" w:hAnsi="Calibri" w:cs="Arial"/>
          <w:lang w:eastAsia="zh-CN"/>
        </w:rPr>
        <w:t xml:space="preserve">By </w:t>
      </w:r>
      <w:r w:rsidRPr="2ABB8982">
        <w:rPr>
          <w:rFonts w:ascii="Calibri" w:eastAsia="SimSun" w:hAnsi="Calibri" w:cs="Arial"/>
          <w:lang w:val="en-US" w:eastAsia="zh-CN"/>
        </w:rPr>
        <w:t>December 202</w:t>
      </w:r>
      <w:r w:rsidR="00FB70F8">
        <w:rPr>
          <w:rFonts w:ascii="Calibri" w:eastAsia="SimSun" w:hAnsi="Calibri" w:cs="Arial"/>
          <w:lang w:val="en-US" w:eastAsia="zh-CN"/>
        </w:rPr>
        <w:t>5</w:t>
      </w:r>
      <w:r w:rsidRPr="2ABB8982">
        <w:rPr>
          <w:rFonts w:ascii="Calibri" w:eastAsia="SimSun" w:hAnsi="Calibri" w:cs="Arial"/>
          <w:lang w:val="en-US" w:eastAsia="zh-CN"/>
        </w:rPr>
        <w:t>, ITU-D attracted a total of</w:t>
      </w:r>
      <w:r w:rsidRPr="2ABB8982">
        <w:rPr>
          <w:rFonts w:ascii="Calibri" w:eastAsia="SimSun" w:hAnsi="Calibri" w:cs="Arial"/>
          <w:b/>
          <w:bCs/>
          <w:lang w:val="en-US" w:eastAsia="zh-CN"/>
        </w:rPr>
        <w:t xml:space="preserve"> t</w:t>
      </w:r>
      <w:r w:rsidR="00FB70F8">
        <w:rPr>
          <w:rFonts w:ascii="Calibri" w:eastAsia="SimSun" w:hAnsi="Calibri" w:cs="Arial"/>
          <w:b/>
          <w:bCs/>
          <w:lang w:val="en-US" w:eastAsia="zh-CN"/>
        </w:rPr>
        <w:t xml:space="preserve">hirty-three </w:t>
      </w:r>
      <w:r w:rsidRPr="2ABB8982">
        <w:rPr>
          <w:rFonts w:ascii="Calibri" w:eastAsia="SimSun" w:hAnsi="Calibri" w:cs="Arial"/>
          <w:b/>
          <w:bCs/>
          <w:lang w:val="en-US" w:eastAsia="zh-CN"/>
        </w:rPr>
        <w:t xml:space="preserve">new </w:t>
      </w:r>
      <w:r w:rsidRPr="2ABB8982">
        <w:rPr>
          <w:rFonts w:ascii="Calibri" w:eastAsia="SimSun" w:hAnsi="Calibri"/>
          <w:b/>
          <w:bCs/>
        </w:rPr>
        <w:t>Members</w:t>
      </w:r>
      <w:r>
        <w:rPr>
          <w:rFonts w:ascii="Calibri" w:eastAsia="SimSun" w:hAnsi="Calibri"/>
          <w:b/>
          <w:bCs/>
          <w:i/>
          <w:iCs/>
        </w:rPr>
        <w:t>.</w:t>
      </w:r>
      <w:r>
        <w:rPr>
          <w:rFonts w:ascii="Calibri" w:eastAsia="SimSun" w:hAnsi="Calibri" w:cs="Arial"/>
          <w:lang w:val="en-US" w:eastAsia="zh-CN"/>
        </w:rPr>
        <w:t xml:space="preserve"> </w:t>
      </w:r>
      <w:r w:rsidRPr="008A0245">
        <w:rPr>
          <w:rFonts w:ascii="Calibri" w:eastAsia="SimSun" w:hAnsi="Calibri" w:cs="Arial"/>
          <w:lang w:val="en-US" w:eastAsia="zh-CN"/>
        </w:rPr>
        <w:t>In 202</w:t>
      </w:r>
      <w:r w:rsidR="00FB70F8">
        <w:rPr>
          <w:rFonts w:ascii="Calibri" w:eastAsia="SimSun" w:hAnsi="Calibri" w:cs="Arial"/>
          <w:lang w:val="en-US" w:eastAsia="zh-CN"/>
        </w:rPr>
        <w:t>5</w:t>
      </w:r>
      <w:r w:rsidRPr="008A0245">
        <w:rPr>
          <w:rFonts w:ascii="Calibri" w:eastAsia="SimSun" w:hAnsi="Calibri" w:cs="Arial"/>
          <w:lang w:val="en-US" w:eastAsia="zh-CN"/>
        </w:rPr>
        <w:t xml:space="preserve">, the ITU-D reached the highest total number of Sector Members and Associates in the last </w:t>
      </w:r>
      <w:r w:rsidR="00530E3A" w:rsidRPr="00530E3A">
        <w:rPr>
          <w:rFonts w:ascii="Calibri" w:eastAsia="SimSun" w:hAnsi="Calibri" w:cs="Arial"/>
          <w:b/>
          <w:bCs/>
          <w:lang w:val="en-US" w:eastAsia="zh-CN"/>
        </w:rPr>
        <w:t>fifteen</w:t>
      </w:r>
      <w:r w:rsidRPr="00530E3A">
        <w:rPr>
          <w:rFonts w:ascii="Calibri" w:eastAsia="SimSun" w:hAnsi="Calibri" w:cs="Arial"/>
          <w:b/>
          <w:bCs/>
          <w:lang w:val="en-US" w:eastAsia="zh-CN"/>
        </w:rPr>
        <w:t xml:space="preserve"> years</w:t>
      </w:r>
      <w:r w:rsidRPr="008A0245">
        <w:rPr>
          <w:rFonts w:ascii="Calibri" w:eastAsia="SimSun" w:hAnsi="Calibri" w:cs="Arial"/>
          <w:lang w:val="en-US" w:eastAsia="zh-CN"/>
        </w:rPr>
        <w:t xml:space="preserve">. </w:t>
      </w:r>
      <w:r>
        <w:rPr>
          <w:rFonts w:ascii="Calibri" w:eastAsia="SimSun" w:hAnsi="Calibri" w:cs="Arial"/>
          <w:lang w:val="en-US" w:eastAsia="zh-CN"/>
        </w:rPr>
        <w:t>It</w:t>
      </w:r>
      <w:r w:rsidRPr="008A0245">
        <w:rPr>
          <w:rFonts w:ascii="Calibri" w:eastAsia="SimSun" w:hAnsi="Calibri" w:cs="Arial"/>
          <w:lang w:val="en-US" w:eastAsia="zh-CN"/>
        </w:rPr>
        <w:t xml:space="preserve"> saw the highest </w:t>
      </w:r>
      <w:r w:rsidRPr="008A0245">
        <w:rPr>
          <w:rFonts w:ascii="Calibri" w:eastAsia="SimSun" w:hAnsi="Calibri" w:cs="Arial"/>
          <w:b/>
          <w:bCs/>
          <w:lang w:val="en-US" w:eastAsia="zh-CN"/>
        </w:rPr>
        <w:t>net positive income change</w:t>
      </w:r>
      <w:r w:rsidRPr="008A0245">
        <w:rPr>
          <w:rFonts w:ascii="Calibri" w:eastAsia="SimSun" w:hAnsi="Calibri" w:cs="Arial"/>
          <w:lang w:val="en-US" w:eastAsia="zh-CN"/>
        </w:rPr>
        <w:t xml:space="preserve"> across the ITU in 202</w:t>
      </w:r>
      <w:r w:rsidR="00530E3A">
        <w:rPr>
          <w:rFonts w:ascii="Calibri" w:eastAsia="SimSun" w:hAnsi="Calibri" w:cs="Arial"/>
          <w:lang w:val="en-US" w:eastAsia="zh-CN"/>
        </w:rPr>
        <w:t>5</w:t>
      </w:r>
      <w:r w:rsidRPr="008A0245">
        <w:rPr>
          <w:rFonts w:ascii="Calibri" w:eastAsia="SimSun" w:hAnsi="Calibri" w:cs="Arial"/>
          <w:lang w:val="en-US" w:eastAsia="zh-CN"/>
        </w:rPr>
        <w:t xml:space="preserve"> with </w:t>
      </w:r>
      <w:r w:rsidRPr="008A0245">
        <w:rPr>
          <w:rFonts w:ascii="Calibri" w:eastAsia="SimSun" w:hAnsi="Calibri" w:cs="Arial"/>
          <w:b/>
          <w:bCs/>
          <w:lang w:val="en-US" w:eastAsia="zh-CN"/>
        </w:rPr>
        <w:t xml:space="preserve">CHF </w:t>
      </w:r>
      <w:r w:rsidR="00530E3A">
        <w:rPr>
          <w:rFonts w:ascii="Calibri" w:eastAsia="SimSun" w:hAnsi="Calibri" w:cs="Arial"/>
          <w:b/>
          <w:bCs/>
          <w:lang w:val="en-US" w:eastAsia="zh-CN"/>
        </w:rPr>
        <w:t>75</w:t>
      </w:r>
      <w:r w:rsidRPr="008A0245">
        <w:rPr>
          <w:rFonts w:ascii="Calibri" w:eastAsia="SimSun" w:hAnsi="Calibri" w:cs="Arial"/>
          <w:b/>
          <w:bCs/>
          <w:lang w:val="en-US" w:eastAsia="zh-CN"/>
        </w:rPr>
        <w:t>’</w:t>
      </w:r>
      <w:r w:rsidR="00530E3A">
        <w:rPr>
          <w:rFonts w:ascii="Calibri" w:eastAsia="SimSun" w:hAnsi="Calibri" w:cs="Arial"/>
          <w:b/>
          <w:bCs/>
          <w:lang w:val="en-US" w:eastAsia="zh-CN"/>
        </w:rPr>
        <w:t>525</w:t>
      </w:r>
      <w:r w:rsidRPr="008A0245">
        <w:rPr>
          <w:rFonts w:ascii="Calibri" w:eastAsia="SimSun" w:hAnsi="Calibri" w:cs="Arial"/>
          <w:lang w:val="en-US" w:eastAsia="zh-CN"/>
        </w:rPr>
        <w:t xml:space="preserve"> in net income gains. </w:t>
      </w:r>
      <w:r w:rsidRPr="79DBFE54">
        <w:rPr>
          <w:rFonts w:ascii="Calibri" w:eastAsia="SimSun" w:hAnsi="Calibri" w:cs="Arial"/>
          <w:lang w:val="en-US" w:eastAsia="zh-CN"/>
        </w:rPr>
        <w:t>The BDT Region with the highest number of new members in ITU-D w</w:t>
      </w:r>
      <w:r w:rsidR="00EF7754">
        <w:rPr>
          <w:rFonts w:ascii="Calibri" w:eastAsia="SimSun" w:hAnsi="Calibri" w:cs="Arial"/>
          <w:lang w:val="en-US" w:eastAsia="zh-CN"/>
        </w:rPr>
        <w:t>as Asia and the Pacific with eight new members in 2025, followed by Americas region with seven new members, Europe region with six new members, Africa region with four new members, Arab States and CIS regions each with two new members</w:t>
      </w:r>
      <w:r w:rsidRPr="79DBFE54">
        <w:rPr>
          <w:rFonts w:ascii="Calibri" w:eastAsia="SimSun" w:hAnsi="Calibri" w:cs="Arial"/>
          <w:lang w:val="en-US" w:eastAsia="zh-CN"/>
        </w:rPr>
        <w:t xml:space="preserve">, and </w:t>
      </w:r>
      <w:r w:rsidR="00EF7754">
        <w:rPr>
          <w:rFonts w:ascii="Calibri" w:eastAsia="SimSun" w:hAnsi="Calibri" w:cs="Arial"/>
          <w:lang w:val="en-US" w:eastAsia="zh-CN"/>
        </w:rPr>
        <w:t>four new</w:t>
      </w:r>
      <w:r w:rsidRPr="79DBFE54">
        <w:rPr>
          <w:rFonts w:ascii="Calibri" w:eastAsia="SimSun" w:hAnsi="Calibri" w:cs="Arial"/>
          <w:lang w:val="en-US" w:eastAsia="zh-CN"/>
        </w:rPr>
        <w:t xml:space="preserve"> member</w:t>
      </w:r>
      <w:r w:rsidR="00EF7754">
        <w:rPr>
          <w:rFonts w:ascii="Calibri" w:eastAsia="SimSun" w:hAnsi="Calibri" w:cs="Arial"/>
          <w:lang w:val="en-US" w:eastAsia="zh-CN"/>
        </w:rPr>
        <w:t>s</w:t>
      </w:r>
      <w:r w:rsidRPr="79DBFE54">
        <w:rPr>
          <w:rFonts w:ascii="Calibri" w:eastAsia="SimSun" w:hAnsi="Calibri" w:cs="Arial"/>
          <w:lang w:val="en-US" w:eastAsia="zh-CN"/>
        </w:rPr>
        <w:t xml:space="preserve"> joining as regional or international organization (REGINTORG). </w:t>
      </w:r>
    </w:p>
    <w:p w14:paraId="645FDEBB" w14:textId="4B23B637" w:rsidR="004C3D25" w:rsidRPr="000E5296" w:rsidRDefault="000E5296" w:rsidP="004C3D25">
      <w:pPr>
        <w:spacing w:after="120"/>
        <w:rPr>
          <w:rFonts w:ascii="Calibri" w:eastAsia="SimSun" w:hAnsi="Calibri" w:cs="Arial"/>
          <w:lang w:eastAsia="zh-CN"/>
        </w:rPr>
      </w:pPr>
      <w:r w:rsidRPr="000E5296">
        <w:rPr>
          <w:rFonts w:ascii="Calibri" w:eastAsia="SimSun" w:hAnsi="Calibri" w:cs="Arial"/>
          <w:lang w:eastAsia="zh-CN"/>
        </w:rPr>
        <w:t xml:space="preserve">The sustained growth of </w:t>
      </w:r>
      <w:r w:rsidRPr="35C3E4EB">
        <w:rPr>
          <w:rFonts w:ascii="Calibri" w:eastAsia="SimSun" w:hAnsi="Calibri" w:cs="Arial"/>
          <w:lang w:eastAsia="zh-CN"/>
        </w:rPr>
        <w:t>ITUD</w:t>
      </w:r>
      <w:r w:rsidRPr="000E5296">
        <w:rPr>
          <w:rFonts w:ascii="Calibri" w:eastAsia="SimSun" w:hAnsi="Calibri" w:cs="Arial"/>
          <w:lang w:eastAsia="zh-CN"/>
        </w:rPr>
        <w:t xml:space="preserve"> membership is driven by strengthened outreach efforts across several key action streams. These include inviting guests and observers to experience ITU</w:t>
      </w:r>
      <w:r w:rsidR="39603B44" w:rsidRPr="35C3E4EB">
        <w:rPr>
          <w:rFonts w:ascii="Calibri" w:eastAsia="SimSun" w:hAnsi="Calibri" w:cs="Arial"/>
          <w:lang w:eastAsia="zh-CN"/>
        </w:rPr>
        <w:t>-</w:t>
      </w:r>
      <w:r w:rsidRPr="000E5296">
        <w:rPr>
          <w:rFonts w:ascii="Calibri" w:eastAsia="SimSun" w:hAnsi="Calibri" w:cs="Arial"/>
          <w:lang w:eastAsia="zh-CN"/>
        </w:rPr>
        <w:t>D members</w:t>
      </w:r>
      <w:r w:rsidR="00967EF8" w:rsidRPr="35C3E4EB">
        <w:rPr>
          <w:rFonts w:ascii="Calibri" w:eastAsia="SimSun" w:hAnsi="Calibri" w:cs="Arial"/>
          <w:lang w:eastAsia="zh-CN"/>
        </w:rPr>
        <w:t xml:space="preserve"> </w:t>
      </w:r>
      <w:r w:rsidRPr="000E5296">
        <w:rPr>
          <w:rFonts w:ascii="Calibri" w:eastAsia="SimSun" w:hAnsi="Calibri" w:cs="Arial"/>
          <w:lang w:eastAsia="zh-CN"/>
        </w:rPr>
        <w:t xml:space="preserve">only events, enhancing internal capacity within BDT staff to effectively communicate </w:t>
      </w:r>
      <w:r w:rsidRPr="35C3E4EB">
        <w:rPr>
          <w:rFonts w:ascii="Calibri" w:eastAsia="SimSun" w:hAnsi="Calibri" w:cs="Arial"/>
          <w:lang w:eastAsia="zh-CN"/>
        </w:rPr>
        <w:t>ITUD</w:t>
      </w:r>
      <w:r>
        <w:rPr>
          <w:rFonts w:ascii="Calibri" w:eastAsia="SimSun" w:hAnsi="Calibri" w:cs="Arial"/>
          <w:lang w:eastAsia="zh-CN"/>
        </w:rPr>
        <w:t xml:space="preserve"> </w:t>
      </w:r>
      <w:r w:rsidRPr="000E5296">
        <w:rPr>
          <w:rFonts w:ascii="Calibri" w:eastAsia="SimSun" w:hAnsi="Calibri" w:cs="Arial"/>
          <w:lang w:eastAsia="zh-CN"/>
        </w:rPr>
        <w:t>membership benefits to external stakeholders, conducting outreach missions at major global events, and integrating the partnership value proposition into a unified membership</w:t>
      </w:r>
      <w:r>
        <w:rPr>
          <w:rFonts w:ascii="Calibri" w:eastAsia="SimSun" w:hAnsi="Calibri" w:cs="Arial"/>
          <w:lang w:eastAsia="zh-CN"/>
        </w:rPr>
        <w:t xml:space="preserve"> </w:t>
      </w:r>
      <w:r w:rsidRPr="000E5296">
        <w:rPr>
          <w:rFonts w:ascii="Calibri" w:eastAsia="SimSun" w:hAnsi="Calibri" w:cs="Arial"/>
          <w:lang w:eastAsia="zh-CN"/>
        </w:rPr>
        <w:t>and</w:t>
      </w:r>
      <w:r>
        <w:rPr>
          <w:rFonts w:ascii="Calibri" w:eastAsia="SimSun" w:hAnsi="Calibri" w:cs="Arial"/>
          <w:lang w:eastAsia="zh-CN"/>
        </w:rPr>
        <w:t xml:space="preserve"> </w:t>
      </w:r>
      <w:r w:rsidRPr="000E5296">
        <w:rPr>
          <w:rFonts w:ascii="Calibri" w:eastAsia="SimSun" w:hAnsi="Calibri" w:cs="Arial"/>
          <w:lang w:eastAsia="zh-CN"/>
        </w:rPr>
        <w:t>partnership benefits package.</w:t>
      </w:r>
      <w:r>
        <w:rPr>
          <w:rFonts w:ascii="Calibri" w:eastAsia="SimSun" w:hAnsi="Calibri" w:cs="Arial"/>
          <w:lang w:eastAsia="zh-CN"/>
        </w:rPr>
        <w:t xml:space="preserve"> </w:t>
      </w:r>
      <w:r w:rsidRPr="000E5296">
        <w:rPr>
          <w:rFonts w:ascii="Calibri" w:eastAsia="SimSun" w:hAnsi="Calibri" w:cs="Arial"/>
          <w:lang w:eastAsia="zh-CN"/>
        </w:rPr>
        <w:t>Finally, the intensified use of data</w:t>
      </w:r>
      <w:r w:rsidR="08B146B9" w:rsidRPr="35C3E4EB">
        <w:rPr>
          <w:rFonts w:ascii="Calibri" w:eastAsia="SimSun" w:hAnsi="Calibri" w:cs="Arial"/>
          <w:lang w:eastAsia="zh-CN"/>
        </w:rPr>
        <w:t xml:space="preserve"> </w:t>
      </w:r>
      <w:r w:rsidRPr="000E5296">
        <w:rPr>
          <w:rFonts w:ascii="Calibri" w:eastAsia="SimSun" w:hAnsi="Calibri" w:cs="Arial"/>
          <w:lang w:eastAsia="zh-CN"/>
        </w:rPr>
        <w:t>driven tools and dashboards enabled targeted follow</w:t>
      </w:r>
      <w:r w:rsidR="52F3AB11" w:rsidRPr="35C3E4EB">
        <w:rPr>
          <w:rFonts w:ascii="Calibri" w:eastAsia="SimSun" w:hAnsi="Calibri" w:cs="Arial"/>
          <w:lang w:eastAsia="zh-CN"/>
        </w:rPr>
        <w:t>-</w:t>
      </w:r>
      <w:r w:rsidRPr="000E5296">
        <w:rPr>
          <w:rFonts w:ascii="Calibri" w:eastAsia="SimSun" w:hAnsi="Calibri" w:cs="Arial"/>
          <w:lang w:eastAsia="zh-CN"/>
        </w:rPr>
        <w:t xml:space="preserve">up with accounts at risk, supporting their </w:t>
      </w:r>
      <w:r w:rsidRPr="35C3E4EB">
        <w:rPr>
          <w:rFonts w:ascii="Calibri" w:eastAsia="SimSun" w:hAnsi="Calibri" w:cs="Arial"/>
          <w:lang w:eastAsia="zh-CN"/>
        </w:rPr>
        <w:t>reengagement</w:t>
      </w:r>
      <w:r w:rsidRPr="000E5296">
        <w:rPr>
          <w:rFonts w:ascii="Calibri" w:eastAsia="SimSun" w:hAnsi="Calibri" w:cs="Arial"/>
          <w:lang w:eastAsia="zh-CN"/>
        </w:rPr>
        <w:t xml:space="preserve"> and contributing to higher retention rates and net membership growth.</w:t>
      </w:r>
    </w:p>
    <w:p w14:paraId="4CF08852" w14:textId="195F1317" w:rsidR="004C3D25" w:rsidRDefault="004C3D25" w:rsidP="002D1747">
      <w:pPr>
        <w:spacing w:after="120"/>
        <w:jc w:val="both"/>
        <w:rPr>
          <w:b/>
          <w:bCs/>
          <w:noProof/>
        </w:rPr>
      </w:pPr>
      <w:r>
        <w:rPr>
          <w:noProof/>
        </w:rPr>
        <w:t>The lists of membership movement in 202</w:t>
      </w:r>
      <w:r w:rsidR="005D7A3B">
        <w:rPr>
          <w:noProof/>
        </w:rPr>
        <w:t>5</w:t>
      </w:r>
      <w:r>
        <w:rPr>
          <w:noProof/>
        </w:rPr>
        <w:t xml:space="preserve"> can be found in Document</w:t>
      </w:r>
      <w:r w:rsidRPr="00944A9A">
        <w:rPr>
          <w:noProof/>
        </w:rPr>
        <w:t xml:space="preserve"> </w:t>
      </w:r>
      <w:hyperlink r:id="rId19" w:history="1">
        <w:r w:rsidRPr="002D1747">
          <w:rPr>
            <w:rStyle w:val="Hyperlink"/>
            <w:noProof/>
          </w:rPr>
          <w:t>TDAG-2</w:t>
        </w:r>
        <w:r w:rsidR="005D7A3B" w:rsidRPr="002D1747">
          <w:rPr>
            <w:rStyle w:val="Hyperlink"/>
            <w:noProof/>
          </w:rPr>
          <w:t>6</w:t>
        </w:r>
        <w:r w:rsidRPr="002D1747">
          <w:rPr>
            <w:rStyle w:val="Hyperlink"/>
            <w:noProof/>
          </w:rPr>
          <w:t>/INF/</w:t>
        </w:r>
        <w:r w:rsidR="30391526" w:rsidRPr="002D1747">
          <w:rPr>
            <w:rStyle w:val="Hyperlink"/>
            <w:noProof/>
          </w:rPr>
          <w:t>2</w:t>
        </w:r>
      </w:hyperlink>
      <w:r w:rsidRPr="002D1747">
        <w:rPr>
          <w:b/>
          <w:bCs/>
          <w:noProof/>
        </w:rPr>
        <w:t>.</w:t>
      </w:r>
    </w:p>
    <w:p w14:paraId="42AA8A34" w14:textId="77777777" w:rsidR="004C3D25" w:rsidRPr="00306331" w:rsidRDefault="004C3D25" w:rsidP="004C3D25">
      <w:pPr>
        <w:keepNext/>
        <w:numPr>
          <w:ilvl w:val="1"/>
          <w:numId w:val="45"/>
        </w:numPr>
        <w:tabs>
          <w:tab w:val="clear" w:pos="1871"/>
          <w:tab w:val="left" w:pos="567"/>
          <w:tab w:val="left" w:pos="1701"/>
        </w:tabs>
        <w:spacing w:after="120"/>
        <w:ind w:left="431" w:hanging="431"/>
        <w:rPr>
          <w:rFonts w:ascii="Calibri" w:eastAsia="SimSun" w:hAnsi="Calibri" w:cs="Arial"/>
          <w:b/>
          <w:bCs/>
          <w:szCs w:val="24"/>
          <w:lang w:val="en-US" w:eastAsia="zh-CN"/>
        </w:rPr>
      </w:pPr>
      <w:r w:rsidRPr="00306331">
        <w:rPr>
          <w:rFonts w:ascii="Calibri" w:eastAsia="SimSun" w:hAnsi="Calibri" w:cs="Arial"/>
          <w:b/>
          <w:bCs/>
          <w:szCs w:val="24"/>
          <w:lang w:val="en-US" w:eastAsia="zh-CN"/>
        </w:rPr>
        <w:t>Exemption of fees requests</w:t>
      </w:r>
    </w:p>
    <w:p w14:paraId="2384D39F" w14:textId="1DE2E559" w:rsidR="004C3D25" w:rsidRDefault="004C3D25" w:rsidP="004C3D25">
      <w:pPr>
        <w:tabs>
          <w:tab w:val="left" w:pos="567"/>
          <w:tab w:val="left" w:pos="1701"/>
        </w:tabs>
        <w:spacing w:after="120"/>
        <w:rPr>
          <w:rFonts w:ascii="Calibri" w:eastAsia="SimSun" w:hAnsi="Calibri" w:cs="Arial"/>
          <w:lang w:val="en-US" w:eastAsia="zh-CN"/>
        </w:rPr>
      </w:pPr>
      <w:r w:rsidRPr="000C1945">
        <w:rPr>
          <w:rFonts w:ascii="Calibri" w:eastAsia="SimSun" w:hAnsi="Calibri" w:cs="Arial"/>
          <w:lang w:val="en-US" w:eastAsia="zh-CN"/>
        </w:rPr>
        <w:t xml:space="preserve">BDT continued to review requests for exemption of fees </w:t>
      </w:r>
      <w:r>
        <w:rPr>
          <w:rFonts w:ascii="Calibri" w:eastAsia="SimSun" w:hAnsi="Calibri" w:cs="Arial"/>
          <w:lang w:val="en-US" w:eastAsia="zh-CN"/>
        </w:rPr>
        <w:t xml:space="preserve">in </w:t>
      </w:r>
      <w:r w:rsidRPr="000C1945">
        <w:rPr>
          <w:rFonts w:ascii="Calibri" w:eastAsia="SimSun" w:hAnsi="Calibri" w:cs="Arial"/>
          <w:lang w:eastAsia="zh-CN"/>
        </w:rPr>
        <w:t>accordance with No. 476 of the Convention</w:t>
      </w:r>
      <w:r w:rsidRPr="000C1945">
        <w:rPr>
          <w:rFonts w:ascii="Calibri" w:eastAsia="SimSun" w:hAnsi="Calibri" w:cs="Arial"/>
          <w:lang w:val="en-US" w:eastAsia="zh-CN"/>
        </w:rPr>
        <w:t xml:space="preserve"> </w:t>
      </w:r>
      <w:r>
        <w:rPr>
          <w:rFonts w:ascii="Calibri" w:eastAsia="SimSun" w:hAnsi="Calibri" w:cs="Arial"/>
          <w:lang w:val="en-US" w:eastAsia="zh-CN"/>
        </w:rPr>
        <w:t xml:space="preserve">and </w:t>
      </w:r>
      <w:r w:rsidRPr="000C1945">
        <w:rPr>
          <w:rFonts w:ascii="Calibri" w:eastAsia="SimSun" w:hAnsi="Calibri" w:cs="Arial"/>
          <w:lang w:val="en-US" w:eastAsia="zh-CN"/>
        </w:rPr>
        <w:t xml:space="preserve">as per ITU Council </w:t>
      </w:r>
      <w:r>
        <w:rPr>
          <w:rFonts w:ascii="Calibri" w:eastAsia="SimSun" w:hAnsi="Calibri" w:cs="Arial"/>
          <w:lang w:val="en-US" w:eastAsia="zh-CN"/>
        </w:rPr>
        <w:t>c</w:t>
      </w:r>
      <w:r w:rsidRPr="000C1945">
        <w:rPr>
          <w:rFonts w:ascii="Calibri" w:eastAsia="SimSun" w:hAnsi="Calibri" w:cs="Arial"/>
          <w:lang w:val="en-US" w:eastAsia="zh-CN"/>
        </w:rPr>
        <w:t>riteria</w:t>
      </w:r>
      <w:r>
        <w:rPr>
          <w:rFonts w:ascii="Calibri" w:eastAsia="SimSun" w:hAnsi="Calibri" w:cs="Arial"/>
          <w:lang w:val="en-US" w:eastAsia="zh-CN"/>
        </w:rPr>
        <w:t xml:space="preserve"> which can be found </w:t>
      </w:r>
      <w:hyperlink r:id="rId20" w:history="1">
        <w:r w:rsidRPr="000C1945">
          <w:rPr>
            <w:rStyle w:val="Hyperlink"/>
            <w:rFonts w:ascii="Calibri" w:eastAsia="SimSun" w:hAnsi="Calibri" w:cs="Arial"/>
            <w:lang w:val="en-US" w:eastAsia="zh-CN"/>
          </w:rPr>
          <w:t>here</w:t>
        </w:r>
      </w:hyperlink>
      <w:r w:rsidRPr="000C1945">
        <w:rPr>
          <w:rFonts w:ascii="Calibri" w:eastAsia="SimSun" w:hAnsi="Calibri" w:cs="Arial"/>
          <w:lang w:eastAsia="zh-CN"/>
        </w:rPr>
        <w:t>.</w:t>
      </w:r>
      <w:r w:rsidRPr="000C1945">
        <w:rPr>
          <w:rFonts w:ascii="Calibri" w:eastAsia="SimSun" w:hAnsi="Calibri" w:cs="Arial"/>
          <w:lang w:val="en-US" w:eastAsia="zh-CN"/>
        </w:rPr>
        <w:t xml:space="preserve"> ITU Council, </w:t>
      </w:r>
      <w:r>
        <w:rPr>
          <w:rFonts w:ascii="Calibri" w:eastAsia="SimSun" w:hAnsi="Calibri" w:cs="Arial"/>
          <w:lang w:val="en-US" w:eastAsia="zh-CN"/>
        </w:rPr>
        <w:t>at</w:t>
      </w:r>
      <w:r w:rsidRPr="000C1945">
        <w:rPr>
          <w:rFonts w:ascii="Calibri" w:eastAsia="SimSun" w:hAnsi="Calibri" w:cs="Arial"/>
          <w:lang w:val="en-US" w:eastAsia="zh-CN"/>
        </w:rPr>
        <w:t xml:space="preserve"> its 202</w:t>
      </w:r>
      <w:r w:rsidR="005D7A3B">
        <w:rPr>
          <w:rFonts w:ascii="Calibri" w:eastAsia="SimSun" w:hAnsi="Calibri" w:cs="Arial"/>
          <w:lang w:val="en-US" w:eastAsia="zh-CN"/>
        </w:rPr>
        <w:t>5</w:t>
      </w:r>
      <w:r w:rsidRPr="000C1945">
        <w:rPr>
          <w:rFonts w:ascii="Calibri" w:eastAsia="SimSun" w:hAnsi="Calibri" w:cs="Arial"/>
          <w:lang w:val="en-US" w:eastAsia="zh-CN"/>
        </w:rPr>
        <w:t xml:space="preserve"> </w:t>
      </w:r>
      <w:r w:rsidR="005D7A3B">
        <w:rPr>
          <w:rFonts w:ascii="Calibri" w:eastAsia="SimSun" w:hAnsi="Calibri" w:cs="Arial"/>
          <w:lang w:val="en-US" w:eastAsia="zh-CN"/>
        </w:rPr>
        <w:t>meeting</w:t>
      </w:r>
      <w:r>
        <w:rPr>
          <w:rFonts w:ascii="Calibri" w:eastAsia="SimSun" w:hAnsi="Calibri" w:cs="Arial"/>
          <w:lang w:val="en-US" w:eastAsia="zh-CN"/>
        </w:rPr>
        <w:t xml:space="preserve"> S</w:t>
      </w:r>
      <w:r w:rsidRPr="000C1945">
        <w:rPr>
          <w:rFonts w:ascii="Calibri" w:eastAsia="SimSun" w:hAnsi="Calibri" w:cs="Arial"/>
          <w:lang w:val="en-US" w:eastAsia="zh-CN"/>
        </w:rPr>
        <w:t xml:space="preserve">ession approved </w:t>
      </w:r>
      <w:r w:rsidR="005D7A3B">
        <w:rPr>
          <w:rFonts w:ascii="Calibri" w:eastAsia="SimSun" w:hAnsi="Calibri" w:cs="Arial"/>
          <w:b/>
          <w:bCs/>
          <w:lang w:val="en-US" w:eastAsia="zh-CN"/>
        </w:rPr>
        <w:t>three</w:t>
      </w:r>
      <w:r w:rsidRPr="000C1945">
        <w:rPr>
          <w:rFonts w:ascii="Calibri" w:eastAsia="SimSun" w:hAnsi="Calibri" w:cs="Arial"/>
          <w:b/>
          <w:bCs/>
          <w:lang w:val="en-US" w:eastAsia="zh-CN"/>
        </w:rPr>
        <w:t xml:space="preserve"> </w:t>
      </w:r>
      <w:r w:rsidRPr="000C1945">
        <w:rPr>
          <w:rFonts w:ascii="Calibri" w:eastAsia="SimSun" w:hAnsi="Calibri" w:cs="Arial"/>
          <w:lang w:val="en-US" w:eastAsia="zh-CN"/>
        </w:rPr>
        <w:t>organizations to join ITU-D as exempted members:</w:t>
      </w:r>
    </w:p>
    <w:p w14:paraId="39B72F5D" w14:textId="3C475819" w:rsidR="004C3D25" w:rsidRPr="004D4856" w:rsidRDefault="005D7A3B" w:rsidP="004C3D25">
      <w:pPr>
        <w:pStyle w:val="ListParagraph"/>
        <w:numPr>
          <w:ilvl w:val="0"/>
          <w:numId w:val="46"/>
        </w:numPr>
        <w:tabs>
          <w:tab w:val="left" w:pos="1701"/>
        </w:tabs>
        <w:spacing w:before="60" w:after="60"/>
        <w:ind w:left="714" w:hanging="357"/>
        <w:contextualSpacing w:val="0"/>
        <w:rPr>
          <w:rFonts w:ascii="Calibri" w:eastAsia="SimSun" w:hAnsi="Calibri" w:cs="Arial"/>
          <w:lang w:val="en-US" w:eastAsia="zh-CN"/>
        </w:rPr>
      </w:pPr>
      <w:r>
        <w:rPr>
          <w:rFonts w:ascii="Calibri" w:eastAsia="SimSun" w:hAnsi="Calibri" w:cs="Arial"/>
          <w:lang w:val="en-US" w:eastAsia="zh-CN"/>
        </w:rPr>
        <w:t>Cyber Institute</w:t>
      </w:r>
    </w:p>
    <w:p w14:paraId="43A0C9E4" w14:textId="42FE0BDA" w:rsidR="004C3D25" w:rsidRDefault="005D7A3B" w:rsidP="004C3D25">
      <w:pPr>
        <w:pStyle w:val="ListParagraph"/>
        <w:numPr>
          <w:ilvl w:val="0"/>
          <w:numId w:val="46"/>
        </w:numPr>
        <w:tabs>
          <w:tab w:val="left" w:pos="1701"/>
        </w:tabs>
        <w:spacing w:before="60" w:after="60"/>
        <w:ind w:left="714" w:hanging="357"/>
        <w:contextualSpacing w:val="0"/>
        <w:rPr>
          <w:rFonts w:ascii="Calibri" w:eastAsia="SimSun" w:hAnsi="Calibri" w:cs="Arial"/>
          <w:lang w:val="en-US" w:eastAsia="zh-CN"/>
        </w:rPr>
      </w:pPr>
      <w:r>
        <w:rPr>
          <w:rFonts w:ascii="Calibri" w:eastAsia="SimSun" w:hAnsi="Calibri" w:cs="Arial"/>
          <w:lang w:val="en-US" w:eastAsia="zh-CN"/>
        </w:rPr>
        <w:t>Space Generation Advisory Council (SGAC)</w:t>
      </w:r>
    </w:p>
    <w:p w14:paraId="16FF950F" w14:textId="7656CCDB" w:rsidR="005D7A3B" w:rsidRDefault="005D7A3B" w:rsidP="004C3D25">
      <w:pPr>
        <w:pStyle w:val="ListParagraph"/>
        <w:numPr>
          <w:ilvl w:val="0"/>
          <w:numId w:val="46"/>
        </w:numPr>
        <w:tabs>
          <w:tab w:val="left" w:pos="1701"/>
        </w:tabs>
        <w:spacing w:before="60" w:after="60"/>
        <w:ind w:left="714" w:hanging="357"/>
        <w:contextualSpacing w:val="0"/>
        <w:rPr>
          <w:rFonts w:ascii="Calibri" w:eastAsia="SimSun" w:hAnsi="Calibri" w:cs="Arial"/>
          <w:lang w:val="en-US" w:eastAsia="zh-CN"/>
        </w:rPr>
      </w:pPr>
      <w:r>
        <w:rPr>
          <w:rFonts w:ascii="Calibri" w:eastAsia="SimSun" w:hAnsi="Calibri" w:cs="Arial"/>
          <w:lang w:val="en-US" w:eastAsia="zh-CN"/>
        </w:rPr>
        <w:t>Islamic World Educational, Scientific, and Cultural Organization (ICESCO)</w:t>
      </w:r>
    </w:p>
    <w:p w14:paraId="74083808" w14:textId="77777777" w:rsidR="004C3D25" w:rsidRPr="00306331" w:rsidRDefault="004C3D25" w:rsidP="004C3D25">
      <w:pPr>
        <w:keepNext/>
        <w:numPr>
          <w:ilvl w:val="1"/>
          <w:numId w:val="45"/>
        </w:numPr>
        <w:tabs>
          <w:tab w:val="clear" w:pos="1871"/>
          <w:tab w:val="left" w:pos="567"/>
          <w:tab w:val="left" w:pos="1701"/>
        </w:tabs>
        <w:spacing w:after="120"/>
        <w:ind w:left="431" w:hanging="431"/>
        <w:rPr>
          <w:rFonts w:ascii="Calibri" w:eastAsia="SimSun" w:hAnsi="Calibri" w:cs="Arial"/>
          <w:b/>
          <w:bCs/>
          <w:szCs w:val="24"/>
          <w:lang w:val="en-US" w:eastAsia="zh-CN"/>
        </w:rPr>
      </w:pPr>
      <w:r w:rsidRPr="00306331">
        <w:rPr>
          <w:rFonts w:ascii="Calibri" w:eastAsia="SimSun" w:hAnsi="Calibri" w:cs="Arial"/>
          <w:b/>
          <w:bCs/>
          <w:szCs w:val="24"/>
          <w:lang w:val="en-US" w:eastAsia="zh-CN"/>
        </w:rPr>
        <w:lastRenderedPageBreak/>
        <w:t>Pending Approvals</w:t>
      </w:r>
      <w:r>
        <w:rPr>
          <w:rFonts w:ascii="Calibri" w:eastAsia="SimSun" w:hAnsi="Calibri" w:cs="Arial"/>
          <w:b/>
          <w:bCs/>
          <w:szCs w:val="24"/>
          <w:lang w:val="en-US" w:eastAsia="zh-CN"/>
        </w:rPr>
        <w:t xml:space="preserve"> – ITU-D Sector Members and Associates</w:t>
      </w:r>
    </w:p>
    <w:p w14:paraId="7A5A7B12" w14:textId="716A2F13" w:rsidR="004C3D25" w:rsidRDefault="004C3D25" w:rsidP="004C3D25">
      <w:pPr>
        <w:tabs>
          <w:tab w:val="left" w:pos="426"/>
          <w:tab w:val="left" w:pos="1701"/>
        </w:tabs>
        <w:spacing w:after="120"/>
        <w:rPr>
          <w:noProof/>
        </w:rPr>
      </w:pPr>
      <w:r w:rsidRPr="69D832B4">
        <w:rPr>
          <w:rFonts w:ascii="Calibri" w:eastAsia="SimSun" w:hAnsi="Calibri" w:cs="Arial"/>
          <w:lang w:val="en-US" w:eastAsia="zh-CN"/>
        </w:rPr>
        <w:t xml:space="preserve">By </w:t>
      </w:r>
      <w:r w:rsidR="138F7E03" w:rsidRPr="76FDC2F6">
        <w:rPr>
          <w:rFonts w:ascii="Calibri" w:eastAsia="SimSun" w:hAnsi="Calibri" w:cs="Arial"/>
          <w:lang w:val="en-US" w:eastAsia="zh-CN"/>
        </w:rPr>
        <w:t xml:space="preserve">the </w:t>
      </w:r>
      <w:r w:rsidR="4576C40F" w:rsidRPr="76FDC2F6">
        <w:rPr>
          <w:rFonts w:ascii="Calibri" w:eastAsia="SimSun" w:hAnsi="Calibri" w:cs="Arial"/>
          <w:lang w:val="en-US" w:eastAsia="zh-CN"/>
        </w:rPr>
        <w:t>end of</w:t>
      </w:r>
      <w:r w:rsidR="005D7A3B">
        <w:rPr>
          <w:rFonts w:ascii="Calibri" w:eastAsia="SimSun" w:hAnsi="Calibri" w:cs="Arial"/>
          <w:lang w:val="en-US" w:eastAsia="zh-CN"/>
        </w:rPr>
        <w:t xml:space="preserve"> December</w:t>
      </w:r>
      <w:r w:rsidRPr="69D832B4">
        <w:rPr>
          <w:rFonts w:ascii="Calibri" w:eastAsia="SimSun" w:hAnsi="Calibri" w:cs="Arial"/>
          <w:lang w:val="en-US" w:eastAsia="zh-CN"/>
        </w:rPr>
        <w:t xml:space="preserve"> 202</w:t>
      </w:r>
      <w:r>
        <w:rPr>
          <w:rFonts w:ascii="Calibri" w:eastAsia="SimSun" w:hAnsi="Calibri" w:cs="Arial"/>
          <w:lang w:val="en-US" w:eastAsia="zh-CN"/>
        </w:rPr>
        <w:t>5</w:t>
      </w:r>
      <w:r w:rsidRPr="69D832B4">
        <w:rPr>
          <w:rFonts w:ascii="Calibri" w:eastAsia="SimSun" w:hAnsi="Calibri" w:cs="Arial"/>
          <w:lang w:val="en-US" w:eastAsia="zh-CN"/>
        </w:rPr>
        <w:t xml:space="preserve">, </w:t>
      </w:r>
      <w:r w:rsidR="005D7A3B">
        <w:rPr>
          <w:rFonts w:ascii="Calibri" w:eastAsia="SimSun" w:hAnsi="Calibri" w:cs="Arial"/>
          <w:b/>
          <w:bCs/>
          <w:lang w:val="en-US" w:eastAsia="zh-CN"/>
        </w:rPr>
        <w:t xml:space="preserve">seven </w:t>
      </w:r>
      <w:r w:rsidRPr="69D832B4">
        <w:rPr>
          <w:rFonts w:ascii="Calibri" w:eastAsia="SimSun" w:hAnsi="Calibri" w:cs="Arial"/>
          <w:b/>
          <w:bCs/>
          <w:lang w:val="en-US" w:eastAsia="zh-CN"/>
        </w:rPr>
        <w:t>entities</w:t>
      </w:r>
      <w:r w:rsidRPr="69D832B4">
        <w:rPr>
          <w:rFonts w:ascii="Calibri" w:eastAsia="SimSun" w:hAnsi="Calibri" w:cs="Arial"/>
          <w:lang w:val="en-US" w:eastAsia="zh-CN"/>
        </w:rPr>
        <w:t xml:space="preserve"> were </w:t>
      </w:r>
      <w:r w:rsidRPr="69D832B4">
        <w:rPr>
          <w:rFonts w:ascii="Calibri" w:eastAsia="SimSun" w:hAnsi="Calibri" w:cs="Arial"/>
          <w:b/>
          <w:bCs/>
          <w:lang w:val="en-US" w:eastAsia="zh-CN"/>
        </w:rPr>
        <w:t>pending clearance</w:t>
      </w:r>
      <w:r w:rsidRPr="69D832B4">
        <w:rPr>
          <w:rFonts w:ascii="Calibri" w:eastAsia="SimSun" w:hAnsi="Calibri" w:cs="Arial"/>
          <w:lang w:val="en-US" w:eastAsia="zh-CN"/>
        </w:rPr>
        <w:t xml:space="preserve"> from their </w:t>
      </w:r>
      <w:r w:rsidRPr="004D4856">
        <w:rPr>
          <w:rFonts w:ascii="Calibri" w:eastAsia="SimSun" w:hAnsi="Calibri" w:cs="Arial"/>
          <w:lang w:val="en-US" w:eastAsia="zh-CN"/>
        </w:rPr>
        <w:t>respective administrations</w:t>
      </w:r>
      <w:r w:rsidRPr="69D832B4">
        <w:rPr>
          <w:rFonts w:ascii="Calibri" w:eastAsia="SimSun" w:hAnsi="Calibri" w:cs="Arial"/>
          <w:lang w:val="en-US" w:eastAsia="zh-CN"/>
        </w:rPr>
        <w:t>.</w:t>
      </w:r>
      <w:r w:rsidRPr="69D832B4">
        <w:rPr>
          <w:noProof/>
        </w:rPr>
        <w:t xml:space="preserve"> We would like to thank the Administrations of the private sector entities who we understand are paying due attention </w:t>
      </w:r>
      <w:r>
        <w:rPr>
          <w:noProof/>
        </w:rPr>
        <w:t xml:space="preserve">and reviewing </w:t>
      </w:r>
      <w:r w:rsidRPr="69D832B4">
        <w:rPr>
          <w:noProof/>
        </w:rPr>
        <w:t>ITU-D membership requests</w:t>
      </w:r>
      <w:r>
        <w:rPr>
          <w:noProof/>
        </w:rPr>
        <w:t>.</w:t>
      </w:r>
    </w:p>
    <w:tbl>
      <w:tblPr>
        <w:tblW w:w="9609" w:type="dxa"/>
        <w:tblLook w:val="04A0" w:firstRow="1" w:lastRow="0" w:firstColumn="1" w:lastColumn="0" w:noHBand="0" w:noVBand="1"/>
      </w:tblPr>
      <w:tblGrid>
        <w:gridCol w:w="5035"/>
        <w:gridCol w:w="2250"/>
        <w:gridCol w:w="2324"/>
      </w:tblGrid>
      <w:tr w:rsidR="004C3D25" w:rsidRPr="0034662A" w14:paraId="6AD9B58E" w14:textId="77777777">
        <w:trPr>
          <w:trHeight w:val="288"/>
        </w:trPr>
        <w:tc>
          <w:tcPr>
            <w:tcW w:w="5035" w:type="dxa"/>
            <w:tcBorders>
              <w:top w:val="single" w:sz="4" w:space="0" w:color="44B3E1"/>
              <w:left w:val="single" w:sz="4" w:space="0" w:color="44B3E1"/>
              <w:bottom w:val="single" w:sz="4" w:space="0" w:color="auto"/>
              <w:right w:val="nil"/>
            </w:tcBorders>
            <w:shd w:val="clear" w:color="156082" w:fill="156082"/>
            <w:noWrap/>
            <w:vAlign w:val="bottom"/>
            <w:hideMark/>
          </w:tcPr>
          <w:p w14:paraId="7C305E97" w14:textId="77777777" w:rsidR="004C3D25" w:rsidRPr="0034662A" w:rsidRDefault="004C3D25">
            <w:pPr>
              <w:overflowPunct/>
              <w:autoSpaceDE/>
              <w:autoSpaceDN/>
              <w:adjustRightInd/>
              <w:spacing w:before="0"/>
              <w:textAlignment w:val="auto"/>
              <w:rPr>
                <w:rFonts w:cstheme="minorHAnsi"/>
                <w:b/>
                <w:bCs/>
                <w:color w:val="FFFFFF"/>
                <w:sz w:val="21"/>
                <w:szCs w:val="21"/>
                <w:lang w:eastAsia="en-GB"/>
              </w:rPr>
            </w:pPr>
            <w:r w:rsidRPr="0034662A">
              <w:rPr>
                <w:rFonts w:cstheme="minorHAnsi"/>
                <w:b/>
                <w:bCs/>
                <w:color w:val="FFFFFF"/>
                <w:sz w:val="21"/>
                <w:szCs w:val="21"/>
                <w:lang w:eastAsia="en-GB"/>
              </w:rPr>
              <w:t>Account</w:t>
            </w:r>
          </w:p>
        </w:tc>
        <w:tc>
          <w:tcPr>
            <w:tcW w:w="2250" w:type="dxa"/>
            <w:tcBorders>
              <w:top w:val="single" w:sz="4" w:space="0" w:color="44B3E1"/>
              <w:left w:val="nil"/>
              <w:bottom w:val="single" w:sz="4" w:space="0" w:color="auto"/>
              <w:right w:val="nil"/>
            </w:tcBorders>
            <w:shd w:val="clear" w:color="156082" w:fill="156082"/>
            <w:noWrap/>
            <w:vAlign w:val="bottom"/>
            <w:hideMark/>
          </w:tcPr>
          <w:p w14:paraId="66A9CD33" w14:textId="77777777" w:rsidR="004C3D25" w:rsidRPr="0034662A" w:rsidRDefault="004C3D25">
            <w:pPr>
              <w:overflowPunct/>
              <w:autoSpaceDE/>
              <w:autoSpaceDN/>
              <w:adjustRightInd/>
              <w:spacing w:before="0"/>
              <w:textAlignment w:val="auto"/>
              <w:rPr>
                <w:rFonts w:cstheme="minorHAnsi"/>
                <w:b/>
                <w:bCs/>
                <w:color w:val="FFFFFF"/>
                <w:sz w:val="21"/>
                <w:szCs w:val="21"/>
                <w:lang w:eastAsia="en-GB"/>
              </w:rPr>
            </w:pPr>
            <w:r w:rsidRPr="0034662A">
              <w:rPr>
                <w:rFonts w:cstheme="minorHAnsi"/>
                <w:b/>
                <w:bCs/>
                <w:color w:val="FFFFFF"/>
                <w:sz w:val="21"/>
                <w:szCs w:val="21"/>
                <w:lang w:eastAsia="en-GB"/>
              </w:rPr>
              <w:t>Country</w:t>
            </w:r>
          </w:p>
        </w:tc>
        <w:tc>
          <w:tcPr>
            <w:tcW w:w="2324" w:type="dxa"/>
            <w:tcBorders>
              <w:top w:val="single" w:sz="4" w:space="0" w:color="44B3E1"/>
              <w:left w:val="nil"/>
              <w:bottom w:val="single" w:sz="4" w:space="0" w:color="auto"/>
              <w:right w:val="single" w:sz="4" w:space="0" w:color="44B3E1"/>
            </w:tcBorders>
            <w:shd w:val="clear" w:color="156082" w:fill="156082"/>
            <w:noWrap/>
            <w:vAlign w:val="bottom"/>
            <w:hideMark/>
          </w:tcPr>
          <w:p w14:paraId="1B321198" w14:textId="77777777" w:rsidR="004C3D25" w:rsidRPr="0034662A" w:rsidRDefault="004C3D25">
            <w:pPr>
              <w:overflowPunct/>
              <w:autoSpaceDE/>
              <w:autoSpaceDN/>
              <w:adjustRightInd/>
              <w:spacing w:before="0"/>
              <w:textAlignment w:val="auto"/>
              <w:rPr>
                <w:rFonts w:cstheme="minorHAnsi"/>
                <w:b/>
                <w:bCs/>
                <w:color w:val="FFFFFF"/>
                <w:sz w:val="21"/>
                <w:szCs w:val="21"/>
                <w:lang w:eastAsia="en-GB"/>
              </w:rPr>
            </w:pPr>
            <w:r>
              <w:rPr>
                <w:rFonts w:cstheme="minorHAnsi"/>
                <w:b/>
                <w:bCs/>
                <w:color w:val="FFFFFF"/>
                <w:sz w:val="21"/>
                <w:szCs w:val="21"/>
                <w:lang w:eastAsia="en-GB"/>
              </w:rPr>
              <w:t>Membership type</w:t>
            </w:r>
          </w:p>
        </w:tc>
      </w:tr>
      <w:tr w:rsidR="004C3D25" w:rsidRPr="0034662A" w14:paraId="37843C20" w14:textId="77777777">
        <w:trPr>
          <w:trHeight w:val="288"/>
        </w:trPr>
        <w:tc>
          <w:tcPr>
            <w:tcW w:w="5035" w:type="dxa"/>
            <w:tcBorders>
              <w:top w:val="single" w:sz="4" w:space="0" w:color="44B3E1"/>
              <w:left w:val="single" w:sz="4" w:space="0" w:color="44B3E1"/>
              <w:bottom w:val="single" w:sz="4" w:space="0" w:color="44B3E1"/>
              <w:right w:val="nil"/>
            </w:tcBorders>
            <w:shd w:val="clear" w:color="C0E6F5" w:fill="C0E6F5"/>
            <w:noWrap/>
            <w:vAlign w:val="bottom"/>
            <w:hideMark/>
          </w:tcPr>
          <w:p w14:paraId="223196B1" w14:textId="77777777" w:rsidR="004C3D25" w:rsidRPr="000E5296" w:rsidRDefault="004C3D25">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Motion Technology</w:t>
            </w:r>
          </w:p>
        </w:tc>
        <w:tc>
          <w:tcPr>
            <w:tcW w:w="2250" w:type="dxa"/>
            <w:tcBorders>
              <w:top w:val="single" w:sz="4" w:space="0" w:color="44B3E1"/>
              <w:left w:val="nil"/>
              <w:bottom w:val="single" w:sz="4" w:space="0" w:color="44B3E1"/>
              <w:right w:val="nil"/>
            </w:tcBorders>
            <w:shd w:val="clear" w:color="C0E6F5" w:fill="C0E6F5"/>
            <w:noWrap/>
            <w:vAlign w:val="bottom"/>
            <w:hideMark/>
          </w:tcPr>
          <w:p w14:paraId="636EBC92" w14:textId="77777777" w:rsidR="004C3D25" w:rsidRPr="000E5296" w:rsidRDefault="004C3D25">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Iraq</w:t>
            </w:r>
          </w:p>
        </w:tc>
        <w:tc>
          <w:tcPr>
            <w:tcW w:w="2324" w:type="dxa"/>
            <w:tcBorders>
              <w:top w:val="single" w:sz="4" w:space="0" w:color="44B3E1"/>
              <w:left w:val="nil"/>
              <w:bottom w:val="single" w:sz="4" w:space="0" w:color="44B3E1"/>
              <w:right w:val="single" w:sz="4" w:space="0" w:color="44B3E1"/>
            </w:tcBorders>
            <w:shd w:val="clear" w:color="C0E6F5" w:fill="C0E6F5"/>
            <w:noWrap/>
            <w:vAlign w:val="bottom"/>
            <w:hideMark/>
          </w:tcPr>
          <w:p w14:paraId="2A4516B1" w14:textId="77777777" w:rsidR="004C3D25" w:rsidRPr="000E5296" w:rsidRDefault="004C3D25">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ASSOCIATE ITU-D SG2</w:t>
            </w:r>
          </w:p>
        </w:tc>
      </w:tr>
      <w:tr w:rsidR="004C3D25" w:rsidRPr="0034662A" w14:paraId="2A87B491" w14:textId="77777777">
        <w:trPr>
          <w:trHeight w:val="288"/>
        </w:trPr>
        <w:tc>
          <w:tcPr>
            <w:tcW w:w="5035" w:type="dxa"/>
            <w:tcBorders>
              <w:top w:val="single" w:sz="4" w:space="0" w:color="44B3E1"/>
              <w:left w:val="single" w:sz="4" w:space="0" w:color="44B3E1"/>
              <w:bottom w:val="single" w:sz="4" w:space="0" w:color="44B3E1"/>
              <w:right w:val="nil"/>
            </w:tcBorders>
            <w:noWrap/>
            <w:vAlign w:val="bottom"/>
            <w:hideMark/>
          </w:tcPr>
          <w:p w14:paraId="67035776" w14:textId="3B440206"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Beteseb Enterprises</w:t>
            </w:r>
          </w:p>
        </w:tc>
        <w:tc>
          <w:tcPr>
            <w:tcW w:w="2250" w:type="dxa"/>
            <w:tcBorders>
              <w:top w:val="single" w:sz="4" w:space="0" w:color="44B3E1"/>
              <w:left w:val="nil"/>
              <w:bottom w:val="single" w:sz="4" w:space="0" w:color="44B3E1"/>
              <w:right w:val="nil"/>
            </w:tcBorders>
            <w:noWrap/>
            <w:vAlign w:val="bottom"/>
            <w:hideMark/>
          </w:tcPr>
          <w:p w14:paraId="063F40C8" w14:textId="1A60AC8B"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Ethiopia</w:t>
            </w:r>
          </w:p>
        </w:tc>
        <w:tc>
          <w:tcPr>
            <w:tcW w:w="2324" w:type="dxa"/>
            <w:tcBorders>
              <w:top w:val="single" w:sz="4" w:space="0" w:color="44B3E1"/>
              <w:left w:val="nil"/>
              <w:bottom w:val="single" w:sz="4" w:space="0" w:color="44B3E1"/>
              <w:right w:val="single" w:sz="4" w:space="0" w:color="44B3E1"/>
            </w:tcBorders>
            <w:noWrap/>
            <w:vAlign w:val="bottom"/>
            <w:hideMark/>
          </w:tcPr>
          <w:p w14:paraId="43A4F63F" w14:textId="5E80653D"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ASSOCIATE ITU-D SG2</w:t>
            </w:r>
          </w:p>
        </w:tc>
      </w:tr>
      <w:tr w:rsidR="004C3D25" w:rsidRPr="0034662A" w14:paraId="697CD100" w14:textId="77777777">
        <w:trPr>
          <w:trHeight w:val="288"/>
        </w:trPr>
        <w:tc>
          <w:tcPr>
            <w:tcW w:w="5035" w:type="dxa"/>
            <w:tcBorders>
              <w:top w:val="single" w:sz="4" w:space="0" w:color="44B3E1"/>
              <w:left w:val="single" w:sz="4" w:space="0" w:color="44B3E1"/>
              <w:bottom w:val="single" w:sz="4" w:space="0" w:color="44B3E1"/>
              <w:right w:val="nil"/>
            </w:tcBorders>
            <w:shd w:val="clear" w:color="C0E6F5" w:fill="C0E6F5"/>
            <w:noWrap/>
            <w:vAlign w:val="bottom"/>
            <w:hideMark/>
          </w:tcPr>
          <w:p w14:paraId="3326E4CF" w14:textId="684FC084" w:rsidR="004C3D25" w:rsidRPr="000E5296" w:rsidRDefault="004C3D25">
            <w:pPr>
              <w:overflowPunct/>
              <w:autoSpaceDE/>
              <w:autoSpaceDN/>
              <w:adjustRightInd/>
              <w:spacing w:before="0"/>
              <w:textAlignment w:val="auto"/>
              <w:rPr>
                <w:rFonts w:cstheme="minorHAnsi"/>
                <w:color w:val="000000"/>
                <w:sz w:val="21"/>
                <w:szCs w:val="21"/>
                <w:lang w:val="fr-FR" w:eastAsia="en-GB"/>
              </w:rPr>
            </w:pPr>
            <w:r w:rsidRPr="000E5296">
              <w:rPr>
                <w:rFonts w:cstheme="minorHAnsi"/>
                <w:color w:val="000000"/>
                <w:sz w:val="21"/>
                <w:szCs w:val="21"/>
                <w:lang w:val="fr-FR" w:eastAsia="en-GB"/>
              </w:rPr>
              <w:t>O</w:t>
            </w:r>
            <w:r w:rsidR="000E5296" w:rsidRPr="000E5296">
              <w:rPr>
                <w:rFonts w:cstheme="minorHAnsi"/>
                <w:color w:val="000000"/>
                <w:sz w:val="21"/>
                <w:szCs w:val="21"/>
                <w:lang w:val="fr-FR" w:eastAsia="en-GB"/>
              </w:rPr>
              <w:t>nward Technologies, LLC</w:t>
            </w:r>
          </w:p>
        </w:tc>
        <w:tc>
          <w:tcPr>
            <w:tcW w:w="2250" w:type="dxa"/>
            <w:tcBorders>
              <w:top w:val="single" w:sz="4" w:space="0" w:color="44B3E1"/>
              <w:left w:val="nil"/>
              <w:bottom w:val="single" w:sz="4" w:space="0" w:color="44B3E1"/>
              <w:right w:val="nil"/>
            </w:tcBorders>
            <w:shd w:val="clear" w:color="C0E6F5" w:fill="C0E6F5"/>
            <w:noWrap/>
            <w:vAlign w:val="bottom"/>
            <w:hideMark/>
          </w:tcPr>
          <w:p w14:paraId="7624B3A2" w14:textId="6FE357A2"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United States</w:t>
            </w:r>
          </w:p>
        </w:tc>
        <w:tc>
          <w:tcPr>
            <w:tcW w:w="2324" w:type="dxa"/>
            <w:tcBorders>
              <w:top w:val="single" w:sz="4" w:space="0" w:color="44B3E1"/>
              <w:left w:val="nil"/>
              <w:bottom w:val="single" w:sz="4" w:space="0" w:color="44B3E1"/>
              <w:right w:val="single" w:sz="4" w:space="0" w:color="44B3E1"/>
            </w:tcBorders>
            <w:shd w:val="clear" w:color="C0E6F5" w:fill="C0E6F5"/>
            <w:noWrap/>
            <w:vAlign w:val="bottom"/>
            <w:hideMark/>
          </w:tcPr>
          <w:p w14:paraId="790C5744" w14:textId="706970D0" w:rsidR="000E5296" w:rsidRPr="000E5296" w:rsidRDefault="004C3D25">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ASSOCIATE ITU-D SG</w:t>
            </w:r>
            <w:r w:rsidR="000E5296" w:rsidRPr="000E5296">
              <w:rPr>
                <w:rFonts w:cstheme="minorHAnsi"/>
                <w:color w:val="000000"/>
                <w:sz w:val="21"/>
                <w:szCs w:val="21"/>
                <w:lang w:eastAsia="en-GB"/>
              </w:rPr>
              <w:t>2</w:t>
            </w:r>
          </w:p>
        </w:tc>
      </w:tr>
      <w:tr w:rsidR="004C3D25" w:rsidRPr="0034662A" w14:paraId="6C4C6423" w14:textId="77777777">
        <w:trPr>
          <w:trHeight w:val="288"/>
        </w:trPr>
        <w:tc>
          <w:tcPr>
            <w:tcW w:w="5035" w:type="dxa"/>
            <w:tcBorders>
              <w:top w:val="single" w:sz="4" w:space="0" w:color="44B3E1"/>
              <w:left w:val="single" w:sz="4" w:space="0" w:color="44B3E1"/>
              <w:bottom w:val="single" w:sz="4" w:space="0" w:color="44B3E1"/>
              <w:right w:val="nil"/>
            </w:tcBorders>
            <w:noWrap/>
            <w:vAlign w:val="bottom"/>
            <w:hideMark/>
          </w:tcPr>
          <w:p w14:paraId="746ACC3B" w14:textId="59029DFD"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CPX Holding – LLC – O.P.C</w:t>
            </w:r>
          </w:p>
        </w:tc>
        <w:tc>
          <w:tcPr>
            <w:tcW w:w="2250" w:type="dxa"/>
            <w:tcBorders>
              <w:top w:val="single" w:sz="4" w:space="0" w:color="44B3E1"/>
              <w:left w:val="nil"/>
              <w:bottom w:val="single" w:sz="4" w:space="0" w:color="44B3E1"/>
              <w:right w:val="nil"/>
            </w:tcBorders>
            <w:noWrap/>
            <w:vAlign w:val="bottom"/>
            <w:hideMark/>
          </w:tcPr>
          <w:p w14:paraId="4029EE77" w14:textId="3B57D537" w:rsidR="004C3D25" w:rsidRPr="000E5296" w:rsidRDefault="004C3D25">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U</w:t>
            </w:r>
            <w:r w:rsidR="000E5296" w:rsidRPr="000E5296">
              <w:rPr>
                <w:rFonts w:cstheme="minorHAnsi"/>
                <w:color w:val="000000"/>
                <w:sz w:val="21"/>
                <w:szCs w:val="21"/>
                <w:lang w:eastAsia="en-GB"/>
              </w:rPr>
              <w:t>nited Arab Emirates</w:t>
            </w:r>
          </w:p>
        </w:tc>
        <w:tc>
          <w:tcPr>
            <w:tcW w:w="2324" w:type="dxa"/>
            <w:tcBorders>
              <w:top w:val="single" w:sz="4" w:space="0" w:color="44B3E1"/>
              <w:left w:val="nil"/>
              <w:bottom w:val="single" w:sz="4" w:space="0" w:color="44B3E1"/>
              <w:right w:val="single" w:sz="4" w:space="0" w:color="44B3E1"/>
            </w:tcBorders>
            <w:noWrap/>
            <w:vAlign w:val="bottom"/>
            <w:hideMark/>
          </w:tcPr>
          <w:p w14:paraId="23AE2EF6" w14:textId="0E9BEECC"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SECTOR MEMBER ITU-D</w:t>
            </w:r>
          </w:p>
        </w:tc>
      </w:tr>
      <w:tr w:rsidR="004C3D25" w:rsidRPr="0034662A" w14:paraId="5FD94D5F" w14:textId="77777777" w:rsidTr="000E5296">
        <w:trPr>
          <w:trHeight w:val="288"/>
        </w:trPr>
        <w:tc>
          <w:tcPr>
            <w:tcW w:w="5035" w:type="dxa"/>
            <w:tcBorders>
              <w:top w:val="single" w:sz="4" w:space="0" w:color="44B3E1"/>
              <w:left w:val="single" w:sz="4" w:space="0" w:color="44B3E1"/>
              <w:bottom w:val="single" w:sz="4" w:space="0" w:color="44B3E1"/>
              <w:right w:val="nil"/>
            </w:tcBorders>
            <w:shd w:val="clear" w:color="auto" w:fill="B6DDE8" w:themeFill="accent5" w:themeFillTint="66"/>
            <w:noWrap/>
            <w:vAlign w:val="bottom"/>
            <w:hideMark/>
          </w:tcPr>
          <w:p w14:paraId="3A4CAB98" w14:textId="4FA5409C"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Safety for Humanity</w:t>
            </w:r>
          </w:p>
        </w:tc>
        <w:tc>
          <w:tcPr>
            <w:tcW w:w="2250" w:type="dxa"/>
            <w:tcBorders>
              <w:top w:val="single" w:sz="4" w:space="0" w:color="44B3E1"/>
              <w:left w:val="nil"/>
              <w:bottom w:val="single" w:sz="4" w:space="0" w:color="44B3E1"/>
              <w:right w:val="nil"/>
            </w:tcBorders>
            <w:shd w:val="clear" w:color="auto" w:fill="B6DDE8" w:themeFill="accent5" w:themeFillTint="66"/>
            <w:noWrap/>
            <w:vAlign w:val="bottom"/>
            <w:hideMark/>
          </w:tcPr>
          <w:p w14:paraId="2A5FC71A" w14:textId="457F8352"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Cameroon</w:t>
            </w:r>
          </w:p>
        </w:tc>
        <w:tc>
          <w:tcPr>
            <w:tcW w:w="2324" w:type="dxa"/>
            <w:tcBorders>
              <w:top w:val="single" w:sz="4" w:space="0" w:color="44B3E1"/>
              <w:left w:val="nil"/>
              <w:bottom w:val="single" w:sz="4" w:space="0" w:color="44B3E1"/>
              <w:right w:val="single" w:sz="4" w:space="0" w:color="44B3E1"/>
            </w:tcBorders>
            <w:shd w:val="clear" w:color="auto" w:fill="B6DDE8" w:themeFill="accent5" w:themeFillTint="66"/>
            <w:noWrap/>
            <w:vAlign w:val="bottom"/>
            <w:hideMark/>
          </w:tcPr>
          <w:p w14:paraId="376604F7" w14:textId="312E933E" w:rsidR="004C3D25"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ASSOCIATE ITU-D SG1</w:t>
            </w:r>
          </w:p>
        </w:tc>
      </w:tr>
      <w:tr w:rsidR="000E5296" w:rsidRPr="0034662A" w14:paraId="70FC0A50" w14:textId="77777777">
        <w:trPr>
          <w:trHeight w:val="288"/>
        </w:trPr>
        <w:tc>
          <w:tcPr>
            <w:tcW w:w="5035" w:type="dxa"/>
            <w:tcBorders>
              <w:top w:val="single" w:sz="4" w:space="0" w:color="44B3E1"/>
              <w:left w:val="single" w:sz="4" w:space="0" w:color="44B3E1"/>
              <w:bottom w:val="single" w:sz="4" w:space="0" w:color="44B3E1"/>
              <w:right w:val="nil"/>
            </w:tcBorders>
            <w:noWrap/>
            <w:vAlign w:val="bottom"/>
          </w:tcPr>
          <w:p w14:paraId="41C16544" w14:textId="37CD1E02" w:rsidR="000E5296"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Tornet General Trading and Communication Services</w:t>
            </w:r>
          </w:p>
        </w:tc>
        <w:tc>
          <w:tcPr>
            <w:tcW w:w="2250" w:type="dxa"/>
            <w:tcBorders>
              <w:top w:val="single" w:sz="4" w:space="0" w:color="44B3E1"/>
              <w:left w:val="nil"/>
              <w:bottom w:val="single" w:sz="4" w:space="0" w:color="44B3E1"/>
              <w:right w:val="nil"/>
            </w:tcBorders>
            <w:noWrap/>
            <w:vAlign w:val="bottom"/>
          </w:tcPr>
          <w:p w14:paraId="3356AC42" w14:textId="47A2BF1D" w:rsidR="000E5296"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Iraq</w:t>
            </w:r>
          </w:p>
        </w:tc>
        <w:tc>
          <w:tcPr>
            <w:tcW w:w="2324" w:type="dxa"/>
            <w:tcBorders>
              <w:top w:val="single" w:sz="4" w:space="0" w:color="44B3E1"/>
              <w:left w:val="nil"/>
              <w:bottom w:val="single" w:sz="4" w:space="0" w:color="44B3E1"/>
              <w:right w:val="single" w:sz="4" w:space="0" w:color="44B3E1"/>
            </w:tcBorders>
            <w:noWrap/>
            <w:vAlign w:val="bottom"/>
          </w:tcPr>
          <w:p w14:paraId="1F1B2F8E" w14:textId="2D66F424" w:rsidR="000E5296"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SECTOR MEMBER ITU-D</w:t>
            </w:r>
          </w:p>
        </w:tc>
      </w:tr>
      <w:tr w:rsidR="000E5296" w:rsidRPr="0034662A" w14:paraId="1A6738E2" w14:textId="77777777" w:rsidTr="000E5296">
        <w:trPr>
          <w:trHeight w:val="288"/>
        </w:trPr>
        <w:tc>
          <w:tcPr>
            <w:tcW w:w="5035" w:type="dxa"/>
            <w:tcBorders>
              <w:top w:val="single" w:sz="4" w:space="0" w:color="44B3E1"/>
              <w:left w:val="single" w:sz="4" w:space="0" w:color="44B3E1"/>
              <w:bottom w:val="single" w:sz="4" w:space="0" w:color="44B3E1"/>
              <w:right w:val="nil"/>
            </w:tcBorders>
            <w:shd w:val="clear" w:color="auto" w:fill="B6DDE8" w:themeFill="accent5" w:themeFillTint="66"/>
            <w:noWrap/>
            <w:vAlign w:val="bottom"/>
          </w:tcPr>
          <w:p w14:paraId="1ECC7D45" w14:textId="243A4216" w:rsidR="000E5296"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Enerdatics</w:t>
            </w:r>
          </w:p>
        </w:tc>
        <w:tc>
          <w:tcPr>
            <w:tcW w:w="2250" w:type="dxa"/>
            <w:tcBorders>
              <w:top w:val="single" w:sz="4" w:space="0" w:color="44B3E1"/>
              <w:left w:val="nil"/>
              <w:bottom w:val="single" w:sz="4" w:space="0" w:color="44B3E1"/>
              <w:right w:val="nil"/>
            </w:tcBorders>
            <w:shd w:val="clear" w:color="auto" w:fill="B6DDE8" w:themeFill="accent5" w:themeFillTint="66"/>
            <w:noWrap/>
            <w:vAlign w:val="bottom"/>
          </w:tcPr>
          <w:p w14:paraId="25EE8A3F" w14:textId="634D36EE" w:rsidR="000E5296"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India</w:t>
            </w:r>
          </w:p>
        </w:tc>
        <w:tc>
          <w:tcPr>
            <w:tcW w:w="2324" w:type="dxa"/>
            <w:tcBorders>
              <w:top w:val="single" w:sz="4" w:space="0" w:color="44B3E1"/>
              <w:left w:val="nil"/>
              <w:bottom w:val="single" w:sz="4" w:space="0" w:color="44B3E1"/>
              <w:right w:val="single" w:sz="4" w:space="0" w:color="44B3E1"/>
            </w:tcBorders>
            <w:shd w:val="clear" w:color="auto" w:fill="B6DDE8" w:themeFill="accent5" w:themeFillTint="66"/>
            <w:noWrap/>
            <w:vAlign w:val="bottom"/>
          </w:tcPr>
          <w:p w14:paraId="4B3A65FB" w14:textId="7D6EFA85" w:rsidR="000E5296" w:rsidRPr="000E5296" w:rsidRDefault="000E5296">
            <w:pPr>
              <w:overflowPunct/>
              <w:autoSpaceDE/>
              <w:autoSpaceDN/>
              <w:adjustRightInd/>
              <w:spacing w:before="0"/>
              <w:textAlignment w:val="auto"/>
              <w:rPr>
                <w:rFonts w:cstheme="minorHAnsi"/>
                <w:color w:val="000000"/>
                <w:sz w:val="21"/>
                <w:szCs w:val="21"/>
                <w:lang w:eastAsia="en-GB"/>
              </w:rPr>
            </w:pPr>
            <w:r w:rsidRPr="000E5296">
              <w:rPr>
                <w:rFonts w:cstheme="minorHAnsi"/>
                <w:color w:val="000000"/>
                <w:sz w:val="21"/>
                <w:szCs w:val="21"/>
                <w:lang w:eastAsia="en-GB"/>
              </w:rPr>
              <w:t>ASSOCIATE ITU-D SG1</w:t>
            </w:r>
          </w:p>
        </w:tc>
      </w:tr>
    </w:tbl>
    <w:p w14:paraId="512FA475" w14:textId="2A33F533" w:rsidR="004C3D25" w:rsidRPr="00306331" w:rsidRDefault="004C3D25" w:rsidP="004C3D25">
      <w:pPr>
        <w:keepNext/>
        <w:numPr>
          <w:ilvl w:val="1"/>
          <w:numId w:val="45"/>
        </w:numPr>
        <w:tabs>
          <w:tab w:val="clear" w:pos="1871"/>
          <w:tab w:val="left" w:pos="567"/>
          <w:tab w:val="left" w:pos="1701"/>
        </w:tabs>
        <w:spacing w:after="120"/>
        <w:ind w:left="431" w:hanging="431"/>
        <w:rPr>
          <w:rFonts w:ascii="Calibri" w:eastAsia="SimSun" w:hAnsi="Calibri" w:cs="Arial"/>
          <w:b/>
          <w:bCs/>
          <w:lang w:val="en-US" w:eastAsia="zh-CN"/>
        </w:rPr>
      </w:pPr>
      <w:r w:rsidRPr="3E6B2E16">
        <w:rPr>
          <w:rFonts w:ascii="Calibri" w:eastAsia="SimSun" w:hAnsi="Calibri" w:cs="Arial"/>
          <w:b/>
          <w:bCs/>
          <w:lang w:val="en-US" w:eastAsia="zh-CN"/>
        </w:rPr>
        <w:t xml:space="preserve">Academia </w:t>
      </w:r>
      <w:r>
        <w:rPr>
          <w:rFonts w:ascii="Calibri" w:eastAsia="SimSun" w:hAnsi="Calibri" w:cs="Arial"/>
          <w:b/>
          <w:bCs/>
          <w:lang w:val="en-US" w:eastAsia="zh-CN"/>
        </w:rPr>
        <w:t>membership</w:t>
      </w:r>
      <w:r w:rsidRPr="3E6B2E16">
        <w:rPr>
          <w:rFonts w:ascii="Calibri" w:eastAsia="SimSun" w:hAnsi="Calibri" w:cs="Arial"/>
          <w:b/>
          <w:bCs/>
          <w:vertAlign w:val="superscript"/>
          <w:lang w:val="en-US" w:eastAsia="zh-CN"/>
        </w:rPr>
        <w:footnoteReference w:id="4"/>
      </w:r>
    </w:p>
    <w:p w14:paraId="2BC4F4C0" w14:textId="10F3C284" w:rsidR="004C3D25" w:rsidRDefault="006A3776" w:rsidP="004C3D25">
      <w:pPr>
        <w:keepNext/>
        <w:tabs>
          <w:tab w:val="left" w:pos="567"/>
          <w:tab w:val="left" w:pos="1701"/>
        </w:tabs>
        <w:rPr>
          <w:noProof/>
        </w:rPr>
      </w:pPr>
      <w:r w:rsidRPr="00306331">
        <w:rPr>
          <w:rFonts w:ascii="Calibri" w:eastAsia="SimSun" w:hAnsi="Calibri" w:cs="Arial"/>
          <w:b/>
          <w:bCs/>
          <w:noProof/>
          <w:szCs w:val="24"/>
          <w:lang w:val="en-US" w:eastAsia="zh-CN"/>
        </w:rPr>
        <mc:AlternateContent>
          <mc:Choice Requires="wps">
            <w:drawing>
              <wp:anchor distT="45720" distB="45720" distL="114300" distR="114300" simplePos="0" relativeHeight="251658252" behindDoc="0" locked="0" layoutInCell="1" allowOverlap="1" wp14:anchorId="3F8F8FBB" wp14:editId="34E60041">
                <wp:simplePos x="0" y="0"/>
                <wp:positionH relativeFrom="column">
                  <wp:posOffset>323850</wp:posOffset>
                </wp:positionH>
                <wp:positionV relativeFrom="paragraph">
                  <wp:posOffset>2331085</wp:posOffset>
                </wp:positionV>
                <wp:extent cx="563880" cy="1404620"/>
                <wp:effectExtent l="0" t="0" r="0" b="0"/>
                <wp:wrapNone/>
                <wp:docPr id="2108067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14:paraId="14A6C6EF" w14:textId="4F754458" w:rsidR="006A3776" w:rsidRPr="00EC3B94" w:rsidRDefault="006A3776" w:rsidP="006A3776">
                            <w:pPr>
                              <w:spacing w:before="0"/>
                              <w:jc w:val="center"/>
                              <w:rPr>
                                <w:rFonts w:ascii="Avenir Nxt2 W1G" w:hAnsi="Avenir Nxt2 W1G"/>
                                <w:sz w:val="18"/>
                                <w:szCs w:val="14"/>
                              </w:rPr>
                            </w:pPr>
                            <w:r w:rsidRPr="00EC3B94">
                              <w:rPr>
                                <w:rFonts w:ascii="Avenir Nxt2 W1G" w:hAnsi="Avenir Nxt2 W1G"/>
                                <w:sz w:val="18"/>
                                <w:szCs w:val="14"/>
                              </w:rPr>
                              <w:t>202</w:t>
                            </w:r>
                            <w:r>
                              <w:rPr>
                                <w:rFonts w:ascii="Avenir Nxt2 W1G" w:hAnsi="Avenir Nxt2 W1G"/>
                                <w:sz w:val="18"/>
                                <w:szCs w:val="1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F8FBB" id="_x0000_s1030" type="#_x0000_t202" style="position:absolute;margin-left:25.5pt;margin-top:183.55pt;width:44.4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o6/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" filled="f" stroked="f">
                <v:textbox style="mso-fit-shape-to-text:t">
                  <w:txbxContent>
                    <w:p w14:paraId="14A6C6EF" w14:textId="4F754458" w:rsidR="006A3776" w:rsidRPr="00EC3B94" w:rsidRDefault="006A3776" w:rsidP="006A3776">
                      <w:pPr>
                        <w:spacing w:before="0"/>
                        <w:jc w:val="center"/>
                        <w:rPr>
                          <w:rFonts w:ascii="Avenir Nxt2 W1G" w:hAnsi="Avenir Nxt2 W1G"/>
                          <w:sz w:val="18"/>
                          <w:szCs w:val="14"/>
                        </w:rPr>
                      </w:pPr>
                      <w:r w:rsidRPr="00EC3B94">
                        <w:rPr>
                          <w:rFonts w:ascii="Avenir Nxt2 W1G" w:hAnsi="Avenir Nxt2 W1G"/>
                          <w:sz w:val="18"/>
                          <w:szCs w:val="14"/>
                        </w:rPr>
                        <w:t>202</w:t>
                      </w:r>
                      <w:r>
                        <w:rPr>
                          <w:rFonts w:ascii="Avenir Nxt2 W1G" w:hAnsi="Avenir Nxt2 W1G"/>
                          <w:sz w:val="18"/>
                          <w:szCs w:val="14"/>
                        </w:rPr>
                        <w:t>2</w:t>
                      </w:r>
                    </w:p>
                  </w:txbxContent>
                </v:textbox>
              </v:shape>
            </w:pict>
          </mc:Fallback>
        </mc:AlternateContent>
      </w:r>
      <w:r w:rsidRPr="00306331">
        <w:rPr>
          <w:rFonts w:ascii="Calibri" w:eastAsia="SimSun" w:hAnsi="Calibri" w:cs="Arial"/>
          <w:b/>
          <w:bCs/>
          <w:noProof/>
          <w:szCs w:val="24"/>
          <w:lang w:val="en-US" w:eastAsia="zh-CN"/>
        </w:rPr>
        <mc:AlternateContent>
          <mc:Choice Requires="wps">
            <w:drawing>
              <wp:anchor distT="45720" distB="45720" distL="114300" distR="114300" simplePos="0" relativeHeight="251658240" behindDoc="0" locked="0" layoutInCell="1" allowOverlap="1" wp14:anchorId="075901B3" wp14:editId="17992DD5">
                <wp:simplePos x="0" y="0"/>
                <wp:positionH relativeFrom="column">
                  <wp:posOffset>1377950</wp:posOffset>
                </wp:positionH>
                <wp:positionV relativeFrom="paragraph">
                  <wp:posOffset>2347595</wp:posOffset>
                </wp:positionV>
                <wp:extent cx="563880" cy="1404620"/>
                <wp:effectExtent l="0" t="0" r="0" b="0"/>
                <wp:wrapNone/>
                <wp:docPr id="362620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14:paraId="2800DB2A" w14:textId="77777777" w:rsidR="004C3D25" w:rsidRPr="00EC3B94" w:rsidRDefault="004C3D25" w:rsidP="004C3D25">
                            <w:pPr>
                              <w:spacing w:before="0"/>
                              <w:jc w:val="center"/>
                              <w:rPr>
                                <w:rFonts w:ascii="Avenir Nxt2 W1G" w:hAnsi="Avenir Nxt2 W1G"/>
                                <w:sz w:val="18"/>
                                <w:szCs w:val="14"/>
                              </w:rPr>
                            </w:pPr>
                            <w:r w:rsidRPr="00EC3B94">
                              <w:rPr>
                                <w:rFonts w:ascii="Avenir Nxt2 W1G" w:hAnsi="Avenir Nxt2 W1G"/>
                                <w:sz w:val="18"/>
                                <w:szCs w:val="14"/>
                              </w:rPr>
                              <w:t>202</w:t>
                            </w:r>
                            <w:r>
                              <w:rPr>
                                <w:rFonts w:ascii="Avenir Nxt2 W1G" w:hAnsi="Avenir Nxt2 W1G"/>
                                <w:sz w:val="18"/>
                                <w:szCs w:val="14"/>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901B3" id="_x0000_s1031" type="#_x0000_t202" style="position:absolute;margin-left:108.5pt;margin-top:184.85pt;width:44.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" filled="f" stroked="f">
                <v:textbox style="mso-fit-shape-to-text:t">
                  <w:txbxContent>
                    <w:p w14:paraId="2800DB2A" w14:textId="77777777" w:rsidR="004C3D25" w:rsidRPr="00EC3B94" w:rsidRDefault="004C3D25" w:rsidP="004C3D25">
                      <w:pPr>
                        <w:spacing w:before="0"/>
                        <w:jc w:val="center"/>
                        <w:rPr>
                          <w:rFonts w:ascii="Avenir Nxt2 W1G" w:hAnsi="Avenir Nxt2 W1G"/>
                          <w:sz w:val="18"/>
                          <w:szCs w:val="14"/>
                        </w:rPr>
                      </w:pPr>
                      <w:r w:rsidRPr="00EC3B94">
                        <w:rPr>
                          <w:rFonts w:ascii="Avenir Nxt2 W1G" w:hAnsi="Avenir Nxt2 W1G"/>
                          <w:sz w:val="18"/>
                          <w:szCs w:val="14"/>
                        </w:rPr>
                        <w:t>202</w:t>
                      </w:r>
                      <w:r>
                        <w:rPr>
                          <w:rFonts w:ascii="Avenir Nxt2 W1G" w:hAnsi="Avenir Nxt2 W1G"/>
                          <w:sz w:val="18"/>
                          <w:szCs w:val="14"/>
                        </w:rPr>
                        <w:t>3</w:t>
                      </w:r>
                    </w:p>
                  </w:txbxContent>
                </v:textbox>
              </v:shape>
            </w:pict>
          </mc:Fallback>
        </mc:AlternateContent>
      </w:r>
      <w:r w:rsidRPr="00306331">
        <w:rPr>
          <w:rFonts w:ascii="Calibri" w:eastAsia="SimSun" w:hAnsi="Calibri" w:cs="Arial"/>
          <w:b/>
          <w:bCs/>
          <w:noProof/>
          <w:szCs w:val="24"/>
          <w:lang w:val="en-US" w:eastAsia="zh-CN"/>
        </w:rPr>
        <mc:AlternateContent>
          <mc:Choice Requires="wps">
            <w:drawing>
              <wp:anchor distT="45720" distB="45720" distL="114300" distR="114300" simplePos="0" relativeHeight="251658242" behindDoc="0" locked="0" layoutInCell="1" allowOverlap="1" wp14:anchorId="733C19E9" wp14:editId="56042C8E">
                <wp:simplePos x="0" y="0"/>
                <wp:positionH relativeFrom="margin">
                  <wp:posOffset>4835525</wp:posOffset>
                </wp:positionH>
                <wp:positionV relativeFrom="paragraph">
                  <wp:posOffset>2312670</wp:posOffset>
                </wp:positionV>
                <wp:extent cx="563880" cy="1404620"/>
                <wp:effectExtent l="0" t="0" r="0" b="0"/>
                <wp:wrapNone/>
                <wp:docPr id="19094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14:paraId="0370D91B" w14:textId="63AC00D9" w:rsidR="004C3D25" w:rsidRPr="0057040A" w:rsidRDefault="004C3D25" w:rsidP="004C3D25">
                            <w:pPr>
                              <w:spacing w:before="0"/>
                              <w:jc w:val="center"/>
                              <w:rPr>
                                <w:rFonts w:ascii="Avenir Nxt2 W1G" w:hAnsi="Avenir Nxt2 W1G"/>
                                <w:sz w:val="18"/>
                                <w:szCs w:val="14"/>
                              </w:rPr>
                            </w:pPr>
                            <w:r w:rsidRPr="0057040A">
                              <w:rPr>
                                <w:rFonts w:ascii="Avenir Nxt2 W1G" w:hAnsi="Avenir Nxt2 W1G"/>
                                <w:sz w:val="18"/>
                                <w:szCs w:val="14"/>
                              </w:rPr>
                              <w:t>202</w:t>
                            </w:r>
                            <w:r>
                              <w:rPr>
                                <w:rFonts w:ascii="Avenir Nxt2 W1G" w:hAnsi="Avenir Nxt2 W1G"/>
                                <w:sz w:val="18"/>
                                <w:szCs w:val="14"/>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C19E9" id="_x0000_s1032" type="#_x0000_t202" style="position:absolute;margin-left:380.75pt;margin-top:182.1pt;width:44.4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YN/gEAANQ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" filled="f" stroked="f">
                <v:textbox style="mso-fit-shape-to-text:t">
                  <w:txbxContent>
                    <w:p w14:paraId="0370D91B" w14:textId="63AC00D9" w:rsidR="004C3D25" w:rsidRPr="0057040A" w:rsidRDefault="004C3D25" w:rsidP="004C3D25">
                      <w:pPr>
                        <w:spacing w:before="0"/>
                        <w:jc w:val="center"/>
                        <w:rPr>
                          <w:rFonts w:ascii="Avenir Nxt2 W1G" w:hAnsi="Avenir Nxt2 W1G"/>
                          <w:sz w:val="18"/>
                          <w:szCs w:val="14"/>
                        </w:rPr>
                      </w:pPr>
                      <w:r w:rsidRPr="0057040A">
                        <w:rPr>
                          <w:rFonts w:ascii="Avenir Nxt2 W1G" w:hAnsi="Avenir Nxt2 W1G"/>
                          <w:sz w:val="18"/>
                          <w:szCs w:val="14"/>
                        </w:rPr>
                        <w:t>202</w:t>
                      </w:r>
                      <w:r>
                        <w:rPr>
                          <w:rFonts w:ascii="Avenir Nxt2 W1G" w:hAnsi="Avenir Nxt2 W1G"/>
                          <w:sz w:val="18"/>
                          <w:szCs w:val="14"/>
                        </w:rPr>
                        <w:t>5</w:t>
                      </w:r>
                    </w:p>
                  </w:txbxContent>
                </v:textbox>
                <w10:wrap anchorx="margin"/>
              </v:shape>
            </w:pict>
          </mc:Fallback>
        </mc:AlternateContent>
      </w:r>
      <w:r w:rsidRPr="00306331">
        <w:rPr>
          <w:rFonts w:ascii="Calibri" w:eastAsia="SimSun" w:hAnsi="Calibri" w:cs="Arial"/>
          <w:b/>
          <w:bCs/>
          <w:noProof/>
          <w:szCs w:val="24"/>
          <w:lang w:val="en-US" w:eastAsia="zh-CN"/>
        </w:rPr>
        <mc:AlternateContent>
          <mc:Choice Requires="wps">
            <w:drawing>
              <wp:anchor distT="45720" distB="45720" distL="114300" distR="114300" simplePos="0" relativeHeight="251658241" behindDoc="0" locked="0" layoutInCell="1" allowOverlap="1" wp14:anchorId="12ECDBC9" wp14:editId="5DBFE02D">
                <wp:simplePos x="0" y="0"/>
                <wp:positionH relativeFrom="column">
                  <wp:posOffset>3115945</wp:posOffset>
                </wp:positionH>
                <wp:positionV relativeFrom="paragraph">
                  <wp:posOffset>2338070</wp:posOffset>
                </wp:positionV>
                <wp:extent cx="563880" cy="1404620"/>
                <wp:effectExtent l="0" t="0" r="0" b="0"/>
                <wp:wrapNone/>
                <wp:docPr id="1419100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14:paraId="37EC541C" w14:textId="77777777" w:rsidR="004C3D25" w:rsidRPr="0057040A" w:rsidRDefault="004C3D25" w:rsidP="004C3D25">
                            <w:pPr>
                              <w:spacing w:before="0"/>
                              <w:jc w:val="center"/>
                              <w:rPr>
                                <w:rFonts w:ascii="Avenir Nxt2 W1G" w:hAnsi="Avenir Nxt2 W1G"/>
                                <w:sz w:val="18"/>
                                <w:szCs w:val="14"/>
                              </w:rPr>
                            </w:pPr>
                            <w:r w:rsidRPr="0057040A">
                              <w:rPr>
                                <w:rFonts w:ascii="Avenir Nxt2 W1G" w:hAnsi="Avenir Nxt2 W1G"/>
                                <w:sz w:val="18"/>
                                <w:szCs w:val="14"/>
                              </w:rPr>
                              <w:t>202</w:t>
                            </w:r>
                            <w:r>
                              <w:rPr>
                                <w:rFonts w:ascii="Avenir Nxt2 W1G" w:hAnsi="Avenir Nxt2 W1G"/>
                                <w:sz w:val="18"/>
                                <w:szCs w:val="1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CDBC9" id="_x0000_s1033" type="#_x0000_t202" style="position:absolute;margin-left:245.35pt;margin-top:184.1pt;width:44.4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j7/gEAANQDAAAOAAAAZHJzL2Uyb0RvYy54bWysU11v2yAUfZ+0/4B4X+xkSZp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" filled="f" stroked="f">
                <v:textbox style="mso-fit-shape-to-text:t">
                  <w:txbxContent>
                    <w:p w14:paraId="37EC541C" w14:textId="77777777" w:rsidR="004C3D25" w:rsidRPr="0057040A" w:rsidRDefault="004C3D25" w:rsidP="004C3D25">
                      <w:pPr>
                        <w:spacing w:before="0"/>
                        <w:jc w:val="center"/>
                        <w:rPr>
                          <w:rFonts w:ascii="Avenir Nxt2 W1G" w:hAnsi="Avenir Nxt2 W1G"/>
                          <w:sz w:val="18"/>
                          <w:szCs w:val="14"/>
                        </w:rPr>
                      </w:pPr>
                      <w:r w:rsidRPr="0057040A">
                        <w:rPr>
                          <w:rFonts w:ascii="Avenir Nxt2 W1G" w:hAnsi="Avenir Nxt2 W1G"/>
                          <w:sz w:val="18"/>
                          <w:szCs w:val="14"/>
                        </w:rPr>
                        <w:t>202</w:t>
                      </w:r>
                      <w:r>
                        <w:rPr>
                          <w:rFonts w:ascii="Avenir Nxt2 W1G" w:hAnsi="Avenir Nxt2 W1G"/>
                          <w:sz w:val="18"/>
                          <w:szCs w:val="14"/>
                        </w:rPr>
                        <w:t>4</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2D3F94BB" wp14:editId="5780289F">
                <wp:simplePos x="0" y="0"/>
                <wp:positionH relativeFrom="column">
                  <wp:posOffset>2571750</wp:posOffset>
                </wp:positionH>
                <wp:positionV relativeFrom="paragraph">
                  <wp:posOffset>394699</wp:posOffset>
                </wp:positionV>
                <wp:extent cx="0" cy="2149746"/>
                <wp:effectExtent l="0" t="0" r="0" b="0"/>
                <wp:wrapNone/>
                <wp:docPr id="1250880348" name="Straight Connector 1"/>
                <wp:cNvGraphicFramePr/>
                <a:graphic xmlns:a="http://schemas.openxmlformats.org/drawingml/2006/main">
                  <a:graphicData uri="http://schemas.microsoft.com/office/word/2010/wordprocessingShape">
                    <wps:wsp>
                      <wps:cNvCnPr/>
                      <wps:spPr>
                        <a:xfrm>
                          <a:off x="0" y="0"/>
                          <a:ext cx="0" cy="2149746"/>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2D5AE4FF">
              <v:line id="Straight Connector 1" style="position:absolute;z-index:251660299;visibility:visible;mso-wrap-style:square;mso-wrap-distance-left:9pt;mso-wrap-distance-top:0;mso-wrap-distance-right:9pt;mso-wrap-distance-bottom:0;mso-position-horizontal:absolute;mso-position-horizontal-relative:text;mso-position-vertical:absolute;mso-position-vertical-relative:text" o:spid="_x0000_s1026" strokecolor="#be4b48" from="202.5pt,31.1pt" to="202.5pt,200.35pt" w14:anchorId="1EE45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"/>
            </w:pict>
          </mc:Fallback>
        </mc:AlternateContent>
      </w:r>
      <w:r w:rsidRPr="00306331">
        <w:rPr>
          <w:rFonts w:ascii="Calibri" w:eastAsia="SimSun" w:hAnsi="Calibri" w:cs="Arial"/>
          <w:b/>
          <w:bCs/>
          <w:noProof/>
          <w:szCs w:val="24"/>
          <w:lang w:val="en-US" w:eastAsia="zh-CN"/>
        </w:rPr>
        <mc:AlternateContent>
          <mc:Choice Requires="wpg">
            <w:drawing>
              <wp:anchor distT="0" distB="0" distL="114300" distR="114300" simplePos="0" relativeHeight="251658250" behindDoc="0" locked="0" layoutInCell="1" allowOverlap="1" wp14:anchorId="1577D64B" wp14:editId="1FDC821C">
                <wp:simplePos x="0" y="0"/>
                <wp:positionH relativeFrom="margin">
                  <wp:posOffset>873760</wp:posOffset>
                </wp:positionH>
                <wp:positionV relativeFrom="paragraph">
                  <wp:posOffset>382905</wp:posOffset>
                </wp:positionV>
                <wp:extent cx="3390900" cy="2164080"/>
                <wp:effectExtent l="0" t="0" r="19050" b="26670"/>
                <wp:wrapNone/>
                <wp:docPr id="3" name="Group 3"/>
                <wp:cNvGraphicFramePr/>
                <a:graphic xmlns:a="http://schemas.openxmlformats.org/drawingml/2006/main">
                  <a:graphicData uri="http://schemas.microsoft.com/office/word/2010/wordprocessingGroup">
                    <wpg:wgp>
                      <wpg:cNvGrpSpPr/>
                      <wpg:grpSpPr>
                        <a:xfrm>
                          <a:off x="0" y="0"/>
                          <a:ext cx="3390900" cy="2164080"/>
                          <a:chOff x="0" y="5848"/>
                          <a:chExt cx="3545032" cy="1993132"/>
                        </a:xfrm>
                      </wpg:grpSpPr>
                      <wps:wsp>
                        <wps:cNvPr id="1446109044" name="Straight Connector 1"/>
                        <wps:cNvCnPr/>
                        <wps:spPr>
                          <a:xfrm>
                            <a:off x="0" y="19050"/>
                            <a:ext cx="0" cy="197993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687018271" name="Straight Connector 1"/>
                        <wps:cNvCnPr/>
                        <wps:spPr>
                          <a:xfrm>
                            <a:off x="3545032" y="5848"/>
                            <a:ext cx="0" cy="1979930"/>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pict w14:anchorId="7CB561E0">
              <v:group id="Group 3" style="position:absolute;margin-left:68.8pt;margin-top:30.15pt;width:267pt;height:170.4pt;z-index:251658241;mso-position-horizontal-relative:margin;mso-width-relative:margin;mso-height-relative:margin" coordsize="35450,19931" coordorigin=",58" o:spid="_x0000_s1026" w14:anchorId="7B3DB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">
                <v:line id="Straight Connector 1" style="position:absolute;visibility:visible;mso-wrap-style:square" o:spid="_x0000_s1027" strokecolor="#bc4542 [3045]" o:connectortype="straight" from="0,190" to="0,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"/>
                <v:line id="Straight Connector 1" style="position:absolute;visibility:visible;mso-wrap-style:square" o:spid="_x0000_s1028" strokecolor="#bc4542 [3045]" o:connectortype="straight" from="35450,58" to="35450,1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"/>
                <w10:wrap anchorx="margin"/>
              </v:group>
            </w:pict>
          </mc:Fallback>
        </mc:AlternateContent>
      </w:r>
      <w:r w:rsidR="001D656D">
        <w:rPr>
          <w:rFonts w:ascii="Calibri" w:eastAsia="SimSun" w:hAnsi="Calibri" w:cs="Arial"/>
          <w:b/>
          <w:bCs/>
          <w:noProof/>
          <w:lang w:val="en-US" w:eastAsia="zh-CN"/>
        </w:rPr>
        <mc:AlternateContent>
          <mc:Choice Requires="cx4">
            <w:drawing>
              <wp:inline distT="0" distB="0" distL="0" distR="0" wp14:anchorId="0DDFB79D" wp14:editId="5DD7D53F">
                <wp:extent cx="6026150" cy="2425700"/>
                <wp:effectExtent l="0" t="0" r="12700" b="12700"/>
                <wp:docPr id="86320703" name="Chart 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xmlns:arto="http://schemas.microsoft.com/office/word/2006/arto">
            <w:drawing xmlns:w="http://schemas.openxmlformats.org/wordprocessingml/2006/main">
              <wp:inline xmlns:wp="http://schemas.openxmlformats.org/drawingml/2006/wordprocessingDrawing" xmlns:wp14="http://schemas.microsoft.com/office/word/2010/wordprocessingDrawing" distT="0" distB="0" distL="0" distR="0" wp14:anchorId="616BA643" wp14:editId="5DD7D53F">
                <wp:extent cx="6026150" cy="2425700"/>
                <wp:effectExtent l="0" t="0" r="12700" b="12700"/>
                <wp:docPr id="1617731966"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xmlns:mc="http://schemas.openxmlformats.org/markup-compatibility/2006">
                      <pic:nvPicPr>
                        <pic:cNvPr id="86320703" name="Chart 1"/>
                        <pic:cNvPicPr>
                          <a:picLocks noGrp="1" noRot="1" noChangeAspect="1" noMove="1" noResize="1" noEditPoints="1" noAdjustHandles="1" noChangeArrowheads="1" noChangeShapeType="1"/>
                        </pic:cNvPicPr>
                      </pic:nvPicPr>
                      <pic:blipFill>
                        <a:blip xmlns:r="http://schemas.openxmlformats.org/officeDocument/2006/relationships" r:embed="rId22"/>
                        <a:stretch>
                          <a:fillRect/>
                        </a:stretch>
                      </pic:blipFill>
                      <pic:spPr>
                        <a:xfrm>
                          <a:off x="0" y="0"/>
                          <a:ext cx="6026150" cy="2425700"/>
                        </a:xfrm>
                        <a:prstGeom prst="rect">
                          <a:avLst/>
                        </a:prstGeom>
                      </pic:spPr>
                    </pic:pic>
                  </a:graphicData>
                </a:graphic>
              </wp:inline>
            </w:drawing>
          </mc:Fallback>
        </mc:AlternateContent>
      </w:r>
    </w:p>
    <w:p w14:paraId="3DEE3368" w14:textId="53737F9E" w:rsidR="004C3D25" w:rsidRDefault="004C3D25" w:rsidP="004C3D25">
      <w:pPr>
        <w:spacing w:after="120"/>
        <w:jc w:val="both"/>
        <w:rPr>
          <w:rFonts w:ascii="Calibri" w:eastAsia="SimSun" w:hAnsi="Calibri"/>
          <w:b/>
          <w:bCs/>
        </w:rPr>
      </w:pPr>
    </w:p>
    <w:p w14:paraId="7636E575" w14:textId="184244EC" w:rsidR="004C3D25" w:rsidRDefault="004C3D25" w:rsidP="004C3D25">
      <w:pPr>
        <w:keepNext/>
        <w:spacing w:after="120"/>
        <w:rPr>
          <w:rFonts w:ascii="Calibri" w:eastAsia="SimSun" w:hAnsi="Calibri"/>
        </w:rPr>
      </w:pPr>
      <w:r w:rsidRPr="037DD4F5">
        <w:rPr>
          <w:rFonts w:ascii="Calibri" w:eastAsia="SimSun" w:hAnsi="Calibri"/>
          <w:b/>
          <w:bCs/>
        </w:rPr>
        <w:t xml:space="preserve">Chart </w:t>
      </w:r>
      <w:r>
        <w:rPr>
          <w:rFonts w:ascii="Calibri" w:eastAsia="SimSun" w:hAnsi="Calibri"/>
          <w:b/>
          <w:bCs/>
        </w:rPr>
        <w:t>3</w:t>
      </w:r>
      <w:r w:rsidRPr="037DD4F5">
        <w:rPr>
          <w:rFonts w:ascii="Calibri" w:eastAsia="SimSun" w:hAnsi="Calibri"/>
        </w:rPr>
        <w:t xml:space="preserve"> details the </w:t>
      </w:r>
      <w:r w:rsidR="0097527C">
        <w:rPr>
          <w:rFonts w:ascii="Calibri" w:eastAsia="SimSun" w:hAnsi="Calibri"/>
        </w:rPr>
        <w:t>movement</w:t>
      </w:r>
      <w:r w:rsidRPr="037DD4F5">
        <w:rPr>
          <w:rFonts w:ascii="Calibri" w:eastAsia="SimSun" w:hAnsi="Calibri"/>
        </w:rPr>
        <w:t xml:space="preserve"> of Academia</w:t>
      </w:r>
      <w:r>
        <w:rPr>
          <w:rFonts w:ascii="Calibri" w:eastAsia="SimSun" w:hAnsi="Calibri"/>
        </w:rPr>
        <w:t xml:space="preserve"> members</w:t>
      </w:r>
      <w:r w:rsidRPr="037DD4F5">
        <w:rPr>
          <w:rFonts w:ascii="Calibri" w:eastAsia="SimSun" w:hAnsi="Calibri"/>
        </w:rPr>
        <w:t xml:space="preserve"> </w:t>
      </w:r>
      <w:r w:rsidR="00AA469C">
        <w:rPr>
          <w:rFonts w:ascii="Calibri" w:eastAsia="SimSun" w:hAnsi="Calibri"/>
        </w:rPr>
        <w:t>since 2023</w:t>
      </w:r>
      <w:r>
        <w:rPr>
          <w:rFonts w:ascii="Calibri" w:eastAsia="SimSun" w:hAnsi="Calibri"/>
        </w:rPr>
        <w:t>.</w:t>
      </w:r>
      <w:r w:rsidRPr="004D4856">
        <w:rPr>
          <w:rFonts w:ascii="Calibri" w:eastAsia="SimSun" w:hAnsi="Calibri"/>
        </w:rPr>
        <w:t xml:space="preserve"> </w:t>
      </w:r>
      <w:r>
        <w:rPr>
          <w:rFonts w:ascii="Calibri" w:eastAsia="SimSun" w:hAnsi="Calibri"/>
        </w:rPr>
        <w:t>I</w:t>
      </w:r>
      <w:r w:rsidRPr="004D4856">
        <w:rPr>
          <w:rFonts w:ascii="Calibri" w:eastAsia="SimSun" w:hAnsi="Calibri"/>
        </w:rPr>
        <w:t>n 202</w:t>
      </w:r>
      <w:r w:rsidR="005D7A3B">
        <w:rPr>
          <w:rFonts w:ascii="Calibri" w:eastAsia="SimSun" w:hAnsi="Calibri"/>
        </w:rPr>
        <w:t>5</w:t>
      </w:r>
      <w:r>
        <w:rPr>
          <w:rFonts w:ascii="Calibri" w:eastAsia="SimSun" w:hAnsi="Calibri"/>
        </w:rPr>
        <w:t xml:space="preserve">, Academia </w:t>
      </w:r>
      <w:r w:rsidRPr="004D4856">
        <w:rPr>
          <w:rFonts w:ascii="Calibri" w:eastAsia="SimSun" w:hAnsi="Calibri"/>
        </w:rPr>
        <w:t xml:space="preserve">saw </w:t>
      </w:r>
      <w:r w:rsidR="005D7A3B">
        <w:rPr>
          <w:rFonts w:ascii="Calibri" w:eastAsia="SimSun" w:hAnsi="Calibri"/>
        </w:rPr>
        <w:t>twenty-two</w:t>
      </w:r>
      <w:r w:rsidRPr="004D4856">
        <w:rPr>
          <w:rFonts w:ascii="Calibri" w:eastAsia="SimSun" w:hAnsi="Calibri"/>
        </w:rPr>
        <w:t xml:space="preserve"> new members and </w:t>
      </w:r>
      <w:r w:rsidR="002C50D0">
        <w:rPr>
          <w:rFonts w:ascii="Calibri" w:eastAsia="SimSun" w:hAnsi="Calibri"/>
        </w:rPr>
        <w:t>twelve</w:t>
      </w:r>
      <w:r w:rsidRPr="004D4856">
        <w:rPr>
          <w:rFonts w:ascii="Calibri" w:eastAsia="SimSun" w:hAnsi="Calibri"/>
        </w:rPr>
        <w:t xml:space="preserve"> </w:t>
      </w:r>
      <w:r w:rsidR="006A3776">
        <w:rPr>
          <w:rFonts w:ascii="Calibri" w:eastAsia="SimSun" w:hAnsi="Calibri"/>
        </w:rPr>
        <w:t>denunciations</w:t>
      </w:r>
      <w:r w:rsidRPr="004D4856">
        <w:rPr>
          <w:rFonts w:ascii="Calibri" w:eastAsia="SimSun" w:hAnsi="Calibri"/>
        </w:rPr>
        <w:t xml:space="preserve">, with a </w:t>
      </w:r>
      <w:r w:rsidRPr="00AA469C">
        <w:rPr>
          <w:rFonts w:ascii="Calibri" w:eastAsia="SimSun" w:hAnsi="Calibri"/>
          <w:b/>
          <w:bCs/>
        </w:rPr>
        <w:t xml:space="preserve">net positive income change of CHF </w:t>
      </w:r>
      <w:r w:rsidR="001D656D" w:rsidRPr="00AA469C">
        <w:rPr>
          <w:rFonts w:ascii="Calibri" w:eastAsia="SimSun" w:hAnsi="Calibri"/>
          <w:b/>
          <w:bCs/>
        </w:rPr>
        <w:t>23</w:t>
      </w:r>
      <w:r w:rsidRPr="00AA469C">
        <w:rPr>
          <w:rFonts w:ascii="Calibri" w:eastAsia="SimSun" w:hAnsi="Calibri"/>
          <w:b/>
          <w:bCs/>
        </w:rPr>
        <w:t>’</w:t>
      </w:r>
      <w:r w:rsidR="002C50D0" w:rsidRPr="00AA469C">
        <w:rPr>
          <w:rFonts w:ascii="Calibri" w:eastAsia="SimSun" w:hAnsi="Calibri"/>
          <w:b/>
          <w:bCs/>
        </w:rPr>
        <w:t>8</w:t>
      </w:r>
      <w:r w:rsidRPr="00AA469C">
        <w:rPr>
          <w:rFonts w:ascii="Calibri" w:eastAsia="SimSun" w:hAnsi="Calibri"/>
          <w:b/>
          <w:bCs/>
        </w:rPr>
        <w:t>5</w:t>
      </w:r>
      <w:r w:rsidR="002C50D0" w:rsidRPr="00AA469C">
        <w:rPr>
          <w:rFonts w:ascii="Calibri" w:eastAsia="SimSun" w:hAnsi="Calibri"/>
          <w:b/>
          <w:bCs/>
        </w:rPr>
        <w:t>0</w:t>
      </w:r>
      <w:r w:rsidRPr="004D4856">
        <w:rPr>
          <w:rFonts w:ascii="Calibri" w:eastAsia="SimSun" w:hAnsi="Calibri"/>
        </w:rPr>
        <w:t>.</w:t>
      </w:r>
    </w:p>
    <w:p w14:paraId="330DC10D" w14:textId="5E766668" w:rsidR="004C3D25" w:rsidRPr="008313B2" w:rsidRDefault="004C3D25" w:rsidP="004C3D25">
      <w:pPr>
        <w:keepNext/>
        <w:spacing w:after="120"/>
      </w:pPr>
      <w:r w:rsidRPr="037DD4F5">
        <w:rPr>
          <w:rFonts w:ascii="Calibri" w:eastAsia="SimSun" w:hAnsi="Calibri"/>
        </w:rPr>
        <w:t>A</w:t>
      </w:r>
      <w:r w:rsidRPr="037DD4F5">
        <w:rPr>
          <w:lang w:val="en-US"/>
        </w:rPr>
        <w:t xml:space="preserve">cademia can participate in the work of the three Sectors with one single fee, being able to contribute to Study Groups in all the Sectors. </w:t>
      </w:r>
      <w:r>
        <w:rPr>
          <w:lang w:val="en-US"/>
        </w:rPr>
        <w:t>Some</w:t>
      </w:r>
      <w:r w:rsidRPr="037DD4F5">
        <w:rPr>
          <w:lang w:val="en-US"/>
        </w:rPr>
        <w:t xml:space="preserve"> ha</w:t>
      </w:r>
      <w:r>
        <w:rPr>
          <w:lang w:val="en-US"/>
        </w:rPr>
        <w:t xml:space="preserve">ve </w:t>
      </w:r>
      <w:r w:rsidRPr="037DD4F5">
        <w:rPr>
          <w:lang w:val="en-US"/>
        </w:rPr>
        <w:t xml:space="preserve">reported difficulty </w:t>
      </w:r>
      <w:r w:rsidR="64CFEE68" w:rsidRPr="76FDC2F6">
        <w:rPr>
          <w:lang w:val="en-US"/>
        </w:rPr>
        <w:t>sustaining</w:t>
      </w:r>
      <w:r w:rsidRPr="037DD4F5">
        <w:rPr>
          <w:lang w:val="en-US"/>
        </w:rPr>
        <w:t xml:space="preserve"> </w:t>
      </w:r>
      <w:r>
        <w:rPr>
          <w:lang w:val="en-US"/>
        </w:rPr>
        <w:t xml:space="preserve">membership </w:t>
      </w:r>
      <w:r w:rsidRPr="037DD4F5">
        <w:rPr>
          <w:lang w:val="en-US"/>
        </w:rPr>
        <w:t>for an extended period due to budgetary limitations.</w:t>
      </w:r>
    </w:p>
    <w:p w14:paraId="31B3D9D4" w14:textId="19EE493D" w:rsidR="004C3D25" w:rsidRPr="00FC5381" w:rsidRDefault="004C3D25" w:rsidP="004C3D25">
      <w:pPr>
        <w:spacing w:after="120"/>
        <w:rPr>
          <w:highlight w:val="yellow"/>
          <w:lang w:val="en-US"/>
        </w:rPr>
      </w:pPr>
      <w:r>
        <w:t>S</w:t>
      </w:r>
      <w:r w:rsidRPr="00064D20">
        <w:rPr>
          <w:lang w:val="en-US"/>
        </w:rPr>
        <w:t>trong outreach efforts are continuously being made, including by organizing visits and briefings with Academia prospects and those ITU Members States interested in promoting and supporting academia membership.</w:t>
      </w:r>
      <w:r w:rsidR="00D61A73">
        <w:rPr>
          <w:lang w:val="en-US"/>
        </w:rPr>
        <w:t xml:space="preserve"> </w:t>
      </w:r>
      <w:r w:rsidR="00D61A73" w:rsidRPr="00D61A73">
        <w:rPr>
          <w:lang w:val="en-US"/>
        </w:rPr>
        <w:t xml:space="preserve">More details on opportunities and current engagement for replication with ITU Academia members and non-Academia members can be found in </w:t>
      </w:r>
      <w:hyperlink r:id="rId23" w:history="1">
        <w:r w:rsidR="00D61A73" w:rsidRPr="00923912">
          <w:rPr>
            <w:rStyle w:val="Hyperlink"/>
            <w:lang w:val="en-US"/>
          </w:rPr>
          <w:t>TDAG-26/INF/</w:t>
        </w:r>
        <w:r w:rsidR="24C3FCFE" w:rsidRPr="00923912">
          <w:rPr>
            <w:rStyle w:val="Hyperlink"/>
            <w:lang w:val="en-US"/>
          </w:rPr>
          <w:t>3</w:t>
        </w:r>
      </w:hyperlink>
      <w:r w:rsidR="00D61A73" w:rsidRPr="00923912">
        <w:rPr>
          <w:lang w:val="en-US"/>
        </w:rPr>
        <w:t>.</w:t>
      </w:r>
    </w:p>
    <w:p w14:paraId="5BB86624" w14:textId="77777777" w:rsidR="004C3D25" w:rsidRPr="00306331" w:rsidRDefault="004C3D25" w:rsidP="004C3D25">
      <w:pPr>
        <w:keepNext/>
        <w:numPr>
          <w:ilvl w:val="0"/>
          <w:numId w:val="45"/>
        </w:numPr>
        <w:tabs>
          <w:tab w:val="clear" w:pos="1871"/>
          <w:tab w:val="left" w:pos="567"/>
          <w:tab w:val="left" w:pos="1701"/>
        </w:tabs>
        <w:spacing w:after="120"/>
        <w:ind w:left="357" w:hanging="357"/>
        <w:rPr>
          <w:rFonts w:ascii="Calibri" w:eastAsia="SimSun" w:hAnsi="Calibri" w:cs="Arial"/>
          <w:b/>
          <w:bCs/>
          <w:szCs w:val="24"/>
          <w:lang w:val="en-US" w:eastAsia="zh-CN"/>
        </w:rPr>
      </w:pPr>
      <w:r w:rsidRPr="00306331">
        <w:rPr>
          <w:rFonts w:ascii="Calibri" w:eastAsia="SimSun" w:hAnsi="Calibri" w:cs="Arial"/>
          <w:b/>
          <w:bCs/>
          <w:szCs w:val="24"/>
          <w:lang w:val="en-US" w:eastAsia="zh-CN"/>
        </w:rPr>
        <w:t xml:space="preserve">Engagement, retention, </w:t>
      </w:r>
      <w:r>
        <w:rPr>
          <w:rFonts w:ascii="Calibri" w:eastAsia="SimSun" w:hAnsi="Calibri" w:cs="Arial"/>
          <w:b/>
          <w:bCs/>
          <w:szCs w:val="24"/>
          <w:lang w:val="en-US" w:eastAsia="zh-CN"/>
        </w:rPr>
        <w:t>recognition</w:t>
      </w:r>
      <w:r w:rsidRPr="00306331">
        <w:rPr>
          <w:rFonts w:ascii="Calibri" w:eastAsia="SimSun" w:hAnsi="Calibri" w:cs="Arial"/>
          <w:b/>
          <w:bCs/>
          <w:szCs w:val="24"/>
          <w:lang w:val="en-US" w:eastAsia="zh-CN"/>
        </w:rPr>
        <w:t>, and outreach</w:t>
      </w:r>
    </w:p>
    <w:p w14:paraId="4C3361E6" w14:textId="3A18DF24" w:rsidR="004C3D25" w:rsidRDefault="004C3D25" w:rsidP="004C3D25">
      <w:pPr>
        <w:pStyle w:val="ListParagraph"/>
        <w:numPr>
          <w:ilvl w:val="0"/>
          <w:numId w:val="47"/>
        </w:numPr>
        <w:tabs>
          <w:tab w:val="left" w:pos="1701"/>
        </w:tabs>
        <w:spacing w:before="60" w:after="60"/>
        <w:ind w:left="714" w:hanging="357"/>
        <w:contextualSpacing w:val="0"/>
        <w:rPr>
          <w:rFonts w:ascii="Calibri" w:eastAsia="SimSun" w:hAnsi="Calibri" w:cs="Calibri"/>
        </w:rPr>
      </w:pPr>
      <w:r w:rsidRPr="63750D21">
        <w:rPr>
          <w:rFonts w:ascii="Calibri" w:eastAsia="SimSun" w:hAnsi="Calibri" w:cs="Calibri"/>
          <w:lang w:val="en-US"/>
        </w:rPr>
        <w:t>BDT carried out several actions aimed at reinforcing</w:t>
      </w:r>
      <w:r w:rsidRPr="63750D21">
        <w:rPr>
          <w:rFonts w:ascii="Calibri" w:eastAsia="SimSun" w:hAnsi="Calibri" w:cs="Calibri"/>
          <w:b/>
          <w:bCs/>
          <w:lang w:val="en-US"/>
        </w:rPr>
        <w:t xml:space="preserve"> </w:t>
      </w:r>
      <w:r w:rsidRPr="63750D21">
        <w:rPr>
          <w:rFonts w:ascii="Calibri" w:eastAsia="SimSun" w:hAnsi="Calibri" w:cs="Calibri"/>
          <w:b/>
          <w:bCs/>
        </w:rPr>
        <w:t xml:space="preserve">outreach and engagement efforts </w:t>
      </w:r>
      <w:r w:rsidRPr="63750D21">
        <w:rPr>
          <w:rFonts w:ascii="Calibri" w:eastAsia="SimSun" w:hAnsi="Calibri" w:cs="Calibri"/>
        </w:rPr>
        <w:t>through promotional campaigns</w:t>
      </w:r>
      <w:r>
        <w:rPr>
          <w:rFonts w:ascii="Calibri" w:eastAsia="SimSun" w:hAnsi="Calibri" w:cs="Calibri"/>
        </w:rPr>
        <w:t xml:space="preserve"> using social media tools</w:t>
      </w:r>
      <w:r w:rsidRPr="63750D21">
        <w:rPr>
          <w:rFonts w:ascii="Calibri" w:eastAsia="SimSun" w:hAnsi="Calibri" w:cs="Calibri"/>
        </w:rPr>
        <w:t xml:space="preserve"> and targeted outreach to</w:t>
      </w:r>
      <w:r>
        <w:rPr>
          <w:rFonts w:ascii="Calibri" w:eastAsia="SimSun" w:hAnsi="Calibri" w:cs="Calibri"/>
        </w:rPr>
        <w:t xml:space="preserve"> </w:t>
      </w:r>
      <w:r>
        <w:rPr>
          <w:rFonts w:ascii="Calibri" w:eastAsia="SimSun" w:hAnsi="Calibri" w:cs="Calibri"/>
        </w:rPr>
        <w:lastRenderedPageBreak/>
        <w:t>prospect</w:t>
      </w:r>
      <w:r w:rsidRPr="63750D21">
        <w:rPr>
          <w:rFonts w:ascii="Calibri" w:eastAsia="SimSun" w:hAnsi="Calibri" w:cs="Calibri"/>
        </w:rPr>
        <w:t xml:space="preserve"> audiences in global tech exhibitions. BDT also focused on converting existing platforms within the ITU-D products and services portfolio into effective membership outreach channels</w:t>
      </w:r>
      <w:r w:rsidR="002F6E1E">
        <w:rPr>
          <w:rFonts w:ascii="Calibri" w:eastAsia="SimSun" w:hAnsi="Calibri" w:cs="Calibri"/>
        </w:rPr>
        <w:t>, such as the Cyber for Good project, the Early Warnings for All Initiative, etc</w:t>
      </w:r>
      <w:r w:rsidRPr="63750D21">
        <w:rPr>
          <w:rFonts w:ascii="Calibri" w:eastAsia="SimSun" w:hAnsi="Calibri" w:cs="Calibri"/>
        </w:rPr>
        <w:t>. An increased number of briefing sessions were held</w:t>
      </w:r>
      <w:r>
        <w:rPr>
          <w:rFonts w:ascii="Calibri" w:eastAsia="SimSun" w:hAnsi="Calibri" w:cs="Calibri"/>
        </w:rPr>
        <w:t xml:space="preserve"> between</w:t>
      </w:r>
      <w:r w:rsidRPr="63750D21">
        <w:rPr>
          <w:rFonts w:ascii="Calibri" w:eastAsia="SimSun" w:hAnsi="Calibri" w:cs="Calibri"/>
        </w:rPr>
        <w:t xml:space="preserve"> thematic experts and ITU-D Membership (physically and virtually) throughout 202</w:t>
      </w:r>
      <w:r w:rsidR="00C34A44">
        <w:rPr>
          <w:rFonts w:ascii="Calibri" w:eastAsia="SimSun" w:hAnsi="Calibri" w:cs="Calibri"/>
        </w:rPr>
        <w:t>5</w:t>
      </w:r>
      <w:r w:rsidRPr="63750D21">
        <w:rPr>
          <w:rFonts w:ascii="Calibri" w:eastAsia="SimSun" w:hAnsi="Calibri" w:cs="Calibri"/>
        </w:rPr>
        <w:t xml:space="preserve">, bringing higher awareness </w:t>
      </w:r>
      <w:r>
        <w:rPr>
          <w:rFonts w:ascii="Calibri" w:eastAsia="SimSun" w:hAnsi="Calibri" w:cs="Calibri"/>
        </w:rPr>
        <w:t>on</w:t>
      </w:r>
      <w:r w:rsidRPr="63750D21">
        <w:rPr>
          <w:rFonts w:ascii="Calibri" w:eastAsia="SimSun" w:hAnsi="Calibri" w:cs="Calibri"/>
        </w:rPr>
        <w:t xml:space="preserve"> areas for engagement. </w:t>
      </w:r>
    </w:p>
    <w:p w14:paraId="6A3F80D4" w14:textId="18A46C43" w:rsidR="004C3D25" w:rsidRDefault="004C3D25" w:rsidP="004C3D25">
      <w:pPr>
        <w:pStyle w:val="ListParagraph"/>
        <w:numPr>
          <w:ilvl w:val="0"/>
          <w:numId w:val="47"/>
        </w:numPr>
        <w:tabs>
          <w:tab w:val="left" w:pos="1701"/>
        </w:tabs>
        <w:spacing w:before="60" w:after="60"/>
        <w:ind w:left="714" w:hanging="357"/>
        <w:contextualSpacing w:val="0"/>
        <w:rPr>
          <w:rFonts w:ascii="Calibri" w:eastAsia="SimSun" w:hAnsi="Calibri" w:cs="Calibri"/>
        </w:rPr>
      </w:pPr>
      <w:r>
        <w:rPr>
          <w:rFonts w:ascii="Calibri" w:eastAsia="SimSun" w:hAnsi="Calibri" w:cs="Calibri"/>
        </w:rPr>
        <w:t>The</w:t>
      </w:r>
      <w:r w:rsidRPr="3E6B2E16">
        <w:rPr>
          <w:rFonts w:ascii="Calibri" w:eastAsia="SimSun" w:hAnsi="Calibri"/>
        </w:rPr>
        <w:t xml:space="preserve"> </w:t>
      </w:r>
      <w:r w:rsidRPr="3E6B2E16">
        <w:rPr>
          <w:rFonts w:ascii="Calibri" w:eastAsia="SimSun" w:hAnsi="Calibri" w:cs="Calibri"/>
          <w:b/>
          <w:bCs/>
        </w:rPr>
        <w:t xml:space="preserve">Industry Advisory Group on Development Issues and the Private Sector Chief Regulatory Officers (IAGDI-CRO) </w:t>
      </w:r>
      <w:r w:rsidRPr="00271092">
        <w:rPr>
          <w:rFonts w:ascii="Calibri" w:eastAsia="SimSun" w:hAnsi="Calibri" w:cs="Calibri"/>
        </w:rPr>
        <w:t>continued to engage an increasing number of ITU-D Sector Members</w:t>
      </w:r>
      <w:r>
        <w:rPr>
          <w:rFonts w:ascii="Calibri" w:eastAsia="SimSun" w:hAnsi="Calibri" w:cs="Calibri"/>
        </w:rPr>
        <w:t xml:space="preserve">. </w:t>
      </w:r>
      <w:proofErr w:type="gramStart"/>
      <w:r>
        <w:rPr>
          <w:rFonts w:ascii="Calibri" w:eastAsia="SimSun" w:hAnsi="Calibri" w:cs="Calibri"/>
        </w:rPr>
        <w:t xml:space="preserve">In particular, </w:t>
      </w:r>
      <w:r w:rsidR="00C34A44">
        <w:rPr>
          <w:rFonts w:ascii="Calibri" w:eastAsia="SimSun" w:hAnsi="Calibri" w:cs="Calibri"/>
        </w:rPr>
        <w:t>four</w:t>
      </w:r>
      <w:proofErr w:type="gramEnd"/>
      <w:r w:rsidRPr="00271092">
        <w:rPr>
          <w:rFonts w:ascii="Calibri" w:eastAsia="SimSun" w:hAnsi="Calibri" w:cs="Calibri"/>
        </w:rPr>
        <w:t xml:space="preserve"> </w:t>
      </w:r>
      <w:r w:rsidRPr="3E6B2E16">
        <w:rPr>
          <w:rFonts w:ascii="Calibri" w:eastAsia="SimSun" w:hAnsi="Calibri" w:cs="Calibri"/>
        </w:rPr>
        <w:t>meeting</w:t>
      </w:r>
      <w:r>
        <w:rPr>
          <w:rFonts w:ascii="Calibri" w:eastAsia="SimSun" w:hAnsi="Calibri" w:cs="Calibri"/>
        </w:rPr>
        <w:t>s</w:t>
      </w:r>
      <w:r w:rsidRPr="3E6B2E16">
        <w:rPr>
          <w:rFonts w:ascii="Calibri" w:eastAsia="SimSun" w:hAnsi="Calibri" w:cs="Calibri"/>
        </w:rPr>
        <w:t xml:space="preserve"> w</w:t>
      </w:r>
      <w:r>
        <w:rPr>
          <w:rFonts w:ascii="Calibri" w:eastAsia="SimSun" w:hAnsi="Calibri" w:cs="Calibri"/>
        </w:rPr>
        <w:t>ere</w:t>
      </w:r>
      <w:r w:rsidRPr="3E6B2E16">
        <w:rPr>
          <w:rFonts w:ascii="Calibri" w:eastAsia="SimSun" w:hAnsi="Calibri" w:cs="Calibri"/>
        </w:rPr>
        <w:t xml:space="preserve"> </w:t>
      </w:r>
      <w:r>
        <w:rPr>
          <w:rFonts w:ascii="Calibri" w:eastAsia="SimSun" w:hAnsi="Calibri" w:cs="Calibri"/>
        </w:rPr>
        <w:t>organized</w:t>
      </w:r>
      <w:r w:rsidRPr="3E6B2E16">
        <w:rPr>
          <w:rFonts w:ascii="Calibri" w:eastAsia="SimSun" w:hAnsi="Calibri" w:cs="Calibri"/>
        </w:rPr>
        <w:t xml:space="preserve"> </w:t>
      </w:r>
      <w:r>
        <w:rPr>
          <w:rFonts w:ascii="Calibri" w:eastAsia="SimSun" w:hAnsi="Calibri" w:cs="Calibri"/>
        </w:rPr>
        <w:t>in 202</w:t>
      </w:r>
      <w:r w:rsidR="00C34A44">
        <w:rPr>
          <w:rFonts w:ascii="Calibri" w:eastAsia="SimSun" w:hAnsi="Calibri" w:cs="Calibri"/>
        </w:rPr>
        <w:t>5</w:t>
      </w:r>
      <w:r>
        <w:rPr>
          <w:rFonts w:ascii="Calibri" w:eastAsia="SimSun" w:hAnsi="Calibri" w:cs="Calibri"/>
        </w:rPr>
        <w:t>:</w:t>
      </w:r>
    </w:p>
    <w:p w14:paraId="213E41C6" w14:textId="0F7EAB94" w:rsidR="004C3D25" w:rsidRPr="00922EBC" w:rsidRDefault="004C3D25" w:rsidP="004C3D25">
      <w:pPr>
        <w:pStyle w:val="ListParagraph"/>
        <w:numPr>
          <w:ilvl w:val="1"/>
          <w:numId w:val="47"/>
        </w:numPr>
        <w:tabs>
          <w:tab w:val="left" w:pos="1701"/>
        </w:tabs>
        <w:spacing w:before="60" w:after="60"/>
        <w:contextualSpacing w:val="0"/>
        <w:rPr>
          <w:rFonts w:ascii="Calibri" w:eastAsia="SimSun" w:hAnsi="Calibri" w:cs="Calibri"/>
        </w:rPr>
      </w:pPr>
      <w:r w:rsidRPr="002F6E1E">
        <w:rPr>
          <w:rFonts w:ascii="Calibri" w:eastAsia="SimSun" w:hAnsi="Calibri" w:cs="Calibri"/>
          <w:b/>
          <w:bCs/>
        </w:rPr>
        <w:t>IAGDI-CRO virtual consultation</w:t>
      </w:r>
      <w:r w:rsidR="00C34A44">
        <w:rPr>
          <w:rFonts w:ascii="Calibri" w:eastAsia="SimSun" w:hAnsi="Calibri" w:cs="Calibri"/>
        </w:rPr>
        <w:t>, held in June 2025,</w:t>
      </w:r>
      <w:r>
        <w:rPr>
          <w:rFonts w:ascii="Calibri" w:eastAsia="SimSun" w:hAnsi="Calibri" w:cs="Calibri"/>
        </w:rPr>
        <w:t xml:space="preserve"> which e</w:t>
      </w:r>
      <w:r w:rsidRPr="00922EBC">
        <w:rPr>
          <w:rFonts w:ascii="Calibri" w:eastAsia="SimSun" w:hAnsi="Calibri" w:cs="Calibri"/>
        </w:rPr>
        <w:t>ncourag</w:t>
      </w:r>
      <w:r>
        <w:rPr>
          <w:rFonts w:ascii="Calibri" w:eastAsia="SimSun" w:hAnsi="Calibri" w:cs="Calibri"/>
        </w:rPr>
        <w:t>ed a higher number of</w:t>
      </w:r>
      <w:r w:rsidRPr="00922EBC">
        <w:rPr>
          <w:rFonts w:ascii="Calibri" w:eastAsia="SimSun" w:hAnsi="Calibri" w:cs="Calibri"/>
        </w:rPr>
        <w:t xml:space="preserve"> contributions from ITU-D Sector Members to the Global Symposium for Regulators (GSR-2</w:t>
      </w:r>
      <w:r w:rsidR="00C34A44">
        <w:rPr>
          <w:rFonts w:ascii="Calibri" w:eastAsia="SimSun" w:hAnsi="Calibri" w:cs="Calibri"/>
        </w:rPr>
        <w:t>5</w:t>
      </w:r>
      <w:r w:rsidRPr="00922EBC">
        <w:rPr>
          <w:rFonts w:ascii="Calibri" w:eastAsia="SimSun" w:hAnsi="Calibri" w:cs="Calibri"/>
        </w:rPr>
        <w:t>) Best Practices Guidelines consultation process</w:t>
      </w:r>
      <w:r>
        <w:rPr>
          <w:rFonts w:ascii="Calibri" w:eastAsia="SimSun" w:hAnsi="Calibri" w:cs="Calibri"/>
        </w:rPr>
        <w:t xml:space="preserve"> and gathered insights on defining the themes for the IAGDI-CRO main meeting during GSR-2</w:t>
      </w:r>
      <w:r w:rsidR="00C34A44">
        <w:rPr>
          <w:rFonts w:ascii="Calibri" w:eastAsia="SimSun" w:hAnsi="Calibri" w:cs="Calibri"/>
        </w:rPr>
        <w:t>5</w:t>
      </w:r>
      <w:r>
        <w:rPr>
          <w:rFonts w:ascii="Calibri" w:eastAsia="SimSun" w:hAnsi="Calibri" w:cs="Calibri"/>
        </w:rPr>
        <w:t xml:space="preserve">. The Chair’s Report can be found </w:t>
      </w:r>
      <w:hyperlink r:id="rId24" w:history="1">
        <w:r w:rsidR="00C34A44" w:rsidRPr="00C34A44">
          <w:rPr>
            <w:rStyle w:val="Hyperlink"/>
          </w:rPr>
          <w:t>here</w:t>
        </w:r>
      </w:hyperlink>
      <w:r>
        <w:rPr>
          <w:rFonts w:ascii="Calibri" w:eastAsia="SimSun" w:hAnsi="Calibri" w:cs="Calibri"/>
        </w:rPr>
        <w:t>.</w:t>
      </w:r>
    </w:p>
    <w:p w14:paraId="37E9EC71" w14:textId="559085F1" w:rsidR="004C3D25" w:rsidRPr="00C34A44" w:rsidRDefault="004C3D25" w:rsidP="76FDC2F6">
      <w:pPr>
        <w:pStyle w:val="ListParagraph"/>
        <w:numPr>
          <w:ilvl w:val="1"/>
          <w:numId w:val="47"/>
        </w:numPr>
        <w:tabs>
          <w:tab w:val="left" w:pos="1701"/>
        </w:tabs>
        <w:spacing w:before="60" w:after="60"/>
        <w:contextualSpacing w:val="0"/>
        <w:rPr>
          <w:rFonts w:ascii="Calibri" w:eastAsia="SimSun" w:hAnsi="Calibri" w:cs="Calibri"/>
        </w:rPr>
      </w:pPr>
      <w:r w:rsidRPr="002F6E1E">
        <w:rPr>
          <w:rFonts w:ascii="Calibri" w:eastAsia="SimSun" w:hAnsi="Calibri" w:cs="Calibri"/>
          <w:b/>
          <w:bCs/>
        </w:rPr>
        <w:t>IAGDI-CRO meeting</w:t>
      </w:r>
      <w:r>
        <w:rPr>
          <w:rFonts w:ascii="Calibri" w:eastAsia="SimSun" w:hAnsi="Calibri" w:cs="Calibri"/>
        </w:rPr>
        <w:t xml:space="preserve"> </w:t>
      </w:r>
      <w:r w:rsidRPr="3E6B2E16">
        <w:rPr>
          <w:rFonts w:ascii="Calibri" w:eastAsia="SimSun" w:hAnsi="Calibri" w:cs="Calibri"/>
        </w:rPr>
        <w:t>during the Global Symposium for Regulators (GSR-2</w:t>
      </w:r>
      <w:r w:rsidR="00C34A44">
        <w:rPr>
          <w:rFonts w:ascii="Calibri" w:eastAsia="SimSun" w:hAnsi="Calibri" w:cs="Calibri"/>
        </w:rPr>
        <w:t>5</w:t>
      </w:r>
      <w:r w:rsidRPr="3E6B2E16">
        <w:rPr>
          <w:rFonts w:ascii="Calibri" w:eastAsia="SimSun" w:hAnsi="Calibri" w:cs="Calibri"/>
        </w:rPr>
        <w:t xml:space="preserve">) in </w:t>
      </w:r>
      <w:r w:rsidR="00C34A44">
        <w:rPr>
          <w:rFonts w:ascii="Calibri" w:eastAsia="SimSun" w:hAnsi="Calibri" w:cs="Calibri"/>
        </w:rPr>
        <w:t>Riyadh</w:t>
      </w:r>
      <w:r>
        <w:rPr>
          <w:rFonts w:ascii="Calibri" w:eastAsia="SimSun" w:hAnsi="Calibri" w:cs="Calibri"/>
        </w:rPr>
        <w:t>,</w:t>
      </w:r>
      <w:r w:rsidR="00C34A44">
        <w:rPr>
          <w:rFonts w:ascii="Calibri" w:eastAsia="SimSun" w:hAnsi="Calibri" w:cs="Calibri"/>
        </w:rPr>
        <w:t xml:space="preserve"> Kingdom of Saudi Arabia</w:t>
      </w:r>
      <w:r w:rsidRPr="00C34A44">
        <w:rPr>
          <w:rFonts w:ascii="Calibri" w:eastAsia="SimSun" w:hAnsi="Calibri" w:cs="Calibri"/>
        </w:rPr>
        <w:t xml:space="preserve">. The interest and commitment of ITU-D Sector Members was shown by their contributions and a record number of participants. </w:t>
      </w:r>
      <w:r w:rsidR="09142A32" w:rsidRPr="76FDC2F6">
        <w:rPr>
          <w:rFonts w:ascii="Calibri" w:hAnsi="Calibri" w:cs="Calibri"/>
        </w:rPr>
        <w:t>The meeting’s</w:t>
      </w:r>
      <w:r w:rsidR="09142A32" w:rsidRPr="76FDC2F6">
        <w:rPr>
          <w:rFonts w:ascii="Calibri" w:eastAsia="SimSun" w:hAnsi="Calibri" w:cs="Calibri"/>
        </w:rPr>
        <w:t xml:space="preserve"> </w:t>
      </w:r>
      <w:hyperlink r:id="rId25">
        <w:r w:rsidR="09142A32" w:rsidRPr="76FDC2F6">
          <w:rPr>
            <w:rStyle w:val="Hyperlink"/>
            <w:rFonts w:ascii="Calibri" w:eastAsia="SimSun" w:hAnsi="Calibri" w:cs="Calibri"/>
          </w:rPr>
          <w:t>Outcome Statement</w:t>
        </w:r>
      </w:hyperlink>
      <w:r w:rsidR="09142A32" w:rsidRPr="76FDC2F6">
        <w:rPr>
          <w:rFonts w:ascii="Calibri" w:eastAsia="SimSun" w:hAnsi="Calibri" w:cs="Calibri"/>
        </w:rPr>
        <w:t xml:space="preserve"> and the Chair’s Report can be found </w:t>
      </w:r>
      <w:hyperlink r:id="rId26">
        <w:r w:rsidR="09142A32" w:rsidRPr="76FDC2F6">
          <w:rPr>
            <w:rStyle w:val="Hyperlink"/>
            <w:rFonts w:ascii="Calibri" w:eastAsia="SimSun" w:hAnsi="Calibri" w:cs="Calibri"/>
          </w:rPr>
          <w:t>here</w:t>
        </w:r>
      </w:hyperlink>
      <w:r w:rsidR="09142A32" w:rsidRPr="76FDC2F6">
        <w:rPr>
          <w:rFonts w:ascii="Calibri" w:eastAsia="SimSun" w:hAnsi="Calibri" w:cs="Calibri"/>
        </w:rPr>
        <w:t xml:space="preserve">. </w:t>
      </w:r>
      <w:r w:rsidR="00C34A44" w:rsidRPr="00C34A44">
        <w:rPr>
          <w:rFonts w:ascii="Calibri" w:eastAsia="SimSun" w:hAnsi="Calibri" w:cs="Calibri"/>
        </w:rPr>
        <w:t xml:space="preserve">In addition to the core meetings, </w:t>
      </w:r>
      <w:r w:rsidRPr="00C34A44">
        <w:rPr>
          <w:rFonts w:ascii="Calibri" w:eastAsia="SimSun" w:hAnsi="Calibri" w:cs="Calibri"/>
        </w:rPr>
        <w:t>the</w:t>
      </w:r>
      <w:r w:rsidRPr="00C34A44">
        <w:rPr>
          <w:rFonts w:ascii="Calibri" w:eastAsia="SimSun" w:hAnsi="Calibri" w:cs="Calibri"/>
          <w:b/>
          <w:bCs/>
        </w:rPr>
        <w:t xml:space="preserve"> IAGDI-CRO</w:t>
      </w:r>
      <w:r w:rsidRPr="00C34A44">
        <w:rPr>
          <w:rFonts w:ascii="Calibri" w:eastAsia="SimSun" w:hAnsi="Calibri" w:cs="Calibri"/>
        </w:rPr>
        <w:t xml:space="preserve"> organised</w:t>
      </w:r>
      <w:r w:rsidR="00C34A44" w:rsidRPr="00C34A44">
        <w:rPr>
          <w:rFonts w:ascii="Calibri" w:eastAsia="SimSun" w:hAnsi="Calibri" w:cs="Calibri"/>
        </w:rPr>
        <w:t xml:space="preserve"> also</w:t>
      </w:r>
      <w:r w:rsidRPr="00C34A44">
        <w:rPr>
          <w:rFonts w:ascii="Calibri" w:eastAsia="SimSun" w:hAnsi="Calibri" w:cs="Calibri"/>
          <w:b/>
          <w:bCs/>
        </w:rPr>
        <w:t xml:space="preserve"> two Tech Talks in February 2025, </w:t>
      </w:r>
      <w:r w:rsidRPr="00C34A44">
        <w:rPr>
          <w:rFonts w:ascii="Calibri" w:eastAsia="SimSun" w:hAnsi="Calibri" w:cs="Calibri"/>
        </w:rPr>
        <w:t>each aligned with the</w:t>
      </w:r>
      <w:r w:rsidRPr="00C34A44">
        <w:rPr>
          <w:rFonts w:ascii="Calibri" w:eastAsia="SimSun" w:hAnsi="Calibri" w:cs="Calibri"/>
          <w:b/>
          <w:bCs/>
        </w:rPr>
        <w:t xml:space="preserve"> themes of ITU-D Study Groups 1 and 2</w:t>
      </w:r>
      <w:r w:rsidRPr="00C34A44">
        <w:rPr>
          <w:rFonts w:ascii="Calibri" w:eastAsia="SimSun" w:hAnsi="Calibri" w:cs="Calibri"/>
        </w:rPr>
        <w:t>, respectively</w:t>
      </w:r>
      <w:r w:rsidRPr="00C34A44">
        <w:rPr>
          <w:rFonts w:ascii="Calibri" w:eastAsia="SimSun" w:hAnsi="Calibri" w:cs="Calibri"/>
          <w:b/>
          <w:bCs/>
        </w:rPr>
        <w:t xml:space="preserve">. </w:t>
      </w:r>
      <w:r w:rsidRPr="00C34A44">
        <w:rPr>
          <w:rFonts w:ascii="Calibri" w:eastAsia="SimSun" w:hAnsi="Calibri" w:cs="Calibri"/>
        </w:rPr>
        <w:t>It fostered stronger collaboration between ITU-D Sector Members and ITU-D Study Group management and ITU-D membership and inspired forward-thinking discussions on cutting-edge digital trends and technologies that could shape future ITU-D work</w:t>
      </w:r>
      <w:r w:rsidR="00C34A44">
        <w:rPr>
          <w:rFonts w:ascii="Calibri" w:eastAsia="SimSun" w:hAnsi="Calibri" w:cs="Calibri"/>
        </w:rPr>
        <w:t xml:space="preserve">. </w:t>
      </w:r>
      <w:r w:rsidRPr="00C34A44">
        <w:rPr>
          <w:rFonts w:ascii="Calibri" w:eastAsia="SimSun" w:hAnsi="Calibri" w:cs="Calibri"/>
        </w:rPr>
        <w:t xml:space="preserve">The reports of the </w:t>
      </w:r>
      <w:r w:rsidRPr="00C34A44">
        <w:rPr>
          <w:rFonts w:ascii="Calibri" w:eastAsia="SimSun" w:hAnsi="Calibri" w:cs="Calibri"/>
          <w:b/>
          <w:bCs/>
        </w:rPr>
        <w:t>TECH TALK on Enabling Environment for Meaningful Connectivity</w:t>
      </w:r>
      <w:r w:rsidRPr="00C34A44">
        <w:rPr>
          <w:rFonts w:ascii="Calibri" w:eastAsia="SimSun" w:hAnsi="Calibri" w:cs="Calibri"/>
        </w:rPr>
        <w:t xml:space="preserve"> and the </w:t>
      </w:r>
      <w:r w:rsidRPr="00C34A44">
        <w:rPr>
          <w:rFonts w:ascii="Calibri" w:eastAsia="SimSun" w:hAnsi="Calibri" w:cs="Calibri"/>
          <w:b/>
          <w:bCs/>
        </w:rPr>
        <w:t>TECH TALK on Digital Transformation</w:t>
      </w:r>
      <w:r w:rsidRPr="00C34A44">
        <w:rPr>
          <w:rFonts w:ascii="Calibri" w:eastAsia="SimSun" w:hAnsi="Calibri" w:cs="Calibri"/>
        </w:rPr>
        <w:t xml:space="preserve"> were presented to the TDAG-WG-future SG Questions and noted with appreciation. The reports of each TECH TALKS can be found </w:t>
      </w:r>
      <w:hyperlink r:id="rId27">
        <w:r w:rsidRPr="76FDC2F6">
          <w:rPr>
            <w:rStyle w:val="Hyperlink"/>
            <w:rFonts w:ascii="Calibri" w:eastAsia="SimSun" w:hAnsi="Calibri" w:cs="Calibri"/>
          </w:rPr>
          <w:t>here</w:t>
        </w:r>
      </w:hyperlink>
      <w:r w:rsidRPr="76FDC2F6">
        <w:rPr>
          <w:rFonts w:ascii="Calibri" w:eastAsia="SimSun" w:hAnsi="Calibri" w:cs="Calibri"/>
        </w:rPr>
        <w:t>.</w:t>
      </w:r>
    </w:p>
    <w:p w14:paraId="0ECD8E0C" w14:textId="12141CE1" w:rsidR="004C3D25" w:rsidRDefault="004C3D25" w:rsidP="004C3D25">
      <w:pPr>
        <w:pStyle w:val="ListParagraph"/>
        <w:numPr>
          <w:ilvl w:val="0"/>
          <w:numId w:val="47"/>
        </w:numPr>
        <w:spacing w:before="60" w:after="60"/>
        <w:contextualSpacing w:val="0"/>
        <w:rPr>
          <w:lang w:val="en-US"/>
        </w:rPr>
      </w:pPr>
      <w:r w:rsidRPr="00271092">
        <w:rPr>
          <w:lang w:val="en-US"/>
        </w:rPr>
        <w:t>In 202</w:t>
      </w:r>
      <w:r w:rsidR="00A66AEE">
        <w:rPr>
          <w:lang w:val="en-US"/>
        </w:rPr>
        <w:t>5</w:t>
      </w:r>
      <w:r w:rsidRPr="00271092">
        <w:rPr>
          <w:lang w:val="en-US"/>
        </w:rPr>
        <w:t xml:space="preserve">, </w:t>
      </w:r>
      <w:r>
        <w:rPr>
          <w:lang w:val="en-US"/>
        </w:rPr>
        <w:t xml:space="preserve">BDT continued to organize </w:t>
      </w:r>
      <w:r w:rsidRPr="00064D20">
        <w:rPr>
          <w:b/>
          <w:bCs/>
          <w:lang w:val="en-US"/>
        </w:rPr>
        <w:t>virtual briefings</w:t>
      </w:r>
      <w:r>
        <w:rPr>
          <w:lang w:val="en-US"/>
        </w:rPr>
        <w:t xml:space="preserve"> and </w:t>
      </w:r>
      <w:r w:rsidRPr="004461ED">
        <w:rPr>
          <w:b/>
          <w:bCs/>
          <w:lang w:val="en-US"/>
        </w:rPr>
        <w:t>ITU HQ visits</w:t>
      </w:r>
      <w:r w:rsidRPr="00271092">
        <w:rPr>
          <w:lang w:val="en-US"/>
        </w:rPr>
        <w:t xml:space="preserve"> with </w:t>
      </w:r>
      <w:r w:rsidRPr="00156151">
        <w:rPr>
          <w:lang w:val="en-US"/>
        </w:rPr>
        <w:t>several ITU-D Sector Members, Associates,</w:t>
      </w:r>
      <w:r>
        <w:rPr>
          <w:lang w:val="en-US"/>
        </w:rPr>
        <w:t xml:space="preserve"> </w:t>
      </w:r>
      <w:r w:rsidRPr="00156151">
        <w:rPr>
          <w:lang w:val="en-US"/>
        </w:rPr>
        <w:t>Academia</w:t>
      </w:r>
      <w:r>
        <w:rPr>
          <w:lang w:val="en-US"/>
        </w:rPr>
        <w:t>,</w:t>
      </w:r>
      <w:r w:rsidRPr="00156151">
        <w:rPr>
          <w:lang w:val="en-US"/>
        </w:rPr>
        <w:t xml:space="preserve"> and prospects,</w:t>
      </w:r>
      <w:r w:rsidRPr="00271092">
        <w:rPr>
          <w:lang w:val="en-US"/>
        </w:rPr>
        <w:t xml:space="preserve"> to introduce the membership benefits and opportunities for engagement with ITU-D.</w:t>
      </w:r>
    </w:p>
    <w:p w14:paraId="7ECF13CF" w14:textId="0FDB819E" w:rsidR="004C3D25" w:rsidRPr="00A66AEE" w:rsidRDefault="004C3D25" w:rsidP="76FDC2F6">
      <w:pPr>
        <w:pStyle w:val="ListParagraph"/>
        <w:numPr>
          <w:ilvl w:val="0"/>
          <w:numId w:val="47"/>
        </w:numPr>
        <w:spacing w:before="60" w:after="60"/>
        <w:contextualSpacing w:val="0"/>
        <w:rPr>
          <w:lang w:val="en-US"/>
        </w:rPr>
      </w:pPr>
    </w:p>
    <w:p w14:paraId="3B4AA67E" w14:textId="59967A0F" w:rsidR="7FC09E3B" w:rsidRDefault="7FC09E3B" w:rsidP="16ADAD38">
      <w:pPr>
        <w:keepNext/>
        <w:numPr>
          <w:ilvl w:val="0"/>
          <w:numId w:val="45"/>
        </w:numPr>
        <w:tabs>
          <w:tab w:val="clear" w:pos="1871"/>
          <w:tab w:val="left" w:pos="567"/>
          <w:tab w:val="left" w:pos="1701"/>
        </w:tabs>
        <w:spacing w:after="120"/>
        <w:ind w:left="357" w:hanging="357"/>
        <w:rPr>
          <w:rFonts w:ascii="Calibri" w:eastAsia="SimSun" w:hAnsi="Calibri" w:cs="Arial"/>
          <w:b/>
          <w:bCs/>
          <w:lang w:val="en-US" w:eastAsia="zh-CN"/>
        </w:rPr>
      </w:pPr>
      <w:r w:rsidRPr="76FDC2F6">
        <w:rPr>
          <w:rFonts w:ascii="Calibri" w:eastAsia="SimSun" w:hAnsi="Calibri" w:cs="Arial"/>
          <w:b/>
          <w:bCs/>
          <w:lang w:val="en-US" w:eastAsia="zh-CN"/>
        </w:rPr>
        <w:t>Outreach and engagement in 2026</w:t>
      </w:r>
    </w:p>
    <w:p w14:paraId="32E13259" w14:textId="3601D11E" w:rsidR="23952306" w:rsidRDefault="23952306" w:rsidP="16ADAD38">
      <w:pPr>
        <w:pStyle w:val="ListParagraph"/>
        <w:numPr>
          <w:ilvl w:val="0"/>
          <w:numId w:val="47"/>
        </w:numPr>
        <w:tabs>
          <w:tab w:val="left" w:pos="1701"/>
        </w:tabs>
        <w:spacing w:before="60" w:after="60"/>
        <w:contextualSpacing w:val="0"/>
        <w:rPr>
          <w:rFonts w:ascii="Calibri" w:eastAsia="SimSun" w:hAnsi="Calibri" w:cs="Calibri"/>
        </w:rPr>
      </w:pPr>
      <w:r w:rsidRPr="76FDC2F6">
        <w:rPr>
          <w:rFonts w:ascii="Calibri" w:eastAsia="SimSun" w:hAnsi="Calibri" w:cs="Calibri"/>
        </w:rPr>
        <w:t xml:space="preserve">In line with the outcomes of WTDC-25, </w:t>
      </w:r>
      <w:r w:rsidR="077D1895" w:rsidRPr="76FDC2F6">
        <w:rPr>
          <w:rFonts w:ascii="Calibri" w:eastAsia="SimSun" w:hAnsi="Calibri" w:cs="Calibri"/>
        </w:rPr>
        <w:t xml:space="preserve">BDT will continue to </w:t>
      </w:r>
      <w:r w:rsidR="0B67D934" w:rsidRPr="76FDC2F6">
        <w:rPr>
          <w:rFonts w:ascii="Calibri" w:eastAsia="SimSun" w:hAnsi="Calibri" w:cs="Calibri"/>
        </w:rPr>
        <w:t>broaden the ITU-D membership community</w:t>
      </w:r>
      <w:r w:rsidR="077D1895" w:rsidRPr="76FDC2F6">
        <w:rPr>
          <w:rFonts w:ascii="Calibri" w:eastAsia="SimSun" w:hAnsi="Calibri" w:cs="Calibri"/>
        </w:rPr>
        <w:t xml:space="preserve"> through </w:t>
      </w:r>
      <w:r w:rsidR="6C59C4C1" w:rsidRPr="76FDC2F6">
        <w:rPr>
          <w:rFonts w:ascii="Calibri" w:eastAsia="SimSun" w:hAnsi="Calibri" w:cs="Calibri"/>
        </w:rPr>
        <w:t>strategic</w:t>
      </w:r>
      <w:r w:rsidR="077D1895" w:rsidRPr="76FDC2F6">
        <w:rPr>
          <w:rFonts w:ascii="Calibri" w:eastAsia="SimSun" w:hAnsi="Calibri" w:cs="Calibri"/>
        </w:rPr>
        <w:t xml:space="preserve"> outreach </w:t>
      </w:r>
      <w:r w:rsidR="492A6A46" w:rsidRPr="76FDC2F6">
        <w:rPr>
          <w:rFonts w:ascii="Calibri" w:eastAsia="SimSun" w:hAnsi="Calibri" w:cs="Calibri"/>
        </w:rPr>
        <w:t xml:space="preserve">to potential members and partners </w:t>
      </w:r>
      <w:r w:rsidR="077D1895" w:rsidRPr="76FDC2F6">
        <w:rPr>
          <w:rFonts w:ascii="Calibri" w:eastAsia="SimSun" w:hAnsi="Calibri" w:cs="Calibri"/>
        </w:rPr>
        <w:t xml:space="preserve">in global external events. </w:t>
      </w:r>
    </w:p>
    <w:p w14:paraId="415E30A1" w14:textId="49525B03" w:rsidR="612507A5" w:rsidRDefault="612507A5" w:rsidP="16ADAD38">
      <w:pPr>
        <w:pStyle w:val="ListParagraph"/>
        <w:numPr>
          <w:ilvl w:val="0"/>
          <w:numId w:val="47"/>
        </w:numPr>
        <w:tabs>
          <w:tab w:val="left" w:pos="1701"/>
        </w:tabs>
        <w:spacing w:before="60" w:after="60"/>
        <w:contextualSpacing w:val="0"/>
        <w:rPr>
          <w:rFonts w:ascii="Calibri" w:eastAsia="SimSun" w:hAnsi="Calibri" w:cs="Calibri"/>
        </w:rPr>
      </w:pPr>
      <w:r w:rsidRPr="76FDC2F6">
        <w:rPr>
          <w:rFonts w:ascii="Calibri" w:eastAsia="SimSun" w:hAnsi="Calibri" w:cs="Calibri"/>
        </w:rPr>
        <w:t xml:space="preserve">BDT will further strengthen its collaboration with ITU-D members and will </w:t>
      </w:r>
      <w:r w:rsidR="49E7F052" w:rsidRPr="76FDC2F6">
        <w:rPr>
          <w:rFonts w:ascii="Calibri" w:eastAsia="SimSun" w:hAnsi="Calibri" w:cs="Calibri"/>
        </w:rPr>
        <w:t xml:space="preserve">direct sustained attention to the conversion of ITU-D private sector members into key </w:t>
      </w:r>
      <w:r w:rsidR="7A924325" w:rsidRPr="76FDC2F6">
        <w:rPr>
          <w:rFonts w:ascii="Calibri" w:eastAsia="SimSun" w:hAnsi="Calibri" w:cs="Calibri"/>
        </w:rPr>
        <w:t>partners and</w:t>
      </w:r>
      <w:r w:rsidR="49E7F052" w:rsidRPr="76FDC2F6">
        <w:rPr>
          <w:rFonts w:ascii="Calibri" w:eastAsia="SimSun" w:hAnsi="Calibri" w:cs="Calibri"/>
        </w:rPr>
        <w:t xml:space="preserve"> will invite partn</w:t>
      </w:r>
      <w:r w:rsidR="010264D0" w:rsidRPr="76FDC2F6">
        <w:rPr>
          <w:rFonts w:ascii="Calibri" w:eastAsia="SimSun" w:hAnsi="Calibri" w:cs="Calibri"/>
        </w:rPr>
        <w:t xml:space="preserve">ers that are not members to join the ITU-D membership community. </w:t>
      </w:r>
    </w:p>
    <w:p w14:paraId="391984B6" w14:textId="7D4B1EEF" w:rsidR="7FC09E3B" w:rsidRDefault="7FC09E3B" w:rsidP="76FDC2F6">
      <w:pPr>
        <w:pStyle w:val="ListParagraph"/>
        <w:numPr>
          <w:ilvl w:val="0"/>
          <w:numId w:val="47"/>
        </w:numPr>
        <w:tabs>
          <w:tab w:val="left" w:pos="1701"/>
        </w:tabs>
        <w:spacing w:before="60" w:after="60"/>
        <w:contextualSpacing w:val="0"/>
        <w:rPr>
          <w:rFonts w:ascii="Calibri" w:eastAsia="SimSun" w:hAnsi="Calibri" w:cs="Calibri"/>
        </w:rPr>
      </w:pPr>
      <w:r w:rsidRPr="76FDC2F6">
        <w:rPr>
          <w:rFonts w:ascii="Calibri" w:eastAsia="SimSun" w:hAnsi="Calibri" w:cs="Calibri"/>
        </w:rPr>
        <w:t xml:space="preserve">The next IAGDI-CRO meeting will take place on </w:t>
      </w:r>
      <w:r w:rsidRPr="76FDC2F6">
        <w:rPr>
          <w:rFonts w:ascii="Calibri" w:eastAsia="SimSun" w:hAnsi="Calibri" w:cs="Calibri"/>
          <w:b/>
          <w:bCs/>
        </w:rPr>
        <w:t xml:space="preserve">13 May 2026, </w:t>
      </w:r>
      <w:r w:rsidRPr="76FDC2F6">
        <w:rPr>
          <w:rFonts w:ascii="Calibri" w:eastAsia="SimSun" w:hAnsi="Calibri" w:cs="Calibri"/>
        </w:rPr>
        <w:t>in Ankara, Türkiye during GSR-26.</w:t>
      </w:r>
      <w:r w:rsidR="760D9BB2" w:rsidRPr="76FDC2F6">
        <w:rPr>
          <w:rFonts w:ascii="Calibri" w:eastAsia="SimSun" w:hAnsi="Calibri" w:cs="Calibri"/>
        </w:rPr>
        <w:t xml:space="preserve"> </w:t>
      </w:r>
      <w:r w:rsidR="0F65F1E4" w:rsidRPr="76FDC2F6">
        <w:rPr>
          <w:rFonts w:ascii="Calibri" w:eastAsia="SimSun" w:hAnsi="Calibri" w:cs="Calibri"/>
        </w:rPr>
        <w:t>MPS/PPS will be carrying out meetings with ITU-D Sector Members to encourage their participation in the IAGDI-CRO, and to co</w:t>
      </w:r>
      <w:r w:rsidR="0E4526EB" w:rsidRPr="76FDC2F6">
        <w:rPr>
          <w:rFonts w:ascii="Calibri" w:eastAsia="SimSun" w:hAnsi="Calibri" w:cs="Calibri"/>
        </w:rPr>
        <w:t xml:space="preserve">ntribute to the GSR-26 Best Practices Guidelines Consultation Process. </w:t>
      </w:r>
    </w:p>
    <w:p w14:paraId="41810EEE" w14:textId="1F7B7B64" w:rsidR="7FC09E3B" w:rsidRDefault="7FC09E3B" w:rsidP="76FDC2F6">
      <w:pPr>
        <w:pStyle w:val="ListParagraph"/>
        <w:numPr>
          <w:ilvl w:val="0"/>
          <w:numId w:val="47"/>
        </w:numPr>
        <w:tabs>
          <w:tab w:val="left" w:pos="1701"/>
        </w:tabs>
        <w:spacing w:before="60" w:after="60"/>
        <w:contextualSpacing w:val="0"/>
      </w:pPr>
      <w:r>
        <w:t>In 2026, BDT will</w:t>
      </w:r>
      <w:r w:rsidRPr="76FDC2F6">
        <w:rPr>
          <w:lang w:val="en-US"/>
        </w:rPr>
        <w:t xml:space="preserve"> carry out a series of consultative sessions with ITU-D members – </w:t>
      </w:r>
      <w:r w:rsidRPr="76FDC2F6">
        <w:rPr>
          <w:b/>
          <w:bCs/>
          <w:lang w:val="en-US"/>
        </w:rPr>
        <w:t>the Know Your Members series</w:t>
      </w:r>
      <w:r w:rsidRPr="76FDC2F6">
        <w:rPr>
          <w:lang w:val="en-US"/>
        </w:rPr>
        <w:t xml:space="preserve"> – with the aim of increasing participation in the work of the Sector. The Know Your Members series have </w:t>
      </w:r>
      <w:r>
        <w:t xml:space="preserve">been conceptualised to provide personalized and targeted opportunities for membership to share views openly and freely with the BDT </w:t>
      </w:r>
      <w:r>
        <w:lastRenderedPageBreak/>
        <w:t>Director on their participation in the work of the ITU-D and make suggestions, as necessary.</w:t>
      </w:r>
    </w:p>
    <w:p w14:paraId="6937E7E7" w14:textId="14080F28" w:rsidR="004C3D25" w:rsidRPr="00306331" w:rsidRDefault="004C3D25" w:rsidP="004C3D25">
      <w:pPr>
        <w:keepNext/>
        <w:numPr>
          <w:ilvl w:val="0"/>
          <w:numId w:val="45"/>
        </w:numPr>
        <w:tabs>
          <w:tab w:val="clear" w:pos="1871"/>
          <w:tab w:val="left" w:pos="567"/>
          <w:tab w:val="left" w:pos="1701"/>
        </w:tabs>
        <w:spacing w:after="120"/>
        <w:ind w:left="357" w:hanging="357"/>
        <w:rPr>
          <w:rFonts w:ascii="Calibri" w:eastAsia="SimSun" w:hAnsi="Calibri" w:cs="Arial"/>
          <w:b/>
          <w:bCs/>
          <w:szCs w:val="24"/>
          <w:lang w:val="en-US" w:eastAsia="zh-CN"/>
        </w:rPr>
      </w:pPr>
      <w:r>
        <w:rPr>
          <w:rFonts w:ascii="Calibri" w:eastAsia="SimSun" w:hAnsi="Calibri" w:cs="Arial"/>
          <w:b/>
          <w:bCs/>
          <w:szCs w:val="24"/>
          <w:lang w:val="en-US" w:eastAsia="zh-CN"/>
        </w:rPr>
        <w:t xml:space="preserve">Internal coordination and </w:t>
      </w:r>
      <w:r w:rsidRPr="00306331">
        <w:rPr>
          <w:rFonts w:ascii="Calibri" w:eastAsia="SimSun" w:hAnsi="Calibri" w:cs="Arial"/>
          <w:b/>
          <w:bCs/>
          <w:szCs w:val="24"/>
          <w:lang w:val="en-US" w:eastAsia="zh-CN"/>
        </w:rPr>
        <w:t>processes enhancements in 202</w:t>
      </w:r>
      <w:r w:rsidR="002F6E1E">
        <w:rPr>
          <w:rFonts w:ascii="Calibri" w:eastAsia="SimSun" w:hAnsi="Calibri" w:cs="Arial"/>
          <w:b/>
          <w:bCs/>
          <w:szCs w:val="24"/>
          <w:lang w:val="en-US" w:eastAsia="zh-CN"/>
        </w:rPr>
        <w:t>5</w:t>
      </w:r>
    </w:p>
    <w:p w14:paraId="20C884ED" w14:textId="0A124957" w:rsidR="004C3D25" w:rsidRPr="00F97C4B" w:rsidRDefault="004C3D25" w:rsidP="004C3D25">
      <w:pPr>
        <w:tabs>
          <w:tab w:val="left" w:pos="567"/>
          <w:tab w:val="left" w:pos="1701"/>
        </w:tabs>
        <w:spacing w:after="120"/>
        <w:rPr>
          <w:rFonts w:ascii="Calibri" w:eastAsia="SimSun" w:hAnsi="Calibri" w:cs="Arial"/>
          <w:szCs w:val="24"/>
          <w:lang w:val="en-US" w:eastAsia="zh-CN"/>
        </w:rPr>
      </w:pPr>
      <w:r w:rsidRPr="00F97C4B">
        <w:rPr>
          <w:rFonts w:ascii="Calibri" w:eastAsia="SimSun" w:hAnsi="Calibri" w:cs="Arial"/>
          <w:szCs w:val="24"/>
          <w:lang w:val="en-US" w:eastAsia="zh-CN"/>
        </w:rPr>
        <w:t>BDT is continuously coordinating internally with the other Sectors</w:t>
      </w:r>
      <w:r w:rsidR="00CE2EF5">
        <w:rPr>
          <w:rFonts w:ascii="Calibri" w:eastAsia="SimSun" w:hAnsi="Calibri" w:cs="Arial"/>
          <w:szCs w:val="24"/>
          <w:lang w:val="en-US" w:eastAsia="zh-CN"/>
        </w:rPr>
        <w:t xml:space="preserve">, </w:t>
      </w:r>
      <w:r w:rsidRPr="00F97C4B">
        <w:rPr>
          <w:rFonts w:ascii="Calibri" w:eastAsia="SimSun" w:hAnsi="Calibri" w:cs="Arial"/>
          <w:szCs w:val="24"/>
          <w:lang w:val="en-US" w:eastAsia="zh-CN"/>
        </w:rPr>
        <w:t>General Secretariat (SPM)</w:t>
      </w:r>
      <w:r w:rsidR="00CE2EF5">
        <w:rPr>
          <w:rFonts w:ascii="Calibri" w:eastAsia="SimSun" w:hAnsi="Calibri" w:cs="Arial"/>
          <w:szCs w:val="24"/>
          <w:lang w:val="en-US" w:eastAsia="zh-CN"/>
        </w:rPr>
        <w:t>, and with the Regional Offices,</w:t>
      </w:r>
      <w:r w:rsidRPr="00F97C4B">
        <w:rPr>
          <w:rFonts w:ascii="Calibri" w:eastAsia="SimSun" w:hAnsi="Calibri" w:cs="Arial"/>
          <w:szCs w:val="24"/>
          <w:lang w:val="en-US" w:eastAsia="zh-CN"/>
        </w:rPr>
        <w:t xml:space="preserve"> for enhancements </w:t>
      </w:r>
      <w:r>
        <w:rPr>
          <w:rFonts w:ascii="Calibri" w:eastAsia="SimSun" w:hAnsi="Calibri" w:cs="Arial"/>
          <w:szCs w:val="24"/>
          <w:lang w:val="en-US" w:eastAsia="zh-CN"/>
        </w:rPr>
        <w:t xml:space="preserve">of effective processes </w:t>
      </w:r>
      <w:r w:rsidRPr="00F97C4B">
        <w:rPr>
          <w:rFonts w:ascii="Calibri" w:eastAsia="SimSun" w:hAnsi="Calibri" w:cs="Arial"/>
          <w:szCs w:val="24"/>
          <w:lang w:val="en-US" w:eastAsia="zh-CN"/>
        </w:rPr>
        <w:t xml:space="preserve">to improve the membership </w:t>
      </w:r>
      <w:r>
        <w:rPr>
          <w:rFonts w:ascii="Calibri" w:eastAsia="SimSun" w:hAnsi="Calibri" w:cs="Arial"/>
          <w:szCs w:val="24"/>
          <w:lang w:val="en-US" w:eastAsia="zh-CN"/>
        </w:rPr>
        <w:t>experience</w:t>
      </w:r>
      <w:r w:rsidRPr="00F97C4B">
        <w:rPr>
          <w:rFonts w:ascii="Calibri" w:eastAsia="SimSun" w:hAnsi="Calibri" w:cs="Arial"/>
          <w:szCs w:val="24"/>
          <w:lang w:val="en-US" w:eastAsia="zh-CN"/>
        </w:rPr>
        <w:t xml:space="preserve"> through:</w:t>
      </w:r>
    </w:p>
    <w:p w14:paraId="47A0432D" w14:textId="12133887" w:rsidR="004C3D25" w:rsidRPr="00F97C4B" w:rsidRDefault="004C3D25" w:rsidP="00F26FAF">
      <w:pPr>
        <w:pStyle w:val="ListParagraph"/>
        <w:numPr>
          <w:ilvl w:val="0"/>
          <w:numId w:val="49"/>
        </w:numPr>
        <w:tabs>
          <w:tab w:val="left" w:pos="1701"/>
        </w:tabs>
        <w:spacing w:before="60" w:after="60"/>
        <w:ind w:left="714" w:hanging="357"/>
        <w:contextualSpacing w:val="0"/>
        <w:rPr>
          <w:rFonts w:ascii="Calibri" w:eastAsia="SimSun" w:hAnsi="Calibri" w:cs="Arial"/>
          <w:lang w:val="en-US" w:eastAsia="zh-CN"/>
        </w:rPr>
      </w:pPr>
      <w:r w:rsidRPr="76FDC2F6">
        <w:rPr>
          <w:rFonts w:ascii="Calibri" w:eastAsia="SimSun" w:hAnsi="Calibri" w:cs="Arial"/>
          <w:lang w:val="en-US" w:eastAsia="zh-CN"/>
        </w:rPr>
        <w:t>Increasing efforts on a more effective onboarding experience for new members</w:t>
      </w:r>
      <w:r w:rsidR="002F6E1E" w:rsidRPr="76FDC2F6">
        <w:rPr>
          <w:rFonts w:ascii="Calibri" w:eastAsia="SimSun" w:hAnsi="Calibri" w:cs="Arial"/>
          <w:lang w:val="en-US" w:eastAsia="zh-CN"/>
        </w:rPr>
        <w:t>, especially in the work of the ITU-D Study Groups</w:t>
      </w:r>
      <w:r w:rsidRPr="76FDC2F6">
        <w:rPr>
          <w:rFonts w:ascii="Calibri" w:eastAsia="SimSun" w:hAnsi="Calibri" w:cs="Arial"/>
          <w:lang w:val="en-US" w:eastAsia="zh-CN"/>
        </w:rPr>
        <w:t xml:space="preserve"> and engaging the expert teams in securing engagement with the ITU-D’s products and services.</w:t>
      </w:r>
    </w:p>
    <w:p w14:paraId="3A67A332" w14:textId="77777777" w:rsidR="00CE2EF5" w:rsidRDefault="004C3D25" w:rsidP="00F26FAF">
      <w:pPr>
        <w:pStyle w:val="ListParagraph"/>
        <w:numPr>
          <w:ilvl w:val="0"/>
          <w:numId w:val="49"/>
        </w:numPr>
        <w:tabs>
          <w:tab w:val="left" w:pos="1701"/>
        </w:tabs>
        <w:spacing w:before="60" w:after="60"/>
        <w:ind w:left="714" w:hanging="357"/>
        <w:contextualSpacing w:val="0"/>
        <w:rPr>
          <w:rFonts w:ascii="Calibri" w:eastAsia="SimSun" w:hAnsi="Calibri" w:cs="Arial"/>
          <w:szCs w:val="24"/>
          <w:lang w:val="en-US" w:eastAsia="zh-CN"/>
        </w:rPr>
      </w:pPr>
      <w:r w:rsidRPr="00F97C4B">
        <w:rPr>
          <w:rFonts w:ascii="Calibri" w:eastAsia="SimSun" w:hAnsi="Calibri" w:cs="Arial"/>
          <w:szCs w:val="24"/>
          <w:lang w:val="en-US" w:eastAsia="zh-CN"/>
        </w:rPr>
        <w:t xml:space="preserve">Revamping the membership </w:t>
      </w:r>
      <w:r w:rsidR="00CE2EF5">
        <w:rPr>
          <w:rFonts w:ascii="Calibri" w:eastAsia="SimSun" w:hAnsi="Calibri" w:cs="Arial"/>
          <w:szCs w:val="24"/>
          <w:lang w:val="en-US" w:eastAsia="zh-CN"/>
        </w:rPr>
        <w:t>kits with</w:t>
      </w:r>
      <w:r w:rsidRPr="00F97C4B">
        <w:rPr>
          <w:rFonts w:ascii="Calibri" w:eastAsia="SimSun" w:hAnsi="Calibri" w:cs="Arial"/>
          <w:szCs w:val="24"/>
          <w:lang w:val="en-US" w:eastAsia="zh-CN"/>
        </w:rPr>
        <w:t xml:space="preserve"> a clearer presentation of benefits, and simplified application processes to encourage prospects to become members.</w:t>
      </w:r>
    </w:p>
    <w:p w14:paraId="71E66EA7" w14:textId="176CC776" w:rsidR="00CE2EF5" w:rsidRDefault="00CE2EF5" w:rsidP="00F26FAF">
      <w:pPr>
        <w:pStyle w:val="ListParagraph"/>
        <w:numPr>
          <w:ilvl w:val="0"/>
          <w:numId w:val="49"/>
        </w:numPr>
        <w:tabs>
          <w:tab w:val="left" w:pos="1701"/>
        </w:tabs>
        <w:spacing w:before="60" w:after="60"/>
        <w:ind w:left="714" w:hanging="357"/>
        <w:contextualSpacing w:val="0"/>
        <w:rPr>
          <w:rFonts w:ascii="Calibri" w:eastAsia="SimSun" w:hAnsi="Calibri" w:cs="Arial"/>
          <w:szCs w:val="24"/>
          <w:lang w:val="en-US" w:eastAsia="zh-CN"/>
        </w:rPr>
      </w:pPr>
      <w:r>
        <w:rPr>
          <w:rFonts w:ascii="Calibri" w:eastAsia="SimSun" w:hAnsi="Calibri" w:cs="Arial"/>
          <w:szCs w:val="24"/>
          <w:lang w:val="en-US" w:eastAsia="zh-CN"/>
        </w:rPr>
        <w:t xml:space="preserve">Organizing targeted calls with the least engagement members and the accounts at risk to incentivize their participation in the work of the Sector. </w:t>
      </w:r>
    </w:p>
    <w:p w14:paraId="2165E00C" w14:textId="7BF67EB3" w:rsidR="00CE2EF5" w:rsidRPr="00CE2EF5" w:rsidRDefault="004C3D25" w:rsidP="00F26FAF">
      <w:pPr>
        <w:pStyle w:val="ListParagraph"/>
        <w:numPr>
          <w:ilvl w:val="0"/>
          <w:numId w:val="49"/>
        </w:numPr>
        <w:tabs>
          <w:tab w:val="left" w:pos="1701"/>
        </w:tabs>
        <w:spacing w:before="60" w:after="60"/>
        <w:ind w:left="714" w:hanging="357"/>
        <w:contextualSpacing w:val="0"/>
        <w:rPr>
          <w:rFonts w:ascii="Calibri" w:eastAsia="SimSun" w:hAnsi="Calibri" w:cs="Arial"/>
          <w:szCs w:val="24"/>
          <w:lang w:val="en-US" w:eastAsia="zh-CN"/>
        </w:rPr>
      </w:pPr>
      <w:r w:rsidRPr="00CE2EF5">
        <w:rPr>
          <w:rFonts w:ascii="Calibri" w:eastAsia="SimSun" w:hAnsi="Calibri" w:cs="Arial"/>
          <w:szCs w:val="24"/>
          <w:lang w:val="en-US" w:eastAsia="zh-CN"/>
        </w:rPr>
        <w:t>Coordinating with other Sectors and General Secretariat on ways to strengthen Sector Memberships’ engagement</w:t>
      </w:r>
      <w:r w:rsidR="00CE2EF5" w:rsidRPr="00CE2EF5">
        <w:rPr>
          <w:rFonts w:ascii="Calibri" w:eastAsia="SimSun" w:hAnsi="Calibri" w:cs="Arial"/>
          <w:szCs w:val="24"/>
          <w:lang w:val="en-US" w:eastAsia="zh-CN"/>
        </w:rPr>
        <w:t>, retention</w:t>
      </w:r>
      <w:r w:rsidRPr="00CE2EF5">
        <w:rPr>
          <w:rFonts w:ascii="Calibri" w:eastAsia="SimSun" w:hAnsi="Calibri" w:cs="Arial"/>
          <w:szCs w:val="24"/>
          <w:lang w:val="en-US" w:eastAsia="zh-CN"/>
        </w:rPr>
        <w:t xml:space="preserve"> and </w:t>
      </w:r>
      <w:r w:rsidR="002C50D0" w:rsidRPr="00CE2EF5">
        <w:rPr>
          <w:rFonts w:ascii="Calibri" w:eastAsia="SimSun" w:hAnsi="Calibri" w:cs="Arial"/>
          <w:szCs w:val="24"/>
          <w:lang w:val="en-US" w:eastAsia="zh-CN"/>
        </w:rPr>
        <w:t>cross-selling</w:t>
      </w:r>
      <w:r w:rsidR="00CE2EF5" w:rsidRPr="00CE2EF5">
        <w:rPr>
          <w:rFonts w:ascii="Calibri" w:eastAsia="SimSun" w:hAnsi="Calibri" w:cs="Arial"/>
          <w:szCs w:val="24"/>
          <w:lang w:val="en-US" w:eastAsia="zh-CN"/>
        </w:rPr>
        <w:t xml:space="preserve">. </w:t>
      </w:r>
    </w:p>
    <w:p w14:paraId="3B689D58" w14:textId="3FAD77CF" w:rsidR="004C3D25" w:rsidRPr="00CE2EF5" w:rsidRDefault="004C3D25" w:rsidP="00CE2EF5">
      <w:pPr>
        <w:keepNext/>
        <w:tabs>
          <w:tab w:val="clear" w:pos="1871"/>
          <w:tab w:val="left" w:pos="567"/>
          <w:tab w:val="left" w:pos="1701"/>
        </w:tabs>
        <w:spacing w:before="60" w:after="120"/>
        <w:rPr>
          <w:rFonts w:ascii="Calibri" w:eastAsia="SimSun" w:hAnsi="Calibri" w:cs="Arial"/>
          <w:b/>
          <w:bCs/>
          <w:szCs w:val="24"/>
          <w:lang w:val="en-US" w:eastAsia="zh-CN"/>
        </w:rPr>
      </w:pPr>
      <w:r w:rsidRPr="00CE2EF5">
        <w:rPr>
          <w:rFonts w:ascii="Calibri" w:eastAsia="SimSun" w:hAnsi="Calibri" w:cs="Arial"/>
          <w:b/>
          <w:bCs/>
          <w:szCs w:val="24"/>
          <w:lang w:val="en-US" w:eastAsia="zh-CN"/>
        </w:rPr>
        <w:t>Conclusions</w:t>
      </w:r>
    </w:p>
    <w:p w14:paraId="376907F2" w14:textId="77777777" w:rsidR="004C3D25" w:rsidRPr="0067402F" w:rsidRDefault="004C3D25" w:rsidP="004C3D25">
      <w:pPr>
        <w:keepNext/>
        <w:tabs>
          <w:tab w:val="left" w:pos="567"/>
          <w:tab w:val="left" w:pos="1701"/>
        </w:tabs>
        <w:spacing w:after="120"/>
        <w:rPr>
          <w:rFonts w:ascii="Calibri" w:eastAsia="SimSun" w:hAnsi="Calibri"/>
        </w:rPr>
      </w:pPr>
      <w:r w:rsidRPr="0067402F">
        <w:rPr>
          <w:rFonts w:ascii="Calibri" w:eastAsia="SimSun" w:hAnsi="Calibri"/>
        </w:rPr>
        <w:t xml:space="preserve">BDT is </w:t>
      </w:r>
      <w:r>
        <w:rPr>
          <w:rFonts w:ascii="Calibri" w:eastAsia="SimSun" w:hAnsi="Calibri"/>
        </w:rPr>
        <w:t xml:space="preserve">committed </w:t>
      </w:r>
      <w:r w:rsidRPr="0067402F">
        <w:rPr>
          <w:rFonts w:ascii="Calibri" w:eastAsia="SimSun" w:hAnsi="Calibri"/>
        </w:rPr>
        <w:t>to:</w:t>
      </w:r>
    </w:p>
    <w:p w14:paraId="5362939F" w14:textId="6633E4DD" w:rsidR="004C3D25" w:rsidRPr="00156151" w:rsidRDefault="004C3D25" w:rsidP="00F26FAF">
      <w:pPr>
        <w:numPr>
          <w:ilvl w:val="0"/>
          <w:numId w:val="48"/>
        </w:numPr>
        <w:tabs>
          <w:tab w:val="clear" w:pos="1871"/>
          <w:tab w:val="clear" w:pos="2268"/>
          <w:tab w:val="left" w:pos="567"/>
          <w:tab w:val="left" w:pos="1701"/>
        </w:tabs>
        <w:spacing w:before="60" w:after="60"/>
        <w:ind w:left="714" w:hanging="357"/>
        <w:rPr>
          <w:rFonts w:ascii="Calibri" w:eastAsia="SimSun" w:hAnsi="Calibri"/>
        </w:rPr>
      </w:pPr>
      <w:r>
        <w:rPr>
          <w:rFonts w:ascii="Calibri" w:eastAsia="SimSun" w:hAnsi="Calibri"/>
          <w:szCs w:val="24"/>
        </w:rPr>
        <w:tab/>
      </w:r>
      <w:r w:rsidRPr="001C6A2C">
        <w:rPr>
          <w:rFonts w:ascii="Calibri" w:eastAsia="SimSun" w:hAnsi="Calibri"/>
          <w:szCs w:val="24"/>
        </w:rPr>
        <w:t>Continue</w:t>
      </w:r>
      <w:r w:rsidRPr="35B401C1">
        <w:rPr>
          <w:rFonts w:ascii="Calibri" w:eastAsia="SimSun" w:hAnsi="Calibri"/>
        </w:rPr>
        <w:t xml:space="preserve"> to amplify ITU-D’s memberships’ meaningful engagement in the implementation of the </w:t>
      </w:r>
      <w:r w:rsidR="002C50D0">
        <w:rPr>
          <w:rFonts w:ascii="Calibri" w:eastAsia="SimSun" w:hAnsi="Calibri"/>
        </w:rPr>
        <w:t>Baku</w:t>
      </w:r>
      <w:r w:rsidRPr="35B401C1">
        <w:rPr>
          <w:rFonts w:ascii="Calibri" w:eastAsia="SimSun" w:hAnsi="Calibri"/>
        </w:rPr>
        <w:t xml:space="preserve"> Action Plan through briefing sessions, official missions, </w:t>
      </w:r>
      <w:r w:rsidR="002C50D0">
        <w:rPr>
          <w:rFonts w:ascii="Calibri" w:eastAsia="SimSun" w:hAnsi="Calibri"/>
        </w:rPr>
        <w:t xml:space="preserve">Know Your Members </w:t>
      </w:r>
      <w:r w:rsidRPr="35B401C1">
        <w:rPr>
          <w:rFonts w:ascii="Calibri" w:eastAsia="SimSun" w:hAnsi="Calibri"/>
        </w:rPr>
        <w:t>sessions, and by demonstrating value and forging partnerships to unlock resources for impactful projects and initiatives.</w:t>
      </w:r>
    </w:p>
    <w:p w14:paraId="07C62A42" w14:textId="02E56569" w:rsidR="004C3D25" w:rsidRPr="00156151" w:rsidRDefault="004C3D25" w:rsidP="00F26FAF">
      <w:pPr>
        <w:numPr>
          <w:ilvl w:val="0"/>
          <w:numId w:val="48"/>
        </w:numPr>
        <w:tabs>
          <w:tab w:val="clear" w:pos="1871"/>
          <w:tab w:val="clear" w:pos="2268"/>
          <w:tab w:val="left" w:pos="1701"/>
        </w:tabs>
        <w:spacing w:before="60" w:after="60"/>
        <w:ind w:left="714" w:hanging="357"/>
        <w:rPr>
          <w:rFonts w:ascii="Calibri" w:eastAsia="SimSun" w:hAnsi="Calibri"/>
          <w:szCs w:val="24"/>
        </w:rPr>
      </w:pPr>
      <w:r w:rsidRPr="00064D20">
        <w:rPr>
          <w:rFonts w:ascii="Calibri" w:eastAsia="SimSun" w:hAnsi="Calibri"/>
        </w:rPr>
        <w:t xml:space="preserve">Promote </w:t>
      </w:r>
      <w:r>
        <w:rPr>
          <w:rFonts w:ascii="Calibri" w:eastAsia="SimSun" w:hAnsi="Calibri"/>
          <w:szCs w:val="24"/>
        </w:rPr>
        <w:t xml:space="preserve">greater involvement and engagement from non-active members in ITU-D’s products and services, including events and platforms such as ITU-D Study Groups, the Global Symposium for Regulators (GSR), </w:t>
      </w:r>
      <w:r w:rsidR="00CE2EF5">
        <w:rPr>
          <w:rFonts w:ascii="Calibri" w:eastAsia="SimSun" w:hAnsi="Calibri"/>
          <w:szCs w:val="24"/>
        </w:rPr>
        <w:t xml:space="preserve">the IAGDI-CRO, the </w:t>
      </w:r>
      <w:r>
        <w:rPr>
          <w:rFonts w:ascii="Calibri" w:eastAsia="SimSun" w:hAnsi="Calibri"/>
          <w:szCs w:val="24"/>
        </w:rPr>
        <w:t xml:space="preserve">ITU Academy, </w:t>
      </w:r>
      <w:r w:rsidR="002C50D0">
        <w:rPr>
          <w:rFonts w:ascii="Calibri" w:eastAsia="SimSun" w:hAnsi="Calibri"/>
          <w:szCs w:val="24"/>
        </w:rPr>
        <w:t xml:space="preserve">and </w:t>
      </w:r>
      <w:r>
        <w:rPr>
          <w:rFonts w:ascii="Calibri" w:eastAsia="SimSun" w:hAnsi="Calibri"/>
          <w:szCs w:val="24"/>
        </w:rPr>
        <w:t>Regional Development Forums (RDFs)</w:t>
      </w:r>
      <w:r w:rsidR="002C50D0">
        <w:rPr>
          <w:rFonts w:ascii="Calibri" w:eastAsia="SimSun" w:hAnsi="Calibri"/>
          <w:szCs w:val="24"/>
        </w:rPr>
        <w:t xml:space="preserve">. </w:t>
      </w:r>
    </w:p>
    <w:p w14:paraId="584FE43E" w14:textId="77777777" w:rsidR="004C3D25" w:rsidRDefault="004C3D25" w:rsidP="004C3D25">
      <w:pPr>
        <w:numPr>
          <w:ilvl w:val="0"/>
          <w:numId w:val="48"/>
        </w:numPr>
        <w:tabs>
          <w:tab w:val="clear" w:pos="1871"/>
          <w:tab w:val="clear" w:pos="2268"/>
          <w:tab w:val="left" w:pos="1701"/>
        </w:tabs>
        <w:spacing w:before="60" w:after="60"/>
        <w:ind w:left="714" w:hanging="357"/>
        <w:rPr>
          <w:rFonts w:ascii="Calibri" w:eastAsia="SimSun" w:hAnsi="Calibri"/>
        </w:rPr>
      </w:pPr>
      <w:r w:rsidRPr="00660BEB">
        <w:rPr>
          <w:rFonts w:ascii="Calibri" w:eastAsia="SimSun" w:hAnsi="Calibri"/>
        </w:rPr>
        <w:t>Gather insights and</w:t>
      </w:r>
      <w:r>
        <w:rPr>
          <w:rFonts w:ascii="Calibri" w:eastAsia="SimSun" w:hAnsi="Calibri"/>
          <w:b/>
          <w:bCs/>
        </w:rPr>
        <w:t xml:space="preserve"> </w:t>
      </w:r>
      <w:r>
        <w:rPr>
          <w:rFonts w:ascii="Calibri" w:eastAsia="SimSun" w:hAnsi="Calibri"/>
        </w:rPr>
        <w:t>feedback from ITU-D members on refining tools, processes, and other services.</w:t>
      </w:r>
    </w:p>
    <w:p w14:paraId="0BF3F631" w14:textId="77777777" w:rsidR="004C3D25" w:rsidRPr="008701D5" w:rsidRDefault="004C3D25" w:rsidP="004C3D25">
      <w:pPr>
        <w:keepNext/>
        <w:numPr>
          <w:ilvl w:val="0"/>
          <w:numId w:val="45"/>
        </w:numPr>
        <w:tabs>
          <w:tab w:val="clear" w:pos="1871"/>
          <w:tab w:val="left" w:pos="567"/>
          <w:tab w:val="left" w:pos="1701"/>
        </w:tabs>
        <w:spacing w:after="120"/>
        <w:ind w:left="357" w:hanging="357"/>
        <w:rPr>
          <w:rFonts w:ascii="Calibri" w:eastAsia="SimSun" w:hAnsi="Calibri" w:cs="Arial"/>
          <w:b/>
          <w:bCs/>
          <w:szCs w:val="24"/>
          <w:lang w:val="en-US" w:eastAsia="zh-CN"/>
        </w:rPr>
      </w:pPr>
      <w:r w:rsidRPr="008701D5">
        <w:rPr>
          <w:rFonts w:ascii="Calibri" w:eastAsia="SimSun" w:hAnsi="Calibri" w:cs="Arial"/>
          <w:b/>
          <w:bCs/>
          <w:szCs w:val="24"/>
          <w:lang w:val="en-US" w:eastAsia="zh-CN"/>
        </w:rPr>
        <w:t>Call for Support</w:t>
      </w:r>
    </w:p>
    <w:p w14:paraId="29387D36" w14:textId="3316389D" w:rsidR="004C3D25" w:rsidRDefault="004C3D25" w:rsidP="004C3D25">
      <w:pPr>
        <w:spacing w:after="120"/>
        <w:rPr>
          <w:rFonts w:ascii="Calibri" w:eastAsia="SimSun" w:hAnsi="Calibri"/>
        </w:rPr>
      </w:pPr>
      <w:r>
        <w:rPr>
          <w:rFonts w:ascii="Calibri" w:eastAsia="SimSun" w:hAnsi="Calibri"/>
        </w:rPr>
        <w:t xml:space="preserve">ITU-D memberships </w:t>
      </w:r>
      <w:r w:rsidRPr="00575519">
        <w:rPr>
          <w:rFonts w:ascii="Calibri" w:eastAsia="SimSun" w:hAnsi="Calibri"/>
        </w:rPr>
        <w:t>are invited to engage and promote</w:t>
      </w:r>
      <w:r>
        <w:rPr>
          <w:rFonts w:ascii="Calibri" w:eastAsia="SimSun" w:hAnsi="Calibri"/>
        </w:rPr>
        <w:t xml:space="preserve"> </w:t>
      </w:r>
      <w:r w:rsidRPr="00575519">
        <w:rPr>
          <w:rFonts w:ascii="Calibri" w:eastAsia="SimSun" w:hAnsi="Calibri"/>
        </w:rPr>
        <w:t>the benefits of joining the work of ITU-D</w:t>
      </w:r>
      <w:r>
        <w:rPr>
          <w:rFonts w:ascii="Calibri" w:eastAsia="SimSun" w:hAnsi="Calibri"/>
        </w:rPr>
        <w:t xml:space="preserve">, and advocate participations and engagements of public and </w:t>
      </w:r>
      <w:r w:rsidRPr="00575519">
        <w:rPr>
          <w:rFonts w:ascii="Calibri" w:eastAsia="SimSun" w:hAnsi="Calibri"/>
        </w:rPr>
        <w:t>private sector</w:t>
      </w:r>
      <w:r>
        <w:rPr>
          <w:rFonts w:ascii="Calibri" w:eastAsia="SimSun" w:hAnsi="Calibri"/>
        </w:rPr>
        <w:t>s</w:t>
      </w:r>
      <w:r w:rsidRPr="00575519">
        <w:rPr>
          <w:rFonts w:ascii="Calibri" w:eastAsia="SimSun" w:hAnsi="Calibri"/>
        </w:rPr>
        <w:t xml:space="preserve">, industry, and universities </w:t>
      </w:r>
      <w:r>
        <w:rPr>
          <w:rFonts w:ascii="Calibri" w:eastAsia="SimSun" w:hAnsi="Calibri"/>
        </w:rPr>
        <w:t>in the</w:t>
      </w:r>
      <w:r w:rsidR="002C50D0">
        <w:rPr>
          <w:rFonts w:ascii="Calibri" w:eastAsia="SimSun" w:hAnsi="Calibri"/>
        </w:rPr>
        <w:t xml:space="preserve"> work of ITU-D</w:t>
      </w:r>
      <w:r w:rsidRPr="00575519">
        <w:rPr>
          <w:rFonts w:ascii="Calibri" w:eastAsia="SimSun" w:hAnsi="Calibri"/>
        </w:rPr>
        <w:t xml:space="preserve">. </w:t>
      </w:r>
      <w:r>
        <w:rPr>
          <w:rFonts w:ascii="Calibri" w:eastAsia="SimSun" w:hAnsi="Calibri"/>
        </w:rPr>
        <w:t>They are also</w:t>
      </w:r>
      <w:r w:rsidRPr="00575519">
        <w:rPr>
          <w:rFonts w:ascii="Calibri" w:eastAsia="SimSun" w:hAnsi="Calibri"/>
        </w:rPr>
        <w:t xml:space="preserve"> encouraged to complete due diligence of new applications in a timely manner so that applying entities can remain motivated to complete the affiliation process</w:t>
      </w:r>
      <w:r>
        <w:rPr>
          <w:rFonts w:ascii="Calibri" w:eastAsia="SimSun" w:hAnsi="Calibri"/>
        </w:rPr>
        <w:t xml:space="preserve"> for the digital transformation together at various ITU-D platforms.</w:t>
      </w:r>
    </w:p>
    <w:p w14:paraId="1DC30005" w14:textId="0EC08FE8" w:rsidR="00D83BF5" w:rsidRPr="0084734D" w:rsidRDefault="00D83BF5" w:rsidP="76FDC2F6">
      <w:pPr>
        <w:spacing w:after="120"/>
        <w:jc w:val="center"/>
      </w:pPr>
      <w:bookmarkStart w:id="10" w:name="Proposal"/>
      <w:bookmarkEnd w:id="10"/>
      <w:r>
        <w:t>_____________</w:t>
      </w:r>
    </w:p>
    <w:sectPr w:rsidR="00D83BF5" w:rsidRPr="0084734D" w:rsidSect="0081159E">
      <w:headerReference w:type="default" r:id="rId28"/>
      <w:footerReference w:type="first" r:id="rId29"/>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CFEF6" w14:textId="77777777" w:rsidR="006B6466" w:rsidRDefault="006B6466">
      <w:r>
        <w:separator/>
      </w:r>
    </w:p>
    <w:p w14:paraId="3FCE0EBD" w14:textId="77777777" w:rsidR="006B6466" w:rsidRDefault="006B6466"/>
  </w:endnote>
  <w:endnote w:type="continuationSeparator" w:id="0">
    <w:p w14:paraId="426B26C6" w14:textId="77777777" w:rsidR="006B6466" w:rsidRDefault="006B6466">
      <w:r>
        <w:continuationSeparator/>
      </w:r>
    </w:p>
    <w:p w14:paraId="23BB4EFA" w14:textId="77777777" w:rsidR="006B6466" w:rsidRDefault="006B6466"/>
  </w:endnote>
  <w:endnote w:type="continuationNotice" w:id="1">
    <w:p w14:paraId="78224A8B" w14:textId="77777777" w:rsidR="006B6466" w:rsidRDefault="006B6466">
      <w:pPr>
        <w:spacing w:before="0"/>
      </w:pPr>
    </w:p>
    <w:p w14:paraId="5692B978" w14:textId="77777777" w:rsidR="006B6466" w:rsidRDefault="006B6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venir Nxt2 W1G">
    <w:panose1 w:val="020B0503020202020204"/>
    <w:charset w:val="00"/>
    <w:family w:val="swiss"/>
    <w:notTrueType/>
    <w:pitch w:val="variable"/>
    <w:sig w:usb0="A00002EF"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Layout w:type="fixed"/>
      <w:tblLook w:val="04A0" w:firstRow="1" w:lastRow="0" w:firstColumn="1" w:lastColumn="0" w:noHBand="0" w:noVBand="1"/>
    </w:tblPr>
    <w:tblGrid>
      <w:gridCol w:w="1526"/>
      <w:gridCol w:w="2410"/>
      <w:gridCol w:w="6129"/>
    </w:tblGrid>
    <w:tr w:rsidR="004B5F73" w:rsidRPr="004D495C" w14:paraId="77ED1089" w14:textId="77777777" w:rsidTr="00390ADE">
      <w:tc>
        <w:tcPr>
          <w:tcW w:w="1526" w:type="dxa"/>
          <w:tcBorders>
            <w:top w:val="single" w:sz="4" w:space="0" w:color="000000" w:themeColor="text1"/>
          </w:tcBorders>
        </w:tcPr>
        <w:p w14:paraId="7925310D" w14:textId="77777777" w:rsidR="004B5F73" w:rsidRPr="004D495C" w:rsidRDefault="004B5F73" w:rsidP="004B5F73">
          <w:pPr>
            <w:pStyle w:val="FirstFooter"/>
            <w:tabs>
              <w:tab w:val="left" w:pos="1559"/>
              <w:tab w:val="left" w:pos="3828"/>
            </w:tabs>
            <w:rPr>
              <w:sz w:val="18"/>
              <w:szCs w:val="18"/>
            </w:rPr>
          </w:pPr>
          <w:r w:rsidRPr="70EAF489">
            <w:rPr>
              <w:sz w:val="18"/>
              <w:szCs w:val="18"/>
              <w:lang w:val="en-US"/>
            </w:rPr>
            <w:t>Contact:</w:t>
          </w:r>
        </w:p>
      </w:tc>
      <w:tc>
        <w:tcPr>
          <w:tcW w:w="2410" w:type="dxa"/>
          <w:tcBorders>
            <w:top w:val="single" w:sz="4" w:space="0" w:color="000000" w:themeColor="text1"/>
          </w:tcBorders>
        </w:tcPr>
        <w:p w14:paraId="22D7C5B2" w14:textId="77777777" w:rsidR="004B5F73" w:rsidRPr="004D495C" w:rsidRDefault="004B5F73" w:rsidP="004B5F73">
          <w:pPr>
            <w:pStyle w:val="FirstFooter"/>
            <w:tabs>
              <w:tab w:val="left" w:pos="2302"/>
            </w:tabs>
            <w:ind w:left="2302" w:hanging="2302"/>
            <w:rPr>
              <w:sz w:val="18"/>
              <w:szCs w:val="18"/>
              <w:lang w:val="en-US"/>
            </w:rPr>
          </w:pPr>
          <w:r w:rsidRPr="70EAF489">
            <w:rPr>
              <w:sz w:val="18"/>
              <w:szCs w:val="18"/>
              <w:lang w:val="en-US"/>
            </w:rPr>
            <w:t>Name/Organization/Entity:</w:t>
          </w:r>
        </w:p>
      </w:tc>
      <w:tc>
        <w:tcPr>
          <w:tcW w:w="6129" w:type="dxa"/>
          <w:tcBorders>
            <w:top w:val="single" w:sz="4" w:space="0" w:color="000000" w:themeColor="text1"/>
          </w:tcBorders>
        </w:tcPr>
        <w:p w14:paraId="4AC80ED0" w14:textId="77777777" w:rsidR="004B5F73" w:rsidRPr="000253AB" w:rsidRDefault="004B5F73" w:rsidP="004B5F73">
          <w:pPr>
            <w:pStyle w:val="FirstFooter"/>
            <w:tabs>
              <w:tab w:val="left" w:pos="2302"/>
            </w:tabs>
            <w:rPr>
              <w:rFonts w:ascii="Calibri" w:eastAsia="Calibri" w:hAnsi="Calibri" w:cs="Calibri"/>
              <w:color w:val="000000" w:themeColor="text1"/>
              <w:sz w:val="18"/>
              <w:szCs w:val="18"/>
            </w:rPr>
          </w:pPr>
          <w:r w:rsidRPr="70EAF489">
            <w:rPr>
              <w:sz w:val="18"/>
              <w:szCs w:val="18"/>
            </w:rPr>
            <w:t>Mr Marco Obiso, Chief, a.i., Projects, Partnerships and Digital Skills, Telecommunication Development Bureau</w:t>
          </w:r>
        </w:p>
      </w:tc>
    </w:tr>
    <w:tr w:rsidR="004B5F73" w:rsidRPr="004D495C" w14:paraId="647A8C2C" w14:textId="77777777" w:rsidTr="00390ADE">
      <w:tc>
        <w:tcPr>
          <w:tcW w:w="1526" w:type="dxa"/>
        </w:tcPr>
        <w:p w14:paraId="5CA042D7" w14:textId="77777777" w:rsidR="004B5F73" w:rsidRPr="004D495C" w:rsidRDefault="004B5F73" w:rsidP="004B5F73">
          <w:pPr>
            <w:pStyle w:val="FirstFooter"/>
            <w:tabs>
              <w:tab w:val="left" w:pos="1559"/>
              <w:tab w:val="left" w:pos="3828"/>
            </w:tabs>
            <w:rPr>
              <w:sz w:val="20"/>
              <w:lang w:val="en-US"/>
            </w:rPr>
          </w:pPr>
        </w:p>
      </w:tc>
      <w:tc>
        <w:tcPr>
          <w:tcW w:w="2410" w:type="dxa"/>
        </w:tcPr>
        <w:p w14:paraId="0B3121AD" w14:textId="77777777" w:rsidR="004B5F73" w:rsidRPr="004D495C" w:rsidRDefault="004B5F73" w:rsidP="004B5F73">
          <w:pPr>
            <w:pStyle w:val="FirstFooter"/>
            <w:tabs>
              <w:tab w:val="left" w:pos="2302"/>
            </w:tabs>
            <w:rPr>
              <w:sz w:val="18"/>
              <w:szCs w:val="18"/>
              <w:lang w:val="en-US"/>
            </w:rPr>
          </w:pPr>
          <w:r w:rsidRPr="70EAF489">
            <w:rPr>
              <w:sz w:val="18"/>
              <w:szCs w:val="18"/>
              <w:lang w:val="en-US"/>
            </w:rPr>
            <w:t>Phone number:</w:t>
          </w:r>
        </w:p>
      </w:tc>
      <w:tc>
        <w:tcPr>
          <w:tcW w:w="6129" w:type="dxa"/>
        </w:tcPr>
        <w:p w14:paraId="76E5AF14" w14:textId="77777777" w:rsidR="004B5F73" w:rsidRPr="000253AB" w:rsidRDefault="004B5F73" w:rsidP="004B5F73">
          <w:pPr>
            <w:pStyle w:val="FirstFooter"/>
            <w:tabs>
              <w:tab w:val="left" w:pos="2302"/>
            </w:tabs>
            <w:rPr>
              <w:sz w:val="18"/>
              <w:szCs w:val="18"/>
              <w:lang w:val="en-US"/>
            </w:rPr>
          </w:pPr>
          <w:r w:rsidRPr="70EAF489">
            <w:rPr>
              <w:sz w:val="18"/>
              <w:szCs w:val="18"/>
            </w:rPr>
            <w:t>+41 22 730 6760</w:t>
          </w:r>
        </w:p>
      </w:tc>
    </w:tr>
    <w:tr w:rsidR="004B5F73" w:rsidRPr="004D495C" w14:paraId="1AD9CFE0" w14:textId="77777777" w:rsidTr="00390ADE">
      <w:tc>
        <w:tcPr>
          <w:tcW w:w="1526" w:type="dxa"/>
        </w:tcPr>
        <w:p w14:paraId="4C606234" w14:textId="77777777" w:rsidR="004B5F73" w:rsidRPr="004D495C" w:rsidRDefault="004B5F73" w:rsidP="004B5F73">
          <w:pPr>
            <w:pStyle w:val="FirstFooter"/>
            <w:tabs>
              <w:tab w:val="left" w:pos="1559"/>
              <w:tab w:val="left" w:pos="3828"/>
            </w:tabs>
            <w:rPr>
              <w:sz w:val="20"/>
              <w:lang w:val="en-US"/>
            </w:rPr>
          </w:pPr>
        </w:p>
      </w:tc>
      <w:tc>
        <w:tcPr>
          <w:tcW w:w="2410" w:type="dxa"/>
        </w:tcPr>
        <w:p w14:paraId="28A44626" w14:textId="77777777" w:rsidR="004B5F73" w:rsidRPr="004D495C" w:rsidRDefault="004B5F73" w:rsidP="004B5F73">
          <w:pPr>
            <w:pStyle w:val="FirstFooter"/>
            <w:tabs>
              <w:tab w:val="left" w:pos="2302"/>
            </w:tabs>
            <w:rPr>
              <w:sz w:val="18"/>
              <w:szCs w:val="18"/>
              <w:lang w:val="en-US"/>
            </w:rPr>
          </w:pPr>
          <w:r w:rsidRPr="70EAF489">
            <w:rPr>
              <w:sz w:val="18"/>
              <w:szCs w:val="18"/>
              <w:lang w:val="en-US"/>
            </w:rPr>
            <w:t>E-mail:</w:t>
          </w:r>
        </w:p>
      </w:tc>
      <w:tc>
        <w:tcPr>
          <w:tcW w:w="6129" w:type="dxa"/>
        </w:tcPr>
        <w:p w14:paraId="4123F0CD" w14:textId="77777777" w:rsidR="004B5F73" w:rsidRDefault="004B5F73" w:rsidP="004B5F73">
          <w:pPr>
            <w:pStyle w:val="FirstFooter"/>
            <w:tabs>
              <w:tab w:val="left" w:pos="2302"/>
            </w:tabs>
            <w:rPr>
              <w:sz w:val="18"/>
              <w:szCs w:val="18"/>
            </w:rPr>
          </w:pPr>
          <w:hyperlink r:id="rId1">
            <w:r w:rsidRPr="70EAF489">
              <w:rPr>
                <w:rStyle w:val="Hyperlink"/>
                <w:sz w:val="18"/>
                <w:szCs w:val="18"/>
              </w:rPr>
              <w:t>marco.obiso</w:t>
            </w:r>
            <w:r w:rsidRPr="70EAF489">
              <w:rPr>
                <w:rStyle w:val="Hyperlink"/>
                <w:sz w:val="18"/>
                <w:szCs w:val="18"/>
                <w:lang w:val="en-US"/>
              </w:rPr>
              <w:t>@itu.int</w:t>
            </w:r>
          </w:hyperlink>
          <w:r w:rsidRPr="70EAF489">
            <w:rPr>
              <w:sz w:val="18"/>
              <w:szCs w:val="18"/>
              <w:lang w:val="en-US"/>
            </w:rPr>
            <w:t xml:space="preserve"> </w:t>
          </w:r>
        </w:p>
      </w:tc>
    </w:tr>
  </w:tbl>
  <w:p w14:paraId="4059E016" w14:textId="77777777" w:rsidR="00602CFD" w:rsidRPr="004B5F73" w:rsidRDefault="00602CFD" w:rsidP="004B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4828" w14:textId="77777777" w:rsidR="006B6466" w:rsidRPr="0054377E" w:rsidRDefault="006B6466" w:rsidP="0054377E">
      <w:pPr>
        <w:spacing w:before="0"/>
      </w:pPr>
      <w:r w:rsidRPr="0054377E">
        <w:rPr>
          <w:b/>
        </w:rPr>
        <w:t>_______________</w:t>
      </w:r>
    </w:p>
  </w:footnote>
  <w:footnote w:type="continuationSeparator" w:id="0">
    <w:p w14:paraId="4CB3FCCD" w14:textId="77777777" w:rsidR="006B6466" w:rsidRDefault="006B6466" w:rsidP="0054377E">
      <w:pPr>
        <w:spacing w:before="0"/>
      </w:pPr>
      <w:r>
        <w:continuationSeparator/>
      </w:r>
    </w:p>
    <w:p w14:paraId="2FF62668" w14:textId="77777777" w:rsidR="006B6466" w:rsidRDefault="006B6466"/>
  </w:footnote>
  <w:footnote w:type="continuationNotice" w:id="1">
    <w:p w14:paraId="65D815E0" w14:textId="77777777" w:rsidR="006B6466" w:rsidRDefault="006B6466">
      <w:pPr>
        <w:spacing w:before="0"/>
      </w:pPr>
    </w:p>
    <w:p w14:paraId="2DCC2910" w14:textId="77777777" w:rsidR="006B6466" w:rsidRDefault="006B6466"/>
  </w:footnote>
  <w:footnote w:id="2">
    <w:p w14:paraId="565C0FB6" w14:textId="20AE2B66" w:rsidR="00CE2EF5" w:rsidRPr="00CE2EF5" w:rsidRDefault="00CE2EF5" w:rsidP="00CE2EF5">
      <w:pPr>
        <w:pStyle w:val="FootnoteText"/>
        <w:spacing w:before="0"/>
        <w:rPr>
          <w:sz w:val="20"/>
          <w:lang w:val="en-US"/>
        </w:rPr>
      </w:pPr>
      <w:r w:rsidRPr="006A3C4F">
        <w:rPr>
          <w:rStyle w:val="FootnoteReference"/>
          <w:sz w:val="20"/>
        </w:rPr>
        <w:footnoteRef/>
      </w:r>
      <w:r w:rsidRPr="006A3C4F">
        <w:rPr>
          <w:sz w:val="20"/>
        </w:rPr>
        <w:t xml:space="preserve"> </w:t>
      </w:r>
      <w:r w:rsidRPr="004B0CA1">
        <w:rPr>
          <w:sz w:val="20"/>
        </w:rPr>
        <w:t>Refers to Resolution 169 (Guadalajara, 2010) of the Plenipotentiary Conference (PP-10), which enabled the new category of Academia to participate in the work of ITU.</w:t>
      </w:r>
      <w:r w:rsidR="006A3C4F">
        <w:rPr>
          <w:sz w:val="20"/>
        </w:rPr>
        <w:br/>
      </w:r>
    </w:p>
  </w:footnote>
  <w:footnote w:id="3">
    <w:p w14:paraId="41CEFF30" w14:textId="77777777" w:rsidR="004C3D25" w:rsidRPr="004B0CA1" w:rsidRDefault="004C3D25" w:rsidP="004C3D25">
      <w:pPr>
        <w:pStyle w:val="FootnoteText"/>
        <w:keepLines w:val="0"/>
        <w:spacing w:before="0"/>
        <w:rPr>
          <w:sz w:val="20"/>
        </w:rPr>
      </w:pPr>
      <w:r w:rsidRPr="004B0CA1">
        <w:rPr>
          <w:rStyle w:val="FootnoteReference"/>
          <w:sz w:val="20"/>
        </w:rPr>
        <w:footnoteRef/>
      </w:r>
      <w:r w:rsidRPr="004B0CA1">
        <w:rPr>
          <w:sz w:val="20"/>
        </w:rPr>
        <w:t xml:space="preserve"> Resolution 71 (Rev. Kigali, 2022), “Strengthening cooperation between Member States, Sector Members, Associates and Academia of the ITU Telecommunication Development Sector and the evolving role of the private sector in the ITU Telecommunication Development Sector”.</w:t>
      </w:r>
    </w:p>
  </w:footnote>
  <w:footnote w:id="4">
    <w:p w14:paraId="3D20B4CC" w14:textId="77777777" w:rsidR="004C3D25" w:rsidRPr="004B0CA1" w:rsidRDefault="004C3D25" w:rsidP="004C3D25">
      <w:pPr>
        <w:pStyle w:val="FootnoteText"/>
        <w:spacing w:before="0"/>
        <w:rPr>
          <w:sz w:val="20"/>
          <w:lang w:val="en-US"/>
        </w:rPr>
      </w:pPr>
      <w:r w:rsidRPr="004B0CA1">
        <w:rPr>
          <w:rStyle w:val="FootnoteReference"/>
          <w:sz w:val="20"/>
        </w:rPr>
        <w:footnoteRef/>
      </w:r>
      <w:r w:rsidRPr="004B0CA1">
        <w:rPr>
          <w:sz w:val="20"/>
        </w:rPr>
        <w:t xml:space="preserve"> Academia members participate in the work of all three ITU Sectors, including their advisory groups. They also participate in other global and regional conferences, workshops, and activities of the Union, apart from plenipotentiary conferences, world radiocommunication conferences, world conferences on international telecommunications and the ITU Council, in conformity with the rules of procedure of the respective Sectors.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4E6A6EC5" w:rsidR="00636181" w:rsidRPr="006A3C4F" w:rsidRDefault="00636181" w:rsidP="006A3C4F">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w:t>
    </w:r>
    <w:r w:rsidR="00EF4D25">
      <w:rPr>
        <w:sz w:val="22"/>
        <w:szCs w:val="22"/>
        <w:lang w:val="es-ES_tradnl"/>
      </w:rPr>
      <w:t>6</w:t>
    </w:r>
    <w:r w:rsidRPr="00FF089C">
      <w:rPr>
        <w:sz w:val="22"/>
        <w:szCs w:val="22"/>
        <w:lang w:val="es-ES_tradnl"/>
      </w:rPr>
      <w:t>/</w:t>
    </w:r>
    <w:r w:rsidR="00AD553F">
      <w:rPr>
        <w:sz w:val="22"/>
        <w:szCs w:val="22"/>
        <w:lang w:val="es-ES_tradnl"/>
      </w:rPr>
      <w:t>10</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8D3456"/>
    <w:multiLevelType w:val="hybridMultilevel"/>
    <w:tmpl w:val="A7DAC90C"/>
    <w:lvl w:ilvl="0" w:tplc="D8AA70EE">
      <w:start w:val="1"/>
      <w:numFmt w:val="bullet"/>
      <w:lvlText w:val=""/>
      <w:lvlJc w:val="left"/>
      <w:pPr>
        <w:ind w:left="5180" w:hanging="360"/>
      </w:pPr>
      <w:rPr>
        <w:rFonts w:ascii="Symbol" w:hAnsi="Symbol" w:hint="default"/>
      </w:rPr>
    </w:lvl>
    <w:lvl w:ilvl="1" w:tplc="FFFFFFFF" w:tentative="1">
      <w:start w:val="1"/>
      <w:numFmt w:val="bullet"/>
      <w:lvlText w:val="o"/>
      <w:lvlJc w:val="left"/>
      <w:pPr>
        <w:ind w:left="5900" w:hanging="360"/>
      </w:pPr>
      <w:rPr>
        <w:rFonts w:ascii="Courier New" w:hAnsi="Courier New" w:cs="Courier New" w:hint="default"/>
      </w:rPr>
    </w:lvl>
    <w:lvl w:ilvl="2" w:tplc="FFFFFFFF" w:tentative="1">
      <w:start w:val="1"/>
      <w:numFmt w:val="bullet"/>
      <w:lvlText w:val=""/>
      <w:lvlJc w:val="left"/>
      <w:pPr>
        <w:ind w:left="6620" w:hanging="360"/>
      </w:pPr>
      <w:rPr>
        <w:rFonts w:ascii="Wingdings" w:hAnsi="Wingdings" w:hint="default"/>
      </w:rPr>
    </w:lvl>
    <w:lvl w:ilvl="3" w:tplc="FFFFFFFF" w:tentative="1">
      <w:start w:val="1"/>
      <w:numFmt w:val="bullet"/>
      <w:lvlText w:val=""/>
      <w:lvlJc w:val="left"/>
      <w:pPr>
        <w:ind w:left="7340" w:hanging="360"/>
      </w:pPr>
      <w:rPr>
        <w:rFonts w:ascii="Symbol" w:hAnsi="Symbol" w:hint="default"/>
      </w:rPr>
    </w:lvl>
    <w:lvl w:ilvl="4" w:tplc="FFFFFFFF" w:tentative="1">
      <w:start w:val="1"/>
      <w:numFmt w:val="bullet"/>
      <w:lvlText w:val="o"/>
      <w:lvlJc w:val="left"/>
      <w:pPr>
        <w:ind w:left="8060" w:hanging="360"/>
      </w:pPr>
      <w:rPr>
        <w:rFonts w:ascii="Courier New" w:hAnsi="Courier New" w:cs="Courier New" w:hint="default"/>
      </w:rPr>
    </w:lvl>
    <w:lvl w:ilvl="5" w:tplc="FFFFFFFF" w:tentative="1">
      <w:start w:val="1"/>
      <w:numFmt w:val="bullet"/>
      <w:lvlText w:val=""/>
      <w:lvlJc w:val="left"/>
      <w:pPr>
        <w:ind w:left="8780" w:hanging="360"/>
      </w:pPr>
      <w:rPr>
        <w:rFonts w:ascii="Wingdings" w:hAnsi="Wingdings" w:hint="default"/>
      </w:rPr>
    </w:lvl>
    <w:lvl w:ilvl="6" w:tplc="FFFFFFFF" w:tentative="1">
      <w:start w:val="1"/>
      <w:numFmt w:val="bullet"/>
      <w:lvlText w:val=""/>
      <w:lvlJc w:val="left"/>
      <w:pPr>
        <w:ind w:left="9500" w:hanging="360"/>
      </w:pPr>
      <w:rPr>
        <w:rFonts w:ascii="Symbol" w:hAnsi="Symbol" w:hint="default"/>
      </w:rPr>
    </w:lvl>
    <w:lvl w:ilvl="7" w:tplc="FFFFFFFF" w:tentative="1">
      <w:start w:val="1"/>
      <w:numFmt w:val="bullet"/>
      <w:lvlText w:val="o"/>
      <w:lvlJc w:val="left"/>
      <w:pPr>
        <w:ind w:left="10220" w:hanging="360"/>
      </w:pPr>
      <w:rPr>
        <w:rFonts w:ascii="Courier New" w:hAnsi="Courier New" w:cs="Courier New" w:hint="default"/>
      </w:rPr>
    </w:lvl>
    <w:lvl w:ilvl="8" w:tplc="FFFFFFFF" w:tentative="1">
      <w:start w:val="1"/>
      <w:numFmt w:val="bullet"/>
      <w:lvlText w:val=""/>
      <w:lvlJc w:val="left"/>
      <w:pPr>
        <w:ind w:left="10940" w:hanging="360"/>
      </w:pPr>
      <w:rPr>
        <w:rFonts w:ascii="Wingdings" w:hAnsi="Wingdings" w:hint="default"/>
      </w:rPr>
    </w:lvl>
  </w:abstractNum>
  <w:abstractNum w:abstractNumId="3"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E4A47"/>
    <w:multiLevelType w:val="hybridMultilevel"/>
    <w:tmpl w:val="9F0285EC"/>
    <w:lvl w:ilvl="0" w:tplc="D8AA70EE">
      <w:start w:val="1"/>
      <w:numFmt w:val="bullet"/>
      <w:lvlText w:val=""/>
      <w:lvlJc w:val="left"/>
      <w:pPr>
        <w:ind w:left="717" w:hanging="360"/>
      </w:pPr>
      <w:rPr>
        <w:rFonts w:ascii="Symbol" w:hAnsi="Symbol" w:hint="default"/>
        <w:sz w:val="24"/>
        <w:szCs w:val="20"/>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B4D4E"/>
    <w:multiLevelType w:val="multilevel"/>
    <w:tmpl w:val="64C2EBD0"/>
    <w:lvl w:ilvl="0">
      <w:start w:val="1"/>
      <w:numFmt w:val="decimal"/>
      <w:lvlText w:val="%1."/>
      <w:lvlJc w:val="left"/>
      <w:pPr>
        <w:ind w:left="360" w:hanging="360"/>
      </w:pPr>
      <w:rPr>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4"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7696AE2"/>
    <w:multiLevelType w:val="hybridMultilevel"/>
    <w:tmpl w:val="3B2437FC"/>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A971BD"/>
    <w:multiLevelType w:val="hybridMultilevel"/>
    <w:tmpl w:val="609A4ED6"/>
    <w:lvl w:ilvl="0" w:tplc="04090017">
      <w:start w:val="1"/>
      <w:numFmt w:val="lowerLetter"/>
      <w:lvlText w:val="%1)"/>
      <w:lvlJc w:val="left"/>
      <w:pPr>
        <w:ind w:left="746" w:hanging="360"/>
      </w:pPr>
      <w:rPr>
        <w:rFonts w:hint="default"/>
      </w:rPr>
    </w:lvl>
    <w:lvl w:ilvl="1" w:tplc="08090019">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0"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5"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3"/>
  </w:num>
  <w:num w:numId="4" w16cid:durableId="1830174465">
    <w:abstractNumId w:val="5"/>
  </w:num>
  <w:num w:numId="5" w16cid:durableId="1479105461">
    <w:abstractNumId w:val="33"/>
  </w:num>
  <w:num w:numId="6" w16cid:durableId="869954702">
    <w:abstractNumId w:val="41"/>
  </w:num>
  <w:num w:numId="7" w16cid:durableId="444734477">
    <w:abstractNumId w:val="6"/>
  </w:num>
  <w:num w:numId="8" w16cid:durableId="362947223">
    <w:abstractNumId w:val="16"/>
  </w:num>
  <w:num w:numId="9" w16cid:durableId="458111764">
    <w:abstractNumId w:val="8"/>
  </w:num>
  <w:num w:numId="10" w16cid:durableId="1195534353">
    <w:abstractNumId w:val="14"/>
  </w:num>
  <w:num w:numId="11" w16cid:durableId="1826580952">
    <w:abstractNumId w:val="31"/>
  </w:num>
  <w:num w:numId="12" w16cid:durableId="1514690498">
    <w:abstractNumId w:val="40"/>
  </w:num>
  <w:num w:numId="13" w16cid:durableId="1235118698">
    <w:abstractNumId w:val="3"/>
  </w:num>
  <w:num w:numId="14" w16cid:durableId="509291828">
    <w:abstractNumId w:val="7"/>
  </w:num>
  <w:num w:numId="15" w16cid:durableId="383218916">
    <w:abstractNumId w:val="13"/>
  </w:num>
  <w:num w:numId="16" w16cid:durableId="1227569663">
    <w:abstractNumId w:val="10"/>
  </w:num>
  <w:num w:numId="17" w16cid:durableId="810974550">
    <w:abstractNumId w:val="46"/>
  </w:num>
  <w:num w:numId="18" w16cid:durableId="1354573477">
    <w:abstractNumId w:val="36"/>
  </w:num>
  <w:num w:numId="19" w16cid:durableId="435754545">
    <w:abstractNumId w:val="20"/>
  </w:num>
  <w:num w:numId="20" w16cid:durableId="1066875134">
    <w:abstractNumId w:val="30"/>
  </w:num>
  <w:num w:numId="21" w16cid:durableId="1689939216">
    <w:abstractNumId w:val="29"/>
  </w:num>
  <w:num w:numId="22" w16cid:durableId="1257783837">
    <w:abstractNumId w:val="47"/>
  </w:num>
  <w:num w:numId="23" w16cid:durableId="970285242">
    <w:abstractNumId w:val="25"/>
  </w:num>
  <w:num w:numId="24" w16cid:durableId="1876889861">
    <w:abstractNumId w:val="19"/>
  </w:num>
  <w:num w:numId="25" w16cid:durableId="138228398">
    <w:abstractNumId w:val="22"/>
  </w:num>
  <w:num w:numId="26" w16cid:durableId="1871145006">
    <w:abstractNumId w:val="23"/>
  </w:num>
  <w:num w:numId="27" w16cid:durableId="1946108508">
    <w:abstractNumId w:val="26"/>
  </w:num>
  <w:num w:numId="28" w16cid:durableId="1629045729">
    <w:abstractNumId w:val="12"/>
  </w:num>
  <w:num w:numId="29" w16cid:durableId="2010906637">
    <w:abstractNumId w:val="27"/>
  </w:num>
  <w:num w:numId="30" w16cid:durableId="290525213">
    <w:abstractNumId w:val="45"/>
  </w:num>
  <w:num w:numId="31" w16cid:durableId="191966975">
    <w:abstractNumId w:val="28"/>
  </w:num>
  <w:num w:numId="32" w16cid:durableId="2014406757">
    <w:abstractNumId w:val="34"/>
  </w:num>
  <w:num w:numId="33" w16cid:durableId="648558829">
    <w:abstractNumId w:val="21"/>
  </w:num>
  <w:num w:numId="34" w16cid:durableId="2071807613">
    <w:abstractNumId w:val="11"/>
  </w:num>
  <w:num w:numId="35" w16cid:durableId="271744889">
    <w:abstractNumId w:val="38"/>
  </w:num>
  <w:num w:numId="36" w16cid:durableId="1457527817">
    <w:abstractNumId w:val="24"/>
  </w:num>
  <w:num w:numId="37" w16cid:durableId="10661010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5"/>
  </w:num>
  <w:num w:numId="39" w16cid:durableId="359361948">
    <w:abstractNumId w:val="42"/>
  </w:num>
  <w:num w:numId="40" w16cid:durableId="1037706265">
    <w:abstractNumId w:val="9"/>
  </w:num>
  <w:num w:numId="41" w16cid:durableId="447436251">
    <w:abstractNumId w:val="48"/>
  </w:num>
  <w:num w:numId="42" w16cid:durableId="655766109">
    <w:abstractNumId w:val="18"/>
  </w:num>
  <w:num w:numId="43" w16cid:durableId="577523632">
    <w:abstractNumId w:val="17"/>
  </w:num>
  <w:num w:numId="44" w16cid:durableId="1138063662">
    <w:abstractNumId w:val="44"/>
  </w:num>
  <w:num w:numId="45" w16cid:durableId="800226017">
    <w:abstractNumId w:val="15"/>
  </w:num>
  <w:num w:numId="46" w16cid:durableId="1530293922">
    <w:abstractNumId w:val="37"/>
  </w:num>
  <w:num w:numId="47" w16cid:durableId="183442487">
    <w:abstractNumId w:val="4"/>
  </w:num>
  <w:num w:numId="48" w16cid:durableId="807673512">
    <w:abstractNumId w:val="39"/>
  </w:num>
  <w:num w:numId="49" w16cid:durableId="214508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0C44"/>
    <w:rsid w:val="00011ECB"/>
    <w:rsid w:val="000150B0"/>
    <w:rsid w:val="00015E52"/>
    <w:rsid w:val="00022A29"/>
    <w:rsid w:val="00024461"/>
    <w:rsid w:val="00025926"/>
    <w:rsid w:val="00025965"/>
    <w:rsid w:val="0003224D"/>
    <w:rsid w:val="000355FD"/>
    <w:rsid w:val="0003589F"/>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400"/>
    <w:rsid w:val="000778CA"/>
    <w:rsid w:val="000805BB"/>
    <w:rsid w:val="00080905"/>
    <w:rsid w:val="00081C9D"/>
    <w:rsid w:val="000822BE"/>
    <w:rsid w:val="000829BB"/>
    <w:rsid w:val="00082B11"/>
    <w:rsid w:val="000840A7"/>
    <w:rsid w:val="0008564F"/>
    <w:rsid w:val="00085C6A"/>
    <w:rsid w:val="00086265"/>
    <w:rsid w:val="00086491"/>
    <w:rsid w:val="000904F9"/>
    <w:rsid w:val="000909ED"/>
    <w:rsid w:val="00091346"/>
    <w:rsid w:val="00091C80"/>
    <w:rsid w:val="0009581F"/>
    <w:rsid w:val="00095901"/>
    <w:rsid w:val="00097074"/>
    <w:rsid w:val="000A1ACA"/>
    <w:rsid w:val="000A3B54"/>
    <w:rsid w:val="000A59AE"/>
    <w:rsid w:val="000B25AE"/>
    <w:rsid w:val="000B738A"/>
    <w:rsid w:val="000C03F4"/>
    <w:rsid w:val="000C17EA"/>
    <w:rsid w:val="000C212F"/>
    <w:rsid w:val="000C2592"/>
    <w:rsid w:val="000C42BA"/>
    <w:rsid w:val="000C4FD1"/>
    <w:rsid w:val="000D1759"/>
    <w:rsid w:val="000D38EB"/>
    <w:rsid w:val="000D4875"/>
    <w:rsid w:val="000D6891"/>
    <w:rsid w:val="000D6E8D"/>
    <w:rsid w:val="000E5296"/>
    <w:rsid w:val="000E71F8"/>
    <w:rsid w:val="000F29EC"/>
    <w:rsid w:val="000F38EA"/>
    <w:rsid w:val="000F3940"/>
    <w:rsid w:val="000F542E"/>
    <w:rsid w:val="000F641B"/>
    <w:rsid w:val="000F73FF"/>
    <w:rsid w:val="000F7F1C"/>
    <w:rsid w:val="001015EC"/>
    <w:rsid w:val="00102175"/>
    <w:rsid w:val="00102343"/>
    <w:rsid w:val="001029B3"/>
    <w:rsid w:val="00105DCD"/>
    <w:rsid w:val="001066B3"/>
    <w:rsid w:val="001114AC"/>
    <w:rsid w:val="00114584"/>
    <w:rsid w:val="00114CF7"/>
    <w:rsid w:val="00115411"/>
    <w:rsid w:val="0011586A"/>
    <w:rsid w:val="00115B33"/>
    <w:rsid w:val="00116B95"/>
    <w:rsid w:val="00117233"/>
    <w:rsid w:val="00123B68"/>
    <w:rsid w:val="00124AF4"/>
    <w:rsid w:val="00124CAA"/>
    <w:rsid w:val="00125E69"/>
    <w:rsid w:val="00126357"/>
    <w:rsid w:val="00126F2E"/>
    <w:rsid w:val="00127FC6"/>
    <w:rsid w:val="001424DC"/>
    <w:rsid w:val="00143A87"/>
    <w:rsid w:val="00144E69"/>
    <w:rsid w:val="00146F6F"/>
    <w:rsid w:val="0014714E"/>
    <w:rsid w:val="00147DA1"/>
    <w:rsid w:val="0015293D"/>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B2ED3"/>
    <w:rsid w:val="001B643A"/>
    <w:rsid w:val="001B6675"/>
    <w:rsid w:val="001B66C3"/>
    <w:rsid w:val="001B7EA3"/>
    <w:rsid w:val="001C3B5F"/>
    <w:rsid w:val="001C61EA"/>
    <w:rsid w:val="001D058F"/>
    <w:rsid w:val="001D2025"/>
    <w:rsid w:val="001D520B"/>
    <w:rsid w:val="001D568F"/>
    <w:rsid w:val="001D656D"/>
    <w:rsid w:val="001E0384"/>
    <w:rsid w:val="001E24AF"/>
    <w:rsid w:val="001E252D"/>
    <w:rsid w:val="001E43DC"/>
    <w:rsid w:val="002009EA"/>
    <w:rsid w:val="0020158E"/>
    <w:rsid w:val="00202CA0"/>
    <w:rsid w:val="00207A5D"/>
    <w:rsid w:val="002154A6"/>
    <w:rsid w:val="002162CD"/>
    <w:rsid w:val="00216478"/>
    <w:rsid w:val="00220634"/>
    <w:rsid w:val="00221C1D"/>
    <w:rsid w:val="002226B9"/>
    <w:rsid w:val="00224B7C"/>
    <w:rsid w:val="00224CDD"/>
    <w:rsid w:val="002255B3"/>
    <w:rsid w:val="00231613"/>
    <w:rsid w:val="0023164A"/>
    <w:rsid w:val="002319F6"/>
    <w:rsid w:val="0023409C"/>
    <w:rsid w:val="002346C7"/>
    <w:rsid w:val="002351D4"/>
    <w:rsid w:val="00236E8A"/>
    <w:rsid w:val="00240BC8"/>
    <w:rsid w:val="002420D0"/>
    <w:rsid w:val="00242487"/>
    <w:rsid w:val="00243411"/>
    <w:rsid w:val="002461DA"/>
    <w:rsid w:val="00246B32"/>
    <w:rsid w:val="00251A53"/>
    <w:rsid w:val="0025489C"/>
    <w:rsid w:val="0026406F"/>
    <w:rsid w:val="002653F2"/>
    <w:rsid w:val="00266589"/>
    <w:rsid w:val="00267792"/>
    <w:rsid w:val="002712A9"/>
    <w:rsid w:val="00271316"/>
    <w:rsid w:val="00272417"/>
    <w:rsid w:val="00274CC3"/>
    <w:rsid w:val="00276414"/>
    <w:rsid w:val="00277527"/>
    <w:rsid w:val="00282612"/>
    <w:rsid w:val="00283F74"/>
    <w:rsid w:val="00286C1D"/>
    <w:rsid w:val="00286C4C"/>
    <w:rsid w:val="00286DEA"/>
    <w:rsid w:val="00287629"/>
    <w:rsid w:val="00293E92"/>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26D"/>
    <w:rsid w:val="002B5490"/>
    <w:rsid w:val="002C12ED"/>
    <w:rsid w:val="002C3D86"/>
    <w:rsid w:val="002C49BA"/>
    <w:rsid w:val="002C4B75"/>
    <w:rsid w:val="002C50D0"/>
    <w:rsid w:val="002C5759"/>
    <w:rsid w:val="002C73F6"/>
    <w:rsid w:val="002C7D5E"/>
    <w:rsid w:val="002D1747"/>
    <w:rsid w:val="002D58BE"/>
    <w:rsid w:val="002E02DA"/>
    <w:rsid w:val="002E4D1D"/>
    <w:rsid w:val="002E51E0"/>
    <w:rsid w:val="002E5411"/>
    <w:rsid w:val="002E7A84"/>
    <w:rsid w:val="002F1BD0"/>
    <w:rsid w:val="002F6E1E"/>
    <w:rsid w:val="003013EE"/>
    <w:rsid w:val="00304031"/>
    <w:rsid w:val="00306267"/>
    <w:rsid w:val="00310CC5"/>
    <w:rsid w:val="00311808"/>
    <w:rsid w:val="00311851"/>
    <w:rsid w:val="00311CD5"/>
    <w:rsid w:val="00316725"/>
    <w:rsid w:val="00316A69"/>
    <w:rsid w:val="003231C6"/>
    <w:rsid w:val="00323E49"/>
    <w:rsid w:val="003247A5"/>
    <w:rsid w:val="00325939"/>
    <w:rsid w:val="003273BC"/>
    <w:rsid w:val="0033078D"/>
    <w:rsid w:val="00331F05"/>
    <w:rsid w:val="00335759"/>
    <w:rsid w:val="00337750"/>
    <w:rsid w:val="0034073D"/>
    <w:rsid w:val="0034384D"/>
    <w:rsid w:val="00345D42"/>
    <w:rsid w:val="00346224"/>
    <w:rsid w:val="0034636C"/>
    <w:rsid w:val="0035089A"/>
    <w:rsid w:val="003511BC"/>
    <w:rsid w:val="00356083"/>
    <w:rsid w:val="00361609"/>
    <w:rsid w:val="00364098"/>
    <w:rsid w:val="00366978"/>
    <w:rsid w:val="0037003F"/>
    <w:rsid w:val="00372BCF"/>
    <w:rsid w:val="00373365"/>
    <w:rsid w:val="00373F3F"/>
    <w:rsid w:val="00377BD3"/>
    <w:rsid w:val="003807EA"/>
    <w:rsid w:val="003829D8"/>
    <w:rsid w:val="0038304D"/>
    <w:rsid w:val="00384088"/>
    <w:rsid w:val="0038489B"/>
    <w:rsid w:val="00385BE9"/>
    <w:rsid w:val="00387738"/>
    <w:rsid w:val="0039169B"/>
    <w:rsid w:val="00392277"/>
    <w:rsid w:val="003932B9"/>
    <w:rsid w:val="00394B90"/>
    <w:rsid w:val="003968CC"/>
    <w:rsid w:val="00397A0B"/>
    <w:rsid w:val="003A03FF"/>
    <w:rsid w:val="003A04F5"/>
    <w:rsid w:val="003A22FC"/>
    <w:rsid w:val="003A5137"/>
    <w:rsid w:val="003A6BAC"/>
    <w:rsid w:val="003A6BED"/>
    <w:rsid w:val="003A7F8C"/>
    <w:rsid w:val="003B08DA"/>
    <w:rsid w:val="003B09DE"/>
    <w:rsid w:val="003B0C0F"/>
    <w:rsid w:val="003B11F9"/>
    <w:rsid w:val="003B2B56"/>
    <w:rsid w:val="003B532E"/>
    <w:rsid w:val="003B6306"/>
    <w:rsid w:val="003B6602"/>
    <w:rsid w:val="003B6F14"/>
    <w:rsid w:val="003B6F60"/>
    <w:rsid w:val="003C1870"/>
    <w:rsid w:val="003C1FB3"/>
    <w:rsid w:val="003C6136"/>
    <w:rsid w:val="003D0F8B"/>
    <w:rsid w:val="003D39F2"/>
    <w:rsid w:val="003D5A63"/>
    <w:rsid w:val="003D6425"/>
    <w:rsid w:val="003D66A7"/>
    <w:rsid w:val="003D7EE8"/>
    <w:rsid w:val="003F02E6"/>
    <w:rsid w:val="003F0A6C"/>
    <w:rsid w:val="003F0F49"/>
    <w:rsid w:val="003F1363"/>
    <w:rsid w:val="00402CD0"/>
    <w:rsid w:val="00403C69"/>
    <w:rsid w:val="00405EC2"/>
    <w:rsid w:val="00406278"/>
    <w:rsid w:val="00406297"/>
    <w:rsid w:val="00412C81"/>
    <w:rsid w:val="004131D4"/>
    <w:rsid w:val="0041348E"/>
    <w:rsid w:val="00414895"/>
    <w:rsid w:val="00415784"/>
    <w:rsid w:val="004208C6"/>
    <w:rsid w:val="00421605"/>
    <w:rsid w:val="004269E6"/>
    <w:rsid w:val="00433357"/>
    <w:rsid w:val="00435762"/>
    <w:rsid w:val="00435E45"/>
    <w:rsid w:val="004364D9"/>
    <w:rsid w:val="00437819"/>
    <w:rsid w:val="00437A8D"/>
    <w:rsid w:val="00440C4F"/>
    <w:rsid w:val="00441553"/>
    <w:rsid w:val="00441E8B"/>
    <w:rsid w:val="004445FD"/>
    <w:rsid w:val="00446FBA"/>
    <w:rsid w:val="00447308"/>
    <w:rsid w:val="00447990"/>
    <w:rsid w:val="004500BC"/>
    <w:rsid w:val="00451B1B"/>
    <w:rsid w:val="004552B4"/>
    <w:rsid w:val="00460CF8"/>
    <w:rsid w:val="00462253"/>
    <w:rsid w:val="00462CB2"/>
    <w:rsid w:val="004631CC"/>
    <w:rsid w:val="00467DB2"/>
    <w:rsid w:val="00472FC1"/>
    <w:rsid w:val="004755BA"/>
    <w:rsid w:val="004765FF"/>
    <w:rsid w:val="00481E58"/>
    <w:rsid w:val="00483FFA"/>
    <w:rsid w:val="0048520E"/>
    <w:rsid w:val="00486163"/>
    <w:rsid w:val="00492075"/>
    <w:rsid w:val="0049304E"/>
    <w:rsid w:val="00495290"/>
    <w:rsid w:val="004969AD"/>
    <w:rsid w:val="00496E2A"/>
    <w:rsid w:val="004A0244"/>
    <w:rsid w:val="004A3FF4"/>
    <w:rsid w:val="004A678B"/>
    <w:rsid w:val="004A7674"/>
    <w:rsid w:val="004A783D"/>
    <w:rsid w:val="004B13CB"/>
    <w:rsid w:val="004B2466"/>
    <w:rsid w:val="004B3C6F"/>
    <w:rsid w:val="004B4FDF"/>
    <w:rsid w:val="004B4FF2"/>
    <w:rsid w:val="004B5F73"/>
    <w:rsid w:val="004B716F"/>
    <w:rsid w:val="004B7C16"/>
    <w:rsid w:val="004B7E77"/>
    <w:rsid w:val="004C3355"/>
    <w:rsid w:val="004C3D25"/>
    <w:rsid w:val="004D04E2"/>
    <w:rsid w:val="004D321C"/>
    <w:rsid w:val="004D3CED"/>
    <w:rsid w:val="004D4243"/>
    <w:rsid w:val="004D5D5C"/>
    <w:rsid w:val="004D6506"/>
    <w:rsid w:val="004D752D"/>
    <w:rsid w:val="004D7763"/>
    <w:rsid w:val="004E27DE"/>
    <w:rsid w:val="004E2B2C"/>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17FD"/>
    <w:rsid w:val="00516722"/>
    <w:rsid w:val="00516AA3"/>
    <w:rsid w:val="00517624"/>
    <w:rsid w:val="00520565"/>
    <w:rsid w:val="00521223"/>
    <w:rsid w:val="00523934"/>
    <w:rsid w:val="00523D3E"/>
    <w:rsid w:val="00524DF1"/>
    <w:rsid w:val="005252E6"/>
    <w:rsid w:val="0052716E"/>
    <w:rsid w:val="00530E3A"/>
    <w:rsid w:val="00531317"/>
    <w:rsid w:val="00533CBA"/>
    <w:rsid w:val="00533CC9"/>
    <w:rsid w:val="00536513"/>
    <w:rsid w:val="00536DB4"/>
    <w:rsid w:val="00541D24"/>
    <w:rsid w:val="00543159"/>
    <w:rsid w:val="0054377E"/>
    <w:rsid w:val="00543822"/>
    <w:rsid w:val="0054450F"/>
    <w:rsid w:val="0055140B"/>
    <w:rsid w:val="00552F9E"/>
    <w:rsid w:val="00554C4F"/>
    <w:rsid w:val="00561D72"/>
    <w:rsid w:val="00562763"/>
    <w:rsid w:val="00564F36"/>
    <w:rsid w:val="00565233"/>
    <w:rsid w:val="00566EEB"/>
    <w:rsid w:val="0056776F"/>
    <w:rsid w:val="00570FA3"/>
    <w:rsid w:val="00571767"/>
    <w:rsid w:val="00576FB4"/>
    <w:rsid w:val="00581664"/>
    <w:rsid w:val="00585238"/>
    <w:rsid w:val="005855FC"/>
    <w:rsid w:val="00585FA5"/>
    <w:rsid w:val="00586EB9"/>
    <w:rsid w:val="00592321"/>
    <w:rsid w:val="005933B2"/>
    <w:rsid w:val="00593B87"/>
    <w:rsid w:val="005964AB"/>
    <w:rsid w:val="005A1162"/>
    <w:rsid w:val="005A2BEB"/>
    <w:rsid w:val="005A3485"/>
    <w:rsid w:val="005A5E0C"/>
    <w:rsid w:val="005A6739"/>
    <w:rsid w:val="005B0278"/>
    <w:rsid w:val="005B25C3"/>
    <w:rsid w:val="005B2DD6"/>
    <w:rsid w:val="005B41B7"/>
    <w:rsid w:val="005B44F5"/>
    <w:rsid w:val="005B6D88"/>
    <w:rsid w:val="005C099A"/>
    <w:rsid w:val="005C116F"/>
    <w:rsid w:val="005C13B5"/>
    <w:rsid w:val="005C15F2"/>
    <w:rsid w:val="005C26D1"/>
    <w:rsid w:val="005C3173"/>
    <w:rsid w:val="005C31A5"/>
    <w:rsid w:val="005C3248"/>
    <w:rsid w:val="005C3F17"/>
    <w:rsid w:val="005C4740"/>
    <w:rsid w:val="005D0BEA"/>
    <w:rsid w:val="005D1786"/>
    <w:rsid w:val="005D4916"/>
    <w:rsid w:val="005D6927"/>
    <w:rsid w:val="005D7A3B"/>
    <w:rsid w:val="005E0641"/>
    <w:rsid w:val="005E0D2B"/>
    <w:rsid w:val="005E10C9"/>
    <w:rsid w:val="005E61DD"/>
    <w:rsid w:val="005E6321"/>
    <w:rsid w:val="005E6745"/>
    <w:rsid w:val="005F5413"/>
    <w:rsid w:val="00600B9C"/>
    <w:rsid w:val="006023DF"/>
    <w:rsid w:val="00602CFD"/>
    <w:rsid w:val="00606296"/>
    <w:rsid w:val="0060693B"/>
    <w:rsid w:val="006117C6"/>
    <w:rsid w:val="00611CD2"/>
    <w:rsid w:val="00615AB9"/>
    <w:rsid w:val="00617602"/>
    <w:rsid w:val="00620ECD"/>
    <w:rsid w:val="00621FDD"/>
    <w:rsid w:val="00622B63"/>
    <w:rsid w:val="00622C26"/>
    <w:rsid w:val="00623C6B"/>
    <w:rsid w:val="00624A81"/>
    <w:rsid w:val="0062697F"/>
    <w:rsid w:val="00627881"/>
    <w:rsid w:val="00636181"/>
    <w:rsid w:val="00637E99"/>
    <w:rsid w:val="006422AD"/>
    <w:rsid w:val="006430DA"/>
    <w:rsid w:val="0064322F"/>
    <w:rsid w:val="006449A5"/>
    <w:rsid w:val="00644F99"/>
    <w:rsid w:val="006463EE"/>
    <w:rsid w:val="00652779"/>
    <w:rsid w:val="00652EDD"/>
    <w:rsid w:val="00657DE0"/>
    <w:rsid w:val="006608C4"/>
    <w:rsid w:val="006612C2"/>
    <w:rsid w:val="00661FB8"/>
    <w:rsid w:val="00665760"/>
    <w:rsid w:val="00665B75"/>
    <w:rsid w:val="00667F38"/>
    <w:rsid w:val="0067199F"/>
    <w:rsid w:val="006747D8"/>
    <w:rsid w:val="00674AEF"/>
    <w:rsid w:val="00675435"/>
    <w:rsid w:val="00675DB5"/>
    <w:rsid w:val="00676ED7"/>
    <w:rsid w:val="00677048"/>
    <w:rsid w:val="00680225"/>
    <w:rsid w:val="0068288F"/>
    <w:rsid w:val="00685313"/>
    <w:rsid w:val="00687955"/>
    <w:rsid w:val="00690B44"/>
    <w:rsid w:val="006912F3"/>
    <w:rsid w:val="00696E7A"/>
    <w:rsid w:val="006A0D14"/>
    <w:rsid w:val="006A3776"/>
    <w:rsid w:val="006A3C4F"/>
    <w:rsid w:val="006A47E5"/>
    <w:rsid w:val="006A6E9B"/>
    <w:rsid w:val="006A747C"/>
    <w:rsid w:val="006B0524"/>
    <w:rsid w:val="006B1038"/>
    <w:rsid w:val="006B2460"/>
    <w:rsid w:val="006B502E"/>
    <w:rsid w:val="006B6466"/>
    <w:rsid w:val="006B73C2"/>
    <w:rsid w:val="006B7C2A"/>
    <w:rsid w:val="006C03CD"/>
    <w:rsid w:val="006C23DA"/>
    <w:rsid w:val="006C7898"/>
    <w:rsid w:val="006C7CA9"/>
    <w:rsid w:val="006D2DD5"/>
    <w:rsid w:val="006D4843"/>
    <w:rsid w:val="006D6130"/>
    <w:rsid w:val="006D6DDA"/>
    <w:rsid w:val="006E099C"/>
    <w:rsid w:val="006E2398"/>
    <w:rsid w:val="006E3D45"/>
    <w:rsid w:val="006E64F1"/>
    <w:rsid w:val="006E7629"/>
    <w:rsid w:val="006F0C99"/>
    <w:rsid w:val="006F1889"/>
    <w:rsid w:val="006F69F1"/>
    <w:rsid w:val="006F7874"/>
    <w:rsid w:val="006F7BD3"/>
    <w:rsid w:val="007010D7"/>
    <w:rsid w:val="007034D9"/>
    <w:rsid w:val="00705932"/>
    <w:rsid w:val="00706795"/>
    <w:rsid w:val="007149F9"/>
    <w:rsid w:val="0071531C"/>
    <w:rsid w:val="0071541F"/>
    <w:rsid w:val="007167D5"/>
    <w:rsid w:val="00720DD1"/>
    <w:rsid w:val="00721114"/>
    <w:rsid w:val="007265FE"/>
    <w:rsid w:val="00730009"/>
    <w:rsid w:val="00733A30"/>
    <w:rsid w:val="007372E2"/>
    <w:rsid w:val="007379E5"/>
    <w:rsid w:val="00743072"/>
    <w:rsid w:val="00745AEE"/>
    <w:rsid w:val="00747028"/>
    <w:rsid w:val="00747578"/>
    <w:rsid w:val="007479EA"/>
    <w:rsid w:val="00747A98"/>
    <w:rsid w:val="00750F10"/>
    <w:rsid w:val="0075242F"/>
    <w:rsid w:val="00756ADC"/>
    <w:rsid w:val="00761CEF"/>
    <w:rsid w:val="00765314"/>
    <w:rsid w:val="007654FE"/>
    <w:rsid w:val="00765BA5"/>
    <w:rsid w:val="007664D4"/>
    <w:rsid w:val="00770D7E"/>
    <w:rsid w:val="00773B7A"/>
    <w:rsid w:val="007742CA"/>
    <w:rsid w:val="0077509B"/>
    <w:rsid w:val="00776DB1"/>
    <w:rsid w:val="0077768B"/>
    <w:rsid w:val="0077794B"/>
    <w:rsid w:val="00792DB8"/>
    <w:rsid w:val="00793BB0"/>
    <w:rsid w:val="00794ABD"/>
    <w:rsid w:val="00795C00"/>
    <w:rsid w:val="0079605E"/>
    <w:rsid w:val="007A0D80"/>
    <w:rsid w:val="007A1869"/>
    <w:rsid w:val="007A7FAF"/>
    <w:rsid w:val="007B12EB"/>
    <w:rsid w:val="007B2EB6"/>
    <w:rsid w:val="007B3BF6"/>
    <w:rsid w:val="007B4578"/>
    <w:rsid w:val="007C0A4D"/>
    <w:rsid w:val="007C2360"/>
    <w:rsid w:val="007C5A7B"/>
    <w:rsid w:val="007D06F0"/>
    <w:rsid w:val="007D35D0"/>
    <w:rsid w:val="007D3C25"/>
    <w:rsid w:val="007D45E3"/>
    <w:rsid w:val="007D5320"/>
    <w:rsid w:val="007D70B0"/>
    <w:rsid w:val="007D714B"/>
    <w:rsid w:val="007D7CE3"/>
    <w:rsid w:val="007E065B"/>
    <w:rsid w:val="007E0A1D"/>
    <w:rsid w:val="007E28A9"/>
    <w:rsid w:val="007E2DF4"/>
    <w:rsid w:val="007E713F"/>
    <w:rsid w:val="007E7819"/>
    <w:rsid w:val="007E799D"/>
    <w:rsid w:val="007E7DF1"/>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47EE5"/>
    <w:rsid w:val="008529D3"/>
    <w:rsid w:val="0085473E"/>
    <w:rsid w:val="00854840"/>
    <w:rsid w:val="0085555B"/>
    <w:rsid w:val="00855FDC"/>
    <w:rsid w:val="00860F8A"/>
    <w:rsid w:val="0086299C"/>
    <w:rsid w:val="00863096"/>
    <w:rsid w:val="00863578"/>
    <w:rsid w:val="00863FC4"/>
    <w:rsid w:val="00867B8E"/>
    <w:rsid w:val="008711AE"/>
    <w:rsid w:val="0087136B"/>
    <w:rsid w:val="00872FC8"/>
    <w:rsid w:val="00874817"/>
    <w:rsid w:val="00877397"/>
    <w:rsid w:val="00877D80"/>
    <w:rsid w:val="008801D3"/>
    <w:rsid w:val="00880325"/>
    <w:rsid w:val="008806F3"/>
    <w:rsid w:val="00881DBB"/>
    <w:rsid w:val="00882996"/>
    <w:rsid w:val="00883866"/>
    <w:rsid w:val="008845D0"/>
    <w:rsid w:val="008865FF"/>
    <w:rsid w:val="00886BDF"/>
    <w:rsid w:val="0089151A"/>
    <w:rsid w:val="00893B2C"/>
    <w:rsid w:val="00894F96"/>
    <w:rsid w:val="008A0905"/>
    <w:rsid w:val="008A0BFE"/>
    <w:rsid w:val="008A2753"/>
    <w:rsid w:val="008A3933"/>
    <w:rsid w:val="008A621F"/>
    <w:rsid w:val="008A7165"/>
    <w:rsid w:val="008B20A4"/>
    <w:rsid w:val="008B3713"/>
    <w:rsid w:val="008B43F2"/>
    <w:rsid w:val="008B54AB"/>
    <w:rsid w:val="008B54D9"/>
    <w:rsid w:val="008B61EA"/>
    <w:rsid w:val="008B63AA"/>
    <w:rsid w:val="008B6CFF"/>
    <w:rsid w:val="008C28A0"/>
    <w:rsid w:val="008C3D02"/>
    <w:rsid w:val="008C4ADD"/>
    <w:rsid w:val="008D06CB"/>
    <w:rsid w:val="008D279B"/>
    <w:rsid w:val="008D2B46"/>
    <w:rsid w:val="008D678E"/>
    <w:rsid w:val="008E33DA"/>
    <w:rsid w:val="008E6A1B"/>
    <w:rsid w:val="008E6B36"/>
    <w:rsid w:val="008E7DF8"/>
    <w:rsid w:val="008F0110"/>
    <w:rsid w:val="008F04EE"/>
    <w:rsid w:val="008F238A"/>
    <w:rsid w:val="008F3284"/>
    <w:rsid w:val="008F36FB"/>
    <w:rsid w:val="008F5496"/>
    <w:rsid w:val="009006A0"/>
    <w:rsid w:val="00900E22"/>
    <w:rsid w:val="009023DF"/>
    <w:rsid w:val="0090293E"/>
    <w:rsid w:val="009068CC"/>
    <w:rsid w:val="00906D82"/>
    <w:rsid w:val="0091016B"/>
    <w:rsid w:val="00910408"/>
    <w:rsid w:val="00910B26"/>
    <w:rsid w:val="00912004"/>
    <w:rsid w:val="009238B9"/>
    <w:rsid w:val="00923912"/>
    <w:rsid w:val="009274B4"/>
    <w:rsid w:val="00934743"/>
    <w:rsid w:val="00934EA2"/>
    <w:rsid w:val="009373C9"/>
    <w:rsid w:val="00941B98"/>
    <w:rsid w:val="00942FC1"/>
    <w:rsid w:val="00943545"/>
    <w:rsid w:val="00944A5C"/>
    <w:rsid w:val="00944A99"/>
    <w:rsid w:val="00951816"/>
    <w:rsid w:val="00952A66"/>
    <w:rsid w:val="00953C32"/>
    <w:rsid w:val="0096139C"/>
    <w:rsid w:val="00964C68"/>
    <w:rsid w:val="00967EF8"/>
    <w:rsid w:val="00971972"/>
    <w:rsid w:val="009737F9"/>
    <w:rsid w:val="0097384E"/>
    <w:rsid w:val="0097527C"/>
    <w:rsid w:val="00980AD1"/>
    <w:rsid w:val="00980AD6"/>
    <w:rsid w:val="009828A4"/>
    <w:rsid w:val="00985001"/>
    <w:rsid w:val="00986EBB"/>
    <w:rsid w:val="009907F3"/>
    <w:rsid w:val="00990A55"/>
    <w:rsid w:val="009924D1"/>
    <w:rsid w:val="00992F9A"/>
    <w:rsid w:val="009944BE"/>
    <w:rsid w:val="00996913"/>
    <w:rsid w:val="00996ACA"/>
    <w:rsid w:val="00997678"/>
    <w:rsid w:val="009A04EC"/>
    <w:rsid w:val="009A234F"/>
    <w:rsid w:val="009A291A"/>
    <w:rsid w:val="009A5D5C"/>
    <w:rsid w:val="009B28F2"/>
    <w:rsid w:val="009B5126"/>
    <w:rsid w:val="009B71C3"/>
    <w:rsid w:val="009B75FF"/>
    <w:rsid w:val="009C39A2"/>
    <w:rsid w:val="009C4D44"/>
    <w:rsid w:val="009C56E5"/>
    <w:rsid w:val="009C6F7B"/>
    <w:rsid w:val="009D3343"/>
    <w:rsid w:val="009D3429"/>
    <w:rsid w:val="009E3F7C"/>
    <w:rsid w:val="009E4AB5"/>
    <w:rsid w:val="009E5FC8"/>
    <w:rsid w:val="009E687A"/>
    <w:rsid w:val="009E72E7"/>
    <w:rsid w:val="009F0A6F"/>
    <w:rsid w:val="009F1542"/>
    <w:rsid w:val="00A00AC6"/>
    <w:rsid w:val="00A03C5C"/>
    <w:rsid w:val="00A04FB0"/>
    <w:rsid w:val="00A066F1"/>
    <w:rsid w:val="00A1280A"/>
    <w:rsid w:val="00A141AF"/>
    <w:rsid w:val="00A15958"/>
    <w:rsid w:val="00A16D29"/>
    <w:rsid w:val="00A20E5E"/>
    <w:rsid w:val="00A2101B"/>
    <w:rsid w:val="00A21E18"/>
    <w:rsid w:val="00A224DC"/>
    <w:rsid w:val="00A235FD"/>
    <w:rsid w:val="00A2618D"/>
    <w:rsid w:val="00A27146"/>
    <w:rsid w:val="00A30305"/>
    <w:rsid w:val="00A31315"/>
    <w:rsid w:val="00A31D2D"/>
    <w:rsid w:val="00A32267"/>
    <w:rsid w:val="00A32291"/>
    <w:rsid w:val="00A33D45"/>
    <w:rsid w:val="00A34772"/>
    <w:rsid w:val="00A35D6D"/>
    <w:rsid w:val="00A4049B"/>
    <w:rsid w:val="00A43642"/>
    <w:rsid w:val="00A44D51"/>
    <w:rsid w:val="00A4600A"/>
    <w:rsid w:val="00A51F12"/>
    <w:rsid w:val="00A524E6"/>
    <w:rsid w:val="00A538A6"/>
    <w:rsid w:val="00A54C25"/>
    <w:rsid w:val="00A56C71"/>
    <w:rsid w:val="00A6081F"/>
    <w:rsid w:val="00A612BB"/>
    <w:rsid w:val="00A62F73"/>
    <w:rsid w:val="00A66AEE"/>
    <w:rsid w:val="00A67FB8"/>
    <w:rsid w:val="00A710E7"/>
    <w:rsid w:val="00A7140C"/>
    <w:rsid w:val="00A72027"/>
    <w:rsid w:val="00A7372E"/>
    <w:rsid w:val="00A74739"/>
    <w:rsid w:val="00A75D94"/>
    <w:rsid w:val="00A76372"/>
    <w:rsid w:val="00A76BD5"/>
    <w:rsid w:val="00A77556"/>
    <w:rsid w:val="00A80D65"/>
    <w:rsid w:val="00A81F59"/>
    <w:rsid w:val="00A83E00"/>
    <w:rsid w:val="00A853F5"/>
    <w:rsid w:val="00A919C0"/>
    <w:rsid w:val="00A9323C"/>
    <w:rsid w:val="00A93364"/>
    <w:rsid w:val="00A93B85"/>
    <w:rsid w:val="00A96F7D"/>
    <w:rsid w:val="00AA05FD"/>
    <w:rsid w:val="00AA0B18"/>
    <w:rsid w:val="00AA469C"/>
    <w:rsid w:val="00AA4774"/>
    <w:rsid w:val="00AA666F"/>
    <w:rsid w:val="00AA7A11"/>
    <w:rsid w:val="00AB15BE"/>
    <w:rsid w:val="00AB4006"/>
    <w:rsid w:val="00AB4927"/>
    <w:rsid w:val="00AB4EF9"/>
    <w:rsid w:val="00AB6A83"/>
    <w:rsid w:val="00AC007A"/>
    <w:rsid w:val="00AC034F"/>
    <w:rsid w:val="00AC1A8E"/>
    <w:rsid w:val="00AC1BFF"/>
    <w:rsid w:val="00AC4C17"/>
    <w:rsid w:val="00AC4DB5"/>
    <w:rsid w:val="00AD0AEB"/>
    <w:rsid w:val="00AD4C7B"/>
    <w:rsid w:val="00AD553F"/>
    <w:rsid w:val="00AD5735"/>
    <w:rsid w:val="00AF17A2"/>
    <w:rsid w:val="00AF2081"/>
    <w:rsid w:val="00AF2664"/>
    <w:rsid w:val="00AF57EF"/>
    <w:rsid w:val="00B004E5"/>
    <w:rsid w:val="00B032A8"/>
    <w:rsid w:val="00B053F3"/>
    <w:rsid w:val="00B10A09"/>
    <w:rsid w:val="00B124F9"/>
    <w:rsid w:val="00B13FFC"/>
    <w:rsid w:val="00B15F9D"/>
    <w:rsid w:val="00B168F0"/>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4642D"/>
    <w:rsid w:val="00B50520"/>
    <w:rsid w:val="00B5544A"/>
    <w:rsid w:val="00B639E9"/>
    <w:rsid w:val="00B6598C"/>
    <w:rsid w:val="00B66F17"/>
    <w:rsid w:val="00B71863"/>
    <w:rsid w:val="00B72710"/>
    <w:rsid w:val="00B7345F"/>
    <w:rsid w:val="00B817CD"/>
    <w:rsid w:val="00B81D00"/>
    <w:rsid w:val="00B825BC"/>
    <w:rsid w:val="00B830CC"/>
    <w:rsid w:val="00B8353F"/>
    <w:rsid w:val="00B850F8"/>
    <w:rsid w:val="00B86916"/>
    <w:rsid w:val="00B87DA1"/>
    <w:rsid w:val="00B9105F"/>
    <w:rsid w:val="00B911B2"/>
    <w:rsid w:val="00B917E9"/>
    <w:rsid w:val="00B92195"/>
    <w:rsid w:val="00B92520"/>
    <w:rsid w:val="00B950A6"/>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2DD0"/>
    <w:rsid w:val="00BC31AC"/>
    <w:rsid w:val="00BC401E"/>
    <w:rsid w:val="00BC6488"/>
    <w:rsid w:val="00BC77AA"/>
    <w:rsid w:val="00BD11D6"/>
    <w:rsid w:val="00BD239D"/>
    <w:rsid w:val="00BD31E7"/>
    <w:rsid w:val="00BD50BD"/>
    <w:rsid w:val="00BD618D"/>
    <w:rsid w:val="00BD62C6"/>
    <w:rsid w:val="00BD7FF6"/>
    <w:rsid w:val="00BE34A3"/>
    <w:rsid w:val="00BE7042"/>
    <w:rsid w:val="00BE7870"/>
    <w:rsid w:val="00BF095D"/>
    <w:rsid w:val="00BF3618"/>
    <w:rsid w:val="00BF4F16"/>
    <w:rsid w:val="00BF65C9"/>
    <w:rsid w:val="00C0018F"/>
    <w:rsid w:val="00C02828"/>
    <w:rsid w:val="00C03779"/>
    <w:rsid w:val="00C041B1"/>
    <w:rsid w:val="00C05634"/>
    <w:rsid w:val="00C07B4E"/>
    <w:rsid w:val="00C10393"/>
    <w:rsid w:val="00C11761"/>
    <w:rsid w:val="00C14872"/>
    <w:rsid w:val="00C14874"/>
    <w:rsid w:val="00C166D0"/>
    <w:rsid w:val="00C16D39"/>
    <w:rsid w:val="00C20466"/>
    <w:rsid w:val="00C214ED"/>
    <w:rsid w:val="00C227EF"/>
    <w:rsid w:val="00C234E6"/>
    <w:rsid w:val="00C24E20"/>
    <w:rsid w:val="00C324A8"/>
    <w:rsid w:val="00C349B4"/>
    <w:rsid w:val="00C34A4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0E22"/>
    <w:rsid w:val="00C976EE"/>
    <w:rsid w:val="00C97C68"/>
    <w:rsid w:val="00CA18A2"/>
    <w:rsid w:val="00CA1A47"/>
    <w:rsid w:val="00CA36C5"/>
    <w:rsid w:val="00CA48CF"/>
    <w:rsid w:val="00CB1404"/>
    <w:rsid w:val="00CB1D84"/>
    <w:rsid w:val="00CB3537"/>
    <w:rsid w:val="00CB4034"/>
    <w:rsid w:val="00CB40E5"/>
    <w:rsid w:val="00CB615D"/>
    <w:rsid w:val="00CB6664"/>
    <w:rsid w:val="00CC247A"/>
    <w:rsid w:val="00CC41F6"/>
    <w:rsid w:val="00CC425D"/>
    <w:rsid w:val="00CD2733"/>
    <w:rsid w:val="00CD2A68"/>
    <w:rsid w:val="00CD2BC1"/>
    <w:rsid w:val="00CD3139"/>
    <w:rsid w:val="00CD4117"/>
    <w:rsid w:val="00CD7BC2"/>
    <w:rsid w:val="00CD7EC4"/>
    <w:rsid w:val="00CE2EF5"/>
    <w:rsid w:val="00CE5ACA"/>
    <w:rsid w:val="00CE5BB5"/>
    <w:rsid w:val="00CE5E47"/>
    <w:rsid w:val="00CE7A25"/>
    <w:rsid w:val="00CF020F"/>
    <w:rsid w:val="00CF269A"/>
    <w:rsid w:val="00CF2A29"/>
    <w:rsid w:val="00CF2B5B"/>
    <w:rsid w:val="00CF33C0"/>
    <w:rsid w:val="00CF3A0A"/>
    <w:rsid w:val="00CF4A84"/>
    <w:rsid w:val="00CF7AC7"/>
    <w:rsid w:val="00D00E2A"/>
    <w:rsid w:val="00D034D9"/>
    <w:rsid w:val="00D0723D"/>
    <w:rsid w:val="00D10D23"/>
    <w:rsid w:val="00D12A27"/>
    <w:rsid w:val="00D14CE0"/>
    <w:rsid w:val="00D217E0"/>
    <w:rsid w:val="00D233CB"/>
    <w:rsid w:val="00D27D0F"/>
    <w:rsid w:val="00D303F6"/>
    <w:rsid w:val="00D305FC"/>
    <w:rsid w:val="00D312AB"/>
    <w:rsid w:val="00D33DC1"/>
    <w:rsid w:val="00D36333"/>
    <w:rsid w:val="00D42CDE"/>
    <w:rsid w:val="00D42FEE"/>
    <w:rsid w:val="00D44DE2"/>
    <w:rsid w:val="00D45A9C"/>
    <w:rsid w:val="00D5223C"/>
    <w:rsid w:val="00D53EAE"/>
    <w:rsid w:val="00D541E4"/>
    <w:rsid w:val="00D5651D"/>
    <w:rsid w:val="00D56836"/>
    <w:rsid w:val="00D61378"/>
    <w:rsid w:val="00D61A73"/>
    <w:rsid w:val="00D61FB6"/>
    <w:rsid w:val="00D62D8E"/>
    <w:rsid w:val="00D634E2"/>
    <w:rsid w:val="00D67A2E"/>
    <w:rsid w:val="00D71278"/>
    <w:rsid w:val="00D724BE"/>
    <w:rsid w:val="00D73CFE"/>
    <w:rsid w:val="00D74898"/>
    <w:rsid w:val="00D75941"/>
    <w:rsid w:val="00D75EB3"/>
    <w:rsid w:val="00D801ED"/>
    <w:rsid w:val="00D83BF5"/>
    <w:rsid w:val="00D8609B"/>
    <w:rsid w:val="00D864B0"/>
    <w:rsid w:val="00D86A12"/>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71F7"/>
    <w:rsid w:val="00DB750F"/>
    <w:rsid w:val="00DC19DC"/>
    <w:rsid w:val="00DC2A65"/>
    <w:rsid w:val="00DC3758"/>
    <w:rsid w:val="00DC3FC1"/>
    <w:rsid w:val="00DC574F"/>
    <w:rsid w:val="00DC6EEA"/>
    <w:rsid w:val="00DD08B4"/>
    <w:rsid w:val="00DD2F80"/>
    <w:rsid w:val="00DD44AF"/>
    <w:rsid w:val="00DE2AC3"/>
    <w:rsid w:val="00DE434C"/>
    <w:rsid w:val="00DE5009"/>
    <w:rsid w:val="00DE5692"/>
    <w:rsid w:val="00DE5E67"/>
    <w:rsid w:val="00DE7766"/>
    <w:rsid w:val="00DE79F1"/>
    <w:rsid w:val="00DF02A0"/>
    <w:rsid w:val="00DF1E46"/>
    <w:rsid w:val="00DF21DF"/>
    <w:rsid w:val="00DF2D60"/>
    <w:rsid w:val="00DF56EF"/>
    <w:rsid w:val="00DF6F8E"/>
    <w:rsid w:val="00E02014"/>
    <w:rsid w:val="00E03C94"/>
    <w:rsid w:val="00E03CF8"/>
    <w:rsid w:val="00E03DE8"/>
    <w:rsid w:val="00E06603"/>
    <w:rsid w:val="00E06AEA"/>
    <w:rsid w:val="00E07105"/>
    <w:rsid w:val="00E11115"/>
    <w:rsid w:val="00E12074"/>
    <w:rsid w:val="00E1307C"/>
    <w:rsid w:val="00E17BAD"/>
    <w:rsid w:val="00E21B22"/>
    <w:rsid w:val="00E239BD"/>
    <w:rsid w:val="00E241C9"/>
    <w:rsid w:val="00E26226"/>
    <w:rsid w:val="00E27764"/>
    <w:rsid w:val="00E31B77"/>
    <w:rsid w:val="00E35496"/>
    <w:rsid w:val="00E36E67"/>
    <w:rsid w:val="00E378D8"/>
    <w:rsid w:val="00E4021C"/>
    <w:rsid w:val="00E4059F"/>
    <w:rsid w:val="00E4165C"/>
    <w:rsid w:val="00E422AC"/>
    <w:rsid w:val="00E425D0"/>
    <w:rsid w:val="00E45D05"/>
    <w:rsid w:val="00E528F8"/>
    <w:rsid w:val="00E5442B"/>
    <w:rsid w:val="00E55816"/>
    <w:rsid w:val="00E55AEF"/>
    <w:rsid w:val="00E61442"/>
    <w:rsid w:val="00E64B4B"/>
    <w:rsid w:val="00E66A93"/>
    <w:rsid w:val="00E71B64"/>
    <w:rsid w:val="00E81961"/>
    <w:rsid w:val="00E82877"/>
    <w:rsid w:val="00E838B7"/>
    <w:rsid w:val="00E83BBB"/>
    <w:rsid w:val="00E84088"/>
    <w:rsid w:val="00E90BE9"/>
    <w:rsid w:val="00E9161D"/>
    <w:rsid w:val="00E976C1"/>
    <w:rsid w:val="00EA025D"/>
    <w:rsid w:val="00EA07F0"/>
    <w:rsid w:val="00EA12E5"/>
    <w:rsid w:val="00EA2136"/>
    <w:rsid w:val="00EA36A2"/>
    <w:rsid w:val="00EA3D99"/>
    <w:rsid w:val="00EA4756"/>
    <w:rsid w:val="00EA66A4"/>
    <w:rsid w:val="00EA696D"/>
    <w:rsid w:val="00EB00F7"/>
    <w:rsid w:val="00EB0E5E"/>
    <w:rsid w:val="00EB2238"/>
    <w:rsid w:val="00EB4C45"/>
    <w:rsid w:val="00EC00DF"/>
    <w:rsid w:val="00EC0FC2"/>
    <w:rsid w:val="00EC3585"/>
    <w:rsid w:val="00EC6B65"/>
    <w:rsid w:val="00ED29AB"/>
    <w:rsid w:val="00ED335C"/>
    <w:rsid w:val="00ED44A8"/>
    <w:rsid w:val="00ED5AAF"/>
    <w:rsid w:val="00ED7378"/>
    <w:rsid w:val="00EE3198"/>
    <w:rsid w:val="00EE4646"/>
    <w:rsid w:val="00EE67EC"/>
    <w:rsid w:val="00EF33D5"/>
    <w:rsid w:val="00EF481F"/>
    <w:rsid w:val="00EF4D25"/>
    <w:rsid w:val="00EF7754"/>
    <w:rsid w:val="00F000EA"/>
    <w:rsid w:val="00F01422"/>
    <w:rsid w:val="00F02766"/>
    <w:rsid w:val="00F03EB7"/>
    <w:rsid w:val="00F04067"/>
    <w:rsid w:val="00F0520E"/>
    <w:rsid w:val="00F05BD4"/>
    <w:rsid w:val="00F07F46"/>
    <w:rsid w:val="00F1087E"/>
    <w:rsid w:val="00F11A98"/>
    <w:rsid w:val="00F13242"/>
    <w:rsid w:val="00F1463E"/>
    <w:rsid w:val="00F15368"/>
    <w:rsid w:val="00F15E05"/>
    <w:rsid w:val="00F16F35"/>
    <w:rsid w:val="00F20CA2"/>
    <w:rsid w:val="00F21A1D"/>
    <w:rsid w:val="00F26FAF"/>
    <w:rsid w:val="00F277F9"/>
    <w:rsid w:val="00F339E3"/>
    <w:rsid w:val="00F340C8"/>
    <w:rsid w:val="00F349CB"/>
    <w:rsid w:val="00F354F7"/>
    <w:rsid w:val="00F357E0"/>
    <w:rsid w:val="00F45892"/>
    <w:rsid w:val="00F53615"/>
    <w:rsid w:val="00F54B06"/>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553"/>
    <w:rsid w:val="00F94FEF"/>
    <w:rsid w:val="00F971FB"/>
    <w:rsid w:val="00FA4CD4"/>
    <w:rsid w:val="00FA579C"/>
    <w:rsid w:val="00FA668B"/>
    <w:rsid w:val="00FB20E0"/>
    <w:rsid w:val="00FB34B9"/>
    <w:rsid w:val="00FB70F8"/>
    <w:rsid w:val="00FC0BEF"/>
    <w:rsid w:val="00FC24DA"/>
    <w:rsid w:val="00FC4678"/>
    <w:rsid w:val="00FC5381"/>
    <w:rsid w:val="00FC6545"/>
    <w:rsid w:val="00FD0183"/>
    <w:rsid w:val="00FD037B"/>
    <w:rsid w:val="00FD2546"/>
    <w:rsid w:val="00FD772E"/>
    <w:rsid w:val="00FE3346"/>
    <w:rsid w:val="00FE3926"/>
    <w:rsid w:val="00FE48BE"/>
    <w:rsid w:val="00FE7205"/>
    <w:rsid w:val="00FE78C7"/>
    <w:rsid w:val="00FF21ED"/>
    <w:rsid w:val="00FF2A26"/>
    <w:rsid w:val="00FF3D55"/>
    <w:rsid w:val="00FF43AC"/>
    <w:rsid w:val="00FF7C84"/>
    <w:rsid w:val="010264D0"/>
    <w:rsid w:val="077D1895"/>
    <w:rsid w:val="08B146B9"/>
    <w:rsid w:val="09142A32"/>
    <w:rsid w:val="0A2A5B77"/>
    <w:rsid w:val="0B67D934"/>
    <w:rsid w:val="0E4526EB"/>
    <w:rsid w:val="0ED5F28F"/>
    <w:rsid w:val="0F65F1E4"/>
    <w:rsid w:val="0FFE7840"/>
    <w:rsid w:val="10408D9B"/>
    <w:rsid w:val="138F7E03"/>
    <w:rsid w:val="16ADAD38"/>
    <w:rsid w:val="16D47DE8"/>
    <w:rsid w:val="1FC279BF"/>
    <w:rsid w:val="2288C46E"/>
    <w:rsid w:val="23952306"/>
    <w:rsid w:val="24C3FCFE"/>
    <w:rsid w:val="2DEF61E5"/>
    <w:rsid w:val="2E6D7111"/>
    <w:rsid w:val="30391526"/>
    <w:rsid w:val="35C3E4EB"/>
    <w:rsid w:val="3681295E"/>
    <w:rsid w:val="36AEEFC6"/>
    <w:rsid w:val="391293FE"/>
    <w:rsid w:val="39603B44"/>
    <w:rsid w:val="3DAD2F77"/>
    <w:rsid w:val="3DDA0112"/>
    <w:rsid w:val="41057B01"/>
    <w:rsid w:val="4374FAF6"/>
    <w:rsid w:val="4576C40F"/>
    <w:rsid w:val="4665A940"/>
    <w:rsid w:val="492A6A46"/>
    <w:rsid w:val="49E7F052"/>
    <w:rsid w:val="4A87BBC7"/>
    <w:rsid w:val="4B555F2E"/>
    <w:rsid w:val="4C56D50D"/>
    <w:rsid w:val="4C6E67F6"/>
    <w:rsid w:val="4D781D49"/>
    <w:rsid w:val="51E10D4B"/>
    <w:rsid w:val="52F3AB11"/>
    <w:rsid w:val="54B354B3"/>
    <w:rsid w:val="57A2BFA7"/>
    <w:rsid w:val="5860E45F"/>
    <w:rsid w:val="5AAC5578"/>
    <w:rsid w:val="5E360030"/>
    <w:rsid w:val="604BAA1A"/>
    <w:rsid w:val="612507A5"/>
    <w:rsid w:val="62169454"/>
    <w:rsid w:val="63916413"/>
    <w:rsid w:val="64CFEE68"/>
    <w:rsid w:val="65CBBC34"/>
    <w:rsid w:val="6696070F"/>
    <w:rsid w:val="6AB3E15C"/>
    <w:rsid w:val="6C59C4C1"/>
    <w:rsid w:val="6C67D48E"/>
    <w:rsid w:val="6FFE69B2"/>
    <w:rsid w:val="702B0802"/>
    <w:rsid w:val="72AE42FE"/>
    <w:rsid w:val="731FD76A"/>
    <w:rsid w:val="760D9BB2"/>
    <w:rsid w:val="76FDC2F6"/>
    <w:rsid w:val="7A8B18E1"/>
    <w:rsid w:val="7A924325"/>
    <w:rsid w:val="7B3F11D9"/>
    <w:rsid w:val="7E0D4DD4"/>
    <w:rsid w:val="7E699FC5"/>
    <w:rsid w:val="7FC09E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E3BCE6E8-F0E5-40E9-A142-A24E5ED6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styleId="Mention">
    <w:name w:val="Mention"/>
    <w:basedOn w:val="DefaultParagraphFont"/>
    <w:uiPriority w:val="99"/>
    <w:unhideWhenUsed/>
    <w:rsid w:val="00565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4/relationships/chartEx" Target="charts/chartEx1.xml"/><Relationship Id="rId18" Type="http://schemas.openxmlformats.org/officeDocument/2006/relationships/image" Target="media/image2.png"/><Relationship Id="rId26" Type="http://schemas.openxmlformats.org/officeDocument/2006/relationships/hyperlink" Target="https://www.itu.int/itu-d/sites/membership/wp-content/uploads/sites/50/2025/09/2025-Chairmans-Report-IAGDI_CRO-GSR-Rev_final_revised.pdf" TargetMode="External"/><Relationship Id="rId3" Type="http://schemas.openxmlformats.org/officeDocument/2006/relationships/customXml" Target="../customXml/item3.xml"/><Relationship Id="rId21" Type="http://schemas.microsoft.com/office/2014/relationships/chartEx" Target="charts/chartEx2.xml"/><Relationship Id="rId7" Type="http://schemas.openxmlformats.org/officeDocument/2006/relationships/settings" Target="settings.xml"/><Relationship Id="rId12" Type="http://schemas.openxmlformats.org/officeDocument/2006/relationships/chart" Target="charts/chart1.xml"/><Relationship Id="rId25" Type="http://schemas.openxmlformats.org/officeDocument/2006/relationships/hyperlink" Target="https://www.itu.int/itu-d/sites/membership/wp-content/uploads/sites/50/2025/09/IAGDICRO-2025-Final-outcome-statement_1-Sept-2025final.pdf" TargetMode="External"/><Relationship Id="rId2" Type="http://schemas.openxmlformats.org/officeDocument/2006/relationships/customXml" Target="../customXml/item2.xml"/><Relationship Id="rId20" Type="http://schemas.openxmlformats.org/officeDocument/2006/relationships/hyperlink" Target="https://www.itu.int/hub/membership/our-members/exempted-entities/exemption-criteri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itu-d/sites/membership/wp-content/uploads/sites/50/2025/06/IAGDI-CRO-2025-06-Chairman-Report-1.pdf" TargetMode="External"/><Relationship Id="rId5" Type="http://schemas.openxmlformats.org/officeDocument/2006/relationships/numbering" Target="numbering.xml"/><Relationship Id="rId23" Type="http://schemas.openxmlformats.org/officeDocument/2006/relationships/hyperlink" Target="https://www.itu.int/md/D26-TDAG33-INF-0003/"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D26-TDAG33-INF-000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hyperlink" Target="https://www.itu.int/en/ITU-D/MembersPartners/Pages/tech-talks.aspx"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rco.obiso@itu.i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xlsx"/></Relationships>
</file>

<file path=word/charts/_rels/chartEx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Excel_Worksheet2.xlsx"/><Relationship Id="rId4"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n-GB" sz="1050" b="1">
                <a:solidFill>
                  <a:sysClr val="windowText" lastClr="000000"/>
                </a:solidFill>
              </a:rPr>
              <a:t>Chart 1. ITU-D Membership Evolution             </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GB"/>
        </a:p>
      </c:txPr>
    </c:title>
    <c:autoTitleDeleted val="0"/>
    <c:plotArea>
      <c:layout>
        <c:manualLayout>
          <c:layoutTarget val="inner"/>
          <c:xMode val="edge"/>
          <c:yMode val="edge"/>
          <c:x val="9.1761325323566373E-2"/>
          <c:y val="9.0135287143161158E-2"/>
          <c:w val="0.65543641294390753"/>
          <c:h val="0.77166377879645265"/>
        </c:manualLayout>
      </c:layout>
      <c:barChart>
        <c:barDir val="col"/>
        <c:grouping val="stacked"/>
        <c:varyColors val="0"/>
        <c:ser>
          <c:idx val="3"/>
          <c:order val="0"/>
          <c:tx>
            <c:strRef>
              <c:f>Sheet1!$D$1</c:f>
              <c:strCache>
                <c:ptCount val="1"/>
                <c:pt idx="0">
                  <c:v>Affiliated Academia</c:v>
                </c:pt>
              </c:strCache>
            </c:strRef>
          </c:tx>
          <c:spPr>
            <a:solidFill>
              <a:srgbClr val="F5BB64"/>
            </a:solidFill>
            <a:ln w="2540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CDF-4A45-9832-CE41904DD795}"/>
                </c:ext>
              </c:extLst>
            </c:dLbl>
            <c:dLbl>
              <c:idx val="4"/>
              <c:delete val="1"/>
              <c:extLst>
                <c:ext xmlns:c15="http://schemas.microsoft.com/office/drawing/2012/chart" uri="{CE6537A1-D6FC-4f65-9D91-7224C49458BB}"/>
                <c:ext xmlns:c16="http://schemas.microsoft.com/office/drawing/2014/chart" uri="{C3380CC4-5D6E-409C-BE32-E72D297353CC}">
                  <c16:uniqueId val="{00000002-4CDF-4A45-9832-CE41904DD795}"/>
                </c:ext>
              </c:extLst>
            </c:dLbl>
            <c:dLbl>
              <c:idx val="8"/>
              <c:delete val="1"/>
              <c:extLst>
                <c:ext xmlns:c15="http://schemas.microsoft.com/office/drawing/2012/chart" uri="{CE6537A1-D6FC-4f65-9D91-7224C49458BB}"/>
                <c:ext xmlns:c16="http://schemas.microsoft.com/office/drawing/2014/chart" uri="{C3380CC4-5D6E-409C-BE32-E72D297353CC}">
                  <c16:uniqueId val="{00000004-4CDF-4A45-9832-CE41904DD795}"/>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2023</c:v>
                </c:pt>
                <c:pt idx="4">
                  <c:v>2024</c:v>
                </c:pt>
                <c:pt idx="8">
                  <c:v>2025</c:v>
                </c:pt>
              </c:strCache>
            </c:strRef>
          </c:cat>
          <c:val>
            <c:numRef>
              <c:f>Sheet1!$D$2:$D$11</c:f>
              <c:numCache>
                <c:formatCode>General</c:formatCode>
                <c:ptCount val="10"/>
                <c:pt idx="0">
                  <c:v>0</c:v>
                </c:pt>
                <c:pt idx="1">
                  <c:v>169</c:v>
                </c:pt>
                <c:pt idx="4">
                  <c:v>0</c:v>
                </c:pt>
                <c:pt idx="5">
                  <c:v>171</c:v>
                </c:pt>
                <c:pt idx="8">
                  <c:v>0</c:v>
                </c:pt>
                <c:pt idx="9">
                  <c:v>181</c:v>
                </c:pt>
              </c:numCache>
            </c:numRef>
          </c:val>
          <c:extLst>
            <c:ext xmlns:c16="http://schemas.microsoft.com/office/drawing/2014/chart" uri="{C3380CC4-5D6E-409C-BE32-E72D297353CC}">
              <c16:uniqueId val="{00000006-4CDF-4A45-9832-CE41904DD795}"/>
            </c:ext>
          </c:extLst>
        </c:ser>
        <c:ser>
          <c:idx val="0"/>
          <c:order val="1"/>
          <c:tx>
            <c:strRef>
              <c:f>Sheet1!$B$1</c:f>
              <c:strCache>
                <c:ptCount val="1"/>
                <c:pt idx="0">
                  <c:v>Sector Members</c:v>
                </c:pt>
              </c:strCache>
            </c:strRef>
          </c:tx>
          <c:spPr>
            <a:solidFill>
              <a:schemeClr val="accent1"/>
            </a:solidFill>
            <a:ln>
              <a:noFill/>
            </a:ln>
            <a:effectLst/>
          </c:spPr>
          <c:invertIfNegative val="0"/>
          <c:dPt>
            <c:idx val="2"/>
            <c:invertIfNegative val="0"/>
            <c:bubble3D val="0"/>
            <c:spPr>
              <a:solidFill>
                <a:srgbClr val="009CD6">
                  <a:alpha val="33000"/>
                </a:srgbClr>
              </a:solidFill>
              <a:ln>
                <a:noFill/>
              </a:ln>
              <a:effectLst/>
            </c:spPr>
            <c:extLst>
              <c:ext xmlns:c16="http://schemas.microsoft.com/office/drawing/2014/chart" uri="{C3380CC4-5D6E-409C-BE32-E72D297353CC}">
                <c16:uniqueId val="{00000008-4CDF-4A45-9832-CE41904DD795}"/>
              </c:ext>
            </c:extLst>
          </c:dPt>
          <c:dLbls>
            <c:dLbl>
              <c:idx val="0"/>
              <c:tx>
                <c:rich>
                  <a:bodyPr/>
                  <a:lstStyle/>
                  <a:p>
                    <a:r>
                      <a:rPr lang="en-US">
                        <a:solidFill>
                          <a:schemeClr val="bg1"/>
                        </a:solidFill>
                      </a:rPr>
                      <a:t>310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B65-4DFF-9037-53F60D842894}"/>
                </c:ext>
              </c:extLst>
            </c:dLbl>
            <c:dLbl>
              <c:idx val="4"/>
              <c:tx>
                <c:rich>
                  <a:bodyPr/>
                  <a:lstStyle/>
                  <a:p>
                    <a:r>
                      <a:rPr lang="en-US">
                        <a:solidFill>
                          <a:schemeClr val="bg1"/>
                        </a:solidFill>
                      </a:rPr>
                      <a:t>329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B65-4DFF-9037-53F60D842894}"/>
                </c:ext>
              </c:extLst>
            </c:dLbl>
            <c:dLbl>
              <c:idx val="8"/>
              <c:tx>
                <c:rich>
                  <a:bodyPr/>
                  <a:lstStyle/>
                  <a:p>
                    <a:fld id="{935ABB7B-69C2-455A-85DF-7EE21808C807}" type="VALUE">
                      <a:rPr lang="en-US">
                        <a:solidFill>
                          <a:schemeClr val="bg1"/>
                        </a:solidFill>
                      </a:rPr>
                      <a:pPr/>
                      <a:t>[VALUE]</a:t>
                    </a:fld>
                    <a:endParaRPr lang="en-GB"/>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B65-4DFF-9037-53F60D842894}"/>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2023</c:v>
                </c:pt>
                <c:pt idx="4">
                  <c:v>2024</c:v>
                </c:pt>
                <c:pt idx="8">
                  <c:v>2025</c:v>
                </c:pt>
              </c:strCache>
            </c:strRef>
          </c:cat>
          <c:val>
            <c:numRef>
              <c:f>Sheet1!$B$2:$B$11</c:f>
              <c:numCache>
                <c:formatCode>General</c:formatCode>
                <c:ptCount val="10"/>
                <c:pt idx="0">
                  <c:v>310</c:v>
                </c:pt>
                <c:pt idx="4">
                  <c:v>329</c:v>
                </c:pt>
                <c:pt idx="8">
                  <c:v>345</c:v>
                </c:pt>
              </c:numCache>
            </c:numRef>
          </c:val>
          <c:extLst>
            <c:ext xmlns:c16="http://schemas.microsoft.com/office/drawing/2014/chart" uri="{C3380CC4-5D6E-409C-BE32-E72D297353CC}">
              <c16:uniqueId val="{00000009-4CDF-4A45-9832-CE41904DD795}"/>
            </c:ext>
          </c:extLst>
        </c:ser>
        <c:ser>
          <c:idx val="1"/>
          <c:order val="2"/>
          <c:tx>
            <c:strRef>
              <c:f>Sheet1!$C$1</c:f>
              <c:strCache>
                <c:ptCount val="1"/>
                <c:pt idx="0">
                  <c:v>Associates</c:v>
                </c:pt>
              </c:strCache>
            </c:strRef>
          </c:tx>
          <c:spPr>
            <a:solidFill>
              <a:schemeClr val="accent2"/>
            </a:solidFill>
            <a:ln>
              <a:noFill/>
            </a:ln>
            <a:effectLst/>
          </c:spPr>
          <c:invertIfNegative val="0"/>
          <c:dPt>
            <c:idx val="2"/>
            <c:invertIfNegative val="0"/>
            <c:bubble3D val="0"/>
            <c:spPr>
              <a:solidFill>
                <a:schemeClr val="accent2">
                  <a:alpha val="75000"/>
                </a:schemeClr>
              </a:solidFill>
              <a:ln>
                <a:noFill/>
              </a:ln>
              <a:effectLst/>
            </c:spPr>
            <c:extLst>
              <c:ext xmlns:c16="http://schemas.microsoft.com/office/drawing/2014/chart" uri="{C3380CC4-5D6E-409C-BE32-E72D297353CC}">
                <c16:uniqueId val="{0000000B-4CDF-4A45-9832-CE41904DD795}"/>
              </c:ext>
            </c:extLst>
          </c:dPt>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2023</c:v>
                </c:pt>
                <c:pt idx="4">
                  <c:v>2024</c:v>
                </c:pt>
                <c:pt idx="8">
                  <c:v>2025</c:v>
                </c:pt>
              </c:strCache>
            </c:strRef>
          </c:cat>
          <c:val>
            <c:numRef>
              <c:f>Sheet1!$C$2:$C$11</c:f>
              <c:numCache>
                <c:formatCode>General</c:formatCode>
                <c:ptCount val="10"/>
                <c:pt idx="0">
                  <c:v>19</c:v>
                </c:pt>
                <c:pt idx="4">
                  <c:v>20</c:v>
                </c:pt>
                <c:pt idx="8">
                  <c:v>24</c:v>
                </c:pt>
              </c:numCache>
            </c:numRef>
          </c:val>
          <c:extLst>
            <c:ext xmlns:c16="http://schemas.microsoft.com/office/drawing/2014/chart" uri="{C3380CC4-5D6E-409C-BE32-E72D297353CC}">
              <c16:uniqueId val="{0000000C-4CDF-4A45-9832-CE41904DD795}"/>
            </c:ext>
          </c:extLst>
        </c:ser>
        <c:dLbls>
          <c:showLegendKey val="0"/>
          <c:showVal val="0"/>
          <c:showCatName val="0"/>
          <c:showSerName val="0"/>
          <c:showPercent val="0"/>
          <c:showBubbleSize val="0"/>
        </c:dLbls>
        <c:gapWidth val="7"/>
        <c:overlap val="100"/>
        <c:axId val="2127026784"/>
        <c:axId val="692711344"/>
      </c:barChart>
      <c:lineChart>
        <c:grouping val="standard"/>
        <c:varyColors val="0"/>
        <c:ser>
          <c:idx val="2"/>
          <c:order val="3"/>
          <c:tx>
            <c:strRef>
              <c:f>Sheet1!$E$1</c:f>
              <c:strCache>
                <c:ptCount val="1"/>
                <c:pt idx="0">
                  <c:v>Sum</c:v>
                </c:pt>
              </c:strCache>
            </c:strRef>
          </c:tx>
          <c:spPr>
            <a:ln w="28575" cap="rnd">
              <a:noFill/>
              <a:round/>
            </a:ln>
            <a:effectLst/>
          </c:spPr>
          <c:marker>
            <c:symbol val="none"/>
          </c:marker>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9"/>
                <c:pt idx="0">
                  <c:v>2023</c:v>
                </c:pt>
                <c:pt idx="4">
                  <c:v>2024</c:v>
                </c:pt>
                <c:pt idx="8">
                  <c:v>2025</c:v>
                </c:pt>
              </c:strCache>
            </c:strRef>
          </c:cat>
          <c:val>
            <c:numRef>
              <c:f>Sheet1!$E$2:$E$11</c:f>
              <c:numCache>
                <c:formatCode>General</c:formatCode>
                <c:ptCount val="10"/>
                <c:pt idx="0">
                  <c:v>329</c:v>
                </c:pt>
                <c:pt idx="4">
                  <c:v>349</c:v>
                </c:pt>
                <c:pt idx="8">
                  <c:v>369</c:v>
                </c:pt>
              </c:numCache>
            </c:numRef>
          </c:val>
          <c:smooth val="0"/>
          <c:extLst>
            <c:ext xmlns:c16="http://schemas.microsoft.com/office/drawing/2014/chart" uri="{C3380CC4-5D6E-409C-BE32-E72D297353CC}">
              <c16:uniqueId val="{0000000D-4CDF-4A45-9832-CE41904DD795}"/>
            </c:ext>
          </c:extLst>
        </c:ser>
        <c:dLbls>
          <c:showLegendKey val="0"/>
          <c:showVal val="0"/>
          <c:showCatName val="0"/>
          <c:showSerName val="0"/>
          <c:showPercent val="0"/>
          <c:showBubbleSize val="0"/>
        </c:dLbls>
        <c:marker val="1"/>
        <c:smooth val="0"/>
        <c:axId val="2127026784"/>
        <c:axId val="692711344"/>
      </c:lineChart>
      <c:catAx>
        <c:axId val="2127026784"/>
        <c:scaling>
          <c:orientation val="minMax"/>
        </c:scaling>
        <c:delete val="0"/>
        <c:axPos val="b"/>
        <c:numFmt formatCode="General" sourceLinked="1"/>
        <c:majorTickMark val="none"/>
        <c:minorTickMark val="none"/>
        <c:tickLblPos val="nextTo"/>
        <c:spPr>
          <a:noFill/>
          <a:ln w="9525" cap="flat" cmpd="sng" algn="ctr">
            <a:solidFill>
              <a:srgbClr val="6F6F6E"/>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92711344"/>
        <c:crosses val="autoZero"/>
        <c:auto val="1"/>
        <c:lblAlgn val="ctr"/>
        <c:lblOffset val="100"/>
        <c:noMultiLvlLbl val="0"/>
      </c:catAx>
      <c:valAx>
        <c:axId val="692711344"/>
        <c:scaling>
          <c:orientation val="minMax"/>
          <c:max val="450"/>
          <c:min val="0"/>
        </c:scaling>
        <c:delete val="0"/>
        <c:axPos val="l"/>
        <c:numFmt formatCode="General" sourceLinked="1"/>
        <c:majorTickMark val="none"/>
        <c:minorTickMark val="none"/>
        <c:tickLblPos val="nextTo"/>
        <c:spPr>
          <a:noFill/>
          <a:ln>
            <a:solidFill>
              <a:srgbClr val="6F6F6E"/>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7026784"/>
        <c:crosses val="autoZero"/>
        <c:crossBetween val="between"/>
      </c:valAx>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mn-lt"/>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Sheet1!$A$2:$A$11</cx:f>
        <cx:lvl ptCount="10">
          <cx:pt idx="0">2022</cx:pt>
          <cx:pt idx="1">g 2023</cx:pt>
          <cx:pt idx="2">l 2023</cx:pt>
          <cx:pt idx="3">2023</cx:pt>
          <cx:pt idx="4">G 2024</cx:pt>
          <cx:pt idx="5">L 2024</cx:pt>
          <cx:pt idx="6">2024</cx:pt>
          <cx:pt idx="7">G 2025</cx:pt>
          <cx:pt idx="8">L 2025</cx:pt>
          <cx:pt idx="9">2025</cx:pt>
        </cx:lvl>
      </cx:strDim>
      <cx:numDim type="val">
        <cx:f>Sheet1!$B$2:$B$11</cx:f>
        <cx:lvl ptCount="10" formatCode="General">
          <cx:pt idx="0">316</cx:pt>
          <cx:pt idx="1">27</cx:pt>
          <cx:pt idx="2">-14</cx:pt>
          <cx:pt idx="3">329</cx:pt>
          <cx:pt idx="4">28</cx:pt>
          <cx:pt idx="5">-8</cx:pt>
          <cx:pt idx="6">349</cx:pt>
          <cx:pt idx="7">33</cx:pt>
          <cx:pt idx="8">-13</cx:pt>
          <cx:pt idx="9">369</cx:pt>
        </cx:lvl>
      </cx:numDim>
    </cx:data>
  </cx:chartData>
  <cx:chart>
    <cx:title pos="t" align="ctr" overlay="0">
      <cx:tx>
        <cx:txData>
          <cx:v>Chart 2. ITU-D Sector Members and Associates movement since end 2022                                       </cx:v>
        </cx:txData>
      </cx:tx>
      <cx:txPr>
        <a:bodyPr spcFirstLastPara="1" vertOverflow="ellipsis" horzOverflow="overflow" wrap="square" lIns="0" tIns="0" rIns="0" bIns="0" anchor="ctr" anchorCtr="1"/>
        <a:lstStyle/>
        <a:p>
          <a:pPr algn="ctr" rtl="0">
            <a:defRPr>
              <a:latin typeface="+mn-lt"/>
            </a:defRPr>
          </a:pPr>
          <a:r>
            <a:rPr lang="en-US" sz="1100" b="1" i="0" u="none" strike="noStrike" baseline="0">
              <a:solidFill>
                <a:schemeClr val="tx1">
                  <a:lumMod val="95000"/>
                  <a:lumOff val="5000"/>
                </a:schemeClr>
              </a:solidFill>
              <a:latin typeface="+mn-lt"/>
            </a:rPr>
            <a:t>Chart 2. ITU-D Sector Members and Associates movement since end 2022                                       </a:t>
          </a:r>
        </a:p>
      </cx:txPr>
    </cx:title>
    <cx:plotArea>
      <cx:plotAreaRegion>
        <cx:series layoutId="waterfall" uniqueId="{0E71AF3E-53DA-4F16-BDB1-BD4189E24036}">
          <cx:tx>
            <cx:txData>
              <cx:f>Sheet1!$B$1</cx:f>
              <cx:v>Series1</cx:v>
            </cx:txData>
          </cx:tx>
          <cx:dataPt idx="0">
            <cx:spPr>
              <a:solidFill>
                <a:srgbClr val="00B0F0"/>
              </a:solidFill>
            </cx:spPr>
          </cx:dataPt>
          <cx:dataPt idx="1">
            <cx:spPr>
              <a:solidFill>
                <a:srgbClr val="70AD47"/>
              </a:solidFill>
            </cx:spPr>
          </cx:dataPt>
          <cx:dataPt idx="2">
            <cx:spPr>
              <a:solidFill>
                <a:srgbClr val="FF0000"/>
              </a:solidFill>
            </cx:spPr>
          </cx:dataPt>
          <cx:dataPt idx="3">
            <cx:spPr>
              <a:solidFill>
                <a:srgbClr val="00B0F0"/>
              </a:solidFill>
            </cx:spPr>
          </cx:dataPt>
          <cx:dataPt idx="4">
            <cx:spPr>
              <a:solidFill>
                <a:srgbClr val="70AD47"/>
              </a:solidFill>
            </cx:spPr>
          </cx:dataPt>
          <cx:dataPt idx="5">
            <cx:spPr>
              <a:solidFill>
                <a:srgbClr val="FF0000"/>
              </a:solidFill>
            </cx:spPr>
          </cx:dataPt>
          <cx:dataPt idx="6">
            <cx:spPr>
              <a:solidFill>
                <a:srgbClr val="00B0F0"/>
              </a:solidFill>
            </cx:spPr>
          </cx:dataPt>
          <cx:dataPt idx="7">
            <cx:spPr>
              <a:solidFill>
                <a:srgbClr val="70AD47"/>
              </a:solidFill>
            </cx:spPr>
          </cx:dataPt>
          <cx:dataPt idx="8">
            <cx:spPr>
              <a:solidFill>
                <a:srgbClr val="FF0000"/>
              </a:solidFill>
            </cx:spPr>
          </cx:dataPt>
          <cx:dataPt idx="9">
            <cx:spPr>
              <a:solidFill>
                <a:srgbClr val="00B0F0"/>
              </a:solidFill>
            </cx:spPr>
          </cx:dataPt>
          <cx:dataLabels pos="outEnd">
            <cx:txPr>
              <a:bodyPr vertOverflow="overflow" horzOverflow="overflow" wrap="square" lIns="0" tIns="0" rIns="0" bIns="0"/>
              <a:lstStyle/>
              <a:p>
                <a:pPr algn="ctr" rtl="0">
                  <a:defRPr sz="900" b="0" i="0">
                    <a:solidFill>
                      <a:srgbClr val="595959"/>
                    </a:solidFill>
                    <a:latin typeface="+mn-lt"/>
                    <a:ea typeface="Calibri" panose="020F0502020204030204" pitchFamily="34" charset="0"/>
                    <a:cs typeface="Calibri" panose="020F0502020204030204" pitchFamily="34" charset="0"/>
                  </a:defRPr>
                </a:pPr>
                <a:endParaRPr lang="en-GB">
                  <a:latin typeface="+mn-lt"/>
                </a:endParaRPr>
              </a:p>
            </cx:txPr>
            <cx:visibility seriesName="0" categoryName="0" value="1"/>
            <cx:separator>, </cx:separator>
          </cx:dataLabels>
          <cx:dataId val="0"/>
          <cx:layoutPr>
            <cx:subtotals>
              <cx:idx val="3"/>
              <cx:idx val="6"/>
              <cx:idx val="9"/>
            </cx:subtotals>
          </cx:layoutPr>
        </cx:series>
      </cx:plotAreaRegion>
      <cx:axis id="0" hidden="1">
        <cx:catScaling gapWidth="0.5"/>
        <cx:tickLabels/>
        <cx:txPr>
          <a:bodyPr vertOverflow="overflow" horzOverflow="overflow" wrap="square" lIns="0" tIns="0" rIns="0" bIns="0"/>
          <a:lstStyle/>
          <a:p>
            <a:pPr algn="ctr" rtl="0">
              <a:defRPr sz="900" b="0" i="0">
                <a:solidFill>
                  <a:srgbClr val="595959"/>
                </a:solidFill>
                <a:latin typeface="+mn-lt"/>
                <a:ea typeface="Calibri" panose="020F0502020204030204" pitchFamily="34" charset="0"/>
                <a:cs typeface="Calibri" panose="020F0502020204030204" pitchFamily="34" charset="0"/>
              </a:defRPr>
            </a:pPr>
            <a:endParaRPr lang="en-GB">
              <a:latin typeface="+mn-lt"/>
            </a:endParaRPr>
          </a:p>
        </cx:txPr>
      </cx:axis>
      <cx:axis id="1">
        <cx:valScaling max="390" min="300"/>
        <cx:tickLabels/>
        <cx:txPr>
          <a:bodyPr vertOverflow="overflow" horzOverflow="overflow" wrap="square" lIns="0" tIns="0" rIns="0" bIns="0"/>
          <a:lstStyle/>
          <a:p>
            <a:pPr algn="ctr" rtl="0">
              <a:defRPr sz="900" b="0" i="0">
                <a:solidFill>
                  <a:srgbClr val="595959"/>
                </a:solidFill>
                <a:latin typeface="+mn-lt"/>
                <a:ea typeface="Calibri" panose="020F0502020204030204" pitchFamily="34" charset="0"/>
                <a:cs typeface="Calibri" panose="020F0502020204030204" pitchFamily="34" charset="0"/>
              </a:defRPr>
            </a:pPr>
            <a:endParaRPr lang="en-GB">
              <a:latin typeface="+mn-lt"/>
            </a:endParaRPr>
          </a:p>
        </cx:txPr>
      </cx:axis>
    </cx:plotArea>
  </cx:chart>
  <cx:spPr>
    <a:ln>
      <a:noFill/>
    </a:ln>
  </cx:spPr>
  <cx:fmtOvrs>
    <cx:fmtOvr idx="0">
      <cx:spPr>
        <a:solidFill>
          <a:srgbClr val="00B050"/>
        </a:solidFill>
      </cx:spPr>
    </cx:fmtOvr>
    <cx:fmtOvr idx="1">
      <cx:spPr>
        <a:solidFill>
          <a:srgbClr val="FA3000"/>
        </a:solidFill>
      </cx:spPr>
    </cx:fmtOvr>
    <cx:fmtOvr idx="2">
      <cx:spPr>
        <a:solidFill>
          <a:srgbClr val="00B0F0"/>
        </a:solidFill>
      </cx:spPr>
    </cx:fmtOvr>
  </cx:fmtOvrs>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Sheet1!$A$2:$A$11</cx:f>
        <cx:lvl ptCount="10">
          <cx:pt idx="0">members 2022</cx:pt>
          <cx:pt idx="1">new members 2023</cx:pt>
          <cx:pt idx="2">lost members 2023</cx:pt>
          <cx:pt idx="3">members 2023</cx:pt>
          <cx:pt idx="4">new members 2024</cx:pt>
          <cx:pt idx="5">lost members 2024</cx:pt>
          <cx:pt idx="6">members 2024</cx:pt>
          <cx:pt idx="7">new members 2025</cx:pt>
          <cx:pt idx="8">lost members 2025</cx:pt>
          <cx:pt idx="9">members 2025</cx:pt>
        </cx:lvl>
      </cx:strDim>
      <cx:numDim type="val">
        <cx:f>Sheet1!$B$2:$B$11</cx:f>
        <cx:lvl ptCount="10" formatCode="General">
          <cx:pt idx="0">168</cx:pt>
          <cx:pt idx="1">16</cx:pt>
          <cx:pt idx="2">-15</cx:pt>
          <cx:pt idx="3">169</cx:pt>
          <cx:pt idx="4">15</cx:pt>
          <cx:pt idx="5">-13</cx:pt>
          <cx:pt idx="6">171</cx:pt>
          <cx:pt idx="7">22</cx:pt>
          <cx:pt idx="8">-12</cx:pt>
          <cx:pt idx="9">181</cx:pt>
        </cx:lvl>
      </cx:numDim>
    </cx:data>
  </cx:chartData>
  <cx:chart>
    <cx:title pos="t" align="ctr" overlay="0">
      <cx:tx>
        <cx:txData>
          <cx:v>Chart 3. ITU Academia movement since 2023 </cx:v>
        </cx:txData>
      </cx:tx>
      <cx:txPr>
        <a:bodyPr spcFirstLastPara="1" vertOverflow="ellipsis" horzOverflow="overflow" wrap="square" lIns="0" tIns="0" rIns="0" bIns="0" anchor="ctr" anchorCtr="1"/>
        <a:lstStyle/>
        <a:p>
          <a:pPr algn="ctr" rtl="0">
            <a:defRPr sz="1200" b="1">
              <a:latin typeface="+mn-lt"/>
              <a:ea typeface="Avenir Nxt2 W1G" panose="020B0503020202020204" pitchFamily="34" charset="0"/>
              <a:cs typeface="Avenir Nxt2 W1G" panose="020B0503020202020204" pitchFamily="34" charset="0"/>
            </a:defRPr>
          </a:pPr>
          <a:r>
            <a:rPr lang="en-US" sz="1200" b="1" i="0" u="none" strike="noStrike" baseline="0">
              <a:solidFill>
                <a:sysClr val="windowText" lastClr="000000"/>
              </a:solidFill>
              <a:latin typeface="+mn-lt"/>
            </a:rPr>
            <a:t>Chart 3. ITU Academia movement since 2023 </a:t>
          </a:r>
        </a:p>
      </cx:txPr>
    </cx:title>
    <cx:plotArea>
      <cx:plotAreaRegion>
        <cx:series layoutId="waterfall" uniqueId="{1D96F30B-B542-4D28-9FB4-5199155E5879}">
          <cx:tx>
            <cx:txData>
              <cx:f>Sheet1!$B$1</cx:f>
              <cx:v>Series1</cx:v>
            </cx:txData>
          </cx:tx>
          <cx:dataPt idx="0">
            <cx:spPr>
              <a:solidFill>
                <a:srgbClr val="00B0F0"/>
              </a:solidFill>
            </cx:spPr>
          </cx:dataPt>
          <cx:dataPt idx="1">
            <cx:spPr>
              <a:solidFill>
                <a:srgbClr val="92D050"/>
              </a:solidFill>
            </cx:spPr>
          </cx:dataPt>
          <cx:dataPt idx="2">
            <cx:spPr>
              <a:solidFill>
                <a:srgbClr val="FA3000"/>
              </a:solidFill>
            </cx:spPr>
          </cx:dataPt>
          <cx:dataPt idx="3">
            <cx:spPr>
              <a:solidFill>
                <a:srgbClr val="00B0F0"/>
              </a:solidFill>
            </cx:spPr>
          </cx:dataPt>
          <cx:dataPt idx="4">
            <cx:spPr>
              <a:solidFill>
                <a:srgbClr val="92D050"/>
              </a:solidFill>
            </cx:spPr>
          </cx:dataPt>
          <cx:dataPt idx="5">
            <cx:spPr>
              <a:solidFill>
                <a:srgbClr val="FA3000"/>
              </a:solidFill>
            </cx:spPr>
          </cx:dataPt>
          <cx:dataPt idx="6">
            <cx:spPr>
              <a:solidFill>
                <a:srgbClr val="00B0F0"/>
              </a:solidFill>
            </cx:spPr>
          </cx:dataPt>
          <cx:dataPt idx="7">
            <cx:spPr>
              <a:solidFill>
                <a:srgbClr val="92D050"/>
              </a:solidFill>
            </cx:spPr>
          </cx:dataPt>
          <cx:dataPt idx="8">
            <cx:spPr>
              <a:solidFill>
                <a:srgbClr val="FA3000"/>
              </a:solidFill>
            </cx:spPr>
          </cx:dataPt>
          <cx:dataPt idx="9">
            <cx:spPr>
              <a:solidFill>
                <a:srgbClr val="00B0F0"/>
              </a:solidFill>
            </cx:spPr>
          </cx:dataPt>
          <cx:dataLabels>
            <cx:txPr>
              <a:bodyPr vertOverflow="overflow" horzOverflow="overflow" wrap="square" lIns="0" tIns="0" rIns="0" bIns="0"/>
              <a:lstStyle/>
              <a:p>
                <a:pPr algn="ctr" rtl="0">
                  <a:defRPr sz="900" b="0" i="0">
                    <a:solidFill>
                      <a:srgbClr val="595959"/>
                    </a:solidFill>
                    <a:latin typeface="+mn-lt"/>
                    <a:ea typeface="Calibri" panose="020F0502020204030204" pitchFamily="34" charset="0"/>
                    <a:cs typeface="Calibri" panose="020F0502020204030204" pitchFamily="34" charset="0"/>
                  </a:defRPr>
                </a:pPr>
                <a:endParaRPr lang="en-GB">
                  <a:latin typeface="+mn-lt"/>
                </a:endParaRPr>
              </a:p>
            </cx:txPr>
          </cx:dataLabels>
          <cx:dataId val="0"/>
          <cx:layoutPr>
            <cx:subtotals>
              <cx:idx val="3"/>
              <cx:idx val="6"/>
              <cx:idx val="9"/>
            </cx:subtotals>
          </cx:layoutPr>
        </cx:series>
      </cx:plotAreaRegion>
      <cx:axis id="0" hidden="1">
        <cx:catScaling gapWidth="0.5"/>
        <cx:tickLabels/>
        <cx:txPr>
          <a:bodyPr vertOverflow="overflow" horzOverflow="overflow" wrap="square" lIns="0" tIns="0" rIns="0" bIns="0"/>
          <a:lstStyle/>
          <a:p>
            <a:pPr algn="ctr" rtl="0">
              <a:defRPr sz="900" b="0" i="0">
                <a:solidFill>
                  <a:srgbClr val="595959"/>
                </a:solidFill>
                <a:latin typeface="+mn-lt"/>
                <a:ea typeface="Calibri" panose="020F0502020204030204" pitchFamily="34" charset="0"/>
                <a:cs typeface="Calibri" panose="020F0502020204030204" pitchFamily="34" charset="0"/>
              </a:defRPr>
            </a:pPr>
            <a:endParaRPr lang="en-GB">
              <a:latin typeface="+mn-lt"/>
            </a:endParaRPr>
          </a:p>
        </cx:txPr>
      </cx:axis>
      <cx:axis id="1">
        <cx:valScaling max="200" min="150"/>
        <cx:tickLabels/>
        <cx:txPr>
          <a:bodyPr vertOverflow="overflow" horzOverflow="overflow" wrap="square" lIns="0" tIns="0" rIns="0" bIns="0"/>
          <a:lstStyle/>
          <a:p>
            <a:pPr algn="ctr" rtl="0">
              <a:defRPr sz="900" b="0" i="0">
                <a:solidFill>
                  <a:srgbClr val="595959"/>
                </a:solidFill>
                <a:latin typeface="+mn-lt"/>
                <a:ea typeface="Calibri" panose="020F0502020204030204" pitchFamily="34" charset="0"/>
                <a:cs typeface="Calibri" panose="020F0502020204030204" pitchFamily="34" charset="0"/>
              </a:defRPr>
            </a:pPr>
            <a:endParaRPr lang="en-GB">
              <a:latin typeface="+mn-lt"/>
            </a:endParaRPr>
          </a:p>
        </cx:txPr>
      </cx:axis>
    </cx:plotArea>
  </cx:chart>
  <cx:spPr>
    <a:ln>
      <a:noFill/>
    </a:ln>
  </cx:spPr>
  <cx:clrMapOvr bg1="lt1" tx1="dk1" bg2="lt2" tx2="dk2" accent1="accent1" accent2="accent2" accent3="accent3" accent4="accent4" accent5="accent5" accent6="accent6" hlink="hlink" folHlink="folHlink"/>
  <cx:fmtOvrs>
    <cx:fmtOvr idx="2">
      <cx:spPr>
        <a:solidFill>
          <a:srgbClr val="FFC000"/>
        </a:solidFill>
      </cx:spPr>
    </cx:fmtOvr>
    <cx:fmtOvr idx="0">
      <cx:spPr>
        <a:solidFill>
          <a:srgbClr val="FFE9A9"/>
        </a:solidFill>
      </cx:spPr>
    </cx:fmtOvr>
    <cx:fmtOvr idx="1">
      <cx:spPr>
        <a:solidFill>
          <a:srgbClr val="C37205"/>
        </a:solidFill>
      </cx:spPr>
    </cx:fmtOvr>
  </cx:fmtOvrs>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ITU Template">
    <a:dk1>
      <a:sysClr val="windowText" lastClr="000000"/>
    </a:dk1>
    <a:lt1>
      <a:sysClr val="window" lastClr="FFFFFF"/>
    </a:lt1>
    <a:dk2>
      <a:srgbClr val="3A3838"/>
    </a:dk2>
    <a:lt2>
      <a:srgbClr val="F5FAFC"/>
    </a:lt2>
    <a:accent1>
      <a:srgbClr val="009CD6"/>
    </a:accent1>
    <a:accent2>
      <a:srgbClr val="757070"/>
    </a:accent2>
    <a:accent3>
      <a:srgbClr val="A5A5A5"/>
    </a:accent3>
    <a:accent4>
      <a:srgbClr val="595959"/>
    </a:accent4>
    <a:accent5>
      <a:srgbClr val="0083B3"/>
    </a:accent5>
    <a:accent6>
      <a:srgbClr val="E5F5FB"/>
    </a:accent6>
    <a:hlink>
      <a:srgbClr val="0083B3"/>
    </a:hlink>
    <a:folHlink>
      <a:srgbClr val="757070"/>
    </a:folHlink>
  </a:clrScheme>
  <a:fontScheme name="ITU Powerpoint Tempo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ITU (Thomas Frost)">
    <a:dk1>
      <a:sysClr val="windowText" lastClr="000000"/>
    </a:dk1>
    <a:lt1>
      <a:sysClr val="window" lastClr="FFFFFF"/>
    </a:lt1>
    <a:dk2>
      <a:srgbClr val="44546A"/>
    </a:dk2>
    <a:lt2>
      <a:srgbClr val="E7E6E6"/>
    </a:lt2>
    <a:accent1>
      <a:srgbClr val="009CD5"/>
    </a:accent1>
    <a:accent2>
      <a:srgbClr val="6F6F6E"/>
    </a:accent2>
    <a:accent3>
      <a:srgbClr val="E5F5FB"/>
    </a:accent3>
    <a:accent4>
      <a:srgbClr val="F5FAFC"/>
    </a:accent4>
    <a:accent5>
      <a:srgbClr val="5B9BD5"/>
    </a:accent5>
    <a:accent6>
      <a:srgbClr val="0083B3"/>
    </a:accent6>
    <a:hlink>
      <a:srgbClr val="0083B3"/>
    </a:hlink>
    <a:folHlink>
      <a:srgbClr val="0083B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10718</Characters>
  <Application>Microsoft Office Word</Application>
  <DocSecurity>0</DocSecurity>
  <Lines>89</Lines>
  <Paragraphs>24</Paragraphs>
  <ScaleCrop>false</ScaleCrop>
  <Manager>General Secretariat - Pool</Manager>
  <Company/>
  <LinksUpToDate>false</LinksUpToDate>
  <CharactersWithSpaces>12410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19</cp:revision>
  <cp:lastPrinted>2019-01-17T10:57:00Z</cp:lastPrinted>
  <dcterms:created xsi:type="dcterms:W3CDTF">2026-02-14T18:48:00Z</dcterms:created>
  <dcterms:modified xsi:type="dcterms:W3CDTF">2026-03-03T10:03:00Z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