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Ex1.xml" ContentType="application/vnd.ms-office.chartex+xml"/>
  <Override PartName="/word/charts/style2.xml" ContentType="application/vnd.ms-office.chartstyle+xml"/>
  <Override PartName="/word/charts/colors2.xml" ContentType="application/vnd.ms-office.chartcolorstyle+xml"/>
  <Override PartName="/word/charts/chartEx2.xml" ContentType="application/vnd.ms-office.chartex+xml"/>
  <Override PartName="/word/charts/style3.xml" ContentType="application/vnd.ms-office.chartstyle+xml"/>
  <Override PartName="/word/charts/colors3.xml" ContentType="application/vnd.ms-office.chartcolorstyle+xml"/>
  <Override PartName="/word/theme/themeOverride2.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1" w:rightFromText="181" w:horzAnchor="margin" w:tblpY="-492"/>
        <w:tblW w:w="10031" w:type="dxa"/>
        <w:tblLayout w:type="fixed"/>
        <w:tblLook w:val="0000" w:firstRow="0" w:lastRow="0" w:firstColumn="0" w:lastColumn="0" w:noHBand="0" w:noVBand="0"/>
      </w:tblPr>
      <w:tblGrid>
        <w:gridCol w:w="6663"/>
        <w:gridCol w:w="3368"/>
      </w:tblGrid>
      <w:tr w:rsidR="00294BF6" w:rsidRPr="00403C69" w14:paraId="5736F9B6" w14:textId="77777777" w:rsidTr="005C3173">
        <w:trPr>
          <w:cantSplit/>
          <w:trHeight w:val="1134"/>
        </w:trPr>
        <w:tc>
          <w:tcPr>
            <w:tcW w:w="6663" w:type="dxa"/>
          </w:tcPr>
          <w:p w14:paraId="34B2B704" w14:textId="57C6AED5" w:rsidR="00294BF6" w:rsidRDefault="00767F2F" w:rsidP="00294BF6">
            <w:pPr>
              <w:ind w:left="34"/>
              <w:rPr>
                <w:b/>
                <w:bCs/>
                <w:sz w:val="32"/>
                <w:szCs w:val="32"/>
                <w:lang w:eastAsia="zh-CN"/>
              </w:rPr>
            </w:pPr>
            <w:r w:rsidRPr="00767F2F">
              <w:rPr>
                <w:rFonts w:ascii="Calibri" w:hAnsi="Calibri" w:hint="eastAsia"/>
                <w:b/>
                <w:bCs/>
                <w:sz w:val="32"/>
                <w:szCs w:val="32"/>
                <w:lang w:eastAsia="zh-CN"/>
              </w:rPr>
              <w:t>电信发展顾问组（</w:t>
            </w:r>
            <w:r w:rsidRPr="00767F2F">
              <w:rPr>
                <w:rFonts w:ascii="Calibri" w:hAnsi="Calibri"/>
                <w:b/>
                <w:bCs/>
                <w:sz w:val="32"/>
                <w:szCs w:val="32"/>
                <w:lang w:eastAsia="zh-CN"/>
              </w:rPr>
              <w:t>TDAG</w:t>
            </w:r>
            <w:r w:rsidRPr="00767F2F">
              <w:rPr>
                <w:rFonts w:ascii="Calibri" w:hAnsi="Calibri" w:hint="eastAsia"/>
                <w:b/>
                <w:bCs/>
                <w:sz w:val="32"/>
                <w:szCs w:val="32"/>
                <w:lang w:eastAsia="zh-CN"/>
              </w:rPr>
              <w:t>）</w:t>
            </w:r>
          </w:p>
          <w:p w14:paraId="2DCF59CB" w14:textId="4A839F7F" w:rsidR="00294BF6" w:rsidRPr="00403C69" w:rsidRDefault="00767F2F" w:rsidP="00294BF6">
            <w:pPr>
              <w:tabs>
                <w:tab w:val="clear" w:pos="1134"/>
              </w:tabs>
              <w:spacing w:after="48" w:line="240" w:lineRule="atLeast"/>
              <w:ind w:left="34"/>
              <w:rPr>
                <w:b/>
                <w:bCs/>
                <w:sz w:val="28"/>
                <w:szCs w:val="28"/>
                <w:lang w:eastAsia="zh-CN"/>
              </w:rPr>
            </w:pPr>
            <w:r w:rsidRPr="00767F2F">
              <w:rPr>
                <w:rFonts w:ascii="Calibri" w:hAnsi="Calibri" w:hint="eastAsia"/>
                <w:b/>
                <w:bCs/>
                <w:sz w:val="26"/>
                <w:szCs w:val="26"/>
                <w:lang w:eastAsia="zh-CN"/>
              </w:rPr>
              <w:t>第</w:t>
            </w:r>
            <w:r w:rsidRPr="00767F2F">
              <w:rPr>
                <w:rFonts w:ascii="Calibri" w:hAnsi="Calibri"/>
                <w:b/>
                <w:bCs/>
                <w:sz w:val="26"/>
                <w:szCs w:val="26"/>
                <w:lang w:eastAsia="zh-CN"/>
              </w:rPr>
              <w:t>3</w:t>
            </w:r>
            <w:r>
              <w:rPr>
                <w:rFonts w:ascii="Calibri" w:hAnsi="Calibri"/>
                <w:b/>
                <w:bCs/>
                <w:sz w:val="26"/>
                <w:szCs w:val="26"/>
                <w:lang w:eastAsia="zh-CN"/>
              </w:rPr>
              <w:t>3</w:t>
            </w:r>
            <w:r w:rsidRPr="00767F2F">
              <w:rPr>
                <w:rFonts w:ascii="Calibri" w:hAnsi="Calibri" w:hint="eastAsia"/>
                <w:b/>
                <w:bCs/>
                <w:sz w:val="26"/>
                <w:szCs w:val="26"/>
                <w:lang w:eastAsia="zh-CN"/>
              </w:rPr>
              <w:t>次会议，</w:t>
            </w:r>
            <w:r w:rsidRPr="00767F2F">
              <w:rPr>
                <w:rFonts w:ascii="Calibri" w:hAnsi="Calibri"/>
                <w:b/>
                <w:bCs/>
                <w:sz w:val="26"/>
                <w:szCs w:val="26"/>
                <w:lang w:eastAsia="zh-CN"/>
              </w:rPr>
              <w:t>202</w:t>
            </w:r>
            <w:r>
              <w:rPr>
                <w:rFonts w:ascii="Calibri" w:hAnsi="Calibri"/>
                <w:b/>
                <w:bCs/>
                <w:sz w:val="26"/>
                <w:szCs w:val="26"/>
                <w:lang w:eastAsia="zh-CN"/>
              </w:rPr>
              <w:t>6</w:t>
            </w:r>
            <w:r w:rsidRPr="00767F2F">
              <w:rPr>
                <w:rFonts w:ascii="Calibri" w:hAnsi="Calibri" w:hint="eastAsia"/>
                <w:b/>
                <w:bCs/>
                <w:sz w:val="26"/>
                <w:szCs w:val="26"/>
                <w:lang w:eastAsia="zh-CN"/>
              </w:rPr>
              <w:t>年</w:t>
            </w:r>
            <w:r>
              <w:rPr>
                <w:rFonts w:ascii="Calibri" w:hAnsi="Calibri"/>
                <w:b/>
                <w:bCs/>
                <w:sz w:val="26"/>
                <w:szCs w:val="26"/>
                <w:lang w:eastAsia="zh-CN"/>
              </w:rPr>
              <w:t>4</w:t>
            </w:r>
            <w:r w:rsidRPr="00767F2F">
              <w:rPr>
                <w:rFonts w:ascii="Calibri" w:hAnsi="Calibri" w:hint="eastAsia"/>
                <w:b/>
                <w:bCs/>
                <w:sz w:val="26"/>
                <w:szCs w:val="26"/>
                <w:lang w:eastAsia="zh-CN"/>
              </w:rPr>
              <w:t>月</w:t>
            </w:r>
            <w:r>
              <w:rPr>
                <w:rFonts w:ascii="Calibri" w:hAnsi="Calibri"/>
                <w:b/>
                <w:bCs/>
                <w:sz w:val="26"/>
                <w:szCs w:val="26"/>
                <w:lang w:eastAsia="zh-CN"/>
              </w:rPr>
              <w:t>7</w:t>
            </w:r>
            <w:r w:rsidRPr="00767F2F">
              <w:rPr>
                <w:rFonts w:ascii="Calibri" w:hAnsi="Calibri"/>
                <w:b/>
                <w:bCs/>
                <w:sz w:val="26"/>
                <w:szCs w:val="26"/>
                <w:lang w:eastAsia="zh-CN"/>
              </w:rPr>
              <w:t>-</w:t>
            </w:r>
            <w:r w:rsidRPr="00767F2F">
              <w:rPr>
                <w:rFonts w:ascii="Calibri" w:hAnsi="Calibri" w:hint="eastAsia"/>
                <w:b/>
                <w:bCs/>
                <w:sz w:val="26"/>
                <w:szCs w:val="26"/>
                <w:lang w:eastAsia="zh-CN"/>
              </w:rPr>
              <w:t>1</w:t>
            </w:r>
            <w:r>
              <w:rPr>
                <w:rFonts w:ascii="Calibri" w:hAnsi="Calibri"/>
                <w:b/>
                <w:bCs/>
                <w:sz w:val="26"/>
                <w:szCs w:val="26"/>
                <w:lang w:eastAsia="zh-CN"/>
              </w:rPr>
              <w:t>0</w:t>
            </w:r>
            <w:r w:rsidRPr="00767F2F">
              <w:rPr>
                <w:rFonts w:ascii="Calibri" w:hAnsi="Calibri" w:hint="eastAsia"/>
                <w:b/>
                <w:bCs/>
                <w:sz w:val="26"/>
                <w:szCs w:val="26"/>
                <w:lang w:eastAsia="zh-CN"/>
              </w:rPr>
              <w:t>日，瑞士日内瓦</w:t>
            </w:r>
          </w:p>
        </w:tc>
        <w:tc>
          <w:tcPr>
            <w:tcW w:w="3368" w:type="dxa"/>
          </w:tcPr>
          <w:p w14:paraId="06B48AA1" w14:textId="516DD633" w:rsidR="00294BF6" w:rsidRPr="00403C69" w:rsidRDefault="00294BF6" w:rsidP="00294BF6">
            <w:pPr>
              <w:spacing w:line="240" w:lineRule="atLeast"/>
              <w:jc w:val="right"/>
              <w:rPr>
                <w:rFonts w:cstheme="minorHAnsi"/>
              </w:rPr>
            </w:pPr>
            <w:bookmarkStart w:id="0" w:name="ditulogo"/>
            <w:bookmarkEnd w:id="0"/>
            <w:r>
              <w:rPr>
                <w:noProof/>
                <w:lang w:val="fr-FR" w:eastAsia="fr-FR"/>
              </w:rPr>
              <w:drawing>
                <wp:inline distT="0" distB="0" distL="0" distR="0" wp14:anchorId="7DBF473A" wp14:editId="2E1C8112">
                  <wp:extent cx="712470" cy="785495"/>
                  <wp:effectExtent l="0" t="0" r="0" b="0"/>
                  <wp:docPr id="2" name="Picture 2" descr="A close up of a sign&#10;&#10;Description automatically generated"/>
                  <wp:cNvGraphicFramePr/>
                  <a:graphic xmlns:a="http://schemas.openxmlformats.org/drawingml/2006/main">
                    <a:graphicData uri="http://schemas.openxmlformats.org/drawingml/2006/picture">
                      <pic:pic xmlns:pic="http://schemas.openxmlformats.org/drawingml/2006/picture">
                        <pic:nvPicPr>
                          <pic:cNvPr id="2" name="Picture 2" descr="A close up of a sign&#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12470" cy="785495"/>
                          </a:xfrm>
                          <a:prstGeom prst="rect">
                            <a:avLst/>
                          </a:prstGeom>
                        </pic:spPr>
                      </pic:pic>
                    </a:graphicData>
                  </a:graphic>
                </wp:inline>
              </w:drawing>
            </w:r>
          </w:p>
        </w:tc>
      </w:tr>
      <w:tr w:rsidR="00D83BF5" w:rsidRPr="00403C69" w14:paraId="6DE5ABA3" w14:textId="77777777" w:rsidTr="005C3173">
        <w:trPr>
          <w:cantSplit/>
        </w:trPr>
        <w:tc>
          <w:tcPr>
            <w:tcW w:w="6663" w:type="dxa"/>
            <w:tcBorders>
              <w:top w:val="single" w:sz="12" w:space="0" w:color="auto"/>
            </w:tcBorders>
          </w:tcPr>
          <w:p w14:paraId="73168FEF" w14:textId="77777777" w:rsidR="00D83BF5" w:rsidRPr="00403C69" w:rsidRDefault="00D83BF5" w:rsidP="00403C69">
            <w:pPr>
              <w:spacing w:before="0" w:after="48" w:line="240" w:lineRule="atLeast"/>
              <w:rPr>
                <w:rFonts w:cstheme="minorHAnsi"/>
                <w:b/>
                <w:smallCaps/>
                <w:sz w:val="20"/>
              </w:rPr>
            </w:pPr>
            <w:bookmarkStart w:id="1" w:name="dhead"/>
          </w:p>
        </w:tc>
        <w:tc>
          <w:tcPr>
            <w:tcW w:w="3368" w:type="dxa"/>
            <w:tcBorders>
              <w:top w:val="single" w:sz="12" w:space="0" w:color="auto"/>
            </w:tcBorders>
          </w:tcPr>
          <w:p w14:paraId="439CB557" w14:textId="716EF333" w:rsidR="00D83BF5" w:rsidRPr="00403C69" w:rsidRDefault="00D83BF5" w:rsidP="00403C69">
            <w:pPr>
              <w:spacing w:before="0" w:line="240" w:lineRule="atLeast"/>
              <w:rPr>
                <w:rFonts w:cstheme="minorHAnsi"/>
                <w:sz w:val="20"/>
              </w:rPr>
            </w:pPr>
          </w:p>
        </w:tc>
      </w:tr>
      <w:tr w:rsidR="00D87035" w:rsidRPr="00403C69" w14:paraId="02BC550A" w14:textId="77777777" w:rsidTr="005C3173">
        <w:trPr>
          <w:cantSplit/>
          <w:trHeight w:val="23"/>
        </w:trPr>
        <w:tc>
          <w:tcPr>
            <w:tcW w:w="6663" w:type="dxa"/>
          </w:tcPr>
          <w:p w14:paraId="1EF66EAC" w14:textId="77777777" w:rsidR="00D87035" w:rsidRPr="00403C69" w:rsidRDefault="00D87035" w:rsidP="00403C69">
            <w:pPr>
              <w:pStyle w:val="Committee"/>
              <w:framePr w:hSpace="0" w:wrap="auto" w:hAnchor="text" w:yAlign="inline"/>
            </w:pPr>
            <w:bookmarkStart w:id="2" w:name="dnum" w:colFirst="1" w:colLast="1"/>
            <w:bookmarkStart w:id="3" w:name="dmeeting" w:colFirst="0" w:colLast="0"/>
            <w:bookmarkEnd w:id="1"/>
          </w:p>
        </w:tc>
        <w:tc>
          <w:tcPr>
            <w:tcW w:w="3368" w:type="dxa"/>
          </w:tcPr>
          <w:p w14:paraId="6F008A08" w14:textId="6C2824E0" w:rsidR="00D87035" w:rsidRPr="00403C69" w:rsidRDefault="00767F2F" w:rsidP="00403C69">
            <w:pPr>
              <w:tabs>
                <w:tab w:val="left" w:pos="851"/>
              </w:tabs>
              <w:spacing w:before="0" w:line="240" w:lineRule="atLeast"/>
              <w:rPr>
                <w:rFonts w:cstheme="minorHAnsi"/>
                <w:szCs w:val="24"/>
              </w:rPr>
            </w:pPr>
            <w:proofErr w:type="spellStart"/>
            <w:r w:rsidRPr="00767F2F">
              <w:rPr>
                <w:rFonts w:ascii="Calibri" w:hAnsi="Calibri" w:hint="eastAsia"/>
                <w:b/>
                <w:bCs/>
                <w:lang w:val="en-US"/>
              </w:rPr>
              <w:t>文件</w:t>
            </w:r>
            <w:proofErr w:type="spellEnd"/>
            <w:r w:rsidRPr="00767F2F">
              <w:rPr>
                <w:rFonts w:ascii="Calibri" w:hAnsi="Calibri"/>
                <w:b/>
                <w:bCs/>
                <w:lang w:val="en-US"/>
              </w:rPr>
              <w:t xml:space="preserve"> </w:t>
            </w:r>
            <w:bookmarkStart w:id="4" w:name="DocRef1"/>
            <w:bookmarkEnd w:id="4"/>
            <w:r w:rsidRPr="00767F2F">
              <w:rPr>
                <w:rFonts w:ascii="Calibri" w:hAnsi="Calibri"/>
                <w:b/>
                <w:bCs/>
                <w:lang w:val="en-US"/>
              </w:rPr>
              <w:t>TDAG-2</w:t>
            </w:r>
            <w:bookmarkStart w:id="5" w:name="DocNo1"/>
            <w:bookmarkEnd w:id="5"/>
            <w:r>
              <w:rPr>
                <w:rFonts w:ascii="Calibri" w:hAnsi="Calibri"/>
                <w:b/>
                <w:bCs/>
                <w:lang w:val="en-US" w:eastAsia="zh-CN"/>
              </w:rPr>
              <w:t>6</w:t>
            </w:r>
            <w:r w:rsidRPr="00767F2F">
              <w:rPr>
                <w:rFonts w:ascii="Calibri" w:hAnsi="Calibri"/>
                <w:b/>
                <w:bCs/>
                <w:lang w:val="en-US"/>
              </w:rPr>
              <w:t>/</w:t>
            </w:r>
            <w:r w:rsidR="0010401A">
              <w:rPr>
                <w:rFonts w:ascii="Calibri" w:hAnsi="Calibri"/>
                <w:b/>
                <w:bCs/>
                <w:lang w:val="en-US"/>
              </w:rPr>
              <w:t>10</w:t>
            </w:r>
            <w:r w:rsidRPr="00767F2F">
              <w:rPr>
                <w:rFonts w:ascii="Calibri" w:hAnsi="Calibri"/>
                <w:b/>
                <w:bCs/>
                <w:lang w:val="en-US"/>
              </w:rPr>
              <w:t>-</w:t>
            </w:r>
            <w:r w:rsidRPr="00767F2F">
              <w:rPr>
                <w:rFonts w:ascii="Calibri" w:hAnsi="Calibri" w:hint="eastAsia"/>
                <w:b/>
                <w:bCs/>
                <w:lang w:val="en-US" w:eastAsia="zh-CN"/>
              </w:rPr>
              <w:t>C</w:t>
            </w:r>
          </w:p>
        </w:tc>
      </w:tr>
      <w:tr w:rsidR="00D87035" w:rsidRPr="00403C69" w14:paraId="55AD5FBA" w14:textId="77777777" w:rsidTr="005C3173">
        <w:trPr>
          <w:cantSplit/>
          <w:trHeight w:val="23"/>
        </w:trPr>
        <w:tc>
          <w:tcPr>
            <w:tcW w:w="6663" w:type="dxa"/>
          </w:tcPr>
          <w:p w14:paraId="0E170520" w14:textId="77777777" w:rsidR="00D87035" w:rsidRPr="00403C69" w:rsidRDefault="00D87035" w:rsidP="00403C69">
            <w:pPr>
              <w:tabs>
                <w:tab w:val="left" w:pos="851"/>
              </w:tabs>
              <w:spacing w:before="0" w:line="240" w:lineRule="atLeast"/>
              <w:rPr>
                <w:rFonts w:cstheme="minorHAnsi"/>
                <w:b/>
                <w:szCs w:val="24"/>
              </w:rPr>
            </w:pPr>
            <w:bookmarkStart w:id="6" w:name="ddate" w:colFirst="1" w:colLast="1"/>
            <w:bookmarkStart w:id="7" w:name="dblank" w:colFirst="0" w:colLast="0"/>
            <w:bookmarkEnd w:id="2"/>
            <w:bookmarkEnd w:id="3"/>
          </w:p>
        </w:tc>
        <w:tc>
          <w:tcPr>
            <w:tcW w:w="3368" w:type="dxa"/>
          </w:tcPr>
          <w:p w14:paraId="242C61B7" w14:textId="0C243D8E" w:rsidR="00D87035" w:rsidRPr="00767F2F" w:rsidRDefault="00767F2F" w:rsidP="00403C69">
            <w:pPr>
              <w:spacing w:before="0" w:line="240" w:lineRule="atLeast"/>
              <w:rPr>
                <w:rFonts w:cstheme="minorHAnsi"/>
                <w:szCs w:val="24"/>
                <w:lang w:val="en-US"/>
              </w:rPr>
            </w:pPr>
            <w:r w:rsidRPr="00767F2F">
              <w:rPr>
                <w:rFonts w:ascii="Calibri" w:hAnsi="Calibri"/>
                <w:b/>
                <w:bCs/>
                <w:szCs w:val="28"/>
              </w:rPr>
              <w:t>202</w:t>
            </w:r>
            <w:r>
              <w:rPr>
                <w:rFonts w:ascii="Calibri" w:hAnsi="Calibri"/>
                <w:b/>
                <w:bCs/>
                <w:szCs w:val="28"/>
              </w:rPr>
              <w:t>6</w:t>
            </w:r>
            <w:r w:rsidRPr="00767F2F">
              <w:rPr>
                <w:rFonts w:ascii="SimSun" w:hAnsi="SimSun" w:hint="eastAsia"/>
                <w:b/>
                <w:bCs/>
                <w:szCs w:val="28"/>
                <w:lang w:eastAsia="zh-CN"/>
              </w:rPr>
              <w:t>年</w:t>
            </w:r>
            <w:r w:rsidR="0010401A">
              <w:rPr>
                <w:rFonts w:ascii="Calibri" w:hAnsi="Calibri"/>
                <w:b/>
                <w:bCs/>
                <w:szCs w:val="28"/>
              </w:rPr>
              <w:t>3</w:t>
            </w:r>
            <w:r w:rsidRPr="00767F2F">
              <w:rPr>
                <w:rFonts w:ascii="SimSun" w:hAnsi="SimSun" w:hint="eastAsia"/>
                <w:b/>
                <w:bCs/>
                <w:szCs w:val="28"/>
                <w:lang w:eastAsia="zh-CN"/>
              </w:rPr>
              <w:t>月</w:t>
            </w:r>
            <w:r w:rsidR="0010401A">
              <w:rPr>
                <w:rFonts w:ascii="Calibri" w:hAnsi="Calibri"/>
                <w:b/>
                <w:bCs/>
                <w:szCs w:val="28"/>
              </w:rPr>
              <w:t>3</w:t>
            </w:r>
            <w:r w:rsidRPr="00767F2F">
              <w:rPr>
                <w:rFonts w:ascii="SimSun" w:hAnsi="SimSun" w:hint="eastAsia"/>
                <w:b/>
                <w:bCs/>
                <w:szCs w:val="28"/>
                <w:lang w:eastAsia="zh-CN"/>
              </w:rPr>
              <w:t>日</w:t>
            </w:r>
          </w:p>
        </w:tc>
      </w:tr>
      <w:bookmarkEnd w:id="6"/>
      <w:bookmarkEnd w:id="7"/>
      <w:tr w:rsidR="00D87035" w:rsidRPr="00403C69" w14:paraId="07260C0B" w14:textId="77777777" w:rsidTr="005C3173">
        <w:trPr>
          <w:cantSplit/>
          <w:trHeight w:val="23"/>
        </w:trPr>
        <w:tc>
          <w:tcPr>
            <w:tcW w:w="6663" w:type="dxa"/>
          </w:tcPr>
          <w:p w14:paraId="773E4FE3" w14:textId="77777777" w:rsidR="00D87035" w:rsidRPr="00403C69" w:rsidRDefault="00D87035" w:rsidP="00403C69">
            <w:pPr>
              <w:tabs>
                <w:tab w:val="left" w:pos="851"/>
              </w:tabs>
              <w:spacing w:before="0" w:line="240" w:lineRule="atLeast"/>
              <w:rPr>
                <w:rFonts w:cstheme="minorHAnsi"/>
                <w:szCs w:val="24"/>
              </w:rPr>
            </w:pPr>
          </w:p>
        </w:tc>
        <w:tc>
          <w:tcPr>
            <w:tcW w:w="3368" w:type="dxa"/>
          </w:tcPr>
          <w:p w14:paraId="2C8BB831" w14:textId="3AC273ED" w:rsidR="00D87035" w:rsidRPr="00403C69" w:rsidRDefault="00767F2F" w:rsidP="00403C69">
            <w:pPr>
              <w:tabs>
                <w:tab w:val="left" w:pos="993"/>
              </w:tabs>
              <w:spacing w:before="0"/>
              <w:rPr>
                <w:rFonts w:cstheme="minorHAnsi"/>
                <w:b/>
                <w:szCs w:val="24"/>
              </w:rPr>
            </w:pPr>
            <w:r w:rsidRPr="00767F2F">
              <w:rPr>
                <w:rFonts w:ascii="Calibri" w:hAnsi="Calibri" w:hint="eastAsia"/>
                <w:b/>
                <w:lang w:eastAsia="zh-CN"/>
              </w:rPr>
              <w:t>原文：英文</w:t>
            </w:r>
          </w:p>
        </w:tc>
      </w:tr>
      <w:tr w:rsidR="00767F2F" w:rsidRPr="00403C69" w14:paraId="7A5CDA81" w14:textId="77777777" w:rsidTr="00D87035">
        <w:trPr>
          <w:cantSplit/>
          <w:trHeight w:val="23"/>
        </w:trPr>
        <w:tc>
          <w:tcPr>
            <w:tcW w:w="10031" w:type="dxa"/>
            <w:gridSpan w:val="2"/>
          </w:tcPr>
          <w:p w14:paraId="1A02D973" w14:textId="08950C52" w:rsidR="00767F2F" w:rsidRPr="00767F2F" w:rsidRDefault="0010401A" w:rsidP="00403C69">
            <w:pPr>
              <w:pStyle w:val="Source"/>
              <w:spacing w:before="240" w:after="240"/>
              <w:rPr>
                <w:rFonts w:eastAsiaTheme="minorEastAsia"/>
                <w:lang w:eastAsia="zh-CN"/>
              </w:rPr>
            </w:pPr>
            <w:bookmarkStart w:id="8" w:name="dbluepink" w:colFirst="0" w:colLast="0"/>
            <w:bookmarkStart w:id="9" w:name="dorlang" w:colFirst="1" w:colLast="1"/>
            <w:proofErr w:type="spellStart"/>
            <w:r>
              <w:rPr>
                <w:bCs/>
                <w:color w:val="000000"/>
                <w:lang w:val="zh-CN"/>
              </w:rPr>
              <w:t>电信发展局主任</w:t>
            </w:r>
            <w:proofErr w:type="spellEnd"/>
          </w:p>
        </w:tc>
      </w:tr>
      <w:tr w:rsidR="00767F2F" w:rsidRPr="00403C69" w14:paraId="06BE7A84" w14:textId="77777777" w:rsidTr="00D87035">
        <w:trPr>
          <w:cantSplit/>
          <w:trHeight w:val="23"/>
        </w:trPr>
        <w:tc>
          <w:tcPr>
            <w:tcW w:w="10031" w:type="dxa"/>
            <w:gridSpan w:val="2"/>
            <w:vAlign w:val="center"/>
          </w:tcPr>
          <w:p w14:paraId="57377CE0" w14:textId="03E3D4A1" w:rsidR="00767F2F" w:rsidRPr="0010401A" w:rsidRDefault="0010401A" w:rsidP="00403C69">
            <w:pPr>
              <w:pStyle w:val="Title1"/>
              <w:spacing w:before="120" w:after="120"/>
              <w:rPr>
                <w:rFonts w:ascii="Calibri" w:hAnsi="Calibri" w:cs="Calibri"/>
                <w:caps w:val="0"/>
                <w:lang w:eastAsia="zh-CN"/>
              </w:rPr>
            </w:pPr>
            <w:r w:rsidRPr="0010401A">
              <w:rPr>
                <w:rFonts w:ascii="Calibri" w:hAnsi="Calibri" w:cs="Calibri"/>
                <w:caps w:val="0"/>
                <w:szCs w:val="28"/>
                <w:lang w:val="en-US" w:eastAsia="zh-CN"/>
              </w:rPr>
              <w:t>ITU-D</w:t>
            </w:r>
            <w:r w:rsidRPr="0010401A">
              <w:rPr>
                <w:rFonts w:ascii="Calibri" w:hAnsi="Calibri" w:cs="Calibri"/>
                <w:caps w:val="0"/>
                <w:szCs w:val="28"/>
                <w:lang w:val="en-US" w:eastAsia="zh-CN"/>
              </w:rPr>
              <w:t>部门成员、部门准成员和学术成员</w:t>
            </w:r>
          </w:p>
        </w:tc>
      </w:tr>
      <w:tr w:rsidR="00767F2F" w:rsidRPr="00403C69" w14:paraId="3886F53F" w14:textId="77777777" w:rsidTr="00D87035">
        <w:trPr>
          <w:cantSplit/>
          <w:trHeight w:val="23"/>
        </w:trPr>
        <w:tc>
          <w:tcPr>
            <w:tcW w:w="10031" w:type="dxa"/>
            <w:gridSpan w:val="2"/>
            <w:tcBorders>
              <w:bottom w:val="single" w:sz="4" w:space="0" w:color="auto"/>
            </w:tcBorders>
          </w:tcPr>
          <w:p w14:paraId="546EC4F6" w14:textId="77777777" w:rsidR="00767F2F" w:rsidRPr="00403C69" w:rsidRDefault="00767F2F" w:rsidP="00403C69">
            <w:pPr>
              <w:pStyle w:val="Title1"/>
              <w:spacing w:before="120" w:after="120"/>
              <w:jc w:val="left"/>
              <w:rPr>
                <w:rFonts w:cs="Times New Roman Bold"/>
                <w:caps w:val="0"/>
                <w:szCs w:val="28"/>
                <w:lang w:eastAsia="zh-CN"/>
              </w:rPr>
            </w:pPr>
          </w:p>
        </w:tc>
      </w:tr>
      <w:tr w:rsidR="00767F2F" w:rsidRPr="00403C69" w14:paraId="6F91CCE0" w14:textId="77777777" w:rsidTr="00D87035">
        <w:trPr>
          <w:cantSplit/>
          <w:trHeight w:val="23"/>
        </w:trPr>
        <w:tc>
          <w:tcPr>
            <w:tcW w:w="10031" w:type="dxa"/>
            <w:gridSpan w:val="2"/>
            <w:tcBorders>
              <w:top w:val="single" w:sz="4" w:space="0" w:color="auto"/>
              <w:left w:val="single" w:sz="4" w:space="0" w:color="auto"/>
              <w:bottom w:val="single" w:sz="4" w:space="0" w:color="auto"/>
              <w:right w:val="single" w:sz="4" w:space="0" w:color="auto"/>
            </w:tcBorders>
          </w:tcPr>
          <w:p w14:paraId="2C7B5099" w14:textId="53BBF2D6" w:rsidR="00767F2F" w:rsidRPr="00403C69" w:rsidRDefault="00767F2F" w:rsidP="00403C69">
            <w:pPr>
              <w:rPr>
                <w:b/>
                <w:bCs/>
                <w:szCs w:val="24"/>
                <w:lang w:eastAsia="zh-CN"/>
              </w:rPr>
            </w:pPr>
            <w:r>
              <w:rPr>
                <w:rFonts w:asciiTheme="minorEastAsia" w:eastAsiaTheme="minorEastAsia" w:hAnsiTheme="minorEastAsia" w:hint="eastAsia"/>
                <w:b/>
                <w:bCs/>
                <w:szCs w:val="24"/>
                <w:lang w:eastAsia="zh-CN"/>
              </w:rPr>
              <w:t>摘要：</w:t>
            </w:r>
          </w:p>
          <w:p w14:paraId="11CFC7D7" w14:textId="3133EF10" w:rsidR="00767F2F" w:rsidRPr="00403C69" w:rsidRDefault="0010401A" w:rsidP="0010401A">
            <w:pPr>
              <w:ind w:firstLineChars="200" w:firstLine="480"/>
              <w:rPr>
                <w:lang w:eastAsia="zh-CN"/>
              </w:rPr>
            </w:pPr>
            <w:r>
              <w:rPr>
                <w:rFonts w:hint="eastAsia"/>
                <w:lang w:val="zh-CN" w:eastAsia="zh-CN"/>
              </w:rPr>
              <w:t>本</w:t>
            </w:r>
            <w:r>
              <w:rPr>
                <w:lang w:val="zh-CN" w:eastAsia="zh-CN"/>
              </w:rPr>
              <w:t>文件概述了</w:t>
            </w:r>
            <w:r>
              <w:rPr>
                <w:lang w:val="zh-CN" w:eastAsia="zh-CN"/>
              </w:rPr>
              <w:t>202</w:t>
            </w:r>
            <w:r>
              <w:rPr>
                <w:rFonts w:hint="eastAsia"/>
                <w:lang w:val="zh-CN" w:eastAsia="zh-CN"/>
              </w:rPr>
              <w:t>5</w:t>
            </w:r>
            <w:r>
              <w:rPr>
                <w:lang w:val="zh-CN" w:eastAsia="zh-CN"/>
              </w:rPr>
              <w:t>年</w:t>
            </w:r>
            <w:r>
              <w:rPr>
                <w:lang w:val="zh-CN" w:eastAsia="zh-CN"/>
              </w:rPr>
              <w:t>ITU-D</w:t>
            </w:r>
            <w:r>
              <w:rPr>
                <w:lang w:val="zh-CN" w:eastAsia="zh-CN"/>
              </w:rPr>
              <w:t>成员的变化情况。文件还建议采取行动，根据</w:t>
            </w:r>
            <w:r>
              <w:rPr>
                <w:lang w:val="zh-CN" w:eastAsia="zh-CN"/>
              </w:rPr>
              <w:t>2025</w:t>
            </w:r>
            <w:r>
              <w:rPr>
                <w:lang w:val="zh-CN" w:eastAsia="zh-CN"/>
              </w:rPr>
              <w:t>年世界电信发展大会（</w:t>
            </w:r>
            <w:r>
              <w:rPr>
                <w:lang w:val="zh-CN" w:eastAsia="zh-CN"/>
              </w:rPr>
              <w:t>WTDC-25</w:t>
            </w:r>
            <w:r>
              <w:rPr>
                <w:lang w:val="zh-CN" w:eastAsia="zh-CN"/>
              </w:rPr>
              <w:t>）和</w:t>
            </w:r>
            <w:r>
              <w:rPr>
                <w:lang w:val="zh-CN" w:eastAsia="zh-CN"/>
              </w:rPr>
              <w:t>2022</w:t>
            </w:r>
            <w:r>
              <w:rPr>
                <w:lang w:val="zh-CN" w:eastAsia="zh-CN"/>
              </w:rPr>
              <w:t>年全权代表大会（</w:t>
            </w:r>
            <w:r>
              <w:rPr>
                <w:lang w:val="zh-CN" w:eastAsia="zh-CN"/>
              </w:rPr>
              <w:t>PP-22</w:t>
            </w:r>
            <w:r>
              <w:rPr>
                <w:lang w:val="zh-CN" w:eastAsia="zh-CN"/>
              </w:rPr>
              <w:t>）的成果，继续加强招募新成员并留住更多的现有成员。</w:t>
            </w:r>
            <w:r>
              <w:rPr>
                <w:lang w:val="zh-CN" w:eastAsia="zh-CN"/>
              </w:rPr>
              <w:t>ITU-D</w:t>
            </w:r>
            <w:r>
              <w:rPr>
                <w:lang w:val="zh-CN" w:eastAsia="zh-CN"/>
              </w:rPr>
              <w:t>成员包括部门成员、部门准成员和学术成员。</w:t>
            </w:r>
            <w:r>
              <w:rPr>
                <w:rStyle w:val="FootnoteReference"/>
                <w:lang w:val="zh-CN"/>
              </w:rPr>
              <w:footnoteReference w:id="2"/>
            </w:r>
          </w:p>
          <w:p w14:paraId="6B3236CE" w14:textId="166C61BC" w:rsidR="00767F2F" w:rsidRPr="00403C69" w:rsidRDefault="00767F2F" w:rsidP="00403C69">
            <w:pPr>
              <w:rPr>
                <w:b/>
                <w:bCs/>
                <w:szCs w:val="24"/>
                <w:lang w:eastAsia="zh-CN"/>
              </w:rPr>
            </w:pPr>
            <w:r>
              <w:rPr>
                <w:rFonts w:asciiTheme="minorEastAsia" w:eastAsiaTheme="minorEastAsia" w:hAnsiTheme="minorEastAsia" w:hint="eastAsia"/>
                <w:b/>
                <w:bCs/>
                <w:lang w:eastAsia="zh-CN"/>
              </w:rPr>
              <w:t>需采取的行动：</w:t>
            </w:r>
          </w:p>
          <w:p w14:paraId="006D636B" w14:textId="558087B1" w:rsidR="00767F2F" w:rsidRPr="00403C69" w:rsidRDefault="0010401A" w:rsidP="0010401A">
            <w:pPr>
              <w:ind w:firstLineChars="200" w:firstLine="480"/>
              <w:rPr>
                <w:szCs w:val="24"/>
                <w:lang w:eastAsia="zh-CN"/>
              </w:rPr>
            </w:pPr>
            <w:r w:rsidRPr="0010401A">
              <w:rPr>
                <w:rFonts w:hint="eastAsia"/>
                <w:lang w:eastAsia="zh-CN"/>
              </w:rPr>
              <w:t>请</w:t>
            </w:r>
            <w:r w:rsidRPr="0010401A">
              <w:rPr>
                <w:rFonts w:hint="eastAsia"/>
                <w:lang w:eastAsia="zh-CN"/>
              </w:rPr>
              <w:t>TDAG</w:t>
            </w:r>
            <w:r w:rsidRPr="0010401A">
              <w:rPr>
                <w:rFonts w:hint="eastAsia"/>
                <w:lang w:eastAsia="zh-CN"/>
              </w:rPr>
              <w:t>将本文件记录在案并提供适当指导。</w:t>
            </w:r>
          </w:p>
          <w:p w14:paraId="7F8BA69B" w14:textId="2AD3B250" w:rsidR="00767F2F" w:rsidRPr="00403C69" w:rsidRDefault="00767F2F" w:rsidP="00403C69">
            <w:pPr>
              <w:rPr>
                <w:b/>
                <w:bCs/>
                <w:szCs w:val="24"/>
                <w:lang w:eastAsia="zh-CN"/>
              </w:rPr>
            </w:pPr>
            <w:r>
              <w:rPr>
                <w:rFonts w:ascii="SimSun" w:hAnsi="SimSun" w:cs="SimSun" w:hint="eastAsia"/>
                <w:b/>
                <w:bCs/>
                <w:szCs w:val="24"/>
                <w:lang w:eastAsia="zh-CN"/>
              </w:rPr>
              <w:t>参考文件：</w:t>
            </w:r>
          </w:p>
          <w:p w14:paraId="726BB93D" w14:textId="77777777" w:rsidR="0010401A" w:rsidRPr="008865FF" w:rsidRDefault="0010401A" w:rsidP="0010401A">
            <w:pPr>
              <w:ind w:firstLineChars="200" w:firstLine="480"/>
              <w:rPr>
                <w:lang w:eastAsia="zh-CN"/>
              </w:rPr>
            </w:pPr>
            <w:r>
              <w:rPr>
                <w:lang w:val="zh-CN" w:eastAsia="zh-CN"/>
              </w:rPr>
              <w:t>WTDC</w:t>
            </w:r>
            <w:r>
              <w:rPr>
                <w:lang w:val="zh-CN" w:eastAsia="zh-CN"/>
              </w:rPr>
              <w:t>第</w:t>
            </w:r>
            <w:r>
              <w:rPr>
                <w:lang w:val="zh-CN" w:eastAsia="zh-CN"/>
              </w:rPr>
              <w:t>71</w:t>
            </w:r>
            <w:r>
              <w:rPr>
                <w:lang w:val="zh-CN" w:eastAsia="zh-CN"/>
              </w:rPr>
              <w:t>号决议（</w:t>
            </w:r>
            <w:r>
              <w:rPr>
                <w:lang w:val="zh-CN" w:eastAsia="zh-CN"/>
              </w:rPr>
              <w:t>2022</w:t>
            </w:r>
            <w:r>
              <w:rPr>
                <w:lang w:val="zh-CN" w:eastAsia="zh-CN"/>
              </w:rPr>
              <w:t>年，基加利，修订版），</w:t>
            </w:r>
            <w:r w:rsidRPr="00A8576B">
              <w:rPr>
                <w:rFonts w:hint="eastAsia"/>
                <w:lang w:val="zh-CN" w:eastAsia="zh-CN"/>
              </w:rPr>
              <w:t>加强成员国与国际电联电信发展部门部门成员、部门准成员和学术成员之间的合作和私营部门在国际电联电信发展部门中不断变化的作用</w:t>
            </w:r>
            <w:r>
              <w:rPr>
                <w:lang w:val="zh-CN" w:eastAsia="zh-CN"/>
              </w:rPr>
              <w:t>。</w:t>
            </w:r>
          </w:p>
          <w:p w14:paraId="2B8384FE" w14:textId="29AE3B18" w:rsidR="00767F2F" w:rsidRPr="00403C69" w:rsidRDefault="0010401A" w:rsidP="0010401A">
            <w:pPr>
              <w:ind w:firstLineChars="200" w:firstLine="480"/>
              <w:rPr>
                <w:lang w:eastAsia="zh-CN"/>
              </w:rPr>
            </w:pPr>
            <w:r>
              <w:rPr>
                <w:lang w:val="zh-CN" w:eastAsia="zh-CN"/>
              </w:rPr>
              <w:t>全权代表大会（</w:t>
            </w:r>
            <w:r>
              <w:rPr>
                <w:lang w:val="zh-CN" w:eastAsia="zh-CN"/>
              </w:rPr>
              <w:t>PP-22</w:t>
            </w:r>
            <w:r>
              <w:rPr>
                <w:lang w:val="zh-CN" w:eastAsia="zh-CN"/>
              </w:rPr>
              <w:t>）第</w:t>
            </w:r>
            <w:r>
              <w:rPr>
                <w:lang w:val="zh-CN" w:eastAsia="zh-CN"/>
              </w:rPr>
              <w:t>169</w:t>
            </w:r>
            <w:r>
              <w:rPr>
                <w:lang w:val="zh-CN" w:eastAsia="zh-CN"/>
              </w:rPr>
              <w:t>号决议（</w:t>
            </w:r>
            <w:r>
              <w:rPr>
                <w:lang w:val="zh-CN" w:eastAsia="zh-CN"/>
              </w:rPr>
              <w:t>2022</w:t>
            </w:r>
            <w:r>
              <w:rPr>
                <w:lang w:val="zh-CN" w:eastAsia="zh-CN"/>
              </w:rPr>
              <w:t>年，布加勒斯特，修订版）、第</w:t>
            </w:r>
            <w:r>
              <w:rPr>
                <w:lang w:val="zh-CN" w:eastAsia="zh-CN"/>
              </w:rPr>
              <w:t>205</w:t>
            </w:r>
            <w:r>
              <w:rPr>
                <w:lang w:val="zh-CN" w:eastAsia="zh-CN"/>
              </w:rPr>
              <w:t>号决议（</w:t>
            </w:r>
            <w:r>
              <w:rPr>
                <w:lang w:val="zh-CN" w:eastAsia="zh-CN"/>
              </w:rPr>
              <w:t>2022</w:t>
            </w:r>
            <w:r>
              <w:rPr>
                <w:lang w:val="zh-CN" w:eastAsia="zh-CN"/>
              </w:rPr>
              <w:t>年，布加勒斯特，修订版）和第</w:t>
            </w:r>
            <w:r>
              <w:rPr>
                <w:lang w:val="zh-CN" w:eastAsia="zh-CN"/>
              </w:rPr>
              <w:t>209</w:t>
            </w:r>
            <w:r>
              <w:rPr>
                <w:lang w:val="zh-CN" w:eastAsia="zh-CN"/>
              </w:rPr>
              <w:t>号决议（</w:t>
            </w:r>
            <w:r>
              <w:rPr>
                <w:lang w:val="zh-CN" w:eastAsia="zh-CN"/>
              </w:rPr>
              <w:t>2022</w:t>
            </w:r>
            <w:r>
              <w:rPr>
                <w:lang w:val="zh-CN" w:eastAsia="zh-CN"/>
              </w:rPr>
              <w:t>年，布加勒斯特，修订版）。</w:t>
            </w:r>
          </w:p>
        </w:tc>
      </w:tr>
      <w:bookmarkEnd w:id="8"/>
      <w:bookmarkEnd w:id="9"/>
    </w:tbl>
    <w:p w14:paraId="30707726" w14:textId="39048621" w:rsidR="00075C63" w:rsidRPr="00403C69" w:rsidRDefault="00075C63" w:rsidP="0062421D">
      <w:pPr>
        <w:pStyle w:val="Headingi"/>
        <w:rPr>
          <w:lang w:eastAsia="zh-CN"/>
        </w:rPr>
      </w:pPr>
      <w:r w:rsidRPr="00403C69">
        <w:rPr>
          <w:lang w:eastAsia="zh-CN"/>
        </w:rPr>
        <w:br w:type="page"/>
      </w:r>
    </w:p>
    <w:p w14:paraId="22D5B4A4" w14:textId="61D36130" w:rsidR="0010401A" w:rsidRPr="008C317F" w:rsidRDefault="0010401A" w:rsidP="008C317F">
      <w:pPr>
        <w:pStyle w:val="Heading1"/>
      </w:pPr>
      <w:r w:rsidRPr="008C317F">
        <w:lastRenderedPageBreak/>
        <w:t>1</w:t>
      </w:r>
      <w:r w:rsidRPr="008C317F">
        <w:tab/>
      </w:r>
      <w:proofErr w:type="spellStart"/>
      <w:r w:rsidRPr="008C317F">
        <w:t>背景</w:t>
      </w:r>
      <w:proofErr w:type="spellEnd"/>
    </w:p>
    <w:p w14:paraId="4A300FDF" w14:textId="77777777" w:rsidR="0010401A" w:rsidRPr="006701DA" w:rsidRDefault="0010401A" w:rsidP="0010401A">
      <w:pPr>
        <w:spacing w:after="120"/>
        <w:ind w:firstLineChars="200" w:firstLine="480"/>
        <w:rPr>
          <w:rFonts w:ascii="Calibri" w:hAnsi="Calibri"/>
          <w:szCs w:val="24"/>
          <w:lang w:eastAsia="zh-CN"/>
        </w:rPr>
      </w:pPr>
      <w:r>
        <w:rPr>
          <w:lang w:val="zh-CN" w:eastAsia="zh-CN"/>
        </w:rPr>
        <w:t>2022</w:t>
      </w:r>
      <w:r>
        <w:rPr>
          <w:lang w:val="zh-CN" w:eastAsia="zh-CN"/>
        </w:rPr>
        <w:t>年世界电信发展大会（</w:t>
      </w:r>
      <w:r>
        <w:rPr>
          <w:lang w:val="zh-CN" w:eastAsia="zh-CN"/>
        </w:rPr>
        <w:t>WTDC-22</w:t>
      </w:r>
      <w:r>
        <w:rPr>
          <w:lang w:val="zh-CN" w:eastAsia="zh-CN"/>
        </w:rPr>
        <w:t>）修订并通过了第</w:t>
      </w:r>
      <w:r>
        <w:rPr>
          <w:lang w:val="zh-CN" w:eastAsia="zh-CN"/>
        </w:rPr>
        <w:t>71</w:t>
      </w:r>
      <w:r>
        <w:rPr>
          <w:lang w:val="zh-CN" w:eastAsia="zh-CN"/>
        </w:rPr>
        <w:t>号决议（</w:t>
      </w:r>
      <w:r>
        <w:rPr>
          <w:lang w:val="zh-CN" w:eastAsia="zh-CN"/>
        </w:rPr>
        <w:t>2022</w:t>
      </w:r>
      <w:r>
        <w:rPr>
          <w:lang w:val="zh-CN" w:eastAsia="zh-CN"/>
        </w:rPr>
        <w:t>年，基加利，修订版</w:t>
      </w:r>
      <w:r w:rsidRPr="008701D5">
        <w:rPr>
          <w:rFonts w:ascii="Calibri" w:hAnsi="Calibri"/>
          <w:szCs w:val="24"/>
          <w:vertAlign w:val="superscript"/>
          <w:lang w:val="zh-CN"/>
        </w:rPr>
        <w:footnoteReference w:id="3"/>
      </w:r>
      <w:r>
        <w:rPr>
          <w:lang w:val="zh-CN" w:eastAsia="zh-CN"/>
        </w:rPr>
        <w:t>），以促进</w:t>
      </w:r>
      <w:r>
        <w:rPr>
          <w:lang w:val="zh-CN" w:eastAsia="zh-CN"/>
        </w:rPr>
        <w:t>ITU-D</w:t>
      </w:r>
      <w:r>
        <w:rPr>
          <w:lang w:val="zh-CN" w:eastAsia="zh-CN"/>
        </w:rPr>
        <w:t>部门成员、部门准成员和学术成员积极参与</w:t>
      </w:r>
      <w:r>
        <w:rPr>
          <w:lang w:val="zh-CN" w:eastAsia="zh-CN"/>
        </w:rPr>
        <w:t>ITU-D</w:t>
      </w:r>
      <w:r>
        <w:rPr>
          <w:lang w:val="zh-CN" w:eastAsia="zh-CN"/>
        </w:rPr>
        <w:t>的活动，包括参与</w:t>
      </w:r>
      <w:r>
        <w:rPr>
          <w:lang w:val="zh-CN" w:eastAsia="zh-CN"/>
        </w:rPr>
        <w:t>ITU-D</w:t>
      </w:r>
      <w:r>
        <w:rPr>
          <w:lang w:val="zh-CN" w:eastAsia="zh-CN"/>
        </w:rPr>
        <w:t>研究组的工作并吸引来自公共、私营部门和学术界的新成员。</w:t>
      </w:r>
    </w:p>
    <w:p w14:paraId="71106D5C" w14:textId="30DDB5FB" w:rsidR="0010401A" w:rsidRDefault="0010401A" w:rsidP="0010401A">
      <w:pPr>
        <w:spacing w:after="120"/>
        <w:ind w:firstLineChars="200" w:firstLine="480"/>
        <w:rPr>
          <w:rFonts w:ascii="Calibri" w:hAnsi="Calibri"/>
          <w:iCs/>
          <w:szCs w:val="24"/>
          <w:lang w:eastAsia="zh-CN"/>
        </w:rPr>
      </w:pPr>
      <w:r>
        <w:rPr>
          <w:lang w:eastAsia="zh-CN"/>
        </w:rPr>
        <w:t>第</w:t>
      </w:r>
      <w:r>
        <w:rPr>
          <w:lang w:eastAsia="zh-CN"/>
        </w:rPr>
        <w:t>71</w:t>
      </w:r>
      <w:r>
        <w:rPr>
          <w:lang w:eastAsia="zh-CN"/>
        </w:rPr>
        <w:t>号决议更加注重加强成员国与</w:t>
      </w:r>
      <w:r>
        <w:rPr>
          <w:lang w:eastAsia="zh-CN"/>
        </w:rPr>
        <w:t>ITU-D</w:t>
      </w:r>
      <w:r>
        <w:rPr>
          <w:lang w:eastAsia="zh-CN"/>
        </w:rPr>
        <w:t>部门成员、部门准成员和学术成员之间的合作，责成电信发展局与</w:t>
      </w:r>
      <w:r>
        <w:rPr>
          <w:lang w:eastAsia="zh-CN"/>
        </w:rPr>
        <w:t>ITU-D</w:t>
      </w:r>
      <w:r>
        <w:rPr>
          <w:lang w:eastAsia="zh-CN"/>
        </w:rPr>
        <w:t>部门成员、部门准成员和学术成员密切合作，使其参与该部门的工作，并继续组织</w:t>
      </w:r>
      <w:r>
        <w:rPr>
          <w:rFonts w:hint="eastAsia"/>
          <w:lang w:eastAsia="zh-CN"/>
        </w:rPr>
        <w:t>高级别</w:t>
      </w:r>
      <w:r>
        <w:rPr>
          <w:lang w:eastAsia="zh-CN"/>
        </w:rPr>
        <w:t>行业高管会议，如发展问题行业顾问组和私营部门首席监管官（</w:t>
      </w:r>
      <w:r>
        <w:rPr>
          <w:lang w:eastAsia="zh-CN"/>
        </w:rPr>
        <w:t>IAGDI-CRO</w:t>
      </w:r>
      <w:r>
        <w:rPr>
          <w:lang w:eastAsia="zh-CN"/>
        </w:rPr>
        <w:t>）会议</w:t>
      </w:r>
      <w:r>
        <w:rPr>
          <w:rFonts w:ascii="SimSun" w:hAnsi="SimSun" w:cs="SimSun" w:hint="eastAsia"/>
          <w:lang w:eastAsia="zh-CN"/>
        </w:rPr>
        <w:t>。</w:t>
      </w:r>
    </w:p>
    <w:p w14:paraId="1E405BE2" w14:textId="0ADCDE5C" w:rsidR="0010401A" w:rsidRPr="008C317F" w:rsidRDefault="0010401A" w:rsidP="008C317F">
      <w:pPr>
        <w:pStyle w:val="Heading1"/>
      </w:pPr>
      <w:r w:rsidRPr="008C317F">
        <w:t>2</w:t>
      </w:r>
      <w:r w:rsidRPr="008C317F">
        <w:tab/>
        <w:t>ITU-D</w:t>
      </w:r>
      <w:proofErr w:type="spellStart"/>
      <w:r w:rsidRPr="008C317F">
        <w:t>成员的变化情况</w:t>
      </w:r>
      <w:proofErr w:type="spellEnd"/>
    </w:p>
    <w:p w14:paraId="2611B183" w14:textId="306C5920" w:rsidR="0010401A" w:rsidRDefault="0010401A" w:rsidP="00900129">
      <w:pPr>
        <w:tabs>
          <w:tab w:val="left" w:pos="567"/>
          <w:tab w:val="left" w:pos="1701"/>
        </w:tabs>
        <w:spacing w:after="120"/>
        <w:ind w:firstLineChars="200" w:firstLine="480"/>
        <w:rPr>
          <w:rFonts w:ascii="Calibri" w:hAnsi="Calibri"/>
          <w:lang w:eastAsia="zh-CN"/>
        </w:rPr>
      </w:pPr>
      <w:r>
        <w:rPr>
          <w:lang w:val="zh-CN" w:eastAsia="zh-CN"/>
        </w:rPr>
        <w:t>下</w:t>
      </w:r>
      <w:r w:rsidRPr="00DC2E3C">
        <w:rPr>
          <w:b/>
          <w:bCs/>
          <w:lang w:val="zh-CN" w:eastAsia="zh-CN"/>
        </w:rPr>
        <w:t>图</w:t>
      </w:r>
      <w:r w:rsidRPr="00DC2E3C">
        <w:rPr>
          <w:b/>
          <w:bCs/>
          <w:lang w:val="zh-CN" w:eastAsia="zh-CN"/>
        </w:rPr>
        <w:t>1</w:t>
      </w:r>
      <w:r>
        <w:rPr>
          <w:lang w:val="zh-CN" w:eastAsia="zh-CN"/>
        </w:rPr>
        <w:t>说明了</w:t>
      </w:r>
      <w:r>
        <w:rPr>
          <w:lang w:val="zh-CN" w:eastAsia="zh-CN"/>
        </w:rPr>
        <w:t>ITU-D</w:t>
      </w:r>
      <w:r>
        <w:rPr>
          <w:lang w:val="zh-CN" w:eastAsia="zh-CN"/>
        </w:rPr>
        <w:t>成员（部门成员、部门准成员和学术成员）的变化情况。该图展示了截至</w:t>
      </w:r>
      <w:r>
        <w:rPr>
          <w:lang w:val="zh-CN" w:eastAsia="zh-CN"/>
        </w:rPr>
        <w:t>2023</w:t>
      </w:r>
      <w:r>
        <w:rPr>
          <w:lang w:val="zh-CN" w:eastAsia="zh-CN"/>
        </w:rPr>
        <w:t>年</w:t>
      </w:r>
      <w:r>
        <w:rPr>
          <w:lang w:val="zh-CN" w:eastAsia="zh-CN"/>
        </w:rPr>
        <w:t>12</w:t>
      </w:r>
      <w:r>
        <w:rPr>
          <w:lang w:val="zh-CN" w:eastAsia="zh-CN"/>
        </w:rPr>
        <w:t>月、</w:t>
      </w:r>
      <w:r>
        <w:rPr>
          <w:lang w:val="zh-CN" w:eastAsia="zh-CN"/>
        </w:rPr>
        <w:t>2024</w:t>
      </w:r>
      <w:r>
        <w:rPr>
          <w:lang w:val="zh-CN" w:eastAsia="zh-CN"/>
        </w:rPr>
        <w:t>年</w:t>
      </w:r>
      <w:r>
        <w:rPr>
          <w:lang w:val="zh-CN" w:eastAsia="zh-CN"/>
        </w:rPr>
        <w:t>12</w:t>
      </w:r>
      <w:r>
        <w:rPr>
          <w:lang w:val="zh-CN" w:eastAsia="zh-CN"/>
        </w:rPr>
        <w:t>月以及</w:t>
      </w:r>
      <w:r>
        <w:rPr>
          <w:lang w:val="zh-CN" w:eastAsia="zh-CN"/>
        </w:rPr>
        <w:t>2025</w:t>
      </w:r>
      <w:r>
        <w:rPr>
          <w:lang w:val="zh-CN" w:eastAsia="zh-CN"/>
        </w:rPr>
        <w:t>年</w:t>
      </w:r>
      <w:r>
        <w:rPr>
          <w:rFonts w:hint="eastAsia"/>
          <w:lang w:val="zh-CN" w:eastAsia="zh-CN"/>
        </w:rPr>
        <w:t>12</w:t>
      </w:r>
      <w:r>
        <w:rPr>
          <w:lang w:val="zh-CN" w:eastAsia="zh-CN"/>
        </w:rPr>
        <w:t>月的</w:t>
      </w:r>
      <w:r>
        <w:rPr>
          <w:lang w:val="zh-CN" w:eastAsia="zh-CN"/>
        </w:rPr>
        <w:t>ITU-D</w:t>
      </w:r>
      <w:r>
        <w:rPr>
          <w:lang w:val="zh-CN" w:eastAsia="zh-CN"/>
        </w:rPr>
        <w:t>部门成员、部门准成员和学术成员的绝对数字。</w:t>
      </w:r>
      <w:r w:rsidR="004346F2" w:rsidRPr="00483B48">
        <w:rPr>
          <w:noProof/>
          <w:lang w:eastAsia="zh-CN"/>
        </w:rPr>
        <w:drawing>
          <wp:inline distT="0" distB="0" distL="0" distR="0" wp14:anchorId="47A3E449" wp14:editId="15D9C283">
            <wp:extent cx="6115050" cy="3829050"/>
            <wp:effectExtent l="0" t="0" r="0" b="0"/>
            <wp:docPr id="1003179272" name="Chart 1">
              <a:extLst xmlns:a="http://schemas.openxmlformats.org/drawingml/2006/main">
                <a:ext uri="{FF2B5EF4-FFF2-40B4-BE49-F238E27FC236}">
                  <a16:creationId xmlns:a16="http://schemas.microsoft.com/office/drawing/2014/main" id="{8F0DB859-0FD5-737B-E176-D22A580F4A9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42ED9CA0" w14:textId="721F9F2F" w:rsidR="0010401A" w:rsidRDefault="0010401A" w:rsidP="004346F2">
      <w:pPr>
        <w:pStyle w:val="Heading2"/>
        <w:spacing w:before="120" w:after="120"/>
        <w:rPr>
          <w:lang w:val="zh-CN" w:eastAsia="zh-CN"/>
        </w:rPr>
      </w:pPr>
      <w:r w:rsidRPr="0010401A">
        <w:rPr>
          <w:lang w:val="en-US" w:eastAsia="zh-CN"/>
        </w:rPr>
        <w:lastRenderedPageBreak/>
        <w:t>2.1</w:t>
      </w:r>
      <w:r w:rsidRPr="0010401A">
        <w:rPr>
          <w:lang w:val="en-US" w:eastAsia="zh-CN"/>
        </w:rPr>
        <w:tab/>
      </w:r>
      <w:r w:rsidRPr="0010401A">
        <w:rPr>
          <w:lang w:val="zh-CN" w:eastAsia="zh-CN"/>
        </w:rPr>
        <w:t>ITU-D</w:t>
      </w:r>
      <w:r w:rsidRPr="0010401A">
        <w:rPr>
          <w:lang w:val="zh-CN" w:eastAsia="zh-CN"/>
        </w:rPr>
        <w:t>部门成员和部门准成员</w:t>
      </w:r>
    </w:p>
    <w:p w14:paraId="42A21363" w14:textId="77777777" w:rsidR="004346F2" w:rsidRDefault="004346F2" w:rsidP="00CF28E4">
      <w:pPr>
        <w:pStyle w:val="Tabletitle"/>
        <w:rPr>
          <w:rFonts w:ascii="Calibri" w:hAnsi="Calibri" w:cs="Arial"/>
          <w:bCs/>
          <w:lang w:eastAsia="zh-CN"/>
        </w:rPr>
      </w:pPr>
      <w:r>
        <w:rPr>
          <w:noProof/>
        </w:rPr>
        <mc:AlternateContent>
          <mc:Choice Requires="wps">
            <w:drawing>
              <wp:anchor distT="0" distB="0" distL="114300" distR="114300" simplePos="0" relativeHeight="251660288" behindDoc="0" locked="0" layoutInCell="1" allowOverlap="1" wp14:anchorId="5ECE9B39" wp14:editId="3725C6E1">
                <wp:simplePos x="0" y="0"/>
                <wp:positionH relativeFrom="column">
                  <wp:posOffset>1543685</wp:posOffset>
                </wp:positionH>
                <wp:positionV relativeFrom="paragraph">
                  <wp:posOffset>2704465</wp:posOffset>
                </wp:positionV>
                <wp:extent cx="609600" cy="323850"/>
                <wp:effectExtent l="0" t="0" r="0" b="0"/>
                <wp:wrapNone/>
                <wp:docPr id="42325251" name="Text Box 2"/>
                <wp:cNvGraphicFramePr/>
                <a:graphic xmlns:a="http://schemas.openxmlformats.org/drawingml/2006/main">
                  <a:graphicData uri="http://schemas.microsoft.com/office/word/2010/wordprocessingShape">
                    <wps:wsp>
                      <wps:cNvSpPr txBox="1"/>
                      <wps:spPr>
                        <a:xfrm>
                          <a:off x="0" y="0"/>
                          <a:ext cx="609600" cy="323850"/>
                        </a:xfrm>
                        <a:prstGeom prst="rect">
                          <a:avLst/>
                        </a:prstGeom>
                        <a:solidFill>
                          <a:sysClr val="window" lastClr="FFFFFF"/>
                        </a:solidFill>
                        <a:ln w="6350">
                          <a:noFill/>
                        </a:ln>
                      </wps:spPr>
                      <wps:txbx>
                        <w:txbxContent>
                          <w:p w14:paraId="43A65866" w14:textId="77777777" w:rsidR="004346F2" w:rsidRPr="00410F8D" w:rsidRDefault="004346F2" w:rsidP="00410F8D">
                            <w:pPr>
                              <w:pStyle w:val="Tabletext"/>
                              <w:rPr>
                                <w:b/>
                                <w:bCs/>
                                <w:sz w:val="18"/>
                                <w:szCs w:val="18"/>
                                <w:lang w:val="en-US"/>
                              </w:rPr>
                            </w:pPr>
                            <w:r w:rsidRPr="00410F8D">
                              <w:rPr>
                                <w:b/>
                                <w:bCs/>
                                <w:sz w:val="18"/>
                                <w:szCs w:val="18"/>
                                <w:lang w:val="en-US"/>
                              </w:rPr>
                              <w:t>2023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ECE9B39" id="_x0000_t202" coordsize="21600,21600" o:spt="202" path="m,l,21600r21600,l21600,xe">
                <v:stroke joinstyle="miter"/>
                <v:path gradientshapeok="t" o:connecttype="rect"/>
              </v:shapetype>
              <v:shape id="Text Box 2" o:spid="_x0000_s1026" type="#_x0000_t202" style="position:absolute;left:0;text-align:left;margin-left:121.55pt;margin-top:212.95pt;width:48pt;height:2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" fillcolor="window" stroked="f" strokeweight=".5pt">
                <v:textbox>
                  <w:txbxContent>
                    <w:p w14:paraId="43A65866" w14:textId="77777777" w:rsidR="004346F2" w:rsidRPr="00410F8D" w:rsidRDefault="004346F2" w:rsidP="00410F8D">
                      <w:pPr>
                        <w:pStyle w:val="Tabletext"/>
                        <w:rPr>
                          <w:b/>
                          <w:bCs/>
                          <w:sz w:val="18"/>
                          <w:szCs w:val="18"/>
                          <w:lang w:val="en-US"/>
                        </w:rPr>
                      </w:pPr>
                      <w:r w:rsidRPr="00410F8D">
                        <w:rPr>
                          <w:b/>
                          <w:bCs/>
                          <w:sz w:val="18"/>
                          <w:szCs w:val="18"/>
                          <w:lang w:val="en-US"/>
                        </w:rPr>
                        <w:t>2023</w:t>
                      </w:r>
                    </w:p>
                  </w:txbxContent>
                </v:textbox>
              </v:shape>
            </w:pict>
          </mc:Fallback>
        </mc:AlternateContent>
      </w:r>
      <w:r>
        <w:rPr>
          <w:noProof/>
        </w:rPr>
        <mc:AlternateContent>
          <mc:Choice Requires="wps">
            <w:drawing>
              <wp:anchor distT="0" distB="0" distL="114300" distR="114300" simplePos="0" relativeHeight="251661312" behindDoc="0" locked="0" layoutInCell="1" allowOverlap="1" wp14:anchorId="3F4B722A" wp14:editId="4C679996">
                <wp:simplePos x="0" y="0"/>
                <wp:positionH relativeFrom="column">
                  <wp:posOffset>3213100</wp:posOffset>
                </wp:positionH>
                <wp:positionV relativeFrom="paragraph">
                  <wp:posOffset>2691765</wp:posOffset>
                </wp:positionV>
                <wp:extent cx="609600" cy="323850"/>
                <wp:effectExtent l="0" t="0" r="0" b="0"/>
                <wp:wrapNone/>
                <wp:docPr id="1776853480" name="Text Box 2"/>
                <wp:cNvGraphicFramePr/>
                <a:graphic xmlns:a="http://schemas.openxmlformats.org/drawingml/2006/main">
                  <a:graphicData uri="http://schemas.microsoft.com/office/word/2010/wordprocessingShape">
                    <wps:wsp>
                      <wps:cNvSpPr txBox="1"/>
                      <wps:spPr>
                        <a:xfrm>
                          <a:off x="0" y="0"/>
                          <a:ext cx="609600" cy="323850"/>
                        </a:xfrm>
                        <a:prstGeom prst="rect">
                          <a:avLst/>
                        </a:prstGeom>
                        <a:solidFill>
                          <a:sysClr val="window" lastClr="FFFFFF"/>
                        </a:solidFill>
                        <a:ln w="6350">
                          <a:noFill/>
                        </a:ln>
                      </wps:spPr>
                      <wps:txbx>
                        <w:txbxContent>
                          <w:p w14:paraId="351ADF78" w14:textId="77777777" w:rsidR="004346F2" w:rsidRPr="00E9161D" w:rsidRDefault="004346F2" w:rsidP="00410F8D">
                            <w:pPr>
                              <w:pStyle w:val="Tabletext"/>
                              <w:rPr>
                                <w:b/>
                                <w:bCs/>
                                <w:sz w:val="18"/>
                                <w:szCs w:val="14"/>
                                <w:lang w:val="en-US"/>
                              </w:rPr>
                            </w:pPr>
                            <w:r w:rsidRPr="00410F8D">
                              <w:rPr>
                                <w:b/>
                                <w:bCs/>
                                <w:sz w:val="18"/>
                                <w:szCs w:val="18"/>
                                <w:lang w:val="en-US"/>
                              </w:rPr>
                              <w:t>2024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4B722A" id="_x0000_s1027" type="#_x0000_t202" style="position:absolute;left:0;text-align:left;margin-left:253pt;margin-top:211.95pt;width:48pt;height:2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" fillcolor="window" stroked="f" strokeweight=".5pt">
                <v:textbox>
                  <w:txbxContent>
                    <w:p w14:paraId="351ADF78" w14:textId="77777777" w:rsidR="004346F2" w:rsidRPr="00E9161D" w:rsidRDefault="004346F2" w:rsidP="00410F8D">
                      <w:pPr>
                        <w:pStyle w:val="Tabletext"/>
                        <w:rPr>
                          <w:b/>
                          <w:bCs/>
                          <w:sz w:val="18"/>
                          <w:szCs w:val="14"/>
                          <w:lang w:val="en-US"/>
                        </w:rPr>
                      </w:pPr>
                      <w:r w:rsidRPr="00410F8D">
                        <w:rPr>
                          <w:b/>
                          <w:bCs/>
                          <w:sz w:val="18"/>
                          <w:szCs w:val="18"/>
                          <w:lang w:val="en-US"/>
                        </w:rPr>
                        <w:t>2024</w:t>
                      </w:r>
                    </w:p>
                  </w:txbxContent>
                </v:textbox>
              </v:shape>
            </w:pict>
          </mc:Fallback>
        </mc:AlternateContent>
      </w:r>
      <w:r>
        <w:rPr>
          <w:noProof/>
        </w:rPr>
        <mc:AlternateContent>
          <mc:Choice Requires="wps">
            <w:drawing>
              <wp:anchor distT="0" distB="0" distL="114300" distR="114300" simplePos="0" relativeHeight="251662336" behindDoc="0" locked="0" layoutInCell="1" allowOverlap="1" wp14:anchorId="3D7BF1A6" wp14:editId="56F24532">
                <wp:simplePos x="0" y="0"/>
                <wp:positionH relativeFrom="column">
                  <wp:posOffset>4969510</wp:posOffset>
                </wp:positionH>
                <wp:positionV relativeFrom="paragraph">
                  <wp:posOffset>2698115</wp:posOffset>
                </wp:positionV>
                <wp:extent cx="571500" cy="323850"/>
                <wp:effectExtent l="0" t="0" r="0" b="0"/>
                <wp:wrapNone/>
                <wp:docPr id="1435717725" name="Text Box 2"/>
                <wp:cNvGraphicFramePr/>
                <a:graphic xmlns:a="http://schemas.openxmlformats.org/drawingml/2006/main">
                  <a:graphicData uri="http://schemas.microsoft.com/office/word/2010/wordprocessingShape">
                    <wps:wsp>
                      <wps:cNvSpPr txBox="1"/>
                      <wps:spPr>
                        <a:xfrm>
                          <a:off x="0" y="0"/>
                          <a:ext cx="571500" cy="323850"/>
                        </a:xfrm>
                        <a:prstGeom prst="rect">
                          <a:avLst/>
                        </a:prstGeom>
                        <a:solidFill>
                          <a:sysClr val="window" lastClr="FFFFFF"/>
                        </a:solidFill>
                        <a:ln w="6350">
                          <a:noFill/>
                        </a:ln>
                      </wps:spPr>
                      <wps:txbx>
                        <w:txbxContent>
                          <w:p w14:paraId="717FF971" w14:textId="77777777" w:rsidR="004346F2" w:rsidRPr="00410F8D" w:rsidRDefault="004346F2" w:rsidP="00410F8D">
                            <w:pPr>
                              <w:pStyle w:val="Tabletext"/>
                              <w:rPr>
                                <w:b/>
                                <w:bCs/>
                                <w:sz w:val="18"/>
                                <w:szCs w:val="18"/>
                                <w:lang w:val="en-US"/>
                              </w:rPr>
                            </w:pPr>
                            <w:r w:rsidRPr="00410F8D">
                              <w:rPr>
                                <w:b/>
                                <w:bCs/>
                                <w:sz w:val="18"/>
                                <w:szCs w:val="18"/>
                                <w:lang w:val="en-US"/>
                              </w:rPr>
                              <w:t>2025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7BF1A6" id="_x0000_s1028" type="#_x0000_t202" style="position:absolute;left:0;text-align:left;margin-left:391.3pt;margin-top:212.45pt;width:45pt;height:2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" fillcolor="window" stroked="f" strokeweight=".5pt">
                <v:textbox>
                  <w:txbxContent>
                    <w:p w14:paraId="717FF971" w14:textId="77777777" w:rsidR="004346F2" w:rsidRPr="00410F8D" w:rsidRDefault="004346F2" w:rsidP="00410F8D">
                      <w:pPr>
                        <w:pStyle w:val="Tabletext"/>
                        <w:rPr>
                          <w:b/>
                          <w:bCs/>
                          <w:sz w:val="18"/>
                          <w:szCs w:val="18"/>
                          <w:lang w:val="en-US"/>
                        </w:rPr>
                      </w:pPr>
                      <w:r w:rsidRPr="00410F8D">
                        <w:rPr>
                          <w:b/>
                          <w:bCs/>
                          <w:sz w:val="18"/>
                          <w:szCs w:val="18"/>
                          <w:lang w:val="en-US"/>
                        </w:rPr>
                        <w:t>2025</w:t>
                      </w:r>
                    </w:p>
                  </w:txbxContent>
                </v:textbox>
              </v:shape>
            </w:pict>
          </mc:Fallback>
        </mc:AlternateContent>
      </w:r>
      <w:r>
        <w:rPr>
          <w:noProof/>
        </w:rPr>
        <mc:AlternateContent>
          <mc:Choice Requires="wps">
            <w:drawing>
              <wp:anchor distT="0" distB="0" distL="114300" distR="114300" simplePos="0" relativeHeight="251665408" behindDoc="0" locked="0" layoutInCell="1" allowOverlap="1" wp14:anchorId="27556B7A" wp14:editId="1308F8C5">
                <wp:simplePos x="0" y="0"/>
                <wp:positionH relativeFrom="column">
                  <wp:posOffset>4289425</wp:posOffset>
                </wp:positionH>
                <wp:positionV relativeFrom="paragraph">
                  <wp:posOffset>450215</wp:posOffset>
                </wp:positionV>
                <wp:extent cx="0" cy="2533650"/>
                <wp:effectExtent l="0" t="0" r="38100" b="19050"/>
                <wp:wrapNone/>
                <wp:docPr id="1730638141" name="Straight Connector 3"/>
                <wp:cNvGraphicFramePr/>
                <a:graphic xmlns:a="http://schemas.openxmlformats.org/drawingml/2006/main">
                  <a:graphicData uri="http://schemas.microsoft.com/office/word/2010/wordprocessingShape">
                    <wps:wsp>
                      <wps:cNvCnPr/>
                      <wps:spPr>
                        <a:xfrm>
                          <a:off x="0" y="0"/>
                          <a:ext cx="0" cy="2533650"/>
                        </a:xfrm>
                        <a:prstGeom prst="line">
                          <a:avLst/>
                        </a:prstGeom>
                        <a:noFill/>
                        <a:ln w="9525" cap="flat" cmpd="sng" algn="ctr">
                          <a:solidFill>
                            <a:srgbClr val="6F6F6E">
                              <a:shade val="95000"/>
                              <a:satMod val="105000"/>
                            </a:srgbClr>
                          </a:solidFill>
                          <a:prstDash val="solid"/>
                        </a:ln>
                        <a:effectLst/>
                      </wps:spPr>
                      <wps:bodyPr/>
                    </wps:wsp>
                  </a:graphicData>
                </a:graphic>
              </wp:anchor>
            </w:drawing>
          </mc:Choice>
          <mc:Fallback>
            <w:pict>
              <v:line w14:anchorId="028830AF" id="Straight Connector 3"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337.75pt,35.45pt" to="337.75pt,23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" strokecolor="#6c6c6b"/>
            </w:pict>
          </mc:Fallback>
        </mc:AlternateContent>
      </w:r>
      <w:r>
        <w:rPr>
          <w:noProof/>
        </w:rPr>
        <mc:AlternateContent>
          <mc:Choice Requires="wps">
            <w:drawing>
              <wp:anchor distT="0" distB="0" distL="114300" distR="114300" simplePos="0" relativeHeight="251664384" behindDoc="0" locked="0" layoutInCell="1" allowOverlap="1" wp14:anchorId="5A3C620D" wp14:editId="598A674F">
                <wp:simplePos x="0" y="0"/>
                <wp:positionH relativeFrom="column">
                  <wp:posOffset>2587625</wp:posOffset>
                </wp:positionH>
                <wp:positionV relativeFrom="paragraph">
                  <wp:posOffset>410845</wp:posOffset>
                </wp:positionV>
                <wp:extent cx="0" cy="2533650"/>
                <wp:effectExtent l="0" t="0" r="38100" b="19050"/>
                <wp:wrapNone/>
                <wp:docPr id="942585395" name="Straight Connector 3"/>
                <wp:cNvGraphicFramePr/>
                <a:graphic xmlns:a="http://schemas.openxmlformats.org/drawingml/2006/main">
                  <a:graphicData uri="http://schemas.microsoft.com/office/word/2010/wordprocessingShape">
                    <wps:wsp>
                      <wps:cNvCnPr/>
                      <wps:spPr>
                        <a:xfrm>
                          <a:off x="0" y="0"/>
                          <a:ext cx="0" cy="2533650"/>
                        </a:xfrm>
                        <a:prstGeom prst="line">
                          <a:avLst/>
                        </a:prstGeom>
                        <a:noFill/>
                        <a:ln w="9525" cap="flat" cmpd="sng" algn="ctr">
                          <a:solidFill>
                            <a:srgbClr val="6F6F6E">
                              <a:shade val="95000"/>
                              <a:satMod val="105000"/>
                            </a:srgbClr>
                          </a:solidFill>
                          <a:prstDash val="solid"/>
                        </a:ln>
                        <a:effectLst/>
                      </wps:spPr>
                      <wps:bodyPr/>
                    </wps:wsp>
                  </a:graphicData>
                </a:graphic>
              </wp:anchor>
            </w:drawing>
          </mc:Choice>
          <mc:Fallback>
            <w:pict>
              <v:line w14:anchorId="0565C66E" id="Straight Connector 3"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203.75pt,32.35pt" to="203.75pt,23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" strokecolor="#6c6c6b"/>
            </w:pict>
          </mc:Fallback>
        </mc:AlternateContent>
      </w:r>
      <w:r>
        <w:rPr>
          <w:noProof/>
        </w:rPr>
        <mc:AlternateContent>
          <mc:Choice Requires="wps">
            <w:drawing>
              <wp:anchor distT="0" distB="0" distL="114300" distR="114300" simplePos="0" relativeHeight="251663360" behindDoc="0" locked="0" layoutInCell="1" allowOverlap="1" wp14:anchorId="2DAA32B1" wp14:editId="756786D7">
                <wp:simplePos x="0" y="0"/>
                <wp:positionH relativeFrom="column">
                  <wp:posOffset>902335</wp:posOffset>
                </wp:positionH>
                <wp:positionV relativeFrom="paragraph">
                  <wp:posOffset>427990</wp:posOffset>
                </wp:positionV>
                <wp:extent cx="0" cy="2533650"/>
                <wp:effectExtent l="0" t="0" r="38100" b="19050"/>
                <wp:wrapNone/>
                <wp:docPr id="445580303" name="Straight Connector 3"/>
                <wp:cNvGraphicFramePr/>
                <a:graphic xmlns:a="http://schemas.openxmlformats.org/drawingml/2006/main">
                  <a:graphicData uri="http://schemas.microsoft.com/office/word/2010/wordprocessingShape">
                    <wps:wsp>
                      <wps:cNvCnPr/>
                      <wps:spPr>
                        <a:xfrm>
                          <a:off x="0" y="0"/>
                          <a:ext cx="0" cy="2533650"/>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line w14:anchorId="2F400F25" id="Straight Connector 3"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71.05pt,33.7pt" to="71.05pt,23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" strokecolor="#bc4542 [3045]"/>
            </w:pict>
          </mc:Fallback>
        </mc:AlternateContent>
      </w:r>
      <w:r>
        <w:rPr>
          <w:noProof/>
        </w:rPr>
        <mc:AlternateContent>
          <mc:Choice Requires="wps">
            <w:drawing>
              <wp:anchor distT="0" distB="0" distL="114300" distR="114300" simplePos="0" relativeHeight="251659264" behindDoc="0" locked="0" layoutInCell="1" allowOverlap="1" wp14:anchorId="1FACDE71" wp14:editId="45DE641A">
                <wp:simplePos x="0" y="0"/>
                <wp:positionH relativeFrom="column">
                  <wp:posOffset>365760</wp:posOffset>
                </wp:positionH>
                <wp:positionV relativeFrom="paragraph">
                  <wp:posOffset>2704465</wp:posOffset>
                </wp:positionV>
                <wp:extent cx="609600" cy="295275"/>
                <wp:effectExtent l="0" t="0" r="0" b="9525"/>
                <wp:wrapNone/>
                <wp:docPr id="1499316615" name="Text Box 2"/>
                <wp:cNvGraphicFramePr/>
                <a:graphic xmlns:a="http://schemas.openxmlformats.org/drawingml/2006/main">
                  <a:graphicData uri="http://schemas.microsoft.com/office/word/2010/wordprocessingShape">
                    <wps:wsp>
                      <wps:cNvSpPr txBox="1"/>
                      <wps:spPr>
                        <a:xfrm>
                          <a:off x="0" y="0"/>
                          <a:ext cx="609600" cy="295275"/>
                        </a:xfrm>
                        <a:prstGeom prst="rect">
                          <a:avLst/>
                        </a:prstGeom>
                        <a:solidFill>
                          <a:schemeClr val="lt1"/>
                        </a:solidFill>
                        <a:ln w="6350">
                          <a:noFill/>
                        </a:ln>
                      </wps:spPr>
                      <wps:txbx>
                        <w:txbxContent>
                          <w:p w14:paraId="46AB98C1" w14:textId="77777777" w:rsidR="004346F2" w:rsidRPr="00E9161D" w:rsidRDefault="004346F2" w:rsidP="00410F8D">
                            <w:pPr>
                              <w:pStyle w:val="Tabletext"/>
                              <w:rPr>
                                <w:b/>
                                <w:bCs/>
                                <w:sz w:val="18"/>
                                <w:szCs w:val="14"/>
                                <w:lang w:val="en-US"/>
                              </w:rPr>
                            </w:pPr>
                            <w:r w:rsidRPr="00410F8D">
                              <w:rPr>
                                <w:b/>
                                <w:bCs/>
                                <w:sz w:val="18"/>
                                <w:szCs w:val="18"/>
                                <w:lang w:val="en-US"/>
                              </w:rPr>
                              <w:t>2022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ACDE71" id="_x0000_s1029" type="#_x0000_t202" style="position:absolute;left:0;text-align:left;margin-left:28.8pt;margin-top:212.95pt;width:48pt;height:23.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" fillcolor="white [3201]" stroked="f" strokeweight=".5pt">
                <v:textbox>
                  <w:txbxContent>
                    <w:p w14:paraId="46AB98C1" w14:textId="77777777" w:rsidR="004346F2" w:rsidRPr="00E9161D" w:rsidRDefault="004346F2" w:rsidP="00410F8D">
                      <w:pPr>
                        <w:pStyle w:val="Tabletext"/>
                        <w:rPr>
                          <w:b/>
                          <w:bCs/>
                          <w:sz w:val="18"/>
                          <w:szCs w:val="14"/>
                          <w:lang w:val="en-US"/>
                        </w:rPr>
                      </w:pPr>
                      <w:r w:rsidRPr="00410F8D">
                        <w:rPr>
                          <w:b/>
                          <w:bCs/>
                          <w:sz w:val="18"/>
                          <w:szCs w:val="18"/>
                          <w:lang w:val="en-US"/>
                        </w:rPr>
                        <w:t>2022</w:t>
                      </w:r>
                    </w:p>
                  </w:txbxContent>
                </v:textbox>
              </v:shape>
            </w:pict>
          </mc:Fallback>
        </mc:AlternateContent>
      </w:r>
      <w:r w:rsidRPr="0015293D">
        <w:rPr>
          <w:noProof/>
        </w:rPr>
        <mc:AlternateContent>
          <mc:Choice Requires="cx4">
            <w:drawing>
              <wp:inline distT="0" distB="0" distL="0" distR="0" wp14:anchorId="7FB3051F" wp14:editId="55A62F1D">
                <wp:extent cx="6067425" cy="2752725"/>
                <wp:effectExtent l="0" t="0" r="9525" b="9525"/>
                <wp:docPr id="1264297370" name="Chart 2"/>
                <wp:cNvGraphicFramePr/>
                <a:graphic xmlns:a="http://schemas.openxmlformats.org/drawingml/2006/main">
                  <a:graphicData uri="http://schemas.microsoft.com/office/drawing/2014/chartex">
                    <cx:chart xmlns:cx="http://schemas.microsoft.com/office/drawing/2014/chartex" xmlns:r="http://schemas.openxmlformats.org/officeDocument/2006/relationships" r:id="rId13"/>
                  </a:graphicData>
                </a:graphic>
              </wp:inline>
            </w:drawing>
          </mc:Choice>
          <mc:Fallback>
            <w:drawing>
              <wp:inline distT="0" distB="0" distL="0" distR="0" wp14:anchorId="7FB3051F" wp14:editId="55A62F1D">
                <wp:extent cx="6067425" cy="2752725"/>
                <wp:effectExtent l="0" t="0" r="9525" b="9525"/>
                <wp:docPr id="1264297370" name="Chart 2"/>
                <wp:cNvGraphicFramePr>
                  <a:graphicFrameLocks xmlns:a="http://schemas.openxmlformats.org/drawingml/2006/main" noGrp="1" noDrilldown="1" noSelect="1" noChangeAspect="1" noMove="1" noResize="1"/>
                </wp:cNvGraphicFramePr>
                <a:graphic xmlns:a="http://schemas.openxmlformats.org/drawingml/2006/main">
                  <a:graphicData uri="http://schemas.openxmlformats.org/drawingml/2006/picture">
                    <pic:pic xmlns:pic="http://schemas.openxmlformats.org/drawingml/2006/picture">
                      <pic:nvPicPr>
                        <pic:cNvPr id="1264297370" name="Chart 2"/>
                        <pic:cNvPicPr>
                          <a:picLocks noGrp="1" noRot="1" noChangeAspect="1" noMove="1" noResize="1" noEditPoints="1" noAdjustHandles="1" noChangeArrowheads="1" noChangeShapeType="1"/>
                        </pic:cNvPicPr>
                      </pic:nvPicPr>
                      <pic:blipFill>
                        <a:blip r:embed="rId14"/>
                        <a:stretch>
                          <a:fillRect/>
                        </a:stretch>
                      </pic:blipFill>
                      <pic:spPr>
                        <a:xfrm>
                          <a:off x="0" y="0"/>
                          <a:ext cx="6067425" cy="2752725"/>
                        </a:xfrm>
                        <a:prstGeom prst="rect">
                          <a:avLst/>
                        </a:prstGeom>
                      </pic:spPr>
                    </pic:pic>
                  </a:graphicData>
                </a:graphic>
              </wp:inline>
            </w:drawing>
          </mc:Fallback>
        </mc:AlternateContent>
      </w:r>
    </w:p>
    <w:p w14:paraId="5A1456B1" w14:textId="77777777" w:rsidR="004346F2" w:rsidRDefault="004346F2" w:rsidP="00403C69">
      <w:pPr>
        <w:jc w:val="center"/>
        <w:rPr>
          <w:szCs w:val="24"/>
        </w:rPr>
      </w:pPr>
    </w:p>
    <w:p w14:paraId="3BC75234" w14:textId="3CB0771B" w:rsidR="004346F2" w:rsidRDefault="004346F2" w:rsidP="004346F2">
      <w:pPr>
        <w:rPr>
          <w:szCs w:val="24"/>
        </w:rPr>
      </w:pPr>
    </w:p>
    <w:p w14:paraId="5B49D623" w14:textId="4BF62345" w:rsidR="004346F2" w:rsidRPr="00C51C01" w:rsidRDefault="004346F2" w:rsidP="004346F2">
      <w:pPr>
        <w:spacing w:after="120"/>
        <w:ind w:firstLineChars="200" w:firstLine="482"/>
        <w:rPr>
          <w:rFonts w:ascii="Calibri" w:hAnsi="Calibri" w:cs="Arial"/>
          <w:lang w:eastAsia="zh-CN"/>
        </w:rPr>
      </w:pPr>
      <w:r w:rsidRPr="00077AD4">
        <w:rPr>
          <w:b/>
          <w:bCs/>
          <w:lang w:val="zh-CN" w:eastAsia="zh-CN"/>
        </w:rPr>
        <w:t>图</w:t>
      </w:r>
      <w:r w:rsidRPr="00077AD4">
        <w:rPr>
          <w:b/>
          <w:bCs/>
          <w:lang w:val="zh-CN" w:eastAsia="zh-CN"/>
        </w:rPr>
        <w:t>2</w:t>
      </w:r>
      <w:r>
        <w:rPr>
          <w:lang w:val="zh-CN" w:eastAsia="zh-CN"/>
        </w:rPr>
        <w:t>详细说明了</w:t>
      </w:r>
      <w:r>
        <w:rPr>
          <w:lang w:val="zh-CN" w:eastAsia="zh-CN"/>
        </w:rPr>
        <w:t>ITU-D</w:t>
      </w:r>
      <w:r>
        <w:rPr>
          <w:lang w:val="zh-CN" w:eastAsia="zh-CN"/>
        </w:rPr>
        <w:t>部门成员和部门准成员自</w:t>
      </w:r>
      <w:r>
        <w:rPr>
          <w:lang w:val="zh-CN" w:eastAsia="zh-CN"/>
        </w:rPr>
        <w:t>2023</w:t>
      </w:r>
      <w:r>
        <w:rPr>
          <w:lang w:val="zh-CN" w:eastAsia="zh-CN"/>
        </w:rPr>
        <w:t>年以来的持续增长，反映了部门成员和部门准成员的增长和流失情况。截至</w:t>
      </w:r>
      <w:r>
        <w:rPr>
          <w:lang w:val="zh-CN" w:eastAsia="zh-CN"/>
        </w:rPr>
        <w:t>202</w:t>
      </w:r>
      <w:r>
        <w:rPr>
          <w:rFonts w:hint="eastAsia"/>
          <w:lang w:val="zh-CN" w:eastAsia="zh-CN"/>
        </w:rPr>
        <w:t>5</w:t>
      </w:r>
      <w:r>
        <w:rPr>
          <w:lang w:val="zh-CN" w:eastAsia="zh-CN"/>
        </w:rPr>
        <w:t>年</w:t>
      </w:r>
      <w:r>
        <w:rPr>
          <w:lang w:val="zh-CN" w:eastAsia="zh-CN"/>
        </w:rPr>
        <w:t>12</w:t>
      </w:r>
      <w:r>
        <w:rPr>
          <w:lang w:val="zh-CN" w:eastAsia="zh-CN"/>
        </w:rPr>
        <w:t>月，</w:t>
      </w:r>
      <w:r>
        <w:rPr>
          <w:lang w:val="zh-CN" w:eastAsia="zh-CN"/>
        </w:rPr>
        <w:t>ITU-D</w:t>
      </w:r>
      <w:r>
        <w:rPr>
          <w:lang w:val="zh-CN" w:eastAsia="zh-CN"/>
        </w:rPr>
        <w:t>共吸纳了</w:t>
      </w:r>
      <w:r w:rsidRPr="00077AD4">
        <w:rPr>
          <w:rFonts w:hint="eastAsia"/>
          <w:b/>
          <w:bCs/>
          <w:lang w:val="zh-CN" w:eastAsia="zh-CN"/>
        </w:rPr>
        <w:t>三十三</w:t>
      </w:r>
      <w:r w:rsidRPr="00077AD4">
        <w:rPr>
          <w:b/>
          <w:bCs/>
          <w:lang w:val="zh-CN" w:eastAsia="zh-CN"/>
        </w:rPr>
        <w:t>个新成员</w:t>
      </w:r>
      <w:r>
        <w:rPr>
          <w:lang w:val="zh-CN" w:eastAsia="zh-CN"/>
        </w:rPr>
        <w:t>。</w:t>
      </w:r>
      <w:r>
        <w:rPr>
          <w:lang w:val="zh-CN" w:eastAsia="zh-CN"/>
        </w:rPr>
        <w:t>202</w:t>
      </w:r>
      <w:r>
        <w:rPr>
          <w:rFonts w:hint="eastAsia"/>
          <w:lang w:val="zh-CN" w:eastAsia="zh-CN"/>
        </w:rPr>
        <w:t>5</w:t>
      </w:r>
      <w:r>
        <w:rPr>
          <w:lang w:val="zh-CN" w:eastAsia="zh-CN"/>
        </w:rPr>
        <w:t>年，</w:t>
      </w:r>
      <w:r>
        <w:rPr>
          <w:lang w:val="zh-CN" w:eastAsia="zh-CN"/>
        </w:rPr>
        <w:t>ITU-D</w:t>
      </w:r>
      <w:r>
        <w:rPr>
          <w:lang w:val="zh-CN" w:eastAsia="zh-CN"/>
        </w:rPr>
        <w:t>部门成员和部门准成员总数达到过去</w:t>
      </w:r>
      <w:r w:rsidRPr="00077AD4">
        <w:rPr>
          <w:b/>
          <w:bCs/>
          <w:lang w:val="zh-CN" w:eastAsia="zh-CN"/>
        </w:rPr>
        <w:t>十</w:t>
      </w:r>
      <w:r w:rsidRPr="00077AD4">
        <w:rPr>
          <w:rFonts w:hint="eastAsia"/>
          <w:b/>
          <w:bCs/>
          <w:lang w:val="zh-CN" w:eastAsia="zh-CN"/>
        </w:rPr>
        <w:t>五</w:t>
      </w:r>
      <w:r w:rsidRPr="00077AD4">
        <w:rPr>
          <w:b/>
          <w:bCs/>
          <w:lang w:val="zh-CN" w:eastAsia="zh-CN"/>
        </w:rPr>
        <w:t>年</w:t>
      </w:r>
      <w:r>
        <w:rPr>
          <w:lang w:val="zh-CN" w:eastAsia="zh-CN"/>
        </w:rPr>
        <w:t>来的最高水平。</w:t>
      </w:r>
      <w:r>
        <w:rPr>
          <w:lang w:val="zh-CN" w:eastAsia="zh-CN"/>
        </w:rPr>
        <w:t>2025</w:t>
      </w:r>
      <w:r>
        <w:rPr>
          <w:lang w:val="zh-CN" w:eastAsia="zh-CN"/>
        </w:rPr>
        <w:t>年，整个国际电联的</w:t>
      </w:r>
      <w:proofErr w:type="gramStart"/>
      <w:r w:rsidRPr="00077AD4">
        <w:rPr>
          <w:b/>
          <w:bCs/>
          <w:lang w:val="zh-CN" w:eastAsia="zh-CN"/>
        </w:rPr>
        <w:t>净正收入</w:t>
      </w:r>
      <w:proofErr w:type="gramEnd"/>
      <w:r w:rsidRPr="00077AD4">
        <w:rPr>
          <w:b/>
          <w:bCs/>
          <w:lang w:val="zh-CN" w:eastAsia="zh-CN"/>
        </w:rPr>
        <w:t>变化</w:t>
      </w:r>
      <w:r>
        <w:rPr>
          <w:lang w:val="zh-CN" w:eastAsia="zh-CN"/>
        </w:rPr>
        <w:t>最大，净收入增加</w:t>
      </w:r>
      <w:r w:rsidRPr="00077AD4">
        <w:rPr>
          <w:b/>
          <w:bCs/>
          <w:lang w:val="zh-CN" w:eastAsia="zh-CN"/>
        </w:rPr>
        <w:t>75</w:t>
      </w:r>
      <w:r w:rsidR="000037AB">
        <w:rPr>
          <w:b/>
          <w:bCs/>
          <w:lang w:val="en-US" w:eastAsia="zh-CN"/>
        </w:rPr>
        <w:t> </w:t>
      </w:r>
      <w:r w:rsidRPr="00077AD4">
        <w:rPr>
          <w:b/>
          <w:bCs/>
          <w:lang w:val="zh-CN" w:eastAsia="zh-CN"/>
        </w:rPr>
        <w:t>525</w:t>
      </w:r>
      <w:r w:rsidRPr="00077AD4">
        <w:rPr>
          <w:b/>
          <w:bCs/>
          <w:lang w:val="zh-CN" w:eastAsia="zh-CN"/>
        </w:rPr>
        <w:t>瑞郎</w:t>
      </w:r>
      <w:r>
        <w:rPr>
          <w:lang w:val="zh-CN" w:eastAsia="zh-CN"/>
        </w:rPr>
        <w:t>。</w:t>
      </w:r>
      <w:r>
        <w:rPr>
          <w:lang w:val="zh-CN" w:eastAsia="zh-CN"/>
        </w:rPr>
        <w:t>202</w:t>
      </w:r>
      <w:r>
        <w:rPr>
          <w:rFonts w:hint="eastAsia"/>
          <w:lang w:val="zh-CN" w:eastAsia="zh-CN"/>
        </w:rPr>
        <w:t>5</w:t>
      </w:r>
      <w:r>
        <w:rPr>
          <w:lang w:val="zh-CN" w:eastAsia="zh-CN"/>
        </w:rPr>
        <w:t>年</w:t>
      </w:r>
      <w:r>
        <w:rPr>
          <w:lang w:val="zh-CN" w:eastAsia="zh-CN"/>
        </w:rPr>
        <w:t>ITU-D</w:t>
      </w:r>
      <w:r>
        <w:rPr>
          <w:lang w:val="zh-CN" w:eastAsia="zh-CN"/>
        </w:rPr>
        <w:t>新成员数量最多的</w:t>
      </w:r>
      <w:r>
        <w:rPr>
          <w:lang w:val="zh-CN" w:eastAsia="zh-CN"/>
        </w:rPr>
        <w:t>BDT</w:t>
      </w:r>
      <w:r>
        <w:rPr>
          <w:lang w:val="zh-CN" w:eastAsia="zh-CN"/>
        </w:rPr>
        <w:t>区域是</w:t>
      </w:r>
      <w:r>
        <w:rPr>
          <w:rFonts w:hint="eastAsia"/>
          <w:lang w:val="zh-CN" w:eastAsia="zh-CN"/>
        </w:rPr>
        <w:t>亚太</w:t>
      </w:r>
      <w:r>
        <w:rPr>
          <w:lang w:val="zh-CN" w:eastAsia="zh-CN"/>
        </w:rPr>
        <w:t>区域，有</w:t>
      </w:r>
      <w:r>
        <w:rPr>
          <w:rFonts w:hint="eastAsia"/>
          <w:lang w:val="zh-CN" w:eastAsia="zh-CN"/>
        </w:rPr>
        <w:t>八</w:t>
      </w:r>
      <w:r>
        <w:rPr>
          <w:lang w:val="zh-CN" w:eastAsia="zh-CN"/>
        </w:rPr>
        <w:t>个新成员，其次是</w:t>
      </w:r>
      <w:r>
        <w:rPr>
          <w:rFonts w:hint="eastAsia"/>
          <w:lang w:val="zh-CN" w:eastAsia="zh-CN"/>
        </w:rPr>
        <w:t>美洲区域</w:t>
      </w:r>
      <w:r>
        <w:rPr>
          <w:lang w:val="zh-CN" w:eastAsia="zh-CN"/>
        </w:rPr>
        <w:t>，有</w:t>
      </w:r>
      <w:r>
        <w:rPr>
          <w:rFonts w:hint="eastAsia"/>
          <w:lang w:val="zh-CN" w:eastAsia="zh-CN"/>
        </w:rPr>
        <w:t>七</w:t>
      </w:r>
      <w:r>
        <w:rPr>
          <w:lang w:val="zh-CN" w:eastAsia="zh-CN"/>
        </w:rPr>
        <w:t>个新成员，</w:t>
      </w:r>
      <w:r>
        <w:rPr>
          <w:rFonts w:hint="eastAsia"/>
          <w:lang w:val="zh-CN" w:eastAsia="zh-CN"/>
        </w:rPr>
        <w:t>欧洲有六个新成员，</w:t>
      </w:r>
      <w:r>
        <w:rPr>
          <w:lang w:val="zh-CN" w:eastAsia="zh-CN"/>
        </w:rPr>
        <w:t>非洲有</w:t>
      </w:r>
      <w:r>
        <w:rPr>
          <w:rFonts w:hint="eastAsia"/>
          <w:lang w:val="zh-CN" w:eastAsia="zh-CN"/>
        </w:rPr>
        <w:t>四</w:t>
      </w:r>
      <w:r>
        <w:rPr>
          <w:lang w:val="zh-CN" w:eastAsia="zh-CN"/>
        </w:rPr>
        <w:t>个新成员，</w:t>
      </w:r>
      <w:r>
        <w:rPr>
          <w:lang w:eastAsia="zh-CN"/>
        </w:rPr>
        <w:t>阿拉伯国家和独联体区域各有两</w:t>
      </w:r>
      <w:r>
        <w:rPr>
          <w:rFonts w:hint="eastAsia"/>
          <w:lang w:eastAsia="zh-CN"/>
        </w:rPr>
        <w:t>个</w:t>
      </w:r>
      <w:r>
        <w:rPr>
          <w:lang w:eastAsia="zh-CN"/>
        </w:rPr>
        <w:t>新成员</w:t>
      </w:r>
      <w:r>
        <w:rPr>
          <w:rFonts w:ascii="SimSun" w:hAnsi="SimSun" w:cs="SimSun" w:hint="eastAsia"/>
          <w:lang w:eastAsia="zh-CN"/>
        </w:rPr>
        <w:t>，</w:t>
      </w:r>
      <w:r>
        <w:rPr>
          <w:lang w:val="zh-CN" w:eastAsia="zh-CN"/>
        </w:rPr>
        <w:t>还有</w:t>
      </w:r>
      <w:r>
        <w:rPr>
          <w:rFonts w:hint="eastAsia"/>
          <w:lang w:val="zh-CN" w:eastAsia="zh-CN"/>
        </w:rPr>
        <w:t>四</w:t>
      </w:r>
      <w:r>
        <w:rPr>
          <w:lang w:val="zh-CN" w:eastAsia="zh-CN"/>
        </w:rPr>
        <w:t>个</w:t>
      </w:r>
      <w:r>
        <w:rPr>
          <w:rFonts w:hint="eastAsia"/>
          <w:lang w:val="zh-CN" w:eastAsia="zh-CN"/>
        </w:rPr>
        <w:t>新</w:t>
      </w:r>
      <w:r>
        <w:rPr>
          <w:lang w:val="zh-CN" w:eastAsia="zh-CN"/>
        </w:rPr>
        <w:t>成员作为区域性组织或国际组织（</w:t>
      </w:r>
      <w:r>
        <w:rPr>
          <w:lang w:val="zh-CN" w:eastAsia="zh-CN"/>
        </w:rPr>
        <w:t>REGINTORG</w:t>
      </w:r>
      <w:r>
        <w:rPr>
          <w:lang w:val="zh-CN" w:eastAsia="zh-CN"/>
        </w:rPr>
        <w:t>）加入。</w:t>
      </w:r>
    </w:p>
    <w:p w14:paraId="3AA8F354" w14:textId="77777777" w:rsidR="004346F2" w:rsidRPr="000E5296" w:rsidRDefault="004346F2" w:rsidP="004346F2">
      <w:pPr>
        <w:spacing w:after="120"/>
        <w:ind w:firstLineChars="200" w:firstLine="480"/>
        <w:rPr>
          <w:rFonts w:ascii="Calibri" w:hAnsi="Calibri" w:cs="Arial"/>
          <w:lang w:eastAsia="zh-CN"/>
        </w:rPr>
      </w:pPr>
      <w:r>
        <w:rPr>
          <w:lang w:val="zh-CN" w:eastAsia="zh-CN"/>
        </w:rPr>
        <w:t>ITU-D</w:t>
      </w:r>
      <w:r>
        <w:rPr>
          <w:lang w:val="zh-CN" w:eastAsia="zh-CN"/>
        </w:rPr>
        <w:t>成员的持续增长源于通过</w:t>
      </w:r>
      <w:r>
        <w:rPr>
          <w:rFonts w:hint="eastAsia"/>
          <w:lang w:val="zh-CN" w:eastAsia="zh-CN"/>
        </w:rPr>
        <w:t>若干关键</w:t>
      </w:r>
      <w:r>
        <w:rPr>
          <w:lang w:val="zh-CN" w:eastAsia="zh-CN"/>
        </w:rPr>
        <w:t>行动加强宣传工作</w:t>
      </w:r>
      <w:r>
        <w:rPr>
          <w:rFonts w:hint="eastAsia"/>
          <w:lang w:val="zh-CN" w:eastAsia="zh-CN"/>
        </w:rPr>
        <w:t>。</w:t>
      </w:r>
      <w:r>
        <w:rPr>
          <w:lang w:val="zh-CN" w:eastAsia="zh-CN"/>
        </w:rPr>
        <w:t>这些</w:t>
      </w:r>
      <w:r>
        <w:rPr>
          <w:rFonts w:hint="eastAsia"/>
          <w:lang w:val="zh-CN" w:eastAsia="zh-CN"/>
        </w:rPr>
        <w:t>行动</w:t>
      </w:r>
      <w:r>
        <w:rPr>
          <w:lang w:val="zh-CN" w:eastAsia="zh-CN"/>
        </w:rPr>
        <w:t>包括邀请嘉宾和观察员体验</w:t>
      </w:r>
      <w:r>
        <w:rPr>
          <w:lang w:val="zh-CN" w:eastAsia="zh-CN"/>
        </w:rPr>
        <w:t>ITU-D</w:t>
      </w:r>
      <w:r>
        <w:rPr>
          <w:lang w:val="zh-CN" w:eastAsia="zh-CN"/>
        </w:rPr>
        <w:t>成员专享的活动，加强电信发展局内部工作人员的能力，以便有效地向外部利益攸关方宣传国际电联成员的好处，在重大全球活动中开展宣传活动，并将伙伴关系价值主张纳入统一的成员和伙伴关系福利方案。最后，加强对数据驱动工具和信息概览的使用，能够对有风险的成员帐户采取有针对性的行动，使他们重新参与进来，从而留住了更多成员并实现了成员的净增长。</w:t>
      </w:r>
    </w:p>
    <w:p w14:paraId="7E8BA598" w14:textId="67A8389F" w:rsidR="004346F2" w:rsidRDefault="004346F2" w:rsidP="004346F2">
      <w:pPr>
        <w:spacing w:after="120"/>
        <w:ind w:firstLineChars="200" w:firstLine="480"/>
        <w:rPr>
          <w:b/>
          <w:bCs/>
          <w:noProof/>
          <w:lang w:eastAsia="zh-CN"/>
        </w:rPr>
      </w:pPr>
      <w:r w:rsidRPr="00077AD4">
        <w:rPr>
          <w:rFonts w:hint="eastAsia"/>
          <w:lang w:val="zh-CN" w:eastAsia="zh-CN"/>
        </w:rPr>
        <w:t>2025</w:t>
      </w:r>
      <w:r w:rsidRPr="00077AD4">
        <w:rPr>
          <w:rFonts w:hint="eastAsia"/>
          <w:lang w:val="zh-CN" w:eastAsia="zh-CN"/>
        </w:rPr>
        <w:t>年的成员变动情况清单见</w:t>
      </w:r>
      <w:hyperlink r:id="rId15" w:history="1">
        <w:r w:rsidRPr="004346F2">
          <w:rPr>
            <w:rStyle w:val="Hyperlink"/>
            <w:rFonts w:hint="eastAsia"/>
            <w:lang w:val="zh-CN" w:eastAsia="zh-CN"/>
          </w:rPr>
          <w:t>TDAG-26/INF/2</w:t>
        </w:r>
      </w:hyperlink>
      <w:r w:rsidRPr="00077AD4">
        <w:rPr>
          <w:rFonts w:hint="eastAsia"/>
          <w:lang w:val="zh-CN" w:eastAsia="zh-CN"/>
        </w:rPr>
        <w:t>号文件。</w:t>
      </w:r>
      <w:hyperlink r:id="rId16" w:history="1"/>
    </w:p>
    <w:p w14:paraId="70087E32" w14:textId="17AB7F60" w:rsidR="004346F2" w:rsidRPr="008C317F" w:rsidRDefault="004346F2" w:rsidP="008C317F">
      <w:pPr>
        <w:pStyle w:val="Heading2"/>
      </w:pPr>
      <w:r w:rsidRPr="008C317F">
        <w:rPr>
          <w:rFonts w:hint="eastAsia"/>
        </w:rPr>
        <w:t>2.</w:t>
      </w:r>
      <w:r w:rsidRPr="008C317F">
        <w:t>2</w:t>
      </w:r>
      <w:r w:rsidRPr="008C317F">
        <w:tab/>
      </w:r>
      <w:proofErr w:type="spellStart"/>
      <w:r w:rsidRPr="008C317F">
        <w:t>豁免费用请求</w:t>
      </w:r>
      <w:proofErr w:type="spellEnd"/>
    </w:p>
    <w:p w14:paraId="00BC604D" w14:textId="20E394EC" w:rsidR="004346F2" w:rsidRDefault="004346F2" w:rsidP="00900129">
      <w:pPr>
        <w:tabs>
          <w:tab w:val="left" w:pos="567"/>
          <w:tab w:val="left" w:pos="1701"/>
        </w:tabs>
        <w:ind w:firstLineChars="200" w:firstLine="480"/>
        <w:rPr>
          <w:lang w:eastAsia="zh-CN"/>
        </w:rPr>
      </w:pPr>
      <w:r>
        <w:rPr>
          <w:lang w:val="zh-CN" w:eastAsia="zh-CN"/>
        </w:rPr>
        <w:t>电信发展局继续按照《公约》第</w:t>
      </w:r>
      <w:r>
        <w:rPr>
          <w:lang w:val="zh-CN" w:eastAsia="zh-CN"/>
        </w:rPr>
        <w:t>476</w:t>
      </w:r>
      <w:r>
        <w:rPr>
          <w:lang w:val="zh-CN" w:eastAsia="zh-CN"/>
        </w:rPr>
        <w:t>款以及国际电联理事会的标准（见</w:t>
      </w:r>
      <w:r w:rsidR="003351C1">
        <w:rPr>
          <w:u w:val="single"/>
          <w:lang w:val="zh-CN" w:eastAsia="zh-CN"/>
        </w:rPr>
        <w:fldChar w:fldCharType="begin"/>
      </w:r>
      <w:r w:rsidR="003351C1">
        <w:rPr>
          <w:u w:val="single"/>
          <w:lang w:val="zh-CN" w:eastAsia="zh-CN"/>
        </w:rPr>
        <w:instrText xml:space="preserve"> HYPERLINK "https://www.itu.int/hub/membership/our-members/exempted-entities/exemption-criteria/" </w:instrText>
      </w:r>
      <w:r w:rsidR="003351C1">
        <w:rPr>
          <w:u w:val="single"/>
          <w:lang w:val="zh-CN" w:eastAsia="zh-CN"/>
        </w:rPr>
      </w:r>
      <w:r w:rsidR="003351C1">
        <w:rPr>
          <w:u w:val="single"/>
          <w:lang w:val="zh-CN" w:eastAsia="zh-CN"/>
        </w:rPr>
        <w:fldChar w:fldCharType="separate"/>
      </w:r>
      <w:r w:rsidRPr="003351C1">
        <w:rPr>
          <w:rStyle w:val="Hyperlink"/>
          <w:lang w:val="zh-CN" w:eastAsia="zh-CN"/>
        </w:rPr>
        <w:t>此处</w:t>
      </w:r>
      <w:r w:rsidR="003351C1">
        <w:rPr>
          <w:u w:val="single"/>
          <w:lang w:val="zh-CN" w:eastAsia="zh-CN"/>
        </w:rPr>
        <w:fldChar w:fldCharType="end"/>
      </w:r>
      <w:r>
        <w:rPr>
          <w:lang w:val="zh-CN" w:eastAsia="zh-CN"/>
        </w:rPr>
        <w:t>）审查豁免费用的请求。国际电联理事会</w:t>
      </w:r>
      <w:r>
        <w:rPr>
          <w:lang w:val="zh-CN" w:eastAsia="zh-CN"/>
        </w:rPr>
        <w:t>202</w:t>
      </w:r>
      <w:r>
        <w:rPr>
          <w:rFonts w:hint="eastAsia"/>
          <w:lang w:val="zh-CN" w:eastAsia="zh-CN"/>
        </w:rPr>
        <w:t>5</w:t>
      </w:r>
      <w:r>
        <w:rPr>
          <w:lang w:val="zh-CN" w:eastAsia="zh-CN"/>
        </w:rPr>
        <w:t>年会议批准</w:t>
      </w:r>
      <w:r w:rsidRPr="003351C1">
        <w:rPr>
          <w:rFonts w:hint="eastAsia"/>
          <w:b/>
          <w:bCs/>
          <w:lang w:val="zh-CN" w:eastAsia="zh-CN"/>
        </w:rPr>
        <w:t>三</w:t>
      </w:r>
      <w:r w:rsidRPr="00F84FE6">
        <w:rPr>
          <w:b/>
          <w:bCs/>
          <w:lang w:val="zh-CN" w:eastAsia="zh-CN"/>
        </w:rPr>
        <w:t>个</w:t>
      </w:r>
      <w:r>
        <w:rPr>
          <w:lang w:val="zh-CN" w:eastAsia="zh-CN"/>
        </w:rPr>
        <w:t>组织作为免予支付的成员加入</w:t>
      </w:r>
      <w:r>
        <w:rPr>
          <w:lang w:val="zh-CN" w:eastAsia="zh-CN"/>
        </w:rPr>
        <w:t>ITU-D</w:t>
      </w:r>
      <w:r>
        <w:rPr>
          <w:lang w:val="zh-CN" w:eastAsia="zh-CN"/>
        </w:rPr>
        <w:t>：</w:t>
      </w:r>
      <w:hyperlink r:id="rId17" w:history="1"/>
    </w:p>
    <w:p w14:paraId="76B17CDB" w14:textId="4F34A10C" w:rsidR="003351C1" w:rsidRDefault="003351C1" w:rsidP="003351C1">
      <w:pPr>
        <w:pStyle w:val="enumlev1"/>
        <w:rPr>
          <w:lang w:val="zh-CN" w:eastAsia="zh-CN"/>
        </w:rPr>
      </w:pPr>
      <w:r w:rsidRPr="003351C1">
        <w:rPr>
          <w:lang w:val="zh-CN" w:eastAsia="zh-CN"/>
        </w:rPr>
        <w:t>–</w:t>
      </w:r>
      <w:r>
        <w:rPr>
          <w:lang w:val="zh-CN" w:eastAsia="zh-CN"/>
        </w:rPr>
        <w:tab/>
      </w:r>
      <w:r w:rsidR="004346F2">
        <w:rPr>
          <w:lang w:val="zh-CN" w:eastAsia="zh-CN"/>
        </w:rPr>
        <w:t>网络研究所</w:t>
      </w:r>
    </w:p>
    <w:p w14:paraId="5D5670E3" w14:textId="4628EDFA" w:rsidR="003351C1" w:rsidRDefault="003351C1" w:rsidP="003351C1">
      <w:pPr>
        <w:pStyle w:val="enumlev1"/>
        <w:rPr>
          <w:lang w:val="zh-CN" w:eastAsia="zh-CN"/>
        </w:rPr>
      </w:pPr>
      <w:r w:rsidRPr="003351C1">
        <w:rPr>
          <w:lang w:val="zh-CN" w:eastAsia="zh-CN"/>
        </w:rPr>
        <w:t>–</w:t>
      </w:r>
      <w:r>
        <w:rPr>
          <w:lang w:val="zh-CN" w:eastAsia="zh-CN"/>
        </w:rPr>
        <w:tab/>
      </w:r>
      <w:r w:rsidR="004346F2">
        <w:rPr>
          <w:lang w:val="zh-CN" w:eastAsia="zh-CN"/>
        </w:rPr>
        <w:t>航天一代咨询理事会</w:t>
      </w:r>
      <w:r w:rsidR="004346F2">
        <w:rPr>
          <w:rFonts w:hint="eastAsia"/>
          <w:lang w:val="zh-CN" w:eastAsia="zh-CN"/>
        </w:rPr>
        <w:t>（</w:t>
      </w:r>
      <w:r w:rsidR="004346F2">
        <w:rPr>
          <w:rFonts w:ascii="Calibri" w:hAnsi="Calibri" w:cs="Arial"/>
          <w:lang w:eastAsia="zh-CN"/>
        </w:rPr>
        <w:t>SGAC</w:t>
      </w:r>
      <w:r w:rsidR="004346F2">
        <w:rPr>
          <w:rFonts w:hint="eastAsia"/>
          <w:lang w:val="zh-CN" w:eastAsia="zh-CN"/>
        </w:rPr>
        <w:t>）</w:t>
      </w:r>
    </w:p>
    <w:p w14:paraId="20FC1CF6" w14:textId="124BE262" w:rsidR="003351C1" w:rsidRDefault="003351C1" w:rsidP="003351C1">
      <w:pPr>
        <w:pStyle w:val="enumlev1"/>
        <w:rPr>
          <w:lang w:val="zh-CN" w:eastAsia="zh-CN"/>
        </w:rPr>
      </w:pPr>
      <w:r w:rsidRPr="003351C1">
        <w:rPr>
          <w:lang w:val="zh-CN" w:eastAsia="zh-CN"/>
        </w:rPr>
        <w:t>–</w:t>
      </w:r>
      <w:r>
        <w:rPr>
          <w:lang w:val="zh-CN" w:eastAsia="zh-CN"/>
        </w:rPr>
        <w:tab/>
      </w:r>
      <w:r w:rsidR="004346F2">
        <w:rPr>
          <w:lang w:val="zh-CN" w:eastAsia="zh-CN"/>
        </w:rPr>
        <w:t>伊斯兰世界教育、科学及文化组织（</w:t>
      </w:r>
      <w:r w:rsidR="004346F2">
        <w:rPr>
          <w:lang w:val="zh-CN" w:eastAsia="zh-CN"/>
        </w:rPr>
        <w:t>ICESCO</w:t>
      </w:r>
      <w:r w:rsidR="004346F2">
        <w:rPr>
          <w:lang w:val="zh-CN" w:eastAsia="zh-CN"/>
        </w:rPr>
        <w:t>）</w:t>
      </w:r>
    </w:p>
    <w:p w14:paraId="534B122B" w14:textId="4700754C" w:rsidR="004346F2" w:rsidRPr="008C317F" w:rsidRDefault="004346F2" w:rsidP="008C317F">
      <w:pPr>
        <w:pStyle w:val="Heading2"/>
      </w:pPr>
      <w:r w:rsidRPr="008C317F">
        <w:lastRenderedPageBreak/>
        <w:t>2.3</w:t>
      </w:r>
      <w:r w:rsidRPr="008C317F">
        <w:tab/>
      </w:r>
      <w:proofErr w:type="spellStart"/>
      <w:r w:rsidRPr="008C317F">
        <w:t>待批准</w:t>
      </w:r>
      <w:proofErr w:type="spellEnd"/>
      <w:r w:rsidRPr="008C317F">
        <w:t xml:space="preserve"> </w:t>
      </w:r>
      <w:r w:rsidR="003351C1" w:rsidRPr="008C317F">
        <w:t>–</w:t>
      </w:r>
      <w:r w:rsidRPr="008C317F">
        <w:t xml:space="preserve"> ITU-D</w:t>
      </w:r>
      <w:proofErr w:type="spellStart"/>
      <w:r w:rsidRPr="008C317F">
        <w:t>部门成员和部门准成员</w:t>
      </w:r>
      <w:proofErr w:type="spellEnd"/>
    </w:p>
    <w:p w14:paraId="0204D371" w14:textId="77777777" w:rsidR="004346F2" w:rsidRDefault="004346F2" w:rsidP="003C5106">
      <w:pPr>
        <w:keepNext/>
        <w:keepLines/>
        <w:spacing w:after="120"/>
        <w:ind w:firstLineChars="200" w:firstLine="480"/>
        <w:rPr>
          <w:noProof/>
          <w:lang w:eastAsia="zh-CN"/>
        </w:rPr>
      </w:pPr>
      <w:r>
        <w:rPr>
          <w:lang w:val="zh-CN" w:eastAsia="zh-CN"/>
        </w:rPr>
        <w:t>截至</w:t>
      </w:r>
      <w:r>
        <w:rPr>
          <w:lang w:val="zh-CN" w:eastAsia="zh-CN"/>
        </w:rPr>
        <w:t>2025</w:t>
      </w:r>
      <w:r>
        <w:rPr>
          <w:lang w:val="zh-CN" w:eastAsia="zh-CN"/>
        </w:rPr>
        <w:t>年</w:t>
      </w:r>
      <w:r>
        <w:rPr>
          <w:rFonts w:hint="eastAsia"/>
          <w:lang w:val="zh-CN" w:eastAsia="zh-CN"/>
        </w:rPr>
        <w:t>12</w:t>
      </w:r>
      <w:r>
        <w:rPr>
          <w:lang w:val="zh-CN" w:eastAsia="zh-CN"/>
        </w:rPr>
        <w:t>月，有</w:t>
      </w:r>
      <w:r w:rsidRPr="00F84FE6">
        <w:rPr>
          <w:rFonts w:hint="eastAsia"/>
          <w:b/>
          <w:bCs/>
          <w:lang w:val="zh-CN" w:eastAsia="zh-CN"/>
        </w:rPr>
        <w:t>七</w:t>
      </w:r>
      <w:r w:rsidRPr="00F84FE6">
        <w:rPr>
          <w:b/>
          <w:bCs/>
          <w:lang w:val="zh-CN" w:eastAsia="zh-CN"/>
        </w:rPr>
        <w:t>个实体</w:t>
      </w:r>
      <w:r>
        <w:rPr>
          <w:lang w:val="zh-CN" w:eastAsia="zh-CN"/>
        </w:rPr>
        <w:t>正在</w:t>
      </w:r>
      <w:r w:rsidRPr="00F84FE6">
        <w:rPr>
          <w:b/>
          <w:bCs/>
          <w:lang w:val="zh-CN" w:eastAsia="zh-CN"/>
        </w:rPr>
        <w:t>等待</w:t>
      </w:r>
      <w:r>
        <w:rPr>
          <w:lang w:val="zh-CN" w:eastAsia="zh-CN"/>
        </w:rPr>
        <w:t>各自主管部门的</w:t>
      </w:r>
      <w:r w:rsidRPr="00F84FE6">
        <w:rPr>
          <w:b/>
          <w:bCs/>
          <w:lang w:val="zh-CN" w:eastAsia="zh-CN"/>
        </w:rPr>
        <w:t>批准</w:t>
      </w:r>
      <w:r>
        <w:rPr>
          <w:lang w:val="zh-CN" w:eastAsia="zh-CN"/>
        </w:rPr>
        <w:t>。我们感谢私营部门实体的主管部门，他们对</w:t>
      </w:r>
      <w:r>
        <w:rPr>
          <w:lang w:val="zh-CN" w:eastAsia="zh-CN"/>
        </w:rPr>
        <w:t>ITU-D</w:t>
      </w:r>
      <w:r>
        <w:rPr>
          <w:lang w:val="zh-CN" w:eastAsia="zh-CN"/>
        </w:rPr>
        <w:t>成员资格申请给予了应有的关注和审查。</w:t>
      </w:r>
    </w:p>
    <w:tbl>
      <w:tblPr>
        <w:tblW w:w="9609" w:type="dxa"/>
        <w:tblLayout w:type="fixed"/>
        <w:tblLook w:val="04A0" w:firstRow="1" w:lastRow="0" w:firstColumn="1" w:lastColumn="0" w:noHBand="0" w:noVBand="1"/>
      </w:tblPr>
      <w:tblGrid>
        <w:gridCol w:w="4815"/>
        <w:gridCol w:w="1984"/>
        <w:gridCol w:w="2810"/>
      </w:tblGrid>
      <w:tr w:rsidR="004346F2" w:rsidRPr="003351C1" w14:paraId="0264CF5F" w14:textId="77777777" w:rsidTr="003C5106">
        <w:trPr>
          <w:trHeight w:val="288"/>
        </w:trPr>
        <w:tc>
          <w:tcPr>
            <w:tcW w:w="4815" w:type="dxa"/>
            <w:tcBorders>
              <w:top w:val="single" w:sz="4" w:space="0" w:color="44B3E1"/>
              <w:left w:val="single" w:sz="4" w:space="0" w:color="44B3E1"/>
              <w:bottom w:val="single" w:sz="4" w:space="0" w:color="auto"/>
              <w:right w:val="nil"/>
            </w:tcBorders>
            <w:shd w:val="clear" w:color="156082" w:fill="156082"/>
            <w:noWrap/>
            <w:vAlign w:val="bottom"/>
            <w:hideMark/>
          </w:tcPr>
          <w:p w14:paraId="0E304509" w14:textId="77777777" w:rsidR="004346F2" w:rsidRPr="002D544C" w:rsidRDefault="004346F2" w:rsidP="003C5106">
            <w:pPr>
              <w:pStyle w:val="Tabletext"/>
              <w:keepNext/>
              <w:keepLines/>
              <w:rPr>
                <w:rFonts w:cstheme="minorHAnsi"/>
                <w:b/>
                <w:bCs/>
                <w:color w:val="FFFFFF"/>
                <w:sz w:val="21"/>
                <w:szCs w:val="21"/>
              </w:rPr>
            </w:pPr>
            <w:proofErr w:type="spellStart"/>
            <w:r w:rsidRPr="002D544C">
              <w:rPr>
                <w:b/>
                <w:bCs/>
                <w:color w:val="FFFFFF" w:themeColor="background1"/>
                <w:sz w:val="21"/>
                <w:szCs w:val="21"/>
                <w:lang w:val="zh-CN"/>
              </w:rPr>
              <w:t>账户名称</w:t>
            </w:r>
            <w:proofErr w:type="spellEnd"/>
          </w:p>
        </w:tc>
        <w:tc>
          <w:tcPr>
            <w:tcW w:w="1984" w:type="dxa"/>
            <w:tcBorders>
              <w:top w:val="single" w:sz="4" w:space="0" w:color="44B3E1"/>
              <w:left w:val="nil"/>
              <w:bottom w:val="single" w:sz="4" w:space="0" w:color="auto"/>
              <w:right w:val="nil"/>
            </w:tcBorders>
            <w:shd w:val="clear" w:color="156082" w:fill="156082"/>
            <w:noWrap/>
            <w:vAlign w:val="bottom"/>
            <w:hideMark/>
          </w:tcPr>
          <w:p w14:paraId="6CD51979" w14:textId="77777777" w:rsidR="004346F2" w:rsidRPr="002D544C" w:rsidRDefault="004346F2" w:rsidP="003C5106">
            <w:pPr>
              <w:pStyle w:val="Tabletext"/>
              <w:keepNext/>
              <w:keepLines/>
              <w:rPr>
                <w:rFonts w:cstheme="minorHAnsi"/>
                <w:b/>
                <w:bCs/>
                <w:color w:val="FFFFFF"/>
                <w:sz w:val="21"/>
                <w:szCs w:val="21"/>
              </w:rPr>
            </w:pPr>
            <w:proofErr w:type="spellStart"/>
            <w:r w:rsidRPr="002D544C">
              <w:rPr>
                <w:b/>
                <w:bCs/>
                <w:color w:val="FFFFFF" w:themeColor="background1"/>
                <w:sz w:val="21"/>
                <w:szCs w:val="21"/>
                <w:lang w:val="zh-CN"/>
              </w:rPr>
              <w:t>国家</w:t>
            </w:r>
            <w:proofErr w:type="spellEnd"/>
          </w:p>
        </w:tc>
        <w:tc>
          <w:tcPr>
            <w:tcW w:w="2810" w:type="dxa"/>
            <w:tcBorders>
              <w:top w:val="single" w:sz="4" w:space="0" w:color="44B3E1"/>
              <w:left w:val="nil"/>
              <w:bottom w:val="single" w:sz="4" w:space="0" w:color="auto"/>
              <w:right w:val="single" w:sz="4" w:space="0" w:color="44B3E1"/>
            </w:tcBorders>
            <w:shd w:val="clear" w:color="156082" w:fill="156082"/>
            <w:noWrap/>
            <w:vAlign w:val="bottom"/>
            <w:hideMark/>
          </w:tcPr>
          <w:p w14:paraId="463F386F" w14:textId="77777777" w:rsidR="004346F2" w:rsidRPr="002D544C" w:rsidRDefault="004346F2" w:rsidP="003C5106">
            <w:pPr>
              <w:pStyle w:val="Tabletext"/>
              <w:keepNext/>
              <w:keepLines/>
              <w:rPr>
                <w:rFonts w:cstheme="minorHAnsi"/>
                <w:b/>
                <w:bCs/>
                <w:color w:val="FFFFFF"/>
                <w:sz w:val="21"/>
                <w:szCs w:val="21"/>
              </w:rPr>
            </w:pPr>
            <w:proofErr w:type="spellStart"/>
            <w:r w:rsidRPr="002D544C">
              <w:rPr>
                <w:b/>
                <w:bCs/>
                <w:color w:val="FFFFFF" w:themeColor="background1"/>
                <w:sz w:val="21"/>
                <w:szCs w:val="21"/>
                <w:lang w:val="zh-CN"/>
              </w:rPr>
              <w:t>成员类型</w:t>
            </w:r>
            <w:proofErr w:type="spellEnd"/>
          </w:p>
        </w:tc>
      </w:tr>
      <w:tr w:rsidR="004346F2" w:rsidRPr="003351C1" w14:paraId="0B7F0BAC" w14:textId="77777777" w:rsidTr="003C5106">
        <w:trPr>
          <w:trHeight w:val="288"/>
        </w:trPr>
        <w:tc>
          <w:tcPr>
            <w:tcW w:w="4815" w:type="dxa"/>
            <w:tcBorders>
              <w:top w:val="single" w:sz="4" w:space="0" w:color="44B3E1"/>
              <w:left w:val="single" w:sz="4" w:space="0" w:color="44B3E1"/>
              <w:bottom w:val="single" w:sz="4" w:space="0" w:color="44B3E1"/>
              <w:right w:val="nil"/>
            </w:tcBorders>
            <w:shd w:val="clear" w:color="C0E6F5" w:fill="C0E6F5"/>
            <w:noWrap/>
            <w:vAlign w:val="bottom"/>
            <w:hideMark/>
          </w:tcPr>
          <w:p w14:paraId="70742934" w14:textId="77777777" w:rsidR="004346F2" w:rsidRPr="002D544C" w:rsidRDefault="004346F2" w:rsidP="002D544C">
            <w:pPr>
              <w:pStyle w:val="Tabletext"/>
              <w:rPr>
                <w:rFonts w:cstheme="minorHAnsi"/>
                <w:color w:val="000000"/>
                <w:sz w:val="21"/>
                <w:szCs w:val="21"/>
              </w:rPr>
            </w:pPr>
            <w:r w:rsidRPr="002D544C">
              <w:rPr>
                <w:rFonts w:cstheme="minorHAnsi"/>
                <w:color w:val="000000"/>
                <w:sz w:val="21"/>
                <w:szCs w:val="21"/>
                <w:lang w:eastAsia="en-GB"/>
              </w:rPr>
              <w:t>Motion Technology</w:t>
            </w:r>
          </w:p>
        </w:tc>
        <w:tc>
          <w:tcPr>
            <w:tcW w:w="1984" w:type="dxa"/>
            <w:tcBorders>
              <w:top w:val="single" w:sz="4" w:space="0" w:color="44B3E1"/>
              <w:left w:val="nil"/>
              <w:bottom w:val="single" w:sz="4" w:space="0" w:color="44B3E1"/>
              <w:right w:val="nil"/>
            </w:tcBorders>
            <w:shd w:val="clear" w:color="C0E6F5" w:fill="C0E6F5"/>
            <w:noWrap/>
            <w:vAlign w:val="bottom"/>
            <w:hideMark/>
          </w:tcPr>
          <w:p w14:paraId="335DAADA" w14:textId="77777777" w:rsidR="004346F2" w:rsidRPr="002D544C" w:rsidRDefault="004346F2" w:rsidP="002D544C">
            <w:pPr>
              <w:pStyle w:val="Tabletext"/>
              <w:rPr>
                <w:rFonts w:cstheme="minorHAnsi"/>
                <w:color w:val="000000"/>
                <w:sz w:val="21"/>
                <w:szCs w:val="21"/>
              </w:rPr>
            </w:pPr>
            <w:proofErr w:type="spellStart"/>
            <w:r w:rsidRPr="002D544C">
              <w:rPr>
                <w:color w:val="000000"/>
                <w:sz w:val="21"/>
                <w:szCs w:val="21"/>
                <w:lang w:val="zh-CN"/>
              </w:rPr>
              <w:t>伊拉克</w:t>
            </w:r>
            <w:proofErr w:type="spellEnd"/>
          </w:p>
        </w:tc>
        <w:tc>
          <w:tcPr>
            <w:tcW w:w="2810" w:type="dxa"/>
            <w:tcBorders>
              <w:top w:val="single" w:sz="4" w:space="0" w:color="44B3E1"/>
              <w:left w:val="nil"/>
              <w:bottom w:val="single" w:sz="4" w:space="0" w:color="44B3E1"/>
              <w:right w:val="single" w:sz="4" w:space="0" w:color="44B3E1"/>
            </w:tcBorders>
            <w:shd w:val="clear" w:color="C0E6F5" w:fill="C0E6F5"/>
            <w:noWrap/>
            <w:vAlign w:val="bottom"/>
            <w:hideMark/>
          </w:tcPr>
          <w:p w14:paraId="2B703A73" w14:textId="77777777" w:rsidR="004346F2" w:rsidRPr="002D544C" w:rsidRDefault="004346F2" w:rsidP="002D544C">
            <w:pPr>
              <w:pStyle w:val="Tabletext"/>
              <w:rPr>
                <w:rFonts w:cstheme="minorHAnsi"/>
                <w:color w:val="000000"/>
                <w:sz w:val="21"/>
                <w:szCs w:val="21"/>
                <w:lang w:eastAsia="zh-CN"/>
              </w:rPr>
            </w:pPr>
            <w:r w:rsidRPr="002D544C">
              <w:rPr>
                <w:color w:val="000000"/>
                <w:sz w:val="21"/>
                <w:szCs w:val="21"/>
                <w:lang w:val="zh-CN" w:eastAsia="zh-CN"/>
              </w:rPr>
              <w:t>ITU-D</w:t>
            </w:r>
            <w:r w:rsidRPr="002D544C">
              <w:rPr>
                <w:color w:val="000000"/>
                <w:sz w:val="21"/>
                <w:szCs w:val="21"/>
                <w:lang w:val="zh-CN" w:eastAsia="zh-CN"/>
              </w:rPr>
              <w:t>第</w:t>
            </w:r>
            <w:r w:rsidRPr="002D544C">
              <w:rPr>
                <w:color w:val="000000"/>
                <w:sz w:val="21"/>
                <w:szCs w:val="21"/>
                <w:lang w:val="zh-CN" w:eastAsia="zh-CN"/>
              </w:rPr>
              <w:t>2</w:t>
            </w:r>
            <w:r w:rsidRPr="002D544C">
              <w:rPr>
                <w:color w:val="000000"/>
                <w:sz w:val="21"/>
                <w:szCs w:val="21"/>
                <w:lang w:val="zh-CN" w:eastAsia="zh-CN"/>
              </w:rPr>
              <w:t>研究组部门准成员</w:t>
            </w:r>
          </w:p>
        </w:tc>
      </w:tr>
      <w:tr w:rsidR="004346F2" w:rsidRPr="003351C1" w14:paraId="167A6C0F" w14:textId="77777777" w:rsidTr="003C5106">
        <w:trPr>
          <w:trHeight w:val="288"/>
        </w:trPr>
        <w:tc>
          <w:tcPr>
            <w:tcW w:w="4815" w:type="dxa"/>
            <w:tcBorders>
              <w:top w:val="single" w:sz="4" w:space="0" w:color="44B3E1"/>
              <w:left w:val="single" w:sz="4" w:space="0" w:color="44B3E1"/>
              <w:bottom w:val="single" w:sz="4" w:space="0" w:color="44B3E1"/>
              <w:right w:val="nil"/>
            </w:tcBorders>
            <w:noWrap/>
            <w:vAlign w:val="bottom"/>
            <w:hideMark/>
          </w:tcPr>
          <w:p w14:paraId="23EF7A50" w14:textId="77777777" w:rsidR="004346F2" w:rsidRPr="002D544C" w:rsidRDefault="004346F2" w:rsidP="002D544C">
            <w:pPr>
              <w:pStyle w:val="Tabletext"/>
              <w:rPr>
                <w:rFonts w:cstheme="minorHAnsi"/>
                <w:color w:val="000000"/>
                <w:sz w:val="21"/>
                <w:szCs w:val="21"/>
              </w:rPr>
            </w:pPr>
            <w:proofErr w:type="spellStart"/>
            <w:r w:rsidRPr="002D544C">
              <w:rPr>
                <w:rFonts w:cstheme="minorHAnsi"/>
                <w:color w:val="000000"/>
                <w:sz w:val="21"/>
                <w:szCs w:val="21"/>
                <w:lang w:eastAsia="en-GB"/>
              </w:rPr>
              <w:t>Beteseb</w:t>
            </w:r>
            <w:proofErr w:type="spellEnd"/>
            <w:r w:rsidRPr="002D544C">
              <w:rPr>
                <w:rFonts w:cstheme="minorHAnsi"/>
                <w:color w:val="000000"/>
                <w:sz w:val="21"/>
                <w:szCs w:val="21"/>
                <w:lang w:eastAsia="en-GB"/>
              </w:rPr>
              <w:t xml:space="preserve"> Enterprises</w:t>
            </w:r>
          </w:p>
        </w:tc>
        <w:tc>
          <w:tcPr>
            <w:tcW w:w="1984" w:type="dxa"/>
            <w:tcBorders>
              <w:top w:val="single" w:sz="4" w:space="0" w:color="44B3E1"/>
              <w:left w:val="nil"/>
              <w:bottom w:val="single" w:sz="4" w:space="0" w:color="44B3E1"/>
              <w:right w:val="nil"/>
            </w:tcBorders>
            <w:noWrap/>
            <w:vAlign w:val="bottom"/>
            <w:hideMark/>
          </w:tcPr>
          <w:p w14:paraId="353404B6" w14:textId="77777777" w:rsidR="004346F2" w:rsidRPr="002D544C" w:rsidRDefault="004346F2" w:rsidP="002D544C">
            <w:pPr>
              <w:pStyle w:val="Tabletext"/>
              <w:rPr>
                <w:rFonts w:cstheme="minorHAnsi"/>
                <w:color w:val="000000"/>
                <w:sz w:val="21"/>
                <w:szCs w:val="21"/>
              </w:rPr>
            </w:pPr>
            <w:proofErr w:type="spellStart"/>
            <w:r w:rsidRPr="002D544C">
              <w:rPr>
                <w:color w:val="000000"/>
                <w:sz w:val="21"/>
                <w:szCs w:val="21"/>
                <w:lang w:val="zh-CN"/>
              </w:rPr>
              <w:t>埃塞俄比亚</w:t>
            </w:r>
            <w:proofErr w:type="spellEnd"/>
          </w:p>
        </w:tc>
        <w:tc>
          <w:tcPr>
            <w:tcW w:w="2810" w:type="dxa"/>
            <w:tcBorders>
              <w:top w:val="single" w:sz="4" w:space="0" w:color="44B3E1"/>
              <w:left w:val="nil"/>
              <w:bottom w:val="single" w:sz="4" w:space="0" w:color="44B3E1"/>
              <w:right w:val="single" w:sz="4" w:space="0" w:color="44B3E1"/>
            </w:tcBorders>
            <w:noWrap/>
            <w:vAlign w:val="bottom"/>
            <w:hideMark/>
          </w:tcPr>
          <w:p w14:paraId="27A5960E" w14:textId="77777777" w:rsidR="004346F2" w:rsidRPr="002D544C" w:rsidRDefault="004346F2" w:rsidP="002D544C">
            <w:pPr>
              <w:pStyle w:val="Tabletext"/>
              <w:rPr>
                <w:rFonts w:cstheme="minorHAnsi"/>
                <w:color w:val="000000"/>
                <w:sz w:val="21"/>
                <w:szCs w:val="21"/>
                <w:lang w:eastAsia="zh-CN"/>
              </w:rPr>
            </w:pPr>
            <w:r w:rsidRPr="002D544C">
              <w:rPr>
                <w:color w:val="000000"/>
                <w:sz w:val="21"/>
                <w:szCs w:val="21"/>
                <w:lang w:val="zh-CN" w:eastAsia="zh-CN"/>
              </w:rPr>
              <w:t>ITU-D</w:t>
            </w:r>
            <w:r w:rsidRPr="002D544C">
              <w:rPr>
                <w:color w:val="000000"/>
                <w:sz w:val="21"/>
                <w:szCs w:val="21"/>
                <w:lang w:val="zh-CN" w:eastAsia="zh-CN"/>
              </w:rPr>
              <w:t>第</w:t>
            </w:r>
            <w:r w:rsidRPr="002D544C">
              <w:rPr>
                <w:color w:val="000000"/>
                <w:sz w:val="21"/>
                <w:szCs w:val="21"/>
                <w:lang w:val="zh-CN" w:eastAsia="zh-CN"/>
              </w:rPr>
              <w:t>2</w:t>
            </w:r>
            <w:r w:rsidRPr="002D544C">
              <w:rPr>
                <w:color w:val="000000"/>
                <w:sz w:val="21"/>
                <w:szCs w:val="21"/>
                <w:lang w:val="zh-CN" w:eastAsia="zh-CN"/>
              </w:rPr>
              <w:t>研究组部门准成员</w:t>
            </w:r>
          </w:p>
        </w:tc>
      </w:tr>
      <w:tr w:rsidR="004346F2" w:rsidRPr="003351C1" w14:paraId="5B032C33" w14:textId="77777777" w:rsidTr="003C5106">
        <w:trPr>
          <w:trHeight w:val="288"/>
        </w:trPr>
        <w:tc>
          <w:tcPr>
            <w:tcW w:w="4815" w:type="dxa"/>
            <w:tcBorders>
              <w:top w:val="single" w:sz="4" w:space="0" w:color="44B3E1"/>
              <w:left w:val="single" w:sz="4" w:space="0" w:color="44B3E1"/>
              <w:bottom w:val="single" w:sz="4" w:space="0" w:color="44B3E1"/>
              <w:right w:val="nil"/>
            </w:tcBorders>
            <w:shd w:val="clear" w:color="C0E6F5" w:fill="C0E6F5"/>
            <w:noWrap/>
            <w:vAlign w:val="bottom"/>
            <w:hideMark/>
          </w:tcPr>
          <w:p w14:paraId="71902E2C" w14:textId="77777777" w:rsidR="004346F2" w:rsidRPr="002D544C" w:rsidRDefault="004346F2" w:rsidP="002D544C">
            <w:pPr>
              <w:pStyle w:val="Tabletext"/>
              <w:rPr>
                <w:rFonts w:cstheme="minorHAnsi"/>
                <w:color w:val="000000"/>
                <w:sz w:val="21"/>
                <w:szCs w:val="21"/>
              </w:rPr>
            </w:pPr>
            <w:proofErr w:type="spellStart"/>
            <w:r w:rsidRPr="002D544C">
              <w:rPr>
                <w:rFonts w:cstheme="minorHAnsi"/>
                <w:color w:val="000000"/>
                <w:sz w:val="21"/>
                <w:szCs w:val="21"/>
                <w:lang w:val="fr-FR" w:eastAsia="en-GB"/>
              </w:rPr>
              <w:t>Onward</w:t>
            </w:r>
            <w:proofErr w:type="spellEnd"/>
            <w:r w:rsidRPr="002D544C">
              <w:rPr>
                <w:rFonts w:cstheme="minorHAnsi"/>
                <w:color w:val="000000"/>
                <w:sz w:val="21"/>
                <w:szCs w:val="21"/>
                <w:lang w:val="fr-FR" w:eastAsia="en-GB"/>
              </w:rPr>
              <w:t xml:space="preserve"> Technologies, LLC</w:t>
            </w:r>
          </w:p>
        </w:tc>
        <w:tc>
          <w:tcPr>
            <w:tcW w:w="1984" w:type="dxa"/>
            <w:tcBorders>
              <w:top w:val="single" w:sz="4" w:space="0" w:color="44B3E1"/>
              <w:left w:val="nil"/>
              <w:bottom w:val="single" w:sz="4" w:space="0" w:color="44B3E1"/>
              <w:right w:val="nil"/>
            </w:tcBorders>
            <w:shd w:val="clear" w:color="C0E6F5" w:fill="C0E6F5"/>
            <w:noWrap/>
            <w:vAlign w:val="bottom"/>
            <w:hideMark/>
          </w:tcPr>
          <w:p w14:paraId="43484D10" w14:textId="77777777" w:rsidR="004346F2" w:rsidRPr="002D544C" w:rsidRDefault="004346F2" w:rsidP="002D544C">
            <w:pPr>
              <w:pStyle w:val="Tabletext"/>
              <w:rPr>
                <w:rFonts w:cstheme="minorHAnsi"/>
                <w:color w:val="000000"/>
                <w:sz w:val="21"/>
                <w:szCs w:val="21"/>
              </w:rPr>
            </w:pPr>
            <w:proofErr w:type="spellStart"/>
            <w:r w:rsidRPr="002D544C">
              <w:rPr>
                <w:color w:val="000000"/>
                <w:sz w:val="21"/>
                <w:szCs w:val="21"/>
                <w:lang w:val="zh-CN"/>
              </w:rPr>
              <w:t>美国</w:t>
            </w:r>
            <w:proofErr w:type="spellEnd"/>
          </w:p>
        </w:tc>
        <w:tc>
          <w:tcPr>
            <w:tcW w:w="2810" w:type="dxa"/>
            <w:tcBorders>
              <w:top w:val="single" w:sz="4" w:space="0" w:color="44B3E1"/>
              <w:left w:val="nil"/>
              <w:bottom w:val="single" w:sz="4" w:space="0" w:color="44B3E1"/>
              <w:right w:val="single" w:sz="4" w:space="0" w:color="44B3E1"/>
            </w:tcBorders>
            <w:shd w:val="clear" w:color="C0E6F5" w:fill="C0E6F5"/>
            <w:noWrap/>
            <w:vAlign w:val="bottom"/>
            <w:hideMark/>
          </w:tcPr>
          <w:p w14:paraId="47C13B0D" w14:textId="77777777" w:rsidR="004346F2" w:rsidRPr="002D544C" w:rsidRDefault="004346F2" w:rsidP="002D544C">
            <w:pPr>
              <w:pStyle w:val="Tabletext"/>
              <w:rPr>
                <w:rFonts w:cstheme="minorHAnsi"/>
                <w:color w:val="000000"/>
                <w:sz w:val="21"/>
                <w:szCs w:val="21"/>
                <w:lang w:eastAsia="zh-CN"/>
              </w:rPr>
            </w:pPr>
            <w:r w:rsidRPr="002D544C">
              <w:rPr>
                <w:color w:val="000000"/>
                <w:sz w:val="21"/>
                <w:szCs w:val="21"/>
                <w:lang w:val="zh-CN" w:eastAsia="zh-CN"/>
              </w:rPr>
              <w:t>ITU-D</w:t>
            </w:r>
            <w:r w:rsidRPr="002D544C">
              <w:rPr>
                <w:color w:val="000000"/>
                <w:sz w:val="21"/>
                <w:szCs w:val="21"/>
                <w:lang w:val="zh-CN" w:eastAsia="zh-CN"/>
              </w:rPr>
              <w:t>第</w:t>
            </w:r>
            <w:r w:rsidRPr="002D544C">
              <w:rPr>
                <w:color w:val="000000"/>
                <w:sz w:val="21"/>
                <w:szCs w:val="21"/>
                <w:lang w:val="zh-CN" w:eastAsia="zh-CN"/>
              </w:rPr>
              <w:t>2</w:t>
            </w:r>
            <w:r w:rsidRPr="002D544C">
              <w:rPr>
                <w:color w:val="000000"/>
                <w:sz w:val="21"/>
                <w:szCs w:val="21"/>
                <w:lang w:val="zh-CN" w:eastAsia="zh-CN"/>
              </w:rPr>
              <w:t>研究组部门准成员</w:t>
            </w:r>
          </w:p>
        </w:tc>
      </w:tr>
      <w:tr w:rsidR="004346F2" w:rsidRPr="003351C1" w14:paraId="2622689E" w14:textId="77777777" w:rsidTr="003C5106">
        <w:trPr>
          <w:trHeight w:val="288"/>
        </w:trPr>
        <w:tc>
          <w:tcPr>
            <w:tcW w:w="4815" w:type="dxa"/>
            <w:tcBorders>
              <w:top w:val="single" w:sz="4" w:space="0" w:color="44B3E1"/>
              <w:left w:val="single" w:sz="4" w:space="0" w:color="44B3E1"/>
              <w:bottom w:val="single" w:sz="4" w:space="0" w:color="44B3E1"/>
              <w:right w:val="nil"/>
            </w:tcBorders>
            <w:noWrap/>
            <w:vAlign w:val="bottom"/>
            <w:hideMark/>
          </w:tcPr>
          <w:p w14:paraId="23C38F80" w14:textId="77777777" w:rsidR="004346F2" w:rsidRPr="002D544C" w:rsidRDefault="004346F2" w:rsidP="002D544C">
            <w:pPr>
              <w:pStyle w:val="Tabletext"/>
              <w:rPr>
                <w:rFonts w:cstheme="minorHAnsi"/>
                <w:color w:val="000000"/>
                <w:sz w:val="21"/>
                <w:szCs w:val="21"/>
              </w:rPr>
            </w:pPr>
            <w:r w:rsidRPr="002D544C">
              <w:rPr>
                <w:rFonts w:cstheme="minorHAnsi"/>
                <w:color w:val="000000"/>
                <w:sz w:val="21"/>
                <w:szCs w:val="21"/>
                <w:lang w:eastAsia="en-GB"/>
              </w:rPr>
              <w:t>CPX Holding – LLC – O.P.C</w:t>
            </w:r>
          </w:p>
        </w:tc>
        <w:tc>
          <w:tcPr>
            <w:tcW w:w="1984" w:type="dxa"/>
            <w:tcBorders>
              <w:top w:val="single" w:sz="4" w:space="0" w:color="44B3E1"/>
              <w:left w:val="nil"/>
              <w:bottom w:val="single" w:sz="4" w:space="0" w:color="44B3E1"/>
              <w:right w:val="nil"/>
            </w:tcBorders>
            <w:noWrap/>
            <w:vAlign w:val="bottom"/>
            <w:hideMark/>
          </w:tcPr>
          <w:p w14:paraId="2064D55A" w14:textId="77777777" w:rsidR="004346F2" w:rsidRPr="002D544C" w:rsidRDefault="004346F2" w:rsidP="002D544C">
            <w:pPr>
              <w:pStyle w:val="Tabletext"/>
              <w:rPr>
                <w:rFonts w:cstheme="minorHAnsi"/>
                <w:color w:val="000000"/>
                <w:sz w:val="21"/>
                <w:szCs w:val="21"/>
              </w:rPr>
            </w:pPr>
            <w:proofErr w:type="spellStart"/>
            <w:r w:rsidRPr="002D544C">
              <w:rPr>
                <w:color w:val="000000"/>
                <w:sz w:val="21"/>
                <w:szCs w:val="21"/>
                <w:lang w:val="zh-CN"/>
              </w:rPr>
              <w:t>阿拉伯联合酋长国</w:t>
            </w:r>
            <w:proofErr w:type="spellEnd"/>
          </w:p>
        </w:tc>
        <w:tc>
          <w:tcPr>
            <w:tcW w:w="2810" w:type="dxa"/>
            <w:tcBorders>
              <w:top w:val="single" w:sz="4" w:space="0" w:color="44B3E1"/>
              <w:left w:val="nil"/>
              <w:bottom w:val="single" w:sz="4" w:space="0" w:color="44B3E1"/>
              <w:right w:val="single" w:sz="4" w:space="0" w:color="44B3E1"/>
            </w:tcBorders>
            <w:noWrap/>
            <w:vAlign w:val="bottom"/>
            <w:hideMark/>
          </w:tcPr>
          <w:p w14:paraId="5759ABD8" w14:textId="77777777" w:rsidR="004346F2" w:rsidRPr="002D544C" w:rsidRDefault="004346F2" w:rsidP="002D544C">
            <w:pPr>
              <w:pStyle w:val="Tabletext"/>
              <w:rPr>
                <w:rFonts w:cstheme="minorHAnsi"/>
                <w:color w:val="000000"/>
                <w:sz w:val="21"/>
                <w:szCs w:val="21"/>
              </w:rPr>
            </w:pPr>
            <w:r w:rsidRPr="002D544C">
              <w:rPr>
                <w:color w:val="000000"/>
                <w:sz w:val="21"/>
                <w:szCs w:val="21"/>
                <w:lang w:val="zh-CN"/>
              </w:rPr>
              <w:t>ITU-D</w:t>
            </w:r>
            <w:proofErr w:type="spellStart"/>
            <w:r w:rsidRPr="002D544C">
              <w:rPr>
                <w:color w:val="000000"/>
                <w:sz w:val="21"/>
                <w:szCs w:val="21"/>
                <w:lang w:val="zh-CN"/>
              </w:rPr>
              <w:t>部门成员</w:t>
            </w:r>
            <w:proofErr w:type="spellEnd"/>
          </w:p>
        </w:tc>
      </w:tr>
      <w:tr w:rsidR="004346F2" w:rsidRPr="003351C1" w14:paraId="0800B570" w14:textId="77777777" w:rsidTr="003C5106">
        <w:trPr>
          <w:trHeight w:val="288"/>
        </w:trPr>
        <w:tc>
          <w:tcPr>
            <w:tcW w:w="4815" w:type="dxa"/>
            <w:tcBorders>
              <w:top w:val="single" w:sz="4" w:space="0" w:color="44B3E1"/>
              <w:left w:val="single" w:sz="4" w:space="0" w:color="44B3E1"/>
              <w:bottom w:val="single" w:sz="4" w:space="0" w:color="44B3E1"/>
              <w:right w:val="nil"/>
            </w:tcBorders>
            <w:shd w:val="clear" w:color="auto" w:fill="B6DDE8" w:themeFill="accent5" w:themeFillTint="66"/>
            <w:noWrap/>
            <w:vAlign w:val="bottom"/>
            <w:hideMark/>
          </w:tcPr>
          <w:p w14:paraId="11144580" w14:textId="77777777" w:rsidR="004346F2" w:rsidRPr="002D544C" w:rsidRDefault="004346F2" w:rsidP="002D544C">
            <w:pPr>
              <w:pStyle w:val="Tabletext"/>
              <w:rPr>
                <w:rFonts w:cstheme="minorHAnsi"/>
                <w:color w:val="000000"/>
                <w:sz w:val="21"/>
                <w:szCs w:val="21"/>
              </w:rPr>
            </w:pPr>
            <w:r w:rsidRPr="002D544C">
              <w:rPr>
                <w:rFonts w:cstheme="minorHAnsi"/>
                <w:color w:val="000000"/>
                <w:sz w:val="21"/>
                <w:szCs w:val="21"/>
                <w:lang w:eastAsia="en-GB"/>
              </w:rPr>
              <w:t>Safety for Humanity</w:t>
            </w:r>
          </w:p>
        </w:tc>
        <w:tc>
          <w:tcPr>
            <w:tcW w:w="1984" w:type="dxa"/>
            <w:tcBorders>
              <w:top w:val="single" w:sz="4" w:space="0" w:color="44B3E1"/>
              <w:left w:val="nil"/>
              <w:bottom w:val="single" w:sz="4" w:space="0" w:color="44B3E1"/>
              <w:right w:val="nil"/>
            </w:tcBorders>
            <w:shd w:val="clear" w:color="auto" w:fill="B6DDE8" w:themeFill="accent5" w:themeFillTint="66"/>
            <w:noWrap/>
            <w:vAlign w:val="bottom"/>
            <w:hideMark/>
          </w:tcPr>
          <w:p w14:paraId="51BAF9A5" w14:textId="77777777" w:rsidR="004346F2" w:rsidRPr="002D544C" w:rsidRDefault="004346F2" w:rsidP="002D544C">
            <w:pPr>
              <w:pStyle w:val="Tabletext"/>
              <w:rPr>
                <w:rFonts w:cstheme="minorHAnsi"/>
                <w:color w:val="000000"/>
                <w:sz w:val="21"/>
                <w:szCs w:val="21"/>
              </w:rPr>
            </w:pPr>
            <w:proofErr w:type="spellStart"/>
            <w:r w:rsidRPr="002D544C">
              <w:rPr>
                <w:color w:val="000000"/>
                <w:sz w:val="21"/>
                <w:szCs w:val="21"/>
                <w:lang w:val="zh-CN"/>
              </w:rPr>
              <w:t>喀麦隆</w:t>
            </w:r>
            <w:proofErr w:type="spellEnd"/>
          </w:p>
        </w:tc>
        <w:tc>
          <w:tcPr>
            <w:tcW w:w="2810" w:type="dxa"/>
            <w:tcBorders>
              <w:top w:val="single" w:sz="4" w:space="0" w:color="44B3E1"/>
              <w:left w:val="nil"/>
              <w:bottom w:val="single" w:sz="4" w:space="0" w:color="44B3E1"/>
              <w:right w:val="single" w:sz="4" w:space="0" w:color="44B3E1"/>
            </w:tcBorders>
            <w:shd w:val="clear" w:color="auto" w:fill="B6DDE8" w:themeFill="accent5" w:themeFillTint="66"/>
            <w:noWrap/>
            <w:vAlign w:val="bottom"/>
            <w:hideMark/>
          </w:tcPr>
          <w:p w14:paraId="0D0806FC" w14:textId="77777777" w:rsidR="004346F2" w:rsidRPr="002D544C" w:rsidRDefault="004346F2" w:rsidP="002D544C">
            <w:pPr>
              <w:pStyle w:val="Tabletext"/>
              <w:rPr>
                <w:rFonts w:cstheme="minorHAnsi"/>
                <w:color w:val="000000"/>
                <w:sz w:val="21"/>
                <w:szCs w:val="21"/>
                <w:lang w:eastAsia="zh-CN"/>
              </w:rPr>
            </w:pPr>
            <w:r w:rsidRPr="002D544C">
              <w:rPr>
                <w:color w:val="000000"/>
                <w:sz w:val="21"/>
                <w:szCs w:val="21"/>
                <w:lang w:val="zh-CN" w:eastAsia="zh-CN"/>
              </w:rPr>
              <w:t>ITU-D</w:t>
            </w:r>
            <w:r w:rsidRPr="002D544C">
              <w:rPr>
                <w:color w:val="000000"/>
                <w:sz w:val="21"/>
                <w:szCs w:val="21"/>
                <w:lang w:val="zh-CN" w:eastAsia="zh-CN"/>
              </w:rPr>
              <w:t>第</w:t>
            </w:r>
            <w:r w:rsidRPr="002D544C">
              <w:rPr>
                <w:color w:val="000000"/>
                <w:sz w:val="21"/>
                <w:szCs w:val="21"/>
                <w:lang w:val="zh-CN" w:eastAsia="zh-CN"/>
              </w:rPr>
              <w:t>1</w:t>
            </w:r>
            <w:r w:rsidRPr="002D544C">
              <w:rPr>
                <w:color w:val="000000"/>
                <w:sz w:val="21"/>
                <w:szCs w:val="21"/>
                <w:lang w:val="zh-CN" w:eastAsia="zh-CN"/>
              </w:rPr>
              <w:t>研究组部门准成员</w:t>
            </w:r>
          </w:p>
        </w:tc>
      </w:tr>
      <w:tr w:rsidR="004346F2" w:rsidRPr="003351C1" w14:paraId="4A98B068" w14:textId="77777777" w:rsidTr="003C5106">
        <w:trPr>
          <w:trHeight w:val="288"/>
        </w:trPr>
        <w:tc>
          <w:tcPr>
            <w:tcW w:w="4815" w:type="dxa"/>
            <w:tcBorders>
              <w:top w:val="single" w:sz="4" w:space="0" w:color="44B3E1"/>
              <w:left w:val="single" w:sz="4" w:space="0" w:color="44B3E1"/>
              <w:bottom w:val="single" w:sz="4" w:space="0" w:color="44B3E1"/>
              <w:right w:val="nil"/>
            </w:tcBorders>
            <w:noWrap/>
            <w:vAlign w:val="bottom"/>
          </w:tcPr>
          <w:p w14:paraId="1E3D2C88" w14:textId="77777777" w:rsidR="004346F2" w:rsidRPr="002D544C" w:rsidRDefault="004346F2" w:rsidP="002D544C">
            <w:pPr>
              <w:pStyle w:val="Tabletext"/>
              <w:rPr>
                <w:rFonts w:cstheme="minorHAnsi"/>
                <w:color w:val="000000"/>
                <w:sz w:val="21"/>
                <w:szCs w:val="21"/>
              </w:rPr>
            </w:pPr>
            <w:proofErr w:type="spellStart"/>
            <w:r w:rsidRPr="002D544C">
              <w:rPr>
                <w:rFonts w:cstheme="minorHAnsi"/>
                <w:color w:val="000000"/>
                <w:sz w:val="21"/>
                <w:szCs w:val="21"/>
                <w:lang w:eastAsia="en-GB"/>
              </w:rPr>
              <w:t>Tornet</w:t>
            </w:r>
            <w:proofErr w:type="spellEnd"/>
            <w:r w:rsidRPr="002D544C">
              <w:rPr>
                <w:rFonts w:cstheme="minorHAnsi"/>
                <w:color w:val="000000"/>
                <w:sz w:val="21"/>
                <w:szCs w:val="21"/>
                <w:lang w:eastAsia="en-GB"/>
              </w:rPr>
              <w:t xml:space="preserve"> General Trading and Communication Services</w:t>
            </w:r>
          </w:p>
        </w:tc>
        <w:tc>
          <w:tcPr>
            <w:tcW w:w="1984" w:type="dxa"/>
            <w:tcBorders>
              <w:top w:val="single" w:sz="4" w:space="0" w:color="44B3E1"/>
              <w:left w:val="nil"/>
              <w:bottom w:val="single" w:sz="4" w:space="0" w:color="44B3E1"/>
              <w:right w:val="nil"/>
            </w:tcBorders>
            <w:noWrap/>
            <w:vAlign w:val="bottom"/>
          </w:tcPr>
          <w:p w14:paraId="2BE222A4" w14:textId="77777777" w:rsidR="004346F2" w:rsidRPr="002D544C" w:rsidRDefault="004346F2" w:rsidP="002D544C">
            <w:pPr>
              <w:pStyle w:val="Tabletext"/>
              <w:rPr>
                <w:rFonts w:cstheme="minorHAnsi"/>
                <w:color w:val="000000"/>
                <w:sz w:val="21"/>
                <w:szCs w:val="21"/>
              </w:rPr>
            </w:pPr>
            <w:proofErr w:type="spellStart"/>
            <w:r w:rsidRPr="002D544C">
              <w:rPr>
                <w:color w:val="000000"/>
                <w:sz w:val="21"/>
                <w:szCs w:val="21"/>
                <w:lang w:val="zh-CN"/>
              </w:rPr>
              <w:t>伊拉克</w:t>
            </w:r>
            <w:proofErr w:type="spellEnd"/>
          </w:p>
        </w:tc>
        <w:tc>
          <w:tcPr>
            <w:tcW w:w="2810" w:type="dxa"/>
            <w:tcBorders>
              <w:top w:val="single" w:sz="4" w:space="0" w:color="44B3E1"/>
              <w:left w:val="nil"/>
              <w:bottom w:val="single" w:sz="4" w:space="0" w:color="44B3E1"/>
              <w:right w:val="single" w:sz="4" w:space="0" w:color="44B3E1"/>
            </w:tcBorders>
            <w:noWrap/>
            <w:vAlign w:val="bottom"/>
          </w:tcPr>
          <w:p w14:paraId="1D57C120" w14:textId="77777777" w:rsidR="004346F2" w:rsidRPr="002D544C" w:rsidRDefault="004346F2" w:rsidP="002D544C">
            <w:pPr>
              <w:pStyle w:val="Tabletext"/>
              <w:rPr>
                <w:rFonts w:cstheme="minorHAnsi"/>
                <w:color w:val="000000"/>
                <w:sz w:val="21"/>
                <w:szCs w:val="21"/>
              </w:rPr>
            </w:pPr>
            <w:r w:rsidRPr="002D544C">
              <w:rPr>
                <w:color w:val="000000"/>
                <w:sz w:val="21"/>
                <w:szCs w:val="21"/>
                <w:lang w:val="zh-CN"/>
              </w:rPr>
              <w:t>ITU-D</w:t>
            </w:r>
            <w:proofErr w:type="spellStart"/>
            <w:r w:rsidRPr="002D544C">
              <w:rPr>
                <w:color w:val="000000"/>
                <w:sz w:val="21"/>
                <w:szCs w:val="21"/>
                <w:lang w:val="zh-CN"/>
              </w:rPr>
              <w:t>部门成员</w:t>
            </w:r>
            <w:proofErr w:type="spellEnd"/>
          </w:p>
        </w:tc>
      </w:tr>
      <w:tr w:rsidR="004346F2" w:rsidRPr="003351C1" w14:paraId="723E32EB" w14:textId="77777777" w:rsidTr="003C5106">
        <w:trPr>
          <w:trHeight w:val="288"/>
        </w:trPr>
        <w:tc>
          <w:tcPr>
            <w:tcW w:w="4815" w:type="dxa"/>
            <w:tcBorders>
              <w:top w:val="single" w:sz="4" w:space="0" w:color="44B3E1"/>
              <w:left w:val="single" w:sz="4" w:space="0" w:color="44B3E1"/>
              <w:bottom w:val="single" w:sz="4" w:space="0" w:color="44B3E1"/>
              <w:right w:val="nil"/>
            </w:tcBorders>
            <w:shd w:val="clear" w:color="auto" w:fill="B6DDE8" w:themeFill="accent5" w:themeFillTint="66"/>
            <w:noWrap/>
            <w:vAlign w:val="bottom"/>
          </w:tcPr>
          <w:p w14:paraId="5EB46011" w14:textId="77777777" w:rsidR="004346F2" w:rsidRPr="002D544C" w:rsidRDefault="004346F2" w:rsidP="002D544C">
            <w:pPr>
              <w:pStyle w:val="Tabletext"/>
              <w:rPr>
                <w:rFonts w:cstheme="minorHAnsi"/>
                <w:color w:val="000000"/>
                <w:sz w:val="21"/>
                <w:szCs w:val="21"/>
              </w:rPr>
            </w:pPr>
            <w:proofErr w:type="spellStart"/>
            <w:r w:rsidRPr="002D544C">
              <w:rPr>
                <w:rFonts w:cstheme="minorHAnsi"/>
                <w:color w:val="000000"/>
                <w:sz w:val="21"/>
                <w:szCs w:val="21"/>
                <w:lang w:eastAsia="en-GB"/>
              </w:rPr>
              <w:t>Enerdatics</w:t>
            </w:r>
            <w:proofErr w:type="spellEnd"/>
          </w:p>
        </w:tc>
        <w:tc>
          <w:tcPr>
            <w:tcW w:w="1984" w:type="dxa"/>
            <w:tcBorders>
              <w:top w:val="single" w:sz="4" w:space="0" w:color="44B3E1"/>
              <w:left w:val="nil"/>
              <w:bottom w:val="single" w:sz="4" w:space="0" w:color="44B3E1"/>
              <w:right w:val="nil"/>
            </w:tcBorders>
            <w:shd w:val="clear" w:color="auto" w:fill="B6DDE8" w:themeFill="accent5" w:themeFillTint="66"/>
            <w:noWrap/>
            <w:vAlign w:val="bottom"/>
          </w:tcPr>
          <w:p w14:paraId="48D667A8" w14:textId="77777777" w:rsidR="004346F2" w:rsidRPr="002D544C" w:rsidRDefault="004346F2" w:rsidP="002D544C">
            <w:pPr>
              <w:pStyle w:val="Tabletext"/>
              <w:rPr>
                <w:rFonts w:cstheme="minorHAnsi"/>
                <w:color w:val="000000"/>
                <w:sz w:val="21"/>
                <w:szCs w:val="21"/>
              </w:rPr>
            </w:pPr>
            <w:proofErr w:type="spellStart"/>
            <w:r w:rsidRPr="002D544C">
              <w:rPr>
                <w:color w:val="000000"/>
                <w:sz w:val="21"/>
                <w:szCs w:val="21"/>
                <w:lang w:val="zh-CN"/>
              </w:rPr>
              <w:t>印度</w:t>
            </w:r>
            <w:proofErr w:type="spellEnd"/>
          </w:p>
        </w:tc>
        <w:tc>
          <w:tcPr>
            <w:tcW w:w="2810" w:type="dxa"/>
            <w:tcBorders>
              <w:top w:val="single" w:sz="4" w:space="0" w:color="44B3E1"/>
              <w:left w:val="nil"/>
              <w:bottom w:val="single" w:sz="4" w:space="0" w:color="44B3E1"/>
              <w:right w:val="single" w:sz="4" w:space="0" w:color="44B3E1"/>
            </w:tcBorders>
            <w:shd w:val="clear" w:color="auto" w:fill="B6DDE8" w:themeFill="accent5" w:themeFillTint="66"/>
            <w:noWrap/>
            <w:vAlign w:val="bottom"/>
          </w:tcPr>
          <w:p w14:paraId="64537F0E" w14:textId="77777777" w:rsidR="004346F2" w:rsidRPr="002D544C" w:rsidRDefault="004346F2" w:rsidP="002D544C">
            <w:pPr>
              <w:pStyle w:val="Tabletext"/>
              <w:rPr>
                <w:rFonts w:cstheme="minorHAnsi"/>
                <w:color w:val="000000"/>
                <w:sz w:val="21"/>
                <w:szCs w:val="21"/>
                <w:lang w:eastAsia="zh-CN"/>
              </w:rPr>
            </w:pPr>
            <w:r w:rsidRPr="002D544C">
              <w:rPr>
                <w:color w:val="000000"/>
                <w:sz w:val="21"/>
                <w:szCs w:val="21"/>
                <w:lang w:val="zh-CN" w:eastAsia="zh-CN"/>
              </w:rPr>
              <w:t>ITU-D</w:t>
            </w:r>
            <w:r w:rsidRPr="002D544C">
              <w:rPr>
                <w:color w:val="000000"/>
                <w:sz w:val="21"/>
                <w:szCs w:val="21"/>
                <w:lang w:val="zh-CN" w:eastAsia="zh-CN"/>
              </w:rPr>
              <w:t>第</w:t>
            </w:r>
            <w:r w:rsidRPr="002D544C">
              <w:rPr>
                <w:color w:val="000000"/>
                <w:sz w:val="21"/>
                <w:szCs w:val="21"/>
                <w:lang w:val="zh-CN" w:eastAsia="zh-CN"/>
              </w:rPr>
              <w:t>1</w:t>
            </w:r>
            <w:r w:rsidRPr="002D544C">
              <w:rPr>
                <w:color w:val="000000"/>
                <w:sz w:val="21"/>
                <w:szCs w:val="21"/>
                <w:lang w:val="zh-CN" w:eastAsia="zh-CN"/>
              </w:rPr>
              <w:t>研究组部门准成员</w:t>
            </w:r>
          </w:p>
        </w:tc>
      </w:tr>
    </w:tbl>
    <w:p w14:paraId="0696781A" w14:textId="404BECA0" w:rsidR="003351C1" w:rsidRPr="00306331" w:rsidRDefault="003351C1" w:rsidP="008C317F">
      <w:pPr>
        <w:pStyle w:val="Heading2"/>
        <w:spacing w:after="120"/>
        <w:rPr>
          <w:lang w:val="en-US" w:eastAsia="zh-CN"/>
        </w:rPr>
      </w:pPr>
      <w:r>
        <w:rPr>
          <w:lang w:val="en-US" w:eastAsia="zh-CN"/>
        </w:rPr>
        <w:t>2.4</w:t>
      </w:r>
      <w:r>
        <w:rPr>
          <w:lang w:val="en-US" w:eastAsia="zh-CN"/>
        </w:rPr>
        <w:tab/>
      </w:r>
      <w:r>
        <w:rPr>
          <w:rFonts w:hint="eastAsia"/>
          <w:lang w:val="en-US" w:eastAsia="zh-CN"/>
        </w:rPr>
        <w:t>学术成员</w:t>
      </w:r>
      <w:r w:rsidRPr="3E6B2E16">
        <w:rPr>
          <w:vertAlign w:val="superscript"/>
          <w:lang w:val="en-US" w:eastAsia="zh-CN"/>
        </w:rPr>
        <w:footnoteReference w:id="4"/>
      </w:r>
    </w:p>
    <w:p w14:paraId="558A29CD" w14:textId="77777777" w:rsidR="003351C1" w:rsidRDefault="003351C1" w:rsidP="00CF28E4">
      <w:pPr>
        <w:pStyle w:val="Tabletitle"/>
        <w:rPr>
          <w:noProof/>
        </w:rPr>
      </w:pPr>
      <w:r w:rsidRPr="00306331">
        <w:rPr>
          <w:noProof/>
          <w:szCs w:val="24"/>
          <w:lang w:val="en-US" w:eastAsia="zh-CN"/>
        </w:rPr>
        <mc:AlternateContent>
          <mc:Choice Requires="wps">
            <w:drawing>
              <wp:anchor distT="45720" distB="45720" distL="114300" distR="114300" simplePos="0" relativeHeight="251672576" behindDoc="0" locked="0" layoutInCell="1" allowOverlap="1" wp14:anchorId="58ADBB60" wp14:editId="1BFA409F">
                <wp:simplePos x="0" y="0"/>
                <wp:positionH relativeFrom="column">
                  <wp:posOffset>323850</wp:posOffset>
                </wp:positionH>
                <wp:positionV relativeFrom="paragraph">
                  <wp:posOffset>2331085</wp:posOffset>
                </wp:positionV>
                <wp:extent cx="563880" cy="1404620"/>
                <wp:effectExtent l="0" t="0" r="0" b="0"/>
                <wp:wrapNone/>
                <wp:docPr id="21080679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3880" cy="1404620"/>
                        </a:xfrm>
                        <a:prstGeom prst="rect">
                          <a:avLst/>
                        </a:prstGeom>
                        <a:noFill/>
                        <a:ln w="9525">
                          <a:noFill/>
                          <a:miter lim="800000"/>
                          <a:headEnd/>
                          <a:tailEnd/>
                        </a:ln>
                      </wps:spPr>
                      <wps:txbx>
                        <w:txbxContent>
                          <w:p w14:paraId="32E34C70" w14:textId="77777777" w:rsidR="003351C1" w:rsidRPr="003351C1" w:rsidRDefault="003351C1" w:rsidP="003351C1">
                            <w:pPr>
                              <w:spacing w:before="0"/>
                              <w:jc w:val="center"/>
                              <w:rPr>
                                <w:rFonts w:ascii="Calibri" w:hAnsi="Calibri" w:cs="Calibri"/>
                                <w:sz w:val="18"/>
                                <w:szCs w:val="14"/>
                              </w:rPr>
                            </w:pPr>
                            <w:r w:rsidRPr="003351C1">
                              <w:rPr>
                                <w:rFonts w:ascii="Calibri" w:hAnsi="Calibri" w:cs="Calibri"/>
                                <w:sz w:val="18"/>
                                <w:szCs w:val="14"/>
                              </w:rPr>
                              <w:t>2022</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8ADBB60" id="_x0000_s1030" type="#_x0000_t202" style="position:absolute;left:0;text-align:left;margin-left:25.5pt;margin-top:183.55pt;width:44.4pt;height:110.6pt;z-index:25167257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" filled="f" stroked="f">
                <v:textbox style="mso-fit-shape-to-text:t">
                  <w:txbxContent>
                    <w:p w14:paraId="32E34C70" w14:textId="77777777" w:rsidR="003351C1" w:rsidRPr="003351C1" w:rsidRDefault="003351C1" w:rsidP="003351C1">
                      <w:pPr>
                        <w:spacing w:before="0"/>
                        <w:jc w:val="center"/>
                        <w:rPr>
                          <w:rFonts w:ascii="Calibri" w:hAnsi="Calibri" w:cs="Calibri"/>
                          <w:sz w:val="18"/>
                          <w:szCs w:val="14"/>
                        </w:rPr>
                      </w:pPr>
                      <w:r w:rsidRPr="003351C1">
                        <w:rPr>
                          <w:rFonts w:ascii="Calibri" w:hAnsi="Calibri" w:cs="Calibri"/>
                          <w:sz w:val="18"/>
                          <w:szCs w:val="14"/>
                        </w:rPr>
                        <w:t>2022</w:t>
                      </w:r>
                    </w:p>
                  </w:txbxContent>
                </v:textbox>
              </v:shape>
            </w:pict>
          </mc:Fallback>
        </mc:AlternateContent>
      </w:r>
      <w:r w:rsidRPr="00306331">
        <w:rPr>
          <w:noProof/>
          <w:szCs w:val="24"/>
          <w:lang w:val="en-US" w:eastAsia="zh-CN"/>
        </w:rPr>
        <mc:AlternateContent>
          <mc:Choice Requires="wps">
            <w:drawing>
              <wp:anchor distT="45720" distB="45720" distL="114300" distR="114300" simplePos="0" relativeHeight="251667456" behindDoc="0" locked="0" layoutInCell="1" allowOverlap="1" wp14:anchorId="6A8DD911" wp14:editId="5ECD620D">
                <wp:simplePos x="0" y="0"/>
                <wp:positionH relativeFrom="column">
                  <wp:posOffset>1377950</wp:posOffset>
                </wp:positionH>
                <wp:positionV relativeFrom="paragraph">
                  <wp:posOffset>2347595</wp:posOffset>
                </wp:positionV>
                <wp:extent cx="563880" cy="1404620"/>
                <wp:effectExtent l="0" t="0" r="0" b="0"/>
                <wp:wrapNone/>
                <wp:docPr id="36262090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3880" cy="1404620"/>
                        </a:xfrm>
                        <a:prstGeom prst="rect">
                          <a:avLst/>
                        </a:prstGeom>
                        <a:noFill/>
                        <a:ln w="9525">
                          <a:noFill/>
                          <a:miter lim="800000"/>
                          <a:headEnd/>
                          <a:tailEnd/>
                        </a:ln>
                      </wps:spPr>
                      <wps:txbx>
                        <w:txbxContent>
                          <w:p w14:paraId="53276B58" w14:textId="77777777" w:rsidR="003351C1" w:rsidRPr="003351C1" w:rsidRDefault="003351C1" w:rsidP="003351C1">
                            <w:pPr>
                              <w:spacing w:before="0"/>
                              <w:jc w:val="center"/>
                              <w:rPr>
                                <w:rFonts w:ascii="Calibri" w:hAnsi="Calibri" w:cs="Calibri"/>
                                <w:sz w:val="18"/>
                                <w:szCs w:val="14"/>
                              </w:rPr>
                            </w:pPr>
                            <w:r w:rsidRPr="003351C1">
                              <w:rPr>
                                <w:rFonts w:ascii="Calibri" w:hAnsi="Calibri" w:cs="Calibri"/>
                                <w:sz w:val="18"/>
                                <w:szCs w:val="14"/>
                              </w:rPr>
                              <w:t>2023</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A8DD911" id="_x0000_s1031" type="#_x0000_t202" style="position:absolute;left:0;text-align:left;margin-left:108.5pt;margin-top:184.85pt;width:44.4pt;height:110.6pt;z-index:25166745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" filled="f" stroked="f">
                <v:textbox style="mso-fit-shape-to-text:t">
                  <w:txbxContent>
                    <w:p w14:paraId="53276B58" w14:textId="77777777" w:rsidR="003351C1" w:rsidRPr="003351C1" w:rsidRDefault="003351C1" w:rsidP="003351C1">
                      <w:pPr>
                        <w:spacing w:before="0"/>
                        <w:jc w:val="center"/>
                        <w:rPr>
                          <w:rFonts w:ascii="Calibri" w:hAnsi="Calibri" w:cs="Calibri"/>
                          <w:sz w:val="18"/>
                          <w:szCs w:val="14"/>
                        </w:rPr>
                      </w:pPr>
                      <w:r w:rsidRPr="003351C1">
                        <w:rPr>
                          <w:rFonts w:ascii="Calibri" w:hAnsi="Calibri" w:cs="Calibri"/>
                          <w:sz w:val="18"/>
                          <w:szCs w:val="14"/>
                        </w:rPr>
                        <w:t>2023</w:t>
                      </w:r>
                    </w:p>
                  </w:txbxContent>
                </v:textbox>
              </v:shape>
            </w:pict>
          </mc:Fallback>
        </mc:AlternateContent>
      </w:r>
      <w:r w:rsidRPr="00306331">
        <w:rPr>
          <w:noProof/>
          <w:szCs w:val="24"/>
          <w:lang w:val="en-US" w:eastAsia="zh-CN"/>
        </w:rPr>
        <mc:AlternateContent>
          <mc:Choice Requires="wps">
            <w:drawing>
              <wp:anchor distT="45720" distB="45720" distL="114300" distR="114300" simplePos="0" relativeHeight="251669504" behindDoc="0" locked="0" layoutInCell="1" allowOverlap="1" wp14:anchorId="083776C0" wp14:editId="52D3580D">
                <wp:simplePos x="0" y="0"/>
                <wp:positionH relativeFrom="margin">
                  <wp:posOffset>4835525</wp:posOffset>
                </wp:positionH>
                <wp:positionV relativeFrom="paragraph">
                  <wp:posOffset>2312670</wp:posOffset>
                </wp:positionV>
                <wp:extent cx="563880" cy="1404620"/>
                <wp:effectExtent l="0" t="0" r="0" b="0"/>
                <wp:wrapNone/>
                <wp:docPr id="1909495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3880" cy="1404620"/>
                        </a:xfrm>
                        <a:prstGeom prst="rect">
                          <a:avLst/>
                        </a:prstGeom>
                        <a:noFill/>
                        <a:ln w="9525">
                          <a:noFill/>
                          <a:miter lim="800000"/>
                          <a:headEnd/>
                          <a:tailEnd/>
                        </a:ln>
                      </wps:spPr>
                      <wps:txbx>
                        <w:txbxContent>
                          <w:p w14:paraId="0922C7CC" w14:textId="77777777" w:rsidR="003351C1" w:rsidRPr="003351C1" w:rsidRDefault="003351C1" w:rsidP="003351C1">
                            <w:pPr>
                              <w:spacing w:before="0"/>
                              <w:jc w:val="center"/>
                              <w:rPr>
                                <w:rFonts w:ascii="Calibri" w:hAnsi="Calibri" w:cs="Calibri"/>
                                <w:sz w:val="18"/>
                                <w:szCs w:val="14"/>
                              </w:rPr>
                            </w:pPr>
                            <w:r w:rsidRPr="003351C1">
                              <w:rPr>
                                <w:rFonts w:ascii="Calibri" w:hAnsi="Calibri" w:cs="Calibri"/>
                                <w:sz w:val="18"/>
                                <w:szCs w:val="14"/>
                              </w:rPr>
                              <w:t>2025</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83776C0" id="_x0000_s1032" type="#_x0000_t202" style="position:absolute;left:0;text-align:left;margin-left:380.75pt;margin-top:182.1pt;width:44.4pt;height:110.6pt;z-index:25166950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" filled="f" stroked="f">
                <v:textbox style="mso-fit-shape-to-text:t">
                  <w:txbxContent>
                    <w:p w14:paraId="0922C7CC" w14:textId="77777777" w:rsidR="003351C1" w:rsidRPr="003351C1" w:rsidRDefault="003351C1" w:rsidP="003351C1">
                      <w:pPr>
                        <w:spacing w:before="0"/>
                        <w:jc w:val="center"/>
                        <w:rPr>
                          <w:rFonts w:ascii="Calibri" w:hAnsi="Calibri" w:cs="Calibri"/>
                          <w:sz w:val="18"/>
                          <w:szCs w:val="14"/>
                        </w:rPr>
                      </w:pPr>
                      <w:r w:rsidRPr="003351C1">
                        <w:rPr>
                          <w:rFonts w:ascii="Calibri" w:hAnsi="Calibri" w:cs="Calibri"/>
                          <w:sz w:val="18"/>
                          <w:szCs w:val="14"/>
                        </w:rPr>
                        <w:t>2025</w:t>
                      </w:r>
                    </w:p>
                  </w:txbxContent>
                </v:textbox>
                <w10:wrap anchorx="margin"/>
              </v:shape>
            </w:pict>
          </mc:Fallback>
        </mc:AlternateContent>
      </w:r>
      <w:r w:rsidRPr="00306331">
        <w:rPr>
          <w:noProof/>
          <w:szCs w:val="24"/>
          <w:lang w:val="en-US" w:eastAsia="zh-CN"/>
        </w:rPr>
        <mc:AlternateContent>
          <mc:Choice Requires="wps">
            <w:drawing>
              <wp:anchor distT="45720" distB="45720" distL="114300" distR="114300" simplePos="0" relativeHeight="251668480" behindDoc="0" locked="0" layoutInCell="1" allowOverlap="1" wp14:anchorId="10E5BC53" wp14:editId="58766836">
                <wp:simplePos x="0" y="0"/>
                <wp:positionH relativeFrom="column">
                  <wp:posOffset>3115945</wp:posOffset>
                </wp:positionH>
                <wp:positionV relativeFrom="paragraph">
                  <wp:posOffset>2338070</wp:posOffset>
                </wp:positionV>
                <wp:extent cx="563880" cy="1404620"/>
                <wp:effectExtent l="0" t="0" r="0" b="0"/>
                <wp:wrapNone/>
                <wp:docPr id="14191007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3880" cy="1404620"/>
                        </a:xfrm>
                        <a:prstGeom prst="rect">
                          <a:avLst/>
                        </a:prstGeom>
                        <a:noFill/>
                        <a:ln w="9525">
                          <a:noFill/>
                          <a:miter lim="800000"/>
                          <a:headEnd/>
                          <a:tailEnd/>
                        </a:ln>
                      </wps:spPr>
                      <wps:txbx>
                        <w:txbxContent>
                          <w:p w14:paraId="3A9FE1A7" w14:textId="77777777" w:rsidR="003351C1" w:rsidRPr="003351C1" w:rsidRDefault="003351C1" w:rsidP="003351C1">
                            <w:pPr>
                              <w:spacing w:before="0"/>
                              <w:jc w:val="center"/>
                              <w:rPr>
                                <w:rFonts w:ascii="Calibri" w:hAnsi="Calibri" w:cs="Calibri"/>
                                <w:sz w:val="18"/>
                                <w:szCs w:val="14"/>
                              </w:rPr>
                            </w:pPr>
                            <w:r w:rsidRPr="003351C1">
                              <w:rPr>
                                <w:rFonts w:ascii="Calibri" w:hAnsi="Calibri" w:cs="Calibri"/>
                                <w:sz w:val="18"/>
                                <w:szCs w:val="14"/>
                              </w:rPr>
                              <w:t>2024</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0E5BC53" id="_x0000_s1033" type="#_x0000_t202" style="position:absolute;left:0;text-align:left;margin-left:245.35pt;margin-top:184.1pt;width:44.4pt;height:110.6pt;z-index:25166848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" filled="f" stroked="f">
                <v:textbox style="mso-fit-shape-to-text:t">
                  <w:txbxContent>
                    <w:p w14:paraId="3A9FE1A7" w14:textId="77777777" w:rsidR="003351C1" w:rsidRPr="003351C1" w:rsidRDefault="003351C1" w:rsidP="003351C1">
                      <w:pPr>
                        <w:spacing w:before="0"/>
                        <w:jc w:val="center"/>
                        <w:rPr>
                          <w:rFonts w:ascii="Calibri" w:hAnsi="Calibri" w:cs="Calibri"/>
                          <w:sz w:val="18"/>
                          <w:szCs w:val="14"/>
                        </w:rPr>
                      </w:pPr>
                      <w:r w:rsidRPr="003351C1">
                        <w:rPr>
                          <w:rFonts w:ascii="Calibri" w:hAnsi="Calibri" w:cs="Calibri"/>
                          <w:sz w:val="18"/>
                          <w:szCs w:val="14"/>
                        </w:rPr>
                        <w:t>2024</w:t>
                      </w:r>
                    </w:p>
                  </w:txbxContent>
                </v:textbox>
              </v:shape>
            </w:pict>
          </mc:Fallback>
        </mc:AlternateContent>
      </w:r>
      <w:r>
        <w:rPr>
          <w:noProof/>
        </w:rPr>
        <mc:AlternateContent>
          <mc:Choice Requires="wps">
            <w:drawing>
              <wp:anchor distT="0" distB="0" distL="114300" distR="114300" simplePos="0" relativeHeight="251671552" behindDoc="0" locked="0" layoutInCell="1" allowOverlap="1" wp14:anchorId="5188B1F6" wp14:editId="04201C1D">
                <wp:simplePos x="0" y="0"/>
                <wp:positionH relativeFrom="column">
                  <wp:posOffset>2571750</wp:posOffset>
                </wp:positionH>
                <wp:positionV relativeFrom="paragraph">
                  <wp:posOffset>394699</wp:posOffset>
                </wp:positionV>
                <wp:extent cx="0" cy="2149746"/>
                <wp:effectExtent l="0" t="0" r="0" b="0"/>
                <wp:wrapNone/>
                <wp:docPr id="1250880348" name="Straight Connector 1"/>
                <wp:cNvGraphicFramePr/>
                <a:graphic xmlns:a="http://schemas.openxmlformats.org/drawingml/2006/main">
                  <a:graphicData uri="http://schemas.microsoft.com/office/word/2010/wordprocessingShape">
                    <wps:wsp>
                      <wps:cNvCnPr/>
                      <wps:spPr>
                        <a:xfrm>
                          <a:off x="0" y="0"/>
                          <a:ext cx="0" cy="2149746"/>
                        </a:xfrm>
                        <a:prstGeom prst="line">
                          <a:avLst/>
                        </a:prstGeom>
                        <a:noFill/>
                        <a:ln w="9525" cap="flat" cmpd="sng" algn="ctr">
                          <a:solidFill>
                            <a:srgbClr val="C0504D">
                              <a:shade val="95000"/>
                              <a:satMod val="105000"/>
                            </a:srgbClr>
                          </a:solidFill>
                          <a:prstDash val="solid"/>
                        </a:ln>
                        <a:effectLst/>
                      </wps:spPr>
                      <wps:bodyPr/>
                    </wps:wsp>
                  </a:graphicData>
                </a:graphic>
              </wp:anchor>
            </w:drawing>
          </mc:Choice>
          <mc:Fallback>
            <w:pict>
              <v:line w14:anchorId="5474613E" id="Straight Connector 1" o:spid="_x0000_s1026" style="position:absolute;z-index:251671552;visibility:visible;mso-wrap-style:square;mso-wrap-distance-left:9pt;mso-wrap-distance-top:0;mso-wrap-distance-right:9pt;mso-wrap-distance-bottom:0;mso-position-horizontal:absolute;mso-position-horizontal-relative:text;mso-position-vertical:absolute;mso-position-vertical-relative:text" from="202.5pt,31.1pt" to="202.5pt,20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" strokecolor="#be4b48"/>
            </w:pict>
          </mc:Fallback>
        </mc:AlternateContent>
      </w:r>
      <w:r w:rsidRPr="00306331">
        <w:rPr>
          <w:noProof/>
          <w:szCs w:val="24"/>
          <w:lang w:val="en-US" w:eastAsia="zh-CN"/>
        </w:rPr>
        <mc:AlternateContent>
          <mc:Choice Requires="wpg">
            <w:drawing>
              <wp:anchor distT="0" distB="0" distL="114300" distR="114300" simplePos="0" relativeHeight="251670528" behindDoc="0" locked="0" layoutInCell="1" allowOverlap="1" wp14:anchorId="5EE32DAB" wp14:editId="4C5BEE9C">
                <wp:simplePos x="0" y="0"/>
                <wp:positionH relativeFrom="margin">
                  <wp:posOffset>873760</wp:posOffset>
                </wp:positionH>
                <wp:positionV relativeFrom="paragraph">
                  <wp:posOffset>382905</wp:posOffset>
                </wp:positionV>
                <wp:extent cx="3390900" cy="2164080"/>
                <wp:effectExtent l="0" t="0" r="19050" b="26670"/>
                <wp:wrapNone/>
                <wp:docPr id="3" name="Group 3"/>
                <wp:cNvGraphicFramePr/>
                <a:graphic xmlns:a="http://schemas.openxmlformats.org/drawingml/2006/main">
                  <a:graphicData uri="http://schemas.microsoft.com/office/word/2010/wordprocessingGroup">
                    <wpg:wgp>
                      <wpg:cNvGrpSpPr/>
                      <wpg:grpSpPr>
                        <a:xfrm>
                          <a:off x="0" y="0"/>
                          <a:ext cx="3390900" cy="2164080"/>
                          <a:chOff x="0" y="5848"/>
                          <a:chExt cx="3545032" cy="1993132"/>
                        </a:xfrm>
                      </wpg:grpSpPr>
                      <wps:wsp>
                        <wps:cNvPr id="1446109044" name="Straight Connector 1"/>
                        <wps:cNvCnPr/>
                        <wps:spPr>
                          <a:xfrm>
                            <a:off x="0" y="19050"/>
                            <a:ext cx="0" cy="1979930"/>
                          </a:xfrm>
                          <a:prstGeom prst="line">
                            <a:avLst/>
                          </a:prstGeom>
                        </wps:spPr>
                        <wps:style>
                          <a:lnRef idx="1">
                            <a:schemeClr val="accent2"/>
                          </a:lnRef>
                          <a:fillRef idx="0">
                            <a:schemeClr val="accent2"/>
                          </a:fillRef>
                          <a:effectRef idx="0">
                            <a:schemeClr val="accent2"/>
                          </a:effectRef>
                          <a:fontRef idx="minor">
                            <a:schemeClr val="tx1"/>
                          </a:fontRef>
                        </wps:style>
                        <wps:bodyPr/>
                      </wps:wsp>
                      <wps:wsp>
                        <wps:cNvPr id="687018271" name="Straight Connector 1"/>
                        <wps:cNvCnPr/>
                        <wps:spPr>
                          <a:xfrm>
                            <a:off x="3545032" y="5848"/>
                            <a:ext cx="0" cy="1979930"/>
                          </a:xfrm>
                          <a:prstGeom prst="line">
                            <a:avLst/>
                          </a:prstGeom>
                        </wps:spPr>
                        <wps:style>
                          <a:lnRef idx="1">
                            <a:schemeClr val="accent2"/>
                          </a:lnRef>
                          <a:fillRef idx="0">
                            <a:schemeClr val="accent2"/>
                          </a:fillRef>
                          <a:effectRef idx="0">
                            <a:schemeClr val="accent2"/>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5E382274" id="Group 3" o:spid="_x0000_s1026" style="position:absolute;margin-left:68.8pt;margin-top:30.15pt;width:267pt;height:170.4pt;z-index:251670528;mso-position-horizontal-relative:margin;mso-width-relative:margin;mso-height-relative:margin" coordorigin=",58" coordsize="35450,199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">
                <v:line id="Straight Connector 1" o:spid="_x0000_s1027" style="position:absolute;visibility:visible;mso-wrap-style:square" from="0,190" to="0,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" strokecolor="#bc4542 [3045]"/>
                <v:line id="Straight Connector 1" o:spid="_x0000_s1028" style="position:absolute;visibility:visible;mso-wrap-style:square" from="35450,58" to="35450,198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" strokecolor="#bc4542 [3045]"/>
                <w10:wrap anchorx="margin"/>
              </v:group>
            </w:pict>
          </mc:Fallback>
        </mc:AlternateContent>
      </w:r>
      <w:r w:rsidRPr="003351C1">
        <w:rPr>
          <w:noProof/>
        </w:rPr>
        <mc:AlternateContent>
          <mc:Choice Requires="cx4">
            <w:drawing>
              <wp:inline distT="0" distB="0" distL="0" distR="0" wp14:anchorId="7DDDA950" wp14:editId="519E2995">
                <wp:extent cx="6026150" cy="2425700"/>
                <wp:effectExtent l="0" t="0" r="12700" b="12700"/>
                <wp:docPr id="86320703" name="Chart 1"/>
                <wp:cNvGraphicFramePr/>
                <a:graphic xmlns:a="http://schemas.openxmlformats.org/drawingml/2006/main">
                  <a:graphicData uri="http://schemas.microsoft.com/office/drawing/2014/chartex">
                    <cx:chart xmlns:cx="http://schemas.microsoft.com/office/drawing/2014/chartex" xmlns:r="http://schemas.openxmlformats.org/officeDocument/2006/relationships" r:id="rId18"/>
                  </a:graphicData>
                </a:graphic>
              </wp:inline>
            </w:drawing>
          </mc:Choice>
          <mc:Fallback>
            <w:drawing>
              <wp:inline distT="0" distB="0" distL="0" distR="0" wp14:anchorId="7DDDA950" wp14:editId="519E2995">
                <wp:extent cx="6026150" cy="2425700"/>
                <wp:effectExtent l="0" t="0" r="12700" b="12700"/>
                <wp:docPr id="86320703" name="Chart 1"/>
                <wp:cNvGraphicFramePr>
                  <a:graphicFrameLocks xmlns:a="http://schemas.openxmlformats.org/drawingml/2006/main" noGrp="1" noDrilldown="1" noSelect="1" noChangeAspect="1" noMove="1" noResize="1"/>
                </wp:cNvGraphicFramePr>
                <a:graphic xmlns:a="http://schemas.openxmlformats.org/drawingml/2006/main">
                  <a:graphicData uri="http://schemas.openxmlformats.org/drawingml/2006/picture">
                    <pic:pic xmlns:pic="http://schemas.openxmlformats.org/drawingml/2006/picture">
                      <pic:nvPicPr>
                        <pic:cNvPr id="86320703" name="Chart 1"/>
                        <pic:cNvPicPr>
                          <a:picLocks noGrp="1" noRot="1" noChangeAspect="1" noMove="1" noResize="1" noEditPoints="1" noAdjustHandles="1" noChangeArrowheads="1" noChangeShapeType="1"/>
                        </pic:cNvPicPr>
                      </pic:nvPicPr>
                      <pic:blipFill>
                        <a:blip r:embed="rId19"/>
                        <a:stretch>
                          <a:fillRect/>
                        </a:stretch>
                      </pic:blipFill>
                      <pic:spPr>
                        <a:xfrm>
                          <a:off x="0" y="0"/>
                          <a:ext cx="6026150" cy="2425700"/>
                        </a:xfrm>
                        <a:prstGeom prst="rect">
                          <a:avLst/>
                        </a:prstGeom>
                      </pic:spPr>
                    </pic:pic>
                  </a:graphicData>
                </a:graphic>
              </wp:inline>
            </w:drawing>
          </mc:Fallback>
        </mc:AlternateContent>
      </w:r>
    </w:p>
    <w:p w14:paraId="30728BB2" w14:textId="77777777" w:rsidR="003351C1" w:rsidRDefault="003351C1" w:rsidP="003351C1">
      <w:pPr>
        <w:spacing w:after="120"/>
        <w:jc w:val="both"/>
        <w:rPr>
          <w:rFonts w:ascii="Calibri" w:hAnsi="Calibri"/>
          <w:b/>
          <w:bCs/>
        </w:rPr>
      </w:pPr>
    </w:p>
    <w:p w14:paraId="05DD3AEE" w14:textId="5B75D0BB" w:rsidR="00123683" w:rsidRDefault="00123683" w:rsidP="00123683">
      <w:pPr>
        <w:ind w:firstLineChars="200" w:firstLine="482"/>
        <w:rPr>
          <w:rFonts w:ascii="Calibri" w:hAnsi="Calibri"/>
          <w:lang w:eastAsia="zh-CN"/>
        </w:rPr>
      </w:pPr>
      <w:r w:rsidRPr="00F84FE6">
        <w:rPr>
          <w:b/>
          <w:bCs/>
          <w:lang w:val="zh-CN" w:eastAsia="zh-CN"/>
        </w:rPr>
        <w:t>图</w:t>
      </w:r>
      <w:r w:rsidRPr="00F84FE6">
        <w:rPr>
          <w:b/>
          <w:bCs/>
          <w:lang w:val="zh-CN" w:eastAsia="zh-CN"/>
        </w:rPr>
        <w:t>3</w:t>
      </w:r>
      <w:r>
        <w:rPr>
          <w:lang w:val="zh-CN" w:eastAsia="zh-CN"/>
        </w:rPr>
        <w:t>详细介绍了自</w:t>
      </w:r>
      <w:r>
        <w:rPr>
          <w:lang w:val="zh-CN" w:eastAsia="zh-CN"/>
        </w:rPr>
        <w:t>2023</w:t>
      </w:r>
      <w:r>
        <w:rPr>
          <w:lang w:val="zh-CN" w:eastAsia="zh-CN"/>
        </w:rPr>
        <w:t>年以来学术成员的变动情况。</w:t>
      </w:r>
      <w:r>
        <w:rPr>
          <w:lang w:val="zh-CN" w:eastAsia="zh-CN"/>
        </w:rPr>
        <w:t>202</w:t>
      </w:r>
      <w:r>
        <w:rPr>
          <w:rFonts w:hint="eastAsia"/>
          <w:lang w:val="zh-CN" w:eastAsia="zh-CN"/>
        </w:rPr>
        <w:t>5</w:t>
      </w:r>
      <w:r>
        <w:rPr>
          <w:lang w:val="zh-CN" w:eastAsia="zh-CN"/>
        </w:rPr>
        <w:t>年，新增</w:t>
      </w:r>
      <w:r>
        <w:rPr>
          <w:rFonts w:hint="eastAsia"/>
          <w:lang w:val="zh-CN" w:eastAsia="zh-CN"/>
        </w:rPr>
        <w:t>二十二</w:t>
      </w:r>
      <w:r>
        <w:rPr>
          <w:lang w:val="zh-CN" w:eastAsia="zh-CN"/>
        </w:rPr>
        <w:t>个学术成员，流失十</w:t>
      </w:r>
      <w:r>
        <w:rPr>
          <w:rFonts w:hint="eastAsia"/>
          <w:lang w:val="zh-CN" w:eastAsia="zh-CN"/>
        </w:rPr>
        <w:t>二</w:t>
      </w:r>
      <w:r>
        <w:rPr>
          <w:lang w:val="zh-CN" w:eastAsia="zh-CN"/>
        </w:rPr>
        <w:t>个学术成员，</w:t>
      </w:r>
      <w:r w:rsidRPr="00F84FE6">
        <w:rPr>
          <w:b/>
          <w:bCs/>
          <w:lang w:val="zh-CN" w:eastAsia="zh-CN"/>
        </w:rPr>
        <w:t>净收入增加</w:t>
      </w:r>
      <w:r w:rsidRPr="00F84FE6">
        <w:rPr>
          <w:rFonts w:hint="eastAsia"/>
          <w:b/>
          <w:bCs/>
          <w:lang w:val="zh-CN" w:eastAsia="zh-CN"/>
        </w:rPr>
        <w:t>23</w:t>
      </w:r>
      <w:r w:rsidR="000037AB">
        <w:rPr>
          <w:b/>
          <w:bCs/>
          <w:lang w:val="en-US" w:eastAsia="zh-CN"/>
        </w:rPr>
        <w:t> </w:t>
      </w:r>
      <w:r w:rsidRPr="00F84FE6">
        <w:rPr>
          <w:rFonts w:hint="eastAsia"/>
          <w:b/>
          <w:bCs/>
          <w:lang w:val="zh-CN" w:eastAsia="zh-CN"/>
        </w:rPr>
        <w:t>850</w:t>
      </w:r>
      <w:r w:rsidRPr="00F84FE6">
        <w:rPr>
          <w:b/>
          <w:bCs/>
          <w:lang w:val="zh-CN" w:eastAsia="zh-CN"/>
        </w:rPr>
        <w:t>瑞郎</w:t>
      </w:r>
      <w:r>
        <w:rPr>
          <w:lang w:val="zh-CN" w:eastAsia="zh-CN"/>
        </w:rPr>
        <w:t>。</w:t>
      </w:r>
    </w:p>
    <w:p w14:paraId="132A74F6" w14:textId="77777777" w:rsidR="00123683" w:rsidRPr="008313B2" w:rsidRDefault="00123683" w:rsidP="00123683">
      <w:pPr>
        <w:ind w:firstLineChars="200" w:firstLine="480"/>
        <w:rPr>
          <w:lang w:eastAsia="zh-CN"/>
        </w:rPr>
      </w:pPr>
      <w:r>
        <w:rPr>
          <w:lang w:val="zh-CN" w:eastAsia="zh-CN"/>
        </w:rPr>
        <w:t>学术成员缴纳一笔会费即可参加三个部门的工作，能够为各部门的研究组做出贡献。一些成员报告说，由于预算限制，很难长期维持成员资格。</w:t>
      </w:r>
    </w:p>
    <w:p w14:paraId="214ACCF3" w14:textId="6F13F195" w:rsidR="003351C1" w:rsidRPr="008313B2" w:rsidRDefault="00123683" w:rsidP="00123683">
      <w:pPr>
        <w:ind w:firstLineChars="200" w:firstLine="480"/>
        <w:rPr>
          <w:lang w:eastAsia="zh-CN"/>
        </w:rPr>
      </w:pPr>
      <w:r>
        <w:rPr>
          <w:lang w:val="zh-CN" w:eastAsia="zh-CN"/>
        </w:rPr>
        <w:t>目前正在继续大力开展宣传工作，包括组织对潜在学术成员和有意促进和支持学术成员资格的国际电联成员国的访问和情况介绍会。</w:t>
      </w:r>
      <w:r>
        <w:fldChar w:fldCharType="begin"/>
      </w:r>
      <w:r>
        <w:rPr>
          <w:lang w:eastAsia="zh-CN"/>
        </w:rPr>
        <w:instrText>HYPERLINK "https://www.itu.int/md/D26-TDAG33-INF-0003/"</w:instrText>
      </w:r>
      <w:r>
        <w:fldChar w:fldCharType="separate"/>
      </w:r>
      <w:r w:rsidRPr="00123683">
        <w:rPr>
          <w:rStyle w:val="Hyperlink"/>
          <w:lang w:val="zh-CN" w:eastAsia="zh-CN"/>
        </w:rPr>
        <w:t>TDAG-26/INF/3</w:t>
      </w:r>
      <w:r>
        <w:fldChar w:fldCharType="end"/>
      </w:r>
      <w:r>
        <w:rPr>
          <w:lang w:val="zh-CN" w:eastAsia="zh-CN"/>
        </w:rPr>
        <w:t>号文件详细介绍了与国际电联学术成员和非学术界成员进行推广的机会和目前的参与情况。</w:t>
      </w:r>
    </w:p>
    <w:p w14:paraId="025745C9" w14:textId="6F98E321" w:rsidR="00123683" w:rsidRPr="008C317F" w:rsidRDefault="00123683" w:rsidP="008C317F">
      <w:pPr>
        <w:pStyle w:val="Heading1"/>
      </w:pPr>
      <w:r w:rsidRPr="008C317F">
        <w:rPr>
          <w:rFonts w:hint="eastAsia"/>
        </w:rPr>
        <w:lastRenderedPageBreak/>
        <w:t>3</w:t>
      </w:r>
      <w:r w:rsidRPr="008C317F">
        <w:tab/>
      </w:r>
      <w:proofErr w:type="spellStart"/>
      <w:r w:rsidRPr="008C317F">
        <w:t>参与、保留、认可和宣传</w:t>
      </w:r>
      <w:proofErr w:type="spellEnd"/>
    </w:p>
    <w:p w14:paraId="01816841" w14:textId="77777777" w:rsidR="00123683" w:rsidRDefault="00123683" w:rsidP="008C317F">
      <w:pPr>
        <w:pStyle w:val="enumlev1"/>
        <w:keepNext/>
        <w:keepLines/>
        <w:rPr>
          <w:lang w:val="zh-CN" w:eastAsia="zh-CN"/>
        </w:rPr>
      </w:pPr>
      <w:r w:rsidRPr="00123683">
        <w:rPr>
          <w:lang w:val="zh-CN" w:eastAsia="zh-CN"/>
        </w:rPr>
        <w:t>–</w:t>
      </w:r>
      <w:r>
        <w:rPr>
          <w:lang w:val="zh-CN" w:eastAsia="zh-CN"/>
        </w:rPr>
        <w:tab/>
      </w:r>
      <w:r w:rsidRPr="00123683">
        <w:rPr>
          <w:lang w:val="zh-CN" w:eastAsia="zh-CN"/>
        </w:rPr>
        <w:t>电信发展局开展了多项行动，旨在通过利用社交媒体工具开展宣传活动，以及在全球技术展览会上面向潜在受</w:t>
      </w:r>
      <w:proofErr w:type="gramStart"/>
      <w:r w:rsidRPr="00123683">
        <w:rPr>
          <w:lang w:val="zh-CN" w:eastAsia="zh-CN"/>
        </w:rPr>
        <w:t>众开展</w:t>
      </w:r>
      <w:proofErr w:type="gramEnd"/>
      <w:r w:rsidRPr="00123683">
        <w:rPr>
          <w:lang w:val="zh-CN" w:eastAsia="zh-CN"/>
        </w:rPr>
        <w:t>有针对性的宣传，加强</w:t>
      </w:r>
      <w:r w:rsidRPr="00123683">
        <w:rPr>
          <w:b/>
          <w:bCs/>
          <w:lang w:val="zh-CN" w:eastAsia="zh-CN"/>
        </w:rPr>
        <w:t>宣传和参与工作</w:t>
      </w:r>
      <w:r w:rsidRPr="00123683">
        <w:rPr>
          <w:lang w:val="zh-CN" w:eastAsia="zh-CN"/>
        </w:rPr>
        <w:t>。电信发展局还侧重于将</w:t>
      </w:r>
      <w:r w:rsidRPr="00123683">
        <w:rPr>
          <w:lang w:val="zh-CN" w:eastAsia="zh-CN"/>
        </w:rPr>
        <w:t>ITU-D</w:t>
      </w:r>
      <w:r w:rsidRPr="00123683">
        <w:rPr>
          <w:lang w:val="zh-CN" w:eastAsia="zh-CN"/>
        </w:rPr>
        <w:t>产品和服务组合内的现有平台转化为有效的成员宣传渠道，例如网络造福人类项目、全民预警举措等。在整个</w:t>
      </w:r>
      <w:r w:rsidRPr="00123683">
        <w:rPr>
          <w:lang w:val="zh-CN" w:eastAsia="zh-CN"/>
        </w:rPr>
        <w:t>2025</w:t>
      </w:r>
      <w:r w:rsidRPr="00123683">
        <w:rPr>
          <w:lang w:val="zh-CN" w:eastAsia="zh-CN"/>
        </w:rPr>
        <w:t>年，主题专家与</w:t>
      </w:r>
      <w:r w:rsidRPr="00123683">
        <w:rPr>
          <w:lang w:val="zh-CN" w:eastAsia="zh-CN"/>
        </w:rPr>
        <w:t>ITU-D</w:t>
      </w:r>
      <w:r w:rsidRPr="00123683">
        <w:rPr>
          <w:lang w:val="zh-CN" w:eastAsia="zh-CN"/>
        </w:rPr>
        <w:t>成员举行的简报会（实体和虚拟）数量有所增加，提高了对参与领域的认识。</w:t>
      </w:r>
    </w:p>
    <w:p w14:paraId="0FC59B83" w14:textId="77777777" w:rsidR="00123683" w:rsidRDefault="00123683" w:rsidP="00123683">
      <w:pPr>
        <w:pStyle w:val="enumlev1"/>
        <w:rPr>
          <w:lang w:val="zh-CN" w:eastAsia="zh-CN"/>
        </w:rPr>
      </w:pPr>
      <w:r w:rsidRPr="00123683">
        <w:rPr>
          <w:lang w:val="zh-CN" w:eastAsia="zh-CN"/>
        </w:rPr>
        <w:t>–</w:t>
      </w:r>
      <w:r>
        <w:rPr>
          <w:lang w:val="zh-CN" w:eastAsia="zh-CN"/>
        </w:rPr>
        <w:tab/>
      </w:r>
      <w:r w:rsidRPr="001D2F54">
        <w:rPr>
          <w:b/>
          <w:bCs/>
          <w:lang w:val="zh-CN" w:eastAsia="zh-CN"/>
        </w:rPr>
        <w:t>发展问题行业顾问组和私营部门首席监管官（</w:t>
      </w:r>
      <w:r w:rsidRPr="001D2F54">
        <w:rPr>
          <w:b/>
          <w:bCs/>
          <w:lang w:val="zh-CN" w:eastAsia="zh-CN"/>
        </w:rPr>
        <w:t>IAGDI-CRO</w:t>
      </w:r>
      <w:r w:rsidRPr="001D2F54">
        <w:rPr>
          <w:b/>
          <w:bCs/>
          <w:lang w:val="zh-CN" w:eastAsia="zh-CN"/>
        </w:rPr>
        <w:t>）</w:t>
      </w:r>
      <w:r>
        <w:rPr>
          <w:lang w:val="zh-CN" w:eastAsia="zh-CN"/>
        </w:rPr>
        <w:t>继续与越来越多的</w:t>
      </w:r>
      <w:r>
        <w:rPr>
          <w:lang w:val="zh-CN" w:eastAsia="zh-CN"/>
        </w:rPr>
        <w:t>ITU-D</w:t>
      </w:r>
      <w:r>
        <w:rPr>
          <w:lang w:val="zh-CN" w:eastAsia="zh-CN"/>
        </w:rPr>
        <w:t>部门成员接触</w:t>
      </w:r>
      <w:r>
        <w:rPr>
          <w:rFonts w:hint="eastAsia"/>
          <w:lang w:val="zh-CN" w:eastAsia="zh-CN"/>
        </w:rPr>
        <w:t>。</w:t>
      </w:r>
      <w:r>
        <w:rPr>
          <w:lang w:val="zh-CN" w:eastAsia="zh-CN"/>
        </w:rPr>
        <w:t>具体而言，</w:t>
      </w:r>
      <w:r>
        <w:rPr>
          <w:lang w:val="zh-CN" w:eastAsia="zh-CN"/>
        </w:rPr>
        <w:t>2025</w:t>
      </w:r>
      <w:r>
        <w:rPr>
          <w:lang w:val="zh-CN" w:eastAsia="zh-CN"/>
        </w:rPr>
        <w:t>年组织了四次会议：</w:t>
      </w:r>
    </w:p>
    <w:p w14:paraId="2E4E8EB7" w14:textId="77777777" w:rsidR="00123683" w:rsidRDefault="00123683" w:rsidP="00123683">
      <w:pPr>
        <w:pStyle w:val="enumlev2"/>
        <w:rPr>
          <w:lang w:eastAsia="zh-CN"/>
        </w:rPr>
      </w:pPr>
      <w:r>
        <w:rPr>
          <w:lang w:val="zh-CN" w:eastAsia="zh-CN"/>
        </w:rPr>
        <w:t>o</w:t>
      </w:r>
      <w:r>
        <w:rPr>
          <w:lang w:val="zh-CN" w:eastAsia="zh-CN"/>
        </w:rPr>
        <w:tab/>
      </w:r>
      <w:r w:rsidRPr="001D2F54">
        <w:rPr>
          <w:rFonts w:hint="eastAsia"/>
          <w:lang w:val="zh-CN" w:eastAsia="zh-CN"/>
        </w:rPr>
        <w:t>2025</w:t>
      </w:r>
      <w:r w:rsidRPr="001D2F54">
        <w:rPr>
          <w:rFonts w:hint="eastAsia"/>
          <w:lang w:val="zh-CN" w:eastAsia="zh-CN"/>
        </w:rPr>
        <w:t>年</w:t>
      </w:r>
      <w:r w:rsidRPr="001D2F54">
        <w:rPr>
          <w:rFonts w:hint="eastAsia"/>
          <w:lang w:val="zh-CN" w:eastAsia="zh-CN"/>
        </w:rPr>
        <w:t>6</w:t>
      </w:r>
      <w:r w:rsidRPr="001D2F54">
        <w:rPr>
          <w:rFonts w:hint="eastAsia"/>
          <w:lang w:val="zh-CN" w:eastAsia="zh-CN"/>
        </w:rPr>
        <w:t>月举行的</w:t>
      </w:r>
      <w:r w:rsidRPr="001D2F54">
        <w:rPr>
          <w:rFonts w:hint="eastAsia"/>
          <w:b/>
          <w:bCs/>
          <w:lang w:val="zh-CN" w:eastAsia="zh-CN"/>
        </w:rPr>
        <w:t>IAGDI-CRO</w:t>
      </w:r>
      <w:r w:rsidRPr="001D2F54">
        <w:rPr>
          <w:rFonts w:hint="eastAsia"/>
          <w:b/>
          <w:bCs/>
          <w:lang w:val="zh-CN" w:eastAsia="zh-CN"/>
        </w:rPr>
        <w:t>虚拟磋商会</w:t>
      </w:r>
      <w:r w:rsidRPr="001D2F54">
        <w:rPr>
          <w:rFonts w:hint="eastAsia"/>
          <w:lang w:val="zh-CN" w:eastAsia="zh-CN"/>
        </w:rPr>
        <w:t>，鼓励</w:t>
      </w:r>
      <w:r w:rsidRPr="001D2F54">
        <w:rPr>
          <w:rFonts w:hint="eastAsia"/>
          <w:lang w:val="zh-CN" w:eastAsia="zh-CN"/>
        </w:rPr>
        <w:t>ITU-D</w:t>
      </w:r>
      <w:r w:rsidRPr="001D2F54">
        <w:rPr>
          <w:rFonts w:hint="eastAsia"/>
          <w:lang w:val="zh-CN" w:eastAsia="zh-CN"/>
        </w:rPr>
        <w:t>部门成员向全球监管机构专题研讨会（</w:t>
      </w:r>
      <w:r w:rsidRPr="001D2F54">
        <w:rPr>
          <w:rFonts w:hint="eastAsia"/>
          <w:lang w:val="zh-CN" w:eastAsia="zh-CN"/>
        </w:rPr>
        <w:t>GSR-25</w:t>
      </w:r>
      <w:r w:rsidRPr="001D2F54">
        <w:rPr>
          <w:rFonts w:hint="eastAsia"/>
          <w:lang w:val="zh-CN" w:eastAsia="zh-CN"/>
        </w:rPr>
        <w:t>）最佳做法导则磋商进程提交更多文稿，并收集了关于确定</w:t>
      </w:r>
      <w:r w:rsidRPr="001D2F54">
        <w:rPr>
          <w:rFonts w:hint="eastAsia"/>
          <w:lang w:val="zh-CN" w:eastAsia="zh-CN"/>
        </w:rPr>
        <w:t>GSR-25</w:t>
      </w:r>
      <w:r w:rsidRPr="001D2F54">
        <w:rPr>
          <w:rFonts w:hint="eastAsia"/>
          <w:lang w:val="zh-CN" w:eastAsia="zh-CN"/>
        </w:rPr>
        <w:t>期间</w:t>
      </w:r>
      <w:r w:rsidRPr="001D2F54">
        <w:rPr>
          <w:rFonts w:hint="eastAsia"/>
          <w:lang w:val="zh-CN" w:eastAsia="zh-CN"/>
        </w:rPr>
        <w:t>IAGDI-CRO</w:t>
      </w:r>
      <w:r w:rsidRPr="001D2F54">
        <w:rPr>
          <w:rFonts w:hint="eastAsia"/>
          <w:lang w:val="zh-CN" w:eastAsia="zh-CN"/>
        </w:rPr>
        <w:t>主要会议主题的见解。</w:t>
      </w:r>
      <w:r>
        <w:rPr>
          <w:lang w:val="zh-CN" w:eastAsia="zh-CN"/>
        </w:rPr>
        <w:t>主席的报告可在</w:t>
      </w:r>
      <w:hyperlink r:id="rId20" w:history="1">
        <w:proofErr w:type="gramStart"/>
        <w:r w:rsidRPr="001D2F54">
          <w:rPr>
            <w:rStyle w:val="Hyperlink"/>
            <w:lang w:val="zh-CN" w:eastAsia="zh-CN"/>
          </w:rPr>
          <w:t>此处</w:t>
        </w:r>
        <w:proofErr w:type="gramEnd"/>
      </w:hyperlink>
      <w:r>
        <w:rPr>
          <w:lang w:val="zh-CN" w:eastAsia="zh-CN"/>
        </w:rPr>
        <w:t>查阅。</w:t>
      </w:r>
      <w:hyperlink r:id="rId21" w:history="1"/>
    </w:p>
    <w:p w14:paraId="4C43EA56" w14:textId="77777777" w:rsidR="00123683" w:rsidRDefault="00123683" w:rsidP="00123683">
      <w:pPr>
        <w:pStyle w:val="enumlev2"/>
        <w:rPr>
          <w:lang w:eastAsia="zh-CN"/>
        </w:rPr>
      </w:pPr>
      <w:r>
        <w:rPr>
          <w:lang w:eastAsia="zh-CN"/>
        </w:rPr>
        <w:t>o</w:t>
      </w:r>
      <w:r>
        <w:rPr>
          <w:lang w:eastAsia="zh-CN"/>
        </w:rPr>
        <w:tab/>
      </w:r>
      <w:r w:rsidRPr="001D2F54">
        <w:rPr>
          <w:rFonts w:hint="eastAsia"/>
          <w:lang w:val="zh-CN" w:eastAsia="zh-CN"/>
        </w:rPr>
        <w:t>全球监管机构专题研讨会（</w:t>
      </w:r>
      <w:r w:rsidRPr="001D2F54">
        <w:rPr>
          <w:rFonts w:hint="eastAsia"/>
          <w:lang w:val="zh-CN" w:eastAsia="zh-CN"/>
        </w:rPr>
        <w:t>GSR-25</w:t>
      </w:r>
      <w:r w:rsidRPr="001D2F54">
        <w:rPr>
          <w:rFonts w:hint="eastAsia"/>
          <w:lang w:val="zh-CN" w:eastAsia="zh-CN"/>
        </w:rPr>
        <w:t>）期间在沙特阿拉伯王国利雅得举行的</w:t>
      </w:r>
      <w:r w:rsidRPr="001D2F54">
        <w:rPr>
          <w:rFonts w:hint="eastAsia"/>
          <w:b/>
          <w:bCs/>
          <w:lang w:val="zh-CN" w:eastAsia="zh-CN"/>
        </w:rPr>
        <w:t>IAGDI-CRO</w:t>
      </w:r>
      <w:r w:rsidRPr="001D2F54">
        <w:rPr>
          <w:rFonts w:hint="eastAsia"/>
          <w:b/>
          <w:bCs/>
          <w:lang w:val="zh-CN" w:eastAsia="zh-CN"/>
        </w:rPr>
        <w:t>会议</w:t>
      </w:r>
      <w:r w:rsidRPr="001D2F54">
        <w:rPr>
          <w:rFonts w:hint="eastAsia"/>
          <w:lang w:val="zh-CN" w:eastAsia="zh-CN"/>
        </w:rPr>
        <w:t>。</w:t>
      </w:r>
      <w:r w:rsidRPr="001D2F54">
        <w:rPr>
          <w:rFonts w:hint="eastAsia"/>
          <w:lang w:val="zh-CN" w:eastAsia="zh-CN"/>
        </w:rPr>
        <w:t>ITU-D</w:t>
      </w:r>
      <w:r w:rsidRPr="001D2F54">
        <w:rPr>
          <w:rFonts w:hint="eastAsia"/>
          <w:lang w:val="zh-CN" w:eastAsia="zh-CN"/>
        </w:rPr>
        <w:t>部门成员的关注和承诺从他们的文稿和创纪录的与会人数中可见一斑。会议的</w:t>
      </w:r>
      <w:r>
        <w:fldChar w:fldCharType="begin"/>
      </w:r>
      <w:r>
        <w:rPr>
          <w:lang w:eastAsia="zh-CN"/>
        </w:rPr>
        <w:instrText>HYPERLINK "https://www.itu.int/itu-d/sites/membership/wp-content/uploads/sites/50/2025/09/IAGDICRO-2025-Final-outcome-statement_1-Sept-2025final.pdf"</w:instrText>
      </w:r>
      <w:r>
        <w:fldChar w:fldCharType="separate"/>
      </w:r>
      <w:r w:rsidRPr="001D2F54">
        <w:rPr>
          <w:rStyle w:val="Hyperlink"/>
          <w:rFonts w:hint="eastAsia"/>
          <w:lang w:val="zh-CN" w:eastAsia="zh-CN"/>
        </w:rPr>
        <w:t>成果声明</w:t>
      </w:r>
      <w:r>
        <w:fldChar w:fldCharType="end"/>
      </w:r>
      <w:r w:rsidRPr="001D2F54">
        <w:rPr>
          <w:rFonts w:hint="eastAsia"/>
          <w:lang w:val="zh-CN" w:eastAsia="zh-CN"/>
        </w:rPr>
        <w:t>和主席的报告</w:t>
      </w:r>
      <w:r>
        <w:rPr>
          <w:lang w:val="zh-CN" w:eastAsia="zh-CN"/>
        </w:rPr>
        <w:t>可在</w:t>
      </w:r>
      <w:hyperlink r:id="rId22" w:history="1">
        <w:r w:rsidRPr="001D2F54">
          <w:rPr>
            <w:rStyle w:val="Hyperlink"/>
            <w:lang w:val="zh-CN" w:eastAsia="zh-CN"/>
          </w:rPr>
          <w:t>此处</w:t>
        </w:r>
      </w:hyperlink>
      <w:r>
        <w:rPr>
          <w:lang w:val="zh-CN" w:eastAsia="zh-CN"/>
        </w:rPr>
        <w:t>查阅</w:t>
      </w:r>
      <w:r w:rsidRPr="001D2F54">
        <w:rPr>
          <w:rFonts w:hint="eastAsia"/>
          <w:lang w:val="zh-CN" w:eastAsia="zh-CN"/>
        </w:rPr>
        <w:t>。除核心会议外，</w:t>
      </w:r>
      <w:r w:rsidRPr="001D2F54">
        <w:rPr>
          <w:rFonts w:hint="eastAsia"/>
          <w:b/>
          <w:bCs/>
          <w:lang w:val="zh-CN" w:eastAsia="zh-CN"/>
        </w:rPr>
        <w:t>IAGDI-CRO</w:t>
      </w:r>
      <w:r w:rsidRPr="001D2F54">
        <w:rPr>
          <w:rFonts w:hint="eastAsia"/>
          <w:lang w:val="zh-CN" w:eastAsia="zh-CN"/>
        </w:rPr>
        <w:t>还</w:t>
      </w:r>
      <w:r w:rsidRPr="001D2F54">
        <w:rPr>
          <w:rFonts w:hint="eastAsia"/>
          <w:b/>
          <w:bCs/>
          <w:lang w:val="zh-CN" w:eastAsia="zh-CN"/>
        </w:rPr>
        <w:t>于</w:t>
      </w:r>
      <w:r w:rsidRPr="001D2F54">
        <w:rPr>
          <w:rFonts w:hint="eastAsia"/>
          <w:b/>
          <w:bCs/>
          <w:lang w:val="zh-CN" w:eastAsia="zh-CN"/>
        </w:rPr>
        <w:t>2025</w:t>
      </w:r>
      <w:r w:rsidRPr="001D2F54">
        <w:rPr>
          <w:rFonts w:hint="eastAsia"/>
          <w:b/>
          <w:bCs/>
          <w:lang w:val="zh-CN" w:eastAsia="zh-CN"/>
        </w:rPr>
        <w:t>年</w:t>
      </w:r>
      <w:r w:rsidRPr="001D2F54">
        <w:rPr>
          <w:rFonts w:hint="eastAsia"/>
          <w:b/>
          <w:bCs/>
          <w:lang w:val="zh-CN" w:eastAsia="zh-CN"/>
        </w:rPr>
        <w:t>2</w:t>
      </w:r>
      <w:r w:rsidRPr="001D2F54">
        <w:rPr>
          <w:rFonts w:hint="eastAsia"/>
          <w:b/>
          <w:bCs/>
          <w:lang w:val="zh-CN" w:eastAsia="zh-CN"/>
        </w:rPr>
        <w:t>月</w:t>
      </w:r>
      <w:r w:rsidRPr="001D2F54">
        <w:rPr>
          <w:rFonts w:hint="eastAsia"/>
          <w:lang w:val="zh-CN" w:eastAsia="zh-CN"/>
        </w:rPr>
        <w:t>组织了</w:t>
      </w:r>
      <w:r w:rsidRPr="001D2F54">
        <w:rPr>
          <w:rFonts w:hint="eastAsia"/>
          <w:b/>
          <w:bCs/>
          <w:lang w:val="zh-CN" w:eastAsia="zh-CN"/>
        </w:rPr>
        <w:t>两场技术讲座</w:t>
      </w:r>
      <w:r w:rsidRPr="001D2F54">
        <w:rPr>
          <w:rFonts w:hint="eastAsia"/>
          <w:lang w:val="zh-CN" w:eastAsia="zh-CN"/>
        </w:rPr>
        <w:t>，每</w:t>
      </w:r>
      <w:r>
        <w:rPr>
          <w:rFonts w:hint="eastAsia"/>
          <w:lang w:val="zh-CN" w:eastAsia="zh-CN"/>
        </w:rPr>
        <w:t>场</w:t>
      </w:r>
      <w:r w:rsidRPr="001D2F54">
        <w:rPr>
          <w:rFonts w:hint="eastAsia"/>
          <w:lang w:val="zh-CN" w:eastAsia="zh-CN"/>
        </w:rPr>
        <w:t>都分别与</w:t>
      </w:r>
      <w:r w:rsidRPr="00EB2EAC">
        <w:rPr>
          <w:rFonts w:hint="eastAsia"/>
          <w:b/>
          <w:bCs/>
          <w:lang w:val="zh-CN" w:eastAsia="zh-CN"/>
        </w:rPr>
        <w:t>ITU-D</w:t>
      </w:r>
      <w:r w:rsidRPr="00EB2EAC">
        <w:rPr>
          <w:rFonts w:hint="eastAsia"/>
          <w:b/>
          <w:bCs/>
          <w:lang w:val="zh-CN" w:eastAsia="zh-CN"/>
        </w:rPr>
        <w:t>第</w:t>
      </w:r>
      <w:r w:rsidRPr="00EB2EAC">
        <w:rPr>
          <w:rFonts w:hint="eastAsia"/>
          <w:b/>
          <w:bCs/>
          <w:lang w:val="zh-CN" w:eastAsia="zh-CN"/>
        </w:rPr>
        <w:t>1</w:t>
      </w:r>
      <w:r w:rsidRPr="00EB2EAC">
        <w:rPr>
          <w:rFonts w:hint="eastAsia"/>
          <w:b/>
          <w:bCs/>
          <w:lang w:val="zh-CN" w:eastAsia="zh-CN"/>
        </w:rPr>
        <w:t>和第</w:t>
      </w:r>
      <w:r w:rsidRPr="00EB2EAC">
        <w:rPr>
          <w:rFonts w:hint="eastAsia"/>
          <w:b/>
          <w:bCs/>
          <w:lang w:val="zh-CN" w:eastAsia="zh-CN"/>
        </w:rPr>
        <w:t>2</w:t>
      </w:r>
      <w:r w:rsidRPr="00EB2EAC">
        <w:rPr>
          <w:rFonts w:hint="eastAsia"/>
          <w:b/>
          <w:bCs/>
          <w:lang w:val="zh-CN" w:eastAsia="zh-CN"/>
        </w:rPr>
        <w:t>研究组的主题</w:t>
      </w:r>
      <w:r w:rsidRPr="001D2F54">
        <w:rPr>
          <w:rFonts w:hint="eastAsia"/>
          <w:lang w:val="zh-CN" w:eastAsia="zh-CN"/>
        </w:rPr>
        <w:t>相吻合。它促进了</w:t>
      </w:r>
      <w:r w:rsidRPr="001D2F54">
        <w:rPr>
          <w:rFonts w:hint="eastAsia"/>
          <w:lang w:val="zh-CN" w:eastAsia="zh-CN"/>
        </w:rPr>
        <w:t>ITU-D</w:t>
      </w:r>
      <w:r w:rsidRPr="001D2F54">
        <w:rPr>
          <w:rFonts w:hint="eastAsia"/>
          <w:lang w:val="zh-CN" w:eastAsia="zh-CN"/>
        </w:rPr>
        <w:t>部门成员与</w:t>
      </w:r>
      <w:r w:rsidRPr="001D2F54">
        <w:rPr>
          <w:rFonts w:hint="eastAsia"/>
          <w:lang w:val="zh-CN" w:eastAsia="zh-CN"/>
        </w:rPr>
        <w:t>ITU-D</w:t>
      </w:r>
      <w:r w:rsidRPr="001D2F54">
        <w:rPr>
          <w:rFonts w:hint="eastAsia"/>
          <w:lang w:val="zh-CN" w:eastAsia="zh-CN"/>
        </w:rPr>
        <w:t>研究组管理层和</w:t>
      </w:r>
      <w:r w:rsidRPr="001D2F54">
        <w:rPr>
          <w:rFonts w:hint="eastAsia"/>
          <w:lang w:val="zh-CN" w:eastAsia="zh-CN"/>
        </w:rPr>
        <w:t>ITU-D</w:t>
      </w:r>
      <w:r w:rsidRPr="001D2F54">
        <w:rPr>
          <w:rFonts w:hint="eastAsia"/>
          <w:lang w:val="zh-CN" w:eastAsia="zh-CN"/>
        </w:rPr>
        <w:t>成员之间更紧密的合作，并激发了关于可能塑造未来</w:t>
      </w:r>
      <w:r w:rsidRPr="001D2F54">
        <w:rPr>
          <w:rFonts w:hint="eastAsia"/>
          <w:lang w:val="zh-CN" w:eastAsia="zh-CN"/>
        </w:rPr>
        <w:t>ITU-D</w:t>
      </w:r>
      <w:r w:rsidRPr="001D2F54">
        <w:rPr>
          <w:rFonts w:hint="eastAsia"/>
          <w:lang w:val="zh-CN" w:eastAsia="zh-CN"/>
        </w:rPr>
        <w:t>工作的尖端数字趋势和技术的前瞻性讨论。</w:t>
      </w:r>
      <w:r>
        <w:rPr>
          <w:rFonts w:hint="eastAsia"/>
          <w:lang w:val="zh-CN" w:eastAsia="zh-CN"/>
        </w:rPr>
        <w:t>关于</w:t>
      </w:r>
      <w:r w:rsidRPr="00EB2EAC">
        <w:rPr>
          <w:rFonts w:hint="eastAsia"/>
          <w:b/>
          <w:bCs/>
          <w:lang w:val="zh-CN" w:eastAsia="zh-CN"/>
        </w:rPr>
        <w:t>为有意义的连接创造有利环境的技术讲座</w:t>
      </w:r>
      <w:r w:rsidRPr="00EB2EAC">
        <w:rPr>
          <w:rFonts w:hint="eastAsia"/>
          <w:lang w:val="zh-CN" w:eastAsia="zh-CN"/>
        </w:rPr>
        <w:t>和</w:t>
      </w:r>
      <w:r>
        <w:rPr>
          <w:rFonts w:hint="eastAsia"/>
          <w:lang w:val="zh-CN" w:eastAsia="zh-CN"/>
        </w:rPr>
        <w:t>关于</w:t>
      </w:r>
      <w:r w:rsidRPr="00EB2EAC">
        <w:rPr>
          <w:rFonts w:hint="eastAsia"/>
          <w:b/>
          <w:bCs/>
          <w:lang w:val="zh-CN" w:eastAsia="zh-CN"/>
        </w:rPr>
        <w:t>数字化转型的技术讲座</w:t>
      </w:r>
      <w:r w:rsidRPr="00EB2EAC">
        <w:rPr>
          <w:rFonts w:hint="eastAsia"/>
          <w:lang w:val="zh-CN" w:eastAsia="zh-CN"/>
        </w:rPr>
        <w:t>的报告已提交给</w:t>
      </w:r>
      <w:r w:rsidRPr="00EB2EAC">
        <w:rPr>
          <w:rFonts w:hint="eastAsia"/>
          <w:lang w:val="zh-CN" w:eastAsia="zh-CN"/>
        </w:rPr>
        <w:t>TDAG</w:t>
      </w:r>
      <w:r w:rsidRPr="00EB2EAC">
        <w:rPr>
          <w:rFonts w:hint="eastAsia"/>
          <w:lang w:val="zh-CN" w:eastAsia="zh-CN"/>
        </w:rPr>
        <w:t>关于研究组课题未来的工作组，并得到了赞赏。</w:t>
      </w:r>
      <w:r>
        <w:rPr>
          <w:lang w:val="zh-CN" w:eastAsia="zh-CN"/>
        </w:rPr>
        <w:t>每次技术讲座的报告可在</w:t>
      </w:r>
      <w:hyperlink r:id="rId23" w:history="1">
        <w:r w:rsidRPr="00EB2EAC">
          <w:rPr>
            <w:rStyle w:val="Hyperlink"/>
            <w:lang w:val="zh-CN" w:eastAsia="zh-CN"/>
          </w:rPr>
          <w:t>此处</w:t>
        </w:r>
      </w:hyperlink>
      <w:r>
        <w:rPr>
          <w:lang w:val="zh-CN" w:eastAsia="zh-CN"/>
        </w:rPr>
        <w:t>查阅。</w:t>
      </w:r>
      <w:hyperlink r:id="rId24"/>
      <w:hyperlink r:id="rId25"/>
      <w:hyperlink r:id="rId26"/>
    </w:p>
    <w:p w14:paraId="78F737BC" w14:textId="62C2A0D2" w:rsidR="00123683" w:rsidRPr="00123683" w:rsidRDefault="00123683" w:rsidP="00123683">
      <w:pPr>
        <w:pStyle w:val="enumlev1"/>
        <w:rPr>
          <w:rFonts w:ascii="Calibri" w:hAnsi="Calibri" w:cs="Calibri"/>
          <w:lang w:eastAsia="zh-CN"/>
        </w:rPr>
      </w:pPr>
      <w:r>
        <w:rPr>
          <w:lang w:eastAsia="zh-CN"/>
        </w:rPr>
        <w:t>–</w:t>
      </w:r>
      <w:r>
        <w:rPr>
          <w:lang w:eastAsia="zh-CN"/>
        </w:rPr>
        <w:tab/>
      </w:r>
      <w:r w:rsidRPr="00EB2EAC">
        <w:rPr>
          <w:rFonts w:hint="eastAsia"/>
          <w:lang w:val="zh-CN" w:eastAsia="zh-CN"/>
        </w:rPr>
        <w:t>2025</w:t>
      </w:r>
      <w:r w:rsidRPr="00EB2EAC">
        <w:rPr>
          <w:rFonts w:hint="eastAsia"/>
          <w:lang w:val="zh-CN" w:eastAsia="zh-CN"/>
        </w:rPr>
        <w:t>年，</w:t>
      </w:r>
      <w:r>
        <w:rPr>
          <w:lang w:val="zh-CN" w:eastAsia="zh-CN"/>
        </w:rPr>
        <w:t>电信发展局</w:t>
      </w:r>
      <w:r w:rsidRPr="00EB2EAC">
        <w:rPr>
          <w:rFonts w:hint="eastAsia"/>
          <w:lang w:val="zh-CN" w:eastAsia="zh-CN"/>
        </w:rPr>
        <w:t>继续与</w:t>
      </w:r>
      <w:r w:rsidRPr="00EB2EAC">
        <w:rPr>
          <w:rFonts w:hint="eastAsia"/>
          <w:lang w:val="zh-CN" w:eastAsia="zh-CN"/>
        </w:rPr>
        <w:t>ITU-D</w:t>
      </w:r>
      <w:r w:rsidRPr="00EB2EAC">
        <w:rPr>
          <w:rFonts w:hint="eastAsia"/>
          <w:lang w:val="zh-CN" w:eastAsia="zh-CN"/>
        </w:rPr>
        <w:t>若干部门成员、部门准成员、学术成员和潜在部门成员共同组织</w:t>
      </w:r>
      <w:r w:rsidRPr="00EB2EAC">
        <w:rPr>
          <w:rFonts w:hint="eastAsia"/>
          <w:b/>
          <w:bCs/>
          <w:lang w:val="zh-CN" w:eastAsia="zh-CN"/>
        </w:rPr>
        <w:t>虚拟情况通报会</w:t>
      </w:r>
      <w:r w:rsidRPr="00EB2EAC">
        <w:rPr>
          <w:rFonts w:hint="eastAsia"/>
          <w:lang w:val="zh-CN" w:eastAsia="zh-CN"/>
        </w:rPr>
        <w:t>和</w:t>
      </w:r>
      <w:r w:rsidRPr="00EB2EAC">
        <w:rPr>
          <w:rFonts w:hint="eastAsia"/>
          <w:b/>
          <w:bCs/>
          <w:lang w:val="zh-CN" w:eastAsia="zh-CN"/>
        </w:rPr>
        <w:t>国际电联总部参观</w:t>
      </w:r>
      <w:r w:rsidRPr="00EB2EAC">
        <w:rPr>
          <w:rFonts w:hint="eastAsia"/>
          <w:lang w:val="zh-CN" w:eastAsia="zh-CN"/>
        </w:rPr>
        <w:t>活动，介绍成员与</w:t>
      </w:r>
      <w:r w:rsidRPr="00EB2EAC">
        <w:rPr>
          <w:rFonts w:hint="eastAsia"/>
          <w:lang w:val="zh-CN" w:eastAsia="zh-CN"/>
        </w:rPr>
        <w:t>ITU-D</w:t>
      </w:r>
      <w:r w:rsidRPr="00EB2EAC">
        <w:rPr>
          <w:rFonts w:hint="eastAsia"/>
          <w:lang w:val="zh-CN" w:eastAsia="zh-CN"/>
        </w:rPr>
        <w:t>合作的好处和机会。</w:t>
      </w:r>
    </w:p>
    <w:p w14:paraId="2A3BE048" w14:textId="77777777" w:rsidR="00123683" w:rsidRPr="008C317F" w:rsidRDefault="00123683" w:rsidP="008C317F">
      <w:pPr>
        <w:pStyle w:val="Heading1"/>
      </w:pPr>
      <w:r w:rsidRPr="008C317F">
        <w:t>4</w:t>
      </w:r>
      <w:r w:rsidRPr="008C317F">
        <w:tab/>
        <w:t>2026</w:t>
      </w:r>
      <w:proofErr w:type="spellStart"/>
      <w:r w:rsidRPr="008C317F">
        <w:t>年的</w:t>
      </w:r>
      <w:r w:rsidRPr="008C317F">
        <w:rPr>
          <w:rFonts w:hint="eastAsia"/>
        </w:rPr>
        <w:t>宣传</w:t>
      </w:r>
      <w:r w:rsidRPr="008C317F">
        <w:t>和参与</w:t>
      </w:r>
      <w:r w:rsidRPr="008C317F">
        <w:rPr>
          <w:rFonts w:hint="eastAsia"/>
        </w:rPr>
        <w:t>工作</w:t>
      </w:r>
      <w:proofErr w:type="spellEnd"/>
    </w:p>
    <w:p w14:paraId="789E1617" w14:textId="71024EF4" w:rsidR="00123683" w:rsidRPr="00123683" w:rsidRDefault="00123683" w:rsidP="00123683">
      <w:pPr>
        <w:pStyle w:val="enumlev1"/>
        <w:rPr>
          <w:rFonts w:ascii="Calibri" w:hAnsi="Calibri" w:cs="Arial"/>
          <w:bCs/>
          <w:lang w:eastAsia="zh-CN"/>
        </w:rPr>
      </w:pPr>
      <w:r w:rsidRPr="00123683">
        <w:rPr>
          <w:bCs/>
          <w:lang w:val="zh-CN" w:eastAsia="zh-CN"/>
        </w:rPr>
        <w:t>–</w:t>
      </w:r>
      <w:r>
        <w:rPr>
          <w:bCs/>
          <w:lang w:val="zh-CN" w:eastAsia="zh-CN"/>
        </w:rPr>
        <w:tab/>
      </w:r>
      <w:r>
        <w:rPr>
          <w:lang w:val="zh-CN" w:eastAsia="zh-CN"/>
        </w:rPr>
        <w:t>根据</w:t>
      </w:r>
      <w:r>
        <w:rPr>
          <w:lang w:val="zh-CN" w:eastAsia="zh-CN"/>
        </w:rPr>
        <w:t>WTDC-25</w:t>
      </w:r>
      <w:r>
        <w:rPr>
          <w:lang w:val="zh-CN" w:eastAsia="zh-CN"/>
        </w:rPr>
        <w:t>的成果，电信发展局将继续通过在全球外部活动中</w:t>
      </w:r>
      <w:r>
        <w:rPr>
          <w:rFonts w:hint="eastAsia"/>
          <w:lang w:val="zh-CN" w:eastAsia="zh-CN"/>
        </w:rPr>
        <w:t>对</w:t>
      </w:r>
      <w:r>
        <w:rPr>
          <w:lang w:val="zh-CN" w:eastAsia="zh-CN"/>
        </w:rPr>
        <w:t>潜在成员和合作伙伴</w:t>
      </w:r>
      <w:r>
        <w:rPr>
          <w:rFonts w:hint="eastAsia"/>
          <w:lang w:val="zh-CN" w:eastAsia="zh-CN"/>
        </w:rPr>
        <w:t>开展</w:t>
      </w:r>
      <w:r>
        <w:rPr>
          <w:lang w:val="zh-CN" w:eastAsia="zh-CN"/>
        </w:rPr>
        <w:t>战略性</w:t>
      </w:r>
      <w:r>
        <w:rPr>
          <w:rFonts w:hint="eastAsia"/>
          <w:lang w:val="zh-CN" w:eastAsia="zh-CN"/>
        </w:rPr>
        <w:t>宣传活动</w:t>
      </w:r>
      <w:r>
        <w:rPr>
          <w:lang w:val="zh-CN" w:eastAsia="zh-CN"/>
        </w:rPr>
        <w:t>，扩大</w:t>
      </w:r>
      <w:r>
        <w:rPr>
          <w:lang w:val="zh-CN" w:eastAsia="zh-CN"/>
        </w:rPr>
        <w:t>ITU-D</w:t>
      </w:r>
      <w:r>
        <w:rPr>
          <w:lang w:val="zh-CN" w:eastAsia="zh-CN"/>
        </w:rPr>
        <w:t>的成员群体。</w:t>
      </w:r>
    </w:p>
    <w:p w14:paraId="63C25F79" w14:textId="71E20222" w:rsidR="00123683" w:rsidRDefault="00123683" w:rsidP="00123683">
      <w:pPr>
        <w:pStyle w:val="enumlev1"/>
        <w:rPr>
          <w:rFonts w:ascii="Calibri" w:hAnsi="Calibri" w:cs="Calibri"/>
          <w:lang w:eastAsia="zh-CN"/>
        </w:rPr>
      </w:pPr>
      <w:r w:rsidRPr="00123683">
        <w:rPr>
          <w:lang w:val="zh-CN" w:eastAsia="zh-CN"/>
        </w:rPr>
        <w:t>–</w:t>
      </w:r>
      <w:r>
        <w:rPr>
          <w:lang w:val="zh-CN" w:eastAsia="zh-CN"/>
        </w:rPr>
        <w:tab/>
      </w:r>
      <w:r>
        <w:rPr>
          <w:lang w:val="zh-CN" w:eastAsia="zh-CN"/>
        </w:rPr>
        <w:t>电信发展局将进一步加强与</w:t>
      </w:r>
      <w:r>
        <w:rPr>
          <w:lang w:val="zh-CN" w:eastAsia="zh-CN"/>
        </w:rPr>
        <w:t>ITU-D</w:t>
      </w:r>
      <w:r>
        <w:rPr>
          <w:lang w:val="zh-CN" w:eastAsia="zh-CN"/>
        </w:rPr>
        <w:t>成员的合作，持续关注</w:t>
      </w:r>
      <w:r>
        <w:rPr>
          <w:lang w:val="zh-CN" w:eastAsia="zh-CN"/>
        </w:rPr>
        <w:t>ITU-D</w:t>
      </w:r>
      <w:r>
        <w:rPr>
          <w:lang w:val="zh-CN" w:eastAsia="zh-CN"/>
        </w:rPr>
        <w:t>私营部门成员向重要合作伙伴的转变，并将邀请非成员的合作伙伴加入</w:t>
      </w:r>
      <w:r>
        <w:rPr>
          <w:lang w:val="zh-CN" w:eastAsia="zh-CN"/>
        </w:rPr>
        <w:t>ITU-D</w:t>
      </w:r>
      <w:r>
        <w:rPr>
          <w:lang w:val="zh-CN" w:eastAsia="zh-CN"/>
        </w:rPr>
        <w:t>成员群体。</w:t>
      </w:r>
    </w:p>
    <w:p w14:paraId="32D58D2F" w14:textId="612D2632" w:rsidR="00123683" w:rsidRDefault="00123683" w:rsidP="00123683">
      <w:pPr>
        <w:pStyle w:val="enumlev1"/>
        <w:rPr>
          <w:rFonts w:ascii="Calibri" w:hAnsi="Calibri" w:cs="Calibri"/>
          <w:lang w:eastAsia="zh-CN"/>
        </w:rPr>
      </w:pPr>
      <w:r w:rsidRPr="00123683">
        <w:rPr>
          <w:lang w:val="zh-CN" w:eastAsia="zh-CN"/>
        </w:rPr>
        <w:t>–</w:t>
      </w:r>
      <w:r>
        <w:rPr>
          <w:lang w:val="zh-CN" w:eastAsia="zh-CN"/>
        </w:rPr>
        <w:tab/>
      </w:r>
      <w:r>
        <w:rPr>
          <w:lang w:val="zh-CN" w:eastAsia="zh-CN"/>
        </w:rPr>
        <w:t>下一次</w:t>
      </w:r>
      <w:r>
        <w:rPr>
          <w:lang w:val="zh-CN" w:eastAsia="zh-CN"/>
        </w:rPr>
        <w:t>IAGDI-CRO</w:t>
      </w:r>
      <w:r>
        <w:rPr>
          <w:lang w:val="zh-CN" w:eastAsia="zh-CN"/>
        </w:rPr>
        <w:t>会议将在</w:t>
      </w:r>
      <w:r>
        <w:rPr>
          <w:lang w:val="zh-CN" w:eastAsia="zh-CN"/>
        </w:rPr>
        <w:t>GSR-2</w:t>
      </w:r>
      <w:r>
        <w:rPr>
          <w:rFonts w:hint="eastAsia"/>
          <w:lang w:val="zh-CN" w:eastAsia="zh-CN"/>
        </w:rPr>
        <w:t>6</w:t>
      </w:r>
      <w:r>
        <w:rPr>
          <w:lang w:val="zh-CN" w:eastAsia="zh-CN"/>
        </w:rPr>
        <w:t>期间于</w:t>
      </w:r>
      <w:r w:rsidRPr="003A5DC4">
        <w:rPr>
          <w:b/>
          <w:bCs/>
          <w:lang w:val="zh-CN" w:eastAsia="zh-CN"/>
        </w:rPr>
        <w:t>202</w:t>
      </w:r>
      <w:r w:rsidRPr="003A5DC4">
        <w:rPr>
          <w:rFonts w:hint="eastAsia"/>
          <w:b/>
          <w:bCs/>
          <w:lang w:val="zh-CN" w:eastAsia="zh-CN"/>
        </w:rPr>
        <w:t>6</w:t>
      </w:r>
      <w:r w:rsidRPr="003A5DC4">
        <w:rPr>
          <w:b/>
          <w:bCs/>
          <w:lang w:val="zh-CN" w:eastAsia="zh-CN"/>
        </w:rPr>
        <w:t>年</w:t>
      </w:r>
      <w:r w:rsidRPr="003A5DC4">
        <w:rPr>
          <w:rFonts w:hint="eastAsia"/>
          <w:b/>
          <w:bCs/>
          <w:lang w:val="zh-CN" w:eastAsia="zh-CN"/>
        </w:rPr>
        <w:t>5</w:t>
      </w:r>
      <w:r w:rsidRPr="003A5DC4">
        <w:rPr>
          <w:b/>
          <w:bCs/>
          <w:lang w:val="zh-CN" w:eastAsia="zh-CN"/>
        </w:rPr>
        <w:t>月</w:t>
      </w:r>
      <w:r w:rsidRPr="003A5DC4">
        <w:rPr>
          <w:rFonts w:hint="eastAsia"/>
          <w:b/>
          <w:bCs/>
          <w:lang w:val="zh-CN" w:eastAsia="zh-CN"/>
        </w:rPr>
        <w:t>13</w:t>
      </w:r>
      <w:r w:rsidRPr="003A5DC4">
        <w:rPr>
          <w:b/>
          <w:bCs/>
          <w:lang w:val="zh-CN" w:eastAsia="zh-CN"/>
        </w:rPr>
        <w:t>日</w:t>
      </w:r>
      <w:r>
        <w:rPr>
          <w:lang w:val="zh-CN" w:eastAsia="zh-CN"/>
        </w:rPr>
        <w:t>在</w:t>
      </w:r>
      <w:r>
        <w:rPr>
          <w:rFonts w:hint="eastAsia"/>
          <w:lang w:val="zh-CN" w:eastAsia="zh-CN"/>
        </w:rPr>
        <w:t>土耳其安卡拉</w:t>
      </w:r>
      <w:r>
        <w:rPr>
          <w:lang w:val="zh-CN" w:eastAsia="zh-CN"/>
        </w:rPr>
        <w:t>举行。</w:t>
      </w:r>
      <w:r>
        <w:rPr>
          <w:lang w:val="zh-CN" w:eastAsia="zh-CN"/>
        </w:rPr>
        <w:t>MPS/PPS</w:t>
      </w:r>
      <w:r>
        <w:rPr>
          <w:lang w:val="zh-CN" w:eastAsia="zh-CN"/>
        </w:rPr>
        <w:t>将与</w:t>
      </w:r>
      <w:r>
        <w:rPr>
          <w:lang w:val="zh-CN" w:eastAsia="zh-CN"/>
        </w:rPr>
        <w:t>ITU-D</w:t>
      </w:r>
      <w:r>
        <w:rPr>
          <w:lang w:val="zh-CN" w:eastAsia="zh-CN"/>
        </w:rPr>
        <w:t>部门成员举行会议，鼓励</w:t>
      </w:r>
      <w:r>
        <w:rPr>
          <w:rFonts w:hint="eastAsia"/>
          <w:lang w:val="zh-CN" w:eastAsia="zh-CN"/>
        </w:rPr>
        <w:t>其</w:t>
      </w:r>
      <w:r>
        <w:rPr>
          <w:lang w:val="zh-CN" w:eastAsia="zh-CN"/>
        </w:rPr>
        <w:t>参与</w:t>
      </w:r>
      <w:r>
        <w:rPr>
          <w:lang w:val="zh-CN" w:eastAsia="zh-CN"/>
        </w:rPr>
        <w:t>IAGDI-CRO</w:t>
      </w:r>
      <w:r>
        <w:rPr>
          <w:lang w:val="zh-CN" w:eastAsia="zh-CN"/>
        </w:rPr>
        <w:t>，并为</w:t>
      </w:r>
      <w:r>
        <w:rPr>
          <w:lang w:val="zh-CN" w:eastAsia="zh-CN"/>
        </w:rPr>
        <w:t>GSR-26</w:t>
      </w:r>
      <w:r>
        <w:rPr>
          <w:lang w:val="zh-CN" w:eastAsia="zh-CN"/>
        </w:rPr>
        <w:t>最佳做法导则磋商进程做出贡献。</w:t>
      </w:r>
    </w:p>
    <w:p w14:paraId="53E42B8F" w14:textId="7576E56F" w:rsidR="00123683" w:rsidRDefault="00123683" w:rsidP="00123683">
      <w:pPr>
        <w:pStyle w:val="enumlev1"/>
        <w:rPr>
          <w:lang w:val="zh-CN" w:eastAsia="zh-CN"/>
        </w:rPr>
      </w:pPr>
      <w:r w:rsidRPr="00123683">
        <w:rPr>
          <w:lang w:val="zh-CN" w:eastAsia="zh-CN"/>
        </w:rPr>
        <w:t>–</w:t>
      </w:r>
      <w:r>
        <w:rPr>
          <w:lang w:val="zh-CN" w:eastAsia="zh-CN"/>
        </w:rPr>
        <w:tab/>
        <w:t>2026</w:t>
      </w:r>
      <w:r>
        <w:rPr>
          <w:lang w:val="zh-CN" w:eastAsia="zh-CN"/>
        </w:rPr>
        <w:t>年，电信发展局将与</w:t>
      </w:r>
      <w:r>
        <w:rPr>
          <w:lang w:val="zh-CN" w:eastAsia="zh-CN"/>
        </w:rPr>
        <w:t>ITU-D</w:t>
      </w:r>
      <w:r>
        <w:rPr>
          <w:lang w:val="zh-CN" w:eastAsia="zh-CN"/>
        </w:rPr>
        <w:t>成员举办一系列磋商会议</w:t>
      </w:r>
      <w:r>
        <w:rPr>
          <w:lang w:val="zh-CN" w:eastAsia="zh-CN"/>
        </w:rPr>
        <w:t xml:space="preserve"> </w:t>
      </w:r>
      <w:r w:rsidR="007F55E5" w:rsidRPr="007F55E5">
        <w:rPr>
          <w:lang w:val="zh-CN" w:eastAsia="zh-CN"/>
        </w:rPr>
        <w:t>–</w:t>
      </w:r>
      <w:r>
        <w:rPr>
          <w:lang w:val="zh-CN" w:eastAsia="zh-CN"/>
        </w:rPr>
        <w:t xml:space="preserve"> </w:t>
      </w:r>
      <w:r>
        <w:rPr>
          <w:rFonts w:hint="eastAsia"/>
          <w:b/>
          <w:bCs/>
          <w:lang w:val="zh-CN" w:eastAsia="zh-CN"/>
        </w:rPr>
        <w:t>“</w:t>
      </w:r>
      <w:r w:rsidRPr="0045271D">
        <w:rPr>
          <w:b/>
          <w:bCs/>
          <w:lang w:val="zh-CN" w:eastAsia="zh-CN"/>
        </w:rPr>
        <w:t>了解成员</w:t>
      </w:r>
      <w:r>
        <w:rPr>
          <w:rFonts w:hint="eastAsia"/>
          <w:b/>
          <w:bCs/>
          <w:lang w:val="zh-CN" w:eastAsia="zh-CN"/>
        </w:rPr>
        <w:t>”</w:t>
      </w:r>
      <w:r w:rsidRPr="0045271D">
        <w:rPr>
          <w:b/>
          <w:bCs/>
          <w:lang w:val="zh-CN" w:eastAsia="zh-CN"/>
        </w:rPr>
        <w:t>系列</w:t>
      </w:r>
      <w:r>
        <w:rPr>
          <w:lang w:val="zh-CN" w:eastAsia="zh-CN"/>
        </w:rPr>
        <w:t>活动，以增加对该部门工作的参与。</w:t>
      </w:r>
      <w:r>
        <w:rPr>
          <w:rFonts w:hint="eastAsia"/>
          <w:lang w:val="zh-CN" w:eastAsia="zh-CN"/>
        </w:rPr>
        <w:t>“</w:t>
      </w:r>
      <w:r>
        <w:rPr>
          <w:lang w:val="zh-CN" w:eastAsia="zh-CN"/>
        </w:rPr>
        <w:t>了解成员</w:t>
      </w:r>
      <w:r>
        <w:rPr>
          <w:rFonts w:hint="eastAsia"/>
          <w:lang w:val="zh-CN" w:eastAsia="zh-CN"/>
        </w:rPr>
        <w:t>”</w:t>
      </w:r>
      <w:r>
        <w:rPr>
          <w:lang w:val="zh-CN" w:eastAsia="zh-CN"/>
        </w:rPr>
        <w:t>系列活动旨在为成员提供个性化和有针对性的机会，</w:t>
      </w:r>
      <w:r w:rsidRPr="0045271D">
        <w:rPr>
          <w:rFonts w:hint="eastAsia"/>
          <w:lang w:val="zh-CN" w:eastAsia="zh-CN"/>
        </w:rPr>
        <w:t>使其能够就参与</w:t>
      </w:r>
      <w:r w:rsidRPr="0045271D">
        <w:rPr>
          <w:rFonts w:hint="eastAsia"/>
          <w:lang w:val="zh-CN" w:eastAsia="zh-CN"/>
        </w:rPr>
        <w:t>ITU-D</w:t>
      </w:r>
      <w:r w:rsidRPr="0045271D">
        <w:rPr>
          <w:rFonts w:hint="eastAsia"/>
          <w:lang w:val="zh-CN" w:eastAsia="zh-CN"/>
        </w:rPr>
        <w:t>的工作一事，向</w:t>
      </w:r>
      <w:r>
        <w:rPr>
          <w:lang w:val="zh-CN" w:eastAsia="zh-CN"/>
        </w:rPr>
        <w:t>电信发展局主任</w:t>
      </w:r>
      <w:r w:rsidRPr="0045271D">
        <w:rPr>
          <w:rFonts w:hint="eastAsia"/>
          <w:lang w:val="zh-CN" w:eastAsia="zh-CN"/>
        </w:rPr>
        <w:t>公开、自由地表达观点，并在必要时提出建议。</w:t>
      </w:r>
    </w:p>
    <w:p w14:paraId="42D98FE2" w14:textId="769467F4" w:rsidR="00123683" w:rsidRPr="00123683" w:rsidRDefault="00123683" w:rsidP="008C317F">
      <w:pPr>
        <w:pStyle w:val="Heading1"/>
        <w:rPr>
          <w:lang w:eastAsia="zh-CN"/>
        </w:rPr>
      </w:pPr>
      <w:r w:rsidRPr="00123683">
        <w:rPr>
          <w:lang w:val="zh-CN" w:eastAsia="zh-CN"/>
        </w:rPr>
        <w:lastRenderedPageBreak/>
        <w:t>5</w:t>
      </w:r>
      <w:r w:rsidRPr="00123683">
        <w:rPr>
          <w:lang w:val="zh-CN" w:eastAsia="zh-CN"/>
        </w:rPr>
        <w:tab/>
        <w:t>2025</w:t>
      </w:r>
      <w:r w:rsidRPr="00123683">
        <w:rPr>
          <w:lang w:val="zh-CN" w:eastAsia="zh-CN"/>
        </w:rPr>
        <w:t>年的内部协调和流程改进</w:t>
      </w:r>
    </w:p>
    <w:p w14:paraId="7F93B42F" w14:textId="77777777" w:rsidR="00123683" w:rsidRDefault="00123683" w:rsidP="008C317F">
      <w:pPr>
        <w:keepNext/>
        <w:keepLines/>
        <w:tabs>
          <w:tab w:val="left" w:pos="567"/>
          <w:tab w:val="left" w:pos="1701"/>
        </w:tabs>
        <w:ind w:firstLineChars="200" w:firstLine="480"/>
        <w:rPr>
          <w:lang w:val="zh-CN" w:eastAsia="zh-CN"/>
        </w:rPr>
      </w:pPr>
      <w:r w:rsidRPr="00A03956">
        <w:rPr>
          <w:rFonts w:hint="eastAsia"/>
          <w:lang w:val="zh-CN" w:eastAsia="zh-CN"/>
        </w:rPr>
        <w:t>电信发展局不断与其他部门、总秘书处（</w:t>
      </w:r>
      <w:r w:rsidRPr="00A03956">
        <w:rPr>
          <w:rFonts w:hint="eastAsia"/>
          <w:lang w:val="zh-CN" w:eastAsia="zh-CN"/>
        </w:rPr>
        <w:t>SPM</w:t>
      </w:r>
      <w:r w:rsidRPr="00A03956">
        <w:rPr>
          <w:rFonts w:hint="eastAsia"/>
          <w:lang w:val="zh-CN" w:eastAsia="zh-CN"/>
        </w:rPr>
        <w:t>）和区域代表处进行内部协调，以加强有效流程，通过以下方式改善成员体验：</w:t>
      </w:r>
    </w:p>
    <w:p w14:paraId="3910E00C" w14:textId="77777777" w:rsidR="00123683" w:rsidRPr="00A6752C" w:rsidRDefault="00123683" w:rsidP="00A6752C">
      <w:pPr>
        <w:pStyle w:val="enumlev1"/>
        <w:rPr>
          <w:lang w:val="zh-CN" w:eastAsia="zh-CN"/>
        </w:rPr>
      </w:pPr>
      <w:r w:rsidRPr="00A6752C">
        <w:rPr>
          <w:lang w:val="zh-CN" w:eastAsia="zh-CN"/>
        </w:rPr>
        <w:t>–</w:t>
      </w:r>
      <w:r w:rsidRPr="00A6752C">
        <w:rPr>
          <w:lang w:val="zh-CN" w:eastAsia="zh-CN"/>
        </w:rPr>
        <w:tab/>
      </w:r>
      <w:r w:rsidRPr="00A6752C">
        <w:rPr>
          <w:lang w:val="zh-CN" w:eastAsia="zh-CN"/>
        </w:rPr>
        <w:t>加大力度，为新成员提供更有效的入职体验，</w:t>
      </w:r>
      <w:r w:rsidRPr="00A6752C">
        <w:rPr>
          <w:rFonts w:hint="eastAsia"/>
          <w:lang w:val="zh-CN" w:eastAsia="zh-CN"/>
        </w:rPr>
        <w:t>特别是在</w:t>
      </w:r>
      <w:r w:rsidRPr="00A6752C">
        <w:rPr>
          <w:lang w:val="zh-CN" w:eastAsia="zh-CN"/>
        </w:rPr>
        <w:t>ITU-D</w:t>
      </w:r>
      <w:r w:rsidRPr="00A6752C">
        <w:rPr>
          <w:rFonts w:hint="eastAsia"/>
          <w:lang w:val="zh-CN" w:eastAsia="zh-CN"/>
        </w:rPr>
        <w:t>各研究组的工作中，并动员专家团队积极参与，确保其与</w:t>
      </w:r>
      <w:r w:rsidRPr="00A6752C">
        <w:rPr>
          <w:lang w:val="zh-CN" w:eastAsia="zh-CN"/>
        </w:rPr>
        <w:t>ITU-D</w:t>
      </w:r>
      <w:r w:rsidRPr="00A6752C">
        <w:rPr>
          <w:rFonts w:hint="eastAsia"/>
          <w:lang w:val="zh-CN" w:eastAsia="zh-CN"/>
        </w:rPr>
        <w:t>的产品和服务建立联系。</w:t>
      </w:r>
    </w:p>
    <w:p w14:paraId="65CE91D0" w14:textId="77777777" w:rsidR="00123683" w:rsidRPr="00A6752C" w:rsidRDefault="00123683" w:rsidP="00A6752C">
      <w:pPr>
        <w:pStyle w:val="enumlev1"/>
        <w:rPr>
          <w:lang w:val="zh-CN" w:eastAsia="zh-CN"/>
        </w:rPr>
      </w:pPr>
      <w:r w:rsidRPr="00A6752C">
        <w:rPr>
          <w:lang w:val="zh-CN" w:eastAsia="zh-CN"/>
        </w:rPr>
        <w:t>–</w:t>
      </w:r>
      <w:r w:rsidRPr="00A6752C">
        <w:rPr>
          <w:lang w:val="zh-CN" w:eastAsia="zh-CN"/>
        </w:rPr>
        <w:tab/>
      </w:r>
      <w:r w:rsidRPr="00A6752C">
        <w:rPr>
          <w:rFonts w:hint="eastAsia"/>
          <w:lang w:val="zh-CN" w:eastAsia="zh-CN"/>
        </w:rPr>
        <w:t>重新设计成员工具包，更清楚地展示成员权益，并简化申请流程，以鼓励潜在成员加入。</w:t>
      </w:r>
    </w:p>
    <w:p w14:paraId="04CE1245" w14:textId="77777777" w:rsidR="00123683" w:rsidRPr="00A6752C" w:rsidRDefault="00123683" w:rsidP="00A6752C">
      <w:pPr>
        <w:pStyle w:val="enumlev1"/>
        <w:rPr>
          <w:lang w:val="zh-CN" w:eastAsia="zh-CN"/>
        </w:rPr>
      </w:pPr>
      <w:r w:rsidRPr="00A6752C">
        <w:rPr>
          <w:lang w:val="zh-CN" w:eastAsia="zh-CN"/>
        </w:rPr>
        <w:t>–</w:t>
      </w:r>
      <w:r w:rsidRPr="00A6752C">
        <w:rPr>
          <w:lang w:val="zh-CN" w:eastAsia="zh-CN"/>
        </w:rPr>
        <w:tab/>
      </w:r>
      <w:r w:rsidRPr="00A6752C">
        <w:rPr>
          <w:rFonts w:hint="eastAsia"/>
          <w:lang w:val="zh-CN" w:eastAsia="zh-CN"/>
        </w:rPr>
        <w:t>针对参与度最低的成员及存在风险的账户组织定向电话沟通，</w:t>
      </w:r>
      <w:r w:rsidRPr="00A6752C">
        <w:rPr>
          <w:lang w:val="zh-CN" w:eastAsia="zh-CN"/>
        </w:rPr>
        <w:t>以激励他们参与部门工作。</w:t>
      </w:r>
    </w:p>
    <w:p w14:paraId="1B4BF15E" w14:textId="3229EBAA" w:rsidR="00123683" w:rsidRPr="00CE2EF5" w:rsidRDefault="00123683" w:rsidP="00A6752C">
      <w:pPr>
        <w:pStyle w:val="enumlev1"/>
        <w:rPr>
          <w:rFonts w:ascii="Calibri" w:hAnsi="Calibri" w:cs="Arial"/>
          <w:szCs w:val="24"/>
          <w:lang w:eastAsia="zh-CN"/>
        </w:rPr>
      </w:pPr>
      <w:r w:rsidRPr="00A6752C">
        <w:rPr>
          <w:lang w:val="zh-CN" w:eastAsia="zh-CN"/>
        </w:rPr>
        <w:t>–</w:t>
      </w:r>
      <w:r w:rsidRPr="00A6752C">
        <w:rPr>
          <w:lang w:val="zh-CN" w:eastAsia="zh-CN"/>
        </w:rPr>
        <w:tab/>
      </w:r>
      <w:r w:rsidRPr="00A6752C">
        <w:rPr>
          <w:lang w:val="zh-CN" w:eastAsia="zh-CN"/>
        </w:rPr>
        <w:t>就加强部门成员的参与、保留和交叉销售的方式与其他部门和总秘书处进行协调。</w:t>
      </w:r>
    </w:p>
    <w:p w14:paraId="4C341DB8" w14:textId="77777777" w:rsidR="00A6752C" w:rsidRPr="00A6752C" w:rsidRDefault="00A6752C" w:rsidP="008C317F">
      <w:pPr>
        <w:pStyle w:val="Headingb"/>
        <w:rPr>
          <w:rFonts w:ascii="Calibri" w:hAnsi="Calibri" w:cs="Arial"/>
          <w:lang w:eastAsia="zh-CN"/>
        </w:rPr>
      </w:pPr>
      <w:r w:rsidRPr="00A6752C">
        <w:rPr>
          <w:lang w:eastAsia="zh-CN"/>
        </w:rPr>
        <w:t>结论</w:t>
      </w:r>
    </w:p>
    <w:p w14:paraId="0664F77C" w14:textId="77777777" w:rsidR="00A6752C" w:rsidRPr="0067402F" w:rsidRDefault="00A6752C" w:rsidP="003C5106">
      <w:pPr>
        <w:ind w:firstLineChars="200" w:firstLine="480"/>
        <w:rPr>
          <w:rFonts w:ascii="Calibri" w:hAnsi="Calibri"/>
          <w:lang w:eastAsia="zh-CN"/>
        </w:rPr>
      </w:pPr>
      <w:r>
        <w:rPr>
          <w:lang w:val="zh-CN" w:eastAsia="zh-CN"/>
        </w:rPr>
        <w:t>电信发展局承诺：</w:t>
      </w:r>
    </w:p>
    <w:p w14:paraId="6BF23A08" w14:textId="77777777" w:rsidR="00A6752C" w:rsidRDefault="00A6752C" w:rsidP="00A6752C">
      <w:pPr>
        <w:pStyle w:val="enumlev1"/>
        <w:rPr>
          <w:rFonts w:ascii="Calibri" w:hAnsi="Calibri"/>
          <w:lang w:eastAsia="zh-CN"/>
        </w:rPr>
      </w:pPr>
      <w:r>
        <w:rPr>
          <w:rFonts w:hint="eastAsia"/>
          <w:lang w:val="zh-CN" w:eastAsia="zh-CN"/>
        </w:rPr>
        <w:t>a</w:t>
      </w:r>
      <w:r>
        <w:rPr>
          <w:lang w:val="zh-CN" w:eastAsia="zh-CN"/>
        </w:rPr>
        <w:t>)</w:t>
      </w:r>
      <w:r>
        <w:rPr>
          <w:lang w:val="zh-CN" w:eastAsia="zh-CN"/>
        </w:rPr>
        <w:tab/>
      </w:r>
      <w:r w:rsidRPr="00532E2E">
        <w:rPr>
          <w:rFonts w:hint="eastAsia"/>
          <w:lang w:val="zh-CN" w:eastAsia="zh-CN"/>
        </w:rPr>
        <w:t>继续通过简报会、正式</w:t>
      </w:r>
      <w:r>
        <w:rPr>
          <w:rFonts w:hint="eastAsia"/>
          <w:lang w:val="zh-CN" w:eastAsia="zh-CN"/>
        </w:rPr>
        <w:t>访问</w:t>
      </w:r>
      <w:r w:rsidRPr="00532E2E">
        <w:rPr>
          <w:rFonts w:hint="eastAsia"/>
          <w:lang w:val="zh-CN" w:eastAsia="zh-CN"/>
        </w:rPr>
        <w:t>、</w:t>
      </w:r>
      <w:r>
        <w:rPr>
          <w:rFonts w:hint="eastAsia"/>
          <w:lang w:val="zh-CN" w:eastAsia="zh-CN"/>
        </w:rPr>
        <w:t>“</w:t>
      </w:r>
      <w:r w:rsidRPr="00532E2E">
        <w:rPr>
          <w:rFonts w:hint="eastAsia"/>
          <w:lang w:val="zh-CN" w:eastAsia="zh-CN"/>
        </w:rPr>
        <w:t>了解成员</w:t>
      </w:r>
      <w:r>
        <w:rPr>
          <w:rFonts w:hint="eastAsia"/>
          <w:lang w:val="zh-CN" w:eastAsia="zh-CN"/>
        </w:rPr>
        <w:t>”</w:t>
      </w:r>
      <w:r w:rsidRPr="00532E2E">
        <w:rPr>
          <w:rFonts w:hint="eastAsia"/>
          <w:lang w:val="zh-CN" w:eastAsia="zh-CN"/>
        </w:rPr>
        <w:t>会议，以及通过展示价值和建立伙伴关系，为有影响力的项目和举措释放资源，</w:t>
      </w:r>
      <w:r>
        <w:rPr>
          <w:rFonts w:hint="eastAsia"/>
          <w:lang w:val="zh-CN" w:eastAsia="zh-CN"/>
        </w:rPr>
        <w:t>加强</w:t>
      </w:r>
      <w:r w:rsidRPr="00532E2E">
        <w:rPr>
          <w:rFonts w:hint="eastAsia"/>
          <w:lang w:val="zh-CN" w:eastAsia="zh-CN"/>
        </w:rPr>
        <w:t>ITU-D</w:t>
      </w:r>
      <w:r w:rsidRPr="00532E2E">
        <w:rPr>
          <w:rFonts w:hint="eastAsia"/>
          <w:lang w:val="zh-CN" w:eastAsia="zh-CN"/>
        </w:rPr>
        <w:t>成员对</w:t>
      </w:r>
      <w:r>
        <w:rPr>
          <w:rFonts w:hint="eastAsia"/>
          <w:lang w:val="zh-CN" w:eastAsia="zh-CN"/>
        </w:rPr>
        <w:t>落实</w:t>
      </w:r>
      <w:r w:rsidRPr="00532E2E">
        <w:rPr>
          <w:rFonts w:hint="eastAsia"/>
          <w:lang w:val="zh-CN" w:eastAsia="zh-CN"/>
        </w:rPr>
        <w:t>《巴库行动计划》的有意义参与</w:t>
      </w:r>
      <w:r>
        <w:rPr>
          <w:rFonts w:ascii="SimSun" w:hAnsi="SimSun" w:cs="SimSun" w:hint="eastAsia"/>
          <w:lang w:eastAsia="zh-CN"/>
        </w:rPr>
        <w:t>。</w:t>
      </w:r>
    </w:p>
    <w:p w14:paraId="10E14BAC" w14:textId="77777777" w:rsidR="00A6752C" w:rsidRDefault="00A6752C" w:rsidP="00A6752C">
      <w:pPr>
        <w:pStyle w:val="enumlev1"/>
        <w:rPr>
          <w:rFonts w:ascii="Calibri" w:hAnsi="Calibri"/>
          <w:lang w:eastAsia="zh-CN"/>
        </w:rPr>
      </w:pPr>
      <w:r>
        <w:rPr>
          <w:rFonts w:ascii="Calibri" w:hAnsi="Calibri"/>
          <w:lang w:eastAsia="zh-CN"/>
        </w:rPr>
        <w:t>b)</w:t>
      </w:r>
      <w:r>
        <w:rPr>
          <w:rFonts w:ascii="Calibri" w:hAnsi="Calibri"/>
          <w:lang w:eastAsia="zh-CN"/>
        </w:rPr>
        <w:tab/>
      </w:r>
      <w:r w:rsidRPr="00532E2E">
        <w:rPr>
          <w:rFonts w:hint="eastAsia"/>
          <w:lang w:val="zh-CN" w:eastAsia="zh-CN"/>
        </w:rPr>
        <w:t>促进非活跃成员更多地参与</w:t>
      </w:r>
      <w:r w:rsidRPr="00532E2E">
        <w:rPr>
          <w:rFonts w:hint="eastAsia"/>
          <w:lang w:val="zh-CN" w:eastAsia="zh-CN"/>
        </w:rPr>
        <w:t>ITU-D</w:t>
      </w:r>
      <w:r w:rsidRPr="00532E2E">
        <w:rPr>
          <w:rFonts w:hint="eastAsia"/>
          <w:lang w:val="zh-CN" w:eastAsia="zh-CN"/>
        </w:rPr>
        <w:t>的产品和服务，包括</w:t>
      </w:r>
      <w:r w:rsidRPr="00532E2E">
        <w:rPr>
          <w:rFonts w:hint="eastAsia"/>
          <w:lang w:val="zh-CN" w:eastAsia="zh-CN"/>
        </w:rPr>
        <w:t>ITU-D</w:t>
      </w:r>
      <w:r w:rsidRPr="00532E2E">
        <w:rPr>
          <w:rFonts w:hint="eastAsia"/>
          <w:lang w:val="zh-CN" w:eastAsia="zh-CN"/>
        </w:rPr>
        <w:t>研究组、全球监管机构专题研讨会（</w:t>
      </w:r>
      <w:r w:rsidRPr="00532E2E">
        <w:rPr>
          <w:rFonts w:hint="eastAsia"/>
          <w:lang w:val="zh-CN" w:eastAsia="zh-CN"/>
        </w:rPr>
        <w:t>GSR</w:t>
      </w:r>
      <w:r w:rsidRPr="00532E2E">
        <w:rPr>
          <w:rFonts w:hint="eastAsia"/>
          <w:lang w:val="zh-CN" w:eastAsia="zh-CN"/>
        </w:rPr>
        <w:t>）、</w:t>
      </w:r>
      <w:r w:rsidRPr="00532E2E">
        <w:rPr>
          <w:rFonts w:hint="eastAsia"/>
          <w:lang w:val="zh-CN" w:eastAsia="zh-CN"/>
        </w:rPr>
        <w:t>IAGDI-CRO</w:t>
      </w:r>
      <w:r w:rsidRPr="00532E2E">
        <w:rPr>
          <w:rFonts w:hint="eastAsia"/>
          <w:lang w:val="zh-CN" w:eastAsia="zh-CN"/>
        </w:rPr>
        <w:t>、国际电联学院和区域发展论坛（</w:t>
      </w:r>
      <w:r w:rsidRPr="00532E2E">
        <w:rPr>
          <w:rFonts w:hint="eastAsia"/>
          <w:lang w:val="zh-CN" w:eastAsia="zh-CN"/>
        </w:rPr>
        <w:t>RDF</w:t>
      </w:r>
      <w:r w:rsidRPr="00532E2E">
        <w:rPr>
          <w:rFonts w:hint="eastAsia"/>
          <w:lang w:val="zh-CN" w:eastAsia="zh-CN"/>
        </w:rPr>
        <w:t>）等活动和平台。</w:t>
      </w:r>
    </w:p>
    <w:p w14:paraId="0FA7BCD1" w14:textId="0526F0C5" w:rsidR="00A6752C" w:rsidRDefault="00A6752C" w:rsidP="00A6752C">
      <w:pPr>
        <w:pStyle w:val="enumlev1"/>
        <w:rPr>
          <w:rFonts w:ascii="Calibri" w:hAnsi="Calibri"/>
          <w:lang w:eastAsia="zh-CN"/>
        </w:rPr>
      </w:pPr>
      <w:r>
        <w:rPr>
          <w:rFonts w:ascii="Calibri" w:hAnsi="Calibri" w:hint="eastAsia"/>
          <w:lang w:eastAsia="zh-CN"/>
        </w:rPr>
        <w:t>c</w:t>
      </w:r>
      <w:r>
        <w:rPr>
          <w:rFonts w:ascii="Calibri" w:hAnsi="Calibri"/>
          <w:lang w:eastAsia="zh-CN"/>
        </w:rPr>
        <w:t>)</w:t>
      </w:r>
      <w:r>
        <w:rPr>
          <w:rFonts w:ascii="Calibri" w:hAnsi="Calibri"/>
          <w:lang w:eastAsia="zh-CN"/>
        </w:rPr>
        <w:tab/>
      </w:r>
      <w:r>
        <w:rPr>
          <w:lang w:val="zh-CN" w:eastAsia="zh-CN"/>
        </w:rPr>
        <w:t>从</w:t>
      </w:r>
      <w:r>
        <w:rPr>
          <w:lang w:val="zh-CN" w:eastAsia="zh-CN"/>
        </w:rPr>
        <w:t>ITU-D</w:t>
      </w:r>
      <w:r>
        <w:rPr>
          <w:lang w:val="zh-CN" w:eastAsia="zh-CN"/>
        </w:rPr>
        <w:t>成员</w:t>
      </w:r>
      <w:r>
        <w:rPr>
          <w:rFonts w:hint="eastAsia"/>
          <w:lang w:val="zh-CN" w:eastAsia="zh-CN"/>
        </w:rPr>
        <w:t>处</w:t>
      </w:r>
      <w:r>
        <w:rPr>
          <w:lang w:val="zh-CN" w:eastAsia="zh-CN"/>
        </w:rPr>
        <w:t>收集有关改进工具、流程和其他服务的见解和反馈。</w:t>
      </w:r>
    </w:p>
    <w:p w14:paraId="0C0E7C6E" w14:textId="680BC5F1" w:rsidR="00A6752C" w:rsidRPr="008C317F" w:rsidRDefault="00A6752C" w:rsidP="008C317F">
      <w:pPr>
        <w:pStyle w:val="Heading1"/>
      </w:pPr>
      <w:r w:rsidRPr="008C317F">
        <w:rPr>
          <w:rFonts w:hint="eastAsia"/>
        </w:rPr>
        <w:t>6</w:t>
      </w:r>
      <w:r w:rsidRPr="008C317F">
        <w:tab/>
      </w:r>
      <w:proofErr w:type="spellStart"/>
      <w:r w:rsidRPr="008C317F">
        <w:t>呼吁提供支持</w:t>
      </w:r>
      <w:proofErr w:type="spellEnd"/>
    </w:p>
    <w:p w14:paraId="22C831C6" w14:textId="77777777" w:rsidR="00A6752C" w:rsidRDefault="00A6752C" w:rsidP="00A6752C">
      <w:pPr>
        <w:ind w:firstLineChars="200" w:firstLine="480"/>
        <w:rPr>
          <w:rFonts w:ascii="Calibri" w:hAnsi="Calibri"/>
          <w:lang w:eastAsia="zh-CN"/>
        </w:rPr>
      </w:pPr>
      <w:r>
        <w:rPr>
          <w:lang w:val="zh-CN" w:eastAsia="zh-CN"/>
        </w:rPr>
        <w:t>请</w:t>
      </w:r>
      <w:r>
        <w:rPr>
          <w:lang w:val="zh-CN" w:eastAsia="zh-CN"/>
        </w:rPr>
        <w:t>ITU-D</w:t>
      </w:r>
      <w:r>
        <w:rPr>
          <w:lang w:val="zh-CN" w:eastAsia="zh-CN"/>
        </w:rPr>
        <w:t>成员参与并宣传参加</w:t>
      </w:r>
      <w:r>
        <w:rPr>
          <w:lang w:val="zh-CN" w:eastAsia="zh-CN"/>
        </w:rPr>
        <w:t>ITU-D</w:t>
      </w:r>
      <w:r>
        <w:rPr>
          <w:lang w:val="zh-CN" w:eastAsia="zh-CN"/>
        </w:rPr>
        <w:t>工作的</w:t>
      </w:r>
      <w:r>
        <w:rPr>
          <w:lang w:eastAsia="zh-CN"/>
        </w:rPr>
        <w:t>益</w:t>
      </w:r>
      <w:r>
        <w:rPr>
          <w:lang w:val="zh-CN" w:eastAsia="zh-CN"/>
        </w:rPr>
        <w:t>处，并倡导公共和私营部门、业界和大学参与</w:t>
      </w:r>
      <w:r>
        <w:rPr>
          <w:lang w:val="zh-CN" w:eastAsia="zh-CN"/>
        </w:rPr>
        <w:t>ITU-D</w:t>
      </w:r>
      <w:r>
        <w:rPr>
          <w:lang w:val="zh-CN" w:eastAsia="zh-CN"/>
        </w:rPr>
        <w:t>的工作。</w:t>
      </w:r>
      <w:r>
        <w:rPr>
          <w:lang w:eastAsia="zh-CN"/>
        </w:rPr>
        <w:t>此外，</w:t>
      </w:r>
      <w:r>
        <w:rPr>
          <w:lang w:val="zh-CN" w:eastAsia="zh-CN"/>
        </w:rPr>
        <w:t>还鼓励</w:t>
      </w:r>
      <w:r>
        <w:rPr>
          <w:lang w:eastAsia="zh-CN"/>
        </w:rPr>
        <w:t>成员</w:t>
      </w:r>
      <w:r>
        <w:rPr>
          <w:lang w:val="zh-CN" w:eastAsia="zh-CN"/>
        </w:rPr>
        <w:t>及时完成对新申请的尽职调查，以便申请实体能够保持积极性，</w:t>
      </w:r>
      <w:r>
        <w:rPr>
          <w:rFonts w:hint="eastAsia"/>
          <w:lang w:val="zh-CN" w:eastAsia="zh-CN"/>
        </w:rPr>
        <w:t>通过</w:t>
      </w:r>
      <w:r>
        <w:rPr>
          <w:lang w:val="zh-CN" w:eastAsia="zh-CN"/>
        </w:rPr>
        <w:t>ITU-D</w:t>
      </w:r>
      <w:r>
        <w:rPr>
          <w:lang w:val="zh-CN" w:eastAsia="zh-CN"/>
        </w:rPr>
        <w:t>的各个平台完成附属程序</w:t>
      </w:r>
      <w:r>
        <w:rPr>
          <w:rFonts w:hint="eastAsia"/>
          <w:lang w:val="zh-CN" w:eastAsia="zh-CN"/>
        </w:rPr>
        <w:t>，</w:t>
      </w:r>
      <w:r>
        <w:rPr>
          <w:lang w:val="zh-CN" w:eastAsia="zh-CN"/>
        </w:rPr>
        <w:t>共同</w:t>
      </w:r>
      <w:r>
        <w:rPr>
          <w:rFonts w:hint="eastAsia"/>
          <w:lang w:val="zh-CN" w:eastAsia="zh-CN"/>
        </w:rPr>
        <w:t>实现</w:t>
      </w:r>
      <w:r>
        <w:rPr>
          <w:lang w:val="zh-CN" w:eastAsia="zh-CN"/>
        </w:rPr>
        <w:t>数字化转型。</w:t>
      </w:r>
    </w:p>
    <w:p w14:paraId="74682B16" w14:textId="77777777" w:rsidR="004346F2" w:rsidRPr="00123683" w:rsidRDefault="004346F2" w:rsidP="00123683">
      <w:pPr>
        <w:rPr>
          <w:b/>
          <w:bCs/>
          <w:szCs w:val="24"/>
          <w:lang w:eastAsia="zh-CN"/>
        </w:rPr>
      </w:pPr>
    </w:p>
    <w:p w14:paraId="1DC30005" w14:textId="594EB6CA" w:rsidR="00D83BF5" w:rsidRPr="0084734D" w:rsidRDefault="00D83BF5" w:rsidP="00403C69">
      <w:pPr>
        <w:jc w:val="center"/>
        <w:rPr>
          <w:szCs w:val="24"/>
        </w:rPr>
      </w:pPr>
      <w:r w:rsidRPr="00403C69">
        <w:rPr>
          <w:szCs w:val="24"/>
        </w:rPr>
        <w:t>_______________</w:t>
      </w:r>
    </w:p>
    <w:sectPr w:rsidR="00D83BF5" w:rsidRPr="0084734D" w:rsidSect="0081159E">
      <w:headerReference w:type="default" r:id="rId27"/>
      <w:footerReference w:type="first" r:id="rId28"/>
      <w:pgSz w:w="11907" w:h="16840" w:code="9"/>
      <w:pgMar w:top="1418" w:right="1134" w:bottom="1134" w:left="1134"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70FE2C" w14:textId="77777777" w:rsidR="00011ECB" w:rsidRDefault="00011ECB">
      <w:r>
        <w:separator/>
      </w:r>
    </w:p>
    <w:p w14:paraId="75D3C60F" w14:textId="77777777" w:rsidR="00011ECB" w:rsidRDefault="00011ECB"/>
  </w:endnote>
  <w:endnote w:type="continuationSeparator" w:id="0">
    <w:p w14:paraId="45763FC5" w14:textId="77777777" w:rsidR="00011ECB" w:rsidRDefault="00011ECB">
      <w:r>
        <w:continuationSeparator/>
      </w:r>
    </w:p>
    <w:p w14:paraId="6479313F" w14:textId="77777777" w:rsidR="00011ECB" w:rsidRDefault="00011ECB"/>
  </w:endnote>
  <w:endnote w:type="continuationNotice" w:id="1">
    <w:p w14:paraId="2DABBF92" w14:textId="77777777" w:rsidR="00011ECB" w:rsidRDefault="00011ECB">
      <w:pPr>
        <w:spacing w:before="0"/>
      </w:pPr>
    </w:p>
    <w:p w14:paraId="30E10933" w14:textId="77777777" w:rsidR="00011ECB" w:rsidRDefault="00011EC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TKaiti">
    <w:charset w:val="86"/>
    <w:family w:val="auto"/>
    <w:pitch w:val="variable"/>
    <w:sig w:usb0="00000287" w:usb1="080F0000" w:usb2="00000010" w:usb3="00000000" w:csb0="0004009F" w:csb1="00000000"/>
  </w:font>
  <w:font w:name="Times New Roman Bold">
    <w:altName w:val="Times New Roman"/>
    <w:panose1 w:val="02020803070505020304"/>
    <w:charset w:val="00"/>
    <w:family w:val="roman"/>
    <w:pitch w:val="variable"/>
    <w:sig w:usb0="00003A87" w:usb1="00000000" w:usb2="00000000" w:usb3="00000000" w:csb0="000000FF"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sig w:usb0="00000007" w:usb1="00000000" w:usb2="00000000" w:usb3="00000000" w:csb0="00000093" w:csb1="00000000"/>
  </w:font>
  <w:font w:name="Verdana">
    <w:panose1 w:val="020B0604030504040204"/>
    <w:charset w:val="00"/>
    <w:family w:val="swiss"/>
    <w:pitch w:val="variable"/>
    <w:sig w:usb0="A00006FF" w:usb1="4000205B" w:usb2="00000010" w:usb3="00000000" w:csb0="0000019F" w:csb1="00000000"/>
  </w:font>
  <w:font w:name="SimHei">
    <w:altName w:val="黑体"/>
    <w:panose1 w:val="02010609060101010101"/>
    <w:charset w:val="86"/>
    <w:family w:val="modern"/>
    <w:pitch w:val="fixed"/>
    <w:sig w:usb0="800002BF" w:usb1="38CF7CFA" w:usb2="00000016" w:usb3="00000000" w:csb0="00040001" w:csb1="00000000"/>
  </w:font>
  <w:font w:name="Simplified Arabic">
    <w:altName w:val="Simplified Arabic"/>
    <w:charset w:val="B2"/>
    <w:family w:val="roman"/>
    <w:pitch w:val="variable"/>
    <w:sig w:usb0="00002003" w:usb1="80000000" w:usb2="00000008" w:usb3="00000000" w:csb0="00000041" w:csb1="00000000"/>
  </w:font>
  <w:font w:name="GulimChe">
    <w:charset w:val="81"/>
    <w:family w:val="modern"/>
    <w:pitch w:val="fixed"/>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23" w:type="dxa"/>
      <w:tblLayout w:type="fixed"/>
      <w:tblLook w:val="04A0" w:firstRow="1" w:lastRow="0" w:firstColumn="1" w:lastColumn="0" w:noHBand="0" w:noVBand="1"/>
    </w:tblPr>
    <w:tblGrid>
      <w:gridCol w:w="1526"/>
      <w:gridCol w:w="2410"/>
      <w:gridCol w:w="5987"/>
    </w:tblGrid>
    <w:tr w:rsidR="00A65363" w:rsidRPr="004D495C" w14:paraId="0250776B" w14:textId="77777777" w:rsidTr="00E734CF">
      <w:tc>
        <w:tcPr>
          <w:tcW w:w="1526" w:type="dxa"/>
          <w:tcBorders>
            <w:top w:val="single" w:sz="4" w:space="0" w:color="000000"/>
          </w:tcBorders>
        </w:tcPr>
        <w:p w14:paraId="7B97426B" w14:textId="23A4CDF6" w:rsidR="00A65363" w:rsidRPr="004D495C" w:rsidRDefault="00A65363" w:rsidP="00A65363">
          <w:pPr>
            <w:pStyle w:val="FirstFooter"/>
            <w:tabs>
              <w:tab w:val="left" w:pos="1559"/>
              <w:tab w:val="left" w:pos="3828"/>
            </w:tabs>
            <w:rPr>
              <w:sz w:val="18"/>
              <w:szCs w:val="18"/>
            </w:rPr>
          </w:pPr>
          <w:r w:rsidRPr="00952839">
            <w:rPr>
              <w:rFonts w:ascii="SimSun" w:hAnsi="SimSun"/>
              <w:sz w:val="18"/>
              <w:szCs w:val="18"/>
              <w:lang w:val="es-ES_tradnl" w:eastAsia="zh-CN"/>
            </w:rPr>
            <w:t>联系人</w:t>
          </w:r>
          <w:r w:rsidRPr="00952839">
            <w:rPr>
              <w:rFonts w:ascii="SimSun" w:hAnsi="SimSun" w:hint="eastAsia"/>
              <w:sz w:val="18"/>
              <w:szCs w:val="18"/>
              <w:lang w:val="es-ES_tradnl" w:eastAsia="zh-CN"/>
            </w:rPr>
            <w:t>：</w:t>
          </w:r>
        </w:p>
      </w:tc>
      <w:tc>
        <w:tcPr>
          <w:tcW w:w="2410" w:type="dxa"/>
          <w:tcBorders>
            <w:top w:val="single" w:sz="4" w:space="0" w:color="000000"/>
          </w:tcBorders>
        </w:tcPr>
        <w:p w14:paraId="74DBEBFE" w14:textId="757FB048" w:rsidR="00A65363" w:rsidRPr="004D495C" w:rsidRDefault="00A65363" w:rsidP="00A65363">
          <w:pPr>
            <w:pStyle w:val="FirstFooter"/>
            <w:tabs>
              <w:tab w:val="left" w:pos="2302"/>
            </w:tabs>
            <w:ind w:left="2302" w:hanging="2302"/>
            <w:rPr>
              <w:sz w:val="18"/>
              <w:szCs w:val="18"/>
              <w:lang w:val="en-US"/>
            </w:rPr>
          </w:pPr>
          <w:r>
            <w:rPr>
              <w:rFonts w:ascii="SimSun" w:hAnsi="SimSun" w:hint="eastAsia"/>
              <w:sz w:val="18"/>
              <w:szCs w:val="18"/>
              <w:lang w:val="es-ES_tradnl" w:eastAsia="zh-CN"/>
            </w:rPr>
            <w:t>姓名</w:t>
          </w:r>
          <w:r w:rsidRPr="0062421D">
            <w:rPr>
              <w:rFonts w:cstheme="minorHAnsi"/>
              <w:sz w:val="18"/>
              <w:szCs w:val="18"/>
              <w:lang w:val="es-ES_tradnl" w:eastAsia="zh-CN"/>
            </w:rPr>
            <w:t>/</w:t>
          </w:r>
          <w:r w:rsidRPr="00952839">
            <w:rPr>
              <w:rFonts w:ascii="SimSun" w:hAnsi="SimSun"/>
              <w:sz w:val="18"/>
              <w:szCs w:val="18"/>
              <w:lang w:val="es-ES_tradnl" w:eastAsia="zh-CN"/>
            </w:rPr>
            <w:t>组织</w:t>
          </w:r>
          <w:r w:rsidRPr="0062421D">
            <w:rPr>
              <w:rFonts w:cstheme="minorHAnsi"/>
              <w:caps/>
              <w:sz w:val="18"/>
              <w:szCs w:val="18"/>
              <w:lang w:val="es-ES_tradnl" w:eastAsia="zh-CN"/>
            </w:rPr>
            <w:t>/</w:t>
          </w:r>
          <w:r w:rsidRPr="00952839">
            <w:rPr>
              <w:rFonts w:ascii="SimSun" w:hAnsi="SimSun"/>
              <w:sz w:val="18"/>
              <w:szCs w:val="18"/>
              <w:lang w:val="es-ES_tradnl" w:eastAsia="zh-CN"/>
            </w:rPr>
            <w:t>实体</w:t>
          </w:r>
          <w:r w:rsidRPr="00952839">
            <w:rPr>
              <w:rFonts w:ascii="SimSun" w:hAnsi="SimSun" w:hint="eastAsia"/>
              <w:sz w:val="18"/>
              <w:szCs w:val="18"/>
              <w:lang w:val="es-ES_tradnl" w:eastAsia="zh-CN"/>
            </w:rPr>
            <w:t>：</w:t>
          </w:r>
        </w:p>
      </w:tc>
      <w:tc>
        <w:tcPr>
          <w:tcW w:w="5987" w:type="dxa"/>
          <w:tcBorders>
            <w:top w:val="single" w:sz="4" w:space="0" w:color="000000"/>
          </w:tcBorders>
        </w:tcPr>
        <w:p w14:paraId="33F9697C" w14:textId="5B71B234" w:rsidR="00A65363" w:rsidRPr="00E06327" w:rsidRDefault="00E06327" w:rsidP="00A65363">
          <w:pPr>
            <w:pStyle w:val="FirstFooter"/>
            <w:tabs>
              <w:tab w:val="left" w:pos="2302"/>
            </w:tabs>
            <w:rPr>
              <w:rFonts w:ascii="Calibri" w:hAnsi="Calibri" w:cs="Calibri"/>
              <w:sz w:val="18"/>
              <w:szCs w:val="18"/>
              <w:lang w:val="en-US"/>
            </w:rPr>
          </w:pPr>
          <w:proofErr w:type="spellStart"/>
          <w:r w:rsidRPr="00E06327">
            <w:rPr>
              <w:rFonts w:ascii="Calibri" w:hAnsi="Calibri" w:cs="Calibri"/>
              <w:sz w:val="18"/>
              <w:szCs w:val="18"/>
              <w:lang w:val="zh-CN"/>
            </w:rPr>
            <w:t>电信发展局项目、伙伴关系和数字技能部</w:t>
          </w:r>
          <w:proofErr w:type="spellEnd"/>
          <w:r w:rsidRPr="00E06327">
            <w:rPr>
              <w:rFonts w:ascii="Calibri" w:hAnsi="Calibri" w:cs="Calibri"/>
              <w:sz w:val="18"/>
              <w:szCs w:val="18"/>
              <w:lang w:val="zh-CN"/>
            </w:rPr>
            <w:t>（</w:t>
          </w:r>
          <w:r w:rsidRPr="00E06327">
            <w:rPr>
              <w:rFonts w:ascii="Calibri" w:hAnsi="Calibri" w:cs="Calibri"/>
              <w:sz w:val="18"/>
              <w:szCs w:val="18"/>
              <w:lang w:val="zh-CN"/>
            </w:rPr>
            <w:t>PPS</w:t>
          </w:r>
          <w:r w:rsidRPr="00E06327">
            <w:rPr>
              <w:rFonts w:ascii="Calibri" w:hAnsi="Calibri" w:cs="Calibri"/>
              <w:sz w:val="18"/>
              <w:szCs w:val="18"/>
              <w:lang w:val="zh-CN"/>
            </w:rPr>
            <w:t>）</w:t>
          </w:r>
          <w:proofErr w:type="spellStart"/>
          <w:r w:rsidRPr="00E06327">
            <w:rPr>
              <w:rFonts w:ascii="Calibri" w:hAnsi="Calibri" w:cs="Calibri"/>
              <w:sz w:val="18"/>
              <w:szCs w:val="18"/>
              <w:lang w:val="zh-CN"/>
            </w:rPr>
            <w:t>主任</w:t>
          </w:r>
          <w:proofErr w:type="spellEnd"/>
          <w:r w:rsidRPr="00E06327">
            <w:rPr>
              <w:rFonts w:ascii="Calibri" w:hAnsi="Calibri" w:cs="Calibri"/>
              <w:sz w:val="18"/>
              <w:szCs w:val="18"/>
            </w:rPr>
            <w:t>Marco Obiso</w:t>
          </w:r>
          <w:proofErr w:type="spellStart"/>
          <w:r w:rsidRPr="00E06327">
            <w:rPr>
              <w:rFonts w:ascii="Calibri" w:hAnsi="Calibri" w:cs="Calibri"/>
              <w:sz w:val="18"/>
              <w:szCs w:val="18"/>
            </w:rPr>
            <w:t>先生</w:t>
          </w:r>
          <w:proofErr w:type="spellEnd"/>
        </w:p>
      </w:tc>
      <w:bookmarkStart w:id="10" w:name="OrgName"/>
      <w:bookmarkEnd w:id="10"/>
    </w:tr>
    <w:tr w:rsidR="00A65363" w:rsidRPr="004D495C" w14:paraId="5230281A" w14:textId="77777777" w:rsidTr="00E734CF">
      <w:tc>
        <w:tcPr>
          <w:tcW w:w="1526" w:type="dxa"/>
        </w:tcPr>
        <w:p w14:paraId="6401EE47" w14:textId="77777777" w:rsidR="00A65363" w:rsidRPr="004D495C" w:rsidRDefault="00A65363" w:rsidP="00A65363">
          <w:pPr>
            <w:pStyle w:val="FirstFooter"/>
            <w:tabs>
              <w:tab w:val="left" w:pos="1559"/>
              <w:tab w:val="left" w:pos="3828"/>
            </w:tabs>
            <w:rPr>
              <w:sz w:val="20"/>
              <w:lang w:val="en-US"/>
            </w:rPr>
          </w:pPr>
        </w:p>
      </w:tc>
      <w:tc>
        <w:tcPr>
          <w:tcW w:w="2410" w:type="dxa"/>
        </w:tcPr>
        <w:p w14:paraId="391F12A8" w14:textId="4D5176C2" w:rsidR="00A65363" w:rsidRPr="004D495C" w:rsidRDefault="00A65363" w:rsidP="00A65363">
          <w:pPr>
            <w:pStyle w:val="FirstFooter"/>
            <w:tabs>
              <w:tab w:val="left" w:pos="2302"/>
            </w:tabs>
            <w:rPr>
              <w:sz w:val="18"/>
              <w:szCs w:val="18"/>
              <w:lang w:val="en-US"/>
            </w:rPr>
          </w:pPr>
          <w:r w:rsidRPr="00952839">
            <w:rPr>
              <w:rFonts w:ascii="SimSun" w:hAnsi="SimSun"/>
              <w:sz w:val="18"/>
              <w:szCs w:val="18"/>
              <w:lang w:eastAsia="zh-CN"/>
            </w:rPr>
            <w:t>电话号码</w:t>
          </w:r>
          <w:r w:rsidRPr="00952839">
            <w:rPr>
              <w:rFonts w:ascii="SimSun" w:hAnsi="SimSun" w:hint="eastAsia"/>
              <w:sz w:val="18"/>
              <w:szCs w:val="18"/>
              <w:lang w:eastAsia="zh-CN"/>
            </w:rPr>
            <w:t>：</w:t>
          </w:r>
        </w:p>
      </w:tc>
      <w:tc>
        <w:tcPr>
          <w:tcW w:w="5987" w:type="dxa"/>
        </w:tcPr>
        <w:p w14:paraId="781B80FB" w14:textId="5670C5F4" w:rsidR="00A65363" w:rsidRPr="00D8064E" w:rsidRDefault="00E06327" w:rsidP="00A65363">
          <w:pPr>
            <w:pStyle w:val="FirstFooter"/>
            <w:tabs>
              <w:tab w:val="left" w:pos="2302"/>
            </w:tabs>
            <w:rPr>
              <w:sz w:val="18"/>
              <w:szCs w:val="18"/>
              <w:lang w:val="en-US"/>
            </w:rPr>
          </w:pPr>
          <w:r w:rsidRPr="70EAF489">
            <w:rPr>
              <w:sz w:val="18"/>
              <w:szCs w:val="18"/>
            </w:rPr>
            <w:t>+41 22 730 6760</w:t>
          </w:r>
        </w:p>
      </w:tc>
      <w:bookmarkStart w:id="11" w:name="PhoneNo"/>
      <w:bookmarkEnd w:id="11"/>
    </w:tr>
    <w:tr w:rsidR="00A65363" w:rsidRPr="004D495C" w14:paraId="75C00FB1" w14:textId="77777777" w:rsidTr="00E734CF">
      <w:tc>
        <w:tcPr>
          <w:tcW w:w="1526" w:type="dxa"/>
        </w:tcPr>
        <w:p w14:paraId="1C7F3E4C" w14:textId="77777777" w:rsidR="00A65363" w:rsidRPr="004D495C" w:rsidRDefault="00A65363" w:rsidP="00A65363">
          <w:pPr>
            <w:pStyle w:val="FirstFooter"/>
            <w:tabs>
              <w:tab w:val="left" w:pos="1559"/>
              <w:tab w:val="left" w:pos="3828"/>
            </w:tabs>
            <w:rPr>
              <w:sz w:val="20"/>
              <w:lang w:val="en-US"/>
            </w:rPr>
          </w:pPr>
        </w:p>
      </w:tc>
      <w:tc>
        <w:tcPr>
          <w:tcW w:w="2410" w:type="dxa"/>
        </w:tcPr>
        <w:p w14:paraId="58859CB6" w14:textId="147B0218" w:rsidR="00A65363" w:rsidRPr="004D495C" w:rsidRDefault="00A65363" w:rsidP="00A65363">
          <w:pPr>
            <w:pStyle w:val="FirstFooter"/>
            <w:tabs>
              <w:tab w:val="left" w:pos="2302"/>
            </w:tabs>
            <w:rPr>
              <w:sz w:val="18"/>
              <w:szCs w:val="18"/>
              <w:lang w:val="en-US"/>
            </w:rPr>
          </w:pPr>
          <w:r w:rsidRPr="00952839">
            <w:rPr>
              <w:rFonts w:ascii="SimSun" w:hAnsi="SimSun"/>
              <w:sz w:val="18"/>
              <w:szCs w:val="18"/>
              <w:lang w:eastAsia="zh-CN"/>
            </w:rPr>
            <w:t>电子邮件</w:t>
          </w:r>
          <w:r w:rsidRPr="00952839">
            <w:rPr>
              <w:rFonts w:ascii="SimSun" w:hAnsi="SimSun" w:hint="eastAsia"/>
              <w:sz w:val="18"/>
              <w:szCs w:val="18"/>
              <w:lang w:eastAsia="zh-CN"/>
            </w:rPr>
            <w:t>：</w:t>
          </w:r>
        </w:p>
      </w:tc>
      <w:tc>
        <w:tcPr>
          <w:tcW w:w="5987" w:type="dxa"/>
        </w:tcPr>
        <w:p w14:paraId="18D9C750" w14:textId="7822F023" w:rsidR="00A65363" w:rsidRDefault="00E06327" w:rsidP="00A65363">
          <w:pPr>
            <w:pStyle w:val="FirstFooter"/>
            <w:tabs>
              <w:tab w:val="left" w:pos="2302"/>
            </w:tabs>
          </w:pPr>
          <w:hyperlink r:id="rId1">
            <w:r w:rsidRPr="70EAF489">
              <w:rPr>
                <w:rStyle w:val="Hyperlink"/>
                <w:sz w:val="18"/>
                <w:szCs w:val="18"/>
              </w:rPr>
              <w:t>marco.obiso</w:t>
            </w:r>
            <w:r w:rsidRPr="70EAF489">
              <w:rPr>
                <w:rStyle w:val="Hyperlink"/>
                <w:sz w:val="18"/>
                <w:szCs w:val="18"/>
                <w:lang w:val="en-US"/>
              </w:rPr>
              <w:t>@itu.int</w:t>
            </w:r>
          </w:hyperlink>
        </w:p>
      </w:tc>
      <w:bookmarkStart w:id="12" w:name="Email"/>
      <w:bookmarkEnd w:id="12"/>
    </w:tr>
  </w:tbl>
  <w:p w14:paraId="4059E016" w14:textId="77777777" w:rsidR="00602CFD" w:rsidRPr="00602CFD" w:rsidRDefault="00602CFD" w:rsidP="00602C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D65A72" w14:textId="47623D61" w:rsidR="00011ECB" w:rsidRPr="0054377E" w:rsidRDefault="00011ECB" w:rsidP="0054377E">
      <w:pPr>
        <w:spacing w:before="0"/>
      </w:pPr>
      <w:r w:rsidRPr="0054377E">
        <w:rPr>
          <w:b/>
        </w:rPr>
        <w:t>_______________</w:t>
      </w:r>
    </w:p>
  </w:footnote>
  <w:footnote w:type="continuationSeparator" w:id="0">
    <w:p w14:paraId="68E0ED3F" w14:textId="77777777" w:rsidR="00011ECB" w:rsidRDefault="00011ECB" w:rsidP="0054377E">
      <w:pPr>
        <w:spacing w:before="0"/>
      </w:pPr>
      <w:r>
        <w:continuationSeparator/>
      </w:r>
    </w:p>
    <w:p w14:paraId="17FA6BAC" w14:textId="77777777" w:rsidR="00011ECB" w:rsidRDefault="00011ECB"/>
  </w:footnote>
  <w:footnote w:type="continuationNotice" w:id="1">
    <w:p w14:paraId="37FB0453" w14:textId="77777777" w:rsidR="00011ECB" w:rsidRDefault="00011ECB">
      <w:pPr>
        <w:spacing w:before="0"/>
      </w:pPr>
    </w:p>
    <w:p w14:paraId="33E1B3CD" w14:textId="77777777" w:rsidR="00011ECB" w:rsidRDefault="00011ECB"/>
  </w:footnote>
  <w:footnote w:id="2">
    <w:p w14:paraId="3066FC8D" w14:textId="0A993EC3" w:rsidR="0010401A" w:rsidRDefault="0010401A" w:rsidP="0010401A">
      <w:pPr>
        <w:pStyle w:val="FootnoteText"/>
        <w:spacing w:before="0"/>
        <w:rPr>
          <w:sz w:val="20"/>
          <w:lang w:val="en-US" w:eastAsia="zh-CN"/>
        </w:rPr>
      </w:pPr>
      <w:r w:rsidRPr="006A3C4F">
        <w:rPr>
          <w:rStyle w:val="FootnoteReference"/>
          <w:sz w:val="20"/>
          <w:lang w:val="zh-CN"/>
        </w:rPr>
        <w:footnoteRef/>
      </w:r>
      <w:r w:rsidRPr="00123683">
        <w:rPr>
          <w:sz w:val="20"/>
          <w:lang w:val="zh-CN" w:eastAsia="zh-CN"/>
        </w:rPr>
        <w:t>请参考全权代表大会（</w:t>
      </w:r>
      <w:r w:rsidRPr="00123683">
        <w:rPr>
          <w:sz w:val="20"/>
          <w:lang w:val="zh-CN" w:eastAsia="zh-CN"/>
        </w:rPr>
        <w:t>PP-10</w:t>
      </w:r>
      <w:r w:rsidRPr="00123683">
        <w:rPr>
          <w:sz w:val="20"/>
          <w:lang w:val="zh-CN" w:eastAsia="zh-CN"/>
        </w:rPr>
        <w:t>）第</w:t>
      </w:r>
      <w:r w:rsidRPr="00123683">
        <w:rPr>
          <w:sz w:val="20"/>
          <w:lang w:val="zh-CN" w:eastAsia="zh-CN"/>
        </w:rPr>
        <w:t>169</w:t>
      </w:r>
      <w:r w:rsidRPr="00123683">
        <w:rPr>
          <w:sz w:val="20"/>
          <w:lang w:val="zh-CN" w:eastAsia="zh-CN"/>
        </w:rPr>
        <w:t>号决议（</w:t>
      </w:r>
      <w:r w:rsidRPr="00123683">
        <w:rPr>
          <w:sz w:val="20"/>
          <w:lang w:val="zh-CN" w:eastAsia="zh-CN"/>
        </w:rPr>
        <w:t>2010</w:t>
      </w:r>
      <w:r w:rsidRPr="00123683">
        <w:rPr>
          <w:sz w:val="20"/>
          <w:lang w:val="zh-CN" w:eastAsia="zh-CN"/>
        </w:rPr>
        <w:t>年，瓜达拉哈拉），允许学术成员这一新类别参与国际电联的工作。</w:t>
      </w:r>
    </w:p>
    <w:p w14:paraId="583F25A4" w14:textId="77777777" w:rsidR="003C5106" w:rsidRPr="003C5106" w:rsidRDefault="003C5106" w:rsidP="0010401A">
      <w:pPr>
        <w:pStyle w:val="FootnoteText"/>
        <w:spacing w:before="0"/>
        <w:rPr>
          <w:sz w:val="20"/>
          <w:lang w:val="en-US" w:eastAsia="zh-CN"/>
        </w:rPr>
      </w:pPr>
    </w:p>
  </w:footnote>
  <w:footnote w:id="3">
    <w:p w14:paraId="449B1B1A" w14:textId="0993F161" w:rsidR="0010401A" w:rsidRPr="004B0CA1" w:rsidRDefault="0010401A" w:rsidP="0010401A">
      <w:pPr>
        <w:pStyle w:val="FootnoteText"/>
        <w:keepLines w:val="0"/>
        <w:spacing w:before="0"/>
        <w:rPr>
          <w:sz w:val="20"/>
          <w:lang w:eastAsia="zh-CN"/>
        </w:rPr>
      </w:pPr>
      <w:r w:rsidRPr="004B0CA1">
        <w:rPr>
          <w:rStyle w:val="FootnoteReference"/>
          <w:sz w:val="20"/>
          <w:lang w:val="zh-CN"/>
        </w:rPr>
        <w:footnoteRef/>
      </w:r>
      <w:r w:rsidR="003C5106">
        <w:rPr>
          <w:color w:val="000000"/>
          <w:sz w:val="20"/>
          <w:lang w:val="en-US" w:eastAsia="zh-CN"/>
        </w:rPr>
        <w:t xml:space="preserve"> </w:t>
      </w:r>
      <w:r w:rsidRPr="00123683">
        <w:rPr>
          <w:color w:val="000000"/>
          <w:sz w:val="20"/>
          <w:lang w:val="zh-CN" w:eastAsia="zh-CN"/>
        </w:rPr>
        <w:t>WTDC</w:t>
      </w:r>
      <w:r w:rsidRPr="00123683">
        <w:rPr>
          <w:color w:val="000000"/>
          <w:sz w:val="20"/>
          <w:lang w:val="zh-CN" w:eastAsia="zh-CN"/>
        </w:rPr>
        <w:t>第</w:t>
      </w:r>
      <w:r w:rsidRPr="00123683">
        <w:rPr>
          <w:color w:val="000000"/>
          <w:sz w:val="20"/>
          <w:lang w:val="zh-CN" w:eastAsia="zh-CN"/>
        </w:rPr>
        <w:t>71</w:t>
      </w:r>
      <w:r w:rsidRPr="00123683">
        <w:rPr>
          <w:color w:val="000000"/>
          <w:sz w:val="20"/>
          <w:lang w:val="zh-CN" w:eastAsia="zh-CN"/>
        </w:rPr>
        <w:t>号决议（</w:t>
      </w:r>
      <w:r w:rsidRPr="00123683">
        <w:rPr>
          <w:color w:val="000000"/>
          <w:sz w:val="20"/>
          <w:lang w:val="zh-CN" w:eastAsia="zh-CN"/>
        </w:rPr>
        <w:t>2022</w:t>
      </w:r>
      <w:r w:rsidRPr="00123683">
        <w:rPr>
          <w:color w:val="000000"/>
          <w:sz w:val="20"/>
          <w:lang w:val="zh-CN" w:eastAsia="zh-CN"/>
        </w:rPr>
        <w:t>年，基加利，修订版），</w:t>
      </w:r>
      <w:r w:rsidRPr="00123683">
        <w:rPr>
          <w:rFonts w:hint="eastAsia"/>
          <w:color w:val="000000"/>
          <w:sz w:val="20"/>
          <w:lang w:val="zh-CN" w:eastAsia="zh-CN"/>
        </w:rPr>
        <w:t>“加强成员国与国际电联电信发展</w:t>
      </w:r>
      <w:proofErr w:type="gramStart"/>
      <w:r w:rsidRPr="00123683">
        <w:rPr>
          <w:rFonts w:hint="eastAsia"/>
          <w:color w:val="000000"/>
          <w:sz w:val="20"/>
          <w:lang w:val="zh-CN" w:eastAsia="zh-CN"/>
        </w:rPr>
        <w:t>部门部门</w:t>
      </w:r>
      <w:proofErr w:type="gramEnd"/>
      <w:r w:rsidRPr="00123683">
        <w:rPr>
          <w:rFonts w:hint="eastAsia"/>
          <w:color w:val="000000"/>
          <w:sz w:val="20"/>
          <w:lang w:val="zh-CN" w:eastAsia="zh-CN"/>
        </w:rPr>
        <w:t>成员、部门准成员和学术成员之间的合作和私营部门在国际电联电信发展部门中不断变化的作用”</w:t>
      </w:r>
      <w:r w:rsidRPr="00123683">
        <w:rPr>
          <w:color w:val="000000"/>
          <w:sz w:val="20"/>
          <w:lang w:val="zh-CN" w:eastAsia="zh-CN"/>
        </w:rPr>
        <w:t>。</w:t>
      </w:r>
    </w:p>
  </w:footnote>
  <w:footnote w:id="4">
    <w:p w14:paraId="3A8A2560" w14:textId="2C717906" w:rsidR="003351C1" w:rsidRPr="004B0CA1" w:rsidRDefault="003351C1" w:rsidP="003351C1">
      <w:pPr>
        <w:pStyle w:val="FootnoteText"/>
        <w:spacing w:before="0"/>
        <w:rPr>
          <w:sz w:val="20"/>
          <w:lang w:val="en-US" w:eastAsia="zh-CN"/>
        </w:rPr>
      </w:pPr>
      <w:r w:rsidRPr="004B0CA1">
        <w:rPr>
          <w:rStyle w:val="FootnoteReference"/>
          <w:sz w:val="20"/>
        </w:rPr>
        <w:footnoteRef/>
      </w:r>
      <w:r w:rsidR="003C5106">
        <w:rPr>
          <w:sz w:val="20"/>
          <w:lang w:val="en-US" w:eastAsia="zh-CN"/>
        </w:rPr>
        <w:t xml:space="preserve"> </w:t>
      </w:r>
      <w:r w:rsidR="00123683" w:rsidRPr="00123683">
        <w:rPr>
          <w:rFonts w:hint="eastAsia"/>
          <w:sz w:val="20"/>
          <w:lang w:eastAsia="zh-CN"/>
        </w:rPr>
        <w:t>学术成员参加国际电</w:t>
      </w:r>
      <w:proofErr w:type="gramStart"/>
      <w:r w:rsidR="00123683" w:rsidRPr="00123683">
        <w:rPr>
          <w:rFonts w:hint="eastAsia"/>
          <w:sz w:val="20"/>
          <w:lang w:eastAsia="zh-CN"/>
        </w:rPr>
        <w:t>联全部</w:t>
      </w:r>
      <w:proofErr w:type="gramEnd"/>
      <w:r w:rsidR="00123683" w:rsidRPr="00123683">
        <w:rPr>
          <w:rFonts w:hint="eastAsia"/>
          <w:sz w:val="20"/>
          <w:lang w:eastAsia="zh-CN"/>
        </w:rPr>
        <w:t>三个部门的工作，包括其顾问组的工作。除全权代表大会、世界无线电通信大会、世界性国际电信大会和国际电联理事会之外，他们还根据各个部门的议事规则参加其他全球和区域性大会、讲习班和国际电联的活动。</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991B53" w14:textId="27C85915" w:rsidR="00636181" w:rsidRPr="003C5106" w:rsidRDefault="00636181" w:rsidP="003C5106">
    <w:pPr>
      <w:tabs>
        <w:tab w:val="clear" w:pos="1134"/>
        <w:tab w:val="clear" w:pos="1871"/>
        <w:tab w:val="clear" w:pos="2268"/>
        <w:tab w:val="center" w:pos="4820"/>
        <w:tab w:val="right" w:pos="14003"/>
      </w:tabs>
      <w:ind w:right="1"/>
      <w:rPr>
        <w:smallCaps/>
        <w:spacing w:val="24"/>
        <w:sz w:val="22"/>
        <w:szCs w:val="22"/>
        <w:lang w:val="es-ES_tradnl"/>
      </w:rPr>
    </w:pPr>
    <w:r w:rsidRPr="004D495C">
      <w:rPr>
        <w:sz w:val="22"/>
        <w:szCs w:val="22"/>
      </w:rPr>
      <w:tab/>
    </w:r>
    <w:r>
      <w:rPr>
        <w:sz w:val="22"/>
        <w:szCs w:val="22"/>
        <w:lang w:val="es-ES_tradnl"/>
      </w:rPr>
      <w:t>TDAG-2</w:t>
    </w:r>
    <w:r w:rsidR="00EF4D25">
      <w:rPr>
        <w:sz w:val="22"/>
        <w:szCs w:val="22"/>
        <w:lang w:val="es-ES_tradnl"/>
      </w:rPr>
      <w:t>6</w:t>
    </w:r>
    <w:r w:rsidRPr="00FF089C">
      <w:rPr>
        <w:sz w:val="22"/>
        <w:szCs w:val="22"/>
        <w:lang w:val="es-ES_tradnl"/>
      </w:rPr>
      <w:t>/</w:t>
    </w:r>
    <w:r w:rsidR="0010401A">
      <w:rPr>
        <w:sz w:val="22"/>
        <w:szCs w:val="22"/>
        <w:lang w:val="es-ES_tradnl"/>
      </w:rPr>
      <w:t>10</w:t>
    </w:r>
    <w:r w:rsidRPr="00FF089C">
      <w:rPr>
        <w:sz w:val="22"/>
        <w:szCs w:val="22"/>
        <w:lang w:val="es-ES_tradnl"/>
      </w:rPr>
      <w:t>-</w:t>
    </w:r>
    <w:r w:rsidR="00767F2F">
      <w:rPr>
        <w:rFonts w:asciiTheme="minorEastAsia" w:eastAsiaTheme="minorEastAsia" w:hAnsiTheme="minorEastAsia" w:hint="eastAsia"/>
        <w:sz w:val="22"/>
        <w:szCs w:val="22"/>
        <w:lang w:val="es-ES_tradnl" w:eastAsia="zh-CN"/>
      </w:rPr>
      <w:t>C</w:t>
    </w:r>
    <w:r w:rsidRPr="00FF089C">
      <w:rPr>
        <w:sz w:val="22"/>
        <w:szCs w:val="22"/>
        <w:lang w:val="es-ES_tradnl"/>
      </w:rPr>
      <w:tab/>
    </w:r>
    <w:r w:rsidR="00767F2F">
      <w:rPr>
        <w:rFonts w:asciiTheme="minorEastAsia" w:eastAsiaTheme="minorEastAsia" w:hAnsiTheme="minorEastAsia" w:hint="eastAsia"/>
        <w:sz w:val="22"/>
        <w:szCs w:val="22"/>
        <w:lang w:val="es-ES_tradnl" w:eastAsia="zh-CN"/>
      </w:rPr>
      <w:t>第</w:t>
    </w:r>
    <w:r w:rsidRPr="004D495C">
      <w:rPr>
        <w:sz w:val="22"/>
        <w:szCs w:val="22"/>
      </w:rPr>
      <w:fldChar w:fldCharType="begin"/>
    </w:r>
    <w:r w:rsidRPr="00FF089C">
      <w:rPr>
        <w:sz w:val="22"/>
        <w:szCs w:val="22"/>
        <w:lang w:val="es-ES_tradnl"/>
      </w:rPr>
      <w:instrText xml:space="preserve"> PAGE </w:instrText>
    </w:r>
    <w:r w:rsidRPr="004D495C">
      <w:rPr>
        <w:sz w:val="22"/>
        <w:szCs w:val="22"/>
      </w:rPr>
      <w:fldChar w:fldCharType="separate"/>
    </w:r>
    <w:r w:rsidR="00893B2C">
      <w:rPr>
        <w:noProof/>
        <w:sz w:val="22"/>
        <w:szCs w:val="22"/>
        <w:lang w:val="es-ES_tradnl"/>
      </w:rPr>
      <w:t>19</w:t>
    </w:r>
    <w:r w:rsidRPr="004D495C">
      <w:rPr>
        <w:sz w:val="22"/>
        <w:szCs w:val="22"/>
      </w:rPr>
      <w:fldChar w:fldCharType="end"/>
    </w:r>
    <w:r w:rsidR="00767F2F">
      <w:rPr>
        <w:rFonts w:asciiTheme="minorEastAsia" w:eastAsiaTheme="minorEastAsia" w:hAnsiTheme="minorEastAsia" w:hint="eastAsia"/>
        <w:sz w:val="22"/>
        <w:szCs w:val="22"/>
        <w:lang w:val="es-ES_tradnl" w:eastAsia="zh-CN"/>
      </w:rPr>
      <w:t>页</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E5273D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F22DBB6"/>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B9D6D82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4A54D5F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940CFD7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CBCCD5AA"/>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6A2E20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3AB82F3C"/>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61A209F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9822E28"/>
    <w:lvl w:ilvl="0">
      <w:start w:val="1"/>
      <w:numFmt w:val="bullet"/>
      <w:lvlText w:val=""/>
      <w:lvlJc w:val="left"/>
      <w:pPr>
        <w:tabs>
          <w:tab w:val="num" w:pos="360"/>
        </w:tabs>
        <w:ind w:left="360" w:hanging="360"/>
      </w:pPr>
      <w:rPr>
        <w:rFonts w:ascii="Symbol" w:hAnsi="Symbol" w:hint="default"/>
      </w:rPr>
    </w:lvl>
  </w:abstractNum>
  <w:num w:numId="1" w16cid:durableId="100800717">
    <w:abstractNumId w:val="9"/>
  </w:num>
  <w:num w:numId="2" w16cid:durableId="248732654">
    <w:abstractNumId w:val="7"/>
  </w:num>
  <w:num w:numId="3" w16cid:durableId="1295334727">
    <w:abstractNumId w:val="6"/>
  </w:num>
  <w:num w:numId="4" w16cid:durableId="1993481163">
    <w:abstractNumId w:val="5"/>
  </w:num>
  <w:num w:numId="5" w16cid:durableId="578948179">
    <w:abstractNumId w:val="4"/>
  </w:num>
  <w:num w:numId="6" w16cid:durableId="1705905657">
    <w:abstractNumId w:val="8"/>
  </w:num>
  <w:num w:numId="7" w16cid:durableId="1077942353">
    <w:abstractNumId w:val="3"/>
  </w:num>
  <w:num w:numId="8" w16cid:durableId="383337925">
    <w:abstractNumId w:val="2"/>
  </w:num>
  <w:num w:numId="9" w16cid:durableId="1437213322">
    <w:abstractNumId w:val="1"/>
  </w:num>
  <w:num w:numId="10" w16cid:durableId="9227602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intFractionalCharacterWidth/>
  <w:embedSystemFonts/>
  <w:hideSpellingErrors/>
  <w:hideGrammaticalError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hyphenationZone w:val="425"/>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34817"/>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wsDSyMDczsDAwtzQxNTFU0lEKTi0uzszPAykwqgUADu+8fCwAAAA="/>
  </w:docVars>
  <w:rsids>
    <w:rsidRoot w:val="00A066F1"/>
    <w:rsid w:val="00002BBA"/>
    <w:rsid w:val="000037AB"/>
    <w:rsid w:val="000041EA"/>
    <w:rsid w:val="00004EB7"/>
    <w:rsid w:val="00005A53"/>
    <w:rsid w:val="00005FBD"/>
    <w:rsid w:val="00011ECB"/>
    <w:rsid w:val="000150B0"/>
    <w:rsid w:val="00015E52"/>
    <w:rsid w:val="00022A29"/>
    <w:rsid w:val="00025926"/>
    <w:rsid w:val="00025965"/>
    <w:rsid w:val="0003084C"/>
    <w:rsid w:val="000355FD"/>
    <w:rsid w:val="0003589F"/>
    <w:rsid w:val="0005184F"/>
    <w:rsid w:val="00051E39"/>
    <w:rsid w:val="00053725"/>
    <w:rsid w:val="00054B72"/>
    <w:rsid w:val="0005581A"/>
    <w:rsid w:val="0005619C"/>
    <w:rsid w:val="0005747E"/>
    <w:rsid w:val="000604E5"/>
    <w:rsid w:val="000617DF"/>
    <w:rsid w:val="0006550B"/>
    <w:rsid w:val="0007000B"/>
    <w:rsid w:val="000735FD"/>
    <w:rsid w:val="00074109"/>
    <w:rsid w:val="00074C4D"/>
    <w:rsid w:val="00075C63"/>
    <w:rsid w:val="00076288"/>
    <w:rsid w:val="00077239"/>
    <w:rsid w:val="000778CA"/>
    <w:rsid w:val="000805BB"/>
    <w:rsid w:val="00080905"/>
    <w:rsid w:val="00081C9D"/>
    <w:rsid w:val="000822BE"/>
    <w:rsid w:val="000829BB"/>
    <w:rsid w:val="00082B11"/>
    <w:rsid w:val="000840A7"/>
    <w:rsid w:val="00085C6A"/>
    <w:rsid w:val="00086491"/>
    <w:rsid w:val="000904F9"/>
    <w:rsid w:val="000909ED"/>
    <w:rsid w:val="00091346"/>
    <w:rsid w:val="00091C80"/>
    <w:rsid w:val="0009581F"/>
    <w:rsid w:val="00095901"/>
    <w:rsid w:val="00097074"/>
    <w:rsid w:val="000A3B54"/>
    <w:rsid w:val="000A59AE"/>
    <w:rsid w:val="000B738A"/>
    <w:rsid w:val="000C03F4"/>
    <w:rsid w:val="000C17EA"/>
    <w:rsid w:val="000C2592"/>
    <w:rsid w:val="000C42BA"/>
    <w:rsid w:val="000C4FD1"/>
    <w:rsid w:val="000D1759"/>
    <w:rsid w:val="000D38EB"/>
    <w:rsid w:val="000D4875"/>
    <w:rsid w:val="000D6891"/>
    <w:rsid w:val="000D6E8D"/>
    <w:rsid w:val="000E71F8"/>
    <w:rsid w:val="000F29EC"/>
    <w:rsid w:val="000F38EA"/>
    <w:rsid w:val="000F542E"/>
    <w:rsid w:val="000F641B"/>
    <w:rsid w:val="000F73FF"/>
    <w:rsid w:val="000F7F1C"/>
    <w:rsid w:val="00102175"/>
    <w:rsid w:val="00102343"/>
    <w:rsid w:val="001029B3"/>
    <w:rsid w:val="0010401A"/>
    <w:rsid w:val="00105DCD"/>
    <w:rsid w:val="001066B3"/>
    <w:rsid w:val="001114AC"/>
    <w:rsid w:val="00114584"/>
    <w:rsid w:val="00114CF7"/>
    <w:rsid w:val="00115411"/>
    <w:rsid w:val="00115B33"/>
    <w:rsid w:val="00116B95"/>
    <w:rsid w:val="00117233"/>
    <w:rsid w:val="00123683"/>
    <w:rsid w:val="00123B68"/>
    <w:rsid w:val="00124AF4"/>
    <w:rsid w:val="00124CAA"/>
    <w:rsid w:val="00125E69"/>
    <w:rsid w:val="00126F2E"/>
    <w:rsid w:val="00126F49"/>
    <w:rsid w:val="00127FC6"/>
    <w:rsid w:val="001424DC"/>
    <w:rsid w:val="00143A87"/>
    <w:rsid w:val="00144E69"/>
    <w:rsid w:val="00146F6F"/>
    <w:rsid w:val="0014714E"/>
    <w:rsid w:val="00147DA1"/>
    <w:rsid w:val="00152957"/>
    <w:rsid w:val="00166196"/>
    <w:rsid w:val="001664A7"/>
    <w:rsid w:val="00167327"/>
    <w:rsid w:val="00167A9D"/>
    <w:rsid w:val="00170C5A"/>
    <w:rsid w:val="00171758"/>
    <w:rsid w:val="0017500F"/>
    <w:rsid w:val="00176991"/>
    <w:rsid w:val="00180444"/>
    <w:rsid w:val="001832B9"/>
    <w:rsid w:val="00185737"/>
    <w:rsid w:val="00187BD9"/>
    <w:rsid w:val="0019060A"/>
    <w:rsid w:val="00190B55"/>
    <w:rsid w:val="00191F5C"/>
    <w:rsid w:val="00192FA9"/>
    <w:rsid w:val="00194CFB"/>
    <w:rsid w:val="001A1FFD"/>
    <w:rsid w:val="001A3858"/>
    <w:rsid w:val="001A4BD2"/>
    <w:rsid w:val="001B2ED3"/>
    <w:rsid w:val="001B643A"/>
    <w:rsid w:val="001B6675"/>
    <w:rsid w:val="001B7EA3"/>
    <w:rsid w:val="001C3B5F"/>
    <w:rsid w:val="001C61EA"/>
    <w:rsid w:val="001D058F"/>
    <w:rsid w:val="001D2025"/>
    <w:rsid w:val="001D520B"/>
    <w:rsid w:val="001E0384"/>
    <w:rsid w:val="001E24AF"/>
    <w:rsid w:val="001E252D"/>
    <w:rsid w:val="001E43DC"/>
    <w:rsid w:val="002009EA"/>
    <w:rsid w:val="00202CA0"/>
    <w:rsid w:val="00207A5D"/>
    <w:rsid w:val="002154A6"/>
    <w:rsid w:val="002162CD"/>
    <w:rsid w:val="00216478"/>
    <w:rsid w:val="00220634"/>
    <w:rsid w:val="00221C1D"/>
    <w:rsid w:val="002226B9"/>
    <w:rsid w:val="00224B7C"/>
    <w:rsid w:val="00224CDD"/>
    <w:rsid w:val="002255B3"/>
    <w:rsid w:val="0023164A"/>
    <w:rsid w:val="002319F6"/>
    <w:rsid w:val="0023409C"/>
    <w:rsid w:val="002346C7"/>
    <w:rsid w:val="002351D4"/>
    <w:rsid w:val="00236E8A"/>
    <w:rsid w:val="00240BC8"/>
    <w:rsid w:val="002420D0"/>
    <w:rsid w:val="00242487"/>
    <w:rsid w:val="00243411"/>
    <w:rsid w:val="00246B32"/>
    <w:rsid w:val="00251A53"/>
    <w:rsid w:val="0025489C"/>
    <w:rsid w:val="0026406F"/>
    <w:rsid w:val="002653F2"/>
    <w:rsid w:val="00266589"/>
    <w:rsid w:val="00267792"/>
    <w:rsid w:val="002712A9"/>
    <w:rsid w:val="00271316"/>
    <w:rsid w:val="00272417"/>
    <w:rsid w:val="00274CC3"/>
    <w:rsid w:val="00276414"/>
    <w:rsid w:val="00283F74"/>
    <w:rsid w:val="00286C1D"/>
    <w:rsid w:val="00286C4C"/>
    <w:rsid w:val="00294BF6"/>
    <w:rsid w:val="00294D5A"/>
    <w:rsid w:val="002955DA"/>
    <w:rsid w:val="00295A71"/>
    <w:rsid w:val="00296313"/>
    <w:rsid w:val="00296DA0"/>
    <w:rsid w:val="00297006"/>
    <w:rsid w:val="002A0A7A"/>
    <w:rsid w:val="002A0D8C"/>
    <w:rsid w:val="002A27F8"/>
    <w:rsid w:val="002A51DF"/>
    <w:rsid w:val="002A684E"/>
    <w:rsid w:val="002B074A"/>
    <w:rsid w:val="002B10D5"/>
    <w:rsid w:val="002B3296"/>
    <w:rsid w:val="002B3C84"/>
    <w:rsid w:val="002B5490"/>
    <w:rsid w:val="002C12ED"/>
    <w:rsid w:val="002C49BA"/>
    <w:rsid w:val="002C4B75"/>
    <w:rsid w:val="002C73F6"/>
    <w:rsid w:val="002C7D5E"/>
    <w:rsid w:val="002D544C"/>
    <w:rsid w:val="002D58BE"/>
    <w:rsid w:val="002E4D1D"/>
    <w:rsid w:val="002E51E0"/>
    <w:rsid w:val="002E5411"/>
    <w:rsid w:val="002E7A84"/>
    <w:rsid w:val="002F1BD0"/>
    <w:rsid w:val="003013EE"/>
    <w:rsid w:val="00304031"/>
    <w:rsid w:val="00311808"/>
    <w:rsid w:val="00311851"/>
    <w:rsid w:val="00311CD5"/>
    <w:rsid w:val="00316725"/>
    <w:rsid w:val="00316A69"/>
    <w:rsid w:val="003231C6"/>
    <w:rsid w:val="00323E49"/>
    <w:rsid w:val="003247A5"/>
    <w:rsid w:val="00325939"/>
    <w:rsid w:val="003273BC"/>
    <w:rsid w:val="0033063C"/>
    <w:rsid w:val="00331F05"/>
    <w:rsid w:val="003351C1"/>
    <w:rsid w:val="00335759"/>
    <w:rsid w:val="00337750"/>
    <w:rsid w:val="0034384D"/>
    <w:rsid w:val="00345D42"/>
    <w:rsid w:val="00346224"/>
    <w:rsid w:val="0034636C"/>
    <w:rsid w:val="0035089A"/>
    <w:rsid w:val="003511BC"/>
    <w:rsid w:val="00356083"/>
    <w:rsid w:val="00361609"/>
    <w:rsid w:val="00364098"/>
    <w:rsid w:val="00366978"/>
    <w:rsid w:val="0037003F"/>
    <w:rsid w:val="00372BCF"/>
    <w:rsid w:val="00373365"/>
    <w:rsid w:val="00377BD3"/>
    <w:rsid w:val="003807EA"/>
    <w:rsid w:val="003829D8"/>
    <w:rsid w:val="0038304D"/>
    <w:rsid w:val="00384088"/>
    <w:rsid w:val="0038489B"/>
    <w:rsid w:val="00385BE9"/>
    <w:rsid w:val="0039169B"/>
    <w:rsid w:val="00392277"/>
    <w:rsid w:val="00394B90"/>
    <w:rsid w:val="003968CC"/>
    <w:rsid w:val="003A03FF"/>
    <w:rsid w:val="003A04F5"/>
    <w:rsid w:val="003A22FC"/>
    <w:rsid w:val="003A5137"/>
    <w:rsid w:val="003A5DC4"/>
    <w:rsid w:val="003A6BAC"/>
    <w:rsid w:val="003A6BED"/>
    <w:rsid w:val="003A7F8C"/>
    <w:rsid w:val="003B08DA"/>
    <w:rsid w:val="003B11F9"/>
    <w:rsid w:val="003B2B56"/>
    <w:rsid w:val="003B532E"/>
    <w:rsid w:val="003B6306"/>
    <w:rsid w:val="003B6602"/>
    <w:rsid w:val="003B6F14"/>
    <w:rsid w:val="003B6F60"/>
    <w:rsid w:val="003C1870"/>
    <w:rsid w:val="003C5106"/>
    <w:rsid w:val="003C6136"/>
    <w:rsid w:val="003D0F8B"/>
    <w:rsid w:val="003D39F2"/>
    <w:rsid w:val="003D5A63"/>
    <w:rsid w:val="003D6425"/>
    <w:rsid w:val="003D66A7"/>
    <w:rsid w:val="003D7EE8"/>
    <w:rsid w:val="003E34D0"/>
    <w:rsid w:val="003E7A96"/>
    <w:rsid w:val="003F0A6C"/>
    <w:rsid w:val="003F0F49"/>
    <w:rsid w:val="003F1363"/>
    <w:rsid w:val="00403C69"/>
    <w:rsid w:val="00405EC2"/>
    <w:rsid w:val="00406278"/>
    <w:rsid w:val="00406297"/>
    <w:rsid w:val="00410F8D"/>
    <w:rsid w:val="00412C81"/>
    <w:rsid w:val="004131D4"/>
    <w:rsid w:val="0041348E"/>
    <w:rsid w:val="00414895"/>
    <w:rsid w:val="004208C6"/>
    <w:rsid w:val="00421605"/>
    <w:rsid w:val="004269E6"/>
    <w:rsid w:val="00433357"/>
    <w:rsid w:val="004346F2"/>
    <w:rsid w:val="00435762"/>
    <w:rsid w:val="00435E45"/>
    <w:rsid w:val="004364D9"/>
    <w:rsid w:val="00437819"/>
    <w:rsid w:val="00437A8D"/>
    <w:rsid w:val="00440C4F"/>
    <w:rsid w:val="00441E8B"/>
    <w:rsid w:val="004445FD"/>
    <w:rsid w:val="00446FBA"/>
    <w:rsid w:val="00447308"/>
    <w:rsid w:val="00447990"/>
    <w:rsid w:val="004500BC"/>
    <w:rsid w:val="00451B1B"/>
    <w:rsid w:val="004552B4"/>
    <w:rsid w:val="00460CF8"/>
    <w:rsid w:val="00462253"/>
    <w:rsid w:val="00462CB2"/>
    <w:rsid w:val="004631CC"/>
    <w:rsid w:val="00467DB2"/>
    <w:rsid w:val="00472FC1"/>
    <w:rsid w:val="004755BA"/>
    <w:rsid w:val="004765FF"/>
    <w:rsid w:val="00481E58"/>
    <w:rsid w:val="0048520E"/>
    <w:rsid w:val="00486163"/>
    <w:rsid w:val="00487E76"/>
    <w:rsid w:val="00492075"/>
    <w:rsid w:val="0049304E"/>
    <w:rsid w:val="00494F84"/>
    <w:rsid w:val="00495290"/>
    <w:rsid w:val="004969AD"/>
    <w:rsid w:val="00496E2A"/>
    <w:rsid w:val="004A0244"/>
    <w:rsid w:val="004A3FF4"/>
    <w:rsid w:val="004A7674"/>
    <w:rsid w:val="004A783D"/>
    <w:rsid w:val="004B13CB"/>
    <w:rsid w:val="004B2466"/>
    <w:rsid w:val="004B3C6F"/>
    <w:rsid w:val="004B4FDF"/>
    <w:rsid w:val="004B4FF2"/>
    <w:rsid w:val="004B716F"/>
    <w:rsid w:val="004B7C16"/>
    <w:rsid w:val="004B7E77"/>
    <w:rsid w:val="004C3355"/>
    <w:rsid w:val="004D04E2"/>
    <w:rsid w:val="004D4243"/>
    <w:rsid w:val="004D5D5C"/>
    <w:rsid w:val="004D752D"/>
    <w:rsid w:val="004D7763"/>
    <w:rsid w:val="004E27DE"/>
    <w:rsid w:val="004E2F10"/>
    <w:rsid w:val="004E3276"/>
    <w:rsid w:val="004E4F74"/>
    <w:rsid w:val="004E5959"/>
    <w:rsid w:val="004E704A"/>
    <w:rsid w:val="004F051F"/>
    <w:rsid w:val="004F3D95"/>
    <w:rsid w:val="004F660E"/>
    <w:rsid w:val="004F7270"/>
    <w:rsid w:val="005004A4"/>
    <w:rsid w:val="0050139F"/>
    <w:rsid w:val="0050712D"/>
    <w:rsid w:val="00510692"/>
    <w:rsid w:val="00510F4D"/>
    <w:rsid w:val="00516722"/>
    <w:rsid w:val="00517624"/>
    <w:rsid w:val="00520565"/>
    <w:rsid w:val="00521223"/>
    <w:rsid w:val="00523934"/>
    <w:rsid w:val="00523D3E"/>
    <w:rsid w:val="00524DF1"/>
    <w:rsid w:val="005252E6"/>
    <w:rsid w:val="0052716E"/>
    <w:rsid w:val="00531317"/>
    <w:rsid w:val="00533CBA"/>
    <w:rsid w:val="00536513"/>
    <w:rsid w:val="00536DB4"/>
    <w:rsid w:val="00541D24"/>
    <w:rsid w:val="00543159"/>
    <w:rsid w:val="0054377E"/>
    <w:rsid w:val="0054450F"/>
    <w:rsid w:val="0055140B"/>
    <w:rsid w:val="00552F9E"/>
    <w:rsid w:val="00554C4F"/>
    <w:rsid w:val="00561D72"/>
    <w:rsid w:val="00564F36"/>
    <w:rsid w:val="00566EEB"/>
    <w:rsid w:val="00570FA3"/>
    <w:rsid w:val="00571767"/>
    <w:rsid w:val="00576FB4"/>
    <w:rsid w:val="00581664"/>
    <w:rsid w:val="00585238"/>
    <w:rsid w:val="005855FC"/>
    <w:rsid w:val="00586EB9"/>
    <w:rsid w:val="00592321"/>
    <w:rsid w:val="005933B2"/>
    <w:rsid w:val="00593B87"/>
    <w:rsid w:val="005964AB"/>
    <w:rsid w:val="005A2BEB"/>
    <w:rsid w:val="005A3485"/>
    <w:rsid w:val="005A5E0C"/>
    <w:rsid w:val="005A6739"/>
    <w:rsid w:val="005B0278"/>
    <w:rsid w:val="005B0742"/>
    <w:rsid w:val="005B25C3"/>
    <w:rsid w:val="005B2DD6"/>
    <w:rsid w:val="005B41B7"/>
    <w:rsid w:val="005B44F5"/>
    <w:rsid w:val="005B6D88"/>
    <w:rsid w:val="005C099A"/>
    <w:rsid w:val="005C116F"/>
    <w:rsid w:val="005C13B5"/>
    <w:rsid w:val="005C26D1"/>
    <w:rsid w:val="005C3173"/>
    <w:rsid w:val="005C31A5"/>
    <w:rsid w:val="005C3248"/>
    <w:rsid w:val="005C3F17"/>
    <w:rsid w:val="005C4740"/>
    <w:rsid w:val="005D0BEA"/>
    <w:rsid w:val="005D4916"/>
    <w:rsid w:val="005E0641"/>
    <w:rsid w:val="005E0D2B"/>
    <w:rsid w:val="005E10C9"/>
    <w:rsid w:val="005E61DD"/>
    <w:rsid w:val="005E6321"/>
    <w:rsid w:val="005F5413"/>
    <w:rsid w:val="00600B9C"/>
    <w:rsid w:val="006023DF"/>
    <w:rsid w:val="00602CFD"/>
    <w:rsid w:val="0060693B"/>
    <w:rsid w:val="006117C6"/>
    <w:rsid w:val="00611CD2"/>
    <w:rsid w:val="00615AB9"/>
    <w:rsid w:val="00617602"/>
    <w:rsid w:val="00620ECD"/>
    <w:rsid w:val="00621FDD"/>
    <w:rsid w:val="00622B63"/>
    <w:rsid w:val="0062421D"/>
    <w:rsid w:val="00624A81"/>
    <w:rsid w:val="0062697F"/>
    <w:rsid w:val="00627881"/>
    <w:rsid w:val="00636181"/>
    <w:rsid w:val="00637E99"/>
    <w:rsid w:val="006422AD"/>
    <w:rsid w:val="006430DA"/>
    <w:rsid w:val="0064322F"/>
    <w:rsid w:val="006449A5"/>
    <w:rsid w:val="00644F99"/>
    <w:rsid w:val="006463EE"/>
    <w:rsid w:val="00657DE0"/>
    <w:rsid w:val="006608C4"/>
    <w:rsid w:val="006612C2"/>
    <w:rsid w:val="00661FB8"/>
    <w:rsid w:val="00665B75"/>
    <w:rsid w:val="00667F38"/>
    <w:rsid w:val="0067199F"/>
    <w:rsid w:val="006747D8"/>
    <w:rsid w:val="00674AEF"/>
    <w:rsid w:val="00675DB5"/>
    <w:rsid w:val="00676ED7"/>
    <w:rsid w:val="00677048"/>
    <w:rsid w:val="00680225"/>
    <w:rsid w:val="00685313"/>
    <w:rsid w:val="00690B44"/>
    <w:rsid w:val="006912F3"/>
    <w:rsid w:val="00696E7A"/>
    <w:rsid w:val="006A0D14"/>
    <w:rsid w:val="006A47E5"/>
    <w:rsid w:val="006A6E9B"/>
    <w:rsid w:val="006A747C"/>
    <w:rsid w:val="006B1038"/>
    <w:rsid w:val="006B502E"/>
    <w:rsid w:val="006B73C2"/>
    <w:rsid w:val="006B7C2A"/>
    <w:rsid w:val="006C03CD"/>
    <w:rsid w:val="006C23DA"/>
    <w:rsid w:val="006C7898"/>
    <w:rsid w:val="006C7CA9"/>
    <w:rsid w:val="006D2DD5"/>
    <w:rsid w:val="006D4843"/>
    <w:rsid w:val="006D6130"/>
    <w:rsid w:val="006D6DDA"/>
    <w:rsid w:val="006E099C"/>
    <w:rsid w:val="006E3D45"/>
    <w:rsid w:val="006E64F1"/>
    <w:rsid w:val="006E7629"/>
    <w:rsid w:val="006F0C99"/>
    <w:rsid w:val="006F1889"/>
    <w:rsid w:val="006F7874"/>
    <w:rsid w:val="006F7BD3"/>
    <w:rsid w:val="007034D9"/>
    <w:rsid w:val="00705932"/>
    <w:rsid w:val="007149F9"/>
    <w:rsid w:val="0071531C"/>
    <w:rsid w:val="0071541F"/>
    <w:rsid w:val="007167D5"/>
    <w:rsid w:val="00720DD1"/>
    <w:rsid w:val="007265FE"/>
    <w:rsid w:val="00730009"/>
    <w:rsid w:val="00733A30"/>
    <w:rsid w:val="007372E2"/>
    <w:rsid w:val="007379E5"/>
    <w:rsid w:val="00743072"/>
    <w:rsid w:val="00745AEE"/>
    <w:rsid w:val="00747028"/>
    <w:rsid w:val="007479EA"/>
    <w:rsid w:val="00747A98"/>
    <w:rsid w:val="00750F10"/>
    <w:rsid w:val="0075242F"/>
    <w:rsid w:val="00756ADC"/>
    <w:rsid w:val="00761CEF"/>
    <w:rsid w:val="007654FE"/>
    <w:rsid w:val="00765BA5"/>
    <w:rsid w:val="007664D4"/>
    <w:rsid w:val="00767F2F"/>
    <w:rsid w:val="00770D7E"/>
    <w:rsid w:val="007742CA"/>
    <w:rsid w:val="0077509B"/>
    <w:rsid w:val="00776DB1"/>
    <w:rsid w:val="0077768B"/>
    <w:rsid w:val="0077794B"/>
    <w:rsid w:val="00792DB8"/>
    <w:rsid w:val="00793BB0"/>
    <w:rsid w:val="00794ABD"/>
    <w:rsid w:val="00795C00"/>
    <w:rsid w:val="0079605E"/>
    <w:rsid w:val="007A2D06"/>
    <w:rsid w:val="007A7FAF"/>
    <w:rsid w:val="007B12EB"/>
    <w:rsid w:val="007B2EB6"/>
    <w:rsid w:val="007B3BF6"/>
    <w:rsid w:val="007B4578"/>
    <w:rsid w:val="007C0A4D"/>
    <w:rsid w:val="007C2360"/>
    <w:rsid w:val="007C5A7B"/>
    <w:rsid w:val="007D06F0"/>
    <w:rsid w:val="007D35D0"/>
    <w:rsid w:val="007D3C25"/>
    <w:rsid w:val="007D45E3"/>
    <w:rsid w:val="007D5320"/>
    <w:rsid w:val="007D714B"/>
    <w:rsid w:val="007E065B"/>
    <w:rsid w:val="007E0A1D"/>
    <w:rsid w:val="007E28A9"/>
    <w:rsid w:val="007E713F"/>
    <w:rsid w:val="007E7819"/>
    <w:rsid w:val="007E799D"/>
    <w:rsid w:val="007F236E"/>
    <w:rsid w:val="007F2668"/>
    <w:rsid w:val="007F26E3"/>
    <w:rsid w:val="007F535C"/>
    <w:rsid w:val="007F54EB"/>
    <w:rsid w:val="007F55E5"/>
    <w:rsid w:val="007F735C"/>
    <w:rsid w:val="00800972"/>
    <w:rsid w:val="00804475"/>
    <w:rsid w:val="0081159E"/>
    <w:rsid w:val="00811633"/>
    <w:rsid w:val="00814C00"/>
    <w:rsid w:val="00821CEF"/>
    <w:rsid w:val="00823BDC"/>
    <w:rsid w:val="00832828"/>
    <w:rsid w:val="008334AF"/>
    <w:rsid w:val="0083645A"/>
    <w:rsid w:val="0083797D"/>
    <w:rsid w:val="00837AB9"/>
    <w:rsid w:val="00840B0F"/>
    <w:rsid w:val="00840FD0"/>
    <w:rsid w:val="0084590A"/>
    <w:rsid w:val="00845C0D"/>
    <w:rsid w:val="008529D3"/>
    <w:rsid w:val="00854840"/>
    <w:rsid w:val="0085555B"/>
    <w:rsid w:val="00855FDC"/>
    <w:rsid w:val="00860F8A"/>
    <w:rsid w:val="0086299C"/>
    <w:rsid w:val="00863096"/>
    <w:rsid w:val="00863578"/>
    <w:rsid w:val="00863FC4"/>
    <w:rsid w:val="00867B8E"/>
    <w:rsid w:val="008711AE"/>
    <w:rsid w:val="00872FC8"/>
    <w:rsid w:val="00874817"/>
    <w:rsid w:val="00877397"/>
    <w:rsid w:val="00877D80"/>
    <w:rsid w:val="008801D3"/>
    <w:rsid w:val="00880325"/>
    <w:rsid w:val="008806F3"/>
    <w:rsid w:val="00881DBB"/>
    <w:rsid w:val="00882996"/>
    <w:rsid w:val="00883866"/>
    <w:rsid w:val="008845D0"/>
    <w:rsid w:val="0089151A"/>
    <w:rsid w:val="00893B2C"/>
    <w:rsid w:val="00894F96"/>
    <w:rsid w:val="008A0BFE"/>
    <w:rsid w:val="008A2753"/>
    <w:rsid w:val="008A3933"/>
    <w:rsid w:val="008A7165"/>
    <w:rsid w:val="008B20A4"/>
    <w:rsid w:val="008B3713"/>
    <w:rsid w:val="008B43F2"/>
    <w:rsid w:val="008B54AB"/>
    <w:rsid w:val="008B54D9"/>
    <w:rsid w:val="008B61EA"/>
    <w:rsid w:val="008B63AA"/>
    <w:rsid w:val="008B6CFF"/>
    <w:rsid w:val="008C28A0"/>
    <w:rsid w:val="008C317F"/>
    <w:rsid w:val="008C3D02"/>
    <w:rsid w:val="008C4ADD"/>
    <w:rsid w:val="008D06CB"/>
    <w:rsid w:val="008D279B"/>
    <w:rsid w:val="008D2B46"/>
    <w:rsid w:val="008D678E"/>
    <w:rsid w:val="008E33DA"/>
    <w:rsid w:val="008E6B36"/>
    <w:rsid w:val="008E7DF8"/>
    <w:rsid w:val="008F04EE"/>
    <w:rsid w:val="008F238A"/>
    <w:rsid w:val="008F3284"/>
    <w:rsid w:val="008F36FB"/>
    <w:rsid w:val="00900129"/>
    <w:rsid w:val="009006A0"/>
    <w:rsid w:val="00900E22"/>
    <w:rsid w:val="009023DF"/>
    <w:rsid w:val="0090293E"/>
    <w:rsid w:val="0091016B"/>
    <w:rsid w:val="00910408"/>
    <w:rsid w:val="00910B26"/>
    <w:rsid w:val="00912004"/>
    <w:rsid w:val="009238B9"/>
    <w:rsid w:val="009274B4"/>
    <w:rsid w:val="00934743"/>
    <w:rsid w:val="00934EA2"/>
    <w:rsid w:val="009373C9"/>
    <w:rsid w:val="00941B98"/>
    <w:rsid w:val="00942FC1"/>
    <w:rsid w:val="00943545"/>
    <w:rsid w:val="00944A5C"/>
    <w:rsid w:val="00944A99"/>
    <w:rsid w:val="00951816"/>
    <w:rsid w:val="00952A66"/>
    <w:rsid w:val="00953C32"/>
    <w:rsid w:val="00964C68"/>
    <w:rsid w:val="009737F9"/>
    <w:rsid w:val="00980AD1"/>
    <w:rsid w:val="00980AD6"/>
    <w:rsid w:val="009828A4"/>
    <w:rsid w:val="00985001"/>
    <w:rsid w:val="00986EBB"/>
    <w:rsid w:val="009907F3"/>
    <w:rsid w:val="00990A55"/>
    <w:rsid w:val="00992F9A"/>
    <w:rsid w:val="009944BE"/>
    <w:rsid w:val="00996913"/>
    <w:rsid w:val="00996ACA"/>
    <w:rsid w:val="00997678"/>
    <w:rsid w:val="009A04EC"/>
    <w:rsid w:val="009A234F"/>
    <w:rsid w:val="009A291A"/>
    <w:rsid w:val="009B28F2"/>
    <w:rsid w:val="009B5126"/>
    <w:rsid w:val="009B71C3"/>
    <w:rsid w:val="009B75FF"/>
    <w:rsid w:val="009C39A2"/>
    <w:rsid w:val="009C4D44"/>
    <w:rsid w:val="009C56E5"/>
    <w:rsid w:val="009C6F7B"/>
    <w:rsid w:val="009D3343"/>
    <w:rsid w:val="009D3429"/>
    <w:rsid w:val="009E3F7C"/>
    <w:rsid w:val="009E5FC8"/>
    <w:rsid w:val="009E687A"/>
    <w:rsid w:val="009E72E7"/>
    <w:rsid w:val="009F1542"/>
    <w:rsid w:val="00A00AC6"/>
    <w:rsid w:val="00A03C5C"/>
    <w:rsid w:val="00A04FB0"/>
    <w:rsid w:val="00A066F1"/>
    <w:rsid w:val="00A1280A"/>
    <w:rsid w:val="00A141AF"/>
    <w:rsid w:val="00A15958"/>
    <w:rsid w:val="00A16D29"/>
    <w:rsid w:val="00A20E5E"/>
    <w:rsid w:val="00A2101B"/>
    <w:rsid w:val="00A21E18"/>
    <w:rsid w:val="00A235FD"/>
    <w:rsid w:val="00A2618D"/>
    <w:rsid w:val="00A27146"/>
    <w:rsid w:val="00A30305"/>
    <w:rsid w:val="00A31315"/>
    <w:rsid w:val="00A31D2D"/>
    <w:rsid w:val="00A32267"/>
    <w:rsid w:val="00A32291"/>
    <w:rsid w:val="00A33D45"/>
    <w:rsid w:val="00A34772"/>
    <w:rsid w:val="00A35D6D"/>
    <w:rsid w:val="00A4049B"/>
    <w:rsid w:val="00A43642"/>
    <w:rsid w:val="00A44D51"/>
    <w:rsid w:val="00A4600A"/>
    <w:rsid w:val="00A524E6"/>
    <w:rsid w:val="00A538A6"/>
    <w:rsid w:val="00A54C25"/>
    <w:rsid w:val="00A56C71"/>
    <w:rsid w:val="00A612BB"/>
    <w:rsid w:val="00A62F73"/>
    <w:rsid w:val="00A65363"/>
    <w:rsid w:val="00A6752C"/>
    <w:rsid w:val="00A67FB8"/>
    <w:rsid w:val="00A710E7"/>
    <w:rsid w:val="00A7140C"/>
    <w:rsid w:val="00A7372E"/>
    <w:rsid w:val="00A74739"/>
    <w:rsid w:val="00A76372"/>
    <w:rsid w:val="00A76BD5"/>
    <w:rsid w:val="00A80D65"/>
    <w:rsid w:val="00A81F59"/>
    <w:rsid w:val="00A83E00"/>
    <w:rsid w:val="00A853F5"/>
    <w:rsid w:val="00A9323C"/>
    <w:rsid w:val="00A93364"/>
    <w:rsid w:val="00A93B85"/>
    <w:rsid w:val="00A96F7D"/>
    <w:rsid w:val="00AA05FD"/>
    <w:rsid w:val="00AA0B18"/>
    <w:rsid w:val="00AA4774"/>
    <w:rsid w:val="00AA666F"/>
    <w:rsid w:val="00AA7A11"/>
    <w:rsid w:val="00AB15BE"/>
    <w:rsid w:val="00AB4006"/>
    <w:rsid w:val="00AB4927"/>
    <w:rsid w:val="00AB4EF9"/>
    <w:rsid w:val="00AC007A"/>
    <w:rsid w:val="00AC034F"/>
    <w:rsid w:val="00AC1A8E"/>
    <w:rsid w:val="00AC4C17"/>
    <w:rsid w:val="00AC4DB5"/>
    <w:rsid w:val="00AD0AEB"/>
    <w:rsid w:val="00AD4C7B"/>
    <w:rsid w:val="00AF17A2"/>
    <w:rsid w:val="00AF2081"/>
    <w:rsid w:val="00AF2664"/>
    <w:rsid w:val="00AF57EF"/>
    <w:rsid w:val="00B004E5"/>
    <w:rsid w:val="00B053F3"/>
    <w:rsid w:val="00B10A09"/>
    <w:rsid w:val="00B124F9"/>
    <w:rsid w:val="00B13FFC"/>
    <w:rsid w:val="00B15F9D"/>
    <w:rsid w:val="00B17325"/>
    <w:rsid w:val="00B17BDC"/>
    <w:rsid w:val="00B20035"/>
    <w:rsid w:val="00B20480"/>
    <w:rsid w:val="00B20F6D"/>
    <w:rsid w:val="00B21BEA"/>
    <w:rsid w:val="00B2212C"/>
    <w:rsid w:val="00B232A2"/>
    <w:rsid w:val="00B247C3"/>
    <w:rsid w:val="00B27180"/>
    <w:rsid w:val="00B27EA8"/>
    <w:rsid w:val="00B30ECC"/>
    <w:rsid w:val="00B35A1C"/>
    <w:rsid w:val="00B35BC5"/>
    <w:rsid w:val="00B36A3C"/>
    <w:rsid w:val="00B4012B"/>
    <w:rsid w:val="00B41367"/>
    <w:rsid w:val="00B423AE"/>
    <w:rsid w:val="00B43D73"/>
    <w:rsid w:val="00B44083"/>
    <w:rsid w:val="00B441B1"/>
    <w:rsid w:val="00B45C98"/>
    <w:rsid w:val="00B50520"/>
    <w:rsid w:val="00B5544A"/>
    <w:rsid w:val="00B639E9"/>
    <w:rsid w:val="00B6598C"/>
    <w:rsid w:val="00B66F17"/>
    <w:rsid w:val="00B71863"/>
    <w:rsid w:val="00B7345F"/>
    <w:rsid w:val="00B817CD"/>
    <w:rsid w:val="00B81D00"/>
    <w:rsid w:val="00B825BC"/>
    <w:rsid w:val="00B830CC"/>
    <w:rsid w:val="00B850F8"/>
    <w:rsid w:val="00B86916"/>
    <w:rsid w:val="00B87DA1"/>
    <w:rsid w:val="00B9105F"/>
    <w:rsid w:val="00B911B2"/>
    <w:rsid w:val="00B917E9"/>
    <w:rsid w:val="00B92195"/>
    <w:rsid w:val="00B92520"/>
    <w:rsid w:val="00B951D0"/>
    <w:rsid w:val="00B95DA2"/>
    <w:rsid w:val="00B97C6E"/>
    <w:rsid w:val="00BA231A"/>
    <w:rsid w:val="00BA2D00"/>
    <w:rsid w:val="00BA2FE8"/>
    <w:rsid w:val="00BB1F53"/>
    <w:rsid w:val="00BB29C8"/>
    <w:rsid w:val="00BB3A95"/>
    <w:rsid w:val="00BB42AD"/>
    <w:rsid w:val="00BB4491"/>
    <w:rsid w:val="00BB66DD"/>
    <w:rsid w:val="00BB6DD0"/>
    <w:rsid w:val="00BC00FB"/>
    <w:rsid w:val="00BC0382"/>
    <w:rsid w:val="00BC1DBF"/>
    <w:rsid w:val="00BC31AC"/>
    <w:rsid w:val="00BC401E"/>
    <w:rsid w:val="00BC6488"/>
    <w:rsid w:val="00BD11D6"/>
    <w:rsid w:val="00BD239D"/>
    <w:rsid w:val="00BD31E7"/>
    <w:rsid w:val="00BD50BD"/>
    <w:rsid w:val="00BD618D"/>
    <w:rsid w:val="00BD62C6"/>
    <w:rsid w:val="00BE34A3"/>
    <w:rsid w:val="00BE7042"/>
    <w:rsid w:val="00BE7870"/>
    <w:rsid w:val="00BF095D"/>
    <w:rsid w:val="00BF32A7"/>
    <w:rsid w:val="00BF3618"/>
    <w:rsid w:val="00BF4F16"/>
    <w:rsid w:val="00BF65C9"/>
    <w:rsid w:val="00C0018F"/>
    <w:rsid w:val="00C02828"/>
    <w:rsid w:val="00C03779"/>
    <w:rsid w:val="00C05634"/>
    <w:rsid w:val="00C07B4E"/>
    <w:rsid w:val="00C10393"/>
    <w:rsid w:val="00C14872"/>
    <w:rsid w:val="00C14874"/>
    <w:rsid w:val="00C166D0"/>
    <w:rsid w:val="00C16D39"/>
    <w:rsid w:val="00C20466"/>
    <w:rsid w:val="00C214ED"/>
    <w:rsid w:val="00C227EF"/>
    <w:rsid w:val="00C234E6"/>
    <w:rsid w:val="00C24E20"/>
    <w:rsid w:val="00C324A8"/>
    <w:rsid w:val="00C349B4"/>
    <w:rsid w:val="00C35C13"/>
    <w:rsid w:val="00C36662"/>
    <w:rsid w:val="00C40DF2"/>
    <w:rsid w:val="00C54517"/>
    <w:rsid w:val="00C55DBA"/>
    <w:rsid w:val="00C56E3C"/>
    <w:rsid w:val="00C60AEF"/>
    <w:rsid w:val="00C6240E"/>
    <w:rsid w:val="00C6439C"/>
    <w:rsid w:val="00C64CD8"/>
    <w:rsid w:val="00C720B0"/>
    <w:rsid w:val="00C73347"/>
    <w:rsid w:val="00C75E0E"/>
    <w:rsid w:val="00C75FF8"/>
    <w:rsid w:val="00C76A6C"/>
    <w:rsid w:val="00C80652"/>
    <w:rsid w:val="00C80A64"/>
    <w:rsid w:val="00C87447"/>
    <w:rsid w:val="00C90579"/>
    <w:rsid w:val="00C976EE"/>
    <w:rsid w:val="00C97C68"/>
    <w:rsid w:val="00CA18A2"/>
    <w:rsid w:val="00CA1A47"/>
    <w:rsid w:val="00CA36C5"/>
    <w:rsid w:val="00CA48CF"/>
    <w:rsid w:val="00CB1404"/>
    <w:rsid w:val="00CB1D84"/>
    <w:rsid w:val="00CB3537"/>
    <w:rsid w:val="00CB40E5"/>
    <w:rsid w:val="00CB615D"/>
    <w:rsid w:val="00CB6664"/>
    <w:rsid w:val="00CC247A"/>
    <w:rsid w:val="00CC41F6"/>
    <w:rsid w:val="00CD2733"/>
    <w:rsid w:val="00CD2A68"/>
    <w:rsid w:val="00CD2BC1"/>
    <w:rsid w:val="00CD3139"/>
    <w:rsid w:val="00CD4117"/>
    <w:rsid w:val="00CD7BC2"/>
    <w:rsid w:val="00CD7EC4"/>
    <w:rsid w:val="00CE5ACA"/>
    <w:rsid w:val="00CE5E47"/>
    <w:rsid w:val="00CE7A25"/>
    <w:rsid w:val="00CF020F"/>
    <w:rsid w:val="00CF269A"/>
    <w:rsid w:val="00CF28E4"/>
    <w:rsid w:val="00CF2A29"/>
    <w:rsid w:val="00CF2B5B"/>
    <w:rsid w:val="00CF33C0"/>
    <w:rsid w:val="00CF4A84"/>
    <w:rsid w:val="00D00E2A"/>
    <w:rsid w:val="00D0723D"/>
    <w:rsid w:val="00D10D23"/>
    <w:rsid w:val="00D12A27"/>
    <w:rsid w:val="00D14CE0"/>
    <w:rsid w:val="00D217E0"/>
    <w:rsid w:val="00D233CB"/>
    <w:rsid w:val="00D27D0F"/>
    <w:rsid w:val="00D33DC1"/>
    <w:rsid w:val="00D36333"/>
    <w:rsid w:val="00D42CDE"/>
    <w:rsid w:val="00D42FEE"/>
    <w:rsid w:val="00D44DE2"/>
    <w:rsid w:val="00D45A9C"/>
    <w:rsid w:val="00D476F8"/>
    <w:rsid w:val="00D53EAE"/>
    <w:rsid w:val="00D541E4"/>
    <w:rsid w:val="00D5651D"/>
    <w:rsid w:val="00D56836"/>
    <w:rsid w:val="00D61378"/>
    <w:rsid w:val="00D62D8E"/>
    <w:rsid w:val="00D634E2"/>
    <w:rsid w:val="00D67A2E"/>
    <w:rsid w:val="00D71278"/>
    <w:rsid w:val="00D724BE"/>
    <w:rsid w:val="00D73CFE"/>
    <w:rsid w:val="00D74898"/>
    <w:rsid w:val="00D75941"/>
    <w:rsid w:val="00D75EB3"/>
    <w:rsid w:val="00D801ED"/>
    <w:rsid w:val="00D83BF5"/>
    <w:rsid w:val="00D8609B"/>
    <w:rsid w:val="00D864B0"/>
    <w:rsid w:val="00D87035"/>
    <w:rsid w:val="00D87E9C"/>
    <w:rsid w:val="00D91F0E"/>
    <w:rsid w:val="00D925C2"/>
    <w:rsid w:val="00D936BC"/>
    <w:rsid w:val="00D95534"/>
    <w:rsid w:val="00D9621A"/>
    <w:rsid w:val="00D96530"/>
    <w:rsid w:val="00D96B4B"/>
    <w:rsid w:val="00DA2345"/>
    <w:rsid w:val="00DA273A"/>
    <w:rsid w:val="00DA3AC1"/>
    <w:rsid w:val="00DA3AC4"/>
    <w:rsid w:val="00DA453A"/>
    <w:rsid w:val="00DA561A"/>
    <w:rsid w:val="00DA5C6F"/>
    <w:rsid w:val="00DA6B46"/>
    <w:rsid w:val="00DA7078"/>
    <w:rsid w:val="00DB1086"/>
    <w:rsid w:val="00DB2FB8"/>
    <w:rsid w:val="00DB4598"/>
    <w:rsid w:val="00DB4E0A"/>
    <w:rsid w:val="00DB71F7"/>
    <w:rsid w:val="00DB750F"/>
    <w:rsid w:val="00DC19DC"/>
    <w:rsid w:val="00DC2A65"/>
    <w:rsid w:val="00DC3758"/>
    <w:rsid w:val="00DC3FC1"/>
    <w:rsid w:val="00DC574F"/>
    <w:rsid w:val="00DC6EEA"/>
    <w:rsid w:val="00DD08B4"/>
    <w:rsid w:val="00DD44AF"/>
    <w:rsid w:val="00DE2AC3"/>
    <w:rsid w:val="00DE434C"/>
    <w:rsid w:val="00DE5692"/>
    <w:rsid w:val="00DE5E67"/>
    <w:rsid w:val="00DE7766"/>
    <w:rsid w:val="00DE79F1"/>
    <w:rsid w:val="00DF02A0"/>
    <w:rsid w:val="00DF1E46"/>
    <w:rsid w:val="00DF21DF"/>
    <w:rsid w:val="00DF2D60"/>
    <w:rsid w:val="00DF6F8E"/>
    <w:rsid w:val="00E02014"/>
    <w:rsid w:val="00E03C94"/>
    <w:rsid w:val="00E03CF8"/>
    <w:rsid w:val="00E06327"/>
    <w:rsid w:val="00E06603"/>
    <w:rsid w:val="00E06AEA"/>
    <w:rsid w:val="00E07105"/>
    <w:rsid w:val="00E11115"/>
    <w:rsid w:val="00E12074"/>
    <w:rsid w:val="00E1307C"/>
    <w:rsid w:val="00E1527A"/>
    <w:rsid w:val="00E17BAD"/>
    <w:rsid w:val="00E21B22"/>
    <w:rsid w:val="00E239BD"/>
    <w:rsid w:val="00E241C9"/>
    <w:rsid w:val="00E26226"/>
    <w:rsid w:val="00E31B77"/>
    <w:rsid w:val="00E36E67"/>
    <w:rsid w:val="00E378D8"/>
    <w:rsid w:val="00E4021C"/>
    <w:rsid w:val="00E4059F"/>
    <w:rsid w:val="00E4165C"/>
    <w:rsid w:val="00E422AC"/>
    <w:rsid w:val="00E425D0"/>
    <w:rsid w:val="00E45D05"/>
    <w:rsid w:val="00E528F8"/>
    <w:rsid w:val="00E5442B"/>
    <w:rsid w:val="00E55816"/>
    <w:rsid w:val="00E55AEF"/>
    <w:rsid w:val="00E61442"/>
    <w:rsid w:val="00E64B4B"/>
    <w:rsid w:val="00E66A93"/>
    <w:rsid w:val="00E71B64"/>
    <w:rsid w:val="00E81961"/>
    <w:rsid w:val="00E82877"/>
    <w:rsid w:val="00E83BBB"/>
    <w:rsid w:val="00E84088"/>
    <w:rsid w:val="00E90BE9"/>
    <w:rsid w:val="00E976C1"/>
    <w:rsid w:val="00EA025D"/>
    <w:rsid w:val="00EA07F0"/>
    <w:rsid w:val="00EA12E5"/>
    <w:rsid w:val="00EA2136"/>
    <w:rsid w:val="00EA36A2"/>
    <w:rsid w:val="00EA3D99"/>
    <w:rsid w:val="00EA66A4"/>
    <w:rsid w:val="00EB00F7"/>
    <w:rsid w:val="00EB0E5E"/>
    <w:rsid w:val="00EB2238"/>
    <w:rsid w:val="00EB4C45"/>
    <w:rsid w:val="00EB7056"/>
    <w:rsid w:val="00EC00DF"/>
    <w:rsid w:val="00EC0FC2"/>
    <w:rsid w:val="00EC3585"/>
    <w:rsid w:val="00EC6B65"/>
    <w:rsid w:val="00ED29AB"/>
    <w:rsid w:val="00ED335C"/>
    <w:rsid w:val="00ED44A8"/>
    <w:rsid w:val="00ED5AAF"/>
    <w:rsid w:val="00EE3198"/>
    <w:rsid w:val="00EE4646"/>
    <w:rsid w:val="00EE67EC"/>
    <w:rsid w:val="00EF33D5"/>
    <w:rsid w:val="00EF481F"/>
    <w:rsid w:val="00EF4D25"/>
    <w:rsid w:val="00F000EA"/>
    <w:rsid w:val="00F02766"/>
    <w:rsid w:val="00F03EB7"/>
    <w:rsid w:val="00F04067"/>
    <w:rsid w:val="00F0520E"/>
    <w:rsid w:val="00F05BD4"/>
    <w:rsid w:val="00F07F46"/>
    <w:rsid w:val="00F11A98"/>
    <w:rsid w:val="00F13242"/>
    <w:rsid w:val="00F1463E"/>
    <w:rsid w:val="00F15368"/>
    <w:rsid w:val="00F15E05"/>
    <w:rsid w:val="00F16F35"/>
    <w:rsid w:val="00F20CA2"/>
    <w:rsid w:val="00F21A1D"/>
    <w:rsid w:val="00F277F9"/>
    <w:rsid w:val="00F339E3"/>
    <w:rsid w:val="00F340C8"/>
    <w:rsid w:val="00F349CB"/>
    <w:rsid w:val="00F354F7"/>
    <w:rsid w:val="00F357E0"/>
    <w:rsid w:val="00F45892"/>
    <w:rsid w:val="00F53615"/>
    <w:rsid w:val="00F579D6"/>
    <w:rsid w:val="00F61818"/>
    <w:rsid w:val="00F623D9"/>
    <w:rsid w:val="00F64274"/>
    <w:rsid w:val="00F64DBC"/>
    <w:rsid w:val="00F659A6"/>
    <w:rsid w:val="00F65C19"/>
    <w:rsid w:val="00F6660F"/>
    <w:rsid w:val="00F66B3A"/>
    <w:rsid w:val="00F67276"/>
    <w:rsid w:val="00F7338B"/>
    <w:rsid w:val="00F7440E"/>
    <w:rsid w:val="00F76603"/>
    <w:rsid w:val="00F772D4"/>
    <w:rsid w:val="00F808C6"/>
    <w:rsid w:val="00F83F60"/>
    <w:rsid w:val="00F8476E"/>
    <w:rsid w:val="00F848EE"/>
    <w:rsid w:val="00F84DF8"/>
    <w:rsid w:val="00F91898"/>
    <w:rsid w:val="00F94FEF"/>
    <w:rsid w:val="00F971FB"/>
    <w:rsid w:val="00FA4CD4"/>
    <w:rsid w:val="00FA579C"/>
    <w:rsid w:val="00FA668B"/>
    <w:rsid w:val="00FB20E0"/>
    <w:rsid w:val="00FB34B9"/>
    <w:rsid w:val="00FC0BEF"/>
    <w:rsid w:val="00FC24DA"/>
    <w:rsid w:val="00FC4678"/>
    <w:rsid w:val="00FC6545"/>
    <w:rsid w:val="00FD0183"/>
    <w:rsid w:val="00FD037B"/>
    <w:rsid w:val="00FD2546"/>
    <w:rsid w:val="00FD772E"/>
    <w:rsid w:val="00FE3346"/>
    <w:rsid w:val="00FE3926"/>
    <w:rsid w:val="00FE48BE"/>
    <w:rsid w:val="00FE7205"/>
    <w:rsid w:val="00FE78C7"/>
    <w:rsid w:val="00FF21ED"/>
    <w:rsid w:val="00FF2A26"/>
    <w:rsid w:val="00FF3D55"/>
    <w:rsid w:val="00FF43AC"/>
    <w:rsid w:val="00FF7C8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7"/>
    <o:shapelayout v:ext="edit">
      <o:idmap v:ext="edit" data="1"/>
    </o:shapelayout>
  </w:shapeDefaults>
  <w:decimalSymbol w:val="."/>
  <w:listSeparator w:val=","/>
  <w14:docId w14:val="0B2024FD"/>
  <w15:docId w15:val="{2B1DDD2B-189C-45BE-AE9C-2EE3A3BAF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Batang" w:hAnsi="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1527A"/>
    <w:pPr>
      <w:tabs>
        <w:tab w:val="left" w:pos="1134"/>
        <w:tab w:val="left" w:pos="1871"/>
        <w:tab w:val="left" w:pos="2268"/>
      </w:tabs>
      <w:overflowPunct w:val="0"/>
      <w:autoSpaceDE w:val="0"/>
      <w:autoSpaceDN w:val="0"/>
      <w:adjustRightInd w:val="0"/>
      <w:spacing w:before="120"/>
      <w:textAlignment w:val="baseline"/>
    </w:pPr>
    <w:rPr>
      <w:rFonts w:asciiTheme="minorHAnsi" w:eastAsia="SimSun" w:hAnsiTheme="minorHAnsi"/>
      <w:sz w:val="24"/>
      <w:lang w:val="en-GB" w:eastAsia="en-US"/>
    </w:rPr>
  </w:style>
  <w:style w:type="paragraph" w:styleId="Heading1">
    <w:name w:val="heading 1"/>
    <w:basedOn w:val="Normal"/>
    <w:next w:val="Normal"/>
    <w:qFormat/>
    <w:rsid w:val="00CB3537"/>
    <w:pPr>
      <w:keepNext/>
      <w:keepLines/>
      <w:spacing w:before="280"/>
      <w:ind w:left="1134" w:hanging="1134"/>
      <w:outlineLvl w:val="0"/>
    </w:pPr>
    <w:rPr>
      <w:b/>
      <w:sz w:val="28"/>
    </w:rPr>
  </w:style>
  <w:style w:type="paragraph" w:styleId="Heading2">
    <w:name w:val="heading 2"/>
    <w:basedOn w:val="Heading1"/>
    <w:next w:val="Normal"/>
    <w:qFormat/>
    <w:rsid w:val="00CB3537"/>
    <w:pPr>
      <w:spacing w:before="200"/>
      <w:outlineLvl w:val="1"/>
    </w:pPr>
    <w:rPr>
      <w:sz w:val="24"/>
    </w:rPr>
  </w:style>
  <w:style w:type="paragraph" w:styleId="Heading3">
    <w:name w:val="heading 3"/>
    <w:basedOn w:val="Heading1"/>
    <w:next w:val="Normal"/>
    <w:qFormat/>
    <w:rsid w:val="00CB3537"/>
    <w:pPr>
      <w:tabs>
        <w:tab w:val="clear" w:pos="1134"/>
      </w:tabs>
      <w:spacing w:before="200"/>
      <w:outlineLvl w:val="2"/>
    </w:pPr>
    <w:rPr>
      <w:sz w:val="24"/>
    </w:rPr>
  </w:style>
  <w:style w:type="paragraph" w:styleId="Heading4">
    <w:name w:val="heading 4"/>
    <w:basedOn w:val="Heading3"/>
    <w:next w:val="Normal"/>
    <w:qFormat/>
    <w:rsid w:val="00CB3537"/>
    <w:pPr>
      <w:outlineLvl w:val="3"/>
    </w:pPr>
  </w:style>
  <w:style w:type="paragraph" w:styleId="Heading5">
    <w:name w:val="heading 5"/>
    <w:basedOn w:val="Heading4"/>
    <w:next w:val="Normal"/>
    <w:qFormat/>
    <w:rsid w:val="00CB3537"/>
    <w:pPr>
      <w:outlineLvl w:val="4"/>
    </w:pPr>
  </w:style>
  <w:style w:type="paragraph" w:styleId="Heading6">
    <w:name w:val="heading 6"/>
    <w:basedOn w:val="Heading4"/>
    <w:next w:val="Normal"/>
    <w:qFormat/>
    <w:rsid w:val="00CB3537"/>
    <w:pPr>
      <w:outlineLvl w:val="5"/>
    </w:pPr>
  </w:style>
  <w:style w:type="paragraph" w:styleId="Heading7">
    <w:name w:val="heading 7"/>
    <w:basedOn w:val="Heading6"/>
    <w:next w:val="Normal"/>
    <w:qFormat/>
    <w:rsid w:val="00CB3537"/>
    <w:pPr>
      <w:outlineLvl w:val="6"/>
    </w:pPr>
  </w:style>
  <w:style w:type="paragraph" w:styleId="Heading8">
    <w:name w:val="heading 8"/>
    <w:basedOn w:val="Heading6"/>
    <w:next w:val="Normal"/>
    <w:qFormat/>
    <w:rsid w:val="00CB3537"/>
    <w:pPr>
      <w:outlineLvl w:val="7"/>
    </w:pPr>
  </w:style>
  <w:style w:type="paragraph" w:styleId="Heading9">
    <w:name w:val="heading 9"/>
    <w:basedOn w:val="Heading6"/>
    <w:next w:val="Normal"/>
    <w:qFormat/>
    <w:rsid w:val="00CB3537"/>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gendaitem">
    <w:name w:val="Agenda_item"/>
    <w:basedOn w:val="Normal"/>
    <w:next w:val="Normal"/>
    <w:qFormat/>
    <w:rsid w:val="00745AEE"/>
    <w:pPr>
      <w:overflowPunct/>
      <w:autoSpaceDE/>
      <w:autoSpaceDN/>
      <w:adjustRightInd/>
      <w:spacing w:before="240"/>
      <w:jc w:val="center"/>
      <w:textAlignment w:val="auto"/>
    </w:pPr>
    <w:rPr>
      <w:sz w:val="28"/>
      <w:lang w:val="es-ES_tradnl"/>
    </w:rPr>
  </w:style>
  <w:style w:type="paragraph" w:customStyle="1" w:styleId="AnnexNo">
    <w:name w:val="Annex_No"/>
    <w:basedOn w:val="Normal"/>
    <w:next w:val="Normal"/>
    <w:rsid w:val="00D96B4B"/>
    <w:pPr>
      <w:keepNext/>
      <w:keepLines/>
      <w:spacing w:before="480" w:after="80"/>
      <w:jc w:val="center"/>
    </w:pPr>
    <w:rPr>
      <w:caps/>
      <w:sz w:val="28"/>
    </w:rPr>
  </w:style>
  <w:style w:type="paragraph" w:customStyle="1" w:styleId="Annexref">
    <w:name w:val="Annex_ref"/>
    <w:basedOn w:val="Normal"/>
    <w:next w:val="Normal"/>
    <w:rsid w:val="00745AEE"/>
    <w:pPr>
      <w:keepNext/>
      <w:keepLines/>
      <w:spacing w:after="280"/>
      <w:jc w:val="center"/>
    </w:pPr>
  </w:style>
  <w:style w:type="paragraph" w:customStyle="1" w:styleId="Annextitle">
    <w:name w:val="Annex_title"/>
    <w:basedOn w:val="Normal"/>
    <w:next w:val="Normal"/>
    <w:rsid w:val="00D96B4B"/>
    <w:pPr>
      <w:keepNext/>
      <w:keepLines/>
      <w:spacing w:before="240" w:after="280"/>
      <w:jc w:val="center"/>
    </w:pPr>
    <w:rPr>
      <w:b/>
      <w:sz w:val="28"/>
    </w:rPr>
  </w:style>
  <w:style w:type="character" w:customStyle="1" w:styleId="Appdef">
    <w:name w:val="App_def"/>
    <w:basedOn w:val="DefaultParagraphFont"/>
    <w:rsid w:val="00D96B4B"/>
    <w:rPr>
      <w:rFonts w:asciiTheme="minorHAnsi" w:hAnsiTheme="minorHAnsi"/>
      <w:b/>
    </w:rPr>
  </w:style>
  <w:style w:type="character" w:customStyle="1" w:styleId="Appref">
    <w:name w:val="App_ref"/>
    <w:basedOn w:val="DefaultParagraphFont"/>
    <w:rsid w:val="00D96B4B"/>
    <w:rPr>
      <w:rFonts w:asciiTheme="minorHAnsi" w:hAnsiTheme="minorHAnsi"/>
    </w:rPr>
  </w:style>
  <w:style w:type="paragraph" w:customStyle="1" w:styleId="AppendixNo">
    <w:name w:val="Appendix_No"/>
    <w:basedOn w:val="AnnexNo"/>
    <w:next w:val="Annexref"/>
    <w:rsid w:val="00745AEE"/>
  </w:style>
  <w:style w:type="paragraph" w:customStyle="1" w:styleId="ApptoAnnex">
    <w:name w:val="App_to_Annex"/>
    <w:basedOn w:val="AppendixNo"/>
    <w:next w:val="Normal"/>
    <w:qFormat/>
    <w:rsid w:val="00745AEE"/>
  </w:style>
  <w:style w:type="paragraph" w:customStyle="1" w:styleId="Appendixref">
    <w:name w:val="Appendix_ref"/>
    <w:basedOn w:val="Annexref"/>
    <w:next w:val="Annextitle"/>
    <w:rsid w:val="00745AEE"/>
  </w:style>
  <w:style w:type="paragraph" w:customStyle="1" w:styleId="Appendixtitle">
    <w:name w:val="Appendix_title"/>
    <w:basedOn w:val="Annextitle"/>
    <w:next w:val="Normal"/>
    <w:rsid w:val="00745AEE"/>
  </w:style>
  <w:style w:type="character" w:customStyle="1" w:styleId="Artdef">
    <w:name w:val="Art_def"/>
    <w:basedOn w:val="DefaultParagraphFont"/>
    <w:rsid w:val="00D96B4B"/>
    <w:rPr>
      <w:rFonts w:asciiTheme="minorHAnsi" w:hAnsiTheme="minorHAnsi"/>
      <w:b/>
    </w:rPr>
  </w:style>
  <w:style w:type="paragraph" w:customStyle="1" w:styleId="Artheading">
    <w:name w:val="Art_heading"/>
    <w:basedOn w:val="Normal"/>
    <w:next w:val="Normal"/>
    <w:rsid w:val="00D96B4B"/>
    <w:pPr>
      <w:spacing w:before="480"/>
      <w:jc w:val="center"/>
    </w:pPr>
    <w:rPr>
      <w:b/>
      <w:sz w:val="28"/>
    </w:rPr>
  </w:style>
  <w:style w:type="paragraph" w:customStyle="1" w:styleId="ArtNo">
    <w:name w:val="Art_No"/>
    <w:basedOn w:val="Normal"/>
    <w:next w:val="Normal"/>
    <w:rsid w:val="00745AEE"/>
    <w:pPr>
      <w:keepNext/>
      <w:keepLines/>
      <w:spacing w:before="480"/>
      <w:jc w:val="center"/>
    </w:pPr>
    <w:rPr>
      <w:caps/>
      <w:sz w:val="28"/>
    </w:rPr>
  </w:style>
  <w:style w:type="character" w:customStyle="1" w:styleId="Artref">
    <w:name w:val="Art_ref"/>
    <w:basedOn w:val="DefaultParagraphFont"/>
    <w:rsid w:val="00D96B4B"/>
    <w:rPr>
      <w:rFonts w:asciiTheme="minorHAnsi" w:hAnsiTheme="minorHAnsi"/>
    </w:rPr>
  </w:style>
  <w:style w:type="paragraph" w:customStyle="1" w:styleId="Arttitle">
    <w:name w:val="Art_title"/>
    <w:basedOn w:val="Normal"/>
    <w:next w:val="Normal"/>
    <w:rsid w:val="00745AEE"/>
    <w:pPr>
      <w:keepNext/>
      <w:keepLines/>
      <w:spacing w:before="240"/>
      <w:jc w:val="center"/>
    </w:pPr>
    <w:rPr>
      <w:b/>
      <w:sz w:val="28"/>
    </w:rPr>
  </w:style>
  <w:style w:type="paragraph" w:customStyle="1" w:styleId="Call">
    <w:name w:val="Call"/>
    <w:basedOn w:val="Normal"/>
    <w:next w:val="Normal"/>
    <w:rsid w:val="00BF32A7"/>
    <w:pPr>
      <w:keepNext/>
      <w:keepLines/>
      <w:spacing w:before="160"/>
      <w:ind w:left="1134"/>
    </w:pPr>
    <w:rPr>
      <w:rFonts w:eastAsia="STKaiti"/>
    </w:rPr>
  </w:style>
  <w:style w:type="paragraph" w:customStyle="1" w:styleId="ChapNo">
    <w:name w:val="Chap_No"/>
    <w:basedOn w:val="ArtNo"/>
    <w:next w:val="Normal"/>
    <w:rsid w:val="00D96B4B"/>
    <w:rPr>
      <w:b/>
    </w:rPr>
  </w:style>
  <w:style w:type="paragraph" w:customStyle="1" w:styleId="Chaptitle">
    <w:name w:val="Chap_title"/>
    <w:basedOn w:val="Arttitle"/>
    <w:next w:val="Normal"/>
    <w:rsid w:val="00745AEE"/>
  </w:style>
  <w:style w:type="paragraph" w:customStyle="1" w:styleId="enumlev1">
    <w:name w:val="enumlev1"/>
    <w:basedOn w:val="Normal"/>
    <w:link w:val="enumlev1Char"/>
    <w:qFormat/>
    <w:rsid w:val="00745AEE"/>
    <w:pPr>
      <w:tabs>
        <w:tab w:val="clear" w:pos="2268"/>
        <w:tab w:val="left" w:pos="2608"/>
        <w:tab w:val="left" w:pos="3345"/>
      </w:tabs>
      <w:spacing w:before="80"/>
      <w:ind w:left="1134" w:hanging="1134"/>
    </w:pPr>
  </w:style>
  <w:style w:type="paragraph" w:customStyle="1" w:styleId="enumlev2">
    <w:name w:val="enumlev2"/>
    <w:basedOn w:val="enumlev1"/>
    <w:rsid w:val="00745AEE"/>
    <w:pPr>
      <w:ind w:left="1871" w:hanging="737"/>
    </w:pPr>
  </w:style>
  <w:style w:type="paragraph" w:customStyle="1" w:styleId="enumlev3">
    <w:name w:val="enumlev3"/>
    <w:basedOn w:val="enumlev2"/>
    <w:rsid w:val="00745AEE"/>
    <w:pPr>
      <w:ind w:left="2268" w:hanging="397"/>
    </w:pPr>
  </w:style>
  <w:style w:type="paragraph" w:customStyle="1" w:styleId="Equation">
    <w:name w:val="Equation"/>
    <w:basedOn w:val="Normal"/>
    <w:rsid w:val="00745AEE"/>
    <w:pPr>
      <w:tabs>
        <w:tab w:val="clear" w:pos="2268"/>
        <w:tab w:val="center" w:pos="4820"/>
        <w:tab w:val="right" w:pos="9639"/>
      </w:tabs>
    </w:pPr>
  </w:style>
  <w:style w:type="paragraph" w:customStyle="1" w:styleId="Equationlegend">
    <w:name w:val="Equation_legend"/>
    <w:basedOn w:val="NormalIndent"/>
    <w:rsid w:val="00745AEE"/>
    <w:pPr>
      <w:tabs>
        <w:tab w:val="clear" w:pos="1134"/>
        <w:tab w:val="clear" w:pos="2268"/>
        <w:tab w:val="right" w:pos="1871"/>
        <w:tab w:val="left" w:pos="2041"/>
      </w:tabs>
      <w:spacing w:before="80"/>
      <w:ind w:left="2041" w:hanging="2041"/>
    </w:pPr>
  </w:style>
  <w:style w:type="paragraph" w:styleId="NormalIndent">
    <w:name w:val="Normal Indent"/>
    <w:basedOn w:val="Normal"/>
    <w:rsid w:val="00190B55"/>
    <w:pPr>
      <w:ind w:left="1134"/>
    </w:pPr>
  </w:style>
  <w:style w:type="paragraph" w:customStyle="1" w:styleId="Figure">
    <w:name w:val="Figure"/>
    <w:basedOn w:val="Normal"/>
    <w:next w:val="Normal"/>
    <w:rsid w:val="00745AEE"/>
    <w:pPr>
      <w:keepNext/>
      <w:keepLines/>
      <w:jc w:val="center"/>
    </w:pPr>
  </w:style>
  <w:style w:type="paragraph" w:customStyle="1" w:styleId="Figurelegend">
    <w:name w:val="Figure_legend"/>
    <w:basedOn w:val="Normal"/>
    <w:rsid w:val="00745AEE"/>
    <w:pPr>
      <w:keepNext/>
      <w:keepLines/>
      <w:spacing w:before="20" w:after="20"/>
    </w:pPr>
    <w:rPr>
      <w:sz w:val="18"/>
    </w:rPr>
  </w:style>
  <w:style w:type="paragraph" w:customStyle="1" w:styleId="FigureNo">
    <w:name w:val="Figure_No"/>
    <w:basedOn w:val="Normal"/>
    <w:next w:val="Normal"/>
    <w:rsid w:val="00745AEE"/>
    <w:pPr>
      <w:keepNext/>
      <w:keepLines/>
      <w:spacing w:before="480" w:after="120"/>
      <w:jc w:val="center"/>
    </w:pPr>
    <w:rPr>
      <w:caps/>
      <w:sz w:val="20"/>
    </w:rPr>
  </w:style>
  <w:style w:type="paragraph" w:customStyle="1" w:styleId="Figuretitle">
    <w:name w:val="Figure_title"/>
    <w:basedOn w:val="Normal"/>
    <w:next w:val="Normal"/>
    <w:rsid w:val="002154A6"/>
    <w:pPr>
      <w:keepNext/>
      <w:keepLines/>
      <w:spacing w:before="0" w:after="480"/>
      <w:jc w:val="center"/>
    </w:pPr>
    <w:rPr>
      <w:b/>
      <w:sz w:val="20"/>
    </w:rPr>
  </w:style>
  <w:style w:type="paragraph" w:customStyle="1" w:styleId="Figurewithouttitle">
    <w:name w:val="Figure_without_title"/>
    <w:basedOn w:val="FigureNo"/>
    <w:next w:val="Normal"/>
    <w:rsid w:val="00745AEE"/>
    <w:pPr>
      <w:keepNext w:val="0"/>
    </w:pPr>
  </w:style>
  <w:style w:type="paragraph" w:styleId="Footer">
    <w:name w:val="footer"/>
    <w:basedOn w:val="Normal"/>
    <w:link w:val="FooterChar"/>
    <w:rsid w:val="00745AEE"/>
    <w:pPr>
      <w:tabs>
        <w:tab w:val="clear" w:pos="1134"/>
        <w:tab w:val="clear" w:pos="2268"/>
        <w:tab w:val="left" w:pos="5954"/>
        <w:tab w:val="right" w:pos="9639"/>
      </w:tabs>
      <w:spacing w:before="0"/>
    </w:pPr>
    <w:rPr>
      <w:caps/>
      <w:noProof/>
      <w:sz w:val="16"/>
    </w:rPr>
  </w:style>
  <w:style w:type="character" w:customStyle="1" w:styleId="FooterChar">
    <w:name w:val="Footer Char"/>
    <w:basedOn w:val="DefaultParagraphFont"/>
    <w:link w:val="Footer"/>
    <w:rsid w:val="00745AEE"/>
    <w:rPr>
      <w:rFonts w:ascii="Times New Roman" w:hAnsi="Times New Roman"/>
      <w:caps/>
      <w:noProof/>
      <w:sz w:val="16"/>
      <w:lang w:val="en-GB" w:eastAsia="en-US"/>
    </w:rPr>
  </w:style>
  <w:style w:type="paragraph" w:customStyle="1" w:styleId="FirstFooter">
    <w:name w:val="FirstFooter"/>
    <w:basedOn w:val="Footer"/>
    <w:rsid w:val="00745AEE"/>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aliases w:val="Appel note de bas de p,Footnote Reference/,Footnote symbol,Ref,de nota al pie,Style 12,(NECG) Footnote Reference,Style 124,o,fr,Style 13,FR,Style 17,Appel note de bas de p + 11 pt,Italic,Footnote,Appel note de bas de p1,Style 3"/>
    <w:basedOn w:val="DefaultParagraphFont"/>
    <w:qFormat/>
    <w:rsid w:val="002154A6"/>
    <w:rPr>
      <w:rFonts w:asciiTheme="minorHAnsi" w:hAnsiTheme="minorHAnsi"/>
      <w:position w:val="6"/>
      <w:sz w:val="18"/>
    </w:rPr>
  </w:style>
  <w:style w:type="paragraph" w:styleId="FootnoteText">
    <w:name w:val="footnote text"/>
    <w:aliases w:val="footnote text,ALTS FOOTNOTE,Footnote Text Char1,Footnote Text Char Char1,Footnote Text Char4 Char Char,Footnote Text Char1 Char1 Char1 Char,Footnote Text Char Char1 Char1 Char Char,Footnote Text Char1 Char1 Char1 Char Char Char1,DNV-FT"/>
    <w:basedOn w:val="Normal"/>
    <w:link w:val="FootnoteTextChar"/>
    <w:qFormat/>
    <w:rsid w:val="00745AEE"/>
    <w:pPr>
      <w:keepLines/>
      <w:tabs>
        <w:tab w:val="left" w:pos="255"/>
      </w:tabs>
    </w:pPr>
  </w:style>
  <w:style w:type="character" w:customStyle="1" w:styleId="FootnoteTextChar">
    <w:name w:val="Footnote Text Char"/>
    <w:aliases w:val="footnote text Char,ALTS FOOTNOTE Char,Footnote Text Char1 Char,Footnote Text Char Char1 Char,Footnote Text Char4 Char Char Char,Footnote Text Char1 Char1 Char1 Char Char,Footnote Text Char Char1 Char1 Char Char Char,DNV-FT Char"/>
    <w:basedOn w:val="DefaultParagraphFont"/>
    <w:link w:val="FootnoteText"/>
    <w:qFormat/>
    <w:rsid w:val="00745AEE"/>
    <w:rPr>
      <w:rFonts w:ascii="Times New Roman" w:hAnsi="Times New Roman"/>
      <w:sz w:val="24"/>
      <w:lang w:val="en-GB" w:eastAsia="en-US"/>
    </w:rPr>
  </w:style>
  <w:style w:type="paragraph" w:styleId="Header">
    <w:name w:val="header"/>
    <w:basedOn w:val="Normal"/>
    <w:link w:val="HeaderChar"/>
    <w:rsid w:val="00745AEE"/>
    <w:pPr>
      <w:spacing w:before="0"/>
      <w:jc w:val="center"/>
    </w:pPr>
    <w:rPr>
      <w:sz w:val="18"/>
    </w:rPr>
  </w:style>
  <w:style w:type="character" w:customStyle="1" w:styleId="HeaderChar">
    <w:name w:val="Header Char"/>
    <w:basedOn w:val="DefaultParagraphFont"/>
    <w:link w:val="Header"/>
    <w:rsid w:val="00745AEE"/>
    <w:rPr>
      <w:rFonts w:ascii="Times New Roman" w:hAnsi="Times New Roman"/>
      <w:sz w:val="18"/>
      <w:lang w:val="en-GB" w:eastAsia="en-US"/>
    </w:rPr>
  </w:style>
  <w:style w:type="paragraph" w:customStyle="1" w:styleId="Normalaftertitle">
    <w:name w:val="Normal after title"/>
    <w:basedOn w:val="Normal"/>
    <w:next w:val="Normal"/>
    <w:link w:val="NormalaftertitleChar"/>
    <w:rsid w:val="00190B55"/>
    <w:pPr>
      <w:spacing w:before="280"/>
    </w:pPr>
  </w:style>
  <w:style w:type="paragraph" w:customStyle="1" w:styleId="Section1">
    <w:name w:val="Section_1"/>
    <w:basedOn w:val="Normal"/>
    <w:rsid w:val="00190B55"/>
    <w:pPr>
      <w:tabs>
        <w:tab w:val="clear" w:pos="1134"/>
        <w:tab w:val="clear" w:pos="2268"/>
        <w:tab w:val="center" w:pos="4820"/>
      </w:tabs>
      <w:spacing w:before="360"/>
      <w:jc w:val="center"/>
    </w:pPr>
    <w:rPr>
      <w:b/>
    </w:rPr>
  </w:style>
  <w:style w:type="paragraph" w:customStyle="1" w:styleId="Section2">
    <w:name w:val="Section_2"/>
    <w:basedOn w:val="Section1"/>
    <w:rsid w:val="00190B55"/>
    <w:rPr>
      <w:b w:val="0"/>
      <w:i/>
    </w:rPr>
  </w:style>
  <w:style w:type="paragraph" w:customStyle="1" w:styleId="Section3">
    <w:name w:val="Section_3"/>
    <w:basedOn w:val="Section1"/>
    <w:rsid w:val="00190B55"/>
    <w:rPr>
      <w:b w:val="0"/>
    </w:rPr>
  </w:style>
  <w:style w:type="paragraph" w:customStyle="1" w:styleId="SectionNo">
    <w:name w:val="Section_No"/>
    <w:basedOn w:val="AnnexNo"/>
    <w:next w:val="Normal"/>
    <w:rsid w:val="00190B55"/>
  </w:style>
  <w:style w:type="paragraph" w:customStyle="1" w:styleId="Sectiontitle">
    <w:name w:val="Section_title"/>
    <w:basedOn w:val="Annextitle"/>
    <w:next w:val="Normalaftertitle"/>
    <w:rsid w:val="00190B55"/>
  </w:style>
  <w:style w:type="paragraph" w:customStyle="1" w:styleId="Source">
    <w:name w:val="Source"/>
    <w:basedOn w:val="Normal"/>
    <w:next w:val="Normal"/>
    <w:rsid w:val="00190B55"/>
    <w:pPr>
      <w:spacing w:before="840"/>
      <w:jc w:val="center"/>
    </w:pPr>
    <w:rPr>
      <w:b/>
      <w:sz w:val="28"/>
    </w:rPr>
  </w:style>
  <w:style w:type="paragraph" w:customStyle="1" w:styleId="SpecialFooter">
    <w:name w:val="Special Footer"/>
    <w:basedOn w:val="Footer"/>
    <w:rsid w:val="00190B55"/>
    <w:pPr>
      <w:tabs>
        <w:tab w:val="left" w:pos="1134"/>
        <w:tab w:val="left" w:pos="2268"/>
      </w:tabs>
      <w:jc w:val="both"/>
    </w:pPr>
    <w:rPr>
      <w:caps w:val="0"/>
      <w:noProof w:val="0"/>
    </w:rPr>
  </w:style>
  <w:style w:type="paragraph" w:customStyle="1" w:styleId="Subsection1">
    <w:name w:val="Subsection_1"/>
    <w:basedOn w:val="Section1"/>
    <w:next w:val="Normalaftertitle"/>
    <w:qFormat/>
    <w:rsid w:val="00190B55"/>
  </w:style>
  <w:style w:type="character" w:customStyle="1" w:styleId="Tablefreq">
    <w:name w:val="Table_freq"/>
    <w:basedOn w:val="DefaultParagraphFont"/>
    <w:rsid w:val="00D96B4B"/>
    <w:rPr>
      <w:rFonts w:asciiTheme="minorHAnsi" w:hAnsiTheme="minorHAnsi"/>
      <w:b/>
      <w:color w:val="auto"/>
      <w:sz w:val="20"/>
    </w:rPr>
  </w:style>
  <w:style w:type="paragraph" w:customStyle="1" w:styleId="Tablehead">
    <w:name w:val="Table_head"/>
    <w:basedOn w:val="Normal"/>
    <w:rsid w:val="00D96B4B"/>
    <w:pPr>
      <w:keepNext/>
      <w:spacing w:before="80" w:after="80"/>
      <w:jc w:val="center"/>
    </w:pPr>
    <w:rPr>
      <w:rFonts w:cs="Times New Roman Bold"/>
      <w:b/>
      <w:sz w:val="20"/>
    </w:rPr>
  </w:style>
  <w:style w:type="paragraph" w:customStyle="1" w:styleId="Tablelegend">
    <w:name w:val="Table_legend"/>
    <w:basedOn w:val="Normal"/>
    <w:rsid w:val="00C214ED"/>
    <w:rPr>
      <w:sz w:val="20"/>
    </w:rPr>
  </w:style>
  <w:style w:type="paragraph" w:customStyle="1" w:styleId="TableNo">
    <w:name w:val="Table_No"/>
    <w:basedOn w:val="Normal"/>
    <w:next w:val="Normal"/>
    <w:rsid w:val="001D058F"/>
    <w:pPr>
      <w:keepNext/>
      <w:spacing w:before="560" w:after="120"/>
      <w:jc w:val="center"/>
    </w:pPr>
    <w:rPr>
      <w:caps/>
      <w:sz w:val="20"/>
    </w:rPr>
  </w:style>
  <w:style w:type="paragraph" w:customStyle="1" w:styleId="Tableref">
    <w:name w:val="Table_ref"/>
    <w:basedOn w:val="Normal"/>
    <w:next w:val="Normal"/>
    <w:rsid w:val="00190B55"/>
    <w:pPr>
      <w:keepNext/>
      <w:spacing w:before="560"/>
      <w:jc w:val="center"/>
    </w:pPr>
    <w:rPr>
      <w:sz w:val="20"/>
    </w:rPr>
  </w:style>
  <w:style w:type="paragraph" w:customStyle="1" w:styleId="Normalend">
    <w:name w:val="Normal_end"/>
    <w:basedOn w:val="Normal"/>
    <w:next w:val="Normal"/>
    <w:qFormat/>
    <w:rsid w:val="00D801ED"/>
    <w:rPr>
      <w:lang w:val="en-US"/>
    </w:rPr>
  </w:style>
  <w:style w:type="paragraph" w:customStyle="1" w:styleId="Proposal">
    <w:name w:val="Proposal"/>
    <w:basedOn w:val="Normal"/>
    <w:next w:val="Normal"/>
    <w:rsid w:val="00DE5692"/>
    <w:pPr>
      <w:keepNext/>
      <w:spacing w:before="240"/>
    </w:pPr>
    <w:rPr>
      <w:rFonts w:hAnsi="Times New Roman Bold"/>
    </w:rPr>
  </w:style>
  <w:style w:type="paragraph" w:customStyle="1" w:styleId="Reasons">
    <w:name w:val="Reasons"/>
    <w:basedOn w:val="Normal"/>
    <w:rsid w:val="00DE5692"/>
    <w:pPr>
      <w:tabs>
        <w:tab w:val="clear" w:pos="2268"/>
        <w:tab w:val="left" w:pos="1588"/>
        <w:tab w:val="left" w:pos="1985"/>
      </w:tabs>
    </w:pPr>
  </w:style>
  <w:style w:type="paragraph" w:customStyle="1" w:styleId="Questiondate">
    <w:name w:val="Question_date"/>
    <w:basedOn w:val="Normal"/>
    <w:next w:val="Normalaftertitle"/>
    <w:rsid w:val="004969AD"/>
    <w:pPr>
      <w:keepNext/>
      <w:keepLines/>
      <w:jc w:val="right"/>
    </w:pPr>
    <w:rPr>
      <w:sz w:val="22"/>
    </w:rPr>
  </w:style>
  <w:style w:type="paragraph" w:customStyle="1" w:styleId="QuestionNo">
    <w:name w:val="Question_No"/>
    <w:basedOn w:val="Normal"/>
    <w:next w:val="Normal"/>
    <w:rsid w:val="004969AD"/>
    <w:pPr>
      <w:keepNext/>
      <w:keepLines/>
      <w:spacing w:before="480"/>
      <w:jc w:val="center"/>
    </w:pPr>
    <w:rPr>
      <w:caps/>
      <w:sz w:val="28"/>
    </w:rPr>
  </w:style>
  <w:style w:type="paragraph" w:customStyle="1" w:styleId="Questiontitle">
    <w:name w:val="Question_title"/>
    <w:basedOn w:val="Normal"/>
    <w:next w:val="Normal"/>
    <w:rsid w:val="00D96B4B"/>
    <w:pPr>
      <w:keepNext/>
      <w:keepLines/>
      <w:spacing w:before="240"/>
      <w:jc w:val="center"/>
    </w:pPr>
    <w:rPr>
      <w:b/>
      <w:sz w:val="28"/>
    </w:rPr>
  </w:style>
  <w:style w:type="paragraph" w:styleId="TOC1">
    <w:name w:val="toc 1"/>
    <w:basedOn w:val="Normal"/>
    <w:rsid w:val="001D058F"/>
    <w:pPr>
      <w:keepLines/>
      <w:tabs>
        <w:tab w:val="clear" w:pos="1134"/>
        <w:tab w:val="clear" w:pos="2268"/>
        <w:tab w:val="left" w:leader="dot" w:pos="7938"/>
        <w:tab w:val="center" w:pos="9526"/>
      </w:tabs>
      <w:spacing w:before="240"/>
      <w:ind w:left="567" w:hanging="567"/>
    </w:pPr>
  </w:style>
  <w:style w:type="paragraph" w:styleId="TOC2">
    <w:name w:val="toc 2"/>
    <w:basedOn w:val="TOC1"/>
    <w:rsid w:val="001D058F"/>
    <w:pPr>
      <w:spacing w:before="120"/>
    </w:pPr>
  </w:style>
  <w:style w:type="paragraph" w:styleId="TOC3">
    <w:name w:val="toc 3"/>
    <w:basedOn w:val="TOC2"/>
    <w:rsid w:val="001D058F"/>
  </w:style>
  <w:style w:type="paragraph" w:styleId="TOC4">
    <w:name w:val="toc 4"/>
    <w:basedOn w:val="TOC3"/>
    <w:rsid w:val="001D058F"/>
  </w:style>
  <w:style w:type="paragraph" w:styleId="TOC5">
    <w:name w:val="toc 5"/>
    <w:basedOn w:val="TOC4"/>
    <w:rsid w:val="001D058F"/>
  </w:style>
  <w:style w:type="paragraph" w:styleId="TOC6">
    <w:name w:val="toc 6"/>
    <w:basedOn w:val="TOC4"/>
    <w:rsid w:val="001D058F"/>
  </w:style>
  <w:style w:type="paragraph" w:styleId="TOC7">
    <w:name w:val="toc 7"/>
    <w:basedOn w:val="TOC4"/>
    <w:rsid w:val="001D058F"/>
  </w:style>
  <w:style w:type="paragraph" w:styleId="TOC8">
    <w:name w:val="toc 8"/>
    <w:basedOn w:val="TOC4"/>
    <w:rsid w:val="001D058F"/>
  </w:style>
  <w:style w:type="paragraph" w:customStyle="1" w:styleId="Title1">
    <w:name w:val="Title 1"/>
    <w:basedOn w:val="Source"/>
    <w:next w:val="Normal"/>
    <w:rsid w:val="001D058F"/>
    <w:pPr>
      <w:spacing w:before="240"/>
    </w:pPr>
    <w:rPr>
      <w:b w:val="0"/>
      <w:caps/>
    </w:rPr>
  </w:style>
  <w:style w:type="paragraph" w:customStyle="1" w:styleId="Title2">
    <w:name w:val="Title 2"/>
    <w:basedOn w:val="Source"/>
    <w:next w:val="Normal"/>
    <w:rsid w:val="001D058F"/>
    <w:pPr>
      <w:overflowPunct/>
      <w:autoSpaceDE/>
      <w:autoSpaceDN/>
      <w:adjustRightInd/>
      <w:spacing w:before="480"/>
      <w:textAlignment w:val="auto"/>
    </w:pPr>
    <w:rPr>
      <w:b w:val="0"/>
      <w:caps/>
    </w:rPr>
  </w:style>
  <w:style w:type="paragraph" w:customStyle="1" w:styleId="Title3">
    <w:name w:val="Title 3"/>
    <w:basedOn w:val="Title2"/>
    <w:next w:val="Normal"/>
    <w:rsid w:val="001D058F"/>
    <w:pPr>
      <w:spacing w:before="240"/>
    </w:pPr>
    <w:rPr>
      <w:caps w:val="0"/>
    </w:rPr>
  </w:style>
  <w:style w:type="paragraph" w:customStyle="1" w:styleId="Title4">
    <w:name w:val="Title 4"/>
    <w:basedOn w:val="Title3"/>
    <w:next w:val="Heading1"/>
    <w:rsid w:val="001D058F"/>
    <w:rPr>
      <w:b/>
    </w:rPr>
  </w:style>
  <w:style w:type="paragraph" w:customStyle="1" w:styleId="Tabletext">
    <w:name w:val="Table_text"/>
    <w:basedOn w:val="Normal"/>
    <w:rsid w:val="001D058F"/>
    <w:pPr>
      <w:tabs>
        <w:tab w:val="left" w:pos="284"/>
        <w:tab w:val="left" w:pos="851"/>
        <w:tab w:val="left" w:pos="1418"/>
        <w:tab w:val="left" w:pos="1985"/>
        <w:tab w:val="left" w:pos="2552"/>
        <w:tab w:val="left" w:pos="3119"/>
        <w:tab w:val="left" w:pos="3402"/>
        <w:tab w:val="left" w:pos="3686"/>
        <w:tab w:val="left" w:pos="3969"/>
      </w:tabs>
      <w:spacing w:before="40" w:after="40"/>
    </w:pPr>
    <w:rPr>
      <w:sz w:val="20"/>
    </w:rPr>
  </w:style>
  <w:style w:type="paragraph" w:customStyle="1" w:styleId="Tabletitle">
    <w:name w:val="Table_title"/>
    <w:basedOn w:val="Normal"/>
    <w:next w:val="Tabletext"/>
    <w:rsid w:val="00D96B4B"/>
    <w:pPr>
      <w:keepNext/>
      <w:keepLines/>
      <w:spacing w:before="0" w:after="120"/>
      <w:jc w:val="center"/>
    </w:pPr>
    <w:rPr>
      <w:b/>
      <w:sz w:val="20"/>
    </w:rPr>
  </w:style>
  <w:style w:type="paragraph" w:customStyle="1" w:styleId="Headingi">
    <w:name w:val="Heading_i"/>
    <w:basedOn w:val="Normal"/>
    <w:next w:val="Normal"/>
    <w:qFormat/>
    <w:rsid w:val="0062421D"/>
    <w:pPr>
      <w:spacing w:before="160"/>
    </w:pPr>
    <w:rPr>
      <w:rFonts w:eastAsia="STKaiti"/>
    </w:rPr>
  </w:style>
  <w:style w:type="paragraph" w:customStyle="1" w:styleId="Headingb">
    <w:name w:val="Heading_b"/>
    <w:basedOn w:val="Normal"/>
    <w:next w:val="Normal"/>
    <w:qFormat/>
    <w:rsid w:val="00D96B4B"/>
    <w:pPr>
      <w:spacing w:before="160"/>
    </w:pPr>
    <w:rPr>
      <w:rFonts w:cs="Times New Roman Bold"/>
      <w:b/>
      <w:lang w:val="fr-CH"/>
    </w:rPr>
  </w:style>
  <w:style w:type="paragraph" w:customStyle="1" w:styleId="Note">
    <w:name w:val="Note"/>
    <w:basedOn w:val="Normal"/>
    <w:next w:val="Normal"/>
    <w:rsid w:val="00FD772E"/>
    <w:pPr>
      <w:tabs>
        <w:tab w:val="left" w:pos="284"/>
      </w:tabs>
      <w:spacing w:before="80"/>
    </w:pPr>
  </w:style>
  <w:style w:type="paragraph" w:customStyle="1" w:styleId="Part1">
    <w:name w:val="Part_1"/>
    <w:basedOn w:val="Section1"/>
    <w:next w:val="Section1"/>
    <w:qFormat/>
    <w:rsid w:val="00DE2AC3"/>
  </w:style>
  <w:style w:type="paragraph" w:customStyle="1" w:styleId="PartNo">
    <w:name w:val="Part_No"/>
    <w:basedOn w:val="AnnexNo"/>
    <w:next w:val="Normal"/>
    <w:rsid w:val="00DE2AC3"/>
  </w:style>
  <w:style w:type="paragraph" w:customStyle="1" w:styleId="Partref">
    <w:name w:val="Part_ref"/>
    <w:basedOn w:val="Annexref"/>
    <w:next w:val="Normal"/>
    <w:rsid w:val="00DE2AC3"/>
  </w:style>
  <w:style w:type="paragraph" w:customStyle="1" w:styleId="Parttitle">
    <w:name w:val="Part_title"/>
    <w:basedOn w:val="Annextitle"/>
    <w:next w:val="Normalaftertitle"/>
    <w:rsid w:val="00DE2AC3"/>
  </w:style>
  <w:style w:type="paragraph" w:customStyle="1" w:styleId="Recdate">
    <w:name w:val="Rec_date"/>
    <w:basedOn w:val="Normal"/>
    <w:next w:val="Normalaftertitle"/>
    <w:rsid w:val="00DE2AC3"/>
    <w:pPr>
      <w:keepNext/>
      <w:keepLines/>
      <w:jc w:val="right"/>
    </w:pPr>
    <w:rPr>
      <w:sz w:val="22"/>
    </w:rPr>
  </w:style>
  <w:style w:type="paragraph" w:customStyle="1" w:styleId="RecNo">
    <w:name w:val="Rec_No"/>
    <w:basedOn w:val="Normal"/>
    <w:next w:val="Normal"/>
    <w:rsid w:val="00DE2AC3"/>
    <w:pPr>
      <w:keepNext/>
      <w:keepLines/>
      <w:spacing w:before="480"/>
      <w:jc w:val="center"/>
    </w:pPr>
    <w:rPr>
      <w:caps/>
      <w:sz w:val="28"/>
    </w:rPr>
  </w:style>
  <w:style w:type="paragraph" w:customStyle="1" w:styleId="Rectitle">
    <w:name w:val="Rec_title"/>
    <w:basedOn w:val="RecNo"/>
    <w:next w:val="Normal"/>
    <w:rsid w:val="00D96B4B"/>
    <w:pPr>
      <w:spacing w:before="240"/>
    </w:pPr>
    <w:rPr>
      <w:b/>
      <w:caps w:val="0"/>
    </w:rPr>
  </w:style>
  <w:style w:type="paragraph" w:customStyle="1" w:styleId="ResNo">
    <w:name w:val="Res_No"/>
    <w:basedOn w:val="RecNo"/>
    <w:next w:val="Normal"/>
    <w:rsid w:val="00DE2AC3"/>
  </w:style>
  <w:style w:type="paragraph" w:customStyle="1" w:styleId="Restitle">
    <w:name w:val="Res_title"/>
    <w:basedOn w:val="Rectitle"/>
    <w:next w:val="Normal"/>
    <w:rsid w:val="00DE2AC3"/>
  </w:style>
  <w:style w:type="paragraph" w:customStyle="1" w:styleId="AppArtNo">
    <w:name w:val="App_Art_No"/>
    <w:basedOn w:val="ArtNo"/>
    <w:qFormat/>
    <w:rsid w:val="006E3D45"/>
  </w:style>
  <w:style w:type="paragraph" w:customStyle="1" w:styleId="AppArttitle">
    <w:name w:val="App_Art_title"/>
    <w:basedOn w:val="Arttitle"/>
    <w:qFormat/>
    <w:rsid w:val="00A066F1"/>
  </w:style>
  <w:style w:type="paragraph" w:styleId="ListParagraph">
    <w:name w:val="List Paragraph"/>
    <w:aliases w:val="List Paragraph1,Recommendation,List Paragraph11,O5,Para_sk,Resume Title,- Bullets,Equipment,Numbered Indented Text,Figure_name"/>
    <w:basedOn w:val="Normal"/>
    <w:link w:val="ListParagraphChar"/>
    <w:uiPriority w:val="34"/>
    <w:qFormat/>
    <w:rsid w:val="00D925C2"/>
    <w:pPr>
      <w:ind w:left="720"/>
      <w:contextualSpacing/>
    </w:pPr>
  </w:style>
  <w:style w:type="paragraph" w:customStyle="1" w:styleId="Opiniontitle">
    <w:name w:val="Opinion_title"/>
    <w:basedOn w:val="Rectitle"/>
    <w:next w:val="Normalaftertitle"/>
    <w:qFormat/>
    <w:rsid w:val="00152957"/>
  </w:style>
  <w:style w:type="paragraph" w:customStyle="1" w:styleId="OpinionNo">
    <w:name w:val="Opinion_No"/>
    <w:basedOn w:val="RecNo"/>
    <w:next w:val="Opiniontitle"/>
    <w:qFormat/>
    <w:rsid w:val="00152957"/>
  </w:style>
  <w:style w:type="paragraph" w:customStyle="1" w:styleId="Volumetitle">
    <w:name w:val="Volume_title"/>
    <w:basedOn w:val="Normal"/>
    <w:qFormat/>
    <w:rsid w:val="007D45E3"/>
    <w:pPr>
      <w:tabs>
        <w:tab w:val="clear" w:pos="1134"/>
        <w:tab w:val="clear" w:pos="2268"/>
      </w:tabs>
      <w:overflowPunct/>
      <w:autoSpaceDE/>
      <w:autoSpaceDN/>
      <w:adjustRightInd/>
      <w:spacing w:before="0"/>
      <w:textAlignment w:val="auto"/>
    </w:pPr>
    <w:rPr>
      <w:b/>
      <w:sz w:val="28"/>
      <w:lang w:val="en-US"/>
    </w:rPr>
  </w:style>
  <w:style w:type="paragraph" w:styleId="BalloonText">
    <w:name w:val="Balloon Text"/>
    <w:basedOn w:val="Normal"/>
    <w:link w:val="BalloonTextChar"/>
    <w:rsid w:val="004131D4"/>
    <w:pPr>
      <w:spacing w:before="0"/>
    </w:pPr>
    <w:rPr>
      <w:rFonts w:ascii="Tahoma" w:hAnsi="Tahoma" w:cs="Tahoma"/>
      <w:sz w:val="16"/>
      <w:szCs w:val="16"/>
    </w:rPr>
  </w:style>
  <w:style w:type="character" w:customStyle="1" w:styleId="BalloonTextChar">
    <w:name w:val="Balloon Text Char"/>
    <w:basedOn w:val="DefaultParagraphFont"/>
    <w:link w:val="BalloonText"/>
    <w:rsid w:val="004131D4"/>
    <w:rPr>
      <w:rFonts w:ascii="Tahoma" w:hAnsi="Tahoma" w:cs="Tahoma"/>
      <w:sz w:val="16"/>
      <w:szCs w:val="16"/>
      <w:lang w:val="en-GB" w:eastAsia="en-US"/>
    </w:rPr>
  </w:style>
  <w:style w:type="paragraph" w:customStyle="1" w:styleId="Committee">
    <w:name w:val="Committee"/>
    <w:basedOn w:val="Normal"/>
    <w:qFormat/>
    <w:rsid w:val="004131D4"/>
    <w:pPr>
      <w:framePr w:hSpace="180" w:wrap="around" w:hAnchor="margin" w:y="-675"/>
      <w:tabs>
        <w:tab w:val="left" w:pos="851"/>
      </w:tabs>
      <w:spacing w:before="0" w:line="240" w:lineRule="atLeast"/>
    </w:pPr>
    <w:rPr>
      <w:rFonts w:cstheme="minorHAnsi"/>
      <w:b/>
      <w:szCs w:val="24"/>
    </w:rPr>
  </w:style>
  <w:style w:type="character" w:styleId="Hyperlink">
    <w:name w:val="Hyperlink"/>
    <w:aliases w:val="CEO_Hyperlink,超级链接,超?级链,Style 58,超????,하이퍼링크2,超链接1,超?级链?,Style?,S,하이퍼링크21,ECC Hyperlink"/>
    <w:uiPriority w:val="99"/>
    <w:qFormat/>
    <w:rsid w:val="00D83BF5"/>
    <w:rPr>
      <w:color w:val="0000FF"/>
      <w:u w:val="single"/>
    </w:rPr>
  </w:style>
  <w:style w:type="character" w:customStyle="1" w:styleId="NormalaftertitleChar">
    <w:name w:val="Normal after title Char"/>
    <w:basedOn w:val="DefaultParagraphFont"/>
    <w:link w:val="Normalaftertitle"/>
    <w:locked/>
    <w:rsid w:val="00D83BF5"/>
    <w:rPr>
      <w:rFonts w:asciiTheme="minorHAnsi" w:hAnsiTheme="minorHAnsi"/>
      <w:sz w:val="24"/>
      <w:lang w:val="en-GB" w:eastAsia="en-US"/>
    </w:rPr>
  </w:style>
  <w:style w:type="table" w:styleId="TableGrid">
    <w:name w:val="Table Grid"/>
    <w:basedOn w:val="TableNormal"/>
    <w:rsid w:val="001E252D"/>
    <w:rPr>
      <w:rFonts w:ascii="CG Times" w:hAnsi="CG Time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ListParagraphChar">
    <w:name w:val="List Paragraph Char"/>
    <w:aliases w:val="List Paragraph1 Char,Recommendation Char,List Paragraph11 Char,O5 Char,Para_sk Char,Resume Title Char,- Bullets Char,Equipment Char,Numbered Indented Text Char,Figure_name Char"/>
    <w:link w:val="ListParagraph"/>
    <w:uiPriority w:val="34"/>
    <w:qFormat/>
    <w:rsid w:val="003F1363"/>
    <w:rPr>
      <w:rFonts w:asciiTheme="minorHAnsi" w:hAnsiTheme="minorHAnsi"/>
      <w:sz w:val="24"/>
      <w:lang w:val="en-GB" w:eastAsia="en-US"/>
    </w:rPr>
  </w:style>
  <w:style w:type="character" w:styleId="FollowedHyperlink">
    <w:name w:val="FollowedHyperlink"/>
    <w:basedOn w:val="DefaultParagraphFont"/>
    <w:semiHidden/>
    <w:unhideWhenUsed/>
    <w:rsid w:val="00412C81"/>
    <w:rPr>
      <w:color w:val="800080" w:themeColor="followedHyperlink"/>
      <w:u w:val="single"/>
    </w:rPr>
  </w:style>
  <w:style w:type="paragraph" w:customStyle="1" w:styleId="Default">
    <w:name w:val="Default"/>
    <w:rsid w:val="00DB4598"/>
    <w:pPr>
      <w:autoSpaceDE w:val="0"/>
      <w:autoSpaceDN w:val="0"/>
      <w:adjustRightInd w:val="0"/>
    </w:pPr>
    <w:rPr>
      <w:rFonts w:ascii="Verdana" w:hAnsi="Verdana" w:cs="Verdana"/>
      <w:color w:val="000000"/>
      <w:sz w:val="24"/>
      <w:szCs w:val="24"/>
      <w:lang w:val="en-GB"/>
    </w:rPr>
  </w:style>
  <w:style w:type="paragraph" w:customStyle="1" w:styleId="CEOcontributionStart">
    <w:name w:val="CEO_contributionStart"/>
    <w:basedOn w:val="Normal"/>
    <w:rsid w:val="003C1870"/>
    <w:pPr>
      <w:tabs>
        <w:tab w:val="clear" w:pos="1134"/>
        <w:tab w:val="clear" w:pos="1871"/>
        <w:tab w:val="clear" w:pos="2268"/>
      </w:tabs>
      <w:overflowPunct/>
      <w:autoSpaceDE/>
      <w:autoSpaceDN/>
      <w:adjustRightInd/>
      <w:spacing w:before="360" w:after="120"/>
      <w:textAlignment w:val="auto"/>
    </w:pPr>
    <w:rPr>
      <w:rFonts w:ascii="Verdana" w:eastAsia="SimHei" w:hAnsi="Verdana" w:cs="Simplified Arabic"/>
      <w:sz w:val="19"/>
      <w:szCs w:val="19"/>
    </w:rPr>
  </w:style>
  <w:style w:type="character" w:styleId="CommentReference">
    <w:name w:val="annotation reference"/>
    <w:basedOn w:val="DefaultParagraphFont"/>
    <w:semiHidden/>
    <w:unhideWhenUsed/>
    <w:rsid w:val="006747D8"/>
    <w:rPr>
      <w:sz w:val="16"/>
      <w:szCs w:val="16"/>
    </w:rPr>
  </w:style>
  <w:style w:type="paragraph" w:styleId="CommentText">
    <w:name w:val="annotation text"/>
    <w:basedOn w:val="Normal"/>
    <w:link w:val="CommentTextChar"/>
    <w:unhideWhenUsed/>
    <w:rsid w:val="006747D8"/>
    <w:rPr>
      <w:sz w:val="20"/>
    </w:rPr>
  </w:style>
  <w:style w:type="character" w:customStyle="1" w:styleId="CommentTextChar">
    <w:name w:val="Comment Text Char"/>
    <w:basedOn w:val="DefaultParagraphFont"/>
    <w:link w:val="CommentText"/>
    <w:rsid w:val="006747D8"/>
    <w:rPr>
      <w:rFonts w:asciiTheme="minorHAnsi" w:hAnsiTheme="minorHAnsi"/>
      <w:lang w:val="en-GB" w:eastAsia="en-US"/>
    </w:rPr>
  </w:style>
  <w:style w:type="paragraph" w:styleId="CommentSubject">
    <w:name w:val="annotation subject"/>
    <w:basedOn w:val="CommentText"/>
    <w:next w:val="CommentText"/>
    <w:link w:val="CommentSubjectChar"/>
    <w:semiHidden/>
    <w:unhideWhenUsed/>
    <w:rsid w:val="006747D8"/>
    <w:rPr>
      <w:b/>
      <w:bCs/>
    </w:rPr>
  </w:style>
  <w:style w:type="character" w:customStyle="1" w:styleId="CommentSubjectChar">
    <w:name w:val="Comment Subject Char"/>
    <w:basedOn w:val="CommentTextChar"/>
    <w:link w:val="CommentSubject"/>
    <w:semiHidden/>
    <w:rsid w:val="006747D8"/>
    <w:rPr>
      <w:rFonts w:asciiTheme="minorHAnsi" w:hAnsiTheme="minorHAnsi"/>
      <w:b/>
      <w:bCs/>
      <w:lang w:val="en-GB" w:eastAsia="en-US"/>
    </w:rPr>
  </w:style>
  <w:style w:type="paragraph" w:styleId="Revision">
    <w:name w:val="Revision"/>
    <w:hidden/>
    <w:uiPriority w:val="99"/>
    <w:semiHidden/>
    <w:rsid w:val="006747D8"/>
    <w:rPr>
      <w:rFonts w:asciiTheme="minorHAnsi" w:hAnsiTheme="minorHAnsi"/>
      <w:sz w:val="24"/>
      <w:lang w:val="en-GB" w:eastAsia="en-US"/>
    </w:rPr>
  </w:style>
  <w:style w:type="character" w:customStyle="1" w:styleId="UnresolvedMention1">
    <w:name w:val="Unresolved Mention1"/>
    <w:basedOn w:val="DefaultParagraphFont"/>
    <w:uiPriority w:val="99"/>
    <w:semiHidden/>
    <w:unhideWhenUsed/>
    <w:rsid w:val="006449A5"/>
    <w:rPr>
      <w:color w:val="605E5C"/>
      <w:shd w:val="clear" w:color="auto" w:fill="E1DFDD"/>
    </w:rPr>
  </w:style>
  <w:style w:type="paragraph" w:customStyle="1" w:styleId="CEOAgendaItemN">
    <w:name w:val="CEO_AgendaItemN°"/>
    <w:basedOn w:val="Normal"/>
    <w:rsid w:val="00BF4F16"/>
    <w:pPr>
      <w:tabs>
        <w:tab w:val="clear" w:pos="1134"/>
        <w:tab w:val="clear" w:pos="1871"/>
        <w:tab w:val="clear" w:pos="2268"/>
      </w:tabs>
      <w:overflowPunct/>
      <w:autoSpaceDE/>
      <w:autoSpaceDN/>
      <w:adjustRightInd/>
      <w:spacing w:before="60" w:after="60"/>
      <w:ind w:right="12"/>
      <w:jc w:val="right"/>
      <w:textAlignment w:val="auto"/>
    </w:pPr>
    <w:rPr>
      <w:rFonts w:ascii="Verdana" w:eastAsia="SimHei" w:hAnsi="Verdana" w:cs="Simplified Arabic"/>
      <w:bCs/>
      <w:sz w:val="19"/>
      <w:szCs w:val="19"/>
      <w:lang w:val="en-US"/>
    </w:rPr>
  </w:style>
  <w:style w:type="character" w:customStyle="1" w:styleId="enumlev1Char">
    <w:name w:val="enumlev1 Char"/>
    <w:link w:val="enumlev1"/>
    <w:qFormat/>
    <w:rsid w:val="00A62F73"/>
    <w:rPr>
      <w:rFonts w:asciiTheme="minorHAnsi" w:hAnsiTheme="minorHAnsi"/>
      <w:sz w:val="24"/>
      <w:lang w:val="en-GB" w:eastAsia="en-US"/>
    </w:rPr>
  </w:style>
  <w:style w:type="character" w:customStyle="1" w:styleId="UnresolvedMention2">
    <w:name w:val="Unresolved Mention2"/>
    <w:basedOn w:val="DefaultParagraphFont"/>
    <w:uiPriority w:val="99"/>
    <w:semiHidden/>
    <w:unhideWhenUsed/>
    <w:rsid w:val="00B7345F"/>
    <w:rPr>
      <w:color w:val="605E5C"/>
      <w:shd w:val="clear" w:color="auto" w:fill="E1DFDD"/>
    </w:rPr>
  </w:style>
  <w:style w:type="paragraph" w:styleId="HTMLPreformatted">
    <w:name w:val="HTML Preformatted"/>
    <w:basedOn w:val="Normal"/>
    <w:link w:val="HTMLPreformattedChar"/>
    <w:uiPriority w:val="99"/>
    <w:unhideWhenUsed/>
    <w:qFormat/>
    <w:rsid w:val="00636181"/>
    <w:pPr>
      <w:tabs>
        <w:tab w:val="clear" w:pos="1134"/>
        <w:tab w:val="clear" w:pos="1871"/>
        <w:tab w:val="clear" w:pos="226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spacing w:before="0"/>
      <w:textAlignment w:val="auto"/>
    </w:pPr>
    <w:rPr>
      <w:rFonts w:ascii="GulimChe" w:eastAsia="GulimChe" w:hAnsi="GulimChe"/>
      <w:szCs w:val="24"/>
      <w:lang w:val="zh-CN" w:eastAsia="zh-CN"/>
    </w:rPr>
  </w:style>
  <w:style w:type="character" w:customStyle="1" w:styleId="HTMLPreformattedChar">
    <w:name w:val="HTML Preformatted Char"/>
    <w:basedOn w:val="DefaultParagraphFont"/>
    <w:link w:val="HTMLPreformatted"/>
    <w:uiPriority w:val="99"/>
    <w:qFormat/>
    <w:rsid w:val="00636181"/>
    <w:rPr>
      <w:rFonts w:ascii="GulimChe" w:eastAsia="GulimChe" w:hAnsi="GulimChe"/>
      <w:sz w:val="24"/>
      <w:szCs w:val="24"/>
      <w:lang w:val="zh-CN"/>
    </w:rPr>
  </w:style>
  <w:style w:type="character" w:styleId="UnresolvedMention">
    <w:name w:val="Unresolved Mention"/>
    <w:basedOn w:val="DefaultParagraphFont"/>
    <w:uiPriority w:val="99"/>
    <w:semiHidden/>
    <w:unhideWhenUsed/>
    <w:rsid w:val="00D10D23"/>
    <w:rPr>
      <w:color w:val="605E5C"/>
      <w:shd w:val="clear" w:color="auto" w:fill="E1DFDD"/>
    </w:rPr>
  </w:style>
  <w:style w:type="paragraph" w:styleId="HTMLAddress">
    <w:name w:val="HTML Address"/>
    <w:basedOn w:val="Normal"/>
    <w:link w:val="HTMLAddressChar"/>
    <w:unhideWhenUsed/>
    <w:rsid w:val="0010401A"/>
    <w:pPr>
      <w:spacing w:before="0"/>
    </w:pPr>
    <w:rPr>
      <w:i/>
      <w:iCs/>
    </w:rPr>
  </w:style>
  <w:style w:type="character" w:customStyle="1" w:styleId="HTMLAddressChar">
    <w:name w:val="HTML Address Char"/>
    <w:basedOn w:val="DefaultParagraphFont"/>
    <w:link w:val="HTMLAddress"/>
    <w:rsid w:val="0010401A"/>
    <w:rPr>
      <w:rFonts w:asciiTheme="minorHAnsi" w:eastAsia="SimSun" w:hAnsiTheme="minorHAnsi"/>
      <w:i/>
      <w:iCs/>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806998">
      <w:bodyDiv w:val="1"/>
      <w:marLeft w:val="0"/>
      <w:marRight w:val="0"/>
      <w:marTop w:val="0"/>
      <w:marBottom w:val="0"/>
      <w:divBdr>
        <w:top w:val="none" w:sz="0" w:space="0" w:color="auto"/>
        <w:left w:val="none" w:sz="0" w:space="0" w:color="auto"/>
        <w:bottom w:val="none" w:sz="0" w:space="0" w:color="auto"/>
        <w:right w:val="none" w:sz="0" w:space="0" w:color="auto"/>
      </w:divBdr>
    </w:div>
    <w:div w:id="297612129">
      <w:bodyDiv w:val="1"/>
      <w:marLeft w:val="0"/>
      <w:marRight w:val="0"/>
      <w:marTop w:val="0"/>
      <w:marBottom w:val="0"/>
      <w:divBdr>
        <w:top w:val="none" w:sz="0" w:space="0" w:color="auto"/>
        <w:left w:val="none" w:sz="0" w:space="0" w:color="auto"/>
        <w:bottom w:val="none" w:sz="0" w:space="0" w:color="auto"/>
        <w:right w:val="none" w:sz="0" w:space="0" w:color="auto"/>
      </w:divBdr>
    </w:div>
    <w:div w:id="353574869">
      <w:bodyDiv w:val="1"/>
      <w:marLeft w:val="0"/>
      <w:marRight w:val="0"/>
      <w:marTop w:val="0"/>
      <w:marBottom w:val="0"/>
      <w:divBdr>
        <w:top w:val="none" w:sz="0" w:space="0" w:color="auto"/>
        <w:left w:val="none" w:sz="0" w:space="0" w:color="auto"/>
        <w:bottom w:val="none" w:sz="0" w:space="0" w:color="auto"/>
        <w:right w:val="none" w:sz="0" w:space="0" w:color="auto"/>
      </w:divBdr>
    </w:div>
    <w:div w:id="452552559">
      <w:bodyDiv w:val="1"/>
      <w:marLeft w:val="0"/>
      <w:marRight w:val="0"/>
      <w:marTop w:val="0"/>
      <w:marBottom w:val="0"/>
      <w:divBdr>
        <w:top w:val="none" w:sz="0" w:space="0" w:color="auto"/>
        <w:left w:val="none" w:sz="0" w:space="0" w:color="auto"/>
        <w:bottom w:val="none" w:sz="0" w:space="0" w:color="auto"/>
        <w:right w:val="none" w:sz="0" w:space="0" w:color="auto"/>
      </w:divBdr>
    </w:div>
    <w:div w:id="452796831">
      <w:bodyDiv w:val="1"/>
      <w:marLeft w:val="0"/>
      <w:marRight w:val="0"/>
      <w:marTop w:val="0"/>
      <w:marBottom w:val="0"/>
      <w:divBdr>
        <w:top w:val="none" w:sz="0" w:space="0" w:color="auto"/>
        <w:left w:val="none" w:sz="0" w:space="0" w:color="auto"/>
        <w:bottom w:val="none" w:sz="0" w:space="0" w:color="auto"/>
        <w:right w:val="none" w:sz="0" w:space="0" w:color="auto"/>
      </w:divBdr>
    </w:div>
    <w:div w:id="667026217">
      <w:bodyDiv w:val="1"/>
      <w:marLeft w:val="0"/>
      <w:marRight w:val="0"/>
      <w:marTop w:val="0"/>
      <w:marBottom w:val="0"/>
      <w:divBdr>
        <w:top w:val="none" w:sz="0" w:space="0" w:color="auto"/>
        <w:left w:val="none" w:sz="0" w:space="0" w:color="auto"/>
        <w:bottom w:val="none" w:sz="0" w:space="0" w:color="auto"/>
        <w:right w:val="none" w:sz="0" w:space="0" w:color="auto"/>
      </w:divBdr>
    </w:div>
    <w:div w:id="1228954848">
      <w:bodyDiv w:val="1"/>
      <w:marLeft w:val="0"/>
      <w:marRight w:val="0"/>
      <w:marTop w:val="0"/>
      <w:marBottom w:val="0"/>
      <w:divBdr>
        <w:top w:val="none" w:sz="0" w:space="0" w:color="auto"/>
        <w:left w:val="none" w:sz="0" w:space="0" w:color="auto"/>
        <w:bottom w:val="none" w:sz="0" w:space="0" w:color="auto"/>
        <w:right w:val="none" w:sz="0" w:space="0" w:color="auto"/>
      </w:divBdr>
    </w:div>
    <w:div w:id="1633516485">
      <w:bodyDiv w:val="1"/>
      <w:marLeft w:val="0"/>
      <w:marRight w:val="0"/>
      <w:marTop w:val="0"/>
      <w:marBottom w:val="0"/>
      <w:divBdr>
        <w:top w:val="none" w:sz="0" w:space="0" w:color="auto"/>
        <w:left w:val="none" w:sz="0" w:space="0" w:color="auto"/>
        <w:bottom w:val="none" w:sz="0" w:space="0" w:color="auto"/>
        <w:right w:val="none" w:sz="0" w:space="0" w:color="auto"/>
      </w:divBdr>
    </w:div>
    <w:div w:id="1945571481">
      <w:bodyDiv w:val="1"/>
      <w:marLeft w:val="0"/>
      <w:marRight w:val="0"/>
      <w:marTop w:val="0"/>
      <w:marBottom w:val="0"/>
      <w:divBdr>
        <w:top w:val="none" w:sz="0" w:space="0" w:color="auto"/>
        <w:left w:val="none" w:sz="0" w:space="0" w:color="auto"/>
        <w:bottom w:val="none" w:sz="0" w:space="0" w:color="auto"/>
        <w:right w:val="none" w:sz="0" w:space="0" w:color="auto"/>
      </w:divBdr>
    </w:div>
    <w:div w:id="2000844044">
      <w:bodyDiv w:val="1"/>
      <w:marLeft w:val="0"/>
      <w:marRight w:val="0"/>
      <w:marTop w:val="0"/>
      <w:marBottom w:val="0"/>
      <w:divBdr>
        <w:top w:val="none" w:sz="0" w:space="0" w:color="auto"/>
        <w:left w:val="none" w:sz="0" w:space="0" w:color="auto"/>
        <w:bottom w:val="none" w:sz="0" w:space="0" w:color="auto"/>
        <w:right w:val="none" w:sz="0" w:space="0" w:color="auto"/>
      </w:divBdr>
    </w:div>
    <w:div w:id="2108844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4/relationships/chartEx" Target="charts/chartEx1.xml"/><Relationship Id="rId18" Type="http://schemas.microsoft.com/office/2014/relationships/chartEx" Target="charts/chartEx2.xml"/><Relationship Id="rId26" Type="http://schemas.openxmlformats.org/officeDocument/2006/relationships/hyperlink" Target="https://www.itu.int/en/ITU-D/MembersPartners/Pages/tech-talks.aspx" TargetMode="External"/><Relationship Id="rId3" Type="http://schemas.openxmlformats.org/officeDocument/2006/relationships/customXml" Target="../customXml/item3.xml"/><Relationship Id="rId21" Type="http://schemas.openxmlformats.org/officeDocument/2006/relationships/hyperlink" Target="https://www.itu.int/itu-d/sites/membership/wp-content/uploads/sites/50/2025/06/IAGDI-CRO-2025-06-Chairman-Report-1.pdf" TargetMode="External"/><Relationship Id="rId7" Type="http://schemas.openxmlformats.org/officeDocument/2006/relationships/settings" Target="settings.xml"/><Relationship Id="rId12" Type="http://schemas.openxmlformats.org/officeDocument/2006/relationships/chart" Target="charts/chart1.xml"/><Relationship Id="rId17" Type="http://schemas.openxmlformats.org/officeDocument/2006/relationships/hyperlink" Target="https://www.itu.int/hub/membership/our-members/exempted-entities/exemption-criteria/" TargetMode="External"/><Relationship Id="rId25" Type="http://schemas.openxmlformats.org/officeDocument/2006/relationships/hyperlink" Target="https://www.itu.int/itu-d/sites/membership/wp-content/uploads/sites/50/2025/09/2025-Chairmans-Report-IAGDI_CRO-GSR-Rev_final_revised.pdf" TargetMode="External"/><Relationship Id="rId2" Type="http://schemas.openxmlformats.org/officeDocument/2006/relationships/customXml" Target="../customXml/item2.xml"/><Relationship Id="rId16" Type="http://schemas.openxmlformats.org/officeDocument/2006/relationships/hyperlink" Target="https://www.itu.int/md/D26-TDAG33-INF-0002/" TargetMode="External"/><Relationship Id="rId20" Type="http://schemas.openxmlformats.org/officeDocument/2006/relationships/hyperlink" Target="https://www.itu.int/itu-d/sites/membership/wp-content/uploads/sites/50/2025/06/IAGDI-CRO-2025-06-Chairman-Report-1.pdf"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www.itu.int/itu-d/sites/membership/wp-content/uploads/sites/50/2025/09/IAGDICRO-2025-Final-outcome-statement_1-Sept-2025final.pdf" TargetMode="External"/><Relationship Id="rId5" Type="http://schemas.openxmlformats.org/officeDocument/2006/relationships/numbering" Target="numbering.xml"/><Relationship Id="rId15" Type="http://schemas.openxmlformats.org/officeDocument/2006/relationships/hyperlink" Target="https://www.itu.int/md/D26-TDAG33-INF-0002/" TargetMode="External"/><Relationship Id="rId23" Type="http://schemas.openxmlformats.org/officeDocument/2006/relationships/hyperlink" Target="https://www.itu.int/en/ITU-D/MembersPartners/Pages/tech-talks.aspx" TargetMode="External"/><Relationship Id="rId28"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image" Target="media/image3.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hyperlink" Target="https://www.itu.int/itu-d/sites/membership/wp-content/uploads/sites/50/2025/09/2025-Chairmans-Report-IAGDI_CRO-GSR-Rev_final_revised.pdf" TargetMode="External"/><Relationship Id="rId27" Type="http://schemas.openxmlformats.org/officeDocument/2006/relationships/header" Target="header1.xm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mailto:marco.obiso@itu.int"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Ex1.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Microsoft_Excel_Worksheet1.xlsx"/></Relationships>
</file>

<file path=word/charts/_rels/chartEx2.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Microsoft_Excel_Worksheet2.xlsx"/><Relationship Id="rId4"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050" b="1" i="0" u="none" strike="noStrike" kern="1200" spc="0" baseline="0">
                <a:solidFill>
                  <a:sysClr val="windowText" lastClr="000000"/>
                </a:solidFill>
                <a:latin typeface="+mn-lt"/>
                <a:ea typeface="+mn-ea"/>
                <a:cs typeface="+mn-cs"/>
              </a:defRPr>
            </a:pPr>
            <a:r>
              <a:rPr lang="zh-CN" altLang="en-US" sz="1050" b="1" i="0" u="none" strike="noStrike" baseline="0">
                <a:effectLst/>
                <a:latin typeface="Calibri" panose="020F0502020204030204" pitchFamily="34" charset="0"/>
                <a:ea typeface="SimSun" panose="02010600030101010101" pitchFamily="2" charset="-122"/>
                <a:cs typeface="Calibri" panose="020F0502020204030204" pitchFamily="34" charset="0"/>
              </a:rPr>
              <a:t>图</a:t>
            </a:r>
            <a:r>
              <a:rPr lang="en-US" altLang="zh-CN" sz="1050" b="1" i="0" u="none" strike="noStrike" baseline="0">
                <a:effectLst/>
                <a:latin typeface="Calibri" panose="020F0502020204030204" pitchFamily="34" charset="0"/>
                <a:ea typeface="Calibri" panose="020F0502020204030204" pitchFamily="34" charset="0"/>
                <a:cs typeface="Calibri" panose="020F0502020204030204" pitchFamily="34" charset="0"/>
              </a:rPr>
              <a:t>1. ITU-D</a:t>
            </a:r>
            <a:r>
              <a:rPr lang="zh-CN" altLang="en-US" sz="1050" b="1" i="0" u="none" strike="noStrike" baseline="0">
                <a:effectLst/>
                <a:latin typeface="Calibri" panose="020F0502020204030204" pitchFamily="34" charset="0"/>
                <a:ea typeface="SimSun" panose="02010600030101010101" pitchFamily="2" charset="-122"/>
                <a:cs typeface="Calibri" panose="020F0502020204030204" pitchFamily="34" charset="0"/>
              </a:rPr>
              <a:t>成员的变化情况</a:t>
            </a:r>
            <a:endParaRPr lang="en-GB" sz="1050" b="1">
              <a:solidFill>
                <a:sysClr val="windowText" lastClr="000000"/>
              </a:solidFill>
              <a:latin typeface="Calibri" panose="020F0502020204030204" pitchFamily="34" charset="0"/>
              <a:ea typeface="Calibri" panose="020F0502020204030204" pitchFamily="34" charset="0"/>
              <a:cs typeface="Calibri" panose="020F0502020204030204" pitchFamily="34" charset="0"/>
            </a:endParaRPr>
          </a:p>
        </c:rich>
      </c:tx>
      <c:overlay val="0"/>
      <c:spPr>
        <a:noFill/>
        <a:ln>
          <a:noFill/>
        </a:ln>
        <a:effectLst/>
      </c:spPr>
      <c:txPr>
        <a:bodyPr rot="0" spcFirstLastPara="1" vertOverflow="ellipsis" vert="horz" wrap="square" anchor="ctr" anchorCtr="1"/>
        <a:lstStyle/>
        <a:p>
          <a:pPr>
            <a:defRPr sz="1050" b="1" i="0" u="none" strike="noStrike" kern="1200" spc="0" baseline="0">
              <a:solidFill>
                <a:sysClr val="windowText" lastClr="000000"/>
              </a:solidFill>
              <a:latin typeface="+mn-lt"/>
              <a:ea typeface="+mn-ea"/>
              <a:cs typeface="+mn-cs"/>
            </a:defRPr>
          </a:pPr>
          <a:endParaRPr lang="en-GB"/>
        </a:p>
      </c:txPr>
    </c:title>
    <c:autoTitleDeleted val="0"/>
    <c:plotArea>
      <c:layout>
        <c:manualLayout>
          <c:layoutTarget val="inner"/>
          <c:xMode val="edge"/>
          <c:yMode val="edge"/>
          <c:x val="9.1761325323566373E-2"/>
          <c:y val="9.0135287143161158E-2"/>
          <c:w val="0.65543641294390753"/>
          <c:h val="0.77166377879645265"/>
        </c:manualLayout>
      </c:layout>
      <c:barChart>
        <c:barDir val="col"/>
        <c:grouping val="stacked"/>
        <c:varyColors val="0"/>
        <c:ser>
          <c:idx val="3"/>
          <c:order val="0"/>
          <c:tx>
            <c:strRef>
              <c:f>Sheet1!$D$1</c:f>
              <c:strCache>
                <c:ptCount val="1"/>
                <c:pt idx="0">
                  <c:v>所属学术成员</c:v>
                </c:pt>
              </c:strCache>
            </c:strRef>
          </c:tx>
          <c:spPr>
            <a:solidFill>
              <a:srgbClr val="F5BB64"/>
            </a:solidFill>
            <a:ln w="25400">
              <a:noFill/>
            </a:ln>
            <a:effectLst/>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0-76B6-4657-BAA2-F7D1EEA1EBC0}"/>
                </c:ext>
              </c:extLst>
            </c:dLbl>
            <c:dLbl>
              <c:idx val="4"/>
              <c:delete val="1"/>
              <c:extLst>
                <c:ext xmlns:c15="http://schemas.microsoft.com/office/drawing/2012/chart" uri="{CE6537A1-D6FC-4f65-9D91-7224C49458BB}"/>
                <c:ext xmlns:c16="http://schemas.microsoft.com/office/drawing/2014/chart" uri="{C3380CC4-5D6E-409C-BE32-E72D297353CC}">
                  <c16:uniqueId val="{00000001-76B6-4657-BAA2-F7D1EEA1EBC0}"/>
                </c:ext>
              </c:extLst>
            </c:dLbl>
            <c:dLbl>
              <c:idx val="8"/>
              <c:delete val="1"/>
              <c:extLst>
                <c:ext xmlns:c15="http://schemas.microsoft.com/office/drawing/2012/chart" uri="{CE6537A1-D6FC-4f65-9D91-7224C49458BB}"/>
                <c:ext xmlns:c16="http://schemas.microsoft.com/office/drawing/2014/chart" uri="{C3380CC4-5D6E-409C-BE32-E72D297353CC}">
                  <c16:uniqueId val="{00000002-76B6-4657-BAA2-F7D1EEA1EBC0}"/>
                </c:ext>
              </c:extLst>
            </c:dLbl>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Sheet1!$A$2:$A$11</c:f>
              <c:strCache>
                <c:ptCount val="9"/>
                <c:pt idx="0">
                  <c:v>2023</c:v>
                </c:pt>
                <c:pt idx="4">
                  <c:v>2024</c:v>
                </c:pt>
                <c:pt idx="8">
                  <c:v>2025</c:v>
                </c:pt>
              </c:strCache>
            </c:strRef>
          </c:cat>
          <c:val>
            <c:numRef>
              <c:f>Sheet1!$D$2:$D$11</c:f>
              <c:numCache>
                <c:formatCode>General</c:formatCode>
                <c:ptCount val="10"/>
                <c:pt idx="0">
                  <c:v>0</c:v>
                </c:pt>
                <c:pt idx="1">
                  <c:v>169</c:v>
                </c:pt>
                <c:pt idx="4">
                  <c:v>0</c:v>
                </c:pt>
                <c:pt idx="5">
                  <c:v>171</c:v>
                </c:pt>
                <c:pt idx="8">
                  <c:v>0</c:v>
                </c:pt>
                <c:pt idx="9">
                  <c:v>181</c:v>
                </c:pt>
              </c:numCache>
            </c:numRef>
          </c:val>
          <c:extLst>
            <c:ext xmlns:c16="http://schemas.microsoft.com/office/drawing/2014/chart" uri="{C3380CC4-5D6E-409C-BE32-E72D297353CC}">
              <c16:uniqueId val="{00000003-76B6-4657-BAA2-F7D1EEA1EBC0}"/>
            </c:ext>
          </c:extLst>
        </c:ser>
        <c:ser>
          <c:idx val="0"/>
          <c:order val="1"/>
          <c:tx>
            <c:strRef>
              <c:f>Sheet1!$B$1</c:f>
              <c:strCache>
                <c:ptCount val="1"/>
                <c:pt idx="0">
                  <c:v>部门成员</c:v>
                </c:pt>
              </c:strCache>
            </c:strRef>
          </c:tx>
          <c:spPr>
            <a:solidFill>
              <a:schemeClr val="accent1"/>
            </a:solidFill>
            <a:ln>
              <a:noFill/>
            </a:ln>
            <a:effectLst/>
          </c:spPr>
          <c:invertIfNegative val="0"/>
          <c:dPt>
            <c:idx val="2"/>
            <c:invertIfNegative val="0"/>
            <c:bubble3D val="0"/>
            <c:spPr>
              <a:solidFill>
                <a:srgbClr val="009CD6">
                  <a:alpha val="33000"/>
                </a:srgbClr>
              </a:solidFill>
              <a:ln>
                <a:noFill/>
              </a:ln>
              <a:effectLst/>
            </c:spPr>
            <c:extLst>
              <c:ext xmlns:c16="http://schemas.microsoft.com/office/drawing/2014/chart" uri="{C3380CC4-5D6E-409C-BE32-E72D297353CC}">
                <c16:uniqueId val="{00000005-76B6-4657-BAA2-F7D1EEA1EBC0}"/>
              </c:ext>
            </c:extLst>
          </c:dPt>
          <c:dLbls>
            <c:dLbl>
              <c:idx val="0"/>
              <c:tx>
                <c:rich>
                  <a:bodyPr/>
                  <a:lstStyle/>
                  <a:p>
                    <a:r>
                      <a:rPr lang="en-US">
                        <a:solidFill>
                          <a:schemeClr val="bg1"/>
                        </a:solidFill>
                      </a:rPr>
                      <a:t>310</a:t>
                    </a:r>
                  </a:p>
                </c:rich>
              </c:tx>
              <c:dLblPos val="ct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6-76B6-4657-BAA2-F7D1EEA1EBC0}"/>
                </c:ext>
              </c:extLst>
            </c:dLbl>
            <c:dLbl>
              <c:idx val="4"/>
              <c:tx>
                <c:rich>
                  <a:bodyPr/>
                  <a:lstStyle/>
                  <a:p>
                    <a:r>
                      <a:rPr lang="en-US">
                        <a:solidFill>
                          <a:schemeClr val="bg1"/>
                        </a:solidFill>
                      </a:rPr>
                      <a:t>329</a:t>
                    </a:r>
                  </a:p>
                </c:rich>
              </c:tx>
              <c:dLblPos val="ct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7-76B6-4657-BAA2-F7D1EEA1EBC0}"/>
                </c:ext>
              </c:extLst>
            </c:dLbl>
            <c:dLbl>
              <c:idx val="8"/>
              <c:tx>
                <c:rich>
                  <a:bodyPr/>
                  <a:lstStyle/>
                  <a:p>
                    <a:fld id="{935ABB7B-69C2-455A-85DF-7EE21808C807}" type="VALUE">
                      <a:rPr lang="en-US">
                        <a:solidFill>
                          <a:schemeClr val="bg1"/>
                        </a:solidFill>
                      </a:rPr>
                      <a:pPr/>
                      <a:t>[VALUE]</a:t>
                    </a:fld>
                    <a:endParaRPr lang="en-GB"/>
                  </a:p>
                </c:rich>
              </c:tx>
              <c:dLblPos val="ct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8-76B6-4657-BAA2-F7D1EEA1EBC0}"/>
                </c:ext>
              </c:extLst>
            </c:dLbl>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Sheet1!$A$2:$A$11</c:f>
              <c:strCache>
                <c:ptCount val="9"/>
                <c:pt idx="0">
                  <c:v>2023</c:v>
                </c:pt>
                <c:pt idx="4">
                  <c:v>2024</c:v>
                </c:pt>
                <c:pt idx="8">
                  <c:v>2025</c:v>
                </c:pt>
              </c:strCache>
            </c:strRef>
          </c:cat>
          <c:val>
            <c:numRef>
              <c:f>Sheet1!$B$2:$B$11</c:f>
              <c:numCache>
                <c:formatCode>General</c:formatCode>
                <c:ptCount val="10"/>
                <c:pt idx="0">
                  <c:v>310</c:v>
                </c:pt>
                <c:pt idx="4">
                  <c:v>329</c:v>
                </c:pt>
                <c:pt idx="8">
                  <c:v>345</c:v>
                </c:pt>
              </c:numCache>
            </c:numRef>
          </c:val>
          <c:extLst>
            <c:ext xmlns:c16="http://schemas.microsoft.com/office/drawing/2014/chart" uri="{C3380CC4-5D6E-409C-BE32-E72D297353CC}">
              <c16:uniqueId val="{00000009-76B6-4657-BAA2-F7D1EEA1EBC0}"/>
            </c:ext>
          </c:extLst>
        </c:ser>
        <c:ser>
          <c:idx val="1"/>
          <c:order val="2"/>
          <c:tx>
            <c:strRef>
              <c:f>Sheet1!$C$1</c:f>
              <c:strCache>
                <c:ptCount val="1"/>
                <c:pt idx="0">
                  <c:v>部门准成员</c:v>
                </c:pt>
              </c:strCache>
            </c:strRef>
          </c:tx>
          <c:spPr>
            <a:solidFill>
              <a:schemeClr val="accent2"/>
            </a:solidFill>
            <a:ln>
              <a:noFill/>
            </a:ln>
            <a:effectLst/>
          </c:spPr>
          <c:invertIfNegative val="0"/>
          <c:dPt>
            <c:idx val="2"/>
            <c:invertIfNegative val="0"/>
            <c:bubble3D val="0"/>
            <c:spPr>
              <a:solidFill>
                <a:schemeClr val="accent2">
                  <a:alpha val="75000"/>
                </a:schemeClr>
              </a:solidFill>
              <a:ln>
                <a:noFill/>
              </a:ln>
              <a:effectLst/>
            </c:spPr>
            <c:extLst>
              <c:ext xmlns:c16="http://schemas.microsoft.com/office/drawing/2014/chart" uri="{C3380CC4-5D6E-409C-BE32-E72D297353CC}">
                <c16:uniqueId val="{0000000B-76B6-4657-BAA2-F7D1EEA1EBC0}"/>
              </c:ext>
            </c:extLst>
          </c:dPt>
          <c:dLbls>
            <c:spPr>
              <a:noFill/>
              <a:ln>
                <a:noFill/>
              </a:ln>
              <a:effectLst/>
            </c:spPr>
            <c:txPr>
              <a:bodyPr rot="0" spcFirstLastPara="1" vertOverflow="ellipsis" vert="horz" wrap="square" anchor="ctr" anchorCtr="1"/>
              <a:lstStyle/>
              <a:p>
                <a:pPr>
                  <a:defRPr sz="800" b="0"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Sheet1!$A$2:$A$11</c:f>
              <c:strCache>
                <c:ptCount val="9"/>
                <c:pt idx="0">
                  <c:v>2023</c:v>
                </c:pt>
                <c:pt idx="4">
                  <c:v>2024</c:v>
                </c:pt>
                <c:pt idx="8">
                  <c:v>2025</c:v>
                </c:pt>
              </c:strCache>
            </c:strRef>
          </c:cat>
          <c:val>
            <c:numRef>
              <c:f>Sheet1!$C$2:$C$11</c:f>
              <c:numCache>
                <c:formatCode>General</c:formatCode>
                <c:ptCount val="10"/>
                <c:pt idx="0">
                  <c:v>19</c:v>
                </c:pt>
                <c:pt idx="4">
                  <c:v>20</c:v>
                </c:pt>
                <c:pt idx="8">
                  <c:v>24</c:v>
                </c:pt>
              </c:numCache>
            </c:numRef>
          </c:val>
          <c:extLst>
            <c:ext xmlns:c16="http://schemas.microsoft.com/office/drawing/2014/chart" uri="{C3380CC4-5D6E-409C-BE32-E72D297353CC}">
              <c16:uniqueId val="{0000000C-76B6-4657-BAA2-F7D1EEA1EBC0}"/>
            </c:ext>
          </c:extLst>
        </c:ser>
        <c:dLbls>
          <c:showLegendKey val="0"/>
          <c:showVal val="0"/>
          <c:showCatName val="0"/>
          <c:showSerName val="0"/>
          <c:showPercent val="0"/>
          <c:showBubbleSize val="0"/>
        </c:dLbls>
        <c:gapWidth val="7"/>
        <c:overlap val="100"/>
        <c:axId val="2127026784"/>
        <c:axId val="692711344"/>
      </c:barChart>
      <c:lineChart>
        <c:grouping val="standard"/>
        <c:varyColors val="0"/>
        <c:ser>
          <c:idx val="2"/>
          <c:order val="3"/>
          <c:tx>
            <c:strRef>
              <c:f>Sheet1!$E$1</c:f>
              <c:strCache>
                <c:ptCount val="1"/>
                <c:pt idx="0">
                  <c:v>Sum</c:v>
                </c:pt>
              </c:strCache>
            </c:strRef>
          </c:tx>
          <c:spPr>
            <a:ln w="28575" cap="rnd">
              <a:noFill/>
              <a:round/>
            </a:ln>
            <a:effectLst/>
          </c:spPr>
          <c:marker>
            <c:symbol val="none"/>
          </c:marker>
          <c:dLbls>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Sheet1!$A$2:$A$11</c:f>
              <c:strCache>
                <c:ptCount val="9"/>
                <c:pt idx="0">
                  <c:v>2023</c:v>
                </c:pt>
                <c:pt idx="4">
                  <c:v>2024</c:v>
                </c:pt>
                <c:pt idx="8">
                  <c:v>2025</c:v>
                </c:pt>
              </c:strCache>
            </c:strRef>
          </c:cat>
          <c:val>
            <c:numRef>
              <c:f>Sheet1!$E$2:$E$11</c:f>
              <c:numCache>
                <c:formatCode>General</c:formatCode>
                <c:ptCount val="10"/>
                <c:pt idx="0">
                  <c:v>329</c:v>
                </c:pt>
                <c:pt idx="4">
                  <c:v>349</c:v>
                </c:pt>
                <c:pt idx="8">
                  <c:v>369</c:v>
                </c:pt>
              </c:numCache>
            </c:numRef>
          </c:val>
          <c:smooth val="0"/>
          <c:extLst>
            <c:ext xmlns:c16="http://schemas.microsoft.com/office/drawing/2014/chart" uri="{C3380CC4-5D6E-409C-BE32-E72D297353CC}">
              <c16:uniqueId val="{0000000D-76B6-4657-BAA2-F7D1EEA1EBC0}"/>
            </c:ext>
          </c:extLst>
        </c:ser>
        <c:dLbls>
          <c:showLegendKey val="0"/>
          <c:showVal val="0"/>
          <c:showCatName val="0"/>
          <c:showSerName val="0"/>
          <c:showPercent val="0"/>
          <c:showBubbleSize val="0"/>
        </c:dLbls>
        <c:marker val="1"/>
        <c:smooth val="0"/>
        <c:axId val="2127026784"/>
        <c:axId val="692711344"/>
      </c:lineChart>
      <c:catAx>
        <c:axId val="2127026784"/>
        <c:scaling>
          <c:orientation val="minMax"/>
        </c:scaling>
        <c:delete val="0"/>
        <c:axPos val="b"/>
        <c:numFmt formatCode="General" sourceLinked="1"/>
        <c:majorTickMark val="none"/>
        <c:minorTickMark val="none"/>
        <c:tickLblPos val="nextTo"/>
        <c:spPr>
          <a:noFill/>
          <a:ln w="9525" cap="flat" cmpd="sng" algn="ctr">
            <a:solidFill>
              <a:srgbClr val="6F6F6E"/>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692711344"/>
        <c:crosses val="autoZero"/>
        <c:auto val="1"/>
        <c:lblAlgn val="ctr"/>
        <c:lblOffset val="100"/>
        <c:noMultiLvlLbl val="0"/>
      </c:catAx>
      <c:valAx>
        <c:axId val="692711344"/>
        <c:scaling>
          <c:orientation val="minMax"/>
          <c:max val="450"/>
          <c:min val="0"/>
        </c:scaling>
        <c:delete val="0"/>
        <c:axPos val="l"/>
        <c:numFmt formatCode="General" sourceLinked="1"/>
        <c:majorTickMark val="none"/>
        <c:minorTickMark val="none"/>
        <c:tickLblPos val="nextTo"/>
        <c:spPr>
          <a:noFill/>
          <a:ln>
            <a:solidFill>
              <a:srgbClr val="6F6F6E"/>
            </a:solid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2127026784"/>
        <c:crosses val="autoZero"/>
        <c:crossBetween val="between"/>
      </c:valAx>
      <c:spPr>
        <a:noFill/>
        <a:ln>
          <a:noFill/>
        </a:ln>
        <a:effectLst/>
      </c:spPr>
    </c:plotArea>
    <c:legend>
      <c:legendPos val="r"/>
      <c:legendEntry>
        <c:idx val="3"/>
        <c:delete val="1"/>
      </c:legendEntry>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800">
          <a:latin typeface="+mn-lt"/>
        </a:defRPr>
      </a:pPr>
      <a:endParaRPr lang="en-US"/>
    </a:p>
  </c:txPr>
  <c:externalData r:id="rId4">
    <c:autoUpdate val="0"/>
  </c:externalData>
</c:chartSpace>
</file>

<file path=word/charts/chartEx1.xml><?xml version="1.0" encoding="utf-8"?>
<cx:chartSpace xmlns:a="http://schemas.openxmlformats.org/drawingml/2006/main" xmlns:r="http://schemas.openxmlformats.org/officeDocument/2006/relationships" xmlns:cx="http://schemas.microsoft.com/office/drawing/2014/chartex">
  <cx:chartData>
    <cx:externalData r:id="rId1" cx:autoUpdate="0"/>
    <cx:data id="0">
      <cx:strDim type="cat">
        <cx:f>Sheet1!$A$2:$A$11</cx:f>
        <cx:lvl ptCount="10">
          <cx:pt idx="0">2022</cx:pt>
          <cx:pt idx="1">g 2023</cx:pt>
          <cx:pt idx="2">l 2023</cx:pt>
          <cx:pt idx="3">2023</cx:pt>
          <cx:pt idx="4">G 2024</cx:pt>
          <cx:pt idx="5">L 2024</cx:pt>
          <cx:pt idx="6">2024</cx:pt>
          <cx:pt idx="7">G 2025</cx:pt>
          <cx:pt idx="8">L 2025</cx:pt>
          <cx:pt idx="9">2025</cx:pt>
        </cx:lvl>
      </cx:strDim>
      <cx:numDim type="val">
        <cx:f>Sheet1!$B$2:$B$11</cx:f>
        <cx:lvl ptCount="10" formatCode="General">
          <cx:pt idx="0">316</cx:pt>
          <cx:pt idx="1">27</cx:pt>
          <cx:pt idx="2">-14</cx:pt>
          <cx:pt idx="3">329</cx:pt>
          <cx:pt idx="4">28</cx:pt>
          <cx:pt idx="5">-8</cx:pt>
          <cx:pt idx="6">349</cx:pt>
          <cx:pt idx="7">33</cx:pt>
          <cx:pt idx="8">-13</cx:pt>
          <cx:pt idx="9">369</cx:pt>
        </cx:lvl>
      </cx:numDim>
    </cx:data>
  </cx:chartData>
  <cx:chart>
    <cx:title pos="t" align="ctr" overlay="0">
      <cx:tx>
        <cx:rich>
          <a:bodyPr spcFirstLastPara="1" vertOverflow="ellipsis" horzOverflow="overflow" wrap="square" lIns="0" tIns="0" rIns="0" bIns="0" anchor="ctr" anchorCtr="1"/>
          <a:lstStyle/>
          <a:p>
            <a:pPr hangingPunct="0"/>
            <a:r>
              <a:rPr lang="zh-CN" sz="1100" b="1">
                <a:effectLst/>
                <a:latin typeface="+mn-lt"/>
                <a:ea typeface="+mn-ea"/>
              </a:rPr>
              <a:t>图2. ITU-D部门成员和部门准成员自2022年底以来的变动情况</a:t>
            </a:r>
            <a:endParaRPr lang="en-GB" sz="1100">
              <a:effectLst/>
              <a:latin typeface="+mn-lt"/>
              <a:ea typeface="+mn-ea"/>
            </a:endParaRPr>
          </a:p>
        </cx:rich>
      </cx:tx>
    </cx:title>
    <cx:plotArea>
      <cx:plotAreaRegion>
        <cx:series layoutId="waterfall" uniqueId="{0E71AF3E-53DA-4F16-BDB1-BD4189E24036}">
          <cx:tx>
            <cx:txData>
              <cx:f>Sheet1!$B$1</cx:f>
              <cx:v>Series1</cx:v>
            </cx:txData>
          </cx:tx>
          <cx:dataPt idx="0">
            <cx:spPr>
              <a:solidFill>
                <a:srgbClr val="00B0F0"/>
              </a:solidFill>
            </cx:spPr>
          </cx:dataPt>
          <cx:dataPt idx="1">
            <cx:spPr>
              <a:solidFill>
                <a:srgbClr val="70AD47"/>
              </a:solidFill>
            </cx:spPr>
          </cx:dataPt>
          <cx:dataPt idx="2">
            <cx:spPr>
              <a:solidFill>
                <a:srgbClr val="FF0000"/>
              </a:solidFill>
            </cx:spPr>
          </cx:dataPt>
          <cx:dataPt idx="3">
            <cx:spPr>
              <a:solidFill>
                <a:srgbClr val="00B0F0"/>
              </a:solidFill>
            </cx:spPr>
          </cx:dataPt>
          <cx:dataPt idx="4">
            <cx:spPr>
              <a:solidFill>
                <a:srgbClr val="70AD47"/>
              </a:solidFill>
            </cx:spPr>
          </cx:dataPt>
          <cx:dataPt idx="5">
            <cx:spPr>
              <a:solidFill>
                <a:srgbClr val="FF0000"/>
              </a:solidFill>
            </cx:spPr>
          </cx:dataPt>
          <cx:dataPt idx="6">
            <cx:spPr>
              <a:solidFill>
                <a:srgbClr val="00B0F0"/>
              </a:solidFill>
            </cx:spPr>
          </cx:dataPt>
          <cx:dataPt idx="7">
            <cx:spPr>
              <a:solidFill>
                <a:srgbClr val="70AD47"/>
              </a:solidFill>
            </cx:spPr>
          </cx:dataPt>
          <cx:dataPt idx="8">
            <cx:spPr>
              <a:solidFill>
                <a:srgbClr val="FF0000"/>
              </a:solidFill>
            </cx:spPr>
          </cx:dataPt>
          <cx:dataPt idx="9">
            <cx:spPr>
              <a:solidFill>
                <a:srgbClr val="00B0F0"/>
              </a:solidFill>
            </cx:spPr>
          </cx:dataPt>
          <cx:dataLabels pos="outEnd">
            <cx:txPr>
              <a:bodyPr vertOverflow="overflow" horzOverflow="overflow" wrap="square" lIns="0" tIns="0" rIns="0" bIns="0"/>
              <a:lstStyle/>
              <a:p>
                <a:pPr algn="ctr" rtl="0">
                  <a:defRPr sz="900" b="0" i="0">
                    <a:solidFill>
                      <a:srgbClr val="595959"/>
                    </a:solidFill>
                    <a:latin typeface="+mn-lt"/>
                    <a:ea typeface="Calibri" panose="020F0502020204030204" pitchFamily="34" charset="0"/>
                    <a:cs typeface="Calibri" panose="020F0502020204030204" pitchFamily="34" charset="0"/>
                  </a:defRPr>
                </a:pPr>
                <a:endParaRPr lang="en-GB">
                  <a:latin typeface="+mn-lt"/>
                </a:endParaRPr>
              </a:p>
            </cx:txPr>
            <cx:visibility seriesName="0" categoryName="0" value="1"/>
            <cx:separator>, </cx:separator>
          </cx:dataLabels>
          <cx:dataId val="0"/>
          <cx:layoutPr>
            <cx:subtotals>
              <cx:idx val="3"/>
              <cx:idx val="6"/>
              <cx:idx val="9"/>
            </cx:subtotals>
          </cx:layoutPr>
        </cx:series>
      </cx:plotAreaRegion>
      <cx:axis id="0" hidden="1">
        <cx:catScaling gapWidth="0.5"/>
        <cx:tickLabels/>
        <cx:txPr>
          <a:bodyPr vertOverflow="overflow" horzOverflow="overflow" wrap="square" lIns="0" tIns="0" rIns="0" bIns="0"/>
          <a:lstStyle/>
          <a:p>
            <a:pPr algn="ctr" rtl="0">
              <a:defRPr sz="900" b="0" i="0">
                <a:solidFill>
                  <a:srgbClr val="595959"/>
                </a:solidFill>
                <a:latin typeface="+mn-lt"/>
                <a:ea typeface="Calibri" panose="020F0502020204030204" pitchFamily="34" charset="0"/>
                <a:cs typeface="Calibri" panose="020F0502020204030204" pitchFamily="34" charset="0"/>
              </a:defRPr>
            </a:pPr>
            <a:endParaRPr lang="en-GB">
              <a:latin typeface="+mn-lt"/>
            </a:endParaRPr>
          </a:p>
        </cx:txPr>
      </cx:axis>
      <cx:axis id="1">
        <cx:valScaling max="390" min="300"/>
        <cx:tickLabels/>
        <cx:txPr>
          <a:bodyPr vertOverflow="overflow" horzOverflow="overflow" wrap="square" lIns="0" tIns="0" rIns="0" bIns="0"/>
          <a:lstStyle/>
          <a:p>
            <a:pPr algn="ctr" rtl="0">
              <a:defRPr sz="900" b="0" i="0">
                <a:solidFill>
                  <a:srgbClr val="595959"/>
                </a:solidFill>
                <a:latin typeface="+mn-lt"/>
                <a:ea typeface="Calibri" panose="020F0502020204030204" pitchFamily="34" charset="0"/>
                <a:cs typeface="Calibri" panose="020F0502020204030204" pitchFamily="34" charset="0"/>
              </a:defRPr>
            </a:pPr>
            <a:endParaRPr lang="en-GB">
              <a:latin typeface="+mn-lt"/>
            </a:endParaRPr>
          </a:p>
        </cx:txPr>
      </cx:axis>
    </cx:plotArea>
  </cx:chart>
  <cx:spPr>
    <a:ln>
      <a:noFill/>
    </a:ln>
  </cx:spPr>
  <cx:fmtOvrs>
    <cx:fmtOvr idx="0">
      <cx:spPr>
        <a:solidFill>
          <a:srgbClr val="00B050"/>
        </a:solidFill>
      </cx:spPr>
    </cx:fmtOvr>
    <cx:fmtOvr idx="1">
      <cx:spPr>
        <a:solidFill>
          <a:srgbClr val="FA3000"/>
        </a:solidFill>
      </cx:spPr>
    </cx:fmtOvr>
    <cx:fmtOvr idx="2">
      <cx:spPr>
        <a:solidFill>
          <a:srgbClr val="00B0F0"/>
        </a:solidFill>
      </cx:spPr>
    </cx:fmtOvr>
  </cx:fmtOvrs>
</cx:chartSpace>
</file>

<file path=word/charts/chartEx2.xml><?xml version="1.0" encoding="utf-8"?>
<cx:chartSpace xmlns:a="http://schemas.openxmlformats.org/drawingml/2006/main" xmlns:r="http://schemas.openxmlformats.org/officeDocument/2006/relationships" xmlns:cx="http://schemas.microsoft.com/office/drawing/2014/chartex">
  <cx:chartData>
    <cx:externalData r:id="rId1" cx:autoUpdate="0"/>
    <cx:data id="0">
      <cx:strDim type="cat">
        <cx:f>Sheet1!$A$2:$A$11</cx:f>
        <cx:lvl ptCount="10">
          <cx:pt idx="0">members 2022</cx:pt>
          <cx:pt idx="1">new members 2023</cx:pt>
          <cx:pt idx="2">lost members 2023</cx:pt>
          <cx:pt idx="3">members 2023</cx:pt>
          <cx:pt idx="4">new members 2024</cx:pt>
          <cx:pt idx="5">lost members 2024</cx:pt>
          <cx:pt idx="6">members 2024</cx:pt>
          <cx:pt idx="7">new members 2025</cx:pt>
          <cx:pt idx="8">lost members 2025</cx:pt>
          <cx:pt idx="9">members 2025</cx:pt>
        </cx:lvl>
      </cx:strDim>
      <cx:numDim type="val">
        <cx:f>Sheet1!$B$2:$B$11</cx:f>
        <cx:lvl ptCount="10" formatCode="General">
          <cx:pt idx="0">168</cx:pt>
          <cx:pt idx="1">16</cx:pt>
          <cx:pt idx="2">-15</cx:pt>
          <cx:pt idx="3">169</cx:pt>
          <cx:pt idx="4">15</cx:pt>
          <cx:pt idx="5">-13</cx:pt>
          <cx:pt idx="6">171</cx:pt>
          <cx:pt idx="7">22</cx:pt>
          <cx:pt idx="8">-12</cx:pt>
          <cx:pt idx="9">181</cx:pt>
        </cx:lvl>
      </cx:numDim>
    </cx:data>
  </cx:chartData>
  <cx:chart>
    <cx:title pos="t" align="ctr" overlay="0">
      <cx:tx>
        <cx:rich>
          <a:bodyPr spcFirstLastPara="1" vertOverflow="ellipsis" horzOverflow="overflow" wrap="square" lIns="0" tIns="0" rIns="0" bIns="0" anchor="ctr" anchorCtr="1"/>
          <a:lstStyle/>
          <a:p>
            <a:pPr algn="ctr" rtl="0">
              <a:defRPr sz="1200" b="1">
                <a:latin typeface="+mn-lt"/>
                <a:ea typeface="Avenir Nxt2 W1G" panose="020B0503020202020204" pitchFamily="34" charset="0"/>
                <a:cs typeface="Avenir Nxt2 W1G" panose="020B0503020202020204" pitchFamily="34" charset="0"/>
              </a:defRPr>
            </a:pPr>
            <a:r>
              <a:rPr lang="zh-CN" altLang="en-US" sz="1200" b="1" i="0" u="none" strike="noStrike" baseline="0">
                <a:solidFill>
                  <a:sysClr val="windowText" lastClr="000000"/>
                </a:solidFill>
                <a:effectLst/>
                <a:latin typeface="+mn-lt"/>
                <a:ea typeface="+mn-ea"/>
                <a:cs typeface="Calibri" panose="020F0502020204030204" pitchFamily="34" charset="0"/>
              </a:rPr>
              <a:t>图</a:t>
            </a:r>
            <a:r>
              <a:rPr lang="en-US" altLang="zh-CN" sz="1200" b="1" i="0" u="none" strike="noStrike" baseline="0">
                <a:solidFill>
                  <a:sysClr val="windowText" lastClr="000000"/>
                </a:solidFill>
                <a:effectLst/>
                <a:latin typeface="+mn-lt"/>
                <a:ea typeface="+mn-ea"/>
                <a:cs typeface="Calibri" panose="020F0502020204030204" pitchFamily="34" charset="0"/>
              </a:rPr>
              <a:t>3. </a:t>
            </a:r>
            <a:r>
              <a:rPr lang="zh-CN" altLang="en-US" sz="1200" b="1" i="0" u="none" strike="noStrike" baseline="0">
                <a:solidFill>
                  <a:sysClr val="windowText" lastClr="000000"/>
                </a:solidFill>
                <a:effectLst/>
                <a:latin typeface="+mn-lt"/>
                <a:ea typeface="+mn-ea"/>
                <a:cs typeface="Calibri" panose="020F0502020204030204" pitchFamily="34" charset="0"/>
              </a:rPr>
              <a:t>国际电联学术成员自</a:t>
            </a:r>
            <a:r>
              <a:rPr lang="en-US" altLang="zh-CN" sz="1200" b="1" i="0" u="none" strike="noStrike" baseline="0">
                <a:solidFill>
                  <a:sysClr val="windowText" lastClr="000000"/>
                </a:solidFill>
                <a:effectLst/>
                <a:latin typeface="+mn-lt"/>
                <a:ea typeface="+mn-ea"/>
                <a:cs typeface="Calibri" panose="020F0502020204030204" pitchFamily="34" charset="0"/>
              </a:rPr>
              <a:t>2023</a:t>
            </a:r>
            <a:r>
              <a:rPr lang="zh-CN" altLang="en-US" sz="1200" b="1" i="0" u="none" strike="noStrike" baseline="0">
                <a:solidFill>
                  <a:sysClr val="windowText" lastClr="000000"/>
                </a:solidFill>
                <a:effectLst/>
                <a:latin typeface="+mn-lt"/>
                <a:ea typeface="+mn-ea"/>
                <a:cs typeface="Calibri" panose="020F0502020204030204" pitchFamily="34" charset="0"/>
              </a:rPr>
              <a:t>年以来的变动情况</a:t>
            </a:r>
            <a:endParaRPr lang="en-US" sz="1200" b="1" i="0" u="none" strike="noStrike" baseline="0">
              <a:solidFill>
                <a:sysClr val="windowText" lastClr="000000"/>
              </a:solidFill>
              <a:latin typeface="+mn-lt"/>
              <a:ea typeface="+mn-ea"/>
            </a:endParaRPr>
          </a:p>
        </cx:rich>
      </cx:tx>
    </cx:title>
    <cx:plotArea>
      <cx:plotAreaRegion>
        <cx:series layoutId="waterfall" uniqueId="{1D96F30B-B542-4D28-9FB4-5199155E5879}">
          <cx:tx>
            <cx:txData>
              <cx:f>Sheet1!$B$1</cx:f>
              <cx:v>Series1</cx:v>
            </cx:txData>
          </cx:tx>
          <cx:dataPt idx="0">
            <cx:spPr>
              <a:solidFill>
                <a:srgbClr val="00B0F0"/>
              </a:solidFill>
            </cx:spPr>
          </cx:dataPt>
          <cx:dataPt idx="1">
            <cx:spPr>
              <a:solidFill>
                <a:srgbClr val="92D050"/>
              </a:solidFill>
            </cx:spPr>
          </cx:dataPt>
          <cx:dataPt idx="2">
            <cx:spPr>
              <a:solidFill>
                <a:srgbClr val="FA3000"/>
              </a:solidFill>
            </cx:spPr>
          </cx:dataPt>
          <cx:dataPt idx="3">
            <cx:spPr>
              <a:solidFill>
                <a:srgbClr val="00B0F0"/>
              </a:solidFill>
            </cx:spPr>
          </cx:dataPt>
          <cx:dataPt idx="4">
            <cx:spPr>
              <a:solidFill>
                <a:srgbClr val="92D050"/>
              </a:solidFill>
            </cx:spPr>
          </cx:dataPt>
          <cx:dataPt idx="5">
            <cx:spPr>
              <a:solidFill>
                <a:srgbClr val="FA3000"/>
              </a:solidFill>
            </cx:spPr>
          </cx:dataPt>
          <cx:dataPt idx="6">
            <cx:spPr>
              <a:solidFill>
                <a:srgbClr val="00B0F0"/>
              </a:solidFill>
            </cx:spPr>
          </cx:dataPt>
          <cx:dataPt idx="7">
            <cx:spPr>
              <a:solidFill>
                <a:srgbClr val="92D050"/>
              </a:solidFill>
            </cx:spPr>
          </cx:dataPt>
          <cx:dataPt idx="8">
            <cx:spPr>
              <a:solidFill>
                <a:srgbClr val="FA3000"/>
              </a:solidFill>
            </cx:spPr>
          </cx:dataPt>
          <cx:dataPt idx="9">
            <cx:spPr>
              <a:solidFill>
                <a:srgbClr val="00B0F0"/>
              </a:solidFill>
            </cx:spPr>
          </cx:dataPt>
          <cx:dataLabels>
            <cx:txPr>
              <a:bodyPr vertOverflow="overflow" horzOverflow="overflow" wrap="square" lIns="0" tIns="0" rIns="0" bIns="0"/>
              <a:lstStyle/>
              <a:p>
                <a:pPr algn="ctr" rtl="0">
                  <a:defRPr sz="900" b="0" i="0">
                    <a:solidFill>
                      <a:srgbClr val="595959"/>
                    </a:solidFill>
                    <a:latin typeface="+mn-lt"/>
                    <a:ea typeface="Calibri" panose="020F0502020204030204" pitchFamily="34" charset="0"/>
                    <a:cs typeface="Calibri" panose="020F0502020204030204" pitchFamily="34" charset="0"/>
                  </a:defRPr>
                </a:pPr>
                <a:endParaRPr lang="en-GB">
                  <a:latin typeface="+mn-lt"/>
                </a:endParaRPr>
              </a:p>
            </cx:txPr>
          </cx:dataLabels>
          <cx:dataId val="0"/>
          <cx:layoutPr>
            <cx:subtotals>
              <cx:idx val="3"/>
              <cx:idx val="6"/>
              <cx:idx val="9"/>
            </cx:subtotals>
          </cx:layoutPr>
        </cx:series>
      </cx:plotAreaRegion>
      <cx:axis id="0" hidden="1">
        <cx:catScaling gapWidth="0.5"/>
        <cx:tickLabels/>
        <cx:txPr>
          <a:bodyPr vertOverflow="overflow" horzOverflow="overflow" wrap="square" lIns="0" tIns="0" rIns="0" bIns="0"/>
          <a:lstStyle/>
          <a:p>
            <a:pPr algn="ctr" rtl="0">
              <a:defRPr sz="900" b="0" i="0">
                <a:solidFill>
                  <a:srgbClr val="595959"/>
                </a:solidFill>
                <a:latin typeface="+mn-lt"/>
                <a:ea typeface="Calibri" panose="020F0502020204030204" pitchFamily="34" charset="0"/>
                <a:cs typeface="Calibri" panose="020F0502020204030204" pitchFamily="34" charset="0"/>
              </a:defRPr>
            </a:pPr>
            <a:endParaRPr lang="en-GB">
              <a:latin typeface="+mn-lt"/>
            </a:endParaRPr>
          </a:p>
        </cx:txPr>
      </cx:axis>
      <cx:axis id="1">
        <cx:valScaling max="200" min="150"/>
        <cx:tickLabels/>
        <cx:txPr>
          <a:bodyPr vertOverflow="overflow" horzOverflow="overflow" wrap="square" lIns="0" tIns="0" rIns="0" bIns="0"/>
          <a:lstStyle/>
          <a:p>
            <a:pPr algn="ctr" rtl="0">
              <a:defRPr sz="900" b="0" i="0">
                <a:solidFill>
                  <a:srgbClr val="595959"/>
                </a:solidFill>
                <a:latin typeface="+mn-lt"/>
                <a:ea typeface="Calibri" panose="020F0502020204030204" pitchFamily="34" charset="0"/>
                <a:cs typeface="Calibri" panose="020F0502020204030204" pitchFamily="34" charset="0"/>
              </a:defRPr>
            </a:pPr>
            <a:endParaRPr lang="en-GB">
              <a:latin typeface="+mn-lt"/>
            </a:endParaRPr>
          </a:p>
        </cx:txPr>
      </cx:axis>
    </cx:plotArea>
  </cx:chart>
  <cx:spPr>
    <a:ln>
      <a:noFill/>
    </a:ln>
  </cx:spPr>
  <cx:clrMapOvr bg1="lt1" tx1="dk1" bg2="lt2" tx2="dk2" accent1="accent1" accent2="accent2" accent3="accent3" accent4="accent4" accent5="accent5" accent6="accent6" hlink="hlink" folHlink="folHlink"/>
  <cx:fmtOvrs>
    <cx:fmtOvr idx="2">
      <cx:spPr>
        <a:solidFill>
          <a:srgbClr val="FFC000"/>
        </a:solidFill>
      </cx:spPr>
    </cx:fmtOvr>
    <cx:fmtOvr idx="0">
      <cx:spPr>
        <a:solidFill>
          <a:srgbClr val="FFE9A9"/>
        </a:solidFill>
      </cx:spPr>
    </cx:fmtOvr>
    <cx:fmtOvr idx="1">
      <cx:spPr>
        <a:solidFill>
          <a:srgbClr val="C37205"/>
        </a:solidFill>
      </cx:spPr>
    </cx:fmtOvr>
  </cx:fmtOvrs>
</cx: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95">
  <cs:axisTitle>
    <cs:lnRef idx="0"/>
    <cs:fillRef idx="0"/>
    <cs:effectRef idx="0"/>
    <cs:fontRef idx="minor">
      <a:schemeClr val="tx1">
        <a:lumMod val="65000"/>
        <a:lumOff val="35000"/>
      </a:schemeClr>
    </cs:fontRef>
    <cs:defRPr sz="9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cs:chartArea>
  <cs:dataLabel>
    <cs:lnRef idx="0"/>
    <cs:fillRef idx="0"/>
    <cs:effectRef idx="0"/>
    <cs:fontRef idx="minor">
      <a:schemeClr val="tx1">
        <a:lumMod val="65000"/>
        <a:lumOff val="35000"/>
      </a:schemeClr>
    </cs:fontRef>
    <cs:defRPr sz="9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cs:spPr>
  </cs:dataPoint>
  <cs:dataPoint3D>
    <cs:lnRef idx="0"/>
    <cs:fillRef idx="0">
      <cs:styleClr val="auto"/>
    </cs:fillRef>
    <cs:effectRef idx="0"/>
    <cs:fontRef idx="minor">
      <a:schemeClr val="tx1"/>
    </cs:fontRef>
    <cs:spPr>
      <a:solidFill>
        <a:schemeClr val="phClr"/>
      </a:solidFill>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5"/>
  <cs:dataPointWireframe>
    <cs:lnRef idx="0">
      <cs:styleClr val="auto"/>
    </cs:lnRef>
    <cs:fillRef idx="0"/>
    <cs:effectRef idx="0"/>
    <cs:fontRef idx="minor">
      <a:schemeClr val="tx1"/>
    </cs:fontRef>
    <cs:spPr>
      <a:ln w="2857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15000"/>
            <a:lumOff val="8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seriesAxis>
  <cs:seriesLine>
    <cs:lnRef idx="0"/>
    <cs:fillRef idx="0"/>
    <cs:effectRef idx="0"/>
    <cs:fontRef idx="minor">
      <a:schemeClr val="tx1"/>
    </cs:fontRef>
    <cs:spPr>
      <a:ln w="9525" cap="flat">
        <a:solidFill>
          <a:srgbClr val="D9D9D9"/>
        </a:solidFill>
        <a:round/>
      </a:ln>
    </cs:spPr>
  </cs:seriesLine>
  <cs:title>
    <cs:lnRef idx="0"/>
    <cs:fillRef idx="0"/>
    <cs:effectRef idx="0"/>
    <cs:fontRef idx="minor">
      <a:schemeClr val="tx1">
        <a:lumMod val="65000"/>
        <a:lumOff val="35000"/>
      </a:schemeClr>
    </cs:fontRef>
    <cs:defRPr sz="140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cs:valueAxis>
  <cs:wall>
    <cs:lnRef idx="0"/>
    <cs:fillRef idx="0"/>
    <cs:effectRef idx="0"/>
    <cs:fontRef idx="minor">
      <a:schemeClr val="tx1"/>
    </cs:fontRef>
  </cs:wall>
</cs:chartStyle>
</file>

<file path=word/charts/style3.xml><?xml version="1.0" encoding="utf-8"?>
<cs:chartStyle xmlns:cs="http://schemas.microsoft.com/office/drawing/2012/chartStyle" xmlns:a="http://schemas.openxmlformats.org/drawingml/2006/main" id="395">
  <cs:axisTitle>
    <cs:lnRef idx="0"/>
    <cs:fillRef idx="0"/>
    <cs:effectRef idx="0"/>
    <cs:fontRef idx="minor">
      <a:schemeClr val="tx1">
        <a:lumMod val="65000"/>
        <a:lumOff val="35000"/>
      </a:schemeClr>
    </cs:fontRef>
    <cs:defRPr sz="9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cs:chartArea>
  <cs:dataLabel>
    <cs:lnRef idx="0"/>
    <cs:fillRef idx="0"/>
    <cs:effectRef idx="0"/>
    <cs:fontRef idx="minor">
      <a:schemeClr val="tx1">
        <a:lumMod val="65000"/>
        <a:lumOff val="35000"/>
      </a:schemeClr>
    </cs:fontRef>
    <cs:defRPr sz="9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cs:spPr>
  </cs:dataPoint>
  <cs:dataPoint3D>
    <cs:lnRef idx="0"/>
    <cs:fillRef idx="0">
      <cs:styleClr val="auto"/>
    </cs:fillRef>
    <cs:effectRef idx="0"/>
    <cs:fontRef idx="minor">
      <a:schemeClr val="tx1"/>
    </cs:fontRef>
    <cs:spPr>
      <a:solidFill>
        <a:schemeClr val="phClr"/>
      </a:solidFill>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5"/>
  <cs:dataPointWireframe>
    <cs:lnRef idx="0">
      <cs:styleClr val="auto"/>
    </cs:lnRef>
    <cs:fillRef idx="0"/>
    <cs:effectRef idx="0"/>
    <cs:fontRef idx="minor">
      <a:schemeClr val="tx1"/>
    </cs:fontRef>
    <cs:spPr>
      <a:ln w="2857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15000"/>
            <a:lumOff val="8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seriesAxis>
  <cs:seriesLine>
    <cs:lnRef idx="0"/>
    <cs:fillRef idx="0"/>
    <cs:effectRef idx="0"/>
    <cs:fontRef idx="minor">
      <a:schemeClr val="tx1"/>
    </cs:fontRef>
    <cs:spPr>
      <a:ln w="9525" cap="flat">
        <a:solidFill>
          <a:srgbClr val="D9D9D9"/>
        </a:solidFill>
        <a:round/>
      </a:ln>
    </cs:spPr>
  </cs:seriesLine>
  <cs:title>
    <cs:lnRef idx="0"/>
    <cs:fillRef idx="0"/>
    <cs:effectRef idx="0"/>
    <cs:fontRef idx="minor">
      <a:schemeClr val="tx1">
        <a:lumMod val="65000"/>
        <a:lumOff val="35000"/>
      </a:schemeClr>
    </cs:fontRef>
    <cs:defRPr sz="140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cs:valueAxis>
  <cs:wall>
    <cs:lnRef idx="0"/>
    <cs:fillRef idx="0"/>
    <cs:effectRef idx="0"/>
    <cs:fontRef idx="minor">
      <a:schemeClr val="tx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ITU Template">
    <a:dk1>
      <a:sysClr val="windowText" lastClr="000000"/>
    </a:dk1>
    <a:lt1>
      <a:sysClr val="window" lastClr="FFFFFF"/>
    </a:lt1>
    <a:dk2>
      <a:srgbClr val="3A3838"/>
    </a:dk2>
    <a:lt2>
      <a:srgbClr val="F5FAFC"/>
    </a:lt2>
    <a:accent1>
      <a:srgbClr val="009CD6"/>
    </a:accent1>
    <a:accent2>
      <a:srgbClr val="757070"/>
    </a:accent2>
    <a:accent3>
      <a:srgbClr val="A5A5A5"/>
    </a:accent3>
    <a:accent4>
      <a:srgbClr val="595959"/>
    </a:accent4>
    <a:accent5>
      <a:srgbClr val="0083B3"/>
    </a:accent5>
    <a:accent6>
      <a:srgbClr val="E5F5FB"/>
    </a:accent6>
    <a:hlink>
      <a:srgbClr val="0083B3"/>
    </a:hlink>
    <a:folHlink>
      <a:srgbClr val="757070"/>
    </a:folHlink>
  </a:clrScheme>
  <a:fontScheme name="ITU Powerpoint Tempolate">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ITU (Thomas Frost)">
    <a:dk1>
      <a:sysClr val="windowText" lastClr="000000"/>
    </a:dk1>
    <a:lt1>
      <a:sysClr val="window" lastClr="FFFFFF"/>
    </a:lt1>
    <a:dk2>
      <a:srgbClr val="44546A"/>
    </a:dk2>
    <a:lt2>
      <a:srgbClr val="E7E6E6"/>
    </a:lt2>
    <a:accent1>
      <a:srgbClr val="009CD5"/>
    </a:accent1>
    <a:accent2>
      <a:srgbClr val="6F6F6E"/>
    </a:accent2>
    <a:accent3>
      <a:srgbClr val="E5F5FB"/>
    </a:accent3>
    <a:accent4>
      <a:srgbClr val="F5FAFC"/>
    </a:accent4>
    <a:accent5>
      <a:srgbClr val="5B9BD5"/>
    </a:accent5>
    <a:accent6>
      <a:srgbClr val="0083B3"/>
    </a:accent6>
    <a:hlink>
      <a:srgbClr val="0083B3"/>
    </a:hlink>
    <a:folHlink>
      <a:srgbClr val="0083B3"/>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4ea696a-cca3-460b-a983-57ac2621983a">
      <Terms xmlns="http://schemas.microsoft.com/office/infopath/2007/PartnerControls"/>
    </lcf76f155ced4ddcb4097134ff3c332f>
    <TaxCatchAll xmlns="29399490-13b9-4c73-b71e-403b715b75a7"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0421F7F6C5263B4B928A068E40912AB8" ma:contentTypeVersion="17" ma:contentTypeDescription="Create a new document." ma:contentTypeScope="" ma:versionID="08de21dd3d53535c2968f418991843b1">
  <xsd:schema xmlns:xsd="http://www.w3.org/2001/XMLSchema" xmlns:xs="http://www.w3.org/2001/XMLSchema" xmlns:p="http://schemas.microsoft.com/office/2006/metadata/properties" xmlns:ns2="d4ea696a-cca3-460b-a983-57ac2621983a" xmlns:ns3="29399490-13b9-4c73-b71e-403b715b75a7" targetNamespace="http://schemas.microsoft.com/office/2006/metadata/properties" ma:root="true" ma:fieldsID="61722b74c011d0d4baa2c88cba3894f1" ns2:_="" ns3:_="">
    <xsd:import namespace="d4ea696a-cca3-460b-a983-57ac2621983a"/>
    <xsd:import namespace="29399490-13b9-4c73-b71e-403b715b75a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ea696a-cca3-460b-a983-57ac262198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0e895586-ec57-4162-862b-45953123501e"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9399490-13b9-4c73-b71e-403b715b75a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2d36094f-0688-4081-a569-0c74b76e7ddf}" ma:internalName="TaxCatchAll" ma:showField="CatchAllData" ma:web="29399490-13b9-4c73-b71e-403b715b75a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1D358B6-82FD-4ED4-B974-7341365ED933}">
  <ds:schemaRefs>
    <ds:schemaRef ds:uri="http://schemas.microsoft.com/sharepoint/v3/contenttype/forms"/>
  </ds:schemaRefs>
</ds:datastoreItem>
</file>

<file path=customXml/itemProps2.xml><?xml version="1.0" encoding="utf-8"?>
<ds:datastoreItem xmlns:ds="http://schemas.openxmlformats.org/officeDocument/2006/customXml" ds:itemID="{8A7C67D6-CEFE-4AFE-8EC3-4585BFEF5BAE}">
  <ds:schemaRefs>
    <ds:schemaRef ds:uri="http://schemas.microsoft.com/office/infopath/2007/PartnerControls"/>
    <ds:schemaRef ds:uri="http://purl.org/dc/dcmitype/"/>
    <ds:schemaRef ds:uri="http://www.w3.org/XML/1998/namespace"/>
    <ds:schemaRef ds:uri="http://schemas.microsoft.com/office/2006/documentManagement/types"/>
    <ds:schemaRef ds:uri="29399490-13b9-4c73-b71e-403b715b75a7"/>
    <ds:schemaRef ds:uri="http://purl.org/dc/elements/1.1/"/>
    <ds:schemaRef ds:uri="http://schemas.openxmlformats.org/package/2006/metadata/core-properties"/>
    <ds:schemaRef ds:uri="d4ea696a-cca3-460b-a983-57ac2621983a"/>
    <ds:schemaRef ds:uri="http://schemas.microsoft.com/office/2006/metadata/properties"/>
    <ds:schemaRef ds:uri="http://purl.org/dc/terms/"/>
  </ds:schemaRefs>
</ds:datastoreItem>
</file>

<file path=customXml/itemProps3.xml><?xml version="1.0" encoding="utf-8"?>
<ds:datastoreItem xmlns:ds="http://schemas.openxmlformats.org/officeDocument/2006/customXml" ds:itemID="{DF12A876-AB41-4784-9C7F-CAA56FAF5040}">
  <ds:schemaRefs>
    <ds:schemaRef ds:uri="http://schemas.openxmlformats.org/officeDocument/2006/bibliography"/>
  </ds:schemaRefs>
</ds:datastoreItem>
</file>

<file path=customXml/itemProps4.xml><?xml version="1.0" encoding="utf-8"?>
<ds:datastoreItem xmlns:ds="http://schemas.openxmlformats.org/officeDocument/2006/customXml" ds:itemID="{8BE38F01-714C-463B-9700-C16DFC2B94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ea696a-cca3-460b-a983-57ac2621983a"/>
    <ds:schemaRef ds:uri="29399490-13b9-4c73-b71e-403b715b75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80</TotalTime>
  <Pages>6</Pages>
  <Words>3177</Words>
  <Characters>2340</Characters>
  <Application>Microsoft Office Word</Application>
  <DocSecurity>0</DocSecurity>
  <Lines>19</Lines>
  <Paragraphs>11</Paragraphs>
  <ScaleCrop>false</ScaleCrop>
  <HeadingPairs>
    <vt:vector size="2" baseType="variant">
      <vt:variant>
        <vt:lpstr>Title</vt:lpstr>
      </vt:variant>
      <vt:variant>
        <vt:i4>1</vt:i4>
      </vt:variant>
    </vt:vector>
  </HeadingPairs>
  <TitlesOfParts>
    <vt:vector size="1" baseType="lpstr">
      <vt:lpstr/>
    </vt:vector>
  </TitlesOfParts>
  <Manager>General Secretariat - Pool</Manager>
  <Company/>
  <LinksUpToDate>false</LinksUpToDate>
  <CharactersWithSpaces>5506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Manias, Michel</dc:creator>
  <cp:lastModifiedBy>LING-C (ZB)</cp:lastModifiedBy>
  <cp:revision>4</cp:revision>
  <cp:lastPrinted>2019-01-16T07:57:00Z</cp:lastPrinted>
  <dcterms:created xsi:type="dcterms:W3CDTF">2026-03-17T07:53:00Z</dcterms:created>
  <dcterms:modified xsi:type="dcterms:W3CDTF">2026-03-17T09:44:00Z</dcterms:modified>
  <cp:category>Conference document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eader">
    <vt:lpwstr>RR</vt:lpwstr>
  </property>
  <property fmtid="{D5CDD505-2E9C-101B-9397-08002B2CF9AE}" pid="3" name="Docnum">
    <vt:lpwstr>PE_WRC07.dotm</vt:lpwstr>
  </property>
  <property fmtid="{D5CDD505-2E9C-101B-9397-08002B2CF9AE}" pid="4" name="Docdate">
    <vt:lpwstr/>
  </property>
  <property fmtid="{D5CDD505-2E9C-101B-9397-08002B2CF9AE}" pid="5" name="Docorlang">
    <vt:lpwstr/>
  </property>
  <property fmtid="{D5CDD505-2E9C-101B-9397-08002B2CF9AE}" pid="6" name="Docbluepink">
    <vt:lpwstr/>
  </property>
  <property fmtid="{D5CDD505-2E9C-101B-9397-08002B2CF9AE}" pid="7" name="Docdest">
    <vt:lpwstr/>
  </property>
  <property fmtid="{D5CDD505-2E9C-101B-9397-08002B2CF9AE}" pid="8" name="Docauthor">
    <vt:lpwstr/>
  </property>
  <property fmtid="{D5CDD505-2E9C-101B-9397-08002B2CF9AE}" pid="9" name="ContentTypeId">
    <vt:lpwstr>0x0101000421F7F6C5263B4B928A068E40912AB8</vt:lpwstr>
  </property>
  <property fmtid="{D5CDD505-2E9C-101B-9397-08002B2CF9AE}" pid="10" name="_dlc_DocIdItemGuid">
    <vt:lpwstr>1277586e-23f4-4a9c-8b22-c68c4fc349db</vt:lpwstr>
  </property>
  <property fmtid="{D5CDD505-2E9C-101B-9397-08002B2CF9AE}" pid="11" name="Mendeley Recent Style Id 0_1">
    <vt:lpwstr>http://www.zotero.org/styles/american-medical-association</vt:lpwstr>
  </property>
  <property fmtid="{D5CDD505-2E9C-101B-9397-08002B2CF9AE}" pid="12" name="Mendeley Recent Style Name 0_1">
    <vt:lpwstr>American Medical Association</vt:lpwstr>
  </property>
  <property fmtid="{D5CDD505-2E9C-101B-9397-08002B2CF9AE}" pid="13" name="Mendeley Recent Style Id 1_1">
    <vt:lpwstr>http://www.zotero.org/styles/american-political-science-association</vt:lpwstr>
  </property>
  <property fmtid="{D5CDD505-2E9C-101B-9397-08002B2CF9AE}" pid="14" name="Mendeley Recent Style Name 1_1">
    <vt:lpwstr>American Political Science Association</vt:lpwstr>
  </property>
  <property fmtid="{D5CDD505-2E9C-101B-9397-08002B2CF9AE}" pid="15" name="Mendeley Recent Style Id 2_1">
    <vt:lpwstr>http://www.zotero.org/styles/apa</vt:lpwstr>
  </property>
  <property fmtid="{D5CDD505-2E9C-101B-9397-08002B2CF9AE}" pid="16" name="Mendeley Recent Style Name 2_1">
    <vt:lpwstr>American Psychological Association 6th edition</vt:lpwstr>
  </property>
  <property fmtid="{D5CDD505-2E9C-101B-9397-08002B2CF9AE}" pid="17" name="Mendeley Recent Style Id 3_1">
    <vt:lpwstr>http://www.zotero.org/styles/american-sociological-association</vt:lpwstr>
  </property>
  <property fmtid="{D5CDD505-2E9C-101B-9397-08002B2CF9AE}" pid="18" name="Mendeley Recent Style Name 3_1">
    <vt:lpwstr>American Sociological Association</vt:lpwstr>
  </property>
  <property fmtid="{D5CDD505-2E9C-101B-9397-08002B2CF9AE}" pid="19" name="Mendeley Recent Style Id 4_1">
    <vt:lpwstr>http://www.zotero.org/styles/chicago-author-date</vt:lpwstr>
  </property>
  <property fmtid="{D5CDD505-2E9C-101B-9397-08002B2CF9AE}" pid="20" name="Mendeley Recent Style Name 4_1">
    <vt:lpwstr>Chicago Manual of Style 16th edition (author-date)</vt:lpwstr>
  </property>
  <property fmtid="{D5CDD505-2E9C-101B-9397-08002B2CF9AE}" pid="21" name="Mendeley Recent Style Id 5_1">
    <vt:lpwstr>http://www.zotero.org/styles/harvard1</vt:lpwstr>
  </property>
  <property fmtid="{D5CDD505-2E9C-101B-9397-08002B2CF9AE}" pid="22" name="Mendeley Recent Style Name 5_1">
    <vt:lpwstr>Harvard Reference format 1 (author-date)</vt:lpwstr>
  </property>
  <property fmtid="{D5CDD505-2E9C-101B-9397-08002B2CF9AE}" pid="23" name="Mendeley Recent Style Id 6_1">
    <vt:lpwstr>http://www.zotero.org/styles/ieee</vt:lpwstr>
  </property>
  <property fmtid="{D5CDD505-2E9C-101B-9397-08002B2CF9AE}" pid="24" name="Mendeley Recent Style Name 6_1">
    <vt:lpwstr>IEEE</vt:lpwstr>
  </property>
  <property fmtid="{D5CDD505-2E9C-101B-9397-08002B2CF9AE}" pid="25" name="Mendeley Recent Style Id 7_1">
    <vt:lpwstr>http://www.zotero.org/styles/modern-humanities-research-association</vt:lpwstr>
  </property>
  <property fmtid="{D5CDD505-2E9C-101B-9397-08002B2CF9AE}" pid="26" name="Mendeley Recent Style Name 7_1">
    <vt:lpwstr>Modern Humanities Research Association 3rd edition (note with bibliography)</vt:lpwstr>
  </property>
  <property fmtid="{D5CDD505-2E9C-101B-9397-08002B2CF9AE}" pid="27" name="Mendeley Recent Style Id 8_1">
    <vt:lpwstr>http://www.zotero.org/styles/modern-language-association</vt:lpwstr>
  </property>
  <property fmtid="{D5CDD505-2E9C-101B-9397-08002B2CF9AE}" pid="28" name="Mendeley Recent Style Name 8_1">
    <vt:lpwstr>Modern Language Association 7th edition</vt:lpwstr>
  </property>
  <property fmtid="{D5CDD505-2E9C-101B-9397-08002B2CF9AE}" pid="29" name="Mendeley Recent Style Id 9_1">
    <vt:lpwstr>http://www.zotero.org/styles/nature</vt:lpwstr>
  </property>
  <property fmtid="{D5CDD505-2E9C-101B-9397-08002B2CF9AE}" pid="30" name="Mendeley Recent Style Name 9_1">
    <vt:lpwstr>Nature</vt:lpwstr>
  </property>
  <property fmtid="{D5CDD505-2E9C-101B-9397-08002B2CF9AE}" pid="31" name="MediaServiceImageTags">
    <vt:lpwstr/>
  </property>
  <property fmtid="{D5CDD505-2E9C-101B-9397-08002B2CF9AE}" pid="32" name="docLang">
    <vt:lpwstr>en</vt:lpwstr>
  </property>
</Properties>
</file>