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charts/chart1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2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3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Y="-492"/>
        <w:tblW w:w="9923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B2111" w:rsidRPr="00510651" w14:paraId="7F1D5D7C" w14:textId="77777777" w:rsidTr="00FC1EC2">
        <w:trPr>
          <w:cantSplit/>
          <w:trHeight w:val="1425"/>
        </w:trPr>
        <w:tc>
          <w:tcPr>
            <w:tcW w:w="6663" w:type="dxa"/>
          </w:tcPr>
          <w:p w14:paraId="3DEB0D91" w14:textId="77777777" w:rsidR="004B2111" w:rsidRPr="00510651" w:rsidRDefault="004B2111" w:rsidP="00FC1EC2">
            <w:pPr>
              <w:tabs>
                <w:tab w:val="clear" w:pos="1134"/>
              </w:tabs>
              <w:spacing w:before="240"/>
              <w:ind w:left="34"/>
              <w:rPr>
                <w:b/>
                <w:bCs/>
                <w:sz w:val="30"/>
                <w:szCs w:val="30"/>
              </w:rPr>
            </w:pPr>
            <w:r w:rsidRPr="00510651">
              <w:rPr>
                <w:b/>
                <w:bCs/>
                <w:sz w:val="30"/>
                <w:szCs w:val="30"/>
              </w:rPr>
              <w:t xml:space="preserve">Консультативная группа </w:t>
            </w:r>
            <w:r w:rsidRPr="00510651">
              <w:rPr>
                <w:b/>
                <w:bCs/>
                <w:sz w:val="30"/>
                <w:szCs w:val="30"/>
              </w:rPr>
              <w:br/>
              <w:t>по развитию электросвязи (КГРЭ)</w:t>
            </w:r>
          </w:p>
          <w:p w14:paraId="7D7455C1" w14:textId="77777777" w:rsidR="004B2111" w:rsidRPr="00510651" w:rsidRDefault="004B2111" w:rsidP="00FC1EC2">
            <w:pPr>
              <w:tabs>
                <w:tab w:val="clear" w:pos="1134"/>
              </w:tabs>
              <w:spacing w:before="160" w:after="48" w:line="240" w:lineRule="atLeast"/>
              <w:ind w:left="34"/>
              <w:rPr>
                <w:b/>
                <w:bCs/>
                <w:szCs w:val="22"/>
              </w:rPr>
            </w:pPr>
            <w:r w:rsidRPr="00510651">
              <w:rPr>
                <w:rFonts w:cstheme="minorHAnsi"/>
                <w:b/>
                <w:bCs/>
                <w:szCs w:val="22"/>
                <w:lang w:eastAsia="zh-CN"/>
              </w:rPr>
              <w:t xml:space="preserve">33-е собрание, Женева, Швейцария, </w:t>
            </w:r>
            <w:r w:rsidR="000674FE" w:rsidRPr="00510651">
              <w:rPr>
                <w:rFonts w:cstheme="minorHAnsi"/>
                <w:b/>
                <w:bCs/>
                <w:szCs w:val="22"/>
                <w:lang w:eastAsia="zh-CN"/>
              </w:rPr>
              <w:t>7</w:t>
            </w:r>
            <w:r w:rsidRPr="00510651">
              <w:rPr>
                <w:rFonts w:cstheme="minorHAnsi"/>
                <w:b/>
                <w:bCs/>
                <w:szCs w:val="22"/>
                <w:lang w:eastAsia="zh-CN"/>
              </w:rPr>
              <w:t>–1</w:t>
            </w:r>
            <w:r w:rsidR="000674FE" w:rsidRPr="00510651">
              <w:rPr>
                <w:rFonts w:cstheme="minorHAnsi"/>
                <w:b/>
                <w:bCs/>
                <w:szCs w:val="22"/>
                <w:lang w:eastAsia="zh-CN"/>
              </w:rPr>
              <w:t>0</w:t>
            </w:r>
            <w:r w:rsidRPr="00510651">
              <w:rPr>
                <w:rFonts w:cstheme="minorHAnsi"/>
                <w:b/>
                <w:bCs/>
                <w:szCs w:val="22"/>
                <w:lang w:eastAsia="zh-CN"/>
              </w:rPr>
              <w:t xml:space="preserve"> </w:t>
            </w:r>
            <w:r w:rsidR="000674FE" w:rsidRPr="00510651">
              <w:rPr>
                <w:rFonts w:cstheme="minorHAnsi"/>
                <w:b/>
                <w:bCs/>
                <w:szCs w:val="22"/>
                <w:lang w:eastAsia="zh-CN"/>
              </w:rPr>
              <w:t xml:space="preserve">апреля </w:t>
            </w:r>
            <w:r w:rsidRPr="00510651">
              <w:rPr>
                <w:rFonts w:cstheme="minorHAnsi"/>
                <w:b/>
                <w:bCs/>
                <w:szCs w:val="22"/>
                <w:lang w:eastAsia="zh-CN"/>
              </w:rPr>
              <w:t>202</w:t>
            </w:r>
            <w:r w:rsidR="000674FE" w:rsidRPr="00510651">
              <w:rPr>
                <w:rFonts w:cstheme="minorHAnsi"/>
                <w:b/>
                <w:bCs/>
                <w:szCs w:val="22"/>
                <w:lang w:eastAsia="zh-CN"/>
              </w:rPr>
              <w:t>6</w:t>
            </w:r>
            <w:r w:rsidRPr="00510651">
              <w:rPr>
                <w:rFonts w:cstheme="minorHAnsi"/>
                <w:b/>
                <w:bCs/>
                <w:szCs w:val="22"/>
                <w:lang w:eastAsia="zh-CN"/>
              </w:rPr>
              <w:t xml:space="preserve"> года</w:t>
            </w:r>
          </w:p>
        </w:tc>
        <w:tc>
          <w:tcPr>
            <w:tcW w:w="3260" w:type="dxa"/>
          </w:tcPr>
          <w:p w14:paraId="730AC465" w14:textId="77777777" w:rsidR="004B2111" w:rsidRPr="00510651" w:rsidRDefault="004B2111" w:rsidP="00FC1EC2">
            <w:pPr>
              <w:jc w:val="right"/>
              <w:rPr>
                <w:rFonts w:cstheme="minorHAnsi"/>
              </w:rPr>
            </w:pPr>
            <w:bookmarkStart w:id="0" w:name="ditulogo"/>
            <w:bookmarkEnd w:id="0"/>
            <w:r w:rsidRPr="00510651">
              <w:rPr>
                <w:noProof/>
                <w:lang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510651" w14:paraId="28E6B1AE" w14:textId="77777777" w:rsidTr="00FC1EC2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2498558F" w14:textId="77777777" w:rsidR="00D83BF5" w:rsidRPr="00510651" w:rsidRDefault="00D83BF5" w:rsidP="00CE66E4">
            <w:pPr>
              <w:spacing w:before="0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03171E01" w14:textId="77777777" w:rsidR="00D83BF5" w:rsidRPr="00510651" w:rsidRDefault="00D83BF5" w:rsidP="00CE66E4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D87035" w:rsidRPr="00510651" w14:paraId="2EDF34C6" w14:textId="77777777" w:rsidTr="00FC1EC2">
        <w:trPr>
          <w:cantSplit/>
          <w:trHeight w:val="23"/>
        </w:trPr>
        <w:tc>
          <w:tcPr>
            <w:tcW w:w="6663" w:type="dxa"/>
          </w:tcPr>
          <w:p w14:paraId="353B2539" w14:textId="77777777" w:rsidR="00D87035" w:rsidRPr="00510651" w:rsidRDefault="00D87035" w:rsidP="00CE66E4">
            <w:pPr>
              <w:pStyle w:val="Committee"/>
              <w:framePr w:hSpace="0" w:wrap="auto" w:hAnchor="text" w:yAlign="inline"/>
              <w:spacing w:line="240" w:lineRule="auto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60" w:type="dxa"/>
          </w:tcPr>
          <w:p w14:paraId="390FD15A" w14:textId="4453B7D0" w:rsidR="00D87035" w:rsidRPr="00510651" w:rsidRDefault="005E032D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2"/>
              </w:rPr>
            </w:pPr>
            <w:r w:rsidRPr="00510651">
              <w:rPr>
                <w:b/>
                <w:bCs/>
                <w:szCs w:val="22"/>
              </w:rPr>
              <w:t>Документ</w:t>
            </w:r>
            <w:r w:rsidR="00D87035" w:rsidRPr="00510651">
              <w:rPr>
                <w:b/>
                <w:bCs/>
                <w:szCs w:val="22"/>
              </w:rPr>
              <w:t xml:space="preserve"> </w:t>
            </w:r>
            <w:bookmarkStart w:id="4" w:name="DocRef1"/>
            <w:bookmarkEnd w:id="4"/>
            <w:r w:rsidR="00D87035" w:rsidRPr="00510651">
              <w:rPr>
                <w:b/>
                <w:bCs/>
                <w:szCs w:val="22"/>
              </w:rPr>
              <w:t>TDAG-</w:t>
            </w:r>
            <w:r w:rsidR="00523934" w:rsidRPr="00510651">
              <w:rPr>
                <w:b/>
                <w:bCs/>
                <w:szCs w:val="22"/>
              </w:rPr>
              <w:t>2</w:t>
            </w:r>
            <w:r w:rsidR="000674FE" w:rsidRPr="00510651">
              <w:rPr>
                <w:b/>
                <w:bCs/>
                <w:szCs w:val="22"/>
              </w:rPr>
              <w:t>6</w:t>
            </w:r>
            <w:r w:rsidR="00D87035" w:rsidRPr="00510651">
              <w:rPr>
                <w:b/>
                <w:bCs/>
                <w:szCs w:val="22"/>
              </w:rPr>
              <w:t>/</w:t>
            </w:r>
            <w:bookmarkStart w:id="5" w:name="DocNo1"/>
            <w:bookmarkEnd w:id="5"/>
            <w:r w:rsidR="00B41FB3" w:rsidRPr="00510651">
              <w:rPr>
                <w:b/>
                <w:bCs/>
                <w:szCs w:val="22"/>
              </w:rPr>
              <w:t>9</w:t>
            </w:r>
            <w:r w:rsidR="00D87035" w:rsidRPr="00510651">
              <w:rPr>
                <w:b/>
                <w:bCs/>
                <w:szCs w:val="22"/>
              </w:rPr>
              <w:t>-</w:t>
            </w:r>
            <w:r w:rsidRPr="00510651">
              <w:rPr>
                <w:b/>
                <w:bCs/>
                <w:szCs w:val="22"/>
              </w:rPr>
              <w:t>R</w:t>
            </w:r>
          </w:p>
        </w:tc>
      </w:tr>
      <w:tr w:rsidR="00D87035" w:rsidRPr="00510651" w14:paraId="397DDD55" w14:textId="77777777" w:rsidTr="00FC1EC2">
        <w:trPr>
          <w:cantSplit/>
          <w:trHeight w:val="23"/>
        </w:trPr>
        <w:tc>
          <w:tcPr>
            <w:tcW w:w="6663" w:type="dxa"/>
          </w:tcPr>
          <w:p w14:paraId="43F869EB" w14:textId="77777777" w:rsidR="00D87035" w:rsidRPr="00510651" w:rsidRDefault="00D87035" w:rsidP="00CE66E4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260" w:type="dxa"/>
          </w:tcPr>
          <w:p w14:paraId="2C043BFB" w14:textId="5B37A8B4" w:rsidR="00D87035" w:rsidRPr="00510651" w:rsidRDefault="00B41FB3" w:rsidP="00CE66E4">
            <w:pPr>
              <w:spacing w:before="0"/>
              <w:rPr>
                <w:rFonts w:cstheme="minorHAnsi"/>
                <w:szCs w:val="22"/>
              </w:rPr>
            </w:pPr>
            <w:r w:rsidRPr="00510651">
              <w:rPr>
                <w:b/>
                <w:bCs/>
                <w:color w:val="000000"/>
              </w:rPr>
              <w:t>3 марта 2026 года</w:t>
            </w:r>
          </w:p>
        </w:tc>
      </w:tr>
      <w:bookmarkEnd w:id="6"/>
      <w:bookmarkEnd w:id="7"/>
      <w:tr w:rsidR="00D87035" w:rsidRPr="00510651" w14:paraId="31B51233" w14:textId="77777777" w:rsidTr="00FC1EC2">
        <w:trPr>
          <w:cantSplit/>
          <w:trHeight w:val="23"/>
        </w:trPr>
        <w:tc>
          <w:tcPr>
            <w:tcW w:w="6663" w:type="dxa"/>
          </w:tcPr>
          <w:p w14:paraId="2CA0D4DB" w14:textId="77777777" w:rsidR="00D87035" w:rsidRPr="00510651" w:rsidRDefault="00D87035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</w:p>
        </w:tc>
        <w:tc>
          <w:tcPr>
            <w:tcW w:w="3260" w:type="dxa"/>
          </w:tcPr>
          <w:p w14:paraId="31129A45" w14:textId="77777777" w:rsidR="00D87035" w:rsidRPr="00510651" w:rsidRDefault="005E032D" w:rsidP="00CE66E4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2"/>
              </w:rPr>
            </w:pPr>
            <w:r w:rsidRPr="00510651">
              <w:rPr>
                <w:b/>
                <w:bCs/>
                <w:szCs w:val="22"/>
              </w:rPr>
              <w:t>Оригинал</w:t>
            </w:r>
            <w:r w:rsidR="00D87035" w:rsidRPr="00510651">
              <w:rPr>
                <w:b/>
                <w:bCs/>
                <w:szCs w:val="22"/>
              </w:rPr>
              <w:t xml:space="preserve">: </w:t>
            </w:r>
            <w:r w:rsidRPr="00510651">
              <w:rPr>
                <w:b/>
                <w:bCs/>
                <w:szCs w:val="22"/>
              </w:rPr>
              <w:t>английский</w:t>
            </w:r>
          </w:p>
        </w:tc>
      </w:tr>
      <w:tr w:rsidR="00B41FB3" w:rsidRPr="00510651" w14:paraId="1B93FF6A" w14:textId="77777777" w:rsidTr="00FC1EC2">
        <w:trPr>
          <w:cantSplit/>
          <w:trHeight w:val="23"/>
        </w:trPr>
        <w:tc>
          <w:tcPr>
            <w:tcW w:w="9923" w:type="dxa"/>
            <w:gridSpan w:val="2"/>
          </w:tcPr>
          <w:p w14:paraId="0A87ECCC" w14:textId="797CA01F" w:rsidR="00B41FB3" w:rsidRPr="00510651" w:rsidRDefault="00B41FB3" w:rsidP="00B41FB3">
            <w:pPr>
              <w:pStyle w:val="Source"/>
            </w:pPr>
            <w:bookmarkStart w:id="8" w:name="dbluepink" w:colFirst="0" w:colLast="0"/>
            <w:bookmarkStart w:id="9" w:name="dorlang" w:colFirst="1" w:colLast="1"/>
            <w:r w:rsidRPr="00510651">
              <w:rPr>
                <w:bCs/>
                <w:color w:val="000000"/>
              </w:rPr>
              <w:t>Директор Бюро развития электросвязи</w:t>
            </w:r>
          </w:p>
        </w:tc>
      </w:tr>
      <w:tr w:rsidR="00B41FB3" w:rsidRPr="00510651" w14:paraId="61258AD1" w14:textId="77777777" w:rsidTr="00FC1EC2">
        <w:trPr>
          <w:cantSplit/>
          <w:trHeight w:val="23"/>
        </w:trPr>
        <w:tc>
          <w:tcPr>
            <w:tcW w:w="9923" w:type="dxa"/>
            <w:gridSpan w:val="2"/>
            <w:vAlign w:val="center"/>
          </w:tcPr>
          <w:p w14:paraId="17BA4CEB" w14:textId="53F6984A" w:rsidR="00B41FB3" w:rsidRPr="00510651" w:rsidRDefault="00B41FB3" w:rsidP="00B41FB3">
            <w:pPr>
              <w:pStyle w:val="Title1"/>
              <w:rPr>
                <w:caps/>
              </w:rPr>
            </w:pPr>
            <w:r w:rsidRPr="00510651">
              <w:rPr>
                <w:color w:val="000000"/>
              </w:rPr>
              <w:t>Партнерские отношения и мобилизация ресурсов в МСЭ-D</w:t>
            </w:r>
          </w:p>
        </w:tc>
      </w:tr>
      <w:tr w:rsidR="00D83BF5" w:rsidRPr="00510651" w14:paraId="7E548E74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784B5DA6" w14:textId="77777777" w:rsidR="00D83BF5" w:rsidRPr="00510651" w:rsidRDefault="00D83BF5" w:rsidP="00403C69">
            <w:pPr>
              <w:pStyle w:val="Title1"/>
              <w:spacing w:before="120" w:after="120"/>
              <w:jc w:val="left"/>
              <w:rPr>
                <w:rFonts w:cs="Times New Roman Bold"/>
                <w:caps/>
                <w:szCs w:val="28"/>
              </w:rPr>
            </w:pPr>
          </w:p>
        </w:tc>
      </w:tr>
      <w:tr w:rsidR="001E252D" w:rsidRPr="00510651" w14:paraId="3DEC86F0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00BD" w14:textId="77777777" w:rsidR="005E032D" w:rsidRPr="00510651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510651">
              <w:rPr>
                <w:szCs w:val="22"/>
                <w:lang w:val="ru-RU"/>
              </w:rPr>
              <w:t>Резюме</w:t>
            </w:r>
          </w:p>
          <w:p w14:paraId="2B1565DB" w14:textId="77777777" w:rsidR="00B41FB3" w:rsidRPr="00510651" w:rsidRDefault="00B41FB3" w:rsidP="00B65E11">
            <w:r w:rsidRPr="00510651">
              <w:t>Значение партнерских отношений и мобилизации ресурсов было подчеркнуто Всемирной конференцией по развитию электросвязи 2022 года (ВКРЭ-22), в частности в Кигалийской декларации, в Кигалийском плане действий (разделы 3.1 и 3.3) и в Резолюции 17 (Пересм. Кигали, 2022 г.), касающейся реализации региональных инициатив. Эта важность была вновь подтверждена на Всемирной конференции по развитию электросвязи 2025 года (ВКРЭ-25) в Бакинской декларации и Бакинском плане действий.</w:t>
            </w:r>
          </w:p>
          <w:p w14:paraId="082B0B3C" w14:textId="6EF159D9" w:rsidR="001E252D" w:rsidRPr="00510651" w:rsidRDefault="00B41FB3" w:rsidP="00B65E11">
            <w:pPr>
              <w:rPr>
                <w:szCs w:val="22"/>
              </w:rPr>
            </w:pPr>
            <w:r w:rsidRPr="00510651">
              <w:t>В настоящем документе представлен обзор деятельности по формированию партнерских отношений и мобилизации ресурсов, осуществленной в 2025 году в поддержку решений ВКРЭ. В нем также представлен обзор руководящих принципов, которым будет следовать БРЭ для мобилизации партнеров в целях содействия выполнению Бакинского плана действий.</w:t>
            </w:r>
          </w:p>
          <w:p w14:paraId="765AB597" w14:textId="77777777" w:rsidR="005E032D" w:rsidRPr="00510651" w:rsidRDefault="005E032D" w:rsidP="00EB4AE6">
            <w:pPr>
              <w:pStyle w:val="Headingb"/>
              <w:rPr>
                <w:szCs w:val="22"/>
                <w:lang w:val="ru-RU"/>
              </w:rPr>
            </w:pPr>
            <w:r w:rsidRPr="00510651">
              <w:rPr>
                <w:szCs w:val="22"/>
                <w:lang w:val="ru-RU"/>
              </w:rPr>
              <w:t>Необходимые действия</w:t>
            </w:r>
          </w:p>
          <w:p w14:paraId="10F555EC" w14:textId="57AFD1DF" w:rsidR="001E252D" w:rsidRPr="00510651" w:rsidRDefault="00B41FB3" w:rsidP="00B65E11">
            <w:pPr>
              <w:rPr>
                <w:szCs w:val="22"/>
              </w:rPr>
            </w:pPr>
            <w:r w:rsidRPr="00510651">
              <w:t>КГРЭ предлагается принять настоящий документ к сведению и дать руководящие указания, если это будет сочтено целесообразным</w:t>
            </w:r>
            <w:r w:rsidR="003F1363" w:rsidRPr="00510651">
              <w:rPr>
                <w:szCs w:val="22"/>
              </w:rPr>
              <w:t>.</w:t>
            </w:r>
          </w:p>
          <w:p w14:paraId="2EEE0026" w14:textId="77777777" w:rsidR="001E252D" w:rsidRPr="00510651" w:rsidRDefault="004A3CDF" w:rsidP="00EB4AE6">
            <w:pPr>
              <w:rPr>
                <w:b/>
                <w:bCs/>
                <w:szCs w:val="22"/>
              </w:rPr>
            </w:pPr>
            <w:r w:rsidRPr="00510651">
              <w:rPr>
                <w:b/>
                <w:bCs/>
                <w:szCs w:val="22"/>
              </w:rPr>
              <w:t>Справочные материалы</w:t>
            </w:r>
          </w:p>
          <w:p w14:paraId="0A4E5660" w14:textId="77777777" w:rsidR="00B41FB3" w:rsidRPr="00510651" w:rsidRDefault="00B41FB3" w:rsidP="00B65E11">
            <w:r w:rsidRPr="00510651">
              <w:t>Разделы 3.1 и 3.3 Кигалийского плана действий, раздел 3.2 Бакинского плана действий</w:t>
            </w:r>
          </w:p>
          <w:p w14:paraId="7A545A1E" w14:textId="77777777" w:rsidR="00B41FB3" w:rsidRPr="00510651" w:rsidRDefault="00B41FB3" w:rsidP="00B65E11">
            <w:r w:rsidRPr="00510651">
              <w:t>Резолюция 17 (Пересм. Кигали, 2022 г.), Резолюция 16 (Баку, 2025 г.), Резолюция 17 (Пересм. Баку, 2025 г.), Резолюция 94 (Баку, 2025 г.)</w:t>
            </w:r>
          </w:p>
          <w:p w14:paraId="7B887B3B" w14:textId="1112286A" w:rsidR="001E252D" w:rsidRPr="00510651" w:rsidRDefault="00B41FB3" w:rsidP="00B65E11">
            <w:pPr>
              <w:spacing w:after="120"/>
            </w:pPr>
            <w:r w:rsidRPr="00510651">
              <w:t>Декларация ВКРЭ-22, Декларация ВКРЭ-25</w:t>
            </w:r>
          </w:p>
        </w:tc>
      </w:tr>
      <w:bookmarkEnd w:id="8"/>
      <w:bookmarkEnd w:id="9"/>
    </w:tbl>
    <w:p w14:paraId="6FAA2149" w14:textId="77777777" w:rsidR="00075C63" w:rsidRPr="00510651" w:rsidRDefault="00075C63" w:rsidP="00E64779">
      <w:pPr>
        <w:rPr>
          <w:szCs w:val="24"/>
        </w:rPr>
      </w:pPr>
      <w:r w:rsidRPr="00510651">
        <w:rPr>
          <w:szCs w:val="24"/>
        </w:rPr>
        <w:br w:type="page"/>
      </w:r>
    </w:p>
    <w:p w14:paraId="3E0258E6" w14:textId="2F1C9894" w:rsidR="00B41FB3" w:rsidRPr="00510651" w:rsidRDefault="00B65E11" w:rsidP="00B65E11">
      <w:pPr>
        <w:pStyle w:val="Heading1"/>
        <w:rPr>
          <w:szCs w:val="24"/>
        </w:rPr>
      </w:pPr>
      <w:r w:rsidRPr="00510651">
        <w:lastRenderedPageBreak/>
        <w:t>1</w:t>
      </w:r>
      <w:r w:rsidRPr="00510651">
        <w:tab/>
      </w:r>
      <w:r w:rsidR="00B41FB3" w:rsidRPr="00510651">
        <w:t>Базовая информация</w:t>
      </w:r>
    </w:p>
    <w:p w14:paraId="45453749" w14:textId="0B66D386" w:rsidR="00510651" w:rsidRPr="00510651" w:rsidRDefault="00B41FB3" w:rsidP="00B65E11">
      <w:r w:rsidRPr="00510651">
        <w:t>Всемирная конференция по развитию электросвязи 2022 года (ВКРЭ-22) признала значение мобилизации ресурсов и международного сотрудничества в качестве нового приоритета МСЭ-D и средства достижения целей Кигалийского плана действий: "Цель настоящего приоритета заключается в мобилизации и привлечении ресурсов, а также в содействии международному сотрудничеству по вопросам развития электросвязи/ИКТ. Данный приоритет также носит сквозной характер, привлекая ресурсы и содействуя международному сотрудничеству для обеспечения соответствующих глобальных конечных результатов. При этом потребности развивающихся стран, наименее развитых стран, малых островных развивающихся государств, развивающихся стран, не имеющих выхода к морю, и стран с переходной экономикой, а также недостаточно обслуживаемых и уязвимых групп населения следует отнести к числу приоритетных и уделять им должное внимание" (Кигалийский план действий).</w:t>
      </w:r>
    </w:p>
    <w:p w14:paraId="7B194B90" w14:textId="16A14E4A" w:rsidR="00B41FB3" w:rsidRPr="00510651" w:rsidRDefault="00B41FB3" w:rsidP="00B65E11">
      <w:pPr>
        <w:rPr>
          <w:szCs w:val="24"/>
        </w:rPr>
      </w:pPr>
      <w:r w:rsidRPr="00510651">
        <w:t>В Резолюции 17 (Пересм.</w:t>
      </w:r>
      <w:r w:rsidRPr="00510651">
        <w:rPr>
          <w:szCs w:val="24"/>
        </w:rPr>
        <w:t xml:space="preserve"> </w:t>
      </w:r>
      <w:r w:rsidRPr="00510651">
        <w:t>Кигали, 2022 г.) об осуществлении на национальном, региональном, межрегиональном и глобальном уровнях одобренных региональных инициатив и сотрудничестве по ним Директору БРЭ поручается "обеспечить, чтобы БРЭ способствовало активному участию региональных и субрегиональных организаций электросвязи в различных этапах управления проектами, установленных МСЭ, а также в налаживании партнерских отношений и мобилизации ресурсов в целях оказания эффективного содействия реализации региональных инициатив".</w:t>
      </w:r>
    </w:p>
    <w:p w14:paraId="1474D59E" w14:textId="1E94E92B" w:rsidR="00B41FB3" w:rsidRPr="00510651" w:rsidRDefault="00B65E11" w:rsidP="00B65E11">
      <w:pPr>
        <w:pStyle w:val="Heading1"/>
        <w:rPr>
          <w:szCs w:val="24"/>
        </w:rPr>
      </w:pPr>
      <w:r w:rsidRPr="00510651">
        <w:t>2</w:t>
      </w:r>
      <w:r w:rsidRPr="00510651">
        <w:tab/>
      </w:r>
      <w:r w:rsidR="00B41FB3" w:rsidRPr="00510651">
        <w:t>Стратегическая цель МСЭ-D – партнерские отношения и мобилизация ресурсов</w:t>
      </w:r>
    </w:p>
    <w:p w14:paraId="6133BD14" w14:textId="77777777" w:rsidR="00B41FB3" w:rsidRPr="00510651" w:rsidRDefault="00B41FB3" w:rsidP="00B65E11">
      <w:r w:rsidRPr="00510651">
        <w:t xml:space="preserve">В соответствии с итоговыми документами ВКРЭ-22 была поставлена задача продвижения, развития и укрепления партнерских отношений и международного сотрудничества с разнообразными партнерами как из развитых, так и из развивающихся стран. </w:t>
      </w:r>
    </w:p>
    <w:p w14:paraId="18E98854" w14:textId="77777777" w:rsidR="00B41FB3" w:rsidRPr="00510651" w:rsidRDefault="00B41FB3" w:rsidP="00B65E11">
      <w:r w:rsidRPr="00510651">
        <w:t>Этот подход ориентирован на усиление координации, содействие обмену опытом и мобилизацию ресурсов для реализации программ, мероприятий и инициатив в интересах поощрения устойчивого развития.</w:t>
      </w:r>
    </w:p>
    <w:p w14:paraId="521FACBF" w14:textId="43030F45" w:rsidR="00B41FB3" w:rsidRPr="00510651" w:rsidRDefault="00B41FB3" w:rsidP="00B65E11">
      <w:r w:rsidRPr="00510651">
        <w:t>Эта важность была вновь подтверждена на Всемирной конференции по развитию электросвязи 2025</w:t>
      </w:r>
      <w:r w:rsidR="00B65E11" w:rsidRPr="00510651">
        <w:t> </w:t>
      </w:r>
      <w:r w:rsidRPr="00510651">
        <w:t>года (ВКРЭ-25), в Бакинской декларации и Бакинском плане действий.</w:t>
      </w:r>
    </w:p>
    <w:p w14:paraId="2432F800" w14:textId="2C47480E" w:rsidR="00B41FB3" w:rsidRPr="00510651" w:rsidRDefault="00B65E11" w:rsidP="00B65E11">
      <w:pPr>
        <w:pStyle w:val="Heading1"/>
        <w:rPr>
          <w:szCs w:val="24"/>
        </w:rPr>
      </w:pPr>
      <w:r w:rsidRPr="00510651">
        <w:t>3</w:t>
      </w:r>
      <w:r w:rsidRPr="00510651">
        <w:tab/>
      </w:r>
      <w:r w:rsidR="00B41FB3" w:rsidRPr="00510651">
        <w:t>Партнерские отношения и результаты мобилизации ресурсов в 2025 году</w:t>
      </w:r>
    </w:p>
    <w:p w14:paraId="5260DEF5" w14:textId="77777777" w:rsidR="00B41FB3" w:rsidRPr="00510651" w:rsidRDefault="00B41FB3" w:rsidP="00B65E11">
      <w:r w:rsidRPr="00510651">
        <w:t>В 2025 году совместными усилиями членов МСЭ, партнеров и персонала БРЭ (как в регионах, так и в штаб-квартире) БРЭ/МСЭ подписали 76 соглашений о партнерстве</w:t>
      </w:r>
      <w:r w:rsidRPr="00510651">
        <w:rPr>
          <w:rStyle w:val="FootnoteReference"/>
        </w:rPr>
        <w:footnoteReference w:id="2"/>
      </w:r>
      <w:r w:rsidRPr="00510651">
        <w:t>, 53 из которых предусматривали финансовые взносы на общую сумму около 7,6 млн. долларов США; при этом 72% средств были предоставлены партнерами БРЭ, а 28% – МСЭ.</w:t>
      </w:r>
    </w:p>
    <w:p w14:paraId="6956375D" w14:textId="77777777" w:rsidR="00B41FB3" w:rsidRPr="00510651" w:rsidRDefault="00B41FB3" w:rsidP="008923FE">
      <w:pPr>
        <w:keepNext/>
        <w:spacing w:after="240"/>
      </w:pPr>
      <w:r w:rsidRPr="00510651">
        <w:lastRenderedPageBreak/>
        <w:t>Эти партнерские соглашения были подписаны с 60 партнерами различного типа, распределенными следующим образом:</w:t>
      </w:r>
    </w:p>
    <w:p w14:paraId="4704985E" w14:textId="5C86C29D" w:rsidR="00BD0022" w:rsidRPr="00510651" w:rsidRDefault="00BD0022" w:rsidP="008923FE">
      <w:pPr>
        <w:keepNext/>
        <w:spacing w:after="240"/>
      </w:pPr>
      <w:r w:rsidRPr="00510651">
        <w:rPr>
          <w:noProof/>
        </w:rPr>
        <mc:AlternateContent>
          <mc:Choice Requires="cx1">
            <w:drawing>
              <wp:inline distT="0" distB="0" distL="0" distR="0" wp14:anchorId="38E4E6A4" wp14:editId="26AB1B07">
                <wp:extent cx="6120765" cy="2037715"/>
                <wp:effectExtent l="0" t="0" r="13335" b="635"/>
                <wp:docPr id="579535054" name="Char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FF76F3D-4644-B014-91EC-570DAE08A4F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2"/>
                  </a:graphicData>
                </a:graphic>
              </wp:inline>
            </w:drawing>
          </mc:Choice>
          <mc:Fallback>
            <w:drawing>
              <wp:inline distT="0" distB="0" distL="0" distR="0" wp14:anchorId="38E4E6A4" wp14:editId="26AB1B07">
                <wp:extent cx="6120765" cy="2037715"/>
                <wp:effectExtent l="0" t="0" r="13335" b="635"/>
                <wp:docPr id="579535054" name="Chart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FF76F3D-4644-B014-91EC-570DAE08A4F9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79535054" name="Chart 1">
                          <a:extLst>
                            <a:ext uri="{FF2B5EF4-FFF2-40B4-BE49-F238E27FC236}">
                              <a16:creationId xmlns:a16="http://schemas.microsoft.com/office/drawing/2014/main" id="{CFF76F3D-4644-B014-91EC-570DAE08A4F9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765" cy="20377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4C0F2F51" w14:textId="05B73947" w:rsidR="00B41FB3" w:rsidRPr="00510651" w:rsidRDefault="00B41FB3" w:rsidP="008923FE">
      <w:pPr>
        <w:pStyle w:val="Normalaftertitle"/>
      </w:pPr>
      <w:r w:rsidRPr="00510651">
        <w:t>Исходя из категорий членского состава МСЭ, в число этих партнеров входили 16 Государств-Членов, восемь Членов Сектора МСЭ-D, две академические организации, две межправительственные организации, эксплуатирующие спутниковые системы, и четыре региональные и другие международные организации</w:t>
      </w:r>
      <w:r w:rsidRPr="00510651">
        <w:rPr>
          <w:rStyle w:val="FootnoteReference"/>
        </w:rPr>
        <w:footnoteReference w:id="3"/>
      </w:r>
      <w:r w:rsidRPr="00510651">
        <w:t xml:space="preserve">. </w:t>
      </w:r>
    </w:p>
    <w:p w14:paraId="7D97246B" w14:textId="68E1BDC4" w:rsidR="00B41FB3" w:rsidRPr="00510651" w:rsidRDefault="00B41FB3" w:rsidP="008923FE">
      <w:pPr>
        <w:spacing w:after="240"/>
      </w:pPr>
      <w:r w:rsidRPr="00510651">
        <w:t>Из 60 партнеров БРЭ 36 подписали договор(ы) о финансовых взносах на общую сумму около 5,5</w:t>
      </w:r>
      <w:r w:rsidR="008652BD" w:rsidRPr="00510651">
        <w:t> </w:t>
      </w:r>
      <w:r w:rsidRPr="00510651">
        <w:t>млн.</w:t>
      </w:r>
      <w:r w:rsidR="008652BD" w:rsidRPr="00510651">
        <w:t> </w:t>
      </w:r>
      <w:r w:rsidRPr="00510651">
        <w:t>долларов США, которые распределялись следующим образом:</w:t>
      </w:r>
    </w:p>
    <w:p w14:paraId="6D60BC15" w14:textId="71171DED" w:rsidR="00F266D5" w:rsidRPr="00510651" w:rsidRDefault="00BD0022" w:rsidP="00F266D5">
      <w:pPr>
        <w:spacing w:after="240"/>
        <w:jc w:val="center"/>
      </w:pPr>
      <w:r w:rsidRPr="00510651">
        <w:rPr>
          <w:noProof/>
        </w:rPr>
        <w:drawing>
          <wp:inline distT="0" distB="0" distL="0" distR="0" wp14:anchorId="1EE40A3B" wp14:editId="0C093DA9">
            <wp:extent cx="5962650" cy="2495549"/>
            <wp:effectExtent l="0" t="0" r="0" b="635"/>
            <wp:docPr id="194609420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1BA6426-0318-EB11-FCCE-A8FA56F4935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DCB895A" w14:textId="77777777" w:rsidR="00BD0022" w:rsidRPr="00510651" w:rsidRDefault="00BD002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  <w:r w:rsidRPr="00510651">
        <w:br w:type="page"/>
      </w:r>
    </w:p>
    <w:p w14:paraId="119E47C5" w14:textId="52742C12" w:rsidR="00B41FB3" w:rsidRPr="00510651" w:rsidRDefault="00B41FB3" w:rsidP="00BD0022">
      <w:pPr>
        <w:pStyle w:val="Normalaftertitle"/>
        <w:spacing w:after="120"/>
      </w:pPr>
      <w:r w:rsidRPr="00510651">
        <w:lastRenderedPageBreak/>
        <w:t>В 2025 году в число пяти крупнейших финансовых партнеров</w:t>
      </w:r>
      <w:r w:rsidRPr="00510651">
        <w:rPr>
          <w:rStyle w:val="FootnoteReference"/>
        </w:rPr>
        <w:footnoteReference w:id="4"/>
      </w:r>
      <w:r w:rsidRPr="00510651">
        <w:t xml:space="preserve"> БРЭ вошли следующие структуры:</w:t>
      </w:r>
    </w:p>
    <w:tbl>
      <w:tblPr>
        <w:tblStyle w:val="TableGrid"/>
        <w:tblW w:w="9634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4394"/>
      </w:tblGrid>
      <w:tr w:rsidR="00B41FB3" w:rsidRPr="00510651" w14:paraId="7325A869" w14:textId="77777777" w:rsidTr="00BD0022">
        <w:tc>
          <w:tcPr>
            <w:tcW w:w="5240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033FEF4" w14:textId="77777777" w:rsidR="00B41FB3" w:rsidRPr="00510651" w:rsidRDefault="00B41FB3" w:rsidP="00BD0022">
            <w:pPr>
              <w:pStyle w:val="Tablehead"/>
              <w:rPr>
                <w:szCs w:val="24"/>
              </w:rPr>
            </w:pPr>
            <w:r w:rsidRPr="00510651">
              <w:t>Партнер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628B7F2" w14:textId="4BBB0E4A" w:rsidR="00B41FB3" w:rsidRPr="00510651" w:rsidRDefault="00B41FB3" w:rsidP="00BD0022">
            <w:pPr>
              <w:pStyle w:val="Tablehead"/>
              <w:rPr>
                <w:szCs w:val="24"/>
              </w:rPr>
            </w:pPr>
            <w:r w:rsidRPr="00510651">
              <w:t>Подписанные договоры о финансовых взносах</w:t>
            </w:r>
            <w:r w:rsidR="008652BD" w:rsidRPr="00510651">
              <w:br/>
            </w:r>
            <w:r w:rsidRPr="00510651">
              <w:t>(в долл. США на дату подписания)</w:t>
            </w:r>
          </w:p>
        </w:tc>
      </w:tr>
      <w:tr w:rsidR="00B41FB3" w:rsidRPr="00510651" w14:paraId="19A3599F" w14:textId="77777777" w:rsidTr="00BD002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BAC3" w14:textId="3462AFD6" w:rsidR="00B41FB3" w:rsidRPr="00510651" w:rsidRDefault="00B41FB3" w:rsidP="008652BD">
            <w:pPr>
              <w:pStyle w:val="Tabletext"/>
              <w:rPr>
                <w:szCs w:val="24"/>
              </w:rPr>
            </w:pPr>
            <w:r w:rsidRPr="00510651">
              <w:t>Министерство иностранных дел, по делам Содружества и</w:t>
            </w:r>
            <w:r w:rsidR="00C83710" w:rsidRPr="00510651">
              <w:t> </w:t>
            </w:r>
            <w:r w:rsidRPr="00510651">
              <w:t>развития, Соединенное Королевство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6CA2" w14:textId="77777777" w:rsidR="00B41FB3" w:rsidRPr="00510651" w:rsidRDefault="00B41FB3" w:rsidP="008652BD">
            <w:pPr>
              <w:pStyle w:val="Tabletext"/>
              <w:jc w:val="center"/>
              <w:rPr>
                <w:szCs w:val="24"/>
              </w:rPr>
            </w:pPr>
            <w:r w:rsidRPr="00510651">
              <w:t>1,19 млн.</w:t>
            </w:r>
          </w:p>
        </w:tc>
      </w:tr>
      <w:tr w:rsidR="00B41FB3" w:rsidRPr="00510651" w14:paraId="21727ABF" w14:textId="77777777" w:rsidTr="00BD002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E947" w14:textId="77777777" w:rsidR="00B41FB3" w:rsidRPr="00510651" w:rsidRDefault="00B41FB3" w:rsidP="008652BD">
            <w:pPr>
              <w:pStyle w:val="Tabletext"/>
              <w:rPr>
                <w:szCs w:val="24"/>
              </w:rPr>
            </w:pPr>
            <w:r w:rsidRPr="00510651">
              <w:t>Министерство иностранных дел и международного сотрудничества, Италия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0B55" w14:textId="77777777" w:rsidR="00B41FB3" w:rsidRPr="00510651" w:rsidRDefault="00B41FB3" w:rsidP="008652BD">
            <w:pPr>
              <w:pStyle w:val="Tabletext"/>
              <w:jc w:val="center"/>
              <w:rPr>
                <w:szCs w:val="24"/>
              </w:rPr>
            </w:pPr>
            <w:r w:rsidRPr="00510651">
              <w:t>0,70 млн.</w:t>
            </w:r>
          </w:p>
        </w:tc>
      </w:tr>
      <w:tr w:rsidR="00B41FB3" w:rsidRPr="00510651" w14:paraId="65B91F32" w14:textId="77777777" w:rsidTr="00BD0022">
        <w:trPr>
          <w:trHeight w:val="354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B413" w14:textId="77777777" w:rsidR="00B41FB3" w:rsidRPr="00510651" w:rsidRDefault="00B41FB3" w:rsidP="008652BD">
            <w:pPr>
              <w:pStyle w:val="Tabletext"/>
              <w:rPr>
                <w:szCs w:val="24"/>
              </w:rPr>
            </w:pPr>
            <w:r w:rsidRPr="00510651">
              <w:t xml:space="preserve">Deutsche Gesellschaft für Internationale Zusammenarbeit GmbH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09B4" w14:textId="77777777" w:rsidR="00B41FB3" w:rsidRPr="00510651" w:rsidRDefault="00B41FB3" w:rsidP="008652BD">
            <w:pPr>
              <w:pStyle w:val="Tabletext"/>
              <w:jc w:val="center"/>
              <w:rPr>
                <w:szCs w:val="24"/>
              </w:rPr>
            </w:pPr>
            <w:r w:rsidRPr="00510651">
              <w:t>0,54 млн.</w:t>
            </w:r>
          </w:p>
        </w:tc>
      </w:tr>
      <w:tr w:rsidR="00B41FB3" w:rsidRPr="00510651" w14:paraId="5D12EF9C" w14:textId="77777777" w:rsidTr="00BD0022">
        <w:trPr>
          <w:trHeight w:val="354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B515" w14:textId="77777777" w:rsidR="00B41FB3" w:rsidRPr="00510651" w:rsidRDefault="00B41FB3" w:rsidP="008652BD">
            <w:pPr>
              <w:pStyle w:val="Tabletext"/>
              <w:rPr>
                <w:szCs w:val="24"/>
              </w:rPr>
            </w:pPr>
            <w:r w:rsidRPr="00510651">
              <w:t>Министерство национальной безопасности Бермудских Островов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9A08" w14:textId="77777777" w:rsidR="00B41FB3" w:rsidRPr="00510651" w:rsidRDefault="00B41FB3" w:rsidP="008652BD">
            <w:pPr>
              <w:pStyle w:val="Tabletext"/>
              <w:jc w:val="center"/>
              <w:rPr>
                <w:szCs w:val="24"/>
              </w:rPr>
            </w:pPr>
            <w:r w:rsidRPr="00510651">
              <w:t>0,37 млн.</w:t>
            </w:r>
          </w:p>
        </w:tc>
      </w:tr>
      <w:tr w:rsidR="00B41FB3" w:rsidRPr="00510651" w14:paraId="4FC7245F" w14:textId="77777777" w:rsidTr="00BD002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112F" w14:textId="77777777" w:rsidR="00B41FB3" w:rsidRPr="00510651" w:rsidRDefault="00B41FB3" w:rsidP="008652BD">
            <w:pPr>
              <w:pStyle w:val="Tabletext"/>
              <w:rPr>
                <w:szCs w:val="24"/>
              </w:rPr>
            </w:pPr>
            <w:r w:rsidRPr="00510651">
              <w:t>Министерство иностранных дел и связи, Япония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05ED" w14:textId="77777777" w:rsidR="00B41FB3" w:rsidRPr="00510651" w:rsidRDefault="00B41FB3" w:rsidP="008652BD">
            <w:pPr>
              <w:pStyle w:val="Tabletext"/>
              <w:jc w:val="center"/>
              <w:rPr>
                <w:szCs w:val="24"/>
              </w:rPr>
            </w:pPr>
            <w:r w:rsidRPr="00510651">
              <w:t>0,33 млн.</w:t>
            </w:r>
          </w:p>
        </w:tc>
      </w:tr>
    </w:tbl>
    <w:p w14:paraId="25CB3119" w14:textId="77777777" w:rsidR="00B41FB3" w:rsidRPr="00510651" w:rsidRDefault="00B41FB3" w:rsidP="008652BD">
      <w:pPr>
        <w:spacing w:before="240"/>
      </w:pPr>
      <w:r w:rsidRPr="00510651">
        <w:t>Информация за 2025 год о регионах и приоритетах МСЭ-D, на которые распространяются подписанные соглашения о партнерстве, с точки зрения количества (с финансовыми взносами и без них), а также договорах о финансовых взносах, представлена в следующих таблицах:</w:t>
      </w:r>
    </w:p>
    <w:p w14:paraId="295CC9BA" w14:textId="32642502" w:rsidR="00ED55BD" w:rsidRPr="00510651" w:rsidRDefault="00ED55BD" w:rsidP="008652BD">
      <w:pPr>
        <w:spacing w:before="240"/>
      </w:pPr>
      <w:r w:rsidRPr="00510651">
        <w:rPr>
          <w:noProof/>
        </w:rPr>
        <w:drawing>
          <wp:inline distT="0" distB="0" distL="0" distR="0" wp14:anchorId="46EC8894" wp14:editId="23CB1BF3">
            <wp:extent cx="6120765" cy="2333625"/>
            <wp:effectExtent l="0" t="0" r="13335" b="9525"/>
            <wp:docPr id="121319623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1B3BE2D-7BCC-3FD6-5937-6A6206169C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5677E44" w14:textId="1D20A002" w:rsidR="00ED55BD" w:rsidRPr="00510651" w:rsidRDefault="00ED55BD" w:rsidP="00C83710">
      <w:pPr>
        <w:spacing w:before="240" w:after="120"/>
      </w:pPr>
      <w:r w:rsidRPr="00510651">
        <w:rPr>
          <w:noProof/>
        </w:rPr>
        <w:drawing>
          <wp:inline distT="0" distB="0" distL="0" distR="0" wp14:anchorId="07A723BA" wp14:editId="761502A6">
            <wp:extent cx="6120765" cy="2705100"/>
            <wp:effectExtent l="0" t="0" r="13335" b="0"/>
            <wp:docPr id="154881802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723EAF1-6D0D-E0D4-09B9-CAE47F7065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01D7B6F4" w14:textId="514720AE" w:rsidR="00B41FB3" w:rsidRPr="00510651" w:rsidRDefault="00B41FB3" w:rsidP="00ED55BD">
      <w:pPr>
        <w:pStyle w:val="Normalaftertitle"/>
        <w:rPr>
          <w:sz w:val="6"/>
          <w:szCs w:val="6"/>
        </w:rPr>
      </w:pPr>
    </w:p>
    <w:p w14:paraId="4B927260" w14:textId="43F47643" w:rsidR="00B41FB3" w:rsidRPr="00510651" w:rsidRDefault="008652BD" w:rsidP="008652BD">
      <w:pPr>
        <w:pStyle w:val="Heading1"/>
      </w:pPr>
      <w:r w:rsidRPr="00510651">
        <w:t>4</w:t>
      </w:r>
      <w:r w:rsidRPr="00510651">
        <w:tab/>
      </w:r>
      <w:r w:rsidR="00B41FB3" w:rsidRPr="00510651">
        <w:t>Партнерские отношения и результаты мобилизации ресурсов в 2026 году</w:t>
      </w:r>
    </w:p>
    <w:p w14:paraId="4C3AAE82" w14:textId="457BF7E1" w:rsidR="00B41FB3" w:rsidRPr="00510651" w:rsidRDefault="00B41FB3" w:rsidP="008652BD">
      <w:pPr>
        <w:rPr>
          <w:b/>
          <w:bCs/>
        </w:rPr>
      </w:pPr>
      <w:r w:rsidRPr="00510651">
        <w:t>Используя импульс, заданный в предыдущие годы, БРЭ с самого начала 2026 года продолжает работу по содействию выполнению решений ВКРЭ-25. В период с 1 января по 28 февраля 2026</w:t>
      </w:r>
      <w:r w:rsidR="008652BD" w:rsidRPr="00510651">
        <w:t> </w:t>
      </w:r>
      <w:r w:rsidRPr="00510651">
        <w:t xml:space="preserve">года было подписано пять соглашений о партнерстве на общую сумму 175 908 долл. США (более подробную информацию см. в Документе </w:t>
      </w:r>
      <w:hyperlink r:id="rId17" w:history="1">
        <w:r w:rsidRPr="00510651">
          <w:rPr>
            <w:rStyle w:val="Hyperlink"/>
          </w:rPr>
          <w:t>TDAG-26/INF/1</w:t>
        </w:r>
      </w:hyperlink>
      <w:r w:rsidRPr="00510651">
        <w:t xml:space="preserve">). Эти первые результаты свидетельствуют об инициативной позиции БРЭ и его приверженности обеспечению своевременной и устойчивой поддержки выполнения Бакинского плана действий. </w:t>
      </w:r>
      <w:hyperlink r:id="rId18" w:history="1"/>
    </w:p>
    <w:p w14:paraId="024595B6" w14:textId="69032B52" w:rsidR="00B41FB3" w:rsidRPr="00510651" w:rsidRDefault="008652BD" w:rsidP="008652BD">
      <w:pPr>
        <w:pStyle w:val="Heading1"/>
      </w:pPr>
      <w:r w:rsidRPr="00510651">
        <w:t>5</w:t>
      </w:r>
      <w:r w:rsidRPr="00510651">
        <w:tab/>
      </w:r>
      <w:r w:rsidR="00B41FB3" w:rsidRPr="00510651">
        <w:t>Основные действия и результаты</w:t>
      </w:r>
    </w:p>
    <w:p w14:paraId="428D0A7C" w14:textId="1DB98DA0" w:rsidR="00B41FB3" w:rsidRPr="00510651" w:rsidRDefault="00B41FB3" w:rsidP="008652BD">
      <w:r w:rsidRPr="00510651">
        <w:t>Воздействие работы БРЭ в сотрудничестве с его партнерами демонстрируется в формате "Рассказы о</w:t>
      </w:r>
      <w:r w:rsidR="00C83710" w:rsidRPr="00510651">
        <w:t> </w:t>
      </w:r>
      <w:r w:rsidRPr="00510651">
        <w:t xml:space="preserve">воздействии", доступном по следующему адресу: </w:t>
      </w:r>
      <w:hyperlink r:id="rId19" w:history="1">
        <w:r w:rsidRPr="00510651">
          <w:rPr>
            <w:rStyle w:val="Hyperlink"/>
          </w:rPr>
          <w:t>https://www.itu.int/itu-d/sites/digital-impact-unlocked/all-stories/list/</w:t>
        </w:r>
      </w:hyperlink>
      <w:r w:rsidRPr="00510651">
        <w:t>.</w:t>
      </w:r>
      <w:hyperlink r:id="rId20" w:history="1"/>
    </w:p>
    <w:p w14:paraId="37D806B3" w14:textId="77777777" w:rsidR="00B41FB3" w:rsidRPr="00510651" w:rsidRDefault="00B41FB3" w:rsidP="003D5C48">
      <w:pPr>
        <w:keepNext/>
      </w:pPr>
      <w:r w:rsidRPr="00510651">
        <w:t>Результаты партнерских отношений и мобилизации ресурсов, показанные выше, стали возможными благодаря следующим стратегическим мерам, которые БРЭ продолжит расширять и углублять в течение цикла ВКРЭ-25:</w:t>
      </w:r>
    </w:p>
    <w:p w14:paraId="7585CEBA" w14:textId="2A5784E6" w:rsidR="00B41FB3" w:rsidRPr="00510651" w:rsidRDefault="003D5C48" w:rsidP="003D5C48">
      <w:pPr>
        <w:pStyle w:val="enumlev1"/>
      </w:pPr>
      <w:r w:rsidRPr="00510651">
        <w:t>−</w:t>
      </w:r>
      <w:r w:rsidRPr="00510651">
        <w:tab/>
      </w:r>
      <w:r w:rsidR="00B41FB3" w:rsidRPr="00510651">
        <w:rPr>
          <w:b/>
          <w:bCs/>
        </w:rPr>
        <w:t>Углубление и поддержание отношений с существующими партнерами</w:t>
      </w:r>
      <w:r w:rsidR="00B41FB3" w:rsidRPr="00510651">
        <w:t>: БРЭ будет и далее укреплять и расширять сотрудничество со своей сетью партнеров</w:t>
      </w:r>
      <w:r w:rsidR="00B41FB3" w:rsidRPr="00510651">
        <w:rPr>
          <w:rStyle w:val="FootnoteReference"/>
        </w:rPr>
        <w:footnoteReference w:id="5"/>
      </w:r>
      <w:r w:rsidR="00B41FB3" w:rsidRPr="00510651">
        <w:t>, включая правительственные органы, финансовые учреждения, международные и региональные организации и ассоциации, объединения частного сектора (в том числе фонды), организации системы ООН и академические организации как из развитых, так и из развивающихся стран. Признавая, что эффективные партнерские отношения строятся на доверии, уважении и уверенности, БРЭ будет и впредь прилагать усилия для укрепления долгосрочных отношений и обеспечения их устойчивости. Это направлено на повышение предсказуемости финансовой поддержки и расширение обмена знаниями и содействует, таким образом, реализации проектов и региональных и глобальных инициатив, способствующих устойчивому развитию.</w:t>
      </w:r>
    </w:p>
    <w:p w14:paraId="29589D46" w14:textId="573B13D9" w:rsidR="00B41FB3" w:rsidRPr="00510651" w:rsidRDefault="003D5C48" w:rsidP="003D5C48">
      <w:pPr>
        <w:pStyle w:val="enumlev1"/>
      </w:pPr>
      <w:r w:rsidRPr="00510651">
        <w:t>−</w:t>
      </w:r>
      <w:r w:rsidRPr="00510651">
        <w:tab/>
      </w:r>
      <w:r w:rsidR="00B41FB3" w:rsidRPr="00510651">
        <w:rPr>
          <w:b/>
          <w:bCs/>
        </w:rPr>
        <w:t>Укрепление сотрудничества с учреждениями системы ООН</w:t>
      </w:r>
      <w:r w:rsidR="00B41FB3" w:rsidRPr="00510651">
        <w:t>: БРЭ продолжит укреплять сотрудничество с другими учреждениями системы ООН, поощряя узнаваемость МСЭ и подчеркивая его уникальную роль как ведущей организации в секторе электросвязи/ИКТ. Такой подход упростит совместное использование знаний и откроет новые возможности финансирования, такие как, например, объединенные фонды ООН, за счет использования потенциала системы ООН в области организации многосторонних мероприятий. Укрепление сотрудничества будет способствовать согласованности действий всей системы ООН и поддерживать реализацию совместных проектов на национальном, региональном и глобальном уровнях в рамках выполнения Повестки дня на период до 2030 года.</w:t>
      </w:r>
    </w:p>
    <w:p w14:paraId="479648E4" w14:textId="10754693" w:rsidR="00B41FB3" w:rsidRPr="00510651" w:rsidRDefault="003D5C48" w:rsidP="003D5C48">
      <w:pPr>
        <w:pStyle w:val="enumlev1"/>
      </w:pPr>
      <w:r w:rsidRPr="00510651">
        <w:t>−</w:t>
      </w:r>
      <w:r w:rsidRPr="00510651">
        <w:tab/>
      </w:r>
      <w:r w:rsidR="00B41FB3" w:rsidRPr="00510651">
        <w:rPr>
          <w:b/>
          <w:bCs/>
        </w:rPr>
        <w:t>Привлечение новых потенциальных партнеров</w:t>
      </w:r>
      <w:r w:rsidR="00B41FB3" w:rsidRPr="00510651">
        <w:t>: БРЭ будет активно расширять и диверсифицировать свой партнерский портфель посредством целенаправленного и стратегического подхода к привлечению партнеров. Это поможет повысить узнаваемость МСЭ/БРЭ, определить области, представляющие взаимный интерес, и возможности для будущего сотрудничества. Расширяя партнерскую экосистему, БРЭ стремится снизить риски, связанные с концентрацией финансирования, и укрепить свой потенциал поддержки проектов и инициатив в области устойчивого развития.</w:t>
      </w:r>
    </w:p>
    <w:p w14:paraId="6B773116" w14:textId="086CAA38" w:rsidR="00B41FB3" w:rsidRPr="00510651" w:rsidRDefault="003D5C48" w:rsidP="003D5C48">
      <w:pPr>
        <w:pStyle w:val="Heading1"/>
        <w:rPr>
          <w:szCs w:val="24"/>
        </w:rPr>
      </w:pPr>
      <w:r w:rsidRPr="00510651">
        <w:lastRenderedPageBreak/>
        <w:t>6</w:t>
      </w:r>
      <w:r w:rsidRPr="00510651">
        <w:tab/>
      </w:r>
      <w:r w:rsidR="00B41FB3" w:rsidRPr="00510651">
        <w:t>Дальнейшие действия</w:t>
      </w:r>
    </w:p>
    <w:p w14:paraId="56A30629" w14:textId="77777777" w:rsidR="00B41FB3" w:rsidRPr="00510651" w:rsidRDefault="00B41FB3" w:rsidP="003D5C48">
      <w:r w:rsidRPr="00510651">
        <w:t>БРЭ признает и ценит как своих давних партнеров, так и новых партнеров, сотрудничество с которыми имеет решающее значение для поддержки осуществления проектов, программ и инициатив на глобальном, региональном и национальном уровнях. В перспективе БРЭ планирует и далее укреплять долгосрочное сотрудничество с существующими партнерами, усиливать альянсы в системе ООН и диверсифицировать партнерскую базу для повышения финансовой устойчивости, предсказуемости и воздействия. Такой дальновидный подход укрепит роль БРЭ как надежного организатора и партнера по реализации проектов и ускорит инклюзивное и устойчивое цифровое развитие на всех уровнях.</w:t>
      </w:r>
    </w:p>
    <w:p w14:paraId="64497C86" w14:textId="77777777" w:rsidR="00CE66E4" w:rsidRPr="00510651" w:rsidRDefault="00CE66E4" w:rsidP="00B41FB3">
      <w:pPr>
        <w:spacing w:before="480"/>
        <w:jc w:val="center"/>
      </w:pPr>
      <w:r w:rsidRPr="00510651">
        <w:t>______________</w:t>
      </w:r>
    </w:p>
    <w:sectPr w:rsidR="00CE66E4" w:rsidRPr="00510651" w:rsidSect="00FC1EC2">
      <w:headerReference w:type="default" r:id="rId21"/>
      <w:footerReference w:type="first" r:id="rId22"/>
      <w:pgSz w:w="11907" w:h="16840" w:code="9"/>
      <w:pgMar w:top="1418" w:right="1134" w:bottom="1418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92B1B" w14:textId="77777777" w:rsidR="00B41FB3" w:rsidRDefault="00B41FB3">
      <w:r>
        <w:separator/>
      </w:r>
    </w:p>
    <w:p w14:paraId="1C876687" w14:textId="77777777" w:rsidR="00B41FB3" w:rsidRDefault="00B41FB3"/>
  </w:endnote>
  <w:endnote w:type="continuationSeparator" w:id="0">
    <w:p w14:paraId="5471F92A" w14:textId="77777777" w:rsidR="00B41FB3" w:rsidRDefault="00B41FB3">
      <w:r>
        <w:continuationSeparator/>
      </w:r>
    </w:p>
    <w:p w14:paraId="33709155" w14:textId="77777777" w:rsidR="00B41FB3" w:rsidRDefault="00B41FB3"/>
  </w:endnote>
  <w:endnote w:type="continuationNotice" w:id="1">
    <w:p w14:paraId="6A7A9A4B" w14:textId="77777777" w:rsidR="00B41FB3" w:rsidRDefault="00B41FB3">
      <w:pPr>
        <w:spacing w:before="0"/>
      </w:pPr>
    </w:p>
    <w:p w14:paraId="7C7E1E5D" w14:textId="77777777" w:rsidR="00B41FB3" w:rsidRDefault="00B41F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Caption w:val="Фамилия и данные контактного лица по документу"/>
    </w:tblPr>
    <w:tblGrid>
      <w:gridCol w:w="1526"/>
      <w:gridCol w:w="3260"/>
      <w:gridCol w:w="4853"/>
    </w:tblGrid>
    <w:tr w:rsidR="00B41FB3" w:rsidRPr="00B41FB3" w14:paraId="2345A6EA" w14:textId="77777777" w:rsidTr="00B41FB3">
      <w:tc>
        <w:tcPr>
          <w:tcW w:w="1526" w:type="dxa"/>
          <w:tcBorders>
            <w:top w:val="single" w:sz="4" w:space="0" w:color="000000" w:themeColor="text1"/>
          </w:tcBorders>
        </w:tcPr>
        <w:p w14:paraId="77F2D95D" w14:textId="77777777" w:rsidR="00B41FB3" w:rsidRPr="00B41FB3" w:rsidRDefault="00B41FB3" w:rsidP="00B41FB3">
          <w:pPr>
            <w:pStyle w:val="FirstFooter"/>
            <w:rPr>
              <w:sz w:val="18"/>
              <w:szCs w:val="18"/>
            </w:rPr>
          </w:pPr>
          <w:r w:rsidRPr="00B41FB3">
            <w:rPr>
              <w:sz w:val="18"/>
              <w:szCs w:val="18"/>
            </w:rPr>
            <w:t>Для контактов:</w:t>
          </w:r>
        </w:p>
      </w:tc>
      <w:tc>
        <w:tcPr>
          <w:tcW w:w="3260" w:type="dxa"/>
          <w:tcBorders>
            <w:top w:val="single" w:sz="4" w:space="0" w:color="000000" w:themeColor="text1"/>
          </w:tcBorders>
        </w:tcPr>
        <w:p w14:paraId="3A89C776" w14:textId="77777777" w:rsidR="00B41FB3" w:rsidRPr="00B41FB3" w:rsidRDefault="00B41FB3" w:rsidP="00B41FB3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B41FB3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853" w:type="dxa"/>
        </w:tcPr>
        <w:p w14:paraId="1408C29A" w14:textId="40721250" w:rsidR="00B41FB3" w:rsidRPr="00510651" w:rsidRDefault="00B41FB3" w:rsidP="00B41FB3">
          <w:pPr>
            <w:pStyle w:val="FirstFooter"/>
            <w:rPr>
              <w:sz w:val="18"/>
              <w:szCs w:val="18"/>
            </w:rPr>
          </w:pPr>
          <w:r w:rsidRPr="00B41FB3">
            <w:rPr>
              <w:sz w:val="18"/>
              <w:szCs w:val="18"/>
            </w:rPr>
            <w:t>г-н Марко Обизо (Mr Marco Obiso), и.о. руководителя Департамента проектов, партнерств и цифровых навыков Бюро развития электросвязи</w:t>
          </w:r>
        </w:p>
      </w:tc>
      <w:bookmarkStart w:id="10" w:name="OrgName"/>
      <w:bookmarkEnd w:id="10"/>
    </w:tr>
    <w:tr w:rsidR="00B41FB3" w:rsidRPr="00B41FB3" w14:paraId="24729A0D" w14:textId="77777777" w:rsidTr="00B41FB3">
      <w:trPr>
        <w:trHeight w:val="165"/>
      </w:trPr>
      <w:tc>
        <w:tcPr>
          <w:tcW w:w="1526" w:type="dxa"/>
        </w:tcPr>
        <w:p w14:paraId="4221133C" w14:textId="77777777" w:rsidR="00B41FB3" w:rsidRPr="00510651" w:rsidRDefault="00B41FB3" w:rsidP="00B41FB3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09EBAF6E" w14:textId="77777777" w:rsidR="00B41FB3" w:rsidRPr="00B41FB3" w:rsidRDefault="00B41FB3" w:rsidP="00B41FB3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B41FB3">
            <w:rPr>
              <w:sz w:val="18"/>
              <w:szCs w:val="18"/>
            </w:rPr>
            <w:t>Тел.:</w:t>
          </w:r>
        </w:p>
      </w:tc>
      <w:tc>
        <w:tcPr>
          <w:tcW w:w="4853" w:type="dxa"/>
        </w:tcPr>
        <w:p w14:paraId="3A6F737D" w14:textId="7335629F" w:rsidR="00B41FB3" w:rsidRPr="00B41FB3" w:rsidRDefault="00B41FB3" w:rsidP="00B41FB3">
          <w:pPr>
            <w:pStyle w:val="FirstFooter"/>
            <w:rPr>
              <w:sz w:val="18"/>
              <w:szCs w:val="18"/>
              <w:lang w:val="en-US"/>
            </w:rPr>
          </w:pPr>
          <w:r w:rsidRPr="00B41FB3">
            <w:rPr>
              <w:sz w:val="18"/>
              <w:szCs w:val="18"/>
            </w:rPr>
            <w:t>+41 22 730 6760</w:t>
          </w:r>
        </w:p>
      </w:tc>
      <w:bookmarkStart w:id="11" w:name="PhoneNo"/>
      <w:bookmarkEnd w:id="11"/>
    </w:tr>
    <w:tr w:rsidR="00B41FB3" w:rsidRPr="00B41FB3" w14:paraId="03F7B6D0" w14:textId="77777777" w:rsidTr="00B41FB3">
      <w:tc>
        <w:tcPr>
          <w:tcW w:w="1526" w:type="dxa"/>
        </w:tcPr>
        <w:p w14:paraId="5B8CB39F" w14:textId="77777777" w:rsidR="00B41FB3" w:rsidRPr="00B41FB3" w:rsidRDefault="00B41FB3" w:rsidP="00B41FB3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3FD3BEDE" w14:textId="77777777" w:rsidR="00B41FB3" w:rsidRPr="00B41FB3" w:rsidRDefault="00B41FB3" w:rsidP="00B41FB3">
          <w:pPr>
            <w:pStyle w:val="FirstFooter"/>
            <w:ind w:left="3010" w:hanging="3010"/>
            <w:rPr>
              <w:sz w:val="18"/>
              <w:szCs w:val="18"/>
            </w:rPr>
          </w:pPr>
          <w:r w:rsidRPr="00B41FB3">
            <w:rPr>
              <w:sz w:val="18"/>
              <w:szCs w:val="18"/>
            </w:rPr>
            <w:t>Эл.</w:t>
          </w:r>
          <w:r w:rsidRPr="00B41FB3">
            <w:rPr>
              <w:sz w:val="18"/>
              <w:szCs w:val="18"/>
              <w:lang w:val="en-US"/>
            </w:rPr>
            <w:t> </w:t>
          </w:r>
          <w:r w:rsidRPr="00B41FB3">
            <w:rPr>
              <w:sz w:val="18"/>
              <w:szCs w:val="18"/>
            </w:rPr>
            <w:t>почта:</w:t>
          </w:r>
        </w:p>
      </w:tc>
      <w:tc>
        <w:tcPr>
          <w:tcW w:w="4853" w:type="dxa"/>
        </w:tcPr>
        <w:p w14:paraId="1AABA538" w14:textId="2B7DC2EE" w:rsidR="00B41FB3" w:rsidRPr="00B41FB3" w:rsidRDefault="00B41FB3" w:rsidP="00B41FB3">
          <w:pPr>
            <w:pStyle w:val="FirstFooter"/>
            <w:rPr>
              <w:rStyle w:val="Hyperlink"/>
              <w:sz w:val="18"/>
              <w:szCs w:val="18"/>
            </w:rPr>
          </w:pPr>
          <w:hyperlink r:id="rId1">
            <w:r w:rsidRPr="00B41FB3">
              <w:rPr>
                <w:rStyle w:val="Hyperlink"/>
                <w:sz w:val="18"/>
                <w:szCs w:val="18"/>
              </w:rPr>
              <w:t>marco.obiso@itu.int</w:t>
            </w:r>
          </w:hyperlink>
        </w:p>
      </w:tc>
      <w:bookmarkStart w:id="12" w:name="Email"/>
      <w:bookmarkEnd w:id="12"/>
    </w:tr>
  </w:tbl>
  <w:p w14:paraId="512CFE63" w14:textId="77777777" w:rsidR="00F723AC" w:rsidRPr="00F723AC" w:rsidRDefault="00F723AC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22B73" w14:textId="77777777" w:rsidR="00B41FB3" w:rsidRPr="0054377E" w:rsidRDefault="00B41FB3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338064A0" w14:textId="77777777" w:rsidR="00B41FB3" w:rsidRDefault="00B41FB3" w:rsidP="0054377E">
      <w:pPr>
        <w:spacing w:before="0"/>
      </w:pPr>
      <w:r>
        <w:continuationSeparator/>
      </w:r>
    </w:p>
    <w:p w14:paraId="5FA10C64" w14:textId="77777777" w:rsidR="00B41FB3" w:rsidRPr="00510651" w:rsidRDefault="00B41FB3"/>
  </w:footnote>
  <w:footnote w:type="continuationNotice" w:id="1">
    <w:p w14:paraId="04EF110C" w14:textId="77777777" w:rsidR="00B41FB3" w:rsidRDefault="00B41FB3">
      <w:pPr>
        <w:spacing w:before="0"/>
      </w:pPr>
    </w:p>
    <w:p w14:paraId="626DB0CE" w14:textId="77777777" w:rsidR="00B41FB3" w:rsidRDefault="00B41FB3"/>
  </w:footnote>
  <w:footnote w:id="2">
    <w:p w14:paraId="19D56014" w14:textId="57F37369" w:rsidR="00B41FB3" w:rsidRPr="001E6BA5" w:rsidRDefault="00B41FB3" w:rsidP="00B65E11">
      <w:pPr>
        <w:pStyle w:val="FootnoteText"/>
      </w:pPr>
      <w:r w:rsidRPr="00B65E11">
        <w:rPr>
          <w:rStyle w:val="FootnoteReference"/>
          <w:szCs w:val="16"/>
        </w:rPr>
        <w:footnoteRef/>
      </w:r>
      <w:r w:rsidR="00B65E11">
        <w:tab/>
      </w:r>
      <w:r w:rsidRPr="00B65E11">
        <w:t>Полный</w:t>
      </w:r>
      <w:r w:rsidRPr="001E6BA5">
        <w:t xml:space="preserve"> список соглашений см. в Документе </w:t>
      </w:r>
      <w:hyperlink r:id="rId1" w:history="1">
        <w:r w:rsidRPr="001E6BA5">
          <w:rPr>
            <w:rStyle w:val="Hyperlink"/>
          </w:rPr>
          <w:t>TDAG-26/INF/1</w:t>
        </w:r>
      </w:hyperlink>
      <w:r w:rsidRPr="001E6BA5">
        <w:t>.</w:t>
      </w:r>
      <w:hyperlink r:id="rId2" w:history="1"/>
    </w:p>
  </w:footnote>
  <w:footnote w:id="3">
    <w:p w14:paraId="29D3973D" w14:textId="70C5D030" w:rsidR="00B41FB3" w:rsidRPr="00A47D11" w:rsidRDefault="00B41FB3" w:rsidP="008652BD">
      <w:pPr>
        <w:pStyle w:val="FootnoteText"/>
        <w:rPr>
          <w:lang w:val="pl-PL"/>
        </w:rPr>
      </w:pPr>
      <w:r w:rsidRPr="008652BD">
        <w:rPr>
          <w:rStyle w:val="FootnoteReference"/>
        </w:rPr>
        <w:footnoteRef/>
      </w:r>
      <w:r w:rsidR="008652BD" w:rsidRPr="00A47D11">
        <w:rPr>
          <w:lang w:val="pl-PL"/>
        </w:rPr>
        <w:tab/>
      </w:r>
      <w:r w:rsidRPr="00A47D11">
        <w:rPr>
          <w:lang w:val="pl-PL"/>
        </w:rPr>
        <w:t xml:space="preserve">URL: </w:t>
      </w:r>
      <w:hyperlink r:id="rId3" w:history="1">
        <w:r w:rsidRPr="00A47D11">
          <w:rPr>
            <w:rStyle w:val="Hyperlink"/>
            <w:lang w:val="pl-PL"/>
          </w:rPr>
          <w:t>https://www.itu.int/hub/membership/our-members/</w:t>
        </w:r>
      </w:hyperlink>
      <w:r w:rsidRPr="00A47D11">
        <w:rPr>
          <w:lang w:val="pl-PL"/>
        </w:rPr>
        <w:t xml:space="preserve">. </w:t>
      </w:r>
      <w:hyperlink r:id="rId4" w:history="1"/>
    </w:p>
  </w:footnote>
  <w:footnote w:id="4">
    <w:p w14:paraId="355DCCF0" w14:textId="0EF62F22" w:rsidR="00B41FB3" w:rsidRPr="001E6BA5" w:rsidRDefault="00B41FB3" w:rsidP="008652BD">
      <w:pPr>
        <w:pStyle w:val="FootnoteText"/>
      </w:pPr>
      <w:r w:rsidRPr="008652BD">
        <w:rPr>
          <w:rStyle w:val="FootnoteReference"/>
        </w:rPr>
        <w:footnoteRef/>
      </w:r>
      <w:r w:rsidR="008652BD">
        <w:tab/>
      </w:r>
      <w:r w:rsidRPr="008652BD">
        <w:t>Полный</w:t>
      </w:r>
      <w:r w:rsidRPr="001E6BA5">
        <w:t xml:space="preserve"> список финансовых партнеров см. в Документе </w:t>
      </w:r>
      <w:hyperlink r:id="rId5" w:history="1">
        <w:r w:rsidRPr="000442FA">
          <w:rPr>
            <w:rStyle w:val="Hyperlink"/>
          </w:rPr>
          <w:t>TDAG</w:t>
        </w:r>
        <w:r w:rsidRPr="00A0256F">
          <w:rPr>
            <w:rStyle w:val="Hyperlink"/>
          </w:rPr>
          <w:t>-26/</w:t>
        </w:r>
        <w:r w:rsidRPr="000442FA">
          <w:rPr>
            <w:rStyle w:val="Hyperlink"/>
          </w:rPr>
          <w:t>INF</w:t>
        </w:r>
        <w:r w:rsidRPr="00A0256F">
          <w:rPr>
            <w:rStyle w:val="Hyperlink"/>
          </w:rPr>
          <w:t>/1</w:t>
        </w:r>
      </w:hyperlink>
      <w:r w:rsidRPr="001E6BA5">
        <w:t>.</w:t>
      </w:r>
      <w:hyperlink r:id="rId6" w:history="1"/>
    </w:p>
  </w:footnote>
  <w:footnote w:id="5">
    <w:p w14:paraId="6A8BDB7E" w14:textId="00A6715C" w:rsidR="00B41FB3" w:rsidRPr="001E6BA5" w:rsidRDefault="00B41FB3" w:rsidP="003D5C48">
      <w:pPr>
        <w:pStyle w:val="FootnoteText"/>
      </w:pPr>
      <w:r w:rsidRPr="003D5C48">
        <w:rPr>
          <w:rStyle w:val="FootnoteReference"/>
        </w:rPr>
        <w:footnoteRef/>
      </w:r>
      <w:r w:rsidR="00510651" w:rsidRPr="00A47D11">
        <w:tab/>
      </w:r>
      <w:r w:rsidRPr="003D5C48">
        <w:rPr>
          <w:color w:val="0000FF"/>
          <w:u w:val="single"/>
        </w:rPr>
        <w:t>https://www.itu.int/en/ITU-D/MembersPartners/Pages/Partners/List-of-Partners.aspx</w:t>
      </w:r>
      <w:r w:rsidR="003D5C48" w:rsidRPr="00C27BE2">
        <w:t>.</w:t>
      </w:r>
      <w:hyperlink r:id="rId7" w:history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E3263" w14:textId="45823CB3" w:rsidR="00636181" w:rsidRPr="00CE66E4" w:rsidRDefault="00636181" w:rsidP="00CE66E4">
    <w:pPr>
      <w:tabs>
        <w:tab w:val="clear" w:pos="1134"/>
        <w:tab w:val="clear" w:pos="1871"/>
        <w:tab w:val="clear" w:pos="2268"/>
        <w:tab w:val="center" w:pos="4820"/>
        <w:tab w:val="right" w:pos="14003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r w:rsidRPr="00CE66E4">
      <w:rPr>
        <w:sz w:val="20"/>
        <w:lang w:val="es-ES_tradnl"/>
      </w:rPr>
      <w:t>TDAG-2</w:t>
    </w:r>
    <w:r w:rsidR="000674FE">
      <w:rPr>
        <w:sz w:val="20"/>
      </w:rPr>
      <w:t>6</w:t>
    </w:r>
    <w:r w:rsidRPr="00CE66E4">
      <w:rPr>
        <w:sz w:val="20"/>
        <w:lang w:val="es-ES_tradnl"/>
      </w:rPr>
      <w:t>/</w:t>
    </w:r>
    <w:r w:rsidR="00B41FB3">
      <w:rPr>
        <w:sz w:val="20"/>
      </w:rPr>
      <w:t>9</w:t>
    </w:r>
    <w:r w:rsidRPr="00CE66E4">
      <w:rPr>
        <w:sz w:val="20"/>
        <w:lang w:val="es-ES_tradnl"/>
      </w:rPr>
      <w:t>-</w:t>
    </w:r>
    <w:r w:rsidR="007606A7" w:rsidRPr="00CE66E4">
      <w:rPr>
        <w:sz w:val="20"/>
        <w:lang w:val="es-ES_tradnl"/>
      </w:rPr>
      <w:t>R</w:t>
    </w:r>
    <w:r w:rsidRPr="00CE66E4">
      <w:rPr>
        <w:sz w:val="20"/>
        <w:lang w:val="es-ES_tradnl"/>
      </w:rPr>
      <w:tab/>
    </w:r>
    <w:r w:rsidR="007606A7"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 w:rsidR="00893B2C" w:rsidRPr="00CE66E4">
      <w:rPr>
        <w:noProof/>
        <w:sz w:val="20"/>
        <w:lang w:val="es-ES_tradnl"/>
      </w:rPr>
      <w:t>19</w:t>
    </w:r>
    <w:r w:rsidRPr="00CE66E4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5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6" w15:restartNumberingAfterBreak="0">
    <w:nsid w:val="36E82194"/>
    <w:multiLevelType w:val="hybridMultilevel"/>
    <w:tmpl w:val="A62C5606"/>
    <w:lvl w:ilvl="0" w:tplc="93E64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2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844A0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2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8336415">
    <w:abstractNumId w:val="0"/>
  </w:num>
  <w:num w:numId="2" w16cid:durableId="135819397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520630542">
    <w:abstractNumId w:val="40"/>
  </w:num>
  <w:num w:numId="4" w16cid:durableId="1830174465">
    <w:abstractNumId w:val="3"/>
  </w:num>
  <w:num w:numId="5" w16cid:durableId="1479105461">
    <w:abstractNumId w:val="31"/>
  </w:num>
  <w:num w:numId="6" w16cid:durableId="869954702">
    <w:abstractNumId w:val="38"/>
  </w:num>
  <w:num w:numId="7" w16cid:durableId="444734477">
    <w:abstractNumId w:val="4"/>
  </w:num>
  <w:num w:numId="8" w16cid:durableId="362947223">
    <w:abstractNumId w:val="13"/>
  </w:num>
  <w:num w:numId="9" w16cid:durableId="458111764">
    <w:abstractNumId w:val="6"/>
  </w:num>
  <w:num w:numId="10" w16cid:durableId="1195534353">
    <w:abstractNumId w:val="12"/>
  </w:num>
  <w:num w:numId="11" w16cid:durableId="1826580952">
    <w:abstractNumId w:val="29"/>
  </w:num>
  <w:num w:numId="12" w16cid:durableId="1514690498">
    <w:abstractNumId w:val="37"/>
  </w:num>
  <w:num w:numId="13" w16cid:durableId="1235118698">
    <w:abstractNumId w:val="2"/>
  </w:num>
  <w:num w:numId="14" w16cid:durableId="509291828">
    <w:abstractNumId w:val="5"/>
  </w:num>
  <w:num w:numId="15" w16cid:durableId="383218916">
    <w:abstractNumId w:val="11"/>
  </w:num>
  <w:num w:numId="16" w16cid:durableId="1227569663">
    <w:abstractNumId w:val="8"/>
  </w:num>
  <w:num w:numId="17" w16cid:durableId="810974550">
    <w:abstractNumId w:val="43"/>
  </w:num>
  <w:num w:numId="18" w16cid:durableId="1354573477">
    <w:abstractNumId w:val="35"/>
  </w:num>
  <w:num w:numId="19" w16cid:durableId="435754545">
    <w:abstractNumId w:val="18"/>
  </w:num>
  <w:num w:numId="20" w16cid:durableId="1066875134">
    <w:abstractNumId w:val="28"/>
  </w:num>
  <w:num w:numId="21" w16cid:durableId="1689939216">
    <w:abstractNumId w:val="27"/>
  </w:num>
  <w:num w:numId="22" w16cid:durableId="1257783837">
    <w:abstractNumId w:val="44"/>
  </w:num>
  <w:num w:numId="23" w16cid:durableId="970285242">
    <w:abstractNumId w:val="23"/>
  </w:num>
  <w:num w:numId="24" w16cid:durableId="1876889861">
    <w:abstractNumId w:val="17"/>
  </w:num>
  <w:num w:numId="25" w16cid:durableId="138228398">
    <w:abstractNumId w:val="20"/>
  </w:num>
  <w:num w:numId="26" w16cid:durableId="1871145006">
    <w:abstractNumId w:val="21"/>
  </w:num>
  <w:num w:numId="27" w16cid:durableId="1946108508">
    <w:abstractNumId w:val="24"/>
  </w:num>
  <w:num w:numId="28" w16cid:durableId="1629045729">
    <w:abstractNumId w:val="10"/>
  </w:num>
  <w:num w:numId="29" w16cid:durableId="2010906637">
    <w:abstractNumId w:val="25"/>
  </w:num>
  <w:num w:numId="30" w16cid:durableId="290525213">
    <w:abstractNumId w:val="42"/>
  </w:num>
  <w:num w:numId="31" w16cid:durableId="191966975">
    <w:abstractNumId w:val="26"/>
  </w:num>
  <w:num w:numId="32" w16cid:durableId="2014406757">
    <w:abstractNumId w:val="32"/>
  </w:num>
  <w:num w:numId="33" w16cid:durableId="648558829">
    <w:abstractNumId w:val="19"/>
  </w:num>
  <w:num w:numId="34" w16cid:durableId="2071807613">
    <w:abstractNumId w:val="9"/>
  </w:num>
  <w:num w:numId="35" w16cid:durableId="271744889">
    <w:abstractNumId w:val="36"/>
  </w:num>
  <w:num w:numId="36" w16cid:durableId="1457527817">
    <w:abstractNumId w:val="22"/>
  </w:num>
  <w:num w:numId="37" w16cid:durableId="106610108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3069455">
    <w:abstractNumId w:val="33"/>
  </w:num>
  <w:num w:numId="39" w16cid:durableId="359361948">
    <w:abstractNumId w:val="39"/>
  </w:num>
  <w:num w:numId="40" w16cid:durableId="1037706265">
    <w:abstractNumId w:val="7"/>
  </w:num>
  <w:num w:numId="41" w16cid:durableId="447436251">
    <w:abstractNumId w:val="45"/>
  </w:num>
  <w:num w:numId="42" w16cid:durableId="655766109">
    <w:abstractNumId w:val="15"/>
  </w:num>
  <w:num w:numId="43" w16cid:durableId="577523632">
    <w:abstractNumId w:val="14"/>
  </w:num>
  <w:num w:numId="44" w16cid:durableId="1138063662">
    <w:abstractNumId w:val="41"/>
  </w:num>
  <w:num w:numId="45" w16cid:durableId="1936010611">
    <w:abstractNumId w:val="34"/>
  </w:num>
  <w:num w:numId="46" w16cid:durableId="9750658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intFractionalCharacterWidth/>
  <w:embedSystemFonts/>
  <w:proofState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39F4"/>
    <w:rsid w:val="000150B0"/>
    <w:rsid w:val="00015E52"/>
    <w:rsid w:val="00021004"/>
    <w:rsid w:val="00022A29"/>
    <w:rsid w:val="00025926"/>
    <w:rsid w:val="00025965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674FE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108"/>
    <w:rsid w:val="000C2592"/>
    <w:rsid w:val="000C42BA"/>
    <w:rsid w:val="000C4FD1"/>
    <w:rsid w:val="000D1759"/>
    <w:rsid w:val="000D38EB"/>
    <w:rsid w:val="000D4875"/>
    <w:rsid w:val="000D6891"/>
    <w:rsid w:val="000D6E8D"/>
    <w:rsid w:val="000D6EAB"/>
    <w:rsid w:val="000E1F4F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7FC6"/>
    <w:rsid w:val="001424DC"/>
    <w:rsid w:val="00143A87"/>
    <w:rsid w:val="00144E69"/>
    <w:rsid w:val="00146F6F"/>
    <w:rsid w:val="0014714E"/>
    <w:rsid w:val="00147DA1"/>
    <w:rsid w:val="00152957"/>
    <w:rsid w:val="00166196"/>
    <w:rsid w:val="001664A7"/>
    <w:rsid w:val="00167327"/>
    <w:rsid w:val="00167A9D"/>
    <w:rsid w:val="00170C5A"/>
    <w:rsid w:val="00171758"/>
    <w:rsid w:val="00174C26"/>
    <w:rsid w:val="0017500F"/>
    <w:rsid w:val="00176991"/>
    <w:rsid w:val="00180444"/>
    <w:rsid w:val="001832B9"/>
    <w:rsid w:val="001833E1"/>
    <w:rsid w:val="00185737"/>
    <w:rsid w:val="00187BD9"/>
    <w:rsid w:val="0019060A"/>
    <w:rsid w:val="00190B55"/>
    <w:rsid w:val="00191F5C"/>
    <w:rsid w:val="00192FA9"/>
    <w:rsid w:val="00194CFB"/>
    <w:rsid w:val="001A1FFD"/>
    <w:rsid w:val="001A3858"/>
    <w:rsid w:val="001A4BD2"/>
    <w:rsid w:val="001A4DE4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1E70FF"/>
    <w:rsid w:val="001F2F69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978E6"/>
    <w:rsid w:val="002A0A7A"/>
    <w:rsid w:val="002A0D8C"/>
    <w:rsid w:val="002A27F8"/>
    <w:rsid w:val="002A51DF"/>
    <w:rsid w:val="002A684E"/>
    <w:rsid w:val="002A6C06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3F7C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61609"/>
    <w:rsid w:val="00364098"/>
    <w:rsid w:val="00366978"/>
    <w:rsid w:val="0037003F"/>
    <w:rsid w:val="00372BCF"/>
    <w:rsid w:val="00373365"/>
    <w:rsid w:val="00377BD3"/>
    <w:rsid w:val="003807EA"/>
    <w:rsid w:val="003829D8"/>
    <w:rsid w:val="0038304D"/>
    <w:rsid w:val="00384088"/>
    <w:rsid w:val="0038489B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532E"/>
    <w:rsid w:val="003B6306"/>
    <w:rsid w:val="003B6602"/>
    <w:rsid w:val="003B6F14"/>
    <w:rsid w:val="003B6F60"/>
    <w:rsid w:val="003C1870"/>
    <w:rsid w:val="003C5DD6"/>
    <w:rsid w:val="003C6136"/>
    <w:rsid w:val="003D0F8B"/>
    <w:rsid w:val="003D39F2"/>
    <w:rsid w:val="003D5A63"/>
    <w:rsid w:val="003D5C48"/>
    <w:rsid w:val="003D6425"/>
    <w:rsid w:val="003D66A7"/>
    <w:rsid w:val="003D7EE8"/>
    <w:rsid w:val="003E3B14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0B7C"/>
    <w:rsid w:val="00421605"/>
    <w:rsid w:val="00422A51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2FC1"/>
    <w:rsid w:val="004755BA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3CDF"/>
    <w:rsid w:val="004A3FF4"/>
    <w:rsid w:val="004A7674"/>
    <w:rsid w:val="004A783D"/>
    <w:rsid w:val="004B13CB"/>
    <w:rsid w:val="004B2111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3C01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51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2A8A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F17"/>
    <w:rsid w:val="005C4740"/>
    <w:rsid w:val="005D0BEA"/>
    <w:rsid w:val="005D4916"/>
    <w:rsid w:val="005E032D"/>
    <w:rsid w:val="005E0641"/>
    <w:rsid w:val="005E0D2B"/>
    <w:rsid w:val="005E10C9"/>
    <w:rsid w:val="005E228E"/>
    <w:rsid w:val="005E61DD"/>
    <w:rsid w:val="005E6321"/>
    <w:rsid w:val="005F5413"/>
    <w:rsid w:val="005F7D38"/>
    <w:rsid w:val="00600B9C"/>
    <w:rsid w:val="006023DF"/>
    <w:rsid w:val="0060693B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774C6"/>
    <w:rsid w:val="00680225"/>
    <w:rsid w:val="00685313"/>
    <w:rsid w:val="00690B44"/>
    <w:rsid w:val="006912F3"/>
    <w:rsid w:val="00696E7A"/>
    <w:rsid w:val="006A0D14"/>
    <w:rsid w:val="006A47E5"/>
    <w:rsid w:val="006A6E9B"/>
    <w:rsid w:val="006A747C"/>
    <w:rsid w:val="006B1038"/>
    <w:rsid w:val="006B502E"/>
    <w:rsid w:val="006B5AA9"/>
    <w:rsid w:val="006B73C2"/>
    <w:rsid w:val="006B7C2A"/>
    <w:rsid w:val="006B7CC5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06A7"/>
    <w:rsid w:val="00761CEF"/>
    <w:rsid w:val="007654FE"/>
    <w:rsid w:val="00765BA5"/>
    <w:rsid w:val="007664D4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4F6C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578"/>
    <w:rsid w:val="00863FC4"/>
    <w:rsid w:val="008652BD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23FE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1A73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51816"/>
    <w:rsid w:val="00952A66"/>
    <w:rsid w:val="00953C32"/>
    <w:rsid w:val="00964C68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3F7C"/>
    <w:rsid w:val="009E5FC8"/>
    <w:rsid w:val="009E687A"/>
    <w:rsid w:val="009E72E7"/>
    <w:rsid w:val="009F1203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59A2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47D11"/>
    <w:rsid w:val="00A524E6"/>
    <w:rsid w:val="00A53605"/>
    <w:rsid w:val="00A538A6"/>
    <w:rsid w:val="00A54C25"/>
    <w:rsid w:val="00A56C71"/>
    <w:rsid w:val="00A612BB"/>
    <w:rsid w:val="00A6199D"/>
    <w:rsid w:val="00A62F7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B59A0"/>
    <w:rsid w:val="00AC007A"/>
    <w:rsid w:val="00AC034F"/>
    <w:rsid w:val="00AC1A8E"/>
    <w:rsid w:val="00AC4C17"/>
    <w:rsid w:val="00AC4DB5"/>
    <w:rsid w:val="00AD0AEB"/>
    <w:rsid w:val="00AD4C7B"/>
    <w:rsid w:val="00AE1244"/>
    <w:rsid w:val="00AE7CD5"/>
    <w:rsid w:val="00AF17A2"/>
    <w:rsid w:val="00AF2081"/>
    <w:rsid w:val="00AF2664"/>
    <w:rsid w:val="00AF45E8"/>
    <w:rsid w:val="00AF57EF"/>
    <w:rsid w:val="00B004E5"/>
    <w:rsid w:val="00B053F3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367"/>
    <w:rsid w:val="00B41FB3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5E11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A48E4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0022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3710"/>
    <w:rsid w:val="00C87447"/>
    <w:rsid w:val="00C90579"/>
    <w:rsid w:val="00C976EE"/>
    <w:rsid w:val="00C97C68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B76A2"/>
    <w:rsid w:val="00CC247A"/>
    <w:rsid w:val="00CC41F6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66E4"/>
    <w:rsid w:val="00CE7A25"/>
    <w:rsid w:val="00CF020F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4CE0"/>
    <w:rsid w:val="00D217E0"/>
    <w:rsid w:val="00D233CB"/>
    <w:rsid w:val="00D27D0F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347"/>
    <w:rsid w:val="00DF2D60"/>
    <w:rsid w:val="00DF6F8E"/>
    <w:rsid w:val="00E02014"/>
    <w:rsid w:val="00E03C94"/>
    <w:rsid w:val="00E03CF8"/>
    <w:rsid w:val="00E06AEA"/>
    <w:rsid w:val="00E07105"/>
    <w:rsid w:val="00E11115"/>
    <w:rsid w:val="00E12074"/>
    <w:rsid w:val="00E1307C"/>
    <w:rsid w:val="00E17BAD"/>
    <w:rsid w:val="00E21B22"/>
    <w:rsid w:val="00E236C9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28F8"/>
    <w:rsid w:val="00E5442B"/>
    <w:rsid w:val="00E55816"/>
    <w:rsid w:val="00E55AEF"/>
    <w:rsid w:val="00E61442"/>
    <w:rsid w:val="00E64779"/>
    <w:rsid w:val="00E64B4B"/>
    <w:rsid w:val="00E66A93"/>
    <w:rsid w:val="00E71B64"/>
    <w:rsid w:val="00E81961"/>
    <w:rsid w:val="00E82877"/>
    <w:rsid w:val="00E83BBB"/>
    <w:rsid w:val="00E84088"/>
    <w:rsid w:val="00E90BE9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AE6"/>
    <w:rsid w:val="00EB4C45"/>
    <w:rsid w:val="00EC00DF"/>
    <w:rsid w:val="00EC0FC2"/>
    <w:rsid w:val="00EC3585"/>
    <w:rsid w:val="00EC6B65"/>
    <w:rsid w:val="00ED29AB"/>
    <w:rsid w:val="00ED335C"/>
    <w:rsid w:val="00ED44A8"/>
    <w:rsid w:val="00ED55BD"/>
    <w:rsid w:val="00ED5AAF"/>
    <w:rsid w:val="00EE3198"/>
    <w:rsid w:val="00EE4646"/>
    <w:rsid w:val="00EE67EC"/>
    <w:rsid w:val="00EF33D5"/>
    <w:rsid w:val="00EF481F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1D10"/>
    <w:rsid w:val="00F266D5"/>
    <w:rsid w:val="00F277F9"/>
    <w:rsid w:val="00F339E3"/>
    <w:rsid w:val="00F340C8"/>
    <w:rsid w:val="00F349CB"/>
    <w:rsid w:val="00F354F7"/>
    <w:rsid w:val="00F357E0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23AC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323D"/>
    <w:rsid w:val="00F94FEF"/>
    <w:rsid w:val="00F971FB"/>
    <w:rsid w:val="00FA4CD4"/>
    <w:rsid w:val="00FA579C"/>
    <w:rsid w:val="00FA668B"/>
    <w:rsid w:val="00FB20E0"/>
    <w:rsid w:val="00FB34B9"/>
    <w:rsid w:val="00FC0BEF"/>
    <w:rsid w:val="00FC1EC2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4D2F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6D0E82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77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E64779"/>
    <w:pPr>
      <w:keepNext/>
      <w:keepLines/>
      <w:spacing w:before="36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E64779"/>
    <w:pPr>
      <w:spacing w:before="24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EB4AE6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EB4AE6"/>
    <w:pPr>
      <w:overflowPunct/>
      <w:autoSpaceDE/>
      <w:autoSpaceDN/>
      <w:adjustRightInd/>
      <w:spacing w:before="240"/>
      <w:jc w:val="center"/>
      <w:textAlignment w:val="auto"/>
    </w:pPr>
    <w:rPr>
      <w:sz w:val="26"/>
      <w:lang w:val="es-ES_tradnl"/>
    </w:rPr>
  </w:style>
  <w:style w:type="paragraph" w:customStyle="1" w:styleId="AnnexNo">
    <w:name w:val="Annex_No"/>
    <w:basedOn w:val="Normal"/>
    <w:next w:val="Normal"/>
    <w:rsid w:val="00EB4AE6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EB4AE6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EB4AE6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qFormat/>
    <w:rsid w:val="00EB4AE6"/>
    <w:rPr>
      <w:rFonts w:asciiTheme="minorHAnsi" w:hAnsiTheme="minorHAnsi"/>
      <w:position w:val="6"/>
      <w:sz w:val="16"/>
    </w:rPr>
  </w:style>
  <w:style w:type="paragraph" w:styleId="FootnoteText">
    <w:name w:val="footnote text"/>
    <w:basedOn w:val="Normal"/>
    <w:link w:val="FootnoteTextChar"/>
    <w:qFormat/>
    <w:rsid w:val="00EB4AE6"/>
    <w:pPr>
      <w:keepLines/>
      <w:tabs>
        <w:tab w:val="clear" w:pos="1134"/>
        <w:tab w:val="clear" w:pos="1871"/>
        <w:tab w:val="clear" w:pos="2268"/>
        <w:tab w:val="left" w:pos="284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qFormat/>
    <w:rsid w:val="00EB4AE6"/>
    <w:rPr>
      <w:rFonts w:ascii="Calibri" w:hAnsi="Calibri"/>
      <w:lang w:val="ru-RU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EB4AE6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</w:style>
  <w:style w:type="paragraph" w:customStyle="1" w:styleId="QuestionNo">
    <w:name w:val="Question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Questiontitle">
    <w:name w:val="Question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CB76A2"/>
    <w:pPr>
      <w:spacing w:before="240"/>
    </w:pPr>
    <w:rPr>
      <w:b w:val="0"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</w:style>
  <w:style w:type="paragraph" w:customStyle="1" w:styleId="RecNo">
    <w:name w:val="Rec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EB4AE6"/>
  </w:style>
  <w:style w:type="paragraph" w:customStyle="1" w:styleId="AppArttitle">
    <w:name w:val="App_Art_title"/>
    <w:basedOn w:val="Arttitle"/>
    <w:qFormat/>
    <w:rsid w:val="00A066F1"/>
  </w:style>
  <w:style w:type="paragraph" w:customStyle="1" w:styleId="Opiniontitle">
    <w:name w:val="Opinion_title"/>
    <w:basedOn w:val="Rectitle"/>
    <w:next w:val="Normalaftertitle"/>
    <w:qFormat/>
    <w:rsid w:val="00EB4AE6"/>
  </w:style>
  <w:style w:type="paragraph" w:customStyle="1" w:styleId="OpinionNo">
    <w:name w:val="Opinion_No"/>
    <w:basedOn w:val="RecNo"/>
    <w:next w:val="Opiniontitle"/>
    <w:qFormat/>
    <w:rsid w:val="00EB4AE6"/>
  </w:style>
  <w:style w:type="paragraph" w:customStyle="1" w:styleId="Volumetitle">
    <w:name w:val="Volume_title"/>
    <w:basedOn w:val="Normal"/>
    <w:qFormat/>
    <w:rsid w:val="00EB4AE6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uiPriority w:val="59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character" w:customStyle="1" w:styleId="HeadingbChar">
    <w:name w:val="Heading_b Char"/>
    <w:basedOn w:val="DefaultParagraphFont"/>
    <w:link w:val="Headingb"/>
    <w:locked/>
    <w:rsid w:val="005E032D"/>
    <w:rPr>
      <w:rFonts w:asciiTheme="minorHAnsi" w:hAnsiTheme="minorHAnsi" w:cs="Times New Roman Bold"/>
      <w:b/>
      <w:sz w:val="24"/>
      <w:lang w:val="fr-CH" w:eastAsia="en-US"/>
    </w:rPr>
  </w:style>
  <w:style w:type="paragraph" w:styleId="ListParagraph">
    <w:name w:val="List Paragraph"/>
    <w:aliases w:val="List Paragraph1,Recommendation,List Paragraph11,O5,Para_sk,Resume Title,- Bullets,Equipment,Numbered Indented Text,Figure_name"/>
    <w:basedOn w:val="Normal"/>
    <w:link w:val="ListParagraphChar"/>
    <w:uiPriority w:val="34"/>
    <w:qFormat/>
    <w:rsid w:val="00B41FB3"/>
    <w:pPr>
      <w:ind w:left="720"/>
      <w:contextualSpacing/>
    </w:pPr>
    <w:rPr>
      <w:rFonts w:asciiTheme="minorHAnsi" w:hAnsiTheme="minorHAnsi"/>
      <w:sz w:val="24"/>
      <w:lang w:val="en-GB"/>
    </w:r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"/>
    <w:link w:val="ListParagraph"/>
    <w:uiPriority w:val="34"/>
    <w:qFormat/>
    <w:rsid w:val="00B41FB3"/>
    <w:rPr>
      <w:rFonts w:asciiTheme="minorHAnsi" w:hAnsiTheme="minorHAnsi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https://www.itu.int/md/D26-TDAG33-INF-0001/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microsoft.com/office/2014/relationships/chartEx" Target="charts/chartEx1.xml"/><Relationship Id="rId17" Type="http://schemas.openxmlformats.org/officeDocument/2006/relationships/hyperlink" Target="https://www.itu.int/md/D26-TDAG33-INF-0001/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hyperlink" Target="https://www.itu.int/itu-d/sites/digital-impact-unlocked/all-stories/list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itu.int/itu-d/sites/digital-impact-unlocked/all-stories/list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co.obiso@itu.int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tu.int/hub/membership/our-members/" TargetMode="External"/><Relationship Id="rId7" Type="http://schemas.openxmlformats.org/officeDocument/2006/relationships/hyperlink" Target="https://www.itu.int/en/ITU-D/MembersPartners/Pages/Partners/List-of-Partners.aspx" TargetMode="External"/><Relationship Id="rId2" Type="http://schemas.openxmlformats.org/officeDocument/2006/relationships/hyperlink" Target="https://www.itu.int/md/D26-TDAG33-INF-0001/" TargetMode="External"/><Relationship Id="rId1" Type="http://schemas.openxmlformats.org/officeDocument/2006/relationships/hyperlink" Target="https://www.itu.int/md/D26-TDAG33-INF-0001/" TargetMode="External"/><Relationship Id="rId6" Type="http://schemas.openxmlformats.org/officeDocument/2006/relationships/hyperlink" Target="https://www.itu.int/md/D26-TDAG33-INF-0001/" TargetMode="External"/><Relationship Id="rId5" Type="http://schemas.openxmlformats.org/officeDocument/2006/relationships/hyperlink" Target="https://www.itu.int/md/D26-TDAG33-INF-0001/" TargetMode="External"/><Relationship Id="rId4" Type="http://schemas.openxmlformats.org/officeDocument/2006/relationships/hyperlink" Target="https://www.itu.int/hub/membership/our-members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blue\dfs\pool\RUS\2600525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blue\dfs\pool\RUS\2600525E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blue\dfs\pool\RUS\2600525E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\\blue\dfs\pool\RUS\2600525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b="1" i="0" u="none" strike="noStrike" baseline="0">
                <a:solidFill>
                  <a:schemeClr val="tx1">
                    <a:lumMod val="75000"/>
                    <a:lumOff val="25000"/>
                  </a:schemeClr>
                </a:solidFill>
                <a:effectLst/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rPr>
              <a:t>Договоры о финансовых взносах, подписанные с партнерами (2025 г.)</a:t>
            </a:r>
            <a:endParaRPr lang="fr-CH" sz="1100" b="1">
              <a:solidFill>
                <a:schemeClr val="tx1">
                  <a:lumMod val="75000"/>
                  <a:lumOff val="25000"/>
                </a:schemeClr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endParaRPr>
          </a:p>
        </c:rich>
      </c:tx>
      <c:layout>
        <c:manualLayout>
          <c:xMode val="edge"/>
          <c:yMode val="edge"/>
          <c:x val="0.12874085198773996"/>
          <c:y val="5.843709272687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CH"/>
        </a:p>
      </c:txPr>
    </c:title>
    <c:autoTitleDeleted val="0"/>
    <c:plotArea>
      <c:layout>
        <c:manualLayout>
          <c:layoutTarget val="inner"/>
          <c:xMode val="edge"/>
          <c:yMode val="edge"/>
          <c:x val="0.57971120223390604"/>
          <c:y val="0.27452316103590829"/>
          <c:w val="0.25679236581050374"/>
          <c:h val="0.6135575779117140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52F-4BA6-AA70-4538A40523AF}"/>
              </c:ext>
            </c:extLst>
          </c:dPt>
          <c:dPt>
            <c:idx val="1"/>
            <c:bubble3D val="0"/>
            <c:explosion val="7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52F-4BA6-AA70-4538A40523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52F-4BA6-AA70-4538A40523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52F-4BA6-AA70-4538A40523AF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52F-4BA6-AA70-4538A40523AF}"/>
              </c:ext>
            </c:extLst>
          </c:dPt>
          <c:dLbls>
            <c:dLbl>
              <c:idx val="1"/>
              <c:layout>
                <c:manualLayout>
                  <c:x val="1.4412216044879375E-2"/>
                  <c:y val="-4.20492645105345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52F-4BA6-AA70-4538A40523AF}"/>
                </c:ext>
              </c:extLst>
            </c:dLbl>
            <c:dLbl>
              <c:idx val="4"/>
              <c:layout>
                <c:manualLayout>
                  <c:x val="-3.4954382634164549E-3"/>
                  <c:y val="6.6489148943464794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52F-4BA6-AA70-4538A40523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" panose="020F0502020204030204" pitchFamily="34" charset="0"/>
                    <a:ea typeface="Calibri" panose="020F0502020204030204" pitchFamily="34" charset="0"/>
                    <a:cs typeface="Calibri" panose="020F0502020204030204" pitchFamily="34" charset="0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partners!$A$16:$A$20</c:f>
              <c:strCache>
                <c:ptCount val="5"/>
                <c:pt idx="0">
                  <c:v>Академические организации</c:v>
                </c:pt>
                <c:pt idx="1">
                  <c:v>Правительственные органы</c:v>
                </c:pt>
                <c:pt idx="2">
                  <c:v>Международные и региональные организации</c:v>
                </c:pt>
                <c:pt idx="3">
                  <c:v>Организации системы ООН</c:v>
                </c:pt>
                <c:pt idx="4">
                  <c:v>Частный сектор (в том числе фонды)</c:v>
                </c:pt>
              </c:strCache>
            </c:strRef>
          </c:cat>
          <c:val>
            <c:numRef>
              <c:f>partners!$B$16:$B$20</c:f>
              <c:numCache>
                <c:formatCode>0%</c:formatCode>
                <c:ptCount val="5"/>
                <c:pt idx="0">
                  <c:v>7.8643588156156845E-3</c:v>
                </c:pt>
                <c:pt idx="1">
                  <c:v>0.84991097362500867</c:v>
                </c:pt>
                <c:pt idx="2">
                  <c:v>4.0372095054774702E-2</c:v>
                </c:pt>
                <c:pt idx="3">
                  <c:v>4.1536961124694426E-2</c:v>
                </c:pt>
                <c:pt idx="4">
                  <c:v>6.4931465459963492E-2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252F-4BA6-AA70-4538A40523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4.113816540266757E-2"/>
          <c:y val="0.32192615923009626"/>
          <c:w val="0.44500626550789035"/>
          <c:h val="0.466717343558471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1" i="0" u="none" strike="noStrike" kern="1200" spc="0" baseline="0">
                <a:solidFill>
                  <a:schemeClr val="tx1">
                    <a:lumMod val="75000"/>
                    <a:lumOff val="2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r>
              <a:rPr lang="ru-RU" sz="1100" b="1" i="0" u="none" strike="noStrike" baseline="0">
                <a:solidFill>
                  <a:schemeClr val="tx1">
                    <a:lumMod val="75000"/>
                    <a:lumOff val="25000"/>
                  </a:schemeClr>
                </a:solidFill>
                <a:effectLst/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rPr>
              <a:t>Подписанные соглашения и договоры о финансовых взносах </a:t>
            </a:r>
          </a:p>
          <a:p>
            <a:pPr>
              <a:defRPr sz="1100" b="1">
                <a:solidFill>
                  <a:schemeClr val="tx1">
                    <a:lumMod val="75000"/>
                    <a:lumOff val="2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r>
              <a:rPr lang="ru-RU" sz="1100" b="1" i="0" u="none" strike="noStrike" baseline="0">
                <a:solidFill>
                  <a:schemeClr val="tx1">
                    <a:lumMod val="75000"/>
                    <a:lumOff val="25000"/>
                  </a:schemeClr>
                </a:solidFill>
                <a:effectLst/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rPr>
              <a:t>в разбивке по регионам (2025 г.)</a:t>
            </a:r>
            <a:endParaRPr lang="fr-CH" sz="1100" b="1">
              <a:solidFill>
                <a:schemeClr val="tx1">
                  <a:lumMod val="75000"/>
                  <a:lumOff val="25000"/>
                </a:schemeClr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endParaRPr>
          </a:p>
        </c:rich>
      </c:tx>
      <c:layout>
        <c:manualLayout>
          <c:xMode val="edge"/>
          <c:yMode val="edge"/>
          <c:x val="0.18453854741210712"/>
          <c:y val="5.80804638226191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spc="0" baseline="0">
              <a:solidFill>
                <a:schemeClr val="tx1">
                  <a:lumMod val="75000"/>
                  <a:lumOff val="25000"/>
                </a:schemeClr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defRPr>
          </a:pPr>
          <a:endParaRPr lang="fr-CH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partners!$B$32</c:f>
              <c:strCache>
                <c:ptCount val="1"/>
                <c:pt idx="0">
                  <c:v>Количество соглашений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" panose="020F0502020204030204" pitchFamily="34" charset="0"/>
                    <a:ea typeface="Calibri" panose="020F0502020204030204" pitchFamily="34" charset="0"/>
                    <a:cs typeface="Calibri" panose="020F050202020403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partners!$A$33:$A$39</c:f>
              <c:strCache>
                <c:ptCount val="7"/>
                <c:pt idx="0">
                  <c:v>АФР</c:v>
                </c:pt>
                <c:pt idx="1">
                  <c:v>АМР</c:v>
                </c:pt>
                <c:pt idx="2">
                  <c:v>АРБ</c:v>
                </c:pt>
                <c:pt idx="3">
                  <c:v>АТР</c:v>
                </c:pt>
                <c:pt idx="4">
                  <c:v>СНГ</c:v>
                </c:pt>
                <c:pt idx="5">
                  <c:v>ЕВР</c:v>
                </c:pt>
                <c:pt idx="6">
                  <c:v>Несколько регионов</c:v>
                </c:pt>
              </c:strCache>
            </c:strRef>
          </c:cat>
          <c:val>
            <c:numRef>
              <c:f>partners!$B$33:$B$39</c:f>
              <c:numCache>
                <c:formatCode>0%</c:formatCode>
                <c:ptCount val="7"/>
                <c:pt idx="0">
                  <c:v>0.19736842105263158</c:v>
                </c:pt>
                <c:pt idx="1">
                  <c:v>3.9473684210526314E-2</c:v>
                </c:pt>
                <c:pt idx="2">
                  <c:v>7.8947368421052627E-2</c:v>
                </c:pt>
                <c:pt idx="3">
                  <c:v>0.11842105263157894</c:v>
                </c:pt>
                <c:pt idx="4">
                  <c:v>2.6315789473684209E-2</c:v>
                </c:pt>
                <c:pt idx="5">
                  <c:v>7.8947368421052627E-2</c:v>
                </c:pt>
                <c:pt idx="6">
                  <c:v>0.46052631578947367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79-4380-AE06-3DD483098BB6}"/>
            </c:ext>
          </c:extLst>
        </c:ser>
        <c:ser>
          <c:idx val="1"/>
          <c:order val="1"/>
          <c:tx>
            <c:strRef>
              <c:f>partners!$C$32</c:f>
              <c:strCache>
                <c:ptCount val="1"/>
                <c:pt idx="0">
                  <c:v>Финансовые взносы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" panose="020F0502020204030204" pitchFamily="34" charset="0"/>
                    <a:ea typeface="Calibri" panose="020F0502020204030204" pitchFamily="34" charset="0"/>
                    <a:cs typeface="Calibri" panose="020F050202020403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partners!$A$33:$A$39</c:f>
              <c:strCache>
                <c:ptCount val="7"/>
                <c:pt idx="0">
                  <c:v>АФР</c:v>
                </c:pt>
                <c:pt idx="1">
                  <c:v>АМР</c:v>
                </c:pt>
                <c:pt idx="2">
                  <c:v>АРБ</c:v>
                </c:pt>
                <c:pt idx="3">
                  <c:v>АТР</c:v>
                </c:pt>
                <c:pt idx="4">
                  <c:v>СНГ</c:v>
                </c:pt>
                <c:pt idx="5">
                  <c:v>ЕВР</c:v>
                </c:pt>
                <c:pt idx="6">
                  <c:v>Несколько регионов</c:v>
                </c:pt>
              </c:strCache>
            </c:strRef>
          </c:cat>
          <c:val>
            <c:numRef>
              <c:f>partners!$C$33:$C$39</c:f>
              <c:numCache>
                <c:formatCode>0%</c:formatCode>
                <c:ptCount val="7"/>
                <c:pt idx="0">
                  <c:v>0.22840539743139907</c:v>
                </c:pt>
                <c:pt idx="1">
                  <c:v>6.2284312096840183E-2</c:v>
                </c:pt>
                <c:pt idx="2">
                  <c:v>5.0771683252374571E-2</c:v>
                </c:pt>
                <c:pt idx="3">
                  <c:v>5.0771683252374571E-2</c:v>
                </c:pt>
                <c:pt idx="4">
                  <c:v>2.0421085933390225E-2</c:v>
                </c:pt>
                <c:pt idx="5">
                  <c:v>0.13838287704591945</c:v>
                </c:pt>
                <c:pt idx="6">
                  <c:v>0.44896296098770189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79-4380-AE06-3DD483098BB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994956944"/>
        <c:axId val="1994957904"/>
      </c:barChart>
      <c:catAx>
        <c:axId val="199495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US"/>
          </a:p>
        </c:txPr>
        <c:crossAx val="1994957904"/>
        <c:crosses val="autoZero"/>
        <c:auto val="1"/>
        <c:lblAlgn val="ctr"/>
        <c:lblOffset val="100"/>
        <c:noMultiLvlLbl val="0"/>
      </c:catAx>
      <c:valAx>
        <c:axId val="1994957904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1994956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24588102957718"/>
          <c:y val="0.86235170866733613"/>
          <c:w val="0.45583158314361033"/>
          <c:h val="7.794687977435656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75000"/>
                    <a:lumOff val="2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r>
              <a:rPr lang="ru-RU" sz="1100" b="1" i="0" u="none" strike="noStrike" baseline="0">
                <a:solidFill>
                  <a:schemeClr val="tx1">
                    <a:lumMod val="75000"/>
                    <a:lumOff val="25000"/>
                  </a:schemeClr>
                </a:solidFill>
                <a:effectLst/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rPr>
              <a:t>Подписанные соглашения и договоры о финансовых взносах </a:t>
            </a:r>
          </a:p>
          <a:p>
            <a:pPr>
              <a:defRPr sz="1100">
                <a:solidFill>
                  <a:schemeClr val="tx1">
                    <a:lumMod val="75000"/>
                    <a:lumOff val="2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r>
              <a:rPr lang="ru-RU" sz="1100" b="1" i="0" u="none" strike="noStrike" baseline="0">
                <a:solidFill>
                  <a:schemeClr val="tx1">
                    <a:lumMod val="75000"/>
                    <a:lumOff val="25000"/>
                  </a:schemeClr>
                </a:solidFill>
                <a:effectLst/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rPr>
              <a:t>в разбивке по приоритетам МСЭ-D (2025 г.)</a:t>
            </a:r>
            <a:endParaRPr lang="fr-CH" sz="1100" b="1" i="0" u="none" strike="noStrike" kern="1200" spc="0" baseline="0">
              <a:solidFill>
                <a:schemeClr val="tx1">
                  <a:lumMod val="75000"/>
                  <a:lumOff val="25000"/>
                </a:schemeClr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75000"/>
                  <a:lumOff val="25000"/>
                </a:schemeClr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partners!$B$44</c:f>
              <c:strCache>
                <c:ptCount val="1"/>
                <c:pt idx="0">
                  <c:v>Количество соглашений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" panose="020F0502020204030204" pitchFamily="34" charset="0"/>
                    <a:ea typeface="Calibri" panose="020F0502020204030204" pitchFamily="34" charset="0"/>
                    <a:cs typeface="Calibri" panose="020F050202020403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partners!$A$45:$A$49</c:f>
              <c:strCache>
                <c:ptCount val="5"/>
                <c:pt idx="0">
                  <c:v>Возможность установления приемлемых 
в ценовом отношении соединений</c:v>
                </c:pt>
                <c:pt idx="1">
                  <c:v>Цифровая трансформация</c:v>
                </c:pt>
                <c:pt idx="2">
                  <c:v>Благоприятная политическая и регуляторная среда</c:v>
                </c:pt>
                <c:pt idx="3">
                  <c:v>Инклюзивная и защищенная электросвязь/ИКТ 
для устойчивого развития </c:v>
                </c:pt>
                <c:pt idx="4">
                  <c:v>Несколько приоритетов</c:v>
                </c:pt>
              </c:strCache>
            </c:strRef>
          </c:cat>
          <c:val>
            <c:numRef>
              <c:f>partners!$B$45:$B$49</c:f>
              <c:numCache>
                <c:formatCode>0%</c:formatCode>
                <c:ptCount val="5"/>
                <c:pt idx="0">
                  <c:v>0.11842105263157894</c:v>
                </c:pt>
                <c:pt idx="1">
                  <c:v>0.27631578947368424</c:v>
                </c:pt>
                <c:pt idx="2">
                  <c:v>0.17105263157894737</c:v>
                </c:pt>
                <c:pt idx="3">
                  <c:v>0.13157894736842105</c:v>
                </c:pt>
                <c:pt idx="4">
                  <c:v>0.30263157894736842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FA5-4E6B-84D0-2E53156D8E98}"/>
            </c:ext>
          </c:extLst>
        </c:ser>
        <c:ser>
          <c:idx val="1"/>
          <c:order val="1"/>
          <c:tx>
            <c:strRef>
              <c:f>partners!$C$44</c:f>
              <c:strCache>
                <c:ptCount val="1"/>
                <c:pt idx="0">
                  <c:v>Финансовые взносы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749040356883492E-3"/>
                  <c:y val="-1.449275362318840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FA5-4E6B-84D0-2E53156D8E98}"/>
                </c:ext>
              </c:extLst>
            </c:dLbl>
            <c:dLbl>
              <c:idx val="2"/>
              <c:layout>
                <c:manualLayout>
                  <c:x val="-7.6078935771548049E-17"/>
                  <c:y val="-9.661835748792270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FA5-4E6B-84D0-2E53156D8E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Calibri" panose="020F0502020204030204" pitchFamily="34" charset="0"/>
                    <a:ea typeface="Calibri" panose="020F0502020204030204" pitchFamily="34" charset="0"/>
                    <a:cs typeface="Calibri" panose="020F0502020204030204" pitchFamily="34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partners!$A$45:$A$49</c:f>
              <c:strCache>
                <c:ptCount val="5"/>
                <c:pt idx="0">
                  <c:v>Возможность установления приемлемых 
в ценовом отношении соединений</c:v>
                </c:pt>
                <c:pt idx="1">
                  <c:v>Цифровая трансформация</c:v>
                </c:pt>
                <c:pt idx="2">
                  <c:v>Благоприятная политическая и регуляторная среда</c:v>
                </c:pt>
                <c:pt idx="3">
                  <c:v>Инклюзивная и защищенная электросвязь/ИКТ 
для устойчивого развития </c:v>
                </c:pt>
                <c:pt idx="4">
                  <c:v>Несколько приоритетов</c:v>
                </c:pt>
              </c:strCache>
            </c:strRef>
          </c:cat>
          <c:val>
            <c:numRef>
              <c:f>partners!$C$45:$C$49</c:f>
              <c:numCache>
                <c:formatCode>0%</c:formatCode>
                <c:ptCount val="5"/>
                <c:pt idx="0">
                  <c:v>8.9233619210366086E-2</c:v>
                </c:pt>
                <c:pt idx="1">
                  <c:v>0.29878720616456517</c:v>
                </c:pt>
                <c:pt idx="2">
                  <c:v>3.9703849954120879E-2</c:v>
                </c:pt>
                <c:pt idx="3">
                  <c:v>0.21360418005313514</c:v>
                </c:pt>
                <c:pt idx="4">
                  <c:v>0.35867114461781269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FA5-4E6B-84D0-2E53156D8E9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9767392"/>
        <c:axId val="9767872"/>
      </c:barChart>
      <c:catAx>
        <c:axId val="9767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defRPr>
            </a:pPr>
            <a:endParaRPr lang="en-US"/>
          </a:p>
        </c:txPr>
        <c:crossAx val="9767872"/>
        <c:crosses val="autoZero"/>
        <c:auto val="1"/>
        <c:lblAlgn val="ctr"/>
        <c:lblOffset val="100"/>
        <c:noMultiLvlLbl val="0"/>
      </c:catAx>
      <c:valAx>
        <c:axId val="9767872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9767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227268069787753"/>
          <c:y val="0.88821865512726972"/>
          <c:w val="0.44263530494571657"/>
          <c:h val="5.113672154617036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partners!$A$3:$A$8</cx:f>
        <cx:lvl ptCount="6">
          <cx:pt idx="0">Академические организации</cx:pt>
          <cx:pt idx="1">Финансовые учреждения</cx:pt>
          <cx:pt idx="2">Правительственные органы</cx:pt>
          <cx:pt idx="3">Международные и региональные организации</cx:pt>
          <cx:pt idx="4">Частный сектор (в том числе фонды)</cx:pt>
          <cx:pt idx="5">Организации системы ООН</cx:pt>
        </cx:lvl>
      </cx:strDim>
      <cx:numDim type="size">
        <cx:f>partners!$B$3:$B$8</cx:f>
        <cx:lvl ptCount="6" formatCode="0%">
          <cx:pt idx="0">0.083333333333333329</cx:pt>
          <cx:pt idx="1">0.016666666666666666</cx:pt>
          <cx:pt idx="2">0.5</cx:pt>
          <cx:pt idx="3">0.16666666666666666</cx:pt>
          <cx:pt idx="4">0.13333333333333333</cx:pt>
          <cx:pt idx="5">0.10000000000000001</cx:pt>
        </cx:lvl>
      </cx:numDim>
    </cx:data>
  </cx:chartData>
  <cx:chart>
    <cx:title pos="t" align="ctr" overlay="0">
      <cx:tx>
        <cx:rich>
          <a:bodyPr spcFirstLastPara="1" vertOverflow="ellipsis" horzOverflow="overflow" wrap="square" lIns="0" tIns="0" rIns="0" bIns="0" anchor="ctr" anchorCtr="1"/>
          <a:lstStyle/>
          <a:p>
            <a:pPr rtl="0" fontAlgn="base"/>
            <a:r>
              <a:rPr lang="ru-RU" sz="1100" b="1" i="0" baseline="0">
                <a:solidFill>
                  <a:schemeClr val="tx1">
                    <a:lumMod val="75000"/>
                    <a:lumOff val="25000"/>
                  </a:schemeClr>
                </a:solidFill>
                <a:effectLst/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rPr>
              <a:t>Партнеры БРЭ в разбивке по категориям</a:t>
            </a:r>
            <a:r>
              <a:rPr lang="en-US" sz="1100" b="1" i="0" baseline="0">
                <a:solidFill>
                  <a:schemeClr val="tx1">
                    <a:lumMod val="75000"/>
                    <a:lumOff val="25000"/>
                  </a:schemeClr>
                </a:solidFill>
                <a:effectLst/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rPr>
              <a:t> (2025</a:t>
            </a:r>
            <a:r>
              <a:rPr lang="ru-RU" sz="1100" b="1" i="0" baseline="0">
                <a:solidFill>
                  <a:schemeClr val="tx1">
                    <a:lumMod val="75000"/>
                    <a:lumOff val="25000"/>
                  </a:schemeClr>
                </a:solidFill>
                <a:effectLst/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rPr>
              <a:t> г.</a:t>
            </a:r>
            <a:r>
              <a:rPr lang="en-US" sz="1100" b="1" i="0" baseline="0">
                <a:solidFill>
                  <a:schemeClr val="tx1">
                    <a:lumMod val="75000"/>
                    <a:lumOff val="25000"/>
                  </a:schemeClr>
                </a:solidFill>
                <a:effectLst/>
                <a:latin typeface="Calibri" panose="020F0502020204030204" pitchFamily="34" charset="0"/>
                <a:ea typeface="Calibri" panose="020F0502020204030204" pitchFamily="34" charset="0"/>
                <a:cs typeface="Calibri" panose="020F0502020204030204" pitchFamily="34" charset="0"/>
              </a:rPr>
              <a:t>)</a:t>
            </a:r>
          </a:p>
        </cx:rich>
      </cx:tx>
    </cx:title>
    <cx:plotArea>
      <cx:plotAreaRegion>
        <cx:series layoutId="treemap" uniqueId="{4247A1C5-219F-4740-A1EA-CFDCE52B81CE}">
          <cx:dataLabels pos="inEnd">
            <cx:txPr>
              <a:bodyPr spcFirstLastPara="1" vertOverflow="ellipsis" horzOverflow="overflow" wrap="square" lIns="0" tIns="0" rIns="0" bIns="0" anchor="ctr" anchorCtr="1"/>
              <a:lstStyle/>
              <a:p>
                <a:pPr algn="ctr" rtl="0">
                  <a:defRPr sz="800" b="1">
                    <a:latin typeface="Calibri" panose="020F0502020204030204" pitchFamily="34" charset="0"/>
                    <a:ea typeface="Calibri" panose="020F0502020204030204" pitchFamily="34" charset="0"/>
                    <a:cs typeface="Calibri" panose="020F0502020204030204" pitchFamily="34" charset="0"/>
                  </a:defRPr>
                </a:pPr>
                <a:endParaRPr lang="en-US" sz="800" b="1" i="0" u="none" strike="noStrike" baseline="0">
                  <a:solidFill>
                    <a:sysClr val="window" lastClr="FFFFFF"/>
                  </a:solidFill>
                  <a:latin typeface="Calibri" panose="020F0502020204030204" pitchFamily="34" charset="0"/>
                  <a:ea typeface="Calibri" panose="020F0502020204030204" pitchFamily="34" charset="0"/>
                  <a:cs typeface="Calibri" panose="020F0502020204030204" pitchFamily="34" charset="0"/>
                </a:endParaRPr>
              </a:p>
            </cx:txPr>
            <cx:visibility seriesName="0" categoryName="0" value="1"/>
            <cx:separator>, </cx:separator>
          </cx:dataLabels>
          <cx:dataId val="0"/>
          <cx:layoutPr>
            <cx:parentLabelLayout val="overlapping"/>
          </cx:layoutPr>
        </cx:series>
      </cx:plotAreaRegion>
    </cx:plotArea>
    <cx:legend pos="l" align="ctr" overlay="0">
      <cx:txPr>
        <a:bodyPr spcFirstLastPara="1" vertOverflow="ellipsis" horzOverflow="overflow" wrap="square" lIns="0" tIns="0" rIns="0" bIns="0" anchor="ctr" anchorCtr="1"/>
        <a:lstStyle/>
        <a:p>
          <a:pPr algn="ctr" rtl="0">
            <a:defRPr sz="700" b="1">
              <a:solidFill>
                <a:schemeClr val="tx1">
                  <a:lumMod val="75000"/>
                  <a:lumOff val="25000"/>
                </a:schemeClr>
              </a:solidFill>
              <a:latin typeface="Calibri" panose="020F0502020204030204" pitchFamily="34" charset="0"/>
              <a:ea typeface="Calibri" panose="020F0502020204030204" pitchFamily="34" charset="0"/>
              <a:cs typeface="Calibri" panose="020F0502020204030204" pitchFamily="34" charset="0"/>
            </a:defRPr>
          </a:pPr>
          <a:endParaRPr lang="en-US" sz="700" b="1" i="0" u="none" strike="noStrike" baseline="0">
            <a:solidFill>
              <a:schemeClr val="tx1">
                <a:lumMod val="75000"/>
                <a:lumOff val="25000"/>
              </a:schemeClr>
            </a:solidFill>
            <a:latin typeface="Calibri" panose="020F0502020204030204" pitchFamily="34" charset="0"/>
            <a:ea typeface="Calibri" panose="020F0502020204030204" pitchFamily="34" charset="0"/>
            <a:cs typeface="Calibri" panose="020F0502020204030204" pitchFamily="34" charset="0"/>
          </a:endParaRPr>
        </a:p>
      </cx:txPr>
    </cx:legend>
  </cx:chart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10">
  <cs:axisTitle>
    <cs:lnRef idx="0"/>
    <cs:fillRef idx="0"/>
    <cs:effectRef idx="0"/>
    <cs:fontRef idx="minor">
      <a:schemeClr val="tx1">
        <a:lumMod val="65000"/>
        <a:lumOff val="35000"/>
      </a:schemeClr>
    </cs:fontRef>
    <cs:spPr>
      <a:solidFill>
        <a:schemeClr val="bg1">
          <a:lumMod val="65000"/>
        </a:schemeClr>
      </a:solidFill>
      <a:ln w="19050">
        <a:solidFill>
          <a:schemeClr val="bg1"/>
        </a:solidFill>
      </a:ln>
    </cs:spPr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lt1"/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  <ds:schemaRef ds:uri="d4ea696a-cca3-460b-a983-57ac2621983a"/>
    <ds:schemaRef ds:uri="29399490-13b9-4c73-b71e-403b715b75a7"/>
  </ds:schemaRefs>
</ds:datastoreItem>
</file>

<file path=customXml/itemProps3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1DE73B-BE86-46B1-A4A2-0955836D2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1151</Words>
  <Characters>8334</Characters>
  <Application>Microsoft Office Word</Application>
  <DocSecurity>0</DocSecurity>
  <Lines>69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>General Secretariat - Pool</Manager>
  <Company/>
  <LinksUpToDate>false</LinksUpToDate>
  <CharactersWithSpaces>9467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Russian</dc:creator>
  <cp:lastModifiedBy>BDT-ND</cp:lastModifiedBy>
  <cp:revision>6</cp:revision>
  <cp:lastPrinted>2019-01-16T07:57:00Z</cp:lastPrinted>
  <dcterms:created xsi:type="dcterms:W3CDTF">2026-03-27T10:22:00Z</dcterms:created>
  <dcterms:modified xsi:type="dcterms:W3CDTF">2026-03-30T12:41:00Z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  <property fmtid="{D5CDD505-2E9C-101B-9397-08002B2CF9AE}" pid="31" name="MediaServiceImageTags">
    <vt:lpwstr/>
  </property>
</Properties>
</file>