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horzAnchor="margin" w:tblpY="-492"/>
        <w:tblW w:w="9888" w:type="dxa"/>
        <w:tblLayout w:type="fixed"/>
        <w:tblCellMar>
          <w:left w:w="107" w:type="dxa"/>
          <w:right w:w="107" w:type="dxa"/>
        </w:tblCellMar>
        <w:tblLook w:val="0000" w:firstRow="0" w:lastRow="0" w:firstColumn="0" w:lastColumn="0" w:noHBand="0" w:noVBand="0"/>
        <w:tblCaption w:val="Document metadata (Study Group, meeting, Question, source, title)"/>
        <w:tblDescription w:val="Document metadata (Study Group, meeting, document number, Question, source, title)"/>
      </w:tblPr>
      <w:tblGrid>
        <w:gridCol w:w="6379"/>
        <w:gridCol w:w="3509"/>
      </w:tblGrid>
      <w:tr w:rsidR="00F7434A" w:rsidRPr="000F3310" w14:paraId="3F0E9EC4" w14:textId="77777777" w:rsidTr="00F7434A">
        <w:trPr>
          <w:cantSplit/>
          <w:trHeight w:val="1134"/>
        </w:trPr>
        <w:tc>
          <w:tcPr>
            <w:tcW w:w="6379" w:type="dxa"/>
          </w:tcPr>
          <w:p w14:paraId="3C20C75B" w14:textId="77777777" w:rsidR="00F7434A" w:rsidRPr="000F3310" w:rsidRDefault="00F7434A" w:rsidP="004037AF">
            <w:pPr>
              <w:tabs>
                <w:tab w:val="clear" w:pos="1191"/>
                <w:tab w:val="clear" w:pos="1588"/>
                <w:tab w:val="clear" w:pos="1985"/>
              </w:tabs>
              <w:spacing w:before="240" w:after="240"/>
              <w:ind w:left="34"/>
              <w:rPr>
                <w:b/>
                <w:bCs/>
                <w:sz w:val="32"/>
                <w:szCs w:val="32"/>
                <w:lang w:val="fr-FR"/>
              </w:rPr>
            </w:pPr>
            <w:r w:rsidRPr="000F3310">
              <w:rPr>
                <w:b/>
                <w:bCs/>
                <w:sz w:val="32"/>
                <w:szCs w:val="32"/>
                <w:lang w:val="fr-FR"/>
              </w:rPr>
              <w:t xml:space="preserve">Groupe consultatif pour le développement </w:t>
            </w:r>
            <w:r w:rsidRPr="000F3310">
              <w:rPr>
                <w:b/>
                <w:bCs/>
                <w:sz w:val="32"/>
                <w:szCs w:val="32"/>
                <w:lang w:val="fr-FR"/>
              </w:rPr>
              <w:br/>
              <w:t>des télécommunications (GCDT)</w:t>
            </w:r>
          </w:p>
          <w:p w14:paraId="5F5F590A" w14:textId="39E36666" w:rsidR="00F7434A" w:rsidRPr="000F3310" w:rsidRDefault="00F7434A" w:rsidP="001011EB">
            <w:pPr>
              <w:tabs>
                <w:tab w:val="clear" w:pos="1191"/>
                <w:tab w:val="clear" w:pos="1588"/>
                <w:tab w:val="clear" w:pos="1985"/>
              </w:tabs>
              <w:spacing w:after="120"/>
              <w:ind w:left="34"/>
              <w:rPr>
                <w:rFonts w:ascii="Verdana" w:hAnsi="Verdana"/>
                <w:sz w:val="28"/>
                <w:szCs w:val="28"/>
                <w:lang w:val="fr-FR"/>
              </w:rPr>
            </w:pPr>
            <w:r w:rsidRPr="000F3310">
              <w:rPr>
                <w:b/>
                <w:bCs/>
                <w:sz w:val="26"/>
                <w:szCs w:val="26"/>
                <w:lang w:val="fr-FR"/>
              </w:rPr>
              <w:t>33ème réunion, Genève, Suisse, 7-10 avril 2026</w:t>
            </w:r>
          </w:p>
        </w:tc>
        <w:tc>
          <w:tcPr>
            <w:tcW w:w="3509" w:type="dxa"/>
          </w:tcPr>
          <w:p w14:paraId="67E7B4C4" w14:textId="0F52E4CC" w:rsidR="00F7434A" w:rsidRPr="000F3310" w:rsidRDefault="00F7434A" w:rsidP="00946023">
            <w:pPr>
              <w:spacing w:before="240" w:after="120"/>
              <w:ind w:right="142"/>
              <w:jc w:val="right"/>
              <w:rPr>
                <w:lang w:val="fr-FR"/>
              </w:rPr>
            </w:pPr>
            <w:r w:rsidRPr="000F3310">
              <w:rPr>
                <w:noProof/>
                <w:lang w:val="fr-FR" w:eastAsia="en-GB"/>
              </w:rPr>
              <w:drawing>
                <wp:inline distT="0" distB="0" distL="0" distR="0" wp14:anchorId="7A20172F" wp14:editId="75B43B9A">
                  <wp:extent cx="712470" cy="785496"/>
                  <wp:effectExtent l="0" t="0" r="0" b="0"/>
                  <wp:docPr id="2" name="Picture 2" descr="A close up of a sign&#10;&#10;Description automatically generated"/>
                  <wp:cNvGraphicFramePr/>
                  <a:graphic xmlns:a="http://schemas.openxmlformats.org/drawingml/2006/main">
                    <a:graphicData uri="http://schemas.openxmlformats.org/drawingml/2006/picture">
                      <pic:pic xmlns:pic="http://schemas.openxmlformats.org/drawingml/2006/picture">
                        <pic:nvPicPr>
                          <pic:cNvPr id="2" name="Picture 2" descr="A close up of a sign&#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14296" cy="787509"/>
                          </a:xfrm>
                          <a:prstGeom prst="rect">
                            <a:avLst/>
                          </a:prstGeom>
                        </pic:spPr>
                      </pic:pic>
                    </a:graphicData>
                  </a:graphic>
                </wp:inline>
              </w:drawing>
            </w:r>
          </w:p>
        </w:tc>
      </w:tr>
      <w:tr w:rsidR="00683C32" w:rsidRPr="000F3310" w14:paraId="3C13197B" w14:textId="77777777" w:rsidTr="0009076F">
        <w:trPr>
          <w:cantSplit/>
        </w:trPr>
        <w:tc>
          <w:tcPr>
            <w:tcW w:w="6379" w:type="dxa"/>
            <w:tcBorders>
              <w:top w:val="single" w:sz="12" w:space="0" w:color="auto"/>
            </w:tcBorders>
          </w:tcPr>
          <w:p w14:paraId="2EED9DB2" w14:textId="77777777" w:rsidR="00683C32" w:rsidRPr="000F3310" w:rsidRDefault="00683C32" w:rsidP="00107E85">
            <w:pPr>
              <w:spacing w:before="0"/>
              <w:rPr>
                <w:rFonts w:cs="Arial"/>
                <w:b/>
                <w:bCs/>
                <w:sz w:val="20"/>
                <w:lang w:val="fr-FR"/>
              </w:rPr>
            </w:pPr>
          </w:p>
        </w:tc>
        <w:tc>
          <w:tcPr>
            <w:tcW w:w="3509" w:type="dxa"/>
            <w:tcBorders>
              <w:top w:val="single" w:sz="12" w:space="0" w:color="auto"/>
            </w:tcBorders>
          </w:tcPr>
          <w:p w14:paraId="6CC77CFE" w14:textId="77777777" w:rsidR="00683C32" w:rsidRPr="000F3310" w:rsidRDefault="00683C32" w:rsidP="00107E85">
            <w:pPr>
              <w:spacing w:before="0"/>
              <w:rPr>
                <w:b/>
                <w:bCs/>
                <w:sz w:val="20"/>
                <w:lang w:val="fr-FR"/>
              </w:rPr>
            </w:pPr>
          </w:p>
        </w:tc>
      </w:tr>
      <w:tr w:rsidR="00683C32" w:rsidRPr="000F3310" w14:paraId="0BB3FBC4" w14:textId="77777777" w:rsidTr="0009076F">
        <w:trPr>
          <w:cantSplit/>
        </w:trPr>
        <w:tc>
          <w:tcPr>
            <w:tcW w:w="6379" w:type="dxa"/>
          </w:tcPr>
          <w:p w14:paraId="43C54B3D" w14:textId="77777777" w:rsidR="00683C32" w:rsidRPr="000F3310" w:rsidRDefault="00683C32" w:rsidP="00400CCF">
            <w:pPr>
              <w:pStyle w:val="Committee"/>
              <w:spacing w:before="0"/>
              <w:rPr>
                <w:b w:val="0"/>
                <w:szCs w:val="24"/>
                <w:lang w:val="fr-FR"/>
              </w:rPr>
            </w:pPr>
          </w:p>
        </w:tc>
        <w:tc>
          <w:tcPr>
            <w:tcW w:w="3509" w:type="dxa"/>
          </w:tcPr>
          <w:p w14:paraId="02E44EE9" w14:textId="419BAA7E" w:rsidR="00683C32" w:rsidRPr="000F3310" w:rsidRDefault="0096201B" w:rsidP="00E25345">
            <w:pPr>
              <w:spacing w:before="0"/>
              <w:jc w:val="both"/>
              <w:rPr>
                <w:bCs/>
                <w:szCs w:val="24"/>
                <w:lang w:val="fr-FR"/>
              </w:rPr>
            </w:pPr>
            <w:r w:rsidRPr="000F3310">
              <w:rPr>
                <w:b/>
                <w:bCs/>
                <w:lang w:val="fr-FR"/>
              </w:rPr>
              <w:t xml:space="preserve">Document </w:t>
            </w:r>
            <w:bookmarkStart w:id="0" w:name="DocRef1"/>
            <w:bookmarkEnd w:id="0"/>
            <w:r w:rsidRPr="000F3310">
              <w:rPr>
                <w:b/>
                <w:bCs/>
                <w:lang w:val="fr-FR"/>
              </w:rPr>
              <w:t>TDAG</w:t>
            </w:r>
            <w:r w:rsidR="003242AB" w:rsidRPr="000F3310">
              <w:rPr>
                <w:b/>
                <w:bCs/>
                <w:lang w:val="fr-FR"/>
              </w:rPr>
              <w:t>-</w:t>
            </w:r>
            <w:r w:rsidR="00B648C7" w:rsidRPr="000F3310">
              <w:rPr>
                <w:b/>
                <w:bCs/>
                <w:lang w:val="fr-FR"/>
              </w:rPr>
              <w:t>2</w:t>
            </w:r>
            <w:bookmarkStart w:id="1" w:name="DocNo1"/>
            <w:bookmarkEnd w:id="1"/>
            <w:r w:rsidR="00F7434A" w:rsidRPr="000F3310">
              <w:rPr>
                <w:b/>
                <w:bCs/>
                <w:lang w:val="fr-FR"/>
              </w:rPr>
              <w:t>6</w:t>
            </w:r>
            <w:r w:rsidR="0009076F" w:rsidRPr="000F3310">
              <w:rPr>
                <w:b/>
                <w:bCs/>
                <w:lang w:val="fr-FR"/>
              </w:rPr>
              <w:t>/</w:t>
            </w:r>
            <w:r w:rsidR="00D61A51" w:rsidRPr="000F3310">
              <w:rPr>
                <w:b/>
                <w:bCs/>
                <w:lang w:val="fr-FR"/>
              </w:rPr>
              <w:t>9</w:t>
            </w:r>
            <w:r w:rsidRPr="000F3310">
              <w:rPr>
                <w:b/>
                <w:bCs/>
                <w:lang w:val="fr-FR"/>
              </w:rPr>
              <w:t>-</w:t>
            </w:r>
            <w:r w:rsidR="00E25345" w:rsidRPr="000F3310">
              <w:rPr>
                <w:b/>
                <w:bCs/>
                <w:lang w:val="fr-FR"/>
              </w:rPr>
              <w:t>F</w:t>
            </w:r>
          </w:p>
        </w:tc>
      </w:tr>
      <w:tr w:rsidR="00683C32" w:rsidRPr="000F3310" w14:paraId="24D04936" w14:textId="77777777" w:rsidTr="0009076F">
        <w:trPr>
          <w:cantSplit/>
        </w:trPr>
        <w:tc>
          <w:tcPr>
            <w:tcW w:w="6379" w:type="dxa"/>
          </w:tcPr>
          <w:p w14:paraId="12CE4DBF" w14:textId="77777777" w:rsidR="00683C32" w:rsidRPr="000F3310" w:rsidRDefault="00683C32" w:rsidP="00400CCF">
            <w:pPr>
              <w:spacing w:before="0"/>
              <w:rPr>
                <w:b/>
                <w:bCs/>
                <w:smallCaps/>
                <w:szCs w:val="24"/>
                <w:lang w:val="fr-FR"/>
              </w:rPr>
            </w:pPr>
          </w:p>
        </w:tc>
        <w:tc>
          <w:tcPr>
            <w:tcW w:w="3509" w:type="dxa"/>
          </w:tcPr>
          <w:p w14:paraId="0F89640F" w14:textId="5F11C592" w:rsidR="00683C32" w:rsidRPr="000F3310" w:rsidRDefault="00D61A51" w:rsidP="00B648C7">
            <w:pPr>
              <w:spacing w:before="0"/>
              <w:rPr>
                <w:b/>
                <w:szCs w:val="24"/>
                <w:lang w:val="fr-FR"/>
              </w:rPr>
            </w:pPr>
            <w:bookmarkStart w:id="2" w:name="CreationDate"/>
            <w:bookmarkEnd w:id="2"/>
            <w:r w:rsidRPr="000F3310">
              <w:rPr>
                <w:b/>
                <w:bCs/>
                <w:szCs w:val="28"/>
                <w:lang w:val="fr-FR"/>
              </w:rPr>
              <w:t>3 mars 2026</w:t>
            </w:r>
          </w:p>
        </w:tc>
      </w:tr>
      <w:tr w:rsidR="00683C32" w:rsidRPr="000F3310" w14:paraId="7B96545F" w14:textId="77777777" w:rsidTr="0009076F">
        <w:trPr>
          <w:cantSplit/>
        </w:trPr>
        <w:tc>
          <w:tcPr>
            <w:tcW w:w="6379" w:type="dxa"/>
          </w:tcPr>
          <w:p w14:paraId="65956FD3" w14:textId="77777777" w:rsidR="00683C32" w:rsidRPr="000F3310" w:rsidRDefault="00683C32" w:rsidP="00400CCF">
            <w:pPr>
              <w:spacing w:before="0"/>
              <w:rPr>
                <w:b/>
                <w:bCs/>
                <w:smallCaps/>
                <w:szCs w:val="24"/>
                <w:lang w:val="fr-FR"/>
              </w:rPr>
            </w:pPr>
          </w:p>
        </w:tc>
        <w:tc>
          <w:tcPr>
            <w:tcW w:w="3509" w:type="dxa"/>
          </w:tcPr>
          <w:p w14:paraId="30EFD39F" w14:textId="33ACFB79" w:rsidR="00514D2F" w:rsidRPr="000F3310" w:rsidRDefault="0096201B" w:rsidP="001011EB">
            <w:pPr>
              <w:spacing w:before="0"/>
              <w:rPr>
                <w:szCs w:val="24"/>
                <w:lang w:val="fr-FR"/>
              </w:rPr>
            </w:pPr>
            <w:r w:rsidRPr="000F3310">
              <w:rPr>
                <w:b/>
                <w:lang w:val="fr-FR"/>
              </w:rPr>
              <w:t>Original:</w:t>
            </w:r>
            <w:bookmarkStart w:id="3" w:name="Original"/>
            <w:bookmarkEnd w:id="3"/>
            <w:r w:rsidR="00CE0422" w:rsidRPr="000F3310">
              <w:rPr>
                <w:b/>
                <w:lang w:val="fr-FR"/>
              </w:rPr>
              <w:t xml:space="preserve"> </w:t>
            </w:r>
            <w:r w:rsidR="001011EB" w:rsidRPr="000F3310">
              <w:rPr>
                <w:b/>
                <w:lang w:val="fr-FR"/>
              </w:rPr>
              <w:t>anglais</w:t>
            </w:r>
          </w:p>
        </w:tc>
      </w:tr>
      <w:tr w:rsidR="00A13162" w:rsidRPr="007D14C3" w14:paraId="31656E31" w14:textId="77777777" w:rsidTr="00107E85">
        <w:trPr>
          <w:cantSplit/>
          <w:trHeight w:val="852"/>
        </w:trPr>
        <w:tc>
          <w:tcPr>
            <w:tcW w:w="9888" w:type="dxa"/>
            <w:gridSpan w:val="2"/>
          </w:tcPr>
          <w:p w14:paraId="512FCA01" w14:textId="501F0479" w:rsidR="00A13162" w:rsidRPr="000F3310" w:rsidRDefault="00D61A51" w:rsidP="0030353C">
            <w:pPr>
              <w:pStyle w:val="Source"/>
              <w:rPr>
                <w:lang w:val="fr-FR"/>
              </w:rPr>
            </w:pPr>
            <w:bookmarkStart w:id="4" w:name="Source"/>
            <w:bookmarkEnd w:id="4"/>
            <w:r w:rsidRPr="000F3310">
              <w:rPr>
                <w:lang w:val="fr-FR"/>
              </w:rPr>
              <w:t>Directeur du Bureau de développement des télécommunications</w:t>
            </w:r>
          </w:p>
        </w:tc>
      </w:tr>
      <w:tr w:rsidR="00AC6F14" w:rsidRPr="007D14C3" w14:paraId="2CBD3A36" w14:textId="77777777" w:rsidTr="00107E85">
        <w:trPr>
          <w:cantSplit/>
        </w:trPr>
        <w:tc>
          <w:tcPr>
            <w:tcW w:w="9888" w:type="dxa"/>
            <w:gridSpan w:val="2"/>
          </w:tcPr>
          <w:p w14:paraId="1B4121DF" w14:textId="1AF2EC2A" w:rsidR="00AC6F14" w:rsidRPr="000F3310" w:rsidRDefault="00D61A51" w:rsidP="001011EB">
            <w:pPr>
              <w:pStyle w:val="Title1"/>
              <w:rPr>
                <w:lang w:val="fr-FR"/>
              </w:rPr>
            </w:pPr>
            <w:bookmarkStart w:id="5" w:name="Title"/>
            <w:bookmarkEnd w:id="5"/>
            <w:r w:rsidRPr="000F3310">
              <w:rPr>
                <w:lang w:val="fr-FR"/>
              </w:rPr>
              <w:t>Partenariats et mobilisation des ressources à l'UIT-D</w:t>
            </w:r>
          </w:p>
        </w:tc>
      </w:tr>
      <w:tr w:rsidR="00A721F4" w:rsidRPr="007D14C3" w14:paraId="23A30231" w14:textId="77777777" w:rsidTr="00A721F4">
        <w:trPr>
          <w:cantSplit/>
        </w:trPr>
        <w:tc>
          <w:tcPr>
            <w:tcW w:w="9888" w:type="dxa"/>
            <w:gridSpan w:val="2"/>
            <w:tcBorders>
              <w:bottom w:val="single" w:sz="4" w:space="0" w:color="auto"/>
            </w:tcBorders>
          </w:tcPr>
          <w:p w14:paraId="726EE70E" w14:textId="77777777" w:rsidR="00A721F4" w:rsidRPr="000F3310" w:rsidRDefault="00A721F4" w:rsidP="0030353C">
            <w:pPr>
              <w:rPr>
                <w:lang w:val="fr-FR"/>
              </w:rPr>
            </w:pPr>
          </w:p>
        </w:tc>
      </w:tr>
      <w:tr w:rsidR="00A721F4" w:rsidRPr="007D14C3" w14:paraId="590033C8" w14:textId="77777777" w:rsidTr="00A721F4">
        <w:trPr>
          <w:cantSplit/>
        </w:trPr>
        <w:tc>
          <w:tcPr>
            <w:tcW w:w="9888" w:type="dxa"/>
            <w:gridSpan w:val="2"/>
            <w:tcBorders>
              <w:top w:val="single" w:sz="4" w:space="0" w:color="auto"/>
              <w:left w:val="single" w:sz="4" w:space="0" w:color="auto"/>
              <w:bottom w:val="single" w:sz="4" w:space="0" w:color="auto"/>
              <w:right w:val="single" w:sz="4" w:space="0" w:color="auto"/>
            </w:tcBorders>
          </w:tcPr>
          <w:p w14:paraId="3F97E040" w14:textId="31B66266" w:rsidR="00A721F4" w:rsidRPr="000F3310" w:rsidRDefault="001011EB" w:rsidP="00EA0C51">
            <w:pPr>
              <w:spacing w:after="120"/>
              <w:rPr>
                <w:b/>
                <w:bCs/>
                <w:szCs w:val="24"/>
                <w:lang w:val="fr-FR"/>
              </w:rPr>
            </w:pPr>
            <w:proofErr w:type="gramStart"/>
            <w:r w:rsidRPr="000F3310">
              <w:rPr>
                <w:b/>
                <w:bCs/>
                <w:szCs w:val="24"/>
                <w:lang w:val="fr-FR"/>
              </w:rPr>
              <w:t>Résumé</w:t>
            </w:r>
            <w:r w:rsidR="00A721F4" w:rsidRPr="000F3310">
              <w:rPr>
                <w:b/>
                <w:bCs/>
                <w:szCs w:val="24"/>
                <w:lang w:val="fr-FR"/>
              </w:rPr>
              <w:t>:</w:t>
            </w:r>
            <w:proofErr w:type="gramEnd"/>
          </w:p>
          <w:p w14:paraId="3C9869D4" w14:textId="59795294" w:rsidR="00D61A51" w:rsidRPr="000F3310" w:rsidRDefault="00D61A51" w:rsidP="00D61A51">
            <w:pPr>
              <w:spacing w:after="120"/>
              <w:rPr>
                <w:lang w:val="fr-FR"/>
              </w:rPr>
            </w:pPr>
            <w:r w:rsidRPr="000F3310">
              <w:rPr>
                <w:lang w:val="fr-FR"/>
              </w:rPr>
              <w:t>L'importance des partenariats et de la mobilisation des ressources a été soulignée par la Conférence mondiale de développement des télécommunications de 2022 (CMDT-22), en particulier dans la Déclaration de Kigali, dans le Plan d'action de Kigali (paragraphes 3.1 et 3.3) et dans la Résolution 17 (Rév. Kigali, 2022) relative à la mise en œuvre des initiatives régionales. Ce point a été rappelé lors de la CMDT-25, notamment dans la Déclaration de Bakou et dans le Plan d'action de Bakou.</w:t>
            </w:r>
          </w:p>
          <w:p w14:paraId="4082D7E8" w14:textId="3E20CC2C" w:rsidR="00A721F4" w:rsidRPr="000F3310" w:rsidRDefault="00D61A51" w:rsidP="00D61A51">
            <w:pPr>
              <w:spacing w:after="120"/>
              <w:rPr>
                <w:szCs w:val="24"/>
                <w:lang w:val="fr-FR"/>
              </w:rPr>
            </w:pPr>
            <w:r w:rsidRPr="000F3310">
              <w:rPr>
                <w:lang w:val="fr-FR"/>
              </w:rPr>
              <w:t>Le présent document rend compte des activités relatives aux partenariats et à la mobilisation des ressources menées en 2025 pour appuyer la mise en œuvre des résultats de la CMDT. Il donne également un aperçu des principes directeurs que le BDT devra suivre pour mobiliser les partenaires dans le cadre de la mise en œuvre du Plan d'action de Bakou.</w:t>
            </w:r>
          </w:p>
          <w:p w14:paraId="76A1C541" w14:textId="23209CDB" w:rsidR="00A721F4" w:rsidRPr="000F3310" w:rsidRDefault="001011EB" w:rsidP="00EA0C51">
            <w:pPr>
              <w:spacing w:after="120"/>
              <w:rPr>
                <w:b/>
                <w:bCs/>
                <w:szCs w:val="24"/>
                <w:lang w:val="fr-FR"/>
              </w:rPr>
            </w:pPr>
            <w:r w:rsidRPr="000F3310">
              <w:rPr>
                <w:b/>
                <w:bCs/>
                <w:lang w:val="fr-FR"/>
              </w:rPr>
              <w:t>Suite à donner</w:t>
            </w:r>
            <w:r w:rsidR="00A721F4" w:rsidRPr="000F3310">
              <w:rPr>
                <w:b/>
                <w:bCs/>
                <w:lang w:val="fr-FR"/>
              </w:rPr>
              <w:t>:</w:t>
            </w:r>
          </w:p>
          <w:p w14:paraId="371956FC" w14:textId="12D44F52" w:rsidR="00A721F4" w:rsidRPr="000F3310" w:rsidRDefault="00F7434A" w:rsidP="00EA0C51">
            <w:pPr>
              <w:spacing w:after="120"/>
              <w:rPr>
                <w:szCs w:val="24"/>
                <w:lang w:val="fr-FR"/>
              </w:rPr>
            </w:pPr>
            <w:r w:rsidRPr="000F3310">
              <w:rPr>
                <w:lang w:val="fr-FR"/>
              </w:rPr>
              <w:t>Le GCDT est invité à prendre note du présent document et à fournir les indications qu'il jugera utiles.</w:t>
            </w:r>
          </w:p>
          <w:p w14:paraId="622ACB80" w14:textId="39EE560D" w:rsidR="00A721F4" w:rsidRPr="000F3310" w:rsidRDefault="00A721F4" w:rsidP="00EA0C51">
            <w:pPr>
              <w:spacing w:after="120"/>
              <w:rPr>
                <w:b/>
                <w:bCs/>
                <w:szCs w:val="24"/>
                <w:lang w:val="fr-FR"/>
              </w:rPr>
            </w:pPr>
            <w:r w:rsidRPr="000F3310">
              <w:rPr>
                <w:b/>
                <w:bCs/>
                <w:szCs w:val="24"/>
                <w:lang w:val="fr-FR"/>
              </w:rPr>
              <w:t>R</w:t>
            </w:r>
            <w:r w:rsidR="001011EB" w:rsidRPr="000F3310">
              <w:rPr>
                <w:b/>
                <w:bCs/>
                <w:szCs w:val="24"/>
                <w:lang w:val="fr-FR"/>
              </w:rPr>
              <w:t>é</w:t>
            </w:r>
            <w:r w:rsidRPr="000F3310">
              <w:rPr>
                <w:b/>
                <w:bCs/>
                <w:szCs w:val="24"/>
                <w:lang w:val="fr-FR"/>
              </w:rPr>
              <w:t>f</w:t>
            </w:r>
            <w:r w:rsidR="001011EB" w:rsidRPr="000F3310">
              <w:rPr>
                <w:b/>
                <w:bCs/>
                <w:szCs w:val="24"/>
                <w:lang w:val="fr-FR"/>
              </w:rPr>
              <w:t>é</w:t>
            </w:r>
            <w:r w:rsidRPr="000F3310">
              <w:rPr>
                <w:b/>
                <w:bCs/>
                <w:szCs w:val="24"/>
                <w:lang w:val="fr-FR"/>
              </w:rPr>
              <w:t>rences:</w:t>
            </w:r>
          </w:p>
          <w:p w14:paraId="4516342C" w14:textId="77777777" w:rsidR="00D61A51" w:rsidRPr="000F3310" w:rsidRDefault="00D61A51" w:rsidP="00D61A51">
            <w:pPr>
              <w:spacing w:after="120"/>
              <w:rPr>
                <w:lang w:val="fr-FR"/>
              </w:rPr>
            </w:pPr>
            <w:r w:rsidRPr="000F3310">
              <w:rPr>
                <w:lang w:val="fr-FR"/>
              </w:rPr>
              <w:t>Paragraphes 3.1 et 3.3 du Plan d'action de Kigali, paragraphe 3.2 du Plan d'action de Bakou</w:t>
            </w:r>
          </w:p>
          <w:p w14:paraId="7FDC50CD" w14:textId="77777777" w:rsidR="00D61A51" w:rsidRPr="000F3310" w:rsidRDefault="00D61A51" w:rsidP="00D61A51">
            <w:pPr>
              <w:spacing w:after="120"/>
              <w:rPr>
                <w:lang w:val="fr-FR"/>
              </w:rPr>
            </w:pPr>
            <w:r w:rsidRPr="000F3310">
              <w:rPr>
                <w:lang w:val="fr-FR"/>
              </w:rPr>
              <w:t>Résolution 17 (Rév. Kigali, 2022), Résolution 16 (Bakou, 2025), Résolution 17 (Rév. Bakou, 2025), Résolution 94 (Bakou, 2025)</w:t>
            </w:r>
          </w:p>
          <w:p w14:paraId="1ECDD20E" w14:textId="4214B9FD" w:rsidR="00A721F4" w:rsidRPr="000F3310" w:rsidRDefault="00D61A51" w:rsidP="00D61A51">
            <w:pPr>
              <w:spacing w:after="120"/>
              <w:rPr>
                <w:szCs w:val="24"/>
                <w:lang w:val="fr-FR"/>
              </w:rPr>
            </w:pPr>
            <w:r w:rsidRPr="000F3310">
              <w:rPr>
                <w:lang w:val="fr-FR"/>
              </w:rPr>
              <w:t>Déclaration de la CMDT-22, Déclaration de la CMDT-25</w:t>
            </w:r>
          </w:p>
        </w:tc>
      </w:tr>
    </w:tbl>
    <w:p w14:paraId="72F5CF96" w14:textId="77777777" w:rsidR="00923CF1" w:rsidRPr="000F3310" w:rsidRDefault="00923CF1" w:rsidP="007A7D3C">
      <w:pPr>
        <w:rPr>
          <w:lang w:val="fr-FR"/>
        </w:rPr>
      </w:pPr>
    </w:p>
    <w:p w14:paraId="5B29B2A3" w14:textId="77777777" w:rsidR="00923CF1" w:rsidRPr="000F3310" w:rsidRDefault="00923CF1">
      <w:pPr>
        <w:tabs>
          <w:tab w:val="clear" w:pos="794"/>
          <w:tab w:val="clear" w:pos="1191"/>
          <w:tab w:val="clear" w:pos="1588"/>
          <w:tab w:val="clear" w:pos="1985"/>
        </w:tabs>
        <w:overflowPunct/>
        <w:autoSpaceDE/>
        <w:autoSpaceDN/>
        <w:adjustRightInd/>
        <w:spacing w:before="0"/>
        <w:textAlignment w:val="auto"/>
        <w:rPr>
          <w:lang w:val="fr-FR"/>
        </w:rPr>
      </w:pPr>
      <w:r w:rsidRPr="000F3310">
        <w:rPr>
          <w:lang w:val="fr-FR"/>
        </w:rPr>
        <w:br w:type="page"/>
      </w:r>
    </w:p>
    <w:p w14:paraId="2B5C1507" w14:textId="0B54416A" w:rsidR="00D61A51" w:rsidRPr="000F3310" w:rsidRDefault="00D61A51" w:rsidP="00D61A51">
      <w:pPr>
        <w:pStyle w:val="Heading1"/>
        <w:rPr>
          <w:lang w:val="fr-FR"/>
        </w:rPr>
      </w:pPr>
      <w:r w:rsidRPr="000F3310">
        <w:rPr>
          <w:lang w:val="fr-FR"/>
        </w:rPr>
        <w:lastRenderedPageBreak/>
        <w:t>1</w:t>
      </w:r>
      <w:r w:rsidRPr="000F3310">
        <w:rPr>
          <w:lang w:val="fr-FR"/>
        </w:rPr>
        <w:tab/>
        <w:t>Considérations générales</w:t>
      </w:r>
    </w:p>
    <w:p w14:paraId="069F6DD6" w14:textId="55ECE19B" w:rsidR="00D61A51" w:rsidRPr="000F3310" w:rsidRDefault="00D61A51" w:rsidP="00D61A51">
      <w:pPr>
        <w:rPr>
          <w:lang w:val="fr-FR"/>
        </w:rPr>
      </w:pPr>
      <w:r w:rsidRPr="000F3310">
        <w:rPr>
          <w:lang w:val="fr-FR"/>
        </w:rPr>
        <w:t>La Conférence mondiale de développement des télécommunications de 2022 (CMDT-22) a reconnu l'importance de la mobilisation des ressources et de la coopération internationale, qui font l'objet d'une nouvelle priorité du Secteur du développement des télécommunications de l'UIT (UIT-D) et d'un catalyseur du Plan d'action de Kigali: "Cette priorité vise essentiellement à mobiliser et à attirer des ressources, ainsi qu'à encourager la coopération internationale sur les questions de développement des télécommunications/TIC. Elle s'appuie sur une approche transversale, consistant à mettre à disposition des ressources et à encourager la coopération internationale, en vue d'obtenir des résultats pertinents au niveau mondial. Il convient d'accorder la priorité et l'attention voulue aux besoins des pays en développement, des pays les moins avancés, des petits États insulaires en développement, des pays en développement sans littoral et des pays dont l'économie est en transition, ainsi que des populations mal desservies ou vulnérables." (Plan d'action de Kigali).</w:t>
      </w:r>
    </w:p>
    <w:p w14:paraId="2D455860" w14:textId="1EF43C25" w:rsidR="00D61A51" w:rsidRPr="000F3310" w:rsidRDefault="00D61A51" w:rsidP="00D61A51">
      <w:pPr>
        <w:rPr>
          <w:lang w:val="fr-FR"/>
        </w:rPr>
      </w:pPr>
      <w:r w:rsidRPr="000F3310">
        <w:rPr>
          <w:lang w:val="fr-FR"/>
        </w:rPr>
        <w:t>Aux termes de la Résolution 17 (Rév. Kigali, 2022), intitulée "Mise en œuvre aux niveaux national, régional, interrégional et mondial des initiatives régionales approuvées et coopération en la matière", le Directeur du Bureau de développement des télécommunications (BDT) est chargé "de veiller à ce que le BDT facilite la participation active des organisations régionales ou sous</w:t>
      </w:r>
      <w:r w:rsidR="000C7136" w:rsidRPr="000F3310">
        <w:rPr>
          <w:lang w:val="fr-FR"/>
        </w:rPr>
        <w:noBreakHyphen/>
      </w:r>
      <w:r w:rsidRPr="000F3310">
        <w:rPr>
          <w:lang w:val="fr-FR"/>
        </w:rPr>
        <w:t xml:space="preserve">régionales de télécommunication aux différentes phases de la gestion des projets élaborés par l'UIT, ainsi qu'à la mise en place de partenariats et à la mobilisation de ressources, en vue de promouvoir efficacement la mise en œuvre des initiatives régionales". </w:t>
      </w:r>
    </w:p>
    <w:p w14:paraId="585C261A" w14:textId="1454CBE4" w:rsidR="00D61A51" w:rsidRPr="000F3310" w:rsidRDefault="00D61A51" w:rsidP="00D61A51">
      <w:pPr>
        <w:pStyle w:val="Heading1"/>
        <w:rPr>
          <w:lang w:val="fr-FR"/>
        </w:rPr>
      </w:pPr>
      <w:r w:rsidRPr="000F3310">
        <w:rPr>
          <w:lang w:val="fr-FR"/>
        </w:rPr>
        <w:t>2</w:t>
      </w:r>
      <w:r w:rsidRPr="000F3310">
        <w:rPr>
          <w:lang w:val="fr-FR"/>
        </w:rPr>
        <w:tab/>
        <w:t>Objectif stratégique des partenariats et de la mobilisation des ressources à l'UIT-D</w:t>
      </w:r>
    </w:p>
    <w:p w14:paraId="622E9B5E" w14:textId="77777777" w:rsidR="00D61A51" w:rsidRPr="000F3310" w:rsidRDefault="00D61A51" w:rsidP="00D61A51">
      <w:pPr>
        <w:rPr>
          <w:lang w:val="fr-FR"/>
        </w:rPr>
      </w:pPr>
      <w:r w:rsidRPr="000F3310">
        <w:rPr>
          <w:lang w:val="fr-FR"/>
        </w:rPr>
        <w:t xml:space="preserve">Conformément aux résultats de la CMDT-22, l'objectif est de promouvoir, de développer et de renforcer les partenariats et la collaboration internationale avec divers partenaires de pays développés et de pays en développement. </w:t>
      </w:r>
    </w:p>
    <w:p w14:paraId="310B62E1" w14:textId="0B78C262" w:rsidR="00D61A51" w:rsidRPr="000F3310" w:rsidRDefault="00D61A51" w:rsidP="00D61A51">
      <w:pPr>
        <w:rPr>
          <w:lang w:val="fr-FR"/>
        </w:rPr>
      </w:pPr>
      <w:r w:rsidRPr="000F3310">
        <w:rPr>
          <w:lang w:val="fr-FR"/>
        </w:rPr>
        <w:t>Il s'agit d'améliorer la coordination, de faciliter l'échange de compétences spécialisées et de mobiliser des ressources pour la mise en œuvre de programmes, d'activités et d'initiatives en faveur du développement durable.</w:t>
      </w:r>
    </w:p>
    <w:p w14:paraId="1CDD23A3" w14:textId="77777777" w:rsidR="00D61A51" w:rsidRPr="000F3310" w:rsidRDefault="00D61A51" w:rsidP="00D61A51">
      <w:pPr>
        <w:rPr>
          <w:lang w:val="fr-FR"/>
        </w:rPr>
      </w:pPr>
      <w:r w:rsidRPr="000F3310">
        <w:rPr>
          <w:lang w:val="fr-FR"/>
        </w:rPr>
        <w:t>Ce point a été rappelé lors de la CMDT-25, notamment dans la Déclaration de Bakou et dans le Plan d'action de Bakou.</w:t>
      </w:r>
    </w:p>
    <w:p w14:paraId="6AACEC25" w14:textId="30C7E105" w:rsidR="00D61A51" w:rsidRPr="000F3310" w:rsidRDefault="00D61A51" w:rsidP="00D61A51">
      <w:pPr>
        <w:pStyle w:val="Heading1"/>
        <w:rPr>
          <w:lang w:val="fr-FR"/>
        </w:rPr>
      </w:pPr>
      <w:r w:rsidRPr="000F3310">
        <w:rPr>
          <w:lang w:val="fr-FR"/>
        </w:rPr>
        <w:t>3</w:t>
      </w:r>
      <w:r w:rsidRPr="000F3310">
        <w:rPr>
          <w:lang w:val="fr-FR"/>
        </w:rPr>
        <w:tab/>
        <w:t>Partenariats et résultats des activités de mobilisation des ressources en 2025</w:t>
      </w:r>
    </w:p>
    <w:p w14:paraId="06EC2FAC" w14:textId="26F570E8" w:rsidR="00D61A51" w:rsidRPr="000F3310" w:rsidRDefault="00D61A51" w:rsidP="00D61A51">
      <w:pPr>
        <w:rPr>
          <w:lang w:val="fr-FR"/>
        </w:rPr>
      </w:pPr>
      <w:r w:rsidRPr="000F3310">
        <w:rPr>
          <w:lang w:val="fr-FR"/>
        </w:rPr>
        <w:t>En 2025, grâce aux efforts concertés des membres et des partenaires de l'UIT, et également grâce à l'action du personnel du BDT, sur le terrain et au siège de l'Union, l'UIT et le BDT ont conclu 76 accords de partenariats</w:t>
      </w:r>
      <w:r w:rsidR="000B06D9" w:rsidRPr="000F3310">
        <w:rPr>
          <w:rStyle w:val="FootnoteReference"/>
          <w:lang w:val="fr-FR"/>
        </w:rPr>
        <w:footnoteReference w:id="1"/>
      </w:r>
      <w:r w:rsidRPr="000F3310">
        <w:rPr>
          <w:lang w:val="fr-FR"/>
        </w:rPr>
        <w:t>, dont 53 prévoient des contributions financières d'un montant d'environ 7,6 millions USD, fournies par les partenaires du BDT (72%) et par l'UIT (28%).</w:t>
      </w:r>
    </w:p>
    <w:p w14:paraId="69B70EE0" w14:textId="2DED8000" w:rsidR="00EC6FED" w:rsidRPr="000F3310" w:rsidRDefault="00D61A51" w:rsidP="008C327A">
      <w:pPr>
        <w:keepNext/>
        <w:rPr>
          <w:lang w:val="fr-FR"/>
        </w:rPr>
      </w:pPr>
      <w:r w:rsidRPr="000F3310">
        <w:rPr>
          <w:lang w:val="fr-FR"/>
        </w:rPr>
        <w:lastRenderedPageBreak/>
        <w:t>Ces accords de partenariat ont été signés avec 60 partenaires de types divers, répartis comme suit:</w:t>
      </w:r>
    </w:p>
    <w:p w14:paraId="6F2245B7" w14:textId="48F20A36" w:rsidR="00D61A51" w:rsidRPr="000F3310" w:rsidRDefault="00417B7A" w:rsidP="00413225">
      <w:pPr>
        <w:jc w:val="center"/>
        <w:rPr>
          <w:lang w:val="fr-FR"/>
        </w:rPr>
      </w:pPr>
      <w:r w:rsidRPr="000F3310">
        <w:rPr>
          <w:noProof/>
          <w:lang w:val="fr-FR"/>
        </w:rPr>
        <w:drawing>
          <wp:inline distT="0" distB="0" distL="0" distR="0" wp14:anchorId="77DBF2D6" wp14:editId="5D5C32D6">
            <wp:extent cx="6049670" cy="1704236"/>
            <wp:effectExtent l="0" t="0" r="0" b="0"/>
            <wp:docPr id="58916744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95402" cy="1717119"/>
                    </a:xfrm>
                    <a:prstGeom prst="rect">
                      <a:avLst/>
                    </a:prstGeom>
                    <a:noFill/>
                  </pic:spPr>
                </pic:pic>
              </a:graphicData>
            </a:graphic>
          </wp:inline>
        </w:drawing>
      </w:r>
    </w:p>
    <w:p w14:paraId="390DB844" w14:textId="4E8B5EA9" w:rsidR="000B06D9" w:rsidRPr="000F3310" w:rsidRDefault="000B06D9" w:rsidP="000B06D9">
      <w:pPr>
        <w:rPr>
          <w:lang w:val="fr-FR"/>
        </w:rPr>
      </w:pPr>
      <w:r w:rsidRPr="000F3310">
        <w:rPr>
          <w:lang w:val="fr-FR"/>
        </w:rPr>
        <w:t>Parmi ces partenaires figuraient 16 États Membres, 8 Membres du Secteur de l'UIT-D, 2 établissements universitaires, 2 organisations intergouvernementales exploitant des systèmes à satellites et 4 organisations régionales et autres organisations internationales (selon la classification des membres de l'UIT)</w:t>
      </w:r>
      <w:r w:rsidRPr="000F3310">
        <w:rPr>
          <w:rStyle w:val="FootnoteReference"/>
          <w:lang w:val="fr-FR"/>
        </w:rPr>
        <w:footnoteReference w:id="2"/>
      </w:r>
      <w:r w:rsidRPr="000F3310">
        <w:rPr>
          <w:lang w:val="fr-FR"/>
        </w:rPr>
        <w:t>.</w:t>
      </w:r>
    </w:p>
    <w:p w14:paraId="27E9DF9B" w14:textId="5E62D0C8" w:rsidR="000B06D9" w:rsidRPr="000F3310" w:rsidRDefault="000B06D9" w:rsidP="000B06D9">
      <w:pPr>
        <w:rPr>
          <w:lang w:val="fr-FR"/>
        </w:rPr>
      </w:pPr>
      <w:r w:rsidRPr="000F3310">
        <w:rPr>
          <w:lang w:val="fr-FR"/>
        </w:rPr>
        <w:t>Sur les 60 partenaires du BDT, 36 ont signé une ou plusieurs contributions financières, pour un montant total d'environ 5,5 millions USD, réparties comme suit:</w:t>
      </w:r>
    </w:p>
    <w:p w14:paraId="61753DD2" w14:textId="5F825AF8" w:rsidR="000B06D9" w:rsidRPr="000F3310" w:rsidRDefault="00417B7A" w:rsidP="000B06D9">
      <w:pPr>
        <w:jc w:val="center"/>
        <w:rPr>
          <w:lang w:val="fr-FR"/>
        </w:rPr>
      </w:pPr>
      <w:r w:rsidRPr="000F3310">
        <w:rPr>
          <w:noProof/>
          <w:lang w:val="fr-FR"/>
        </w:rPr>
        <w:drawing>
          <wp:inline distT="0" distB="0" distL="0" distR="0" wp14:anchorId="0A8B0FB7" wp14:editId="274C423B">
            <wp:extent cx="5830214" cy="3087442"/>
            <wp:effectExtent l="0" t="0" r="0" b="0"/>
            <wp:docPr id="29339788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35665" cy="3090329"/>
                    </a:xfrm>
                    <a:prstGeom prst="rect">
                      <a:avLst/>
                    </a:prstGeom>
                    <a:noFill/>
                  </pic:spPr>
                </pic:pic>
              </a:graphicData>
            </a:graphic>
          </wp:inline>
        </w:drawing>
      </w:r>
    </w:p>
    <w:p w14:paraId="6587E0B9" w14:textId="2F2C58E1" w:rsidR="000B06D9" w:rsidRPr="000F3310" w:rsidRDefault="000B06D9" w:rsidP="000B06D9">
      <w:pPr>
        <w:rPr>
          <w:lang w:val="fr-FR"/>
        </w:rPr>
      </w:pPr>
      <w:r w:rsidRPr="000F3310">
        <w:rPr>
          <w:lang w:val="fr-FR"/>
        </w:rPr>
        <w:br w:type="page"/>
      </w:r>
    </w:p>
    <w:p w14:paraId="30752350" w14:textId="50A3EF5A" w:rsidR="00C243D0" w:rsidRPr="000F3310" w:rsidRDefault="00C243D0" w:rsidP="00C243D0">
      <w:pPr>
        <w:spacing w:after="120"/>
        <w:rPr>
          <w:lang w:val="fr-FR"/>
        </w:rPr>
      </w:pPr>
      <w:r w:rsidRPr="000F3310">
        <w:rPr>
          <w:lang w:val="fr-FR"/>
        </w:rPr>
        <w:lastRenderedPageBreak/>
        <w:t>Pour 2025, les entités suivantes figuraient parmi les 5 principaux partenaires financiers du BDT</w:t>
      </w:r>
      <w:r w:rsidRPr="000F3310">
        <w:rPr>
          <w:rStyle w:val="FootnoteReference"/>
          <w:lang w:val="fr-FR"/>
        </w:rPr>
        <w:footnoteReference w:id="3"/>
      </w:r>
      <w:r w:rsidRPr="000F3310">
        <w:rPr>
          <w:lang w:val="fr-FR"/>
        </w:rPr>
        <w:t>:</w:t>
      </w:r>
    </w:p>
    <w:tbl>
      <w:tblPr>
        <w:tblStyle w:val="TableGrid"/>
        <w:tblW w:w="9634" w:type="dxa"/>
        <w:tblInd w:w="-5" w:type="dxa"/>
        <w:tblBorders>
          <w:top w:val="single" w:sz="8" w:space="0" w:color="auto"/>
          <w:left w:val="single" w:sz="8" w:space="0" w:color="auto"/>
          <w:bottom w:val="single" w:sz="8" w:space="0" w:color="auto"/>
          <w:right w:val="single" w:sz="8" w:space="0" w:color="auto"/>
          <w:insideH w:val="none" w:sz="0" w:space="0" w:color="auto"/>
          <w:insideV w:val="none" w:sz="0" w:space="0" w:color="auto"/>
        </w:tblBorders>
        <w:tblLayout w:type="fixed"/>
        <w:tblLook w:val="04A0" w:firstRow="1" w:lastRow="0" w:firstColumn="1" w:lastColumn="0" w:noHBand="0" w:noVBand="1"/>
      </w:tblPr>
      <w:tblGrid>
        <w:gridCol w:w="5949"/>
        <w:gridCol w:w="3685"/>
      </w:tblGrid>
      <w:tr w:rsidR="000B06D9" w:rsidRPr="007D14C3" w14:paraId="497A821E" w14:textId="77777777" w:rsidTr="00C243D0">
        <w:tc>
          <w:tcPr>
            <w:tcW w:w="5949" w:type="dxa"/>
            <w:tcBorders>
              <w:top w:val="single" w:sz="4" w:space="0" w:color="000000"/>
              <w:left w:val="single" w:sz="4" w:space="0" w:color="000000"/>
              <w:bottom w:val="single" w:sz="4" w:space="0" w:color="auto"/>
            </w:tcBorders>
            <w:shd w:val="clear" w:color="auto" w:fill="DBE5F1" w:themeFill="accent1" w:themeFillTint="33"/>
          </w:tcPr>
          <w:p w14:paraId="04243B1C" w14:textId="77777777" w:rsidR="000B06D9" w:rsidRPr="000F3310" w:rsidRDefault="000B06D9" w:rsidP="000B06D9">
            <w:pPr>
              <w:pStyle w:val="Tablehead"/>
              <w:jc w:val="left"/>
              <w:rPr>
                <w:szCs w:val="24"/>
                <w:lang w:val="fr-FR"/>
              </w:rPr>
            </w:pPr>
            <w:r w:rsidRPr="000F3310">
              <w:rPr>
                <w:lang w:val="fr-FR"/>
              </w:rPr>
              <w:t>Partenaire</w:t>
            </w:r>
          </w:p>
        </w:tc>
        <w:tc>
          <w:tcPr>
            <w:tcW w:w="3685" w:type="dxa"/>
            <w:tcBorders>
              <w:top w:val="single" w:sz="4" w:space="0" w:color="000000"/>
              <w:bottom w:val="single" w:sz="4" w:space="0" w:color="auto"/>
              <w:right w:val="single" w:sz="4" w:space="0" w:color="000000"/>
            </w:tcBorders>
            <w:shd w:val="clear" w:color="auto" w:fill="DBE5F1" w:themeFill="accent1" w:themeFillTint="33"/>
          </w:tcPr>
          <w:p w14:paraId="7CFC6068" w14:textId="77777777" w:rsidR="000B06D9" w:rsidRPr="000F3310" w:rsidRDefault="000B06D9" w:rsidP="000B06D9">
            <w:pPr>
              <w:pStyle w:val="Tablehead"/>
              <w:rPr>
                <w:szCs w:val="24"/>
                <w:lang w:val="fr-FR"/>
              </w:rPr>
            </w:pPr>
            <w:r w:rsidRPr="000F3310">
              <w:rPr>
                <w:lang w:val="fr-FR"/>
              </w:rPr>
              <w:t>Contribution financière convenue</w:t>
            </w:r>
          </w:p>
          <w:p w14:paraId="790B81AB" w14:textId="77777777" w:rsidR="000B06D9" w:rsidRPr="000F3310" w:rsidRDefault="000B06D9" w:rsidP="000B06D9">
            <w:pPr>
              <w:pStyle w:val="Tablehead"/>
              <w:rPr>
                <w:b w:val="0"/>
                <w:bCs/>
                <w:szCs w:val="24"/>
                <w:lang w:val="fr-FR"/>
              </w:rPr>
            </w:pPr>
            <w:r w:rsidRPr="000F3310">
              <w:rPr>
                <w:b w:val="0"/>
                <w:bCs/>
                <w:lang w:val="fr-FR"/>
              </w:rPr>
              <w:t>(en USD à la date de signature)</w:t>
            </w:r>
          </w:p>
        </w:tc>
      </w:tr>
      <w:tr w:rsidR="000B06D9" w:rsidRPr="000F3310" w14:paraId="683DFD3D" w14:textId="77777777" w:rsidTr="00D4618B">
        <w:tc>
          <w:tcPr>
            <w:tcW w:w="5949" w:type="dxa"/>
            <w:tcBorders>
              <w:top w:val="single" w:sz="4" w:space="0" w:color="auto"/>
              <w:left w:val="single" w:sz="4" w:space="0" w:color="auto"/>
              <w:bottom w:val="single" w:sz="4" w:space="0" w:color="auto"/>
              <w:right w:val="single" w:sz="4" w:space="0" w:color="auto"/>
            </w:tcBorders>
          </w:tcPr>
          <w:p w14:paraId="7BDEA29E" w14:textId="77777777" w:rsidR="000B06D9" w:rsidRPr="000F3310" w:rsidRDefault="000B06D9" w:rsidP="000B06D9">
            <w:pPr>
              <w:pStyle w:val="Tabletext"/>
              <w:rPr>
                <w:szCs w:val="24"/>
                <w:lang w:val="fr-FR"/>
              </w:rPr>
            </w:pPr>
            <w:r w:rsidRPr="000F3310">
              <w:rPr>
                <w:lang w:val="fr-FR"/>
              </w:rPr>
              <w:t>Ministère des affaires étrangères, du Commonwealth et du développement (Royaume-Uni)</w:t>
            </w:r>
          </w:p>
        </w:tc>
        <w:tc>
          <w:tcPr>
            <w:tcW w:w="3685" w:type="dxa"/>
            <w:tcBorders>
              <w:top w:val="single" w:sz="4" w:space="0" w:color="auto"/>
              <w:left w:val="single" w:sz="4" w:space="0" w:color="auto"/>
              <w:bottom w:val="single" w:sz="4" w:space="0" w:color="auto"/>
              <w:right w:val="single" w:sz="4" w:space="0" w:color="auto"/>
            </w:tcBorders>
          </w:tcPr>
          <w:p w14:paraId="271192EB" w14:textId="77777777" w:rsidR="000B06D9" w:rsidRPr="000F3310" w:rsidRDefault="000B06D9" w:rsidP="000B06D9">
            <w:pPr>
              <w:pStyle w:val="Tabletext"/>
              <w:jc w:val="center"/>
              <w:rPr>
                <w:szCs w:val="24"/>
                <w:lang w:val="fr-FR"/>
              </w:rPr>
            </w:pPr>
            <w:r w:rsidRPr="000F3310">
              <w:rPr>
                <w:lang w:val="fr-FR"/>
              </w:rPr>
              <w:t>1,19 million USD</w:t>
            </w:r>
          </w:p>
        </w:tc>
      </w:tr>
      <w:tr w:rsidR="000B06D9" w:rsidRPr="000F3310" w14:paraId="32EAA28D" w14:textId="77777777" w:rsidTr="00D4618B">
        <w:tc>
          <w:tcPr>
            <w:tcW w:w="5949" w:type="dxa"/>
            <w:tcBorders>
              <w:top w:val="single" w:sz="4" w:space="0" w:color="auto"/>
              <w:left w:val="single" w:sz="4" w:space="0" w:color="auto"/>
              <w:bottom w:val="single" w:sz="4" w:space="0" w:color="auto"/>
              <w:right w:val="single" w:sz="4" w:space="0" w:color="auto"/>
            </w:tcBorders>
          </w:tcPr>
          <w:p w14:paraId="2D28EC05" w14:textId="77777777" w:rsidR="000B06D9" w:rsidRPr="000F3310" w:rsidRDefault="000B06D9" w:rsidP="000B06D9">
            <w:pPr>
              <w:pStyle w:val="Tabletext"/>
              <w:rPr>
                <w:szCs w:val="24"/>
                <w:lang w:val="fr-FR"/>
              </w:rPr>
            </w:pPr>
            <w:r w:rsidRPr="000F3310">
              <w:rPr>
                <w:lang w:val="fr-FR"/>
              </w:rPr>
              <w:t>Ministère des affaires étrangères et de la coopération internationale (Italie)</w:t>
            </w:r>
          </w:p>
        </w:tc>
        <w:tc>
          <w:tcPr>
            <w:tcW w:w="3685" w:type="dxa"/>
            <w:tcBorders>
              <w:top w:val="single" w:sz="4" w:space="0" w:color="auto"/>
              <w:left w:val="single" w:sz="4" w:space="0" w:color="auto"/>
              <w:bottom w:val="single" w:sz="4" w:space="0" w:color="auto"/>
              <w:right w:val="single" w:sz="4" w:space="0" w:color="auto"/>
            </w:tcBorders>
          </w:tcPr>
          <w:p w14:paraId="15F35403" w14:textId="77777777" w:rsidR="000B06D9" w:rsidRPr="000F3310" w:rsidRDefault="000B06D9" w:rsidP="000B06D9">
            <w:pPr>
              <w:pStyle w:val="Tabletext"/>
              <w:jc w:val="center"/>
              <w:rPr>
                <w:szCs w:val="24"/>
                <w:lang w:val="fr-FR"/>
              </w:rPr>
            </w:pPr>
            <w:r w:rsidRPr="000F3310">
              <w:rPr>
                <w:lang w:val="fr-FR"/>
              </w:rPr>
              <w:t>0,70 million USD</w:t>
            </w:r>
          </w:p>
        </w:tc>
      </w:tr>
      <w:tr w:rsidR="000B06D9" w:rsidRPr="000F3310" w14:paraId="2AA152E3" w14:textId="77777777" w:rsidTr="00D4618B">
        <w:trPr>
          <w:trHeight w:val="354"/>
        </w:trPr>
        <w:tc>
          <w:tcPr>
            <w:tcW w:w="5949" w:type="dxa"/>
            <w:tcBorders>
              <w:top w:val="single" w:sz="4" w:space="0" w:color="auto"/>
              <w:left w:val="single" w:sz="4" w:space="0" w:color="auto"/>
              <w:bottom w:val="single" w:sz="4" w:space="0" w:color="auto"/>
              <w:right w:val="single" w:sz="4" w:space="0" w:color="auto"/>
            </w:tcBorders>
          </w:tcPr>
          <w:p w14:paraId="6E6ABC2F" w14:textId="77777777" w:rsidR="000B06D9" w:rsidRPr="000F3310" w:rsidRDefault="000B06D9" w:rsidP="000B06D9">
            <w:pPr>
              <w:pStyle w:val="Tabletext"/>
              <w:rPr>
                <w:szCs w:val="24"/>
                <w:lang w:val="fr-FR"/>
              </w:rPr>
            </w:pPr>
            <w:r w:rsidRPr="000F3310">
              <w:rPr>
                <w:lang w:val="fr-FR"/>
              </w:rPr>
              <w:t xml:space="preserve">Agence allemande pour la coopération internationale (Deutsche Gesellschaft für Internationale Zusammenarbeit GmbH) </w:t>
            </w:r>
          </w:p>
        </w:tc>
        <w:tc>
          <w:tcPr>
            <w:tcW w:w="3685" w:type="dxa"/>
            <w:tcBorders>
              <w:top w:val="single" w:sz="4" w:space="0" w:color="auto"/>
              <w:left w:val="single" w:sz="4" w:space="0" w:color="auto"/>
              <w:bottom w:val="single" w:sz="4" w:space="0" w:color="auto"/>
              <w:right w:val="single" w:sz="4" w:space="0" w:color="auto"/>
            </w:tcBorders>
          </w:tcPr>
          <w:p w14:paraId="0FC2436C" w14:textId="77777777" w:rsidR="000B06D9" w:rsidRPr="000F3310" w:rsidRDefault="000B06D9" w:rsidP="000B06D9">
            <w:pPr>
              <w:pStyle w:val="Tabletext"/>
              <w:jc w:val="center"/>
              <w:rPr>
                <w:szCs w:val="24"/>
                <w:lang w:val="fr-FR"/>
              </w:rPr>
            </w:pPr>
            <w:r w:rsidRPr="000F3310">
              <w:rPr>
                <w:lang w:val="fr-FR"/>
              </w:rPr>
              <w:t>0,54 million USD</w:t>
            </w:r>
          </w:p>
        </w:tc>
      </w:tr>
      <w:tr w:rsidR="000B06D9" w:rsidRPr="000F3310" w14:paraId="0D94D04A" w14:textId="77777777" w:rsidTr="00D4618B">
        <w:trPr>
          <w:trHeight w:val="354"/>
        </w:trPr>
        <w:tc>
          <w:tcPr>
            <w:tcW w:w="5949" w:type="dxa"/>
            <w:tcBorders>
              <w:top w:val="single" w:sz="4" w:space="0" w:color="auto"/>
              <w:left w:val="single" w:sz="4" w:space="0" w:color="auto"/>
              <w:bottom w:val="single" w:sz="4" w:space="0" w:color="auto"/>
              <w:right w:val="single" w:sz="4" w:space="0" w:color="auto"/>
            </w:tcBorders>
          </w:tcPr>
          <w:p w14:paraId="09F5A157" w14:textId="77777777" w:rsidR="000B06D9" w:rsidRPr="000F3310" w:rsidRDefault="000B06D9" w:rsidP="000B06D9">
            <w:pPr>
              <w:pStyle w:val="Tabletext"/>
              <w:rPr>
                <w:szCs w:val="24"/>
                <w:lang w:val="fr-FR"/>
              </w:rPr>
            </w:pPr>
            <w:r w:rsidRPr="000F3310">
              <w:rPr>
                <w:lang w:val="fr-FR"/>
              </w:rPr>
              <w:t>Ministère de la sécurité nationale (Bermudes)</w:t>
            </w:r>
          </w:p>
        </w:tc>
        <w:tc>
          <w:tcPr>
            <w:tcW w:w="3685" w:type="dxa"/>
            <w:tcBorders>
              <w:top w:val="single" w:sz="4" w:space="0" w:color="auto"/>
              <w:left w:val="single" w:sz="4" w:space="0" w:color="auto"/>
              <w:bottom w:val="single" w:sz="4" w:space="0" w:color="auto"/>
              <w:right w:val="single" w:sz="4" w:space="0" w:color="auto"/>
            </w:tcBorders>
          </w:tcPr>
          <w:p w14:paraId="2F3B3609" w14:textId="77777777" w:rsidR="000B06D9" w:rsidRPr="000F3310" w:rsidRDefault="000B06D9" w:rsidP="000B06D9">
            <w:pPr>
              <w:pStyle w:val="Tabletext"/>
              <w:jc w:val="center"/>
              <w:rPr>
                <w:szCs w:val="24"/>
                <w:lang w:val="fr-FR"/>
              </w:rPr>
            </w:pPr>
            <w:r w:rsidRPr="000F3310">
              <w:rPr>
                <w:lang w:val="fr-FR"/>
              </w:rPr>
              <w:t>0,37 million USD</w:t>
            </w:r>
          </w:p>
        </w:tc>
      </w:tr>
      <w:tr w:rsidR="000B06D9" w:rsidRPr="000F3310" w14:paraId="633FBEEA" w14:textId="77777777" w:rsidTr="00D4618B">
        <w:tc>
          <w:tcPr>
            <w:tcW w:w="5949" w:type="dxa"/>
            <w:tcBorders>
              <w:top w:val="single" w:sz="4" w:space="0" w:color="auto"/>
              <w:left w:val="single" w:sz="4" w:space="0" w:color="auto"/>
              <w:bottom w:val="single" w:sz="4" w:space="0" w:color="auto"/>
              <w:right w:val="single" w:sz="4" w:space="0" w:color="auto"/>
            </w:tcBorders>
          </w:tcPr>
          <w:p w14:paraId="21075245" w14:textId="77777777" w:rsidR="000B06D9" w:rsidRPr="000F3310" w:rsidRDefault="000B06D9" w:rsidP="000B06D9">
            <w:pPr>
              <w:pStyle w:val="Tabletext"/>
              <w:rPr>
                <w:szCs w:val="24"/>
                <w:lang w:val="fr-FR"/>
              </w:rPr>
            </w:pPr>
            <w:r w:rsidRPr="000F3310">
              <w:rPr>
                <w:lang w:val="fr-FR"/>
              </w:rPr>
              <w:t>Ministère des affaires intérieures et des communications (Japon)</w:t>
            </w:r>
          </w:p>
        </w:tc>
        <w:tc>
          <w:tcPr>
            <w:tcW w:w="3685" w:type="dxa"/>
            <w:tcBorders>
              <w:top w:val="single" w:sz="4" w:space="0" w:color="auto"/>
              <w:left w:val="single" w:sz="4" w:space="0" w:color="auto"/>
              <w:bottom w:val="single" w:sz="4" w:space="0" w:color="auto"/>
              <w:right w:val="single" w:sz="4" w:space="0" w:color="auto"/>
            </w:tcBorders>
          </w:tcPr>
          <w:p w14:paraId="30EBDB10" w14:textId="77777777" w:rsidR="000B06D9" w:rsidRPr="000F3310" w:rsidRDefault="000B06D9" w:rsidP="000B06D9">
            <w:pPr>
              <w:pStyle w:val="Tabletext"/>
              <w:jc w:val="center"/>
              <w:rPr>
                <w:szCs w:val="24"/>
                <w:lang w:val="fr-FR"/>
              </w:rPr>
            </w:pPr>
            <w:r w:rsidRPr="000F3310">
              <w:rPr>
                <w:lang w:val="fr-FR"/>
              </w:rPr>
              <w:t>0,33 million USD</w:t>
            </w:r>
          </w:p>
        </w:tc>
      </w:tr>
    </w:tbl>
    <w:p w14:paraId="54B02264" w14:textId="14786A78" w:rsidR="000B06D9" w:rsidRPr="000F3310" w:rsidRDefault="00C243D0" w:rsidP="000B06D9">
      <w:pPr>
        <w:rPr>
          <w:lang w:val="fr-FR"/>
        </w:rPr>
      </w:pPr>
      <w:r w:rsidRPr="000F3310">
        <w:rPr>
          <w:lang w:val="fr-FR"/>
        </w:rPr>
        <w:t>Les graphiques ci-dessous montrent la part des accords de partenariat signés (avec ou sans contributions financières) et des contributions financières convenues par région bénéficiaire et priorité de l'UIT-D pour l'année 2025:</w:t>
      </w:r>
    </w:p>
    <w:p w14:paraId="1175374B" w14:textId="4F8D5F8F" w:rsidR="00C243D0" w:rsidRPr="000F3310" w:rsidRDefault="00417B7A" w:rsidP="00C243D0">
      <w:pPr>
        <w:jc w:val="center"/>
        <w:rPr>
          <w:lang w:val="fr-FR"/>
        </w:rPr>
      </w:pPr>
      <w:r w:rsidRPr="000F3310">
        <w:rPr>
          <w:noProof/>
          <w:lang w:val="fr-FR"/>
        </w:rPr>
        <w:drawing>
          <wp:inline distT="0" distB="0" distL="0" distR="0" wp14:anchorId="6332B52E" wp14:editId="472A827C">
            <wp:extent cx="5047488" cy="2121695"/>
            <wp:effectExtent l="0" t="0" r="1270" b="0"/>
            <wp:docPr id="202045485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47488" cy="2121695"/>
                    </a:xfrm>
                    <a:prstGeom prst="rect">
                      <a:avLst/>
                    </a:prstGeom>
                    <a:noFill/>
                  </pic:spPr>
                </pic:pic>
              </a:graphicData>
            </a:graphic>
          </wp:inline>
        </w:drawing>
      </w:r>
    </w:p>
    <w:p w14:paraId="06E280D4" w14:textId="77777777" w:rsidR="00C243D0" w:rsidRPr="000F3310" w:rsidRDefault="00C243D0" w:rsidP="00C243D0">
      <w:pPr>
        <w:spacing w:before="0"/>
        <w:rPr>
          <w:sz w:val="8"/>
          <w:szCs w:val="4"/>
          <w:lang w:val="fr-FR"/>
        </w:rPr>
      </w:pPr>
    </w:p>
    <w:p w14:paraId="35E65A81" w14:textId="662E18BF" w:rsidR="00C243D0" w:rsidRPr="000F3310" w:rsidRDefault="00417B7A" w:rsidP="00C243D0">
      <w:pPr>
        <w:jc w:val="center"/>
        <w:rPr>
          <w:lang w:val="fr-FR"/>
        </w:rPr>
      </w:pPr>
      <w:r w:rsidRPr="000F3310">
        <w:rPr>
          <w:noProof/>
          <w:lang w:val="fr-FR"/>
        </w:rPr>
        <w:drawing>
          <wp:inline distT="0" distB="0" distL="0" distR="0" wp14:anchorId="44524E38" wp14:editId="33477027">
            <wp:extent cx="4981627" cy="2618842"/>
            <wp:effectExtent l="0" t="0" r="0" b="0"/>
            <wp:docPr id="95188436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81627" cy="2618842"/>
                    </a:xfrm>
                    <a:prstGeom prst="rect">
                      <a:avLst/>
                    </a:prstGeom>
                    <a:noFill/>
                  </pic:spPr>
                </pic:pic>
              </a:graphicData>
            </a:graphic>
          </wp:inline>
        </w:drawing>
      </w:r>
    </w:p>
    <w:p w14:paraId="331700AE" w14:textId="496C9360" w:rsidR="00C243D0" w:rsidRPr="000F3310" w:rsidRDefault="00C243D0" w:rsidP="000C7136">
      <w:pPr>
        <w:pStyle w:val="Heading1"/>
        <w:rPr>
          <w:lang w:val="fr-FR"/>
        </w:rPr>
      </w:pPr>
      <w:r w:rsidRPr="000F3310">
        <w:rPr>
          <w:lang w:val="fr-FR"/>
        </w:rPr>
        <w:lastRenderedPageBreak/>
        <w:t>4</w:t>
      </w:r>
      <w:r w:rsidRPr="000F3310">
        <w:rPr>
          <w:lang w:val="fr-FR"/>
        </w:rPr>
        <w:tab/>
        <w:t>Partenariats et résultats des activités de mobilisation des ressources en</w:t>
      </w:r>
      <w:r w:rsidR="000C7136" w:rsidRPr="000F3310">
        <w:rPr>
          <w:lang w:val="fr-FR"/>
        </w:rPr>
        <w:t> </w:t>
      </w:r>
      <w:r w:rsidRPr="000F3310">
        <w:rPr>
          <w:lang w:val="fr-FR"/>
        </w:rPr>
        <w:t>2026</w:t>
      </w:r>
    </w:p>
    <w:p w14:paraId="1481F37F" w14:textId="6CC8DF94" w:rsidR="00C243D0" w:rsidRPr="000F3310" w:rsidRDefault="00C243D0" w:rsidP="00C243D0">
      <w:pPr>
        <w:rPr>
          <w:lang w:val="fr-FR"/>
        </w:rPr>
      </w:pPr>
      <w:r w:rsidRPr="000F3310">
        <w:rPr>
          <w:lang w:val="fr-FR"/>
        </w:rPr>
        <w:t>S'appuyant sur la dynamique créée au cours des années précédentes, le BDT continue de travailler, depuis le début de l'année 2026, sur la mise en œuvre des résultats de la CMDT-25. Ses</w:t>
      </w:r>
      <w:r w:rsidR="000C7136" w:rsidRPr="000F3310">
        <w:rPr>
          <w:lang w:val="fr-FR"/>
        </w:rPr>
        <w:t> </w:t>
      </w:r>
      <w:r w:rsidRPr="000F3310">
        <w:rPr>
          <w:lang w:val="fr-FR"/>
        </w:rPr>
        <w:t>travaux ont abouti à la signature de cinq accords de partenariat entre le 1er janvier et le</w:t>
      </w:r>
      <w:r w:rsidR="000C7136" w:rsidRPr="000F3310">
        <w:rPr>
          <w:lang w:val="fr-FR"/>
        </w:rPr>
        <w:t> </w:t>
      </w:r>
      <w:r w:rsidRPr="000F3310">
        <w:rPr>
          <w:lang w:val="fr-FR"/>
        </w:rPr>
        <w:t>28</w:t>
      </w:r>
      <w:r w:rsidR="000C7136" w:rsidRPr="000F3310">
        <w:rPr>
          <w:lang w:val="fr-FR"/>
        </w:rPr>
        <w:t> </w:t>
      </w:r>
      <w:r w:rsidRPr="000F3310">
        <w:rPr>
          <w:lang w:val="fr-FR"/>
        </w:rPr>
        <w:t>février</w:t>
      </w:r>
      <w:r w:rsidR="000C7136" w:rsidRPr="000F3310">
        <w:rPr>
          <w:lang w:val="fr-FR"/>
        </w:rPr>
        <w:t> </w:t>
      </w:r>
      <w:r w:rsidRPr="000F3310">
        <w:rPr>
          <w:lang w:val="fr-FR"/>
        </w:rPr>
        <w:t>2026, dont la contribution financière convenue totale s'élève à 175 908 USD (on</w:t>
      </w:r>
      <w:r w:rsidR="000C7136" w:rsidRPr="000F3310">
        <w:rPr>
          <w:lang w:val="fr-FR"/>
        </w:rPr>
        <w:t> </w:t>
      </w:r>
      <w:r w:rsidRPr="000F3310">
        <w:rPr>
          <w:lang w:val="fr-FR"/>
        </w:rPr>
        <w:t xml:space="preserve">trouvera de plus amples détails dans le Document </w:t>
      </w:r>
      <w:hyperlink r:id="rId16" w:history="1">
        <w:r w:rsidRPr="000F3310">
          <w:rPr>
            <w:rStyle w:val="Hyperlink"/>
            <w:lang w:val="fr-FR"/>
          </w:rPr>
          <w:t>TDAG-26/INF/1</w:t>
        </w:r>
      </w:hyperlink>
      <w:r w:rsidRPr="000F3310">
        <w:rPr>
          <w:lang w:val="fr-FR"/>
        </w:rPr>
        <w:t>). Ces premiers résultats témoignent de la participation active du BDT et de son concours pour garantir un appui rapide et régulier à la mise en œuvre du Plan d'action de Bakou.</w:t>
      </w:r>
    </w:p>
    <w:p w14:paraId="58671245" w14:textId="41DB02FE" w:rsidR="00C243D0" w:rsidRPr="000F3310" w:rsidRDefault="00C243D0" w:rsidP="000C7136">
      <w:pPr>
        <w:pStyle w:val="Heading1"/>
        <w:rPr>
          <w:lang w:val="fr-FR"/>
        </w:rPr>
      </w:pPr>
      <w:r w:rsidRPr="000F3310">
        <w:rPr>
          <w:lang w:val="fr-FR"/>
        </w:rPr>
        <w:t>5</w:t>
      </w:r>
      <w:r w:rsidRPr="000F3310">
        <w:rPr>
          <w:lang w:val="fr-FR"/>
        </w:rPr>
        <w:tab/>
        <w:t>Principales mesures et principaux résultats</w:t>
      </w:r>
    </w:p>
    <w:p w14:paraId="0534D7AF" w14:textId="77B5F5E2" w:rsidR="00C243D0" w:rsidRPr="000F3310" w:rsidRDefault="00C243D0" w:rsidP="00C243D0">
      <w:pPr>
        <w:rPr>
          <w:lang w:val="fr-FR"/>
        </w:rPr>
      </w:pPr>
      <w:r w:rsidRPr="000F3310">
        <w:rPr>
          <w:lang w:val="fr-FR"/>
        </w:rPr>
        <w:t xml:space="preserve">Les incidences des travaux du BDT menés en collaboration avec ses partenaires sont présentées dans la série des exemples de réussite disponibles à l'adresse </w:t>
      </w:r>
      <w:proofErr w:type="gramStart"/>
      <w:r w:rsidRPr="000F3310">
        <w:rPr>
          <w:lang w:val="fr-FR"/>
        </w:rPr>
        <w:t>suivante:</w:t>
      </w:r>
      <w:proofErr w:type="gramEnd"/>
      <w:r w:rsidRPr="000F3310">
        <w:rPr>
          <w:lang w:val="fr-FR"/>
        </w:rPr>
        <w:t xml:space="preserve"> </w:t>
      </w:r>
      <w:hyperlink r:id="rId17" w:anchor="/fr" w:history="1">
        <w:r w:rsidRPr="000F3310">
          <w:rPr>
            <w:rStyle w:val="Hyperlink"/>
            <w:lang w:val="fr-FR"/>
          </w:rPr>
          <w:t>https://www.itu.int/itu</w:t>
        </w:r>
        <w:r w:rsidR="000C7136" w:rsidRPr="000F3310">
          <w:rPr>
            <w:rStyle w:val="Hyperlink"/>
            <w:lang w:val="fr-FR"/>
          </w:rPr>
          <w:noBreakHyphen/>
        </w:r>
        <w:r w:rsidRPr="000F3310">
          <w:rPr>
            <w:rStyle w:val="Hyperlink"/>
            <w:lang w:val="fr-FR"/>
          </w:rPr>
          <w:t>d/sites/digital-impact-unlocked/all-stories/list/</w:t>
        </w:r>
      </w:hyperlink>
      <w:r w:rsidRPr="000F3310">
        <w:rPr>
          <w:lang w:val="fr-FR"/>
        </w:rPr>
        <w:t>.</w:t>
      </w:r>
    </w:p>
    <w:p w14:paraId="5742F64A" w14:textId="77777777" w:rsidR="00C243D0" w:rsidRPr="000F3310" w:rsidRDefault="00C243D0" w:rsidP="00C243D0">
      <w:pPr>
        <w:rPr>
          <w:lang w:val="fr-FR"/>
        </w:rPr>
      </w:pPr>
      <w:r w:rsidRPr="000F3310">
        <w:rPr>
          <w:lang w:val="fr-FR"/>
        </w:rPr>
        <w:t>Les partenariats et la mobilisation des ressources dont il est question ci-dessus ont été possibles grâce aux mesures stratégiques suivantes, que le BDT continuera d'étendre et d'approfondir au cours du cycle de la CMDT-25:</w:t>
      </w:r>
    </w:p>
    <w:p w14:paraId="3EEF6B0C" w14:textId="6443D154" w:rsidR="00C243D0" w:rsidRPr="000F3310" w:rsidRDefault="000C7136" w:rsidP="000C7136">
      <w:pPr>
        <w:pStyle w:val="enumlev1"/>
        <w:rPr>
          <w:lang w:val="fr-FR"/>
        </w:rPr>
      </w:pPr>
      <w:r w:rsidRPr="000F3310">
        <w:rPr>
          <w:lang w:val="fr-FR"/>
        </w:rPr>
        <w:t>–</w:t>
      </w:r>
      <w:r w:rsidR="00C243D0" w:rsidRPr="000F3310">
        <w:rPr>
          <w:lang w:val="fr-FR"/>
        </w:rPr>
        <w:tab/>
      </w:r>
      <w:r w:rsidR="00C243D0" w:rsidRPr="000F3310">
        <w:rPr>
          <w:b/>
          <w:bCs/>
          <w:lang w:val="fr-FR"/>
        </w:rPr>
        <w:t>Approfondir les relations avec les partenaires existants et les rendre pérennes</w:t>
      </w:r>
      <w:r w:rsidR="00C243D0" w:rsidRPr="000F3310">
        <w:rPr>
          <w:lang w:val="fr-FR"/>
        </w:rPr>
        <w:t>: le BDT renforcera et améliorera encore sa collaboration avec son réseau de partenaires</w:t>
      </w:r>
      <w:r w:rsidRPr="000F3310">
        <w:rPr>
          <w:rStyle w:val="FootnoteReference"/>
          <w:lang w:val="fr-FR"/>
        </w:rPr>
        <w:footnoteReference w:id="4"/>
      </w:r>
      <w:r w:rsidR="00C243D0" w:rsidRPr="000F3310">
        <w:rPr>
          <w:lang w:val="fr-FR"/>
        </w:rPr>
        <w:t>, notamment des entités gouvernementales, des institutions financières, des organisations et associations internationales et régionales, des entités du secteur privé (y compris des fondations), des organisations du système des Nations Unies et des établissements universitaires, provenant tant de pays développés que de pays en développement. Reconnaissant que l'établissement de partenariats efficaces repose sur la confiance et le respect, le BDT poursuivra ses efforts en vue de renforcer les relations de longue date et d'en assurer la pérennité. L'objectif vise à rendre plus prévisible la fourniture d'une assistance financière et à améliorer le partage des connaissances, afin d'appuyer la mise en œuvre de projets et d'initiatives régionales et mondiales en faveur du développement durable.</w:t>
      </w:r>
    </w:p>
    <w:p w14:paraId="25F072E2" w14:textId="5F95F730" w:rsidR="000C7136" w:rsidRPr="000F3310" w:rsidRDefault="000C7136" w:rsidP="000C7136">
      <w:pPr>
        <w:pStyle w:val="enumlev1"/>
        <w:rPr>
          <w:lang w:val="fr-FR"/>
        </w:rPr>
      </w:pPr>
      <w:r w:rsidRPr="000F3310">
        <w:rPr>
          <w:lang w:val="fr-FR"/>
        </w:rPr>
        <w:t>–</w:t>
      </w:r>
      <w:r w:rsidR="00C243D0" w:rsidRPr="000F3310">
        <w:rPr>
          <w:lang w:val="fr-FR"/>
        </w:rPr>
        <w:tab/>
      </w:r>
      <w:r w:rsidR="00C243D0" w:rsidRPr="000F3310">
        <w:rPr>
          <w:b/>
          <w:bCs/>
          <w:lang w:val="fr-FR"/>
        </w:rPr>
        <w:t>Renforcer la collaboration avec les organisations du système des Nations Unies</w:t>
      </w:r>
      <w:r w:rsidR="00C243D0" w:rsidRPr="000F3310">
        <w:rPr>
          <w:lang w:val="fr-FR"/>
        </w:rPr>
        <w:t>: le BDT continuera d'approfondir sa collaboration avec d'autres organisations du système des Nations</w:t>
      </w:r>
      <w:r w:rsidR="007F09A7" w:rsidRPr="000F3310">
        <w:rPr>
          <w:lang w:val="fr-FR"/>
        </w:rPr>
        <w:t> </w:t>
      </w:r>
      <w:r w:rsidR="00C243D0" w:rsidRPr="000F3310">
        <w:rPr>
          <w:lang w:val="fr-FR"/>
        </w:rPr>
        <w:t xml:space="preserve">Unies, afin d'accroître sa visibilité et de souligner le rôle unique de l'UIT en tant qu'organisation de premier rang dans le domaine des télécommunications/TIC. Cette approche facilitera le partage des connaissances et révèlera de nouvelles possibilités de financement, notamment les fonds communs des Nations Unies, en tirant parti du pouvoir mobilisateur du multilatéralisme qu'offre le système des Nations Unies. Le renforcement </w:t>
      </w:r>
      <w:r w:rsidRPr="000F3310">
        <w:rPr>
          <w:lang w:val="fr-FR"/>
        </w:rPr>
        <w:br w:type="page"/>
      </w:r>
    </w:p>
    <w:p w14:paraId="01EA6FFF" w14:textId="1473FE47" w:rsidR="00C243D0" w:rsidRPr="000F3310" w:rsidRDefault="000C7136" w:rsidP="000C7136">
      <w:pPr>
        <w:pStyle w:val="enumlev1"/>
        <w:rPr>
          <w:lang w:val="fr-FR"/>
        </w:rPr>
      </w:pPr>
      <w:r w:rsidRPr="000F3310">
        <w:rPr>
          <w:lang w:val="fr-FR"/>
        </w:rPr>
        <w:lastRenderedPageBreak/>
        <w:tab/>
      </w:r>
      <w:r w:rsidR="00C243D0" w:rsidRPr="000F3310">
        <w:rPr>
          <w:lang w:val="fr-FR"/>
        </w:rPr>
        <w:t>de la collaboration favorisera la cohérence du système des Nations Unies ainsi que la mise en œuvre de projets communs aux niveaux national, régional et mondial en vue de la réalisation du Programme de développement à l'horizon 2030.</w:t>
      </w:r>
    </w:p>
    <w:p w14:paraId="19D74BCD" w14:textId="20AE49C6" w:rsidR="00C243D0" w:rsidRPr="000F3310" w:rsidRDefault="000C7136" w:rsidP="000C7136">
      <w:pPr>
        <w:pStyle w:val="enumlev1"/>
        <w:rPr>
          <w:lang w:val="fr-FR"/>
        </w:rPr>
      </w:pPr>
      <w:r w:rsidRPr="000F3310">
        <w:rPr>
          <w:lang w:val="fr-FR"/>
        </w:rPr>
        <w:t>–</w:t>
      </w:r>
      <w:r w:rsidR="00C243D0" w:rsidRPr="000F3310">
        <w:rPr>
          <w:lang w:val="fr-FR"/>
        </w:rPr>
        <w:tab/>
      </w:r>
      <w:r w:rsidR="00C243D0" w:rsidRPr="000F3310">
        <w:rPr>
          <w:b/>
          <w:bCs/>
          <w:lang w:val="fr-FR"/>
        </w:rPr>
        <w:t>Dialoguer avec de nouveaux partenaires potentiels</w:t>
      </w:r>
      <w:r w:rsidR="00C243D0" w:rsidRPr="000F3310">
        <w:rPr>
          <w:lang w:val="fr-FR"/>
        </w:rPr>
        <w:t>: le BDT veillera à accroître le nombre de ses partenariats et à les diversifier dans le cadre d'une approche ciblée et stratégique fondée sur le dialogue. Cela lui permettra de mieux se faire connaître et de mieux faire connaître l'UIT, de rechercher des domaines d'intérêt mutuel et d'étudier les possibilités de collaboration future. En élargissant son écosystème de partenariats, le BDT entend réduire les risques associés à la concentration du financement et renforcer sa capacité à appuyer les projets et initiatives de développement durable.</w:t>
      </w:r>
    </w:p>
    <w:p w14:paraId="7383B9DC" w14:textId="5950F976" w:rsidR="00C243D0" w:rsidRPr="000F3310" w:rsidRDefault="00C243D0" w:rsidP="000C7136">
      <w:pPr>
        <w:pStyle w:val="Heading1"/>
        <w:rPr>
          <w:lang w:val="fr-FR"/>
        </w:rPr>
      </w:pPr>
      <w:r w:rsidRPr="000F3310">
        <w:rPr>
          <w:lang w:val="fr-FR"/>
        </w:rPr>
        <w:t>6</w:t>
      </w:r>
      <w:r w:rsidRPr="000F3310">
        <w:rPr>
          <w:lang w:val="fr-FR"/>
        </w:rPr>
        <w:tab/>
        <w:t>Marche à suivre</w:t>
      </w:r>
    </w:p>
    <w:p w14:paraId="4C4C3444" w14:textId="1F7E1B38" w:rsidR="00C243D0" w:rsidRPr="000F3310" w:rsidRDefault="00C243D0" w:rsidP="00C243D0">
      <w:pPr>
        <w:rPr>
          <w:lang w:val="fr-FR"/>
        </w:rPr>
      </w:pPr>
      <w:r w:rsidRPr="000F3310">
        <w:rPr>
          <w:lang w:val="fr-FR"/>
        </w:rPr>
        <w:t>Le BDT remercie et salue ses partenaires de longue date, ainsi que ses nouveaux partenaires, qui apportent, par leur collaboration, un appui décisif à la mise en œuvre des projets, des programmes et des initiatives aux niveaux national, régional et mondial. Pour l'avenir, le BDT continuera de renforcer la collaboration à long terme avec ses partenaires existants, de resserrer les liens avec le système des Nations Unies et de diversifier son vivier de partenariats, en vue d'une meilleure viabilité financière, d'une plus grande prévisibilité et de retombées multiples. Cette approche tournée vers l'avenir contribuera à renforcer le rôle du BDT en tant que coordonnateur et partenaire de mise en œuvre de confiance pour accélérer le développement numérique inclusif et durable à tous les niveaux.</w:t>
      </w:r>
    </w:p>
    <w:p w14:paraId="2EC2844A" w14:textId="77777777" w:rsidR="00821996" w:rsidRPr="000F3310" w:rsidRDefault="003C58BF" w:rsidP="00A50CA0">
      <w:pPr>
        <w:tabs>
          <w:tab w:val="clear" w:pos="794"/>
          <w:tab w:val="clear" w:pos="1191"/>
          <w:tab w:val="clear" w:pos="1588"/>
          <w:tab w:val="clear" w:pos="1985"/>
        </w:tabs>
        <w:spacing w:after="120"/>
        <w:jc w:val="center"/>
        <w:rPr>
          <w:lang w:val="fr-FR"/>
        </w:rPr>
      </w:pPr>
      <w:bookmarkStart w:id="6" w:name="Proposal"/>
      <w:bookmarkEnd w:id="6"/>
      <w:r w:rsidRPr="000F3310">
        <w:rPr>
          <w:lang w:val="fr-FR"/>
        </w:rPr>
        <w:t>_____________</w:t>
      </w:r>
      <w:r w:rsidR="004122C5" w:rsidRPr="000F3310">
        <w:rPr>
          <w:lang w:val="fr-FR"/>
        </w:rPr>
        <w:t>_</w:t>
      </w:r>
      <w:r w:rsidR="00922EC1" w:rsidRPr="000F3310">
        <w:rPr>
          <w:lang w:val="fr-FR"/>
        </w:rPr>
        <w:t>_</w:t>
      </w:r>
    </w:p>
    <w:sectPr w:rsidR="00821996" w:rsidRPr="000F3310" w:rsidSect="00473791">
      <w:headerReference w:type="default" r:id="rId18"/>
      <w:footerReference w:type="first" r:id="rId19"/>
      <w:pgSz w:w="11907" w:h="16834" w:code="9"/>
      <w:pgMar w:top="1418" w:right="1134" w:bottom="1418" w:left="1134" w:header="720" w:footer="720" w:gutter="0"/>
      <w:paperSrc w:first="7" w:other="7"/>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435159" w14:textId="77777777" w:rsidR="005125E5" w:rsidRDefault="005125E5">
      <w:r>
        <w:separator/>
      </w:r>
    </w:p>
  </w:endnote>
  <w:endnote w:type="continuationSeparator" w:id="0">
    <w:p w14:paraId="5729DB95" w14:textId="77777777" w:rsidR="005125E5" w:rsidRDefault="005125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Times New Roman Bold">
    <w:altName w:val="Times New Roman"/>
    <w:panose1 w:val="02020803070505020304"/>
    <w:charset w:val="00"/>
    <w:family w:val="roman"/>
    <w:pitch w:val="variable"/>
    <w:sig w:usb0="00003A87" w:usb1="00000000" w:usb2="00000000" w:usb3="00000000" w:csb0="000000FF" w:csb1="00000000"/>
  </w:font>
  <w:font w:name="SimHei">
    <w:altName w:val="黑体"/>
    <w:panose1 w:val="02010600030101010101"/>
    <w:charset w:val="86"/>
    <w:family w:val="modern"/>
    <w:pitch w:val="fixed"/>
    <w:sig w:usb0="800002BF" w:usb1="38CF7CFA" w:usb2="00000016" w:usb3="00000000" w:csb0="00040001" w:csb1="00000000"/>
  </w:font>
  <w:font w:name="Simplified Arabic">
    <w:charset w:val="B2"/>
    <w:family w:val="roman"/>
    <w:pitch w:val="variable"/>
    <w:sig w:usb0="00002003" w:usb1="80000000" w:usb2="00000008" w:usb3="00000000" w:csb0="00000041"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8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Name and contact details of the contact person for the document"/>
      <w:tblDescription w:val="Name and contact details of the contact person for the document"/>
    </w:tblPr>
    <w:tblGrid>
      <w:gridCol w:w="1526"/>
      <w:gridCol w:w="2410"/>
      <w:gridCol w:w="5919"/>
    </w:tblGrid>
    <w:tr w:rsidR="001B030A" w:rsidRPr="007D14C3" w14:paraId="5C2B0E2D" w14:textId="77777777" w:rsidTr="005539C3">
      <w:tc>
        <w:tcPr>
          <w:tcW w:w="1526" w:type="dxa"/>
          <w:tcBorders>
            <w:top w:val="single" w:sz="4" w:space="0" w:color="000000" w:themeColor="text1"/>
          </w:tcBorders>
        </w:tcPr>
        <w:p w14:paraId="176205BE" w14:textId="77777777" w:rsidR="001B030A" w:rsidRPr="00BA0009" w:rsidRDefault="001B030A" w:rsidP="001B030A">
          <w:pPr>
            <w:pStyle w:val="FirstFooter"/>
            <w:tabs>
              <w:tab w:val="left" w:pos="1559"/>
              <w:tab w:val="left" w:pos="3828"/>
            </w:tabs>
            <w:rPr>
              <w:sz w:val="18"/>
              <w:szCs w:val="18"/>
            </w:rPr>
          </w:pPr>
          <w:bookmarkStart w:id="7" w:name="Email"/>
          <w:bookmarkEnd w:id="7"/>
          <w:proofErr w:type="gramStart"/>
          <w:r w:rsidRPr="00E62753">
            <w:rPr>
              <w:sz w:val="18"/>
              <w:szCs w:val="18"/>
            </w:rPr>
            <w:t>Contact:</w:t>
          </w:r>
          <w:proofErr w:type="gramEnd"/>
        </w:p>
      </w:tc>
      <w:tc>
        <w:tcPr>
          <w:tcW w:w="2410" w:type="dxa"/>
          <w:tcBorders>
            <w:top w:val="single" w:sz="4" w:space="0" w:color="000000" w:themeColor="text1"/>
          </w:tcBorders>
        </w:tcPr>
        <w:p w14:paraId="26830CB6" w14:textId="77777777" w:rsidR="001B030A" w:rsidRPr="00CB110F" w:rsidRDefault="001B030A" w:rsidP="001B030A">
          <w:pPr>
            <w:pStyle w:val="FirstFooter"/>
            <w:tabs>
              <w:tab w:val="left" w:pos="2302"/>
            </w:tabs>
            <w:ind w:left="2302" w:hanging="2302"/>
            <w:rPr>
              <w:sz w:val="18"/>
              <w:szCs w:val="18"/>
              <w:lang w:val="en-US"/>
            </w:rPr>
          </w:pPr>
          <w:r w:rsidRPr="00E62753">
            <w:rPr>
              <w:sz w:val="18"/>
              <w:szCs w:val="18"/>
              <w:lang w:val="fr-CH"/>
            </w:rPr>
            <w:t>Nom/Organisation/</w:t>
          </w:r>
          <w:proofErr w:type="gramStart"/>
          <w:r w:rsidRPr="00E62753">
            <w:rPr>
              <w:sz w:val="18"/>
              <w:szCs w:val="18"/>
              <w:lang w:val="fr-CH"/>
            </w:rPr>
            <w:t>Entité:</w:t>
          </w:r>
          <w:proofErr w:type="gramEnd"/>
        </w:p>
      </w:tc>
      <w:tc>
        <w:tcPr>
          <w:tcW w:w="5919" w:type="dxa"/>
          <w:tcBorders>
            <w:top w:val="single" w:sz="4" w:space="0" w:color="000000" w:themeColor="text1"/>
          </w:tcBorders>
        </w:tcPr>
        <w:p w14:paraId="0C8B6EEC" w14:textId="612AD3C3" w:rsidR="001B030A" w:rsidRPr="00D61A51" w:rsidRDefault="00D61A51" w:rsidP="001B030A">
          <w:pPr>
            <w:pStyle w:val="FirstFooter"/>
            <w:rPr>
              <w:sz w:val="18"/>
              <w:szCs w:val="18"/>
              <w:highlight w:val="yellow"/>
            </w:rPr>
          </w:pPr>
          <w:r w:rsidRPr="00D61A51">
            <w:rPr>
              <w:sz w:val="18"/>
              <w:szCs w:val="18"/>
            </w:rPr>
            <w:t>M. Marco Obiso, Chef par intérim du Département des projets, des partenariats et des compétences numériques, Bureau de développement des télécommunications</w:t>
          </w:r>
        </w:p>
      </w:tc>
    </w:tr>
    <w:tr w:rsidR="001B030A" w:rsidRPr="00CB110F" w14:paraId="298FE8EB" w14:textId="77777777" w:rsidTr="005539C3">
      <w:tc>
        <w:tcPr>
          <w:tcW w:w="1526" w:type="dxa"/>
        </w:tcPr>
        <w:p w14:paraId="7ACBC842" w14:textId="77777777" w:rsidR="001B030A" w:rsidRPr="009C2903" w:rsidRDefault="001B030A" w:rsidP="001B030A">
          <w:pPr>
            <w:pStyle w:val="FirstFooter"/>
            <w:tabs>
              <w:tab w:val="left" w:pos="1559"/>
              <w:tab w:val="left" w:pos="3828"/>
            </w:tabs>
            <w:rPr>
              <w:sz w:val="20"/>
            </w:rPr>
          </w:pPr>
        </w:p>
      </w:tc>
      <w:tc>
        <w:tcPr>
          <w:tcW w:w="2410" w:type="dxa"/>
        </w:tcPr>
        <w:p w14:paraId="76CE8C1A" w14:textId="77777777" w:rsidR="001B030A" w:rsidRPr="00CB110F" w:rsidRDefault="001B030A" w:rsidP="001B030A">
          <w:pPr>
            <w:pStyle w:val="FirstFooter"/>
            <w:tabs>
              <w:tab w:val="left" w:pos="2302"/>
            </w:tabs>
            <w:rPr>
              <w:sz w:val="18"/>
              <w:szCs w:val="18"/>
              <w:lang w:val="en-US"/>
            </w:rPr>
          </w:pPr>
          <w:r w:rsidRPr="00E62753">
            <w:rPr>
              <w:sz w:val="18"/>
              <w:szCs w:val="18"/>
              <w:lang w:val="fr-CH"/>
            </w:rPr>
            <w:t xml:space="preserve">Numéro de </w:t>
          </w:r>
          <w:proofErr w:type="gramStart"/>
          <w:r w:rsidRPr="00E62753">
            <w:rPr>
              <w:sz w:val="18"/>
              <w:szCs w:val="18"/>
              <w:lang w:val="fr-CH"/>
            </w:rPr>
            <w:t>téléphone:</w:t>
          </w:r>
          <w:proofErr w:type="gramEnd"/>
        </w:p>
      </w:tc>
      <w:tc>
        <w:tcPr>
          <w:tcW w:w="5919" w:type="dxa"/>
        </w:tcPr>
        <w:p w14:paraId="6CE1B2A9" w14:textId="4006233B" w:rsidR="001B030A" w:rsidRPr="009359B8" w:rsidRDefault="00D61A51" w:rsidP="001B030A">
          <w:pPr>
            <w:pStyle w:val="FirstFooter"/>
            <w:tabs>
              <w:tab w:val="left" w:pos="2302"/>
            </w:tabs>
            <w:rPr>
              <w:sz w:val="18"/>
              <w:szCs w:val="18"/>
              <w:highlight w:val="yellow"/>
              <w:lang w:val="en-US"/>
            </w:rPr>
          </w:pPr>
          <w:r w:rsidRPr="00D61A51">
            <w:rPr>
              <w:sz w:val="18"/>
              <w:szCs w:val="18"/>
              <w:lang w:val="en-US"/>
            </w:rPr>
            <w:t>+41 22 730 6760</w:t>
          </w:r>
        </w:p>
      </w:tc>
    </w:tr>
    <w:tr w:rsidR="001B030A" w:rsidRPr="00CB110F" w14:paraId="336F05F8" w14:textId="77777777" w:rsidTr="005539C3">
      <w:tc>
        <w:tcPr>
          <w:tcW w:w="1526" w:type="dxa"/>
        </w:tcPr>
        <w:p w14:paraId="10E74C07" w14:textId="77777777" w:rsidR="001B030A" w:rsidRPr="00CB110F" w:rsidRDefault="001B030A" w:rsidP="001B030A">
          <w:pPr>
            <w:pStyle w:val="FirstFooter"/>
            <w:tabs>
              <w:tab w:val="left" w:pos="1559"/>
              <w:tab w:val="left" w:pos="3828"/>
            </w:tabs>
            <w:rPr>
              <w:sz w:val="20"/>
              <w:lang w:val="en-US"/>
            </w:rPr>
          </w:pPr>
        </w:p>
      </w:tc>
      <w:tc>
        <w:tcPr>
          <w:tcW w:w="2410" w:type="dxa"/>
        </w:tcPr>
        <w:p w14:paraId="145C550E" w14:textId="77777777" w:rsidR="001B030A" w:rsidRPr="00CB110F" w:rsidRDefault="001B030A" w:rsidP="001B030A">
          <w:pPr>
            <w:pStyle w:val="FirstFooter"/>
            <w:tabs>
              <w:tab w:val="left" w:pos="2302"/>
            </w:tabs>
            <w:rPr>
              <w:sz w:val="18"/>
              <w:szCs w:val="18"/>
              <w:lang w:val="en-US"/>
            </w:rPr>
          </w:pPr>
          <w:proofErr w:type="gramStart"/>
          <w:r w:rsidRPr="00E62753">
            <w:rPr>
              <w:sz w:val="18"/>
              <w:szCs w:val="18"/>
              <w:lang w:val="fr-CH"/>
            </w:rPr>
            <w:t>Courriel</w:t>
          </w:r>
          <w:r w:rsidRPr="00E62753">
            <w:rPr>
              <w:sz w:val="18"/>
              <w:szCs w:val="18"/>
              <w:lang w:val="en-US"/>
            </w:rPr>
            <w:t>:</w:t>
          </w:r>
          <w:proofErr w:type="gramEnd"/>
        </w:p>
      </w:tc>
      <w:tc>
        <w:tcPr>
          <w:tcW w:w="5919" w:type="dxa"/>
        </w:tcPr>
        <w:p w14:paraId="3537A984" w14:textId="4C602C41" w:rsidR="001B030A" w:rsidRPr="00B80715" w:rsidRDefault="00D61A51" w:rsidP="001B030A">
          <w:pPr>
            <w:pStyle w:val="FirstFooter"/>
            <w:tabs>
              <w:tab w:val="left" w:pos="2302"/>
            </w:tabs>
            <w:rPr>
              <w:sz w:val="18"/>
              <w:szCs w:val="18"/>
              <w:lang w:val="en-US"/>
            </w:rPr>
          </w:pPr>
          <w:hyperlink r:id="rId1" w:history="1">
            <w:r w:rsidRPr="00D61A51">
              <w:rPr>
                <w:rStyle w:val="Hyperlink"/>
                <w:sz w:val="18"/>
                <w:szCs w:val="18"/>
                <w:lang w:val="en-US"/>
              </w:rPr>
              <w:t>marco.obiso@itu.int</w:t>
            </w:r>
          </w:hyperlink>
        </w:p>
      </w:tc>
    </w:tr>
  </w:tbl>
  <w:p w14:paraId="4830D301" w14:textId="77777777" w:rsidR="00C80022" w:rsidRPr="001B030A" w:rsidRDefault="00C80022" w:rsidP="001B03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E1BD0D" w14:textId="77777777" w:rsidR="005125E5" w:rsidRDefault="005125E5">
      <w:r>
        <w:t>____________________</w:t>
      </w:r>
    </w:p>
  </w:footnote>
  <w:footnote w:type="continuationSeparator" w:id="0">
    <w:p w14:paraId="6FC42220" w14:textId="77777777" w:rsidR="005125E5" w:rsidRDefault="005125E5">
      <w:r>
        <w:continuationSeparator/>
      </w:r>
    </w:p>
  </w:footnote>
  <w:footnote w:id="1">
    <w:p w14:paraId="30F931A6" w14:textId="69E2E40A" w:rsidR="000B06D9" w:rsidRPr="000B06D9" w:rsidRDefault="000B06D9">
      <w:pPr>
        <w:pStyle w:val="FootnoteText"/>
        <w:rPr>
          <w:lang w:val="fr-FR"/>
        </w:rPr>
      </w:pPr>
      <w:r>
        <w:rPr>
          <w:rStyle w:val="FootnoteReference"/>
        </w:rPr>
        <w:footnoteRef/>
      </w:r>
      <w:r w:rsidRPr="000B06D9">
        <w:rPr>
          <w:lang w:val="fr-FR"/>
        </w:rPr>
        <w:tab/>
        <w:t xml:space="preserve">La liste complète des accords est disponible dans le Document </w:t>
      </w:r>
      <w:hyperlink r:id="rId1" w:history="1">
        <w:r w:rsidRPr="000B06D9">
          <w:rPr>
            <w:rStyle w:val="Hyperlink"/>
            <w:lang w:val="fr-FR"/>
          </w:rPr>
          <w:t>TDAG-26/INF/1</w:t>
        </w:r>
      </w:hyperlink>
      <w:r w:rsidRPr="000B06D9">
        <w:rPr>
          <w:lang w:val="fr-FR"/>
        </w:rPr>
        <w:t>.</w:t>
      </w:r>
    </w:p>
  </w:footnote>
  <w:footnote w:id="2">
    <w:p w14:paraId="1EE86295" w14:textId="5F261658" w:rsidR="000B06D9" w:rsidRPr="000B06D9" w:rsidRDefault="000B06D9">
      <w:pPr>
        <w:pStyle w:val="FootnoteText"/>
        <w:rPr>
          <w:lang w:val="fr-FR"/>
        </w:rPr>
      </w:pPr>
      <w:r>
        <w:rPr>
          <w:rStyle w:val="FootnoteReference"/>
        </w:rPr>
        <w:footnoteRef/>
      </w:r>
      <w:r w:rsidRPr="000B06D9">
        <w:rPr>
          <w:lang w:val="fr-FR"/>
        </w:rPr>
        <w:tab/>
      </w:r>
      <w:r>
        <w:fldChar w:fldCharType="begin"/>
      </w:r>
      <w:r w:rsidRPr="007D14C3">
        <w:rPr>
          <w:lang w:val="fr-FR"/>
        </w:rPr>
        <w:instrText>HYPERLINK "https://www.itu.int/hub/membership/our-members/" \l "/fr"</w:instrText>
      </w:r>
      <w:r>
        <w:fldChar w:fldCharType="separate"/>
      </w:r>
      <w:r w:rsidRPr="000B06D9">
        <w:rPr>
          <w:rStyle w:val="Hyperlink"/>
          <w:lang w:val="fr-FR"/>
        </w:rPr>
        <w:t>https://www.itu.int/hub/membership/our-members/</w:t>
      </w:r>
      <w:r>
        <w:fldChar w:fldCharType="end"/>
      </w:r>
      <w:r>
        <w:rPr>
          <w:lang w:val="fr-FR"/>
        </w:rPr>
        <w:t>.</w:t>
      </w:r>
    </w:p>
  </w:footnote>
  <w:footnote w:id="3">
    <w:p w14:paraId="3C2226B0" w14:textId="28832D25" w:rsidR="00C243D0" w:rsidRPr="00C243D0" w:rsidRDefault="00C243D0">
      <w:pPr>
        <w:pStyle w:val="FootnoteText"/>
        <w:rPr>
          <w:lang w:val="fr-FR"/>
        </w:rPr>
      </w:pPr>
      <w:r>
        <w:rPr>
          <w:rStyle w:val="FootnoteReference"/>
        </w:rPr>
        <w:footnoteRef/>
      </w:r>
      <w:r w:rsidRPr="00C243D0">
        <w:rPr>
          <w:lang w:val="fr-FR"/>
        </w:rPr>
        <w:tab/>
        <w:t xml:space="preserve">La liste complète des partenaires financiers est disponible dans le Document </w:t>
      </w:r>
      <w:r>
        <w:fldChar w:fldCharType="begin"/>
      </w:r>
      <w:r w:rsidRPr="007D14C3">
        <w:rPr>
          <w:lang w:val="fr-FR"/>
        </w:rPr>
        <w:instrText>HYPERLINK "https://www.itu.int/md/D26-TDAG33-INF-0001/"</w:instrText>
      </w:r>
      <w:r>
        <w:fldChar w:fldCharType="separate"/>
      </w:r>
      <w:r w:rsidRPr="00C243D0">
        <w:rPr>
          <w:rStyle w:val="Hyperlink"/>
          <w:lang w:val="fr-FR"/>
        </w:rPr>
        <w:t>TDAG-26/INF/1</w:t>
      </w:r>
      <w:r>
        <w:fldChar w:fldCharType="end"/>
      </w:r>
      <w:r w:rsidRPr="00C243D0">
        <w:rPr>
          <w:lang w:val="fr-FR"/>
        </w:rPr>
        <w:t>.</w:t>
      </w:r>
    </w:p>
  </w:footnote>
  <w:footnote w:id="4">
    <w:p w14:paraId="18C26706" w14:textId="019BB969" w:rsidR="000C7136" w:rsidRPr="000C7136" w:rsidRDefault="000C7136">
      <w:pPr>
        <w:pStyle w:val="FootnoteText"/>
        <w:rPr>
          <w:lang w:val="fr-FR"/>
        </w:rPr>
      </w:pPr>
      <w:r>
        <w:rPr>
          <w:rStyle w:val="FootnoteReference"/>
        </w:rPr>
        <w:footnoteRef/>
      </w:r>
      <w:r w:rsidRPr="000C7136">
        <w:rPr>
          <w:lang w:val="fr-FR"/>
        </w:rPr>
        <w:tab/>
      </w:r>
      <w:r>
        <w:fldChar w:fldCharType="begin"/>
      </w:r>
      <w:r w:rsidRPr="007D14C3">
        <w:rPr>
          <w:lang w:val="fr-FR"/>
        </w:rPr>
        <w:instrText>HYPERLINK "https://www.itu.int/itu-d/sites/partnerships/home/our-partners/" \l "/fr"</w:instrText>
      </w:r>
      <w:r>
        <w:fldChar w:fldCharType="separate"/>
      </w:r>
      <w:r w:rsidRPr="000C7136">
        <w:rPr>
          <w:rStyle w:val="Hyperlink"/>
          <w:lang w:val="fr-FR"/>
        </w:rPr>
        <w:t>https://www.itu.int/en/ITU-D/MembersPartners/Pages/Partners/List-of-Partners.aspx</w:t>
      </w:r>
      <w:r>
        <w:fldChar w:fldCharType="end"/>
      </w:r>
      <w:r>
        <w:rPr>
          <w:lang w:val="fr-FR"/>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4FE77" w14:textId="1181EED0" w:rsidR="00721657" w:rsidRPr="00A525CC" w:rsidRDefault="00A525CC" w:rsidP="00307769">
    <w:pPr>
      <w:tabs>
        <w:tab w:val="clear" w:pos="794"/>
        <w:tab w:val="clear" w:pos="1191"/>
        <w:tab w:val="clear" w:pos="1588"/>
        <w:tab w:val="clear" w:pos="1985"/>
        <w:tab w:val="center" w:pos="4820"/>
        <w:tab w:val="right" w:pos="9639"/>
      </w:tabs>
      <w:ind w:right="1"/>
      <w:rPr>
        <w:rStyle w:val="PageNumber"/>
      </w:rPr>
    </w:pPr>
    <w:r w:rsidRPr="00972BCD">
      <w:rPr>
        <w:sz w:val="22"/>
        <w:szCs w:val="22"/>
      </w:rPr>
      <w:tab/>
    </w:r>
    <w:r w:rsidRPr="00A54E72">
      <w:rPr>
        <w:sz w:val="22"/>
        <w:szCs w:val="22"/>
        <w:lang w:val="de-CH"/>
      </w:rPr>
      <w:t>TDAG</w:t>
    </w:r>
    <w:r w:rsidR="003242AB">
      <w:rPr>
        <w:sz w:val="22"/>
        <w:szCs w:val="22"/>
        <w:lang w:val="de-CH"/>
      </w:rPr>
      <w:t>-</w:t>
    </w:r>
    <w:r w:rsidR="00923CF1">
      <w:rPr>
        <w:sz w:val="22"/>
        <w:szCs w:val="22"/>
        <w:lang w:val="de-CH"/>
      </w:rPr>
      <w:t>2</w:t>
    </w:r>
    <w:r w:rsidR="00F7434A">
      <w:rPr>
        <w:sz w:val="22"/>
        <w:szCs w:val="22"/>
        <w:lang w:val="de-CH"/>
      </w:rPr>
      <w:t>6</w:t>
    </w:r>
    <w:r w:rsidRPr="00A54E72">
      <w:rPr>
        <w:sz w:val="22"/>
        <w:szCs w:val="22"/>
        <w:lang w:val="de-CH"/>
      </w:rPr>
      <w:t>/</w:t>
    </w:r>
    <w:r w:rsidR="00D61A51">
      <w:rPr>
        <w:sz w:val="22"/>
        <w:szCs w:val="22"/>
        <w:lang w:val="de-CH"/>
      </w:rPr>
      <w:t>9</w:t>
    </w:r>
    <w:r w:rsidRPr="006D271A">
      <w:rPr>
        <w:sz w:val="22"/>
        <w:szCs w:val="22"/>
        <w:lang w:val="de-CH"/>
      </w:rPr>
      <w:t>-</w:t>
    </w:r>
    <w:r w:rsidR="00700F2B">
      <w:rPr>
        <w:sz w:val="22"/>
        <w:szCs w:val="22"/>
        <w:lang w:val="de-CH"/>
      </w:rPr>
      <w:t>F</w:t>
    </w:r>
    <w:r w:rsidRPr="006D271A">
      <w:rPr>
        <w:sz w:val="22"/>
        <w:szCs w:val="22"/>
        <w:lang w:val="de-CH"/>
      </w:rPr>
      <w:tab/>
      <w:t xml:space="preserve">Page </w:t>
    </w:r>
    <w:r w:rsidRPr="00972BCD">
      <w:rPr>
        <w:sz w:val="22"/>
        <w:szCs w:val="22"/>
      </w:rPr>
      <w:fldChar w:fldCharType="begin"/>
    </w:r>
    <w:r w:rsidRPr="006D271A">
      <w:rPr>
        <w:sz w:val="22"/>
        <w:szCs w:val="22"/>
        <w:lang w:val="de-CH"/>
      </w:rPr>
      <w:instrText xml:space="preserve"> PAGE </w:instrText>
    </w:r>
    <w:r w:rsidRPr="00972BCD">
      <w:rPr>
        <w:sz w:val="22"/>
        <w:szCs w:val="22"/>
      </w:rPr>
      <w:fldChar w:fldCharType="separate"/>
    </w:r>
    <w:r w:rsidR="00E25345">
      <w:rPr>
        <w:noProof/>
        <w:sz w:val="22"/>
        <w:szCs w:val="22"/>
        <w:lang w:val="de-CH"/>
      </w:rPr>
      <w:t>2</w:t>
    </w:r>
    <w:r w:rsidRPr="00972BCD">
      <w:rPr>
        <w:sz w:val="22"/>
        <w:szCs w:val="22"/>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1A2B23"/>
    <w:multiLevelType w:val="hybridMultilevel"/>
    <w:tmpl w:val="60B4628C"/>
    <w:lvl w:ilvl="0" w:tplc="81FE6A5A">
      <w:start w:val="1"/>
      <w:numFmt w:val="bullet"/>
      <w:lvlText w:val="-"/>
      <w:lvlJc w:val="left"/>
      <w:pPr>
        <w:ind w:left="2340" w:hanging="360"/>
      </w:pPr>
      <w:rPr>
        <w:rFonts w:ascii="Calibri" w:eastAsia="Times New Roman" w:hAnsi="Calibri" w:cs="Times New Roman" w:hint="default"/>
      </w:rPr>
    </w:lvl>
    <w:lvl w:ilvl="1" w:tplc="08090003" w:tentative="1">
      <w:start w:val="1"/>
      <w:numFmt w:val="bullet"/>
      <w:lvlText w:val="o"/>
      <w:lvlJc w:val="left"/>
      <w:pPr>
        <w:ind w:left="3060" w:hanging="360"/>
      </w:pPr>
      <w:rPr>
        <w:rFonts w:ascii="Courier New" w:hAnsi="Courier New" w:cs="Courier New" w:hint="default"/>
      </w:rPr>
    </w:lvl>
    <w:lvl w:ilvl="2" w:tplc="08090005" w:tentative="1">
      <w:start w:val="1"/>
      <w:numFmt w:val="bullet"/>
      <w:lvlText w:val=""/>
      <w:lvlJc w:val="left"/>
      <w:pPr>
        <w:ind w:left="3780" w:hanging="360"/>
      </w:pPr>
      <w:rPr>
        <w:rFonts w:ascii="Wingdings" w:hAnsi="Wingdings" w:hint="default"/>
      </w:rPr>
    </w:lvl>
    <w:lvl w:ilvl="3" w:tplc="08090001" w:tentative="1">
      <w:start w:val="1"/>
      <w:numFmt w:val="bullet"/>
      <w:lvlText w:val=""/>
      <w:lvlJc w:val="left"/>
      <w:pPr>
        <w:ind w:left="4500" w:hanging="360"/>
      </w:pPr>
      <w:rPr>
        <w:rFonts w:ascii="Symbol" w:hAnsi="Symbol" w:hint="default"/>
      </w:rPr>
    </w:lvl>
    <w:lvl w:ilvl="4" w:tplc="08090003" w:tentative="1">
      <w:start w:val="1"/>
      <w:numFmt w:val="bullet"/>
      <w:lvlText w:val="o"/>
      <w:lvlJc w:val="left"/>
      <w:pPr>
        <w:ind w:left="5220" w:hanging="360"/>
      </w:pPr>
      <w:rPr>
        <w:rFonts w:ascii="Courier New" w:hAnsi="Courier New" w:cs="Courier New" w:hint="default"/>
      </w:rPr>
    </w:lvl>
    <w:lvl w:ilvl="5" w:tplc="08090005" w:tentative="1">
      <w:start w:val="1"/>
      <w:numFmt w:val="bullet"/>
      <w:lvlText w:val=""/>
      <w:lvlJc w:val="left"/>
      <w:pPr>
        <w:ind w:left="5940" w:hanging="360"/>
      </w:pPr>
      <w:rPr>
        <w:rFonts w:ascii="Wingdings" w:hAnsi="Wingdings" w:hint="default"/>
      </w:rPr>
    </w:lvl>
    <w:lvl w:ilvl="6" w:tplc="08090001" w:tentative="1">
      <w:start w:val="1"/>
      <w:numFmt w:val="bullet"/>
      <w:lvlText w:val=""/>
      <w:lvlJc w:val="left"/>
      <w:pPr>
        <w:ind w:left="6660" w:hanging="360"/>
      </w:pPr>
      <w:rPr>
        <w:rFonts w:ascii="Symbol" w:hAnsi="Symbol" w:hint="default"/>
      </w:rPr>
    </w:lvl>
    <w:lvl w:ilvl="7" w:tplc="08090003" w:tentative="1">
      <w:start w:val="1"/>
      <w:numFmt w:val="bullet"/>
      <w:lvlText w:val="o"/>
      <w:lvlJc w:val="left"/>
      <w:pPr>
        <w:ind w:left="7380" w:hanging="360"/>
      </w:pPr>
      <w:rPr>
        <w:rFonts w:ascii="Courier New" w:hAnsi="Courier New" w:cs="Courier New" w:hint="default"/>
      </w:rPr>
    </w:lvl>
    <w:lvl w:ilvl="8" w:tplc="08090005" w:tentative="1">
      <w:start w:val="1"/>
      <w:numFmt w:val="bullet"/>
      <w:lvlText w:val=""/>
      <w:lvlJc w:val="left"/>
      <w:pPr>
        <w:ind w:left="8100" w:hanging="360"/>
      </w:pPr>
      <w:rPr>
        <w:rFonts w:ascii="Wingdings" w:hAnsi="Wingdings" w:hint="default"/>
      </w:rPr>
    </w:lvl>
  </w:abstractNum>
  <w:num w:numId="1" w16cid:durableId="19503570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grammar="clean"/>
  <w:stylePaneFormatFilter w:val="3C01" w:allStyles="1" w:customStyles="0" w:latentStyles="0" w:stylesInUse="0" w:headingStyles="0" w:numberingStyles="0" w:tableStyles="0" w:directFormattingOnRuns="0" w:directFormattingOnParagraphs="0"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3C43"/>
    <w:rsid w:val="00002716"/>
    <w:rsid w:val="00003C43"/>
    <w:rsid w:val="00005791"/>
    <w:rsid w:val="00010827"/>
    <w:rsid w:val="00015089"/>
    <w:rsid w:val="0002520B"/>
    <w:rsid w:val="000325DF"/>
    <w:rsid w:val="00037A9E"/>
    <w:rsid w:val="00037F91"/>
    <w:rsid w:val="000539F1"/>
    <w:rsid w:val="00054747"/>
    <w:rsid w:val="00055A2A"/>
    <w:rsid w:val="000615C1"/>
    <w:rsid w:val="00061675"/>
    <w:rsid w:val="000743AA"/>
    <w:rsid w:val="0007632A"/>
    <w:rsid w:val="0009076F"/>
    <w:rsid w:val="0009225C"/>
    <w:rsid w:val="000A17C4"/>
    <w:rsid w:val="000A36A4"/>
    <w:rsid w:val="000B06D9"/>
    <w:rsid w:val="000B2352"/>
    <w:rsid w:val="000C7136"/>
    <w:rsid w:val="000C7B84"/>
    <w:rsid w:val="000D261B"/>
    <w:rsid w:val="000D58A3"/>
    <w:rsid w:val="000E3ED4"/>
    <w:rsid w:val="000E3F9C"/>
    <w:rsid w:val="000F1550"/>
    <w:rsid w:val="000F251B"/>
    <w:rsid w:val="000F3310"/>
    <w:rsid w:val="000F5FE8"/>
    <w:rsid w:val="000F6644"/>
    <w:rsid w:val="00100833"/>
    <w:rsid w:val="001011EB"/>
    <w:rsid w:val="00102F72"/>
    <w:rsid w:val="00107E85"/>
    <w:rsid w:val="00113EE8"/>
    <w:rsid w:val="0011455A"/>
    <w:rsid w:val="00114A65"/>
    <w:rsid w:val="00133061"/>
    <w:rsid w:val="00141699"/>
    <w:rsid w:val="00147000"/>
    <w:rsid w:val="00163091"/>
    <w:rsid w:val="001645CB"/>
    <w:rsid w:val="00166305"/>
    <w:rsid w:val="00167545"/>
    <w:rsid w:val="001703C6"/>
    <w:rsid w:val="00173781"/>
    <w:rsid w:val="00173CA1"/>
    <w:rsid w:val="00175ADF"/>
    <w:rsid w:val="00175CAE"/>
    <w:rsid w:val="001828DB"/>
    <w:rsid w:val="001850FE"/>
    <w:rsid w:val="00185135"/>
    <w:rsid w:val="0019037C"/>
    <w:rsid w:val="001905A9"/>
    <w:rsid w:val="00191273"/>
    <w:rsid w:val="001942A7"/>
    <w:rsid w:val="0019587B"/>
    <w:rsid w:val="001A163D"/>
    <w:rsid w:val="001A441E"/>
    <w:rsid w:val="001A6733"/>
    <w:rsid w:val="001B030A"/>
    <w:rsid w:val="001B357F"/>
    <w:rsid w:val="001C3444"/>
    <w:rsid w:val="001C3702"/>
    <w:rsid w:val="001C4656"/>
    <w:rsid w:val="001C46BC"/>
    <w:rsid w:val="001C48D3"/>
    <w:rsid w:val="001D1E06"/>
    <w:rsid w:val="001D5E71"/>
    <w:rsid w:val="001E5219"/>
    <w:rsid w:val="001E70FF"/>
    <w:rsid w:val="001F23E6"/>
    <w:rsid w:val="001F4238"/>
    <w:rsid w:val="00200A38"/>
    <w:rsid w:val="00200A46"/>
    <w:rsid w:val="00211B6F"/>
    <w:rsid w:val="00217CC3"/>
    <w:rsid w:val="00220AB6"/>
    <w:rsid w:val="0022120F"/>
    <w:rsid w:val="0022754A"/>
    <w:rsid w:val="00236560"/>
    <w:rsid w:val="0023662E"/>
    <w:rsid w:val="00245D0F"/>
    <w:rsid w:val="002548C3"/>
    <w:rsid w:val="00257ACD"/>
    <w:rsid w:val="00262908"/>
    <w:rsid w:val="002650F4"/>
    <w:rsid w:val="002715FD"/>
    <w:rsid w:val="002770B1"/>
    <w:rsid w:val="00285B33"/>
    <w:rsid w:val="00287A3C"/>
    <w:rsid w:val="002A2FC6"/>
    <w:rsid w:val="002C1EC7"/>
    <w:rsid w:val="002C3015"/>
    <w:rsid w:val="002C4342"/>
    <w:rsid w:val="002C7EA3"/>
    <w:rsid w:val="002D20AE"/>
    <w:rsid w:val="002D6C61"/>
    <w:rsid w:val="002E2104"/>
    <w:rsid w:val="002E2DAC"/>
    <w:rsid w:val="002E6963"/>
    <w:rsid w:val="002E6F8F"/>
    <w:rsid w:val="002F05D8"/>
    <w:rsid w:val="002F2DE0"/>
    <w:rsid w:val="002F5E25"/>
    <w:rsid w:val="0030353C"/>
    <w:rsid w:val="00307769"/>
    <w:rsid w:val="00312147"/>
    <w:rsid w:val="003125C3"/>
    <w:rsid w:val="00312AE6"/>
    <w:rsid w:val="00317D1A"/>
    <w:rsid w:val="003211FF"/>
    <w:rsid w:val="003242AB"/>
    <w:rsid w:val="00327247"/>
    <w:rsid w:val="00327A9D"/>
    <w:rsid w:val="0033130E"/>
    <w:rsid w:val="0033269C"/>
    <w:rsid w:val="00351C79"/>
    <w:rsid w:val="0035516C"/>
    <w:rsid w:val="00355A4C"/>
    <w:rsid w:val="003604FB"/>
    <w:rsid w:val="00360B73"/>
    <w:rsid w:val="00380B71"/>
    <w:rsid w:val="0038365A"/>
    <w:rsid w:val="00386A89"/>
    <w:rsid w:val="0039648E"/>
    <w:rsid w:val="003A5AFE"/>
    <w:rsid w:val="003A5D5F"/>
    <w:rsid w:val="003A7FFE"/>
    <w:rsid w:val="003B0A63"/>
    <w:rsid w:val="003B50E1"/>
    <w:rsid w:val="003C1746"/>
    <w:rsid w:val="003C2AA9"/>
    <w:rsid w:val="003C58BF"/>
    <w:rsid w:val="003D451D"/>
    <w:rsid w:val="003F2DD8"/>
    <w:rsid w:val="003F3F2D"/>
    <w:rsid w:val="003F50B2"/>
    <w:rsid w:val="00400CCF"/>
    <w:rsid w:val="00401BFF"/>
    <w:rsid w:val="004037AF"/>
    <w:rsid w:val="00404424"/>
    <w:rsid w:val="0041156B"/>
    <w:rsid w:val="004122C5"/>
    <w:rsid w:val="00413225"/>
    <w:rsid w:val="00413B78"/>
    <w:rsid w:val="00416DDE"/>
    <w:rsid w:val="00417B7A"/>
    <w:rsid w:val="0044411E"/>
    <w:rsid w:val="00453435"/>
    <w:rsid w:val="00460089"/>
    <w:rsid w:val="00466398"/>
    <w:rsid w:val="0047306D"/>
    <w:rsid w:val="00473791"/>
    <w:rsid w:val="00476E48"/>
    <w:rsid w:val="00481DE9"/>
    <w:rsid w:val="0049128B"/>
    <w:rsid w:val="00493B49"/>
    <w:rsid w:val="00495501"/>
    <w:rsid w:val="004A070A"/>
    <w:rsid w:val="004A320E"/>
    <w:rsid w:val="004A4E9C"/>
    <w:rsid w:val="004B1A3C"/>
    <w:rsid w:val="004D2CC3"/>
    <w:rsid w:val="004D35CB"/>
    <w:rsid w:val="004D7DAB"/>
    <w:rsid w:val="004E20E5"/>
    <w:rsid w:val="004E64EA"/>
    <w:rsid w:val="004E7828"/>
    <w:rsid w:val="004E785D"/>
    <w:rsid w:val="004F46AA"/>
    <w:rsid w:val="004F6A70"/>
    <w:rsid w:val="00500AD7"/>
    <w:rsid w:val="00502ABF"/>
    <w:rsid w:val="00504DB0"/>
    <w:rsid w:val="005058C6"/>
    <w:rsid w:val="00507C35"/>
    <w:rsid w:val="00510735"/>
    <w:rsid w:val="005125E5"/>
    <w:rsid w:val="00514D2F"/>
    <w:rsid w:val="00541E8A"/>
    <w:rsid w:val="0054420E"/>
    <w:rsid w:val="00544D1B"/>
    <w:rsid w:val="00545DC0"/>
    <w:rsid w:val="00545F6C"/>
    <w:rsid w:val="005477D9"/>
    <w:rsid w:val="0055720C"/>
    <w:rsid w:val="00561796"/>
    <w:rsid w:val="005632DD"/>
    <w:rsid w:val="0056423B"/>
    <w:rsid w:val="00573424"/>
    <w:rsid w:val="0057402F"/>
    <w:rsid w:val="00581653"/>
    <w:rsid w:val="005849D6"/>
    <w:rsid w:val="00585367"/>
    <w:rsid w:val="005871A1"/>
    <w:rsid w:val="0058737E"/>
    <w:rsid w:val="00592518"/>
    <w:rsid w:val="00592E87"/>
    <w:rsid w:val="0059420B"/>
    <w:rsid w:val="00594C4D"/>
    <w:rsid w:val="005A33B0"/>
    <w:rsid w:val="005C2DC2"/>
    <w:rsid w:val="005C304A"/>
    <w:rsid w:val="005C3D69"/>
    <w:rsid w:val="005C7C98"/>
    <w:rsid w:val="005D2C3A"/>
    <w:rsid w:val="005D55A4"/>
    <w:rsid w:val="005D57C8"/>
    <w:rsid w:val="005D7761"/>
    <w:rsid w:val="005E0278"/>
    <w:rsid w:val="005E090D"/>
    <w:rsid w:val="005E3CA0"/>
    <w:rsid w:val="005E44B1"/>
    <w:rsid w:val="005E67B0"/>
    <w:rsid w:val="005E7047"/>
    <w:rsid w:val="005E777F"/>
    <w:rsid w:val="005F1CA7"/>
    <w:rsid w:val="005F43DD"/>
    <w:rsid w:val="005F51A9"/>
    <w:rsid w:val="005F6BE1"/>
    <w:rsid w:val="005F7416"/>
    <w:rsid w:val="00600C11"/>
    <w:rsid w:val="00606B89"/>
    <w:rsid w:val="00611EAF"/>
    <w:rsid w:val="00623F30"/>
    <w:rsid w:val="00625FB8"/>
    <w:rsid w:val="006261BD"/>
    <w:rsid w:val="00635EDB"/>
    <w:rsid w:val="0064734E"/>
    <w:rsid w:val="00650137"/>
    <w:rsid w:val="006509D7"/>
    <w:rsid w:val="00651CE8"/>
    <w:rsid w:val="0065521B"/>
    <w:rsid w:val="0066288F"/>
    <w:rsid w:val="00671EF6"/>
    <w:rsid w:val="0067205B"/>
    <w:rsid w:val="006748F8"/>
    <w:rsid w:val="00680489"/>
    <w:rsid w:val="00683C32"/>
    <w:rsid w:val="00690BB2"/>
    <w:rsid w:val="00693D09"/>
    <w:rsid w:val="006A6549"/>
    <w:rsid w:val="006A7710"/>
    <w:rsid w:val="006A7A61"/>
    <w:rsid w:val="006B1E59"/>
    <w:rsid w:val="006B2FFB"/>
    <w:rsid w:val="006B5AA9"/>
    <w:rsid w:val="006C10A2"/>
    <w:rsid w:val="006C1F18"/>
    <w:rsid w:val="006D40D5"/>
    <w:rsid w:val="006F009A"/>
    <w:rsid w:val="006F3D93"/>
    <w:rsid w:val="00700F2B"/>
    <w:rsid w:val="007019B1"/>
    <w:rsid w:val="00721657"/>
    <w:rsid w:val="007279A8"/>
    <w:rsid w:val="00727B1A"/>
    <w:rsid w:val="00741337"/>
    <w:rsid w:val="00752258"/>
    <w:rsid w:val="007529E1"/>
    <w:rsid w:val="00762880"/>
    <w:rsid w:val="00762AD6"/>
    <w:rsid w:val="00762E02"/>
    <w:rsid w:val="00772290"/>
    <w:rsid w:val="00777265"/>
    <w:rsid w:val="007805E7"/>
    <w:rsid w:val="0078222A"/>
    <w:rsid w:val="00787D48"/>
    <w:rsid w:val="00793C6C"/>
    <w:rsid w:val="00795294"/>
    <w:rsid w:val="007A4E50"/>
    <w:rsid w:val="007A7D3C"/>
    <w:rsid w:val="007B18A7"/>
    <w:rsid w:val="007B250E"/>
    <w:rsid w:val="007C27FC"/>
    <w:rsid w:val="007C51FF"/>
    <w:rsid w:val="007C7EF5"/>
    <w:rsid w:val="007D14C3"/>
    <w:rsid w:val="007D50E4"/>
    <w:rsid w:val="007E2DC5"/>
    <w:rsid w:val="007F09A7"/>
    <w:rsid w:val="007F1CC7"/>
    <w:rsid w:val="008027AC"/>
    <w:rsid w:val="008028CE"/>
    <w:rsid w:val="0080332E"/>
    <w:rsid w:val="008141E0"/>
    <w:rsid w:val="00816EE1"/>
    <w:rsid w:val="00816F88"/>
    <w:rsid w:val="00821996"/>
    <w:rsid w:val="00822323"/>
    <w:rsid w:val="00827BC6"/>
    <w:rsid w:val="008300AD"/>
    <w:rsid w:val="00833024"/>
    <w:rsid w:val="008419B1"/>
    <w:rsid w:val="00844A56"/>
    <w:rsid w:val="00845B11"/>
    <w:rsid w:val="00852081"/>
    <w:rsid w:val="00872B6E"/>
    <w:rsid w:val="00874DFD"/>
    <w:rsid w:val="008802F9"/>
    <w:rsid w:val="00883086"/>
    <w:rsid w:val="008879FD"/>
    <w:rsid w:val="00894C37"/>
    <w:rsid w:val="008A00EA"/>
    <w:rsid w:val="008A3F93"/>
    <w:rsid w:val="008A6236"/>
    <w:rsid w:val="008A6E1C"/>
    <w:rsid w:val="008A72FD"/>
    <w:rsid w:val="008B2EDF"/>
    <w:rsid w:val="008B47C7"/>
    <w:rsid w:val="008B54CB"/>
    <w:rsid w:val="008B5A3D"/>
    <w:rsid w:val="008C0AD9"/>
    <w:rsid w:val="008C327A"/>
    <w:rsid w:val="008C4010"/>
    <w:rsid w:val="008C4FDF"/>
    <w:rsid w:val="008C6B1F"/>
    <w:rsid w:val="008D5E4F"/>
    <w:rsid w:val="008E34F0"/>
    <w:rsid w:val="008F14F5"/>
    <w:rsid w:val="008F71C1"/>
    <w:rsid w:val="00902D41"/>
    <w:rsid w:val="00902F49"/>
    <w:rsid w:val="00904230"/>
    <w:rsid w:val="00914004"/>
    <w:rsid w:val="00921A30"/>
    <w:rsid w:val="00922EC1"/>
    <w:rsid w:val="00923CF1"/>
    <w:rsid w:val="009301F1"/>
    <w:rsid w:val="009307DF"/>
    <w:rsid w:val="009359B8"/>
    <w:rsid w:val="00935FF0"/>
    <w:rsid w:val="009431F8"/>
    <w:rsid w:val="00946023"/>
    <w:rsid w:val="00947A35"/>
    <w:rsid w:val="00952667"/>
    <w:rsid w:val="0096201B"/>
    <w:rsid w:val="00962081"/>
    <w:rsid w:val="00966CB5"/>
    <w:rsid w:val="00975786"/>
    <w:rsid w:val="00981CB7"/>
    <w:rsid w:val="00983E1F"/>
    <w:rsid w:val="00993F46"/>
    <w:rsid w:val="00997358"/>
    <w:rsid w:val="009A452B"/>
    <w:rsid w:val="009B050C"/>
    <w:rsid w:val="009B087F"/>
    <w:rsid w:val="009B2AF4"/>
    <w:rsid w:val="009C110B"/>
    <w:rsid w:val="009C5441"/>
    <w:rsid w:val="009D119F"/>
    <w:rsid w:val="009D49A2"/>
    <w:rsid w:val="009D6733"/>
    <w:rsid w:val="009F3940"/>
    <w:rsid w:val="009F3EB2"/>
    <w:rsid w:val="009F6EB1"/>
    <w:rsid w:val="00A11D05"/>
    <w:rsid w:val="00A13162"/>
    <w:rsid w:val="00A20267"/>
    <w:rsid w:val="00A3158C"/>
    <w:rsid w:val="00A32DF3"/>
    <w:rsid w:val="00A33E32"/>
    <w:rsid w:val="00A35E20"/>
    <w:rsid w:val="00A36F6D"/>
    <w:rsid w:val="00A42E8B"/>
    <w:rsid w:val="00A50CA0"/>
    <w:rsid w:val="00A525CC"/>
    <w:rsid w:val="00A53E7C"/>
    <w:rsid w:val="00A60087"/>
    <w:rsid w:val="00A66C4C"/>
    <w:rsid w:val="00A67E68"/>
    <w:rsid w:val="00A705E8"/>
    <w:rsid w:val="00A721F4"/>
    <w:rsid w:val="00A9392C"/>
    <w:rsid w:val="00A9462B"/>
    <w:rsid w:val="00A97D59"/>
    <w:rsid w:val="00AA3E09"/>
    <w:rsid w:val="00AA4BEF"/>
    <w:rsid w:val="00AB1659"/>
    <w:rsid w:val="00AB4962"/>
    <w:rsid w:val="00AB734E"/>
    <w:rsid w:val="00AB740F"/>
    <w:rsid w:val="00AC2BF7"/>
    <w:rsid w:val="00AC6F14"/>
    <w:rsid w:val="00AC7221"/>
    <w:rsid w:val="00AD4677"/>
    <w:rsid w:val="00AD6CBD"/>
    <w:rsid w:val="00AE5961"/>
    <w:rsid w:val="00AF0745"/>
    <w:rsid w:val="00AF4971"/>
    <w:rsid w:val="00AF5276"/>
    <w:rsid w:val="00AF7C86"/>
    <w:rsid w:val="00B01046"/>
    <w:rsid w:val="00B310F9"/>
    <w:rsid w:val="00B37866"/>
    <w:rsid w:val="00B412FB"/>
    <w:rsid w:val="00B4576B"/>
    <w:rsid w:val="00B46350"/>
    <w:rsid w:val="00B46DF3"/>
    <w:rsid w:val="00B53A29"/>
    <w:rsid w:val="00B648C7"/>
    <w:rsid w:val="00B66E8F"/>
    <w:rsid w:val="00B80157"/>
    <w:rsid w:val="00B83D5E"/>
    <w:rsid w:val="00B8460A"/>
    <w:rsid w:val="00B8650D"/>
    <w:rsid w:val="00B879B4"/>
    <w:rsid w:val="00B90F07"/>
    <w:rsid w:val="00B97BB9"/>
    <w:rsid w:val="00BA0009"/>
    <w:rsid w:val="00BB02B5"/>
    <w:rsid w:val="00BB1863"/>
    <w:rsid w:val="00BB25EE"/>
    <w:rsid w:val="00BB363A"/>
    <w:rsid w:val="00BC10A0"/>
    <w:rsid w:val="00BC7BA2"/>
    <w:rsid w:val="00BD426B"/>
    <w:rsid w:val="00BD79F0"/>
    <w:rsid w:val="00BE2B4D"/>
    <w:rsid w:val="00BF798B"/>
    <w:rsid w:val="00C015F8"/>
    <w:rsid w:val="00C02C2A"/>
    <w:rsid w:val="00C07E26"/>
    <w:rsid w:val="00C1011C"/>
    <w:rsid w:val="00C12F94"/>
    <w:rsid w:val="00C177C5"/>
    <w:rsid w:val="00C243D0"/>
    <w:rsid w:val="00C31969"/>
    <w:rsid w:val="00C34EC3"/>
    <w:rsid w:val="00C4038C"/>
    <w:rsid w:val="00C42BA2"/>
    <w:rsid w:val="00C44066"/>
    <w:rsid w:val="00C44E13"/>
    <w:rsid w:val="00C60A41"/>
    <w:rsid w:val="00C62DE8"/>
    <w:rsid w:val="00C62DFB"/>
    <w:rsid w:val="00C630E6"/>
    <w:rsid w:val="00C63812"/>
    <w:rsid w:val="00C64AF3"/>
    <w:rsid w:val="00C66F4D"/>
    <w:rsid w:val="00C67BB5"/>
    <w:rsid w:val="00C72713"/>
    <w:rsid w:val="00C80022"/>
    <w:rsid w:val="00C83230"/>
    <w:rsid w:val="00C848EF"/>
    <w:rsid w:val="00C86600"/>
    <w:rsid w:val="00C87BCA"/>
    <w:rsid w:val="00C87EED"/>
    <w:rsid w:val="00C94506"/>
    <w:rsid w:val="00C954BC"/>
    <w:rsid w:val="00CA1F0B"/>
    <w:rsid w:val="00CA3BF2"/>
    <w:rsid w:val="00CB110F"/>
    <w:rsid w:val="00CB2A2E"/>
    <w:rsid w:val="00CB338A"/>
    <w:rsid w:val="00CB79C5"/>
    <w:rsid w:val="00CC411F"/>
    <w:rsid w:val="00CC4B75"/>
    <w:rsid w:val="00CC732E"/>
    <w:rsid w:val="00CD2FCD"/>
    <w:rsid w:val="00CD7207"/>
    <w:rsid w:val="00CE0422"/>
    <w:rsid w:val="00CE0DBE"/>
    <w:rsid w:val="00CE5E4D"/>
    <w:rsid w:val="00CF02C4"/>
    <w:rsid w:val="00CF167F"/>
    <w:rsid w:val="00CF72E5"/>
    <w:rsid w:val="00D013EE"/>
    <w:rsid w:val="00D01F54"/>
    <w:rsid w:val="00D040F7"/>
    <w:rsid w:val="00D04A76"/>
    <w:rsid w:val="00D10FC7"/>
    <w:rsid w:val="00D1519F"/>
    <w:rsid w:val="00D20E99"/>
    <w:rsid w:val="00D21C83"/>
    <w:rsid w:val="00D25ABA"/>
    <w:rsid w:val="00D35BDD"/>
    <w:rsid w:val="00D61A51"/>
    <w:rsid w:val="00D63006"/>
    <w:rsid w:val="00D72301"/>
    <w:rsid w:val="00D911DE"/>
    <w:rsid w:val="00D91B97"/>
    <w:rsid w:val="00D93ACC"/>
    <w:rsid w:val="00D93C08"/>
    <w:rsid w:val="00D95DAC"/>
    <w:rsid w:val="00DA0B53"/>
    <w:rsid w:val="00DB1171"/>
    <w:rsid w:val="00DB1519"/>
    <w:rsid w:val="00DB2840"/>
    <w:rsid w:val="00DB5A08"/>
    <w:rsid w:val="00DC1BD3"/>
    <w:rsid w:val="00DC2C1A"/>
    <w:rsid w:val="00DD66B4"/>
    <w:rsid w:val="00DE1972"/>
    <w:rsid w:val="00DE27AB"/>
    <w:rsid w:val="00DF2AB3"/>
    <w:rsid w:val="00DF7250"/>
    <w:rsid w:val="00E00CAA"/>
    <w:rsid w:val="00E03EBF"/>
    <w:rsid w:val="00E05209"/>
    <w:rsid w:val="00E05AC1"/>
    <w:rsid w:val="00E11BCF"/>
    <w:rsid w:val="00E133A7"/>
    <w:rsid w:val="00E2258E"/>
    <w:rsid w:val="00E24DE9"/>
    <w:rsid w:val="00E25345"/>
    <w:rsid w:val="00E260C2"/>
    <w:rsid w:val="00E32596"/>
    <w:rsid w:val="00E368F7"/>
    <w:rsid w:val="00E36EB8"/>
    <w:rsid w:val="00E37FB8"/>
    <w:rsid w:val="00E40B07"/>
    <w:rsid w:val="00E42326"/>
    <w:rsid w:val="00E43544"/>
    <w:rsid w:val="00E44D89"/>
    <w:rsid w:val="00E477EA"/>
    <w:rsid w:val="00E55807"/>
    <w:rsid w:val="00E63B14"/>
    <w:rsid w:val="00E65CA0"/>
    <w:rsid w:val="00E70D9F"/>
    <w:rsid w:val="00E83810"/>
    <w:rsid w:val="00E857A8"/>
    <w:rsid w:val="00E86933"/>
    <w:rsid w:val="00E950F8"/>
    <w:rsid w:val="00E9605B"/>
    <w:rsid w:val="00E97298"/>
    <w:rsid w:val="00E97753"/>
    <w:rsid w:val="00EA0C51"/>
    <w:rsid w:val="00EA7DE7"/>
    <w:rsid w:val="00EB7A8A"/>
    <w:rsid w:val="00EC6FED"/>
    <w:rsid w:val="00EC7F3B"/>
    <w:rsid w:val="00ED5299"/>
    <w:rsid w:val="00EE3A64"/>
    <w:rsid w:val="00EE50E5"/>
    <w:rsid w:val="00EF01CF"/>
    <w:rsid w:val="00F03590"/>
    <w:rsid w:val="00F03622"/>
    <w:rsid w:val="00F077FD"/>
    <w:rsid w:val="00F204F3"/>
    <w:rsid w:val="00F218AB"/>
    <w:rsid w:val="00F21D10"/>
    <w:rsid w:val="00F238B3"/>
    <w:rsid w:val="00F24FED"/>
    <w:rsid w:val="00F25586"/>
    <w:rsid w:val="00F2651D"/>
    <w:rsid w:val="00F27362"/>
    <w:rsid w:val="00F31498"/>
    <w:rsid w:val="00F32FEF"/>
    <w:rsid w:val="00F3719C"/>
    <w:rsid w:val="00F41B1C"/>
    <w:rsid w:val="00F42E13"/>
    <w:rsid w:val="00F42F1C"/>
    <w:rsid w:val="00F43B44"/>
    <w:rsid w:val="00F440E5"/>
    <w:rsid w:val="00F448F6"/>
    <w:rsid w:val="00F52741"/>
    <w:rsid w:val="00F53D8A"/>
    <w:rsid w:val="00F626F7"/>
    <w:rsid w:val="00F736F9"/>
    <w:rsid w:val="00F73833"/>
    <w:rsid w:val="00F7434A"/>
    <w:rsid w:val="00F9211C"/>
    <w:rsid w:val="00FA095D"/>
    <w:rsid w:val="00FA6C8B"/>
    <w:rsid w:val="00FA6CDA"/>
    <w:rsid w:val="00FA7C89"/>
    <w:rsid w:val="00FB4139"/>
    <w:rsid w:val="00FB476E"/>
    <w:rsid w:val="00FC0D90"/>
    <w:rsid w:val="00FC7D8C"/>
    <w:rsid w:val="00FD3980"/>
    <w:rsid w:val="00FD431E"/>
    <w:rsid w:val="00FD5A2C"/>
    <w:rsid w:val="00FE0D47"/>
    <w:rsid w:val="00FE1D5C"/>
    <w:rsid w:val="00FE2F8B"/>
    <w:rsid w:val="00FE3669"/>
    <w:rsid w:val="00FE5204"/>
    <w:rsid w:val="00FF287F"/>
    <w:rsid w:val="00FF74A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9FAF29E"/>
  <w15:docId w15:val="{DDEE480D-52BF-4038-9942-1B7C16C25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F7C86"/>
    <w:pPr>
      <w:tabs>
        <w:tab w:val="left" w:pos="794"/>
        <w:tab w:val="left" w:pos="1191"/>
        <w:tab w:val="left" w:pos="1588"/>
        <w:tab w:val="left" w:pos="1985"/>
      </w:tabs>
      <w:overflowPunct w:val="0"/>
      <w:autoSpaceDE w:val="0"/>
      <w:autoSpaceDN w:val="0"/>
      <w:adjustRightInd w:val="0"/>
      <w:spacing w:before="120"/>
      <w:textAlignment w:val="baseline"/>
    </w:pPr>
    <w:rPr>
      <w:rFonts w:asciiTheme="minorHAnsi" w:hAnsiTheme="minorHAnsi"/>
      <w:sz w:val="24"/>
      <w:lang w:val="en-GB" w:eastAsia="en-US"/>
    </w:rPr>
  </w:style>
  <w:style w:type="paragraph" w:styleId="Heading1">
    <w:name w:val="heading 1"/>
    <w:basedOn w:val="Normal"/>
    <w:next w:val="Normal"/>
    <w:qFormat/>
    <w:rsid w:val="00B37866"/>
    <w:pPr>
      <w:keepNext/>
      <w:keepLines/>
      <w:spacing w:before="280"/>
      <w:ind w:left="794" w:hanging="794"/>
      <w:outlineLvl w:val="0"/>
    </w:pPr>
    <w:rPr>
      <w:b/>
      <w:sz w:val="28"/>
    </w:rPr>
  </w:style>
  <w:style w:type="paragraph" w:styleId="Heading2">
    <w:name w:val="heading 2"/>
    <w:basedOn w:val="Heading1"/>
    <w:next w:val="Normal"/>
    <w:qFormat/>
    <w:rsid w:val="00B37866"/>
    <w:pPr>
      <w:spacing w:before="200"/>
      <w:outlineLvl w:val="1"/>
    </w:pPr>
    <w:rPr>
      <w:sz w:val="24"/>
    </w:rPr>
  </w:style>
  <w:style w:type="paragraph" w:styleId="Heading3">
    <w:name w:val="heading 3"/>
    <w:basedOn w:val="Heading1"/>
    <w:next w:val="Normal"/>
    <w:qFormat/>
    <w:rsid w:val="00B37866"/>
    <w:pPr>
      <w:spacing w:before="200"/>
      <w:outlineLvl w:val="2"/>
    </w:pPr>
    <w:rPr>
      <w:sz w:val="24"/>
    </w:rPr>
  </w:style>
  <w:style w:type="paragraph" w:styleId="Heading4">
    <w:name w:val="heading 4"/>
    <w:basedOn w:val="Heading3"/>
    <w:next w:val="Normal"/>
    <w:qFormat/>
    <w:rsid w:val="00B37866"/>
    <w:pPr>
      <w:tabs>
        <w:tab w:val="clear" w:pos="794"/>
        <w:tab w:val="left" w:pos="992"/>
      </w:tabs>
      <w:ind w:left="992" w:hanging="992"/>
      <w:outlineLvl w:val="3"/>
    </w:pPr>
  </w:style>
  <w:style w:type="paragraph" w:styleId="Heading5">
    <w:name w:val="heading 5"/>
    <w:basedOn w:val="Heading4"/>
    <w:next w:val="Normal"/>
    <w:qFormat/>
    <w:rsid w:val="00B37866"/>
    <w:pPr>
      <w:outlineLvl w:val="4"/>
    </w:pPr>
  </w:style>
  <w:style w:type="paragraph" w:styleId="Heading6">
    <w:name w:val="heading 6"/>
    <w:basedOn w:val="Heading4"/>
    <w:next w:val="Normal"/>
    <w:qFormat/>
    <w:rsid w:val="00B37866"/>
    <w:pPr>
      <w:tabs>
        <w:tab w:val="clear" w:pos="992"/>
        <w:tab w:val="clear" w:pos="1191"/>
      </w:tabs>
      <w:ind w:left="1588" w:hanging="1588"/>
      <w:outlineLvl w:val="5"/>
    </w:pPr>
  </w:style>
  <w:style w:type="paragraph" w:styleId="Heading7">
    <w:name w:val="heading 7"/>
    <w:basedOn w:val="Heading6"/>
    <w:next w:val="Normal"/>
    <w:qFormat/>
    <w:rsid w:val="00B37866"/>
    <w:pPr>
      <w:outlineLvl w:val="6"/>
    </w:pPr>
  </w:style>
  <w:style w:type="paragraph" w:styleId="Heading8">
    <w:name w:val="heading 8"/>
    <w:basedOn w:val="Heading6"/>
    <w:next w:val="Normal"/>
    <w:qFormat/>
    <w:rsid w:val="00B37866"/>
    <w:pPr>
      <w:outlineLvl w:val="7"/>
    </w:pPr>
  </w:style>
  <w:style w:type="paragraph" w:styleId="Heading9">
    <w:name w:val="heading 9"/>
    <w:basedOn w:val="Heading6"/>
    <w:next w:val="Normal"/>
    <w:qFormat/>
    <w:rsid w:val="00B37866"/>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8">
    <w:name w:val="toc 8"/>
    <w:basedOn w:val="TOC4"/>
    <w:semiHidden/>
    <w:rsid w:val="00B37866"/>
  </w:style>
  <w:style w:type="paragraph" w:styleId="TOC4">
    <w:name w:val="toc 4"/>
    <w:basedOn w:val="TOC3"/>
    <w:semiHidden/>
    <w:rsid w:val="00B37866"/>
  </w:style>
  <w:style w:type="paragraph" w:styleId="TOC3">
    <w:name w:val="toc 3"/>
    <w:basedOn w:val="TOC2"/>
    <w:rsid w:val="00B37866"/>
  </w:style>
  <w:style w:type="paragraph" w:styleId="TOC2">
    <w:name w:val="toc 2"/>
    <w:basedOn w:val="TOC1"/>
    <w:rsid w:val="00B37866"/>
    <w:pPr>
      <w:spacing w:before="120"/>
    </w:pPr>
  </w:style>
  <w:style w:type="paragraph" w:styleId="TOC1">
    <w:name w:val="toc 1"/>
    <w:basedOn w:val="Normal"/>
    <w:rsid w:val="00B37866"/>
    <w:pPr>
      <w:keepLines/>
      <w:tabs>
        <w:tab w:val="clear" w:pos="794"/>
        <w:tab w:val="clear" w:pos="1191"/>
        <w:tab w:val="clear" w:pos="1588"/>
        <w:tab w:val="clear" w:pos="1985"/>
        <w:tab w:val="left" w:pos="964"/>
        <w:tab w:val="left" w:leader="dot" w:pos="8647"/>
        <w:tab w:val="center" w:pos="9526"/>
      </w:tabs>
      <w:spacing w:before="240"/>
      <w:ind w:left="964" w:hanging="964"/>
    </w:pPr>
  </w:style>
  <w:style w:type="paragraph" w:styleId="TOC7">
    <w:name w:val="toc 7"/>
    <w:basedOn w:val="TOC4"/>
    <w:semiHidden/>
    <w:rsid w:val="00B37866"/>
  </w:style>
  <w:style w:type="paragraph" w:styleId="TOC6">
    <w:name w:val="toc 6"/>
    <w:basedOn w:val="TOC4"/>
    <w:semiHidden/>
    <w:rsid w:val="00B37866"/>
  </w:style>
  <w:style w:type="paragraph" w:styleId="TOC5">
    <w:name w:val="toc 5"/>
    <w:basedOn w:val="TOC4"/>
    <w:semiHidden/>
    <w:rsid w:val="00B37866"/>
  </w:style>
  <w:style w:type="paragraph" w:styleId="Index7">
    <w:name w:val="index 7"/>
    <w:basedOn w:val="Normal"/>
    <w:next w:val="Normal"/>
    <w:semiHidden/>
    <w:rsid w:val="00B37866"/>
    <w:pPr>
      <w:ind w:left="1698"/>
    </w:pPr>
  </w:style>
  <w:style w:type="paragraph" w:styleId="Index6">
    <w:name w:val="index 6"/>
    <w:basedOn w:val="Normal"/>
    <w:next w:val="Normal"/>
    <w:semiHidden/>
    <w:rsid w:val="00B37866"/>
    <w:pPr>
      <w:ind w:left="1415"/>
    </w:pPr>
  </w:style>
  <w:style w:type="paragraph" w:styleId="Index5">
    <w:name w:val="index 5"/>
    <w:basedOn w:val="Normal"/>
    <w:next w:val="Normal"/>
    <w:semiHidden/>
    <w:rsid w:val="00B37866"/>
    <w:pPr>
      <w:ind w:left="1132"/>
    </w:pPr>
  </w:style>
  <w:style w:type="paragraph" w:styleId="Index4">
    <w:name w:val="index 4"/>
    <w:basedOn w:val="Normal"/>
    <w:next w:val="Normal"/>
    <w:semiHidden/>
    <w:rsid w:val="00B37866"/>
    <w:pPr>
      <w:ind w:left="849"/>
    </w:pPr>
  </w:style>
  <w:style w:type="paragraph" w:styleId="Index3">
    <w:name w:val="index 3"/>
    <w:basedOn w:val="Normal"/>
    <w:next w:val="Normal"/>
    <w:semiHidden/>
    <w:rsid w:val="00B37866"/>
    <w:pPr>
      <w:ind w:left="566"/>
    </w:pPr>
  </w:style>
  <w:style w:type="paragraph" w:styleId="Index2">
    <w:name w:val="index 2"/>
    <w:basedOn w:val="Normal"/>
    <w:next w:val="Normal"/>
    <w:semiHidden/>
    <w:rsid w:val="00B37866"/>
    <w:pPr>
      <w:ind w:left="283"/>
    </w:pPr>
  </w:style>
  <w:style w:type="paragraph" w:styleId="Index1">
    <w:name w:val="index 1"/>
    <w:basedOn w:val="Normal"/>
    <w:next w:val="Normal"/>
    <w:semiHidden/>
    <w:rsid w:val="00B37866"/>
  </w:style>
  <w:style w:type="character" w:styleId="LineNumber">
    <w:name w:val="line number"/>
    <w:basedOn w:val="DefaultParagraphFont"/>
    <w:rsid w:val="00B37866"/>
  </w:style>
  <w:style w:type="paragraph" w:styleId="IndexHeading">
    <w:name w:val="index heading"/>
    <w:basedOn w:val="Normal"/>
    <w:next w:val="Index1"/>
    <w:semiHidden/>
    <w:rsid w:val="00B37866"/>
  </w:style>
  <w:style w:type="paragraph" w:styleId="Footer">
    <w:name w:val="footer"/>
    <w:basedOn w:val="Normal"/>
    <w:link w:val="FooterChar"/>
    <w:rsid w:val="00B37866"/>
    <w:pPr>
      <w:tabs>
        <w:tab w:val="clear" w:pos="794"/>
        <w:tab w:val="clear" w:pos="1191"/>
        <w:tab w:val="clear" w:pos="1588"/>
        <w:tab w:val="clear" w:pos="1985"/>
        <w:tab w:val="left" w:pos="5954"/>
        <w:tab w:val="right" w:pos="9639"/>
      </w:tabs>
      <w:spacing w:before="0"/>
    </w:pPr>
    <w:rPr>
      <w:caps/>
      <w:noProof/>
      <w:sz w:val="16"/>
      <w:lang w:val="fr-FR"/>
    </w:rPr>
  </w:style>
  <w:style w:type="paragraph" w:styleId="Header">
    <w:name w:val="header"/>
    <w:basedOn w:val="Normal"/>
    <w:link w:val="HeaderChar"/>
    <w:uiPriority w:val="99"/>
    <w:rsid w:val="00B37866"/>
    <w:pPr>
      <w:tabs>
        <w:tab w:val="clear" w:pos="794"/>
        <w:tab w:val="clear" w:pos="1191"/>
        <w:tab w:val="clear" w:pos="1588"/>
        <w:tab w:val="clear" w:pos="1985"/>
      </w:tabs>
      <w:spacing w:before="0"/>
      <w:jc w:val="center"/>
    </w:pPr>
    <w:rPr>
      <w:sz w:val="18"/>
      <w:lang w:val="fr-FR"/>
    </w:rPr>
  </w:style>
  <w:style w:type="character" w:styleId="FootnoteReference">
    <w:name w:val="footnote reference"/>
    <w:basedOn w:val="DefaultParagraphFont"/>
    <w:rsid w:val="00F52741"/>
    <w:rPr>
      <w:rFonts w:asciiTheme="minorHAnsi" w:hAnsiTheme="minorHAnsi"/>
      <w:position w:val="6"/>
      <w:sz w:val="18"/>
    </w:rPr>
  </w:style>
  <w:style w:type="paragraph" w:styleId="FootnoteText">
    <w:name w:val="footnote text"/>
    <w:basedOn w:val="Normal"/>
    <w:rsid w:val="00B37866"/>
    <w:pPr>
      <w:keepLines/>
      <w:tabs>
        <w:tab w:val="left" w:pos="255"/>
      </w:tabs>
      <w:ind w:left="255" w:hanging="255"/>
    </w:pPr>
  </w:style>
  <w:style w:type="paragraph" w:styleId="NormalIndent">
    <w:name w:val="Normal Indent"/>
    <w:basedOn w:val="Normal"/>
    <w:rsid w:val="00B37866"/>
    <w:pPr>
      <w:ind w:left="794"/>
    </w:pPr>
  </w:style>
  <w:style w:type="paragraph" w:customStyle="1" w:styleId="enumlev1">
    <w:name w:val="enumlev1"/>
    <w:basedOn w:val="Normal"/>
    <w:rsid w:val="00B37866"/>
    <w:pPr>
      <w:spacing w:before="80"/>
      <w:ind w:left="794" w:hanging="794"/>
    </w:pPr>
  </w:style>
  <w:style w:type="paragraph" w:customStyle="1" w:styleId="enumlev2">
    <w:name w:val="enumlev2"/>
    <w:basedOn w:val="enumlev1"/>
    <w:rsid w:val="00B37866"/>
    <w:pPr>
      <w:ind w:left="1191" w:hanging="397"/>
    </w:pPr>
  </w:style>
  <w:style w:type="paragraph" w:customStyle="1" w:styleId="enumlev3">
    <w:name w:val="enumlev3"/>
    <w:basedOn w:val="enumlev2"/>
    <w:rsid w:val="00B37866"/>
    <w:pPr>
      <w:ind w:left="1588"/>
    </w:pPr>
  </w:style>
  <w:style w:type="paragraph" w:customStyle="1" w:styleId="Normalaftertitle">
    <w:name w:val="Normal after title"/>
    <w:basedOn w:val="Normal"/>
    <w:next w:val="Normal"/>
    <w:rsid w:val="00B37866"/>
    <w:pPr>
      <w:spacing w:before="280"/>
    </w:pPr>
  </w:style>
  <w:style w:type="paragraph" w:customStyle="1" w:styleId="Equation">
    <w:name w:val="Equation"/>
    <w:basedOn w:val="Normal"/>
    <w:rsid w:val="00B37866"/>
    <w:pPr>
      <w:tabs>
        <w:tab w:val="clear" w:pos="1191"/>
        <w:tab w:val="clear" w:pos="1588"/>
        <w:tab w:val="clear" w:pos="1985"/>
        <w:tab w:val="center" w:pos="4820"/>
        <w:tab w:val="right" w:pos="9639"/>
      </w:tabs>
    </w:pPr>
  </w:style>
  <w:style w:type="paragraph" w:customStyle="1" w:styleId="toc0">
    <w:name w:val="toc 0"/>
    <w:basedOn w:val="Normal"/>
    <w:next w:val="TOC1"/>
    <w:rsid w:val="00B37866"/>
    <w:pPr>
      <w:tabs>
        <w:tab w:val="clear" w:pos="794"/>
        <w:tab w:val="clear" w:pos="1191"/>
        <w:tab w:val="clear" w:pos="1588"/>
        <w:tab w:val="clear" w:pos="1985"/>
        <w:tab w:val="right" w:pos="9781"/>
      </w:tabs>
    </w:pPr>
    <w:rPr>
      <w:b/>
    </w:rPr>
  </w:style>
  <w:style w:type="paragraph" w:customStyle="1" w:styleId="AnnexNo">
    <w:name w:val="Annex_No"/>
    <w:basedOn w:val="Normal"/>
    <w:next w:val="Annexref"/>
    <w:rsid w:val="00B37866"/>
    <w:pPr>
      <w:keepNext/>
      <w:keepLines/>
      <w:spacing w:before="480" w:after="80"/>
      <w:jc w:val="center"/>
    </w:pPr>
    <w:rPr>
      <w:caps/>
      <w:sz w:val="28"/>
    </w:rPr>
  </w:style>
  <w:style w:type="paragraph" w:customStyle="1" w:styleId="ASN1">
    <w:name w:val="ASN.1"/>
    <w:basedOn w:val="Normal"/>
    <w:rsid w:val="00B37866"/>
    <w:pPr>
      <w:tabs>
        <w:tab w:val="clear" w:pos="794"/>
        <w:tab w:val="clear" w:pos="1191"/>
        <w:tab w:val="clear" w:pos="1588"/>
        <w:tab w:val="clear" w:pos="1985"/>
        <w:tab w:val="left" w:pos="567"/>
        <w:tab w:val="left" w:pos="1134"/>
        <w:tab w:val="left" w:pos="1701"/>
        <w:tab w:val="left" w:pos="2268"/>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Note">
    <w:name w:val="Note"/>
    <w:basedOn w:val="Normal"/>
    <w:rsid w:val="00B37866"/>
    <w:pPr>
      <w:spacing w:before="80"/>
    </w:pPr>
  </w:style>
  <w:style w:type="paragraph" w:styleId="TOC9">
    <w:name w:val="toc 9"/>
    <w:basedOn w:val="TOC3"/>
    <w:next w:val="Normal"/>
    <w:semiHidden/>
    <w:rsid w:val="00B37866"/>
  </w:style>
  <w:style w:type="paragraph" w:customStyle="1" w:styleId="Source">
    <w:name w:val="Source"/>
    <w:basedOn w:val="Normal"/>
    <w:next w:val="Normalaftertitle"/>
    <w:rsid w:val="00EC6FED"/>
    <w:pPr>
      <w:spacing w:before="240" w:after="240"/>
      <w:jc w:val="center"/>
    </w:pPr>
    <w:rPr>
      <w:b/>
      <w:sz w:val="28"/>
    </w:rPr>
  </w:style>
  <w:style w:type="paragraph" w:customStyle="1" w:styleId="Title1">
    <w:name w:val="Title 1"/>
    <w:basedOn w:val="Source"/>
    <w:next w:val="Title2"/>
    <w:rsid w:val="00EC6FED"/>
    <w:pPr>
      <w:tabs>
        <w:tab w:val="clear" w:pos="794"/>
        <w:tab w:val="clear" w:pos="1191"/>
        <w:tab w:val="clear" w:pos="1588"/>
        <w:tab w:val="clear" w:pos="1985"/>
        <w:tab w:val="left" w:pos="567"/>
        <w:tab w:val="left" w:pos="1134"/>
        <w:tab w:val="left" w:pos="1701"/>
        <w:tab w:val="left" w:pos="2268"/>
        <w:tab w:val="left" w:pos="2835"/>
      </w:tabs>
      <w:spacing w:before="120" w:after="120"/>
    </w:pPr>
    <w:rPr>
      <w:rFonts w:cs="Times New Roman Bold"/>
      <w:b w:val="0"/>
    </w:rPr>
  </w:style>
  <w:style w:type="paragraph" w:customStyle="1" w:styleId="Title2">
    <w:name w:val="Title 2"/>
    <w:basedOn w:val="Title1"/>
    <w:next w:val="Title3"/>
    <w:rsid w:val="00B37866"/>
  </w:style>
  <w:style w:type="paragraph" w:customStyle="1" w:styleId="Title3">
    <w:name w:val="Title 3"/>
    <w:basedOn w:val="Title2"/>
    <w:next w:val="Title4"/>
    <w:rsid w:val="00B37866"/>
  </w:style>
  <w:style w:type="paragraph" w:customStyle="1" w:styleId="Title4">
    <w:name w:val="Title 4"/>
    <w:basedOn w:val="Title3"/>
    <w:next w:val="Heading1"/>
    <w:rsid w:val="00B37866"/>
  </w:style>
  <w:style w:type="paragraph" w:customStyle="1" w:styleId="FirstFooter">
    <w:name w:val="FirstFooter"/>
    <w:basedOn w:val="Footer"/>
    <w:rsid w:val="00B37866"/>
    <w:pPr>
      <w:tabs>
        <w:tab w:val="clear" w:pos="5954"/>
        <w:tab w:val="clear" w:pos="9639"/>
      </w:tabs>
      <w:overflowPunct/>
      <w:autoSpaceDE/>
      <w:autoSpaceDN/>
      <w:adjustRightInd/>
      <w:spacing w:before="40"/>
      <w:textAlignment w:val="auto"/>
    </w:pPr>
    <w:rPr>
      <w:caps w:val="0"/>
      <w:noProof w:val="0"/>
    </w:rPr>
  </w:style>
  <w:style w:type="paragraph" w:customStyle="1" w:styleId="Annexref">
    <w:name w:val="Annex_ref"/>
    <w:basedOn w:val="Normal"/>
    <w:next w:val="Annextitle"/>
    <w:rsid w:val="00B37866"/>
    <w:pPr>
      <w:keepNext/>
      <w:keepLines/>
      <w:spacing w:after="280"/>
      <w:jc w:val="center"/>
    </w:pPr>
  </w:style>
  <w:style w:type="paragraph" w:customStyle="1" w:styleId="Annextitle">
    <w:name w:val="Annex_title"/>
    <w:basedOn w:val="Normal"/>
    <w:next w:val="Normalaftertitle"/>
    <w:rsid w:val="00F52741"/>
    <w:pPr>
      <w:keepNext/>
      <w:keepLines/>
      <w:spacing w:before="240" w:after="280"/>
      <w:jc w:val="center"/>
    </w:pPr>
    <w:rPr>
      <w:b/>
      <w:sz w:val="28"/>
    </w:rPr>
  </w:style>
  <w:style w:type="character" w:customStyle="1" w:styleId="Appdef">
    <w:name w:val="App_def"/>
    <w:basedOn w:val="DefaultParagraphFont"/>
    <w:rsid w:val="00F52741"/>
    <w:rPr>
      <w:rFonts w:asciiTheme="minorHAnsi" w:hAnsiTheme="minorHAnsi"/>
      <w:b/>
    </w:rPr>
  </w:style>
  <w:style w:type="character" w:customStyle="1" w:styleId="Appref">
    <w:name w:val="App_ref"/>
    <w:basedOn w:val="DefaultParagraphFont"/>
    <w:rsid w:val="00F52741"/>
    <w:rPr>
      <w:rFonts w:asciiTheme="minorHAnsi" w:hAnsiTheme="minorHAnsi"/>
    </w:rPr>
  </w:style>
  <w:style w:type="paragraph" w:customStyle="1" w:styleId="AppendixNo">
    <w:name w:val="Appendix_No"/>
    <w:basedOn w:val="AnnexNo"/>
    <w:next w:val="Annexref"/>
    <w:rsid w:val="00B37866"/>
  </w:style>
  <w:style w:type="paragraph" w:customStyle="1" w:styleId="Appendixref">
    <w:name w:val="Appendix_ref"/>
    <w:basedOn w:val="Annexref"/>
    <w:next w:val="Annextitle"/>
    <w:rsid w:val="00B37866"/>
  </w:style>
  <w:style w:type="paragraph" w:customStyle="1" w:styleId="Appendixtitle">
    <w:name w:val="Appendix_title"/>
    <w:basedOn w:val="Annextitle"/>
    <w:next w:val="Normalaftertitle"/>
    <w:rsid w:val="00B37866"/>
  </w:style>
  <w:style w:type="character" w:customStyle="1" w:styleId="Artdef">
    <w:name w:val="Art_def"/>
    <w:basedOn w:val="DefaultParagraphFont"/>
    <w:rsid w:val="00F52741"/>
    <w:rPr>
      <w:rFonts w:asciiTheme="minorHAnsi" w:hAnsiTheme="minorHAnsi"/>
      <w:b/>
    </w:rPr>
  </w:style>
  <w:style w:type="paragraph" w:customStyle="1" w:styleId="Artheading">
    <w:name w:val="Art_heading"/>
    <w:basedOn w:val="Normal"/>
    <w:next w:val="Normalaftertitle"/>
    <w:rsid w:val="00F52741"/>
    <w:pPr>
      <w:spacing w:before="480"/>
      <w:jc w:val="center"/>
    </w:pPr>
    <w:rPr>
      <w:b/>
      <w:sz w:val="28"/>
    </w:rPr>
  </w:style>
  <w:style w:type="paragraph" w:customStyle="1" w:styleId="ArtNo">
    <w:name w:val="Art_No"/>
    <w:basedOn w:val="Normal"/>
    <w:next w:val="Arttitle"/>
    <w:rsid w:val="00B37866"/>
    <w:pPr>
      <w:keepNext/>
      <w:keepLines/>
      <w:spacing w:before="480"/>
      <w:jc w:val="center"/>
    </w:pPr>
    <w:rPr>
      <w:caps/>
      <w:sz w:val="28"/>
    </w:rPr>
  </w:style>
  <w:style w:type="paragraph" w:customStyle="1" w:styleId="Arttitle">
    <w:name w:val="Art_title"/>
    <w:basedOn w:val="Normal"/>
    <w:next w:val="Normalaftertitle"/>
    <w:rsid w:val="00B37866"/>
    <w:pPr>
      <w:keepNext/>
      <w:keepLines/>
      <w:spacing w:before="240"/>
      <w:jc w:val="center"/>
    </w:pPr>
    <w:rPr>
      <w:b/>
      <w:sz w:val="28"/>
    </w:rPr>
  </w:style>
  <w:style w:type="character" w:customStyle="1" w:styleId="Artref">
    <w:name w:val="Art_ref"/>
    <w:basedOn w:val="DefaultParagraphFont"/>
    <w:rsid w:val="00B37866"/>
  </w:style>
  <w:style w:type="paragraph" w:customStyle="1" w:styleId="Call">
    <w:name w:val="Call"/>
    <w:basedOn w:val="Normal"/>
    <w:next w:val="Normal"/>
    <w:rsid w:val="00B37866"/>
    <w:pPr>
      <w:keepNext/>
      <w:keepLines/>
      <w:spacing w:before="160"/>
      <w:ind w:left="794"/>
    </w:pPr>
    <w:rPr>
      <w:i/>
    </w:rPr>
  </w:style>
  <w:style w:type="paragraph" w:customStyle="1" w:styleId="ChapNo">
    <w:name w:val="Chap_No"/>
    <w:basedOn w:val="ArtNo"/>
    <w:next w:val="Chaptitle"/>
    <w:rsid w:val="00F52741"/>
    <w:rPr>
      <w:b/>
    </w:rPr>
  </w:style>
  <w:style w:type="paragraph" w:customStyle="1" w:styleId="Chaptitle">
    <w:name w:val="Chap_title"/>
    <w:basedOn w:val="Arttitle"/>
    <w:next w:val="Normalaftertitle"/>
    <w:rsid w:val="00B37866"/>
  </w:style>
  <w:style w:type="paragraph" w:customStyle="1" w:styleId="ddate">
    <w:name w:val="ddate"/>
    <w:basedOn w:val="Normal"/>
    <w:rsid w:val="00B37866"/>
    <w:pPr>
      <w:framePr w:hSpace="181" w:wrap="around" w:vAnchor="page" w:hAnchor="margin" w:y="852"/>
      <w:shd w:val="solid" w:color="FFFFFF" w:fill="FFFFFF"/>
      <w:tabs>
        <w:tab w:val="clear" w:pos="794"/>
        <w:tab w:val="clear" w:pos="1191"/>
        <w:tab w:val="clear" w:pos="1588"/>
        <w:tab w:val="clear" w:pos="1985"/>
        <w:tab w:val="left" w:pos="1134"/>
        <w:tab w:val="left" w:pos="1871"/>
        <w:tab w:val="left" w:pos="2268"/>
      </w:tabs>
      <w:spacing w:before="0"/>
    </w:pPr>
    <w:rPr>
      <w:b/>
      <w:bCs/>
    </w:rPr>
  </w:style>
  <w:style w:type="paragraph" w:customStyle="1" w:styleId="dnum">
    <w:name w:val="dnum"/>
    <w:basedOn w:val="Normal"/>
    <w:rsid w:val="00B37866"/>
    <w:pPr>
      <w:framePr w:hSpace="181" w:wrap="around" w:vAnchor="page" w:hAnchor="margin" w:y="852"/>
      <w:shd w:val="solid" w:color="FFFFFF" w:fill="FFFFFF"/>
      <w:tabs>
        <w:tab w:val="clear" w:pos="794"/>
        <w:tab w:val="clear" w:pos="1191"/>
        <w:tab w:val="clear" w:pos="1588"/>
        <w:tab w:val="clear" w:pos="1985"/>
        <w:tab w:val="left" w:pos="1134"/>
        <w:tab w:val="left" w:pos="1871"/>
        <w:tab w:val="left" w:pos="2268"/>
      </w:tabs>
    </w:pPr>
    <w:rPr>
      <w:b/>
      <w:bCs/>
    </w:rPr>
  </w:style>
  <w:style w:type="paragraph" w:customStyle="1" w:styleId="dorlang">
    <w:name w:val="dorlang"/>
    <w:basedOn w:val="Normal"/>
    <w:rsid w:val="00B37866"/>
    <w:pPr>
      <w:framePr w:hSpace="181" w:wrap="around" w:vAnchor="page" w:hAnchor="margin" w:y="852"/>
      <w:shd w:val="solid" w:color="FFFFFF" w:fill="FFFFFF"/>
      <w:tabs>
        <w:tab w:val="clear" w:pos="794"/>
        <w:tab w:val="clear" w:pos="1191"/>
        <w:tab w:val="clear" w:pos="1588"/>
        <w:tab w:val="clear" w:pos="1985"/>
        <w:tab w:val="left" w:pos="1134"/>
        <w:tab w:val="left" w:pos="1871"/>
        <w:tab w:val="left" w:pos="2268"/>
      </w:tabs>
      <w:spacing w:before="0"/>
    </w:pPr>
    <w:rPr>
      <w:b/>
      <w:bCs/>
    </w:rPr>
  </w:style>
  <w:style w:type="character" w:styleId="EndnoteReference">
    <w:name w:val="endnote reference"/>
    <w:basedOn w:val="DefaultParagraphFont"/>
    <w:semiHidden/>
    <w:rsid w:val="00B37866"/>
    <w:rPr>
      <w:vertAlign w:val="superscript"/>
    </w:rPr>
  </w:style>
  <w:style w:type="paragraph" w:customStyle="1" w:styleId="Equationlegend">
    <w:name w:val="Equation_legend"/>
    <w:basedOn w:val="Normal"/>
    <w:rsid w:val="00B37866"/>
    <w:pPr>
      <w:tabs>
        <w:tab w:val="clear" w:pos="794"/>
        <w:tab w:val="clear" w:pos="1191"/>
        <w:tab w:val="clear" w:pos="1588"/>
        <w:tab w:val="clear" w:pos="1985"/>
        <w:tab w:val="right" w:pos="1531"/>
        <w:tab w:val="left" w:pos="1701"/>
      </w:tabs>
      <w:spacing w:before="80"/>
      <w:ind w:left="1701" w:hanging="1701"/>
    </w:pPr>
  </w:style>
  <w:style w:type="paragraph" w:customStyle="1" w:styleId="Figurelegend">
    <w:name w:val="Figure_legend"/>
    <w:basedOn w:val="Normal"/>
    <w:rsid w:val="00B37866"/>
    <w:pPr>
      <w:keepNext/>
      <w:keepLines/>
      <w:tabs>
        <w:tab w:val="clear" w:pos="794"/>
        <w:tab w:val="clear" w:pos="1191"/>
        <w:tab w:val="clear" w:pos="1588"/>
        <w:tab w:val="clear" w:pos="1985"/>
      </w:tabs>
      <w:spacing w:before="20" w:after="20"/>
    </w:pPr>
    <w:rPr>
      <w:sz w:val="18"/>
    </w:rPr>
  </w:style>
  <w:style w:type="paragraph" w:customStyle="1" w:styleId="FigureNo">
    <w:name w:val="Figure_No"/>
    <w:basedOn w:val="Normal"/>
    <w:next w:val="Figuretitle"/>
    <w:rsid w:val="00B37866"/>
    <w:pPr>
      <w:keepNext/>
      <w:keepLines/>
      <w:spacing w:before="480" w:after="120"/>
      <w:jc w:val="center"/>
    </w:pPr>
    <w:rPr>
      <w:caps/>
    </w:rPr>
  </w:style>
  <w:style w:type="paragraph" w:customStyle="1" w:styleId="Figuretitle">
    <w:name w:val="Figure_title"/>
    <w:basedOn w:val="Tabletitle"/>
    <w:next w:val="Normal"/>
    <w:rsid w:val="00F52741"/>
    <w:pPr>
      <w:keepNext w:val="0"/>
      <w:spacing w:after="480"/>
    </w:pPr>
  </w:style>
  <w:style w:type="paragraph" w:customStyle="1" w:styleId="Tabletitle">
    <w:name w:val="Table_title"/>
    <w:basedOn w:val="Normal"/>
    <w:next w:val="Tabletext"/>
    <w:rsid w:val="00F52741"/>
    <w:pPr>
      <w:keepNext/>
      <w:keepLines/>
      <w:spacing w:before="0" w:after="120"/>
      <w:jc w:val="center"/>
    </w:pPr>
    <w:rPr>
      <w:b/>
    </w:rPr>
  </w:style>
  <w:style w:type="paragraph" w:customStyle="1" w:styleId="Tabletext">
    <w:name w:val="Table_text"/>
    <w:basedOn w:val="Normal"/>
    <w:rsid w:val="00B37866"/>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customStyle="1" w:styleId="Figurewithouttitle">
    <w:name w:val="Figure_without_title"/>
    <w:basedOn w:val="FigureNo"/>
    <w:next w:val="Normal"/>
    <w:rsid w:val="00B37866"/>
    <w:pPr>
      <w:keepNext w:val="0"/>
    </w:pPr>
  </w:style>
  <w:style w:type="paragraph" w:customStyle="1" w:styleId="Headingb">
    <w:name w:val="Heading_b"/>
    <w:basedOn w:val="Normal"/>
    <w:next w:val="Normal"/>
    <w:rsid w:val="00F52741"/>
    <w:pPr>
      <w:keepNext/>
      <w:spacing w:before="160"/>
    </w:pPr>
    <w:rPr>
      <w:b/>
    </w:rPr>
  </w:style>
  <w:style w:type="paragraph" w:customStyle="1" w:styleId="Headingi">
    <w:name w:val="Heading_i"/>
    <w:basedOn w:val="Normal"/>
    <w:next w:val="Normal"/>
    <w:rsid w:val="00F52741"/>
    <w:pPr>
      <w:keepNext/>
      <w:spacing w:before="160"/>
    </w:pPr>
    <w:rPr>
      <w:i/>
    </w:rPr>
  </w:style>
  <w:style w:type="paragraph" w:customStyle="1" w:styleId="PartNo">
    <w:name w:val="Part_No"/>
    <w:basedOn w:val="AnnexNo"/>
    <w:next w:val="Partref"/>
    <w:rsid w:val="00B37866"/>
  </w:style>
  <w:style w:type="paragraph" w:customStyle="1" w:styleId="Partref">
    <w:name w:val="Part_ref"/>
    <w:basedOn w:val="Annexref"/>
    <w:next w:val="Parttitle"/>
    <w:rsid w:val="00B37866"/>
  </w:style>
  <w:style w:type="paragraph" w:customStyle="1" w:styleId="Parttitle">
    <w:name w:val="Part_title"/>
    <w:basedOn w:val="Annextitle"/>
    <w:next w:val="Normalaftertitle"/>
    <w:rsid w:val="00B37866"/>
  </w:style>
  <w:style w:type="paragraph" w:customStyle="1" w:styleId="RecNo">
    <w:name w:val="Rec_No"/>
    <w:basedOn w:val="Normal"/>
    <w:next w:val="Rectitle"/>
    <w:rsid w:val="00B37866"/>
    <w:pPr>
      <w:keepNext/>
      <w:keepLines/>
      <w:spacing w:before="480"/>
      <w:jc w:val="center"/>
    </w:pPr>
    <w:rPr>
      <w:caps/>
      <w:sz w:val="28"/>
    </w:rPr>
  </w:style>
  <w:style w:type="paragraph" w:customStyle="1" w:styleId="Rectitle">
    <w:name w:val="Rec_title"/>
    <w:basedOn w:val="RecNo"/>
    <w:next w:val="Recref"/>
    <w:rsid w:val="00F52741"/>
    <w:pPr>
      <w:spacing w:before="240"/>
    </w:pPr>
    <w:rPr>
      <w:b/>
      <w:caps w:val="0"/>
    </w:rPr>
  </w:style>
  <w:style w:type="paragraph" w:customStyle="1" w:styleId="Recref">
    <w:name w:val="Rec_ref"/>
    <w:basedOn w:val="Rectitle"/>
    <w:next w:val="Recdate"/>
    <w:rsid w:val="00F52741"/>
    <w:pPr>
      <w:tabs>
        <w:tab w:val="clear" w:pos="794"/>
        <w:tab w:val="clear" w:pos="1191"/>
        <w:tab w:val="clear" w:pos="1588"/>
        <w:tab w:val="clear" w:pos="1985"/>
      </w:tabs>
      <w:spacing w:before="120"/>
    </w:pPr>
    <w:rPr>
      <w:b w:val="0"/>
      <w:i/>
      <w:sz w:val="24"/>
    </w:rPr>
  </w:style>
  <w:style w:type="paragraph" w:customStyle="1" w:styleId="Recdate">
    <w:name w:val="Rec_date"/>
    <w:basedOn w:val="Recref"/>
    <w:next w:val="Normalaftertitle"/>
    <w:rsid w:val="00B37866"/>
    <w:pPr>
      <w:jc w:val="right"/>
    </w:pPr>
    <w:rPr>
      <w:sz w:val="22"/>
    </w:rPr>
  </w:style>
  <w:style w:type="paragraph" w:customStyle="1" w:styleId="Questiondate">
    <w:name w:val="Question_date"/>
    <w:basedOn w:val="Recdate"/>
    <w:next w:val="Normalaftertitle"/>
    <w:rsid w:val="00F52741"/>
  </w:style>
  <w:style w:type="paragraph" w:customStyle="1" w:styleId="QuestionNo">
    <w:name w:val="Question_No"/>
    <w:basedOn w:val="RecNo"/>
    <w:next w:val="Questiontitle"/>
    <w:rsid w:val="00B37866"/>
  </w:style>
  <w:style w:type="paragraph" w:customStyle="1" w:styleId="Questiontitle">
    <w:name w:val="Question_title"/>
    <w:basedOn w:val="Rectitle"/>
    <w:next w:val="Questionref"/>
    <w:rsid w:val="00F52741"/>
  </w:style>
  <w:style w:type="paragraph" w:customStyle="1" w:styleId="Questionref">
    <w:name w:val="Question_ref"/>
    <w:basedOn w:val="Recref"/>
    <w:next w:val="Questiondate"/>
    <w:rsid w:val="00F52741"/>
  </w:style>
  <w:style w:type="character" w:customStyle="1" w:styleId="Recdef">
    <w:name w:val="Rec_def"/>
    <w:basedOn w:val="DefaultParagraphFont"/>
    <w:rsid w:val="00F52741"/>
    <w:rPr>
      <w:rFonts w:asciiTheme="minorHAnsi" w:hAnsiTheme="minorHAnsi"/>
      <w:b/>
    </w:rPr>
  </w:style>
  <w:style w:type="paragraph" w:customStyle="1" w:styleId="Reftext">
    <w:name w:val="Ref_text"/>
    <w:basedOn w:val="Normal"/>
    <w:rsid w:val="00B37866"/>
    <w:pPr>
      <w:ind w:left="794" w:hanging="794"/>
    </w:pPr>
  </w:style>
  <w:style w:type="paragraph" w:customStyle="1" w:styleId="Reftitle">
    <w:name w:val="Ref_title"/>
    <w:basedOn w:val="Normal"/>
    <w:next w:val="Reftext"/>
    <w:rsid w:val="00B37866"/>
    <w:pPr>
      <w:spacing w:before="480"/>
      <w:jc w:val="center"/>
    </w:pPr>
    <w:rPr>
      <w:caps/>
    </w:rPr>
  </w:style>
  <w:style w:type="paragraph" w:customStyle="1" w:styleId="Repdate">
    <w:name w:val="Rep_date"/>
    <w:basedOn w:val="Recdate"/>
    <w:next w:val="Normalaftertitle"/>
    <w:rsid w:val="00B37866"/>
  </w:style>
  <w:style w:type="paragraph" w:customStyle="1" w:styleId="RepNo">
    <w:name w:val="Rep_No"/>
    <w:basedOn w:val="RecNo"/>
    <w:next w:val="Reptitle"/>
    <w:rsid w:val="00B37866"/>
  </w:style>
  <w:style w:type="paragraph" w:customStyle="1" w:styleId="Reptitle">
    <w:name w:val="Rep_title"/>
    <w:basedOn w:val="Rectitle"/>
    <w:next w:val="Repref"/>
    <w:rsid w:val="00B37866"/>
  </w:style>
  <w:style w:type="paragraph" w:customStyle="1" w:styleId="Repref">
    <w:name w:val="Rep_ref"/>
    <w:basedOn w:val="Recref"/>
    <w:next w:val="Repdate"/>
    <w:rsid w:val="00B37866"/>
  </w:style>
  <w:style w:type="paragraph" w:customStyle="1" w:styleId="Resdate">
    <w:name w:val="Res_date"/>
    <w:basedOn w:val="Recdate"/>
    <w:next w:val="Normalaftertitle"/>
    <w:rsid w:val="00B37866"/>
  </w:style>
  <w:style w:type="character" w:customStyle="1" w:styleId="Resdef">
    <w:name w:val="Res_def"/>
    <w:basedOn w:val="DefaultParagraphFont"/>
    <w:rsid w:val="00F52741"/>
    <w:rPr>
      <w:rFonts w:asciiTheme="minorHAnsi" w:hAnsiTheme="minorHAnsi"/>
      <w:b/>
    </w:rPr>
  </w:style>
  <w:style w:type="paragraph" w:customStyle="1" w:styleId="ResNo">
    <w:name w:val="Res_No"/>
    <w:basedOn w:val="RecNo"/>
    <w:next w:val="Restitle"/>
    <w:rsid w:val="00B37866"/>
  </w:style>
  <w:style w:type="paragraph" w:customStyle="1" w:styleId="Restitle">
    <w:name w:val="Res_title"/>
    <w:basedOn w:val="Rectitle"/>
    <w:next w:val="Resref"/>
    <w:rsid w:val="00B37866"/>
  </w:style>
  <w:style w:type="paragraph" w:customStyle="1" w:styleId="Resref">
    <w:name w:val="Res_ref"/>
    <w:basedOn w:val="Recref"/>
    <w:next w:val="Resdate"/>
    <w:rsid w:val="00B37866"/>
  </w:style>
  <w:style w:type="paragraph" w:customStyle="1" w:styleId="SectionNo">
    <w:name w:val="Section_No"/>
    <w:basedOn w:val="AnnexNo"/>
    <w:next w:val="Sectiontitle"/>
    <w:rsid w:val="00B37866"/>
  </w:style>
  <w:style w:type="paragraph" w:customStyle="1" w:styleId="Sectiontitle">
    <w:name w:val="Section_title"/>
    <w:basedOn w:val="Annextitle"/>
    <w:next w:val="Normalaftertitle"/>
    <w:rsid w:val="00B37866"/>
  </w:style>
  <w:style w:type="paragraph" w:customStyle="1" w:styleId="SpecialFooter">
    <w:name w:val="Special Footer"/>
    <w:basedOn w:val="Footer"/>
    <w:rsid w:val="00B37866"/>
    <w:pPr>
      <w:tabs>
        <w:tab w:val="left" w:pos="567"/>
        <w:tab w:val="left" w:pos="1134"/>
        <w:tab w:val="left" w:pos="1701"/>
        <w:tab w:val="left" w:pos="2268"/>
        <w:tab w:val="left" w:pos="2835"/>
      </w:tabs>
      <w:jc w:val="both"/>
    </w:pPr>
    <w:rPr>
      <w:caps w:val="0"/>
      <w:noProof w:val="0"/>
    </w:rPr>
  </w:style>
  <w:style w:type="character" w:customStyle="1" w:styleId="Tablefreq">
    <w:name w:val="Table_freq"/>
    <w:basedOn w:val="DefaultParagraphFont"/>
    <w:rsid w:val="00F52741"/>
    <w:rPr>
      <w:rFonts w:asciiTheme="minorHAnsi" w:hAnsiTheme="minorHAnsi"/>
      <w:b/>
      <w:color w:val="auto"/>
    </w:rPr>
  </w:style>
  <w:style w:type="paragraph" w:customStyle="1" w:styleId="Tablehead">
    <w:name w:val="Table_head"/>
    <w:basedOn w:val="Tabletext"/>
    <w:next w:val="Tabletext"/>
    <w:rsid w:val="00B37866"/>
    <w:pPr>
      <w:keepNext/>
      <w:spacing w:before="80" w:after="80"/>
      <w:jc w:val="center"/>
    </w:pPr>
    <w:rPr>
      <w:b/>
    </w:rPr>
  </w:style>
  <w:style w:type="paragraph" w:customStyle="1" w:styleId="Tablelegend">
    <w:name w:val="Table_legend"/>
    <w:basedOn w:val="Tabletext"/>
    <w:rsid w:val="00B37866"/>
    <w:pPr>
      <w:spacing w:before="120"/>
    </w:pPr>
  </w:style>
  <w:style w:type="paragraph" w:customStyle="1" w:styleId="TableNo">
    <w:name w:val="Table_No"/>
    <w:basedOn w:val="Normal"/>
    <w:next w:val="Tabletitle"/>
    <w:rsid w:val="00B37866"/>
    <w:pPr>
      <w:keepNext/>
      <w:spacing w:before="560" w:after="120"/>
      <w:jc w:val="center"/>
    </w:pPr>
    <w:rPr>
      <w:caps/>
    </w:rPr>
  </w:style>
  <w:style w:type="paragraph" w:customStyle="1" w:styleId="Tableref">
    <w:name w:val="Table_ref"/>
    <w:basedOn w:val="Normal"/>
    <w:next w:val="Tabletitle"/>
    <w:rsid w:val="00B37866"/>
    <w:pPr>
      <w:keepNext/>
      <w:spacing w:before="0" w:after="120"/>
      <w:jc w:val="center"/>
    </w:pPr>
  </w:style>
  <w:style w:type="character" w:styleId="PageNumber">
    <w:name w:val="page number"/>
    <w:basedOn w:val="DefaultParagraphFont"/>
    <w:rsid w:val="00F52741"/>
    <w:rPr>
      <w:rFonts w:asciiTheme="minorHAnsi" w:hAnsiTheme="minorHAnsi"/>
    </w:rPr>
  </w:style>
  <w:style w:type="character" w:customStyle="1" w:styleId="HeaderChar">
    <w:name w:val="Header Char"/>
    <w:basedOn w:val="DefaultParagraphFont"/>
    <w:link w:val="Header"/>
    <w:uiPriority w:val="99"/>
    <w:rsid w:val="00005791"/>
    <w:rPr>
      <w:rFonts w:ascii="Times New Roman" w:hAnsi="Times New Roman"/>
      <w:sz w:val="18"/>
      <w:lang w:val="fr-FR" w:eastAsia="en-US"/>
    </w:rPr>
  </w:style>
  <w:style w:type="character" w:customStyle="1" w:styleId="FooterChar">
    <w:name w:val="Footer Char"/>
    <w:basedOn w:val="DefaultParagraphFont"/>
    <w:link w:val="Footer"/>
    <w:rsid w:val="0056423B"/>
    <w:rPr>
      <w:rFonts w:ascii="Times New Roman" w:hAnsi="Times New Roman"/>
      <w:caps/>
      <w:noProof/>
      <w:sz w:val="16"/>
      <w:lang w:val="fr-FR" w:eastAsia="en-US"/>
    </w:rPr>
  </w:style>
  <w:style w:type="table" w:styleId="TableGrid">
    <w:name w:val="Table Grid"/>
    <w:basedOn w:val="TableNormal"/>
    <w:uiPriority w:val="59"/>
    <w:rsid w:val="00147000"/>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mmittee">
    <w:name w:val="Committee"/>
    <w:basedOn w:val="Normal"/>
    <w:qFormat/>
    <w:rsid w:val="001A163D"/>
    <w:rPr>
      <w:rFonts w:cs="Times New Roman Bold"/>
      <w:b/>
      <w:caps/>
    </w:rPr>
  </w:style>
  <w:style w:type="character" w:styleId="Hyperlink">
    <w:name w:val="Hyperlink"/>
    <w:aliases w:val="CEO_Hyperlink"/>
    <w:basedOn w:val="DefaultParagraphFont"/>
    <w:uiPriority w:val="99"/>
    <w:rsid w:val="00BA0009"/>
    <w:rPr>
      <w:color w:val="0000FF" w:themeColor="hyperlink"/>
      <w:u w:val="single"/>
    </w:rPr>
  </w:style>
  <w:style w:type="paragraph" w:customStyle="1" w:styleId="BDTLogo">
    <w:name w:val="BDT_Logo"/>
    <w:uiPriority w:val="99"/>
    <w:rsid w:val="00C72713"/>
    <w:pPr>
      <w:jc w:val="center"/>
    </w:pPr>
    <w:rPr>
      <w:rFonts w:ascii="Calibri" w:eastAsia="SimHei" w:hAnsi="Calibri" w:cs="Simplified Arabic"/>
      <w:sz w:val="22"/>
      <w:szCs w:val="28"/>
      <w:lang w:val="en-GB" w:eastAsia="en-US"/>
    </w:rPr>
  </w:style>
  <w:style w:type="paragraph" w:styleId="ListParagraph">
    <w:name w:val="List Paragraph"/>
    <w:basedOn w:val="Normal"/>
    <w:uiPriority w:val="34"/>
    <w:qFormat/>
    <w:rsid w:val="00A721F4"/>
    <w:pPr>
      <w:tabs>
        <w:tab w:val="clear" w:pos="794"/>
        <w:tab w:val="clear" w:pos="1191"/>
        <w:tab w:val="clear" w:pos="1588"/>
        <w:tab w:val="clear" w:pos="1985"/>
        <w:tab w:val="left" w:pos="1134"/>
        <w:tab w:val="left" w:pos="1871"/>
        <w:tab w:val="left" w:pos="2268"/>
      </w:tabs>
      <w:ind w:left="720"/>
      <w:contextualSpacing/>
    </w:pPr>
  </w:style>
  <w:style w:type="paragraph" w:customStyle="1" w:styleId="AppArtNo">
    <w:name w:val="App_Art_No"/>
    <w:basedOn w:val="ArtNo"/>
    <w:qFormat/>
    <w:rsid w:val="00A50CA0"/>
    <w:pPr>
      <w:tabs>
        <w:tab w:val="clear" w:pos="794"/>
        <w:tab w:val="clear" w:pos="1191"/>
        <w:tab w:val="clear" w:pos="1588"/>
        <w:tab w:val="clear" w:pos="1985"/>
        <w:tab w:val="left" w:pos="1134"/>
        <w:tab w:val="left" w:pos="1871"/>
        <w:tab w:val="left" w:pos="2268"/>
      </w:tabs>
    </w:pPr>
  </w:style>
  <w:style w:type="paragraph" w:customStyle="1" w:styleId="AppArttitle">
    <w:name w:val="App_Art_title"/>
    <w:basedOn w:val="Arttitle"/>
    <w:qFormat/>
    <w:rsid w:val="00A50CA0"/>
    <w:pPr>
      <w:tabs>
        <w:tab w:val="clear" w:pos="794"/>
        <w:tab w:val="clear" w:pos="1191"/>
        <w:tab w:val="clear" w:pos="1588"/>
        <w:tab w:val="clear" w:pos="1985"/>
        <w:tab w:val="left" w:pos="1134"/>
        <w:tab w:val="left" w:pos="1871"/>
        <w:tab w:val="left" w:pos="2268"/>
      </w:tabs>
    </w:pPr>
  </w:style>
  <w:style w:type="paragraph" w:customStyle="1" w:styleId="ApptoAnnex">
    <w:name w:val="App_to_Annex"/>
    <w:basedOn w:val="AppendixNo"/>
    <w:next w:val="Normal"/>
    <w:qFormat/>
    <w:rsid w:val="00A50CA0"/>
    <w:pPr>
      <w:tabs>
        <w:tab w:val="clear" w:pos="794"/>
        <w:tab w:val="clear" w:pos="1191"/>
        <w:tab w:val="clear" w:pos="1588"/>
        <w:tab w:val="clear" w:pos="1985"/>
        <w:tab w:val="left" w:pos="1134"/>
        <w:tab w:val="left" w:pos="1871"/>
        <w:tab w:val="left" w:pos="2268"/>
      </w:tabs>
    </w:pPr>
  </w:style>
  <w:style w:type="paragraph" w:customStyle="1" w:styleId="Volumetitle">
    <w:name w:val="Volume_title"/>
    <w:basedOn w:val="Normal"/>
    <w:qFormat/>
    <w:rsid w:val="00A50CA0"/>
    <w:pPr>
      <w:tabs>
        <w:tab w:val="clear" w:pos="794"/>
        <w:tab w:val="clear" w:pos="1191"/>
        <w:tab w:val="clear" w:pos="1588"/>
        <w:tab w:val="clear" w:pos="1985"/>
        <w:tab w:val="left" w:pos="1871"/>
      </w:tabs>
      <w:overflowPunct/>
      <w:autoSpaceDE/>
      <w:autoSpaceDN/>
      <w:adjustRightInd/>
      <w:spacing w:before="0"/>
      <w:textAlignment w:val="auto"/>
    </w:pPr>
    <w:rPr>
      <w:b/>
      <w:sz w:val="28"/>
      <w:lang w:val="en-US"/>
    </w:rPr>
  </w:style>
  <w:style w:type="paragraph" w:customStyle="1" w:styleId="Proposal">
    <w:name w:val="Proposal"/>
    <w:basedOn w:val="Normal"/>
    <w:next w:val="Normal"/>
    <w:rsid w:val="00904230"/>
    <w:pPr>
      <w:keepNext/>
      <w:tabs>
        <w:tab w:val="clear" w:pos="794"/>
        <w:tab w:val="clear" w:pos="1191"/>
        <w:tab w:val="clear" w:pos="1588"/>
        <w:tab w:val="clear" w:pos="1985"/>
        <w:tab w:val="left" w:pos="1134"/>
        <w:tab w:val="left" w:pos="1871"/>
        <w:tab w:val="left" w:pos="2268"/>
      </w:tabs>
      <w:spacing w:before="240"/>
    </w:pPr>
    <w:rPr>
      <w:rFonts w:hAnsi="Times New Roman Bold"/>
    </w:rPr>
  </w:style>
  <w:style w:type="paragraph" w:customStyle="1" w:styleId="Reasons">
    <w:name w:val="Reasons"/>
    <w:basedOn w:val="Normal"/>
    <w:rsid w:val="005D2C3A"/>
    <w:pPr>
      <w:tabs>
        <w:tab w:val="clear" w:pos="794"/>
        <w:tab w:val="clear" w:pos="1191"/>
        <w:tab w:val="left" w:pos="1134"/>
        <w:tab w:val="left" w:pos="1871"/>
      </w:tabs>
    </w:pPr>
  </w:style>
  <w:style w:type="character" w:styleId="FollowedHyperlink">
    <w:name w:val="FollowedHyperlink"/>
    <w:basedOn w:val="DefaultParagraphFont"/>
    <w:semiHidden/>
    <w:unhideWhenUsed/>
    <w:rsid w:val="00AD4677"/>
    <w:rPr>
      <w:color w:val="800080" w:themeColor="followedHyperlink"/>
      <w:u w:val="single"/>
    </w:rPr>
  </w:style>
  <w:style w:type="character" w:styleId="UnresolvedMention">
    <w:name w:val="Unresolved Mention"/>
    <w:basedOn w:val="DefaultParagraphFont"/>
    <w:uiPriority w:val="99"/>
    <w:semiHidden/>
    <w:unhideWhenUsed/>
    <w:rsid w:val="00D61A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itu.int/itu-d/sites/digital-impact-unlocked/all-stories/list/" TargetMode="External"/><Relationship Id="rId2" Type="http://schemas.openxmlformats.org/officeDocument/2006/relationships/customXml" Target="../customXml/item2.xml"/><Relationship Id="rId16" Type="http://schemas.openxmlformats.org/officeDocument/2006/relationships/hyperlink" Target="https://www.itu.int/md/D26-TDAG33-INF-0001/"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_rels/footer1.xml.rels><?xml version="1.0" encoding="UTF-8" standalone="yes"?>
<Relationships xmlns="http://schemas.openxmlformats.org/package/2006/relationships"><Relationship Id="rId1" Type="http://schemas.openxmlformats.org/officeDocument/2006/relationships/hyperlink" Target="mailto:marco.obiso@itu.int"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itu.int/md/D26-TDAG33-INF-00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4ea696a-cca3-460b-a983-57ac2621983a">
      <Terms xmlns="http://schemas.microsoft.com/office/infopath/2007/PartnerControls"/>
    </lcf76f155ced4ddcb4097134ff3c332f>
    <TaxCatchAll xmlns="29399490-13b9-4c73-b71e-403b715b75a7"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0421F7F6C5263B4B928A068E40912AB8" ma:contentTypeVersion="17" ma:contentTypeDescription="Create a new document." ma:contentTypeScope="" ma:versionID="08de21dd3d53535c2968f418991843b1">
  <xsd:schema xmlns:xsd="http://www.w3.org/2001/XMLSchema" xmlns:xs="http://www.w3.org/2001/XMLSchema" xmlns:p="http://schemas.microsoft.com/office/2006/metadata/properties" xmlns:ns2="d4ea696a-cca3-460b-a983-57ac2621983a" xmlns:ns3="29399490-13b9-4c73-b71e-403b715b75a7" targetNamespace="http://schemas.microsoft.com/office/2006/metadata/properties" ma:root="true" ma:fieldsID="61722b74c011d0d4baa2c88cba3894f1" ns2:_="" ns3:_="">
    <xsd:import namespace="d4ea696a-cca3-460b-a983-57ac2621983a"/>
    <xsd:import namespace="29399490-13b9-4c73-b71e-403b715b75a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ea696a-cca3-460b-a983-57ac262198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e895586-ec57-4162-862b-45953123501e"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9399490-13b9-4c73-b71e-403b715b75a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d36094f-0688-4081-a569-0c74b76e7ddf}" ma:internalName="TaxCatchAll" ma:showField="CatchAllData" ma:web="29399490-13b9-4c73-b71e-403b715b75a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4AFF22B-E34E-4D13-BF0E-743F259223BD}">
  <ds:schemaRefs>
    <ds:schemaRef ds:uri="http://schemas.microsoft.com/office/2006/metadata/properties"/>
    <ds:schemaRef ds:uri="http://schemas.microsoft.com/office/infopath/2007/PartnerControls"/>
    <ds:schemaRef ds:uri="d4ea696a-cca3-460b-a983-57ac2621983a"/>
    <ds:schemaRef ds:uri="29399490-13b9-4c73-b71e-403b715b75a7"/>
  </ds:schemaRefs>
</ds:datastoreItem>
</file>

<file path=customXml/itemProps2.xml><?xml version="1.0" encoding="utf-8"?>
<ds:datastoreItem xmlns:ds="http://schemas.openxmlformats.org/officeDocument/2006/customXml" ds:itemID="{6F2BB1AA-1BE5-470E-9C9E-C1004C2937AF}">
  <ds:schemaRefs>
    <ds:schemaRef ds:uri="http://schemas.openxmlformats.org/officeDocument/2006/bibliography"/>
  </ds:schemaRefs>
</ds:datastoreItem>
</file>

<file path=customXml/itemProps3.xml><?xml version="1.0" encoding="utf-8"?>
<ds:datastoreItem xmlns:ds="http://schemas.openxmlformats.org/officeDocument/2006/customXml" ds:itemID="{4B1C224A-AFEA-47AE-B11B-7AC68BF8C1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ea696a-cca3-460b-a983-57ac2621983a"/>
    <ds:schemaRef ds:uri="29399490-13b9-4c73-b71e-403b715b75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2000670-633D-4F9E-9C1D-E70D7D1C056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1564</Words>
  <Characters>8919</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TDAG19</vt:lpstr>
    </vt:vector>
  </TitlesOfParts>
  <Manager>General Secretariat - Pool</Manager>
  <Company>International Telecommunication Union (ITU)</Company>
  <LinksUpToDate>false</LinksUpToDate>
  <CharactersWithSpaces>10463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TDAG19</dc:title>
  <dc:creator>BDT-nd</dc:creator>
  <cp:lastModifiedBy>BDT-ND</cp:lastModifiedBy>
  <cp:revision>2</cp:revision>
  <cp:lastPrinted>2014-11-04T09:22:00Z</cp:lastPrinted>
  <dcterms:created xsi:type="dcterms:W3CDTF">2026-03-30T12:39:00Z</dcterms:created>
  <dcterms:modified xsi:type="dcterms:W3CDTF">2026-03-30T12:39:00Z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Document 1/001-E</vt:lpwstr>
  </property>
  <property fmtid="{D5CDD505-2E9C-101B-9397-08002B2CF9AE}" pid="3" name="Docdate">
    <vt:lpwstr>[Date]</vt:lpwstr>
  </property>
  <property fmtid="{D5CDD505-2E9C-101B-9397-08002B2CF9AE}" pid="4" name="Docorlang">
    <vt:lpwstr>For action</vt:lpwstr>
  </property>
  <property fmtid="{D5CDD505-2E9C-101B-9397-08002B2CF9AE}" pid="5" name="Docdest">
    <vt:lpwstr/>
  </property>
  <property fmtid="{D5CDD505-2E9C-101B-9397-08002B2CF9AE}" pid="6" name="Docauthor">
    <vt:lpwstr>[Insert here]</vt:lpwstr>
  </property>
  <property fmtid="{D5CDD505-2E9C-101B-9397-08002B2CF9AE}" pid="7" name="Docbluepink">
    <vt:lpwstr/>
  </property>
  <property fmtid="{D5CDD505-2E9C-101B-9397-08002B2CF9AE}" pid="8" name="ContentTypeId">
    <vt:lpwstr>0x0101000421F7F6C5263B4B928A068E40912AB8</vt:lpwstr>
  </property>
</Properties>
</file>