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2B13F319">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2B13F319">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2B13F319">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1E53338D" w:rsidR="00D87035" w:rsidRPr="00403C69" w:rsidRDefault="00D87035" w:rsidP="00403C69">
            <w:pPr>
              <w:tabs>
                <w:tab w:val="left" w:pos="851"/>
              </w:tabs>
              <w:spacing w:before="0" w:line="240" w:lineRule="atLeast"/>
              <w:rPr>
                <w:rFonts w:cstheme="minorHAnsi"/>
                <w:szCs w:val="24"/>
              </w:rPr>
            </w:pPr>
            <w:r w:rsidRPr="00403C69">
              <w:rPr>
                <w:b/>
                <w:bCs/>
                <w:lang w:val="en-US"/>
              </w:rPr>
              <w:t xml:space="preserve">Document </w:t>
            </w:r>
            <w:bookmarkStart w:id="4" w:name="DocRef1"/>
            <w:bookmarkEnd w:id="4"/>
            <w:r w:rsidRPr="00403C69">
              <w:rPr>
                <w:b/>
                <w:bCs/>
                <w:lang w:val="en-US"/>
              </w:rPr>
              <w:t>TDAG-</w:t>
            </w:r>
            <w:r w:rsidR="00523934" w:rsidRPr="00403C69">
              <w:rPr>
                <w:b/>
                <w:bCs/>
                <w:lang w:val="en-US"/>
              </w:rPr>
              <w:t>2</w:t>
            </w:r>
            <w:r w:rsidR="00EF4D25">
              <w:rPr>
                <w:b/>
                <w:bCs/>
                <w:lang w:val="en-US"/>
              </w:rPr>
              <w:t>6</w:t>
            </w:r>
            <w:r w:rsidRPr="00403C69">
              <w:rPr>
                <w:b/>
                <w:bCs/>
                <w:lang w:val="en-US"/>
              </w:rPr>
              <w:t>/</w:t>
            </w:r>
            <w:bookmarkStart w:id="5" w:name="DocNo1"/>
            <w:bookmarkEnd w:id="5"/>
            <w:r w:rsidR="0015319E">
              <w:rPr>
                <w:b/>
                <w:bCs/>
                <w:lang w:val="en-US"/>
              </w:rPr>
              <w:t>8</w:t>
            </w:r>
            <w:r w:rsidRPr="00403C69">
              <w:rPr>
                <w:b/>
                <w:bCs/>
                <w:lang w:val="en-US"/>
              </w:rPr>
              <w:t>-E</w:t>
            </w:r>
          </w:p>
        </w:tc>
      </w:tr>
      <w:tr w:rsidR="00D87035" w:rsidRPr="00403C69" w14:paraId="55AD5FBA" w14:textId="77777777" w:rsidTr="2B13F319">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3FEF6661" w:rsidR="00D87035" w:rsidRPr="00403C69" w:rsidRDefault="00264DB4" w:rsidP="00403C69">
            <w:pPr>
              <w:spacing w:before="0" w:line="240" w:lineRule="atLeast"/>
              <w:rPr>
                <w:rFonts w:cstheme="minorHAnsi"/>
                <w:szCs w:val="24"/>
              </w:rPr>
            </w:pPr>
            <w:r>
              <w:rPr>
                <w:b/>
                <w:bCs/>
                <w:szCs w:val="28"/>
              </w:rPr>
              <w:t>3 March 2026</w:t>
            </w:r>
          </w:p>
        </w:tc>
      </w:tr>
      <w:bookmarkEnd w:id="6"/>
      <w:bookmarkEnd w:id="7"/>
      <w:tr w:rsidR="00D87035" w:rsidRPr="00403C69" w14:paraId="07260C0B" w14:textId="77777777" w:rsidTr="2B13F319">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60A573B4" w:rsidR="00D87035" w:rsidRPr="00403C69" w:rsidRDefault="00D87035" w:rsidP="00403C69">
            <w:pPr>
              <w:tabs>
                <w:tab w:val="left" w:pos="993"/>
              </w:tabs>
              <w:spacing w:before="0"/>
              <w:rPr>
                <w:rFonts w:cstheme="minorHAnsi"/>
                <w:b/>
                <w:szCs w:val="24"/>
              </w:rPr>
            </w:pPr>
            <w:r w:rsidRPr="00403C69">
              <w:rPr>
                <w:b/>
                <w:bCs/>
                <w:szCs w:val="24"/>
              </w:rPr>
              <w:t>Original: English</w:t>
            </w:r>
          </w:p>
        </w:tc>
      </w:tr>
      <w:tr w:rsidR="00D83BF5" w:rsidRPr="00403C69" w14:paraId="35F96F24" w14:textId="77777777" w:rsidTr="2B13F319">
        <w:trPr>
          <w:cantSplit/>
          <w:trHeight w:val="23"/>
        </w:trPr>
        <w:tc>
          <w:tcPr>
            <w:tcW w:w="10031" w:type="dxa"/>
            <w:gridSpan w:val="2"/>
          </w:tcPr>
          <w:p w14:paraId="59A8A61C" w14:textId="2A26E8C9" w:rsidR="00D83BF5" w:rsidRPr="00403C69" w:rsidRDefault="00AD21DF" w:rsidP="00403C69">
            <w:pPr>
              <w:pStyle w:val="Source"/>
              <w:spacing w:before="240" w:after="240"/>
            </w:pPr>
            <w:bookmarkStart w:id="8" w:name="dbluepink" w:colFirst="0" w:colLast="0"/>
            <w:bookmarkStart w:id="9" w:name="dorlang" w:colFirst="1" w:colLast="1"/>
            <w:r w:rsidRPr="00AD21DF">
              <w:t>Director, Telecommunication Development Bureau</w:t>
            </w:r>
          </w:p>
        </w:tc>
      </w:tr>
      <w:tr w:rsidR="00D83BF5" w:rsidRPr="00403C69" w14:paraId="7EDE1565" w14:textId="77777777" w:rsidTr="2B13F319">
        <w:trPr>
          <w:cantSplit/>
          <w:trHeight w:val="23"/>
        </w:trPr>
        <w:tc>
          <w:tcPr>
            <w:tcW w:w="10031" w:type="dxa"/>
            <w:gridSpan w:val="2"/>
            <w:vAlign w:val="center"/>
          </w:tcPr>
          <w:p w14:paraId="3D29924B" w14:textId="465B97EA" w:rsidR="00D83BF5" w:rsidRPr="00403C69" w:rsidRDefault="00373EF5" w:rsidP="00403C69">
            <w:pPr>
              <w:pStyle w:val="Title1"/>
              <w:spacing w:before="120" w:after="120"/>
              <w:rPr>
                <w:caps w:val="0"/>
              </w:rPr>
            </w:pPr>
            <w:r w:rsidRPr="00373EF5">
              <w:rPr>
                <w:caps w:val="0"/>
                <w:szCs w:val="28"/>
                <w:lang w:val="en-US"/>
              </w:rPr>
              <w:t>ITU-D Projects</w:t>
            </w:r>
          </w:p>
        </w:tc>
      </w:tr>
      <w:tr w:rsidR="00D83BF5" w:rsidRPr="00403C69" w14:paraId="5B2B3E5A" w14:textId="77777777" w:rsidTr="2B13F319">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650836" w:rsidRPr="00403C69" w14:paraId="6C9BA039" w14:textId="77777777" w:rsidTr="2B13F319">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68757C22" w14:textId="77777777" w:rsidR="00650836" w:rsidRPr="00821C34" w:rsidRDefault="00650836" w:rsidP="00650836">
            <w:pPr>
              <w:spacing w:after="120"/>
              <w:rPr>
                <w:rFonts w:cstheme="minorHAnsi"/>
                <w:b/>
                <w:bCs/>
                <w:szCs w:val="24"/>
              </w:rPr>
            </w:pPr>
            <w:r w:rsidRPr="00821C34">
              <w:rPr>
                <w:rFonts w:cstheme="minorHAnsi"/>
                <w:b/>
                <w:bCs/>
                <w:szCs w:val="24"/>
              </w:rPr>
              <w:t>Summary:</w:t>
            </w:r>
          </w:p>
          <w:p w14:paraId="7E281AF6" w14:textId="77777777" w:rsidR="00650836" w:rsidRPr="00821C34" w:rsidRDefault="1953E607" w:rsidP="2B13F319">
            <w:pPr>
              <w:spacing w:after="120"/>
              <w:rPr>
                <w:rFonts w:cstheme="minorHAnsi"/>
                <w:lang w:eastAsia="zh-CN"/>
              </w:rPr>
            </w:pPr>
            <w:r w:rsidRPr="00821C34">
              <w:rPr>
                <w:rFonts w:cstheme="minorHAnsi"/>
                <w:lang w:eastAsia="zh-CN"/>
              </w:rPr>
              <w:t xml:space="preserve">The International Telecommunication Union </w:t>
            </w:r>
            <w:r>
              <w:rPr>
                <w:rFonts w:cstheme="minorHAnsi"/>
                <w:lang w:eastAsia="zh-CN"/>
              </w:rPr>
              <w:t xml:space="preserve">(ITU) </w:t>
            </w:r>
            <w:r w:rsidRPr="00821C34">
              <w:rPr>
                <w:rFonts w:cstheme="minorHAnsi"/>
                <w:lang w:eastAsia="zh-CN"/>
              </w:rPr>
              <w:t xml:space="preserve">has a dual responsibility as a United Nations specialized agency and as an executing agency. The Telecommunication Development Sector (ITU-D) in fulfilling the Union's dual responsibility, has the key function of implementing projects under the United Nations development system or other funding arrangements </w:t>
            </w:r>
            <w:proofErr w:type="gramStart"/>
            <w:r w:rsidRPr="00821C34">
              <w:rPr>
                <w:rFonts w:cstheme="minorHAnsi"/>
                <w:lang w:eastAsia="zh-CN"/>
              </w:rPr>
              <w:t>so as to</w:t>
            </w:r>
            <w:proofErr w:type="gramEnd"/>
            <w:r w:rsidRPr="00821C34">
              <w:rPr>
                <w:rFonts w:cstheme="minorHAnsi"/>
                <w:lang w:eastAsia="zh-CN"/>
              </w:rPr>
              <w:t xml:space="preserve"> facilitate and enhance telecommunication development by offering, organizing, and coordinating technical cooperation and assistance activities.</w:t>
            </w:r>
          </w:p>
          <w:p w14:paraId="639F3DCF" w14:textId="548A6EF0" w:rsidR="00650836" w:rsidRPr="00821C34" w:rsidRDefault="1953E607" w:rsidP="2B13F319">
            <w:pPr>
              <w:spacing w:after="120"/>
              <w:rPr>
                <w:rFonts w:cstheme="minorBidi"/>
                <w:lang w:eastAsia="zh-CN"/>
              </w:rPr>
            </w:pPr>
            <w:r w:rsidRPr="2B13F319">
              <w:rPr>
                <w:rFonts w:cstheme="minorBidi"/>
                <w:lang w:eastAsia="zh-CN"/>
              </w:rPr>
              <w:t>This document presents an overview of the work undertaken by the Telecommunication Development Bureau (BDT) in project design, development, and assessment in the six ITU-D regions: Africa, Americas, Arab States, Asia and the Pacific, Commonwealth of Independent States (CIS), and Europe, as well as multi-regions</w:t>
            </w:r>
            <w:r w:rsidR="1AA04773" w:rsidRPr="2B13F319">
              <w:rPr>
                <w:rFonts w:cstheme="minorBidi"/>
                <w:lang w:eastAsia="zh-CN"/>
              </w:rPr>
              <w:t xml:space="preserve"> in 20</w:t>
            </w:r>
            <w:r w:rsidR="2BC9F1F8" w:rsidRPr="2B13F319">
              <w:rPr>
                <w:rFonts w:cstheme="minorBidi"/>
                <w:lang w:eastAsia="zh-CN"/>
              </w:rPr>
              <w:t>2</w:t>
            </w:r>
            <w:r w:rsidR="1AA04773" w:rsidRPr="2B13F319">
              <w:rPr>
                <w:rFonts w:cstheme="minorBidi"/>
                <w:lang w:eastAsia="zh-CN"/>
              </w:rPr>
              <w:t>5</w:t>
            </w:r>
            <w:r w:rsidR="587AF944" w:rsidRPr="2B13F319">
              <w:rPr>
                <w:rFonts w:cstheme="minorBidi"/>
                <w:lang w:eastAsia="zh-CN"/>
              </w:rPr>
              <w:t>.</w:t>
            </w:r>
          </w:p>
          <w:p w14:paraId="6F132482" w14:textId="77777777" w:rsidR="00650836" w:rsidRPr="00821C34" w:rsidRDefault="1953E607" w:rsidP="2B13F319">
            <w:pPr>
              <w:spacing w:after="120"/>
              <w:rPr>
                <w:rFonts w:cstheme="minorHAnsi"/>
                <w:b/>
                <w:bCs/>
                <w:szCs w:val="24"/>
              </w:rPr>
            </w:pPr>
            <w:r w:rsidRPr="00821C34">
              <w:rPr>
                <w:rFonts w:cstheme="minorHAnsi"/>
                <w:b/>
                <w:bCs/>
              </w:rPr>
              <w:t>Action required:</w:t>
            </w:r>
          </w:p>
          <w:p w14:paraId="4C6C8829" w14:textId="77777777" w:rsidR="00650836" w:rsidRPr="00821C34" w:rsidRDefault="1953E607" w:rsidP="2B13F319">
            <w:pPr>
              <w:spacing w:after="120"/>
              <w:rPr>
                <w:rFonts w:cstheme="minorHAnsi"/>
                <w:b/>
                <w:bCs/>
                <w:lang w:eastAsia="zh-CN"/>
              </w:rPr>
            </w:pPr>
            <w:r w:rsidRPr="00821C34">
              <w:rPr>
                <w:rFonts w:cstheme="minorHAnsi"/>
                <w:lang w:eastAsia="zh-CN"/>
              </w:rPr>
              <w:t>TDAG is invited to note this document and provide guidance as deemed appropriate.</w:t>
            </w:r>
          </w:p>
          <w:p w14:paraId="7AB06D53" w14:textId="77777777" w:rsidR="00650836" w:rsidRPr="00370476" w:rsidRDefault="00650836" w:rsidP="00650836">
            <w:pPr>
              <w:spacing w:after="120"/>
              <w:rPr>
                <w:rFonts w:cstheme="minorHAnsi"/>
                <w:b/>
                <w:bCs/>
                <w:szCs w:val="24"/>
              </w:rPr>
            </w:pPr>
            <w:r w:rsidRPr="00370476">
              <w:rPr>
                <w:rFonts w:cstheme="minorHAnsi"/>
                <w:b/>
                <w:bCs/>
                <w:szCs w:val="24"/>
              </w:rPr>
              <w:t>References:</w:t>
            </w:r>
          </w:p>
          <w:p w14:paraId="6EF29DC6" w14:textId="57FAF422" w:rsidR="00650836" w:rsidRPr="00403C69" w:rsidRDefault="00650836" w:rsidP="00650836">
            <w:pPr>
              <w:spacing w:after="120"/>
            </w:pPr>
            <w:r w:rsidRPr="484E7D77">
              <w:rPr>
                <w:rFonts w:cstheme="minorBidi"/>
                <w:lang w:eastAsia="zh-CN"/>
              </w:rPr>
              <w:t xml:space="preserve">Resolutions 17 (Rev. </w:t>
            </w:r>
            <w:r w:rsidR="00FC7A0D" w:rsidRPr="484E7D77">
              <w:rPr>
                <w:rFonts w:cstheme="minorBidi"/>
                <w:lang w:eastAsia="zh-CN"/>
              </w:rPr>
              <w:t>Baku</w:t>
            </w:r>
            <w:r w:rsidRPr="484E7D77">
              <w:rPr>
                <w:rFonts w:cstheme="minorBidi"/>
                <w:lang w:eastAsia="zh-CN"/>
              </w:rPr>
              <w:t>, 202</w:t>
            </w:r>
            <w:r w:rsidR="00576F87" w:rsidRPr="484E7D77">
              <w:rPr>
                <w:rFonts w:cstheme="minorBidi"/>
                <w:lang w:eastAsia="zh-CN"/>
              </w:rPr>
              <w:t>5</w:t>
            </w:r>
            <w:r w:rsidRPr="484E7D77">
              <w:rPr>
                <w:rFonts w:cstheme="minorBidi"/>
                <w:lang w:eastAsia="zh-CN"/>
              </w:rPr>
              <w:t>) and 52 (Rev. Dubai, 2014) of the World Telecommunication Development Conference (WTDC) and Resolution 157 (Rev. Bucharest, 2022) of the Plenipotentiary Conference (PP-22).</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p w14:paraId="5F6D88E4" w14:textId="77777777" w:rsidR="000E3B24" w:rsidRPr="00EE2DDE" w:rsidRDefault="000E3B24" w:rsidP="000E3B24">
      <w:pPr>
        <w:pStyle w:val="Heading1"/>
        <w:numPr>
          <w:ilvl w:val="0"/>
          <w:numId w:val="45"/>
        </w:numPr>
        <w:spacing w:before="120" w:after="120"/>
        <w:ind w:left="283" w:hanging="283"/>
        <w:textAlignment w:val="auto"/>
        <w:rPr>
          <w:rFonts w:cstheme="minorHAnsi"/>
          <w:sz w:val="24"/>
          <w:szCs w:val="24"/>
        </w:rPr>
      </w:pPr>
      <w:r w:rsidRPr="00821C34">
        <w:rPr>
          <w:rFonts w:cstheme="minorHAnsi"/>
          <w:sz w:val="24"/>
          <w:szCs w:val="24"/>
        </w:rPr>
        <w:lastRenderedPageBreak/>
        <w:t>In</w:t>
      </w:r>
      <w:r w:rsidRPr="00EE2DDE">
        <w:rPr>
          <w:rFonts w:cstheme="minorHAnsi"/>
          <w:sz w:val="24"/>
          <w:szCs w:val="24"/>
        </w:rPr>
        <w:t>troduction</w:t>
      </w:r>
    </w:p>
    <w:p w14:paraId="36540332" w14:textId="4CE3BA4A" w:rsidR="00645100" w:rsidRDefault="000E3B24" w:rsidP="1189C88F">
      <w:pPr>
        <w:pStyle w:val="ListParagraph"/>
        <w:spacing w:after="120"/>
        <w:ind w:left="0"/>
        <w:contextualSpacing w:val="0"/>
        <w:rPr>
          <w:rFonts w:cstheme="minorBidi"/>
        </w:rPr>
      </w:pPr>
      <w:r w:rsidRPr="1189C88F">
        <w:rPr>
          <w:rFonts w:cstheme="minorBidi"/>
        </w:rPr>
        <w:t xml:space="preserve">In accordance with </w:t>
      </w:r>
      <w:r w:rsidRPr="1189C88F">
        <w:rPr>
          <w:rFonts w:cstheme="minorBidi"/>
          <w:lang w:eastAsia="zh-CN"/>
        </w:rPr>
        <w:t>Resolutions 17 (</w:t>
      </w:r>
      <w:r w:rsidR="00576F87" w:rsidRPr="1189C88F">
        <w:rPr>
          <w:rFonts w:cstheme="minorBidi"/>
          <w:lang w:eastAsia="zh-CN"/>
        </w:rPr>
        <w:t>Rev. Baku, 2025</w:t>
      </w:r>
      <w:r w:rsidRPr="1189C88F">
        <w:rPr>
          <w:rFonts w:cstheme="minorBidi"/>
          <w:lang w:eastAsia="zh-CN"/>
        </w:rPr>
        <w:t>) and 52 (Rev. Dubai, 2014) of the World Telecommunication Development Conference and Resolution 157 (Rev. Bucharest, PP-22) of the Plenipotentiary Conference</w:t>
      </w:r>
      <w:r w:rsidRPr="1189C88F">
        <w:rPr>
          <w:rFonts w:cstheme="minorBidi"/>
        </w:rPr>
        <w:t xml:space="preserve">, the ITU Telecommunication Development Bureau (BDT) holds the responsibility of fulfilling ITU´s mandate of implementing projects under the United Nations development system or other funding arrangements so as to facilitate and enhance telecommunication/information and communication technology (ICT) development by offering, organizing and coordinating technical cooperation and assistance activities. </w:t>
      </w:r>
    </w:p>
    <w:p w14:paraId="51835958" w14:textId="11D78FAF" w:rsidR="004C4766" w:rsidRPr="00EE2DDE" w:rsidRDefault="000E3B24" w:rsidP="00A11186">
      <w:pPr>
        <w:pStyle w:val="ListParagraph"/>
        <w:spacing w:after="120"/>
        <w:ind w:left="0"/>
        <w:contextualSpacing w:val="0"/>
        <w:rPr>
          <w:rFonts w:cstheme="minorHAnsi"/>
          <w:szCs w:val="24"/>
        </w:rPr>
      </w:pPr>
      <w:r w:rsidRPr="1189C88F">
        <w:rPr>
          <w:rFonts w:cstheme="minorBidi"/>
        </w:rPr>
        <w:t>This report presents an overview of the status of the portfolio of on-going ITU</w:t>
      </w:r>
      <w:r w:rsidR="004C4766" w:rsidRPr="1189C88F">
        <w:rPr>
          <w:rFonts w:cstheme="minorBidi"/>
        </w:rPr>
        <w:t>-D</w:t>
      </w:r>
      <w:r w:rsidRPr="1189C88F">
        <w:rPr>
          <w:rFonts w:cstheme="minorBidi"/>
        </w:rPr>
        <w:t xml:space="preserve"> projects during 202</w:t>
      </w:r>
      <w:r w:rsidR="004F6D8C" w:rsidRPr="1189C88F">
        <w:rPr>
          <w:rFonts w:cstheme="minorBidi"/>
        </w:rPr>
        <w:t>5</w:t>
      </w:r>
      <w:r w:rsidRPr="1189C88F">
        <w:rPr>
          <w:rFonts w:cstheme="minorBidi"/>
        </w:rPr>
        <w:t xml:space="preserve"> (implementation period from January to December 202</w:t>
      </w:r>
      <w:r w:rsidR="004F6D8C" w:rsidRPr="1189C88F">
        <w:rPr>
          <w:rFonts w:cstheme="minorBidi"/>
        </w:rPr>
        <w:t>5</w:t>
      </w:r>
      <w:r w:rsidRPr="1189C88F">
        <w:rPr>
          <w:rFonts w:cstheme="minorBidi"/>
        </w:rPr>
        <w:t>).</w:t>
      </w:r>
      <w:r w:rsidRPr="1189C88F">
        <w:rPr>
          <w:rStyle w:val="FootnoteReference"/>
          <w:rFonts w:cstheme="minorBidi"/>
        </w:rPr>
        <w:footnoteReference w:id="2"/>
      </w:r>
      <w:r w:rsidR="006475E3" w:rsidRPr="1189C88F">
        <w:rPr>
          <w:rFonts w:cstheme="minorBidi"/>
        </w:rPr>
        <w:t xml:space="preserve"> The report also provides an overview of the evolution of the portfolio during the WTDC-22 </w:t>
      </w:r>
      <w:r w:rsidR="004C4766" w:rsidRPr="1189C88F">
        <w:rPr>
          <w:rFonts w:cstheme="minorBidi"/>
        </w:rPr>
        <w:t xml:space="preserve">cycle </w:t>
      </w:r>
      <w:r w:rsidR="006475E3" w:rsidRPr="1189C88F">
        <w:rPr>
          <w:rFonts w:cstheme="minorBidi"/>
        </w:rPr>
        <w:t xml:space="preserve">(2023-2025), so as to allow TDAG member to provide advice on approaches to follow to reinforce the project function during the WTDC-25 </w:t>
      </w:r>
      <w:r w:rsidR="004C4766" w:rsidRPr="1189C88F">
        <w:rPr>
          <w:rFonts w:cstheme="minorBidi"/>
        </w:rPr>
        <w:t xml:space="preserve">cycle </w:t>
      </w:r>
      <w:r w:rsidR="006475E3" w:rsidRPr="1189C88F">
        <w:rPr>
          <w:rFonts w:cstheme="minorBidi"/>
        </w:rPr>
        <w:t>(2026-20</w:t>
      </w:r>
      <w:r w:rsidR="6A566852" w:rsidRPr="1189C88F">
        <w:rPr>
          <w:rFonts w:cstheme="minorBidi"/>
        </w:rPr>
        <w:t>29</w:t>
      </w:r>
      <w:r w:rsidR="006475E3" w:rsidRPr="1189C88F">
        <w:rPr>
          <w:rFonts w:cstheme="minorBidi"/>
        </w:rPr>
        <w:t>).</w:t>
      </w:r>
    </w:p>
    <w:p w14:paraId="3A9C1260" w14:textId="745D5637" w:rsidR="000E3B24" w:rsidRPr="00EE2DDE" w:rsidRDefault="000E3B24" w:rsidP="000E3B24">
      <w:pPr>
        <w:pStyle w:val="Heading1"/>
        <w:numPr>
          <w:ilvl w:val="0"/>
          <w:numId w:val="45"/>
        </w:numPr>
        <w:spacing w:before="120" w:after="120"/>
        <w:ind w:left="357" w:hanging="357"/>
        <w:textAlignment w:val="auto"/>
        <w:rPr>
          <w:rFonts w:cstheme="minorHAnsi"/>
          <w:sz w:val="24"/>
          <w:szCs w:val="24"/>
        </w:rPr>
      </w:pPr>
      <w:r w:rsidRPr="00EE2DDE">
        <w:rPr>
          <w:rFonts w:cstheme="minorHAnsi"/>
          <w:sz w:val="24"/>
          <w:szCs w:val="24"/>
        </w:rPr>
        <w:t>ITU project portfolio: Projects with activities in 202</w:t>
      </w:r>
      <w:r w:rsidR="00476357" w:rsidRPr="00EE2DDE">
        <w:rPr>
          <w:rFonts w:cstheme="minorHAnsi"/>
          <w:sz w:val="24"/>
          <w:szCs w:val="24"/>
        </w:rPr>
        <w:t>5</w:t>
      </w:r>
    </w:p>
    <w:p w14:paraId="1079CEF6" w14:textId="77777777" w:rsidR="000E3B24" w:rsidRPr="00EE2DDE" w:rsidRDefault="000E3B24" w:rsidP="000E3B24">
      <w:pPr>
        <w:pStyle w:val="Heading1"/>
        <w:numPr>
          <w:ilvl w:val="1"/>
          <w:numId w:val="45"/>
        </w:numPr>
        <w:spacing w:before="120" w:after="120"/>
        <w:ind w:left="431" w:hanging="431"/>
        <w:textAlignment w:val="auto"/>
        <w:rPr>
          <w:rFonts w:cstheme="minorHAnsi"/>
          <w:sz w:val="24"/>
          <w:szCs w:val="24"/>
        </w:rPr>
      </w:pPr>
      <w:r w:rsidRPr="00EE2DDE">
        <w:rPr>
          <w:rFonts w:cstheme="minorHAnsi"/>
          <w:sz w:val="24"/>
          <w:szCs w:val="24"/>
        </w:rPr>
        <w:t>Overview and regional distribution</w:t>
      </w:r>
    </w:p>
    <w:p w14:paraId="2C055DEE" w14:textId="275BA436" w:rsidR="000E3B24" w:rsidRPr="00EE2DDE" w:rsidRDefault="7ABC827E" w:rsidP="1189C88F">
      <w:pPr>
        <w:spacing w:after="120"/>
        <w:rPr>
          <w:rFonts w:cstheme="minorBidi"/>
        </w:rPr>
      </w:pPr>
      <w:r w:rsidRPr="1189C88F">
        <w:rPr>
          <w:rFonts w:cstheme="minorBidi"/>
        </w:rPr>
        <w:t>During 202</w:t>
      </w:r>
      <w:r w:rsidR="0DD36009" w:rsidRPr="1189C88F">
        <w:rPr>
          <w:rFonts w:cstheme="minorBidi"/>
        </w:rPr>
        <w:t>5</w:t>
      </w:r>
      <w:r w:rsidRPr="1189C88F">
        <w:rPr>
          <w:rFonts w:cstheme="minorBidi"/>
        </w:rPr>
        <w:t xml:space="preserve">, BDT </w:t>
      </w:r>
      <w:r w:rsidR="788A7A05" w:rsidRPr="1189C88F">
        <w:rPr>
          <w:rFonts w:cstheme="minorBidi"/>
        </w:rPr>
        <w:t xml:space="preserve">was involved in the implementation of </w:t>
      </w:r>
      <w:r w:rsidRPr="1189C88F">
        <w:rPr>
          <w:rFonts w:cstheme="minorBidi"/>
        </w:rPr>
        <w:t xml:space="preserve">a total of </w:t>
      </w:r>
      <w:r w:rsidR="7A982AEA" w:rsidRPr="1189C88F">
        <w:rPr>
          <w:rFonts w:cstheme="minorBidi"/>
        </w:rPr>
        <w:t>10</w:t>
      </w:r>
      <w:r w:rsidR="00240964" w:rsidRPr="1189C88F">
        <w:rPr>
          <w:rFonts w:cstheme="minorBidi"/>
        </w:rPr>
        <w:t>6</w:t>
      </w:r>
      <w:r w:rsidRPr="1189C88F">
        <w:rPr>
          <w:rFonts w:cstheme="minorBidi"/>
        </w:rPr>
        <w:t xml:space="preserve"> projects, valued at </w:t>
      </w:r>
      <w:r w:rsidR="006251AB" w:rsidRPr="1189C88F">
        <w:rPr>
          <w:rFonts w:cstheme="minorBidi"/>
        </w:rPr>
        <w:t>USD</w:t>
      </w:r>
      <w:r w:rsidR="006D425C">
        <w:rPr>
          <w:rFonts w:cstheme="minorBidi"/>
        </w:rPr>
        <w:t> </w:t>
      </w:r>
      <w:r w:rsidR="006251AB" w:rsidRPr="1189C88F">
        <w:rPr>
          <w:rFonts w:cstheme="minorBidi"/>
        </w:rPr>
        <w:t>103</w:t>
      </w:r>
      <w:r w:rsidR="00240964" w:rsidRPr="1189C88F">
        <w:rPr>
          <w:rFonts w:cstheme="minorBidi"/>
        </w:rPr>
        <w:t>.7</w:t>
      </w:r>
      <w:r w:rsidRPr="1189C88F">
        <w:rPr>
          <w:rFonts w:cstheme="minorBidi"/>
        </w:rPr>
        <w:t xml:space="preserve"> million. </w:t>
      </w:r>
      <w:r w:rsidR="6C77C178" w:rsidRPr="1189C88F">
        <w:rPr>
          <w:rFonts w:cstheme="minorBidi"/>
        </w:rPr>
        <w:t>3</w:t>
      </w:r>
      <w:r w:rsidR="00A536E2" w:rsidRPr="1189C88F">
        <w:rPr>
          <w:rFonts w:cstheme="minorBidi"/>
        </w:rPr>
        <w:t>2</w:t>
      </w:r>
      <w:r w:rsidR="5BB24E5B" w:rsidRPr="1189C88F">
        <w:rPr>
          <w:rFonts w:cstheme="minorBidi"/>
        </w:rPr>
        <w:t xml:space="preserve"> of these projects completed their activities </w:t>
      </w:r>
      <w:r w:rsidR="00600100" w:rsidRPr="1189C88F">
        <w:rPr>
          <w:rFonts w:cstheme="minorBidi"/>
        </w:rPr>
        <w:t>in 2025</w:t>
      </w:r>
      <w:r w:rsidR="5BB24E5B" w:rsidRPr="1189C88F">
        <w:rPr>
          <w:rFonts w:cstheme="minorBidi"/>
        </w:rPr>
        <w:t xml:space="preserve">, while </w:t>
      </w:r>
      <w:r w:rsidR="5938720D" w:rsidRPr="1189C88F">
        <w:rPr>
          <w:rFonts w:cstheme="minorBidi"/>
        </w:rPr>
        <w:t xml:space="preserve">the remaining </w:t>
      </w:r>
      <w:r w:rsidR="00950529" w:rsidRPr="1189C88F">
        <w:rPr>
          <w:rFonts w:cstheme="minorBidi"/>
        </w:rPr>
        <w:t>7</w:t>
      </w:r>
      <w:r w:rsidR="00A536E2" w:rsidRPr="1189C88F">
        <w:rPr>
          <w:rFonts w:cstheme="minorBidi"/>
        </w:rPr>
        <w:t>4</w:t>
      </w:r>
      <w:r w:rsidR="006D425C">
        <w:rPr>
          <w:rFonts w:cstheme="minorBidi"/>
        </w:rPr>
        <w:t> </w:t>
      </w:r>
      <w:r w:rsidR="5938720D" w:rsidRPr="1189C88F">
        <w:rPr>
          <w:rFonts w:cstheme="minorBidi"/>
        </w:rPr>
        <w:t>projects</w:t>
      </w:r>
      <w:r w:rsidR="5BB24E5B" w:rsidRPr="1189C88F">
        <w:rPr>
          <w:rFonts w:cstheme="minorBidi"/>
        </w:rPr>
        <w:t xml:space="preserve"> will continue </w:t>
      </w:r>
      <w:r w:rsidR="5938720D" w:rsidRPr="1189C88F">
        <w:rPr>
          <w:rFonts w:cstheme="minorBidi"/>
        </w:rPr>
        <w:t xml:space="preserve">their </w:t>
      </w:r>
      <w:r w:rsidR="5BB24E5B" w:rsidRPr="1189C88F">
        <w:rPr>
          <w:rFonts w:cstheme="minorBidi"/>
        </w:rPr>
        <w:t xml:space="preserve">implementation </w:t>
      </w:r>
      <w:r w:rsidR="5938720D" w:rsidRPr="1189C88F">
        <w:rPr>
          <w:rFonts w:cstheme="minorBidi"/>
        </w:rPr>
        <w:t>as per the respective project documents</w:t>
      </w:r>
      <w:r w:rsidR="69CEA856" w:rsidRPr="1189C88F">
        <w:rPr>
          <w:rFonts w:cstheme="minorBidi"/>
        </w:rPr>
        <w:t xml:space="preserve">. </w:t>
      </w:r>
      <w:r w:rsidRPr="1189C88F">
        <w:rPr>
          <w:rFonts w:cstheme="minorBidi"/>
        </w:rPr>
        <w:t>Figure 1 presents the overall distribution of this portfolio by region and the overview of (1) the funds mobilized to support the implementation of these projects, (2) the seed funding allocated by ITU from the ICT Development Fund (ICT-DF)</w:t>
      </w:r>
      <w:r w:rsidR="004D741C" w:rsidRPr="1189C88F">
        <w:rPr>
          <w:rFonts w:cstheme="minorBidi"/>
        </w:rPr>
        <w:t>, as well as from previous funds allocated by ITU Council for the implementation of WTDC Regional Initiatives</w:t>
      </w:r>
      <w:r w:rsidRPr="1189C88F">
        <w:rPr>
          <w:rFonts w:cstheme="minorBidi"/>
        </w:rPr>
        <w:t xml:space="preserve">. </w:t>
      </w:r>
    </w:p>
    <w:p w14:paraId="64F12D87" w14:textId="4D934C60" w:rsidR="000E3B24" w:rsidRPr="00A11186" w:rsidRDefault="000E3B24" w:rsidP="1189C88F">
      <w:pPr>
        <w:keepNext/>
        <w:spacing w:after="120"/>
        <w:jc w:val="center"/>
        <w:rPr>
          <w:rFonts w:cstheme="minorBidi"/>
          <w:b/>
          <w:bCs/>
        </w:rPr>
      </w:pPr>
      <w:r w:rsidRPr="1189C88F">
        <w:rPr>
          <w:rFonts w:cstheme="minorBidi"/>
          <w:b/>
          <w:bCs/>
        </w:rPr>
        <w:t>Figure 1 – Overview of ITU</w:t>
      </w:r>
      <w:r w:rsidR="00FC3F4F" w:rsidRPr="1189C88F">
        <w:rPr>
          <w:rFonts w:cstheme="minorBidi"/>
          <w:b/>
          <w:bCs/>
        </w:rPr>
        <w:t>-D</w:t>
      </w:r>
      <w:r w:rsidRPr="1189C88F">
        <w:rPr>
          <w:rFonts w:cstheme="minorBidi"/>
          <w:b/>
          <w:bCs/>
        </w:rPr>
        <w:t xml:space="preserve"> projects </w:t>
      </w:r>
      <w:r w:rsidR="00DA3692" w:rsidRPr="1189C88F">
        <w:rPr>
          <w:rFonts w:cstheme="minorBidi"/>
          <w:b/>
          <w:bCs/>
        </w:rPr>
        <w:t xml:space="preserve">with activities in 2025 </w:t>
      </w:r>
      <w:r w:rsidRPr="1189C88F">
        <w:rPr>
          <w:rFonts w:cstheme="minorBidi"/>
          <w:b/>
          <w:bCs/>
        </w:rPr>
        <w:t xml:space="preserve">by region (figures in k </w:t>
      </w:r>
      <w:r w:rsidR="00CE5D97" w:rsidRPr="1189C88F">
        <w:rPr>
          <w:rFonts w:cstheme="minorBidi"/>
          <w:b/>
          <w:bCs/>
        </w:rPr>
        <w:t>USD</w:t>
      </w:r>
      <w:r w:rsidRPr="1189C88F">
        <w:rPr>
          <w:rFonts w:cstheme="minorBidi"/>
          <w:b/>
          <w:bCs/>
        </w:rPr>
        <w:t>)</w:t>
      </w:r>
    </w:p>
    <w:tbl>
      <w:tblPr>
        <w:tblW w:w="61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85"/>
        <w:gridCol w:w="1170"/>
        <w:gridCol w:w="1449"/>
        <w:gridCol w:w="1169"/>
        <w:gridCol w:w="1343"/>
      </w:tblGrid>
      <w:tr w:rsidR="00EE2DDE" w:rsidRPr="00EE2DDE" w14:paraId="40D4E347" w14:textId="77777777">
        <w:trPr>
          <w:trHeight w:val="852"/>
          <w:jc w:val="center"/>
        </w:trPr>
        <w:tc>
          <w:tcPr>
            <w:tcW w:w="985" w:type="dxa"/>
            <w:shd w:val="clear" w:color="auto" w:fill="8DB3E2" w:themeFill="text2" w:themeFillTint="66"/>
            <w:noWrap/>
            <w:vAlign w:val="center"/>
            <w:hideMark/>
          </w:tcPr>
          <w:p w14:paraId="136C8B7B" w14:textId="77777777" w:rsidR="000E3B24" w:rsidRPr="00EE2DDE" w:rsidRDefault="000E3B24">
            <w:pPr>
              <w:keepNext/>
              <w:spacing w:before="60" w:after="60"/>
              <w:jc w:val="center"/>
              <w:rPr>
                <w:rFonts w:eastAsiaTheme="minorEastAsia" w:cstheme="minorHAnsi"/>
                <w:b/>
                <w:bCs/>
                <w:sz w:val="22"/>
                <w:szCs w:val="22"/>
                <w:lang w:eastAsia="zh-CN"/>
              </w:rPr>
            </w:pPr>
            <w:r w:rsidRPr="00EE2DDE">
              <w:rPr>
                <w:rFonts w:eastAsiaTheme="minorEastAsia" w:cstheme="minorHAnsi"/>
                <w:b/>
                <w:bCs/>
                <w:sz w:val="22"/>
                <w:szCs w:val="22"/>
                <w:lang w:eastAsia="zh-CN"/>
              </w:rPr>
              <w:t>Region</w:t>
            </w:r>
          </w:p>
        </w:tc>
        <w:tc>
          <w:tcPr>
            <w:tcW w:w="1170" w:type="dxa"/>
            <w:shd w:val="clear" w:color="auto" w:fill="8DB3E2" w:themeFill="text2" w:themeFillTint="66"/>
            <w:noWrap/>
            <w:vAlign w:val="center"/>
            <w:hideMark/>
          </w:tcPr>
          <w:p w14:paraId="462FB5B1" w14:textId="77777777" w:rsidR="000E3B24" w:rsidRPr="00EE2DDE" w:rsidRDefault="000E3B24">
            <w:pPr>
              <w:keepNext/>
              <w:spacing w:before="60" w:after="60"/>
              <w:jc w:val="center"/>
              <w:rPr>
                <w:rFonts w:eastAsiaTheme="minorEastAsia" w:cstheme="minorHAnsi"/>
                <w:b/>
                <w:bCs/>
                <w:sz w:val="22"/>
                <w:szCs w:val="22"/>
                <w:lang w:eastAsia="zh-CN"/>
              </w:rPr>
            </w:pPr>
            <w:r w:rsidRPr="00EE2DDE">
              <w:rPr>
                <w:rFonts w:eastAsiaTheme="minorEastAsia" w:cstheme="minorHAnsi"/>
                <w:b/>
                <w:bCs/>
                <w:sz w:val="22"/>
                <w:szCs w:val="22"/>
                <w:lang w:eastAsia="zh-CN"/>
              </w:rPr>
              <w:t>Number of Projects</w:t>
            </w:r>
          </w:p>
        </w:tc>
        <w:tc>
          <w:tcPr>
            <w:tcW w:w="1449" w:type="dxa"/>
            <w:shd w:val="clear" w:color="auto" w:fill="8DB3E2" w:themeFill="text2" w:themeFillTint="66"/>
            <w:noWrap/>
            <w:vAlign w:val="center"/>
            <w:hideMark/>
          </w:tcPr>
          <w:p w14:paraId="2F5A1022" w14:textId="77777777" w:rsidR="000E3B24" w:rsidRPr="00EE2DDE" w:rsidRDefault="000E3B24">
            <w:pPr>
              <w:keepNext/>
              <w:spacing w:before="60" w:after="60"/>
              <w:jc w:val="center"/>
              <w:rPr>
                <w:rFonts w:eastAsiaTheme="minorEastAsia" w:cstheme="minorHAnsi"/>
                <w:b/>
                <w:bCs/>
                <w:sz w:val="22"/>
                <w:szCs w:val="22"/>
                <w:lang w:eastAsia="zh-CN"/>
              </w:rPr>
            </w:pPr>
            <w:r w:rsidRPr="00EE2DDE">
              <w:rPr>
                <w:rFonts w:eastAsiaTheme="minorEastAsia" w:cstheme="minorHAnsi"/>
                <w:b/>
                <w:bCs/>
                <w:sz w:val="22"/>
                <w:szCs w:val="22"/>
                <w:lang w:eastAsia="zh-CN"/>
              </w:rPr>
              <w:t xml:space="preserve">Funding from partners </w:t>
            </w:r>
          </w:p>
        </w:tc>
        <w:tc>
          <w:tcPr>
            <w:tcW w:w="1169" w:type="dxa"/>
            <w:shd w:val="clear" w:color="auto" w:fill="8DB3E2" w:themeFill="text2" w:themeFillTint="66"/>
            <w:noWrap/>
            <w:vAlign w:val="center"/>
          </w:tcPr>
          <w:p w14:paraId="2D29B11C" w14:textId="77777777" w:rsidR="000E3B24" w:rsidRPr="00EE2DDE" w:rsidRDefault="000E3B24">
            <w:pPr>
              <w:keepNext/>
              <w:spacing w:before="60" w:after="60"/>
              <w:jc w:val="center"/>
              <w:rPr>
                <w:rFonts w:eastAsiaTheme="minorEastAsia" w:cstheme="minorHAnsi"/>
                <w:b/>
                <w:bCs/>
                <w:sz w:val="22"/>
                <w:szCs w:val="22"/>
                <w:lang w:eastAsia="zh-CN"/>
              </w:rPr>
            </w:pPr>
            <w:r w:rsidRPr="00EE2DDE">
              <w:rPr>
                <w:rFonts w:eastAsiaTheme="minorEastAsia" w:cstheme="minorHAnsi"/>
                <w:b/>
                <w:bCs/>
                <w:sz w:val="22"/>
                <w:szCs w:val="22"/>
                <w:lang w:eastAsia="zh-CN"/>
              </w:rPr>
              <w:t xml:space="preserve">ITU funds </w:t>
            </w:r>
          </w:p>
        </w:tc>
        <w:tc>
          <w:tcPr>
            <w:tcW w:w="1343" w:type="dxa"/>
            <w:shd w:val="clear" w:color="auto" w:fill="8DB3E2" w:themeFill="text2" w:themeFillTint="66"/>
            <w:noWrap/>
            <w:vAlign w:val="center"/>
            <w:hideMark/>
          </w:tcPr>
          <w:p w14:paraId="337C40F6" w14:textId="77777777" w:rsidR="000E3B24" w:rsidRPr="00EE2DDE" w:rsidRDefault="000E3B24">
            <w:pPr>
              <w:keepNext/>
              <w:spacing w:before="60" w:after="60"/>
              <w:jc w:val="center"/>
              <w:rPr>
                <w:rFonts w:eastAsiaTheme="minorEastAsia" w:cstheme="minorHAnsi"/>
                <w:b/>
                <w:bCs/>
                <w:sz w:val="22"/>
                <w:szCs w:val="22"/>
                <w:lang w:eastAsia="zh-CN"/>
              </w:rPr>
            </w:pPr>
            <w:r w:rsidRPr="00EE2DDE">
              <w:rPr>
                <w:rFonts w:eastAsiaTheme="minorEastAsia" w:cstheme="minorHAnsi"/>
                <w:b/>
                <w:bCs/>
                <w:sz w:val="22"/>
                <w:szCs w:val="22"/>
                <w:lang w:eastAsia="zh-CN"/>
              </w:rPr>
              <w:t>Total project funding</w:t>
            </w:r>
          </w:p>
        </w:tc>
      </w:tr>
      <w:tr w:rsidR="007578A5" w:rsidRPr="00EE2DDE" w14:paraId="50739356" w14:textId="77777777">
        <w:trPr>
          <w:trHeight w:val="54"/>
          <w:jc w:val="center"/>
        </w:trPr>
        <w:tc>
          <w:tcPr>
            <w:tcW w:w="985" w:type="dxa"/>
            <w:hideMark/>
          </w:tcPr>
          <w:p w14:paraId="421FE054" w14:textId="77777777" w:rsidR="007578A5" w:rsidRPr="00EE2DDE" w:rsidRDefault="007578A5" w:rsidP="007578A5">
            <w:pPr>
              <w:spacing w:before="60" w:after="60"/>
              <w:rPr>
                <w:rFonts w:cstheme="minorHAnsi"/>
                <w:sz w:val="22"/>
                <w:szCs w:val="22"/>
                <w:lang w:eastAsia="zh-CN"/>
              </w:rPr>
            </w:pPr>
            <w:r w:rsidRPr="00EE2DDE">
              <w:rPr>
                <w:rFonts w:cstheme="minorHAnsi"/>
                <w:sz w:val="22"/>
                <w:szCs w:val="22"/>
                <w:lang w:eastAsia="zh-CN"/>
              </w:rPr>
              <w:t xml:space="preserve">AFR </w:t>
            </w:r>
          </w:p>
        </w:tc>
        <w:tc>
          <w:tcPr>
            <w:tcW w:w="1170" w:type="dxa"/>
            <w:noWrap/>
            <w:vAlign w:val="bottom"/>
            <w:hideMark/>
          </w:tcPr>
          <w:p w14:paraId="5BEDBF92" w14:textId="5628A9F5" w:rsidR="007578A5" w:rsidRPr="00EE2DDE" w:rsidRDefault="007578A5" w:rsidP="007578A5">
            <w:pPr>
              <w:spacing w:before="60" w:after="60"/>
              <w:jc w:val="center"/>
              <w:rPr>
                <w:rFonts w:eastAsiaTheme="minorEastAsia" w:cstheme="minorHAnsi"/>
                <w:sz w:val="22"/>
                <w:szCs w:val="22"/>
                <w:lang w:eastAsia="zh-CN"/>
              </w:rPr>
            </w:pPr>
            <w:r>
              <w:rPr>
                <w:rFonts w:ascii="Calibri" w:hAnsi="Calibri" w:cs="Calibri"/>
                <w:color w:val="000000"/>
                <w:sz w:val="22"/>
                <w:szCs w:val="22"/>
              </w:rPr>
              <w:t>20</w:t>
            </w:r>
          </w:p>
        </w:tc>
        <w:tc>
          <w:tcPr>
            <w:tcW w:w="1449" w:type="dxa"/>
            <w:vAlign w:val="bottom"/>
            <w:hideMark/>
          </w:tcPr>
          <w:p w14:paraId="4ADB21B3" w14:textId="01EB9C90"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34,993.1</w:t>
            </w:r>
          </w:p>
        </w:tc>
        <w:tc>
          <w:tcPr>
            <w:tcW w:w="1169" w:type="dxa"/>
            <w:vAlign w:val="bottom"/>
            <w:hideMark/>
          </w:tcPr>
          <w:p w14:paraId="53A8ABD0" w14:textId="646C6867"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1,957.1</w:t>
            </w:r>
          </w:p>
        </w:tc>
        <w:tc>
          <w:tcPr>
            <w:tcW w:w="1343" w:type="dxa"/>
            <w:shd w:val="clear" w:color="auto" w:fill="DBE5F1" w:themeFill="accent1" w:themeFillTint="33"/>
            <w:vAlign w:val="bottom"/>
            <w:hideMark/>
          </w:tcPr>
          <w:p w14:paraId="08D437F6" w14:textId="222436A0"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36,950.1</w:t>
            </w:r>
          </w:p>
        </w:tc>
      </w:tr>
      <w:tr w:rsidR="007578A5" w:rsidRPr="00EE2DDE" w14:paraId="35A0F9E1" w14:textId="77777777">
        <w:trPr>
          <w:trHeight w:val="54"/>
          <w:jc w:val="center"/>
        </w:trPr>
        <w:tc>
          <w:tcPr>
            <w:tcW w:w="985" w:type="dxa"/>
            <w:hideMark/>
          </w:tcPr>
          <w:p w14:paraId="7CE82234" w14:textId="77777777" w:rsidR="007578A5" w:rsidRPr="00EE2DDE" w:rsidRDefault="007578A5" w:rsidP="007578A5">
            <w:pPr>
              <w:spacing w:before="60" w:after="60"/>
              <w:rPr>
                <w:rFonts w:cstheme="minorHAnsi"/>
                <w:sz w:val="22"/>
                <w:szCs w:val="22"/>
                <w:lang w:eastAsia="zh-CN"/>
              </w:rPr>
            </w:pPr>
            <w:r w:rsidRPr="00EE2DDE">
              <w:rPr>
                <w:rFonts w:cstheme="minorHAnsi"/>
                <w:sz w:val="22"/>
                <w:szCs w:val="22"/>
                <w:lang w:eastAsia="zh-CN"/>
              </w:rPr>
              <w:t xml:space="preserve">AMS </w:t>
            </w:r>
          </w:p>
        </w:tc>
        <w:tc>
          <w:tcPr>
            <w:tcW w:w="1170" w:type="dxa"/>
            <w:noWrap/>
            <w:vAlign w:val="bottom"/>
            <w:hideMark/>
          </w:tcPr>
          <w:p w14:paraId="70752E88" w14:textId="70BF4ADB" w:rsidR="007578A5" w:rsidRPr="00EE2DDE" w:rsidRDefault="007578A5" w:rsidP="007578A5">
            <w:pPr>
              <w:spacing w:before="60" w:after="60"/>
              <w:jc w:val="center"/>
              <w:rPr>
                <w:rFonts w:eastAsiaTheme="minorEastAsia" w:cstheme="minorHAnsi"/>
                <w:sz w:val="22"/>
                <w:szCs w:val="22"/>
                <w:lang w:eastAsia="zh-CN"/>
              </w:rPr>
            </w:pPr>
            <w:r>
              <w:rPr>
                <w:rFonts w:ascii="Calibri" w:hAnsi="Calibri" w:cs="Calibri"/>
                <w:color w:val="000000"/>
                <w:sz w:val="22"/>
                <w:szCs w:val="22"/>
              </w:rPr>
              <w:t>16</w:t>
            </w:r>
          </w:p>
        </w:tc>
        <w:tc>
          <w:tcPr>
            <w:tcW w:w="1449" w:type="dxa"/>
            <w:vAlign w:val="bottom"/>
            <w:hideMark/>
          </w:tcPr>
          <w:p w14:paraId="5A870B2B" w14:textId="3D6E44BF"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8,113.5</w:t>
            </w:r>
          </w:p>
        </w:tc>
        <w:tc>
          <w:tcPr>
            <w:tcW w:w="1169" w:type="dxa"/>
            <w:vAlign w:val="bottom"/>
            <w:hideMark/>
          </w:tcPr>
          <w:p w14:paraId="09C462E4" w14:textId="0170B569"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307.8</w:t>
            </w:r>
          </w:p>
        </w:tc>
        <w:tc>
          <w:tcPr>
            <w:tcW w:w="1343" w:type="dxa"/>
            <w:shd w:val="clear" w:color="auto" w:fill="DBE5F1" w:themeFill="accent1" w:themeFillTint="33"/>
            <w:vAlign w:val="bottom"/>
            <w:hideMark/>
          </w:tcPr>
          <w:p w14:paraId="4E127861" w14:textId="0D7CC7AC"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8,421.3</w:t>
            </w:r>
          </w:p>
        </w:tc>
      </w:tr>
      <w:tr w:rsidR="007578A5" w:rsidRPr="00EE2DDE" w14:paraId="67F01AEE" w14:textId="77777777">
        <w:trPr>
          <w:trHeight w:val="300"/>
          <w:jc w:val="center"/>
        </w:trPr>
        <w:tc>
          <w:tcPr>
            <w:tcW w:w="985" w:type="dxa"/>
            <w:hideMark/>
          </w:tcPr>
          <w:p w14:paraId="7B9F0201" w14:textId="77777777" w:rsidR="007578A5" w:rsidRPr="00EE2DDE" w:rsidRDefault="007578A5" w:rsidP="007578A5">
            <w:pPr>
              <w:spacing w:before="60" w:after="60"/>
              <w:rPr>
                <w:rFonts w:cstheme="minorHAnsi"/>
                <w:sz w:val="22"/>
                <w:szCs w:val="22"/>
                <w:lang w:eastAsia="zh-CN"/>
              </w:rPr>
            </w:pPr>
            <w:r w:rsidRPr="00EE2DDE">
              <w:rPr>
                <w:rFonts w:cstheme="minorHAnsi"/>
                <w:sz w:val="22"/>
                <w:szCs w:val="22"/>
                <w:lang w:eastAsia="zh-CN"/>
              </w:rPr>
              <w:t xml:space="preserve">ARB </w:t>
            </w:r>
          </w:p>
        </w:tc>
        <w:tc>
          <w:tcPr>
            <w:tcW w:w="1170" w:type="dxa"/>
            <w:vAlign w:val="bottom"/>
            <w:hideMark/>
          </w:tcPr>
          <w:p w14:paraId="1E1CD554" w14:textId="09261D9C" w:rsidR="007578A5" w:rsidRPr="00EE2DDE" w:rsidRDefault="007578A5" w:rsidP="007578A5">
            <w:pPr>
              <w:spacing w:before="60" w:after="60"/>
              <w:jc w:val="center"/>
              <w:rPr>
                <w:rFonts w:eastAsiaTheme="minorEastAsia" w:cstheme="minorHAnsi"/>
                <w:sz w:val="22"/>
                <w:szCs w:val="22"/>
                <w:lang w:eastAsia="zh-CN"/>
              </w:rPr>
            </w:pPr>
            <w:r>
              <w:rPr>
                <w:rFonts w:ascii="Calibri" w:hAnsi="Calibri" w:cs="Calibri"/>
                <w:color w:val="000000"/>
                <w:sz w:val="22"/>
                <w:szCs w:val="22"/>
              </w:rPr>
              <w:t>6</w:t>
            </w:r>
          </w:p>
        </w:tc>
        <w:tc>
          <w:tcPr>
            <w:tcW w:w="1449" w:type="dxa"/>
            <w:vAlign w:val="bottom"/>
            <w:hideMark/>
          </w:tcPr>
          <w:p w14:paraId="5330BFD2" w14:textId="5F830654"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3,339.5</w:t>
            </w:r>
          </w:p>
        </w:tc>
        <w:tc>
          <w:tcPr>
            <w:tcW w:w="1169" w:type="dxa"/>
            <w:vAlign w:val="bottom"/>
            <w:hideMark/>
          </w:tcPr>
          <w:p w14:paraId="103BBFFF" w14:textId="6E14D16B"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905.9</w:t>
            </w:r>
          </w:p>
        </w:tc>
        <w:tc>
          <w:tcPr>
            <w:tcW w:w="1343" w:type="dxa"/>
            <w:shd w:val="clear" w:color="auto" w:fill="DBE5F1" w:themeFill="accent1" w:themeFillTint="33"/>
            <w:vAlign w:val="bottom"/>
            <w:hideMark/>
          </w:tcPr>
          <w:p w14:paraId="5F4151E8" w14:textId="7B4CFA0C"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4,245.4</w:t>
            </w:r>
          </w:p>
        </w:tc>
      </w:tr>
      <w:tr w:rsidR="007578A5" w:rsidRPr="00EE2DDE" w14:paraId="0D24CBEB" w14:textId="77777777">
        <w:trPr>
          <w:trHeight w:val="54"/>
          <w:jc w:val="center"/>
        </w:trPr>
        <w:tc>
          <w:tcPr>
            <w:tcW w:w="985" w:type="dxa"/>
            <w:vAlign w:val="center"/>
            <w:hideMark/>
          </w:tcPr>
          <w:p w14:paraId="0145FAA6" w14:textId="77777777" w:rsidR="007578A5" w:rsidRPr="00EE2DDE" w:rsidRDefault="007578A5" w:rsidP="007578A5">
            <w:pPr>
              <w:spacing w:before="60" w:after="60"/>
              <w:rPr>
                <w:rFonts w:cstheme="minorHAnsi"/>
                <w:sz w:val="22"/>
                <w:szCs w:val="22"/>
                <w:lang w:eastAsia="zh-CN"/>
              </w:rPr>
            </w:pPr>
            <w:r w:rsidRPr="00EE2DDE">
              <w:rPr>
                <w:rFonts w:cstheme="minorHAnsi"/>
                <w:sz w:val="22"/>
                <w:szCs w:val="22"/>
                <w:lang w:eastAsia="zh-CN"/>
              </w:rPr>
              <w:t>ASP</w:t>
            </w:r>
          </w:p>
        </w:tc>
        <w:tc>
          <w:tcPr>
            <w:tcW w:w="1170" w:type="dxa"/>
            <w:noWrap/>
            <w:vAlign w:val="bottom"/>
            <w:hideMark/>
          </w:tcPr>
          <w:p w14:paraId="74AD7224" w14:textId="133022FE" w:rsidR="007578A5" w:rsidRPr="00EE2DDE" w:rsidRDefault="007578A5" w:rsidP="007578A5">
            <w:pPr>
              <w:spacing w:before="60" w:after="60"/>
              <w:jc w:val="center"/>
              <w:rPr>
                <w:rFonts w:eastAsiaTheme="minorEastAsia" w:cstheme="minorHAnsi"/>
                <w:sz w:val="22"/>
                <w:szCs w:val="22"/>
                <w:lang w:eastAsia="zh-CN"/>
              </w:rPr>
            </w:pPr>
            <w:r>
              <w:rPr>
                <w:rFonts w:ascii="Calibri" w:hAnsi="Calibri" w:cs="Calibri"/>
                <w:color w:val="000000"/>
                <w:sz w:val="22"/>
                <w:szCs w:val="22"/>
              </w:rPr>
              <w:t>15</w:t>
            </w:r>
          </w:p>
        </w:tc>
        <w:tc>
          <w:tcPr>
            <w:tcW w:w="1449" w:type="dxa"/>
            <w:vAlign w:val="bottom"/>
            <w:hideMark/>
          </w:tcPr>
          <w:p w14:paraId="3D00C5FE" w14:textId="4CFA9E68"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8,286.3</w:t>
            </w:r>
          </w:p>
        </w:tc>
        <w:tc>
          <w:tcPr>
            <w:tcW w:w="1169" w:type="dxa"/>
            <w:vAlign w:val="bottom"/>
          </w:tcPr>
          <w:p w14:paraId="61B86A7A" w14:textId="04B2B9B5"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1,107.3</w:t>
            </w:r>
          </w:p>
        </w:tc>
        <w:tc>
          <w:tcPr>
            <w:tcW w:w="1343" w:type="dxa"/>
            <w:shd w:val="clear" w:color="auto" w:fill="DBE5F1" w:themeFill="accent1" w:themeFillTint="33"/>
            <w:vAlign w:val="bottom"/>
            <w:hideMark/>
          </w:tcPr>
          <w:p w14:paraId="7AD9B5EA" w14:textId="0BBEF17F"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9,393.6</w:t>
            </w:r>
          </w:p>
        </w:tc>
      </w:tr>
      <w:tr w:rsidR="007578A5" w:rsidRPr="00EE2DDE" w14:paraId="02DCA588" w14:textId="77777777">
        <w:trPr>
          <w:trHeight w:val="54"/>
          <w:jc w:val="center"/>
        </w:trPr>
        <w:tc>
          <w:tcPr>
            <w:tcW w:w="985" w:type="dxa"/>
            <w:hideMark/>
          </w:tcPr>
          <w:p w14:paraId="57AFBE3A" w14:textId="77777777" w:rsidR="007578A5" w:rsidRPr="00EE2DDE" w:rsidRDefault="007578A5" w:rsidP="007578A5">
            <w:pPr>
              <w:spacing w:before="60" w:after="60"/>
              <w:rPr>
                <w:rFonts w:cstheme="minorHAnsi"/>
                <w:sz w:val="22"/>
                <w:szCs w:val="22"/>
                <w:lang w:eastAsia="zh-CN"/>
              </w:rPr>
            </w:pPr>
            <w:r w:rsidRPr="00EE2DDE">
              <w:rPr>
                <w:rFonts w:cstheme="minorHAnsi"/>
                <w:sz w:val="22"/>
                <w:szCs w:val="22"/>
                <w:lang w:eastAsia="zh-CN"/>
              </w:rPr>
              <w:t xml:space="preserve">CIS </w:t>
            </w:r>
          </w:p>
        </w:tc>
        <w:tc>
          <w:tcPr>
            <w:tcW w:w="1170" w:type="dxa"/>
            <w:vAlign w:val="bottom"/>
            <w:hideMark/>
          </w:tcPr>
          <w:p w14:paraId="0C219855" w14:textId="7752E03C" w:rsidR="007578A5" w:rsidRPr="00EE2DDE" w:rsidRDefault="007578A5" w:rsidP="007578A5">
            <w:pPr>
              <w:spacing w:before="60" w:after="60"/>
              <w:jc w:val="center"/>
              <w:rPr>
                <w:rFonts w:eastAsiaTheme="minorEastAsia" w:cstheme="minorHAnsi"/>
                <w:sz w:val="22"/>
                <w:szCs w:val="22"/>
                <w:lang w:eastAsia="zh-CN"/>
              </w:rPr>
            </w:pPr>
            <w:r>
              <w:rPr>
                <w:rFonts w:ascii="Calibri" w:hAnsi="Calibri" w:cs="Calibri"/>
                <w:color w:val="000000"/>
                <w:sz w:val="22"/>
                <w:szCs w:val="22"/>
              </w:rPr>
              <w:t>3</w:t>
            </w:r>
          </w:p>
        </w:tc>
        <w:tc>
          <w:tcPr>
            <w:tcW w:w="1449" w:type="dxa"/>
            <w:vAlign w:val="bottom"/>
            <w:hideMark/>
          </w:tcPr>
          <w:p w14:paraId="7FDD9F82" w14:textId="2D0E8C25"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447.3</w:t>
            </w:r>
          </w:p>
        </w:tc>
        <w:tc>
          <w:tcPr>
            <w:tcW w:w="1169" w:type="dxa"/>
            <w:vAlign w:val="bottom"/>
          </w:tcPr>
          <w:p w14:paraId="743D4BFD" w14:textId="3D051EE8"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662.4</w:t>
            </w:r>
          </w:p>
        </w:tc>
        <w:tc>
          <w:tcPr>
            <w:tcW w:w="1343" w:type="dxa"/>
            <w:shd w:val="clear" w:color="auto" w:fill="DBE5F1" w:themeFill="accent1" w:themeFillTint="33"/>
            <w:vAlign w:val="bottom"/>
            <w:hideMark/>
          </w:tcPr>
          <w:p w14:paraId="6E991C39" w14:textId="1F33087B"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1,109.7</w:t>
            </w:r>
          </w:p>
        </w:tc>
      </w:tr>
      <w:tr w:rsidR="007578A5" w:rsidRPr="00EE2DDE" w14:paraId="2D2A6245" w14:textId="77777777">
        <w:trPr>
          <w:trHeight w:val="54"/>
          <w:jc w:val="center"/>
        </w:trPr>
        <w:tc>
          <w:tcPr>
            <w:tcW w:w="985" w:type="dxa"/>
            <w:vAlign w:val="bottom"/>
            <w:hideMark/>
          </w:tcPr>
          <w:p w14:paraId="65C6F865" w14:textId="77777777" w:rsidR="007578A5" w:rsidRPr="00EE2DDE" w:rsidRDefault="007578A5" w:rsidP="007578A5">
            <w:pPr>
              <w:spacing w:before="60" w:after="60"/>
              <w:rPr>
                <w:rFonts w:cstheme="minorHAnsi"/>
                <w:sz w:val="22"/>
                <w:szCs w:val="22"/>
                <w:lang w:eastAsia="zh-CN"/>
              </w:rPr>
            </w:pPr>
            <w:r w:rsidRPr="00EE2DDE">
              <w:rPr>
                <w:rFonts w:cstheme="minorHAnsi"/>
                <w:sz w:val="22"/>
                <w:szCs w:val="22"/>
                <w:lang w:eastAsia="zh-CN"/>
              </w:rPr>
              <w:t>EUR</w:t>
            </w:r>
          </w:p>
        </w:tc>
        <w:tc>
          <w:tcPr>
            <w:tcW w:w="1170" w:type="dxa"/>
            <w:vAlign w:val="bottom"/>
            <w:hideMark/>
          </w:tcPr>
          <w:p w14:paraId="1D34180F" w14:textId="639AC288" w:rsidR="007578A5" w:rsidRPr="00EE2DDE" w:rsidRDefault="007578A5" w:rsidP="007578A5">
            <w:pPr>
              <w:spacing w:before="60" w:after="60"/>
              <w:jc w:val="center"/>
              <w:rPr>
                <w:rFonts w:eastAsiaTheme="minorEastAsia" w:cstheme="minorHAnsi"/>
                <w:sz w:val="22"/>
                <w:szCs w:val="22"/>
                <w:lang w:eastAsia="zh-CN"/>
              </w:rPr>
            </w:pPr>
            <w:r>
              <w:rPr>
                <w:rFonts w:ascii="Calibri" w:hAnsi="Calibri" w:cs="Calibri"/>
                <w:color w:val="000000"/>
                <w:sz w:val="22"/>
                <w:szCs w:val="22"/>
              </w:rPr>
              <w:t>3</w:t>
            </w:r>
          </w:p>
        </w:tc>
        <w:tc>
          <w:tcPr>
            <w:tcW w:w="1449" w:type="dxa"/>
            <w:vAlign w:val="bottom"/>
            <w:hideMark/>
          </w:tcPr>
          <w:p w14:paraId="728BA800" w14:textId="3819FC0F"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534.5</w:t>
            </w:r>
          </w:p>
        </w:tc>
        <w:tc>
          <w:tcPr>
            <w:tcW w:w="1169" w:type="dxa"/>
            <w:vAlign w:val="bottom"/>
          </w:tcPr>
          <w:p w14:paraId="72B8FCCF" w14:textId="6C1900ED"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59.2</w:t>
            </w:r>
          </w:p>
        </w:tc>
        <w:tc>
          <w:tcPr>
            <w:tcW w:w="1343" w:type="dxa"/>
            <w:shd w:val="clear" w:color="auto" w:fill="DBE5F1" w:themeFill="accent1" w:themeFillTint="33"/>
            <w:vAlign w:val="bottom"/>
            <w:hideMark/>
          </w:tcPr>
          <w:p w14:paraId="3DC7984C" w14:textId="7ED56A7C"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593.7</w:t>
            </w:r>
          </w:p>
        </w:tc>
      </w:tr>
      <w:tr w:rsidR="007578A5" w:rsidRPr="00EE2DDE" w14:paraId="2864C8F0" w14:textId="77777777">
        <w:trPr>
          <w:trHeight w:val="54"/>
          <w:jc w:val="center"/>
        </w:trPr>
        <w:tc>
          <w:tcPr>
            <w:tcW w:w="985" w:type="dxa"/>
            <w:hideMark/>
          </w:tcPr>
          <w:p w14:paraId="4E08AF8E" w14:textId="77777777" w:rsidR="007578A5" w:rsidRPr="00EE2DDE" w:rsidRDefault="007578A5" w:rsidP="007578A5">
            <w:pPr>
              <w:spacing w:before="60" w:after="60"/>
              <w:rPr>
                <w:rFonts w:cstheme="minorHAnsi"/>
                <w:sz w:val="22"/>
                <w:szCs w:val="22"/>
                <w:lang w:eastAsia="zh-CN"/>
              </w:rPr>
            </w:pPr>
            <w:r w:rsidRPr="00EE2DDE">
              <w:rPr>
                <w:rFonts w:cstheme="minorHAnsi"/>
                <w:sz w:val="22"/>
                <w:szCs w:val="22"/>
                <w:lang w:eastAsia="zh-CN"/>
              </w:rPr>
              <w:t xml:space="preserve">MUL </w:t>
            </w:r>
            <w:bookmarkStart w:id="10" w:name="_Hlk161739046"/>
            <w:r w:rsidRPr="00EE2DDE">
              <w:rPr>
                <w:rFonts w:cstheme="minorHAnsi"/>
                <w:sz w:val="22"/>
                <w:szCs w:val="22"/>
                <w:lang w:eastAsia="zh-CN"/>
              </w:rPr>
              <w:t>(*)</w:t>
            </w:r>
            <w:bookmarkEnd w:id="10"/>
          </w:p>
        </w:tc>
        <w:tc>
          <w:tcPr>
            <w:tcW w:w="1170" w:type="dxa"/>
            <w:noWrap/>
            <w:vAlign w:val="bottom"/>
            <w:hideMark/>
          </w:tcPr>
          <w:p w14:paraId="3E43C728" w14:textId="6B18D3F6" w:rsidR="007578A5" w:rsidRPr="00EE2DDE" w:rsidRDefault="007578A5" w:rsidP="007578A5">
            <w:pPr>
              <w:spacing w:before="60" w:after="60"/>
              <w:jc w:val="center"/>
              <w:rPr>
                <w:rFonts w:eastAsiaTheme="minorEastAsia" w:cstheme="minorHAnsi"/>
                <w:sz w:val="22"/>
                <w:szCs w:val="22"/>
                <w:lang w:eastAsia="zh-CN"/>
              </w:rPr>
            </w:pPr>
            <w:r>
              <w:rPr>
                <w:rFonts w:ascii="Calibri" w:hAnsi="Calibri" w:cs="Calibri"/>
                <w:color w:val="000000"/>
                <w:sz w:val="22"/>
                <w:szCs w:val="22"/>
              </w:rPr>
              <w:t>43</w:t>
            </w:r>
          </w:p>
        </w:tc>
        <w:tc>
          <w:tcPr>
            <w:tcW w:w="1449" w:type="dxa"/>
            <w:vAlign w:val="bottom"/>
            <w:hideMark/>
          </w:tcPr>
          <w:p w14:paraId="493C2AF0" w14:textId="5FB96CFE"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32,714.3</w:t>
            </w:r>
          </w:p>
        </w:tc>
        <w:tc>
          <w:tcPr>
            <w:tcW w:w="1169" w:type="dxa"/>
            <w:vAlign w:val="bottom"/>
            <w:hideMark/>
          </w:tcPr>
          <w:p w14:paraId="24481820" w14:textId="3101E5A4"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10,244.9</w:t>
            </w:r>
          </w:p>
        </w:tc>
        <w:tc>
          <w:tcPr>
            <w:tcW w:w="1343" w:type="dxa"/>
            <w:shd w:val="clear" w:color="auto" w:fill="DBE5F1" w:themeFill="accent1" w:themeFillTint="33"/>
            <w:vAlign w:val="bottom"/>
            <w:hideMark/>
          </w:tcPr>
          <w:p w14:paraId="7CD23C6B" w14:textId="415D2173" w:rsidR="007578A5" w:rsidRPr="00EE2DDE" w:rsidRDefault="007578A5" w:rsidP="007578A5">
            <w:pPr>
              <w:spacing w:before="60" w:after="60"/>
              <w:jc w:val="right"/>
              <w:rPr>
                <w:rFonts w:eastAsiaTheme="minorEastAsia" w:cstheme="minorHAnsi"/>
                <w:sz w:val="22"/>
                <w:szCs w:val="22"/>
                <w:lang w:eastAsia="zh-CN"/>
              </w:rPr>
            </w:pPr>
            <w:r>
              <w:rPr>
                <w:rFonts w:ascii="Calibri" w:hAnsi="Calibri" w:cs="Calibri"/>
                <w:color w:val="000000"/>
                <w:sz w:val="22"/>
                <w:szCs w:val="22"/>
              </w:rPr>
              <w:t>42,959.2</w:t>
            </w:r>
          </w:p>
        </w:tc>
      </w:tr>
      <w:tr w:rsidR="007578A5" w:rsidRPr="00EE2DDE" w14:paraId="46EEF10F" w14:textId="77777777">
        <w:trPr>
          <w:trHeight w:val="54"/>
          <w:jc w:val="center"/>
        </w:trPr>
        <w:tc>
          <w:tcPr>
            <w:tcW w:w="985" w:type="dxa"/>
            <w:shd w:val="clear" w:color="auto" w:fill="DBE5F1" w:themeFill="accent1" w:themeFillTint="33"/>
            <w:noWrap/>
            <w:vAlign w:val="center"/>
            <w:hideMark/>
          </w:tcPr>
          <w:p w14:paraId="3D7D609A" w14:textId="77777777" w:rsidR="007578A5" w:rsidRPr="00EE2DDE" w:rsidRDefault="007578A5" w:rsidP="007578A5">
            <w:pPr>
              <w:spacing w:before="60" w:after="60"/>
              <w:rPr>
                <w:rFonts w:cstheme="minorHAnsi"/>
                <w:b/>
                <w:bCs/>
                <w:sz w:val="22"/>
                <w:szCs w:val="22"/>
                <w:lang w:eastAsia="zh-CN"/>
              </w:rPr>
            </w:pPr>
            <w:r w:rsidRPr="00EE2DDE">
              <w:rPr>
                <w:rFonts w:cstheme="minorHAnsi"/>
                <w:b/>
                <w:bCs/>
                <w:sz w:val="22"/>
                <w:szCs w:val="22"/>
                <w:lang w:eastAsia="zh-CN"/>
              </w:rPr>
              <w:t>Total</w:t>
            </w:r>
          </w:p>
        </w:tc>
        <w:tc>
          <w:tcPr>
            <w:tcW w:w="1170" w:type="dxa"/>
            <w:shd w:val="clear" w:color="auto" w:fill="DBE5F1" w:themeFill="accent1" w:themeFillTint="33"/>
            <w:noWrap/>
            <w:vAlign w:val="bottom"/>
            <w:hideMark/>
          </w:tcPr>
          <w:p w14:paraId="0DEFBD61" w14:textId="4009880B" w:rsidR="007578A5" w:rsidRPr="00EE2DDE" w:rsidRDefault="007578A5" w:rsidP="007578A5">
            <w:pPr>
              <w:spacing w:before="60" w:after="60"/>
              <w:jc w:val="center"/>
              <w:rPr>
                <w:rFonts w:eastAsiaTheme="minorEastAsia" w:cstheme="minorHAnsi"/>
                <w:b/>
                <w:bCs/>
                <w:sz w:val="22"/>
                <w:szCs w:val="22"/>
                <w:lang w:eastAsia="zh-CN"/>
              </w:rPr>
            </w:pPr>
            <w:r>
              <w:rPr>
                <w:rFonts w:ascii="Calibri" w:hAnsi="Calibri" w:cs="Calibri"/>
                <w:b/>
                <w:bCs/>
                <w:color w:val="000000"/>
                <w:sz w:val="22"/>
                <w:szCs w:val="22"/>
              </w:rPr>
              <w:t>106</w:t>
            </w:r>
          </w:p>
        </w:tc>
        <w:tc>
          <w:tcPr>
            <w:tcW w:w="1449" w:type="dxa"/>
            <w:shd w:val="clear" w:color="auto" w:fill="DBE5F1" w:themeFill="accent1" w:themeFillTint="33"/>
            <w:noWrap/>
            <w:vAlign w:val="bottom"/>
            <w:hideMark/>
          </w:tcPr>
          <w:p w14:paraId="4140E604" w14:textId="1D2DBA46" w:rsidR="007578A5" w:rsidRPr="00EE2DDE" w:rsidRDefault="007578A5" w:rsidP="007578A5">
            <w:pPr>
              <w:spacing w:before="60" w:after="60"/>
              <w:jc w:val="right"/>
              <w:rPr>
                <w:rFonts w:eastAsiaTheme="minorEastAsia" w:cstheme="minorHAnsi"/>
                <w:b/>
                <w:bCs/>
                <w:sz w:val="22"/>
                <w:szCs w:val="22"/>
                <w:lang w:eastAsia="zh-CN"/>
              </w:rPr>
            </w:pPr>
            <w:r>
              <w:rPr>
                <w:rFonts w:ascii="Calibri" w:hAnsi="Calibri" w:cs="Calibri"/>
                <w:b/>
                <w:bCs/>
                <w:color w:val="000000"/>
                <w:sz w:val="22"/>
                <w:szCs w:val="22"/>
              </w:rPr>
              <w:t>88,428.6</w:t>
            </w:r>
          </w:p>
        </w:tc>
        <w:tc>
          <w:tcPr>
            <w:tcW w:w="1169" w:type="dxa"/>
            <w:shd w:val="clear" w:color="auto" w:fill="DBE5F1" w:themeFill="accent1" w:themeFillTint="33"/>
            <w:noWrap/>
            <w:vAlign w:val="bottom"/>
            <w:hideMark/>
          </w:tcPr>
          <w:p w14:paraId="71C4EEA2" w14:textId="568A5DB8" w:rsidR="007578A5" w:rsidRPr="00EE2DDE" w:rsidRDefault="007578A5" w:rsidP="007578A5">
            <w:pPr>
              <w:spacing w:before="60" w:after="60"/>
              <w:jc w:val="right"/>
              <w:rPr>
                <w:rFonts w:eastAsiaTheme="minorEastAsia" w:cstheme="minorHAnsi"/>
                <w:b/>
                <w:bCs/>
                <w:sz w:val="22"/>
                <w:szCs w:val="22"/>
                <w:lang w:eastAsia="zh-CN"/>
              </w:rPr>
            </w:pPr>
            <w:r>
              <w:rPr>
                <w:rFonts w:ascii="Calibri" w:hAnsi="Calibri" w:cs="Calibri"/>
                <w:b/>
                <w:bCs/>
                <w:color w:val="000000"/>
                <w:sz w:val="22"/>
                <w:szCs w:val="22"/>
              </w:rPr>
              <w:t>15,244.5</w:t>
            </w:r>
          </w:p>
        </w:tc>
        <w:tc>
          <w:tcPr>
            <w:tcW w:w="1343" w:type="dxa"/>
            <w:shd w:val="clear" w:color="auto" w:fill="DBE5F1" w:themeFill="accent1" w:themeFillTint="33"/>
            <w:noWrap/>
            <w:vAlign w:val="bottom"/>
            <w:hideMark/>
          </w:tcPr>
          <w:p w14:paraId="2B03AC1F" w14:textId="74445697" w:rsidR="007578A5" w:rsidRPr="00811642" w:rsidRDefault="007578A5" w:rsidP="007578A5">
            <w:pPr>
              <w:spacing w:before="60" w:after="60"/>
              <w:jc w:val="right"/>
              <w:rPr>
                <w:rFonts w:eastAsiaTheme="minorEastAsia" w:cstheme="minorHAnsi"/>
                <w:b/>
                <w:bCs/>
                <w:sz w:val="22"/>
                <w:szCs w:val="22"/>
                <w:lang w:eastAsia="zh-CN"/>
              </w:rPr>
            </w:pPr>
            <w:r>
              <w:rPr>
                <w:rFonts w:ascii="Calibri" w:hAnsi="Calibri" w:cs="Calibri"/>
                <w:b/>
                <w:bCs/>
                <w:color w:val="000000"/>
                <w:sz w:val="22"/>
                <w:szCs w:val="22"/>
              </w:rPr>
              <w:t>103,673.1</w:t>
            </w:r>
          </w:p>
        </w:tc>
      </w:tr>
    </w:tbl>
    <w:p w14:paraId="57A2B772" w14:textId="77777777" w:rsidR="000E3B24" w:rsidRPr="00EE2DDE" w:rsidRDefault="000E3B24" w:rsidP="000E3B24">
      <w:pPr>
        <w:rPr>
          <w:rFonts w:cstheme="minorHAnsi"/>
          <w:sz w:val="18"/>
          <w:szCs w:val="18"/>
        </w:rPr>
      </w:pPr>
      <w:r w:rsidRPr="00EE2DDE">
        <w:rPr>
          <w:rFonts w:cstheme="minorHAnsi"/>
          <w:sz w:val="18"/>
          <w:szCs w:val="18"/>
        </w:rPr>
        <w:tab/>
      </w:r>
      <w:r w:rsidRPr="00EE2DDE">
        <w:rPr>
          <w:rFonts w:cstheme="minorHAnsi"/>
          <w:sz w:val="18"/>
          <w:szCs w:val="18"/>
        </w:rPr>
        <w:tab/>
        <w:t>(*) Multi-regional projects benefiting all regions</w:t>
      </w:r>
    </w:p>
    <w:p w14:paraId="618077EF" w14:textId="77777777" w:rsidR="000E3B24" w:rsidRPr="00187FF9" w:rsidRDefault="000E3B24" w:rsidP="000E3B24">
      <w:pPr>
        <w:pStyle w:val="Heading1"/>
        <w:numPr>
          <w:ilvl w:val="1"/>
          <w:numId w:val="45"/>
        </w:numPr>
        <w:spacing w:before="120" w:after="120"/>
        <w:ind w:left="431" w:hanging="431"/>
        <w:textAlignment w:val="auto"/>
        <w:rPr>
          <w:rFonts w:cstheme="minorHAnsi"/>
          <w:sz w:val="24"/>
          <w:szCs w:val="24"/>
        </w:rPr>
      </w:pPr>
      <w:r w:rsidRPr="00187FF9">
        <w:rPr>
          <w:rFonts w:cstheme="minorHAnsi"/>
          <w:sz w:val="24"/>
          <w:szCs w:val="24"/>
        </w:rPr>
        <w:lastRenderedPageBreak/>
        <w:t xml:space="preserve">Projects signed during the reporting period </w:t>
      </w:r>
    </w:p>
    <w:p w14:paraId="1886097B" w14:textId="3BAAAA5B" w:rsidR="000E3B24" w:rsidRPr="00187FF9" w:rsidRDefault="000E3B24" w:rsidP="1189C88F">
      <w:pPr>
        <w:pStyle w:val="ListParagraph"/>
        <w:spacing w:after="120"/>
        <w:ind w:left="0"/>
        <w:rPr>
          <w:rFonts w:cstheme="minorBidi"/>
        </w:rPr>
      </w:pPr>
      <w:bookmarkStart w:id="11" w:name="_Hlk221711084"/>
      <w:r w:rsidRPr="1189C88F">
        <w:rPr>
          <w:rFonts w:cstheme="minorBidi"/>
        </w:rPr>
        <w:t>In 202</w:t>
      </w:r>
      <w:r w:rsidR="00E15989" w:rsidRPr="1189C88F">
        <w:rPr>
          <w:rFonts w:cstheme="minorBidi"/>
        </w:rPr>
        <w:t>5</w:t>
      </w:r>
      <w:r w:rsidRPr="1189C88F">
        <w:rPr>
          <w:rFonts w:cstheme="minorBidi"/>
        </w:rPr>
        <w:t xml:space="preserve">, BDT signed a total of </w:t>
      </w:r>
      <w:r w:rsidR="008F6115" w:rsidRPr="1189C88F">
        <w:rPr>
          <w:rFonts w:cstheme="minorBidi"/>
        </w:rPr>
        <w:t>2</w:t>
      </w:r>
      <w:r w:rsidR="004C2DCB" w:rsidRPr="1189C88F">
        <w:rPr>
          <w:rFonts w:cstheme="minorBidi"/>
        </w:rPr>
        <w:t>6</w:t>
      </w:r>
      <w:r w:rsidRPr="1189C88F">
        <w:rPr>
          <w:rFonts w:cstheme="minorBidi"/>
        </w:rPr>
        <w:t xml:space="preserve"> new projects valued at </w:t>
      </w:r>
      <w:r w:rsidR="00F23569" w:rsidRPr="1189C88F">
        <w:rPr>
          <w:rFonts w:cstheme="minorBidi"/>
        </w:rPr>
        <w:t>USD 5.5</w:t>
      </w:r>
      <w:r w:rsidRPr="1189C88F">
        <w:rPr>
          <w:rFonts w:cstheme="minorBidi"/>
        </w:rPr>
        <w:t xml:space="preserve"> million</w:t>
      </w:r>
      <w:r w:rsidRPr="1189C88F">
        <w:rPr>
          <w:rStyle w:val="FootnoteReference"/>
          <w:rFonts w:cstheme="minorBidi"/>
        </w:rPr>
        <w:footnoteReference w:id="3"/>
      </w:r>
      <w:r w:rsidRPr="1189C88F">
        <w:rPr>
          <w:rFonts w:cstheme="minorBidi"/>
        </w:rPr>
        <w:t xml:space="preserve">. </w:t>
      </w:r>
      <w:r w:rsidR="00334AB9" w:rsidRPr="1189C88F">
        <w:rPr>
          <w:rFonts w:cstheme="minorBidi"/>
        </w:rPr>
        <w:t xml:space="preserve">With these figures, </w:t>
      </w:r>
      <w:r w:rsidR="00B61EB2" w:rsidRPr="1189C88F">
        <w:rPr>
          <w:rFonts w:cstheme="minorBidi"/>
        </w:rPr>
        <w:t xml:space="preserve">BDT </w:t>
      </w:r>
      <w:r w:rsidR="00334AB9" w:rsidRPr="1189C88F">
        <w:rPr>
          <w:rFonts w:cstheme="minorBidi"/>
        </w:rPr>
        <w:t xml:space="preserve">closes the </w:t>
      </w:r>
      <w:r w:rsidR="00B61EB2" w:rsidRPr="1189C88F">
        <w:rPr>
          <w:rFonts w:cstheme="minorBidi"/>
        </w:rPr>
        <w:t>WTDC-22 cycle (</w:t>
      </w:r>
      <w:r w:rsidR="00334AB9" w:rsidRPr="1189C88F">
        <w:rPr>
          <w:rFonts w:cstheme="minorBidi"/>
        </w:rPr>
        <w:t>2023-2025</w:t>
      </w:r>
      <w:r w:rsidR="00B61EB2" w:rsidRPr="1189C88F">
        <w:rPr>
          <w:rFonts w:cstheme="minorBidi"/>
        </w:rPr>
        <w:t xml:space="preserve">) </w:t>
      </w:r>
      <w:r w:rsidR="00334AB9" w:rsidRPr="1189C88F">
        <w:rPr>
          <w:rFonts w:cstheme="minorBidi"/>
        </w:rPr>
        <w:t>with a total of</w:t>
      </w:r>
      <w:r w:rsidR="00A303ED" w:rsidRPr="1189C88F">
        <w:rPr>
          <w:rFonts w:cstheme="minorBidi"/>
        </w:rPr>
        <w:t xml:space="preserve"> 9</w:t>
      </w:r>
      <w:r w:rsidR="00D118DB" w:rsidRPr="1189C88F">
        <w:rPr>
          <w:rFonts w:cstheme="minorBidi"/>
        </w:rPr>
        <w:t>1</w:t>
      </w:r>
      <w:r w:rsidR="00334AB9" w:rsidRPr="1189C88F">
        <w:rPr>
          <w:rFonts w:cstheme="minorBidi"/>
        </w:rPr>
        <w:t xml:space="preserve"> </w:t>
      </w:r>
      <w:r w:rsidR="00B61EB2" w:rsidRPr="1189C88F">
        <w:rPr>
          <w:rFonts w:cstheme="minorBidi"/>
        </w:rPr>
        <w:t xml:space="preserve">new </w:t>
      </w:r>
      <w:r w:rsidR="00334AB9" w:rsidRPr="1189C88F">
        <w:rPr>
          <w:rFonts w:cstheme="minorBidi"/>
        </w:rPr>
        <w:t xml:space="preserve">projects signed valued at </w:t>
      </w:r>
      <w:r w:rsidR="005A2A77" w:rsidRPr="1189C88F">
        <w:rPr>
          <w:rFonts w:cstheme="minorBidi"/>
        </w:rPr>
        <w:t>USD 67.</w:t>
      </w:r>
      <w:r w:rsidR="002539AE" w:rsidRPr="1189C88F">
        <w:rPr>
          <w:rFonts w:cstheme="minorBidi"/>
        </w:rPr>
        <w:t xml:space="preserve">4 </w:t>
      </w:r>
      <w:r w:rsidR="00334AB9" w:rsidRPr="1189C88F">
        <w:rPr>
          <w:rFonts w:cstheme="minorBidi"/>
        </w:rPr>
        <w:t>million</w:t>
      </w:r>
      <w:r w:rsidR="00024F8D" w:rsidRPr="1189C88F">
        <w:rPr>
          <w:rFonts w:cstheme="minorBidi"/>
        </w:rPr>
        <w:t xml:space="preserve">. </w:t>
      </w:r>
      <w:r w:rsidR="00016B68" w:rsidRPr="1189C88F">
        <w:rPr>
          <w:rFonts w:cstheme="minorBidi"/>
        </w:rPr>
        <w:t xml:space="preserve">Despite being a shorter implementation period of 3 years, </w:t>
      </w:r>
      <w:r w:rsidR="00DA0DF9" w:rsidRPr="1189C88F">
        <w:rPr>
          <w:rFonts w:cstheme="minorBidi"/>
        </w:rPr>
        <w:t xml:space="preserve">the total number of projects signed during the cycle represents a </w:t>
      </w:r>
      <w:r w:rsidR="00016B68" w:rsidRPr="1189C88F">
        <w:rPr>
          <w:rFonts w:cstheme="minorBidi"/>
        </w:rPr>
        <w:t xml:space="preserve">positive trend </w:t>
      </w:r>
      <w:r w:rsidR="009520D5" w:rsidRPr="1189C88F">
        <w:rPr>
          <w:rFonts w:cstheme="minorBidi"/>
        </w:rPr>
        <w:t>in terms of resource mobilization</w:t>
      </w:r>
      <w:r w:rsidR="009E28E4" w:rsidRPr="1189C88F">
        <w:rPr>
          <w:rFonts w:cstheme="minorBidi"/>
        </w:rPr>
        <w:t xml:space="preserve">, continuing the upward trend already achieved during the </w:t>
      </w:r>
      <w:r w:rsidR="009520D5" w:rsidRPr="1189C88F">
        <w:rPr>
          <w:rFonts w:cstheme="minorBidi"/>
        </w:rPr>
        <w:t>WTDC-17 cycle (2018-2022)</w:t>
      </w:r>
      <w:r w:rsidR="00024F8D" w:rsidRPr="1189C88F">
        <w:rPr>
          <w:rFonts w:cstheme="minorBidi"/>
        </w:rPr>
        <w:t xml:space="preserve"> </w:t>
      </w:r>
      <w:r w:rsidRPr="1189C88F">
        <w:rPr>
          <w:rFonts w:cstheme="minorBidi"/>
        </w:rPr>
        <w:t>(see figure 2).</w:t>
      </w:r>
    </w:p>
    <w:p w14:paraId="43C70596" w14:textId="5BD67958" w:rsidR="009520D5" w:rsidRPr="00A11186" w:rsidRDefault="009520D5" w:rsidP="1189C88F">
      <w:pPr>
        <w:keepNext/>
        <w:spacing w:after="120"/>
        <w:jc w:val="center"/>
        <w:rPr>
          <w:rFonts w:cstheme="minorBidi"/>
          <w:b/>
          <w:bCs/>
        </w:rPr>
      </w:pPr>
      <w:r w:rsidRPr="1189C88F">
        <w:rPr>
          <w:rFonts w:cstheme="minorBidi"/>
          <w:b/>
          <w:bCs/>
        </w:rPr>
        <w:t xml:space="preserve">Figure </w:t>
      </w:r>
      <w:r w:rsidR="002539AE" w:rsidRPr="1189C88F">
        <w:rPr>
          <w:rFonts w:cstheme="minorBidi"/>
          <w:b/>
          <w:bCs/>
        </w:rPr>
        <w:t>2</w:t>
      </w:r>
      <w:r w:rsidRPr="1189C88F">
        <w:rPr>
          <w:rFonts w:cstheme="minorBidi"/>
          <w:b/>
          <w:bCs/>
        </w:rPr>
        <w:t xml:space="preserve"> – </w:t>
      </w:r>
      <w:r w:rsidR="61F9D54A" w:rsidRPr="1189C88F">
        <w:rPr>
          <w:rFonts w:cstheme="minorBidi"/>
          <w:b/>
          <w:bCs/>
        </w:rPr>
        <w:t>Funds mobilized by n</w:t>
      </w:r>
      <w:r w:rsidRPr="1189C88F">
        <w:rPr>
          <w:rFonts w:cstheme="minorBidi"/>
          <w:b/>
          <w:bCs/>
        </w:rPr>
        <w:t>ew projects signed by WTDC cycles</w:t>
      </w:r>
      <w:r w:rsidR="00666356" w:rsidRPr="1189C88F">
        <w:rPr>
          <w:rFonts w:cstheme="minorBidi"/>
          <w:b/>
          <w:bCs/>
        </w:rPr>
        <w:t xml:space="preserve"> (funds in k USD)</w:t>
      </w:r>
    </w:p>
    <w:p w14:paraId="0332466D" w14:textId="2CD5E00E" w:rsidR="00B30B53" w:rsidRDefault="00B30B53" w:rsidP="009520D5">
      <w:pPr>
        <w:keepNext/>
        <w:spacing w:after="120"/>
        <w:jc w:val="center"/>
        <w:rPr>
          <w:rFonts w:cstheme="minorBidi"/>
          <w:sz w:val="20"/>
        </w:rPr>
      </w:pPr>
      <w:r>
        <w:rPr>
          <w:noProof/>
        </w:rPr>
        <w:drawing>
          <wp:inline distT="0" distB="0" distL="0" distR="0" wp14:anchorId="24013E06" wp14:editId="5FB4596A">
            <wp:extent cx="5654180" cy="2743200"/>
            <wp:effectExtent l="0" t="0" r="3810" b="0"/>
            <wp:docPr id="1358494676" name="Chart 1">
              <a:extLst xmlns:a="http://schemas.openxmlformats.org/drawingml/2006/main">
                <a:ext uri="{FF2B5EF4-FFF2-40B4-BE49-F238E27FC236}">
                  <a16:creationId xmlns:a16="http://schemas.microsoft.com/office/drawing/2014/main" id="{09E2B3EB-F070-4973-B889-7B0D943F8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9E56DD" w14:textId="1EB2F14D" w:rsidR="000E3B24" w:rsidRPr="00FB4AEF" w:rsidRDefault="032D66BE" w:rsidP="1189C88F">
      <w:pPr>
        <w:spacing w:after="120"/>
        <w:rPr>
          <w:rFonts w:cstheme="minorBidi"/>
        </w:rPr>
      </w:pPr>
      <w:r w:rsidRPr="1189C88F">
        <w:rPr>
          <w:rFonts w:cstheme="minorBidi"/>
        </w:rPr>
        <w:t xml:space="preserve">With regards to source of funds, </w:t>
      </w:r>
      <w:r w:rsidR="00A427D6" w:rsidRPr="1189C88F">
        <w:rPr>
          <w:rFonts w:cstheme="minorBidi"/>
        </w:rPr>
        <w:t>90</w:t>
      </w:r>
      <w:r w:rsidRPr="1189C88F">
        <w:rPr>
          <w:rFonts w:cstheme="minorBidi"/>
        </w:rPr>
        <w:t xml:space="preserve">% of the funds for the new projects </w:t>
      </w:r>
      <w:r w:rsidR="00ED78CB" w:rsidRPr="1189C88F">
        <w:rPr>
          <w:rFonts w:cstheme="minorBidi"/>
        </w:rPr>
        <w:t xml:space="preserve">signed during the </w:t>
      </w:r>
      <w:r w:rsidR="00A427D6" w:rsidRPr="1189C88F">
        <w:rPr>
          <w:rFonts w:cstheme="minorBidi"/>
        </w:rPr>
        <w:t xml:space="preserve">WTDC-22 cycle </w:t>
      </w:r>
      <w:r w:rsidRPr="1189C88F">
        <w:rPr>
          <w:rFonts w:cstheme="minorBidi"/>
        </w:rPr>
        <w:t xml:space="preserve">come from the extrabudgetary funds mobilized by BDT from third parties, while the remaining </w:t>
      </w:r>
      <w:r w:rsidR="6E652433" w:rsidRPr="1189C88F">
        <w:rPr>
          <w:rFonts w:cstheme="minorBidi"/>
        </w:rPr>
        <w:t>1</w:t>
      </w:r>
      <w:r w:rsidR="00A427D6" w:rsidRPr="1189C88F">
        <w:rPr>
          <w:rFonts w:cstheme="minorBidi"/>
        </w:rPr>
        <w:t>0</w:t>
      </w:r>
      <w:r w:rsidRPr="1189C88F">
        <w:rPr>
          <w:rFonts w:cstheme="minorBidi"/>
        </w:rPr>
        <w:t>% result from the allocation of seed-funds from ITU</w:t>
      </w:r>
      <w:r w:rsidR="00D9AFD3" w:rsidRPr="1189C88F">
        <w:rPr>
          <w:rFonts w:cstheme="minorBidi"/>
        </w:rPr>
        <w:t xml:space="preserve"> through the ITU ICT Development Fund (ICT-DF)</w:t>
      </w:r>
      <w:r w:rsidRPr="1189C88F">
        <w:rPr>
          <w:rFonts w:cstheme="minorBidi"/>
        </w:rPr>
        <w:t xml:space="preserve">. Figure </w:t>
      </w:r>
      <w:r w:rsidR="6156C94F" w:rsidRPr="1189C88F">
        <w:rPr>
          <w:rFonts w:cstheme="minorBidi"/>
        </w:rPr>
        <w:t>3</w:t>
      </w:r>
      <w:r w:rsidRPr="1189C88F">
        <w:rPr>
          <w:rFonts w:cstheme="minorBidi"/>
        </w:rPr>
        <w:t xml:space="preserve"> provides a graph showing percentages of extra-budgetary funds and ITU funds contributing to project budgets.</w:t>
      </w:r>
    </w:p>
    <w:bookmarkEnd w:id="11"/>
    <w:p w14:paraId="587758AA" w14:textId="64350C19" w:rsidR="000E3B24" w:rsidRPr="00A11186" w:rsidRDefault="27337AB2" w:rsidP="006D425C">
      <w:pPr>
        <w:spacing w:after="120"/>
        <w:jc w:val="center"/>
        <w:rPr>
          <w:rFonts w:cstheme="minorBidi"/>
          <w:b/>
          <w:bCs/>
        </w:rPr>
      </w:pPr>
      <w:r w:rsidRPr="1189C88F">
        <w:rPr>
          <w:rFonts w:cstheme="minorBidi"/>
          <w:b/>
          <w:bCs/>
        </w:rPr>
        <w:t xml:space="preserve">Figure </w:t>
      </w:r>
      <w:r w:rsidR="0FA7B748" w:rsidRPr="1189C88F">
        <w:rPr>
          <w:rFonts w:cstheme="minorBidi"/>
          <w:b/>
          <w:bCs/>
        </w:rPr>
        <w:t>3</w:t>
      </w:r>
      <w:r w:rsidRPr="1189C88F">
        <w:rPr>
          <w:rFonts w:cstheme="minorBidi"/>
          <w:b/>
          <w:bCs/>
        </w:rPr>
        <w:t xml:space="preserve"> – Funding sources for ITU Projects </w:t>
      </w:r>
      <w:r w:rsidR="0032550C" w:rsidRPr="1189C88F">
        <w:rPr>
          <w:rFonts w:cstheme="minorBidi"/>
          <w:b/>
          <w:bCs/>
        </w:rPr>
        <w:t>signed during the WTDC-22 cycle</w:t>
      </w:r>
    </w:p>
    <w:p w14:paraId="75915FAD" w14:textId="3EE27280" w:rsidR="000E3B24" w:rsidRPr="00965838" w:rsidRDefault="000E3B24" w:rsidP="006D425C">
      <w:pPr>
        <w:widowControl w:val="0"/>
        <w:spacing w:after="120"/>
        <w:jc w:val="center"/>
        <w:rPr>
          <w:rFonts w:cstheme="minorHAnsi"/>
          <w:noProof/>
        </w:rPr>
      </w:pPr>
      <w:r w:rsidRPr="005C3228">
        <w:rPr>
          <w:rFonts w:cstheme="minorHAnsi"/>
          <w:noProof/>
          <w:color w:val="FF0000"/>
        </w:rPr>
        <w:t xml:space="preserve"> </w:t>
      </w:r>
      <w:r w:rsidR="0032550C">
        <w:rPr>
          <w:noProof/>
        </w:rPr>
        <w:drawing>
          <wp:inline distT="0" distB="0" distL="0" distR="0" wp14:anchorId="104F6DFF" wp14:editId="2CEC9B87">
            <wp:extent cx="4572000" cy="2372264"/>
            <wp:effectExtent l="0" t="0" r="0" b="0"/>
            <wp:docPr id="891516628" name="Chart 1">
              <a:extLst xmlns:a="http://schemas.openxmlformats.org/drawingml/2006/main">
                <a:ext uri="{FF2B5EF4-FFF2-40B4-BE49-F238E27FC236}">
                  <a16:creationId xmlns:a16="http://schemas.microsoft.com/office/drawing/2014/main" id="{12B3A038-6F64-B93A-7002-504B6711A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105B98" w14:textId="77777777" w:rsidR="000E3B24" w:rsidRPr="00677941" w:rsidRDefault="000E3B24" w:rsidP="006D425C">
      <w:pPr>
        <w:pStyle w:val="Heading1"/>
        <w:numPr>
          <w:ilvl w:val="0"/>
          <w:numId w:val="45"/>
        </w:numPr>
        <w:spacing w:before="120" w:after="120"/>
        <w:ind w:left="357" w:hanging="357"/>
        <w:textAlignment w:val="auto"/>
        <w:rPr>
          <w:rFonts w:cstheme="minorHAnsi"/>
          <w:sz w:val="24"/>
          <w:szCs w:val="24"/>
        </w:rPr>
      </w:pPr>
      <w:r w:rsidRPr="00677941">
        <w:rPr>
          <w:rFonts w:cstheme="minorHAnsi"/>
          <w:sz w:val="24"/>
          <w:szCs w:val="24"/>
        </w:rPr>
        <w:lastRenderedPageBreak/>
        <w:t xml:space="preserve">Status update on the allocation of funding in support of the WTDC-22 Regional Initiatives </w:t>
      </w:r>
    </w:p>
    <w:p w14:paraId="661670F4" w14:textId="2AF0A3DA" w:rsidR="00C40ED6" w:rsidRDefault="000E3B24" w:rsidP="006D425C">
      <w:pPr>
        <w:keepNext/>
        <w:keepLines/>
        <w:widowControl w:val="0"/>
        <w:spacing w:after="120"/>
        <w:rPr>
          <w:rFonts w:cstheme="minorBidi"/>
        </w:rPr>
      </w:pPr>
      <w:r w:rsidRPr="00677941">
        <w:rPr>
          <w:rFonts w:cstheme="minorHAnsi"/>
        </w:rPr>
        <w:t>At the 2023 Session of the ITU Council, ITU membership approved the transfer of CHF 3 million from the Exhibition Working Capital Fund (EWCF) to the Capital Account of the Information and Communication Technologies Development Fund (ICT-DF)</w:t>
      </w:r>
      <w:r w:rsidR="001C24B7">
        <w:rPr>
          <w:rStyle w:val="FootnoteReference"/>
          <w:rFonts w:cstheme="minorBidi"/>
        </w:rPr>
        <w:footnoteReference w:id="4"/>
      </w:r>
      <w:r w:rsidRPr="00677941">
        <w:rPr>
          <w:rStyle w:val="FootnoteReference"/>
          <w:rFonts w:cstheme="minorHAnsi"/>
          <w:szCs w:val="18"/>
        </w:rPr>
        <w:t xml:space="preserve"> </w:t>
      </w:r>
      <w:r w:rsidRPr="00677941">
        <w:rPr>
          <w:rFonts w:cstheme="minorHAnsi"/>
        </w:rPr>
        <w:t>for the purpose of providing seed money for the financing of Regional Initiatives</w:t>
      </w:r>
      <w:r w:rsidRPr="00677941">
        <w:rPr>
          <w:rStyle w:val="FootnoteReference"/>
          <w:rFonts w:cstheme="minorHAnsi"/>
          <w:szCs w:val="18"/>
        </w:rPr>
        <w:footnoteReference w:id="5"/>
      </w:r>
      <w:r w:rsidRPr="00677941">
        <w:rPr>
          <w:rFonts w:cstheme="minorHAnsi"/>
        </w:rPr>
        <w:t xml:space="preserve">. </w:t>
      </w:r>
    </w:p>
    <w:p w14:paraId="0233B108" w14:textId="77A3CA59" w:rsidR="00382FCD" w:rsidRDefault="7ABC827E" w:rsidP="1189C88F">
      <w:pPr>
        <w:widowControl w:val="0"/>
        <w:spacing w:after="120"/>
        <w:rPr>
          <w:rFonts w:cstheme="minorBidi"/>
        </w:rPr>
      </w:pPr>
      <w:r w:rsidRPr="1189C88F">
        <w:rPr>
          <w:rFonts w:cstheme="minorBidi"/>
        </w:rPr>
        <w:t>During 202</w:t>
      </w:r>
      <w:r w:rsidR="24074E11" w:rsidRPr="1189C88F">
        <w:rPr>
          <w:rFonts w:cstheme="minorBidi"/>
        </w:rPr>
        <w:t>5</w:t>
      </w:r>
      <w:r w:rsidRPr="1189C88F">
        <w:rPr>
          <w:rFonts w:cstheme="minorBidi"/>
        </w:rPr>
        <w:t xml:space="preserve">, </w:t>
      </w:r>
      <w:r w:rsidR="7D33735C" w:rsidRPr="1189C88F">
        <w:rPr>
          <w:rFonts w:cstheme="minorBidi"/>
        </w:rPr>
        <w:t xml:space="preserve">the ICT-DF was </w:t>
      </w:r>
      <w:r w:rsidRPr="1189C88F">
        <w:rPr>
          <w:rFonts w:cstheme="minorBidi"/>
        </w:rPr>
        <w:t xml:space="preserve">used to support a total of </w:t>
      </w:r>
      <w:r w:rsidR="22F7E2A8" w:rsidRPr="1189C88F">
        <w:rPr>
          <w:rFonts w:cstheme="minorBidi"/>
        </w:rPr>
        <w:t>8</w:t>
      </w:r>
      <w:r w:rsidRPr="1189C88F">
        <w:rPr>
          <w:rFonts w:cstheme="minorBidi"/>
        </w:rPr>
        <w:t xml:space="preserve"> </w:t>
      </w:r>
      <w:r w:rsidR="47B5568C" w:rsidRPr="1189C88F">
        <w:rPr>
          <w:rFonts w:cstheme="minorBidi"/>
        </w:rPr>
        <w:t xml:space="preserve">new </w:t>
      </w:r>
      <w:r w:rsidRPr="1189C88F">
        <w:rPr>
          <w:rFonts w:cstheme="minorBidi"/>
        </w:rPr>
        <w:t xml:space="preserve">projects valued at </w:t>
      </w:r>
      <w:r w:rsidR="00153AD6" w:rsidRPr="1189C88F">
        <w:rPr>
          <w:rFonts w:cstheme="minorBidi"/>
        </w:rPr>
        <w:t xml:space="preserve">USD 22.5 </w:t>
      </w:r>
      <w:r w:rsidRPr="1189C88F">
        <w:rPr>
          <w:rFonts w:cstheme="minorBidi"/>
        </w:rPr>
        <w:t xml:space="preserve">million, utilizing </w:t>
      </w:r>
      <w:r w:rsidR="00153AD6" w:rsidRPr="1189C88F">
        <w:rPr>
          <w:rFonts w:cstheme="minorBidi"/>
        </w:rPr>
        <w:t xml:space="preserve">USD 2.1 </w:t>
      </w:r>
      <w:r w:rsidRPr="1189C88F">
        <w:rPr>
          <w:rFonts w:cstheme="minorBidi"/>
        </w:rPr>
        <w:t xml:space="preserve">million from the </w:t>
      </w:r>
      <w:r w:rsidR="50EFD412" w:rsidRPr="1189C88F">
        <w:rPr>
          <w:rFonts w:cstheme="minorBidi"/>
        </w:rPr>
        <w:t xml:space="preserve">Fund </w:t>
      </w:r>
      <w:r w:rsidRPr="1189C88F">
        <w:rPr>
          <w:rFonts w:cstheme="minorBidi"/>
        </w:rPr>
        <w:t xml:space="preserve">(see Figure </w:t>
      </w:r>
      <w:r w:rsidR="78233CE9" w:rsidRPr="1189C88F">
        <w:rPr>
          <w:rFonts w:cstheme="minorBidi"/>
        </w:rPr>
        <w:t>4</w:t>
      </w:r>
      <w:r w:rsidRPr="1189C88F">
        <w:rPr>
          <w:rFonts w:cstheme="minorBidi"/>
        </w:rPr>
        <w:t xml:space="preserve">). </w:t>
      </w:r>
      <w:r w:rsidR="70741D3B" w:rsidRPr="1189C88F">
        <w:rPr>
          <w:rFonts w:cstheme="minorBidi"/>
        </w:rPr>
        <w:t xml:space="preserve">These projects </w:t>
      </w:r>
      <w:r w:rsidR="00626270" w:rsidRPr="1189C88F">
        <w:rPr>
          <w:rFonts w:cstheme="minorBidi"/>
        </w:rPr>
        <w:t xml:space="preserve">are in addition </w:t>
      </w:r>
      <w:r w:rsidR="70741D3B" w:rsidRPr="1189C88F">
        <w:rPr>
          <w:rFonts w:cstheme="minorBidi"/>
        </w:rPr>
        <w:t xml:space="preserve">to the </w:t>
      </w:r>
      <w:r w:rsidR="2D21F724" w:rsidRPr="1189C88F">
        <w:rPr>
          <w:rFonts w:cstheme="minorBidi"/>
        </w:rPr>
        <w:t xml:space="preserve">18 </w:t>
      </w:r>
      <w:r w:rsidR="70741D3B" w:rsidRPr="1189C88F">
        <w:rPr>
          <w:rFonts w:cstheme="minorBidi"/>
        </w:rPr>
        <w:t>projects already signed</w:t>
      </w:r>
      <w:r w:rsidR="5D44476F" w:rsidRPr="1189C88F">
        <w:rPr>
          <w:rFonts w:cstheme="minorBidi"/>
        </w:rPr>
        <w:t xml:space="preserve"> with support from the ICT-DF</w:t>
      </w:r>
      <w:r w:rsidR="70741D3B" w:rsidRPr="1189C88F">
        <w:rPr>
          <w:rFonts w:cstheme="minorBidi"/>
        </w:rPr>
        <w:t xml:space="preserve"> in 2023 and 2024. </w:t>
      </w:r>
      <w:r w:rsidR="09DFFBF6" w:rsidRPr="1189C88F">
        <w:rPr>
          <w:rFonts w:cstheme="minorBidi"/>
        </w:rPr>
        <w:t>Further details about each project are available at ITU’s projects portal</w:t>
      </w:r>
      <w:r w:rsidR="00B76492" w:rsidRPr="1189C88F">
        <w:rPr>
          <w:rStyle w:val="FootnoteReference"/>
          <w:rFonts w:cstheme="minorBidi"/>
        </w:rPr>
        <w:footnoteReference w:id="6"/>
      </w:r>
      <w:r w:rsidR="09DFFBF6" w:rsidRPr="1189C88F">
        <w:rPr>
          <w:rFonts w:cstheme="minorBidi"/>
        </w:rPr>
        <w:t>.</w:t>
      </w:r>
    </w:p>
    <w:p w14:paraId="7507F8FA" w14:textId="654F51B2" w:rsidR="000E3B24" w:rsidRPr="00B87E4D" w:rsidRDefault="000E3B24" w:rsidP="1189C88F">
      <w:pPr>
        <w:keepNext/>
        <w:spacing w:after="120"/>
        <w:jc w:val="center"/>
        <w:rPr>
          <w:rFonts w:cstheme="minorBidi"/>
          <w:b/>
          <w:bCs/>
        </w:rPr>
      </w:pPr>
      <w:r w:rsidRPr="1189C88F">
        <w:rPr>
          <w:rFonts w:cstheme="minorBidi"/>
          <w:b/>
          <w:bCs/>
        </w:rPr>
        <w:t xml:space="preserve">Figure </w:t>
      </w:r>
      <w:r w:rsidR="1317D7FF" w:rsidRPr="1189C88F">
        <w:rPr>
          <w:rFonts w:cstheme="minorBidi"/>
          <w:b/>
          <w:bCs/>
        </w:rPr>
        <w:t>4</w:t>
      </w:r>
      <w:r w:rsidRPr="1189C88F">
        <w:rPr>
          <w:rFonts w:cstheme="minorBidi"/>
          <w:b/>
          <w:bCs/>
        </w:rPr>
        <w:t xml:space="preserve"> – New ICT-DF projects signed during 202</w:t>
      </w:r>
      <w:r w:rsidR="0097011B" w:rsidRPr="1189C88F">
        <w:rPr>
          <w:rFonts w:cstheme="minorBidi"/>
          <w:b/>
          <w:bCs/>
        </w:rPr>
        <w:t>5</w:t>
      </w:r>
      <w:r w:rsidRPr="1189C88F">
        <w:rPr>
          <w:rFonts w:cstheme="minorBidi"/>
          <w:b/>
          <w:bCs/>
        </w:rPr>
        <w:t xml:space="preserve"> (figures in K </w:t>
      </w:r>
      <w:r w:rsidR="00153AD6" w:rsidRPr="1189C88F">
        <w:rPr>
          <w:rFonts w:cstheme="minorBidi"/>
          <w:b/>
          <w:bCs/>
        </w:rPr>
        <w:t>USD</w:t>
      </w:r>
      <w:r w:rsidRPr="1189C88F">
        <w:rPr>
          <w:rFonts w:cstheme="minorBidi"/>
          <w:b/>
          <w:bCs/>
        </w:rPr>
        <w:t>)</w:t>
      </w:r>
      <w:r w:rsidR="003C3846" w:rsidRPr="1189C88F">
        <w:rPr>
          <w:rStyle w:val="FootnoteReference"/>
          <w:rFonts w:cstheme="minorBidi"/>
          <w:b/>
          <w:bCs/>
        </w:rPr>
        <w:footnoteReference w:id="7"/>
      </w:r>
    </w:p>
    <w:tbl>
      <w:tblPr>
        <w:tblW w:w="1096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122"/>
        <w:gridCol w:w="2293"/>
        <w:gridCol w:w="1260"/>
        <w:gridCol w:w="1350"/>
        <w:gridCol w:w="1027"/>
        <w:gridCol w:w="1027"/>
        <w:gridCol w:w="1027"/>
        <w:gridCol w:w="1856"/>
      </w:tblGrid>
      <w:tr w:rsidR="004E49F9" w:rsidRPr="004E49F9" w14:paraId="29BC5D44" w14:textId="77777777" w:rsidTr="1189C88F">
        <w:trPr>
          <w:trHeight w:val="371"/>
          <w:tblHeader/>
          <w:jc w:val="center"/>
        </w:trPr>
        <w:tc>
          <w:tcPr>
            <w:tcW w:w="1122" w:type="dxa"/>
            <w:shd w:val="clear" w:color="auto" w:fill="BFBFBF" w:themeFill="background1" w:themeFillShade="BF"/>
            <w:noWrap/>
            <w:vAlign w:val="center"/>
            <w:hideMark/>
          </w:tcPr>
          <w:p w14:paraId="4DE79252" w14:textId="77777777" w:rsidR="000E3B24" w:rsidRPr="004E49F9" w:rsidRDefault="000E3B24" w:rsidP="000B4DD8">
            <w:pPr>
              <w:spacing w:before="40" w:after="40"/>
              <w:jc w:val="center"/>
              <w:rPr>
                <w:rFonts w:cstheme="minorHAnsi"/>
                <w:b/>
                <w:bCs/>
                <w:sz w:val="18"/>
                <w:szCs w:val="18"/>
              </w:rPr>
            </w:pPr>
            <w:r w:rsidRPr="004E49F9">
              <w:rPr>
                <w:rFonts w:cstheme="minorHAnsi"/>
                <w:b/>
                <w:bCs/>
                <w:sz w:val="18"/>
                <w:szCs w:val="18"/>
              </w:rPr>
              <w:t>Project ID</w:t>
            </w:r>
          </w:p>
        </w:tc>
        <w:tc>
          <w:tcPr>
            <w:tcW w:w="2293" w:type="dxa"/>
            <w:shd w:val="clear" w:color="auto" w:fill="BFBFBF" w:themeFill="background1" w:themeFillShade="BF"/>
            <w:noWrap/>
            <w:vAlign w:val="center"/>
            <w:hideMark/>
          </w:tcPr>
          <w:p w14:paraId="47E5253C" w14:textId="77777777" w:rsidR="000E3B24" w:rsidRPr="004E49F9" w:rsidRDefault="000E3B24" w:rsidP="000B4DD8">
            <w:pPr>
              <w:spacing w:before="40" w:after="40"/>
              <w:jc w:val="center"/>
              <w:rPr>
                <w:rFonts w:cstheme="minorHAnsi"/>
                <w:b/>
                <w:bCs/>
                <w:sz w:val="18"/>
                <w:szCs w:val="18"/>
              </w:rPr>
            </w:pPr>
            <w:r w:rsidRPr="004E49F9">
              <w:rPr>
                <w:rFonts w:cstheme="minorHAnsi"/>
                <w:b/>
                <w:bCs/>
                <w:sz w:val="18"/>
                <w:szCs w:val="18"/>
              </w:rPr>
              <w:t>Project Title</w:t>
            </w:r>
          </w:p>
        </w:tc>
        <w:tc>
          <w:tcPr>
            <w:tcW w:w="1260" w:type="dxa"/>
            <w:shd w:val="clear" w:color="auto" w:fill="BFBFBF" w:themeFill="background1" w:themeFillShade="BF"/>
            <w:noWrap/>
            <w:vAlign w:val="center"/>
            <w:hideMark/>
          </w:tcPr>
          <w:p w14:paraId="3CD259A5" w14:textId="77777777" w:rsidR="000E3B24" w:rsidRPr="004E49F9" w:rsidRDefault="000E3B24" w:rsidP="000B4DD8">
            <w:pPr>
              <w:spacing w:before="40" w:after="40"/>
              <w:jc w:val="center"/>
              <w:rPr>
                <w:rFonts w:cstheme="minorHAnsi"/>
                <w:b/>
                <w:bCs/>
                <w:sz w:val="18"/>
                <w:szCs w:val="18"/>
              </w:rPr>
            </w:pPr>
            <w:r w:rsidRPr="004E49F9">
              <w:rPr>
                <w:rFonts w:cstheme="minorHAnsi"/>
                <w:b/>
                <w:bCs/>
                <w:sz w:val="18"/>
                <w:szCs w:val="18"/>
              </w:rPr>
              <w:t>Region</w:t>
            </w:r>
          </w:p>
        </w:tc>
        <w:tc>
          <w:tcPr>
            <w:tcW w:w="1350" w:type="dxa"/>
            <w:shd w:val="clear" w:color="auto" w:fill="BFBFBF" w:themeFill="background1" w:themeFillShade="BF"/>
            <w:noWrap/>
            <w:vAlign w:val="center"/>
            <w:hideMark/>
          </w:tcPr>
          <w:p w14:paraId="6CC5E987" w14:textId="77777777" w:rsidR="000E3B24" w:rsidRPr="004E49F9" w:rsidRDefault="000E3B24" w:rsidP="000B4DD8">
            <w:pPr>
              <w:spacing w:before="40" w:after="40"/>
              <w:jc w:val="center"/>
              <w:rPr>
                <w:rFonts w:cstheme="minorHAnsi"/>
                <w:b/>
                <w:bCs/>
                <w:sz w:val="18"/>
                <w:szCs w:val="18"/>
              </w:rPr>
            </w:pPr>
            <w:r w:rsidRPr="004E49F9">
              <w:rPr>
                <w:rFonts w:cstheme="minorHAnsi"/>
                <w:b/>
                <w:bCs/>
                <w:sz w:val="18"/>
                <w:szCs w:val="18"/>
              </w:rPr>
              <w:t>Regional Initiative</w:t>
            </w:r>
          </w:p>
        </w:tc>
        <w:tc>
          <w:tcPr>
            <w:tcW w:w="1027" w:type="dxa"/>
            <w:shd w:val="clear" w:color="auto" w:fill="BFBFBF" w:themeFill="background1" w:themeFillShade="BF"/>
            <w:noWrap/>
            <w:vAlign w:val="center"/>
            <w:hideMark/>
          </w:tcPr>
          <w:p w14:paraId="7F9CD108" w14:textId="77777777" w:rsidR="000E3B24" w:rsidRPr="004E49F9" w:rsidRDefault="000E3B24" w:rsidP="000B4DD8">
            <w:pPr>
              <w:spacing w:before="40" w:after="40"/>
              <w:jc w:val="center"/>
              <w:rPr>
                <w:rFonts w:cstheme="minorHAnsi"/>
                <w:b/>
                <w:bCs/>
                <w:sz w:val="18"/>
                <w:szCs w:val="18"/>
              </w:rPr>
            </w:pPr>
            <w:r w:rsidRPr="004E49F9">
              <w:rPr>
                <w:rFonts w:cstheme="minorHAnsi"/>
                <w:b/>
                <w:bCs/>
                <w:sz w:val="18"/>
                <w:szCs w:val="18"/>
              </w:rPr>
              <w:t>External Funds</w:t>
            </w:r>
          </w:p>
        </w:tc>
        <w:tc>
          <w:tcPr>
            <w:tcW w:w="1027" w:type="dxa"/>
            <w:shd w:val="clear" w:color="auto" w:fill="BFBFBF" w:themeFill="background1" w:themeFillShade="BF"/>
            <w:noWrap/>
            <w:vAlign w:val="center"/>
            <w:hideMark/>
          </w:tcPr>
          <w:p w14:paraId="3E0C1CD0" w14:textId="77777777" w:rsidR="000E3B24" w:rsidRPr="004E49F9" w:rsidRDefault="000E3B24" w:rsidP="000B4DD8">
            <w:pPr>
              <w:spacing w:before="40" w:after="40"/>
              <w:jc w:val="center"/>
              <w:rPr>
                <w:rFonts w:cstheme="minorHAnsi"/>
                <w:b/>
                <w:bCs/>
                <w:sz w:val="18"/>
                <w:szCs w:val="18"/>
              </w:rPr>
            </w:pPr>
            <w:r w:rsidRPr="004E49F9">
              <w:rPr>
                <w:rFonts w:cstheme="minorHAnsi"/>
                <w:b/>
                <w:bCs/>
                <w:sz w:val="18"/>
                <w:szCs w:val="18"/>
              </w:rPr>
              <w:t>ITU Funds</w:t>
            </w:r>
          </w:p>
        </w:tc>
        <w:tc>
          <w:tcPr>
            <w:tcW w:w="1027" w:type="dxa"/>
            <w:shd w:val="clear" w:color="auto" w:fill="BFBFBF" w:themeFill="background1" w:themeFillShade="BF"/>
            <w:noWrap/>
            <w:vAlign w:val="center"/>
            <w:hideMark/>
          </w:tcPr>
          <w:p w14:paraId="71BA299B" w14:textId="77777777" w:rsidR="000E3B24" w:rsidRPr="004E49F9" w:rsidRDefault="000E3B24" w:rsidP="000B4DD8">
            <w:pPr>
              <w:spacing w:before="40" w:after="40"/>
              <w:jc w:val="center"/>
              <w:rPr>
                <w:rFonts w:cstheme="minorHAnsi"/>
                <w:b/>
                <w:bCs/>
                <w:sz w:val="18"/>
                <w:szCs w:val="18"/>
              </w:rPr>
            </w:pPr>
            <w:r w:rsidRPr="004E49F9">
              <w:rPr>
                <w:rFonts w:cstheme="minorHAnsi"/>
                <w:b/>
                <w:bCs/>
                <w:sz w:val="18"/>
                <w:szCs w:val="18"/>
              </w:rPr>
              <w:t>Total funds</w:t>
            </w:r>
          </w:p>
        </w:tc>
        <w:tc>
          <w:tcPr>
            <w:tcW w:w="1856" w:type="dxa"/>
            <w:shd w:val="clear" w:color="auto" w:fill="BFBFBF" w:themeFill="background1" w:themeFillShade="BF"/>
            <w:noWrap/>
            <w:vAlign w:val="center"/>
            <w:hideMark/>
          </w:tcPr>
          <w:p w14:paraId="0DDB1B8B" w14:textId="77777777" w:rsidR="000E3B24" w:rsidRPr="004E49F9" w:rsidRDefault="000E3B24" w:rsidP="000B4DD8">
            <w:pPr>
              <w:spacing w:before="40" w:after="40"/>
              <w:jc w:val="center"/>
              <w:rPr>
                <w:rFonts w:cstheme="minorHAnsi"/>
                <w:b/>
                <w:bCs/>
                <w:sz w:val="18"/>
                <w:szCs w:val="18"/>
              </w:rPr>
            </w:pPr>
            <w:r w:rsidRPr="004E49F9">
              <w:rPr>
                <w:rFonts w:cstheme="minorHAnsi"/>
                <w:b/>
                <w:bCs/>
                <w:sz w:val="18"/>
                <w:szCs w:val="18"/>
              </w:rPr>
              <w:t>Partner</w:t>
            </w:r>
          </w:p>
        </w:tc>
      </w:tr>
      <w:tr w:rsidR="00722523" w:rsidRPr="004E49F9" w14:paraId="7450C02C" w14:textId="77777777" w:rsidTr="1189C88F">
        <w:trPr>
          <w:trHeight w:val="371"/>
          <w:jc w:val="center"/>
        </w:trPr>
        <w:tc>
          <w:tcPr>
            <w:tcW w:w="1122" w:type="dxa"/>
            <w:noWrap/>
            <w:vAlign w:val="center"/>
          </w:tcPr>
          <w:p w14:paraId="412286A2" w14:textId="3EAC9DF9" w:rsidR="00722523" w:rsidRPr="004E49F9" w:rsidRDefault="00722523" w:rsidP="000B4DD8">
            <w:pPr>
              <w:spacing w:before="40" w:after="40"/>
              <w:jc w:val="center"/>
              <w:rPr>
                <w:rFonts w:cstheme="minorBidi"/>
                <w:sz w:val="18"/>
                <w:szCs w:val="18"/>
              </w:rPr>
            </w:pPr>
            <w:r w:rsidRPr="4BEA81E6">
              <w:rPr>
                <w:rFonts w:cstheme="minorBidi"/>
                <w:sz w:val="18"/>
                <w:szCs w:val="18"/>
              </w:rPr>
              <w:t>7RAF25157</w:t>
            </w:r>
          </w:p>
        </w:tc>
        <w:tc>
          <w:tcPr>
            <w:tcW w:w="2293" w:type="dxa"/>
            <w:noWrap/>
            <w:vAlign w:val="center"/>
          </w:tcPr>
          <w:p w14:paraId="6493BEBB" w14:textId="7F353025" w:rsidR="00722523" w:rsidRPr="004E49F9" w:rsidRDefault="00722523" w:rsidP="000B4DD8">
            <w:pPr>
              <w:spacing w:before="40" w:after="40"/>
              <w:jc w:val="center"/>
              <w:rPr>
                <w:rFonts w:cstheme="minorHAnsi"/>
                <w:sz w:val="18"/>
                <w:szCs w:val="18"/>
              </w:rPr>
            </w:pPr>
            <w:r w:rsidRPr="004E49F9">
              <w:rPr>
                <w:rFonts w:cstheme="minorHAnsi"/>
                <w:sz w:val="18"/>
                <w:szCs w:val="18"/>
              </w:rPr>
              <w:t>Support to the implementation of GovStack projects in the Africa region</w:t>
            </w:r>
          </w:p>
        </w:tc>
        <w:tc>
          <w:tcPr>
            <w:tcW w:w="1260" w:type="dxa"/>
            <w:noWrap/>
            <w:vAlign w:val="center"/>
          </w:tcPr>
          <w:p w14:paraId="1308E986" w14:textId="368501B7" w:rsidR="00722523" w:rsidRPr="004E49F9" w:rsidRDefault="00722523" w:rsidP="000B4DD8">
            <w:pPr>
              <w:spacing w:before="40" w:after="40"/>
              <w:jc w:val="center"/>
              <w:rPr>
                <w:rFonts w:cstheme="minorHAnsi"/>
                <w:sz w:val="18"/>
                <w:szCs w:val="18"/>
              </w:rPr>
            </w:pPr>
            <w:r w:rsidRPr="004E49F9">
              <w:rPr>
                <w:rFonts w:cstheme="minorHAnsi"/>
                <w:sz w:val="18"/>
                <w:szCs w:val="18"/>
              </w:rPr>
              <w:t>AFR</w:t>
            </w:r>
          </w:p>
        </w:tc>
        <w:tc>
          <w:tcPr>
            <w:tcW w:w="1350" w:type="dxa"/>
            <w:noWrap/>
            <w:vAlign w:val="center"/>
          </w:tcPr>
          <w:p w14:paraId="57F36822" w14:textId="3594FB4A" w:rsidR="00722523" w:rsidRPr="004E49F9" w:rsidRDefault="00722523" w:rsidP="000B4DD8">
            <w:pPr>
              <w:spacing w:before="40" w:after="40"/>
              <w:jc w:val="center"/>
              <w:rPr>
                <w:rFonts w:cstheme="minorHAnsi"/>
                <w:sz w:val="18"/>
                <w:szCs w:val="18"/>
              </w:rPr>
            </w:pPr>
            <w:r w:rsidRPr="004E49F9">
              <w:rPr>
                <w:rFonts w:cstheme="minorHAnsi"/>
                <w:sz w:val="18"/>
                <w:szCs w:val="18"/>
              </w:rPr>
              <w:t>AFR1 - Digital transformat</w:t>
            </w:r>
            <w:r>
              <w:rPr>
                <w:rFonts w:cstheme="minorHAnsi"/>
                <w:sz w:val="18"/>
                <w:szCs w:val="18"/>
              </w:rPr>
              <w:t>io</w:t>
            </w:r>
            <w:r w:rsidRPr="004E49F9">
              <w:rPr>
                <w:rFonts w:cstheme="minorHAnsi"/>
                <w:sz w:val="18"/>
                <w:szCs w:val="18"/>
              </w:rPr>
              <w:t>n</w:t>
            </w:r>
          </w:p>
        </w:tc>
        <w:tc>
          <w:tcPr>
            <w:tcW w:w="1027" w:type="dxa"/>
            <w:noWrap/>
            <w:vAlign w:val="center"/>
          </w:tcPr>
          <w:p w14:paraId="2FEED1DF" w14:textId="55627EED" w:rsidR="00722523" w:rsidRPr="00722523" w:rsidRDefault="00722523" w:rsidP="000B4DD8">
            <w:pPr>
              <w:spacing w:before="40" w:after="40"/>
              <w:jc w:val="right"/>
              <w:rPr>
                <w:rFonts w:cstheme="minorHAnsi"/>
                <w:sz w:val="18"/>
                <w:szCs w:val="18"/>
              </w:rPr>
            </w:pPr>
            <w:r w:rsidRPr="00722523">
              <w:rPr>
                <w:rFonts w:cstheme="minorHAnsi"/>
                <w:sz w:val="18"/>
                <w:szCs w:val="18"/>
              </w:rPr>
              <w:t>853.45</w:t>
            </w:r>
          </w:p>
        </w:tc>
        <w:tc>
          <w:tcPr>
            <w:tcW w:w="1027" w:type="dxa"/>
            <w:noWrap/>
            <w:vAlign w:val="center"/>
          </w:tcPr>
          <w:p w14:paraId="77F6129A" w14:textId="6F38C558" w:rsidR="00722523" w:rsidRPr="004E49F9" w:rsidRDefault="00722523" w:rsidP="000B4DD8">
            <w:pPr>
              <w:spacing w:before="40" w:after="40"/>
              <w:jc w:val="right"/>
              <w:rPr>
                <w:rFonts w:cstheme="minorHAnsi"/>
                <w:sz w:val="18"/>
                <w:szCs w:val="18"/>
              </w:rPr>
            </w:pPr>
            <w:r w:rsidRPr="00722523">
              <w:rPr>
                <w:rFonts w:cstheme="minorHAnsi"/>
                <w:sz w:val="18"/>
                <w:szCs w:val="18"/>
              </w:rPr>
              <w:t>280.54</w:t>
            </w:r>
          </w:p>
        </w:tc>
        <w:tc>
          <w:tcPr>
            <w:tcW w:w="1027" w:type="dxa"/>
            <w:noWrap/>
            <w:vAlign w:val="center"/>
          </w:tcPr>
          <w:p w14:paraId="36349FCC" w14:textId="0E89A902" w:rsidR="00722523" w:rsidRPr="004E49F9" w:rsidRDefault="00722523" w:rsidP="000B4DD8">
            <w:pPr>
              <w:spacing w:before="40" w:after="40"/>
              <w:jc w:val="right"/>
              <w:rPr>
                <w:rFonts w:cstheme="minorHAnsi"/>
                <w:sz w:val="18"/>
                <w:szCs w:val="18"/>
              </w:rPr>
            </w:pPr>
            <w:r w:rsidRPr="00722523">
              <w:rPr>
                <w:rFonts w:cstheme="minorHAnsi"/>
                <w:sz w:val="18"/>
                <w:szCs w:val="18"/>
              </w:rPr>
              <w:t>1,133.99</w:t>
            </w:r>
          </w:p>
        </w:tc>
        <w:tc>
          <w:tcPr>
            <w:tcW w:w="1856" w:type="dxa"/>
            <w:noWrap/>
            <w:vAlign w:val="center"/>
          </w:tcPr>
          <w:p w14:paraId="1BE326B5" w14:textId="56C7442E" w:rsidR="00722523" w:rsidRPr="004E49F9" w:rsidRDefault="00722523" w:rsidP="000B4DD8">
            <w:pPr>
              <w:spacing w:before="40" w:after="40"/>
              <w:jc w:val="center"/>
              <w:rPr>
                <w:rFonts w:cstheme="minorHAnsi"/>
                <w:sz w:val="18"/>
                <w:szCs w:val="18"/>
              </w:rPr>
            </w:pPr>
            <w:r w:rsidRPr="004E49F9">
              <w:rPr>
                <w:rFonts w:cstheme="minorHAnsi"/>
                <w:sz w:val="18"/>
                <w:szCs w:val="18"/>
              </w:rPr>
              <w:t>World Bank</w:t>
            </w:r>
          </w:p>
        </w:tc>
      </w:tr>
      <w:tr w:rsidR="00722523" w:rsidRPr="004E49F9" w14:paraId="7AA9A3C0" w14:textId="77777777" w:rsidTr="1189C88F">
        <w:trPr>
          <w:trHeight w:val="371"/>
          <w:jc w:val="center"/>
        </w:trPr>
        <w:tc>
          <w:tcPr>
            <w:tcW w:w="1122" w:type="dxa"/>
            <w:noWrap/>
            <w:vAlign w:val="center"/>
          </w:tcPr>
          <w:p w14:paraId="58E950B1" w14:textId="358F77F2" w:rsidR="00722523" w:rsidRPr="004E49F9" w:rsidRDefault="00722523" w:rsidP="000B4DD8">
            <w:pPr>
              <w:spacing w:before="40" w:after="40"/>
              <w:jc w:val="center"/>
              <w:rPr>
                <w:rFonts w:cstheme="minorHAnsi"/>
                <w:sz w:val="18"/>
                <w:szCs w:val="18"/>
              </w:rPr>
            </w:pPr>
            <w:r w:rsidRPr="004E49F9">
              <w:rPr>
                <w:rFonts w:cstheme="minorHAnsi"/>
                <w:sz w:val="18"/>
                <w:szCs w:val="18"/>
              </w:rPr>
              <w:t>9RAS25001</w:t>
            </w:r>
          </w:p>
        </w:tc>
        <w:tc>
          <w:tcPr>
            <w:tcW w:w="2293" w:type="dxa"/>
            <w:noWrap/>
            <w:vAlign w:val="center"/>
          </w:tcPr>
          <w:p w14:paraId="09C9881F" w14:textId="5BF95395" w:rsidR="00722523" w:rsidRPr="004E49F9" w:rsidRDefault="00722523" w:rsidP="000B4DD8">
            <w:pPr>
              <w:spacing w:before="40" w:after="40"/>
              <w:jc w:val="center"/>
              <w:rPr>
                <w:rFonts w:cstheme="minorHAnsi"/>
                <w:sz w:val="18"/>
                <w:szCs w:val="18"/>
              </w:rPr>
            </w:pPr>
            <w:r w:rsidRPr="004E49F9">
              <w:rPr>
                <w:rFonts w:cstheme="minorHAnsi"/>
                <w:sz w:val="18"/>
                <w:szCs w:val="18"/>
              </w:rPr>
              <w:t>Artificial Intelligence Technology and Standards Capacity Building in Asia-Pacific</w:t>
            </w:r>
          </w:p>
        </w:tc>
        <w:tc>
          <w:tcPr>
            <w:tcW w:w="1260" w:type="dxa"/>
            <w:noWrap/>
            <w:vAlign w:val="center"/>
          </w:tcPr>
          <w:p w14:paraId="1377BD5E" w14:textId="07085EB6" w:rsidR="00722523" w:rsidRPr="004E49F9" w:rsidRDefault="00722523" w:rsidP="000B4DD8">
            <w:pPr>
              <w:spacing w:before="40" w:after="40"/>
              <w:jc w:val="center"/>
              <w:rPr>
                <w:rFonts w:cstheme="minorHAnsi"/>
                <w:sz w:val="18"/>
                <w:szCs w:val="18"/>
              </w:rPr>
            </w:pPr>
            <w:r w:rsidRPr="004E49F9">
              <w:rPr>
                <w:rFonts w:cstheme="minorHAnsi"/>
                <w:sz w:val="18"/>
                <w:szCs w:val="18"/>
              </w:rPr>
              <w:t>ASP</w:t>
            </w:r>
          </w:p>
        </w:tc>
        <w:tc>
          <w:tcPr>
            <w:tcW w:w="1350" w:type="dxa"/>
            <w:noWrap/>
            <w:vAlign w:val="center"/>
          </w:tcPr>
          <w:p w14:paraId="73A88A26" w14:textId="67262EF3" w:rsidR="00722523" w:rsidRPr="004E49F9" w:rsidRDefault="00722523" w:rsidP="000B4DD8">
            <w:pPr>
              <w:spacing w:before="40" w:after="40"/>
              <w:jc w:val="center"/>
              <w:rPr>
                <w:rFonts w:cstheme="minorHAnsi"/>
                <w:sz w:val="18"/>
                <w:szCs w:val="18"/>
              </w:rPr>
            </w:pPr>
            <w:r w:rsidRPr="004E49F9">
              <w:rPr>
                <w:rFonts w:cstheme="minorHAnsi"/>
                <w:sz w:val="18"/>
                <w:szCs w:val="18"/>
              </w:rPr>
              <w:t>ASP2 - Digital economy and inclusive digital societies</w:t>
            </w:r>
          </w:p>
        </w:tc>
        <w:tc>
          <w:tcPr>
            <w:tcW w:w="1027" w:type="dxa"/>
            <w:noWrap/>
            <w:vAlign w:val="center"/>
          </w:tcPr>
          <w:p w14:paraId="23C8CD31" w14:textId="00B0C1AB" w:rsidR="00722523" w:rsidRPr="004E49F9" w:rsidRDefault="00722523" w:rsidP="000B4DD8">
            <w:pPr>
              <w:spacing w:before="40" w:after="40"/>
              <w:jc w:val="right"/>
              <w:rPr>
                <w:rFonts w:cstheme="minorHAnsi"/>
                <w:sz w:val="18"/>
                <w:szCs w:val="18"/>
              </w:rPr>
            </w:pPr>
            <w:r w:rsidRPr="00722523">
              <w:rPr>
                <w:rFonts w:cstheme="minorHAnsi"/>
                <w:sz w:val="18"/>
                <w:szCs w:val="18"/>
              </w:rPr>
              <w:t>129.48</w:t>
            </w:r>
          </w:p>
        </w:tc>
        <w:tc>
          <w:tcPr>
            <w:tcW w:w="1027" w:type="dxa"/>
            <w:noWrap/>
            <w:vAlign w:val="center"/>
          </w:tcPr>
          <w:p w14:paraId="69748E2A" w14:textId="3141A846" w:rsidR="00722523" w:rsidRPr="004E49F9" w:rsidRDefault="00722523" w:rsidP="000B4DD8">
            <w:pPr>
              <w:spacing w:before="40" w:after="40"/>
              <w:jc w:val="right"/>
              <w:rPr>
                <w:rFonts w:cstheme="minorHAnsi"/>
                <w:sz w:val="18"/>
                <w:szCs w:val="18"/>
              </w:rPr>
            </w:pPr>
            <w:r w:rsidRPr="00722523">
              <w:rPr>
                <w:rFonts w:cstheme="minorHAnsi"/>
                <w:sz w:val="18"/>
                <w:szCs w:val="18"/>
              </w:rPr>
              <w:t>32.37</w:t>
            </w:r>
          </w:p>
        </w:tc>
        <w:tc>
          <w:tcPr>
            <w:tcW w:w="1027" w:type="dxa"/>
            <w:noWrap/>
            <w:vAlign w:val="center"/>
          </w:tcPr>
          <w:p w14:paraId="377ED865" w14:textId="641E1DAF" w:rsidR="00722523" w:rsidRPr="004E49F9" w:rsidRDefault="00722523" w:rsidP="000B4DD8">
            <w:pPr>
              <w:spacing w:before="40" w:after="40"/>
              <w:jc w:val="right"/>
              <w:rPr>
                <w:rFonts w:cstheme="minorHAnsi"/>
                <w:sz w:val="18"/>
                <w:szCs w:val="18"/>
              </w:rPr>
            </w:pPr>
            <w:r w:rsidRPr="00722523">
              <w:rPr>
                <w:rFonts w:cstheme="minorHAnsi"/>
                <w:sz w:val="18"/>
                <w:szCs w:val="18"/>
              </w:rPr>
              <w:t>161.85</w:t>
            </w:r>
          </w:p>
        </w:tc>
        <w:tc>
          <w:tcPr>
            <w:tcW w:w="1856" w:type="dxa"/>
            <w:noWrap/>
            <w:vAlign w:val="center"/>
          </w:tcPr>
          <w:p w14:paraId="18406D31" w14:textId="7AF6B86F" w:rsidR="00722523" w:rsidRPr="004E49F9" w:rsidRDefault="00722523" w:rsidP="000B4DD8">
            <w:pPr>
              <w:spacing w:before="40" w:after="40"/>
              <w:jc w:val="center"/>
              <w:rPr>
                <w:rFonts w:cstheme="minorHAnsi"/>
                <w:sz w:val="18"/>
                <w:szCs w:val="18"/>
              </w:rPr>
            </w:pPr>
            <w:r w:rsidRPr="004E49F9">
              <w:rPr>
                <w:rFonts w:cstheme="minorHAnsi"/>
                <w:sz w:val="18"/>
                <w:szCs w:val="18"/>
              </w:rPr>
              <w:t>MIC Japan</w:t>
            </w:r>
          </w:p>
        </w:tc>
      </w:tr>
      <w:tr w:rsidR="00722523" w:rsidRPr="004E49F9" w14:paraId="2FD7C8F1" w14:textId="77777777" w:rsidTr="1189C88F">
        <w:trPr>
          <w:trHeight w:val="371"/>
          <w:jc w:val="center"/>
        </w:trPr>
        <w:tc>
          <w:tcPr>
            <w:tcW w:w="1122" w:type="dxa"/>
            <w:noWrap/>
            <w:vAlign w:val="center"/>
          </w:tcPr>
          <w:p w14:paraId="58FBEA5E" w14:textId="28DFD910" w:rsidR="00722523" w:rsidRPr="004E49F9" w:rsidRDefault="00722523" w:rsidP="000B4DD8">
            <w:pPr>
              <w:spacing w:before="40" w:after="40"/>
              <w:jc w:val="center"/>
              <w:rPr>
                <w:rFonts w:cstheme="minorHAnsi"/>
                <w:sz w:val="18"/>
                <w:szCs w:val="18"/>
              </w:rPr>
            </w:pPr>
            <w:r w:rsidRPr="004E49F9">
              <w:rPr>
                <w:rFonts w:cstheme="minorHAnsi"/>
                <w:sz w:val="18"/>
                <w:szCs w:val="18"/>
              </w:rPr>
              <w:t>9RAS25002</w:t>
            </w:r>
          </w:p>
        </w:tc>
        <w:tc>
          <w:tcPr>
            <w:tcW w:w="2293" w:type="dxa"/>
            <w:noWrap/>
            <w:vAlign w:val="center"/>
          </w:tcPr>
          <w:p w14:paraId="535B0E76" w14:textId="51CD7DD4" w:rsidR="00722523" w:rsidRPr="004E49F9" w:rsidRDefault="00722523" w:rsidP="000B4DD8">
            <w:pPr>
              <w:spacing w:before="40" w:after="40"/>
              <w:jc w:val="center"/>
              <w:rPr>
                <w:rFonts w:cstheme="minorHAnsi"/>
                <w:sz w:val="18"/>
                <w:szCs w:val="18"/>
              </w:rPr>
            </w:pPr>
            <w:r w:rsidRPr="004E49F9">
              <w:rPr>
                <w:rFonts w:cstheme="minorHAnsi"/>
                <w:sz w:val="18"/>
                <w:szCs w:val="18"/>
              </w:rPr>
              <w:t>Enhancing Digital infrastructure and affordable access to ICT services in Asia and the Pacific – Phase 3</w:t>
            </w:r>
          </w:p>
        </w:tc>
        <w:tc>
          <w:tcPr>
            <w:tcW w:w="1260" w:type="dxa"/>
            <w:noWrap/>
            <w:vAlign w:val="center"/>
          </w:tcPr>
          <w:p w14:paraId="67469770" w14:textId="536105FB" w:rsidR="00722523" w:rsidRPr="004E49F9" w:rsidRDefault="00722523" w:rsidP="000B4DD8">
            <w:pPr>
              <w:spacing w:before="40" w:after="40"/>
              <w:jc w:val="center"/>
              <w:rPr>
                <w:rFonts w:cstheme="minorHAnsi"/>
                <w:sz w:val="18"/>
                <w:szCs w:val="18"/>
              </w:rPr>
            </w:pPr>
            <w:r w:rsidRPr="004E49F9">
              <w:rPr>
                <w:rFonts w:cstheme="minorHAnsi"/>
                <w:sz w:val="18"/>
                <w:szCs w:val="18"/>
              </w:rPr>
              <w:t>ASP</w:t>
            </w:r>
          </w:p>
        </w:tc>
        <w:tc>
          <w:tcPr>
            <w:tcW w:w="1350" w:type="dxa"/>
            <w:noWrap/>
            <w:vAlign w:val="center"/>
          </w:tcPr>
          <w:p w14:paraId="1A2C83F9" w14:textId="4C2F5177" w:rsidR="00722523" w:rsidRPr="004E49F9" w:rsidRDefault="00722523" w:rsidP="000B4DD8">
            <w:pPr>
              <w:spacing w:before="40" w:after="40"/>
              <w:jc w:val="center"/>
              <w:rPr>
                <w:rFonts w:cstheme="minorHAnsi"/>
                <w:sz w:val="18"/>
                <w:szCs w:val="18"/>
              </w:rPr>
            </w:pPr>
            <w:r w:rsidRPr="004E49F9">
              <w:rPr>
                <w:rFonts w:cstheme="minorHAnsi"/>
                <w:sz w:val="18"/>
                <w:szCs w:val="18"/>
              </w:rPr>
              <w:t>ASP3 - Infrastructure and digital connectivity</w:t>
            </w:r>
          </w:p>
        </w:tc>
        <w:tc>
          <w:tcPr>
            <w:tcW w:w="1027" w:type="dxa"/>
            <w:noWrap/>
            <w:vAlign w:val="center"/>
          </w:tcPr>
          <w:p w14:paraId="38CFAA98" w14:textId="431F52C9" w:rsidR="00722523" w:rsidRPr="004E49F9" w:rsidRDefault="00722523" w:rsidP="000B4DD8">
            <w:pPr>
              <w:spacing w:before="40" w:after="40"/>
              <w:jc w:val="right"/>
              <w:rPr>
                <w:rFonts w:cstheme="minorHAnsi"/>
                <w:sz w:val="18"/>
                <w:szCs w:val="18"/>
              </w:rPr>
            </w:pPr>
            <w:r w:rsidRPr="00722523">
              <w:rPr>
                <w:rFonts w:cstheme="minorHAnsi"/>
                <w:sz w:val="18"/>
                <w:szCs w:val="18"/>
              </w:rPr>
              <w:t>154.18</w:t>
            </w:r>
          </w:p>
        </w:tc>
        <w:tc>
          <w:tcPr>
            <w:tcW w:w="1027" w:type="dxa"/>
            <w:noWrap/>
            <w:vAlign w:val="center"/>
          </w:tcPr>
          <w:p w14:paraId="11D05978" w14:textId="5D5EF0B6" w:rsidR="00722523" w:rsidRPr="004E49F9" w:rsidRDefault="00722523" w:rsidP="000B4DD8">
            <w:pPr>
              <w:spacing w:before="40" w:after="40"/>
              <w:jc w:val="right"/>
              <w:rPr>
                <w:rFonts w:cstheme="minorHAnsi"/>
                <w:sz w:val="18"/>
                <w:szCs w:val="18"/>
              </w:rPr>
            </w:pPr>
            <w:r w:rsidRPr="00722523">
              <w:rPr>
                <w:rFonts w:cstheme="minorHAnsi"/>
                <w:sz w:val="18"/>
                <w:szCs w:val="18"/>
              </w:rPr>
              <w:t>38.61</w:t>
            </w:r>
          </w:p>
        </w:tc>
        <w:tc>
          <w:tcPr>
            <w:tcW w:w="1027" w:type="dxa"/>
            <w:noWrap/>
            <w:vAlign w:val="center"/>
          </w:tcPr>
          <w:p w14:paraId="010518AE" w14:textId="65D9A780" w:rsidR="00722523" w:rsidRPr="004E49F9" w:rsidRDefault="00722523" w:rsidP="000B4DD8">
            <w:pPr>
              <w:spacing w:before="40" w:after="40"/>
              <w:jc w:val="right"/>
              <w:rPr>
                <w:rFonts w:cstheme="minorHAnsi"/>
                <w:sz w:val="18"/>
                <w:szCs w:val="18"/>
              </w:rPr>
            </w:pPr>
            <w:r w:rsidRPr="00722523">
              <w:rPr>
                <w:rFonts w:cstheme="minorHAnsi"/>
                <w:sz w:val="18"/>
                <w:szCs w:val="18"/>
              </w:rPr>
              <w:t>192.79</w:t>
            </w:r>
          </w:p>
        </w:tc>
        <w:tc>
          <w:tcPr>
            <w:tcW w:w="1856" w:type="dxa"/>
            <w:noWrap/>
            <w:vAlign w:val="center"/>
          </w:tcPr>
          <w:p w14:paraId="1E5DC54C" w14:textId="2A6F170A" w:rsidR="00722523" w:rsidRPr="004E49F9" w:rsidRDefault="00722523" w:rsidP="000B4DD8">
            <w:pPr>
              <w:spacing w:before="40" w:after="40"/>
              <w:jc w:val="center"/>
              <w:rPr>
                <w:rFonts w:cstheme="minorBidi"/>
                <w:sz w:val="18"/>
                <w:szCs w:val="18"/>
              </w:rPr>
            </w:pPr>
            <w:r w:rsidRPr="341159C6">
              <w:rPr>
                <w:rFonts w:cstheme="minorBidi"/>
                <w:sz w:val="18"/>
                <w:szCs w:val="18"/>
              </w:rPr>
              <w:t>MIC Japan</w:t>
            </w:r>
          </w:p>
          <w:p w14:paraId="3B9074A6" w14:textId="703C9F3A" w:rsidR="00722523" w:rsidRPr="004E49F9" w:rsidRDefault="00722523" w:rsidP="000B4DD8">
            <w:pPr>
              <w:spacing w:before="40" w:after="40"/>
              <w:jc w:val="center"/>
              <w:rPr>
                <w:rFonts w:cstheme="minorBidi"/>
                <w:sz w:val="18"/>
                <w:szCs w:val="18"/>
              </w:rPr>
            </w:pPr>
          </w:p>
        </w:tc>
      </w:tr>
      <w:tr w:rsidR="00722523" w:rsidRPr="004E49F9" w14:paraId="1D11B56C" w14:textId="77777777" w:rsidTr="1189C88F">
        <w:trPr>
          <w:trHeight w:val="371"/>
          <w:jc w:val="center"/>
        </w:trPr>
        <w:tc>
          <w:tcPr>
            <w:tcW w:w="1122" w:type="dxa"/>
            <w:noWrap/>
            <w:vAlign w:val="center"/>
          </w:tcPr>
          <w:p w14:paraId="05C3AD6F" w14:textId="00AAF5B6" w:rsidR="00722523" w:rsidRPr="004E49F9" w:rsidRDefault="00722523" w:rsidP="000B4DD8">
            <w:pPr>
              <w:spacing w:before="40" w:after="40"/>
              <w:jc w:val="center"/>
              <w:rPr>
                <w:rFonts w:cstheme="minorHAnsi"/>
                <w:sz w:val="18"/>
                <w:szCs w:val="18"/>
              </w:rPr>
            </w:pPr>
            <w:r w:rsidRPr="00232D67">
              <w:rPr>
                <w:rFonts w:cstheme="minorHAnsi"/>
                <w:sz w:val="18"/>
                <w:szCs w:val="18"/>
              </w:rPr>
              <w:t>7RAS25162</w:t>
            </w:r>
          </w:p>
        </w:tc>
        <w:tc>
          <w:tcPr>
            <w:tcW w:w="2293" w:type="dxa"/>
            <w:noWrap/>
            <w:vAlign w:val="center"/>
          </w:tcPr>
          <w:p w14:paraId="3EE135B2" w14:textId="6E3C1C17" w:rsidR="00722523" w:rsidRPr="004E49F9" w:rsidRDefault="00722523" w:rsidP="000B4DD8">
            <w:pPr>
              <w:spacing w:before="40" w:after="40"/>
              <w:jc w:val="center"/>
              <w:rPr>
                <w:rFonts w:cstheme="minorHAnsi"/>
                <w:sz w:val="18"/>
                <w:szCs w:val="18"/>
              </w:rPr>
            </w:pPr>
            <w:r w:rsidRPr="00232D67">
              <w:rPr>
                <w:rFonts w:cstheme="minorHAnsi"/>
                <w:sz w:val="18"/>
                <w:szCs w:val="18"/>
              </w:rPr>
              <w:t>Enhancing the sustainability of Smart Villages and Smart Islands in the Asia-Pacific</w:t>
            </w:r>
          </w:p>
        </w:tc>
        <w:tc>
          <w:tcPr>
            <w:tcW w:w="1260" w:type="dxa"/>
            <w:noWrap/>
            <w:vAlign w:val="center"/>
          </w:tcPr>
          <w:p w14:paraId="60D5B43F" w14:textId="79D24604" w:rsidR="00722523" w:rsidRPr="004E49F9" w:rsidRDefault="00722523" w:rsidP="000B4DD8">
            <w:pPr>
              <w:spacing w:before="40" w:after="40"/>
              <w:jc w:val="center"/>
              <w:rPr>
                <w:rFonts w:cstheme="minorHAnsi"/>
                <w:sz w:val="18"/>
                <w:szCs w:val="18"/>
              </w:rPr>
            </w:pPr>
            <w:r w:rsidRPr="004E49F9">
              <w:rPr>
                <w:rFonts w:cstheme="minorHAnsi"/>
                <w:sz w:val="18"/>
                <w:szCs w:val="18"/>
              </w:rPr>
              <w:t>ASP</w:t>
            </w:r>
          </w:p>
        </w:tc>
        <w:tc>
          <w:tcPr>
            <w:tcW w:w="1350" w:type="dxa"/>
            <w:noWrap/>
            <w:vAlign w:val="center"/>
          </w:tcPr>
          <w:p w14:paraId="0170B2C7" w14:textId="59B0AAD9" w:rsidR="00722523" w:rsidRPr="004E49F9" w:rsidRDefault="00722523" w:rsidP="000B4DD8">
            <w:pPr>
              <w:spacing w:before="40" w:after="40"/>
              <w:jc w:val="center"/>
              <w:rPr>
                <w:rFonts w:cstheme="minorHAnsi"/>
                <w:sz w:val="18"/>
                <w:szCs w:val="18"/>
              </w:rPr>
            </w:pPr>
            <w:r w:rsidRPr="004E49F9">
              <w:rPr>
                <w:rFonts w:cstheme="minorHAnsi"/>
                <w:sz w:val="18"/>
                <w:szCs w:val="18"/>
              </w:rPr>
              <w:t>ASP2 - Digital economy and inclusive digital societies</w:t>
            </w:r>
          </w:p>
        </w:tc>
        <w:tc>
          <w:tcPr>
            <w:tcW w:w="1027" w:type="dxa"/>
            <w:noWrap/>
            <w:vAlign w:val="center"/>
          </w:tcPr>
          <w:p w14:paraId="5B872042" w14:textId="796F1304" w:rsidR="00722523" w:rsidRPr="004E49F9" w:rsidRDefault="00722523" w:rsidP="000B4DD8">
            <w:pPr>
              <w:spacing w:before="40" w:after="40"/>
              <w:jc w:val="right"/>
              <w:rPr>
                <w:rFonts w:cstheme="minorHAnsi"/>
                <w:sz w:val="18"/>
                <w:szCs w:val="18"/>
              </w:rPr>
            </w:pPr>
            <w:r w:rsidRPr="00722523">
              <w:rPr>
                <w:rFonts w:cstheme="minorHAnsi"/>
                <w:sz w:val="18"/>
                <w:szCs w:val="18"/>
              </w:rPr>
              <w:t>543.01</w:t>
            </w:r>
          </w:p>
        </w:tc>
        <w:tc>
          <w:tcPr>
            <w:tcW w:w="1027" w:type="dxa"/>
            <w:noWrap/>
            <w:vAlign w:val="center"/>
          </w:tcPr>
          <w:p w14:paraId="69ED6502" w14:textId="7615AC4C" w:rsidR="00722523" w:rsidRPr="004E49F9" w:rsidRDefault="00722523" w:rsidP="000B4DD8">
            <w:pPr>
              <w:spacing w:before="40" w:after="40"/>
              <w:jc w:val="right"/>
              <w:rPr>
                <w:rFonts w:cstheme="minorHAnsi"/>
                <w:sz w:val="18"/>
                <w:szCs w:val="18"/>
              </w:rPr>
            </w:pPr>
            <w:r w:rsidRPr="00722523">
              <w:rPr>
                <w:rFonts w:cstheme="minorHAnsi"/>
                <w:sz w:val="18"/>
                <w:szCs w:val="18"/>
              </w:rPr>
              <w:t>161.72</w:t>
            </w:r>
          </w:p>
        </w:tc>
        <w:tc>
          <w:tcPr>
            <w:tcW w:w="1027" w:type="dxa"/>
            <w:noWrap/>
            <w:vAlign w:val="center"/>
          </w:tcPr>
          <w:p w14:paraId="5348EBA5" w14:textId="1CA0218D" w:rsidR="00722523" w:rsidRPr="004E49F9" w:rsidRDefault="00722523" w:rsidP="000B4DD8">
            <w:pPr>
              <w:spacing w:before="40" w:after="40"/>
              <w:jc w:val="right"/>
              <w:rPr>
                <w:rFonts w:cstheme="minorHAnsi"/>
                <w:sz w:val="18"/>
                <w:szCs w:val="18"/>
              </w:rPr>
            </w:pPr>
            <w:r w:rsidRPr="00722523">
              <w:rPr>
                <w:rFonts w:cstheme="minorHAnsi"/>
                <w:sz w:val="18"/>
                <w:szCs w:val="18"/>
              </w:rPr>
              <w:t>704.86</w:t>
            </w:r>
          </w:p>
        </w:tc>
        <w:tc>
          <w:tcPr>
            <w:tcW w:w="1856" w:type="dxa"/>
            <w:noWrap/>
            <w:vAlign w:val="center"/>
          </w:tcPr>
          <w:p w14:paraId="2F8504B1" w14:textId="478579CC" w:rsidR="00722523" w:rsidRPr="004E49F9" w:rsidRDefault="00722523" w:rsidP="000B4DD8">
            <w:pPr>
              <w:spacing w:before="40" w:after="40"/>
              <w:jc w:val="center"/>
              <w:rPr>
                <w:rFonts w:cstheme="minorHAnsi"/>
                <w:sz w:val="18"/>
                <w:szCs w:val="18"/>
              </w:rPr>
            </w:pPr>
            <w:r w:rsidRPr="004C2413">
              <w:rPr>
                <w:rFonts w:cstheme="minorHAnsi"/>
                <w:sz w:val="18"/>
                <w:szCs w:val="18"/>
              </w:rPr>
              <w:t>DITRDCSA</w:t>
            </w:r>
            <w:r>
              <w:rPr>
                <w:rFonts w:cstheme="minorHAnsi"/>
                <w:sz w:val="18"/>
                <w:szCs w:val="18"/>
              </w:rPr>
              <w:t xml:space="preserve"> Australia</w:t>
            </w:r>
          </w:p>
        </w:tc>
      </w:tr>
      <w:tr w:rsidR="00722523" w:rsidRPr="004E49F9" w14:paraId="6C63F9C2" w14:textId="77777777" w:rsidTr="1189C88F">
        <w:trPr>
          <w:trHeight w:val="371"/>
          <w:jc w:val="center"/>
        </w:trPr>
        <w:tc>
          <w:tcPr>
            <w:tcW w:w="1122" w:type="dxa"/>
            <w:noWrap/>
            <w:vAlign w:val="center"/>
          </w:tcPr>
          <w:p w14:paraId="0444932E" w14:textId="3A6EF8C6" w:rsidR="00722523" w:rsidRPr="004E49F9" w:rsidRDefault="00722523" w:rsidP="000B4DD8">
            <w:pPr>
              <w:spacing w:before="40" w:after="40"/>
              <w:jc w:val="center"/>
              <w:rPr>
                <w:rFonts w:cstheme="minorHAnsi"/>
                <w:sz w:val="18"/>
                <w:szCs w:val="18"/>
              </w:rPr>
            </w:pPr>
            <w:r w:rsidRPr="004E49F9">
              <w:rPr>
                <w:rFonts w:cstheme="minorHAnsi"/>
                <w:sz w:val="18"/>
                <w:szCs w:val="18"/>
              </w:rPr>
              <w:t>7CIS25163</w:t>
            </w:r>
          </w:p>
        </w:tc>
        <w:tc>
          <w:tcPr>
            <w:tcW w:w="2293" w:type="dxa"/>
            <w:noWrap/>
            <w:vAlign w:val="center"/>
          </w:tcPr>
          <w:p w14:paraId="55CF0614" w14:textId="4E4A844B" w:rsidR="00722523" w:rsidRPr="004E49F9" w:rsidRDefault="00722523" w:rsidP="000B4DD8">
            <w:pPr>
              <w:spacing w:before="40" w:after="40"/>
              <w:jc w:val="center"/>
              <w:rPr>
                <w:rFonts w:cstheme="minorHAnsi"/>
                <w:sz w:val="18"/>
                <w:szCs w:val="18"/>
              </w:rPr>
            </w:pPr>
            <w:r w:rsidRPr="004E49F9">
              <w:rPr>
                <w:rFonts w:cstheme="minorHAnsi"/>
                <w:sz w:val="18"/>
                <w:szCs w:val="18"/>
              </w:rPr>
              <w:t>Satcom Capacity Building</w:t>
            </w:r>
          </w:p>
        </w:tc>
        <w:tc>
          <w:tcPr>
            <w:tcW w:w="1260" w:type="dxa"/>
            <w:noWrap/>
            <w:vAlign w:val="center"/>
          </w:tcPr>
          <w:p w14:paraId="02291A37" w14:textId="1BC20C36" w:rsidR="00722523" w:rsidRPr="004E49F9" w:rsidRDefault="00722523" w:rsidP="000B4DD8">
            <w:pPr>
              <w:spacing w:before="40" w:after="40"/>
              <w:jc w:val="center"/>
              <w:rPr>
                <w:rFonts w:cstheme="minorHAnsi"/>
                <w:sz w:val="18"/>
                <w:szCs w:val="18"/>
              </w:rPr>
            </w:pPr>
            <w:r w:rsidRPr="004E49F9">
              <w:rPr>
                <w:rFonts w:cstheme="minorHAnsi"/>
                <w:sz w:val="18"/>
                <w:szCs w:val="18"/>
              </w:rPr>
              <w:t>CIS</w:t>
            </w:r>
          </w:p>
        </w:tc>
        <w:tc>
          <w:tcPr>
            <w:tcW w:w="1350" w:type="dxa"/>
            <w:noWrap/>
            <w:vAlign w:val="center"/>
          </w:tcPr>
          <w:p w14:paraId="7DDF6780" w14:textId="7E5B3AB8" w:rsidR="00722523" w:rsidRPr="004E49F9" w:rsidRDefault="00722523" w:rsidP="000B4DD8">
            <w:pPr>
              <w:spacing w:before="40" w:after="40"/>
              <w:jc w:val="center"/>
              <w:rPr>
                <w:rFonts w:cstheme="minorHAnsi"/>
                <w:sz w:val="18"/>
                <w:szCs w:val="18"/>
              </w:rPr>
            </w:pPr>
            <w:r w:rsidRPr="004E49F9">
              <w:rPr>
                <w:rFonts w:cstheme="minorHAnsi"/>
                <w:sz w:val="18"/>
                <w:szCs w:val="18"/>
              </w:rPr>
              <w:t>CIS4 - Digital skills</w:t>
            </w:r>
          </w:p>
        </w:tc>
        <w:tc>
          <w:tcPr>
            <w:tcW w:w="1027" w:type="dxa"/>
            <w:noWrap/>
            <w:vAlign w:val="center"/>
          </w:tcPr>
          <w:p w14:paraId="7E928A31" w14:textId="4ED51C9E" w:rsidR="00722523" w:rsidRPr="004E49F9" w:rsidRDefault="00722523" w:rsidP="000B4DD8">
            <w:pPr>
              <w:spacing w:before="40" w:after="40"/>
              <w:jc w:val="right"/>
              <w:rPr>
                <w:rFonts w:cstheme="minorHAnsi"/>
                <w:sz w:val="18"/>
                <w:szCs w:val="18"/>
              </w:rPr>
            </w:pPr>
            <w:r w:rsidRPr="00722523">
              <w:rPr>
                <w:rFonts w:cstheme="minorHAnsi"/>
                <w:sz w:val="18"/>
                <w:szCs w:val="18"/>
              </w:rPr>
              <w:t>64.74</w:t>
            </w:r>
          </w:p>
        </w:tc>
        <w:tc>
          <w:tcPr>
            <w:tcW w:w="1027" w:type="dxa"/>
            <w:noWrap/>
            <w:vAlign w:val="center"/>
          </w:tcPr>
          <w:p w14:paraId="56CC71E9" w14:textId="05243D27" w:rsidR="00722523" w:rsidRPr="004E49F9" w:rsidRDefault="00722523" w:rsidP="000B4DD8">
            <w:pPr>
              <w:spacing w:before="40" w:after="40"/>
              <w:jc w:val="right"/>
              <w:rPr>
                <w:rFonts w:cstheme="minorHAnsi"/>
                <w:sz w:val="18"/>
                <w:szCs w:val="18"/>
              </w:rPr>
            </w:pPr>
            <w:r w:rsidRPr="00722523">
              <w:rPr>
                <w:rFonts w:cstheme="minorHAnsi"/>
                <w:sz w:val="18"/>
                <w:szCs w:val="18"/>
              </w:rPr>
              <w:t>64.74</w:t>
            </w:r>
          </w:p>
        </w:tc>
        <w:tc>
          <w:tcPr>
            <w:tcW w:w="1027" w:type="dxa"/>
            <w:noWrap/>
            <w:vAlign w:val="center"/>
          </w:tcPr>
          <w:p w14:paraId="7C3AD813" w14:textId="7D1B2577" w:rsidR="00722523" w:rsidRPr="004E49F9" w:rsidRDefault="00722523" w:rsidP="000B4DD8">
            <w:pPr>
              <w:spacing w:before="40" w:after="40"/>
              <w:jc w:val="right"/>
              <w:rPr>
                <w:rFonts w:cstheme="minorHAnsi"/>
                <w:sz w:val="18"/>
                <w:szCs w:val="18"/>
              </w:rPr>
            </w:pPr>
            <w:r w:rsidRPr="00722523">
              <w:rPr>
                <w:rFonts w:cstheme="minorHAnsi"/>
                <w:sz w:val="18"/>
                <w:szCs w:val="18"/>
              </w:rPr>
              <w:t>129.48</w:t>
            </w:r>
          </w:p>
        </w:tc>
        <w:tc>
          <w:tcPr>
            <w:tcW w:w="1856" w:type="dxa"/>
            <w:noWrap/>
            <w:vAlign w:val="center"/>
          </w:tcPr>
          <w:p w14:paraId="78804856" w14:textId="6D164BF7" w:rsidR="00722523" w:rsidRPr="004E49F9" w:rsidRDefault="00722523" w:rsidP="000B4DD8">
            <w:pPr>
              <w:spacing w:before="40" w:after="40"/>
              <w:jc w:val="center"/>
              <w:rPr>
                <w:rFonts w:cstheme="minorHAnsi"/>
                <w:sz w:val="18"/>
                <w:szCs w:val="18"/>
              </w:rPr>
            </w:pPr>
            <w:r w:rsidRPr="004E49F9">
              <w:rPr>
                <w:rFonts w:cstheme="minorHAnsi"/>
                <w:sz w:val="18"/>
                <w:szCs w:val="18"/>
              </w:rPr>
              <w:t>Intersputnik</w:t>
            </w:r>
          </w:p>
        </w:tc>
      </w:tr>
      <w:tr w:rsidR="00722523" w:rsidRPr="004E49F9" w14:paraId="4BF5ADDD" w14:textId="77777777" w:rsidTr="1189C88F">
        <w:trPr>
          <w:trHeight w:val="371"/>
          <w:jc w:val="center"/>
        </w:trPr>
        <w:tc>
          <w:tcPr>
            <w:tcW w:w="1122" w:type="dxa"/>
            <w:noWrap/>
            <w:vAlign w:val="center"/>
          </w:tcPr>
          <w:p w14:paraId="527184AE" w14:textId="0B6D3FB7" w:rsidR="00722523" w:rsidRPr="004E49F9" w:rsidRDefault="00722523" w:rsidP="000B4DD8">
            <w:pPr>
              <w:spacing w:before="40" w:after="40"/>
              <w:jc w:val="center"/>
              <w:rPr>
                <w:rFonts w:cstheme="minorHAnsi"/>
                <w:sz w:val="18"/>
                <w:szCs w:val="18"/>
              </w:rPr>
            </w:pPr>
            <w:r w:rsidRPr="004E49F9">
              <w:rPr>
                <w:rFonts w:cstheme="minorHAnsi"/>
                <w:sz w:val="18"/>
                <w:szCs w:val="18"/>
              </w:rPr>
              <w:t>7GLO25156</w:t>
            </w:r>
          </w:p>
        </w:tc>
        <w:tc>
          <w:tcPr>
            <w:tcW w:w="2293" w:type="dxa"/>
            <w:noWrap/>
            <w:vAlign w:val="center"/>
          </w:tcPr>
          <w:p w14:paraId="67FBF521" w14:textId="7932020E" w:rsidR="00722523" w:rsidRPr="004E49F9" w:rsidRDefault="00722523" w:rsidP="000B4DD8">
            <w:pPr>
              <w:spacing w:before="40" w:after="40"/>
              <w:jc w:val="center"/>
              <w:rPr>
                <w:rFonts w:cstheme="minorHAnsi"/>
                <w:sz w:val="18"/>
                <w:szCs w:val="18"/>
              </w:rPr>
            </w:pPr>
            <w:r w:rsidRPr="004E49F9">
              <w:rPr>
                <w:rFonts w:cstheme="minorHAnsi"/>
                <w:sz w:val="18"/>
                <w:szCs w:val="18"/>
              </w:rPr>
              <w:t>Strengthening engagement, compliance and reporting of the EU funded projects</w:t>
            </w:r>
          </w:p>
        </w:tc>
        <w:tc>
          <w:tcPr>
            <w:tcW w:w="1260" w:type="dxa"/>
            <w:noWrap/>
            <w:vAlign w:val="center"/>
          </w:tcPr>
          <w:p w14:paraId="47F7DEBC" w14:textId="074EF227" w:rsidR="00722523" w:rsidRPr="004E49F9" w:rsidRDefault="00722523" w:rsidP="000B4DD8">
            <w:pPr>
              <w:spacing w:before="40" w:after="40"/>
              <w:jc w:val="center"/>
              <w:rPr>
                <w:rFonts w:cstheme="minorHAnsi"/>
                <w:sz w:val="18"/>
                <w:szCs w:val="18"/>
              </w:rPr>
            </w:pPr>
            <w:r>
              <w:rPr>
                <w:rFonts w:cstheme="minorHAnsi"/>
                <w:sz w:val="18"/>
                <w:szCs w:val="18"/>
              </w:rPr>
              <w:t>Multi-regional</w:t>
            </w:r>
          </w:p>
        </w:tc>
        <w:tc>
          <w:tcPr>
            <w:tcW w:w="1350" w:type="dxa"/>
            <w:noWrap/>
            <w:vAlign w:val="center"/>
          </w:tcPr>
          <w:p w14:paraId="0B28B3C8" w14:textId="6D3DA60D" w:rsidR="00722523" w:rsidRPr="004E49F9" w:rsidRDefault="2A79385C" w:rsidP="000B4DD8">
            <w:pPr>
              <w:spacing w:before="40" w:after="40"/>
              <w:jc w:val="center"/>
              <w:rPr>
                <w:rFonts w:cstheme="minorBidi"/>
                <w:sz w:val="18"/>
                <w:szCs w:val="18"/>
              </w:rPr>
            </w:pPr>
            <w:r w:rsidRPr="1189C88F">
              <w:rPr>
                <w:rFonts w:cstheme="minorBidi"/>
                <w:sz w:val="18"/>
                <w:szCs w:val="18"/>
              </w:rPr>
              <w:t>Several RIs across regions</w:t>
            </w:r>
          </w:p>
        </w:tc>
        <w:tc>
          <w:tcPr>
            <w:tcW w:w="1027" w:type="dxa"/>
            <w:noWrap/>
            <w:vAlign w:val="center"/>
          </w:tcPr>
          <w:p w14:paraId="3385BF32" w14:textId="6961B88E" w:rsidR="00722523" w:rsidRPr="004E49F9" w:rsidRDefault="00722523" w:rsidP="000B4DD8">
            <w:pPr>
              <w:spacing w:before="40" w:after="40"/>
              <w:jc w:val="right"/>
              <w:rPr>
                <w:rFonts w:cstheme="minorHAnsi"/>
                <w:sz w:val="18"/>
                <w:szCs w:val="18"/>
              </w:rPr>
            </w:pPr>
            <w:r w:rsidRPr="00722523">
              <w:rPr>
                <w:rFonts w:cstheme="minorHAnsi"/>
                <w:sz w:val="18"/>
                <w:szCs w:val="18"/>
              </w:rPr>
              <w:t>18,259.80</w:t>
            </w:r>
          </w:p>
        </w:tc>
        <w:tc>
          <w:tcPr>
            <w:tcW w:w="1027" w:type="dxa"/>
            <w:noWrap/>
            <w:vAlign w:val="center"/>
          </w:tcPr>
          <w:p w14:paraId="2D04BC34" w14:textId="32D23292" w:rsidR="00722523" w:rsidRPr="004E49F9" w:rsidRDefault="00722523" w:rsidP="000B4DD8">
            <w:pPr>
              <w:spacing w:before="40" w:after="40"/>
              <w:jc w:val="right"/>
              <w:rPr>
                <w:rFonts w:cstheme="minorHAnsi"/>
                <w:sz w:val="18"/>
                <w:szCs w:val="18"/>
              </w:rPr>
            </w:pPr>
            <w:r w:rsidRPr="00722523">
              <w:rPr>
                <w:rFonts w:cstheme="minorHAnsi"/>
                <w:sz w:val="18"/>
                <w:szCs w:val="18"/>
              </w:rPr>
              <w:t>1,261.00</w:t>
            </w:r>
          </w:p>
        </w:tc>
        <w:tc>
          <w:tcPr>
            <w:tcW w:w="1027" w:type="dxa"/>
            <w:noWrap/>
            <w:vAlign w:val="center"/>
          </w:tcPr>
          <w:p w14:paraId="29B4E4F8" w14:textId="01F6C1F1" w:rsidR="00722523" w:rsidRPr="004E49F9" w:rsidRDefault="00722523" w:rsidP="000B4DD8">
            <w:pPr>
              <w:spacing w:before="40" w:after="40"/>
              <w:jc w:val="right"/>
              <w:rPr>
                <w:rFonts w:cstheme="minorHAnsi"/>
                <w:sz w:val="18"/>
                <w:szCs w:val="18"/>
              </w:rPr>
            </w:pPr>
            <w:r w:rsidRPr="00722523">
              <w:rPr>
                <w:rFonts w:cstheme="minorHAnsi"/>
                <w:sz w:val="18"/>
                <w:szCs w:val="18"/>
              </w:rPr>
              <w:t>19,520.80</w:t>
            </w:r>
          </w:p>
        </w:tc>
        <w:tc>
          <w:tcPr>
            <w:tcW w:w="1856" w:type="dxa"/>
            <w:noWrap/>
            <w:vAlign w:val="center"/>
          </w:tcPr>
          <w:p w14:paraId="1BC0BBEA" w14:textId="31AE0F0F" w:rsidR="00722523" w:rsidRPr="004E49F9" w:rsidRDefault="00722523" w:rsidP="000B4DD8">
            <w:pPr>
              <w:spacing w:before="40" w:after="40"/>
              <w:jc w:val="center"/>
              <w:rPr>
                <w:rFonts w:cstheme="minorHAnsi"/>
                <w:sz w:val="18"/>
                <w:szCs w:val="18"/>
              </w:rPr>
            </w:pPr>
            <w:r w:rsidRPr="004E49F9">
              <w:rPr>
                <w:rFonts w:cstheme="minorHAnsi"/>
                <w:sz w:val="18"/>
                <w:szCs w:val="18"/>
              </w:rPr>
              <w:t>European Union</w:t>
            </w:r>
          </w:p>
        </w:tc>
      </w:tr>
      <w:tr w:rsidR="00722523" w:rsidRPr="004E49F9" w14:paraId="1597B092" w14:textId="77777777" w:rsidTr="1189C88F">
        <w:trPr>
          <w:trHeight w:val="371"/>
          <w:jc w:val="center"/>
        </w:trPr>
        <w:tc>
          <w:tcPr>
            <w:tcW w:w="1122" w:type="dxa"/>
            <w:noWrap/>
            <w:vAlign w:val="center"/>
          </w:tcPr>
          <w:p w14:paraId="2B1BD76B" w14:textId="7D84713C" w:rsidR="00722523" w:rsidRPr="004E49F9" w:rsidRDefault="00722523" w:rsidP="000B4DD8">
            <w:pPr>
              <w:spacing w:before="40" w:after="40"/>
              <w:jc w:val="center"/>
              <w:rPr>
                <w:rFonts w:cstheme="minorHAnsi"/>
                <w:sz w:val="18"/>
                <w:szCs w:val="18"/>
              </w:rPr>
            </w:pPr>
            <w:r w:rsidRPr="004E49F9">
              <w:rPr>
                <w:rFonts w:cstheme="minorHAnsi"/>
                <w:sz w:val="18"/>
                <w:szCs w:val="18"/>
              </w:rPr>
              <w:t>7GLO25151</w:t>
            </w:r>
          </w:p>
        </w:tc>
        <w:tc>
          <w:tcPr>
            <w:tcW w:w="2293" w:type="dxa"/>
            <w:noWrap/>
            <w:vAlign w:val="center"/>
          </w:tcPr>
          <w:p w14:paraId="6623FF6E" w14:textId="5CF9133D" w:rsidR="00722523" w:rsidRPr="004E49F9" w:rsidRDefault="00722523" w:rsidP="000B4DD8">
            <w:pPr>
              <w:spacing w:before="40" w:after="40"/>
              <w:jc w:val="center"/>
              <w:rPr>
                <w:rFonts w:cstheme="minorHAnsi"/>
                <w:sz w:val="18"/>
                <w:szCs w:val="18"/>
              </w:rPr>
            </w:pPr>
            <w:r w:rsidRPr="004E49F9">
              <w:rPr>
                <w:rFonts w:cstheme="minorHAnsi"/>
                <w:sz w:val="18"/>
                <w:szCs w:val="18"/>
              </w:rPr>
              <w:t>Her Cyber Tracks part 3</w:t>
            </w:r>
          </w:p>
        </w:tc>
        <w:tc>
          <w:tcPr>
            <w:tcW w:w="1260" w:type="dxa"/>
            <w:noWrap/>
            <w:vAlign w:val="center"/>
          </w:tcPr>
          <w:p w14:paraId="0E0B1DD1" w14:textId="4BF8502E" w:rsidR="00722523" w:rsidRPr="004E49F9" w:rsidRDefault="00722523" w:rsidP="000B4DD8">
            <w:pPr>
              <w:spacing w:before="40" w:after="40"/>
              <w:jc w:val="center"/>
              <w:rPr>
                <w:rFonts w:cstheme="minorHAnsi"/>
                <w:sz w:val="18"/>
                <w:szCs w:val="18"/>
              </w:rPr>
            </w:pPr>
            <w:r>
              <w:rPr>
                <w:rFonts w:cstheme="minorHAnsi"/>
                <w:sz w:val="18"/>
                <w:szCs w:val="18"/>
              </w:rPr>
              <w:t>Multi-regional, with focus on LDCs</w:t>
            </w:r>
          </w:p>
        </w:tc>
        <w:tc>
          <w:tcPr>
            <w:tcW w:w="1350" w:type="dxa"/>
            <w:noWrap/>
            <w:vAlign w:val="center"/>
          </w:tcPr>
          <w:p w14:paraId="5B83A242" w14:textId="521C2E11" w:rsidR="00722523" w:rsidRPr="004E49F9" w:rsidRDefault="2A79385C" w:rsidP="000B4DD8">
            <w:pPr>
              <w:spacing w:before="40" w:after="40"/>
              <w:jc w:val="center"/>
              <w:rPr>
                <w:rFonts w:cstheme="minorBidi"/>
                <w:sz w:val="18"/>
                <w:szCs w:val="18"/>
              </w:rPr>
            </w:pPr>
            <w:r w:rsidRPr="1189C88F">
              <w:rPr>
                <w:rFonts w:cstheme="minorBidi"/>
                <w:sz w:val="18"/>
                <w:szCs w:val="18"/>
              </w:rPr>
              <w:t>Several RIs across regions</w:t>
            </w:r>
          </w:p>
        </w:tc>
        <w:tc>
          <w:tcPr>
            <w:tcW w:w="1027" w:type="dxa"/>
            <w:noWrap/>
            <w:vAlign w:val="center"/>
          </w:tcPr>
          <w:p w14:paraId="63F494D1" w14:textId="6F9784E6" w:rsidR="00722523" w:rsidRPr="004E49F9" w:rsidRDefault="00722523" w:rsidP="000B4DD8">
            <w:pPr>
              <w:spacing w:before="40" w:after="40"/>
              <w:jc w:val="right"/>
              <w:rPr>
                <w:rFonts w:cstheme="minorHAnsi"/>
                <w:sz w:val="18"/>
                <w:szCs w:val="18"/>
              </w:rPr>
            </w:pPr>
            <w:r w:rsidRPr="00722523">
              <w:rPr>
                <w:rFonts w:cstheme="minorHAnsi"/>
                <w:sz w:val="18"/>
                <w:szCs w:val="18"/>
              </w:rPr>
              <w:t>285.48</w:t>
            </w:r>
          </w:p>
        </w:tc>
        <w:tc>
          <w:tcPr>
            <w:tcW w:w="1027" w:type="dxa"/>
            <w:noWrap/>
            <w:vAlign w:val="center"/>
          </w:tcPr>
          <w:p w14:paraId="38FE03C5" w14:textId="7A4C67F3" w:rsidR="00722523" w:rsidRPr="004E49F9" w:rsidRDefault="00722523" w:rsidP="000B4DD8">
            <w:pPr>
              <w:spacing w:before="40" w:after="40"/>
              <w:jc w:val="right"/>
              <w:rPr>
                <w:rFonts w:cstheme="minorHAnsi"/>
                <w:sz w:val="18"/>
                <w:szCs w:val="18"/>
              </w:rPr>
            </w:pPr>
            <w:r w:rsidRPr="00722523">
              <w:rPr>
                <w:rFonts w:cstheme="minorHAnsi"/>
                <w:sz w:val="18"/>
                <w:szCs w:val="18"/>
              </w:rPr>
              <w:t>124.54</w:t>
            </w:r>
          </w:p>
        </w:tc>
        <w:tc>
          <w:tcPr>
            <w:tcW w:w="1027" w:type="dxa"/>
            <w:noWrap/>
            <w:vAlign w:val="center"/>
          </w:tcPr>
          <w:p w14:paraId="03E38159" w14:textId="16FC56D9" w:rsidR="00722523" w:rsidRPr="004E49F9" w:rsidRDefault="00722523" w:rsidP="000B4DD8">
            <w:pPr>
              <w:spacing w:before="40" w:after="40"/>
              <w:jc w:val="right"/>
              <w:rPr>
                <w:rFonts w:cstheme="minorHAnsi"/>
                <w:sz w:val="18"/>
                <w:szCs w:val="18"/>
              </w:rPr>
            </w:pPr>
            <w:r w:rsidRPr="00722523">
              <w:rPr>
                <w:rFonts w:cstheme="minorHAnsi"/>
                <w:sz w:val="18"/>
                <w:szCs w:val="18"/>
              </w:rPr>
              <w:t>409.89</w:t>
            </w:r>
          </w:p>
        </w:tc>
        <w:tc>
          <w:tcPr>
            <w:tcW w:w="1856" w:type="dxa"/>
            <w:noWrap/>
            <w:vAlign w:val="center"/>
          </w:tcPr>
          <w:p w14:paraId="49E5F292" w14:textId="7B65EF37" w:rsidR="00722523" w:rsidRPr="004E49F9" w:rsidRDefault="00722523" w:rsidP="000B4DD8">
            <w:pPr>
              <w:spacing w:before="40" w:after="40"/>
              <w:jc w:val="center"/>
              <w:rPr>
                <w:rFonts w:cstheme="minorHAnsi"/>
                <w:sz w:val="18"/>
                <w:szCs w:val="18"/>
              </w:rPr>
            </w:pPr>
            <w:r w:rsidRPr="004E49F9">
              <w:rPr>
                <w:rFonts w:cstheme="minorHAnsi"/>
                <w:sz w:val="18"/>
                <w:szCs w:val="18"/>
              </w:rPr>
              <w:t>GIZ</w:t>
            </w:r>
          </w:p>
        </w:tc>
      </w:tr>
      <w:tr w:rsidR="00722523" w:rsidRPr="004E49F9" w14:paraId="611562D2" w14:textId="77777777" w:rsidTr="1189C88F">
        <w:trPr>
          <w:trHeight w:val="371"/>
          <w:jc w:val="center"/>
        </w:trPr>
        <w:tc>
          <w:tcPr>
            <w:tcW w:w="1122" w:type="dxa"/>
            <w:noWrap/>
            <w:vAlign w:val="center"/>
          </w:tcPr>
          <w:p w14:paraId="775D893B" w14:textId="1097020D" w:rsidR="00722523" w:rsidRPr="004E49F9" w:rsidRDefault="00722523" w:rsidP="000B4DD8">
            <w:pPr>
              <w:spacing w:before="40" w:after="40"/>
              <w:jc w:val="center"/>
              <w:rPr>
                <w:rFonts w:cstheme="minorHAnsi"/>
                <w:sz w:val="18"/>
                <w:szCs w:val="18"/>
              </w:rPr>
            </w:pPr>
            <w:r w:rsidRPr="004E49F9">
              <w:rPr>
                <w:rFonts w:cstheme="minorHAnsi"/>
                <w:sz w:val="18"/>
                <w:szCs w:val="18"/>
              </w:rPr>
              <w:t>7GLO25152</w:t>
            </w:r>
          </w:p>
        </w:tc>
        <w:tc>
          <w:tcPr>
            <w:tcW w:w="2293" w:type="dxa"/>
            <w:noWrap/>
            <w:vAlign w:val="center"/>
          </w:tcPr>
          <w:p w14:paraId="5A66A57A" w14:textId="0C3663F3" w:rsidR="00722523" w:rsidRPr="004E49F9" w:rsidRDefault="00722523" w:rsidP="000B4DD8">
            <w:pPr>
              <w:spacing w:before="40" w:after="40"/>
              <w:jc w:val="center"/>
              <w:rPr>
                <w:rFonts w:cstheme="minorHAnsi"/>
                <w:sz w:val="18"/>
                <w:szCs w:val="18"/>
              </w:rPr>
            </w:pPr>
            <w:r w:rsidRPr="004E49F9">
              <w:rPr>
                <w:rFonts w:cstheme="minorHAnsi"/>
                <w:sz w:val="18"/>
                <w:szCs w:val="18"/>
              </w:rPr>
              <w:t>International Exchange on E-waste Regulation and Engagement of Electronics Producers – Creating a Circular Economy for Electronics</w:t>
            </w:r>
          </w:p>
        </w:tc>
        <w:tc>
          <w:tcPr>
            <w:tcW w:w="1260" w:type="dxa"/>
            <w:noWrap/>
            <w:vAlign w:val="center"/>
          </w:tcPr>
          <w:p w14:paraId="2EE71BB4" w14:textId="0A5506BE" w:rsidR="00722523" w:rsidRPr="004E49F9" w:rsidRDefault="00722523" w:rsidP="000B4DD8">
            <w:pPr>
              <w:spacing w:before="40" w:after="40"/>
              <w:jc w:val="center"/>
              <w:rPr>
                <w:rFonts w:cstheme="minorHAnsi"/>
                <w:sz w:val="18"/>
                <w:szCs w:val="18"/>
              </w:rPr>
            </w:pPr>
            <w:r>
              <w:rPr>
                <w:rFonts w:cstheme="minorHAnsi"/>
                <w:sz w:val="18"/>
                <w:szCs w:val="18"/>
              </w:rPr>
              <w:t>Multi-regional</w:t>
            </w:r>
          </w:p>
        </w:tc>
        <w:tc>
          <w:tcPr>
            <w:tcW w:w="1350" w:type="dxa"/>
            <w:noWrap/>
            <w:vAlign w:val="center"/>
          </w:tcPr>
          <w:p w14:paraId="731E8ED2" w14:textId="0B9A1D14" w:rsidR="00722523" w:rsidRPr="004E49F9" w:rsidRDefault="2A79385C" w:rsidP="000B4DD8">
            <w:pPr>
              <w:spacing w:before="40" w:after="40"/>
              <w:jc w:val="center"/>
              <w:rPr>
                <w:rFonts w:cstheme="minorBidi"/>
                <w:sz w:val="18"/>
                <w:szCs w:val="18"/>
              </w:rPr>
            </w:pPr>
            <w:r w:rsidRPr="1189C88F">
              <w:rPr>
                <w:rFonts w:cstheme="minorBidi"/>
                <w:sz w:val="18"/>
                <w:szCs w:val="18"/>
              </w:rPr>
              <w:t>Several RIs across regions</w:t>
            </w:r>
          </w:p>
        </w:tc>
        <w:tc>
          <w:tcPr>
            <w:tcW w:w="1027" w:type="dxa"/>
            <w:noWrap/>
            <w:vAlign w:val="center"/>
          </w:tcPr>
          <w:p w14:paraId="765A0499" w14:textId="32E3A154" w:rsidR="00722523" w:rsidRPr="004E49F9" w:rsidRDefault="00722523" w:rsidP="000B4DD8">
            <w:pPr>
              <w:spacing w:before="40" w:after="40"/>
              <w:jc w:val="right"/>
              <w:rPr>
                <w:rFonts w:cstheme="minorHAnsi"/>
                <w:sz w:val="18"/>
                <w:szCs w:val="18"/>
              </w:rPr>
            </w:pPr>
            <w:r w:rsidRPr="00722523">
              <w:rPr>
                <w:rFonts w:cstheme="minorHAnsi"/>
                <w:sz w:val="18"/>
                <w:szCs w:val="18"/>
              </w:rPr>
              <w:t>161.85</w:t>
            </w:r>
          </w:p>
        </w:tc>
        <w:tc>
          <w:tcPr>
            <w:tcW w:w="1027" w:type="dxa"/>
            <w:noWrap/>
            <w:vAlign w:val="center"/>
          </w:tcPr>
          <w:p w14:paraId="766F5A97" w14:textId="5A667B0D" w:rsidR="00722523" w:rsidRPr="004E49F9" w:rsidRDefault="00722523" w:rsidP="000B4DD8">
            <w:pPr>
              <w:spacing w:before="40" w:after="40"/>
              <w:jc w:val="right"/>
              <w:rPr>
                <w:rFonts w:cstheme="minorHAnsi"/>
                <w:sz w:val="18"/>
                <w:szCs w:val="18"/>
              </w:rPr>
            </w:pPr>
            <w:r w:rsidRPr="00722523">
              <w:rPr>
                <w:rFonts w:cstheme="minorHAnsi"/>
                <w:sz w:val="18"/>
                <w:szCs w:val="18"/>
              </w:rPr>
              <w:t>161.85</w:t>
            </w:r>
          </w:p>
        </w:tc>
        <w:tc>
          <w:tcPr>
            <w:tcW w:w="1027" w:type="dxa"/>
            <w:noWrap/>
            <w:vAlign w:val="center"/>
          </w:tcPr>
          <w:p w14:paraId="28F33A2F" w14:textId="0A5DB17F" w:rsidR="00722523" w:rsidRPr="004E49F9" w:rsidRDefault="00722523" w:rsidP="000B4DD8">
            <w:pPr>
              <w:spacing w:before="40" w:after="40"/>
              <w:jc w:val="right"/>
              <w:rPr>
                <w:rFonts w:cstheme="minorHAnsi"/>
                <w:sz w:val="18"/>
                <w:szCs w:val="18"/>
              </w:rPr>
            </w:pPr>
            <w:r w:rsidRPr="00722523">
              <w:rPr>
                <w:rFonts w:cstheme="minorHAnsi"/>
                <w:sz w:val="18"/>
                <w:szCs w:val="18"/>
              </w:rPr>
              <w:t>323.70</w:t>
            </w:r>
          </w:p>
        </w:tc>
        <w:tc>
          <w:tcPr>
            <w:tcW w:w="1856" w:type="dxa"/>
            <w:noWrap/>
            <w:vAlign w:val="center"/>
          </w:tcPr>
          <w:p w14:paraId="160BE323" w14:textId="33D864F3" w:rsidR="00722523" w:rsidRPr="004E49F9" w:rsidRDefault="00722523" w:rsidP="000B4DD8">
            <w:pPr>
              <w:spacing w:before="40" w:after="40"/>
              <w:jc w:val="center"/>
              <w:rPr>
                <w:rFonts w:cstheme="minorHAnsi"/>
                <w:sz w:val="18"/>
                <w:szCs w:val="18"/>
              </w:rPr>
            </w:pPr>
            <w:r w:rsidRPr="004E49F9">
              <w:rPr>
                <w:rFonts w:cstheme="minorHAnsi"/>
                <w:sz w:val="18"/>
                <w:szCs w:val="18"/>
              </w:rPr>
              <w:t>APC Colombia</w:t>
            </w:r>
          </w:p>
        </w:tc>
      </w:tr>
      <w:tr w:rsidR="00722523" w:rsidRPr="004E49F9" w14:paraId="48CC62AD" w14:textId="77777777" w:rsidTr="1189C88F">
        <w:trPr>
          <w:trHeight w:val="371"/>
          <w:jc w:val="center"/>
        </w:trPr>
        <w:tc>
          <w:tcPr>
            <w:tcW w:w="1122" w:type="dxa"/>
            <w:shd w:val="clear" w:color="auto" w:fill="BFBFBF" w:themeFill="background1" w:themeFillShade="BF"/>
            <w:noWrap/>
            <w:vAlign w:val="center"/>
          </w:tcPr>
          <w:p w14:paraId="7E871721" w14:textId="77777777" w:rsidR="00722523" w:rsidRPr="00153AD6" w:rsidRDefault="00722523" w:rsidP="000B4DD8">
            <w:pPr>
              <w:spacing w:before="40" w:after="40"/>
              <w:jc w:val="center"/>
              <w:rPr>
                <w:rFonts w:cstheme="minorHAnsi"/>
                <w:b/>
                <w:bCs/>
                <w:sz w:val="18"/>
                <w:szCs w:val="18"/>
              </w:rPr>
            </w:pPr>
          </w:p>
        </w:tc>
        <w:tc>
          <w:tcPr>
            <w:tcW w:w="2293" w:type="dxa"/>
            <w:shd w:val="clear" w:color="auto" w:fill="BFBFBF" w:themeFill="background1" w:themeFillShade="BF"/>
            <w:noWrap/>
            <w:vAlign w:val="center"/>
          </w:tcPr>
          <w:p w14:paraId="1F8F3A76" w14:textId="77777777" w:rsidR="00722523" w:rsidRPr="00153AD6" w:rsidRDefault="00722523" w:rsidP="000B4DD8">
            <w:pPr>
              <w:spacing w:before="40" w:after="40"/>
              <w:jc w:val="center"/>
              <w:rPr>
                <w:rFonts w:cstheme="minorHAnsi"/>
                <w:b/>
                <w:bCs/>
                <w:sz w:val="18"/>
                <w:szCs w:val="18"/>
              </w:rPr>
            </w:pPr>
            <w:r w:rsidRPr="00153AD6">
              <w:rPr>
                <w:rFonts w:cstheme="minorHAnsi"/>
                <w:b/>
                <w:bCs/>
                <w:sz w:val="18"/>
                <w:szCs w:val="18"/>
              </w:rPr>
              <w:t>Total</w:t>
            </w:r>
          </w:p>
        </w:tc>
        <w:tc>
          <w:tcPr>
            <w:tcW w:w="1260" w:type="dxa"/>
            <w:shd w:val="clear" w:color="auto" w:fill="BFBFBF" w:themeFill="background1" w:themeFillShade="BF"/>
            <w:noWrap/>
            <w:vAlign w:val="center"/>
          </w:tcPr>
          <w:p w14:paraId="54C282E1" w14:textId="77777777" w:rsidR="00722523" w:rsidRPr="00153AD6" w:rsidRDefault="00722523" w:rsidP="000B4DD8">
            <w:pPr>
              <w:spacing w:before="40" w:after="40"/>
              <w:jc w:val="center"/>
              <w:rPr>
                <w:rFonts w:cstheme="minorHAnsi"/>
                <w:b/>
                <w:bCs/>
                <w:sz w:val="18"/>
                <w:szCs w:val="18"/>
              </w:rPr>
            </w:pPr>
          </w:p>
        </w:tc>
        <w:tc>
          <w:tcPr>
            <w:tcW w:w="1350" w:type="dxa"/>
            <w:shd w:val="clear" w:color="auto" w:fill="BFBFBF" w:themeFill="background1" w:themeFillShade="BF"/>
            <w:noWrap/>
            <w:vAlign w:val="center"/>
          </w:tcPr>
          <w:p w14:paraId="4523CC8D" w14:textId="77777777" w:rsidR="00722523" w:rsidRPr="00153AD6" w:rsidRDefault="00722523" w:rsidP="000B4DD8">
            <w:pPr>
              <w:spacing w:before="40" w:after="40"/>
              <w:jc w:val="center"/>
              <w:rPr>
                <w:rFonts w:cstheme="minorHAnsi"/>
                <w:b/>
                <w:bCs/>
                <w:sz w:val="18"/>
                <w:szCs w:val="18"/>
              </w:rPr>
            </w:pPr>
          </w:p>
        </w:tc>
        <w:tc>
          <w:tcPr>
            <w:tcW w:w="1027" w:type="dxa"/>
            <w:shd w:val="clear" w:color="auto" w:fill="BFBFBF" w:themeFill="background1" w:themeFillShade="BF"/>
            <w:noWrap/>
            <w:vAlign w:val="center"/>
          </w:tcPr>
          <w:p w14:paraId="096B1CC3" w14:textId="0A2B9AE4" w:rsidR="00722523" w:rsidRPr="00153AD6" w:rsidRDefault="00722523" w:rsidP="000B4DD8">
            <w:pPr>
              <w:spacing w:before="40" w:after="40"/>
              <w:jc w:val="right"/>
              <w:rPr>
                <w:rFonts w:cstheme="minorHAnsi"/>
                <w:b/>
                <w:bCs/>
                <w:sz w:val="18"/>
                <w:szCs w:val="18"/>
              </w:rPr>
            </w:pPr>
            <w:r w:rsidRPr="00153AD6">
              <w:rPr>
                <w:rFonts w:cstheme="minorHAnsi"/>
                <w:b/>
                <w:bCs/>
                <w:sz w:val="18"/>
                <w:szCs w:val="18"/>
              </w:rPr>
              <w:t>20,451.08</w:t>
            </w:r>
          </w:p>
        </w:tc>
        <w:tc>
          <w:tcPr>
            <w:tcW w:w="1027" w:type="dxa"/>
            <w:shd w:val="clear" w:color="auto" w:fill="BFBFBF" w:themeFill="background1" w:themeFillShade="BF"/>
            <w:noWrap/>
            <w:vAlign w:val="center"/>
          </w:tcPr>
          <w:p w14:paraId="6D3B08A7" w14:textId="03E427CC" w:rsidR="00722523" w:rsidRPr="00153AD6" w:rsidRDefault="00722523" w:rsidP="000B4DD8">
            <w:pPr>
              <w:spacing w:before="40" w:after="40"/>
              <w:jc w:val="right"/>
              <w:rPr>
                <w:rFonts w:cstheme="minorHAnsi"/>
                <w:b/>
                <w:bCs/>
                <w:sz w:val="18"/>
                <w:szCs w:val="18"/>
              </w:rPr>
            </w:pPr>
            <w:r w:rsidRPr="00153AD6">
              <w:rPr>
                <w:rFonts w:cstheme="minorHAnsi"/>
                <w:b/>
                <w:bCs/>
                <w:sz w:val="18"/>
                <w:szCs w:val="18"/>
              </w:rPr>
              <w:t>2,125.24</w:t>
            </w:r>
          </w:p>
        </w:tc>
        <w:tc>
          <w:tcPr>
            <w:tcW w:w="1027" w:type="dxa"/>
            <w:shd w:val="clear" w:color="auto" w:fill="BFBFBF" w:themeFill="background1" w:themeFillShade="BF"/>
            <w:noWrap/>
            <w:vAlign w:val="center"/>
          </w:tcPr>
          <w:p w14:paraId="0CC7E821" w14:textId="7B29FD24" w:rsidR="00722523" w:rsidRPr="00153AD6" w:rsidRDefault="00722523" w:rsidP="000B4DD8">
            <w:pPr>
              <w:spacing w:before="40" w:after="40"/>
              <w:jc w:val="right"/>
              <w:rPr>
                <w:rFonts w:cstheme="minorHAnsi"/>
                <w:b/>
                <w:bCs/>
                <w:sz w:val="18"/>
                <w:szCs w:val="18"/>
              </w:rPr>
            </w:pPr>
            <w:r w:rsidRPr="00153AD6">
              <w:rPr>
                <w:rFonts w:cstheme="minorHAnsi"/>
                <w:b/>
                <w:bCs/>
                <w:sz w:val="18"/>
                <w:szCs w:val="18"/>
              </w:rPr>
              <w:t>22,577.36</w:t>
            </w:r>
          </w:p>
        </w:tc>
        <w:tc>
          <w:tcPr>
            <w:tcW w:w="1856" w:type="dxa"/>
            <w:shd w:val="clear" w:color="auto" w:fill="BFBFBF" w:themeFill="background1" w:themeFillShade="BF"/>
            <w:noWrap/>
            <w:vAlign w:val="center"/>
          </w:tcPr>
          <w:p w14:paraId="6C20FE65" w14:textId="77777777" w:rsidR="00722523" w:rsidRPr="00153AD6" w:rsidRDefault="00722523" w:rsidP="000B4DD8">
            <w:pPr>
              <w:spacing w:before="40" w:after="40"/>
              <w:jc w:val="center"/>
              <w:rPr>
                <w:rFonts w:cstheme="minorHAnsi"/>
                <w:b/>
                <w:bCs/>
                <w:sz w:val="18"/>
                <w:szCs w:val="18"/>
              </w:rPr>
            </w:pPr>
          </w:p>
        </w:tc>
      </w:tr>
    </w:tbl>
    <w:p w14:paraId="63F25598" w14:textId="39B30382" w:rsidR="000E3B24" w:rsidRPr="004E49F9" w:rsidRDefault="000E3B24" w:rsidP="1189C88F">
      <w:pPr>
        <w:spacing w:before="60" w:after="60"/>
        <w:rPr>
          <w:rFonts w:cstheme="minorBidi"/>
          <w:sz w:val="18"/>
          <w:szCs w:val="18"/>
        </w:rPr>
      </w:pPr>
      <w:r w:rsidRPr="1189C88F">
        <w:rPr>
          <w:rFonts w:cstheme="minorBidi"/>
          <w:sz w:val="18"/>
          <w:szCs w:val="18"/>
        </w:rPr>
        <w:t xml:space="preserve">Note: All funds converted to </w:t>
      </w:r>
      <w:r w:rsidR="00722102" w:rsidRPr="1189C88F">
        <w:rPr>
          <w:rFonts w:cstheme="minorBidi"/>
          <w:sz w:val="18"/>
          <w:szCs w:val="18"/>
        </w:rPr>
        <w:t>USD</w:t>
      </w:r>
    </w:p>
    <w:p w14:paraId="62CAA4BF" w14:textId="77777777" w:rsidR="000E3B24" w:rsidRPr="009D65B1" w:rsidRDefault="000E3B24" w:rsidP="000E3B24">
      <w:pPr>
        <w:spacing w:before="60" w:after="60"/>
        <w:rPr>
          <w:rFonts w:cstheme="minorHAnsi"/>
          <w:sz w:val="18"/>
          <w:szCs w:val="18"/>
        </w:rPr>
      </w:pPr>
    </w:p>
    <w:p w14:paraId="2E644108" w14:textId="020D9E5F" w:rsidR="000E3B24" w:rsidRPr="00B831F9" w:rsidRDefault="0663BFE5" w:rsidP="00072502">
      <w:pPr>
        <w:widowControl w:val="0"/>
        <w:spacing w:after="120"/>
        <w:rPr>
          <w:rFonts w:cstheme="minorHAnsi"/>
        </w:rPr>
      </w:pPr>
      <w:r w:rsidRPr="2C155D8B">
        <w:rPr>
          <w:rFonts w:cstheme="minorBidi"/>
        </w:rPr>
        <w:lastRenderedPageBreak/>
        <w:t xml:space="preserve">As BDT moves forward with the implementation of the Baku Action Plan, it will be important to ensure that ICT-DF continues to have sufficient funding to support </w:t>
      </w:r>
      <w:r w:rsidR="2CEFB860" w:rsidRPr="2C155D8B">
        <w:rPr>
          <w:rFonts w:cstheme="minorBidi"/>
        </w:rPr>
        <w:t>the set</w:t>
      </w:r>
      <w:r w:rsidR="28EC3CAA" w:rsidRPr="2C155D8B">
        <w:rPr>
          <w:rFonts w:cstheme="minorBidi"/>
        </w:rPr>
        <w:t>-</w:t>
      </w:r>
      <w:r w:rsidR="2CEFB860" w:rsidRPr="2C155D8B">
        <w:rPr>
          <w:rFonts w:cstheme="minorBidi"/>
        </w:rPr>
        <w:t>up of new projects throughout the WTDC-25 cycle.</w:t>
      </w:r>
      <w:r w:rsidR="1CB11283" w:rsidRPr="2C155D8B">
        <w:rPr>
          <w:rFonts w:cstheme="minorBidi"/>
        </w:rPr>
        <w:t xml:space="preserve"> </w:t>
      </w:r>
    </w:p>
    <w:p w14:paraId="571F8BC6" w14:textId="37FD3464" w:rsidR="000E3B24" w:rsidRPr="00B831F9" w:rsidRDefault="000E3B24" w:rsidP="000E3B24">
      <w:pPr>
        <w:pStyle w:val="Heading1"/>
        <w:numPr>
          <w:ilvl w:val="0"/>
          <w:numId w:val="45"/>
        </w:numPr>
        <w:spacing w:before="120" w:after="120"/>
        <w:ind w:left="357" w:hanging="357"/>
        <w:textAlignment w:val="auto"/>
        <w:rPr>
          <w:rFonts w:cstheme="minorHAnsi"/>
          <w:sz w:val="24"/>
          <w:szCs w:val="24"/>
        </w:rPr>
      </w:pPr>
      <w:r w:rsidRPr="00B831F9">
        <w:rPr>
          <w:rFonts w:cstheme="minorHAnsi"/>
          <w:sz w:val="24"/>
          <w:szCs w:val="24"/>
        </w:rPr>
        <w:t xml:space="preserve">Reinforcing </w:t>
      </w:r>
      <w:r w:rsidR="00F76E8C" w:rsidRPr="00B831F9">
        <w:rPr>
          <w:rFonts w:cstheme="minorHAnsi"/>
          <w:sz w:val="24"/>
          <w:szCs w:val="24"/>
        </w:rPr>
        <w:t xml:space="preserve">project management practices </w:t>
      </w:r>
      <w:r w:rsidR="00445A60" w:rsidRPr="00B831F9">
        <w:rPr>
          <w:rFonts w:cstheme="minorHAnsi"/>
          <w:sz w:val="24"/>
          <w:szCs w:val="24"/>
        </w:rPr>
        <w:t xml:space="preserve">and governance </w:t>
      </w:r>
      <w:r w:rsidR="00E06313" w:rsidRPr="00B831F9">
        <w:rPr>
          <w:rFonts w:cstheme="minorHAnsi"/>
          <w:sz w:val="24"/>
          <w:szCs w:val="24"/>
        </w:rPr>
        <w:t xml:space="preserve">across </w:t>
      </w:r>
      <w:r w:rsidRPr="00B831F9">
        <w:rPr>
          <w:rFonts w:cstheme="minorHAnsi"/>
          <w:sz w:val="24"/>
          <w:szCs w:val="24"/>
        </w:rPr>
        <w:t>BDT</w:t>
      </w:r>
      <w:r w:rsidR="00326F4A" w:rsidRPr="00B831F9">
        <w:rPr>
          <w:rFonts w:cstheme="minorHAnsi"/>
          <w:sz w:val="24"/>
          <w:szCs w:val="24"/>
        </w:rPr>
        <w:t xml:space="preserve"> projects</w:t>
      </w:r>
    </w:p>
    <w:p w14:paraId="63157D06" w14:textId="5F0B5E2C" w:rsidR="00E02AF2" w:rsidRPr="00B831F9" w:rsidRDefault="000E3B24" w:rsidP="00303EBB">
      <w:pPr>
        <w:pStyle w:val="ListParagraph"/>
        <w:widowControl w:val="0"/>
        <w:spacing w:after="120"/>
        <w:ind w:left="0"/>
        <w:contextualSpacing w:val="0"/>
        <w:rPr>
          <w:rFonts w:cstheme="minorHAnsi"/>
        </w:rPr>
      </w:pPr>
      <w:r w:rsidRPr="00B831F9">
        <w:rPr>
          <w:rFonts w:cstheme="minorHAnsi"/>
        </w:rPr>
        <w:t xml:space="preserve">BDT has continued to strengthen project management practices </w:t>
      </w:r>
      <w:r w:rsidR="00921363" w:rsidRPr="00B831F9">
        <w:rPr>
          <w:rFonts w:cstheme="minorHAnsi"/>
        </w:rPr>
        <w:t>throughout 2025</w:t>
      </w:r>
      <w:r w:rsidR="00660308" w:rsidRPr="00B831F9">
        <w:rPr>
          <w:rFonts w:cstheme="minorHAnsi"/>
        </w:rPr>
        <w:t>, building on the improvements already introduced in the last few years</w:t>
      </w:r>
      <w:r w:rsidR="00921363" w:rsidRPr="00B831F9">
        <w:rPr>
          <w:rFonts w:cstheme="minorHAnsi"/>
        </w:rPr>
        <w:t>.</w:t>
      </w:r>
      <w:r w:rsidR="00660308" w:rsidRPr="00B831F9">
        <w:rPr>
          <w:rFonts w:cstheme="minorHAnsi"/>
        </w:rPr>
        <w:t xml:space="preserve"> </w:t>
      </w:r>
      <w:r w:rsidR="00303EBB" w:rsidRPr="00B831F9">
        <w:rPr>
          <w:rFonts w:cstheme="minorHAnsi"/>
        </w:rPr>
        <w:t>One of the main actions implemented</w:t>
      </w:r>
      <w:r w:rsidR="00F2107E">
        <w:rPr>
          <w:rFonts w:cstheme="minorHAnsi"/>
        </w:rPr>
        <w:t xml:space="preserve"> during the year</w:t>
      </w:r>
      <w:r w:rsidR="00303EBB" w:rsidRPr="00B831F9">
        <w:rPr>
          <w:rFonts w:cstheme="minorHAnsi"/>
        </w:rPr>
        <w:t xml:space="preserve"> was the creation of the Project Implementation Unit (PPI), established as part of </w:t>
      </w:r>
      <w:r w:rsidR="00645992" w:rsidRPr="00B831F9">
        <w:rPr>
          <w:rFonts w:cstheme="minorHAnsi"/>
        </w:rPr>
        <w:t xml:space="preserve">the new structure of the ITU </w:t>
      </w:r>
      <w:r w:rsidR="00764079" w:rsidRPr="00B831F9">
        <w:rPr>
          <w:rFonts w:cstheme="minorHAnsi"/>
        </w:rPr>
        <w:t>Telecommunication</w:t>
      </w:r>
      <w:r w:rsidR="00645992" w:rsidRPr="00B831F9">
        <w:rPr>
          <w:rFonts w:cstheme="minorHAnsi"/>
        </w:rPr>
        <w:t xml:space="preserve"> Development Bureau</w:t>
      </w:r>
      <w:r w:rsidR="00E03CE5" w:rsidRPr="00B831F9">
        <w:rPr>
          <w:rFonts w:cstheme="minorHAnsi"/>
        </w:rPr>
        <w:t xml:space="preserve">. Hosted under the Deputy to the Director, </w:t>
      </w:r>
      <w:r w:rsidR="00B831F9" w:rsidRPr="00B831F9">
        <w:rPr>
          <w:rFonts w:cstheme="minorHAnsi"/>
        </w:rPr>
        <w:t xml:space="preserve">PPI works across all thematic areas to reinforce planning and execution in line with the BDT Project Management Manual. Its role is to accelerate implementation and </w:t>
      </w:r>
      <w:r w:rsidR="001A042F">
        <w:rPr>
          <w:rFonts w:cstheme="minorHAnsi"/>
        </w:rPr>
        <w:t xml:space="preserve">enhance </w:t>
      </w:r>
      <w:r w:rsidR="00B831F9" w:rsidRPr="00B831F9">
        <w:rPr>
          <w:rFonts w:cstheme="minorHAnsi"/>
        </w:rPr>
        <w:t>coordination amongst relevant support functions, contributing to address internal bottlenecks</w:t>
      </w:r>
      <w:r w:rsidR="001A042F">
        <w:rPr>
          <w:rFonts w:cstheme="minorHAnsi"/>
        </w:rPr>
        <w:t xml:space="preserve"> and </w:t>
      </w:r>
      <w:r w:rsidR="00B831F9" w:rsidRPr="00B831F9">
        <w:rPr>
          <w:rFonts w:cstheme="minorHAnsi"/>
        </w:rPr>
        <w:t xml:space="preserve">improve effectiveness in </w:t>
      </w:r>
      <w:r w:rsidR="001A042F">
        <w:rPr>
          <w:rFonts w:cstheme="minorHAnsi"/>
        </w:rPr>
        <w:t>ITU</w:t>
      </w:r>
      <w:r w:rsidR="00AD650A">
        <w:rPr>
          <w:rFonts w:cstheme="minorHAnsi"/>
        </w:rPr>
        <w:t>-D</w:t>
      </w:r>
      <w:r w:rsidR="001A042F">
        <w:rPr>
          <w:rFonts w:cstheme="minorHAnsi"/>
        </w:rPr>
        <w:t xml:space="preserve"> </w:t>
      </w:r>
      <w:r w:rsidR="00AD650A">
        <w:rPr>
          <w:rFonts w:cstheme="minorHAnsi"/>
        </w:rPr>
        <w:t>projects</w:t>
      </w:r>
      <w:r w:rsidR="00B831F9" w:rsidRPr="00B831F9">
        <w:rPr>
          <w:rFonts w:cstheme="minorHAnsi"/>
        </w:rPr>
        <w:t xml:space="preserve">. </w:t>
      </w:r>
      <w:r w:rsidR="00E03CE5" w:rsidRPr="00B831F9">
        <w:rPr>
          <w:rFonts w:cstheme="minorHAnsi"/>
        </w:rPr>
        <w:t xml:space="preserve">PPI </w:t>
      </w:r>
      <w:r w:rsidR="00433B5E" w:rsidRPr="00B831F9">
        <w:rPr>
          <w:rFonts w:cstheme="minorHAnsi"/>
        </w:rPr>
        <w:t xml:space="preserve">complements the </w:t>
      </w:r>
      <w:r w:rsidR="00AD650A">
        <w:rPr>
          <w:rFonts w:cstheme="minorHAnsi"/>
        </w:rPr>
        <w:t xml:space="preserve">functions of the </w:t>
      </w:r>
      <w:r w:rsidR="00433B5E" w:rsidRPr="00B831F9">
        <w:rPr>
          <w:rFonts w:cstheme="minorHAnsi"/>
        </w:rPr>
        <w:t xml:space="preserve">Project Support Division (PRJ), which </w:t>
      </w:r>
      <w:r w:rsidR="00E02AF2" w:rsidRPr="00B831F9">
        <w:rPr>
          <w:rFonts w:cstheme="minorHAnsi"/>
        </w:rPr>
        <w:t xml:space="preserve">is focused </w:t>
      </w:r>
      <w:r w:rsidR="00764079">
        <w:rPr>
          <w:rFonts w:cstheme="minorHAnsi"/>
        </w:rPr>
        <w:t>on</w:t>
      </w:r>
      <w:r w:rsidR="00735BAB">
        <w:rPr>
          <w:rFonts w:cstheme="minorHAnsi"/>
        </w:rPr>
        <w:t xml:space="preserve"> </w:t>
      </w:r>
      <w:r w:rsidR="00E02AF2" w:rsidRPr="00B831F9">
        <w:rPr>
          <w:rFonts w:cstheme="minorHAnsi"/>
        </w:rPr>
        <w:t>the design of new projects, as well as in performing the regularly monitoring, evaluation and closure of ITU-D projects</w:t>
      </w:r>
      <w:r w:rsidR="00303EBB" w:rsidRPr="00B831F9">
        <w:rPr>
          <w:rFonts w:cstheme="minorHAnsi"/>
        </w:rPr>
        <w:t xml:space="preserve">. </w:t>
      </w:r>
    </w:p>
    <w:p w14:paraId="5B538EFD" w14:textId="3579F70E" w:rsidR="00303EBB" w:rsidRPr="00B831F9" w:rsidRDefault="004840EF" w:rsidP="1189C88F">
      <w:pPr>
        <w:widowControl w:val="0"/>
        <w:spacing w:after="120"/>
        <w:rPr>
          <w:rFonts w:cstheme="minorBidi"/>
        </w:rPr>
      </w:pPr>
      <w:r w:rsidRPr="1189C88F">
        <w:rPr>
          <w:rFonts w:cstheme="minorBidi"/>
        </w:rPr>
        <w:t xml:space="preserve">With regards to enhancing </w:t>
      </w:r>
      <w:r w:rsidR="00303EBB" w:rsidRPr="1189C88F">
        <w:rPr>
          <w:rFonts w:cstheme="minorBidi"/>
        </w:rPr>
        <w:t xml:space="preserve">transparency and accountability </w:t>
      </w:r>
      <w:r w:rsidR="00CC1EAE" w:rsidRPr="1189C88F">
        <w:rPr>
          <w:rFonts w:cstheme="minorBidi"/>
        </w:rPr>
        <w:t>in projects</w:t>
      </w:r>
      <w:r w:rsidR="00303EBB" w:rsidRPr="1189C88F">
        <w:rPr>
          <w:rFonts w:cstheme="minorBidi"/>
        </w:rPr>
        <w:t xml:space="preserve">, BDT </w:t>
      </w:r>
      <w:r w:rsidRPr="1189C88F">
        <w:rPr>
          <w:rFonts w:cstheme="minorBidi"/>
        </w:rPr>
        <w:t xml:space="preserve">continued to </w:t>
      </w:r>
      <w:r w:rsidR="00525D24" w:rsidRPr="1189C88F">
        <w:rPr>
          <w:rFonts w:cstheme="minorBidi"/>
        </w:rPr>
        <w:t xml:space="preserve">strengthen </w:t>
      </w:r>
      <w:r w:rsidR="00962C75" w:rsidRPr="1189C88F">
        <w:rPr>
          <w:rFonts w:cstheme="minorBidi"/>
        </w:rPr>
        <w:t xml:space="preserve">the engagement </w:t>
      </w:r>
      <w:r w:rsidR="00613924" w:rsidRPr="1189C88F">
        <w:rPr>
          <w:rFonts w:cstheme="minorBidi"/>
        </w:rPr>
        <w:t xml:space="preserve">of donors </w:t>
      </w:r>
      <w:r w:rsidR="00A83E09" w:rsidRPr="1189C88F">
        <w:rPr>
          <w:rFonts w:cstheme="minorBidi"/>
        </w:rPr>
        <w:t>in 2025</w:t>
      </w:r>
      <w:r w:rsidR="009778D8" w:rsidRPr="1189C88F">
        <w:rPr>
          <w:rFonts w:cstheme="minorBidi"/>
        </w:rPr>
        <w:t xml:space="preserve">. This has been achieved </w:t>
      </w:r>
      <w:r w:rsidR="00816C2D" w:rsidRPr="1189C88F">
        <w:rPr>
          <w:rFonts w:cstheme="minorBidi"/>
        </w:rPr>
        <w:t xml:space="preserve">at the project level </w:t>
      </w:r>
      <w:r w:rsidR="00776C82" w:rsidRPr="1189C88F">
        <w:rPr>
          <w:rFonts w:cstheme="minorBidi"/>
        </w:rPr>
        <w:t xml:space="preserve">by </w:t>
      </w:r>
      <w:r w:rsidR="00613924" w:rsidRPr="1189C88F">
        <w:rPr>
          <w:rFonts w:cstheme="minorBidi"/>
        </w:rPr>
        <w:t xml:space="preserve">issuing </w:t>
      </w:r>
      <w:r w:rsidR="00EA7DD4" w:rsidRPr="1189C88F">
        <w:rPr>
          <w:rFonts w:cstheme="minorBidi"/>
        </w:rPr>
        <w:t>regula</w:t>
      </w:r>
      <w:r w:rsidR="00776C82" w:rsidRPr="1189C88F">
        <w:rPr>
          <w:rFonts w:cstheme="minorBidi"/>
        </w:rPr>
        <w:t xml:space="preserve">r </w:t>
      </w:r>
      <w:r w:rsidR="00613924" w:rsidRPr="1189C88F">
        <w:rPr>
          <w:rFonts w:cstheme="minorBidi"/>
        </w:rPr>
        <w:t xml:space="preserve">biannual </w:t>
      </w:r>
      <w:r w:rsidR="00CC1EAE" w:rsidRPr="1189C88F">
        <w:rPr>
          <w:rFonts w:cstheme="minorBidi"/>
        </w:rPr>
        <w:t>reports</w:t>
      </w:r>
      <w:r w:rsidR="00B339D4" w:rsidRPr="1189C88F">
        <w:rPr>
          <w:rFonts w:cstheme="minorBidi"/>
        </w:rPr>
        <w:t xml:space="preserve"> presenting </w:t>
      </w:r>
      <w:r w:rsidR="00816C2D" w:rsidRPr="1189C88F">
        <w:rPr>
          <w:rFonts w:cstheme="minorBidi"/>
        </w:rPr>
        <w:t xml:space="preserve">updates on </w:t>
      </w:r>
      <w:r w:rsidR="00A5514F" w:rsidRPr="1189C88F">
        <w:rPr>
          <w:rFonts w:cstheme="minorBidi"/>
        </w:rPr>
        <w:t xml:space="preserve">the </w:t>
      </w:r>
      <w:r w:rsidR="00303EBB" w:rsidRPr="1189C88F">
        <w:rPr>
          <w:rFonts w:cstheme="minorBidi"/>
        </w:rPr>
        <w:t>progress, challenges</w:t>
      </w:r>
      <w:r w:rsidR="00A5514F" w:rsidRPr="1189C88F">
        <w:rPr>
          <w:rFonts w:cstheme="minorBidi"/>
        </w:rPr>
        <w:t xml:space="preserve"> and </w:t>
      </w:r>
      <w:r w:rsidR="00303EBB" w:rsidRPr="1189C88F">
        <w:rPr>
          <w:rFonts w:cstheme="minorBidi"/>
        </w:rPr>
        <w:t>risks</w:t>
      </w:r>
      <w:r w:rsidR="00816C2D" w:rsidRPr="1189C88F">
        <w:rPr>
          <w:rFonts w:cstheme="minorBidi"/>
        </w:rPr>
        <w:t>, as well as on the financial situation of each project</w:t>
      </w:r>
      <w:r w:rsidR="00303EBB" w:rsidRPr="1189C88F">
        <w:rPr>
          <w:rFonts w:cstheme="minorBidi"/>
        </w:rPr>
        <w:t xml:space="preserve">. At the portfolio level, governance continues to be ensured through the BDT Projects Board, </w:t>
      </w:r>
      <w:r w:rsidR="007F48A6" w:rsidRPr="1189C88F">
        <w:rPr>
          <w:rFonts w:cstheme="minorBidi"/>
        </w:rPr>
        <w:t>which reviews new project proposals</w:t>
      </w:r>
      <w:r w:rsidR="00CC582D" w:rsidRPr="1189C88F">
        <w:rPr>
          <w:rFonts w:cstheme="minorBidi"/>
        </w:rPr>
        <w:t xml:space="preserve"> prior to approval</w:t>
      </w:r>
      <w:r w:rsidR="007F48A6" w:rsidRPr="1189C88F">
        <w:rPr>
          <w:rFonts w:cstheme="minorBidi"/>
        </w:rPr>
        <w:t xml:space="preserve"> a</w:t>
      </w:r>
      <w:r w:rsidR="00661B5E" w:rsidRPr="1189C88F">
        <w:rPr>
          <w:rFonts w:cstheme="minorBidi"/>
        </w:rPr>
        <w:t xml:space="preserve">nd provides guidance </w:t>
      </w:r>
      <w:r w:rsidR="00303EBB" w:rsidRPr="1189C88F">
        <w:rPr>
          <w:rFonts w:cstheme="minorBidi"/>
        </w:rPr>
        <w:t>on implementation issues</w:t>
      </w:r>
      <w:r w:rsidR="00661B5E" w:rsidRPr="1189C88F">
        <w:rPr>
          <w:rFonts w:cstheme="minorBidi"/>
        </w:rPr>
        <w:t xml:space="preserve"> </w:t>
      </w:r>
      <w:proofErr w:type="gramStart"/>
      <w:r w:rsidR="00661B5E" w:rsidRPr="1189C88F">
        <w:rPr>
          <w:rFonts w:cstheme="minorBidi"/>
        </w:rPr>
        <w:t>on a monthly basis</w:t>
      </w:r>
      <w:proofErr w:type="gramEnd"/>
      <w:r w:rsidR="00433B5E" w:rsidRPr="1189C88F">
        <w:rPr>
          <w:rFonts w:cstheme="minorBidi"/>
        </w:rPr>
        <w:t xml:space="preserve"> based on the regular monitoring conducted by the Project Support Division</w:t>
      </w:r>
      <w:r w:rsidR="00661B5E" w:rsidRPr="1189C88F">
        <w:rPr>
          <w:rFonts w:cstheme="minorBidi"/>
        </w:rPr>
        <w:t xml:space="preserve">. </w:t>
      </w:r>
      <w:r w:rsidR="00303EBB" w:rsidRPr="1189C88F">
        <w:rPr>
          <w:rFonts w:cstheme="minorBidi"/>
        </w:rPr>
        <w:t xml:space="preserve">Since 2020, the Board has held </w:t>
      </w:r>
      <w:r w:rsidR="00661B5E" w:rsidRPr="1189C88F">
        <w:rPr>
          <w:rFonts w:cstheme="minorBidi"/>
        </w:rPr>
        <w:t xml:space="preserve">44 </w:t>
      </w:r>
      <w:proofErr w:type="gramStart"/>
      <w:r w:rsidR="00303EBB" w:rsidRPr="1189C88F">
        <w:rPr>
          <w:rFonts w:cstheme="minorBidi"/>
        </w:rPr>
        <w:t>meetings</w:t>
      </w:r>
      <w:proofErr w:type="gramEnd"/>
      <w:r w:rsidR="00303EBB" w:rsidRPr="1189C88F">
        <w:rPr>
          <w:rFonts w:cstheme="minorBidi"/>
        </w:rPr>
        <w:t xml:space="preserve"> and its decisions are mandatory for project managers.</w:t>
      </w:r>
    </w:p>
    <w:p w14:paraId="798DB159" w14:textId="2F94C2B1" w:rsidR="000E3B24" w:rsidRPr="00072502" w:rsidRDefault="00661B5E" w:rsidP="00072502">
      <w:pPr>
        <w:pStyle w:val="ListParagraph"/>
        <w:widowControl w:val="0"/>
        <w:spacing w:after="120"/>
        <w:ind w:left="0"/>
        <w:contextualSpacing w:val="0"/>
        <w:rPr>
          <w:rFonts w:cstheme="minorHAnsi"/>
        </w:rPr>
      </w:pPr>
      <w:r w:rsidRPr="00B831F9">
        <w:rPr>
          <w:rFonts w:cstheme="minorHAnsi"/>
        </w:rPr>
        <w:t xml:space="preserve">Finally, </w:t>
      </w:r>
      <w:r w:rsidR="00303EBB" w:rsidRPr="00B831F9">
        <w:rPr>
          <w:rFonts w:cstheme="minorHAnsi"/>
        </w:rPr>
        <w:t xml:space="preserve">BDT has </w:t>
      </w:r>
      <w:r w:rsidRPr="00B831F9">
        <w:rPr>
          <w:rFonts w:cstheme="minorHAnsi"/>
        </w:rPr>
        <w:t xml:space="preserve">continued to prioritize </w:t>
      </w:r>
      <w:r w:rsidR="00303EBB" w:rsidRPr="00B831F9">
        <w:rPr>
          <w:rFonts w:cstheme="minorHAnsi"/>
        </w:rPr>
        <w:t xml:space="preserve">capacity development </w:t>
      </w:r>
      <w:r w:rsidRPr="00B831F9">
        <w:rPr>
          <w:rFonts w:cstheme="minorHAnsi"/>
        </w:rPr>
        <w:t xml:space="preserve">of project managers </w:t>
      </w:r>
      <w:r w:rsidR="00813D52" w:rsidRPr="00B831F9">
        <w:rPr>
          <w:rFonts w:cstheme="minorHAnsi"/>
        </w:rPr>
        <w:t xml:space="preserve">through the organization of </w:t>
      </w:r>
      <w:r w:rsidR="00303EBB" w:rsidRPr="00B831F9">
        <w:rPr>
          <w:rFonts w:cstheme="minorHAnsi"/>
        </w:rPr>
        <w:t>regular training and knowledge</w:t>
      </w:r>
      <w:r w:rsidR="00303EBB" w:rsidRPr="00B831F9">
        <w:rPr>
          <w:rFonts w:ascii="Cambria Math" w:hAnsi="Cambria Math" w:cs="Cambria Math"/>
        </w:rPr>
        <w:t>‑</w:t>
      </w:r>
      <w:r w:rsidR="00303EBB" w:rsidRPr="00B831F9">
        <w:rPr>
          <w:rFonts w:cstheme="minorHAnsi"/>
        </w:rPr>
        <w:t>sharing sessions to harmonize practices and strengthen the project management community</w:t>
      </w:r>
      <w:r w:rsidR="00813D52" w:rsidRPr="00B831F9">
        <w:rPr>
          <w:rFonts w:cstheme="minorHAnsi"/>
        </w:rPr>
        <w:t>. This programme will continue in 2026</w:t>
      </w:r>
      <w:r w:rsidR="00D6718C">
        <w:rPr>
          <w:rFonts w:cstheme="minorHAnsi"/>
        </w:rPr>
        <w:t>.</w:t>
      </w:r>
    </w:p>
    <w:p w14:paraId="4BD9A123" w14:textId="77777777" w:rsidR="000E3B24" w:rsidRPr="007153E1" w:rsidRDefault="000E3B24" w:rsidP="000E3B24">
      <w:pPr>
        <w:pStyle w:val="Heading1"/>
        <w:numPr>
          <w:ilvl w:val="0"/>
          <w:numId w:val="45"/>
        </w:numPr>
        <w:spacing w:before="120" w:after="120"/>
        <w:ind w:left="357" w:hanging="357"/>
        <w:textAlignment w:val="auto"/>
        <w:rPr>
          <w:rFonts w:cstheme="minorHAnsi"/>
          <w:sz w:val="24"/>
          <w:szCs w:val="24"/>
        </w:rPr>
      </w:pPr>
      <w:r w:rsidRPr="007153E1">
        <w:rPr>
          <w:rFonts w:cstheme="minorHAnsi"/>
          <w:sz w:val="24"/>
          <w:szCs w:val="24"/>
        </w:rPr>
        <w:t>Conclusions</w:t>
      </w:r>
    </w:p>
    <w:p w14:paraId="7FA0437C" w14:textId="1855DF7E" w:rsidR="003E31B1" w:rsidRPr="007153E1" w:rsidRDefault="00E35354" w:rsidP="1189C88F">
      <w:pPr>
        <w:spacing w:after="120"/>
        <w:rPr>
          <w:rFonts w:cstheme="minorBidi"/>
        </w:rPr>
      </w:pPr>
      <w:r w:rsidRPr="1189C88F">
        <w:rPr>
          <w:rFonts w:cstheme="minorBidi"/>
        </w:rPr>
        <w:t xml:space="preserve">The year </w:t>
      </w:r>
      <w:r w:rsidR="7A6DDE4A" w:rsidRPr="1189C88F">
        <w:rPr>
          <w:rFonts w:cstheme="minorBidi"/>
        </w:rPr>
        <w:t>2025 marked the end of the WTDC-</w:t>
      </w:r>
      <w:r w:rsidR="52ED0361" w:rsidRPr="1189C88F">
        <w:rPr>
          <w:rFonts w:cstheme="minorBidi"/>
        </w:rPr>
        <w:t>22</w:t>
      </w:r>
      <w:r w:rsidR="7A6DDE4A" w:rsidRPr="1189C88F">
        <w:rPr>
          <w:rFonts w:cstheme="minorBidi"/>
        </w:rPr>
        <w:t xml:space="preserve"> cycle for BDT</w:t>
      </w:r>
      <w:r w:rsidR="52ED0361" w:rsidRPr="1189C88F">
        <w:rPr>
          <w:rFonts w:cstheme="minorBidi"/>
        </w:rPr>
        <w:t>. Throughout this cycle, ITU</w:t>
      </w:r>
      <w:r w:rsidR="4703D9FA" w:rsidRPr="1189C88F">
        <w:rPr>
          <w:rFonts w:cstheme="minorBidi"/>
        </w:rPr>
        <w:t>-D</w:t>
      </w:r>
      <w:r w:rsidR="52ED0361" w:rsidRPr="1189C88F">
        <w:rPr>
          <w:rFonts w:cstheme="minorBidi"/>
        </w:rPr>
        <w:t xml:space="preserve"> projects have </w:t>
      </w:r>
      <w:r w:rsidR="463C2252" w:rsidRPr="1189C88F">
        <w:rPr>
          <w:rFonts w:cstheme="minorBidi"/>
        </w:rPr>
        <w:t xml:space="preserve">continued to </w:t>
      </w:r>
      <w:r w:rsidR="52ED0361" w:rsidRPr="1189C88F">
        <w:rPr>
          <w:rFonts w:cstheme="minorBidi"/>
        </w:rPr>
        <w:t xml:space="preserve">provide a key instrument for ITU to implement the </w:t>
      </w:r>
      <w:r w:rsidR="772009F9" w:rsidRPr="1189C88F">
        <w:rPr>
          <w:rFonts w:cstheme="minorBidi"/>
        </w:rPr>
        <w:t>mandate of WTDC</w:t>
      </w:r>
      <w:r w:rsidR="231195B3" w:rsidRPr="1189C88F">
        <w:rPr>
          <w:rFonts w:cstheme="minorBidi"/>
        </w:rPr>
        <w:t xml:space="preserve">, </w:t>
      </w:r>
      <w:proofErr w:type="gramStart"/>
      <w:r w:rsidR="231195B3" w:rsidRPr="1189C88F">
        <w:rPr>
          <w:rFonts w:cstheme="minorBidi"/>
        </w:rPr>
        <w:t>in particular the</w:t>
      </w:r>
      <w:proofErr w:type="gramEnd"/>
      <w:r w:rsidR="231195B3" w:rsidRPr="1189C88F">
        <w:rPr>
          <w:rFonts w:cstheme="minorBidi"/>
        </w:rPr>
        <w:t xml:space="preserve"> realization of the Regional Initiatives</w:t>
      </w:r>
      <w:r w:rsidR="52ED0361" w:rsidRPr="1189C88F">
        <w:rPr>
          <w:rFonts w:cstheme="minorBidi"/>
        </w:rPr>
        <w:t xml:space="preserve">, and </w:t>
      </w:r>
      <w:r w:rsidR="463C2252" w:rsidRPr="1189C88F">
        <w:rPr>
          <w:rFonts w:cstheme="minorBidi"/>
        </w:rPr>
        <w:t xml:space="preserve">meet the </w:t>
      </w:r>
      <w:r w:rsidR="1AA2ED52" w:rsidRPr="1189C88F">
        <w:rPr>
          <w:rFonts w:cstheme="minorBidi"/>
        </w:rPr>
        <w:t>demand</w:t>
      </w:r>
      <w:r w:rsidR="463C2252" w:rsidRPr="1189C88F">
        <w:rPr>
          <w:rFonts w:cstheme="minorBidi"/>
        </w:rPr>
        <w:t xml:space="preserve"> for </w:t>
      </w:r>
      <w:r w:rsidR="52ED0361" w:rsidRPr="1189C88F">
        <w:rPr>
          <w:rFonts w:cstheme="minorBidi"/>
        </w:rPr>
        <w:t xml:space="preserve">technical assistance </w:t>
      </w:r>
      <w:r w:rsidR="463C2252" w:rsidRPr="1189C88F">
        <w:rPr>
          <w:rFonts w:cstheme="minorBidi"/>
        </w:rPr>
        <w:t xml:space="preserve">from </w:t>
      </w:r>
      <w:r w:rsidR="52ED0361" w:rsidRPr="1189C88F">
        <w:rPr>
          <w:rFonts w:cstheme="minorBidi"/>
        </w:rPr>
        <w:t>ITU Member</w:t>
      </w:r>
      <w:r w:rsidR="46A5A1B5" w:rsidRPr="1189C88F">
        <w:rPr>
          <w:rFonts w:cstheme="minorBidi"/>
        </w:rPr>
        <w:t xml:space="preserve"> States. </w:t>
      </w:r>
      <w:r w:rsidR="0FC8FFD2" w:rsidRPr="1189C88F">
        <w:rPr>
          <w:rFonts w:cstheme="minorBidi"/>
        </w:rPr>
        <w:t>I</w:t>
      </w:r>
      <w:r w:rsidR="46A5A1B5" w:rsidRPr="1189C88F">
        <w:rPr>
          <w:rFonts w:cstheme="minorBidi"/>
        </w:rPr>
        <w:t>n 2025, BDT implemented activities in 1</w:t>
      </w:r>
      <w:r w:rsidR="459E2BD1" w:rsidRPr="1189C88F">
        <w:rPr>
          <w:rFonts w:cstheme="minorBidi"/>
        </w:rPr>
        <w:t>0</w:t>
      </w:r>
      <w:r w:rsidR="000F039B" w:rsidRPr="1189C88F">
        <w:rPr>
          <w:rFonts w:cstheme="minorBidi"/>
        </w:rPr>
        <w:t>6</w:t>
      </w:r>
      <w:r w:rsidR="46A5A1B5" w:rsidRPr="1189C88F">
        <w:rPr>
          <w:rFonts w:cstheme="minorBidi"/>
        </w:rPr>
        <w:t xml:space="preserve"> projects and signed 2</w:t>
      </w:r>
      <w:r w:rsidR="000F039B" w:rsidRPr="1189C88F">
        <w:rPr>
          <w:rFonts w:cstheme="minorBidi"/>
        </w:rPr>
        <w:t>6</w:t>
      </w:r>
      <w:r w:rsidR="46A5A1B5" w:rsidRPr="1189C88F">
        <w:rPr>
          <w:rFonts w:cstheme="minorBidi"/>
        </w:rPr>
        <w:t xml:space="preserve"> new projects</w:t>
      </w:r>
      <w:r w:rsidR="4703D9FA" w:rsidRPr="1189C88F">
        <w:rPr>
          <w:rFonts w:cstheme="minorBidi"/>
        </w:rPr>
        <w:t xml:space="preserve">, </w:t>
      </w:r>
      <w:r w:rsidR="6581FFC0" w:rsidRPr="1189C88F">
        <w:rPr>
          <w:rFonts w:cstheme="minorBidi"/>
        </w:rPr>
        <w:t>all of them signed in collaboration with relevant stakeholders from public sector</w:t>
      </w:r>
      <w:r w:rsidR="64F37B2E" w:rsidRPr="1189C88F">
        <w:rPr>
          <w:rFonts w:cstheme="minorBidi"/>
        </w:rPr>
        <w:t xml:space="preserve"> administrations, private sector, as well as with other agencies of the UN system</w:t>
      </w:r>
      <w:r w:rsidR="6581FFC0" w:rsidRPr="1189C88F">
        <w:rPr>
          <w:rFonts w:cstheme="minorBidi"/>
        </w:rPr>
        <w:t xml:space="preserve">, </w:t>
      </w:r>
      <w:r w:rsidR="4703D9FA" w:rsidRPr="1189C88F">
        <w:rPr>
          <w:rFonts w:cstheme="minorBidi"/>
        </w:rPr>
        <w:t xml:space="preserve">confirming that </w:t>
      </w:r>
      <w:r w:rsidR="79335763" w:rsidRPr="1189C88F">
        <w:rPr>
          <w:rFonts w:cstheme="minorBidi"/>
        </w:rPr>
        <w:t xml:space="preserve">ITU </w:t>
      </w:r>
      <w:r w:rsidR="4703D9FA" w:rsidRPr="1189C88F">
        <w:rPr>
          <w:rFonts w:cstheme="minorBidi"/>
        </w:rPr>
        <w:t xml:space="preserve">is a trusted partner to advance digital development. </w:t>
      </w:r>
    </w:p>
    <w:p w14:paraId="60D1C632" w14:textId="7DA94509" w:rsidR="0081159E" w:rsidRDefault="7AC8CC74" w:rsidP="1189C88F">
      <w:pPr>
        <w:spacing w:after="120"/>
        <w:rPr>
          <w:rFonts w:cstheme="minorBidi"/>
        </w:rPr>
      </w:pPr>
      <w:r w:rsidRPr="1189C88F">
        <w:rPr>
          <w:rFonts w:cstheme="minorBidi"/>
        </w:rPr>
        <w:t>Looking</w:t>
      </w:r>
      <w:r w:rsidR="3474EFCF" w:rsidRPr="1189C88F">
        <w:rPr>
          <w:rFonts w:cstheme="minorBidi"/>
        </w:rPr>
        <w:t xml:space="preserve"> forward</w:t>
      </w:r>
      <w:r w:rsidRPr="1189C88F">
        <w:rPr>
          <w:rFonts w:cstheme="minorBidi"/>
        </w:rPr>
        <w:t xml:space="preserve">, TDAG is invited to provide </w:t>
      </w:r>
      <w:r w:rsidR="3BA3CBCD" w:rsidRPr="1189C88F">
        <w:rPr>
          <w:rFonts w:cstheme="minorBidi"/>
        </w:rPr>
        <w:t xml:space="preserve">further </w:t>
      </w:r>
      <w:r w:rsidRPr="1189C88F">
        <w:rPr>
          <w:rFonts w:cstheme="minorBidi"/>
        </w:rPr>
        <w:t xml:space="preserve">guidance on how </w:t>
      </w:r>
      <w:r w:rsidR="29D8C692" w:rsidRPr="1189C88F">
        <w:rPr>
          <w:rFonts w:cstheme="minorBidi"/>
        </w:rPr>
        <w:t>ITU Membership can</w:t>
      </w:r>
      <w:r w:rsidR="3BA3CBCD" w:rsidRPr="1189C88F">
        <w:rPr>
          <w:rFonts w:cstheme="minorBidi"/>
        </w:rPr>
        <w:t xml:space="preserve"> be leveraged </w:t>
      </w:r>
      <w:r w:rsidR="6D15F18F" w:rsidRPr="1189C88F">
        <w:rPr>
          <w:rFonts w:cstheme="minorBidi"/>
        </w:rPr>
        <w:t xml:space="preserve">to </w:t>
      </w:r>
      <w:r w:rsidR="5812E3B7" w:rsidRPr="1189C88F">
        <w:rPr>
          <w:rFonts w:cstheme="minorBidi"/>
        </w:rPr>
        <w:t xml:space="preserve">mobilize additional resources to meet the demand </w:t>
      </w:r>
      <w:r w:rsidR="1FE14042" w:rsidRPr="1189C88F">
        <w:rPr>
          <w:rFonts w:cstheme="minorBidi"/>
        </w:rPr>
        <w:t xml:space="preserve">for technical assistance </w:t>
      </w:r>
      <w:r w:rsidR="5812E3B7" w:rsidRPr="1189C88F">
        <w:rPr>
          <w:rFonts w:cstheme="minorBidi"/>
        </w:rPr>
        <w:t xml:space="preserve">from </w:t>
      </w:r>
      <w:r w:rsidR="3BA3CBCD" w:rsidRPr="1189C88F">
        <w:rPr>
          <w:rFonts w:cstheme="minorBidi"/>
        </w:rPr>
        <w:t>LDCs, LLDS and SIDS</w:t>
      </w:r>
      <w:r w:rsidR="1FE14042" w:rsidRPr="1189C88F">
        <w:rPr>
          <w:rFonts w:cstheme="minorBidi"/>
        </w:rPr>
        <w:t xml:space="preserve"> and reinforce </w:t>
      </w:r>
      <w:r w:rsidR="6D15F18F" w:rsidRPr="1189C88F">
        <w:rPr>
          <w:rFonts w:cstheme="minorBidi"/>
        </w:rPr>
        <w:t xml:space="preserve">the role of ITU-D projects </w:t>
      </w:r>
      <w:r w:rsidR="1FE14042" w:rsidRPr="1189C88F">
        <w:rPr>
          <w:rFonts w:cstheme="minorBidi"/>
        </w:rPr>
        <w:t xml:space="preserve">as a key mechanism </w:t>
      </w:r>
      <w:r w:rsidR="6D15F18F" w:rsidRPr="1189C88F">
        <w:rPr>
          <w:rFonts w:cstheme="minorBidi"/>
        </w:rPr>
        <w:t xml:space="preserve">to deliver the </w:t>
      </w:r>
      <w:r w:rsidR="35D98807" w:rsidRPr="1189C88F">
        <w:rPr>
          <w:rFonts w:cstheme="minorBidi"/>
        </w:rPr>
        <w:t>Baku Action Plan</w:t>
      </w:r>
      <w:r w:rsidR="6D15F18F" w:rsidRPr="1189C88F">
        <w:rPr>
          <w:rFonts w:cstheme="minorBidi"/>
        </w:rPr>
        <w:t>.</w:t>
      </w:r>
      <w:r w:rsidR="35D98807" w:rsidRPr="1189C88F">
        <w:rPr>
          <w:rFonts w:cstheme="minorBidi"/>
        </w:rPr>
        <w:t xml:space="preserve"> </w:t>
      </w:r>
    </w:p>
    <w:p w14:paraId="1DC30005" w14:textId="40218400" w:rsidR="00D83BF5" w:rsidRPr="0084734D" w:rsidRDefault="00D83BF5" w:rsidP="00403C69">
      <w:pPr>
        <w:jc w:val="center"/>
        <w:rPr>
          <w:szCs w:val="24"/>
        </w:rPr>
      </w:pPr>
      <w:r w:rsidRPr="00403C69">
        <w:rPr>
          <w:szCs w:val="24"/>
        </w:rPr>
        <w:t>_______________</w:t>
      </w:r>
    </w:p>
    <w:sectPr w:rsidR="00D83BF5" w:rsidRPr="0084734D" w:rsidSect="0081159E">
      <w:headerReference w:type="default" r:id="rId14"/>
      <w:footerReference w:type="first" r:id="rId15"/>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EC16" w14:textId="77777777" w:rsidR="00D80F23" w:rsidRDefault="00D80F23">
      <w:r>
        <w:separator/>
      </w:r>
    </w:p>
    <w:p w14:paraId="7FD6DD42" w14:textId="77777777" w:rsidR="00D80F23" w:rsidRDefault="00D80F23"/>
  </w:endnote>
  <w:endnote w:type="continuationSeparator" w:id="0">
    <w:p w14:paraId="3A69E2DB" w14:textId="77777777" w:rsidR="00D80F23" w:rsidRDefault="00D80F23">
      <w:r>
        <w:continuationSeparator/>
      </w:r>
    </w:p>
    <w:p w14:paraId="0B30D057" w14:textId="77777777" w:rsidR="00D80F23" w:rsidRDefault="00D80F23"/>
  </w:endnote>
  <w:endnote w:type="continuationNotice" w:id="1">
    <w:p w14:paraId="4A1E3BFF" w14:textId="77777777" w:rsidR="00D80F23" w:rsidRDefault="00D80F23">
      <w:pPr>
        <w:spacing w:before="0"/>
      </w:pPr>
    </w:p>
    <w:p w14:paraId="04F08433" w14:textId="77777777" w:rsidR="00D80F23" w:rsidRDefault="00D80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Simplified Arabic">
    <w:charset w:val="00"/>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F32240" w:rsidRPr="00047C61" w14:paraId="0250776B" w14:textId="77777777" w:rsidTr="1189C88F">
      <w:tc>
        <w:tcPr>
          <w:tcW w:w="1526" w:type="dxa"/>
          <w:tcBorders>
            <w:top w:val="single" w:sz="4" w:space="0" w:color="000000" w:themeColor="text1"/>
          </w:tcBorders>
        </w:tcPr>
        <w:p w14:paraId="7B97426B" w14:textId="77777777" w:rsidR="00F32240" w:rsidRPr="00047C61" w:rsidRDefault="00F32240" w:rsidP="00F32240">
          <w:pPr>
            <w:pStyle w:val="FirstFooter"/>
            <w:tabs>
              <w:tab w:val="left" w:pos="1559"/>
              <w:tab w:val="left" w:pos="3828"/>
            </w:tabs>
            <w:rPr>
              <w:sz w:val="18"/>
              <w:szCs w:val="18"/>
            </w:rPr>
          </w:pPr>
          <w:r w:rsidRPr="00047C61">
            <w:rPr>
              <w:sz w:val="18"/>
              <w:szCs w:val="18"/>
              <w:lang w:val="en-US"/>
            </w:rPr>
            <w:t>Contact:</w:t>
          </w:r>
        </w:p>
      </w:tc>
      <w:tc>
        <w:tcPr>
          <w:tcW w:w="2410" w:type="dxa"/>
          <w:tcBorders>
            <w:top w:val="single" w:sz="4" w:space="0" w:color="000000" w:themeColor="text1"/>
          </w:tcBorders>
        </w:tcPr>
        <w:p w14:paraId="74DBEBFE" w14:textId="73DB33DE" w:rsidR="00F32240" w:rsidRPr="00047C61" w:rsidRDefault="00F32240" w:rsidP="00F32240">
          <w:pPr>
            <w:pStyle w:val="FirstFooter"/>
            <w:tabs>
              <w:tab w:val="left" w:pos="2302"/>
            </w:tabs>
            <w:ind w:left="2302" w:hanging="2302"/>
            <w:rPr>
              <w:sz w:val="18"/>
              <w:szCs w:val="18"/>
              <w:lang w:val="en-US"/>
            </w:rPr>
          </w:pPr>
          <w:r w:rsidRPr="00047C61">
            <w:rPr>
              <w:sz w:val="18"/>
              <w:szCs w:val="18"/>
            </w:rPr>
            <w:t>Name/Organization/Entity:</w:t>
          </w:r>
        </w:p>
      </w:tc>
      <w:tc>
        <w:tcPr>
          <w:tcW w:w="5987" w:type="dxa"/>
          <w:tcBorders>
            <w:top w:val="single" w:sz="4" w:space="0" w:color="000000" w:themeColor="text1"/>
          </w:tcBorders>
        </w:tcPr>
        <w:p w14:paraId="33F9697C" w14:textId="2FC83389" w:rsidR="00F32240" w:rsidRPr="00047C61" w:rsidRDefault="00F32240" w:rsidP="00F32240">
          <w:pPr>
            <w:pStyle w:val="FirstFooter"/>
            <w:tabs>
              <w:tab w:val="left" w:pos="2302"/>
            </w:tabs>
            <w:rPr>
              <w:sz w:val="18"/>
              <w:szCs w:val="18"/>
              <w:lang w:val="en-US"/>
            </w:rPr>
          </w:pPr>
          <w:r w:rsidRPr="00047C61">
            <w:rPr>
              <w:sz w:val="18"/>
              <w:szCs w:val="18"/>
            </w:rPr>
            <w:t>Mr Marco Obiso, Chief, a.i., Projects, Partnerships and Digital Skills, Telecommunication Development Bureau</w:t>
          </w:r>
        </w:p>
      </w:tc>
      <w:bookmarkStart w:id="12" w:name="OrgName"/>
      <w:bookmarkEnd w:id="12"/>
    </w:tr>
    <w:tr w:rsidR="00F32240" w:rsidRPr="00047C61" w14:paraId="5230281A" w14:textId="77777777" w:rsidTr="1189C88F">
      <w:tc>
        <w:tcPr>
          <w:tcW w:w="1526" w:type="dxa"/>
        </w:tcPr>
        <w:p w14:paraId="6401EE47" w14:textId="77777777" w:rsidR="00F32240" w:rsidRPr="00047C61" w:rsidRDefault="00F32240" w:rsidP="00F32240">
          <w:pPr>
            <w:pStyle w:val="FirstFooter"/>
            <w:tabs>
              <w:tab w:val="left" w:pos="1559"/>
              <w:tab w:val="left" w:pos="3828"/>
            </w:tabs>
            <w:rPr>
              <w:sz w:val="18"/>
              <w:szCs w:val="18"/>
              <w:lang w:val="en-US"/>
            </w:rPr>
          </w:pPr>
        </w:p>
      </w:tc>
      <w:tc>
        <w:tcPr>
          <w:tcW w:w="2410" w:type="dxa"/>
        </w:tcPr>
        <w:p w14:paraId="391F12A8" w14:textId="477931C0" w:rsidR="00F32240" w:rsidRPr="00047C61" w:rsidRDefault="00F32240" w:rsidP="00F32240">
          <w:pPr>
            <w:pStyle w:val="FirstFooter"/>
            <w:tabs>
              <w:tab w:val="left" w:pos="2302"/>
            </w:tabs>
            <w:rPr>
              <w:sz w:val="18"/>
              <w:szCs w:val="18"/>
              <w:lang w:val="en-US"/>
            </w:rPr>
          </w:pPr>
          <w:r w:rsidRPr="00047C61">
            <w:rPr>
              <w:sz w:val="18"/>
              <w:szCs w:val="18"/>
            </w:rPr>
            <w:t>Phone number:</w:t>
          </w:r>
        </w:p>
      </w:tc>
      <w:tc>
        <w:tcPr>
          <w:tcW w:w="5987" w:type="dxa"/>
        </w:tcPr>
        <w:p w14:paraId="781B80FB" w14:textId="54753F4C" w:rsidR="00F32240" w:rsidRPr="00047C61" w:rsidRDefault="1189C88F" w:rsidP="00F32240">
          <w:pPr>
            <w:pStyle w:val="FirstFooter"/>
            <w:tabs>
              <w:tab w:val="left" w:pos="2302"/>
            </w:tabs>
            <w:rPr>
              <w:sz w:val="18"/>
              <w:szCs w:val="18"/>
              <w:lang w:val="en-US"/>
            </w:rPr>
          </w:pPr>
          <w:r w:rsidRPr="00047C61">
            <w:rPr>
              <w:sz w:val="18"/>
              <w:szCs w:val="18"/>
            </w:rPr>
            <w:t>+41 22 730 6760</w:t>
          </w:r>
        </w:p>
      </w:tc>
      <w:bookmarkStart w:id="13" w:name="PhoneNo"/>
      <w:bookmarkEnd w:id="13"/>
    </w:tr>
    <w:tr w:rsidR="00F32240" w:rsidRPr="00047C61" w14:paraId="75C00FB1" w14:textId="77777777" w:rsidTr="1189C88F">
      <w:tc>
        <w:tcPr>
          <w:tcW w:w="1526" w:type="dxa"/>
        </w:tcPr>
        <w:p w14:paraId="1C7F3E4C" w14:textId="77777777" w:rsidR="00F32240" w:rsidRPr="00047C61" w:rsidRDefault="00F32240" w:rsidP="00F32240">
          <w:pPr>
            <w:pStyle w:val="FirstFooter"/>
            <w:tabs>
              <w:tab w:val="left" w:pos="1559"/>
              <w:tab w:val="left" w:pos="3828"/>
            </w:tabs>
            <w:rPr>
              <w:sz w:val="18"/>
              <w:szCs w:val="18"/>
              <w:lang w:val="en-US"/>
            </w:rPr>
          </w:pPr>
        </w:p>
      </w:tc>
      <w:tc>
        <w:tcPr>
          <w:tcW w:w="2410" w:type="dxa"/>
        </w:tcPr>
        <w:p w14:paraId="58859CB6" w14:textId="15A98F5D" w:rsidR="00F32240" w:rsidRPr="00047C61" w:rsidRDefault="00F32240" w:rsidP="00F32240">
          <w:pPr>
            <w:pStyle w:val="FirstFooter"/>
            <w:tabs>
              <w:tab w:val="left" w:pos="2302"/>
            </w:tabs>
            <w:rPr>
              <w:sz w:val="18"/>
              <w:szCs w:val="18"/>
              <w:lang w:val="en-US"/>
            </w:rPr>
          </w:pPr>
          <w:r w:rsidRPr="00047C61">
            <w:rPr>
              <w:sz w:val="18"/>
              <w:szCs w:val="18"/>
            </w:rPr>
            <w:t>E-mail:</w:t>
          </w:r>
        </w:p>
      </w:tc>
      <w:tc>
        <w:tcPr>
          <w:tcW w:w="5987" w:type="dxa"/>
        </w:tcPr>
        <w:p w14:paraId="18D9C750" w14:textId="4BA7231F" w:rsidR="00F32240" w:rsidRPr="00047C61" w:rsidRDefault="00F32240" w:rsidP="00F32240">
          <w:pPr>
            <w:pStyle w:val="FirstFooter"/>
            <w:tabs>
              <w:tab w:val="left" w:pos="2302"/>
            </w:tabs>
            <w:rPr>
              <w:sz w:val="18"/>
              <w:szCs w:val="18"/>
            </w:rPr>
          </w:pPr>
          <w:hyperlink r:id="rId1" w:history="1">
            <w:r w:rsidRPr="00047C61">
              <w:rPr>
                <w:rStyle w:val="Hyperlink"/>
                <w:sz w:val="18"/>
                <w:szCs w:val="18"/>
              </w:rPr>
              <w:t>marco.obiso</w:t>
            </w:r>
            <w:r w:rsidRPr="00047C61">
              <w:rPr>
                <w:rStyle w:val="Hyperlink"/>
                <w:sz w:val="18"/>
                <w:szCs w:val="18"/>
                <w:lang w:val="en-US"/>
              </w:rPr>
              <w:t>@itu.int</w:t>
            </w:r>
          </w:hyperlink>
          <w:r w:rsidRPr="00047C61">
            <w:rPr>
              <w:sz w:val="18"/>
              <w:szCs w:val="18"/>
              <w:lang w:val="en-US"/>
            </w:rPr>
            <w:t xml:space="preserve"> </w:t>
          </w:r>
        </w:p>
      </w:tc>
      <w:bookmarkStart w:id="14" w:name="Email"/>
      <w:bookmarkEnd w:id="14"/>
    </w:tr>
  </w:tbl>
  <w:p w14:paraId="4059E016" w14:textId="77777777" w:rsidR="00602CFD" w:rsidRPr="00047C61" w:rsidRDefault="00602CFD" w:rsidP="00602CF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650F" w14:textId="77777777" w:rsidR="00D80F23" w:rsidRPr="0054377E" w:rsidRDefault="00D80F23" w:rsidP="0054377E">
      <w:pPr>
        <w:spacing w:before="0"/>
      </w:pPr>
      <w:r w:rsidRPr="0054377E">
        <w:rPr>
          <w:b/>
        </w:rPr>
        <w:t>_______________</w:t>
      </w:r>
    </w:p>
  </w:footnote>
  <w:footnote w:type="continuationSeparator" w:id="0">
    <w:p w14:paraId="6E51082B" w14:textId="77777777" w:rsidR="00D80F23" w:rsidRDefault="00D80F23" w:rsidP="0054377E">
      <w:pPr>
        <w:spacing w:before="0"/>
      </w:pPr>
      <w:r>
        <w:continuationSeparator/>
      </w:r>
    </w:p>
    <w:p w14:paraId="35B34A04" w14:textId="77777777" w:rsidR="00D80F23" w:rsidRDefault="00D80F23"/>
  </w:footnote>
  <w:footnote w:type="continuationNotice" w:id="1">
    <w:p w14:paraId="285A939D" w14:textId="77777777" w:rsidR="00D80F23" w:rsidRDefault="00D80F23">
      <w:pPr>
        <w:spacing w:before="0"/>
      </w:pPr>
    </w:p>
    <w:p w14:paraId="35DDB9F0" w14:textId="77777777" w:rsidR="00D80F23" w:rsidRDefault="00D80F23"/>
  </w:footnote>
  <w:footnote w:id="2">
    <w:p w14:paraId="0C67862A" w14:textId="3057AD62" w:rsidR="000E3B24" w:rsidRPr="00EA03C3" w:rsidRDefault="000E3B24" w:rsidP="1189C88F">
      <w:pPr>
        <w:pStyle w:val="FootnoteText"/>
        <w:spacing w:before="0"/>
        <w:rPr>
          <w:i/>
          <w:iCs/>
          <w:sz w:val="20"/>
        </w:rPr>
      </w:pPr>
      <w:r w:rsidRPr="00EA03C3">
        <w:rPr>
          <w:rStyle w:val="FootnoteReference"/>
          <w:i/>
          <w:iCs/>
          <w:sz w:val="20"/>
        </w:rPr>
        <w:footnoteRef/>
      </w:r>
      <w:r w:rsidR="1189C88F" w:rsidRPr="00EA03C3">
        <w:rPr>
          <w:i/>
          <w:iCs/>
          <w:sz w:val="20"/>
        </w:rPr>
        <w:t xml:space="preserve"> The figures provided in this document correspond to the financial balance at the 2025 closure of accounts (balance as of 31 December 2025). Amounts have been converted to USD to allow for comparison.</w:t>
      </w:r>
    </w:p>
  </w:footnote>
  <w:footnote w:id="3">
    <w:p w14:paraId="7A92A05E" w14:textId="4003CC03" w:rsidR="000E3B24" w:rsidRPr="00EA03C3" w:rsidRDefault="000E3B24" w:rsidP="00034E77">
      <w:pPr>
        <w:pStyle w:val="FootnoteText"/>
        <w:tabs>
          <w:tab w:val="clear" w:pos="255"/>
          <w:tab w:val="left" w:pos="0"/>
        </w:tabs>
        <w:spacing w:before="0"/>
        <w:rPr>
          <w:i/>
          <w:iCs/>
          <w:sz w:val="20"/>
        </w:rPr>
      </w:pPr>
      <w:r w:rsidRPr="00EA03C3">
        <w:rPr>
          <w:rStyle w:val="FootnoteReference"/>
          <w:sz w:val="20"/>
        </w:rPr>
        <w:footnoteRef/>
      </w:r>
      <w:r w:rsidRPr="00EA03C3">
        <w:rPr>
          <w:sz w:val="20"/>
        </w:rPr>
        <w:t xml:space="preserve"> </w:t>
      </w:r>
      <w:r w:rsidRPr="00EA03C3">
        <w:rPr>
          <w:i/>
          <w:iCs/>
          <w:sz w:val="20"/>
        </w:rPr>
        <w:t>Note that this figure does not include addenda signed for ongoing projects, as well as other partnership agreements such as sponsorship agreements or voluntary contributions agreements, which are reported in document TDAG-2</w:t>
      </w:r>
      <w:r w:rsidR="0045160D" w:rsidRPr="00EA03C3">
        <w:rPr>
          <w:i/>
          <w:iCs/>
          <w:sz w:val="20"/>
        </w:rPr>
        <w:t>6</w:t>
      </w:r>
      <w:r w:rsidRPr="00EA03C3">
        <w:rPr>
          <w:i/>
          <w:iCs/>
          <w:sz w:val="20"/>
        </w:rPr>
        <w:t>/</w:t>
      </w:r>
      <w:r w:rsidR="0060046B" w:rsidRPr="00EA03C3">
        <w:rPr>
          <w:i/>
          <w:iCs/>
          <w:sz w:val="20"/>
        </w:rPr>
        <w:t>9</w:t>
      </w:r>
      <w:r w:rsidRPr="00EA03C3">
        <w:rPr>
          <w:i/>
          <w:iCs/>
          <w:sz w:val="20"/>
        </w:rPr>
        <w:t>.</w:t>
      </w:r>
    </w:p>
  </w:footnote>
  <w:footnote w:id="4">
    <w:p w14:paraId="531E85D8" w14:textId="717E596D" w:rsidR="001C24B7" w:rsidRPr="00EA03C3" w:rsidRDefault="001C24B7" w:rsidP="00034E77">
      <w:pPr>
        <w:pStyle w:val="FootnoteText"/>
        <w:spacing w:before="0"/>
        <w:rPr>
          <w:i/>
          <w:iCs/>
          <w:sz w:val="20"/>
        </w:rPr>
      </w:pPr>
      <w:r w:rsidRPr="00EA03C3">
        <w:rPr>
          <w:rStyle w:val="FootnoteReference"/>
          <w:i/>
          <w:iCs/>
          <w:sz w:val="20"/>
        </w:rPr>
        <w:footnoteRef/>
      </w:r>
      <w:r w:rsidRPr="00EA03C3">
        <w:rPr>
          <w:i/>
          <w:iCs/>
          <w:sz w:val="20"/>
        </w:rPr>
        <w:t xml:space="preserve"> </w:t>
      </w:r>
      <w:r w:rsidR="000168A5" w:rsidRPr="00EA03C3">
        <w:rPr>
          <w:i/>
          <w:iCs/>
          <w:sz w:val="20"/>
        </w:rPr>
        <w:t>The l</w:t>
      </w:r>
      <w:r w:rsidRPr="00EA03C3">
        <w:rPr>
          <w:i/>
          <w:iCs/>
          <w:sz w:val="20"/>
        </w:rPr>
        <w:t xml:space="preserve">atest report on the activities of the ICT-DF </w:t>
      </w:r>
      <w:r w:rsidR="00100905" w:rsidRPr="00EA03C3">
        <w:rPr>
          <w:i/>
          <w:iCs/>
          <w:sz w:val="20"/>
        </w:rPr>
        <w:t xml:space="preserve">presented </w:t>
      </w:r>
      <w:r w:rsidRPr="00EA03C3">
        <w:rPr>
          <w:i/>
          <w:iCs/>
          <w:sz w:val="20"/>
        </w:rPr>
        <w:t xml:space="preserve">to </w:t>
      </w:r>
      <w:r w:rsidR="00100905" w:rsidRPr="00EA03C3">
        <w:rPr>
          <w:i/>
          <w:iCs/>
          <w:sz w:val="20"/>
        </w:rPr>
        <w:t xml:space="preserve">ITU </w:t>
      </w:r>
      <w:r w:rsidRPr="00EA03C3">
        <w:rPr>
          <w:i/>
          <w:iCs/>
          <w:sz w:val="20"/>
        </w:rPr>
        <w:t xml:space="preserve">Council </w:t>
      </w:r>
      <w:r w:rsidR="000168A5" w:rsidRPr="00EA03C3">
        <w:rPr>
          <w:i/>
          <w:iCs/>
          <w:sz w:val="20"/>
        </w:rPr>
        <w:t xml:space="preserve">is available at </w:t>
      </w:r>
      <w:hyperlink r:id="rId1" w:history="1">
        <w:r w:rsidRPr="00EA03C3">
          <w:rPr>
            <w:rStyle w:val="Hyperlink"/>
            <w:i/>
            <w:iCs/>
            <w:sz w:val="20"/>
          </w:rPr>
          <w:t>https://www.itu.int/md/S25-CL-C-0034/en</w:t>
        </w:r>
      </w:hyperlink>
    </w:p>
  </w:footnote>
  <w:footnote w:id="5">
    <w:p w14:paraId="661F2F4E" w14:textId="77777777" w:rsidR="000E3B24" w:rsidRPr="00EA03C3" w:rsidRDefault="000E3B24" w:rsidP="00034E77">
      <w:pPr>
        <w:pStyle w:val="FootnoteText"/>
        <w:spacing w:before="0"/>
        <w:rPr>
          <w:i/>
          <w:iCs/>
          <w:sz w:val="20"/>
        </w:rPr>
      </w:pPr>
      <w:r w:rsidRPr="00EA03C3">
        <w:rPr>
          <w:rStyle w:val="FootnoteReference"/>
          <w:i/>
          <w:iCs/>
          <w:sz w:val="20"/>
        </w:rPr>
        <w:footnoteRef/>
      </w:r>
      <w:r w:rsidRPr="00EA03C3">
        <w:rPr>
          <w:i/>
          <w:iCs/>
          <w:sz w:val="20"/>
        </w:rPr>
        <w:t xml:space="preserve"> For further information see Resolution 1418, available at </w:t>
      </w:r>
      <w:hyperlink r:id="rId2" w:history="1">
        <w:r w:rsidRPr="00EA03C3">
          <w:rPr>
            <w:rStyle w:val="Hyperlink"/>
            <w:i/>
            <w:iCs/>
            <w:sz w:val="20"/>
          </w:rPr>
          <w:t>https://www.itu.int/md/S23-CL-C-0116/</w:t>
        </w:r>
      </w:hyperlink>
    </w:p>
  </w:footnote>
  <w:footnote w:id="6">
    <w:p w14:paraId="16BB658C" w14:textId="77777777" w:rsidR="00B76492" w:rsidRPr="00EA03C3" w:rsidRDefault="00B76492" w:rsidP="00034E77">
      <w:pPr>
        <w:pStyle w:val="FootnoteText"/>
        <w:spacing w:before="0"/>
        <w:rPr>
          <w:i/>
          <w:iCs/>
          <w:sz w:val="20"/>
        </w:rPr>
      </w:pPr>
      <w:r w:rsidRPr="00EA03C3">
        <w:rPr>
          <w:rStyle w:val="FootnoteReference"/>
          <w:i/>
          <w:iCs/>
          <w:sz w:val="20"/>
        </w:rPr>
        <w:footnoteRef/>
      </w:r>
      <w:r w:rsidRPr="00EA03C3">
        <w:rPr>
          <w:i/>
          <w:iCs/>
          <w:sz w:val="20"/>
        </w:rPr>
        <w:t xml:space="preserve"> Available at </w:t>
      </w:r>
      <w:hyperlink r:id="rId3" w:history="1">
        <w:r w:rsidRPr="00EA03C3">
          <w:rPr>
            <w:rStyle w:val="Hyperlink"/>
            <w:i/>
            <w:iCs/>
            <w:sz w:val="20"/>
          </w:rPr>
          <w:t>https://www.itu.int/en/ITU-D/Projects</w:t>
        </w:r>
      </w:hyperlink>
    </w:p>
  </w:footnote>
  <w:footnote w:id="7">
    <w:p w14:paraId="2739F996" w14:textId="749AE65A" w:rsidR="003C3846" w:rsidRPr="00EA03C3" w:rsidRDefault="003C3846" w:rsidP="1189C88F">
      <w:pPr>
        <w:pStyle w:val="FootnoteText"/>
        <w:spacing w:before="0"/>
        <w:rPr>
          <w:i/>
          <w:iCs/>
          <w:sz w:val="20"/>
        </w:rPr>
      </w:pPr>
      <w:r w:rsidRPr="00EA03C3">
        <w:rPr>
          <w:rStyle w:val="FootnoteReference"/>
          <w:i/>
          <w:iCs/>
          <w:sz w:val="20"/>
        </w:rPr>
        <w:footnoteRef/>
      </w:r>
      <w:r w:rsidR="1189C88F" w:rsidRPr="00EA03C3">
        <w:rPr>
          <w:i/>
          <w:iCs/>
          <w:sz w:val="20"/>
        </w:rPr>
        <w:t xml:space="preserve"> Amounts have been converted to USD to allow for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46E9C5C3" w:rsidR="00636181" w:rsidRPr="00047C61" w:rsidRDefault="00636181" w:rsidP="00047C61">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Pr>
        <w:sz w:val="22"/>
        <w:szCs w:val="22"/>
        <w:lang w:val="es-ES_tradnl"/>
      </w:rPr>
      <w:t>TDAG-2</w:t>
    </w:r>
    <w:r w:rsidR="00EF4D25">
      <w:rPr>
        <w:sz w:val="22"/>
        <w:szCs w:val="22"/>
        <w:lang w:val="es-ES_tradnl"/>
      </w:rPr>
      <w:t>6</w:t>
    </w:r>
    <w:r w:rsidRPr="00FF089C">
      <w:rPr>
        <w:sz w:val="22"/>
        <w:szCs w:val="22"/>
        <w:lang w:val="es-ES_tradnl"/>
      </w:rPr>
      <w:t>/</w:t>
    </w:r>
    <w:r w:rsidR="006E1FC2">
      <w:rPr>
        <w:sz w:val="22"/>
        <w:szCs w:val="22"/>
        <w:lang w:val="es-ES_tradnl"/>
      </w:rPr>
      <w:t>8</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D5E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6"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658A7"/>
    <w:multiLevelType w:val="hybridMultilevel"/>
    <w:tmpl w:val="A652166A"/>
    <w:lvl w:ilvl="0" w:tplc="B80E9A42">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22"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3"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2"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0"/>
  </w:num>
  <w:num w:numId="4" w16cid:durableId="1830174465">
    <w:abstractNumId w:val="3"/>
  </w:num>
  <w:num w:numId="5" w16cid:durableId="1479105461">
    <w:abstractNumId w:val="32"/>
  </w:num>
  <w:num w:numId="6" w16cid:durableId="869954702">
    <w:abstractNumId w:val="38"/>
  </w:num>
  <w:num w:numId="7" w16cid:durableId="444734477">
    <w:abstractNumId w:val="4"/>
  </w:num>
  <w:num w:numId="8" w16cid:durableId="362947223">
    <w:abstractNumId w:val="14"/>
  </w:num>
  <w:num w:numId="9" w16cid:durableId="458111764">
    <w:abstractNumId w:val="6"/>
  </w:num>
  <w:num w:numId="10" w16cid:durableId="1195534353">
    <w:abstractNumId w:val="13"/>
  </w:num>
  <w:num w:numId="11" w16cid:durableId="1826580952">
    <w:abstractNumId w:val="30"/>
  </w:num>
  <w:num w:numId="12" w16cid:durableId="1514690498">
    <w:abstractNumId w:val="37"/>
  </w:num>
  <w:num w:numId="13" w16cid:durableId="1235118698">
    <w:abstractNumId w:val="2"/>
  </w:num>
  <w:num w:numId="14" w16cid:durableId="509291828">
    <w:abstractNumId w:val="5"/>
  </w:num>
  <w:num w:numId="15" w16cid:durableId="383218916">
    <w:abstractNumId w:val="12"/>
  </w:num>
  <w:num w:numId="16" w16cid:durableId="1227569663">
    <w:abstractNumId w:val="9"/>
  </w:num>
  <w:num w:numId="17" w16cid:durableId="810974550">
    <w:abstractNumId w:val="43"/>
  </w:num>
  <w:num w:numId="18" w16cid:durableId="1354573477">
    <w:abstractNumId w:val="35"/>
  </w:num>
  <w:num w:numId="19" w16cid:durableId="435754545">
    <w:abstractNumId w:val="18"/>
  </w:num>
  <w:num w:numId="20" w16cid:durableId="1066875134">
    <w:abstractNumId w:val="29"/>
  </w:num>
  <w:num w:numId="21" w16cid:durableId="1689939216">
    <w:abstractNumId w:val="28"/>
  </w:num>
  <w:num w:numId="22" w16cid:durableId="1257783837">
    <w:abstractNumId w:val="44"/>
  </w:num>
  <w:num w:numId="23" w16cid:durableId="970285242">
    <w:abstractNumId w:val="24"/>
  </w:num>
  <w:num w:numId="24" w16cid:durableId="1876889861">
    <w:abstractNumId w:val="17"/>
  </w:num>
  <w:num w:numId="25" w16cid:durableId="138228398">
    <w:abstractNumId w:val="20"/>
  </w:num>
  <w:num w:numId="26" w16cid:durableId="1871145006">
    <w:abstractNumId w:val="22"/>
  </w:num>
  <w:num w:numId="27" w16cid:durableId="1946108508">
    <w:abstractNumId w:val="25"/>
  </w:num>
  <w:num w:numId="28" w16cid:durableId="1629045729">
    <w:abstractNumId w:val="11"/>
  </w:num>
  <w:num w:numId="29" w16cid:durableId="2010906637">
    <w:abstractNumId w:val="26"/>
  </w:num>
  <w:num w:numId="30" w16cid:durableId="290525213">
    <w:abstractNumId w:val="42"/>
  </w:num>
  <w:num w:numId="31" w16cid:durableId="191966975">
    <w:abstractNumId w:val="27"/>
  </w:num>
  <w:num w:numId="32" w16cid:durableId="2014406757">
    <w:abstractNumId w:val="33"/>
  </w:num>
  <w:num w:numId="33" w16cid:durableId="648558829">
    <w:abstractNumId w:val="19"/>
  </w:num>
  <w:num w:numId="34" w16cid:durableId="2071807613">
    <w:abstractNumId w:val="10"/>
  </w:num>
  <w:num w:numId="35" w16cid:durableId="271744889">
    <w:abstractNumId w:val="36"/>
  </w:num>
  <w:num w:numId="36" w16cid:durableId="1457527817">
    <w:abstractNumId w:val="23"/>
  </w:num>
  <w:num w:numId="37" w16cid:durableId="1066101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4"/>
  </w:num>
  <w:num w:numId="39" w16cid:durableId="359361948">
    <w:abstractNumId w:val="39"/>
  </w:num>
  <w:num w:numId="40" w16cid:durableId="1037706265">
    <w:abstractNumId w:val="8"/>
  </w:num>
  <w:num w:numId="41" w16cid:durableId="447436251">
    <w:abstractNumId w:val="45"/>
  </w:num>
  <w:num w:numId="42" w16cid:durableId="655766109">
    <w:abstractNumId w:val="16"/>
  </w:num>
  <w:num w:numId="43" w16cid:durableId="577523632">
    <w:abstractNumId w:val="15"/>
  </w:num>
  <w:num w:numId="44" w16cid:durableId="1138063662">
    <w:abstractNumId w:val="41"/>
  </w:num>
  <w:num w:numId="45" w16cid:durableId="25525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42778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B60"/>
    <w:rsid w:val="00004EB7"/>
    <w:rsid w:val="00005A53"/>
    <w:rsid w:val="00005FBD"/>
    <w:rsid w:val="00011ECB"/>
    <w:rsid w:val="000150B0"/>
    <w:rsid w:val="00015E52"/>
    <w:rsid w:val="000168A5"/>
    <w:rsid w:val="00016B68"/>
    <w:rsid w:val="00022350"/>
    <w:rsid w:val="00022A29"/>
    <w:rsid w:val="00024F8D"/>
    <w:rsid w:val="00025926"/>
    <w:rsid w:val="00025965"/>
    <w:rsid w:val="00026E00"/>
    <w:rsid w:val="0003259E"/>
    <w:rsid w:val="00034E77"/>
    <w:rsid w:val="000355FD"/>
    <w:rsid w:val="0003589F"/>
    <w:rsid w:val="0004516E"/>
    <w:rsid w:val="00047C61"/>
    <w:rsid w:val="0005184F"/>
    <w:rsid w:val="00051E39"/>
    <w:rsid w:val="00053725"/>
    <w:rsid w:val="00054B72"/>
    <w:rsid w:val="0005581A"/>
    <w:rsid w:val="0005590B"/>
    <w:rsid w:val="0005619C"/>
    <w:rsid w:val="0005747E"/>
    <w:rsid w:val="000604E5"/>
    <w:rsid w:val="000617DF"/>
    <w:rsid w:val="0006274C"/>
    <w:rsid w:val="00063655"/>
    <w:rsid w:val="0006550B"/>
    <w:rsid w:val="0007000B"/>
    <w:rsid w:val="00072502"/>
    <w:rsid w:val="000735FD"/>
    <w:rsid w:val="00074109"/>
    <w:rsid w:val="00074C4D"/>
    <w:rsid w:val="00075C63"/>
    <w:rsid w:val="00076288"/>
    <w:rsid w:val="00076C7B"/>
    <w:rsid w:val="00077239"/>
    <w:rsid w:val="00077415"/>
    <w:rsid w:val="000778CA"/>
    <w:rsid w:val="000805BB"/>
    <w:rsid w:val="00080905"/>
    <w:rsid w:val="00081C9D"/>
    <w:rsid w:val="000822BE"/>
    <w:rsid w:val="000829BB"/>
    <w:rsid w:val="00082B11"/>
    <w:rsid w:val="000840A7"/>
    <w:rsid w:val="000855A0"/>
    <w:rsid w:val="00085C6A"/>
    <w:rsid w:val="00086491"/>
    <w:rsid w:val="000904F9"/>
    <w:rsid w:val="000909ED"/>
    <w:rsid w:val="00091346"/>
    <w:rsid w:val="00091C80"/>
    <w:rsid w:val="00093573"/>
    <w:rsid w:val="0009581F"/>
    <w:rsid w:val="00095901"/>
    <w:rsid w:val="00097074"/>
    <w:rsid w:val="000A3B54"/>
    <w:rsid w:val="000A59AE"/>
    <w:rsid w:val="000A6A4F"/>
    <w:rsid w:val="000B4DD8"/>
    <w:rsid w:val="000B5757"/>
    <w:rsid w:val="000B6F87"/>
    <w:rsid w:val="000B738A"/>
    <w:rsid w:val="000C03F4"/>
    <w:rsid w:val="000C17EA"/>
    <w:rsid w:val="000C2592"/>
    <w:rsid w:val="000C42BA"/>
    <w:rsid w:val="000C4FD1"/>
    <w:rsid w:val="000D1759"/>
    <w:rsid w:val="000D38EB"/>
    <w:rsid w:val="000D4875"/>
    <w:rsid w:val="000D6891"/>
    <w:rsid w:val="000D6E8D"/>
    <w:rsid w:val="000E00C8"/>
    <w:rsid w:val="000E3B24"/>
    <w:rsid w:val="000E6D4C"/>
    <w:rsid w:val="000E71F8"/>
    <w:rsid w:val="000F039B"/>
    <w:rsid w:val="000F069F"/>
    <w:rsid w:val="000F29EC"/>
    <w:rsid w:val="000F38EA"/>
    <w:rsid w:val="000F39C6"/>
    <w:rsid w:val="000F474D"/>
    <w:rsid w:val="000F542E"/>
    <w:rsid w:val="000F641B"/>
    <w:rsid w:val="000F73FF"/>
    <w:rsid w:val="000F7F1C"/>
    <w:rsid w:val="00100905"/>
    <w:rsid w:val="00102175"/>
    <w:rsid w:val="00102343"/>
    <w:rsid w:val="001029B3"/>
    <w:rsid w:val="00105DCD"/>
    <w:rsid w:val="001066B3"/>
    <w:rsid w:val="001106BF"/>
    <w:rsid w:val="001114AC"/>
    <w:rsid w:val="00114584"/>
    <w:rsid w:val="00114CF7"/>
    <w:rsid w:val="00115411"/>
    <w:rsid w:val="00115B33"/>
    <w:rsid w:val="00116B95"/>
    <w:rsid w:val="00117233"/>
    <w:rsid w:val="00123B68"/>
    <w:rsid w:val="00124AF4"/>
    <w:rsid w:val="00124CAA"/>
    <w:rsid w:val="00125AE5"/>
    <w:rsid w:val="00125D8B"/>
    <w:rsid w:val="00125E69"/>
    <w:rsid w:val="00126F2E"/>
    <w:rsid w:val="00127FC6"/>
    <w:rsid w:val="001364F2"/>
    <w:rsid w:val="001419A9"/>
    <w:rsid w:val="001424DC"/>
    <w:rsid w:val="00142E45"/>
    <w:rsid w:val="00143A87"/>
    <w:rsid w:val="0014432F"/>
    <w:rsid w:val="00144805"/>
    <w:rsid w:val="00144E69"/>
    <w:rsid w:val="00146F6F"/>
    <w:rsid w:val="0014714E"/>
    <w:rsid w:val="00147DA1"/>
    <w:rsid w:val="00152957"/>
    <w:rsid w:val="0015319E"/>
    <w:rsid w:val="001534B6"/>
    <w:rsid w:val="00153AD6"/>
    <w:rsid w:val="0015668C"/>
    <w:rsid w:val="00164267"/>
    <w:rsid w:val="00166196"/>
    <w:rsid w:val="001664A7"/>
    <w:rsid w:val="00167327"/>
    <w:rsid w:val="00167A9D"/>
    <w:rsid w:val="00170C5A"/>
    <w:rsid w:val="00171758"/>
    <w:rsid w:val="0017500F"/>
    <w:rsid w:val="00176991"/>
    <w:rsid w:val="00180444"/>
    <w:rsid w:val="001807DB"/>
    <w:rsid w:val="001832B9"/>
    <w:rsid w:val="00185737"/>
    <w:rsid w:val="00187BD9"/>
    <w:rsid w:val="00187FF9"/>
    <w:rsid w:val="0019060A"/>
    <w:rsid w:val="00190B55"/>
    <w:rsid w:val="00191F5C"/>
    <w:rsid w:val="00192FA9"/>
    <w:rsid w:val="00194CFB"/>
    <w:rsid w:val="001A042F"/>
    <w:rsid w:val="001A1FFD"/>
    <w:rsid w:val="001A250D"/>
    <w:rsid w:val="001A3858"/>
    <w:rsid w:val="001A3F3D"/>
    <w:rsid w:val="001A404D"/>
    <w:rsid w:val="001A4BD2"/>
    <w:rsid w:val="001B1506"/>
    <w:rsid w:val="001B2ED3"/>
    <w:rsid w:val="001B40C6"/>
    <w:rsid w:val="001B643A"/>
    <w:rsid w:val="001B6675"/>
    <w:rsid w:val="001B7EA3"/>
    <w:rsid w:val="001C24B7"/>
    <w:rsid w:val="001C3B5F"/>
    <w:rsid w:val="001C61EA"/>
    <w:rsid w:val="001C7DE3"/>
    <w:rsid w:val="001D058F"/>
    <w:rsid w:val="001D2025"/>
    <w:rsid w:val="001D2A77"/>
    <w:rsid w:val="001D3B86"/>
    <w:rsid w:val="001D520B"/>
    <w:rsid w:val="001E0384"/>
    <w:rsid w:val="001E24AF"/>
    <w:rsid w:val="001E252D"/>
    <w:rsid w:val="001E43DC"/>
    <w:rsid w:val="001E5480"/>
    <w:rsid w:val="001E7564"/>
    <w:rsid w:val="001F202A"/>
    <w:rsid w:val="001F243E"/>
    <w:rsid w:val="001F3884"/>
    <w:rsid w:val="002009EA"/>
    <w:rsid w:val="00202CA0"/>
    <w:rsid w:val="00207A5D"/>
    <w:rsid w:val="002154A6"/>
    <w:rsid w:val="002162CD"/>
    <w:rsid w:val="00216478"/>
    <w:rsid w:val="0021725B"/>
    <w:rsid w:val="00220634"/>
    <w:rsid w:val="00221C1D"/>
    <w:rsid w:val="002226B9"/>
    <w:rsid w:val="00224B7C"/>
    <w:rsid w:val="00224CDD"/>
    <w:rsid w:val="002255B3"/>
    <w:rsid w:val="0023164A"/>
    <w:rsid w:val="002319F6"/>
    <w:rsid w:val="00232D67"/>
    <w:rsid w:val="0023409C"/>
    <w:rsid w:val="002346C7"/>
    <w:rsid w:val="002351D4"/>
    <w:rsid w:val="00236E8A"/>
    <w:rsid w:val="00240964"/>
    <w:rsid w:val="00240BC8"/>
    <w:rsid w:val="002420D0"/>
    <w:rsid w:val="00242487"/>
    <w:rsid w:val="002432B8"/>
    <w:rsid w:val="00243411"/>
    <w:rsid w:val="00246B32"/>
    <w:rsid w:val="00247204"/>
    <w:rsid w:val="002507AD"/>
    <w:rsid w:val="00251A53"/>
    <w:rsid w:val="00251C1A"/>
    <w:rsid w:val="0025263B"/>
    <w:rsid w:val="00252CFF"/>
    <w:rsid w:val="002539AE"/>
    <w:rsid w:val="0025489C"/>
    <w:rsid w:val="00255160"/>
    <w:rsid w:val="00256ACC"/>
    <w:rsid w:val="00261233"/>
    <w:rsid w:val="0026406F"/>
    <w:rsid w:val="00264DB4"/>
    <w:rsid w:val="002653F2"/>
    <w:rsid w:val="00266589"/>
    <w:rsid w:val="00267792"/>
    <w:rsid w:val="002712A9"/>
    <w:rsid w:val="00271316"/>
    <w:rsid w:val="00272417"/>
    <w:rsid w:val="00274CC3"/>
    <w:rsid w:val="00276414"/>
    <w:rsid w:val="00277408"/>
    <w:rsid w:val="00283F74"/>
    <w:rsid w:val="00286C1D"/>
    <w:rsid w:val="00286C4C"/>
    <w:rsid w:val="00286DEA"/>
    <w:rsid w:val="00294BF6"/>
    <w:rsid w:val="00294D5A"/>
    <w:rsid w:val="002955DA"/>
    <w:rsid w:val="00295A71"/>
    <w:rsid w:val="00296313"/>
    <w:rsid w:val="00296DA0"/>
    <w:rsid w:val="00297006"/>
    <w:rsid w:val="002A0A7A"/>
    <w:rsid w:val="002A0D8C"/>
    <w:rsid w:val="002A27F8"/>
    <w:rsid w:val="002A51DF"/>
    <w:rsid w:val="002A554D"/>
    <w:rsid w:val="002A684E"/>
    <w:rsid w:val="002B074A"/>
    <w:rsid w:val="002B07B9"/>
    <w:rsid w:val="002B10D5"/>
    <w:rsid w:val="002B1496"/>
    <w:rsid w:val="002B3296"/>
    <w:rsid w:val="002B37A4"/>
    <w:rsid w:val="002B3C84"/>
    <w:rsid w:val="002B5490"/>
    <w:rsid w:val="002C003A"/>
    <w:rsid w:val="002C12ED"/>
    <w:rsid w:val="002C49BA"/>
    <w:rsid w:val="002C4B75"/>
    <w:rsid w:val="002C5759"/>
    <w:rsid w:val="002C73F6"/>
    <w:rsid w:val="002C7D5E"/>
    <w:rsid w:val="002D1527"/>
    <w:rsid w:val="002D3DA7"/>
    <w:rsid w:val="002D58BE"/>
    <w:rsid w:val="002D5BE8"/>
    <w:rsid w:val="002E4D1D"/>
    <w:rsid w:val="002E51E0"/>
    <w:rsid w:val="002E5411"/>
    <w:rsid w:val="002E7A84"/>
    <w:rsid w:val="002F1BD0"/>
    <w:rsid w:val="002F4707"/>
    <w:rsid w:val="003013EE"/>
    <w:rsid w:val="00301A95"/>
    <w:rsid w:val="00301B66"/>
    <w:rsid w:val="00303EBB"/>
    <w:rsid w:val="00304031"/>
    <w:rsid w:val="0031048A"/>
    <w:rsid w:val="00311808"/>
    <w:rsid w:val="00311851"/>
    <w:rsid w:val="00311CD5"/>
    <w:rsid w:val="0031525F"/>
    <w:rsid w:val="00316725"/>
    <w:rsid w:val="00316A69"/>
    <w:rsid w:val="003231C6"/>
    <w:rsid w:val="00323E49"/>
    <w:rsid w:val="003247A5"/>
    <w:rsid w:val="0032550C"/>
    <w:rsid w:val="00325939"/>
    <w:rsid w:val="00326F4A"/>
    <w:rsid w:val="003273BC"/>
    <w:rsid w:val="00331F05"/>
    <w:rsid w:val="00334AB9"/>
    <w:rsid w:val="00334B1C"/>
    <w:rsid w:val="00335220"/>
    <w:rsid w:val="00335304"/>
    <w:rsid w:val="00335759"/>
    <w:rsid w:val="00337750"/>
    <w:rsid w:val="0034384D"/>
    <w:rsid w:val="00345D42"/>
    <w:rsid w:val="00346224"/>
    <w:rsid w:val="0034636C"/>
    <w:rsid w:val="00347A36"/>
    <w:rsid w:val="0035089A"/>
    <w:rsid w:val="003511BC"/>
    <w:rsid w:val="00356083"/>
    <w:rsid w:val="00361609"/>
    <w:rsid w:val="00364098"/>
    <w:rsid w:val="00366978"/>
    <w:rsid w:val="0037003F"/>
    <w:rsid w:val="00371220"/>
    <w:rsid w:val="00372BCF"/>
    <w:rsid w:val="00373365"/>
    <w:rsid w:val="00373EF5"/>
    <w:rsid w:val="00377BD3"/>
    <w:rsid w:val="003807EA"/>
    <w:rsid w:val="003829D8"/>
    <w:rsid w:val="00382FCD"/>
    <w:rsid w:val="0038304D"/>
    <w:rsid w:val="00384088"/>
    <w:rsid w:val="0038489B"/>
    <w:rsid w:val="003852E1"/>
    <w:rsid w:val="00385BE9"/>
    <w:rsid w:val="00387C92"/>
    <w:rsid w:val="0039169B"/>
    <w:rsid w:val="00391A41"/>
    <w:rsid w:val="00392277"/>
    <w:rsid w:val="00394B90"/>
    <w:rsid w:val="003968CC"/>
    <w:rsid w:val="003A0040"/>
    <w:rsid w:val="003A03FF"/>
    <w:rsid w:val="003A04F5"/>
    <w:rsid w:val="003A22FC"/>
    <w:rsid w:val="003A26AA"/>
    <w:rsid w:val="003A387F"/>
    <w:rsid w:val="003A5137"/>
    <w:rsid w:val="003A6BAC"/>
    <w:rsid w:val="003A6BED"/>
    <w:rsid w:val="003A7F8C"/>
    <w:rsid w:val="003B08DA"/>
    <w:rsid w:val="003B11F9"/>
    <w:rsid w:val="003B2692"/>
    <w:rsid w:val="003B2B56"/>
    <w:rsid w:val="003B532E"/>
    <w:rsid w:val="003B5BF9"/>
    <w:rsid w:val="003B6306"/>
    <w:rsid w:val="003B657C"/>
    <w:rsid w:val="003B6602"/>
    <w:rsid w:val="003B6F14"/>
    <w:rsid w:val="003B6F60"/>
    <w:rsid w:val="003C1870"/>
    <w:rsid w:val="003C3846"/>
    <w:rsid w:val="003C5DA1"/>
    <w:rsid w:val="003C6136"/>
    <w:rsid w:val="003D0F8B"/>
    <w:rsid w:val="003D2DD4"/>
    <w:rsid w:val="003D39F2"/>
    <w:rsid w:val="003D5A63"/>
    <w:rsid w:val="003D6425"/>
    <w:rsid w:val="003D66A7"/>
    <w:rsid w:val="003D7EE8"/>
    <w:rsid w:val="003E0926"/>
    <w:rsid w:val="003E1D68"/>
    <w:rsid w:val="003E31B1"/>
    <w:rsid w:val="003F0A6C"/>
    <w:rsid w:val="003F0F49"/>
    <w:rsid w:val="003F1363"/>
    <w:rsid w:val="003F48B5"/>
    <w:rsid w:val="003F52BA"/>
    <w:rsid w:val="0040095A"/>
    <w:rsid w:val="00400E1C"/>
    <w:rsid w:val="00403C69"/>
    <w:rsid w:val="00405EC2"/>
    <w:rsid w:val="00406278"/>
    <w:rsid w:val="00406297"/>
    <w:rsid w:val="00406C59"/>
    <w:rsid w:val="00407740"/>
    <w:rsid w:val="0041156F"/>
    <w:rsid w:val="00411C52"/>
    <w:rsid w:val="00412C81"/>
    <w:rsid w:val="004131D4"/>
    <w:rsid w:val="0041348E"/>
    <w:rsid w:val="00414895"/>
    <w:rsid w:val="0041645A"/>
    <w:rsid w:val="004208C6"/>
    <w:rsid w:val="00421605"/>
    <w:rsid w:val="00422868"/>
    <w:rsid w:val="004269E6"/>
    <w:rsid w:val="00433357"/>
    <w:rsid w:val="00433B5E"/>
    <w:rsid w:val="00435762"/>
    <w:rsid w:val="00435E45"/>
    <w:rsid w:val="00436413"/>
    <w:rsid w:val="004364D9"/>
    <w:rsid w:val="00437819"/>
    <w:rsid w:val="00437A8D"/>
    <w:rsid w:val="00440C4F"/>
    <w:rsid w:val="00441D30"/>
    <w:rsid w:val="00441E8B"/>
    <w:rsid w:val="0044234D"/>
    <w:rsid w:val="004445FD"/>
    <w:rsid w:val="00445A60"/>
    <w:rsid w:val="00446FBA"/>
    <w:rsid w:val="00447308"/>
    <w:rsid w:val="00447990"/>
    <w:rsid w:val="004500BC"/>
    <w:rsid w:val="0045160D"/>
    <w:rsid w:val="00451B1B"/>
    <w:rsid w:val="004541A5"/>
    <w:rsid w:val="004552B4"/>
    <w:rsid w:val="00460CF8"/>
    <w:rsid w:val="00462253"/>
    <w:rsid w:val="00462CB2"/>
    <w:rsid w:val="004631CC"/>
    <w:rsid w:val="00464544"/>
    <w:rsid w:val="00465871"/>
    <w:rsid w:val="00467DB2"/>
    <w:rsid w:val="00472FC1"/>
    <w:rsid w:val="004755BA"/>
    <w:rsid w:val="00476357"/>
    <w:rsid w:val="004765FF"/>
    <w:rsid w:val="00481E58"/>
    <w:rsid w:val="00482650"/>
    <w:rsid w:val="004840EF"/>
    <w:rsid w:val="0048520E"/>
    <w:rsid w:val="00486163"/>
    <w:rsid w:val="00492075"/>
    <w:rsid w:val="0049304E"/>
    <w:rsid w:val="00493E6C"/>
    <w:rsid w:val="00495290"/>
    <w:rsid w:val="004952E0"/>
    <w:rsid w:val="004969AD"/>
    <w:rsid w:val="00496E2A"/>
    <w:rsid w:val="004A0244"/>
    <w:rsid w:val="004A3FF4"/>
    <w:rsid w:val="004A620A"/>
    <w:rsid w:val="004A6C53"/>
    <w:rsid w:val="004A7674"/>
    <w:rsid w:val="004A783D"/>
    <w:rsid w:val="004B13CB"/>
    <w:rsid w:val="004B13F0"/>
    <w:rsid w:val="004B2466"/>
    <w:rsid w:val="004B3C6F"/>
    <w:rsid w:val="004B3DE4"/>
    <w:rsid w:val="004B4FDF"/>
    <w:rsid w:val="004B4FF2"/>
    <w:rsid w:val="004B6BA9"/>
    <w:rsid w:val="004B716F"/>
    <w:rsid w:val="004B7C16"/>
    <w:rsid w:val="004B7E77"/>
    <w:rsid w:val="004C1EF5"/>
    <w:rsid w:val="004C2413"/>
    <w:rsid w:val="004C2DCB"/>
    <w:rsid w:val="004C3355"/>
    <w:rsid w:val="004C42E0"/>
    <w:rsid w:val="004C4766"/>
    <w:rsid w:val="004D04E2"/>
    <w:rsid w:val="004D4243"/>
    <w:rsid w:val="004D5D5C"/>
    <w:rsid w:val="004D741C"/>
    <w:rsid w:val="004D752D"/>
    <w:rsid w:val="004D7763"/>
    <w:rsid w:val="004E27DE"/>
    <w:rsid w:val="004E2F10"/>
    <w:rsid w:val="004E3276"/>
    <w:rsid w:val="004E4967"/>
    <w:rsid w:val="004E49F9"/>
    <w:rsid w:val="004E4F74"/>
    <w:rsid w:val="004E5959"/>
    <w:rsid w:val="004E704A"/>
    <w:rsid w:val="004F051F"/>
    <w:rsid w:val="004F1B9F"/>
    <w:rsid w:val="004F3D95"/>
    <w:rsid w:val="004F654D"/>
    <w:rsid w:val="004F660E"/>
    <w:rsid w:val="004F6D8C"/>
    <w:rsid w:val="004F7270"/>
    <w:rsid w:val="005004A4"/>
    <w:rsid w:val="00500CAF"/>
    <w:rsid w:val="0050139F"/>
    <w:rsid w:val="0050163D"/>
    <w:rsid w:val="00502A85"/>
    <w:rsid w:val="0050712D"/>
    <w:rsid w:val="00510692"/>
    <w:rsid w:val="00510D2F"/>
    <w:rsid w:val="00510F4D"/>
    <w:rsid w:val="00516722"/>
    <w:rsid w:val="00517624"/>
    <w:rsid w:val="00520565"/>
    <w:rsid w:val="00521223"/>
    <w:rsid w:val="00522979"/>
    <w:rsid w:val="00523934"/>
    <w:rsid w:val="00523D3E"/>
    <w:rsid w:val="00524DF1"/>
    <w:rsid w:val="005252E6"/>
    <w:rsid w:val="00525D24"/>
    <w:rsid w:val="0052716E"/>
    <w:rsid w:val="00531317"/>
    <w:rsid w:val="00533CBA"/>
    <w:rsid w:val="00536513"/>
    <w:rsid w:val="00536DB4"/>
    <w:rsid w:val="00541D24"/>
    <w:rsid w:val="00543159"/>
    <w:rsid w:val="0054377E"/>
    <w:rsid w:val="0054450F"/>
    <w:rsid w:val="0055140B"/>
    <w:rsid w:val="00552F9E"/>
    <w:rsid w:val="00553238"/>
    <w:rsid w:val="00554C4F"/>
    <w:rsid w:val="00561D72"/>
    <w:rsid w:val="00563344"/>
    <w:rsid w:val="00563E12"/>
    <w:rsid w:val="00564F36"/>
    <w:rsid w:val="00566EEB"/>
    <w:rsid w:val="00570FA3"/>
    <w:rsid w:val="00571767"/>
    <w:rsid w:val="00576F87"/>
    <w:rsid w:val="00576FB4"/>
    <w:rsid w:val="00581664"/>
    <w:rsid w:val="00585238"/>
    <w:rsid w:val="005855FC"/>
    <w:rsid w:val="00586EB9"/>
    <w:rsid w:val="00587280"/>
    <w:rsid w:val="00592321"/>
    <w:rsid w:val="005933B2"/>
    <w:rsid w:val="00593B87"/>
    <w:rsid w:val="00595D1A"/>
    <w:rsid w:val="005964AB"/>
    <w:rsid w:val="00597D84"/>
    <w:rsid w:val="005A0C70"/>
    <w:rsid w:val="005A2A77"/>
    <w:rsid w:val="005A2BEB"/>
    <w:rsid w:val="005A3485"/>
    <w:rsid w:val="005A4256"/>
    <w:rsid w:val="005A5E0C"/>
    <w:rsid w:val="005A6739"/>
    <w:rsid w:val="005B0278"/>
    <w:rsid w:val="005B11F4"/>
    <w:rsid w:val="005B2043"/>
    <w:rsid w:val="005B25C3"/>
    <w:rsid w:val="005B2DD6"/>
    <w:rsid w:val="005B41B7"/>
    <w:rsid w:val="005B44F5"/>
    <w:rsid w:val="005B6D88"/>
    <w:rsid w:val="005B6E8D"/>
    <w:rsid w:val="005B7EE5"/>
    <w:rsid w:val="005C099A"/>
    <w:rsid w:val="005C116F"/>
    <w:rsid w:val="005C13B5"/>
    <w:rsid w:val="005C15F2"/>
    <w:rsid w:val="005C26D1"/>
    <w:rsid w:val="005C3173"/>
    <w:rsid w:val="005C31A5"/>
    <w:rsid w:val="005C3228"/>
    <w:rsid w:val="005C3248"/>
    <w:rsid w:val="005C3F17"/>
    <w:rsid w:val="005C4740"/>
    <w:rsid w:val="005D0BEA"/>
    <w:rsid w:val="005D2015"/>
    <w:rsid w:val="005D4916"/>
    <w:rsid w:val="005E0641"/>
    <w:rsid w:val="005E0C04"/>
    <w:rsid w:val="005E0D2B"/>
    <w:rsid w:val="005E10C9"/>
    <w:rsid w:val="005E4FF6"/>
    <w:rsid w:val="005E5F72"/>
    <w:rsid w:val="005E61DD"/>
    <w:rsid w:val="005E6321"/>
    <w:rsid w:val="005E762E"/>
    <w:rsid w:val="005F0DCA"/>
    <w:rsid w:val="005F1CBD"/>
    <w:rsid w:val="005F5413"/>
    <w:rsid w:val="00600100"/>
    <w:rsid w:val="0060046B"/>
    <w:rsid w:val="00600B9C"/>
    <w:rsid w:val="006023DF"/>
    <w:rsid w:val="00602CFD"/>
    <w:rsid w:val="0060693B"/>
    <w:rsid w:val="00610715"/>
    <w:rsid w:val="006117C6"/>
    <w:rsid w:val="00611CD2"/>
    <w:rsid w:val="0061256F"/>
    <w:rsid w:val="00613924"/>
    <w:rsid w:val="00615AB9"/>
    <w:rsid w:val="00617602"/>
    <w:rsid w:val="00620ECD"/>
    <w:rsid w:val="00621FDD"/>
    <w:rsid w:val="00622B63"/>
    <w:rsid w:val="00624A81"/>
    <w:rsid w:val="006251AB"/>
    <w:rsid w:val="00625FE1"/>
    <w:rsid w:val="006260AF"/>
    <w:rsid w:val="00626270"/>
    <w:rsid w:val="0062697F"/>
    <w:rsid w:val="00627881"/>
    <w:rsid w:val="00632FA1"/>
    <w:rsid w:val="00636181"/>
    <w:rsid w:val="00637E81"/>
    <w:rsid w:val="00637E99"/>
    <w:rsid w:val="006422AD"/>
    <w:rsid w:val="00642C66"/>
    <w:rsid w:val="006430DA"/>
    <w:rsid w:val="0064322F"/>
    <w:rsid w:val="006449A5"/>
    <w:rsid w:val="00644F99"/>
    <w:rsid w:val="00645100"/>
    <w:rsid w:val="00645992"/>
    <w:rsid w:val="006463EE"/>
    <w:rsid w:val="006475E3"/>
    <w:rsid w:val="00650836"/>
    <w:rsid w:val="006512B9"/>
    <w:rsid w:val="00651D1E"/>
    <w:rsid w:val="00654198"/>
    <w:rsid w:val="0065747C"/>
    <w:rsid w:val="00657DE0"/>
    <w:rsid w:val="00660308"/>
    <w:rsid w:val="006608C4"/>
    <w:rsid w:val="006612C2"/>
    <w:rsid w:val="006617C0"/>
    <w:rsid w:val="00661B5E"/>
    <w:rsid w:val="00661FB8"/>
    <w:rsid w:val="00665B75"/>
    <w:rsid w:val="00666356"/>
    <w:rsid w:val="00667F38"/>
    <w:rsid w:val="0067097D"/>
    <w:rsid w:val="00671956"/>
    <w:rsid w:val="0067199F"/>
    <w:rsid w:val="006747D8"/>
    <w:rsid w:val="00674AEF"/>
    <w:rsid w:val="00675DB5"/>
    <w:rsid w:val="00676ED7"/>
    <w:rsid w:val="00677048"/>
    <w:rsid w:val="006774C1"/>
    <w:rsid w:val="00677941"/>
    <w:rsid w:val="00680225"/>
    <w:rsid w:val="00685313"/>
    <w:rsid w:val="00690B44"/>
    <w:rsid w:val="006912F3"/>
    <w:rsid w:val="00696E7A"/>
    <w:rsid w:val="006A0C7C"/>
    <w:rsid w:val="006A0D14"/>
    <w:rsid w:val="006A47E5"/>
    <w:rsid w:val="006A6E9B"/>
    <w:rsid w:val="006A747C"/>
    <w:rsid w:val="006B1038"/>
    <w:rsid w:val="006B22FC"/>
    <w:rsid w:val="006B481B"/>
    <w:rsid w:val="006B502E"/>
    <w:rsid w:val="006B73C2"/>
    <w:rsid w:val="006B7C2A"/>
    <w:rsid w:val="006C03CD"/>
    <w:rsid w:val="006C23DA"/>
    <w:rsid w:val="006C55F6"/>
    <w:rsid w:val="006C7898"/>
    <w:rsid w:val="006C7CA9"/>
    <w:rsid w:val="006D2DD5"/>
    <w:rsid w:val="006D425C"/>
    <w:rsid w:val="006D4843"/>
    <w:rsid w:val="006D6130"/>
    <w:rsid w:val="006D6DDA"/>
    <w:rsid w:val="006E099C"/>
    <w:rsid w:val="006E159D"/>
    <w:rsid w:val="006E1D16"/>
    <w:rsid w:val="006E1FC2"/>
    <w:rsid w:val="006E3D45"/>
    <w:rsid w:val="006E64F1"/>
    <w:rsid w:val="006E6C6C"/>
    <w:rsid w:val="006E7629"/>
    <w:rsid w:val="006F0C99"/>
    <w:rsid w:val="006F1889"/>
    <w:rsid w:val="006F7874"/>
    <w:rsid w:val="006F7BD3"/>
    <w:rsid w:val="0070348E"/>
    <w:rsid w:val="007034D9"/>
    <w:rsid w:val="00705932"/>
    <w:rsid w:val="00711A03"/>
    <w:rsid w:val="007149F9"/>
    <w:rsid w:val="0071531C"/>
    <w:rsid w:val="007153E1"/>
    <w:rsid w:val="0071541F"/>
    <w:rsid w:val="007167D5"/>
    <w:rsid w:val="00720DD1"/>
    <w:rsid w:val="00722102"/>
    <w:rsid w:val="00722523"/>
    <w:rsid w:val="007265FE"/>
    <w:rsid w:val="00730009"/>
    <w:rsid w:val="00730410"/>
    <w:rsid w:val="00731D5F"/>
    <w:rsid w:val="00733A30"/>
    <w:rsid w:val="00735BAB"/>
    <w:rsid w:val="007372E2"/>
    <w:rsid w:val="007379E5"/>
    <w:rsid w:val="00743072"/>
    <w:rsid w:val="00744B54"/>
    <w:rsid w:val="00745AEE"/>
    <w:rsid w:val="00747028"/>
    <w:rsid w:val="007479EA"/>
    <w:rsid w:val="00747A98"/>
    <w:rsid w:val="00747EA4"/>
    <w:rsid w:val="00750F10"/>
    <w:rsid w:val="0075242F"/>
    <w:rsid w:val="0075454D"/>
    <w:rsid w:val="00756ADC"/>
    <w:rsid w:val="007578A5"/>
    <w:rsid w:val="00761CEF"/>
    <w:rsid w:val="00763387"/>
    <w:rsid w:val="00764079"/>
    <w:rsid w:val="007654FE"/>
    <w:rsid w:val="00765BA5"/>
    <w:rsid w:val="007664D4"/>
    <w:rsid w:val="0076734D"/>
    <w:rsid w:val="00770D7E"/>
    <w:rsid w:val="007742CA"/>
    <w:rsid w:val="0077509B"/>
    <w:rsid w:val="00776C82"/>
    <w:rsid w:val="00776DB1"/>
    <w:rsid w:val="0077768B"/>
    <w:rsid w:val="0077794B"/>
    <w:rsid w:val="0078000F"/>
    <w:rsid w:val="00785FA0"/>
    <w:rsid w:val="00790CF4"/>
    <w:rsid w:val="00790D35"/>
    <w:rsid w:val="00792779"/>
    <w:rsid w:val="00792DB8"/>
    <w:rsid w:val="00793BB0"/>
    <w:rsid w:val="00794ABD"/>
    <w:rsid w:val="00795843"/>
    <w:rsid w:val="00795C00"/>
    <w:rsid w:val="0079605E"/>
    <w:rsid w:val="00796625"/>
    <w:rsid w:val="007A7FAF"/>
    <w:rsid w:val="007B12EB"/>
    <w:rsid w:val="007B2EB6"/>
    <w:rsid w:val="007B3BF6"/>
    <w:rsid w:val="007B4578"/>
    <w:rsid w:val="007B61F8"/>
    <w:rsid w:val="007C0A4D"/>
    <w:rsid w:val="007C2360"/>
    <w:rsid w:val="007C5A7B"/>
    <w:rsid w:val="007C63E6"/>
    <w:rsid w:val="007D06F0"/>
    <w:rsid w:val="007D35D0"/>
    <w:rsid w:val="007D3C25"/>
    <w:rsid w:val="007D4045"/>
    <w:rsid w:val="007D45E3"/>
    <w:rsid w:val="007D5320"/>
    <w:rsid w:val="007D6FBF"/>
    <w:rsid w:val="007D714B"/>
    <w:rsid w:val="007E065B"/>
    <w:rsid w:val="007E0A1D"/>
    <w:rsid w:val="007E28A9"/>
    <w:rsid w:val="007E713F"/>
    <w:rsid w:val="007E7819"/>
    <w:rsid w:val="007E799D"/>
    <w:rsid w:val="007F236E"/>
    <w:rsid w:val="007F2668"/>
    <w:rsid w:val="007F26E3"/>
    <w:rsid w:val="007F48A6"/>
    <w:rsid w:val="007F535C"/>
    <w:rsid w:val="007F54EB"/>
    <w:rsid w:val="007F735C"/>
    <w:rsid w:val="00800819"/>
    <w:rsid w:val="00800972"/>
    <w:rsid w:val="008027F3"/>
    <w:rsid w:val="00802DF2"/>
    <w:rsid w:val="00804475"/>
    <w:rsid w:val="0081159E"/>
    <w:rsid w:val="00811633"/>
    <w:rsid w:val="00811642"/>
    <w:rsid w:val="00813D52"/>
    <w:rsid w:val="00814C00"/>
    <w:rsid w:val="00815CFA"/>
    <w:rsid w:val="00816C2D"/>
    <w:rsid w:val="00821CEF"/>
    <w:rsid w:val="00823BDC"/>
    <w:rsid w:val="00832828"/>
    <w:rsid w:val="008334AF"/>
    <w:rsid w:val="0083645A"/>
    <w:rsid w:val="0083797D"/>
    <w:rsid w:val="00837AB9"/>
    <w:rsid w:val="00840B0F"/>
    <w:rsid w:val="00840FD0"/>
    <w:rsid w:val="00841CFD"/>
    <w:rsid w:val="0084590A"/>
    <w:rsid w:val="00845C0D"/>
    <w:rsid w:val="008529D3"/>
    <w:rsid w:val="00854840"/>
    <w:rsid w:val="0085555B"/>
    <w:rsid w:val="00855FDC"/>
    <w:rsid w:val="00860F8A"/>
    <w:rsid w:val="0086299C"/>
    <w:rsid w:val="00863096"/>
    <w:rsid w:val="00863578"/>
    <w:rsid w:val="00863FC4"/>
    <w:rsid w:val="008658D0"/>
    <w:rsid w:val="00867B8E"/>
    <w:rsid w:val="008711AE"/>
    <w:rsid w:val="008715E4"/>
    <w:rsid w:val="00872FC8"/>
    <w:rsid w:val="00874817"/>
    <w:rsid w:val="008771E3"/>
    <w:rsid w:val="00877397"/>
    <w:rsid w:val="00877925"/>
    <w:rsid w:val="00877D80"/>
    <w:rsid w:val="008801D3"/>
    <w:rsid w:val="00880325"/>
    <w:rsid w:val="008806F3"/>
    <w:rsid w:val="00881DBB"/>
    <w:rsid w:val="00882996"/>
    <w:rsid w:val="00882D70"/>
    <w:rsid w:val="008831D4"/>
    <w:rsid w:val="00883866"/>
    <w:rsid w:val="008845D0"/>
    <w:rsid w:val="00887441"/>
    <w:rsid w:val="0089151A"/>
    <w:rsid w:val="00893B2C"/>
    <w:rsid w:val="008945AD"/>
    <w:rsid w:val="00894F96"/>
    <w:rsid w:val="008A0BFE"/>
    <w:rsid w:val="008A2753"/>
    <w:rsid w:val="008A3933"/>
    <w:rsid w:val="008A39AA"/>
    <w:rsid w:val="008A4284"/>
    <w:rsid w:val="008A7165"/>
    <w:rsid w:val="008B173D"/>
    <w:rsid w:val="008B20A4"/>
    <w:rsid w:val="008B3713"/>
    <w:rsid w:val="008B43F2"/>
    <w:rsid w:val="008B54AB"/>
    <w:rsid w:val="008B54D9"/>
    <w:rsid w:val="008B61EA"/>
    <w:rsid w:val="008B63AA"/>
    <w:rsid w:val="008B6CFF"/>
    <w:rsid w:val="008C28A0"/>
    <w:rsid w:val="008C3D02"/>
    <w:rsid w:val="008C4ADD"/>
    <w:rsid w:val="008C5748"/>
    <w:rsid w:val="008D06CB"/>
    <w:rsid w:val="008D279B"/>
    <w:rsid w:val="008D2B46"/>
    <w:rsid w:val="008D678E"/>
    <w:rsid w:val="008E2684"/>
    <w:rsid w:val="008E33DA"/>
    <w:rsid w:val="008E4661"/>
    <w:rsid w:val="008E4832"/>
    <w:rsid w:val="008E6B36"/>
    <w:rsid w:val="008E7DF8"/>
    <w:rsid w:val="008F04EE"/>
    <w:rsid w:val="008F238A"/>
    <w:rsid w:val="008F23CE"/>
    <w:rsid w:val="008F3284"/>
    <w:rsid w:val="008F36FB"/>
    <w:rsid w:val="008F6115"/>
    <w:rsid w:val="008F77B3"/>
    <w:rsid w:val="009006A0"/>
    <w:rsid w:val="00900E22"/>
    <w:rsid w:val="00902201"/>
    <w:rsid w:val="009023DF"/>
    <w:rsid w:val="0090293E"/>
    <w:rsid w:val="00903020"/>
    <w:rsid w:val="00903C7C"/>
    <w:rsid w:val="0090672B"/>
    <w:rsid w:val="0091016B"/>
    <w:rsid w:val="00910408"/>
    <w:rsid w:val="00910B26"/>
    <w:rsid w:val="00912004"/>
    <w:rsid w:val="00921363"/>
    <w:rsid w:val="00922C3B"/>
    <w:rsid w:val="009238B9"/>
    <w:rsid w:val="009274B4"/>
    <w:rsid w:val="00931236"/>
    <w:rsid w:val="00934743"/>
    <w:rsid w:val="00934EA2"/>
    <w:rsid w:val="00935DFB"/>
    <w:rsid w:val="009373C9"/>
    <w:rsid w:val="00941B98"/>
    <w:rsid w:val="00942FC1"/>
    <w:rsid w:val="00943545"/>
    <w:rsid w:val="00943875"/>
    <w:rsid w:val="00944A5C"/>
    <w:rsid w:val="00944A99"/>
    <w:rsid w:val="00947D01"/>
    <w:rsid w:val="00950529"/>
    <w:rsid w:val="00951816"/>
    <w:rsid w:val="009520D5"/>
    <w:rsid w:val="00952A66"/>
    <w:rsid w:val="00953C32"/>
    <w:rsid w:val="00962C75"/>
    <w:rsid w:val="00964C68"/>
    <w:rsid w:val="00965523"/>
    <w:rsid w:val="00965838"/>
    <w:rsid w:val="0097011B"/>
    <w:rsid w:val="009737F9"/>
    <w:rsid w:val="0097685E"/>
    <w:rsid w:val="009778D8"/>
    <w:rsid w:val="00980AD1"/>
    <w:rsid w:val="00980AD6"/>
    <w:rsid w:val="009828A4"/>
    <w:rsid w:val="009839B8"/>
    <w:rsid w:val="00983A09"/>
    <w:rsid w:val="00985001"/>
    <w:rsid w:val="00986EBB"/>
    <w:rsid w:val="009907F3"/>
    <w:rsid w:val="00990A55"/>
    <w:rsid w:val="00992F9A"/>
    <w:rsid w:val="009944BE"/>
    <w:rsid w:val="00995E15"/>
    <w:rsid w:val="0099661A"/>
    <w:rsid w:val="00996913"/>
    <w:rsid w:val="00996ACA"/>
    <w:rsid w:val="00997678"/>
    <w:rsid w:val="009A04A9"/>
    <w:rsid w:val="009A04EC"/>
    <w:rsid w:val="009A12AA"/>
    <w:rsid w:val="009A234F"/>
    <w:rsid w:val="009A291A"/>
    <w:rsid w:val="009B04F1"/>
    <w:rsid w:val="009B0B1E"/>
    <w:rsid w:val="009B28F2"/>
    <w:rsid w:val="009B4B2A"/>
    <w:rsid w:val="009B5126"/>
    <w:rsid w:val="009B70E9"/>
    <w:rsid w:val="009B71C3"/>
    <w:rsid w:val="009B75FF"/>
    <w:rsid w:val="009C39A2"/>
    <w:rsid w:val="009C4D44"/>
    <w:rsid w:val="009C56E5"/>
    <w:rsid w:val="009C6F7B"/>
    <w:rsid w:val="009D3343"/>
    <w:rsid w:val="009D3429"/>
    <w:rsid w:val="009D65B1"/>
    <w:rsid w:val="009E1269"/>
    <w:rsid w:val="009E28E4"/>
    <w:rsid w:val="009E2F92"/>
    <w:rsid w:val="009E3F7C"/>
    <w:rsid w:val="009E5FC8"/>
    <w:rsid w:val="009E6516"/>
    <w:rsid w:val="009E687A"/>
    <w:rsid w:val="009E72E7"/>
    <w:rsid w:val="009F1542"/>
    <w:rsid w:val="009F1771"/>
    <w:rsid w:val="009F2DA3"/>
    <w:rsid w:val="009F6620"/>
    <w:rsid w:val="00A00AC6"/>
    <w:rsid w:val="00A011F9"/>
    <w:rsid w:val="00A03C5C"/>
    <w:rsid w:val="00A04FB0"/>
    <w:rsid w:val="00A066F1"/>
    <w:rsid w:val="00A11186"/>
    <w:rsid w:val="00A1280A"/>
    <w:rsid w:val="00A141AF"/>
    <w:rsid w:val="00A15958"/>
    <w:rsid w:val="00A160F1"/>
    <w:rsid w:val="00A16D29"/>
    <w:rsid w:val="00A20E5E"/>
    <w:rsid w:val="00A2101B"/>
    <w:rsid w:val="00A21E18"/>
    <w:rsid w:val="00A235FD"/>
    <w:rsid w:val="00A2618D"/>
    <w:rsid w:val="00A2692B"/>
    <w:rsid w:val="00A27146"/>
    <w:rsid w:val="00A30305"/>
    <w:rsid w:val="00A303ED"/>
    <w:rsid w:val="00A31315"/>
    <w:rsid w:val="00A31D2D"/>
    <w:rsid w:val="00A32267"/>
    <w:rsid w:val="00A32291"/>
    <w:rsid w:val="00A33D45"/>
    <w:rsid w:val="00A33D86"/>
    <w:rsid w:val="00A34772"/>
    <w:rsid w:val="00A35D6D"/>
    <w:rsid w:val="00A361A9"/>
    <w:rsid w:val="00A4049B"/>
    <w:rsid w:val="00A414D3"/>
    <w:rsid w:val="00A427D6"/>
    <w:rsid w:val="00A43642"/>
    <w:rsid w:val="00A44D51"/>
    <w:rsid w:val="00A4600A"/>
    <w:rsid w:val="00A524E6"/>
    <w:rsid w:val="00A536E2"/>
    <w:rsid w:val="00A538A6"/>
    <w:rsid w:val="00A54C25"/>
    <w:rsid w:val="00A5514F"/>
    <w:rsid w:val="00A56C71"/>
    <w:rsid w:val="00A612BB"/>
    <w:rsid w:val="00A62F73"/>
    <w:rsid w:val="00A67FB8"/>
    <w:rsid w:val="00A70B3E"/>
    <w:rsid w:val="00A710E7"/>
    <w:rsid w:val="00A7123C"/>
    <w:rsid w:val="00A7140C"/>
    <w:rsid w:val="00A7372E"/>
    <w:rsid w:val="00A74739"/>
    <w:rsid w:val="00A76372"/>
    <w:rsid w:val="00A76BD5"/>
    <w:rsid w:val="00A7711E"/>
    <w:rsid w:val="00A80D65"/>
    <w:rsid w:val="00A81F59"/>
    <w:rsid w:val="00A82F54"/>
    <w:rsid w:val="00A83E00"/>
    <w:rsid w:val="00A83E09"/>
    <w:rsid w:val="00A853F5"/>
    <w:rsid w:val="00A87FD2"/>
    <w:rsid w:val="00A90929"/>
    <w:rsid w:val="00A90F95"/>
    <w:rsid w:val="00A9323C"/>
    <w:rsid w:val="00A93364"/>
    <w:rsid w:val="00A93B85"/>
    <w:rsid w:val="00A95C41"/>
    <w:rsid w:val="00A96F7D"/>
    <w:rsid w:val="00AA05FD"/>
    <w:rsid w:val="00AA0B18"/>
    <w:rsid w:val="00AA3E50"/>
    <w:rsid w:val="00AA4774"/>
    <w:rsid w:val="00AA666F"/>
    <w:rsid w:val="00AA7A11"/>
    <w:rsid w:val="00AB15BE"/>
    <w:rsid w:val="00AB4006"/>
    <w:rsid w:val="00AB462F"/>
    <w:rsid w:val="00AB4927"/>
    <w:rsid w:val="00AB4EF9"/>
    <w:rsid w:val="00AB6558"/>
    <w:rsid w:val="00AC007A"/>
    <w:rsid w:val="00AC034F"/>
    <w:rsid w:val="00AC1A8E"/>
    <w:rsid w:val="00AC4C17"/>
    <w:rsid w:val="00AC4DB5"/>
    <w:rsid w:val="00AD0AEB"/>
    <w:rsid w:val="00AD21DF"/>
    <w:rsid w:val="00AD4C7B"/>
    <w:rsid w:val="00AD650A"/>
    <w:rsid w:val="00AD670F"/>
    <w:rsid w:val="00AE2D22"/>
    <w:rsid w:val="00AE4E77"/>
    <w:rsid w:val="00AF17A2"/>
    <w:rsid w:val="00AF2081"/>
    <w:rsid w:val="00AF2664"/>
    <w:rsid w:val="00AF57EF"/>
    <w:rsid w:val="00B004E5"/>
    <w:rsid w:val="00B053F3"/>
    <w:rsid w:val="00B10A09"/>
    <w:rsid w:val="00B124F9"/>
    <w:rsid w:val="00B13FFC"/>
    <w:rsid w:val="00B15D68"/>
    <w:rsid w:val="00B15F9D"/>
    <w:rsid w:val="00B17325"/>
    <w:rsid w:val="00B17BDC"/>
    <w:rsid w:val="00B20035"/>
    <w:rsid w:val="00B20480"/>
    <w:rsid w:val="00B20F6D"/>
    <w:rsid w:val="00B21BEA"/>
    <w:rsid w:val="00B2212C"/>
    <w:rsid w:val="00B232A2"/>
    <w:rsid w:val="00B247C3"/>
    <w:rsid w:val="00B27180"/>
    <w:rsid w:val="00B27EA8"/>
    <w:rsid w:val="00B30B53"/>
    <w:rsid w:val="00B30ECC"/>
    <w:rsid w:val="00B339D4"/>
    <w:rsid w:val="00B35A1C"/>
    <w:rsid w:val="00B35BC5"/>
    <w:rsid w:val="00B36A3C"/>
    <w:rsid w:val="00B4012B"/>
    <w:rsid w:val="00B41367"/>
    <w:rsid w:val="00B423AE"/>
    <w:rsid w:val="00B43D73"/>
    <w:rsid w:val="00B44083"/>
    <w:rsid w:val="00B441B1"/>
    <w:rsid w:val="00B44F1D"/>
    <w:rsid w:val="00B45C98"/>
    <w:rsid w:val="00B501D1"/>
    <w:rsid w:val="00B50520"/>
    <w:rsid w:val="00B52D36"/>
    <w:rsid w:val="00B52E13"/>
    <w:rsid w:val="00B5544A"/>
    <w:rsid w:val="00B561DE"/>
    <w:rsid w:val="00B605B7"/>
    <w:rsid w:val="00B61EB2"/>
    <w:rsid w:val="00B639E9"/>
    <w:rsid w:val="00B6598C"/>
    <w:rsid w:val="00B66F17"/>
    <w:rsid w:val="00B6749C"/>
    <w:rsid w:val="00B71863"/>
    <w:rsid w:val="00B72242"/>
    <w:rsid w:val="00B7345F"/>
    <w:rsid w:val="00B74128"/>
    <w:rsid w:val="00B7443F"/>
    <w:rsid w:val="00B76492"/>
    <w:rsid w:val="00B817CD"/>
    <w:rsid w:val="00B81D00"/>
    <w:rsid w:val="00B81E07"/>
    <w:rsid w:val="00B825BC"/>
    <w:rsid w:val="00B830CC"/>
    <w:rsid w:val="00B831F9"/>
    <w:rsid w:val="00B850F8"/>
    <w:rsid w:val="00B86916"/>
    <w:rsid w:val="00B8708E"/>
    <w:rsid w:val="00B87DA1"/>
    <w:rsid w:val="00B87E4D"/>
    <w:rsid w:val="00B9105F"/>
    <w:rsid w:val="00B911B2"/>
    <w:rsid w:val="00B917E9"/>
    <w:rsid w:val="00B92195"/>
    <w:rsid w:val="00B92520"/>
    <w:rsid w:val="00B951D0"/>
    <w:rsid w:val="00B95DA2"/>
    <w:rsid w:val="00B96BAB"/>
    <w:rsid w:val="00B97C6E"/>
    <w:rsid w:val="00BA231A"/>
    <w:rsid w:val="00BA2D00"/>
    <w:rsid w:val="00BA2FE8"/>
    <w:rsid w:val="00BA4E7D"/>
    <w:rsid w:val="00BA56F6"/>
    <w:rsid w:val="00BB1F53"/>
    <w:rsid w:val="00BB29C8"/>
    <w:rsid w:val="00BB3A95"/>
    <w:rsid w:val="00BB42AD"/>
    <w:rsid w:val="00BB4491"/>
    <w:rsid w:val="00BB66DD"/>
    <w:rsid w:val="00BB6DD0"/>
    <w:rsid w:val="00BB771E"/>
    <w:rsid w:val="00BC00FB"/>
    <w:rsid w:val="00BC0382"/>
    <w:rsid w:val="00BC1DBF"/>
    <w:rsid w:val="00BC31AC"/>
    <w:rsid w:val="00BC401E"/>
    <w:rsid w:val="00BC6488"/>
    <w:rsid w:val="00BD11D6"/>
    <w:rsid w:val="00BD239D"/>
    <w:rsid w:val="00BD31E7"/>
    <w:rsid w:val="00BD50BD"/>
    <w:rsid w:val="00BD618D"/>
    <w:rsid w:val="00BD62C6"/>
    <w:rsid w:val="00BE31CC"/>
    <w:rsid w:val="00BE34A3"/>
    <w:rsid w:val="00BE7042"/>
    <w:rsid w:val="00BE7870"/>
    <w:rsid w:val="00BF095D"/>
    <w:rsid w:val="00BF3618"/>
    <w:rsid w:val="00BF3F93"/>
    <w:rsid w:val="00BF4F16"/>
    <w:rsid w:val="00BF65C9"/>
    <w:rsid w:val="00C0018F"/>
    <w:rsid w:val="00C02828"/>
    <w:rsid w:val="00C02B72"/>
    <w:rsid w:val="00C031F6"/>
    <w:rsid w:val="00C03779"/>
    <w:rsid w:val="00C05634"/>
    <w:rsid w:val="00C07B4E"/>
    <w:rsid w:val="00C10393"/>
    <w:rsid w:val="00C119F8"/>
    <w:rsid w:val="00C1377F"/>
    <w:rsid w:val="00C13EC3"/>
    <w:rsid w:val="00C14872"/>
    <w:rsid w:val="00C14874"/>
    <w:rsid w:val="00C166D0"/>
    <w:rsid w:val="00C16D39"/>
    <w:rsid w:val="00C20466"/>
    <w:rsid w:val="00C214ED"/>
    <w:rsid w:val="00C227EF"/>
    <w:rsid w:val="00C234E6"/>
    <w:rsid w:val="00C23AD3"/>
    <w:rsid w:val="00C247C1"/>
    <w:rsid w:val="00C24E20"/>
    <w:rsid w:val="00C324A8"/>
    <w:rsid w:val="00C349B4"/>
    <w:rsid w:val="00C35C13"/>
    <w:rsid w:val="00C36662"/>
    <w:rsid w:val="00C40DF2"/>
    <w:rsid w:val="00C40ED6"/>
    <w:rsid w:val="00C45BDF"/>
    <w:rsid w:val="00C54517"/>
    <w:rsid w:val="00C55DBA"/>
    <w:rsid w:val="00C56E3C"/>
    <w:rsid w:val="00C60AEF"/>
    <w:rsid w:val="00C6240E"/>
    <w:rsid w:val="00C63FCB"/>
    <w:rsid w:val="00C6439C"/>
    <w:rsid w:val="00C64CD8"/>
    <w:rsid w:val="00C720B0"/>
    <w:rsid w:val="00C73347"/>
    <w:rsid w:val="00C75E0E"/>
    <w:rsid w:val="00C75FF8"/>
    <w:rsid w:val="00C76A6C"/>
    <w:rsid w:val="00C80652"/>
    <w:rsid w:val="00C80A64"/>
    <w:rsid w:val="00C87447"/>
    <w:rsid w:val="00C90579"/>
    <w:rsid w:val="00C91289"/>
    <w:rsid w:val="00C976EE"/>
    <w:rsid w:val="00C97C68"/>
    <w:rsid w:val="00CA0956"/>
    <w:rsid w:val="00CA18A2"/>
    <w:rsid w:val="00CA1A47"/>
    <w:rsid w:val="00CA36C5"/>
    <w:rsid w:val="00CA48CF"/>
    <w:rsid w:val="00CB0D86"/>
    <w:rsid w:val="00CB1404"/>
    <w:rsid w:val="00CB1D84"/>
    <w:rsid w:val="00CB3537"/>
    <w:rsid w:val="00CB40E5"/>
    <w:rsid w:val="00CB5195"/>
    <w:rsid w:val="00CB615D"/>
    <w:rsid w:val="00CB6664"/>
    <w:rsid w:val="00CC104D"/>
    <w:rsid w:val="00CC1652"/>
    <w:rsid w:val="00CC1EAE"/>
    <w:rsid w:val="00CC1F18"/>
    <w:rsid w:val="00CC247A"/>
    <w:rsid w:val="00CC41F6"/>
    <w:rsid w:val="00CC582D"/>
    <w:rsid w:val="00CD1837"/>
    <w:rsid w:val="00CD2733"/>
    <w:rsid w:val="00CD2A68"/>
    <w:rsid w:val="00CD2BC1"/>
    <w:rsid w:val="00CD3139"/>
    <w:rsid w:val="00CD3BC3"/>
    <w:rsid w:val="00CD4117"/>
    <w:rsid w:val="00CD7BC2"/>
    <w:rsid w:val="00CD7EC4"/>
    <w:rsid w:val="00CD7F3C"/>
    <w:rsid w:val="00CE5ACA"/>
    <w:rsid w:val="00CE5D97"/>
    <w:rsid w:val="00CE5E47"/>
    <w:rsid w:val="00CE7A25"/>
    <w:rsid w:val="00CF020F"/>
    <w:rsid w:val="00CF269A"/>
    <w:rsid w:val="00CF2A29"/>
    <w:rsid w:val="00CF2B5B"/>
    <w:rsid w:val="00CF33C0"/>
    <w:rsid w:val="00CF4A84"/>
    <w:rsid w:val="00D00E2A"/>
    <w:rsid w:val="00D02FB9"/>
    <w:rsid w:val="00D057B3"/>
    <w:rsid w:val="00D0723D"/>
    <w:rsid w:val="00D10D23"/>
    <w:rsid w:val="00D118DB"/>
    <w:rsid w:val="00D12A27"/>
    <w:rsid w:val="00D14CE0"/>
    <w:rsid w:val="00D16B3C"/>
    <w:rsid w:val="00D202C0"/>
    <w:rsid w:val="00D217E0"/>
    <w:rsid w:val="00D233CB"/>
    <w:rsid w:val="00D26D01"/>
    <w:rsid w:val="00D27D0F"/>
    <w:rsid w:val="00D27F72"/>
    <w:rsid w:val="00D305FC"/>
    <w:rsid w:val="00D31DC1"/>
    <w:rsid w:val="00D33203"/>
    <w:rsid w:val="00D33DC1"/>
    <w:rsid w:val="00D36333"/>
    <w:rsid w:val="00D42CDE"/>
    <w:rsid w:val="00D42FEE"/>
    <w:rsid w:val="00D44DE2"/>
    <w:rsid w:val="00D45A9C"/>
    <w:rsid w:val="00D47FAD"/>
    <w:rsid w:val="00D52C44"/>
    <w:rsid w:val="00D53EAE"/>
    <w:rsid w:val="00D541E4"/>
    <w:rsid w:val="00D5651D"/>
    <w:rsid w:val="00D56836"/>
    <w:rsid w:val="00D56F22"/>
    <w:rsid w:val="00D61378"/>
    <w:rsid w:val="00D61AF7"/>
    <w:rsid w:val="00D62D8E"/>
    <w:rsid w:val="00D634E2"/>
    <w:rsid w:val="00D665CB"/>
    <w:rsid w:val="00D66E80"/>
    <w:rsid w:val="00D6718C"/>
    <w:rsid w:val="00D67A2E"/>
    <w:rsid w:val="00D71278"/>
    <w:rsid w:val="00D724BE"/>
    <w:rsid w:val="00D73CFE"/>
    <w:rsid w:val="00D74898"/>
    <w:rsid w:val="00D75941"/>
    <w:rsid w:val="00D75EB3"/>
    <w:rsid w:val="00D801ED"/>
    <w:rsid w:val="00D80F23"/>
    <w:rsid w:val="00D83BF5"/>
    <w:rsid w:val="00D8609B"/>
    <w:rsid w:val="00D864B0"/>
    <w:rsid w:val="00D87035"/>
    <w:rsid w:val="00D87E9C"/>
    <w:rsid w:val="00D90B89"/>
    <w:rsid w:val="00D91488"/>
    <w:rsid w:val="00D91F0E"/>
    <w:rsid w:val="00D925C2"/>
    <w:rsid w:val="00D927E8"/>
    <w:rsid w:val="00D92BD3"/>
    <w:rsid w:val="00D92E10"/>
    <w:rsid w:val="00D936BC"/>
    <w:rsid w:val="00D93E09"/>
    <w:rsid w:val="00D95534"/>
    <w:rsid w:val="00D9621A"/>
    <w:rsid w:val="00D96530"/>
    <w:rsid w:val="00D96B4B"/>
    <w:rsid w:val="00D970C9"/>
    <w:rsid w:val="00D9AFD3"/>
    <w:rsid w:val="00DA0DF9"/>
    <w:rsid w:val="00DA1186"/>
    <w:rsid w:val="00DA2345"/>
    <w:rsid w:val="00DA273A"/>
    <w:rsid w:val="00DA3101"/>
    <w:rsid w:val="00DA3692"/>
    <w:rsid w:val="00DA3AC1"/>
    <w:rsid w:val="00DA3AC4"/>
    <w:rsid w:val="00DA453A"/>
    <w:rsid w:val="00DA561A"/>
    <w:rsid w:val="00DA5C6F"/>
    <w:rsid w:val="00DA6B46"/>
    <w:rsid w:val="00DA7078"/>
    <w:rsid w:val="00DA7E17"/>
    <w:rsid w:val="00DB1086"/>
    <w:rsid w:val="00DB2FB8"/>
    <w:rsid w:val="00DB4598"/>
    <w:rsid w:val="00DB4E0A"/>
    <w:rsid w:val="00DB71F7"/>
    <w:rsid w:val="00DB750F"/>
    <w:rsid w:val="00DC19DC"/>
    <w:rsid w:val="00DC24C8"/>
    <w:rsid w:val="00DC2A65"/>
    <w:rsid w:val="00DC2CAF"/>
    <w:rsid w:val="00DC3758"/>
    <w:rsid w:val="00DC3FC1"/>
    <w:rsid w:val="00DC4F7F"/>
    <w:rsid w:val="00DC574F"/>
    <w:rsid w:val="00DC6EEA"/>
    <w:rsid w:val="00DD08B4"/>
    <w:rsid w:val="00DD1974"/>
    <w:rsid w:val="00DD44AF"/>
    <w:rsid w:val="00DE2AC3"/>
    <w:rsid w:val="00DE434C"/>
    <w:rsid w:val="00DE5692"/>
    <w:rsid w:val="00DE5E67"/>
    <w:rsid w:val="00DE7766"/>
    <w:rsid w:val="00DE79F1"/>
    <w:rsid w:val="00DF02A0"/>
    <w:rsid w:val="00DF1E46"/>
    <w:rsid w:val="00DF21DF"/>
    <w:rsid w:val="00DF2D60"/>
    <w:rsid w:val="00DF56EF"/>
    <w:rsid w:val="00DF6F8E"/>
    <w:rsid w:val="00E02014"/>
    <w:rsid w:val="00E02AF2"/>
    <w:rsid w:val="00E03C94"/>
    <w:rsid w:val="00E03CE5"/>
    <w:rsid w:val="00E03CF8"/>
    <w:rsid w:val="00E06313"/>
    <w:rsid w:val="00E06603"/>
    <w:rsid w:val="00E06AEA"/>
    <w:rsid w:val="00E07105"/>
    <w:rsid w:val="00E11115"/>
    <w:rsid w:val="00E11440"/>
    <w:rsid w:val="00E12074"/>
    <w:rsid w:val="00E1307C"/>
    <w:rsid w:val="00E15989"/>
    <w:rsid w:val="00E17BAD"/>
    <w:rsid w:val="00E21B22"/>
    <w:rsid w:val="00E239BD"/>
    <w:rsid w:val="00E241C9"/>
    <w:rsid w:val="00E26226"/>
    <w:rsid w:val="00E31B77"/>
    <w:rsid w:val="00E35354"/>
    <w:rsid w:val="00E35F3C"/>
    <w:rsid w:val="00E3651B"/>
    <w:rsid w:val="00E36E67"/>
    <w:rsid w:val="00E378D8"/>
    <w:rsid w:val="00E4021C"/>
    <w:rsid w:val="00E4059F"/>
    <w:rsid w:val="00E4165C"/>
    <w:rsid w:val="00E422AC"/>
    <w:rsid w:val="00E425D0"/>
    <w:rsid w:val="00E43272"/>
    <w:rsid w:val="00E45D05"/>
    <w:rsid w:val="00E479AA"/>
    <w:rsid w:val="00E528F8"/>
    <w:rsid w:val="00E5442B"/>
    <w:rsid w:val="00E55816"/>
    <w:rsid w:val="00E55AEF"/>
    <w:rsid w:val="00E61442"/>
    <w:rsid w:val="00E64B4B"/>
    <w:rsid w:val="00E66A93"/>
    <w:rsid w:val="00E71B64"/>
    <w:rsid w:val="00E75A37"/>
    <w:rsid w:val="00E81961"/>
    <w:rsid w:val="00E82877"/>
    <w:rsid w:val="00E83BBB"/>
    <w:rsid w:val="00E84088"/>
    <w:rsid w:val="00E86EE1"/>
    <w:rsid w:val="00E90BE9"/>
    <w:rsid w:val="00E976C1"/>
    <w:rsid w:val="00EA025D"/>
    <w:rsid w:val="00EA03C3"/>
    <w:rsid w:val="00EA07F0"/>
    <w:rsid w:val="00EA12E5"/>
    <w:rsid w:val="00EA2136"/>
    <w:rsid w:val="00EA36A2"/>
    <w:rsid w:val="00EA3C6D"/>
    <w:rsid w:val="00EA3D99"/>
    <w:rsid w:val="00EA66A4"/>
    <w:rsid w:val="00EA78D1"/>
    <w:rsid w:val="00EA7DD4"/>
    <w:rsid w:val="00EB00F7"/>
    <w:rsid w:val="00EB0E5E"/>
    <w:rsid w:val="00EB2238"/>
    <w:rsid w:val="00EB4C45"/>
    <w:rsid w:val="00EC00DF"/>
    <w:rsid w:val="00EC0FC2"/>
    <w:rsid w:val="00EC1910"/>
    <w:rsid w:val="00EC3585"/>
    <w:rsid w:val="00EC6B65"/>
    <w:rsid w:val="00ED29AB"/>
    <w:rsid w:val="00ED335C"/>
    <w:rsid w:val="00ED44A8"/>
    <w:rsid w:val="00ED5AAF"/>
    <w:rsid w:val="00ED78CB"/>
    <w:rsid w:val="00EE003C"/>
    <w:rsid w:val="00EE24AF"/>
    <w:rsid w:val="00EE2DDE"/>
    <w:rsid w:val="00EE3198"/>
    <w:rsid w:val="00EE4646"/>
    <w:rsid w:val="00EE4C74"/>
    <w:rsid w:val="00EE67EC"/>
    <w:rsid w:val="00EE7BEB"/>
    <w:rsid w:val="00EF120D"/>
    <w:rsid w:val="00EF25DE"/>
    <w:rsid w:val="00EF33D5"/>
    <w:rsid w:val="00EF481F"/>
    <w:rsid w:val="00EF4D25"/>
    <w:rsid w:val="00F000EA"/>
    <w:rsid w:val="00F02766"/>
    <w:rsid w:val="00F03EB7"/>
    <w:rsid w:val="00F04067"/>
    <w:rsid w:val="00F0520E"/>
    <w:rsid w:val="00F05BD4"/>
    <w:rsid w:val="00F07F46"/>
    <w:rsid w:val="00F10427"/>
    <w:rsid w:val="00F11A98"/>
    <w:rsid w:val="00F13242"/>
    <w:rsid w:val="00F1463E"/>
    <w:rsid w:val="00F15368"/>
    <w:rsid w:val="00F15E05"/>
    <w:rsid w:val="00F16F35"/>
    <w:rsid w:val="00F20CA2"/>
    <w:rsid w:val="00F2107E"/>
    <w:rsid w:val="00F21A1D"/>
    <w:rsid w:val="00F21E1B"/>
    <w:rsid w:val="00F23569"/>
    <w:rsid w:val="00F277F9"/>
    <w:rsid w:val="00F311F9"/>
    <w:rsid w:val="00F32240"/>
    <w:rsid w:val="00F339E3"/>
    <w:rsid w:val="00F340C8"/>
    <w:rsid w:val="00F349CB"/>
    <w:rsid w:val="00F354F7"/>
    <w:rsid w:val="00F357E0"/>
    <w:rsid w:val="00F41E3B"/>
    <w:rsid w:val="00F45892"/>
    <w:rsid w:val="00F530A7"/>
    <w:rsid w:val="00F53615"/>
    <w:rsid w:val="00F579D6"/>
    <w:rsid w:val="00F6029B"/>
    <w:rsid w:val="00F61818"/>
    <w:rsid w:val="00F623D9"/>
    <w:rsid w:val="00F64274"/>
    <w:rsid w:val="00F6489F"/>
    <w:rsid w:val="00F64DBC"/>
    <w:rsid w:val="00F659A6"/>
    <w:rsid w:val="00F65C19"/>
    <w:rsid w:val="00F6660F"/>
    <w:rsid w:val="00F66B3A"/>
    <w:rsid w:val="00F67276"/>
    <w:rsid w:val="00F72D73"/>
    <w:rsid w:val="00F7338B"/>
    <w:rsid w:val="00F7440E"/>
    <w:rsid w:val="00F74BF6"/>
    <w:rsid w:val="00F76603"/>
    <w:rsid w:val="00F76E8C"/>
    <w:rsid w:val="00F772D4"/>
    <w:rsid w:val="00F808C6"/>
    <w:rsid w:val="00F83F60"/>
    <w:rsid w:val="00F8476E"/>
    <w:rsid w:val="00F848EE"/>
    <w:rsid w:val="00F84DF8"/>
    <w:rsid w:val="00F91253"/>
    <w:rsid w:val="00F91898"/>
    <w:rsid w:val="00F931F5"/>
    <w:rsid w:val="00F94FEF"/>
    <w:rsid w:val="00F971FB"/>
    <w:rsid w:val="00F9793D"/>
    <w:rsid w:val="00FA0AAA"/>
    <w:rsid w:val="00FA4CD4"/>
    <w:rsid w:val="00FA579C"/>
    <w:rsid w:val="00FA668B"/>
    <w:rsid w:val="00FA756F"/>
    <w:rsid w:val="00FB20E0"/>
    <w:rsid w:val="00FB34B9"/>
    <w:rsid w:val="00FB4AEF"/>
    <w:rsid w:val="00FB5041"/>
    <w:rsid w:val="00FC0BEF"/>
    <w:rsid w:val="00FC2115"/>
    <w:rsid w:val="00FC24DA"/>
    <w:rsid w:val="00FC3F4F"/>
    <w:rsid w:val="00FC4678"/>
    <w:rsid w:val="00FC6545"/>
    <w:rsid w:val="00FC7A0D"/>
    <w:rsid w:val="00FD0183"/>
    <w:rsid w:val="00FD037B"/>
    <w:rsid w:val="00FD159A"/>
    <w:rsid w:val="00FD2546"/>
    <w:rsid w:val="00FD772E"/>
    <w:rsid w:val="00FE1EA9"/>
    <w:rsid w:val="00FE3346"/>
    <w:rsid w:val="00FE3926"/>
    <w:rsid w:val="00FE48BE"/>
    <w:rsid w:val="00FE63A4"/>
    <w:rsid w:val="00FE7205"/>
    <w:rsid w:val="00FE78C7"/>
    <w:rsid w:val="00FE7B78"/>
    <w:rsid w:val="00FF21ED"/>
    <w:rsid w:val="00FF2A26"/>
    <w:rsid w:val="00FF3D55"/>
    <w:rsid w:val="00FF43AC"/>
    <w:rsid w:val="00FF7C84"/>
    <w:rsid w:val="01B45D95"/>
    <w:rsid w:val="032D66BE"/>
    <w:rsid w:val="0392DF96"/>
    <w:rsid w:val="03B15541"/>
    <w:rsid w:val="040429C2"/>
    <w:rsid w:val="041AE7C2"/>
    <w:rsid w:val="056519AC"/>
    <w:rsid w:val="057F4CFF"/>
    <w:rsid w:val="058118ED"/>
    <w:rsid w:val="0663BFE5"/>
    <w:rsid w:val="06B86FB7"/>
    <w:rsid w:val="06B8F6D4"/>
    <w:rsid w:val="08407BFE"/>
    <w:rsid w:val="085BAF75"/>
    <w:rsid w:val="09DFFBF6"/>
    <w:rsid w:val="0A765868"/>
    <w:rsid w:val="0D31024B"/>
    <w:rsid w:val="0DD36009"/>
    <w:rsid w:val="0E176982"/>
    <w:rsid w:val="0E56CEF8"/>
    <w:rsid w:val="0EA91085"/>
    <w:rsid w:val="0ECFB0D2"/>
    <w:rsid w:val="0FA7B748"/>
    <w:rsid w:val="0FC8FFD2"/>
    <w:rsid w:val="0FF15D7C"/>
    <w:rsid w:val="1189C88F"/>
    <w:rsid w:val="118BC8FD"/>
    <w:rsid w:val="12D770A3"/>
    <w:rsid w:val="1317D7FF"/>
    <w:rsid w:val="134D2521"/>
    <w:rsid w:val="15458A7A"/>
    <w:rsid w:val="15739883"/>
    <w:rsid w:val="166C9803"/>
    <w:rsid w:val="1802BE6C"/>
    <w:rsid w:val="186FE6B3"/>
    <w:rsid w:val="195052F2"/>
    <w:rsid w:val="1953E607"/>
    <w:rsid w:val="196FA29E"/>
    <w:rsid w:val="1AA04773"/>
    <w:rsid w:val="1AA2ED52"/>
    <w:rsid w:val="1B12DC41"/>
    <w:rsid w:val="1CACCB06"/>
    <w:rsid w:val="1CB11283"/>
    <w:rsid w:val="1FB1A6A8"/>
    <w:rsid w:val="1FE14042"/>
    <w:rsid w:val="2122AF7A"/>
    <w:rsid w:val="226620AD"/>
    <w:rsid w:val="22F7E2A8"/>
    <w:rsid w:val="231195B3"/>
    <w:rsid w:val="24074E11"/>
    <w:rsid w:val="25B3CF3F"/>
    <w:rsid w:val="27337AB2"/>
    <w:rsid w:val="28EC3CAA"/>
    <w:rsid w:val="29C1B5DC"/>
    <w:rsid w:val="29D8C692"/>
    <w:rsid w:val="2A79385C"/>
    <w:rsid w:val="2B13F319"/>
    <w:rsid w:val="2B866569"/>
    <w:rsid w:val="2BC9F1F8"/>
    <w:rsid w:val="2C155D8B"/>
    <w:rsid w:val="2CEFB860"/>
    <w:rsid w:val="2D21F724"/>
    <w:rsid w:val="2D2D07FB"/>
    <w:rsid w:val="2DC77E62"/>
    <w:rsid w:val="30A183C4"/>
    <w:rsid w:val="3213B484"/>
    <w:rsid w:val="341159C6"/>
    <w:rsid w:val="3474EFCF"/>
    <w:rsid w:val="354F3A8F"/>
    <w:rsid w:val="35B86DE0"/>
    <w:rsid w:val="35D98807"/>
    <w:rsid w:val="362A6A51"/>
    <w:rsid w:val="36BB47D7"/>
    <w:rsid w:val="3721C283"/>
    <w:rsid w:val="3BA3CBCD"/>
    <w:rsid w:val="3DCC5DED"/>
    <w:rsid w:val="4112EBB7"/>
    <w:rsid w:val="41AF459B"/>
    <w:rsid w:val="4272CD67"/>
    <w:rsid w:val="42ED3E95"/>
    <w:rsid w:val="459E2BD1"/>
    <w:rsid w:val="4606A02D"/>
    <w:rsid w:val="463C2252"/>
    <w:rsid w:val="46A5A1B5"/>
    <w:rsid w:val="46F1E557"/>
    <w:rsid w:val="4703D9FA"/>
    <w:rsid w:val="47B5568C"/>
    <w:rsid w:val="484E7D77"/>
    <w:rsid w:val="488AD7E5"/>
    <w:rsid w:val="494448A9"/>
    <w:rsid w:val="4987FDA2"/>
    <w:rsid w:val="49CB501A"/>
    <w:rsid w:val="4BC6B2DE"/>
    <w:rsid w:val="4BEA81E6"/>
    <w:rsid w:val="4D4A5751"/>
    <w:rsid w:val="4D65DB41"/>
    <w:rsid w:val="4E92584A"/>
    <w:rsid w:val="4FCAD3A0"/>
    <w:rsid w:val="50EFD412"/>
    <w:rsid w:val="51C05A3C"/>
    <w:rsid w:val="51F4825B"/>
    <w:rsid w:val="52ED0361"/>
    <w:rsid w:val="5367E573"/>
    <w:rsid w:val="55F4709D"/>
    <w:rsid w:val="5812E3B7"/>
    <w:rsid w:val="587AF944"/>
    <w:rsid w:val="58FE394D"/>
    <w:rsid w:val="5938720D"/>
    <w:rsid w:val="59E336A1"/>
    <w:rsid w:val="5B932EF8"/>
    <w:rsid w:val="5BB24E5B"/>
    <w:rsid w:val="5C01819E"/>
    <w:rsid w:val="5D44476F"/>
    <w:rsid w:val="5D8BF1D7"/>
    <w:rsid w:val="5E84DCEE"/>
    <w:rsid w:val="5EA40A69"/>
    <w:rsid w:val="60B8B9E3"/>
    <w:rsid w:val="6156C94F"/>
    <w:rsid w:val="61E935E1"/>
    <w:rsid w:val="61F38B83"/>
    <w:rsid w:val="61F9D54A"/>
    <w:rsid w:val="620B2B87"/>
    <w:rsid w:val="6314EFEC"/>
    <w:rsid w:val="64F37B2E"/>
    <w:rsid w:val="6581FFC0"/>
    <w:rsid w:val="6892EC19"/>
    <w:rsid w:val="695B6D88"/>
    <w:rsid w:val="69CEA856"/>
    <w:rsid w:val="6A4BB4CD"/>
    <w:rsid w:val="6A566852"/>
    <w:rsid w:val="6B02B564"/>
    <w:rsid w:val="6C6A2F20"/>
    <w:rsid w:val="6C77C178"/>
    <w:rsid w:val="6D15F18F"/>
    <w:rsid w:val="6E652433"/>
    <w:rsid w:val="6F7533DB"/>
    <w:rsid w:val="70741D3B"/>
    <w:rsid w:val="70DE106D"/>
    <w:rsid w:val="745430E3"/>
    <w:rsid w:val="772009F9"/>
    <w:rsid w:val="77D0DA0E"/>
    <w:rsid w:val="78233CE9"/>
    <w:rsid w:val="788A7A05"/>
    <w:rsid w:val="79335763"/>
    <w:rsid w:val="7A6DDE4A"/>
    <w:rsid w:val="7A92FB07"/>
    <w:rsid w:val="7A982AEA"/>
    <w:rsid w:val="7ABC827E"/>
    <w:rsid w:val="7AC8CC74"/>
    <w:rsid w:val="7CBCA52C"/>
    <w:rsid w:val="7D33735C"/>
    <w:rsid w:val="7DC2E898"/>
    <w:rsid w:val="7EEBB61F"/>
    <w:rsid w:val="7F1990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C2CCF6B2-4B3C-4BA2-A6C4-D4F21FF2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Listenabsatz Standard"/>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Listenabsatz Standard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rco.obiso@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Projects" TargetMode="External"/><Relationship Id="rId2" Type="http://schemas.openxmlformats.org/officeDocument/2006/relationships/hyperlink" Target="https://www.itu.int/md/S23-CL-C-0116/" TargetMode="External"/><Relationship Id="rId1" Type="http://schemas.openxmlformats.org/officeDocument/2006/relationships/hyperlink" Target="https://www.itu.int/md/S25-CL-C-0034/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tuint.sharepoint.com/sites/PRJ/Shared%20Documents/General/TDAG/2026/Doc%2008%20Projects/PRJ%20database%20for%20TDAG%202026%20report%20-%20rev03%20-%20Cop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tuint.sharepoint.com/sites/PRJ/Shared%20Documents/General/TDAG/2026/Doc%2008%20Projects/PRJ%20database%20for%20TDAG%202026%20report%20-%20rev0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'Funds signed USD'!$P$24</c:f>
              <c:strCache>
                <c:ptCount val="1"/>
                <c:pt idx="0">
                  <c:v>Total (USD)</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'Funds signed USD'!$K$25:$K$27</c:f>
              <c:strCache>
                <c:ptCount val="3"/>
                <c:pt idx="0">
                  <c:v>WTDC-14 cycle 
(2015-2017)</c:v>
                </c:pt>
                <c:pt idx="1">
                  <c:v>WTDC-17 cycle 
(2018-2022)</c:v>
                </c:pt>
                <c:pt idx="2">
                  <c:v>WTDC-22 cycle 
(2023-2025)</c:v>
                </c:pt>
              </c:strCache>
            </c:strRef>
          </c:cat>
          <c:val>
            <c:numRef>
              <c:f>'Funds signed USD'!$P$25:$P$27</c:f>
              <c:numCache>
                <c:formatCode>_(* #,##0_);_(* \(#,##0\);_(* "-"??_);_(@_)</c:formatCode>
                <c:ptCount val="3"/>
                <c:pt idx="0">
                  <c:v>23034246.300000001</c:v>
                </c:pt>
                <c:pt idx="1">
                  <c:v>77321624.900000006</c:v>
                </c:pt>
                <c:pt idx="2">
                  <c:v>67390576.5</c:v>
                </c:pt>
              </c:numCache>
            </c:numRef>
          </c:val>
          <c:extLst>
            <c:ext xmlns:c16="http://schemas.microsoft.com/office/drawing/2014/chart" uri="{C3380CC4-5D6E-409C-BE32-E72D297353CC}">
              <c16:uniqueId val="{00000000-19F4-4210-9138-A9EFCA603C16}"/>
            </c:ext>
          </c:extLst>
        </c:ser>
        <c:dLbls>
          <c:showLegendKey val="0"/>
          <c:showVal val="0"/>
          <c:showCatName val="0"/>
          <c:showSerName val="0"/>
          <c:showPercent val="0"/>
          <c:showBubbleSize val="0"/>
        </c:dLbls>
        <c:gapWidth val="219"/>
        <c:overlap val="-27"/>
        <c:axId val="1270459520"/>
        <c:axId val="1271620672"/>
      </c:barChart>
      <c:catAx>
        <c:axId val="127045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620672"/>
        <c:crosses val="autoZero"/>
        <c:auto val="1"/>
        <c:lblAlgn val="ctr"/>
        <c:lblOffset val="100"/>
        <c:noMultiLvlLbl val="0"/>
      </c:catAx>
      <c:valAx>
        <c:axId val="127162067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459520"/>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'Funds signed'!$B$26</c:f>
              <c:strCache>
                <c:ptCount val="1"/>
                <c:pt idx="0">
                  <c:v>Funding (CHF)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DC-41CC-A30D-C57329DF12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DC-41CC-A30D-C57329DF125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'Funds signed'!$A$27:$A$28</c:f>
              <c:strCache>
                <c:ptCount val="2"/>
                <c:pt idx="0">
                  <c:v>ITU Funds</c:v>
                </c:pt>
                <c:pt idx="1">
                  <c:v>Extrabudgetary funds</c:v>
                </c:pt>
              </c:strCache>
            </c:strRef>
          </c:cat>
          <c:val>
            <c:numRef>
              <c:f>'Funds signed'!$B$27:$B$28</c:f>
              <c:numCache>
                <c:formatCode>#,##0.0,</c:formatCode>
                <c:ptCount val="2"/>
                <c:pt idx="0">
                  <c:v>4967773.3900000006</c:v>
                </c:pt>
                <c:pt idx="1">
                  <c:v>46871131.890000001</c:v>
                </c:pt>
              </c:numCache>
            </c:numRef>
          </c:val>
          <c:extLst>
            <c:ext xmlns:c16="http://schemas.microsoft.com/office/drawing/2014/chart" uri="{C3380CC4-5D6E-409C-BE32-E72D297353CC}">
              <c16:uniqueId val="{00000004-39DC-41CC-A30D-C57329DF125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B6D9A-6D7B-4731-BF9C-0D89BECB3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4.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1515</Words>
  <Characters>8688</Characters>
  <Application>Microsoft Office Word</Application>
  <DocSecurity>0</DocSecurity>
  <Lines>72</Lines>
  <Paragraphs>20</Paragraphs>
  <ScaleCrop>false</ScaleCrop>
  <Manager>General Secretariat - Pool</Manager>
  <Company/>
  <LinksUpToDate>false</LinksUpToDate>
  <CharactersWithSpaces>10183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BDT-ND</cp:lastModifiedBy>
  <cp:revision>314</cp:revision>
  <cp:lastPrinted>2019-01-18T15:57:00Z</cp:lastPrinted>
  <dcterms:created xsi:type="dcterms:W3CDTF">2025-02-13T18:46:00Z</dcterms:created>
  <dcterms:modified xsi:type="dcterms:W3CDTF">2026-03-03T14:33:00Z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