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072844" w14:paraId="5736F9B6" w14:textId="77777777" w:rsidTr="005C3173">
        <w:trPr>
          <w:cantSplit/>
          <w:trHeight w:val="1134"/>
        </w:trPr>
        <w:tc>
          <w:tcPr>
            <w:tcW w:w="6663" w:type="dxa"/>
          </w:tcPr>
          <w:p w14:paraId="34B2B704" w14:textId="27B75579" w:rsidR="00294BF6" w:rsidRPr="00072844" w:rsidRDefault="00025801" w:rsidP="00294BF6">
            <w:pPr>
              <w:ind w:left="34"/>
              <w:rPr>
                <w:b/>
                <w:bCs/>
                <w:sz w:val="32"/>
                <w:szCs w:val="32"/>
                <w:lang w:val="es-ES"/>
              </w:rPr>
            </w:pPr>
            <w:r w:rsidRPr="00072844">
              <w:rPr>
                <w:b/>
                <w:bCs/>
                <w:sz w:val="32"/>
                <w:szCs w:val="32"/>
                <w:lang w:val="es-ES"/>
              </w:rPr>
              <w:t>Grupo Asesor de Desarrollo de las</w:t>
            </w:r>
            <w:r w:rsidRPr="00072844">
              <w:rPr>
                <w:b/>
                <w:bCs/>
                <w:sz w:val="32"/>
                <w:szCs w:val="32"/>
                <w:lang w:val="es-ES"/>
              </w:rPr>
              <w:br/>
              <w:t>Telecomunicaciones</w:t>
            </w:r>
            <w:r w:rsidR="00294BF6" w:rsidRPr="00072844">
              <w:rPr>
                <w:b/>
                <w:bCs/>
                <w:sz w:val="32"/>
                <w:szCs w:val="32"/>
                <w:lang w:val="es-ES"/>
              </w:rPr>
              <w:t xml:space="preserve"> (</w:t>
            </w:r>
            <w:r w:rsidRPr="00072844">
              <w:rPr>
                <w:b/>
                <w:bCs/>
                <w:sz w:val="32"/>
                <w:szCs w:val="32"/>
                <w:lang w:val="es-ES"/>
              </w:rPr>
              <w:t>GADT</w:t>
            </w:r>
            <w:r w:rsidR="00294BF6" w:rsidRPr="00072844">
              <w:rPr>
                <w:b/>
                <w:bCs/>
                <w:sz w:val="32"/>
                <w:szCs w:val="32"/>
                <w:lang w:val="es-ES"/>
              </w:rPr>
              <w:t>)</w:t>
            </w:r>
          </w:p>
          <w:p w14:paraId="2DCF59CB" w14:textId="56D887B7" w:rsidR="00294BF6" w:rsidRPr="00072844" w:rsidRDefault="006A7603" w:rsidP="00426222">
            <w:pPr>
              <w:tabs>
                <w:tab w:val="clear" w:pos="1134"/>
              </w:tabs>
              <w:spacing w:after="48" w:line="240" w:lineRule="atLeast"/>
              <w:ind w:left="34"/>
              <w:rPr>
                <w:b/>
                <w:bCs/>
                <w:sz w:val="26"/>
                <w:szCs w:val="26"/>
                <w:lang w:val="es-ES"/>
              </w:rPr>
            </w:pPr>
            <w:r w:rsidRPr="00072844">
              <w:rPr>
                <w:b/>
                <w:bCs/>
                <w:sz w:val="26"/>
                <w:szCs w:val="26"/>
                <w:lang w:val="es-ES"/>
              </w:rPr>
              <w:t>33</w:t>
            </w:r>
            <w:r w:rsidR="00B06557" w:rsidRPr="00072844">
              <w:rPr>
                <w:b/>
                <w:bCs/>
                <w:sz w:val="26"/>
                <w:szCs w:val="26"/>
                <w:lang w:val="es-ES"/>
              </w:rPr>
              <w:t>.</w:t>
            </w:r>
            <w:r w:rsidRPr="00072844">
              <w:rPr>
                <w:b/>
                <w:bCs/>
                <w:sz w:val="26"/>
                <w:szCs w:val="26"/>
                <w:lang w:val="es-ES"/>
              </w:rPr>
              <w:t>ª reunión</w:t>
            </w:r>
            <w:r w:rsidR="00294BF6" w:rsidRPr="00072844">
              <w:rPr>
                <w:b/>
                <w:bCs/>
                <w:sz w:val="26"/>
                <w:szCs w:val="26"/>
                <w:lang w:val="es-ES"/>
              </w:rPr>
              <w:t>, G</w:t>
            </w:r>
            <w:r w:rsidRPr="00072844">
              <w:rPr>
                <w:b/>
                <w:bCs/>
                <w:sz w:val="26"/>
                <w:szCs w:val="26"/>
                <w:lang w:val="es-ES"/>
              </w:rPr>
              <w:t>inebra</w:t>
            </w:r>
            <w:r w:rsidR="00426222" w:rsidRPr="00072844">
              <w:rPr>
                <w:b/>
                <w:bCs/>
                <w:sz w:val="26"/>
                <w:szCs w:val="26"/>
                <w:lang w:val="es-ES"/>
              </w:rPr>
              <w:t xml:space="preserve"> </w:t>
            </w:r>
            <w:r w:rsidR="00B06557" w:rsidRPr="00072844">
              <w:rPr>
                <w:b/>
                <w:bCs/>
                <w:sz w:val="26"/>
                <w:szCs w:val="26"/>
                <w:lang w:val="es-ES"/>
              </w:rPr>
              <w:t>(</w:t>
            </w:r>
            <w:r w:rsidRPr="00072844">
              <w:rPr>
                <w:b/>
                <w:bCs/>
                <w:sz w:val="26"/>
                <w:szCs w:val="26"/>
                <w:lang w:val="es-ES"/>
              </w:rPr>
              <w:t>Suiza</w:t>
            </w:r>
            <w:r w:rsidR="00B06557" w:rsidRPr="00072844">
              <w:rPr>
                <w:b/>
                <w:bCs/>
                <w:sz w:val="26"/>
                <w:szCs w:val="26"/>
                <w:lang w:val="es-ES"/>
              </w:rPr>
              <w:t>)</w:t>
            </w:r>
            <w:r w:rsidR="00294BF6" w:rsidRPr="00072844">
              <w:rPr>
                <w:b/>
                <w:bCs/>
                <w:sz w:val="26"/>
                <w:szCs w:val="26"/>
                <w:lang w:val="es-ES"/>
              </w:rPr>
              <w:t xml:space="preserve">, </w:t>
            </w:r>
            <w:r w:rsidR="00EF4D25" w:rsidRPr="00072844">
              <w:rPr>
                <w:b/>
                <w:bCs/>
                <w:sz w:val="26"/>
                <w:szCs w:val="26"/>
                <w:lang w:val="es-ES"/>
              </w:rPr>
              <w:t>7</w:t>
            </w:r>
            <w:r w:rsidR="00294BF6" w:rsidRPr="00072844">
              <w:rPr>
                <w:b/>
                <w:bCs/>
                <w:sz w:val="26"/>
                <w:szCs w:val="26"/>
                <w:lang w:val="es-ES"/>
              </w:rPr>
              <w:t>-</w:t>
            </w:r>
            <w:r w:rsidR="00EF4D25" w:rsidRPr="00072844">
              <w:rPr>
                <w:b/>
                <w:bCs/>
                <w:sz w:val="26"/>
                <w:szCs w:val="26"/>
                <w:lang w:val="es-ES"/>
              </w:rPr>
              <w:t>10</w:t>
            </w:r>
            <w:r w:rsidR="00294BF6" w:rsidRPr="00072844">
              <w:rPr>
                <w:b/>
                <w:bCs/>
                <w:sz w:val="26"/>
                <w:szCs w:val="26"/>
                <w:lang w:val="es-ES"/>
              </w:rPr>
              <w:t xml:space="preserve"> </w:t>
            </w:r>
            <w:r w:rsidRPr="00072844">
              <w:rPr>
                <w:b/>
                <w:bCs/>
                <w:sz w:val="26"/>
                <w:szCs w:val="26"/>
                <w:lang w:val="es-ES"/>
              </w:rPr>
              <w:t>de abril de 2026</w:t>
            </w:r>
          </w:p>
        </w:tc>
        <w:tc>
          <w:tcPr>
            <w:tcW w:w="3368" w:type="dxa"/>
          </w:tcPr>
          <w:p w14:paraId="06B48AA1" w14:textId="516DD633" w:rsidR="00294BF6" w:rsidRPr="00072844" w:rsidRDefault="00294BF6" w:rsidP="00294BF6">
            <w:pPr>
              <w:spacing w:line="240" w:lineRule="atLeast"/>
              <w:jc w:val="right"/>
              <w:rPr>
                <w:rFonts w:cstheme="minorHAnsi"/>
                <w:lang w:val="es-ES"/>
              </w:rPr>
            </w:pPr>
            <w:bookmarkStart w:id="0" w:name="ditulogo"/>
            <w:bookmarkEnd w:id="0"/>
            <w:r w:rsidRPr="00072844">
              <w:rPr>
                <w:noProof/>
                <w:lang w:val="es-ES"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072844" w14:paraId="6DE5ABA3" w14:textId="77777777" w:rsidTr="005C3173">
        <w:trPr>
          <w:cantSplit/>
        </w:trPr>
        <w:tc>
          <w:tcPr>
            <w:tcW w:w="6663" w:type="dxa"/>
            <w:tcBorders>
              <w:top w:val="single" w:sz="12" w:space="0" w:color="auto"/>
            </w:tcBorders>
          </w:tcPr>
          <w:p w14:paraId="73168FEF" w14:textId="77777777" w:rsidR="00D83BF5" w:rsidRPr="00072844" w:rsidRDefault="00D83BF5" w:rsidP="00B06557">
            <w:pPr>
              <w:spacing w:before="0"/>
              <w:rPr>
                <w:lang w:val="es-ES"/>
              </w:rPr>
            </w:pPr>
            <w:bookmarkStart w:id="1" w:name="dhead"/>
          </w:p>
        </w:tc>
        <w:tc>
          <w:tcPr>
            <w:tcW w:w="3368" w:type="dxa"/>
            <w:tcBorders>
              <w:top w:val="single" w:sz="12" w:space="0" w:color="auto"/>
            </w:tcBorders>
          </w:tcPr>
          <w:p w14:paraId="439CB557" w14:textId="716EF333" w:rsidR="00D83BF5" w:rsidRPr="00072844" w:rsidRDefault="00D83BF5" w:rsidP="00B06557">
            <w:pPr>
              <w:spacing w:before="0"/>
              <w:rPr>
                <w:lang w:val="es-ES"/>
              </w:rPr>
            </w:pPr>
          </w:p>
        </w:tc>
      </w:tr>
      <w:tr w:rsidR="00D87035" w:rsidRPr="00072844" w14:paraId="02BC550A" w14:textId="77777777" w:rsidTr="005C3173">
        <w:trPr>
          <w:cantSplit/>
          <w:trHeight w:val="23"/>
        </w:trPr>
        <w:tc>
          <w:tcPr>
            <w:tcW w:w="6663" w:type="dxa"/>
          </w:tcPr>
          <w:p w14:paraId="1EF66EAC" w14:textId="77777777" w:rsidR="00D87035" w:rsidRPr="00072844" w:rsidRDefault="00D87035" w:rsidP="00403C69">
            <w:pPr>
              <w:pStyle w:val="Committee"/>
              <w:framePr w:hSpace="0" w:wrap="auto" w:hAnchor="text" w:yAlign="inline"/>
              <w:rPr>
                <w:lang w:val="es-ES"/>
              </w:rPr>
            </w:pPr>
            <w:bookmarkStart w:id="2" w:name="dnum" w:colFirst="1" w:colLast="1"/>
            <w:bookmarkStart w:id="3" w:name="dmeeting" w:colFirst="0" w:colLast="0"/>
            <w:bookmarkEnd w:id="1"/>
          </w:p>
        </w:tc>
        <w:tc>
          <w:tcPr>
            <w:tcW w:w="3368" w:type="dxa"/>
          </w:tcPr>
          <w:p w14:paraId="6F008A08" w14:textId="559D8F0C" w:rsidR="00D87035" w:rsidRPr="00072844" w:rsidRDefault="00D87035" w:rsidP="00403C69">
            <w:pPr>
              <w:tabs>
                <w:tab w:val="left" w:pos="851"/>
              </w:tabs>
              <w:spacing w:before="0" w:line="240" w:lineRule="atLeast"/>
              <w:rPr>
                <w:rFonts w:cstheme="minorHAnsi"/>
                <w:szCs w:val="24"/>
                <w:lang w:val="es-ES"/>
              </w:rPr>
            </w:pPr>
            <w:r w:rsidRPr="00072844">
              <w:rPr>
                <w:b/>
                <w:bCs/>
                <w:lang w:val="es-ES"/>
              </w:rPr>
              <w:t>Document</w:t>
            </w:r>
            <w:bookmarkStart w:id="4" w:name="DocRef1"/>
            <w:bookmarkEnd w:id="4"/>
            <w:r w:rsidR="006A7603" w:rsidRPr="00072844">
              <w:rPr>
                <w:b/>
                <w:bCs/>
                <w:lang w:val="es-ES"/>
              </w:rPr>
              <w:t>o</w:t>
            </w:r>
            <w:r w:rsidR="001A2AB4" w:rsidRPr="00072844">
              <w:rPr>
                <w:b/>
                <w:bCs/>
                <w:lang w:val="es-ES"/>
              </w:rPr>
              <w:t xml:space="preserve"> </w:t>
            </w:r>
            <w:r w:rsidRPr="00072844">
              <w:rPr>
                <w:b/>
                <w:bCs/>
                <w:lang w:val="es-ES"/>
              </w:rPr>
              <w:t>TDAG-</w:t>
            </w:r>
            <w:r w:rsidR="00523934" w:rsidRPr="00072844">
              <w:rPr>
                <w:b/>
                <w:bCs/>
                <w:lang w:val="es-ES"/>
              </w:rPr>
              <w:t>2</w:t>
            </w:r>
            <w:r w:rsidR="00EF4D25" w:rsidRPr="00072844">
              <w:rPr>
                <w:b/>
                <w:bCs/>
                <w:lang w:val="es-ES"/>
              </w:rPr>
              <w:t>6</w:t>
            </w:r>
            <w:r w:rsidRPr="00072844">
              <w:rPr>
                <w:b/>
                <w:bCs/>
                <w:lang w:val="es-ES"/>
              </w:rPr>
              <w:t>/</w:t>
            </w:r>
            <w:bookmarkStart w:id="5" w:name="DocNo1"/>
            <w:bookmarkEnd w:id="5"/>
            <w:r w:rsidR="005C3907" w:rsidRPr="00072844">
              <w:rPr>
                <w:b/>
                <w:bCs/>
                <w:lang w:val="es-ES"/>
              </w:rPr>
              <w:t>6</w:t>
            </w:r>
            <w:r w:rsidRPr="00072844">
              <w:rPr>
                <w:b/>
                <w:bCs/>
                <w:lang w:val="es-ES"/>
              </w:rPr>
              <w:t>-</w:t>
            </w:r>
            <w:r w:rsidR="001A2AB4" w:rsidRPr="00072844">
              <w:rPr>
                <w:b/>
                <w:bCs/>
                <w:lang w:val="es-ES"/>
              </w:rPr>
              <w:t>S</w:t>
            </w:r>
          </w:p>
        </w:tc>
      </w:tr>
      <w:tr w:rsidR="00D87035" w:rsidRPr="00072844" w14:paraId="55AD5FBA" w14:textId="77777777" w:rsidTr="005C3173">
        <w:trPr>
          <w:cantSplit/>
          <w:trHeight w:val="23"/>
        </w:trPr>
        <w:tc>
          <w:tcPr>
            <w:tcW w:w="6663" w:type="dxa"/>
          </w:tcPr>
          <w:p w14:paraId="0E170520" w14:textId="77777777" w:rsidR="00D87035" w:rsidRPr="00072844" w:rsidRDefault="00D87035" w:rsidP="00B06557">
            <w:pPr>
              <w:spacing w:before="0"/>
              <w:rPr>
                <w:lang w:val="es-ES"/>
              </w:rPr>
            </w:pPr>
            <w:bookmarkStart w:id="6" w:name="ddate" w:colFirst="1" w:colLast="1"/>
            <w:bookmarkStart w:id="7" w:name="dblank" w:colFirst="0" w:colLast="0"/>
            <w:bookmarkEnd w:id="2"/>
            <w:bookmarkEnd w:id="3"/>
          </w:p>
        </w:tc>
        <w:tc>
          <w:tcPr>
            <w:tcW w:w="3368" w:type="dxa"/>
          </w:tcPr>
          <w:p w14:paraId="242C61B7" w14:textId="50FA371A" w:rsidR="00D87035" w:rsidRPr="00072844" w:rsidRDefault="00852EB9" w:rsidP="00B06557">
            <w:pPr>
              <w:tabs>
                <w:tab w:val="left" w:pos="851"/>
              </w:tabs>
              <w:spacing w:before="0" w:line="240" w:lineRule="atLeast"/>
              <w:rPr>
                <w:rFonts w:cstheme="minorHAnsi"/>
                <w:szCs w:val="24"/>
                <w:lang w:val="es-ES"/>
              </w:rPr>
            </w:pPr>
            <w:r w:rsidRPr="00072844">
              <w:rPr>
                <w:b/>
                <w:bCs/>
                <w:lang w:val="es-ES"/>
              </w:rPr>
              <w:t>3 de marzo de 2026</w:t>
            </w:r>
          </w:p>
        </w:tc>
      </w:tr>
      <w:bookmarkEnd w:id="6"/>
      <w:bookmarkEnd w:id="7"/>
      <w:tr w:rsidR="00D87035" w:rsidRPr="00072844" w14:paraId="07260C0B" w14:textId="77777777" w:rsidTr="005C3173">
        <w:trPr>
          <w:cantSplit/>
          <w:trHeight w:val="23"/>
        </w:trPr>
        <w:tc>
          <w:tcPr>
            <w:tcW w:w="6663" w:type="dxa"/>
          </w:tcPr>
          <w:p w14:paraId="773E4FE3" w14:textId="77777777" w:rsidR="00D87035" w:rsidRPr="00072844" w:rsidRDefault="00D87035" w:rsidP="00B06557">
            <w:pPr>
              <w:spacing w:before="0"/>
              <w:rPr>
                <w:lang w:val="es-ES"/>
              </w:rPr>
            </w:pPr>
          </w:p>
        </w:tc>
        <w:tc>
          <w:tcPr>
            <w:tcW w:w="3368" w:type="dxa"/>
          </w:tcPr>
          <w:p w14:paraId="2C8BB831" w14:textId="23C0B400" w:rsidR="00D87035" w:rsidRPr="00072844" w:rsidRDefault="00D87035" w:rsidP="00B06557">
            <w:pPr>
              <w:tabs>
                <w:tab w:val="left" w:pos="851"/>
              </w:tabs>
              <w:spacing w:before="0" w:line="240" w:lineRule="atLeast"/>
              <w:rPr>
                <w:rFonts w:cstheme="minorHAnsi"/>
                <w:b/>
                <w:szCs w:val="24"/>
                <w:lang w:val="es-ES"/>
              </w:rPr>
            </w:pPr>
            <w:r w:rsidRPr="00072844">
              <w:rPr>
                <w:b/>
                <w:bCs/>
                <w:lang w:val="es-ES"/>
              </w:rPr>
              <w:t xml:space="preserve">Original: </w:t>
            </w:r>
            <w:r w:rsidR="001A2AB4" w:rsidRPr="00072844">
              <w:rPr>
                <w:b/>
                <w:bCs/>
                <w:lang w:val="es-ES"/>
              </w:rPr>
              <w:t>inglés</w:t>
            </w:r>
          </w:p>
        </w:tc>
      </w:tr>
      <w:tr w:rsidR="00D83BF5" w:rsidRPr="00072844" w14:paraId="35F96F24" w14:textId="77777777" w:rsidTr="00D87035">
        <w:trPr>
          <w:cantSplit/>
          <w:trHeight w:val="23"/>
        </w:trPr>
        <w:tc>
          <w:tcPr>
            <w:tcW w:w="10031" w:type="dxa"/>
            <w:gridSpan w:val="2"/>
          </w:tcPr>
          <w:p w14:paraId="59A8A61C" w14:textId="343BF8E3" w:rsidR="00D83BF5" w:rsidRPr="00072844" w:rsidRDefault="00852EB9" w:rsidP="00403C69">
            <w:pPr>
              <w:pStyle w:val="Source"/>
              <w:spacing w:before="240" w:after="240"/>
              <w:rPr>
                <w:lang w:val="es-ES"/>
              </w:rPr>
            </w:pPr>
            <w:bookmarkStart w:id="8" w:name="dbluepink" w:colFirst="0" w:colLast="0"/>
            <w:bookmarkStart w:id="9" w:name="dorlang" w:colFirst="1" w:colLast="1"/>
            <w:r w:rsidRPr="00072844">
              <w:rPr>
                <w:lang w:val="es-ES"/>
              </w:rPr>
              <w:t>Presidente de la Comisión de Estudio 2 del UIT-D</w:t>
            </w:r>
          </w:p>
        </w:tc>
      </w:tr>
      <w:tr w:rsidR="00D83BF5" w:rsidRPr="00072844" w14:paraId="7EDE1565" w14:textId="77777777" w:rsidTr="00D87035">
        <w:trPr>
          <w:cantSplit/>
          <w:trHeight w:val="23"/>
        </w:trPr>
        <w:tc>
          <w:tcPr>
            <w:tcW w:w="10031" w:type="dxa"/>
            <w:gridSpan w:val="2"/>
            <w:vAlign w:val="center"/>
          </w:tcPr>
          <w:p w14:paraId="3D29924B" w14:textId="39C75F63" w:rsidR="00D83BF5" w:rsidRPr="00072844" w:rsidRDefault="00852EB9" w:rsidP="00B06557">
            <w:pPr>
              <w:pStyle w:val="Title1"/>
              <w:spacing w:before="120" w:after="120"/>
              <w:rPr>
                <w:lang w:val="es-ES"/>
              </w:rPr>
            </w:pPr>
            <w:r w:rsidRPr="00072844">
              <w:rPr>
                <w:caps w:val="0"/>
                <w:lang w:val="es-ES"/>
              </w:rPr>
              <w:t>Alcance de la labor de la Comisión de Estudio 2 del UIT-D</w:t>
            </w:r>
            <w:r w:rsidR="005C3907" w:rsidRPr="00072844">
              <w:rPr>
                <w:caps w:val="0"/>
                <w:lang w:val="es-ES"/>
              </w:rPr>
              <w:br/>
            </w:r>
            <w:r w:rsidRPr="00072844">
              <w:rPr>
                <w:caps w:val="0"/>
                <w:lang w:val="es-ES"/>
              </w:rPr>
              <w:t>para el periodo de estudios 2026-2029</w:t>
            </w:r>
          </w:p>
        </w:tc>
      </w:tr>
      <w:tr w:rsidR="00D83BF5" w:rsidRPr="00072844" w14:paraId="5B2B3E5A" w14:textId="77777777" w:rsidTr="00D87035">
        <w:trPr>
          <w:cantSplit/>
          <w:trHeight w:val="23"/>
        </w:trPr>
        <w:tc>
          <w:tcPr>
            <w:tcW w:w="10031" w:type="dxa"/>
            <w:gridSpan w:val="2"/>
            <w:tcBorders>
              <w:bottom w:val="single" w:sz="4" w:space="0" w:color="auto"/>
            </w:tcBorders>
          </w:tcPr>
          <w:p w14:paraId="28E7AED7" w14:textId="77777777" w:rsidR="00D83BF5" w:rsidRPr="00072844" w:rsidRDefault="00D83BF5" w:rsidP="00B06557">
            <w:pPr>
              <w:pStyle w:val="Title1"/>
              <w:spacing w:before="120" w:after="120"/>
              <w:jc w:val="left"/>
              <w:rPr>
                <w:lang w:val="es-ES"/>
              </w:rPr>
            </w:pPr>
          </w:p>
        </w:tc>
      </w:tr>
      <w:tr w:rsidR="001E252D" w:rsidRPr="00072844" w14:paraId="6C9BA039"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2503F124" w14:textId="0C929A88" w:rsidR="001E252D" w:rsidRPr="00072844" w:rsidRDefault="001A2AB4" w:rsidP="00B41165">
            <w:pPr>
              <w:rPr>
                <w:b/>
                <w:bCs/>
                <w:lang w:val="es-ES"/>
              </w:rPr>
            </w:pPr>
            <w:r w:rsidRPr="00072844">
              <w:rPr>
                <w:b/>
                <w:bCs/>
                <w:lang w:val="es-ES"/>
              </w:rPr>
              <w:t>Resumen</w:t>
            </w:r>
            <w:r w:rsidR="001E252D" w:rsidRPr="00072844">
              <w:rPr>
                <w:b/>
                <w:bCs/>
                <w:lang w:val="es-ES"/>
              </w:rPr>
              <w:t>:</w:t>
            </w:r>
          </w:p>
          <w:p w14:paraId="4F70BA09" w14:textId="7C6002DB" w:rsidR="001E252D" w:rsidRPr="00072844" w:rsidRDefault="00852EB9" w:rsidP="00403C69">
            <w:pPr>
              <w:rPr>
                <w:lang w:val="es-ES"/>
              </w:rPr>
            </w:pPr>
            <w:r w:rsidRPr="00072844">
              <w:rPr>
                <w:lang w:val="es-ES"/>
              </w:rPr>
              <w:t>En el presente informe se reseña el alcance de la labor de la Comisión de Estudio 2 (CE 2) del UIT-D para el per</w:t>
            </w:r>
            <w:r w:rsidR="005C3907" w:rsidRPr="00072844">
              <w:rPr>
                <w:lang w:val="es-ES"/>
              </w:rPr>
              <w:t>i</w:t>
            </w:r>
            <w:r w:rsidRPr="00072844">
              <w:rPr>
                <w:lang w:val="es-ES"/>
              </w:rPr>
              <w:t>odo de estudios 2026-2029 acordado en la Conferencia Mundial de Desarrollo de las Telecomunicaciones de 2025 (CMDT-25). También se proporciona información sobre las decisiones de la CMDT-25 que repercuten en las Comisiones de Estudio del UIT-D y el plan de trabajo de la Comisión de Estudio 2 para la ejecución de su mandato.</w:t>
            </w:r>
          </w:p>
          <w:p w14:paraId="05C8985D" w14:textId="4BD66A6F" w:rsidR="00852EB9" w:rsidRPr="00072844" w:rsidRDefault="00852EB9" w:rsidP="00403C69">
            <w:pPr>
              <w:rPr>
                <w:lang w:val="es-ES"/>
              </w:rPr>
            </w:pPr>
            <w:r w:rsidRPr="00072844">
              <w:rPr>
                <w:color w:val="000000"/>
                <w:lang w:val="es-ES"/>
              </w:rPr>
              <w:t>La primera reunión de la Comisión de Estudio 2 del UIT-D relativa al nuevo per</w:t>
            </w:r>
            <w:r w:rsidR="005C3907" w:rsidRPr="00072844">
              <w:rPr>
                <w:color w:val="000000"/>
                <w:lang w:val="es-ES"/>
              </w:rPr>
              <w:t>i</w:t>
            </w:r>
            <w:r w:rsidRPr="00072844">
              <w:rPr>
                <w:color w:val="000000"/>
                <w:lang w:val="es-ES"/>
              </w:rPr>
              <w:t>odo de estudios tendrá lugar del 20 al 24 de abril de 2026.</w:t>
            </w:r>
          </w:p>
          <w:p w14:paraId="329DD418" w14:textId="1D7460A6" w:rsidR="001E252D" w:rsidRPr="00072844" w:rsidRDefault="00CC5CD7" w:rsidP="00403C69">
            <w:pPr>
              <w:rPr>
                <w:b/>
                <w:bCs/>
                <w:szCs w:val="24"/>
                <w:lang w:val="es-ES"/>
              </w:rPr>
            </w:pPr>
            <w:r w:rsidRPr="00072844">
              <w:rPr>
                <w:b/>
                <w:bCs/>
                <w:lang w:val="es-ES"/>
              </w:rPr>
              <w:t>Acción solicitada:</w:t>
            </w:r>
          </w:p>
          <w:p w14:paraId="2D855C8F" w14:textId="3DD875D7" w:rsidR="005C33FB" w:rsidRPr="00072844" w:rsidRDefault="00852EB9" w:rsidP="00403C69">
            <w:pPr>
              <w:rPr>
                <w:lang w:val="es-ES"/>
              </w:rPr>
            </w:pPr>
            <w:r w:rsidRPr="00072844">
              <w:rPr>
                <w:color w:val="000000"/>
                <w:lang w:val="es-ES"/>
              </w:rPr>
              <w:t>Se invita al GADT a tomar nota de este documento y formular las orientaciones que estime convenientes.</w:t>
            </w:r>
          </w:p>
          <w:p w14:paraId="5120B5FD" w14:textId="79AE5880" w:rsidR="001E252D" w:rsidRPr="00072844" w:rsidRDefault="001E252D" w:rsidP="00B41165">
            <w:pPr>
              <w:rPr>
                <w:b/>
                <w:bCs/>
                <w:lang w:val="es-ES"/>
              </w:rPr>
            </w:pPr>
            <w:r w:rsidRPr="00072844">
              <w:rPr>
                <w:b/>
                <w:bCs/>
                <w:lang w:val="es-ES"/>
              </w:rPr>
              <w:t>Referenc</w:t>
            </w:r>
            <w:r w:rsidR="005C33FB" w:rsidRPr="00072844">
              <w:rPr>
                <w:b/>
                <w:bCs/>
                <w:lang w:val="es-ES"/>
              </w:rPr>
              <w:t>ia</w:t>
            </w:r>
            <w:r w:rsidRPr="00072844">
              <w:rPr>
                <w:b/>
                <w:bCs/>
                <w:lang w:val="es-ES"/>
              </w:rPr>
              <w:t>s</w:t>
            </w:r>
            <w:r w:rsidR="008A3933" w:rsidRPr="00072844">
              <w:rPr>
                <w:b/>
                <w:bCs/>
                <w:lang w:val="es-ES"/>
              </w:rPr>
              <w:t>:</w:t>
            </w:r>
          </w:p>
          <w:p w14:paraId="6EF29DC6" w14:textId="27C1D3A2" w:rsidR="001E252D" w:rsidRPr="00072844" w:rsidRDefault="00852EB9" w:rsidP="00403C69">
            <w:pPr>
              <w:spacing w:after="120"/>
              <w:rPr>
                <w:lang w:val="es-ES"/>
              </w:rPr>
            </w:pPr>
            <w:r w:rsidRPr="00072844">
              <w:rPr>
                <w:color w:val="000000"/>
                <w:lang w:val="es-ES"/>
              </w:rPr>
              <w:t>Resolución 2 (Rev. Bakú, 2025) y Resolución 1 (Rev. Bakú, 2025) de la CMDT</w:t>
            </w:r>
          </w:p>
        </w:tc>
      </w:tr>
      <w:bookmarkEnd w:id="8"/>
      <w:bookmarkEnd w:id="9"/>
    </w:tbl>
    <w:p w14:paraId="30707726" w14:textId="5A6143DD" w:rsidR="00075C63" w:rsidRPr="00072844" w:rsidRDefault="00075C63" w:rsidP="00B06557">
      <w:pPr>
        <w:rPr>
          <w:lang w:val="es-ES"/>
        </w:rPr>
      </w:pPr>
      <w:r w:rsidRPr="00072844">
        <w:rPr>
          <w:lang w:val="es-ES"/>
        </w:rPr>
        <w:br w:type="page"/>
      </w:r>
    </w:p>
    <w:p w14:paraId="06E3E947" w14:textId="64D7EEDC" w:rsidR="00B06557" w:rsidRPr="00072844" w:rsidRDefault="00852EB9" w:rsidP="00852EB9">
      <w:pPr>
        <w:pStyle w:val="Heading1"/>
        <w:rPr>
          <w:lang w:val="es-ES"/>
        </w:rPr>
      </w:pPr>
      <w:r w:rsidRPr="00072844">
        <w:rPr>
          <w:lang w:val="es-ES"/>
        </w:rPr>
        <w:lastRenderedPageBreak/>
        <w:t>1</w:t>
      </w:r>
      <w:r w:rsidRPr="00072844">
        <w:rPr>
          <w:lang w:val="es-ES"/>
        </w:rPr>
        <w:tab/>
        <w:t>Decisiones de la CMDT-25 con repercusión en la Comisión</w:t>
      </w:r>
      <w:r w:rsidRPr="00072844">
        <w:rPr>
          <w:lang w:val="es-ES"/>
        </w:rPr>
        <w:br/>
      </w:r>
      <w:r w:rsidRPr="00072844">
        <w:rPr>
          <w:lang w:val="es-ES"/>
        </w:rPr>
        <w:t>de Estudio 2 del UIT-D</w:t>
      </w:r>
    </w:p>
    <w:p w14:paraId="25ACAFE1" w14:textId="1D032F61" w:rsidR="00852EB9" w:rsidRPr="00072844" w:rsidRDefault="00852EB9" w:rsidP="00852EB9">
      <w:pPr>
        <w:pStyle w:val="Normalaftertitle"/>
        <w:rPr>
          <w:rFonts w:cstheme="minorHAnsi"/>
          <w:lang w:val="es-ES"/>
        </w:rPr>
      </w:pPr>
      <w:r w:rsidRPr="00072844">
        <w:rPr>
          <w:lang w:val="es-ES"/>
        </w:rPr>
        <w:t>Las Comisiones de Estudio del UIT-D se rigen por los procesos y métodos de trabajo establecidos en virtud de la Resolución 1 (Rev. Bakú, 2025), Reglamento interno del Sector de Desarrollo de las Telecomunicaciones de la UIT, y su labor se ajusta a los planes de trabajo aprobados en la CMDT</w:t>
      </w:r>
      <w:r w:rsidR="005C3907" w:rsidRPr="00072844">
        <w:rPr>
          <w:lang w:val="es-ES"/>
        </w:rPr>
        <w:noBreakHyphen/>
      </w:r>
      <w:r w:rsidRPr="00072844">
        <w:rPr>
          <w:lang w:val="es-ES"/>
        </w:rPr>
        <w:t>25. La CMDT-25 reforzó la función de las Comisiones de Estudio del UIT-D como plataforma para que los Miembros intercambien experiencias, presenten propuestas, formulen opiniones y lleguen a un consenso sobre las estrategias aplicables a las prioridades en materia de telecomunicaciones/TIC. En este contexto, se fortaleció la participación de las Comisiones de Estudio del UIT-D en la prestación de asistencia a los Estados Miembros para alcanzar sus metas de desarrollo.</w:t>
      </w:r>
    </w:p>
    <w:p w14:paraId="6CE40A33" w14:textId="77777777" w:rsidR="00852EB9" w:rsidRPr="00072844" w:rsidRDefault="00852EB9" w:rsidP="00852EB9">
      <w:pPr>
        <w:spacing w:after="120"/>
        <w:rPr>
          <w:rFonts w:cstheme="minorBidi"/>
          <w:lang w:val="es-ES"/>
        </w:rPr>
      </w:pPr>
      <w:r w:rsidRPr="00072844">
        <w:rPr>
          <w:lang w:val="es-ES"/>
        </w:rPr>
        <w:t>En lo que respecta al alcance, la Comisión de Estudio 2 (CE 2) del UIT-D seguirá centrándose en la "transformación digital". El nuevo equipo directivo designado en la CMDT-25 para dirigir la labor de la Comisión de Estudio está formado por un Presidente y 13 Vicepresidentes. Se han asignado a los Vicepresidentes funciones de coordinación nuevas sobre temas específicos. Se remitió a los Miembros una convocatoria para la designación de Relatores y Vicerrelatores de la CE 2, que tendrá lugar en la primera reunión de la CE 2, esto es, del 20 al 24 de abril de 2026.</w:t>
      </w:r>
    </w:p>
    <w:p w14:paraId="036840F7" w14:textId="77777777" w:rsidR="00852EB9" w:rsidRPr="00072844" w:rsidRDefault="00852EB9" w:rsidP="00852EB9">
      <w:pPr>
        <w:spacing w:after="120"/>
        <w:rPr>
          <w:rFonts w:cstheme="minorHAnsi"/>
          <w:lang w:val="es-ES"/>
        </w:rPr>
      </w:pPr>
      <w:r w:rsidRPr="00072844">
        <w:rPr>
          <w:lang w:val="es-ES"/>
        </w:rPr>
        <w:t>A la CE 2 le corresponden cinco Cuestiones (siete anteriormente). Aunque se ha reducido el número de Cuestiones, se han mantenido todos los temas principales de las Cuestiones de estudio anteriores, y algunos de ellos se han fusionado en las nuevas Cuestiones. También se aprobaron nuevos temas, como la disponibilidad y asequibilidad de los dispositivos de usuario y la adopción y utilización de servicios y tecnologías de telecomunicaciones/TIC nuevos e incipientes. En la medida de lo posible, la entrega de los productos intermedios se incluirá en los planes de trabajo específicos de la Cuestión. La capacitación de las Comisiones de Estudio del UIT-D, mediante el intercambio de estudios de caso y la organización de talleres y seminarios web, seguirá ocupando un lugar destacado en las Cuestiones de estudio.</w:t>
      </w:r>
    </w:p>
    <w:p w14:paraId="29511D4F" w14:textId="61E2B64D" w:rsidR="00852EB9" w:rsidRPr="00072844" w:rsidRDefault="00852EB9" w:rsidP="00852EB9">
      <w:pPr>
        <w:rPr>
          <w:lang w:val="es-ES"/>
        </w:rPr>
      </w:pPr>
      <w:r w:rsidRPr="00072844">
        <w:rPr>
          <w:lang w:val="es-ES"/>
        </w:rPr>
        <w:t xml:space="preserve">Se han realizado modificaciones sustanciales en el Reglamento interno y los métodos de trabajo con respecto al anterior </w:t>
      </w:r>
      <w:r w:rsidR="00072844" w:rsidRPr="00072844">
        <w:rPr>
          <w:lang w:val="es-ES"/>
        </w:rPr>
        <w:t>periodo</w:t>
      </w:r>
      <w:r w:rsidRPr="00072844">
        <w:rPr>
          <w:lang w:val="es-ES"/>
        </w:rPr>
        <w:t xml:space="preserve"> de estudios, como figuran en la Resolución 1 revisada (Rev.</w:t>
      </w:r>
      <w:r w:rsidR="005C3907" w:rsidRPr="00072844">
        <w:rPr>
          <w:lang w:val="es-ES"/>
        </w:rPr>
        <w:t> </w:t>
      </w:r>
      <w:r w:rsidRPr="00072844">
        <w:rPr>
          <w:lang w:val="es-ES"/>
        </w:rPr>
        <w:t>Bakú,</w:t>
      </w:r>
      <w:r w:rsidR="005C3907" w:rsidRPr="00072844">
        <w:rPr>
          <w:lang w:val="es-ES"/>
        </w:rPr>
        <w:t> </w:t>
      </w:r>
      <w:r w:rsidRPr="00072844">
        <w:rPr>
          <w:lang w:val="es-ES"/>
        </w:rPr>
        <w:t>2025). Los cambios en los métodos de trabajo incluyen disposiciones nuevas o modificadas relativas a los titulares de cargos (por ejemplo, se contacta con el miembro nominador si falta a dos reuniones consecutivas), informes de resultados (por ejemplo, un máximo de 70 páginas para todos los nuevos informes de resultados de una Cuestión), productos intermedios (por ejemplo, una recopilación de productos provisionales publicados puede constituir un informe de resultados), colaboración con otros Sectores de la UIT (por ejemplo, procedimientos adicionales/revisados para los Grupos por Correspondencia y Grupos de Relator intersectoriales), actividades de apoyo a las Comisiones de Estudio (por ejemplo, eventos relacionados con las prioridades y objetivos del Plan de Acción de Bakú y las Resoluciones de la CMDT celebrados durante las reuniones de las Comisiones de Estudio) y otros temas.</w:t>
      </w:r>
    </w:p>
    <w:p w14:paraId="104A17BA" w14:textId="3A9E7918" w:rsidR="00852EB9" w:rsidRPr="00072844" w:rsidRDefault="00852EB9" w:rsidP="00852EB9">
      <w:pPr>
        <w:pStyle w:val="Heading1"/>
        <w:rPr>
          <w:lang w:val="es-ES"/>
        </w:rPr>
      </w:pPr>
      <w:r w:rsidRPr="00072844">
        <w:rPr>
          <w:lang w:val="es-ES"/>
        </w:rPr>
        <w:lastRenderedPageBreak/>
        <w:t>2</w:t>
      </w:r>
      <w:r w:rsidRPr="00072844">
        <w:rPr>
          <w:lang w:val="es-ES"/>
        </w:rPr>
        <w:tab/>
        <w:t>Introducción a la labor de la Comisión de Estudio 2 del UIT-D</w:t>
      </w:r>
    </w:p>
    <w:p w14:paraId="6C986DD9" w14:textId="11C10319" w:rsidR="00852EB9" w:rsidRPr="00072844" w:rsidRDefault="00852EB9" w:rsidP="00852EB9">
      <w:pPr>
        <w:pStyle w:val="Heading2"/>
        <w:rPr>
          <w:lang w:val="es-ES"/>
        </w:rPr>
      </w:pPr>
      <w:r w:rsidRPr="00072844">
        <w:rPr>
          <w:lang w:val="es-ES"/>
        </w:rPr>
        <w:t>2.1</w:t>
      </w:r>
      <w:r w:rsidRPr="00072844">
        <w:rPr>
          <w:lang w:val="es-ES"/>
        </w:rPr>
        <w:tab/>
        <w:t>Alcance de la labor</w:t>
      </w:r>
    </w:p>
    <w:p w14:paraId="56460EB6" w14:textId="1FB3EAD8" w:rsidR="00852EB9" w:rsidRPr="00072844" w:rsidRDefault="00852EB9" w:rsidP="00852EB9">
      <w:pPr>
        <w:pStyle w:val="Normalaftertitle"/>
        <w:keepNext/>
        <w:keepLines/>
        <w:rPr>
          <w:rFonts w:cstheme="minorHAnsi"/>
          <w:szCs w:val="24"/>
          <w:lang w:val="es-ES"/>
        </w:rPr>
      </w:pPr>
      <w:r w:rsidRPr="00072844">
        <w:rPr>
          <w:lang w:val="es-ES"/>
        </w:rPr>
        <w:t>La Comisión de Estudio 2 (CE 2) se estableció de conformidad con la Resolución 2 (Rev.</w:t>
      </w:r>
      <w:r w:rsidR="005C3907" w:rsidRPr="00072844">
        <w:rPr>
          <w:lang w:val="es-ES"/>
        </w:rPr>
        <w:t> </w:t>
      </w:r>
      <w:r w:rsidRPr="00072844">
        <w:rPr>
          <w:lang w:val="es-ES"/>
        </w:rPr>
        <w:t>Bakú,</w:t>
      </w:r>
      <w:r w:rsidR="005C3907" w:rsidRPr="00072844">
        <w:rPr>
          <w:lang w:val="es-ES"/>
        </w:rPr>
        <w:t> </w:t>
      </w:r>
      <w:r w:rsidRPr="00072844">
        <w:rPr>
          <w:lang w:val="es-ES"/>
        </w:rPr>
        <w:t>2025) con objeto de examinar, por medio de las Cuestiones aprobadas por los Miembros de la UIT en la CMDT-25, los aspectos relacionados con la transformación digital.</w:t>
      </w:r>
    </w:p>
    <w:p w14:paraId="24B9948D" w14:textId="58AF411F" w:rsidR="00852EB9" w:rsidRPr="00072844" w:rsidRDefault="00852EB9" w:rsidP="00852EB9">
      <w:pPr>
        <w:rPr>
          <w:lang w:val="es-ES"/>
        </w:rPr>
      </w:pPr>
      <w:r w:rsidRPr="00072844">
        <w:rPr>
          <w:lang w:val="es-ES"/>
        </w:rPr>
        <w:t>En este contexto, la CE 2 se ocupa de varios temas sustantivos, a saber</w:t>
      </w:r>
      <w:r w:rsidRPr="00072844">
        <w:rPr>
          <w:rStyle w:val="FootnoteReference"/>
          <w:rFonts w:cstheme="minorHAnsi"/>
          <w:szCs w:val="24"/>
          <w:lang w:val="es-ES" w:eastAsia="ko-KR"/>
        </w:rPr>
        <w:footnoteReference w:id="2"/>
      </w:r>
      <w:r w:rsidRPr="00072844">
        <w:rPr>
          <w:lang w:val="es-ES"/>
        </w:rPr>
        <w:t>:</w:t>
      </w:r>
    </w:p>
    <w:p w14:paraId="4C5D5D34" w14:textId="2BBDDEEE" w:rsidR="00852EB9" w:rsidRPr="00072844" w:rsidRDefault="00852EB9" w:rsidP="00852EB9">
      <w:pPr>
        <w:pStyle w:val="enumlev1"/>
        <w:rPr>
          <w:lang w:val="es-ES"/>
        </w:rPr>
      </w:pPr>
      <w:r w:rsidRPr="00072844">
        <w:rPr>
          <w:lang w:val="es-ES"/>
        </w:rPr>
        <w:t>–</w:t>
      </w:r>
      <w:r w:rsidRPr="00072844">
        <w:rPr>
          <w:lang w:val="es-ES"/>
        </w:rPr>
        <w:tab/>
      </w:r>
      <w:r w:rsidR="005E35DC" w:rsidRPr="00072844">
        <w:rPr>
          <w:lang w:val="es-ES"/>
        </w:rPr>
        <w:t>Telecomunicaciones</w:t>
      </w:r>
      <w:r w:rsidRPr="00072844">
        <w:rPr>
          <w:lang w:val="es-ES"/>
        </w:rPr>
        <w:t>/TIC para la transformación digital, incluidas la cibersalud y la ciberenseñanza</w:t>
      </w:r>
      <w:r w:rsidR="005E35DC" w:rsidRPr="00072844">
        <w:rPr>
          <w:lang w:val="es-ES"/>
        </w:rPr>
        <w:t>.</w:t>
      </w:r>
    </w:p>
    <w:p w14:paraId="34CD7D8A" w14:textId="0F35E3A9" w:rsidR="00852EB9" w:rsidRPr="00072844" w:rsidRDefault="00852EB9" w:rsidP="00852EB9">
      <w:pPr>
        <w:pStyle w:val="enumlev1"/>
        <w:rPr>
          <w:lang w:val="es-ES"/>
        </w:rPr>
      </w:pPr>
      <w:r w:rsidRPr="00072844">
        <w:rPr>
          <w:lang w:val="es-ES"/>
        </w:rPr>
        <w:t>–</w:t>
      </w:r>
      <w:r w:rsidRPr="00072844">
        <w:rPr>
          <w:lang w:val="es-ES"/>
        </w:rPr>
        <w:tab/>
      </w:r>
      <w:r w:rsidR="005E35DC" w:rsidRPr="00072844">
        <w:rPr>
          <w:lang w:val="es-ES"/>
        </w:rPr>
        <w:t xml:space="preserve">Creación </w:t>
      </w:r>
      <w:r w:rsidRPr="00072844">
        <w:rPr>
          <w:lang w:val="es-ES"/>
        </w:rPr>
        <w:t>de confianza y seguridad en la utilización de las TIC</w:t>
      </w:r>
      <w:r w:rsidR="005E35DC" w:rsidRPr="00072844">
        <w:rPr>
          <w:lang w:val="es-ES"/>
        </w:rPr>
        <w:t>.</w:t>
      </w:r>
    </w:p>
    <w:p w14:paraId="4A55F551" w14:textId="70ECED07" w:rsidR="00852EB9" w:rsidRPr="00072844" w:rsidRDefault="00852EB9" w:rsidP="00852EB9">
      <w:pPr>
        <w:pStyle w:val="enumlev1"/>
        <w:rPr>
          <w:lang w:val="es-ES"/>
        </w:rPr>
      </w:pPr>
      <w:r w:rsidRPr="00072844">
        <w:rPr>
          <w:lang w:val="es-ES"/>
        </w:rPr>
        <w:t>–</w:t>
      </w:r>
      <w:r w:rsidRPr="00072844">
        <w:rPr>
          <w:lang w:val="es-ES"/>
        </w:rPr>
        <w:tab/>
      </w:r>
      <w:r w:rsidR="005E35DC" w:rsidRPr="00072844">
        <w:rPr>
          <w:lang w:val="es-ES"/>
        </w:rPr>
        <w:t xml:space="preserve">Utilización </w:t>
      </w:r>
      <w:r w:rsidRPr="00072844">
        <w:rPr>
          <w:lang w:val="es-ES"/>
        </w:rPr>
        <w:t>de las telecomunicaciones/TIC para supervisar y mitigar los efectos del cambio climático, y consideración de la economía circular y la eliminación segura de los residuos electrónicos</w:t>
      </w:r>
      <w:r w:rsidR="005E35DC" w:rsidRPr="00072844">
        <w:rPr>
          <w:lang w:val="es-ES"/>
        </w:rPr>
        <w:t>.</w:t>
      </w:r>
    </w:p>
    <w:p w14:paraId="5EB10AA0" w14:textId="4DB604DE" w:rsidR="00852EB9" w:rsidRPr="00072844" w:rsidRDefault="00852EB9" w:rsidP="00852EB9">
      <w:pPr>
        <w:pStyle w:val="enumlev1"/>
        <w:rPr>
          <w:lang w:val="es-ES"/>
        </w:rPr>
      </w:pPr>
      <w:r w:rsidRPr="00072844">
        <w:rPr>
          <w:lang w:val="es-ES"/>
        </w:rPr>
        <w:t>–</w:t>
      </w:r>
      <w:r w:rsidRPr="00072844">
        <w:rPr>
          <w:lang w:val="es-ES"/>
        </w:rPr>
        <w:tab/>
      </w:r>
      <w:r w:rsidR="005E35DC" w:rsidRPr="00072844">
        <w:rPr>
          <w:lang w:val="es-ES"/>
        </w:rPr>
        <w:t xml:space="preserve">Lucha </w:t>
      </w:r>
      <w:r w:rsidRPr="00072844">
        <w:rPr>
          <w:lang w:val="es-ES"/>
        </w:rPr>
        <w:t>contra la falsificación de dispositivos de telecomunicaciones/TIC y el robo de dispositivos móviles de telecomunicación</w:t>
      </w:r>
      <w:r w:rsidR="005E35DC" w:rsidRPr="00072844">
        <w:rPr>
          <w:lang w:val="es-ES"/>
        </w:rPr>
        <w:t>.</w:t>
      </w:r>
    </w:p>
    <w:p w14:paraId="48F19309" w14:textId="58B0A480" w:rsidR="00852EB9" w:rsidRPr="00072844" w:rsidRDefault="00852EB9" w:rsidP="00852EB9">
      <w:pPr>
        <w:pStyle w:val="enumlev1"/>
        <w:rPr>
          <w:lang w:val="es-ES"/>
        </w:rPr>
      </w:pPr>
      <w:r w:rsidRPr="00072844">
        <w:rPr>
          <w:lang w:val="es-ES"/>
        </w:rPr>
        <w:t>–</w:t>
      </w:r>
      <w:r w:rsidRPr="00072844">
        <w:rPr>
          <w:lang w:val="es-ES"/>
        </w:rPr>
        <w:tab/>
      </w:r>
      <w:r w:rsidR="005E35DC" w:rsidRPr="00072844">
        <w:rPr>
          <w:lang w:val="es-ES"/>
        </w:rPr>
        <w:t xml:space="preserve">Realización </w:t>
      </w:r>
      <w:r w:rsidRPr="00072844">
        <w:rPr>
          <w:lang w:val="es-ES"/>
        </w:rPr>
        <w:t>de pruebas de conformidad e interoperabilidad de dispositivos y equipos de telecomunicaciones/TIC</w:t>
      </w:r>
      <w:r w:rsidR="005E35DC" w:rsidRPr="00072844">
        <w:rPr>
          <w:lang w:val="es-ES"/>
        </w:rPr>
        <w:t>.</w:t>
      </w:r>
    </w:p>
    <w:p w14:paraId="76A2A439" w14:textId="5DD2A0F7" w:rsidR="00852EB9" w:rsidRPr="00072844" w:rsidRDefault="00852EB9" w:rsidP="00852EB9">
      <w:pPr>
        <w:pStyle w:val="enumlev1"/>
        <w:rPr>
          <w:lang w:val="es-ES"/>
        </w:rPr>
      </w:pPr>
      <w:r w:rsidRPr="00072844">
        <w:rPr>
          <w:lang w:val="es-ES"/>
        </w:rPr>
        <w:t>–</w:t>
      </w:r>
      <w:r w:rsidRPr="00072844">
        <w:rPr>
          <w:lang w:val="es-ES"/>
        </w:rPr>
        <w:tab/>
      </w:r>
      <w:r w:rsidR="005E35DC" w:rsidRPr="00072844">
        <w:rPr>
          <w:lang w:val="es-ES"/>
        </w:rPr>
        <w:t xml:space="preserve">Exposición </w:t>
      </w:r>
      <w:r w:rsidRPr="00072844">
        <w:rPr>
          <w:lang w:val="es-ES"/>
        </w:rPr>
        <w:t>de las personas a los campos electromagnéticos</w:t>
      </w:r>
      <w:r w:rsidR="005E35DC" w:rsidRPr="00072844">
        <w:rPr>
          <w:lang w:val="es-ES"/>
        </w:rPr>
        <w:t>.</w:t>
      </w:r>
    </w:p>
    <w:p w14:paraId="58830462" w14:textId="7754F378" w:rsidR="00852EB9" w:rsidRPr="00072844" w:rsidRDefault="00852EB9" w:rsidP="00852EB9">
      <w:pPr>
        <w:pStyle w:val="enumlev1"/>
        <w:rPr>
          <w:lang w:val="es-ES"/>
        </w:rPr>
      </w:pPr>
      <w:r w:rsidRPr="00072844">
        <w:rPr>
          <w:lang w:val="es-ES"/>
        </w:rPr>
        <w:t>–</w:t>
      </w:r>
      <w:r w:rsidRPr="00072844">
        <w:rPr>
          <w:lang w:val="es-ES"/>
        </w:rPr>
        <w:tab/>
      </w:r>
      <w:r w:rsidR="005E35DC" w:rsidRPr="00072844">
        <w:rPr>
          <w:lang w:val="es-ES"/>
        </w:rPr>
        <w:t xml:space="preserve">Desafíos </w:t>
      </w:r>
      <w:r w:rsidRPr="00072844">
        <w:rPr>
          <w:lang w:val="es-ES"/>
        </w:rPr>
        <w:t>y perspectivas de los países en desarrollo respecto del acceso a las tecnologías de telecomunicaciones/TIC incipientes, las plataformas, las aplicaciones y los casos de uso</w:t>
      </w:r>
      <w:r w:rsidR="005E35DC" w:rsidRPr="00072844">
        <w:rPr>
          <w:lang w:val="es-ES"/>
        </w:rPr>
        <w:t>.</w:t>
      </w:r>
    </w:p>
    <w:p w14:paraId="354C102C" w14:textId="426559B3" w:rsidR="00852EB9" w:rsidRPr="00072844" w:rsidRDefault="00852EB9" w:rsidP="00852EB9">
      <w:pPr>
        <w:pStyle w:val="enumlev1"/>
        <w:rPr>
          <w:lang w:val="es-ES"/>
        </w:rPr>
      </w:pPr>
      <w:r w:rsidRPr="00072844">
        <w:rPr>
          <w:lang w:val="es-ES"/>
        </w:rPr>
        <w:t>–</w:t>
      </w:r>
      <w:r w:rsidRPr="00072844">
        <w:rPr>
          <w:lang w:val="es-ES"/>
        </w:rPr>
        <w:tab/>
      </w:r>
      <w:r w:rsidR="005E35DC" w:rsidRPr="00072844">
        <w:rPr>
          <w:lang w:val="es-ES"/>
        </w:rPr>
        <w:t xml:space="preserve">Utilización </w:t>
      </w:r>
      <w:r w:rsidRPr="00072844">
        <w:rPr>
          <w:lang w:val="es-ES"/>
        </w:rPr>
        <w:t>de las telecomunicaciones/TIC para crear ciudades inteligentes y la sociedad de la información</w:t>
      </w:r>
      <w:r w:rsidR="005E35DC" w:rsidRPr="00072844">
        <w:rPr>
          <w:lang w:val="es-ES"/>
        </w:rPr>
        <w:t>.</w:t>
      </w:r>
    </w:p>
    <w:p w14:paraId="42154964" w14:textId="6EDC96E8" w:rsidR="00852EB9" w:rsidRPr="00072844" w:rsidRDefault="00852EB9" w:rsidP="00852EB9">
      <w:pPr>
        <w:pStyle w:val="enumlev1"/>
        <w:rPr>
          <w:lang w:val="es-ES"/>
        </w:rPr>
      </w:pPr>
      <w:r w:rsidRPr="00072844">
        <w:rPr>
          <w:lang w:val="es-ES"/>
        </w:rPr>
        <w:t>–</w:t>
      </w:r>
      <w:r w:rsidRPr="00072844">
        <w:rPr>
          <w:lang w:val="es-ES"/>
        </w:rPr>
        <w:tab/>
      </w:r>
      <w:r w:rsidR="005E35DC" w:rsidRPr="00072844">
        <w:rPr>
          <w:lang w:val="es-ES"/>
        </w:rPr>
        <w:t xml:space="preserve">Adopción </w:t>
      </w:r>
      <w:r w:rsidRPr="00072844">
        <w:rPr>
          <w:lang w:val="es-ES"/>
        </w:rPr>
        <w:t>de las telecomunicaciones/TIC y mejora de las competencias digitales</w:t>
      </w:r>
      <w:r w:rsidR="005E35DC" w:rsidRPr="00072844">
        <w:rPr>
          <w:lang w:val="es-ES"/>
        </w:rPr>
        <w:t>.</w:t>
      </w:r>
    </w:p>
    <w:p w14:paraId="45AD6043" w14:textId="76788112" w:rsidR="00852EB9" w:rsidRPr="00072844" w:rsidRDefault="00852EB9" w:rsidP="00852EB9">
      <w:pPr>
        <w:pStyle w:val="enumlev1"/>
        <w:rPr>
          <w:lang w:val="es-ES"/>
        </w:rPr>
      </w:pPr>
      <w:r w:rsidRPr="00072844">
        <w:rPr>
          <w:lang w:val="es-ES"/>
        </w:rPr>
        <w:t>–</w:t>
      </w:r>
      <w:r w:rsidRPr="00072844">
        <w:rPr>
          <w:lang w:val="es-ES"/>
        </w:rPr>
        <w:tab/>
      </w:r>
      <w:r w:rsidR="005E35DC" w:rsidRPr="00072844">
        <w:rPr>
          <w:lang w:val="es-ES"/>
        </w:rPr>
        <w:t xml:space="preserve">Disponibilidad </w:t>
      </w:r>
      <w:r w:rsidRPr="00072844">
        <w:rPr>
          <w:lang w:val="es-ES"/>
        </w:rPr>
        <w:t>y asequibilidad de los terminales/dispositivos de usuario</w:t>
      </w:r>
      <w:r w:rsidR="005E35DC" w:rsidRPr="00072844">
        <w:rPr>
          <w:lang w:val="es-ES"/>
        </w:rPr>
        <w:t>.</w:t>
      </w:r>
    </w:p>
    <w:p w14:paraId="424A0106" w14:textId="7C51BE27" w:rsidR="00852EB9" w:rsidRPr="00072844" w:rsidRDefault="00852EB9" w:rsidP="00852EB9">
      <w:pPr>
        <w:pStyle w:val="enumlev1"/>
        <w:rPr>
          <w:lang w:val="es-ES"/>
        </w:rPr>
      </w:pPr>
      <w:r w:rsidRPr="00072844">
        <w:rPr>
          <w:lang w:val="es-ES"/>
        </w:rPr>
        <w:t>–</w:t>
      </w:r>
      <w:r w:rsidRPr="00072844">
        <w:rPr>
          <w:lang w:val="es-ES"/>
        </w:rPr>
        <w:tab/>
      </w:r>
      <w:r w:rsidR="005E35DC" w:rsidRPr="00072844">
        <w:rPr>
          <w:lang w:val="es-ES"/>
        </w:rPr>
        <w:t xml:space="preserve">Utilización </w:t>
      </w:r>
      <w:r w:rsidRPr="00072844">
        <w:rPr>
          <w:lang w:val="es-ES"/>
        </w:rPr>
        <w:t>de tecnologías de telecomunicaciones/TIC nuevas e incipientes.</w:t>
      </w:r>
    </w:p>
    <w:p w14:paraId="67641A7C" w14:textId="770114AF" w:rsidR="00852EB9" w:rsidRPr="00072844" w:rsidRDefault="00852EB9" w:rsidP="00852EB9">
      <w:pPr>
        <w:pStyle w:val="Heading1"/>
        <w:rPr>
          <w:lang w:val="es-ES"/>
        </w:rPr>
      </w:pPr>
      <w:r w:rsidRPr="00072844">
        <w:rPr>
          <w:lang w:val="es-ES"/>
        </w:rPr>
        <w:t>2.2</w:t>
      </w:r>
      <w:r w:rsidRPr="00072844">
        <w:rPr>
          <w:lang w:val="es-ES"/>
        </w:rPr>
        <w:tab/>
        <w:t>Equipo de dirección de la Comisión de Estudio 2</w:t>
      </w:r>
    </w:p>
    <w:p w14:paraId="46F865B9" w14:textId="5A3E798D" w:rsidR="00852EB9" w:rsidRPr="00072844" w:rsidRDefault="00852EB9" w:rsidP="00B06557">
      <w:pPr>
        <w:rPr>
          <w:lang w:val="es-ES"/>
        </w:rPr>
      </w:pPr>
      <w:r w:rsidRPr="00072844">
        <w:rPr>
          <w:lang w:val="es-ES"/>
        </w:rPr>
        <w:t>La CMDT-25 designó el equipo de dirección de la CE 2 para el noveno ciclo (2026-2029): el Sr. Fadel Digham (Egipto) fue nombrado Presidente y se designaron 13 Vicepresidentes:</w:t>
      </w:r>
    </w:p>
    <w:p w14:paraId="531312CC" w14:textId="27020AAF" w:rsidR="00852EB9" w:rsidRPr="00072844" w:rsidRDefault="00852EB9" w:rsidP="00852EB9">
      <w:pPr>
        <w:pStyle w:val="enumlev1"/>
        <w:rPr>
          <w:lang w:val="es-ES"/>
        </w:rPr>
      </w:pPr>
      <w:r w:rsidRPr="00072844">
        <w:rPr>
          <w:lang w:val="es-ES"/>
        </w:rPr>
        <w:t>–</w:t>
      </w:r>
      <w:r w:rsidRPr="00072844">
        <w:rPr>
          <w:lang w:val="es-ES"/>
        </w:rPr>
        <w:tab/>
        <w:t>Sra. Imelda Salum Banali (Tanzanía, AFR)</w:t>
      </w:r>
    </w:p>
    <w:p w14:paraId="1DC50F20" w14:textId="57CFB238" w:rsidR="00852EB9" w:rsidRPr="00072844" w:rsidRDefault="00852EB9" w:rsidP="00852EB9">
      <w:pPr>
        <w:pStyle w:val="enumlev1"/>
        <w:rPr>
          <w:lang w:val="es-ES"/>
        </w:rPr>
      </w:pPr>
      <w:r w:rsidRPr="00072844">
        <w:rPr>
          <w:lang w:val="es-ES"/>
        </w:rPr>
        <w:t>–</w:t>
      </w:r>
      <w:r w:rsidRPr="00072844">
        <w:rPr>
          <w:lang w:val="es-ES"/>
        </w:rPr>
        <w:tab/>
        <w:t>Sr. Mohamed Lamine Minthe (Guinea, AFR)</w:t>
      </w:r>
    </w:p>
    <w:p w14:paraId="2BE2117F" w14:textId="3375B6F7" w:rsidR="00852EB9" w:rsidRPr="00072844" w:rsidRDefault="00852EB9" w:rsidP="00852EB9">
      <w:pPr>
        <w:pStyle w:val="enumlev1"/>
        <w:rPr>
          <w:lang w:val="es-ES"/>
        </w:rPr>
      </w:pPr>
      <w:r w:rsidRPr="00072844">
        <w:rPr>
          <w:lang w:val="es-ES"/>
        </w:rPr>
        <w:t>–</w:t>
      </w:r>
      <w:r w:rsidRPr="00072844">
        <w:rPr>
          <w:lang w:val="es-ES"/>
        </w:rPr>
        <w:tab/>
        <w:t>Sra. Fifatin Carrelle Lucrece Toho (Benin, AFR)</w:t>
      </w:r>
    </w:p>
    <w:p w14:paraId="1AC60AEF" w14:textId="7B9E644B" w:rsidR="00852EB9" w:rsidRPr="00072844" w:rsidRDefault="00852EB9" w:rsidP="00852EB9">
      <w:pPr>
        <w:pStyle w:val="enumlev1"/>
        <w:rPr>
          <w:lang w:val="es-ES"/>
        </w:rPr>
      </w:pPr>
      <w:r w:rsidRPr="00072844">
        <w:rPr>
          <w:lang w:val="es-ES"/>
        </w:rPr>
        <w:t>–</w:t>
      </w:r>
      <w:r w:rsidRPr="00072844">
        <w:rPr>
          <w:lang w:val="es-ES"/>
        </w:rPr>
        <w:tab/>
        <w:t>Sr. Víctor Antonio Martínez Sánchez (Paraguay, AMS)</w:t>
      </w:r>
    </w:p>
    <w:p w14:paraId="3A9E257A" w14:textId="27F3F179" w:rsidR="00852EB9" w:rsidRPr="00072844" w:rsidRDefault="00852EB9" w:rsidP="00852EB9">
      <w:pPr>
        <w:pStyle w:val="enumlev1"/>
        <w:rPr>
          <w:lang w:val="es-ES"/>
        </w:rPr>
      </w:pPr>
      <w:r w:rsidRPr="00072844">
        <w:rPr>
          <w:lang w:val="es-ES"/>
        </w:rPr>
        <w:t>–</w:t>
      </w:r>
      <w:r w:rsidRPr="00072844">
        <w:rPr>
          <w:lang w:val="es-ES"/>
        </w:rPr>
        <w:tab/>
        <w:t>Sra. Aisha Al Marzooqi (Emiratos Árabes Unidos, ARB)</w:t>
      </w:r>
    </w:p>
    <w:p w14:paraId="60108B11" w14:textId="532142EE" w:rsidR="00852EB9" w:rsidRPr="00072844" w:rsidRDefault="00852EB9" w:rsidP="00852EB9">
      <w:pPr>
        <w:pStyle w:val="enumlev1"/>
        <w:rPr>
          <w:lang w:val="es-ES"/>
        </w:rPr>
      </w:pPr>
      <w:r w:rsidRPr="00072844">
        <w:rPr>
          <w:lang w:val="es-ES"/>
        </w:rPr>
        <w:t>–</w:t>
      </w:r>
      <w:r w:rsidRPr="00072844">
        <w:rPr>
          <w:lang w:val="es-ES"/>
        </w:rPr>
        <w:tab/>
        <w:t>Sra. Maha Ziad Yousef Mouasher (Jordania, ARB)</w:t>
      </w:r>
    </w:p>
    <w:p w14:paraId="75B3EB88" w14:textId="4166334A" w:rsidR="00852EB9" w:rsidRPr="00072844" w:rsidRDefault="00852EB9" w:rsidP="00852EB9">
      <w:pPr>
        <w:pStyle w:val="enumlev1"/>
        <w:rPr>
          <w:lang w:val="es-ES"/>
        </w:rPr>
      </w:pPr>
      <w:r w:rsidRPr="00072844">
        <w:rPr>
          <w:lang w:val="es-ES"/>
        </w:rPr>
        <w:t>–</w:t>
      </w:r>
      <w:r w:rsidRPr="00072844">
        <w:rPr>
          <w:lang w:val="es-ES"/>
        </w:rPr>
        <w:tab/>
        <w:t>Sr. Hideo Imanaka (Japón, ASP)</w:t>
      </w:r>
    </w:p>
    <w:p w14:paraId="125FB0E0" w14:textId="5ABEA19C" w:rsidR="00852EB9" w:rsidRPr="00072844" w:rsidRDefault="00852EB9" w:rsidP="00852EB9">
      <w:pPr>
        <w:pStyle w:val="enumlev1"/>
        <w:rPr>
          <w:lang w:val="es-ES"/>
        </w:rPr>
      </w:pPr>
      <w:r w:rsidRPr="00072844">
        <w:rPr>
          <w:lang w:val="es-ES"/>
        </w:rPr>
        <w:t>–</w:t>
      </w:r>
      <w:r w:rsidRPr="00072844">
        <w:rPr>
          <w:lang w:val="es-ES"/>
        </w:rPr>
        <w:tab/>
        <w:t>Sr. Sandeep Kumar Gupta (India, ASP)</w:t>
      </w:r>
    </w:p>
    <w:p w14:paraId="7C114D93" w14:textId="75FB70E7" w:rsidR="00852EB9" w:rsidRPr="00072844" w:rsidRDefault="00852EB9" w:rsidP="00852EB9">
      <w:pPr>
        <w:pStyle w:val="enumlev1"/>
        <w:rPr>
          <w:lang w:val="es-ES"/>
        </w:rPr>
      </w:pPr>
      <w:r w:rsidRPr="00072844">
        <w:rPr>
          <w:lang w:val="es-ES"/>
        </w:rPr>
        <w:t>–</w:t>
      </w:r>
      <w:r w:rsidRPr="00072844">
        <w:rPr>
          <w:lang w:val="es-ES"/>
        </w:rPr>
        <w:tab/>
        <w:t>Sr. Tongning Wu (China, ASP)</w:t>
      </w:r>
    </w:p>
    <w:p w14:paraId="3ED9F631" w14:textId="5EA5472F" w:rsidR="00852EB9" w:rsidRPr="00072844" w:rsidRDefault="00852EB9" w:rsidP="00852EB9">
      <w:pPr>
        <w:pStyle w:val="enumlev1"/>
        <w:rPr>
          <w:lang w:val="es-ES"/>
        </w:rPr>
      </w:pPr>
      <w:r w:rsidRPr="00072844">
        <w:rPr>
          <w:lang w:val="es-ES"/>
        </w:rPr>
        <w:lastRenderedPageBreak/>
        <w:t>–</w:t>
      </w:r>
      <w:r w:rsidRPr="00072844">
        <w:rPr>
          <w:lang w:val="es-ES"/>
        </w:rPr>
        <w:tab/>
        <w:t>Sr. Javokhir Aripov (Uzbekistán, CEI)</w:t>
      </w:r>
    </w:p>
    <w:p w14:paraId="4AC67DF5" w14:textId="3803610B" w:rsidR="00852EB9" w:rsidRPr="00072844" w:rsidRDefault="00852EB9" w:rsidP="00852EB9">
      <w:pPr>
        <w:pStyle w:val="enumlev1"/>
        <w:rPr>
          <w:lang w:val="es-ES"/>
        </w:rPr>
      </w:pPr>
      <w:r w:rsidRPr="00072844">
        <w:rPr>
          <w:lang w:val="es-ES"/>
        </w:rPr>
        <w:t>–</w:t>
      </w:r>
      <w:r w:rsidRPr="00072844">
        <w:rPr>
          <w:lang w:val="es-ES"/>
        </w:rPr>
        <w:tab/>
        <w:t>Sra. Uliana Stoliarova (Federación de Rusia, CEI)</w:t>
      </w:r>
    </w:p>
    <w:p w14:paraId="3BDAF6C5" w14:textId="7018FDB2" w:rsidR="00852EB9" w:rsidRPr="00072844" w:rsidRDefault="00852EB9" w:rsidP="00852EB9">
      <w:pPr>
        <w:pStyle w:val="enumlev1"/>
        <w:rPr>
          <w:lang w:val="es-ES"/>
        </w:rPr>
      </w:pPr>
      <w:r w:rsidRPr="00072844">
        <w:rPr>
          <w:lang w:val="es-ES"/>
        </w:rPr>
        <w:t>–</w:t>
      </w:r>
      <w:r w:rsidRPr="00072844">
        <w:rPr>
          <w:lang w:val="es-ES"/>
        </w:rPr>
        <w:tab/>
        <w:t>Sra. Lidia Stepinska-Ustasiak (Polonia, EUR)</w:t>
      </w:r>
    </w:p>
    <w:p w14:paraId="29CA0711" w14:textId="0855A273" w:rsidR="00852EB9" w:rsidRPr="00072844" w:rsidRDefault="00852EB9" w:rsidP="00852EB9">
      <w:pPr>
        <w:pStyle w:val="enumlev1"/>
        <w:rPr>
          <w:lang w:val="es-ES"/>
        </w:rPr>
      </w:pPr>
      <w:r w:rsidRPr="00072844">
        <w:rPr>
          <w:lang w:val="es-ES"/>
        </w:rPr>
        <w:t>–</w:t>
      </w:r>
      <w:r w:rsidRPr="00072844">
        <w:rPr>
          <w:lang w:val="es-ES"/>
        </w:rPr>
        <w:tab/>
        <w:t>Sra. Carmen Madalina Clapon (Rumania, EUR)</w:t>
      </w:r>
    </w:p>
    <w:p w14:paraId="5845D431" w14:textId="40415F15" w:rsidR="005857ED" w:rsidRPr="00072844" w:rsidRDefault="005857ED" w:rsidP="005857ED">
      <w:pPr>
        <w:pStyle w:val="Heading2"/>
        <w:rPr>
          <w:lang w:val="es-ES"/>
        </w:rPr>
      </w:pPr>
      <w:r w:rsidRPr="00072844">
        <w:rPr>
          <w:lang w:val="es-ES"/>
        </w:rPr>
        <w:t>2.3</w:t>
      </w:r>
      <w:r w:rsidRPr="00072844">
        <w:rPr>
          <w:lang w:val="es-ES"/>
        </w:rPr>
        <w:tab/>
        <w:t>Cuestiones de la Comisión de Estudio 2</w:t>
      </w:r>
    </w:p>
    <w:p w14:paraId="26E98B76" w14:textId="1BDFBEFF" w:rsidR="005857ED" w:rsidRPr="00072844" w:rsidRDefault="005857ED" w:rsidP="005857ED">
      <w:pPr>
        <w:rPr>
          <w:lang w:val="es-ES"/>
        </w:rPr>
      </w:pPr>
      <w:r w:rsidRPr="00072844">
        <w:rPr>
          <w:lang w:val="es-ES"/>
        </w:rPr>
        <w:t>La CMDT-25 encomendó a la Comisión de Estudio 2 las siguientes Cuestiones:</w:t>
      </w:r>
    </w:p>
    <w:p w14:paraId="5F7E5F30" w14:textId="2B2FAE16" w:rsidR="005857ED" w:rsidRPr="00072844" w:rsidRDefault="005857ED" w:rsidP="005857ED">
      <w:pPr>
        <w:pStyle w:val="enumlev1"/>
        <w:rPr>
          <w:lang w:val="es-ES"/>
        </w:rPr>
      </w:pPr>
      <w:r w:rsidRPr="00072844">
        <w:rPr>
          <w:lang w:val="es-ES"/>
        </w:rPr>
        <w:t>–</w:t>
      </w:r>
      <w:r w:rsidRPr="00072844">
        <w:rPr>
          <w:lang w:val="es-ES"/>
        </w:rPr>
        <w:tab/>
      </w:r>
      <w:hyperlink r:id="rId12" w:history="1">
        <w:r w:rsidRPr="00072844">
          <w:rPr>
            <w:rStyle w:val="Hyperlink"/>
            <w:lang w:val="es-ES"/>
          </w:rPr>
          <w:t>Cuestión 1/2</w:t>
        </w:r>
      </w:hyperlink>
      <w:r w:rsidRPr="00072844">
        <w:rPr>
          <w:lang w:val="es-ES"/>
        </w:rPr>
        <w:t>: Telecomunicaciones/TIC propicias para la transformación digital y las ciudades y comunidades inteligentes y sostenibles</w:t>
      </w:r>
    </w:p>
    <w:p w14:paraId="0E16A1B0" w14:textId="3F21C07C" w:rsidR="005857ED" w:rsidRPr="00072844" w:rsidRDefault="005857ED" w:rsidP="005857ED">
      <w:pPr>
        <w:pStyle w:val="enumlev1"/>
        <w:rPr>
          <w:lang w:val="es-ES"/>
        </w:rPr>
      </w:pPr>
      <w:r w:rsidRPr="00072844">
        <w:rPr>
          <w:lang w:val="es-ES"/>
        </w:rPr>
        <w:t>–</w:t>
      </w:r>
      <w:r w:rsidRPr="00072844">
        <w:rPr>
          <w:lang w:val="es-ES"/>
        </w:rPr>
        <w:tab/>
      </w:r>
      <w:hyperlink r:id="rId13" w:history="1">
        <w:r w:rsidRPr="00072844">
          <w:rPr>
            <w:rStyle w:val="Hyperlink"/>
            <w:lang w:val="es-ES"/>
          </w:rPr>
          <w:t>Cuestión 2/2</w:t>
        </w:r>
      </w:hyperlink>
      <w:r w:rsidRPr="00072844">
        <w:rPr>
          <w:lang w:val="es-ES"/>
        </w:rPr>
        <w:t>: TIC para el medio ambiente y la evaluación de la exposición de las personas a los campos electromagnéticos.</w:t>
      </w:r>
    </w:p>
    <w:p w14:paraId="154589F9" w14:textId="229E08EE" w:rsidR="005857ED" w:rsidRPr="00072844" w:rsidRDefault="005857ED" w:rsidP="005857ED">
      <w:pPr>
        <w:pStyle w:val="enumlev1"/>
        <w:rPr>
          <w:lang w:val="es-ES"/>
        </w:rPr>
      </w:pPr>
      <w:r w:rsidRPr="00072844">
        <w:rPr>
          <w:lang w:val="es-ES"/>
        </w:rPr>
        <w:t>–</w:t>
      </w:r>
      <w:r w:rsidRPr="00072844">
        <w:rPr>
          <w:lang w:val="es-ES"/>
        </w:rPr>
        <w:tab/>
      </w:r>
      <w:hyperlink r:id="rId14" w:history="1">
        <w:r w:rsidRPr="00072844">
          <w:rPr>
            <w:rStyle w:val="Hyperlink"/>
            <w:lang w:val="es-ES"/>
          </w:rPr>
          <w:t>Cuestión 3/2</w:t>
        </w:r>
      </w:hyperlink>
      <w:r w:rsidRPr="00072844">
        <w:rPr>
          <w:lang w:val="es-ES"/>
        </w:rPr>
        <w:t>: Seguridad en las redes de información y comunicación: prácticas idóneas para el desarrollo de una cultura de ciberseguridad.</w:t>
      </w:r>
    </w:p>
    <w:p w14:paraId="27CACF4E" w14:textId="2FCD6BC0" w:rsidR="005857ED" w:rsidRPr="00072844" w:rsidRDefault="005857ED" w:rsidP="005857ED">
      <w:pPr>
        <w:pStyle w:val="enumlev1"/>
        <w:rPr>
          <w:lang w:val="es-ES"/>
        </w:rPr>
      </w:pPr>
      <w:r w:rsidRPr="00072844">
        <w:rPr>
          <w:lang w:val="es-ES"/>
        </w:rPr>
        <w:t>–</w:t>
      </w:r>
      <w:r w:rsidRPr="00072844">
        <w:rPr>
          <w:lang w:val="es-ES"/>
        </w:rPr>
        <w:tab/>
      </w:r>
      <w:hyperlink r:id="rId15" w:history="1">
        <w:r w:rsidRPr="00072844">
          <w:rPr>
            <w:rStyle w:val="Hyperlink"/>
            <w:lang w:val="es-ES"/>
          </w:rPr>
          <w:t>Cuestión 4/2</w:t>
        </w:r>
      </w:hyperlink>
      <w:r w:rsidRPr="00072844">
        <w:rPr>
          <w:lang w:val="es-ES"/>
        </w:rPr>
        <w:t>: Disponibilidad y asequibilidad de los dispositivos de usuario y asuntos relativos a los equipos de telecomunicaciones/TIC, incluidas la conformidad y la interoperabilidad</w:t>
      </w:r>
    </w:p>
    <w:p w14:paraId="71AF0C22" w14:textId="1199237A" w:rsidR="005857ED" w:rsidRPr="00072844" w:rsidRDefault="005857ED" w:rsidP="005857ED">
      <w:pPr>
        <w:pStyle w:val="enumlev1"/>
        <w:rPr>
          <w:lang w:val="es-ES"/>
        </w:rPr>
      </w:pPr>
      <w:r w:rsidRPr="00072844">
        <w:rPr>
          <w:lang w:val="es-ES"/>
        </w:rPr>
        <w:t>–</w:t>
      </w:r>
      <w:r w:rsidRPr="00072844">
        <w:rPr>
          <w:lang w:val="es-ES"/>
        </w:rPr>
        <w:tab/>
      </w:r>
      <w:hyperlink r:id="rId16" w:history="1">
        <w:r w:rsidRPr="00072844">
          <w:rPr>
            <w:rStyle w:val="Hyperlink"/>
            <w:lang w:val="es-ES"/>
          </w:rPr>
          <w:t>Cuestión 5/2</w:t>
        </w:r>
      </w:hyperlink>
      <w:r w:rsidRPr="00072844">
        <w:rPr>
          <w:lang w:val="es-ES"/>
        </w:rPr>
        <w:t>: Adopción y utilización de los servicios y tecnologías de telecomunicaciones/TIC nuevas e incipientes y desarrollo de competencias digitales</w:t>
      </w:r>
    </w:p>
    <w:p w14:paraId="04CA4431" w14:textId="05CA4432" w:rsidR="005857ED" w:rsidRPr="00072844" w:rsidRDefault="005857ED" w:rsidP="005857ED">
      <w:pPr>
        <w:pStyle w:val="Heading2"/>
        <w:rPr>
          <w:lang w:val="es-ES"/>
        </w:rPr>
      </w:pPr>
      <w:r w:rsidRPr="00072844">
        <w:rPr>
          <w:lang w:val="es-ES"/>
        </w:rPr>
        <w:t>2.4</w:t>
      </w:r>
      <w:r w:rsidRPr="00072844">
        <w:rPr>
          <w:lang w:val="es-ES"/>
        </w:rPr>
        <w:tab/>
        <w:t>Nombramiento de los Relatores y Vicerrelatores de la Comisión de Estudio 2</w:t>
      </w:r>
    </w:p>
    <w:p w14:paraId="677E7CFE" w14:textId="552E5364" w:rsidR="009825A0" w:rsidRPr="00072844" w:rsidRDefault="009825A0" w:rsidP="009825A0">
      <w:pPr>
        <w:spacing w:after="120"/>
        <w:rPr>
          <w:rFonts w:cstheme="minorBidi"/>
          <w:lang w:val="es-ES"/>
        </w:rPr>
      </w:pPr>
      <w:hyperlink r:id="rId17" w:history="1">
        <w:r w:rsidRPr="00072844">
          <w:rPr>
            <w:rStyle w:val="Hyperlink"/>
            <w:lang w:val="es-ES"/>
          </w:rPr>
          <w:t>Se remitió a los Miembros una convocatoria para la designación de Relatores y Vicerrelatores</w:t>
        </w:r>
        <w:r w:rsidRPr="00072844">
          <w:rPr>
            <w:rStyle w:val="FootnoteReference"/>
            <w:rFonts w:cstheme="minorBidi"/>
            <w:lang w:val="es-ES"/>
          </w:rPr>
          <w:footnoteReference w:id="3"/>
        </w:r>
        <w:r w:rsidRPr="00072844">
          <w:rPr>
            <w:lang w:val="es-ES"/>
          </w:rPr>
          <w:t>, y en la primera reunión de la CE 2 del UIT-D</w:t>
        </w:r>
        <w:r w:rsidRPr="00072844">
          <w:rPr>
            <w:rStyle w:val="FootnoteReference"/>
            <w:rFonts w:cstheme="minorBidi"/>
            <w:lang w:val="es-ES" w:eastAsia="ko-KR"/>
          </w:rPr>
          <w:footnoteReference w:id="4"/>
        </w:r>
        <w:r w:rsidRPr="00072844">
          <w:rPr>
            <w:lang w:val="es-ES"/>
          </w:rPr>
          <w:t>, que se celebrará en del 20 al 24 de abril de 2026, tendrán lugar los nombramientos correspondientes para las cinco Cuestiones de estudio . El proceso de nominación y nombramiento se ajusta a las directrices aprobadas por el GADT sobre la composición de los equipos de Relator</w:t>
        </w:r>
        <w:r w:rsidRPr="00072844">
          <w:rPr>
            <w:rStyle w:val="FootnoteReference"/>
            <w:rFonts w:cstheme="minorBidi"/>
            <w:lang w:val="es-ES" w:eastAsia="ko-KR"/>
          </w:rPr>
          <w:footnoteReference w:id="5"/>
        </w:r>
        <w:r w:rsidRPr="00072844">
          <w:rPr>
            <w:lang w:val="es-ES"/>
          </w:rPr>
          <w:t>, presentadas durante la reunión de 2025 del GADT.</w:t>
        </w:r>
      </w:hyperlink>
    </w:p>
    <w:p w14:paraId="2066B4B3" w14:textId="0893EB6A" w:rsidR="00852EB9" w:rsidRPr="00072844" w:rsidRDefault="009825A0" w:rsidP="009825A0">
      <w:pPr>
        <w:rPr>
          <w:lang w:val="es-ES"/>
        </w:rPr>
      </w:pPr>
      <w:r w:rsidRPr="00072844">
        <w:rPr>
          <w:lang w:val="es-ES"/>
        </w:rPr>
        <w:t xml:space="preserve">La lista de todas las candidaturas recibidas puede consultarse en línea en este </w:t>
      </w:r>
      <w:hyperlink r:id="rId18" w:history="1">
        <w:r w:rsidRPr="00072844">
          <w:rPr>
            <w:rStyle w:val="Hyperlink"/>
            <w:lang w:val="es-ES"/>
          </w:rPr>
          <w:t>enla</w:t>
        </w:r>
        <w:r w:rsidRPr="00072844">
          <w:rPr>
            <w:rStyle w:val="Hyperlink"/>
            <w:lang w:val="es-ES"/>
          </w:rPr>
          <w:t>c</w:t>
        </w:r>
        <w:r w:rsidRPr="00072844">
          <w:rPr>
            <w:rStyle w:val="Hyperlink"/>
            <w:lang w:val="es-ES"/>
          </w:rPr>
          <w:t>e</w:t>
        </w:r>
      </w:hyperlink>
      <w:r w:rsidRPr="00072844">
        <w:rPr>
          <w:lang w:val="es-ES"/>
        </w:rPr>
        <w:t>.</w:t>
      </w:r>
    </w:p>
    <w:p w14:paraId="2DBB065E" w14:textId="470B0D30" w:rsidR="009825A0" w:rsidRPr="00072844" w:rsidRDefault="000871F4" w:rsidP="009825A0">
      <w:pPr>
        <w:pStyle w:val="Heading1"/>
        <w:rPr>
          <w:lang w:val="es-ES"/>
        </w:rPr>
      </w:pPr>
      <w:r w:rsidRPr="00072844">
        <w:rPr>
          <w:lang w:val="es-ES"/>
        </w:rPr>
        <w:t>3</w:t>
      </w:r>
      <w:r w:rsidRPr="00072844">
        <w:rPr>
          <w:lang w:val="es-ES"/>
        </w:rPr>
        <w:tab/>
      </w:r>
      <w:r w:rsidR="009825A0" w:rsidRPr="00072844">
        <w:rPr>
          <w:lang w:val="es-ES"/>
        </w:rPr>
        <w:t>Estrategia y plan de la Comisión de Estudio 2</w:t>
      </w:r>
    </w:p>
    <w:p w14:paraId="2E89B791" w14:textId="77777777" w:rsidR="009825A0" w:rsidRPr="00072844" w:rsidRDefault="009825A0" w:rsidP="009825A0">
      <w:pPr>
        <w:spacing w:after="120"/>
        <w:rPr>
          <w:rFonts w:cstheme="minorHAnsi"/>
          <w:bCs/>
          <w:lang w:val="es-ES"/>
        </w:rPr>
      </w:pPr>
      <w:r w:rsidRPr="00072844">
        <w:rPr>
          <w:lang w:val="es-ES"/>
        </w:rPr>
        <w:t>La estructura del Plan de Acción de Bakú y su contribución al Plan Estratégico de la UIT (véase el Anexo 1) establecen vínculos claros con las Comisiones de Estudio del UIT-D. Las actividades de las Comisiones de Estudio del UIT-D, junto con las iniciativas regionales y las Resoluciones acordadas en la CMDT-25, se integran en las cinco prioridades del UIT-D, que facilitan la ejecución del mandato del UIT-D y ofrecen orientación a la BDT para el siguiente ciclo de planificación sobre los objetivos que espera alcanzar el UIT-D, de conformidad con el enfoque general de gestión basada en los resultados y las metas estratégicas y prioridades temáticas de la Unión .</w:t>
      </w:r>
    </w:p>
    <w:p w14:paraId="7453FBE1" w14:textId="1E38D98B" w:rsidR="009825A0" w:rsidRPr="00072844" w:rsidRDefault="009825A0" w:rsidP="009825A0">
      <w:pPr>
        <w:spacing w:after="120"/>
        <w:rPr>
          <w:rFonts w:cstheme="minorHAnsi"/>
          <w:bCs/>
          <w:lang w:val="es-ES"/>
        </w:rPr>
      </w:pPr>
      <w:r w:rsidRPr="00072844">
        <w:rPr>
          <w:lang w:val="es-ES"/>
        </w:rPr>
        <w:t xml:space="preserve">Con objeto de que la Comisión de Estudio 2 pueda lograr los resultados esperados para el </w:t>
      </w:r>
      <w:r w:rsidR="00072844" w:rsidRPr="00072844">
        <w:rPr>
          <w:lang w:val="es-ES"/>
        </w:rPr>
        <w:t>periodo</w:t>
      </w:r>
      <w:r w:rsidRPr="00072844">
        <w:rPr>
          <w:lang w:val="es-ES"/>
        </w:rPr>
        <w:t xml:space="preserve"> de estudios 2026-2029, de conformidad con el alcance de la labor que figura en la Resolución 2 (Rev. Bakú, 2025), Establecimiento de Comisiones de Estudio, cabe considerar y poner en marcha diversos elementos clave desde el principio. </w:t>
      </w:r>
    </w:p>
    <w:p w14:paraId="54F2EE82" w14:textId="77777777" w:rsidR="009825A0" w:rsidRPr="00072844" w:rsidRDefault="009825A0" w:rsidP="009825A0">
      <w:pPr>
        <w:spacing w:after="120"/>
        <w:rPr>
          <w:rFonts w:cstheme="minorHAnsi"/>
          <w:bCs/>
          <w:lang w:val="es-ES"/>
        </w:rPr>
      </w:pPr>
      <w:r w:rsidRPr="00072844">
        <w:rPr>
          <w:lang w:val="es-ES"/>
        </w:rPr>
        <w:lastRenderedPageBreak/>
        <w:t>Se han programado cuatro reuniones anuales de la Comisión de Estudio, así como tres series de reuniones de Grupo de Relator. Por otro lado, se prevé celebrar talleres y seminarios web sobre temas relativos a las Cuestiones objeto de estudio durante el periodo de estudios, en la medida de lo posible. Se alienta a los Miembros a presentar propuestas de talleres y seminarios web para su examen en las reuniones anuales de la Comisión de Estudio.</w:t>
      </w:r>
    </w:p>
    <w:p w14:paraId="06B4D02A" w14:textId="77777777" w:rsidR="009825A0" w:rsidRPr="00072844" w:rsidRDefault="009825A0" w:rsidP="009825A0">
      <w:pPr>
        <w:spacing w:after="120"/>
        <w:rPr>
          <w:rFonts w:cstheme="minorHAnsi"/>
          <w:bCs/>
          <w:lang w:val="es-ES"/>
        </w:rPr>
      </w:pPr>
      <w:r w:rsidRPr="00072844">
        <w:rPr>
          <w:lang w:val="es-ES"/>
        </w:rPr>
        <w:t>La reducción del número de Cuestiones de estudio pone de relieve algunos elementos prácticos. Se ha revisado el plan de gestión del tiempo de las reuniones de la CE 2 de manera que las reuniones de su equipo de dirección y las reuniones mixtas de los equipos directivos de la CE 1 y la CE 2 puedan celebrarse los lunes en lugar de los domingos. Además, la duración de las reuniones de los Grupos de Relator de la CE 2 (incluidos talleres y seminarios web) será de 7,5 días laborables, en lugar de 10. También se espera que la menor duración mejore las opciones para celebrar las reuniones fuera de la Sede de la UIT cuando así lo exija el proyecto de construcción del edificio de la Sede de la Unión.</w:t>
      </w:r>
    </w:p>
    <w:p w14:paraId="61A2940D" w14:textId="1B3408AF" w:rsidR="009825A0" w:rsidRPr="00072844" w:rsidRDefault="009825A0" w:rsidP="009825A0">
      <w:pPr>
        <w:spacing w:after="120"/>
        <w:rPr>
          <w:rFonts w:cstheme="minorHAnsi"/>
          <w:bCs/>
          <w:lang w:val="es-ES"/>
        </w:rPr>
      </w:pPr>
      <w:r w:rsidRPr="00072844">
        <w:rPr>
          <w:lang w:val="es-ES"/>
        </w:rPr>
        <w:t>La planificación adecuada al comienzo del per</w:t>
      </w:r>
      <w:r w:rsidR="000871F4" w:rsidRPr="00072844">
        <w:rPr>
          <w:lang w:val="es-ES"/>
        </w:rPr>
        <w:t>i</w:t>
      </w:r>
      <w:r w:rsidRPr="00072844">
        <w:rPr>
          <w:lang w:val="es-ES"/>
        </w:rPr>
        <w:t>odo de estudios también permitirá armonizar, desde un punto de vista estratégico, la labor de las Cuestiones de estudio de la CE 2 con las Cuestiones de la CE 1 y con las Comisiones de otros Sectores. Por otra parte, igual que en el periodo de estudios anterior, se seguirán buscando sinergias entre las actividades de las Cuestiones de estudio y otros flujos de trabajo, tales como programas, iniciativas regionales y proyectos. Se anima a presentar contribuciones sobre las actividades llevadas a cabo en reuniones y eventos conexos en los planos nacional, regional e internacional para enriquecer la labor de las Comisiones de Estudio.</w:t>
      </w:r>
    </w:p>
    <w:p w14:paraId="3516AACA" w14:textId="7E3CD8B8" w:rsidR="009825A0" w:rsidRPr="00072844" w:rsidRDefault="009825A0" w:rsidP="009825A0">
      <w:pPr>
        <w:spacing w:after="120"/>
        <w:rPr>
          <w:rFonts w:cstheme="minorBidi"/>
          <w:lang w:val="es-ES"/>
        </w:rPr>
      </w:pPr>
      <w:r w:rsidRPr="00072844">
        <w:rPr>
          <w:lang w:val="es-ES"/>
        </w:rPr>
        <w:t>A fin de garantizar esas sinergias, y en preparación de la primera reunión de la CE 2, el 4 de febrero de 2026 se celebró una llamada entre el Presidente y los Vicepresidentes de la CE 2 para analizar las responsabilidades de estos y sus funciones previstas como coordinadores de temas específicos, de conformidad con el § 3.2.3 de la Resolución 1 de la CMDT. A raíz de esta conversación, se procedió a asignar a los coordinadores sobre la base de las expresiones de interés recibidas de los Vicepresidentes de la CE 2. Se invitó a otros miembros, como Relatores y Vicerrelatores, a cubrir las vacantes que no pudieron cubrirse con Vicepresidentes de la CE 2. Entre los temas asignados figuran el fomento de actividades conjuntas (por ejemplo, productos intermedios conjuntos, talleres conjuntos), la participación de las mujeres y los jóvenes, el aumento de la participación entre los Miembros de Sector y las Instituciones Académicas del UIT</w:t>
      </w:r>
      <w:r w:rsidR="000871F4" w:rsidRPr="00072844">
        <w:rPr>
          <w:lang w:val="es-ES"/>
        </w:rPr>
        <w:noBreakHyphen/>
      </w:r>
      <w:r w:rsidRPr="00072844">
        <w:rPr>
          <w:lang w:val="es-ES"/>
        </w:rPr>
        <w:t>D, y el fortalecimiento de las sinergias/la colaboración con las actividades de la BDT, otros grupos y los otros Sectores de la UIT. También se nombró un Vicepresidente para velar por la correcta aplicación de las directrices aprobadas por el GADT sobre la composición de los Equipos de Relator</w:t>
      </w:r>
      <w:r w:rsidRPr="00072844">
        <w:rPr>
          <w:rStyle w:val="FootnoteReference"/>
          <w:rFonts w:cstheme="minorBidi"/>
          <w:lang w:val="es-ES" w:eastAsia="ko-KR"/>
        </w:rPr>
        <w:footnoteReference w:id="6"/>
      </w:r>
      <w:r w:rsidRPr="00072844">
        <w:rPr>
          <w:lang w:val="es-ES"/>
        </w:rPr>
        <w:t xml:space="preserve"> y la mejor utilización de los productos de las Comisiones de Estudio del UIT-D</w:t>
      </w:r>
      <w:r w:rsidRPr="00072844">
        <w:rPr>
          <w:rStyle w:val="FootnoteReference"/>
          <w:rFonts w:cstheme="minorBidi"/>
          <w:lang w:val="es-ES" w:eastAsia="ko-KR"/>
        </w:rPr>
        <w:footnoteReference w:id="7"/>
      </w:r>
      <w:r w:rsidRPr="00072844">
        <w:rPr>
          <w:lang w:val="es-ES"/>
        </w:rPr>
        <w:t>.</w:t>
      </w:r>
    </w:p>
    <w:p w14:paraId="41A2C8B8" w14:textId="77777777" w:rsidR="009825A0" w:rsidRPr="00072844" w:rsidRDefault="009825A0" w:rsidP="009825A0">
      <w:pPr>
        <w:spacing w:after="120"/>
        <w:rPr>
          <w:rFonts w:cstheme="minorHAnsi"/>
          <w:bCs/>
          <w:lang w:val="es-ES"/>
        </w:rPr>
      </w:pPr>
      <w:r w:rsidRPr="00072844">
        <w:rPr>
          <w:lang w:val="es-ES"/>
        </w:rPr>
        <w:t>Además, igual que en periodos de estudio anteriores, se ha designado a coordinadores de la BDT (de la Sede y de las regiones) para que formen parte del equipo directivo de las Cuestiones de estudio. Desempeñan un papel fundamental como puente entre las Comisiones de Estudio del UIT-D y las actividades de la BDT y ayudan a identificar y facilitar las contribuciones de las regiones y de los beneficiarios de los proyectos e iniciativas de la UIT.</w:t>
      </w:r>
    </w:p>
    <w:p w14:paraId="2CF0786C" w14:textId="22D4E44E" w:rsidR="009825A0" w:rsidRPr="00072844" w:rsidRDefault="009825A0" w:rsidP="009825A0">
      <w:pPr>
        <w:keepNext/>
        <w:keepLines/>
        <w:rPr>
          <w:lang w:val="es-ES"/>
        </w:rPr>
      </w:pPr>
      <w:r w:rsidRPr="00072844">
        <w:rPr>
          <w:lang w:val="es-ES"/>
        </w:rPr>
        <w:lastRenderedPageBreak/>
        <w:t>De acuerdo con las novedades introducidas en la Resolución 1 (Rev. Bakú, 2025) de la CMDT, cabe la posibilidad de realizar más cambios, entre ellos:</w:t>
      </w:r>
    </w:p>
    <w:p w14:paraId="26F61451" w14:textId="5F1D98C3" w:rsidR="009825A0" w:rsidRPr="00072844" w:rsidRDefault="009825A0" w:rsidP="009825A0">
      <w:pPr>
        <w:pStyle w:val="enumlev1"/>
        <w:rPr>
          <w:lang w:val="es-ES"/>
        </w:rPr>
      </w:pPr>
      <w:r w:rsidRPr="00072844">
        <w:rPr>
          <w:lang w:val="es-ES"/>
        </w:rPr>
        <w:t>–</w:t>
      </w:r>
      <w:r w:rsidRPr="00072844">
        <w:rPr>
          <w:lang w:val="es-ES"/>
        </w:rPr>
        <w:tab/>
        <w:t>informar a los demás Sectores de la UIT sobre el plan de trabajo, particularmente sobre el índice de las Cuestiones de estudio, para solicitar su opinión;</w:t>
      </w:r>
    </w:p>
    <w:p w14:paraId="5C475C3A" w14:textId="5F5C1C26" w:rsidR="009825A0" w:rsidRPr="00072844" w:rsidRDefault="009825A0" w:rsidP="009825A0">
      <w:pPr>
        <w:pStyle w:val="enumlev1"/>
        <w:rPr>
          <w:lang w:val="es-ES"/>
        </w:rPr>
      </w:pPr>
      <w:r w:rsidRPr="00072844">
        <w:rPr>
          <w:lang w:val="es-ES"/>
        </w:rPr>
        <w:t>–</w:t>
      </w:r>
      <w:r w:rsidRPr="00072844">
        <w:rPr>
          <w:lang w:val="es-ES"/>
        </w:rPr>
        <w:tab/>
        <w:t>afianzar el compromiso de los titulares de cargos para garantizar su participación activa y significativa.</w:t>
      </w:r>
    </w:p>
    <w:p w14:paraId="6BB0D9BC" w14:textId="23A94994" w:rsidR="009825A0" w:rsidRPr="00072844" w:rsidRDefault="009825A0" w:rsidP="009825A0">
      <w:pPr>
        <w:pStyle w:val="Heading1"/>
        <w:rPr>
          <w:lang w:val="es-ES"/>
        </w:rPr>
      </w:pPr>
      <w:r w:rsidRPr="00072844">
        <w:rPr>
          <w:lang w:val="es-ES"/>
        </w:rPr>
        <w:t>4</w:t>
      </w:r>
      <w:r w:rsidRPr="00072844">
        <w:rPr>
          <w:lang w:val="es-ES"/>
        </w:rPr>
        <w:tab/>
        <w:t>Instrumentos de colaboración</w:t>
      </w:r>
    </w:p>
    <w:p w14:paraId="7CE43240" w14:textId="77777777" w:rsidR="009825A0" w:rsidRPr="00072844" w:rsidRDefault="009825A0" w:rsidP="009825A0">
      <w:pPr>
        <w:spacing w:after="120"/>
        <w:rPr>
          <w:rFonts w:eastAsia="Malgun Gothic" w:cstheme="minorHAnsi"/>
          <w:lang w:val="es-ES"/>
        </w:rPr>
      </w:pPr>
      <w:r w:rsidRPr="00072844">
        <w:rPr>
          <w:lang w:val="es-ES"/>
        </w:rPr>
        <w:t xml:space="preserve">Se continuará proporcionando instrumentos de colaboración para facilitar la participación electrónica en los trabajos de las Comisiones de Estudio del UIT-D. Además de los servicios de participación a distancia y difusión por la web, se han suministrado listas de correo a los participantes y miembros del equipo de dirección. </w:t>
      </w:r>
    </w:p>
    <w:p w14:paraId="5968AEDE" w14:textId="77777777" w:rsidR="009825A0" w:rsidRPr="00072844" w:rsidRDefault="009825A0" w:rsidP="009825A0">
      <w:pPr>
        <w:spacing w:after="120"/>
        <w:rPr>
          <w:rFonts w:eastAsia="Malgun Gothic" w:cstheme="minorHAnsi"/>
          <w:lang w:val="es-ES"/>
        </w:rPr>
      </w:pPr>
      <w:r w:rsidRPr="00072844">
        <w:rPr>
          <w:lang w:val="es-ES"/>
        </w:rPr>
        <w:t>Se crearán asimismo canales de Microsoft Teams para que los equipos de dirección de cada Cuestión los utilicen según les convenga. También se ofrecerán subtitulado y traducción automáticos durante las reuniones del equipo de dirección para facilitar la comunicación con los miembros que no dominan el inglés.</w:t>
      </w:r>
    </w:p>
    <w:p w14:paraId="200970F6" w14:textId="77777777" w:rsidR="009825A0" w:rsidRPr="00072844" w:rsidRDefault="009825A0" w:rsidP="009825A0">
      <w:pPr>
        <w:spacing w:after="120"/>
        <w:rPr>
          <w:rFonts w:eastAsia="Malgun Gothic" w:cstheme="minorHAnsi"/>
          <w:szCs w:val="24"/>
          <w:lang w:val="es-ES"/>
        </w:rPr>
      </w:pPr>
      <w:r w:rsidRPr="00072844">
        <w:rPr>
          <w:lang w:val="es-ES"/>
        </w:rPr>
        <w:t>Se proporcionará un repositorio y tablero de contribuciones</w:t>
      </w:r>
      <w:r w:rsidRPr="00072844">
        <w:rPr>
          <w:rStyle w:val="FootnoteReference"/>
          <w:rFonts w:cstheme="minorHAnsi"/>
          <w:lang w:val="es-ES"/>
        </w:rPr>
        <w:footnoteReference w:id="8"/>
      </w:r>
      <w:r w:rsidRPr="00072844">
        <w:rPr>
          <w:lang w:val="es-ES"/>
        </w:rPr>
        <w:t>, que simplifica la búsqueda de contribuciones anteriores y los resúmenes conexos y que se actualizará periódicamente. El sistema de traducción automática de documentos denominado "ITUTranslate"</w:t>
      </w:r>
      <w:r w:rsidRPr="00072844">
        <w:rPr>
          <w:rStyle w:val="FootnoteReference"/>
          <w:rFonts w:cstheme="minorHAnsi"/>
          <w:lang w:val="es-ES"/>
        </w:rPr>
        <w:footnoteReference w:id="9"/>
      </w:r>
      <w:r w:rsidRPr="00072844">
        <w:rPr>
          <w:lang w:val="es-ES"/>
        </w:rPr>
        <w:t xml:space="preserve"> ha sido incluido en el repositorio de gestión de documentos, al que solo pueden acceder usuarios TIES. Dicho sistema permite traducir contribuciones, informes y otros documentos de reuniones entre idiomas oficiales de las Naciones Unidas. Las páginas web de las Comisiones de Estudio del UIT-D también pueden traducirse a todos los idiomas oficiales de las Naciones Unidas gracias al complemento ITUTranslate.</w:t>
      </w:r>
    </w:p>
    <w:p w14:paraId="253F5FF1" w14:textId="77777777" w:rsidR="009825A0" w:rsidRPr="00072844" w:rsidRDefault="009825A0" w:rsidP="009825A0">
      <w:pPr>
        <w:spacing w:after="120"/>
        <w:rPr>
          <w:rFonts w:cstheme="minorHAnsi"/>
          <w:lang w:val="es-ES"/>
        </w:rPr>
      </w:pPr>
      <w:r w:rsidRPr="00072844">
        <w:rPr>
          <w:lang w:val="es-ES"/>
        </w:rPr>
        <w:t>La primera reunión de la Comisión de Estudio 2 del UIT-D incluirá sesiones de introducción y capacitación sobre los métodos de trabajo y los instrumentos de colaboración de que disponen los participantes en los trabajos de las Comisiones de Estudio del UIT-D. Se ha actualizado el documento de información para delegados, que está disponible públicamente en todos los idiomas oficiales de las Naciones Unidas. Se propone leer este documento antes de asistir a las sesiones de incorporación.</w:t>
      </w:r>
      <w:hyperlink r:id="rId19" w:history="1"/>
    </w:p>
    <w:p w14:paraId="30787A49" w14:textId="0A8B5D72" w:rsidR="009825A0" w:rsidRPr="00072844" w:rsidRDefault="009825A0" w:rsidP="009825A0">
      <w:pPr>
        <w:rPr>
          <w:lang w:val="es-ES"/>
        </w:rPr>
      </w:pPr>
      <w:r w:rsidRPr="00072844">
        <w:rPr>
          <w:lang w:val="es-ES"/>
        </w:rPr>
        <w:t>Se alienta a los participantes en las Comisiones de Estudio a examinar esos instrumentos y a formular las observaciones que estimen pertinentes a la secretaría con miras a contribuir a mejorar su labor.</w:t>
      </w:r>
    </w:p>
    <w:p w14:paraId="1F8C9138" w14:textId="0124AF0B" w:rsidR="009825A0" w:rsidRPr="00072844" w:rsidRDefault="009825A0" w:rsidP="009825A0">
      <w:pPr>
        <w:pStyle w:val="Heading1"/>
        <w:rPr>
          <w:lang w:val="es-ES"/>
        </w:rPr>
      </w:pPr>
      <w:r w:rsidRPr="00072844">
        <w:rPr>
          <w:lang w:val="es-ES"/>
        </w:rPr>
        <w:lastRenderedPageBreak/>
        <w:t>5</w:t>
      </w:r>
      <w:r w:rsidRPr="00072844">
        <w:rPr>
          <w:lang w:val="es-ES"/>
        </w:rPr>
        <w:tab/>
        <w:t>Conclusión</w:t>
      </w:r>
    </w:p>
    <w:p w14:paraId="79695D30" w14:textId="69EB7707" w:rsidR="009825A0" w:rsidRPr="00072844" w:rsidRDefault="009825A0" w:rsidP="000176E6">
      <w:pPr>
        <w:keepNext/>
        <w:keepLines/>
        <w:spacing w:after="120"/>
        <w:rPr>
          <w:rFonts w:cstheme="minorBidi"/>
          <w:lang w:val="es-ES"/>
        </w:rPr>
      </w:pPr>
      <w:r w:rsidRPr="00072844">
        <w:rPr>
          <w:lang w:val="es-ES"/>
        </w:rPr>
        <w:t>Tras la aprobación del nuevo marco de trabajo y la asignación de las Cuestiones de estudio, la Comisión de Estudio 2 se reunirá del 20 al 24 de abril de 2026. En las primeras reuniones se examinarán detenidamente los resultados esperados que aprobaron los Miembros en la CMDT-25, se identificarán métodos para llevar a cabo su labor y se aprobarán planes de trabajo detallados para cada Cuestión de Estudio. También se nombrarán los Relatores y Vicerrelatores de las correspondientes Cuestiones de estudio.</w:t>
      </w:r>
    </w:p>
    <w:p w14:paraId="775BDCBC" w14:textId="51ACBE0B" w:rsidR="009825A0" w:rsidRPr="00072844" w:rsidRDefault="009825A0" w:rsidP="009825A0">
      <w:pPr>
        <w:rPr>
          <w:lang w:val="es-ES"/>
        </w:rPr>
      </w:pPr>
      <w:r w:rsidRPr="00072844">
        <w:rPr>
          <w:lang w:val="es-ES"/>
        </w:rPr>
        <w:t>Está previsto celebrar el bloque de reuniones de 2026 del Grupo de Relator de la Comisión de Estudio 2 del 7 al 16 de octubre de 2026.</w:t>
      </w:r>
    </w:p>
    <w:p w14:paraId="4074136E" w14:textId="77777777" w:rsidR="009825A0" w:rsidRPr="00072844" w:rsidRDefault="009825A0" w:rsidP="009825A0">
      <w:pPr>
        <w:rPr>
          <w:lang w:val="es-ES"/>
        </w:rPr>
        <w:sectPr w:rsidR="009825A0" w:rsidRPr="00072844" w:rsidSect="0081159E">
          <w:headerReference w:type="default" r:id="rId20"/>
          <w:footerReference w:type="first" r:id="rId21"/>
          <w:pgSz w:w="11907" w:h="16840" w:code="9"/>
          <w:pgMar w:top="1418" w:right="1134" w:bottom="1134" w:left="1134" w:header="720" w:footer="720" w:gutter="0"/>
          <w:cols w:space="720"/>
          <w:titlePg/>
          <w:docGrid w:linePitch="326"/>
        </w:sectPr>
      </w:pPr>
    </w:p>
    <w:p w14:paraId="6B03878E" w14:textId="09E6A953" w:rsidR="009825A0" w:rsidRPr="00072844" w:rsidRDefault="009825A0" w:rsidP="009825A0">
      <w:pPr>
        <w:pStyle w:val="Annextitle"/>
        <w:rPr>
          <w:lang w:val="es-ES"/>
        </w:rPr>
      </w:pPr>
      <w:r w:rsidRPr="00072844">
        <w:rPr>
          <w:lang w:val="es-ES"/>
        </w:rPr>
        <w:lastRenderedPageBreak/>
        <w:t>Anexo 1</w:t>
      </w:r>
      <w:r w:rsidRPr="00072844">
        <w:rPr>
          <w:lang w:val="es-ES"/>
        </w:rPr>
        <w:br/>
      </w:r>
      <w:r w:rsidRPr="00072844">
        <w:rPr>
          <w:lang w:val="es-ES"/>
        </w:rPr>
        <w:br/>
      </w:r>
      <w:r w:rsidRPr="00072844">
        <w:rPr>
          <w:lang w:val="es-ES"/>
        </w:rPr>
        <w:t>Estructura del Plan de Acción de Bakú y su contribución al Plan Estratégico de la UIT</w:t>
      </w:r>
    </w:p>
    <w:p w14:paraId="70FA7C43" w14:textId="1824616F" w:rsidR="009825A0" w:rsidRPr="00072844" w:rsidRDefault="009825A0" w:rsidP="009825A0">
      <w:pPr>
        <w:pStyle w:val="Figure"/>
        <w:rPr>
          <w:lang w:val="es-ES"/>
        </w:rPr>
      </w:pPr>
      <w:r w:rsidRPr="00072844">
        <w:rPr>
          <w:rFonts w:ascii="Calibri" w:hAnsi="Calibri" w:cs="Calibri"/>
          <w:noProof/>
          <w:color w:val="1997CC"/>
          <w:lang w:val="es-ES"/>
        </w:rPr>
        <mc:AlternateContent>
          <mc:Choice Requires="wpg">
            <w:drawing>
              <wp:inline distT="0" distB="0" distL="0" distR="0" wp14:anchorId="6CE91218" wp14:editId="74D2E0C1">
                <wp:extent cx="6165410" cy="3793402"/>
                <wp:effectExtent l="0" t="0" r="6985" b="0"/>
                <wp:docPr id="1" name="Group 1"/>
                <wp:cNvGraphicFramePr/>
                <a:graphic xmlns:a="http://schemas.openxmlformats.org/drawingml/2006/main">
                  <a:graphicData uri="http://schemas.microsoft.com/office/word/2010/wordprocessingGroup">
                    <wpg:wgp>
                      <wpg:cNvGrpSpPr/>
                      <wpg:grpSpPr>
                        <a:xfrm>
                          <a:off x="0" y="0"/>
                          <a:ext cx="6165410" cy="3793402"/>
                          <a:chOff x="0" y="0"/>
                          <a:chExt cx="4516081" cy="2990295"/>
                        </a:xfrm>
                      </wpg:grpSpPr>
                      <wps:wsp>
                        <wps:cNvPr id="1304493454" name="上箭头 4"/>
                        <wps:cNvSpPr>
                          <a:spLocks/>
                        </wps:cNvSpPr>
                        <wps:spPr>
                          <a:xfrm>
                            <a:off x="1504709" y="381965"/>
                            <a:ext cx="1397000" cy="269875"/>
                          </a:xfrm>
                          <a:prstGeom prst="upArrow">
                            <a:avLst>
                              <a:gd name="adj1" fmla="val 82156"/>
                              <a:gd name="adj2" fmla="val 48142"/>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E8546FC" w14:textId="77777777" w:rsidR="009825A0" w:rsidRPr="009825A0" w:rsidRDefault="009825A0" w:rsidP="009825A0">
                              <w:pPr>
                                <w:snapToGrid w:val="0"/>
                                <w:spacing w:before="0"/>
                                <w:jc w:val="center"/>
                                <w:rPr>
                                  <w:rFonts w:ascii="Calibri" w:hAnsi="Calibri" w:cs="Calibri"/>
                                  <w:sz w:val="14"/>
                                  <w:szCs w:val="14"/>
                                  <w:lang w:val="es-ES"/>
                                </w:rPr>
                              </w:pPr>
                              <w:r w:rsidRPr="009825A0">
                                <w:rPr>
                                  <w:rFonts w:ascii="Calibri" w:hAnsi="Calibri" w:cs="Calibri"/>
                                  <w:sz w:val="14"/>
                                  <w:szCs w:val="14"/>
                                  <w:lang w:val="es-ES"/>
                                </w:rPr>
                                <w:t>Contribución del UIT-D</w:t>
                              </w:r>
                            </w:p>
                          </w:txbxContent>
                        </wps:txbx>
                        <wps:bodyPr rot="0" spcFirstLastPara="0" vertOverflow="overflow" horzOverflow="overflow" vert="horz" wrap="square" lIns="144000" tIns="0" rIns="144000" bIns="36000" numCol="1" spcCol="0" rtlCol="0" fromWordArt="0" anchor="t" anchorCtr="0" forceAA="0" compatLnSpc="1">
                          <a:prstTxWarp prst="textNoShape">
                            <a:avLst/>
                          </a:prstTxWarp>
                          <a:noAutofit/>
                        </wps:bodyPr>
                      </wps:wsp>
                      <wps:wsp>
                        <wps:cNvPr id="1650389921" name="圆角矩形 1"/>
                        <wps:cNvSpPr/>
                        <wps:spPr>
                          <a:xfrm>
                            <a:off x="1556795" y="34724"/>
                            <a:ext cx="1169670" cy="302616"/>
                          </a:xfrm>
                          <a:prstGeom prst="roundRect">
                            <a:avLst/>
                          </a:prstGeom>
                          <a:solidFill>
                            <a:srgbClr val="FF0000"/>
                          </a:solidFill>
                          <a:ln>
                            <a:noFill/>
                          </a:ln>
                        </wps:spPr>
                        <wps:style>
                          <a:lnRef idx="2">
                            <a:schemeClr val="accent6"/>
                          </a:lnRef>
                          <a:fillRef idx="1">
                            <a:schemeClr val="lt1"/>
                          </a:fillRef>
                          <a:effectRef idx="0">
                            <a:schemeClr val="accent6"/>
                          </a:effectRef>
                          <a:fontRef idx="minor">
                            <a:schemeClr val="dk1"/>
                          </a:fontRef>
                        </wps:style>
                        <wps:txbx>
                          <w:txbxContent>
                            <w:p w14:paraId="350A878B" w14:textId="77777777" w:rsidR="009825A0" w:rsidRPr="00383732" w:rsidRDefault="009825A0" w:rsidP="009825A0">
                              <w:pPr>
                                <w:jc w:val="center"/>
                                <w:rPr>
                                  <w:rFonts w:ascii="Calibri" w:hAnsi="Calibri" w:cs="Calibri"/>
                                  <w:color w:val="FFFFFF" w:themeColor="background1"/>
                                  <w:sz w:val="14"/>
                                  <w:szCs w:val="14"/>
                                </w:rPr>
                              </w:pPr>
                              <w:r>
                                <w:rPr>
                                  <w:rFonts w:ascii="Calibri" w:hAnsi="Calibri" w:cs="Calibri"/>
                                  <w:color w:val="FFFFFF" w:themeColor="background1"/>
                                  <w:sz w:val="14"/>
                                  <w:szCs w:val="14"/>
                                </w:rPr>
                                <w:t>Plan Estratégico de la UIT</w:t>
                              </w:r>
                            </w:p>
                          </w:txbxContent>
                        </wps:txbx>
                        <wps:bodyPr rot="0" spcFirstLastPara="0" vertOverflow="overflow" horzOverflow="overflow" vert="horz" wrap="square" lIns="91440" tIns="0" rIns="91440" bIns="36000" numCol="1" spcCol="0" rtlCol="0" fromWordArt="0" anchor="t" anchorCtr="0" forceAA="0" compatLnSpc="1">
                          <a:prstTxWarp prst="textNoShape">
                            <a:avLst/>
                          </a:prstTxWarp>
                          <a:noAutofit/>
                        </wps:bodyPr>
                      </wps:wsp>
                      <wps:wsp>
                        <wps:cNvPr id="1643411688" name="右箭头 2"/>
                        <wps:cNvSpPr/>
                        <wps:spPr>
                          <a:xfrm>
                            <a:off x="2783712" y="46299"/>
                            <a:ext cx="689610" cy="296545"/>
                          </a:xfrm>
                          <a:prstGeom prst="rightArrow">
                            <a:avLst>
                              <a:gd name="adj1" fmla="val 57213"/>
                              <a:gd name="adj2" fmla="val 50000"/>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7693994" name="圆角矩形 3"/>
                        <wps:cNvSpPr/>
                        <wps:spPr>
                          <a:xfrm>
                            <a:off x="3524492" y="0"/>
                            <a:ext cx="991589" cy="362585"/>
                          </a:xfrm>
                          <a:prstGeom prst="round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89A9B1E" w14:textId="155CA710" w:rsidR="009825A0" w:rsidRPr="00922721" w:rsidRDefault="009825A0" w:rsidP="009825A0">
                              <w:pPr>
                                <w:snapToGrid w:val="0"/>
                                <w:jc w:val="center"/>
                                <w:rPr>
                                  <w:rFonts w:ascii="Calibri" w:hAnsi="Calibri" w:cs="Calibri"/>
                                  <w:sz w:val="14"/>
                                  <w:szCs w:val="14"/>
                                  <w:lang w:val="es-ES"/>
                                </w:rPr>
                              </w:pPr>
                              <w:r w:rsidRPr="00922721">
                                <w:rPr>
                                  <w:rFonts w:ascii="Calibri" w:hAnsi="Calibri" w:cs="Calibri"/>
                                  <w:sz w:val="14"/>
                                  <w:szCs w:val="14"/>
                                  <w:lang w:val="es-ES"/>
                                </w:rPr>
                                <w:t>ODS y Líneas de</w:t>
                              </w:r>
                              <w:r>
                                <w:rPr>
                                  <w:rFonts w:ascii="Calibri" w:hAnsi="Calibri" w:cs="Calibri"/>
                                  <w:sz w:val="14"/>
                                  <w:szCs w:val="14"/>
                                  <w:lang w:val="es-ES"/>
                                </w:rPr>
                                <w:br/>
                              </w:r>
                              <w:r w:rsidRPr="00922721">
                                <w:rPr>
                                  <w:rFonts w:ascii="Calibri" w:hAnsi="Calibri" w:cs="Calibri"/>
                                  <w:sz w:val="14"/>
                                  <w:szCs w:val="14"/>
                                  <w:lang w:val="es-ES"/>
                                </w:rPr>
                                <w:t>Acción de la CMSI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326052" name="圆角矩形 5"/>
                        <wps:cNvSpPr/>
                        <wps:spPr>
                          <a:xfrm>
                            <a:off x="0" y="717630"/>
                            <a:ext cx="4333240" cy="2272665"/>
                          </a:xfrm>
                          <a:prstGeom prst="roundRect">
                            <a:avLst/>
                          </a:prstGeom>
                          <a:solidFill>
                            <a:srgbClr val="1997C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313F2F" w14:textId="77777777" w:rsidR="009825A0" w:rsidRPr="00922721" w:rsidRDefault="009825A0" w:rsidP="009825A0">
                              <w:pPr>
                                <w:snapToGrid w:val="0"/>
                                <w:jc w:val="center"/>
                                <w:rPr>
                                  <w:rFonts w:ascii="Calibri" w:hAnsi="Calibri" w:cs="Calibri"/>
                                  <w:sz w:val="14"/>
                                  <w:szCs w:val="14"/>
                                  <w:lang w:val="es-ES"/>
                                </w:rPr>
                              </w:pPr>
                              <w:r w:rsidRPr="00922721">
                                <w:rPr>
                                  <w:rFonts w:ascii="Calibri" w:hAnsi="Calibri" w:cs="Calibri"/>
                                  <w:sz w:val="14"/>
                                  <w:szCs w:val="14"/>
                                  <w:lang w:val="es-ES"/>
                                </w:rPr>
                                <w:t>Plan de Acción de B</w:t>
                              </w:r>
                              <w:r w:rsidRPr="00922721">
                                <w:rPr>
                                  <w:rFonts w:ascii="Calibri" w:hAnsi="Calibri" w:cs="Calibri" w:hint="eastAsia"/>
                                  <w:sz w:val="14"/>
                                  <w:szCs w:val="14"/>
                                  <w:lang w:val="es-ES"/>
                                </w:rPr>
                                <w:t>ak</w:t>
                              </w:r>
                              <w:r w:rsidRPr="00922721">
                                <w:rPr>
                                  <w:rFonts w:ascii="Calibri" w:hAnsi="Calibri" w:cs="Calibri"/>
                                  <w:sz w:val="14"/>
                                  <w:szCs w:val="14"/>
                                  <w:lang w:val="es-ES"/>
                                </w:rPr>
                                <w:t>ú</w:t>
                              </w:r>
                            </w:p>
                            <w:p w14:paraId="6E51BDB8" w14:textId="77777777" w:rsidR="009825A0" w:rsidRPr="00922721" w:rsidRDefault="009825A0" w:rsidP="009825A0">
                              <w:pPr>
                                <w:snapToGrid w:val="0"/>
                                <w:jc w:val="center"/>
                                <w:rPr>
                                  <w:rFonts w:ascii="Calibri" w:hAnsi="Calibri" w:cs="Calibri"/>
                                  <w:i/>
                                  <w:iCs/>
                                  <w:sz w:val="14"/>
                                  <w:szCs w:val="14"/>
                                  <w:lang w:val="es-ES"/>
                                </w:rPr>
                              </w:pPr>
                              <w:r w:rsidRPr="00922721">
                                <w:rPr>
                                  <w:rFonts w:ascii="Calibri" w:hAnsi="Calibri" w:cs="Calibri"/>
                                  <w:i/>
                                  <w:iCs/>
                                  <w:sz w:val="14"/>
                                  <w:szCs w:val="14"/>
                                  <w:lang w:val="es-ES"/>
                                </w:rPr>
                                <w:t>Prioridades del UIT-D</w:t>
                              </w:r>
                            </w:p>
                            <w:p w14:paraId="50E83F44" w14:textId="77777777" w:rsidR="009825A0" w:rsidRPr="00922721" w:rsidRDefault="009825A0" w:rsidP="009825A0">
                              <w:pPr>
                                <w:snapToGrid w:val="0"/>
                                <w:jc w:val="center"/>
                                <w:rPr>
                                  <w:rFonts w:ascii="Calibri" w:hAnsi="Calibri" w:cs="Calibri"/>
                                  <w:i/>
                                  <w:iCs/>
                                  <w:sz w:val="14"/>
                                  <w:szCs w:val="14"/>
                                  <w:lang w:val="es-ES"/>
                                </w:rPr>
                              </w:pPr>
                            </w:p>
                            <w:p w14:paraId="78D0049E" w14:textId="77777777" w:rsidR="009825A0" w:rsidRPr="00922721" w:rsidRDefault="009825A0" w:rsidP="009825A0">
                              <w:pPr>
                                <w:snapToGrid w:val="0"/>
                                <w:jc w:val="center"/>
                                <w:rPr>
                                  <w:rFonts w:ascii="Calibri" w:hAnsi="Calibri" w:cs="Calibri"/>
                                  <w:i/>
                                  <w:iCs/>
                                  <w:sz w:val="14"/>
                                  <w:szCs w:val="14"/>
                                  <w:lang w:val="es-ES"/>
                                </w:rPr>
                              </w:pPr>
                            </w:p>
                            <w:p w14:paraId="5F4E1756" w14:textId="77777777" w:rsidR="009825A0" w:rsidRPr="00922721" w:rsidRDefault="009825A0" w:rsidP="009825A0">
                              <w:pPr>
                                <w:snapToGrid w:val="0"/>
                                <w:jc w:val="center"/>
                                <w:rPr>
                                  <w:rFonts w:ascii="Calibri" w:hAnsi="Calibri" w:cs="Calibri"/>
                                  <w:i/>
                                  <w:iCs/>
                                  <w:sz w:val="14"/>
                                  <w:szCs w:val="14"/>
                                  <w:lang w:val="es-ES"/>
                                </w:rPr>
                              </w:pPr>
                            </w:p>
                            <w:p w14:paraId="51E2147C" w14:textId="77777777" w:rsidR="009825A0" w:rsidRPr="00922721" w:rsidRDefault="009825A0" w:rsidP="009825A0">
                              <w:pPr>
                                <w:snapToGrid w:val="0"/>
                                <w:jc w:val="center"/>
                                <w:rPr>
                                  <w:rFonts w:ascii="Calibri" w:hAnsi="Calibri" w:cs="Calibri"/>
                                  <w:i/>
                                  <w:iCs/>
                                  <w:sz w:val="14"/>
                                  <w:szCs w:val="14"/>
                                  <w:lang w:val="es-ES"/>
                                </w:rPr>
                              </w:pPr>
                            </w:p>
                            <w:p w14:paraId="6938B582" w14:textId="77777777" w:rsidR="009825A0" w:rsidRPr="00922721" w:rsidRDefault="009825A0" w:rsidP="009825A0">
                              <w:pPr>
                                <w:snapToGrid w:val="0"/>
                                <w:jc w:val="center"/>
                                <w:rPr>
                                  <w:rFonts w:ascii="Calibri" w:hAnsi="Calibri" w:cs="Calibri"/>
                                  <w:i/>
                                  <w:iCs/>
                                  <w:sz w:val="14"/>
                                  <w:szCs w:val="14"/>
                                  <w:lang w:val="es-ES"/>
                                </w:rPr>
                              </w:pPr>
                            </w:p>
                            <w:p w14:paraId="3F981B9C" w14:textId="77777777" w:rsidR="009825A0" w:rsidRPr="00922721" w:rsidRDefault="009825A0" w:rsidP="009825A0">
                              <w:pPr>
                                <w:snapToGrid w:val="0"/>
                                <w:jc w:val="center"/>
                                <w:rPr>
                                  <w:rFonts w:ascii="Calibri" w:hAnsi="Calibri" w:cs="Calibri"/>
                                  <w:i/>
                                  <w:iCs/>
                                  <w:sz w:val="14"/>
                                  <w:szCs w:val="14"/>
                                  <w:lang w:val="es-ES"/>
                                </w:rPr>
                              </w:pPr>
                            </w:p>
                            <w:p w14:paraId="49681247" w14:textId="77777777" w:rsidR="009825A0" w:rsidRPr="00922721" w:rsidRDefault="009825A0" w:rsidP="009825A0">
                              <w:pPr>
                                <w:snapToGrid w:val="0"/>
                                <w:jc w:val="center"/>
                                <w:rPr>
                                  <w:rFonts w:ascii="Calibri" w:hAnsi="Calibri" w:cs="Calibri"/>
                                  <w:i/>
                                  <w:iCs/>
                                  <w:sz w:val="14"/>
                                  <w:szCs w:val="14"/>
                                  <w:lang w:val="es-ES"/>
                                </w:rPr>
                              </w:pPr>
                            </w:p>
                            <w:p w14:paraId="38920922" w14:textId="77777777" w:rsidR="009825A0" w:rsidRPr="00922721" w:rsidRDefault="009825A0" w:rsidP="009825A0">
                              <w:pPr>
                                <w:snapToGrid w:val="0"/>
                                <w:jc w:val="center"/>
                                <w:rPr>
                                  <w:rFonts w:ascii="Calibri" w:hAnsi="Calibri" w:cs="Calibri"/>
                                  <w:i/>
                                  <w:iCs/>
                                  <w:sz w:val="14"/>
                                  <w:szCs w:val="14"/>
                                  <w:lang w:val="es-ES"/>
                                </w:rPr>
                              </w:pPr>
                            </w:p>
                            <w:p w14:paraId="557520F0" w14:textId="77777777" w:rsidR="009825A0" w:rsidRPr="00922721" w:rsidRDefault="009825A0" w:rsidP="009825A0">
                              <w:pPr>
                                <w:snapToGrid w:val="0"/>
                                <w:jc w:val="center"/>
                                <w:rPr>
                                  <w:rFonts w:ascii="Calibri" w:hAnsi="Calibri" w:cs="Calibri"/>
                                  <w:i/>
                                  <w:iCs/>
                                  <w:sz w:val="14"/>
                                  <w:szCs w:val="14"/>
                                  <w:lang w:val="es-ES"/>
                                </w:rPr>
                              </w:pPr>
                            </w:p>
                            <w:p w14:paraId="097D6AE3" w14:textId="77777777" w:rsidR="009825A0" w:rsidRPr="00922721" w:rsidRDefault="009825A0" w:rsidP="009825A0">
                              <w:pPr>
                                <w:snapToGrid w:val="0"/>
                                <w:jc w:val="center"/>
                                <w:rPr>
                                  <w:rFonts w:ascii="Calibri" w:hAnsi="Calibri" w:cs="Calibri"/>
                                  <w:i/>
                                  <w:iCs/>
                                  <w:sz w:val="14"/>
                                  <w:szCs w:val="14"/>
                                  <w:lang w:val="es-ES"/>
                                </w:rPr>
                              </w:pPr>
                            </w:p>
                            <w:p w14:paraId="2B7A35D2" w14:textId="77777777" w:rsidR="009825A0" w:rsidRPr="00922721" w:rsidRDefault="009825A0" w:rsidP="009825A0">
                              <w:pPr>
                                <w:snapToGrid w:val="0"/>
                                <w:jc w:val="center"/>
                                <w:rPr>
                                  <w:rFonts w:ascii="Calibri" w:hAnsi="Calibri" w:cs="Calibri"/>
                                  <w:i/>
                                  <w:iCs/>
                                  <w:sz w:val="14"/>
                                  <w:szCs w:val="14"/>
                                  <w:lang w:val="es-ES"/>
                                </w:rPr>
                              </w:pPr>
                            </w:p>
                            <w:p w14:paraId="0A6F8B57" w14:textId="77777777" w:rsidR="009825A0" w:rsidRPr="00922721" w:rsidRDefault="009825A0" w:rsidP="009825A0">
                              <w:pPr>
                                <w:snapToGrid w:val="0"/>
                                <w:jc w:val="center"/>
                                <w:rPr>
                                  <w:rFonts w:ascii="Calibri" w:hAnsi="Calibri" w:cs="Calibri"/>
                                  <w:i/>
                                  <w:iCs/>
                                  <w:sz w:val="14"/>
                                  <w:szCs w:val="14"/>
                                  <w:lang w:val="es-ES"/>
                                </w:rPr>
                              </w:pPr>
                            </w:p>
                            <w:p w14:paraId="7441381B" w14:textId="77777777" w:rsidR="009825A0" w:rsidRPr="00922721" w:rsidRDefault="009825A0" w:rsidP="009825A0">
                              <w:pPr>
                                <w:snapToGrid w:val="0"/>
                                <w:jc w:val="center"/>
                                <w:rPr>
                                  <w:rFonts w:ascii="Calibri" w:hAnsi="Calibri" w:cs="Calibri"/>
                                  <w:i/>
                                  <w:iCs/>
                                  <w:sz w:val="14"/>
                                  <w:szCs w:val="14"/>
                                  <w:lang w:val="es-ES"/>
                                </w:rPr>
                              </w:pPr>
                            </w:p>
                            <w:p w14:paraId="05126A29" w14:textId="77777777" w:rsidR="009825A0" w:rsidRPr="005A2B40" w:rsidRDefault="009825A0" w:rsidP="009825A0">
                              <w:pPr>
                                <w:snapToGrid w:val="0"/>
                                <w:jc w:val="center"/>
                                <w:rPr>
                                  <w:rFonts w:ascii="Calibri" w:hAnsi="Calibri" w:cs="Calibri"/>
                                  <w:sz w:val="14"/>
                                  <w:szCs w:val="14"/>
                                </w:rPr>
                              </w:pPr>
                              <w:r>
                                <w:rPr>
                                  <w:rFonts w:ascii="Calibri" w:hAnsi="Calibri" w:cs="Calibri"/>
                                  <w:sz w:val="14"/>
                                  <w:szCs w:val="14"/>
                                </w:rPr>
                                <w:t>Miembros del UIT</w:t>
                              </w:r>
                              <w:r w:rsidRPr="005A2B40">
                                <w:rPr>
                                  <w:rFonts w:ascii="Calibri" w:hAnsi="Calibri" w:cs="Calibri"/>
                                  <w:sz w:val="14"/>
                                  <w:szCs w:val="14"/>
                                </w:rPr>
                                <w:t>-D</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s:wsp>
                        <wps:cNvPr id="1599590723" name="圆角矩形 6"/>
                        <wps:cNvSpPr/>
                        <wps:spPr>
                          <a:xfrm>
                            <a:off x="57874" y="1215342"/>
                            <a:ext cx="779145" cy="598805"/>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E91522" w14:textId="77777777" w:rsidR="009825A0" w:rsidRPr="00230FA9" w:rsidRDefault="009825A0" w:rsidP="009825A0">
                              <w:pPr>
                                <w:snapToGrid w:val="0"/>
                                <w:jc w:val="center"/>
                                <w:rPr>
                                  <w:rFonts w:ascii="Calibri" w:hAnsi="Calibri" w:cs="Calibri"/>
                                  <w:color w:val="3071C3" w:themeColor="text2" w:themeTint="BF"/>
                                  <w:sz w:val="14"/>
                                  <w:szCs w:val="14"/>
                                  <w:lang w:val="es-ES"/>
                                </w:rPr>
                              </w:pPr>
                              <w:r>
                                <w:rPr>
                                  <w:rFonts w:ascii="Calibri" w:hAnsi="Calibri" w:cs="Calibri"/>
                                  <w:color w:val="3071C3" w:themeColor="text2" w:themeTint="BF"/>
                                  <w:sz w:val="14"/>
                                  <w:szCs w:val="14"/>
                                  <w:lang w:val="es-ES"/>
                                </w:rPr>
                                <w:t>Conectividad asequible</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wps:wsp>
                        <wps:cNvPr id="1938877124" name="圆角矩形 6"/>
                        <wps:cNvSpPr/>
                        <wps:spPr>
                          <a:xfrm>
                            <a:off x="897038" y="1215342"/>
                            <a:ext cx="779145" cy="598805"/>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46769C" w14:textId="77777777" w:rsidR="009825A0" w:rsidRPr="00922721" w:rsidRDefault="009825A0" w:rsidP="009825A0">
                              <w:pPr>
                                <w:snapToGrid w:val="0"/>
                                <w:jc w:val="center"/>
                                <w:rPr>
                                  <w:rFonts w:ascii="Calibri" w:hAnsi="Calibri" w:cs="Calibri"/>
                                  <w:color w:val="3071C3" w:themeColor="text2" w:themeTint="BF"/>
                                  <w:sz w:val="14"/>
                                  <w:szCs w:val="14"/>
                                  <w:lang w:val="es-ES"/>
                                </w:rPr>
                              </w:pPr>
                              <w:r w:rsidRPr="00922721">
                                <w:rPr>
                                  <w:rFonts w:ascii="Calibri" w:hAnsi="Calibri" w:cs="Calibri"/>
                                  <w:color w:val="3071C3" w:themeColor="text2" w:themeTint="BF"/>
                                  <w:sz w:val="14"/>
                                  <w:szCs w:val="14"/>
                                  <w:lang w:val="es-ES"/>
                                </w:rPr>
                                <w:t>Transformación digital</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wps:wsp>
                        <wps:cNvPr id="1566743949" name="圆角矩形 6"/>
                        <wps:cNvSpPr/>
                        <wps:spPr>
                          <a:xfrm>
                            <a:off x="1747778" y="1215342"/>
                            <a:ext cx="779145" cy="598805"/>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A7C0C1D" w14:textId="77777777" w:rsidR="009825A0" w:rsidRPr="00922721" w:rsidRDefault="009825A0" w:rsidP="009825A0">
                              <w:pPr>
                                <w:snapToGrid w:val="0"/>
                                <w:jc w:val="center"/>
                                <w:rPr>
                                  <w:rFonts w:ascii="Calibri" w:hAnsi="Calibri" w:cs="Calibri"/>
                                  <w:color w:val="3071C3" w:themeColor="text2" w:themeTint="BF"/>
                                  <w:sz w:val="14"/>
                                  <w:szCs w:val="14"/>
                                  <w:lang w:val="es-ES"/>
                                </w:rPr>
                              </w:pPr>
                              <w:r w:rsidRPr="00922721">
                                <w:rPr>
                                  <w:rFonts w:ascii="Calibri" w:hAnsi="Calibri" w:cs="Calibri"/>
                                  <w:color w:val="3071C3" w:themeColor="text2" w:themeTint="BF"/>
                                  <w:sz w:val="14"/>
                                  <w:szCs w:val="14"/>
                                  <w:lang w:val="es-ES"/>
                                </w:rPr>
                                <w:t>Entorno político y normativo propicio</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wps:wsp>
                        <wps:cNvPr id="643351438" name="圆角矩形 6"/>
                        <wps:cNvSpPr/>
                        <wps:spPr>
                          <a:xfrm>
                            <a:off x="2592730" y="1215342"/>
                            <a:ext cx="779145" cy="598805"/>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DA7AA8" w14:textId="77777777" w:rsidR="009825A0" w:rsidRPr="00922721" w:rsidRDefault="009825A0" w:rsidP="009825A0">
                              <w:pPr>
                                <w:snapToGrid w:val="0"/>
                                <w:jc w:val="center"/>
                                <w:rPr>
                                  <w:rFonts w:ascii="Calibri" w:hAnsi="Calibri" w:cs="Calibri"/>
                                  <w:color w:val="3071C3" w:themeColor="text2" w:themeTint="BF"/>
                                  <w:sz w:val="14"/>
                                  <w:szCs w:val="14"/>
                                  <w:lang w:val="es-ES"/>
                                </w:rPr>
                              </w:pPr>
                              <w:r w:rsidRPr="00922721">
                                <w:rPr>
                                  <w:rFonts w:ascii="Calibri" w:hAnsi="Calibri" w:cs="Calibri"/>
                                  <w:color w:val="3071C3" w:themeColor="text2" w:themeTint="BF"/>
                                  <w:sz w:val="14"/>
                                  <w:szCs w:val="14"/>
                                  <w:lang w:val="es-ES"/>
                                </w:rPr>
                                <w:t>Movilización de recursos y cooperación internacional</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262553089" name="圆角矩形 6"/>
                        <wps:cNvSpPr/>
                        <wps:spPr>
                          <a:xfrm>
                            <a:off x="3437681" y="1215342"/>
                            <a:ext cx="830580" cy="598805"/>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F3937CA" w14:textId="2F679D26" w:rsidR="009825A0" w:rsidRPr="00922721" w:rsidRDefault="009825A0" w:rsidP="009825A0">
                              <w:pPr>
                                <w:snapToGrid w:val="0"/>
                                <w:jc w:val="center"/>
                                <w:rPr>
                                  <w:rFonts w:ascii="Calibri" w:hAnsi="Calibri" w:cs="Calibri"/>
                                  <w:color w:val="3071C3" w:themeColor="text2" w:themeTint="BF"/>
                                  <w:sz w:val="14"/>
                                  <w:szCs w:val="14"/>
                                  <w:lang w:val="es-ES"/>
                                </w:rPr>
                              </w:pPr>
                              <w:r w:rsidRPr="00922721">
                                <w:rPr>
                                  <w:rFonts w:ascii="Calibri" w:hAnsi="Calibri" w:cs="Calibri"/>
                                  <w:color w:val="3071C3" w:themeColor="text2" w:themeTint="BF"/>
                                  <w:sz w:val="14"/>
                                  <w:szCs w:val="14"/>
                                  <w:lang w:val="es-ES"/>
                                </w:rPr>
                                <w:t>Telecomunicaciones/TIC inclusivas y seguras para el</w:t>
                              </w:r>
                              <w:r w:rsidR="00B856F3">
                                <w:rPr>
                                  <w:rFonts w:ascii="Calibri" w:hAnsi="Calibri" w:cs="Calibri"/>
                                  <w:color w:val="3071C3" w:themeColor="text2" w:themeTint="BF"/>
                                  <w:sz w:val="14"/>
                                  <w:szCs w:val="14"/>
                                  <w:lang w:val="es-ES"/>
                                </w:rPr>
                                <w:t> </w:t>
                              </w:r>
                              <w:r w:rsidRPr="00922721">
                                <w:rPr>
                                  <w:rFonts w:ascii="Calibri" w:hAnsi="Calibri" w:cs="Calibri"/>
                                  <w:color w:val="3071C3" w:themeColor="text2" w:themeTint="BF"/>
                                  <w:sz w:val="14"/>
                                  <w:szCs w:val="14"/>
                                  <w:lang w:val="es-ES"/>
                                </w:rPr>
                                <w:t>desarrollo sostenible</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652947372" name="上箭头 7"/>
                        <wps:cNvSpPr/>
                        <wps:spPr>
                          <a:xfrm>
                            <a:off x="763930" y="1875099"/>
                            <a:ext cx="2871989" cy="772911"/>
                          </a:xfrm>
                          <a:prstGeom prst="upArrow">
                            <a:avLst>
                              <a:gd name="adj1" fmla="val 79745"/>
                              <a:gd name="adj2" fmla="val 35317"/>
                            </a:avLst>
                          </a:prstGeom>
                          <a:solidFill>
                            <a:schemeClr val="bg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5578201" name="圆角矩形 8"/>
                        <wps:cNvSpPr/>
                        <wps:spPr>
                          <a:xfrm>
                            <a:off x="1105383" y="2193403"/>
                            <a:ext cx="656590" cy="40513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62AB17" w14:textId="77777777" w:rsidR="009825A0" w:rsidRPr="00B856F3" w:rsidRDefault="009825A0" w:rsidP="009825A0">
                              <w:pPr>
                                <w:snapToGrid w:val="0"/>
                                <w:jc w:val="center"/>
                                <w:rPr>
                                  <w:rFonts w:ascii="Calibri" w:hAnsi="Calibri" w:cs="Calibri"/>
                                  <w:color w:val="3071C3" w:themeColor="text2" w:themeTint="BF"/>
                                  <w:sz w:val="14"/>
                                  <w:szCs w:val="14"/>
                                  <w:lang w:val="es-ES"/>
                                </w:rPr>
                              </w:pPr>
                              <w:r w:rsidRPr="00B856F3">
                                <w:rPr>
                                  <w:rFonts w:ascii="Calibri" w:hAnsi="Calibri" w:cs="Calibri"/>
                                  <w:color w:val="3071C3" w:themeColor="text2" w:themeTint="BF"/>
                                  <w:sz w:val="14"/>
                                  <w:szCs w:val="14"/>
                                  <w:lang w:val="es-ES"/>
                                </w:rPr>
                                <w:t>Iniciativas regionales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5721577" name="圆角矩形 8"/>
                        <wps:cNvSpPr/>
                        <wps:spPr>
                          <a:xfrm>
                            <a:off x="1828800" y="2193403"/>
                            <a:ext cx="711707" cy="40513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0DB9B2" w14:textId="77777777" w:rsidR="009825A0" w:rsidRPr="00B856F3" w:rsidRDefault="009825A0" w:rsidP="009825A0">
                              <w:pPr>
                                <w:snapToGrid w:val="0"/>
                                <w:jc w:val="center"/>
                                <w:rPr>
                                  <w:rFonts w:ascii="Calibri" w:hAnsi="Calibri" w:cs="Calibri"/>
                                  <w:color w:val="3071C3" w:themeColor="text2" w:themeTint="BF"/>
                                  <w:sz w:val="14"/>
                                  <w:szCs w:val="14"/>
                                  <w:lang w:val="es-ES"/>
                                </w:rPr>
                              </w:pPr>
                              <w:r w:rsidRPr="00B856F3">
                                <w:rPr>
                                  <w:rFonts w:ascii="Calibri" w:hAnsi="Calibri" w:cs="Calibri"/>
                                  <w:color w:val="3071C3" w:themeColor="text2" w:themeTint="BF"/>
                                  <w:sz w:val="14"/>
                                  <w:szCs w:val="14"/>
                                  <w:lang w:val="es-ES"/>
                                </w:rPr>
                                <w:t>Resoluciones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2673216" name="圆角矩形 8"/>
                        <wps:cNvSpPr/>
                        <wps:spPr>
                          <a:xfrm>
                            <a:off x="2633241" y="2193403"/>
                            <a:ext cx="656590" cy="405130"/>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91D25D" w14:textId="40E09B23" w:rsidR="009825A0" w:rsidRPr="00230FA9" w:rsidRDefault="009825A0" w:rsidP="009825A0">
                              <w:pPr>
                                <w:snapToGrid w:val="0"/>
                                <w:jc w:val="center"/>
                                <w:rPr>
                                  <w:rFonts w:ascii="Calibri" w:hAnsi="Calibri" w:cs="Calibri"/>
                                  <w:color w:val="3071C3" w:themeColor="text2" w:themeTint="BF"/>
                                  <w:sz w:val="14"/>
                                  <w:szCs w:val="14"/>
                                  <w:lang w:val="es-ES"/>
                                </w:rPr>
                              </w:pPr>
                              <w:r>
                                <w:rPr>
                                  <w:rFonts w:ascii="Calibri" w:hAnsi="Calibri" w:cs="Calibri"/>
                                  <w:color w:val="3071C3" w:themeColor="text2" w:themeTint="BF"/>
                                  <w:sz w:val="14"/>
                                  <w:szCs w:val="14"/>
                                  <w:lang w:val="es-ES"/>
                                </w:rPr>
                                <w:t>Comisiones de</w:t>
                              </w:r>
                              <w:r w:rsidR="00141218">
                                <w:rPr>
                                  <w:rFonts w:ascii="Calibri" w:hAnsi="Calibri" w:cs="Calibri"/>
                                  <w:color w:val="3071C3" w:themeColor="text2" w:themeTint="BF"/>
                                  <w:sz w:val="14"/>
                                  <w:szCs w:val="14"/>
                                  <w:lang w:val="es-ES"/>
                                </w:rPr>
                                <w:t> </w:t>
                              </w:r>
                              <w:r>
                                <w:rPr>
                                  <w:rFonts w:ascii="Calibri" w:hAnsi="Calibri" w:cs="Calibri"/>
                                  <w:color w:val="3071C3" w:themeColor="text2" w:themeTint="BF"/>
                                  <w:sz w:val="14"/>
                                  <w:szCs w:val="14"/>
                                  <w:lang w:val="es-ES"/>
                                </w:rPr>
                                <w:t>Estudio</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g:wgp>
                  </a:graphicData>
                </a:graphic>
              </wp:inline>
            </w:drawing>
          </mc:Choice>
          <mc:Fallback>
            <w:pict>
              <v:group w14:anchorId="6CE91218" id="Group 1" o:spid="_x0000_s1026" style="width:485.45pt;height:298.7pt;mso-position-horizontal-relative:char;mso-position-vertical-relative:line" coordsize="45160,29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箭头 4" o:spid="_x0000_s1027" type="#_x0000_t68" style="position:absolute;left:15047;top:3819;width:13970;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" adj="10399,1927" fillcolor="#bfbfbf [2412]" stroked="f" strokeweight="2pt">
                  <v:textbox inset="4mm,0,4mm,1mm">
                    <w:txbxContent>
                      <w:p w14:paraId="3E8546FC" w14:textId="77777777" w:rsidR="009825A0" w:rsidRPr="009825A0" w:rsidRDefault="009825A0" w:rsidP="009825A0">
                        <w:pPr>
                          <w:snapToGrid w:val="0"/>
                          <w:spacing w:before="0"/>
                          <w:jc w:val="center"/>
                          <w:rPr>
                            <w:rFonts w:ascii="Calibri" w:hAnsi="Calibri" w:cs="Calibri"/>
                            <w:sz w:val="14"/>
                            <w:szCs w:val="14"/>
                            <w:lang w:val="es-ES"/>
                          </w:rPr>
                        </w:pPr>
                        <w:r w:rsidRPr="009825A0">
                          <w:rPr>
                            <w:rFonts w:ascii="Calibri" w:hAnsi="Calibri" w:cs="Calibri"/>
                            <w:sz w:val="14"/>
                            <w:szCs w:val="14"/>
                            <w:lang w:val="es-ES"/>
                          </w:rPr>
                          <w:t>Contribución del UIT-D</w:t>
                        </w:r>
                      </w:p>
                    </w:txbxContent>
                  </v:textbox>
                </v:shape>
                <v:roundrect id="圆角矩形 1" o:spid="_x0000_s1028" style="position:absolute;left:15567;top:347;width:11697;height:30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" fillcolor="red" stroked="f" strokeweight="2pt">
                  <v:textbox inset=",0,,1mm">
                    <w:txbxContent>
                      <w:p w14:paraId="350A878B" w14:textId="77777777" w:rsidR="009825A0" w:rsidRPr="00383732" w:rsidRDefault="009825A0" w:rsidP="009825A0">
                        <w:pPr>
                          <w:jc w:val="center"/>
                          <w:rPr>
                            <w:rFonts w:ascii="Calibri" w:hAnsi="Calibri" w:cs="Calibri"/>
                            <w:color w:val="FFFFFF" w:themeColor="background1"/>
                            <w:sz w:val="14"/>
                            <w:szCs w:val="14"/>
                          </w:rPr>
                        </w:pPr>
                        <w:r>
                          <w:rPr>
                            <w:rFonts w:ascii="Calibri" w:hAnsi="Calibri" w:cs="Calibri"/>
                            <w:color w:val="FFFFFF" w:themeColor="background1"/>
                            <w:sz w:val="14"/>
                            <w:szCs w:val="14"/>
                          </w:rPr>
                          <w:t>Plan Estratégico de la UIT</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2" o:spid="_x0000_s1029" type="#_x0000_t13" style="position:absolute;left:27837;top:462;width:6896;height:2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" adj="16956,4621" fillcolor="#bfbfbf [2412]" stroked="f" strokeweight="2pt"/>
                <v:roundrect id="圆角矩形 3" o:spid="_x0000_s1030" style="position:absolute;left:35244;width:9916;height:36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" fillcolor="#00b050" stroked="f" strokeweight="2pt">
                  <v:textbox>
                    <w:txbxContent>
                      <w:p w14:paraId="189A9B1E" w14:textId="155CA710" w:rsidR="009825A0" w:rsidRPr="00922721" w:rsidRDefault="009825A0" w:rsidP="009825A0">
                        <w:pPr>
                          <w:snapToGrid w:val="0"/>
                          <w:jc w:val="center"/>
                          <w:rPr>
                            <w:rFonts w:ascii="Calibri" w:hAnsi="Calibri" w:cs="Calibri"/>
                            <w:sz w:val="14"/>
                            <w:szCs w:val="14"/>
                            <w:lang w:val="es-ES"/>
                          </w:rPr>
                        </w:pPr>
                        <w:r w:rsidRPr="00922721">
                          <w:rPr>
                            <w:rFonts w:ascii="Calibri" w:hAnsi="Calibri" w:cs="Calibri"/>
                            <w:sz w:val="14"/>
                            <w:szCs w:val="14"/>
                            <w:lang w:val="es-ES"/>
                          </w:rPr>
                          <w:t>ODS y Líneas de</w:t>
                        </w:r>
                        <w:r>
                          <w:rPr>
                            <w:rFonts w:ascii="Calibri" w:hAnsi="Calibri" w:cs="Calibri"/>
                            <w:sz w:val="14"/>
                            <w:szCs w:val="14"/>
                            <w:lang w:val="es-ES"/>
                          </w:rPr>
                          <w:br/>
                        </w:r>
                        <w:r w:rsidRPr="00922721">
                          <w:rPr>
                            <w:rFonts w:ascii="Calibri" w:hAnsi="Calibri" w:cs="Calibri"/>
                            <w:sz w:val="14"/>
                            <w:szCs w:val="14"/>
                            <w:lang w:val="es-ES"/>
                          </w:rPr>
                          <w:t>Acción de la CMSI</w:t>
                        </w:r>
                      </w:p>
                    </w:txbxContent>
                  </v:textbox>
                </v:roundrect>
                <v:roundrect id="圆角矩形 5" o:spid="_x0000_s1031" style="position:absolute;top:7176;width:43332;height:2272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" fillcolor="#1997cc" stroked="f" strokeweight="2pt">
                  <v:textbox inset=",,,0">
                    <w:txbxContent>
                      <w:p w14:paraId="1A313F2F" w14:textId="77777777" w:rsidR="009825A0" w:rsidRPr="00922721" w:rsidRDefault="009825A0" w:rsidP="009825A0">
                        <w:pPr>
                          <w:snapToGrid w:val="0"/>
                          <w:jc w:val="center"/>
                          <w:rPr>
                            <w:rFonts w:ascii="Calibri" w:hAnsi="Calibri" w:cs="Calibri"/>
                            <w:sz w:val="14"/>
                            <w:szCs w:val="14"/>
                            <w:lang w:val="es-ES"/>
                          </w:rPr>
                        </w:pPr>
                        <w:r w:rsidRPr="00922721">
                          <w:rPr>
                            <w:rFonts w:ascii="Calibri" w:hAnsi="Calibri" w:cs="Calibri"/>
                            <w:sz w:val="14"/>
                            <w:szCs w:val="14"/>
                            <w:lang w:val="es-ES"/>
                          </w:rPr>
                          <w:t>Plan de Acción de B</w:t>
                        </w:r>
                        <w:r w:rsidRPr="00922721">
                          <w:rPr>
                            <w:rFonts w:ascii="Calibri" w:hAnsi="Calibri" w:cs="Calibri" w:hint="eastAsia"/>
                            <w:sz w:val="14"/>
                            <w:szCs w:val="14"/>
                            <w:lang w:val="es-ES"/>
                          </w:rPr>
                          <w:t>ak</w:t>
                        </w:r>
                        <w:r w:rsidRPr="00922721">
                          <w:rPr>
                            <w:rFonts w:ascii="Calibri" w:hAnsi="Calibri" w:cs="Calibri"/>
                            <w:sz w:val="14"/>
                            <w:szCs w:val="14"/>
                            <w:lang w:val="es-ES"/>
                          </w:rPr>
                          <w:t>ú</w:t>
                        </w:r>
                      </w:p>
                      <w:p w14:paraId="6E51BDB8" w14:textId="77777777" w:rsidR="009825A0" w:rsidRPr="00922721" w:rsidRDefault="009825A0" w:rsidP="009825A0">
                        <w:pPr>
                          <w:snapToGrid w:val="0"/>
                          <w:jc w:val="center"/>
                          <w:rPr>
                            <w:rFonts w:ascii="Calibri" w:hAnsi="Calibri" w:cs="Calibri"/>
                            <w:i/>
                            <w:iCs/>
                            <w:sz w:val="14"/>
                            <w:szCs w:val="14"/>
                            <w:lang w:val="es-ES"/>
                          </w:rPr>
                        </w:pPr>
                        <w:r w:rsidRPr="00922721">
                          <w:rPr>
                            <w:rFonts w:ascii="Calibri" w:hAnsi="Calibri" w:cs="Calibri"/>
                            <w:i/>
                            <w:iCs/>
                            <w:sz w:val="14"/>
                            <w:szCs w:val="14"/>
                            <w:lang w:val="es-ES"/>
                          </w:rPr>
                          <w:t>Prioridades del UIT-D</w:t>
                        </w:r>
                      </w:p>
                      <w:p w14:paraId="50E83F44" w14:textId="77777777" w:rsidR="009825A0" w:rsidRPr="00922721" w:rsidRDefault="009825A0" w:rsidP="009825A0">
                        <w:pPr>
                          <w:snapToGrid w:val="0"/>
                          <w:jc w:val="center"/>
                          <w:rPr>
                            <w:rFonts w:ascii="Calibri" w:hAnsi="Calibri" w:cs="Calibri"/>
                            <w:i/>
                            <w:iCs/>
                            <w:sz w:val="14"/>
                            <w:szCs w:val="14"/>
                            <w:lang w:val="es-ES"/>
                          </w:rPr>
                        </w:pPr>
                      </w:p>
                      <w:p w14:paraId="78D0049E" w14:textId="77777777" w:rsidR="009825A0" w:rsidRPr="00922721" w:rsidRDefault="009825A0" w:rsidP="009825A0">
                        <w:pPr>
                          <w:snapToGrid w:val="0"/>
                          <w:jc w:val="center"/>
                          <w:rPr>
                            <w:rFonts w:ascii="Calibri" w:hAnsi="Calibri" w:cs="Calibri"/>
                            <w:i/>
                            <w:iCs/>
                            <w:sz w:val="14"/>
                            <w:szCs w:val="14"/>
                            <w:lang w:val="es-ES"/>
                          </w:rPr>
                        </w:pPr>
                      </w:p>
                      <w:p w14:paraId="5F4E1756" w14:textId="77777777" w:rsidR="009825A0" w:rsidRPr="00922721" w:rsidRDefault="009825A0" w:rsidP="009825A0">
                        <w:pPr>
                          <w:snapToGrid w:val="0"/>
                          <w:jc w:val="center"/>
                          <w:rPr>
                            <w:rFonts w:ascii="Calibri" w:hAnsi="Calibri" w:cs="Calibri"/>
                            <w:i/>
                            <w:iCs/>
                            <w:sz w:val="14"/>
                            <w:szCs w:val="14"/>
                            <w:lang w:val="es-ES"/>
                          </w:rPr>
                        </w:pPr>
                      </w:p>
                      <w:p w14:paraId="51E2147C" w14:textId="77777777" w:rsidR="009825A0" w:rsidRPr="00922721" w:rsidRDefault="009825A0" w:rsidP="009825A0">
                        <w:pPr>
                          <w:snapToGrid w:val="0"/>
                          <w:jc w:val="center"/>
                          <w:rPr>
                            <w:rFonts w:ascii="Calibri" w:hAnsi="Calibri" w:cs="Calibri"/>
                            <w:i/>
                            <w:iCs/>
                            <w:sz w:val="14"/>
                            <w:szCs w:val="14"/>
                            <w:lang w:val="es-ES"/>
                          </w:rPr>
                        </w:pPr>
                      </w:p>
                      <w:p w14:paraId="6938B582" w14:textId="77777777" w:rsidR="009825A0" w:rsidRPr="00922721" w:rsidRDefault="009825A0" w:rsidP="009825A0">
                        <w:pPr>
                          <w:snapToGrid w:val="0"/>
                          <w:jc w:val="center"/>
                          <w:rPr>
                            <w:rFonts w:ascii="Calibri" w:hAnsi="Calibri" w:cs="Calibri"/>
                            <w:i/>
                            <w:iCs/>
                            <w:sz w:val="14"/>
                            <w:szCs w:val="14"/>
                            <w:lang w:val="es-ES"/>
                          </w:rPr>
                        </w:pPr>
                      </w:p>
                      <w:p w14:paraId="3F981B9C" w14:textId="77777777" w:rsidR="009825A0" w:rsidRPr="00922721" w:rsidRDefault="009825A0" w:rsidP="009825A0">
                        <w:pPr>
                          <w:snapToGrid w:val="0"/>
                          <w:jc w:val="center"/>
                          <w:rPr>
                            <w:rFonts w:ascii="Calibri" w:hAnsi="Calibri" w:cs="Calibri"/>
                            <w:i/>
                            <w:iCs/>
                            <w:sz w:val="14"/>
                            <w:szCs w:val="14"/>
                            <w:lang w:val="es-ES"/>
                          </w:rPr>
                        </w:pPr>
                      </w:p>
                      <w:p w14:paraId="49681247" w14:textId="77777777" w:rsidR="009825A0" w:rsidRPr="00922721" w:rsidRDefault="009825A0" w:rsidP="009825A0">
                        <w:pPr>
                          <w:snapToGrid w:val="0"/>
                          <w:jc w:val="center"/>
                          <w:rPr>
                            <w:rFonts w:ascii="Calibri" w:hAnsi="Calibri" w:cs="Calibri"/>
                            <w:i/>
                            <w:iCs/>
                            <w:sz w:val="14"/>
                            <w:szCs w:val="14"/>
                            <w:lang w:val="es-ES"/>
                          </w:rPr>
                        </w:pPr>
                      </w:p>
                      <w:p w14:paraId="38920922" w14:textId="77777777" w:rsidR="009825A0" w:rsidRPr="00922721" w:rsidRDefault="009825A0" w:rsidP="009825A0">
                        <w:pPr>
                          <w:snapToGrid w:val="0"/>
                          <w:jc w:val="center"/>
                          <w:rPr>
                            <w:rFonts w:ascii="Calibri" w:hAnsi="Calibri" w:cs="Calibri"/>
                            <w:i/>
                            <w:iCs/>
                            <w:sz w:val="14"/>
                            <w:szCs w:val="14"/>
                            <w:lang w:val="es-ES"/>
                          </w:rPr>
                        </w:pPr>
                      </w:p>
                      <w:p w14:paraId="557520F0" w14:textId="77777777" w:rsidR="009825A0" w:rsidRPr="00922721" w:rsidRDefault="009825A0" w:rsidP="009825A0">
                        <w:pPr>
                          <w:snapToGrid w:val="0"/>
                          <w:jc w:val="center"/>
                          <w:rPr>
                            <w:rFonts w:ascii="Calibri" w:hAnsi="Calibri" w:cs="Calibri"/>
                            <w:i/>
                            <w:iCs/>
                            <w:sz w:val="14"/>
                            <w:szCs w:val="14"/>
                            <w:lang w:val="es-ES"/>
                          </w:rPr>
                        </w:pPr>
                      </w:p>
                      <w:p w14:paraId="097D6AE3" w14:textId="77777777" w:rsidR="009825A0" w:rsidRPr="00922721" w:rsidRDefault="009825A0" w:rsidP="009825A0">
                        <w:pPr>
                          <w:snapToGrid w:val="0"/>
                          <w:jc w:val="center"/>
                          <w:rPr>
                            <w:rFonts w:ascii="Calibri" w:hAnsi="Calibri" w:cs="Calibri"/>
                            <w:i/>
                            <w:iCs/>
                            <w:sz w:val="14"/>
                            <w:szCs w:val="14"/>
                            <w:lang w:val="es-ES"/>
                          </w:rPr>
                        </w:pPr>
                      </w:p>
                      <w:p w14:paraId="2B7A35D2" w14:textId="77777777" w:rsidR="009825A0" w:rsidRPr="00922721" w:rsidRDefault="009825A0" w:rsidP="009825A0">
                        <w:pPr>
                          <w:snapToGrid w:val="0"/>
                          <w:jc w:val="center"/>
                          <w:rPr>
                            <w:rFonts w:ascii="Calibri" w:hAnsi="Calibri" w:cs="Calibri"/>
                            <w:i/>
                            <w:iCs/>
                            <w:sz w:val="14"/>
                            <w:szCs w:val="14"/>
                            <w:lang w:val="es-ES"/>
                          </w:rPr>
                        </w:pPr>
                      </w:p>
                      <w:p w14:paraId="0A6F8B57" w14:textId="77777777" w:rsidR="009825A0" w:rsidRPr="00922721" w:rsidRDefault="009825A0" w:rsidP="009825A0">
                        <w:pPr>
                          <w:snapToGrid w:val="0"/>
                          <w:jc w:val="center"/>
                          <w:rPr>
                            <w:rFonts w:ascii="Calibri" w:hAnsi="Calibri" w:cs="Calibri"/>
                            <w:i/>
                            <w:iCs/>
                            <w:sz w:val="14"/>
                            <w:szCs w:val="14"/>
                            <w:lang w:val="es-ES"/>
                          </w:rPr>
                        </w:pPr>
                      </w:p>
                      <w:p w14:paraId="7441381B" w14:textId="77777777" w:rsidR="009825A0" w:rsidRPr="00922721" w:rsidRDefault="009825A0" w:rsidP="009825A0">
                        <w:pPr>
                          <w:snapToGrid w:val="0"/>
                          <w:jc w:val="center"/>
                          <w:rPr>
                            <w:rFonts w:ascii="Calibri" w:hAnsi="Calibri" w:cs="Calibri"/>
                            <w:i/>
                            <w:iCs/>
                            <w:sz w:val="14"/>
                            <w:szCs w:val="14"/>
                            <w:lang w:val="es-ES"/>
                          </w:rPr>
                        </w:pPr>
                      </w:p>
                      <w:p w14:paraId="05126A29" w14:textId="77777777" w:rsidR="009825A0" w:rsidRPr="005A2B40" w:rsidRDefault="009825A0" w:rsidP="009825A0">
                        <w:pPr>
                          <w:snapToGrid w:val="0"/>
                          <w:jc w:val="center"/>
                          <w:rPr>
                            <w:rFonts w:ascii="Calibri" w:hAnsi="Calibri" w:cs="Calibri"/>
                            <w:sz w:val="14"/>
                            <w:szCs w:val="14"/>
                          </w:rPr>
                        </w:pPr>
                        <w:r>
                          <w:rPr>
                            <w:rFonts w:ascii="Calibri" w:hAnsi="Calibri" w:cs="Calibri"/>
                            <w:sz w:val="14"/>
                            <w:szCs w:val="14"/>
                          </w:rPr>
                          <w:t>Miembros del UIT</w:t>
                        </w:r>
                        <w:r w:rsidRPr="005A2B40">
                          <w:rPr>
                            <w:rFonts w:ascii="Calibri" w:hAnsi="Calibri" w:cs="Calibri"/>
                            <w:sz w:val="14"/>
                            <w:szCs w:val="14"/>
                          </w:rPr>
                          <w:t>-D</w:t>
                        </w:r>
                      </w:p>
                    </w:txbxContent>
                  </v:textbox>
                </v:roundrect>
                <v:roundrect id="圆角矩形 6" o:spid="_x0000_s1032" style="position:absolute;left:578;top:12153;width:7792;height:59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" fillcolor="white [3212]" stroked="f" strokeweight="2pt">
                  <v:textbox inset="2mm,,2mm">
                    <w:txbxContent>
                      <w:p w14:paraId="64E91522" w14:textId="77777777" w:rsidR="009825A0" w:rsidRPr="00230FA9" w:rsidRDefault="009825A0" w:rsidP="009825A0">
                        <w:pPr>
                          <w:snapToGrid w:val="0"/>
                          <w:jc w:val="center"/>
                          <w:rPr>
                            <w:rFonts w:ascii="Calibri" w:hAnsi="Calibri" w:cs="Calibri"/>
                            <w:color w:val="3071C3" w:themeColor="text2" w:themeTint="BF"/>
                            <w:sz w:val="14"/>
                            <w:szCs w:val="14"/>
                            <w:lang w:val="es-ES"/>
                          </w:rPr>
                        </w:pPr>
                        <w:r>
                          <w:rPr>
                            <w:rFonts w:ascii="Calibri" w:hAnsi="Calibri" w:cs="Calibri"/>
                            <w:color w:val="3071C3" w:themeColor="text2" w:themeTint="BF"/>
                            <w:sz w:val="14"/>
                            <w:szCs w:val="14"/>
                            <w:lang w:val="es-ES"/>
                          </w:rPr>
                          <w:t>Conectividad asequible</w:t>
                        </w:r>
                      </w:p>
                    </w:txbxContent>
                  </v:textbox>
                </v:roundrect>
                <v:roundrect id="圆角矩形 6" o:spid="_x0000_s1033" style="position:absolute;left:8970;top:12153;width:7791;height:59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" fillcolor="white [3212]" stroked="f" strokeweight="2pt">
                  <v:textbox inset="2mm,,2mm">
                    <w:txbxContent>
                      <w:p w14:paraId="1746769C" w14:textId="77777777" w:rsidR="009825A0" w:rsidRPr="00922721" w:rsidRDefault="009825A0" w:rsidP="009825A0">
                        <w:pPr>
                          <w:snapToGrid w:val="0"/>
                          <w:jc w:val="center"/>
                          <w:rPr>
                            <w:rFonts w:ascii="Calibri" w:hAnsi="Calibri" w:cs="Calibri"/>
                            <w:color w:val="3071C3" w:themeColor="text2" w:themeTint="BF"/>
                            <w:sz w:val="14"/>
                            <w:szCs w:val="14"/>
                            <w:lang w:val="es-ES"/>
                          </w:rPr>
                        </w:pPr>
                        <w:r w:rsidRPr="00922721">
                          <w:rPr>
                            <w:rFonts w:ascii="Calibri" w:hAnsi="Calibri" w:cs="Calibri"/>
                            <w:color w:val="3071C3" w:themeColor="text2" w:themeTint="BF"/>
                            <w:sz w:val="14"/>
                            <w:szCs w:val="14"/>
                            <w:lang w:val="es-ES"/>
                          </w:rPr>
                          <w:t>Transformación digital</w:t>
                        </w:r>
                      </w:p>
                    </w:txbxContent>
                  </v:textbox>
                </v:roundrect>
                <v:roundrect id="圆角矩形 6" o:spid="_x0000_s1034" style="position:absolute;left:17477;top:12153;width:7792;height:59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" fillcolor="white [3212]" stroked="f" strokeweight="2pt">
                  <v:textbox inset="2mm,,2mm">
                    <w:txbxContent>
                      <w:p w14:paraId="2A7C0C1D" w14:textId="77777777" w:rsidR="009825A0" w:rsidRPr="00922721" w:rsidRDefault="009825A0" w:rsidP="009825A0">
                        <w:pPr>
                          <w:snapToGrid w:val="0"/>
                          <w:jc w:val="center"/>
                          <w:rPr>
                            <w:rFonts w:ascii="Calibri" w:hAnsi="Calibri" w:cs="Calibri"/>
                            <w:color w:val="3071C3" w:themeColor="text2" w:themeTint="BF"/>
                            <w:sz w:val="14"/>
                            <w:szCs w:val="14"/>
                            <w:lang w:val="es-ES"/>
                          </w:rPr>
                        </w:pPr>
                        <w:r w:rsidRPr="00922721">
                          <w:rPr>
                            <w:rFonts w:ascii="Calibri" w:hAnsi="Calibri" w:cs="Calibri"/>
                            <w:color w:val="3071C3" w:themeColor="text2" w:themeTint="BF"/>
                            <w:sz w:val="14"/>
                            <w:szCs w:val="14"/>
                            <w:lang w:val="es-ES"/>
                          </w:rPr>
                          <w:t>Entorno político y normativo propicio</w:t>
                        </w:r>
                      </w:p>
                    </w:txbxContent>
                  </v:textbox>
                </v:roundrect>
                <v:roundrect id="圆角矩形 6" o:spid="_x0000_s1035" style="position:absolute;left:25927;top:12153;width:7791;height:59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" fillcolor="white [3212]" stroked="f" strokeweight="2pt">
                  <v:textbox inset="0,,0">
                    <w:txbxContent>
                      <w:p w14:paraId="5DDA7AA8" w14:textId="77777777" w:rsidR="009825A0" w:rsidRPr="00922721" w:rsidRDefault="009825A0" w:rsidP="009825A0">
                        <w:pPr>
                          <w:snapToGrid w:val="0"/>
                          <w:jc w:val="center"/>
                          <w:rPr>
                            <w:rFonts w:ascii="Calibri" w:hAnsi="Calibri" w:cs="Calibri"/>
                            <w:color w:val="3071C3" w:themeColor="text2" w:themeTint="BF"/>
                            <w:sz w:val="14"/>
                            <w:szCs w:val="14"/>
                            <w:lang w:val="es-ES"/>
                          </w:rPr>
                        </w:pPr>
                        <w:r w:rsidRPr="00922721">
                          <w:rPr>
                            <w:rFonts w:ascii="Calibri" w:hAnsi="Calibri" w:cs="Calibri"/>
                            <w:color w:val="3071C3" w:themeColor="text2" w:themeTint="BF"/>
                            <w:sz w:val="14"/>
                            <w:szCs w:val="14"/>
                            <w:lang w:val="es-ES"/>
                          </w:rPr>
                          <w:t>Movilización de recursos y cooperación internacional</w:t>
                        </w:r>
                      </w:p>
                    </w:txbxContent>
                  </v:textbox>
                </v:roundrect>
                <v:roundrect id="圆角矩形 6" o:spid="_x0000_s1036" style="position:absolute;left:34376;top:12153;width:8306;height:59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" fillcolor="white [3212]" stroked="f" strokeweight="2pt">
                  <v:textbox inset="0,,0">
                    <w:txbxContent>
                      <w:p w14:paraId="1F3937CA" w14:textId="2F679D26" w:rsidR="009825A0" w:rsidRPr="00922721" w:rsidRDefault="009825A0" w:rsidP="009825A0">
                        <w:pPr>
                          <w:snapToGrid w:val="0"/>
                          <w:jc w:val="center"/>
                          <w:rPr>
                            <w:rFonts w:ascii="Calibri" w:hAnsi="Calibri" w:cs="Calibri"/>
                            <w:color w:val="3071C3" w:themeColor="text2" w:themeTint="BF"/>
                            <w:sz w:val="14"/>
                            <w:szCs w:val="14"/>
                            <w:lang w:val="es-ES"/>
                          </w:rPr>
                        </w:pPr>
                        <w:r w:rsidRPr="00922721">
                          <w:rPr>
                            <w:rFonts w:ascii="Calibri" w:hAnsi="Calibri" w:cs="Calibri"/>
                            <w:color w:val="3071C3" w:themeColor="text2" w:themeTint="BF"/>
                            <w:sz w:val="14"/>
                            <w:szCs w:val="14"/>
                            <w:lang w:val="es-ES"/>
                          </w:rPr>
                          <w:t>Telecomunicaciones/TIC inclusivas y seguras para el</w:t>
                        </w:r>
                        <w:r w:rsidR="00B856F3">
                          <w:rPr>
                            <w:rFonts w:ascii="Calibri" w:hAnsi="Calibri" w:cs="Calibri"/>
                            <w:color w:val="3071C3" w:themeColor="text2" w:themeTint="BF"/>
                            <w:sz w:val="14"/>
                            <w:szCs w:val="14"/>
                            <w:lang w:val="es-ES"/>
                          </w:rPr>
                          <w:t> </w:t>
                        </w:r>
                        <w:r w:rsidRPr="00922721">
                          <w:rPr>
                            <w:rFonts w:ascii="Calibri" w:hAnsi="Calibri" w:cs="Calibri"/>
                            <w:color w:val="3071C3" w:themeColor="text2" w:themeTint="BF"/>
                            <w:sz w:val="14"/>
                            <w:szCs w:val="14"/>
                            <w:lang w:val="es-ES"/>
                          </w:rPr>
                          <w:t>desarrollo sostenible</w:t>
                        </w:r>
                      </w:p>
                    </w:txbxContent>
                  </v:textbox>
                </v:roundrect>
                <v:shape id="上箭头 7" o:spid="_x0000_s1037" type="#_x0000_t68" style="position:absolute;left:7639;top:18750;width:28720;height:7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" adj="7628,2188" fillcolor="#bfbfbf [2412]" stroked="f" strokeweight="2pt"/>
                <v:roundrect id="圆角矩形 8" o:spid="_x0000_s1038" style="position:absolute;left:11053;top:21934;width:6566;height:40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" fillcolor="white [3212]" stroked="f" strokeweight="2pt">
                  <v:textbox>
                    <w:txbxContent>
                      <w:p w14:paraId="2862AB17" w14:textId="77777777" w:rsidR="009825A0" w:rsidRPr="00B856F3" w:rsidRDefault="009825A0" w:rsidP="009825A0">
                        <w:pPr>
                          <w:snapToGrid w:val="0"/>
                          <w:jc w:val="center"/>
                          <w:rPr>
                            <w:rFonts w:ascii="Calibri" w:hAnsi="Calibri" w:cs="Calibri"/>
                            <w:color w:val="3071C3" w:themeColor="text2" w:themeTint="BF"/>
                            <w:sz w:val="14"/>
                            <w:szCs w:val="14"/>
                            <w:lang w:val="es-ES"/>
                          </w:rPr>
                        </w:pPr>
                        <w:r w:rsidRPr="00B856F3">
                          <w:rPr>
                            <w:rFonts w:ascii="Calibri" w:hAnsi="Calibri" w:cs="Calibri"/>
                            <w:color w:val="3071C3" w:themeColor="text2" w:themeTint="BF"/>
                            <w:sz w:val="14"/>
                            <w:szCs w:val="14"/>
                            <w:lang w:val="es-ES"/>
                          </w:rPr>
                          <w:t>Iniciativas regionales</w:t>
                        </w:r>
                      </w:p>
                    </w:txbxContent>
                  </v:textbox>
                </v:roundrect>
                <v:roundrect id="圆角矩形 8" o:spid="_x0000_s1039" style="position:absolute;left:18288;top:21934;width:7117;height:40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" fillcolor="white [3212]" stroked="f" strokeweight="2pt">
                  <v:textbox>
                    <w:txbxContent>
                      <w:p w14:paraId="7D0DB9B2" w14:textId="77777777" w:rsidR="009825A0" w:rsidRPr="00B856F3" w:rsidRDefault="009825A0" w:rsidP="009825A0">
                        <w:pPr>
                          <w:snapToGrid w:val="0"/>
                          <w:jc w:val="center"/>
                          <w:rPr>
                            <w:rFonts w:ascii="Calibri" w:hAnsi="Calibri" w:cs="Calibri"/>
                            <w:color w:val="3071C3" w:themeColor="text2" w:themeTint="BF"/>
                            <w:sz w:val="14"/>
                            <w:szCs w:val="14"/>
                            <w:lang w:val="es-ES"/>
                          </w:rPr>
                        </w:pPr>
                        <w:r w:rsidRPr="00B856F3">
                          <w:rPr>
                            <w:rFonts w:ascii="Calibri" w:hAnsi="Calibri" w:cs="Calibri"/>
                            <w:color w:val="3071C3" w:themeColor="text2" w:themeTint="BF"/>
                            <w:sz w:val="14"/>
                            <w:szCs w:val="14"/>
                            <w:lang w:val="es-ES"/>
                          </w:rPr>
                          <w:t>Resoluciones</w:t>
                        </w:r>
                      </w:p>
                    </w:txbxContent>
                  </v:textbox>
                </v:roundrect>
                <v:roundrect id="圆角矩形 8" o:spid="_x0000_s1040" style="position:absolute;left:26332;top:21934;width:6566;height:40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" fillcolor="white [3212]" stroked="f" strokeweight="2pt">
                  <v:textbox inset="1mm,,1mm">
                    <w:txbxContent>
                      <w:p w14:paraId="3491D25D" w14:textId="40E09B23" w:rsidR="009825A0" w:rsidRPr="00230FA9" w:rsidRDefault="009825A0" w:rsidP="009825A0">
                        <w:pPr>
                          <w:snapToGrid w:val="0"/>
                          <w:jc w:val="center"/>
                          <w:rPr>
                            <w:rFonts w:ascii="Calibri" w:hAnsi="Calibri" w:cs="Calibri"/>
                            <w:color w:val="3071C3" w:themeColor="text2" w:themeTint="BF"/>
                            <w:sz w:val="14"/>
                            <w:szCs w:val="14"/>
                            <w:lang w:val="es-ES"/>
                          </w:rPr>
                        </w:pPr>
                        <w:r>
                          <w:rPr>
                            <w:rFonts w:ascii="Calibri" w:hAnsi="Calibri" w:cs="Calibri"/>
                            <w:color w:val="3071C3" w:themeColor="text2" w:themeTint="BF"/>
                            <w:sz w:val="14"/>
                            <w:szCs w:val="14"/>
                            <w:lang w:val="es-ES"/>
                          </w:rPr>
                          <w:t>Comisiones de</w:t>
                        </w:r>
                        <w:r w:rsidR="00141218">
                          <w:rPr>
                            <w:rFonts w:ascii="Calibri" w:hAnsi="Calibri" w:cs="Calibri"/>
                            <w:color w:val="3071C3" w:themeColor="text2" w:themeTint="BF"/>
                            <w:sz w:val="14"/>
                            <w:szCs w:val="14"/>
                            <w:lang w:val="es-ES"/>
                          </w:rPr>
                          <w:t> </w:t>
                        </w:r>
                        <w:r>
                          <w:rPr>
                            <w:rFonts w:ascii="Calibri" w:hAnsi="Calibri" w:cs="Calibri"/>
                            <w:color w:val="3071C3" w:themeColor="text2" w:themeTint="BF"/>
                            <w:sz w:val="14"/>
                            <w:szCs w:val="14"/>
                            <w:lang w:val="es-ES"/>
                          </w:rPr>
                          <w:t>Estudio</w:t>
                        </w:r>
                      </w:p>
                    </w:txbxContent>
                  </v:textbox>
                </v:roundrect>
                <w10:anchorlock/>
              </v:group>
            </w:pict>
          </mc:Fallback>
        </mc:AlternateContent>
      </w:r>
    </w:p>
    <w:p w14:paraId="46BA9738" w14:textId="0EE09062" w:rsidR="009825A0" w:rsidRPr="00072844" w:rsidRDefault="009825A0">
      <w:pPr>
        <w:tabs>
          <w:tab w:val="clear" w:pos="1134"/>
          <w:tab w:val="clear" w:pos="1871"/>
          <w:tab w:val="clear" w:pos="2268"/>
        </w:tabs>
        <w:overflowPunct/>
        <w:autoSpaceDE/>
        <w:autoSpaceDN/>
        <w:adjustRightInd/>
        <w:spacing w:before="0"/>
        <w:textAlignment w:val="auto"/>
        <w:rPr>
          <w:lang w:val="es-ES"/>
        </w:rPr>
      </w:pPr>
      <w:r w:rsidRPr="00072844">
        <w:rPr>
          <w:lang w:val="es-ES"/>
        </w:rPr>
        <w:br w:type="page"/>
      </w:r>
    </w:p>
    <w:p w14:paraId="580FBD91" w14:textId="789173DC" w:rsidR="009825A0" w:rsidRPr="00072844" w:rsidRDefault="00141218" w:rsidP="00141218">
      <w:pPr>
        <w:pStyle w:val="Annextitle"/>
        <w:rPr>
          <w:lang w:val="es-ES"/>
        </w:rPr>
      </w:pPr>
      <w:r w:rsidRPr="00072844">
        <w:rPr>
          <w:lang w:val="es-ES"/>
        </w:rPr>
        <w:lastRenderedPageBreak/>
        <w:t>Anexo 2</w:t>
      </w:r>
      <w:r w:rsidRPr="00072844">
        <w:rPr>
          <w:lang w:val="es-ES"/>
        </w:rPr>
        <w:br/>
      </w:r>
      <w:r w:rsidRPr="00072844">
        <w:rPr>
          <w:lang w:val="es-ES"/>
        </w:rPr>
        <w:br/>
      </w:r>
      <w:r w:rsidRPr="00072844">
        <w:rPr>
          <w:lang w:val="es-ES"/>
        </w:rPr>
        <w:t>Plan de trabajo de la Comisión de Estudio 2 del UIT-D</w:t>
      </w:r>
    </w:p>
    <w:p w14:paraId="7F16B395" w14:textId="4C644BE4" w:rsidR="00141218" w:rsidRPr="00072844" w:rsidRDefault="000176E6" w:rsidP="00141218">
      <w:pPr>
        <w:pStyle w:val="Figure"/>
        <w:rPr>
          <w:lang w:val="es-ES"/>
        </w:rPr>
      </w:pPr>
      <w:r w:rsidRPr="00072844">
        <w:rPr>
          <w:lang w:val="es-ES"/>
        </w:rPr>
        <w:drawing>
          <wp:inline distT="0" distB="0" distL="0" distR="0" wp14:anchorId="048AD837" wp14:editId="5E8C262D">
            <wp:extent cx="9072880" cy="47186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72880" cy="4718685"/>
                    </a:xfrm>
                    <a:prstGeom prst="rect">
                      <a:avLst/>
                    </a:prstGeom>
                    <a:noFill/>
                    <a:ln>
                      <a:noFill/>
                    </a:ln>
                  </pic:spPr>
                </pic:pic>
              </a:graphicData>
            </a:graphic>
          </wp:inline>
        </w:drawing>
      </w:r>
    </w:p>
    <w:p w14:paraId="70790A5A" w14:textId="77777777" w:rsidR="00B06557" w:rsidRPr="00072844" w:rsidRDefault="00B06557">
      <w:pPr>
        <w:jc w:val="center"/>
        <w:rPr>
          <w:lang w:val="es-ES"/>
        </w:rPr>
      </w:pPr>
      <w:r w:rsidRPr="00072844">
        <w:rPr>
          <w:lang w:val="es-ES"/>
        </w:rPr>
        <w:t>______________</w:t>
      </w:r>
    </w:p>
    <w:sectPr w:rsidR="00B06557" w:rsidRPr="00072844" w:rsidSect="009825A0">
      <w:headerReference w:type="default" r:id="rId23"/>
      <w:footerReference w:type="default" r:id="rId24"/>
      <w:headerReference w:type="first" r:id="rId25"/>
      <w:footerReference w:type="first" r:id="rId26"/>
      <w:pgSz w:w="16840" w:h="11907" w:orient="landscape" w:code="9"/>
      <w:pgMar w:top="1134" w:right="1418"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B7578" w14:textId="77777777" w:rsidR="00030D2A" w:rsidRDefault="00030D2A">
      <w:r>
        <w:separator/>
      </w:r>
    </w:p>
    <w:p w14:paraId="5846249B" w14:textId="77777777" w:rsidR="00030D2A" w:rsidRDefault="00030D2A"/>
  </w:endnote>
  <w:endnote w:type="continuationSeparator" w:id="0">
    <w:p w14:paraId="45C662BD" w14:textId="77777777" w:rsidR="00030D2A" w:rsidRDefault="00030D2A">
      <w:r>
        <w:continuationSeparator/>
      </w:r>
    </w:p>
    <w:p w14:paraId="66C6C539" w14:textId="77777777" w:rsidR="00030D2A" w:rsidRDefault="00030D2A"/>
  </w:endnote>
  <w:endnote w:type="continuationNotice" w:id="1">
    <w:p w14:paraId="0F45DF3C" w14:textId="77777777" w:rsidR="00030D2A" w:rsidRDefault="00030D2A">
      <w:pPr>
        <w:spacing w:before="0"/>
      </w:pPr>
    </w:p>
    <w:p w14:paraId="0691C8A8" w14:textId="77777777" w:rsidR="00030D2A" w:rsidRDefault="00030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panose1 w:val="020B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Look w:val="04A0" w:firstRow="1" w:lastRow="0" w:firstColumn="1" w:lastColumn="0" w:noHBand="0" w:noVBand="1"/>
    </w:tblPr>
    <w:tblGrid>
      <w:gridCol w:w="1526"/>
      <w:gridCol w:w="2524"/>
      <w:gridCol w:w="5873"/>
    </w:tblGrid>
    <w:tr w:rsidR="00852EB9" w:rsidRPr="00852EB9" w14:paraId="0250776B" w14:textId="77777777" w:rsidTr="00852EB9">
      <w:tc>
        <w:tcPr>
          <w:tcW w:w="1526" w:type="dxa"/>
          <w:tcBorders>
            <w:top w:val="single" w:sz="4" w:space="0" w:color="000000"/>
          </w:tcBorders>
        </w:tcPr>
        <w:p w14:paraId="7B97426B" w14:textId="6F8D125A" w:rsidR="00852EB9" w:rsidRPr="00F42215" w:rsidRDefault="00852EB9" w:rsidP="00852EB9">
          <w:pPr>
            <w:pStyle w:val="FirstFooter"/>
            <w:tabs>
              <w:tab w:val="left" w:pos="2302"/>
            </w:tabs>
            <w:ind w:left="2302" w:hanging="2302"/>
            <w:rPr>
              <w:sz w:val="18"/>
              <w:szCs w:val="18"/>
              <w:lang w:val="es-ES"/>
            </w:rPr>
          </w:pPr>
          <w:r w:rsidRPr="00F42215">
            <w:rPr>
              <w:sz w:val="18"/>
              <w:szCs w:val="18"/>
              <w:lang w:val="es-ES"/>
            </w:rPr>
            <w:t>Contacto:</w:t>
          </w:r>
        </w:p>
      </w:tc>
      <w:tc>
        <w:tcPr>
          <w:tcW w:w="2524" w:type="dxa"/>
          <w:tcBorders>
            <w:top w:val="single" w:sz="4" w:space="0" w:color="000000"/>
          </w:tcBorders>
        </w:tcPr>
        <w:p w14:paraId="74DBEBFE" w14:textId="3F1BB88F" w:rsidR="00852EB9" w:rsidRPr="00F42215" w:rsidRDefault="00852EB9" w:rsidP="00852EB9">
          <w:pPr>
            <w:pStyle w:val="FirstFooter"/>
            <w:tabs>
              <w:tab w:val="left" w:pos="2302"/>
            </w:tabs>
            <w:ind w:left="2302" w:hanging="2302"/>
            <w:rPr>
              <w:sz w:val="18"/>
              <w:szCs w:val="18"/>
              <w:lang w:val="es-ES"/>
            </w:rPr>
          </w:pPr>
          <w:r w:rsidRPr="00F42215">
            <w:rPr>
              <w:sz w:val="18"/>
              <w:szCs w:val="18"/>
              <w:lang w:val="es-ES"/>
            </w:rPr>
            <w:t>Nombre/Organización/Entidad:</w:t>
          </w:r>
        </w:p>
      </w:tc>
      <w:tc>
        <w:tcPr>
          <w:tcW w:w="5873" w:type="dxa"/>
          <w:tcBorders>
            <w:top w:val="single" w:sz="4" w:space="0" w:color="000000"/>
          </w:tcBorders>
        </w:tcPr>
        <w:p w14:paraId="66070DC2" w14:textId="17ADAA6B" w:rsidR="00852EB9" w:rsidRPr="00F42215" w:rsidRDefault="00852EB9" w:rsidP="00852EB9">
          <w:pPr>
            <w:pStyle w:val="FirstFooter"/>
            <w:tabs>
              <w:tab w:val="left" w:pos="2302"/>
            </w:tabs>
            <w:rPr>
              <w:sz w:val="18"/>
              <w:szCs w:val="18"/>
              <w:lang w:val="es-ES"/>
            </w:rPr>
          </w:pPr>
          <w:r>
            <w:rPr>
              <w:lang w:val="es-ES"/>
            </w:rPr>
            <w:t>Sr. Fadel Digham, Presidente de la Comisión de Estudio 2 del UIT-D</w:t>
          </w:r>
        </w:p>
      </w:tc>
      <w:bookmarkStart w:id="10" w:name="OrgName"/>
      <w:bookmarkEnd w:id="10"/>
    </w:tr>
    <w:tr w:rsidR="00852EB9" w:rsidRPr="004D495C" w14:paraId="5230281A" w14:textId="77777777" w:rsidTr="00852EB9">
      <w:tc>
        <w:tcPr>
          <w:tcW w:w="1526" w:type="dxa"/>
        </w:tcPr>
        <w:p w14:paraId="6401EE47" w14:textId="77777777" w:rsidR="00852EB9" w:rsidRPr="00F42215" w:rsidRDefault="00852EB9" w:rsidP="00852EB9">
          <w:pPr>
            <w:pStyle w:val="FirstFooter"/>
            <w:tabs>
              <w:tab w:val="left" w:pos="1559"/>
              <w:tab w:val="left" w:pos="3828"/>
            </w:tabs>
            <w:rPr>
              <w:sz w:val="18"/>
              <w:szCs w:val="18"/>
              <w:lang w:val="es-ES"/>
            </w:rPr>
          </w:pPr>
        </w:p>
      </w:tc>
      <w:tc>
        <w:tcPr>
          <w:tcW w:w="2524" w:type="dxa"/>
        </w:tcPr>
        <w:p w14:paraId="391F12A8" w14:textId="33C02653" w:rsidR="00852EB9" w:rsidRPr="00F42215" w:rsidRDefault="00852EB9" w:rsidP="00852EB9">
          <w:pPr>
            <w:pStyle w:val="FirstFooter"/>
            <w:tabs>
              <w:tab w:val="left" w:pos="2302"/>
            </w:tabs>
            <w:ind w:left="2302" w:hanging="2302"/>
            <w:rPr>
              <w:sz w:val="18"/>
              <w:szCs w:val="18"/>
              <w:lang w:val="es-ES"/>
            </w:rPr>
          </w:pPr>
          <w:r w:rsidRPr="00F42215">
            <w:rPr>
              <w:sz w:val="18"/>
              <w:szCs w:val="18"/>
              <w:lang w:val="es-ES"/>
            </w:rPr>
            <w:t>Teléfono:</w:t>
          </w:r>
        </w:p>
      </w:tc>
      <w:tc>
        <w:tcPr>
          <w:tcW w:w="5873" w:type="dxa"/>
        </w:tcPr>
        <w:p w14:paraId="3960795A" w14:textId="7C6F81B7" w:rsidR="00852EB9" w:rsidRPr="00F42215" w:rsidRDefault="00852EB9" w:rsidP="00852EB9">
          <w:pPr>
            <w:pStyle w:val="FirstFooter"/>
            <w:tabs>
              <w:tab w:val="left" w:pos="2302"/>
            </w:tabs>
            <w:rPr>
              <w:sz w:val="18"/>
              <w:szCs w:val="18"/>
              <w:lang w:val="es-ES"/>
            </w:rPr>
          </w:pPr>
          <w:r>
            <w:rPr>
              <w:lang w:val="es-ES"/>
            </w:rPr>
            <w:t>+20 100225 8599</w:t>
          </w:r>
        </w:p>
      </w:tc>
      <w:bookmarkStart w:id="11" w:name="PhoneNo"/>
      <w:bookmarkEnd w:id="11"/>
    </w:tr>
    <w:tr w:rsidR="00852EB9" w:rsidRPr="00852EB9" w14:paraId="75C00FB1" w14:textId="77777777" w:rsidTr="00852EB9">
      <w:tc>
        <w:tcPr>
          <w:tcW w:w="1526" w:type="dxa"/>
        </w:tcPr>
        <w:p w14:paraId="1C7F3E4C" w14:textId="77777777" w:rsidR="00852EB9" w:rsidRPr="00F42215" w:rsidRDefault="00852EB9" w:rsidP="00852EB9">
          <w:pPr>
            <w:pStyle w:val="FirstFooter"/>
            <w:tabs>
              <w:tab w:val="left" w:pos="1559"/>
              <w:tab w:val="left" w:pos="3828"/>
            </w:tabs>
            <w:rPr>
              <w:sz w:val="18"/>
              <w:szCs w:val="18"/>
              <w:lang w:val="es-ES"/>
            </w:rPr>
          </w:pPr>
        </w:p>
      </w:tc>
      <w:tc>
        <w:tcPr>
          <w:tcW w:w="2524" w:type="dxa"/>
        </w:tcPr>
        <w:p w14:paraId="58859CB6" w14:textId="008C889C" w:rsidR="00852EB9" w:rsidRPr="00F42215" w:rsidRDefault="00852EB9" w:rsidP="00852EB9">
          <w:pPr>
            <w:pStyle w:val="FirstFooter"/>
            <w:tabs>
              <w:tab w:val="left" w:pos="2302"/>
            </w:tabs>
            <w:ind w:left="2302" w:hanging="2302"/>
            <w:rPr>
              <w:sz w:val="18"/>
              <w:szCs w:val="18"/>
              <w:lang w:val="es-ES"/>
            </w:rPr>
          </w:pPr>
          <w:r w:rsidRPr="00F42215">
            <w:rPr>
              <w:sz w:val="18"/>
              <w:szCs w:val="18"/>
              <w:lang w:val="es-ES"/>
            </w:rPr>
            <w:t>Correo-e:</w:t>
          </w:r>
        </w:p>
      </w:tc>
      <w:tc>
        <w:tcPr>
          <w:tcW w:w="5873" w:type="dxa"/>
        </w:tcPr>
        <w:p w14:paraId="68822456" w14:textId="5CD0482F" w:rsidR="00852EB9" w:rsidRPr="00F42215" w:rsidRDefault="00852EB9" w:rsidP="00852EB9">
          <w:pPr>
            <w:pStyle w:val="FirstFooter"/>
            <w:tabs>
              <w:tab w:val="left" w:pos="2302"/>
            </w:tabs>
            <w:rPr>
              <w:sz w:val="18"/>
              <w:szCs w:val="18"/>
              <w:lang w:val="es-ES"/>
            </w:rPr>
          </w:pPr>
          <w:hyperlink r:id="rId1" w:history="1">
            <w:r w:rsidRPr="005C3907">
              <w:rPr>
                <w:rStyle w:val="Hyperlink"/>
                <w:lang w:val="es-ES"/>
              </w:rPr>
              <w:t>f</w:t>
            </w:r>
            <w:r w:rsidRPr="00852EB9">
              <w:rPr>
                <w:rStyle w:val="Hyperlink"/>
                <w:lang w:val="es-ES"/>
              </w:rPr>
              <w:t>digham@tra.gov.eg</w:t>
            </w:r>
            <w:r w:rsidRPr="00852EB9">
              <w:rPr>
                <w:lang w:val="es-ES"/>
              </w:rPr>
              <w:t xml:space="preserve">; </w:t>
            </w:r>
            <w:r w:rsidRPr="00852EB9">
              <w:rPr>
                <w:rStyle w:val="Hyperlink"/>
                <w:lang w:val="es-ES"/>
              </w:rPr>
              <w:t>fadel.digham@gmail.com</w:t>
            </w:r>
          </w:hyperlink>
        </w:p>
      </w:tc>
      <w:bookmarkStart w:id="12" w:name="Email"/>
      <w:bookmarkEnd w:id="12"/>
    </w:tr>
  </w:tbl>
  <w:p w14:paraId="4059E016" w14:textId="77777777" w:rsidR="00602CFD" w:rsidRPr="00852EB9" w:rsidRDefault="00602CFD" w:rsidP="00602CFD">
    <w:pPr>
      <w:pStyle w:val="Footer"/>
      <w:rPr>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5A0D3" w14:textId="77777777" w:rsidR="00072844" w:rsidRDefault="000728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76AE1" w14:textId="77777777" w:rsidR="009825A0" w:rsidRPr="00852EB9" w:rsidRDefault="009825A0" w:rsidP="00602CFD">
    <w:pPr>
      <w:pStyle w:val="Foo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01D44" w14:textId="77777777" w:rsidR="00030D2A" w:rsidRPr="0054377E" w:rsidRDefault="00030D2A" w:rsidP="0054377E">
      <w:pPr>
        <w:spacing w:before="0"/>
      </w:pPr>
      <w:r w:rsidRPr="0054377E">
        <w:rPr>
          <w:b/>
        </w:rPr>
        <w:t>_______________</w:t>
      </w:r>
    </w:p>
  </w:footnote>
  <w:footnote w:type="continuationSeparator" w:id="0">
    <w:p w14:paraId="650EE2A2" w14:textId="77777777" w:rsidR="00030D2A" w:rsidRDefault="00030D2A" w:rsidP="0054377E">
      <w:pPr>
        <w:spacing w:before="0"/>
      </w:pPr>
      <w:r>
        <w:continuationSeparator/>
      </w:r>
    </w:p>
    <w:p w14:paraId="07195A2A" w14:textId="77777777" w:rsidR="00030D2A" w:rsidRDefault="00030D2A"/>
  </w:footnote>
  <w:footnote w:type="continuationNotice" w:id="1">
    <w:p w14:paraId="338D08ED" w14:textId="77777777" w:rsidR="00030D2A" w:rsidRDefault="00030D2A">
      <w:pPr>
        <w:spacing w:before="0"/>
      </w:pPr>
    </w:p>
    <w:p w14:paraId="449C3E4B" w14:textId="77777777" w:rsidR="00030D2A" w:rsidRDefault="00030D2A"/>
  </w:footnote>
  <w:footnote w:id="2">
    <w:p w14:paraId="56621668" w14:textId="77777777" w:rsidR="00852EB9" w:rsidRPr="00852EB9" w:rsidRDefault="00852EB9" w:rsidP="00852EB9">
      <w:pPr>
        <w:pStyle w:val="FootnoteText"/>
        <w:spacing w:before="0"/>
        <w:rPr>
          <w:sz w:val="20"/>
          <w:lang w:val="es-ES"/>
        </w:rPr>
      </w:pPr>
      <w:r w:rsidRPr="005B5B86">
        <w:rPr>
          <w:rStyle w:val="FootnoteReference"/>
          <w:sz w:val="20"/>
          <w:lang w:val="es-ES"/>
        </w:rPr>
        <w:footnoteRef/>
      </w:r>
      <w:r>
        <w:rPr>
          <w:lang w:val="es-ES"/>
        </w:rPr>
        <w:t xml:space="preserve"> Fuente: Anexo 1 a la Resolución 2 (Rev. Bakú, 2025) de la CMDT</w:t>
      </w:r>
    </w:p>
  </w:footnote>
  <w:footnote w:id="3">
    <w:p w14:paraId="37A83459" w14:textId="4C17EAD0" w:rsidR="009825A0" w:rsidRPr="00A33860" w:rsidRDefault="009825A0" w:rsidP="009825A0">
      <w:pPr>
        <w:pStyle w:val="FootnoteText"/>
        <w:spacing w:before="0"/>
        <w:rPr>
          <w:sz w:val="20"/>
          <w:lang w:val="es-ES"/>
        </w:rPr>
      </w:pPr>
      <w:r w:rsidRPr="005B5B86">
        <w:rPr>
          <w:rStyle w:val="FootnoteReference"/>
          <w:sz w:val="20"/>
          <w:lang w:val="es-ES"/>
        </w:rPr>
        <w:footnoteRef/>
      </w:r>
      <w:r>
        <w:rPr>
          <w:lang w:val="es-ES"/>
        </w:rPr>
        <w:t xml:space="preserve"> Véase la Carta </w:t>
      </w:r>
      <w:r w:rsidRPr="000871F4">
        <w:rPr>
          <w:szCs w:val="24"/>
          <w:lang w:val="es-ES"/>
        </w:rPr>
        <w:t xml:space="preserve">Circular </w:t>
      </w:r>
      <w:hyperlink r:id="rId1" w:history="1">
        <w:r w:rsidRPr="000871F4">
          <w:rPr>
            <w:rStyle w:val="Hyperlink"/>
            <w:szCs w:val="24"/>
            <w:lang w:val="es-ES" w:eastAsia="ko-KR"/>
          </w:rPr>
          <w:t>BDT/PPS/CSTG-1</w:t>
        </w:r>
      </w:hyperlink>
      <w:r>
        <w:rPr>
          <w:lang w:val="es-ES"/>
        </w:rPr>
        <w:t>.</w:t>
      </w:r>
      <w:hyperlink r:id="rId2" w:history="1"/>
    </w:p>
  </w:footnote>
  <w:footnote w:id="4">
    <w:p w14:paraId="4AED10E0" w14:textId="77777777" w:rsidR="009825A0" w:rsidRPr="00A33860" w:rsidRDefault="009825A0" w:rsidP="009825A0">
      <w:pPr>
        <w:pStyle w:val="FootnoteText"/>
        <w:spacing w:before="0"/>
        <w:rPr>
          <w:sz w:val="20"/>
          <w:lang w:val="es-ES"/>
        </w:rPr>
      </w:pPr>
      <w:r w:rsidRPr="005B5B86">
        <w:rPr>
          <w:rStyle w:val="FootnoteReference"/>
          <w:sz w:val="20"/>
          <w:lang w:val="es-ES"/>
        </w:rPr>
        <w:footnoteRef/>
      </w:r>
      <w:r>
        <w:rPr>
          <w:lang w:val="es-ES"/>
        </w:rPr>
        <w:t xml:space="preserve"> Se puede visitar la página web de esta reunión </w:t>
      </w:r>
      <w:hyperlink r:id="rId3" w:history="1">
        <w:r w:rsidRPr="00214B3C">
          <w:rPr>
            <w:rStyle w:val="Hyperlink"/>
            <w:lang w:val="es-ES"/>
          </w:rPr>
          <w:t>aquí</w:t>
        </w:r>
      </w:hyperlink>
      <w:r>
        <w:rPr>
          <w:lang w:val="es-ES"/>
        </w:rPr>
        <w:t>.</w:t>
      </w:r>
      <w:hyperlink r:id="rId4" w:history="1"/>
    </w:p>
  </w:footnote>
  <w:footnote w:id="5">
    <w:p w14:paraId="03AD335A" w14:textId="77777777" w:rsidR="009825A0" w:rsidRPr="00A33860" w:rsidRDefault="009825A0" w:rsidP="009825A0">
      <w:pPr>
        <w:pStyle w:val="FootnoteText"/>
        <w:spacing w:before="0"/>
        <w:rPr>
          <w:sz w:val="20"/>
          <w:lang w:val="es-ES"/>
        </w:rPr>
      </w:pPr>
      <w:r w:rsidRPr="005B5B86">
        <w:rPr>
          <w:rStyle w:val="FootnoteReference"/>
          <w:sz w:val="20"/>
          <w:lang w:val="es-ES"/>
        </w:rPr>
        <w:footnoteRef/>
      </w:r>
      <w:r>
        <w:rPr>
          <w:lang w:val="es-ES"/>
        </w:rPr>
        <w:t xml:space="preserve"> Disponible en este </w:t>
      </w:r>
      <w:hyperlink r:id="rId5" w:history="1">
        <w:r w:rsidRPr="00214B3C">
          <w:rPr>
            <w:rStyle w:val="Hyperlink"/>
            <w:lang w:val="es-ES"/>
          </w:rPr>
          <w:t>enlace</w:t>
        </w:r>
      </w:hyperlink>
      <w:r>
        <w:rPr>
          <w:lang w:val="es-ES"/>
        </w:rPr>
        <w:t>.</w:t>
      </w:r>
      <w:hyperlink r:id="rId6" w:history="1"/>
    </w:p>
  </w:footnote>
  <w:footnote w:id="6">
    <w:p w14:paraId="69943561" w14:textId="50BCAFA6" w:rsidR="009825A0" w:rsidRPr="00A33860" w:rsidRDefault="009825A0" w:rsidP="009825A0">
      <w:pPr>
        <w:pStyle w:val="FootnoteText"/>
        <w:spacing w:before="0"/>
        <w:rPr>
          <w:sz w:val="20"/>
          <w:lang w:val="es-ES"/>
        </w:rPr>
      </w:pPr>
      <w:r w:rsidRPr="005B5B86">
        <w:rPr>
          <w:rStyle w:val="FootnoteReference"/>
          <w:sz w:val="20"/>
          <w:lang w:val="es-ES"/>
        </w:rPr>
        <w:footnoteRef/>
      </w:r>
      <w:r>
        <w:rPr>
          <w:lang w:val="es-ES"/>
        </w:rPr>
        <w:t xml:space="preserve"> Disponible en este </w:t>
      </w:r>
      <w:hyperlink r:id="rId7" w:history="1">
        <w:r w:rsidRPr="00274E20">
          <w:rPr>
            <w:rStyle w:val="Hyperlink"/>
            <w:lang w:val="es-ES"/>
          </w:rPr>
          <w:t>enlace</w:t>
        </w:r>
      </w:hyperlink>
      <w:r>
        <w:rPr>
          <w:lang w:val="es-ES"/>
        </w:rPr>
        <w:t>.</w:t>
      </w:r>
      <w:hyperlink r:id="rId8" w:history="1"/>
    </w:p>
  </w:footnote>
  <w:footnote w:id="7">
    <w:p w14:paraId="75D0B768" w14:textId="68312649" w:rsidR="009825A0" w:rsidRPr="00A33860" w:rsidRDefault="009825A0" w:rsidP="009825A0">
      <w:pPr>
        <w:pStyle w:val="FootnoteText"/>
        <w:spacing w:before="0"/>
        <w:rPr>
          <w:sz w:val="20"/>
          <w:lang w:val="es-ES"/>
        </w:rPr>
      </w:pPr>
      <w:r w:rsidRPr="005B5B86">
        <w:rPr>
          <w:rStyle w:val="FootnoteReference"/>
          <w:sz w:val="20"/>
          <w:lang w:val="es-ES"/>
        </w:rPr>
        <w:footnoteRef/>
      </w:r>
      <w:r>
        <w:rPr>
          <w:lang w:val="es-ES"/>
        </w:rPr>
        <w:t xml:space="preserve"> Disponible en este </w:t>
      </w:r>
      <w:hyperlink r:id="rId9" w:history="1">
        <w:r w:rsidRPr="00274E20">
          <w:rPr>
            <w:rStyle w:val="Hyperlink"/>
            <w:lang w:val="es-ES"/>
          </w:rPr>
          <w:t>enlace</w:t>
        </w:r>
      </w:hyperlink>
      <w:r>
        <w:rPr>
          <w:lang w:val="es-ES"/>
        </w:rPr>
        <w:t>.</w:t>
      </w:r>
      <w:hyperlink r:id="rId10" w:history="1"/>
    </w:p>
  </w:footnote>
  <w:footnote w:id="8">
    <w:p w14:paraId="24AB9718" w14:textId="14EA9EEF" w:rsidR="009825A0" w:rsidRPr="00A33860" w:rsidRDefault="009825A0" w:rsidP="009825A0">
      <w:pPr>
        <w:pStyle w:val="FootnoteText"/>
        <w:spacing w:before="0"/>
        <w:rPr>
          <w:rFonts w:cstheme="minorHAnsi"/>
          <w:sz w:val="20"/>
          <w:lang w:val="es-ES"/>
        </w:rPr>
      </w:pPr>
      <w:r w:rsidRPr="005B5B86">
        <w:rPr>
          <w:rStyle w:val="FootnoteReference"/>
          <w:rFonts w:cstheme="minorHAnsi"/>
          <w:sz w:val="20"/>
          <w:lang w:val="es-ES"/>
        </w:rPr>
        <w:footnoteRef/>
      </w:r>
      <w:r>
        <w:rPr>
          <w:lang w:val="es-ES"/>
        </w:rPr>
        <w:t xml:space="preserve"> El repositorio y tablón de contribuciones del periodo de estudios 2022-2025 puede consultarse </w:t>
      </w:r>
      <w:hyperlink r:id="rId11" w:history="1">
        <w:r w:rsidRPr="000176E6">
          <w:rPr>
            <w:rStyle w:val="Hyperlink"/>
            <w:lang w:val="es-ES"/>
          </w:rPr>
          <w:t>aquí</w:t>
        </w:r>
      </w:hyperlink>
      <w:r>
        <w:rPr>
          <w:lang w:val="es-ES"/>
        </w:rPr>
        <w:t>.</w:t>
      </w:r>
      <w:hyperlink r:id="rId12" w:history="1"/>
    </w:p>
  </w:footnote>
  <w:footnote w:id="9">
    <w:p w14:paraId="65D043F7" w14:textId="0BBF035E" w:rsidR="009825A0" w:rsidRPr="005B5B86" w:rsidRDefault="009825A0" w:rsidP="009825A0">
      <w:pPr>
        <w:pStyle w:val="FootnoteText"/>
        <w:spacing w:before="0"/>
        <w:rPr>
          <w:rFonts w:cstheme="minorHAnsi"/>
          <w:sz w:val="20"/>
        </w:rPr>
      </w:pPr>
      <w:r w:rsidRPr="005B5B86">
        <w:rPr>
          <w:rStyle w:val="FootnoteReference"/>
          <w:rFonts w:cstheme="minorHAnsi"/>
          <w:sz w:val="20"/>
          <w:lang w:val="es-ES"/>
        </w:rPr>
        <w:footnoteRef/>
      </w:r>
      <w:r>
        <w:rPr>
          <w:lang w:val="es-ES"/>
        </w:rPr>
        <w:t xml:space="preserve"> </w:t>
      </w:r>
      <w:hyperlink r:id="rId13" w:history="1">
        <w:r w:rsidRPr="000176E6">
          <w:rPr>
            <w:rStyle w:val="Hyperlink"/>
            <w:lang w:val="es-ES"/>
          </w:rPr>
          <w:t>https://translate.itu.int/documen</w:t>
        </w:r>
        <w:r w:rsidRPr="000176E6">
          <w:rPr>
            <w:rStyle w:val="Hyperlink"/>
            <w:lang w:val="es-ES"/>
          </w:rPr>
          <w:t>t</w:t>
        </w:r>
        <w:r w:rsidRPr="000176E6">
          <w:rPr>
            <w:rStyle w:val="Hyperlink"/>
            <w:lang w:val="es-ES"/>
          </w:rPr>
          <w:t>s</w:t>
        </w:r>
      </w:hyperlink>
      <w:r>
        <w:rPr>
          <w:lang w:val="es-ES"/>
        </w:rPr>
        <w:t>.</w:t>
      </w:r>
      <w:hyperlink r:id="rId14" w:history="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91B53" w14:textId="249A4642" w:rsidR="00636181" w:rsidRPr="00B41165" w:rsidRDefault="00636181" w:rsidP="005C3907">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852EB9">
      <w:rPr>
        <w:sz w:val="22"/>
        <w:szCs w:val="22"/>
        <w:lang w:val="es-ES_tradnl"/>
      </w:rPr>
      <w:t>6</w:t>
    </w:r>
    <w:r w:rsidRPr="00FF089C">
      <w:rPr>
        <w:sz w:val="22"/>
        <w:szCs w:val="22"/>
        <w:lang w:val="es-ES_tradnl"/>
      </w:rPr>
      <w:t>-</w:t>
    </w:r>
    <w:r w:rsidR="00357049">
      <w:rPr>
        <w:sz w:val="22"/>
        <w:szCs w:val="22"/>
        <w:lang w:val="es-ES_tradnl"/>
      </w:rPr>
      <w:t>S</w:t>
    </w:r>
    <w:r w:rsidRPr="00FF089C">
      <w:rPr>
        <w:sz w:val="22"/>
        <w:szCs w:val="22"/>
        <w:lang w:val="es-ES_tradnl"/>
      </w:rPr>
      <w:tab/>
      <w:t>P</w:t>
    </w:r>
    <w:r w:rsidR="00357049">
      <w:rPr>
        <w:sz w:val="22"/>
        <w:szCs w:val="22"/>
        <w:lang w:val="es-ES_tradnl"/>
      </w:rPr>
      <w:t>ágina</w:t>
    </w:r>
    <w:r w:rsidRPr="00FF089C">
      <w:rPr>
        <w:sz w:val="22"/>
        <w:szCs w:val="22"/>
        <w:lang w:val="es-ES_tradnl"/>
      </w:rPr>
      <w:t xml:space="preserv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8460A" w14:textId="77777777" w:rsidR="00072844" w:rsidRPr="00B41165" w:rsidRDefault="00072844" w:rsidP="00072844">
    <w:pPr>
      <w:tabs>
        <w:tab w:val="clear" w:pos="1134"/>
        <w:tab w:val="clear" w:pos="1871"/>
        <w:tab w:val="clear" w:pos="2268"/>
        <w:tab w:val="center" w:pos="7088"/>
        <w:tab w:val="right" w:pos="14003"/>
      </w:tabs>
      <w:ind w:right="1"/>
      <w:rPr>
        <w:smallCaps/>
        <w:spacing w:val="24"/>
        <w:sz w:val="22"/>
        <w:szCs w:val="22"/>
        <w:lang w:val="es-ES_tradnl"/>
      </w:rPr>
    </w:pPr>
    <w:r w:rsidRPr="004D495C">
      <w:rPr>
        <w:sz w:val="22"/>
        <w:szCs w:val="22"/>
      </w:rPr>
      <w:tab/>
    </w:r>
    <w:r>
      <w:rPr>
        <w:sz w:val="22"/>
        <w:szCs w:val="22"/>
        <w:lang w:val="es-ES_tradnl"/>
      </w:rPr>
      <w:t>TDAG-26</w:t>
    </w:r>
    <w:r w:rsidRPr="00FF089C">
      <w:rPr>
        <w:sz w:val="22"/>
        <w:szCs w:val="22"/>
        <w:lang w:val="es-ES_tradnl"/>
      </w:rPr>
      <w:t>/</w:t>
    </w:r>
    <w:r>
      <w:rPr>
        <w:sz w:val="22"/>
        <w:szCs w:val="22"/>
        <w:lang w:val="es-ES_tradnl"/>
      </w:rPr>
      <w:t>6</w:t>
    </w:r>
    <w:r w:rsidRPr="00FF089C">
      <w:rPr>
        <w:sz w:val="22"/>
        <w:szCs w:val="22"/>
        <w:lang w:val="es-ES_tradnl"/>
      </w:rPr>
      <w:t>-</w:t>
    </w:r>
    <w:r>
      <w:rPr>
        <w:sz w:val="22"/>
        <w:szCs w:val="22"/>
        <w:lang w:val="es-ES_tradnl"/>
      </w:rPr>
      <w:t>S</w:t>
    </w:r>
    <w:r w:rsidRPr="00FF089C">
      <w:rPr>
        <w:sz w:val="22"/>
        <w:szCs w:val="22"/>
        <w:lang w:val="es-ES_tradnl"/>
      </w:rPr>
      <w:tab/>
      <w:t>P</w:t>
    </w:r>
    <w:r>
      <w:rPr>
        <w:sz w:val="22"/>
        <w:szCs w:val="22"/>
        <w:lang w:val="es-ES_tradnl"/>
      </w:rPr>
      <w:t>ágina</w:t>
    </w:r>
    <w:r w:rsidRPr="00FF089C">
      <w:rPr>
        <w:sz w:val="22"/>
        <w:szCs w:val="22"/>
        <w:lang w:val="es-ES_tradnl"/>
      </w:rPr>
      <w:t xml:space="preserv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Pr>
        <w:noProof/>
        <w:sz w:val="22"/>
        <w:szCs w:val="22"/>
        <w:lang w:val="es-ES_tradnl"/>
      </w:rPr>
      <w:t>19</w:t>
    </w:r>
    <w:r w:rsidRPr="004D495C">
      <w:rP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481D1" w14:textId="77777777" w:rsidR="009825A0" w:rsidRPr="00B41165" w:rsidRDefault="009825A0" w:rsidP="009825A0">
    <w:pPr>
      <w:tabs>
        <w:tab w:val="clear" w:pos="1134"/>
        <w:tab w:val="clear" w:pos="1871"/>
        <w:tab w:val="clear" w:pos="2268"/>
        <w:tab w:val="center" w:pos="7088"/>
        <w:tab w:val="right" w:pos="14003"/>
      </w:tabs>
      <w:ind w:right="1"/>
      <w:rPr>
        <w:smallCaps/>
        <w:spacing w:val="24"/>
        <w:sz w:val="22"/>
        <w:szCs w:val="22"/>
        <w:lang w:val="es-ES_tradnl"/>
      </w:rPr>
    </w:pPr>
    <w:r w:rsidRPr="004D495C">
      <w:rPr>
        <w:sz w:val="22"/>
        <w:szCs w:val="22"/>
      </w:rPr>
      <w:tab/>
    </w:r>
    <w:r>
      <w:rPr>
        <w:sz w:val="22"/>
        <w:szCs w:val="22"/>
        <w:lang w:val="es-ES_tradnl"/>
      </w:rPr>
      <w:t>TDAG-26</w:t>
    </w:r>
    <w:r w:rsidRPr="00FF089C">
      <w:rPr>
        <w:sz w:val="22"/>
        <w:szCs w:val="22"/>
        <w:lang w:val="es-ES_tradnl"/>
      </w:rPr>
      <w:t>/</w:t>
    </w:r>
    <w:r>
      <w:rPr>
        <w:sz w:val="22"/>
        <w:szCs w:val="22"/>
        <w:lang w:val="es-ES_tradnl"/>
      </w:rPr>
      <w:t>6</w:t>
    </w:r>
    <w:r w:rsidRPr="00FF089C">
      <w:rPr>
        <w:sz w:val="22"/>
        <w:szCs w:val="22"/>
        <w:lang w:val="es-ES_tradnl"/>
      </w:rPr>
      <w:t>-</w:t>
    </w:r>
    <w:r>
      <w:rPr>
        <w:sz w:val="22"/>
        <w:szCs w:val="22"/>
        <w:lang w:val="es-ES_tradnl"/>
      </w:rPr>
      <w:t>S</w:t>
    </w:r>
    <w:r w:rsidRPr="00FF089C">
      <w:rPr>
        <w:sz w:val="22"/>
        <w:szCs w:val="22"/>
        <w:lang w:val="es-ES_tradnl"/>
      </w:rPr>
      <w:tab/>
      <w:t>P</w:t>
    </w:r>
    <w:r>
      <w:rPr>
        <w:sz w:val="22"/>
        <w:szCs w:val="22"/>
        <w:lang w:val="es-ES_tradnl"/>
      </w:rPr>
      <w:t>ágina</w:t>
    </w:r>
    <w:r w:rsidRPr="00FF089C">
      <w:rPr>
        <w:sz w:val="22"/>
        <w:szCs w:val="22"/>
        <w:lang w:val="es-ES_tradnl"/>
      </w:rPr>
      <w:t xml:space="preserv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Pr>
        <w:sz w:val="22"/>
        <w:szCs w:val="22"/>
      </w:rPr>
      <w:t>7</w:t>
    </w:r>
    <w:r w:rsidRPr="004D495C">
      <w:rPr>
        <w:sz w:val="22"/>
        <w:szCs w:val="22"/>
      </w:rPr>
      <w:fldChar w:fldCharType="end"/>
    </w:r>
  </w:p>
  <w:p w14:paraId="108B31DC" w14:textId="77777777" w:rsidR="009825A0" w:rsidRDefault="009825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5"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6"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1"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0"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38"/>
  </w:num>
  <w:num w:numId="4">
    <w:abstractNumId w:val="3"/>
  </w:num>
  <w:num w:numId="5">
    <w:abstractNumId w:val="30"/>
  </w:num>
  <w:num w:numId="6">
    <w:abstractNumId w:val="36"/>
  </w:num>
  <w:num w:numId="7">
    <w:abstractNumId w:val="4"/>
  </w:num>
  <w:num w:numId="8">
    <w:abstractNumId w:val="13"/>
  </w:num>
  <w:num w:numId="9">
    <w:abstractNumId w:val="6"/>
  </w:num>
  <w:num w:numId="10">
    <w:abstractNumId w:val="12"/>
  </w:num>
  <w:num w:numId="11">
    <w:abstractNumId w:val="28"/>
  </w:num>
  <w:num w:numId="12">
    <w:abstractNumId w:val="35"/>
  </w:num>
  <w:num w:numId="13">
    <w:abstractNumId w:val="2"/>
  </w:num>
  <w:num w:numId="14">
    <w:abstractNumId w:val="5"/>
  </w:num>
  <w:num w:numId="15">
    <w:abstractNumId w:val="11"/>
  </w:num>
  <w:num w:numId="16">
    <w:abstractNumId w:val="8"/>
  </w:num>
  <w:num w:numId="17">
    <w:abstractNumId w:val="41"/>
  </w:num>
  <w:num w:numId="18">
    <w:abstractNumId w:val="33"/>
  </w:num>
  <w:num w:numId="19">
    <w:abstractNumId w:val="17"/>
  </w:num>
  <w:num w:numId="20">
    <w:abstractNumId w:val="27"/>
  </w:num>
  <w:num w:numId="21">
    <w:abstractNumId w:val="26"/>
  </w:num>
  <w:num w:numId="22">
    <w:abstractNumId w:val="42"/>
  </w:num>
  <w:num w:numId="23">
    <w:abstractNumId w:val="22"/>
  </w:num>
  <w:num w:numId="24">
    <w:abstractNumId w:val="16"/>
  </w:num>
  <w:num w:numId="25">
    <w:abstractNumId w:val="19"/>
  </w:num>
  <w:num w:numId="26">
    <w:abstractNumId w:val="20"/>
  </w:num>
  <w:num w:numId="27">
    <w:abstractNumId w:val="23"/>
  </w:num>
  <w:num w:numId="28">
    <w:abstractNumId w:val="10"/>
  </w:num>
  <w:num w:numId="29">
    <w:abstractNumId w:val="24"/>
  </w:num>
  <w:num w:numId="30">
    <w:abstractNumId w:val="40"/>
  </w:num>
  <w:num w:numId="31">
    <w:abstractNumId w:val="25"/>
  </w:num>
  <w:num w:numId="32">
    <w:abstractNumId w:val="31"/>
  </w:num>
  <w:num w:numId="33">
    <w:abstractNumId w:val="18"/>
  </w:num>
  <w:num w:numId="34">
    <w:abstractNumId w:val="9"/>
  </w:num>
  <w:num w:numId="35">
    <w:abstractNumId w:val="34"/>
  </w:num>
  <w:num w:numId="36">
    <w:abstractNumId w:val="21"/>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37"/>
  </w:num>
  <w:num w:numId="40">
    <w:abstractNumId w:val="7"/>
  </w:num>
  <w:num w:numId="41">
    <w:abstractNumId w:val="43"/>
  </w:num>
  <w:num w:numId="42">
    <w:abstractNumId w:val="15"/>
  </w:num>
  <w:num w:numId="43">
    <w:abstractNumId w:val="14"/>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intFractionalCharacterWidth/>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176E6"/>
    <w:rsid w:val="00022A29"/>
    <w:rsid w:val="00025801"/>
    <w:rsid w:val="00025926"/>
    <w:rsid w:val="00025965"/>
    <w:rsid w:val="00030D2A"/>
    <w:rsid w:val="000355FD"/>
    <w:rsid w:val="0003589F"/>
    <w:rsid w:val="0005184F"/>
    <w:rsid w:val="00051E39"/>
    <w:rsid w:val="00053725"/>
    <w:rsid w:val="00054B72"/>
    <w:rsid w:val="0005581A"/>
    <w:rsid w:val="0005619C"/>
    <w:rsid w:val="0005747E"/>
    <w:rsid w:val="000604E5"/>
    <w:rsid w:val="000617DF"/>
    <w:rsid w:val="0006550B"/>
    <w:rsid w:val="0007000B"/>
    <w:rsid w:val="00072844"/>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871F4"/>
    <w:rsid w:val="000904F9"/>
    <w:rsid w:val="000909ED"/>
    <w:rsid w:val="00091346"/>
    <w:rsid w:val="00091C80"/>
    <w:rsid w:val="0009581F"/>
    <w:rsid w:val="00095901"/>
    <w:rsid w:val="00097074"/>
    <w:rsid w:val="000A3B54"/>
    <w:rsid w:val="000A59AE"/>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7FC6"/>
    <w:rsid w:val="00141218"/>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3CE2"/>
    <w:rsid w:val="00185737"/>
    <w:rsid w:val="00187BD9"/>
    <w:rsid w:val="0019060A"/>
    <w:rsid w:val="00190B55"/>
    <w:rsid w:val="00191F5C"/>
    <w:rsid w:val="00192FA9"/>
    <w:rsid w:val="00194CFB"/>
    <w:rsid w:val="001A1FFD"/>
    <w:rsid w:val="001A2AB4"/>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4E20"/>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57049"/>
    <w:rsid w:val="00361609"/>
    <w:rsid w:val="00364098"/>
    <w:rsid w:val="00366978"/>
    <w:rsid w:val="0037003F"/>
    <w:rsid w:val="00372BCF"/>
    <w:rsid w:val="00373365"/>
    <w:rsid w:val="00377BD3"/>
    <w:rsid w:val="003807EA"/>
    <w:rsid w:val="003829D8"/>
    <w:rsid w:val="0038304D"/>
    <w:rsid w:val="00384088"/>
    <w:rsid w:val="0038489B"/>
    <w:rsid w:val="00384EDD"/>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5A63"/>
    <w:rsid w:val="003D6425"/>
    <w:rsid w:val="003D66A7"/>
    <w:rsid w:val="003D7EE8"/>
    <w:rsid w:val="003F0A6C"/>
    <w:rsid w:val="003F0F49"/>
    <w:rsid w:val="003F1363"/>
    <w:rsid w:val="00403C69"/>
    <w:rsid w:val="00405EC2"/>
    <w:rsid w:val="00406278"/>
    <w:rsid w:val="00406297"/>
    <w:rsid w:val="00412C81"/>
    <w:rsid w:val="004131D4"/>
    <w:rsid w:val="0041348E"/>
    <w:rsid w:val="00414895"/>
    <w:rsid w:val="004208C6"/>
    <w:rsid w:val="00421605"/>
    <w:rsid w:val="00426222"/>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CF2"/>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57ED"/>
    <w:rsid w:val="00586EB9"/>
    <w:rsid w:val="00592321"/>
    <w:rsid w:val="005933B2"/>
    <w:rsid w:val="00593B87"/>
    <w:rsid w:val="005964AB"/>
    <w:rsid w:val="005A2BEB"/>
    <w:rsid w:val="005A3485"/>
    <w:rsid w:val="005A5E0C"/>
    <w:rsid w:val="005A6739"/>
    <w:rsid w:val="005B0278"/>
    <w:rsid w:val="005B25C3"/>
    <w:rsid w:val="005B2DD6"/>
    <w:rsid w:val="005B41B7"/>
    <w:rsid w:val="005B44F5"/>
    <w:rsid w:val="005B6D88"/>
    <w:rsid w:val="005C099A"/>
    <w:rsid w:val="005C116F"/>
    <w:rsid w:val="005C13B5"/>
    <w:rsid w:val="005C26D1"/>
    <w:rsid w:val="005C3173"/>
    <w:rsid w:val="005C31A5"/>
    <w:rsid w:val="005C3248"/>
    <w:rsid w:val="005C33FB"/>
    <w:rsid w:val="005C3907"/>
    <w:rsid w:val="005C3F17"/>
    <w:rsid w:val="005C4740"/>
    <w:rsid w:val="005D0BEA"/>
    <w:rsid w:val="005D4916"/>
    <w:rsid w:val="005E0641"/>
    <w:rsid w:val="005E0D2B"/>
    <w:rsid w:val="005E10C9"/>
    <w:rsid w:val="005E35DC"/>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A7603"/>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70D7E"/>
    <w:rsid w:val="007742CA"/>
    <w:rsid w:val="0077509B"/>
    <w:rsid w:val="00776DB1"/>
    <w:rsid w:val="0077768B"/>
    <w:rsid w:val="0077794B"/>
    <w:rsid w:val="00792DB8"/>
    <w:rsid w:val="00793BB0"/>
    <w:rsid w:val="00794ABD"/>
    <w:rsid w:val="00795C00"/>
    <w:rsid w:val="0079605E"/>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2EB9"/>
    <w:rsid w:val="00854840"/>
    <w:rsid w:val="0085555B"/>
    <w:rsid w:val="00855FDC"/>
    <w:rsid w:val="00860F8A"/>
    <w:rsid w:val="0086299C"/>
    <w:rsid w:val="00863096"/>
    <w:rsid w:val="00863578"/>
    <w:rsid w:val="00863FC4"/>
    <w:rsid w:val="00864A15"/>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D06CB"/>
    <w:rsid w:val="008D279B"/>
    <w:rsid w:val="008D2B46"/>
    <w:rsid w:val="008D678E"/>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5A0"/>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542"/>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4C17"/>
    <w:rsid w:val="00AC4DB5"/>
    <w:rsid w:val="00AD0AEB"/>
    <w:rsid w:val="00AD4C7B"/>
    <w:rsid w:val="00AF17A2"/>
    <w:rsid w:val="00AF2081"/>
    <w:rsid w:val="00AF2664"/>
    <w:rsid w:val="00AF57EF"/>
    <w:rsid w:val="00B004E5"/>
    <w:rsid w:val="00B053F3"/>
    <w:rsid w:val="00B06557"/>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165"/>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25BC"/>
    <w:rsid w:val="00B830CC"/>
    <w:rsid w:val="00B850F8"/>
    <w:rsid w:val="00B856F3"/>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C5CD7"/>
    <w:rsid w:val="00CD2733"/>
    <w:rsid w:val="00CD2A68"/>
    <w:rsid w:val="00CD2BC1"/>
    <w:rsid w:val="00CD3139"/>
    <w:rsid w:val="00CD4117"/>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6C72"/>
    <w:rsid w:val="00DB71F7"/>
    <w:rsid w:val="00DB750F"/>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7BAD"/>
    <w:rsid w:val="00E21B22"/>
    <w:rsid w:val="00E239BD"/>
    <w:rsid w:val="00E241C9"/>
    <w:rsid w:val="00E24C38"/>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2215"/>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ecimalSymbol w:val="."/>
  <w:listSeparator w:val=","/>
  <w14:docId w14:val="0B2024FD"/>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uiPriority w:val="99"/>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uiPriority w:val="99"/>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uiPriority w:val="99"/>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qFormat/>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超??级链Ú,fL????,fL?级,超??级链,超?级链ïÈ,õ±?级链,õ±链ïÈ1,õ±???,超?级链Ú,’´?级链,’´????,’´??级链Ú,’´??级"/>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578704176">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en/ITU-D/Study-Groups/2026-2029/Pages/reference/SG2/questions/Question-2-2.aspx" TargetMode="External"/><Relationship Id="rId18" Type="http://schemas.openxmlformats.org/officeDocument/2006/relationships/hyperlink" Target="https://www.itu.int/en/ITU-D/Study-Groups/2026-2029/Pages/candidates.aspx"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itu.int/en/ITU-D/Study-Groups/2026-2029/Pages/reference/SG2/questions/Question-1-2.aspx" TargetMode="External"/><Relationship Id="rId17" Type="http://schemas.openxmlformats.org/officeDocument/2006/relationships/hyperlink" Target="https://www.itu.int/md/D26-CA-CIR-0001/e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itu.int/en/ITU-D/Study-Groups/2026-2029/Pages/reference/SG2/questions/Question-5-2.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itu.int/en/ITU-D/Study-Groups/2026-2029/Pages/reference/SG2/questions/Question-4-2.aspx"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oth/D0735000001/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en/ITU-D/Study-Groups/2026-2029/Pages/reference/SG2/questions/Question-3-2.aspx" TargetMode="External"/><Relationship Id="rId22" Type="http://schemas.openxmlformats.org/officeDocument/2006/relationships/image" Target="media/image2.emf"/><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fdigham@tra.gov.e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itu.int/en/ITU-D/Study-Groups/2022-2025/Documents/Guidelines%20agreed%20at%20TDAG-25%20for%20Composing%20Rapporteurs%20Teams-for%20posting.pdf" TargetMode="External"/><Relationship Id="rId13" Type="http://schemas.openxmlformats.org/officeDocument/2006/relationships/hyperlink" Target="https://translate.itu.int/documents" TargetMode="External"/><Relationship Id="rId3" Type="http://schemas.openxmlformats.org/officeDocument/2006/relationships/hyperlink" Target="https://www.itu.int/net4/ITU-D/CDS/sg/blkmeetings.asp?lg=1&amp;stg=&amp;sp=2026&amp;blk=29195" TargetMode="External"/><Relationship Id="rId7" Type="http://schemas.openxmlformats.org/officeDocument/2006/relationships/hyperlink" Target="https://www.itu.int/en/ITU-D/Study-Groups/2022-2025/Documents/Guidelines%20agreed%20at%20TDAG-25%20for%20Composing%20Rapporteurs%20Teams-for%20posting.pdf" TargetMode="External"/><Relationship Id="rId12" Type="http://schemas.openxmlformats.org/officeDocument/2006/relationships/hyperlink" Target="https://www.itu.int/en/ITU-D/Study-Groups/2022-2025/Pages/TIES_Protected/contributions_dashboard_2022_2025.aspx" TargetMode="External"/><Relationship Id="rId2" Type="http://schemas.openxmlformats.org/officeDocument/2006/relationships/hyperlink" Target="https://www.itu.int/md/D26-CA-CIR-0001/en" TargetMode="External"/><Relationship Id="rId1" Type="http://schemas.openxmlformats.org/officeDocument/2006/relationships/hyperlink" Target="https://www.itu.int/md/D26-CA-CIR-0001/es" TargetMode="External"/><Relationship Id="rId6" Type="http://schemas.openxmlformats.org/officeDocument/2006/relationships/hyperlink" Target="https://www.itu.int/en/ITU-D/Study-Groups/2022-2025/Documents/Guidelines%20agreed%20at%20TDAG-25%20for%20Composing%20Rapporteurs%20Teams-for%20posting.pdf" TargetMode="External"/><Relationship Id="rId11" Type="http://schemas.openxmlformats.org/officeDocument/2006/relationships/hyperlink" Target="https://www.itu.int/en/ITU-D/Study-Groups/2022-2025/Pages/TIES_Protected/contributions_dashboard_2022_2025.aspx" TargetMode="External"/><Relationship Id="rId5" Type="http://schemas.openxmlformats.org/officeDocument/2006/relationships/hyperlink" Target="https://www.itu.int/en/ITU-D/Study-Groups/2022-2025/Documents/Guidelines%20agreed%20at%20TDAG-25%20for%20Composing%20Rapporteurs%20Teams-for%20posting.pdf" TargetMode="External"/><Relationship Id="rId10" Type="http://schemas.openxmlformats.org/officeDocument/2006/relationships/hyperlink" Target="https://www.itu.int/dms_pub/itu-d/md/22/tdag32/c/D22-TDAG32-C-0006!N6B!PDF-E.pdf" TargetMode="External"/><Relationship Id="rId4" Type="http://schemas.openxmlformats.org/officeDocument/2006/relationships/hyperlink" Target="https://www.itu.int/net4/ITU-D/CDS/sg/blkmeetings.asp?lg=1&amp;stg=&amp;sp=2026&amp;blk=29195" TargetMode="External"/><Relationship Id="rId9" Type="http://schemas.openxmlformats.org/officeDocument/2006/relationships/hyperlink" Target="https://www.itu.int/dms_pub/itu-d/md/22/tdag32/c/D22-TDAG32-C-0006!N6B!PDF-E.pdf" TargetMode="External"/><Relationship Id="rId14" Type="http://schemas.openxmlformats.org/officeDocument/2006/relationships/hyperlink" Target="https://translate.itu.int/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2.xml><?xml version="1.0" encoding="utf-8"?>
<ds:datastoreItem xmlns:ds="http://schemas.openxmlformats.org/officeDocument/2006/customXml" ds:itemID="{8A7C67D6-CEFE-4AFE-8EC3-4585BFEF5BAE}">
  <ds:schemaRefs>
    <ds:schemaRef ds:uri="http://schemas.microsoft.com/office/infopath/2007/PartnerControls"/>
    <ds:schemaRef ds:uri="http://www.w3.org/XML/1998/namespace"/>
    <ds:schemaRef ds:uri="http://schemas.microsoft.com/office/2006/metadata/properties"/>
    <ds:schemaRef ds:uri="29399490-13b9-4c73-b71e-403b715b75a7"/>
    <ds:schemaRef ds:uri="http://schemas.openxmlformats.org/package/2006/metadata/core-properties"/>
    <ds:schemaRef ds:uri="http://purl.org/dc/dcmitype/"/>
    <ds:schemaRef ds:uri="http://schemas.microsoft.com/office/2006/documentManagement/types"/>
    <ds:schemaRef ds:uri="http://purl.org/dc/terms/"/>
    <ds:schemaRef ds:uri="http://purl.org/dc/elements/1.1/"/>
    <ds:schemaRef ds:uri="d4ea696a-cca3-460b-a983-57ac2621983a"/>
  </ds:schemaRefs>
</ds:datastoreItem>
</file>

<file path=customXml/itemProps3.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4.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9</Pages>
  <Words>2594</Words>
  <Characters>14497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17057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Manias, Michel</dc:creator>
  <cp:lastModifiedBy>Spanish</cp:lastModifiedBy>
  <cp:revision>7</cp:revision>
  <cp:lastPrinted>2019-01-16T07:57:00Z</cp:lastPrinted>
  <dcterms:created xsi:type="dcterms:W3CDTF">2026-03-13T07:39:00Z</dcterms:created>
  <dcterms:modified xsi:type="dcterms:W3CDTF">2026-03-13T09:20:00Z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