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2D4AB3" w14:paraId="3F0E9EC4" w14:textId="77777777" w:rsidTr="00F7434A">
        <w:trPr>
          <w:cantSplit/>
          <w:trHeight w:val="1134"/>
        </w:trPr>
        <w:tc>
          <w:tcPr>
            <w:tcW w:w="6379" w:type="dxa"/>
          </w:tcPr>
          <w:p w14:paraId="3C20C75B" w14:textId="77777777" w:rsidR="00F7434A" w:rsidRPr="002D4AB3" w:rsidRDefault="00F7434A" w:rsidP="004037AF">
            <w:pPr>
              <w:tabs>
                <w:tab w:val="clear" w:pos="1191"/>
                <w:tab w:val="clear" w:pos="1588"/>
                <w:tab w:val="clear" w:pos="1985"/>
              </w:tabs>
              <w:spacing w:before="240" w:after="240"/>
              <w:ind w:left="34"/>
              <w:rPr>
                <w:b/>
                <w:bCs/>
                <w:sz w:val="32"/>
                <w:szCs w:val="32"/>
                <w:lang w:val="fr-FR"/>
              </w:rPr>
            </w:pPr>
            <w:r w:rsidRPr="002D4AB3">
              <w:rPr>
                <w:b/>
                <w:bCs/>
                <w:sz w:val="32"/>
                <w:szCs w:val="32"/>
                <w:lang w:val="fr-FR"/>
              </w:rPr>
              <w:t xml:space="preserve">Groupe consultatif pour le développement </w:t>
            </w:r>
            <w:r w:rsidRPr="002D4AB3">
              <w:rPr>
                <w:b/>
                <w:bCs/>
                <w:sz w:val="32"/>
                <w:szCs w:val="32"/>
                <w:lang w:val="fr-FR"/>
              </w:rPr>
              <w:br/>
              <w:t>des télécommunications (GCDT)</w:t>
            </w:r>
          </w:p>
          <w:p w14:paraId="5F5F590A" w14:textId="39E36666" w:rsidR="00F7434A" w:rsidRPr="002D4AB3" w:rsidRDefault="00F7434A" w:rsidP="001011EB">
            <w:pPr>
              <w:tabs>
                <w:tab w:val="clear" w:pos="1191"/>
                <w:tab w:val="clear" w:pos="1588"/>
                <w:tab w:val="clear" w:pos="1985"/>
              </w:tabs>
              <w:spacing w:after="120"/>
              <w:ind w:left="34"/>
              <w:rPr>
                <w:rFonts w:ascii="Verdana" w:hAnsi="Verdana"/>
                <w:sz w:val="28"/>
                <w:szCs w:val="28"/>
                <w:lang w:val="fr-FR"/>
              </w:rPr>
            </w:pPr>
            <w:r w:rsidRPr="002D4AB3">
              <w:rPr>
                <w:b/>
                <w:bCs/>
                <w:sz w:val="26"/>
                <w:szCs w:val="26"/>
                <w:lang w:val="fr-FR"/>
              </w:rPr>
              <w:t>33ème réunion, Genève, Suisse, 7-10 avril 2026</w:t>
            </w:r>
          </w:p>
        </w:tc>
        <w:tc>
          <w:tcPr>
            <w:tcW w:w="3509" w:type="dxa"/>
          </w:tcPr>
          <w:p w14:paraId="67E7B4C4" w14:textId="0F52E4CC" w:rsidR="00F7434A" w:rsidRPr="002D4AB3" w:rsidRDefault="00F7434A" w:rsidP="00946023">
            <w:pPr>
              <w:spacing w:before="240" w:after="120"/>
              <w:ind w:right="142"/>
              <w:jc w:val="right"/>
              <w:rPr>
                <w:lang w:val="fr-FR"/>
              </w:rPr>
            </w:pPr>
            <w:r w:rsidRPr="002D4AB3">
              <w:rPr>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2D4AB3" w14:paraId="3C13197B" w14:textId="77777777" w:rsidTr="0009076F">
        <w:trPr>
          <w:cantSplit/>
        </w:trPr>
        <w:tc>
          <w:tcPr>
            <w:tcW w:w="6379" w:type="dxa"/>
            <w:tcBorders>
              <w:top w:val="single" w:sz="12" w:space="0" w:color="auto"/>
            </w:tcBorders>
          </w:tcPr>
          <w:p w14:paraId="2EED9DB2" w14:textId="77777777" w:rsidR="00683C32" w:rsidRPr="002D4AB3"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2D4AB3" w:rsidRDefault="00683C32" w:rsidP="00107E85">
            <w:pPr>
              <w:spacing w:before="0"/>
              <w:rPr>
                <w:b/>
                <w:bCs/>
                <w:sz w:val="20"/>
                <w:lang w:val="fr-FR"/>
              </w:rPr>
            </w:pPr>
          </w:p>
        </w:tc>
      </w:tr>
      <w:tr w:rsidR="00683C32" w:rsidRPr="002D4AB3" w14:paraId="0BB3FBC4" w14:textId="77777777" w:rsidTr="0009076F">
        <w:trPr>
          <w:cantSplit/>
        </w:trPr>
        <w:tc>
          <w:tcPr>
            <w:tcW w:w="6379" w:type="dxa"/>
          </w:tcPr>
          <w:p w14:paraId="43C54B3D" w14:textId="77777777" w:rsidR="00683C32" w:rsidRPr="002D4AB3" w:rsidRDefault="00683C32" w:rsidP="00400CCF">
            <w:pPr>
              <w:pStyle w:val="Committee"/>
              <w:spacing w:before="0"/>
              <w:rPr>
                <w:b w:val="0"/>
                <w:szCs w:val="24"/>
                <w:lang w:val="fr-FR"/>
              </w:rPr>
            </w:pPr>
          </w:p>
        </w:tc>
        <w:tc>
          <w:tcPr>
            <w:tcW w:w="3509" w:type="dxa"/>
          </w:tcPr>
          <w:p w14:paraId="02E44EE9" w14:textId="66840B97" w:rsidR="00683C32" w:rsidRPr="002D4AB3" w:rsidRDefault="0096201B" w:rsidP="00E25345">
            <w:pPr>
              <w:spacing w:before="0"/>
              <w:jc w:val="both"/>
              <w:rPr>
                <w:bCs/>
                <w:szCs w:val="24"/>
                <w:lang w:val="fr-FR"/>
              </w:rPr>
            </w:pPr>
            <w:r w:rsidRPr="002D4AB3">
              <w:rPr>
                <w:b/>
                <w:bCs/>
                <w:lang w:val="fr-FR"/>
              </w:rPr>
              <w:t xml:space="preserve">Document </w:t>
            </w:r>
            <w:bookmarkStart w:id="0" w:name="DocRef1"/>
            <w:bookmarkEnd w:id="0"/>
            <w:r w:rsidRPr="002D4AB3">
              <w:rPr>
                <w:b/>
                <w:bCs/>
                <w:lang w:val="fr-FR"/>
              </w:rPr>
              <w:t>TDAG</w:t>
            </w:r>
            <w:r w:rsidR="003242AB" w:rsidRPr="002D4AB3">
              <w:rPr>
                <w:b/>
                <w:bCs/>
                <w:lang w:val="fr-FR"/>
              </w:rPr>
              <w:t>-</w:t>
            </w:r>
            <w:r w:rsidR="00B648C7" w:rsidRPr="002D4AB3">
              <w:rPr>
                <w:b/>
                <w:bCs/>
                <w:lang w:val="fr-FR"/>
              </w:rPr>
              <w:t>2</w:t>
            </w:r>
            <w:bookmarkStart w:id="1" w:name="DocNo1"/>
            <w:bookmarkEnd w:id="1"/>
            <w:r w:rsidR="00F7434A" w:rsidRPr="002D4AB3">
              <w:rPr>
                <w:b/>
                <w:bCs/>
                <w:lang w:val="fr-FR"/>
              </w:rPr>
              <w:t>6</w:t>
            </w:r>
            <w:r w:rsidR="0009076F" w:rsidRPr="002D4AB3">
              <w:rPr>
                <w:b/>
                <w:bCs/>
                <w:lang w:val="fr-FR"/>
              </w:rPr>
              <w:t>/</w:t>
            </w:r>
            <w:r w:rsidR="00F91661" w:rsidRPr="002D4AB3">
              <w:rPr>
                <w:b/>
                <w:bCs/>
                <w:lang w:val="fr-FR"/>
              </w:rPr>
              <w:t>6</w:t>
            </w:r>
            <w:r w:rsidRPr="002D4AB3">
              <w:rPr>
                <w:b/>
                <w:bCs/>
                <w:lang w:val="fr-FR"/>
              </w:rPr>
              <w:t>-</w:t>
            </w:r>
            <w:r w:rsidR="00E25345" w:rsidRPr="002D4AB3">
              <w:rPr>
                <w:b/>
                <w:bCs/>
                <w:lang w:val="fr-FR"/>
              </w:rPr>
              <w:t>F</w:t>
            </w:r>
          </w:p>
        </w:tc>
      </w:tr>
      <w:tr w:rsidR="00683C32" w:rsidRPr="002D4AB3" w14:paraId="24D04936" w14:textId="77777777" w:rsidTr="0009076F">
        <w:trPr>
          <w:cantSplit/>
        </w:trPr>
        <w:tc>
          <w:tcPr>
            <w:tcW w:w="6379" w:type="dxa"/>
          </w:tcPr>
          <w:p w14:paraId="12CE4DBF" w14:textId="77777777" w:rsidR="00683C32" w:rsidRPr="002D4AB3" w:rsidRDefault="00683C32" w:rsidP="00400CCF">
            <w:pPr>
              <w:spacing w:before="0"/>
              <w:rPr>
                <w:b/>
                <w:bCs/>
                <w:smallCaps/>
                <w:szCs w:val="24"/>
                <w:lang w:val="fr-FR"/>
              </w:rPr>
            </w:pPr>
          </w:p>
        </w:tc>
        <w:tc>
          <w:tcPr>
            <w:tcW w:w="3509" w:type="dxa"/>
          </w:tcPr>
          <w:p w14:paraId="0F89640F" w14:textId="0F14D591" w:rsidR="00683C32" w:rsidRPr="002D4AB3" w:rsidRDefault="005D4903" w:rsidP="00B648C7">
            <w:pPr>
              <w:spacing w:before="0"/>
              <w:rPr>
                <w:b/>
                <w:szCs w:val="24"/>
                <w:lang w:val="fr-FR"/>
              </w:rPr>
            </w:pPr>
            <w:bookmarkStart w:id="2" w:name="CreationDate"/>
            <w:bookmarkEnd w:id="2"/>
            <w:r w:rsidRPr="002D4AB3">
              <w:rPr>
                <w:b/>
                <w:bCs/>
                <w:szCs w:val="28"/>
                <w:lang w:val="fr-FR"/>
              </w:rPr>
              <w:t>3 mars 2026</w:t>
            </w:r>
          </w:p>
        </w:tc>
      </w:tr>
      <w:tr w:rsidR="00683C32" w:rsidRPr="002D4AB3" w14:paraId="7B96545F" w14:textId="77777777" w:rsidTr="0009076F">
        <w:trPr>
          <w:cantSplit/>
        </w:trPr>
        <w:tc>
          <w:tcPr>
            <w:tcW w:w="6379" w:type="dxa"/>
          </w:tcPr>
          <w:p w14:paraId="65956FD3" w14:textId="77777777" w:rsidR="00683C32" w:rsidRPr="002D4AB3" w:rsidRDefault="00683C32" w:rsidP="00400CCF">
            <w:pPr>
              <w:spacing w:before="0"/>
              <w:rPr>
                <w:b/>
                <w:bCs/>
                <w:smallCaps/>
                <w:szCs w:val="24"/>
                <w:lang w:val="fr-FR"/>
              </w:rPr>
            </w:pPr>
          </w:p>
        </w:tc>
        <w:tc>
          <w:tcPr>
            <w:tcW w:w="3509" w:type="dxa"/>
          </w:tcPr>
          <w:p w14:paraId="30EFD39F" w14:textId="33ACFB79" w:rsidR="00514D2F" w:rsidRPr="002D4AB3" w:rsidRDefault="0096201B" w:rsidP="001011EB">
            <w:pPr>
              <w:spacing w:before="0"/>
              <w:rPr>
                <w:szCs w:val="24"/>
                <w:lang w:val="fr-FR"/>
              </w:rPr>
            </w:pPr>
            <w:r w:rsidRPr="002D4AB3">
              <w:rPr>
                <w:b/>
                <w:lang w:val="fr-FR"/>
              </w:rPr>
              <w:t>Original:</w:t>
            </w:r>
            <w:bookmarkStart w:id="3" w:name="Original"/>
            <w:bookmarkEnd w:id="3"/>
            <w:r w:rsidR="00CE0422" w:rsidRPr="002D4AB3">
              <w:rPr>
                <w:b/>
                <w:lang w:val="fr-FR"/>
              </w:rPr>
              <w:t xml:space="preserve"> </w:t>
            </w:r>
            <w:r w:rsidR="001011EB" w:rsidRPr="002D4AB3">
              <w:rPr>
                <w:b/>
                <w:lang w:val="fr-FR"/>
              </w:rPr>
              <w:t>anglais</w:t>
            </w:r>
          </w:p>
        </w:tc>
      </w:tr>
      <w:tr w:rsidR="00A13162" w:rsidRPr="002D4AB3" w14:paraId="31656E31" w14:textId="77777777" w:rsidTr="00107E85">
        <w:trPr>
          <w:cantSplit/>
          <w:trHeight w:val="852"/>
        </w:trPr>
        <w:tc>
          <w:tcPr>
            <w:tcW w:w="9888" w:type="dxa"/>
            <w:gridSpan w:val="2"/>
          </w:tcPr>
          <w:p w14:paraId="512FCA01" w14:textId="553F8A8B" w:rsidR="00A13162" w:rsidRPr="002D4AB3" w:rsidRDefault="00086361" w:rsidP="0030353C">
            <w:pPr>
              <w:pStyle w:val="Source"/>
              <w:rPr>
                <w:lang w:val="fr-FR"/>
              </w:rPr>
            </w:pPr>
            <w:bookmarkStart w:id="4" w:name="Source"/>
            <w:bookmarkEnd w:id="4"/>
            <w:r w:rsidRPr="002D4AB3">
              <w:rPr>
                <w:lang w:val="fr-FR"/>
              </w:rPr>
              <w:t>Président de la Commission d'études 2 de l'UIT-D</w:t>
            </w:r>
          </w:p>
        </w:tc>
      </w:tr>
      <w:tr w:rsidR="00AC6F14" w:rsidRPr="002D4AB3" w14:paraId="2CBD3A36" w14:textId="77777777" w:rsidTr="00107E85">
        <w:trPr>
          <w:cantSplit/>
        </w:trPr>
        <w:tc>
          <w:tcPr>
            <w:tcW w:w="9888" w:type="dxa"/>
            <w:gridSpan w:val="2"/>
          </w:tcPr>
          <w:p w14:paraId="1B4121DF" w14:textId="106D5C1F" w:rsidR="00AC6F14" w:rsidRPr="002D4AB3" w:rsidRDefault="00086361" w:rsidP="00086361">
            <w:pPr>
              <w:pStyle w:val="Title1"/>
              <w:rPr>
                <w:lang w:val="fr-FR"/>
              </w:rPr>
            </w:pPr>
            <w:bookmarkStart w:id="5" w:name="Title"/>
            <w:bookmarkEnd w:id="5"/>
            <w:r w:rsidRPr="002D4AB3">
              <w:rPr>
                <w:lang w:val="fr-FR"/>
              </w:rPr>
              <w:t>Domaine de compétence de la Commission d'études 2 de l'UIT-D</w:t>
            </w:r>
            <w:r w:rsidRPr="002D4AB3">
              <w:rPr>
                <w:lang w:val="fr-FR"/>
              </w:rPr>
              <w:br/>
            </w:r>
            <w:r w:rsidRPr="002D4AB3">
              <w:rPr>
                <w:lang w:val="fr-FR"/>
              </w:rPr>
              <w:t>pour la période d'études 2026-2029</w:t>
            </w:r>
          </w:p>
        </w:tc>
      </w:tr>
      <w:tr w:rsidR="00A721F4" w:rsidRPr="002D4AB3" w14:paraId="23A30231" w14:textId="77777777" w:rsidTr="00A721F4">
        <w:trPr>
          <w:cantSplit/>
        </w:trPr>
        <w:tc>
          <w:tcPr>
            <w:tcW w:w="9888" w:type="dxa"/>
            <w:gridSpan w:val="2"/>
            <w:tcBorders>
              <w:bottom w:val="single" w:sz="4" w:space="0" w:color="auto"/>
            </w:tcBorders>
          </w:tcPr>
          <w:p w14:paraId="726EE70E" w14:textId="77777777" w:rsidR="00A721F4" w:rsidRPr="002D4AB3" w:rsidRDefault="00A721F4" w:rsidP="0030353C">
            <w:pPr>
              <w:rPr>
                <w:lang w:val="fr-FR"/>
              </w:rPr>
            </w:pPr>
          </w:p>
        </w:tc>
      </w:tr>
      <w:tr w:rsidR="00A721F4" w:rsidRPr="002D4AB3"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2D4AB3" w:rsidRDefault="001011EB" w:rsidP="00EA0C51">
            <w:pPr>
              <w:spacing w:after="120"/>
              <w:rPr>
                <w:b/>
                <w:bCs/>
                <w:szCs w:val="24"/>
                <w:lang w:val="fr-FR"/>
              </w:rPr>
            </w:pPr>
            <w:r w:rsidRPr="002D4AB3">
              <w:rPr>
                <w:b/>
                <w:bCs/>
                <w:szCs w:val="24"/>
                <w:lang w:val="fr-FR"/>
              </w:rPr>
              <w:t>Résumé</w:t>
            </w:r>
            <w:r w:rsidR="00A721F4" w:rsidRPr="002D4AB3">
              <w:rPr>
                <w:b/>
                <w:bCs/>
                <w:szCs w:val="24"/>
                <w:lang w:val="fr-FR"/>
              </w:rPr>
              <w:t>:</w:t>
            </w:r>
          </w:p>
          <w:p w14:paraId="71A4A1FD" w14:textId="77777777" w:rsidR="00086361" w:rsidRPr="002D4AB3" w:rsidRDefault="00086361" w:rsidP="00086361">
            <w:pPr>
              <w:spacing w:after="120"/>
              <w:rPr>
                <w:szCs w:val="24"/>
                <w:lang w:val="fr-FR"/>
              </w:rPr>
            </w:pPr>
            <w:r w:rsidRPr="002D4AB3">
              <w:rPr>
                <w:szCs w:val="24"/>
                <w:lang w:val="fr-FR"/>
              </w:rPr>
              <w:t>Le présent rapport décrit le domaine de compétence de la Commission d'études 2 (CE 2) de l'UIT-D pour la période d'études 2026-2029, tel qu'il a été approuvé par la Conférence mondiale de développement des télécommunications de 2025 (CMDT-25). On y trouve également des renseignements sur les décisions de la CMDT-25 ayant des incidences sur les commissions d'études de l'UIT-D et le programme de travail confié à la Commission d'études 2 pour lui permettre de s'acquitter de son mandat.</w:t>
            </w:r>
          </w:p>
          <w:p w14:paraId="4082D7E8" w14:textId="53E75DD2" w:rsidR="00A721F4" w:rsidRPr="002D4AB3" w:rsidRDefault="00086361" w:rsidP="00086361">
            <w:pPr>
              <w:spacing w:after="120"/>
              <w:rPr>
                <w:szCs w:val="24"/>
                <w:lang w:val="fr-FR"/>
              </w:rPr>
            </w:pPr>
            <w:r w:rsidRPr="002D4AB3">
              <w:rPr>
                <w:szCs w:val="24"/>
                <w:lang w:val="fr-FR"/>
              </w:rPr>
              <w:t>La Commission d'études 2 de l'UIT-D tiendra sa première réunion de la nouvelle période d'études du 20 au 24 avril 2026.</w:t>
            </w:r>
          </w:p>
          <w:p w14:paraId="76A1C541" w14:textId="23209CDB" w:rsidR="00A721F4" w:rsidRPr="002D4AB3" w:rsidRDefault="001011EB" w:rsidP="00EA0C51">
            <w:pPr>
              <w:spacing w:after="120"/>
              <w:rPr>
                <w:b/>
                <w:bCs/>
                <w:szCs w:val="24"/>
                <w:lang w:val="fr-FR"/>
              </w:rPr>
            </w:pPr>
            <w:r w:rsidRPr="002D4AB3">
              <w:rPr>
                <w:b/>
                <w:bCs/>
                <w:lang w:val="fr-FR"/>
              </w:rPr>
              <w:t>Suite à donner</w:t>
            </w:r>
            <w:r w:rsidR="00A721F4" w:rsidRPr="002D4AB3">
              <w:rPr>
                <w:b/>
                <w:bCs/>
                <w:lang w:val="fr-FR"/>
              </w:rPr>
              <w:t>:</w:t>
            </w:r>
          </w:p>
          <w:p w14:paraId="371956FC" w14:textId="12D44F52" w:rsidR="00A721F4" w:rsidRPr="002D4AB3" w:rsidRDefault="00F7434A" w:rsidP="00EA0C51">
            <w:pPr>
              <w:spacing w:after="120"/>
              <w:rPr>
                <w:szCs w:val="24"/>
                <w:lang w:val="fr-FR"/>
              </w:rPr>
            </w:pPr>
            <w:r w:rsidRPr="002D4AB3">
              <w:rPr>
                <w:lang w:val="fr-FR"/>
              </w:rPr>
              <w:t>Le GCDT est invité à prendre note du présent document et à fournir les indications qu'il jugera utiles.</w:t>
            </w:r>
          </w:p>
          <w:p w14:paraId="622ACB80" w14:textId="39EE560D" w:rsidR="00A721F4" w:rsidRPr="002D4AB3" w:rsidRDefault="00A721F4" w:rsidP="00EA0C51">
            <w:pPr>
              <w:spacing w:after="120"/>
              <w:rPr>
                <w:b/>
                <w:bCs/>
                <w:szCs w:val="24"/>
                <w:lang w:val="fr-FR"/>
              </w:rPr>
            </w:pPr>
            <w:r w:rsidRPr="002D4AB3">
              <w:rPr>
                <w:b/>
                <w:bCs/>
                <w:szCs w:val="24"/>
                <w:lang w:val="fr-FR"/>
              </w:rPr>
              <w:t>R</w:t>
            </w:r>
            <w:r w:rsidR="001011EB" w:rsidRPr="002D4AB3">
              <w:rPr>
                <w:b/>
                <w:bCs/>
                <w:szCs w:val="24"/>
                <w:lang w:val="fr-FR"/>
              </w:rPr>
              <w:t>é</w:t>
            </w:r>
            <w:r w:rsidRPr="002D4AB3">
              <w:rPr>
                <w:b/>
                <w:bCs/>
                <w:szCs w:val="24"/>
                <w:lang w:val="fr-FR"/>
              </w:rPr>
              <w:t>f</w:t>
            </w:r>
            <w:r w:rsidR="001011EB" w:rsidRPr="002D4AB3">
              <w:rPr>
                <w:b/>
                <w:bCs/>
                <w:szCs w:val="24"/>
                <w:lang w:val="fr-FR"/>
              </w:rPr>
              <w:t>é</w:t>
            </w:r>
            <w:r w:rsidRPr="002D4AB3">
              <w:rPr>
                <w:b/>
                <w:bCs/>
                <w:szCs w:val="24"/>
                <w:lang w:val="fr-FR"/>
              </w:rPr>
              <w:t>rences:</w:t>
            </w:r>
          </w:p>
          <w:p w14:paraId="1ECDD20E" w14:textId="6910531C" w:rsidR="00A721F4" w:rsidRPr="002D4AB3" w:rsidRDefault="00086361" w:rsidP="001C48D3">
            <w:pPr>
              <w:spacing w:after="120"/>
              <w:rPr>
                <w:szCs w:val="24"/>
                <w:lang w:val="fr-FR"/>
              </w:rPr>
            </w:pPr>
            <w:r w:rsidRPr="002D4AB3">
              <w:rPr>
                <w:lang w:val="fr-FR"/>
              </w:rPr>
              <w:t>Résolutions 1 et 2 (Rév. Bakou, 2025) de la CMDT</w:t>
            </w:r>
          </w:p>
        </w:tc>
      </w:tr>
    </w:tbl>
    <w:p w14:paraId="5B29B2A3" w14:textId="77777777" w:rsidR="00923CF1" w:rsidRPr="002D4AB3" w:rsidRDefault="00923CF1">
      <w:pPr>
        <w:tabs>
          <w:tab w:val="clear" w:pos="794"/>
          <w:tab w:val="clear" w:pos="1191"/>
          <w:tab w:val="clear" w:pos="1588"/>
          <w:tab w:val="clear" w:pos="1985"/>
        </w:tabs>
        <w:overflowPunct/>
        <w:autoSpaceDE/>
        <w:autoSpaceDN/>
        <w:adjustRightInd/>
        <w:spacing w:before="0"/>
        <w:textAlignment w:val="auto"/>
        <w:rPr>
          <w:lang w:val="fr-FR"/>
        </w:rPr>
      </w:pPr>
      <w:r w:rsidRPr="002D4AB3">
        <w:rPr>
          <w:lang w:val="fr-FR"/>
        </w:rPr>
        <w:br w:type="page"/>
      </w:r>
    </w:p>
    <w:p w14:paraId="7F8D5772" w14:textId="74F78554" w:rsidR="00086361" w:rsidRPr="002D4AB3" w:rsidRDefault="00086361" w:rsidP="00086361">
      <w:pPr>
        <w:pStyle w:val="Heading1"/>
        <w:rPr>
          <w:lang w:val="fr-FR"/>
        </w:rPr>
      </w:pPr>
      <w:r w:rsidRPr="002D4AB3">
        <w:rPr>
          <w:lang w:val="fr-FR"/>
        </w:rPr>
        <w:lastRenderedPageBreak/>
        <w:t>1</w:t>
      </w:r>
      <w:r w:rsidRPr="002D4AB3">
        <w:rPr>
          <w:lang w:val="fr-FR"/>
        </w:rPr>
        <w:tab/>
        <w:t>Décisions de la CMDT-25 ayant une incidence sur la Commission d'études 2 de l'UIT-D</w:t>
      </w:r>
    </w:p>
    <w:p w14:paraId="6C60A945" w14:textId="77777777" w:rsidR="00086361" w:rsidRPr="002D4AB3" w:rsidRDefault="00086361" w:rsidP="00086361">
      <w:pPr>
        <w:rPr>
          <w:lang w:val="fr-FR"/>
        </w:rPr>
      </w:pPr>
      <w:r w:rsidRPr="002D4AB3">
        <w:rPr>
          <w:lang w:val="fr-FR"/>
        </w:rPr>
        <w:t>Les commissions d'études de l'UIT-D mènent leurs travaux conformément aux procédures et aux méthodes de travail décrites dans la Résolution 1 (Rév. Bakou, 2025) de la CMDT, intitulée "Règlement intérieur du Secteur du développement des télécommunications de l'UIT", et selon les programmes de travail adoptés par la CMDT-25. Cette dernière a renforcé le rôle des commissions d'études de l'UIT-D, afin d'offrir aux membres une tribune permettant d'échanger des données d'expérience, de présenter des idées, de dialoguer et de parvenir à un consensus sur les stratégies à adopter pour répondre aux priorités dans le domaine des télécommunications/TIC. À cette fin, le rôle que jouent les commissions d'études de l'UIT-D pour aider les États Membres à atteindre leurs objectifs de développement a été renforcé.</w:t>
      </w:r>
    </w:p>
    <w:p w14:paraId="534ABBD1" w14:textId="39982226" w:rsidR="00086361" w:rsidRPr="002D4AB3" w:rsidRDefault="00086361" w:rsidP="00086361">
      <w:pPr>
        <w:rPr>
          <w:lang w:val="fr-FR"/>
        </w:rPr>
      </w:pPr>
      <w:r w:rsidRPr="002D4AB3">
        <w:rPr>
          <w:lang w:val="fr-FR"/>
        </w:rPr>
        <w:t>Pour ce qui est du domaine de compétence, la Commission d'études 2 (CE 2) de l'UIT-D continuera d'axer ses travaux sur la "transformation numérique". La nouvelle équipe de direction désignée par la CMDT-25 pour diriger les travaux de la Commission d'études comprend un Président et</w:t>
      </w:r>
      <w:r w:rsidRPr="002D4AB3">
        <w:rPr>
          <w:lang w:val="fr-FR"/>
        </w:rPr>
        <w:t> </w:t>
      </w:r>
      <w:r w:rsidRPr="002D4AB3">
        <w:rPr>
          <w:lang w:val="fr-FR"/>
        </w:rPr>
        <w:t>13</w:t>
      </w:r>
      <w:r w:rsidRPr="002D4AB3">
        <w:rPr>
          <w:lang w:val="fr-FR"/>
        </w:rPr>
        <w:t> </w:t>
      </w:r>
      <w:r w:rsidRPr="002D4AB3">
        <w:rPr>
          <w:lang w:val="fr-FR"/>
        </w:rPr>
        <w:t>Vice-Présidents. De nouvelles fonctions de coordination sur des sujets précis ont été confiées aux Vice-Présidents. Un appel à candidatures pour les fonctions de Rapporteurs et de Vice</w:t>
      </w:r>
      <w:r w:rsidR="00D8749B">
        <w:rPr>
          <w:lang w:val="fr-FR"/>
        </w:rPr>
        <w:noBreakHyphen/>
      </w:r>
      <w:r w:rsidRPr="002D4AB3">
        <w:rPr>
          <w:lang w:val="fr-FR"/>
        </w:rPr>
        <w:t>Rapporteurs de la CE 2 a été envoyé aux membres et les nominations auront lieu lors de la première réunion de la CE 2, qui se tiendra du 20 au 24 avril 2026.</w:t>
      </w:r>
    </w:p>
    <w:p w14:paraId="75143596" w14:textId="77777777" w:rsidR="00086361" w:rsidRPr="002D4AB3" w:rsidRDefault="00086361" w:rsidP="00086361">
      <w:pPr>
        <w:rPr>
          <w:lang w:val="fr-FR"/>
        </w:rPr>
      </w:pPr>
      <w:r w:rsidRPr="002D4AB3">
        <w:rPr>
          <w:lang w:val="fr-FR"/>
        </w:rPr>
        <w:t>Cinq Questions ont été confiées à la CE 2, contre sept auparavant. Le nombre de Questions a été réduit, mais tous les thèmes principaux des Questions étudiées précédemment ont été maintenus, certains d'entre eux ayant été intégrés dans les nouvelles Questions. De nouveaux thèmes ont également été approuvés, tels que la disponibilité et l'accessibilité financière des dispositifs d'utilisateur, ainsi que l'adoption et l'utilisation de services et de technologies de télécommunication/TIC nouveaux et émergents. La présentation de produits intérimaires doit être intégrée dans les programmes de travail propres à chaque Question, dans la mesure du possible. Le renforcement des capacités des commissions d'études de l'UIT-D restera important dans les Questions à l'étude, et prendra la forme d'échanges d'études de cas et d'ateliers et de webinaires.</w:t>
      </w:r>
    </w:p>
    <w:p w14:paraId="2358B494" w14:textId="77777777" w:rsidR="00086361" w:rsidRPr="002D4AB3" w:rsidRDefault="00086361" w:rsidP="00086361">
      <w:pPr>
        <w:rPr>
          <w:lang w:val="fr-FR"/>
        </w:rPr>
      </w:pPr>
      <w:r w:rsidRPr="002D4AB3">
        <w:rPr>
          <w:lang w:val="fr-FR"/>
        </w:rPr>
        <w:t>Le Règlement intérieur et les méthodes de travail ont fait l'objet de plusieurs modifications, ainsi qu'il ressort de la Résolution 1 révisée (Rév. Bakou, 2025) de la CMDT, par rapport à la période d'études précédente. Parmi les modifications apportées aux méthodes de travail figurent des dispositions nouvelles ou modifiées concernant notamment les responsables (exemple: un membre à l'origine d'une candidature est contacté en cas d'absence à deux réunions consécutives), les rapports finals (exemple: tous les nouveaux rapports finals sur une Question ne doivent pas dépasser 70 pages), les produits intérimaires (exemple: une compilation des produits intérimaires publiés peut constituer un rapport sur les résultats), la collaboration avec les autres Secteurs de l'UIT (exemple: procédures additionnelles/révisées pour les groupes de travail par correspondance intersectoriels et les groupes du rapporteur intersectoriels), et les activités d'appui aux commissions d'études (exemple: des manifestations sur des sujets liés aux priorités et aux objectifs du Plan d'action de Bakou et des Résolutions de la CMDT, organisées pendant les réunions des commissions d'études, ou juste avant ou juste après).</w:t>
      </w:r>
    </w:p>
    <w:p w14:paraId="1D1459A0" w14:textId="67852C5F" w:rsidR="00086361" w:rsidRPr="002D4AB3" w:rsidRDefault="00086361" w:rsidP="00086361">
      <w:pPr>
        <w:pStyle w:val="Heading1"/>
        <w:rPr>
          <w:lang w:val="fr-FR"/>
        </w:rPr>
      </w:pPr>
      <w:r w:rsidRPr="002D4AB3">
        <w:rPr>
          <w:lang w:val="fr-FR"/>
        </w:rPr>
        <w:lastRenderedPageBreak/>
        <w:t>2</w:t>
      </w:r>
      <w:r w:rsidRPr="002D4AB3">
        <w:rPr>
          <w:lang w:val="fr-FR"/>
        </w:rPr>
        <w:tab/>
        <w:t>Présentation des travaux de la Commission d'études 2 de l'UIT-D</w:t>
      </w:r>
    </w:p>
    <w:p w14:paraId="30BF0A05" w14:textId="77777777" w:rsidR="00086361" w:rsidRPr="002D4AB3" w:rsidRDefault="00086361" w:rsidP="00086361">
      <w:pPr>
        <w:pStyle w:val="Heading2"/>
        <w:rPr>
          <w:lang w:val="fr-FR"/>
        </w:rPr>
      </w:pPr>
      <w:r w:rsidRPr="002D4AB3">
        <w:rPr>
          <w:lang w:val="fr-FR"/>
        </w:rPr>
        <w:t>2.1</w:t>
      </w:r>
      <w:r w:rsidRPr="002D4AB3">
        <w:rPr>
          <w:lang w:val="fr-FR"/>
        </w:rPr>
        <w:tab/>
        <w:t>Domaine de compétence</w:t>
      </w:r>
    </w:p>
    <w:p w14:paraId="2BF032D1" w14:textId="77777777" w:rsidR="00086361" w:rsidRPr="002D4AB3" w:rsidRDefault="00086361" w:rsidP="00086361">
      <w:pPr>
        <w:rPr>
          <w:lang w:val="fr-FR"/>
        </w:rPr>
      </w:pPr>
      <w:r w:rsidRPr="002D4AB3">
        <w:rPr>
          <w:lang w:val="fr-FR"/>
        </w:rPr>
        <w:t>La CE 2 a été créée conformément à la Résolution 2 (Rév. Bakou, 2025) de la CMDT, en vue d'examiner, au titre des Questions adoptées par les membres de l'UIT lors de la CMDT-25, les questions relatives à la transformation numérique.</w:t>
      </w:r>
    </w:p>
    <w:p w14:paraId="38DA3CF7" w14:textId="4EA27A42" w:rsidR="00086361" w:rsidRPr="002D4AB3" w:rsidRDefault="00086361" w:rsidP="00086361">
      <w:pPr>
        <w:rPr>
          <w:lang w:val="fr-FR"/>
        </w:rPr>
      </w:pPr>
      <w:r w:rsidRPr="002D4AB3">
        <w:rPr>
          <w:lang w:val="fr-FR"/>
        </w:rPr>
        <w:t>Dans ce contexte, la CE 2 est chargée de plusieurs questions de fond, à savoir les suivantes</w:t>
      </w:r>
      <w:r w:rsidRPr="002D4AB3">
        <w:rPr>
          <w:rStyle w:val="FootnoteReference"/>
          <w:lang w:val="fr-FR"/>
        </w:rPr>
        <w:footnoteReference w:id="1"/>
      </w:r>
      <w:r w:rsidRPr="002D4AB3">
        <w:rPr>
          <w:lang w:val="fr-FR"/>
        </w:rPr>
        <w:t>:</w:t>
      </w:r>
    </w:p>
    <w:p w14:paraId="27619CAF" w14:textId="77777777" w:rsidR="00086361" w:rsidRPr="002D4AB3" w:rsidRDefault="00086361" w:rsidP="00086361">
      <w:pPr>
        <w:pStyle w:val="enumlev1"/>
        <w:rPr>
          <w:lang w:val="fr-FR"/>
        </w:rPr>
      </w:pPr>
      <w:r w:rsidRPr="002D4AB3">
        <w:rPr>
          <w:lang w:val="fr-FR"/>
        </w:rPr>
        <w:t>–</w:t>
      </w:r>
      <w:r w:rsidRPr="002D4AB3">
        <w:rPr>
          <w:lang w:val="fr-FR"/>
        </w:rPr>
        <w:tab/>
        <w:t>Télécommunications/TIC pour la transformation numérique, y compris la cybersanté et le cyberenseignement.</w:t>
      </w:r>
    </w:p>
    <w:p w14:paraId="66C4ADF4" w14:textId="77777777" w:rsidR="00086361" w:rsidRPr="002D4AB3" w:rsidRDefault="00086361" w:rsidP="00086361">
      <w:pPr>
        <w:pStyle w:val="enumlev1"/>
        <w:rPr>
          <w:lang w:val="fr-FR"/>
        </w:rPr>
      </w:pPr>
      <w:r w:rsidRPr="002D4AB3">
        <w:rPr>
          <w:lang w:val="fr-FR"/>
        </w:rPr>
        <w:t>–</w:t>
      </w:r>
      <w:r w:rsidRPr="002D4AB3">
        <w:rPr>
          <w:lang w:val="fr-FR"/>
        </w:rPr>
        <w:tab/>
        <w:t>Instauration de la confiance et de la sécurité dans l'utilisation des TIC.</w:t>
      </w:r>
    </w:p>
    <w:p w14:paraId="22525551" w14:textId="77777777" w:rsidR="00086361" w:rsidRPr="002D4AB3" w:rsidRDefault="00086361" w:rsidP="00086361">
      <w:pPr>
        <w:pStyle w:val="enumlev1"/>
        <w:rPr>
          <w:lang w:val="fr-FR"/>
        </w:rPr>
      </w:pPr>
      <w:r w:rsidRPr="002D4AB3">
        <w:rPr>
          <w:lang w:val="fr-FR"/>
        </w:rPr>
        <w:t>–</w:t>
      </w:r>
      <w:r w:rsidRPr="002D4AB3">
        <w:rPr>
          <w:lang w:val="fr-FR"/>
        </w:rPr>
        <w:tab/>
        <w:t>Utilisation des télécommunications/TIC pour le suivi et l'atténuation des effets des changements climatiques, l'intégration des principes de l'économie circulaire et l'élimination en toute sécurité des déchets d'équipements électroniques.</w:t>
      </w:r>
    </w:p>
    <w:p w14:paraId="4B9FB893" w14:textId="77777777" w:rsidR="00086361" w:rsidRPr="002D4AB3" w:rsidRDefault="00086361" w:rsidP="00086361">
      <w:pPr>
        <w:pStyle w:val="enumlev1"/>
        <w:rPr>
          <w:lang w:val="fr-FR"/>
        </w:rPr>
      </w:pPr>
      <w:r w:rsidRPr="002D4AB3">
        <w:rPr>
          <w:lang w:val="fr-FR"/>
        </w:rPr>
        <w:t>–</w:t>
      </w:r>
      <w:r w:rsidRPr="002D4AB3">
        <w:rPr>
          <w:lang w:val="fr-FR"/>
        </w:rPr>
        <w:tab/>
        <w:t>Lutte contre la contrefaçon de dispositifs de télécommunication/TIC et contre le vol de dispositifs de télécommunication mobiles.</w:t>
      </w:r>
    </w:p>
    <w:p w14:paraId="4978C96D" w14:textId="77777777" w:rsidR="00086361" w:rsidRPr="002D4AB3" w:rsidRDefault="00086361" w:rsidP="00086361">
      <w:pPr>
        <w:pStyle w:val="enumlev1"/>
        <w:rPr>
          <w:lang w:val="fr-FR"/>
        </w:rPr>
      </w:pPr>
      <w:r w:rsidRPr="002D4AB3">
        <w:rPr>
          <w:lang w:val="fr-FR"/>
        </w:rPr>
        <w:t>–</w:t>
      </w:r>
      <w:r w:rsidRPr="002D4AB3">
        <w:rPr>
          <w:lang w:val="fr-FR"/>
        </w:rPr>
        <w:tab/>
        <w:t>Mise en œuvre de tests de conformité et d'interopérabilité pour les dispositifs et équipements de télécommunication/TIC.</w:t>
      </w:r>
    </w:p>
    <w:p w14:paraId="39D43543" w14:textId="77777777" w:rsidR="00086361" w:rsidRPr="002D4AB3" w:rsidRDefault="00086361" w:rsidP="00086361">
      <w:pPr>
        <w:pStyle w:val="enumlev1"/>
        <w:rPr>
          <w:lang w:val="fr-FR"/>
        </w:rPr>
      </w:pPr>
      <w:r w:rsidRPr="002D4AB3">
        <w:rPr>
          <w:lang w:val="fr-FR"/>
        </w:rPr>
        <w:t>–</w:t>
      </w:r>
      <w:r w:rsidRPr="002D4AB3">
        <w:rPr>
          <w:lang w:val="fr-FR"/>
        </w:rPr>
        <w:tab/>
        <w:t>Exposition des personnes aux champs électromagnétiques.</w:t>
      </w:r>
    </w:p>
    <w:p w14:paraId="1D0C1CF0" w14:textId="77777777" w:rsidR="00086361" w:rsidRPr="002D4AB3" w:rsidRDefault="00086361" w:rsidP="00086361">
      <w:pPr>
        <w:pStyle w:val="enumlev1"/>
        <w:rPr>
          <w:lang w:val="fr-FR"/>
        </w:rPr>
      </w:pPr>
      <w:r w:rsidRPr="002D4AB3">
        <w:rPr>
          <w:lang w:val="fr-FR"/>
        </w:rPr>
        <w:t>–</w:t>
      </w:r>
      <w:r w:rsidRPr="002D4AB3">
        <w:rPr>
          <w:lang w:val="fr-FR"/>
        </w:rPr>
        <w:tab/>
        <w:t>Enjeux et perspectives pour les pays en développement concernant l'accès aux technologies de télécommunication/TIC émergentes, plates-formes, applications et cas d'utilisation.</w:t>
      </w:r>
    </w:p>
    <w:p w14:paraId="74BEF59B" w14:textId="77777777" w:rsidR="00086361" w:rsidRPr="002D4AB3" w:rsidRDefault="00086361" w:rsidP="00086361">
      <w:pPr>
        <w:pStyle w:val="enumlev1"/>
        <w:rPr>
          <w:lang w:val="fr-FR"/>
        </w:rPr>
      </w:pPr>
      <w:r w:rsidRPr="002D4AB3">
        <w:rPr>
          <w:lang w:val="fr-FR"/>
        </w:rPr>
        <w:t>–</w:t>
      </w:r>
      <w:r w:rsidRPr="002D4AB3">
        <w:rPr>
          <w:lang w:val="fr-FR"/>
        </w:rPr>
        <w:tab/>
        <w:t>Utilisation des télécommunications/TIC pour créer des "villes intelligentes" et édifier une société de l'information.</w:t>
      </w:r>
    </w:p>
    <w:p w14:paraId="5CE13404" w14:textId="77777777" w:rsidR="00086361" w:rsidRPr="002D4AB3" w:rsidRDefault="00086361" w:rsidP="00086361">
      <w:pPr>
        <w:pStyle w:val="enumlev1"/>
        <w:rPr>
          <w:lang w:val="fr-FR"/>
        </w:rPr>
      </w:pPr>
      <w:r w:rsidRPr="002D4AB3">
        <w:rPr>
          <w:lang w:val="fr-FR"/>
        </w:rPr>
        <w:t>–</w:t>
      </w:r>
      <w:r w:rsidRPr="002D4AB3">
        <w:rPr>
          <w:lang w:val="fr-FR"/>
        </w:rPr>
        <w:tab/>
        <w:t>Adoption des télécommunications/TIC et renforcement des compétences numériques.</w:t>
      </w:r>
    </w:p>
    <w:p w14:paraId="46956F45" w14:textId="77777777" w:rsidR="00086361" w:rsidRPr="002D4AB3" w:rsidRDefault="00086361" w:rsidP="00086361">
      <w:pPr>
        <w:pStyle w:val="enumlev1"/>
        <w:rPr>
          <w:lang w:val="fr-FR"/>
        </w:rPr>
      </w:pPr>
      <w:r w:rsidRPr="002D4AB3">
        <w:rPr>
          <w:lang w:val="fr-FR"/>
        </w:rPr>
        <w:t>–</w:t>
      </w:r>
      <w:r w:rsidRPr="002D4AB3">
        <w:rPr>
          <w:lang w:val="fr-FR"/>
        </w:rPr>
        <w:tab/>
        <w:t>Disponibilité et accessibilité financière des dispositifs des utilisateurs.</w:t>
      </w:r>
    </w:p>
    <w:p w14:paraId="6DDA8088" w14:textId="77777777" w:rsidR="00086361" w:rsidRPr="002D4AB3" w:rsidRDefault="00086361" w:rsidP="00086361">
      <w:pPr>
        <w:pStyle w:val="enumlev1"/>
        <w:rPr>
          <w:lang w:val="fr-FR"/>
        </w:rPr>
      </w:pPr>
      <w:r w:rsidRPr="002D4AB3">
        <w:rPr>
          <w:lang w:val="fr-FR"/>
        </w:rPr>
        <w:t>–</w:t>
      </w:r>
      <w:r w:rsidRPr="002D4AB3">
        <w:rPr>
          <w:lang w:val="fr-FR"/>
        </w:rPr>
        <w:tab/>
        <w:t>Utilisation des technologies de télécommunication/TIC nouvelles et émergentes.</w:t>
      </w:r>
    </w:p>
    <w:p w14:paraId="7281D2C5" w14:textId="77777777" w:rsidR="00086361" w:rsidRPr="002D4AB3" w:rsidRDefault="00086361" w:rsidP="00086361">
      <w:pPr>
        <w:pStyle w:val="Heading2"/>
        <w:rPr>
          <w:lang w:val="fr-FR"/>
        </w:rPr>
      </w:pPr>
      <w:r w:rsidRPr="002D4AB3">
        <w:rPr>
          <w:lang w:val="fr-FR"/>
        </w:rPr>
        <w:t>2.2</w:t>
      </w:r>
      <w:r w:rsidRPr="002D4AB3">
        <w:rPr>
          <w:lang w:val="fr-FR"/>
        </w:rPr>
        <w:tab/>
        <w:t>Équipe de direction de la Commission d'études 2</w:t>
      </w:r>
    </w:p>
    <w:p w14:paraId="797FC906" w14:textId="1EE38045" w:rsidR="00086361" w:rsidRPr="002D4AB3" w:rsidRDefault="00086361" w:rsidP="00086361">
      <w:pPr>
        <w:rPr>
          <w:lang w:val="fr-FR"/>
        </w:rPr>
      </w:pPr>
      <w:r w:rsidRPr="002D4AB3">
        <w:rPr>
          <w:lang w:val="fr-FR"/>
        </w:rPr>
        <w:t>La CMDT-25 a désigné l'équipe de direction de la CE 2 pour la neuvième période d'études (2026</w:t>
      </w:r>
      <w:r w:rsidRPr="002D4AB3">
        <w:rPr>
          <w:lang w:val="fr-FR"/>
        </w:rPr>
        <w:noBreakHyphen/>
      </w:r>
      <w:r w:rsidRPr="002D4AB3">
        <w:rPr>
          <w:lang w:val="fr-FR"/>
        </w:rPr>
        <w:t>2029): la présidence a été confiée à M. Fadel Digham (Égypte). Treize Vice-Présidents ont été nommés, à savoir:</w:t>
      </w:r>
    </w:p>
    <w:p w14:paraId="364FD5F4" w14:textId="77777777" w:rsidR="00086361" w:rsidRPr="002D4AB3" w:rsidRDefault="00086361" w:rsidP="00086361">
      <w:pPr>
        <w:pStyle w:val="enumlev1"/>
        <w:rPr>
          <w:lang w:val="fr-FR"/>
        </w:rPr>
      </w:pPr>
      <w:r w:rsidRPr="002D4AB3">
        <w:rPr>
          <w:lang w:val="fr-FR"/>
        </w:rPr>
        <w:t>–</w:t>
      </w:r>
      <w:r w:rsidRPr="002D4AB3">
        <w:rPr>
          <w:lang w:val="fr-FR"/>
        </w:rPr>
        <w:tab/>
        <w:t>Mme Imelda Salum Banali (Tanzanie, Afrique)</w:t>
      </w:r>
    </w:p>
    <w:p w14:paraId="2FCFC556" w14:textId="77777777" w:rsidR="00086361" w:rsidRPr="002D4AB3" w:rsidRDefault="00086361" w:rsidP="00086361">
      <w:pPr>
        <w:pStyle w:val="enumlev1"/>
        <w:rPr>
          <w:lang w:val="fr-FR"/>
        </w:rPr>
      </w:pPr>
      <w:r w:rsidRPr="002D4AB3">
        <w:rPr>
          <w:lang w:val="fr-FR"/>
        </w:rPr>
        <w:t>–</w:t>
      </w:r>
      <w:r w:rsidRPr="002D4AB3">
        <w:rPr>
          <w:lang w:val="fr-FR"/>
        </w:rPr>
        <w:tab/>
        <w:t>M. Mohamed Lamine Minthe (Guinée, Afrique)</w:t>
      </w:r>
    </w:p>
    <w:p w14:paraId="50D249F6" w14:textId="77777777" w:rsidR="00086361" w:rsidRPr="002D4AB3" w:rsidRDefault="00086361" w:rsidP="00086361">
      <w:pPr>
        <w:pStyle w:val="enumlev1"/>
        <w:rPr>
          <w:lang w:val="fr-FR"/>
        </w:rPr>
      </w:pPr>
      <w:r w:rsidRPr="002D4AB3">
        <w:rPr>
          <w:lang w:val="fr-FR"/>
        </w:rPr>
        <w:t>–</w:t>
      </w:r>
      <w:r w:rsidRPr="002D4AB3">
        <w:rPr>
          <w:lang w:val="fr-FR"/>
        </w:rPr>
        <w:tab/>
        <w:t>Mme Fifatin Carrelle Lucrece Toho (Bénin, Afrique)</w:t>
      </w:r>
    </w:p>
    <w:p w14:paraId="2E6C346A" w14:textId="77777777" w:rsidR="00086361" w:rsidRPr="002D4AB3" w:rsidRDefault="00086361" w:rsidP="00086361">
      <w:pPr>
        <w:pStyle w:val="enumlev1"/>
        <w:rPr>
          <w:lang w:val="fr-FR"/>
        </w:rPr>
      </w:pPr>
      <w:r w:rsidRPr="002D4AB3">
        <w:rPr>
          <w:lang w:val="fr-FR"/>
        </w:rPr>
        <w:t>–</w:t>
      </w:r>
      <w:r w:rsidRPr="002D4AB3">
        <w:rPr>
          <w:lang w:val="fr-FR"/>
        </w:rPr>
        <w:tab/>
        <w:t>M. Víctor Antonio Martínez Sánchez (Paraguay, Amériques)</w:t>
      </w:r>
    </w:p>
    <w:p w14:paraId="08239C61" w14:textId="77777777" w:rsidR="00086361" w:rsidRPr="002D4AB3" w:rsidRDefault="00086361" w:rsidP="00086361">
      <w:pPr>
        <w:pStyle w:val="enumlev1"/>
        <w:rPr>
          <w:lang w:val="fr-FR"/>
        </w:rPr>
      </w:pPr>
      <w:r w:rsidRPr="002D4AB3">
        <w:rPr>
          <w:lang w:val="fr-FR"/>
        </w:rPr>
        <w:t>–</w:t>
      </w:r>
      <w:r w:rsidRPr="002D4AB3">
        <w:rPr>
          <w:lang w:val="fr-FR"/>
        </w:rPr>
        <w:tab/>
        <w:t>Mme Aisha Al Marzooqi (Émirats arabes unis, États arabes)</w:t>
      </w:r>
    </w:p>
    <w:p w14:paraId="5932EEDB" w14:textId="77777777" w:rsidR="00086361" w:rsidRPr="002D4AB3" w:rsidRDefault="00086361" w:rsidP="00086361">
      <w:pPr>
        <w:pStyle w:val="enumlev1"/>
        <w:rPr>
          <w:lang w:val="fr-FR"/>
        </w:rPr>
      </w:pPr>
      <w:r w:rsidRPr="002D4AB3">
        <w:rPr>
          <w:lang w:val="fr-FR"/>
        </w:rPr>
        <w:t>–</w:t>
      </w:r>
      <w:r w:rsidRPr="002D4AB3">
        <w:rPr>
          <w:lang w:val="fr-FR"/>
        </w:rPr>
        <w:tab/>
        <w:t>Mme Maha Ziad Yousef Mouasher (Jordanie, États arabes)</w:t>
      </w:r>
    </w:p>
    <w:p w14:paraId="12023B8D" w14:textId="77777777" w:rsidR="00086361" w:rsidRPr="002D4AB3" w:rsidRDefault="00086361" w:rsidP="00086361">
      <w:pPr>
        <w:pStyle w:val="enumlev1"/>
        <w:rPr>
          <w:lang w:val="fr-FR"/>
        </w:rPr>
      </w:pPr>
      <w:r w:rsidRPr="002D4AB3">
        <w:rPr>
          <w:lang w:val="fr-FR"/>
        </w:rPr>
        <w:t>–</w:t>
      </w:r>
      <w:r w:rsidRPr="002D4AB3">
        <w:rPr>
          <w:lang w:val="fr-FR"/>
        </w:rPr>
        <w:tab/>
        <w:t>M. Hideo Imanaka (Japon, Asie-Pacifique)</w:t>
      </w:r>
    </w:p>
    <w:p w14:paraId="7AB34A97" w14:textId="77777777" w:rsidR="00086361" w:rsidRPr="002D4AB3" w:rsidRDefault="00086361" w:rsidP="00086361">
      <w:pPr>
        <w:pStyle w:val="enumlev1"/>
        <w:rPr>
          <w:lang w:val="fr-FR"/>
        </w:rPr>
      </w:pPr>
      <w:r w:rsidRPr="002D4AB3">
        <w:rPr>
          <w:lang w:val="fr-FR"/>
        </w:rPr>
        <w:lastRenderedPageBreak/>
        <w:t>–</w:t>
      </w:r>
      <w:r w:rsidRPr="002D4AB3">
        <w:rPr>
          <w:lang w:val="fr-FR"/>
        </w:rPr>
        <w:tab/>
        <w:t>M. Sandeep Kumar Gupta (Inde, Asie-Pacifique)</w:t>
      </w:r>
    </w:p>
    <w:p w14:paraId="4B416FCD" w14:textId="77777777" w:rsidR="00086361" w:rsidRPr="002D4AB3" w:rsidRDefault="00086361" w:rsidP="00086361">
      <w:pPr>
        <w:pStyle w:val="enumlev1"/>
        <w:rPr>
          <w:lang w:val="fr-FR"/>
        </w:rPr>
      </w:pPr>
      <w:r w:rsidRPr="002D4AB3">
        <w:rPr>
          <w:lang w:val="fr-FR"/>
        </w:rPr>
        <w:t>–</w:t>
      </w:r>
      <w:r w:rsidRPr="002D4AB3">
        <w:rPr>
          <w:lang w:val="fr-FR"/>
        </w:rPr>
        <w:tab/>
        <w:t>M. Tongning Wu (Chine, Asie-Pacifique)</w:t>
      </w:r>
    </w:p>
    <w:p w14:paraId="286AE982" w14:textId="77777777" w:rsidR="00086361" w:rsidRPr="002D4AB3" w:rsidRDefault="00086361" w:rsidP="00086361">
      <w:pPr>
        <w:pStyle w:val="enumlev1"/>
        <w:rPr>
          <w:lang w:val="fr-FR"/>
        </w:rPr>
      </w:pPr>
      <w:r w:rsidRPr="002D4AB3">
        <w:rPr>
          <w:lang w:val="fr-FR"/>
        </w:rPr>
        <w:t>–</w:t>
      </w:r>
      <w:r w:rsidRPr="002D4AB3">
        <w:rPr>
          <w:lang w:val="fr-FR"/>
        </w:rPr>
        <w:tab/>
        <w:t>M. Javokhir Aripov (Ouzbékistan, CEI)</w:t>
      </w:r>
    </w:p>
    <w:p w14:paraId="288CF87E" w14:textId="77777777" w:rsidR="00086361" w:rsidRPr="002D4AB3" w:rsidRDefault="00086361" w:rsidP="00086361">
      <w:pPr>
        <w:pStyle w:val="enumlev1"/>
        <w:rPr>
          <w:lang w:val="fr-FR"/>
        </w:rPr>
      </w:pPr>
      <w:r w:rsidRPr="002D4AB3">
        <w:rPr>
          <w:lang w:val="fr-FR"/>
        </w:rPr>
        <w:t>–</w:t>
      </w:r>
      <w:r w:rsidRPr="002D4AB3">
        <w:rPr>
          <w:lang w:val="fr-FR"/>
        </w:rPr>
        <w:tab/>
        <w:t>Mme Uliana Stoliarova (Fédération de Russie, CEI)</w:t>
      </w:r>
    </w:p>
    <w:p w14:paraId="4325D290" w14:textId="77777777" w:rsidR="00086361" w:rsidRPr="002D4AB3" w:rsidRDefault="00086361" w:rsidP="00086361">
      <w:pPr>
        <w:pStyle w:val="enumlev1"/>
        <w:rPr>
          <w:lang w:val="fr-FR"/>
        </w:rPr>
      </w:pPr>
      <w:r w:rsidRPr="002D4AB3">
        <w:rPr>
          <w:lang w:val="fr-FR"/>
        </w:rPr>
        <w:t>–</w:t>
      </w:r>
      <w:r w:rsidRPr="002D4AB3">
        <w:rPr>
          <w:lang w:val="fr-FR"/>
        </w:rPr>
        <w:tab/>
        <w:t>Mme Lidia Stepinska-Ustasiak (Pologne, Europe)</w:t>
      </w:r>
    </w:p>
    <w:p w14:paraId="1D0BC185" w14:textId="77777777" w:rsidR="00086361" w:rsidRPr="002D4AB3" w:rsidRDefault="00086361" w:rsidP="00086361">
      <w:pPr>
        <w:pStyle w:val="enumlev1"/>
        <w:rPr>
          <w:lang w:val="fr-FR"/>
        </w:rPr>
      </w:pPr>
      <w:r w:rsidRPr="002D4AB3">
        <w:rPr>
          <w:lang w:val="fr-FR"/>
        </w:rPr>
        <w:t>–</w:t>
      </w:r>
      <w:r w:rsidRPr="002D4AB3">
        <w:rPr>
          <w:lang w:val="fr-FR"/>
        </w:rPr>
        <w:tab/>
        <w:t>Mme Carmen Madalina Clapon (Roumanie, Europe)</w:t>
      </w:r>
    </w:p>
    <w:p w14:paraId="670BD1AC" w14:textId="77777777" w:rsidR="00086361" w:rsidRPr="002D4AB3" w:rsidRDefault="00086361" w:rsidP="00086361">
      <w:pPr>
        <w:pStyle w:val="Heading2"/>
        <w:rPr>
          <w:lang w:val="fr-FR"/>
        </w:rPr>
      </w:pPr>
      <w:r w:rsidRPr="002D4AB3">
        <w:rPr>
          <w:lang w:val="fr-FR"/>
        </w:rPr>
        <w:t>2.3</w:t>
      </w:r>
      <w:r w:rsidRPr="002D4AB3">
        <w:rPr>
          <w:lang w:val="fr-FR"/>
        </w:rPr>
        <w:tab/>
        <w:t>Questions confiées à la Commission d'études 2</w:t>
      </w:r>
    </w:p>
    <w:p w14:paraId="4B77A2D4" w14:textId="77777777" w:rsidR="00086361" w:rsidRPr="002D4AB3" w:rsidRDefault="00086361" w:rsidP="00086361">
      <w:pPr>
        <w:rPr>
          <w:lang w:val="fr-FR"/>
        </w:rPr>
      </w:pPr>
      <w:r w:rsidRPr="002D4AB3">
        <w:rPr>
          <w:lang w:val="fr-FR"/>
        </w:rPr>
        <w:t>La CMDT-25 a confié à la CE 2 l'étude des Questions suivantes:</w:t>
      </w:r>
    </w:p>
    <w:p w14:paraId="47AE75B5" w14:textId="241AF188" w:rsidR="00086361" w:rsidRPr="002D4AB3" w:rsidRDefault="00086361" w:rsidP="00086361">
      <w:pPr>
        <w:pStyle w:val="enumlev1"/>
        <w:rPr>
          <w:lang w:val="fr-FR"/>
        </w:rPr>
      </w:pPr>
      <w:r w:rsidRPr="002D4AB3">
        <w:rPr>
          <w:lang w:val="fr-FR"/>
        </w:rPr>
        <w:t>–</w:t>
      </w:r>
      <w:r w:rsidRPr="002D4AB3">
        <w:rPr>
          <w:lang w:val="fr-FR"/>
        </w:rPr>
        <w:tab/>
      </w:r>
      <w:hyperlink r:id="rId12" w:history="1">
        <w:r w:rsidRPr="002D4AB3">
          <w:rPr>
            <w:rStyle w:val="Hyperlink"/>
            <w:lang w:val="fr-FR"/>
          </w:rPr>
          <w:t>Question 1/2</w:t>
        </w:r>
      </w:hyperlink>
      <w:r w:rsidRPr="002D4AB3">
        <w:rPr>
          <w:lang w:val="fr-FR"/>
        </w:rPr>
        <w:t>: Télécommunications/TIC de base pour la transformation numérique et les villes et communautés intelligentes et durables</w:t>
      </w:r>
    </w:p>
    <w:p w14:paraId="0AE680AA" w14:textId="52362A07" w:rsidR="00086361" w:rsidRPr="002D4AB3" w:rsidRDefault="00086361" w:rsidP="00086361">
      <w:pPr>
        <w:pStyle w:val="enumlev1"/>
        <w:rPr>
          <w:lang w:val="fr-FR"/>
        </w:rPr>
      </w:pPr>
      <w:r w:rsidRPr="002D4AB3">
        <w:rPr>
          <w:lang w:val="fr-FR"/>
        </w:rPr>
        <w:t>–</w:t>
      </w:r>
      <w:r w:rsidRPr="002D4AB3">
        <w:rPr>
          <w:lang w:val="fr-FR"/>
        </w:rPr>
        <w:tab/>
      </w:r>
      <w:hyperlink r:id="rId13" w:history="1">
        <w:r w:rsidRPr="002D4AB3">
          <w:rPr>
            <w:rStyle w:val="Hyperlink"/>
            <w:lang w:val="fr-FR"/>
          </w:rPr>
          <w:t>Question 2/2</w:t>
        </w:r>
      </w:hyperlink>
      <w:r w:rsidRPr="002D4AB3">
        <w:rPr>
          <w:lang w:val="fr-FR"/>
        </w:rPr>
        <w:t>: Les TIC au service de l'environnement et évaluation de l'exposition des personnes aux champs électromagnétiques</w:t>
      </w:r>
    </w:p>
    <w:p w14:paraId="47E2C06A" w14:textId="70E655ED" w:rsidR="00086361" w:rsidRPr="002D4AB3" w:rsidRDefault="00086361" w:rsidP="00086361">
      <w:pPr>
        <w:pStyle w:val="enumlev1"/>
        <w:rPr>
          <w:lang w:val="fr-FR"/>
        </w:rPr>
      </w:pPr>
      <w:r w:rsidRPr="002D4AB3">
        <w:rPr>
          <w:lang w:val="fr-FR"/>
        </w:rPr>
        <w:t>–</w:t>
      </w:r>
      <w:r w:rsidRPr="002D4AB3">
        <w:rPr>
          <w:lang w:val="fr-FR"/>
        </w:rPr>
        <w:tab/>
      </w:r>
      <w:hyperlink r:id="rId14" w:history="1">
        <w:r w:rsidRPr="002D4AB3">
          <w:rPr>
            <w:rStyle w:val="Hyperlink"/>
            <w:lang w:val="fr-FR"/>
          </w:rPr>
          <w:t>Question 3/2</w:t>
        </w:r>
      </w:hyperlink>
      <w:r w:rsidRPr="002D4AB3">
        <w:rPr>
          <w:lang w:val="fr-FR"/>
        </w:rPr>
        <w:t>: Sécurisation des réseaux d'information et de communication: bonnes pratiques pour créer une culture de la cybersécurité</w:t>
      </w:r>
    </w:p>
    <w:p w14:paraId="60FC875C" w14:textId="22AE6E46" w:rsidR="00086361" w:rsidRPr="002D4AB3" w:rsidRDefault="00086361" w:rsidP="00086361">
      <w:pPr>
        <w:pStyle w:val="enumlev1"/>
        <w:rPr>
          <w:lang w:val="fr-FR"/>
        </w:rPr>
      </w:pPr>
      <w:r w:rsidRPr="002D4AB3">
        <w:rPr>
          <w:lang w:val="fr-FR"/>
        </w:rPr>
        <w:t>–</w:t>
      </w:r>
      <w:r w:rsidRPr="002D4AB3">
        <w:rPr>
          <w:lang w:val="fr-FR"/>
        </w:rPr>
        <w:tab/>
      </w:r>
      <w:hyperlink r:id="rId15" w:history="1">
        <w:r w:rsidRPr="002D4AB3">
          <w:rPr>
            <w:rStyle w:val="Hyperlink"/>
            <w:lang w:val="fr-FR"/>
          </w:rPr>
          <w:t>Question 4/2</w:t>
        </w:r>
      </w:hyperlink>
      <w:r w:rsidRPr="002D4AB3">
        <w:rPr>
          <w:lang w:val="fr-FR"/>
        </w:rPr>
        <w:t>: Disponibilité et accessibilité financière des dispositifs des utilisateurs, et questions liées aux équipements de télécommunication/TIC, y compris la conformité et l'interopérabilité</w:t>
      </w:r>
    </w:p>
    <w:p w14:paraId="52E1C0FE" w14:textId="3409018B" w:rsidR="00086361" w:rsidRPr="002D4AB3" w:rsidRDefault="00086361" w:rsidP="00086361">
      <w:pPr>
        <w:pStyle w:val="enumlev1"/>
        <w:rPr>
          <w:lang w:val="fr-FR"/>
        </w:rPr>
      </w:pPr>
      <w:r w:rsidRPr="002D4AB3">
        <w:rPr>
          <w:lang w:val="fr-FR"/>
        </w:rPr>
        <w:t>–</w:t>
      </w:r>
      <w:r w:rsidRPr="002D4AB3">
        <w:rPr>
          <w:lang w:val="fr-FR"/>
        </w:rPr>
        <w:tab/>
      </w:r>
      <w:hyperlink r:id="rId16" w:history="1">
        <w:r w:rsidRPr="002D4AB3">
          <w:rPr>
            <w:rStyle w:val="Hyperlink"/>
            <w:lang w:val="fr-FR"/>
          </w:rPr>
          <w:t>Question 5/2</w:t>
        </w:r>
      </w:hyperlink>
      <w:r w:rsidRPr="002D4AB3">
        <w:rPr>
          <w:lang w:val="fr-FR"/>
        </w:rPr>
        <w:t>: Adoption et utilisation des services et des technologies de télécommunications/TIC nouveaux et émergents et développement des compétences numériques</w:t>
      </w:r>
    </w:p>
    <w:p w14:paraId="39B5B1AE" w14:textId="77777777" w:rsidR="00086361" w:rsidRPr="002D4AB3" w:rsidRDefault="00086361" w:rsidP="00086361">
      <w:pPr>
        <w:pStyle w:val="Heading2"/>
        <w:rPr>
          <w:lang w:val="fr-FR"/>
        </w:rPr>
      </w:pPr>
      <w:r w:rsidRPr="002D4AB3">
        <w:rPr>
          <w:lang w:val="fr-FR"/>
        </w:rPr>
        <w:t>2.4</w:t>
      </w:r>
      <w:r w:rsidRPr="002D4AB3">
        <w:rPr>
          <w:lang w:val="fr-FR"/>
        </w:rPr>
        <w:tab/>
        <w:t>Désignation des Rapporteurs et des Vice-Rapporteurs de la Commission d'études 2</w:t>
      </w:r>
    </w:p>
    <w:p w14:paraId="0A6E3F26" w14:textId="02D23021" w:rsidR="00086361" w:rsidRPr="002D4AB3" w:rsidRDefault="00086361" w:rsidP="00086361">
      <w:pPr>
        <w:rPr>
          <w:lang w:val="fr-FR"/>
        </w:rPr>
      </w:pPr>
      <w:hyperlink r:id="rId17" w:history="1">
        <w:r w:rsidRPr="002D4AB3">
          <w:rPr>
            <w:rStyle w:val="Hyperlink"/>
            <w:lang w:val="fr-FR"/>
          </w:rPr>
          <w:t>Un appel à candidatures pour les fonctions de Rapporteurs et de Vice-Rapporteurs</w:t>
        </w:r>
      </w:hyperlink>
      <w:r w:rsidRPr="002D4AB3">
        <w:rPr>
          <w:rStyle w:val="FootnoteReference"/>
          <w:lang w:val="fr-FR"/>
        </w:rPr>
        <w:footnoteReference w:id="2"/>
      </w:r>
      <w:r w:rsidRPr="002D4AB3">
        <w:rPr>
          <w:lang w:val="fr-FR"/>
        </w:rPr>
        <w:t xml:space="preserve"> a été envoyé aux membres et il sera procédé aux nominations des Rapporteurs et des Vice-Rapporteurs pour les cinq Questions à l'étude lors de la première réunion de la CE 2 de l'UIT-D</w:t>
      </w:r>
      <w:r w:rsidRPr="002D4AB3">
        <w:rPr>
          <w:rStyle w:val="FootnoteReference"/>
          <w:lang w:val="fr-FR"/>
        </w:rPr>
        <w:footnoteReference w:id="3"/>
      </w:r>
      <w:r w:rsidRPr="002D4AB3">
        <w:rPr>
          <w:lang w:val="fr-FR"/>
        </w:rPr>
        <w:t>, qui se tiendra du</w:t>
      </w:r>
      <w:r w:rsidRPr="002D4AB3">
        <w:rPr>
          <w:lang w:val="fr-FR"/>
        </w:rPr>
        <w:t> </w:t>
      </w:r>
      <w:r w:rsidRPr="002D4AB3">
        <w:rPr>
          <w:lang w:val="fr-FR"/>
        </w:rPr>
        <w:t>20</w:t>
      </w:r>
      <w:r w:rsidRPr="002D4AB3">
        <w:rPr>
          <w:lang w:val="fr-FR"/>
        </w:rPr>
        <w:t> </w:t>
      </w:r>
      <w:r w:rsidRPr="002D4AB3">
        <w:rPr>
          <w:lang w:val="fr-FR"/>
        </w:rPr>
        <w:t>au 24 avril 2026. La procédure de nomination est conforme aux lignes directrices approuvées par le GCDT concernant la composition des équipes de Rapporteurs</w:t>
      </w:r>
      <w:r w:rsidRPr="002D4AB3">
        <w:rPr>
          <w:rStyle w:val="FootnoteReference"/>
          <w:lang w:val="fr-FR"/>
        </w:rPr>
        <w:footnoteReference w:id="4"/>
      </w:r>
      <w:r w:rsidRPr="002D4AB3">
        <w:rPr>
          <w:lang w:val="fr-FR"/>
        </w:rPr>
        <w:t>, présentées lors de la réunion de 2025 du GCDT.</w:t>
      </w:r>
    </w:p>
    <w:p w14:paraId="42794D9A" w14:textId="4F337D4A" w:rsidR="00086361" w:rsidRPr="002D4AB3" w:rsidRDefault="00086361" w:rsidP="00086361">
      <w:pPr>
        <w:rPr>
          <w:lang w:val="fr-FR"/>
        </w:rPr>
      </w:pPr>
      <w:r w:rsidRPr="002D4AB3">
        <w:rPr>
          <w:lang w:val="fr-FR"/>
        </w:rPr>
        <w:t xml:space="preserve">La liste de toutes les candidatures reçues est disponible en ligne </w:t>
      </w:r>
      <w:hyperlink r:id="rId18" w:history="1">
        <w:r w:rsidRPr="002D4AB3">
          <w:rPr>
            <w:rStyle w:val="Hyperlink"/>
            <w:lang w:val="fr-FR"/>
          </w:rPr>
          <w:t>ici</w:t>
        </w:r>
      </w:hyperlink>
      <w:r w:rsidRPr="002D4AB3">
        <w:rPr>
          <w:lang w:val="fr-FR"/>
        </w:rPr>
        <w:t>.</w:t>
      </w:r>
    </w:p>
    <w:p w14:paraId="42A2DAA5" w14:textId="3303278C" w:rsidR="00086361" w:rsidRPr="002D4AB3" w:rsidRDefault="00086361" w:rsidP="00086361">
      <w:pPr>
        <w:pStyle w:val="Heading1"/>
        <w:rPr>
          <w:lang w:val="fr-FR"/>
        </w:rPr>
      </w:pPr>
      <w:r w:rsidRPr="002D4AB3">
        <w:rPr>
          <w:lang w:val="fr-FR"/>
        </w:rPr>
        <w:lastRenderedPageBreak/>
        <w:t>3</w:t>
      </w:r>
      <w:r w:rsidRPr="002D4AB3">
        <w:rPr>
          <w:lang w:val="fr-FR"/>
        </w:rPr>
        <w:tab/>
        <w:t>Stratégie et programme de travail de la Commission d'études 2</w:t>
      </w:r>
    </w:p>
    <w:p w14:paraId="7CAAD3A4" w14:textId="77FF0307" w:rsidR="00086361" w:rsidRPr="002D4AB3" w:rsidRDefault="00086361" w:rsidP="00086361">
      <w:pPr>
        <w:keepNext/>
        <w:keepLines/>
        <w:rPr>
          <w:lang w:val="fr-FR"/>
        </w:rPr>
      </w:pPr>
      <w:r w:rsidRPr="002D4AB3">
        <w:rPr>
          <w:lang w:val="fr-FR"/>
        </w:rPr>
        <w:t>La structure du Plan d'action de Bakou et sa contribution au Plan stratégique de l'UIT (voir l'Annexe 1) présentent des liens évidents avec les commissions d'études de l'UIT-D. Les activités des commissions d'études de l'UIT-D, ainsi que les initiatives régionales et les résolutions adoptées à la CMDT-25, contribuent aux cinq priorités de l'UIT-D, lesquelles facilitent l'exécution du mandat du Secteur et donnent des orientations au BDT pour le prochain cycle de planification concernant les objectifs que se fixe l'UIT-D, conformément à l'approche globale de gestion axée sur les résultats et aux buts stratégiques et priorités thématiques de l'Union.</w:t>
      </w:r>
    </w:p>
    <w:p w14:paraId="40862367" w14:textId="5443CB48" w:rsidR="00086361" w:rsidRPr="002D4AB3" w:rsidRDefault="00086361" w:rsidP="00086361">
      <w:pPr>
        <w:rPr>
          <w:lang w:val="fr-FR"/>
        </w:rPr>
      </w:pPr>
      <w:r w:rsidRPr="002D4AB3">
        <w:rPr>
          <w:lang w:val="fr-FR"/>
        </w:rPr>
        <w:t>Afin que la CE 2 obtienne les résultats escomptés pour la période d'études 2026-2029, conformément au domaine de compétence défini dans la Résolution 2 (Rév. Bakou, 2025) de la</w:t>
      </w:r>
      <w:r w:rsidRPr="002D4AB3">
        <w:rPr>
          <w:lang w:val="fr-FR"/>
        </w:rPr>
        <w:t> </w:t>
      </w:r>
      <w:r w:rsidRPr="002D4AB3">
        <w:rPr>
          <w:lang w:val="fr-FR"/>
        </w:rPr>
        <w:t>CMDT, intitulée "Établissement de commissions d'études", certains éléments essentiels doivent être pris en considération et définis dès le départ.</w:t>
      </w:r>
    </w:p>
    <w:p w14:paraId="750904C0" w14:textId="77777777" w:rsidR="00086361" w:rsidRPr="002D4AB3" w:rsidRDefault="00086361" w:rsidP="00086361">
      <w:pPr>
        <w:rPr>
          <w:lang w:val="fr-FR"/>
        </w:rPr>
      </w:pPr>
      <w:r w:rsidRPr="002D4AB3">
        <w:rPr>
          <w:lang w:val="fr-FR"/>
        </w:rPr>
        <w:t>Quatre réunions annuelles de la Commission d'études et trois séries de réunions de Groupes du Rapporteur sont prévues. En outre, il est prévu d'organiser des ateliers et des webinaires sur des thèmes relatifs aux Questions à l'étude tout au long de la période d'études, dans la mesure du possible. Les membres sont encouragés à présenter des propositions relatives à ces ateliers et webinaires, pour examen lors des réunions annuelles de la Commission d'études.</w:t>
      </w:r>
    </w:p>
    <w:p w14:paraId="76082DE3" w14:textId="07C2AACD" w:rsidR="00086361" w:rsidRPr="002D4AB3" w:rsidRDefault="00086361" w:rsidP="00086361">
      <w:pPr>
        <w:rPr>
          <w:lang w:val="fr-FR"/>
        </w:rPr>
      </w:pPr>
      <w:r w:rsidRPr="002D4AB3">
        <w:rPr>
          <w:lang w:val="fr-FR"/>
        </w:rPr>
        <w:t>La réduction du nombre de Questions à l'étude met en évidence certains éléments pratiques. Le programme de gestion du temps pour les réunions de la CE 2 a été revu, afin que les réunions de l'équipe de direction de la CE 2 et les réunions conjointes des équipes de direction de la CE 1 et de la CE 2 puissent avoir lieu le lundi et non le dimanche. En outre, la durée des réunions des Groupes du Rapporteur de la CE 2 (y compris les ateliers et les webinaires) s'étendra sur 7,5 jours au lieu de</w:t>
      </w:r>
      <w:r w:rsidR="008E280A" w:rsidRPr="002D4AB3">
        <w:rPr>
          <w:lang w:val="fr-FR"/>
        </w:rPr>
        <w:t> </w:t>
      </w:r>
      <w:r w:rsidRPr="002D4AB3">
        <w:rPr>
          <w:lang w:val="fr-FR"/>
        </w:rPr>
        <w:t>10 jours ouvrables. Cette durée raccourcie devrait offrir de meilleures possibilités d'accueil des réunions qui se tiendront en dehors des locaux du siège de l'UIT, lorsque le projet de construction du bâtiment du siège de l'UIT l'exigera.</w:t>
      </w:r>
    </w:p>
    <w:p w14:paraId="32D54C49" w14:textId="77777777" w:rsidR="00086361" w:rsidRPr="002D4AB3" w:rsidRDefault="00086361" w:rsidP="00086361">
      <w:pPr>
        <w:rPr>
          <w:lang w:val="fr-FR"/>
        </w:rPr>
      </w:pPr>
      <w:r w:rsidRPr="002D4AB3">
        <w:rPr>
          <w:lang w:val="fr-FR"/>
        </w:rPr>
        <w:t>Grâce à une bonne planification dès le début de la période d'études, il sera également possible de chercher à créer des synergies stratégiques entre les travaux menés au titre des Questions confiées à la CE 2, avec les responsables des Questions confiées à la CE 1 ainsi qu'avec les commissions d'études des autres Secteurs. En outre, comme lors de la période d'études précédente, des synergies continueront d'être recherchées entre les activités relatives aux Questions à l'étude et d'autres axes de travail tels que les programmes, les initiatives régionales et les projets. Les contributions portant sur les activités menées à l'occasion de réunions et de manifestations connexes aux niveaux national, régional et mondial sont encouragées, afin de faire progresser les travaux sur les Questions à l'étude.</w:t>
      </w:r>
    </w:p>
    <w:p w14:paraId="3BDC58DF" w14:textId="10861CB6" w:rsidR="00086361" w:rsidRPr="002D4AB3" w:rsidRDefault="00086361" w:rsidP="00086361">
      <w:pPr>
        <w:rPr>
          <w:lang w:val="fr-FR"/>
        </w:rPr>
      </w:pPr>
      <w:r w:rsidRPr="002D4AB3">
        <w:rPr>
          <w:lang w:val="fr-FR"/>
        </w:rPr>
        <w:t>Afin de créer ces synergies, et en vue de la première réunion de la CE 2, le Président et les Vice</w:t>
      </w:r>
      <w:r w:rsidRPr="002D4AB3">
        <w:rPr>
          <w:lang w:val="fr-FR"/>
        </w:rPr>
        <w:noBreakHyphen/>
      </w:r>
      <w:r w:rsidRPr="002D4AB3">
        <w:rPr>
          <w:lang w:val="fr-FR"/>
        </w:rPr>
        <w:t>Présidents de la CE 2 ont tenu une conférence téléphonique le 4 février 2026, qui a porté sur les responsabilités des Vice-Présidents et leur rôle attendu en tant que coordonnateurs pour des sujets donnés, conformément au § 3.2.3 de la Résolution 1 de la CMDT. Suite à cette conférence téléphonique, les fonctions ont été attribuées aux coordonnateurs sur la base des manifestations d'intérêt présentées par les Vice-Présidents de la CE 2. Lorsqu'aucun des Vice-Présidents de la CE 2 ne pouvait assumer une fonction donnée, d'autres membres, comme les Rapporteurs et les Vice</w:t>
      </w:r>
      <w:r w:rsidR="008E280A" w:rsidRPr="002D4AB3">
        <w:rPr>
          <w:lang w:val="fr-FR"/>
        </w:rPr>
        <w:noBreakHyphen/>
      </w:r>
      <w:r w:rsidRPr="002D4AB3">
        <w:rPr>
          <w:lang w:val="fr-FR"/>
        </w:rPr>
        <w:t xml:space="preserve">Rapporteurs, ont été invités à remplir cette fonction. Parmi les sujets confiés figurent notamment la promotion des activités conjointes (ex: produits intérimaires ou ateliers conjoints), la participation des femmes et des jeunes, la participation accrue des Membres du Secteur de l'UIT-D et des établissements universitaires, et le renforcement des synergies et de la collaboration </w:t>
      </w:r>
      <w:r w:rsidRPr="002D4AB3">
        <w:rPr>
          <w:lang w:val="fr-FR"/>
        </w:rPr>
        <w:lastRenderedPageBreak/>
        <w:t>avec les activités du BDT, d'autres groupes et les Secteurs de l'UIT. Un Vice-Président a également été chargé de veiller à la bonne mise en œuvre des lignes directrices approuvées par le GCDT sur la composition des équipes de rapporteurs</w:t>
      </w:r>
      <w:r w:rsidRPr="002D4AB3">
        <w:rPr>
          <w:rStyle w:val="FootnoteReference"/>
          <w:lang w:val="fr-FR"/>
        </w:rPr>
        <w:footnoteReference w:id="5"/>
      </w:r>
      <w:r w:rsidRPr="002D4AB3">
        <w:rPr>
          <w:lang w:val="fr-FR"/>
        </w:rPr>
        <w:t xml:space="preserve"> et sur l'utilisation améliorée des produits des commissions d'études de l'UIT-D</w:t>
      </w:r>
      <w:r w:rsidRPr="002D4AB3">
        <w:rPr>
          <w:rStyle w:val="FootnoteReference"/>
          <w:lang w:val="fr-FR"/>
        </w:rPr>
        <w:footnoteReference w:id="6"/>
      </w:r>
      <w:r w:rsidRPr="002D4AB3">
        <w:rPr>
          <w:lang w:val="fr-FR"/>
        </w:rPr>
        <w:t>.</w:t>
      </w:r>
    </w:p>
    <w:p w14:paraId="0F4A4060" w14:textId="77777777" w:rsidR="00086361" w:rsidRPr="002D4AB3" w:rsidRDefault="00086361" w:rsidP="00086361">
      <w:pPr>
        <w:rPr>
          <w:lang w:val="fr-FR"/>
        </w:rPr>
      </w:pPr>
      <w:r w:rsidRPr="002D4AB3">
        <w:rPr>
          <w:lang w:val="fr-FR"/>
        </w:rPr>
        <w:t>En outre, comme lors des périodes d'études précédentes, des coordonnateurs du BDT (du siège et des régions) ont été nommés pour faire partie de l'équipe de direction responsable des Questions à l'étude. Ils jouent un rôle essentiel en faisant le lien entre les commissions d'études de l'UIT-D et les activités du BDT, ainsi qu'en identifiant et en facilitant les contributions des régions et des bénéficiaires des projets et initiatives de l'UIT.</w:t>
      </w:r>
    </w:p>
    <w:p w14:paraId="2E9462CA" w14:textId="77777777" w:rsidR="00086361" w:rsidRPr="002D4AB3" w:rsidRDefault="00086361" w:rsidP="00086361">
      <w:pPr>
        <w:rPr>
          <w:lang w:val="fr-FR"/>
        </w:rPr>
      </w:pPr>
      <w:r w:rsidRPr="002D4AB3">
        <w:rPr>
          <w:lang w:val="fr-FR"/>
        </w:rPr>
        <w:t>D'autres modifications sont applicables conformément aux nouvelles modifications apportées à la Résolution 1 (Rév. Bakou, 2025) de la CMDT, notamment les suivantes:</w:t>
      </w:r>
    </w:p>
    <w:p w14:paraId="0D9EB6E7" w14:textId="77777777" w:rsidR="00086361" w:rsidRPr="002D4AB3" w:rsidRDefault="00086361" w:rsidP="00086361">
      <w:pPr>
        <w:pStyle w:val="enumlev1"/>
        <w:rPr>
          <w:lang w:val="fr-FR"/>
        </w:rPr>
      </w:pPr>
      <w:r w:rsidRPr="002D4AB3">
        <w:rPr>
          <w:lang w:val="fr-FR"/>
        </w:rPr>
        <w:t>–</w:t>
      </w:r>
      <w:r w:rsidRPr="002D4AB3">
        <w:rPr>
          <w:lang w:val="fr-FR"/>
        </w:rPr>
        <w:tab/>
        <w:t>la notification du programme de travail, en particulier de la table des matières des Questions à l'étude, aux autres Secteurs de l'UIT, afin de solliciter leur avis;</w:t>
      </w:r>
    </w:p>
    <w:p w14:paraId="1CDB7564" w14:textId="77777777" w:rsidR="00086361" w:rsidRPr="002D4AB3" w:rsidRDefault="00086361" w:rsidP="00086361">
      <w:pPr>
        <w:pStyle w:val="enumlev1"/>
        <w:rPr>
          <w:lang w:val="fr-FR"/>
        </w:rPr>
      </w:pPr>
      <w:r w:rsidRPr="002D4AB3">
        <w:rPr>
          <w:lang w:val="fr-FR"/>
        </w:rPr>
        <w:t>–</w:t>
      </w:r>
      <w:r w:rsidRPr="002D4AB3">
        <w:rPr>
          <w:lang w:val="fr-FR"/>
        </w:rPr>
        <w:tab/>
        <w:t>le renforcement de l'engagement des responsables pour faire en sorte qu'ils participent activement et efficacement.</w:t>
      </w:r>
    </w:p>
    <w:p w14:paraId="2A333D05" w14:textId="77777777" w:rsidR="00086361" w:rsidRPr="002D4AB3" w:rsidRDefault="00086361" w:rsidP="00086361">
      <w:pPr>
        <w:rPr>
          <w:lang w:val="fr-FR"/>
        </w:rPr>
      </w:pPr>
      <w:r w:rsidRPr="002D4AB3">
        <w:rPr>
          <w:lang w:val="fr-FR"/>
        </w:rPr>
        <w:t>Le programme de travail préliminaire de la CE 2 figure dans l'Annexe 2. Le programme de travail sera révisé chaque année, selon qu'il conviendra, afin d'orienter les travaux de la Commission d'études.</w:t>
      </w:r>
    </w:p>
    <w:p w14:paraId="0AB8AB6E" w14:textId="62E5ABE1" w:rsidR="00086361" w:rsidRPr="002D4AB3" w:rsidRDefault="00086361" w:rsidP="00086361">
      <w:pPr>
        <w:pStyle w:val="Heading1"/>
        <w:rPr>
          <w:lang w:val="fr-FR"/>
        </w:rPr>
      </w:pPr>
      <w:r w:rsidRPr="002D4AB3">
        <w:rPr>
          <w:lang w:val="fr-FR"/>
        </w:rPr>
        <w:t>4</w:t>
      </w:r>
      <w:r w:rsidRPr="002D4AB3">
        <w:rPr>
          <w:lang w:val="fr-FR"/>
        </w:rPr>
        <w:tab/>
        <w:t>Outils de collaboration</w:t>
      </w:r>
    </w:p>
    <w:p w14:paraId="699560CB" w14:textId="1FFFAF61" w:rsidR="00086361" w:rsidRPr="002D4AB3" w:rsidRDefault="00086361" w:rsidP="00086361">
      <w:pPr>
        <w:rPr>
          <w:lang w:val="fr-FR"/>
        </w:rPr>
      </w:pPr>
      <w:r w:rsidRPr="002D4AB3">
        <w:rPr>
          <w:lang w:val="fr-FR"/>
        </w:rPr>
        <w:t>Les outils de collaboration visant à faciliter la participation électronique aux travaux des commissions d'études de l'UIT-D continueront d'être fournis. Outre les services de participation à distance et de diffusion sur le web, des listes de diffusion ont été mises à la disposition des participants et des membres de l'équipe de direction.</w:t>
      </w:r>
    </w:p>
    <w:p w14:paraId="22AF30AD" w14:textId="77777777" w:rsidR="00086361" w:rsidRPr="002D4AB3" w:rsidRDefault="00086361" w:rsidP="00086361">
      <w:pPr>
        <w:rPr>
          <w:lang w:val="fr-FR"/>
        </w:rPr>
      </w:pPr>
      <w:r w:rsidRPr="002D4AB3">
        <w:rPr>
          <w:lang w:val="fr-FR"/>
        </w:rPr>
        <w:t>Des canaux seront créés sur Microsoft Teams pour toutes les équipes de direction chargées de l'étude des Questions, afin qu'elles les utilisent selon leurs besoins. Le sous-titrage et la traduction automatiques seront également disponibles pendant les réunions de l'équipe de direction afin de faciliter la communication avec les membres qui parlent moins couramment l'anglais.</w:t>
      </w:r>
    </w:p>
    <w:p w14:paraId="35EB2A06" w14:textId="779597EC" w:rsidR="00086361" w:rsidRPr="002D4AB3" w:rsidRDefault="00086361" w:rsidP="00086361">
      <w:pPr>
        <w:rPr>
          <w:lang w:val="fr-FR"/>
        </w:rPr>
      </w:pPr>
      <w:r w:rsidRPr="002D4AB3">
        <w:rPr>
          <w:lang w:val="fr-FR"/>
        </w:rPr>
        <w:t>Un répertoire et un tableau de bord des contributions</w:t>
      </w:r>
      <w:r w:rsidR="00D20316" w:rsidRPr="002D4AB3">
        <w:rPr>
          <w:rStyle w:val="FootnoteReference"/>
          <w:lang w:val="fr-FR"/>
        </w:rPr>
        <w:footnoteReference w:id="7"/>
      </w:r>
      <w:r w:rsidRPr="002D4AB3">
        <w:rPr>
          <w:lang w:val="fr-FR"/>
        </w:rPr>
        <w:t>, visant à faciliter la recherche des contributions précédentes et des résumés de ces dernières, seront fournis et mis à jour à intervalles réguliers. L'outil de traduction automatique de documents, appelé "ITUTranslate"</w:t>
      </w:r>
      <w:r w:rsidR="00D20316" w:rsidRPr="002D4AB3">
        <w:rPr>
          <w:rStyle w:val="FootnoteReference"/>
          <w:lang w:val="fr-FR"/>
        </w:rPr>
        <w:footnoteReference w:id="8"/>
      </w:r>
      <w:r w:rsidRPr="002D4AB3">
        <w:rPr>
          <w:lang w:val="fr-FR"/>
        </w:rPr>
        <w:t>, est disponible sur le répertoire de gestion des documents accessible uniquement aux titulaires d'un compte TIES. Cet outil permet de traduire des contributions, des rapports et d'autres documents dans les langues officielles de l'ONU. Les pages web des commissions d'études de l'UIT-D peuvent également être traduites dans toutes les langues officielles de l'ONU grâce à l'objet fenêtre</w:t>
      </w:r>
      <w:r w:rsidR="00D20316" w:rsidRPr="002D4AB3">
        <w:rPr>
          <w:lang w:val="fr-FR"/>
        </w:rPr>
        <w:t> </w:t>
      </w:r>
      <w:r w:rsidRPr="002D4AB3">
        <w:rPr>
          <w:lang w:val="fr-FR"/>
        </w:rPr>
        <w:t>ITUTranslate.</w:t>
      </w:r>
    </w:p>
    <w:p w14:paraId="19B80578" w14:textId="645BCCE8" w:rsidR="00086361" w:rsidRPr="002D4AB3" w:rsidRDefault="00086361" w:rsidP="00086361">
      <w:pPr>
        <w:rPr>
          <w:lang w:val="fr-FR"/>
        </w:rPr>
      </w:pPr>
      <w:r w:rsidRPr="002D4AB3">
        <w:rPr>
          <w:lang w:val="fr-FR"/>
        </w:rPr>
        <w:lastRenderedPageBreak/>
        <w:t xml:space="preserve">La première réunion de la CE 2 de l'UIT-D comprendra des séances de présentation et de formation aux méthodes de travail et aux outils de collaboration mis à la disposition des participants aux travaux des commissions d'études de l'UIT-D. Le </w:t>
      </w:r>
      <w:hyperlink r:id="rId19" w:history="1">
        <w:r w:rsidRPr="002D4AB3">
          <w:rPr>
            <w:rStyle w:val="Hyperlink"/>
            <w:lang w:val="fr-FR"/>
          </w:rPr>
          <w:t>document d'information à l'intention des délégués</w:t>
        </w:r>
      </w:hyperlink>
      <w:r w:rsidRPr="002D4AB3">
        <w:rPr>
          <w:lang w:val="fr-FR"/>
        </w:rPr>
        <w:t xml:space="preserve"> a été mis à jour et est mis à la disposition du public dans toutes les langues officielles de l'ONU. Il est proposé de lire ce document avant de participer aux séances de présentation.</w:t>
      </w:r>
    </w:p>
    <w:p w14:paraId="43B6858A" w14:textId="77777777" w:rsidR="00086361" w:rsidRPr="002D4AB3" w:rsidRDefault="00086361" w:rsidP="00086361">
      <w:pPr>
        <w:rPr>
          <w:lang w:val="fr-FR"/>
        </w:rPr>
      </w:pPr>
      <w:r w:rsidRPr="002D4AB3">
        <w:rPr>
          <w:lang w:val="fr-FR"/>
        </w:rPr>
        <w:t>Les participants aux travaux des commissions d'études sont encouragés à examiner ces outils et à transmettre leurs observations éventuelles au secrétariat, afin de contribuer à leur amélioration.</w:t>
      </w:r>
    </w:p>
    <w:p w14:paraId="4C2DDAC5" w14:textId="40F22FCC" w:rsidR="00086361" w:rsidRPr="002D4AB3" w:rsidRDefault="00086361" w:rsidP="00D20316">
      <w:pPr>
        <w:pStyle w:val="Heading1"/>
        <w:rPr>
          <w:lang w:val="fr-FR"/>
        </w:rPr>
      </w:pPr>
      <w:r w:rsidRPr="002D4AB3">
        <w:rPr>
          <w:lang w:val="fr-FR"/>
        </w:rPr>
        <w:t>5</w:t>
      </w:r>
      <w:r w:rsidRPr="002D4AB3">
        <w:rPr>
          <w:lang w:val="fr-FR"/>
        </w:rPr>
        <w:tab/>
        <w:t>Conclusion</w:t>
      </w:r>
    </w:p>
    <w:p w14:paraId="162E9707" w14:textId="3FEBD700" w:rsidR="00086361" w:rsidRPr="002D4AB3" w:rsidRDefault="00086361" w:rsidP="00086361">
      <w:pPr>
        <w:rPr>
          <w:lang w:val="fr-FR"/>
        </w:rPr>
      </w:pPr>
      <w:r w:rsidRPr="002D4AB3">
        <w:rPr>
          <w:lang w:val="fr-FR"/>
        </w:rPr>
        <w:t>La CE 2, compte tenu du nouveau mandat qui lui a été confié et des Questions qui lui ont été assignées, se réunira du 20 au 24 avril 2026. Les premières séances seront l'occasion d'examiner de près les résultats attendus sur lesquels les membres se sont mis d'accord lors de la CMDT-25, de définir les méthodes à suivre pour la conduite des travaux et d'adopter des programmes de travail détaillés pour chaque Question à l'étude. Elles seront aussi l'occasion de nommer les Rapporteurs et les Vice-Rapporteurs pour chacune des Questions à l'étude.</w:t>
      </w:r>
    </w:p>
    <w:p w14:paraId="1464AAC2" w14:textId="30A53CF3" w:rsidR="00086361" w:rsidRPr="002D4AB3" w:rsidRDefault="00086361" w:rsidP="00086361">
      <w:pPr>
        <w:rPr>
          <w:lang w:val="fr-FR"/>
        </w:rPr>
      </w:pPr>
      <w:r w:rsidRPr="002D4AB3">
        <w:rPr>
          <w:lang w:val="fr-FR"/>
        </w:rPr>
        <w:t>La série de réunions du Groupe du Rapporteur de la CE 2 de 2026 devrait avoir lieu du</w:t>
      </w:r>
      <w:r w:rsidR="00D20316" w:rsidRPr="002D4AB3">
        <w:rPr>
          <w:lang w:val="fr-FR"/>
        </w:rPr>
        <w:t> </w:t>
      </w:r>
      <w:r w:rsidRPr="002D4AB3">
        <w:rPr>
          <w:lang w:val="fr-FR"/>
        </w:rPr>
        <w:t>7</w:t>
      </w:r>
      <w:r w:rsidR="00D20316" w:rsidRPr="002D4AB3">
        <w:rPr>
          <w:lang w:val="fr-FR"/>
        </w:rPr>
        <w:t> </w:t>
      </w:r>
      <w:r w:rsidRPr="002D4AB3">
        <w:rPr>
          <w:lang w:val="fr-FR"/>
        </w:rPr>
        <w:t>au</w:t>
      </w:r>
      <w:r w:rsidR="00D20316" w:rsidRPr="002D4AB3">
        <w:rPr>
          <w:lang w:val="fr-FR"/>
        </w:rPr>
        <w:t> </w:t>
      </w:r>
      <w:r w:rsidRPr="002D4AB3">
        <w:rPr>
          <w:lang w:val="fr-FR"/>
        </w:rPr>
        <w:t>16</w:t>
      </w:r>
      <w:r w:rsidR="00D20316" w:rsidRPr="002D4AB3">
        <w:rPr>
          <w:lang w:val="fr-FR"/>
        </w:rPr>
        <w:t> </w:t>
      </w:r>
      <w:r w:rsidRPr="002D4AB3">
        <w:rPr>
          <w:lang w:val="fr-FR"/>
        </w:rPr>
        <w:t>octobre 2026</w:t>
      </w:r>
    </w:p>
    <w:p w14:paraId="4E2015A9" w14:textId="77777777" w:rsidR="00D20316" w:rsidRPr="002D4AB3" w:rsidRDefault="00D20316" w:rsidP="00086361">
      <w:pPr>
        <w:rPr>
          <w:lang w:val="fr-FR"/>
        </w:rPr>
        <w:sectPr w:rsidR="00D20316" w:rsidRPr="002D4AB3" w:rsidSect="00473791">
          <w:headerReference w:type="default" r:id="rId20"/>
          <w:footerReference w:type="first" r:id="rId21"/>
          <w:pgSz w:w="11907" w:h="16834" w:code="9"/>
          <w:pgMar w:top="1418" w:right="1134" w:bottom="1418" w:left="1134" w:header="720" w:footer="720" w:gutter="0"/>
          <w:paperSrc w:first="7" w:other="7"/>
          <w:cols w:space="720"/>
          <w:titlePg/>
          <w:docGrid w:linePitch="326"/>
        </w:sectPr>
      </w:pPr>
    </w:p>
    <w:p w14:paraId="1626FF12" w14:textId="1224E842" w:rsidR="000D4FA1" w:rsidRPr="002D4AB3" w:rsidRDefault="000D4FA1" w:rsidP="000D4FA1">
      <w:pPr>
        <w:pStyle w:val="Annextitle"/>
        <w:rPr>
          <w:lang w:val="fr-FR"/>
        </w:rPr>
      </w:pPr>
      <w:r w:rsidRPr="002D4AB3">
        <w:rPr>
          <w:lang w:val="fr-FR"/>
        </w:rPr>
        <w:lastRenderedPageBreak/>
        <w:t>Annexe 1: Structure du Plan d'action de Bakou et sa contribution au Plan stratégique de l'UIT</w:t>
      </w:r>
    </w:p>
    <w:p w14:paraId="2ED50919" w14:textId="5B05126D" w:rsidR="0079338A" w:rsidRPr="002D4AB3" w:rsidRDefault="000D4FA1" w:rsidP="000D4FA1">
      <w:pPr>
        <w:pStyle w:val="Figure"/>
        <w:jc w:val="center"/>
      </w:pPr>
      <w:r w:rsidRPr="002D4AB3">
        <w:drawing>
          <wp:inline distT="0" distB="0" distL="0" distR="0" wp14:anchorId="2A456824" wp14:editId="361B93E2">
            <wp:extent cx="7344000" cy="45551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305" t="7476" r="18076"/>
                    <a:stretch/>
                  </pic:blipFill>
                  <pic:spPr bwMode="auto">
                    <a:xfrm>
                      <a:off x="0" y="0"/>
                      <a:ext cx="7344000" cy="4555126"/>
                    </a:xfrm>
                    <a:prstGeom prst="rect">
                      <a:avLst/>
                    </a:prstGeom>
                    <a:noFill/>
                    <a:ln>
                      <a:noFill/>
                    </a:ln>
                    <a:extLst>
                      <a:ext uri="{53640926-AAD7-44D8-BBD7-CCE9431645EC}">
                        <a14:shadowObscured xmlns:a14="http://schemas.microsoft.com/office/drawing/2010/main"/>
                      </a:ext>
                    </a:extLst>
                  </pic:spPr>
                </pic:pic>
              </a:graphicData>
            </a:graphic>
          </wp:inline>
        </w:drawing>
      </w:r>
    </w:p>
    <w:p w14:paraId="6CA0CAD1" w14:textId="6F91B15A" w:rsidR="000D4FA1" w:rsidRPr="002D4AB3" w:rsidRDefault="000D4FA1">
      <w:pPr>
        <w:tabs>
          <w:tab w:val="clear" w:pos="794"/>
          <w:tab w:val="clear" w:pos="1191"/>
          <w:tab w:val="clear" w:pos="1588"/>
          <w:tab w:val="clear" w:pos="1985"/>
        </w:tabs>
        <w:overflowPunct/>
        <w:autoSpaceDE/>
        <w:autoSpaceDN/>
        <w:adjustRightInd/>
        <w:spacing w:before="0"/>
        <w:textAlignment w:val="auto"/>
        <w:rPr>
          <w:lang w:val="fr-FR"/>
        </w:rPr>
      </w:pPr>
      <w:r w:rsidRPr="002D4AB3">
        <w:rPr>
          <w:lang w:val="fr-FR"/>
        </w:rPr>
        <w:br w:type="page"/>
      </w:r>
    </w:p>
    <w:p w14:paraId="434DCC98" w14:textId="0D9957F9" w:rsidR="000D4FA1" w:rsidRPr="002D4AB3" w:rsidRDefault="000D4FA1" w:rsidP="000D4FA1">
      <w:pPr>
        <w:pStyle w:val="Annextitle"/>
        <w:rPr>
          <w:lang w:val="fr-FR"/>
        </w:rPr>
      </w:pPr>
      <w:r w:rsidRPr="002D4AB3">
        <w:rPr>
          <w:lang w:val="fr-FR"/>
        </w:rPr>
        <w:lastRenderedPageBreak/>
        <w:t>Annexe 2: Programme de travail de la Commission d'études 2 de l'UIT-D</w:t>
      </w:r>
    </w:p>
    <w:p w14:paraId="4ED0AB25" w14:textId="4E53A480" w:rsidR="000D4FA1" w:rsidRPr="002D4AB3" w:rsidRDefault="000D4FA1" w:rsidP="000D4FA1">
      <w:pPr>
        <w:pStyle w:val="Figure"/>
      </w:pPr>
      <w:r w:rsidRPr="002D4AB3">
        <w:drawing>
          <wp:inline distT="0" distB="0" distL="0" distR="0" wp14:anchorId="79DAA5DA" wp14:editId="793BFF97">
            <wp:extent cx="8888730" cy="501840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88730" cy="5018405"/>
                    </a:xfrm>
                    <a:prstGeom prst="rect">
                      <a:avLst/>
                    </a:prstGeom>
                    <a:noFill/>
                    <a:ln>
                      <a:noFill/>
                    </a:ln>
                  </pic:spPr>
                </pic:pic>
              </a:graphicData>
            </a:graphic>
          </wp:inline>
        </w:drawing>
      </w:r>
    </w:p>
    <w:p w14:paraId="2EC2844A" w14:textId="77777777" w:rsidR="00821996" w:rsidRPr="002D4AB3" w:rsidRDefault="003C58BF" w:rsidP="00A50CA0">
      <w:pPr>
        <w:tabs>
          <w:tab w:val="clear" w:pos="794"/>
          <w:tab w:val="clear" w:pos="1191"/>
          <w:tab w:val="clear" w:pos="1588"/>
          <w:tab w:val="clear" w:pos="1985"/>
        </w:tabs>
        <w:spacing w:after="120"/>
        <w:jc w:val="center"/>
        <w:rPr>
          <w:lang w:val="fr-FR"/>
        </w:rPr>
      </w:pPr>
      <w:bookmarkStart w:id="7" w:name="Proposal"/>
      <w:bookmarkEnd w:id="7"/>
      <w:r w:rsidRPr="002D4AB3">
        <w:rPr>
          <w:lang w:val="fr-FR"/>
        </w:rPr>
        <w:t>_____________</w:t>
      </w:r>
      <w:r w:rsidR="004122C5" w:rsidRPr="002D4AB3">
        <w:rPr>
          <w:lang w:val="fr-FR"/>
        </w:rPr>
        <w:t>_</w:t>
      </w:r>
      <w:r w:rsidR="00922EC1" w:rsidRPr="002D4AB3">
        <w:rPr>
          <w:lang w:val="fr-FR"/>
        </w:rPr>
        <w:t>_</w:t>
      </w:r>
    </w:p>
    <w:sectPr w:rsidR="00821996" w:rsidRPr="002D4AB3" w:rsidSect="00D20316">
      <w:headerReference w:type="default" r:id="rId24"/>
      <w:headerReference w:type="first" r:id="rId25"/>
      <w:footerReference w:type="first" r:id="rId26"/>
      <w:pgSz w:w="16834" w:h="11907" w:orient="landscape" w:code="9"/>
      <w:pgMar w:top="1134" w:right="1418" w:bottom="1134" w:left="1418"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086361" w:rsidRPr="005D4903" w14:paraId="5C2B0E2D" w14:textId="77777777" w:rsidTr="005539C3">
      <w:tc>
        <w:tcPr>
          <w:tcW w:w="1526" w:type="dxa"/>
          <w:tcBorders>
            <w:top w:val="single" w:sz="4" w:space="0" w:color="000000" w:themeColor="text1"/>
          </w:tcBorders>
        </w:tcPr>
        <w:p w14:paraId="176205BE" w14:textId="77777777" w:rsidR="00086361" w:rsidRPr="00BA0009" w:rsidRDefault="00086361" w:rsidP="00086361">
          <w:pPr>
            <w:pStyle w:val="FirstFooter"/>
            <w:tabs>
              <w:tab w:val="left" w:pos="1559"/>
              <w:tab w:val="left" w:pos="3828"/>
            </w:tabs>
            <w:rPr>
              <w:sz w:val="18"/>
              <w:szCs w:val="18"/>
            </w:rPr>
          </w:pPr>
          <w:bookmarkStart w:id="6" w:name="Email"/>
          <w:bookmarkEnd w:id="6"/>
          <w:r w:rsidRPr="00E62753">
            <w:rPr>
              <w:sz w:val="18"/>
              <w:szCs w:val="18"/>
            </w:rPr>
            <w:t>Contact:</w:t>
          </w:r>
        </w:p>
      </w:tc>
      <w:tc>
        <w:tcPr>
          <w:tcW w:w="2410" w:type="dxa"/>
          <w:tcBorders>
            <w:top w:val="single" w:sz="4" w:space="0" w:color="000000" w:themeColor="text1"/>
          </w:tcBorders>
        </w:tcPr>
        <w:p w14:paraId="26830CB6" w14:textId="77777777" w:rsidR="00086361" w:rsidRPr="00CB110F" w:rsidRDefault="00086361" w:rsidP="00086361">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74B4342A" w:rsidR="00086361" w:rsidRPr="00086361" w:rsidRDefault="00086361" w:rsidP="00086361">
          <w:pPr>
            <w:pStyle w:val="FirstFooter"/>
            <w:rPr>
              <w:sz w:val="18"/>
              <w:szCs w:val="22"/>
              <w:highlight w:val="yellow"/>
            </w:rPr>
          </w:pPr>
          <w:r w:rsidRPr="00086361">
            <w:rPr>
              <w:sz w:val="18"/>
              <w:szCs w:val="22"/>
            </w:rPr>
            <w:t>M. Fadel Digham, Président de la Commission d'études 2 de l'UIT-D</w:t>
          </w:r>
        </w:p>
      </w:tc>
    </w:tr>
    <w:tr w:rsidR="00086361" w:rsidRPr="00CB110F" w14:paraId="298FE8EB" w14:textId="77777777" w:rsidTr="005539C3">
      <w:tc>
        <w:tcPr>
          <w:tcW w:w="1526" w:type="dxa"/>
        </w:tcPr>
        <w:p w14:paraId="7ACBC842" w14:textId="77777777" w:rsidR="00086361" w:rsidRPr="009C2903" w:rsidRDefault="00086361" w:rsidP="00086361">
          <w:pPr>
            <w:pStyle w:val="FirstFooter"/>
            <w:tabs>
              <w:tab w:val="left" w:pos="1559"/>
              <w:tab w:val="left" w:pos="3828"/>
            </w:tabs>
            <w:rPr>
              <w:sz w:val="20"/>
            </w:rPr>
          </w:pPr>
        </w:p>
      </w:tc>
      <w:tc>
        <w:tcPr>
          <w:tcW w:w="2410" w:type="dxa"/>
        </w:tcPr>
        <w:p w14:paraId="76CE8C1A" w14:textId="77777777" w:rsidR="00086361" w:rsidRPr="00CB110F" w:rsidRDefault="00086361" w:rsidP="00086361">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47658521" w:rsidR="00086361" w:rsidRPr="00086361" w:rsidRDefault="00086361" w:rsidP="00086361">
          <w:pPr>
            <w:pStyle w:val="FirstFooter"/>
            <w:tabs>
              <w:tab w:val="left" w:pos="2302"/>
            </w:tabs>
            <w:rPr>
              <w:sz w:val="18"/>
              <w:szCs w:val="22"/>
              <w:highlight w:val="yellow"/>
              <w:lang w:val="en-US"/>
            </w:rPr>
          </w:pPr>
          <w:r w:rsidRPr="00086361">
            <w:rPr>
              <w:sz w:val="18"/>
              <w:szCs w:val="22"/>
            </w:rPr>
            <w:t>+20 100225 8599</w:t>
          </w:r>
        </w:p>
      </w:tc>
    </w:tr>
    <w:tr w:rsidR="00086361" w:rsidRPr="00CB110F" w14:paraId="336F05F8" w14:textId="77777777" w:rsidTr="005539C3">
      <w:tc>
        <w:tcPr>
          <w:tcW w:w="1526" w:type="dxa"/>
        </w:tcPr>
        <w:p w14:paraId="10E74C07" w14:textId="77777777" w:rsidR="00086361" w:rsidRPr="00CB110F" w:rsidRDefault="00086361" w:rsidP="00086361">
          <w:pPr>
            <w:pStyle w:val="FirstFooter"/>
            <w:tabs>
              <w:tab w:val="left" w:pos="1559"/>
              <w:tab w:val="left" w:pos="3828"/>
            </w:tabs>
            <w:rPr>
              <w:sz w:val="20"/>
              <w:lang w:val="en-US"/>
            </w:rPr>
          </w:pPr>
        </w:p>
      </w:tc>
      <w:tc>
        <w:tcPr>
          <w:tcW w:w="2410" w:type="dxa"/>
        </w:tcPr>
        <w:p w14:paraId="145C550E" w14:textId="77777777" w:rsidR="00086361" w:rsidRPr="00CB110F" w:rsidRDefault="00086361" w:rsidP="00086361">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731F22AC" w:rsidR="00086361" w:rsidRPr="00086361" w:rsidRDefault="00086361" w:rsidP="00086361">
          <w:pPr>
            <w:pStyle w:val="FirstFooter"/>
            <w:tabs>
              <w:tab w:val="left" w:pos="2302"/>
            </w:tabs>
            <w:jc w:val="both"/>
            <w:rPr>
              <w:sz w:val="18"/>
              <w:szCs w:val="22"/>
              <w:lang w:val="en-US"/>
            </w:rPr>
          </w:pPr>
          <w:hyperlink r:id="rId1" w:history="1">
            <w:r w:rsidRPr="005E2B82">
              <w:rPr>
                <w:rStyle w:val="Hyperlink"/>
                <w:sz w:val="18"/>
                <w:szCs w:val="22"/>
              </w:rPr>
              <w:t>fdigham@tra.gov.eg</w:t>
            </w:r>
          </w:hyperlink>
          <w:r w:rsidRPr="00086361">
            <w:rPr>
              <w:sz w:val="18"/>
              <w:szCs w:val="22"/>
            </w:rPr>
            <w:t xml:space="preserve">; </w:t>
          </w:r>
          <w:hyperlink r:id="rId2" w:history="1">
            <w:r w:rsidRPr="005E2B82">
              <w:rPr>
                <w:rStyle w:val="Hyperlink"/>
                <w:sz w:val="18"/>
                <w:szCs w:val="22"/>
              </w:rPr>
              <w:t>fadel.digham@gmail.com</w:t>
            </w:r>
          </w:hyperlink>
        </w:p>
      </w:tc>
    </w:tr>
  </w:tbl>
  <w:p w14:paraId="4830D301" w14:textId="77777777" w:rsidR="00C80022" w:rsidRPr="001B030A" w:rsidRDefault="00C80022" w:rsidP="001B0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27556" w14:textId="77777777" w:rsidR="00D20316" w:rsidRPr="001B030A" w:rsidRDefault="00D20316"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 w:id="1">
    <w:p w14:paraId="4A390ED7" w14:textId="5ED16D6A" w:rsidR="00086361" w:rsidRPr="00086361" w:rsidRDefault="00086361">
      <w:pPr>
        <w:pStyle w:val="FootnoteText"/>
        <w:rPr>
          <w:lang w:val="fr-FR"/>
        </w:rPr>
      </w:pPr>
      <w:r w:rsidRPr="00086361">
        <w:rPr>
          <w:rStyle w:val="FootnoteReference"/>
          <w:lang w:val="fr-FR"/>
        </w:rPr>
        <w:footnoteRef/>
      </w:r>
      <w:r w:rsidRPr="00086361">
        <w:rPr>
          <w:lang w:val="fr-FR"/>
        </w:rPr>
        <w:tab/>
      </w:r>
      <w:r w:rsidRPr="00086361">
        <w:rPr>
          <w:lang w:val="fr-FR"/>
        </w:rPr>
        <w:t>Source: Annexe 1 de la Résolution 2 (Rév. Bakou, 2025) de la CMDT</w:t>
      </w:r>
      <w:r w:rsidRPr="00086361">
        <w:rPr>
          <w:lang w:val="fr-FR"/>
        </w:rPr>
        <w:t>.</w:t>
      </w:r>
    </w:p>
  </w:footnote>
  <w:footnote w:id="2">
    <w:p w14:paraId="31FC79EF" w14:textId="35149CE7" w:rsidR="00086361" w:rsidRPr="00086361" w:rsidRDefault="00086361">
      <w:pPr>
        <w:pStyle w:val="FootnoteText"/>
        <w:rPr>
          <w:lang w:val="fr-FR"/>
        </w:rPr>
      </w:pPr>
      <w:r w:rsidRPr="00086361">
        <w:rPr>
          <w:rStyle w:val="FootnoteReference"/>
          <w:lang w:val="fr-FR"/>
        </w:rPr>
        <w:footnoteRef/>
      </w:r>
      <w:r w:rsidRPr="00086361">
        <w:rPr>
          <w:lang w:val="fr-FR"/>
        </w:rPr>
        <w:tab/>
      </w:r>
      <w:r w:rsidRPr="00086361">
        <w:rPr>
          <w:lang w:val="fr-FR"/>
        </w:rPr>
        <w:t xml:space="preserve">Voir la Lettre circulaire </w:t>
      </w:r>
      <w:hyperlink r:id="rId1" w:history="1">
        <w:r w:rsidRPr="00086361">
          <w:rPr>
            <w:rStyle w:val="Hyperlink"/>
            <w:lang w:val="fr-FR"/>
          </w:rPr>
          <w:t>BDT/PPS/CSTG-1</w:t>
        </w:r>
      </w:hyperlink>
      <w:r w:rsidRPr="00086361">
        <w:rPr>
          <w:lang w:val="fr-FR"/>
        </w:rPr>
        <w:t>.</w:t>
      </w:r>
    </w:p>
  </w:footnote>
  <w:footnote w:id="3">
    <w:p w14:paraId="26C53622" w14:textId="6394A978" w:rsidR="00086361" w:rsidRPr="00086361" w:rsidRDefault="00086361">
      <w:pPr>
        <w:pStyle w:val="FootnoteText"/>
        <w:rPr>
          <w:lang w:val="fr-FR"/>
        </w:rPr>
      </w:pPr>
      <w:r w:rsidRPr="00086361">
        <w:rPr>
          <w:rStyle w:val="FootnoteReference"/>
          <w:lang w:val="fr-FR"/>
        </w:rPr>
        <w:footnoteRef/>
      </w:r>
      <w:r w:rsidRPr="00086361">
        <w:rPr>
          <w:lang w:val="fr-FR"/>
        </w:rPr>
        <w:tab/>
      </w:r>
      <w:r w:rsidRPr="00086361">
        <w:rPr>
          <w:lang w:val="fr-FR"/>
        </w:rPr>
        <w:t xml:space="preserve">Le page web consacrée à cette réunion est disponible </w:t>
      </w:r>
      <w:hyperlink r:id="rId2" w:anchor="/fr" w:history="1">
        <w:r w:rsidRPr="00086361">
          <w:rPr>
            <w:rStyle w:val="Hyperlink"/>
            <w:lang w:val="fr-FR"/>
          </w:rPr>
          <w:t>ici</w:t>
        </w:r>
      </w:hyperlink>
      <w:r w:rsidRPr="00086361">
        <w:rPr>
          <w:lang w:val="fr-FR"/>
        </w:rPr>
        <w:t>.</w:t>
      </w:r>
    </w:p>
  </w:footnote>
  <w:footnote w:id="4">
    <w:p w14:paraId="548D0FB2" w14:textId="180C699A" w:rsidR="00086361" w:rsidRPr="00086361" w:rsidRDefault="00086361">
      <w:pPr>
        <w:pStyle w:val="FootnoteText"/>
        <w:rPr>
          <w:lang w:val="fr-FR"/>
        </w:rPr>
      </w:pPr>
      <w:r w:rsidRPr="00086361">
        <w:rPr>
          <w:rStyle w:val="FootnoteReference"/>
          <w:lang w:val="fr-FR"/>
        </w:rPr>
        <w:footnoteRef/>
      </w:r>
      <w:r w:rsidRPr="00086361">
        <w:rPr>
          <w:lang w:val="fr-FR"/>
        </w:rPr>
        <w:tab/>
      </w:r>
      <w:r w:rsidRPr="00086361">
        <w:rPr>
          <w:lang w:val="fr-FR"/>
        </w:rPr>
        <w:t xml:space="preserve">Disponible </w:t>
      </w:r>
      <w:hyperlink r:id="rId3" w:history="1">
        <w:r w:rsidRPr="00086361">
          <w:rPr>
            <w:rStyle w:val="Hyperlink"/>
            <w:lang w:val="fr-FR"/>
          </w:rPr>
          <w:t>ici</w:t>
        </w:r>
      </w:hyperlink>
      <w:r w:rsidRPr="00086361">
        <w:rPr>
          <w:lang w:val="fr-FR"/>
        </w:rPr>
        <w:t>.</w:t>
      </w:r>
    </w:p>
  </w:footnote>
  <w:footnote w:id="5">
    <w:p w14:paraId="2952686C" w14:textId="0E26A857" w:rsidR="00086361" w:rsidRPr="00D20316" w:rsidRDefault="00086361">
      <w:pPr>
        <w:pStyle w:val="FootnoteText"/>
        <w:rPr>
          <w:lang w:val="fr-FR"/>
        </w:rPr>
      </w:pPr>
      <w:r w:rsidRPr="00D20316">
        <w:rPr>
          <w:rStyle w:val="FootnoteReference"/>
          <w:lang w:val="fr-FR"/>
        </w:rPr>
        <w:footnoteRef/>
      </w:r>
      <w:r w:rsidRPr="00D20316">
        <w:rPr>
          <w:lang w:val="fr-FR"/>
        </w:rPr>
        <w:tab/>
      </w:r>
      <w:r w:rsidRPr="00D20316">
        <w:rPr>
          <w:lang w:val="fr-FR"/>
        </w:rPr>
        <w:t xml:space="preserve">Disponible </w:t>
      </w:r>
      <w:hyperlink r:id="rId4" w:history="1">
        <w:r w:rsidRPr="00D20316">
          <w:rPr>
            <w:rStyle w:val="Hyperlink"/>
            <w:lang w:val="fr-FR"/>
          </w:rPr>
          <w:t>ici</w:t>
        </w:r>
      </w:hyperlink>
      <w:r w:rsidRPr="00D20316">
        <w:rPr>
          <w:lang w:val="fr-FR"/>
        </w:rPr>
        <w:t>.</w:t>
      </w:r>
    </w:p>
  </w:footnote>
  <w:footnote w:id="6">
    <w:p w14:paraId="2143A930" w14:textId="132D4E89" w:rsidR="00086361" w:rsidRPr="00D20316" w:rsidRDefault="00086361">
      <w:pPr>
        <w:pStyle w:val="FootnoteText"/>
        <w:rPr>
          <w:lang w:val="fr-FR"/>
        </w:rPr>
      </w:pPr>
      <w:r w:rsidRPr="00D20316">
        <w:rPr>
          <w:rStyle w:val="FootnoteReference"/>
          <w:lang w:val="fr-FR"/>
        </w:rPr>
        <w:footnoteRef/>
      </w:r>
      <w:r w:rsidRPr="00D20316">
        <w:rPr>
          <w:lang w:val="fr-FR"/>
        </w:rPr>
        <w:tab/>
      </w:r>
      <w:r w:rsidRPr="00D20316">
        <w:rPr>
          <w:lang w:val="fr-FR"/>
        </w:rPr>
        <w:t xml:space="preserve">Disponible </w:t>
      </w:r>
      <w:hyperlink r:id="rId5" w:history="1">
        <w:r w:rsidRPr="00D20316">
          <w:rPr>
            <w:rStyle w:val="Hyperlink"/>
            <w:lang w:val="fr-FR"/>
          </w:rPr>
          <w:t>ici</w:t>
        </w:r>
      </w:hyperlink>
      <w:r w:rsidRPr="00D20316">
        <w:rPr>
          <w:lang w:val="fr-FR"/>
        </w:rPr>
        <w:t>.</w:t>
      </w:r>
    </w:p>
  </w:footnote>
  <w:footnote w:id="7">
    <w:p w14:paraId="62CBBF36" w14:textId="1AFBFB26" w:rsidR="00D20316" w:rsidRPr="00D20316" w:rsidRDefault="00D20316">
      <w:pPr>
        <w:pStyle w:val="FootnoteText"/>
        <w:rPr>
          <w:lang w:val="fr-FR"/>
        </w:rPr>
      </w:pPr>
      <w:r w:rsidRPr="00D20316">
        <w:rPr>
          <w:rStyle w:val="FootnoteReference"/>
          <w:lang w:val="fr-FR"/>
        </w:rPr>
        <w:footnoteRef/>
      </w:r>
      <w:r w:rsidRPr="00D20316">
        <w:rPr>
          <w:lang w:val="fr-FR"/>
        </w:rPr>
        <w:tab/>
      </w:r>
      <w:r w:rsidRPr="00D20316">
        <w:rPr>
          <w:lang w:val="fr-FR"/>
        </w:rPr>
        <w:t xml:space="preserve">Le répertoire et le tableau de bord des contributions de la période d'études 2022-2025 sont disponibles </w:t>
      </w:r>
      <w:hyperlink r:id="rId6" w:history="1">
        <w:r w:rsidRPr="00D20316">
          <w:rPr>
            <w:rStyle w:val="Hyperlink"/>
            <w:lang w:val="fr-FR"/>
          </w:rPr>
          <w:t>ici</w:t>
        </w:r>
      </w:hyperlink>
      <w:r w:rsidRPr="00D20316">
        <w:rPr>
          <w:lang w:val="fr-FR"/>
        </w:rPr>
        <w:t>.</w:t>
      </w:r>
    </w:p>
  </w:footnote>
  <w:footnote w:id="8">
    <w:p w14:paraId="5ABB1C3F" w14:textId="49957163" w:rsidR="00D20316" w:rsidRPr="00D20316" w:rsidRDefault="00D20316">
      <w:pPr>
        <w:pStyle w:val="FootnoteText"/>
        <w:rPr>
          <w:lang w:val="fr-FR"/>
        </w:rPr>
      </w:pPr>
      <w:r w:rsidRPr="00D20316">
        <w:rPr>
          <w:rStyle w:val="FootnoteReference"/>
          <w:lang w:val="fr-FR"/>
        </w:rPr>
        <w:footnoteRef/>
      </w:r>
      <w:r w:rsidRPr="00D20316">
        <w:rPr>
          <w:lang w:val="fr-FR"/>
        </w:rPr>
        <w:tab/>
      </w:r>
      <w:hyperlink r:id="rId7" w:history="1">
        <w:r w:rsidRPr="00D20316">
          <w:rPr>
            <w:rStyle w:val="Hyperlink"/>
            <w:lang w:val="fr-FR"/>
          </w:rPr>
          <w:t>https://translate.itu.int/do</w:t>
        </w:r>
        <w:r w:rsidRPr="00D20316">
          <w:rPr>
            <w:rStyle w:val="Hyperlink"/>
            <w:lang w:val="fr-FR"/>
          </w:rPr>
          <w:t>c</w:t>
        </w:r>
        <w:r w:rsidRPr="00D20316">
          <w:rPr>
            <w:rStyle w:val="Hyperlink"/>
            <w:lang w:val="fr-FR"/>
          </w:rPr>
          <w:t>uments</w:t>
        </w:r>
      </w:hyperlink>
      <w:r w:rsidRPr="00D20316">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FE77" w14:textId="4611DC43" w:rsidR="00721657" w:rsidRPr="000D4FA1" w:rsidRDefault="00A525CC" w:rsidP="002D4AB3">
    <w:pPr>
      <w:pStyle w:val="Header"/>
      <w:tabs>
        <w:tab w:val="center" w:pos="4820"/>
        <w:tab w:val="right" w:pos="13998"/>
      </w:tabs>
      <w:rPr>
        <w:sz w:val="22"/>
        <w:szCs w:val="22"/>
      </w:rPr>
    </w:pPr>
    <w:r w:rsidRPr="00972BCD">
      <w:rPr>
        <w:sz w:val="22"/>
        <w:szCs w:val="22"/>
      </w:rPr>
      <w:tab/>
    </w:r>
    <w:r w:rsidRPr="000D4FA1">
      <w:rPr>
        <w:sz w:val="22"/>
        <w:szCs w:val="22"/>
      </w:rPr>
      <w:t>TDAG</w:t>
    </w:r>
    <w:r w:rsidR="003242AB" w:rsidRPr="000D4FA1">
      <w:rPr>
        <w:sz w:val="22"/>
        <w:szCs w:val="22"/>
      </w:rPr>
      <w:t>-</w:t>
    </w:r>
    <w:r w:rsidR="00923CF1" w:rsidRPr="000D4FA1">
      <w:rPr>
        <w:sz w:val="22"/>
        <w:szCs w:val="22"/>
      </w:rPr>
      <w:t>2</w:t>
    </w:r>
    <w:r w:rsidR="00F7434A" w:rsidRPr="000D4FA1">
      <w:rPr>
        <w:sz w:val="22"/>
        <w:szCs w:val="22"/>
      </w:rPr>
      <w:t>6</w:t>
    </w:r>
    <w:r w:rsidRPr="000D4FA1">
      <w:rPr>
        <w:sz w:val="22"/>
        <w:szCs w:val="22"/>
      </w:rPr>
      <w:t>/</w:t>
    </w:r>
    <w:r w:rsidR="00086361" w:rsidRPr="000D4FA1">
      <w:rPr>
        <w:sz w:val="22"/>
        <w:szCs w:val="22"/>
      </w:rPr>
      <w:t>6</w:t>
    </w:r>
    <w:r w:rsidRPr="000D4FA1">
      <w:rPr>
        <w:sz w:val="22"/>
        <w:szCs w:val="22"/>
      </w:rPr>
      <w:t>-</w:t>
    </w:r>
    <w:r w:rsidR="00700F2B" w:rsidRPr="000D4FA1">
      <w:rPr>
        <w:sz w:val="22"/>
        <w:szCs w:val="22"/>
      </w:rPr>
      <w:t>F</w:t>
    </w:r>
    <w:r w:rsidRPr="000D4FA1">
      <w:rPr>
        <w:sz w:val="22"/>
        <w:szCs w:val="22"/>
      </w:rPr>
      <w:tab/>
      <w:t xml:space="preserve">Page </w:t>
    </w:r>
    <w:r w:rsidRPr="00972BCD">
      <w:rPr>
        <w:sz w:val="22"/>
        <w:szCs w:val="22"/>
      </w:rPr>
      <w:fldChar w:fldCharType="begin"/>
    </w:r>
    <w:r w:rsidRPr="000D4FA1">
      <w:rPr>
        <w:sz w:val="22"/>
        <w:szCs w:val="22"/>
      </w:rPr>
      <w:instrText xml:space="preserve"> PAGE </w:instrText>
    </w:r>
    <w:r w:rsidRPr="00972BCD">
      <w:rPr>
        <w:sz w:val="22"/>
        <w:szCs w:val="22"/>
      </w:rPr>
      <w:fldChar w:fldCharType="separate"/>
    </w:r>
    <w:r w:rsidR="00E25345" w:rsidRPr="000D4FA1">
      <w:rPr>
        <w:sz w:val="22"/>
        <w:szCs w:val="22"/>
      </w:rPr>
      <w:t>2</w:t>
    </w:r>
    <w:r w:rsidRPr="00972BC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C70F" w14:textId="77777777" w:rsidR="002D4AB3" w:rsidRPr="000D4FA1" w:rsidRDefault="002D4AB3" w:rsidP="002D4AB3">
    <w:pPr>
      <w:pStyle w:val="Header"/>
      <w:tabs>
        <w:tab w:val="center" w:pos="6946"/>
        <w:tab w:val="right" w:pos="13998"/>
      </w:tabs>
      <w:rPr>
        <w:sz w:val="22"/>
        <w:szCs w:val="22"/>
      </w:rPr>
    </w:pPr>
    <w:r w:rsidRPr="00972BCD">
      <w:rPr>
        <w:sz w:val="22"/>
        <w:szCs w:val="22"/>
      </w:rPr>
      <w:tab/>
    </w:r>
    <w:r w:rsidRPr="000D4FA1">
      <w:rPr>
        <w:sz w:val="22"/>
        <w:szCs w:val="22"/>
      </w:rPr>
      <w:t>TDAG-26/6-F</w:t>
    </w:r>
    <w:r w:rsidRPr="000D4FA1">
      <w:rPr>
        <w:sz w:val="22"/>
        <w:szCs w:val="22"/>
      </w:rPr>
      <w:tab/>
      <w:t xml:space="preserve">Page </w:t>
    </w:r>
    <w:r w:rsidRPr="00972BCD">
      <w:rPr>
        <w:sz w:val="22"/>
        <w:szCs w:val="22"/>
      </w:rPr>
      <w:fldChar w:fldCharType="begin"/>
    </w:r>
    <w:r w:rsidRPr="000D4FA1">
      <w:rPr>
        <w:sz w:val="22"/>
        <w:szCs w:val="22"/>
      </w:rPr>
      <w:instrText xml:space="preserve"> PAGE </w:instrText>
    </w:r>
    <w:r w:rsidRPr="00972BCD">
      <w:rPr>
        <w:sz w:val="22"/>
        <w:szCs w:val="22"/>
      </w:rPr>
      <w:fldChar w:fldCharType="separate"/>
    </w:r>
    <w:r w:rsidRPr="000D4FA1">
      <w:rPr>
        <w:sz w:val="22"/>
        <w:szCs w:val="22"/>
      </w:rPr>
      <w:t>2</w:t>
    </w:r>
    <w:r w:rsidRPr="00972BCD">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BFC1" w14:textId="77777777" w:rsidR="00D20316" w:rsidRDefault="00D20316" w:rsidP="00D20316">
    <w:pPr>
      <w:pStyle w:val="Header"/>
      <w:tabs>
        <w:tab w:val="center" w:pos="6946"/>
        <w:tab w:val="right" w:pos="13998"/>
      </w:tabs>
    </w:pPr>
    <w:r w:rsidRPr="00972BCD">
      <w:rPr>
        <w:sz w:val="22"/>
        <w:szCs w:val="22"/>
      </w:rPr>
      <w:tab/>
    </w:r>
    <w:r w:rsidRPr="00A54E72">
      <w:rPr>
        <w:sz w:val="22"/>
        <w:szCs w:val="22"/>
        <w:lang w:val="de-CH"/>
      </w:rPr>
      <w:t>TDAG</w:t>
    </w:r>
    <w:r>
      <w:rPr>
        <w:sz w:val="22"/>
        <w:szCs w:val="22"/>
        <w:lang w:val="de-CH"/>
      </w:rPr>
      <w:t>-26</w:t>
    </w:r>
    <w:r w:rsidRPr="00A54E72">
      <w:rPr>
        <w:sz w:val="22"/>
        <w:szCs w:val="22"/>
        <w:lang w:val="de-CH"/>
      </w:rPr>
      <w:t>/</w:t>
    </w:r>
    <w:r>
      <w:rPr>
        <w:sz w:val="22"/>
        <w:szCs w:val="22"/>
        <w:lang w:val="de-CH"/>
      </w:rPr>
      <w:t>6</w:t>
    </w:r>
    <w:r w:rsidRPr="006D271A">
      <w:rPr>
        <w:sz w:val="22"/>
        <w:szCs w:val="22"/>
        <w:lang w:val="de-CH"/>
      </w:rPr>
      <w:t>-</w:t>
    </w:r>
    <w:r>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Pr>
        <w:sz w:val="22"/>
        <w:szCs w:val="22"/>
      </w:rPr>
      <w:t>7</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6A9F5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4C636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32D2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6141E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56AF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8885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C120A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5826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4A8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DE54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10"/>
  </w:num>
  <w:num w:numId="2" w16cid:durableId="177891223">
    <w:abstractNumId w:val="9"/>
  </w:num>
  <w:num w:numId="3" w16cid:durableId="1448621727">
    <w:abstractNumId w:val="7"/>
  </w:num>
  <w:num w:numId="4" w16cid:durableId="1620724338">
    <w:abstractNumId w:val="6"/>
  </w:num>
  <w:num w:numId="5" w16cid:durableId="397676286">
    <w:abstractNumId w:val="5"/>
  </w:num>
  <w:num w:numId="6" w16cid:durableId="886768892">
    <w:abstractNumId w:val="4"/>
  </w:num>
  <w:num w:numId="7" w16cid:durableId="210728354">
    <w:abstractNumId w:val="8"/>
  </w:num>
  <w:num w:numId="8" w16cid:durableId="1736658476">
    <w:abstractNumId w:val="3"/>
  </w:num>
  <w:num w:numId="9" w16cid:durableId="869337550">
    <w:abstractNumId w:val="2"/>
  </w:num>
  <w:num w:numId="10" w16cid:durableId="2142069702">
    <w:abstractNumId w:val="1"/>
  </w:num>
  <w:num w:numId="11" w16cid:durableId="495806926">
    <w:abstractNumId w:val="0"/>
  </w:num>
  <w:num w:numId="12" w16cid:durableId="1866941824">
    <w:abstractNumId w:val="8"/>
  </w:num>
  <w:num w:numId="13" w16cid:durableId="495145856">
    <w:abstractNumId w:val="3"/>
  </w:num>
  <w:num w:numId="14" w16cid:durableId="1407344243">
    <w:abstractNumId w:val="2"/>
  </w:num>
  <w:num w:numId="15" w16cid:durableId="1326857722">
    <w:abstractNumId w:val="1"/>
  </w:num>
  <w:num w:numId="16" w16cid:durableId="488057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86361"/>
    <w:rsid w:val="0009076F"/>
    <w:rsid w:val="0009225C"/>
    <w:rsid w:val="000A17C4"/>
    <w:rsid w:val="000A36A4"/>
    <w:rsid w:val="000B2352"/>
    <w:rsid w:val="000C7B84"/>
    <w:rsid w:val="000D261B"/>
    <w:rsid w:val="000D4FA1"/>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4AB3"/>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17F5B"/>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3244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14BB"/>
    <w:rsid w:val="005A33B0"/>
    <w:rsid w:val="005C2DC2"/>
    <w:rsid w:val="005C304A"/>
    <w:rsid w:val="005C3D69"/>
    <w:rsid w:val="005C7C98"/>
    <w:rsid w:val="005D2C3A"/>
    <w:rsid w:val="005D4903"/>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338A"/>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280A"/>
    <w:rsid w:val="008E34F0"/>
    <w:rsid w:val="008F14F5"/>
    <w:rsid w:val="008F71C1"/>
    <w:rsid w:val="00902D41"/>
    <w:rsid w:val="00902F49"/>
    <w:rsid w:val="00904230"/>
    <w:rsid w:val="009124B3"/>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A4D82"/>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0DD8"/>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E428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316"/>
    <w:rsid w:val="00D20E99"/>
    <w:rsid w:val="00D21C83"/>
    <w:rsid w:val="00D25ABA"/>
    <w:rsid w:val="00D35BDD"/>
    <w:rsid w:val="00D63006"/>
    <w:rsid w:val="00D72301"/>
    <w:rsid w:val="00D8749B"/>
    <w:rsid w:val="00D911DE"/>
    <w:rsid w:val="00D91B97"/>
    <w:rsid w:val="00D93ACC"/>
    <w:rsid w:val="00D93C08"/>
    <w:rsid w:val="00D95DAC"/>
    <w:rsid w:val="00DA0B53"/>
    <w:rsid w:val="00DA1D6B"/>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1661"/>
    <w:rsid w:val="00F9211C"/>
    <w:rsid w:val="00FA095D"/>
    <w:rsid w:val="00FA6C8B"/>
    <w:rsid w:val="00FA6CDA"/>
    <w:rsid w:val="00FA7C89"/>
    <w:rsid w:val="00FB4139"/>
    <w:rsid w:val="00FB476E"/>
    <w:rsid w:val="00FB6351"/>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5D4903"/>
    <w:rPr>
      <w:color w:val="605E5C"/>
      <w:shd w:val="clear" w:color="auto" w:fill="E1DFDD"/>
    </w:rPr>
  </w:style>
  <w:style w:type="paragraph" w:customStyle="1" w:styleId="Figure">
    <w:name w:val="Figure"/>
    <w:basedOn w:val="Normal"/>
    <w:rsid w:val="000D4FA1"/>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ITU-D/Study-Groups/2026-2029/Pages/reference/SG2/questions/Question-2-2.aspx" TargetMode="External"/><Relationship Id="rId18" Type="http://schemas.openxmlformats.org/officeDocument/2006/relationships/hyperlink" Target="https://www.itu.int/en/ITU-D/Study-Groups/2026-2029/Pages/candidates.asp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en/ITU-D/Study-Groups/2026-2029/Pages/reference/SG2/questions/Question-1-2.aspx" TargetMode="External"/><Relationship Id="rId17" Type="http://schemas.openxmlformats.org/officeDocument/2006/relationships/hyperlink" Target="https://www.itu.int/md/D26-CA-CIR-0001/fr"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itu.int/en/ITU-D/Study-Groups/2026-2029/Pages/reference/SG2/questions/Question-5-2.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tu.int/en/ITU-D/Study-Groups/2026-2029/Pages/reference/SG2/questions/Question-4-2.aspx" TargetMode="External"/><Relationship Id="rId23" Type="http://schemas.openxmlformats.org/officeDocument/2006/relationships/image" Target="media/image3.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oth/D0735000001/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ITU-D/Study-Groups/2026-2029/Pages/reference/SG2/questions/Question-3-2.aspx" TargetMode="External"/><Relationship Id="rId22" Type="http://schemas.openxmlformats.org/officeDocument/2006/relationships/image" Target="media/image2.e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fadel.digham@gmail.com" TargetMode="External"/><Relationship Id="rId1" Type="http://schemas.openxmlformats.org/officeDocument/2006/relationships/hyperlink" Target="mailto:fdigham@tra.gov.e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en/ITU-D/Study-Groups/2022-2025/Documents/Guidelines%20agreed%20at%20TDAG-25%20for%20Composing%20Rapporteurs%20Teams-for%20posting.pdf" TargetMode="External"/><Relationship Id="rId7" Type="http://schemas.openxmlformats.org/officeDocument/2006/relationships/hyperlink" Target="https://translate.itu.int/documents" TargetMode="External"/><Relationship Id="rId2" Type="http://schemas.openxmlformats.org/officeDocument/2006/relationships/hyperlink" Target="https://www.itu.int/net4/ITU-D/CDS/sg/blkmeetings.asp?lg=1&amp;stg=&amp;sp=2026&amp;blk=29195" TargetMode="External"/><Relationship Id="rId1" Type="http://schemas.openxmlformats.org/officeDocument/2006/relationships/hyperlink" Target="https://www.itu.int/md/D26-CA-CIR-0001/fr" TargetMode="External"/><Relationship Id="rId6" Type="http://schemas.openxmlformats.org/officeDocument/2006/relationships/hyperlink" Target="https://www.itu.int/en/ITU-D/Study-Groups/2022-2025/Pages/TIES_Protected/contributions_dashboard_2022_2025.aspx" TargetMode="External"/><Relationship Id="rId5" Type="http://schemas.openxmlformats.org/officeDocument/2006/relationships/hyperlink" Target="https://www.itu.int/dms_pub/itu-d/md/22/tdag32/c/D22-TDAG32-C-0006!N6B!PDF-E.pdf" TargetMode="External"/><Relationship Id="rId4" Type="http://schemas.openxmlformats.org/officeDocument/2006/relationships/hyperlink" Target="https://www.itu.int/en/ITU-D/Study-Groups/2022-2025/Documents/Guidelines%20agreed%20at%20TDAG-25%20for%20Composing%20Rapporteurs%20Teams-for%20pos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3.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4.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2622</Words>
  <Characters>15488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4</cp:revision>
  <cp:lastPrinted>2014-11-04T09:22:00Z</cp:lastPrinted>
  <dcterms:created xsi:type="dcterms:W3CDTF">2026-03-12T12:31:00Z</dcterms:created>
  <dcterms:modified xsi:type="dcterms:W3CDTF">2026-03-12T13:52:00Z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