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horzAnchor="margin" w:tblpY="-492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294BF6" w:rsidRPr="00403C69" w14:paraId="5736F9B6" w14:textId="77777777" w:rsidTr="3DD30E32">
        <w:trPr>
          <w:cantSplit/>
          <w:trHeight w:val="1134"/>
        </w:trPr>
        <w:tc>
          <w:tcPr>
            <w:tcW w:w="6663" w:type="dxa"/>
          </w:tcPr>
          <w:p w14:paraId="34B2B704" w14:textId="77777777" w:rsidR="00294BF6" w:rsidRDefault="00294BF6" w:rsidP="00294BF6">
            <w:pPr>
              <w:ind w:left="34"/>
              <w:rPr>
                <w:b/>
                <w:bCs/>
                <w:sz w:val="32"/>
                <w:szCs w:val="32"/>
              </w:rPr>
            </w:pPr>
            <w:r w:rsidRPr="006F3D93">
              <w:rPr>
                <w:b/>
                <w:bCs/>
                <w:sz w:val="32"/>
                <w:szCs w:val="32"/>
              </w:rPr>
              <w:t>Telecommunication</w:t>
            </w:r>
            <w:r>
              <w:rPr>
                <w:b/>
                <w:bCs/>
                <w:sz w:val="32"/>
                <w:szCs w:val="32"/>
              </w:rPr>
              <w:t xml:space="preserve"> Development</w:t>
            </w:r>
            <w:r>
              <w:rPr>
                <w:b/>
                <w:bCs/>
                <w:sz w:val="32"/>
                <w:szCs w:val="32"/>
              </w:rPr>
              <w:br/>
              <w:t>Advisory Group (TDAG)</w:t>
            </w:r>
          </w:p>
          <w:p w14:paraId="2DCF59CB" w14:textId="0A734BF7" w:rsidR="00294BF6" w:rsidRPr="00403C69" w:rsidRDefault="00294BF6" w:rsidP="00294BF6">
            <w:pPr>
              <w:tabs>
                <w:tab w:val="clear" w:pos="1134"/>
              </w:tabs>
              <w:spacing w:after="48" w:line="240" w:lineRule="atLeast"/>
              <w:ind w:left="3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  <w:r w:rsidR="00EF4D25">
              <w:rPr>
                <w:b/>
                <w:bCs/>
                <w:sz w:val="26"/>
                <w:szCs w:val="26"/>
              </w:rPr>
              <w:t>3r</w:t>
            </w:r>
            <w:r w:rsidR="0081159E">
              <w:rPr>
                <w:b/>
                <w:bCs/>
                <w:sz w:val="26"/>
                <w:szCs w:val="26"/>
              </w:rPr>
              <w:t>d</w:t>
            </w:r>
            <w:r>
              <w:rPr>
                <w:b/>
                <w:bCs/>
                <w:sz w:val="26"/>
                <w:szCs w:val="26"/>
              </w:rPr>
              <w:t xml:space="preserve"> Meeting, Geneva, Switzerland, </w:t>
            </w:r>
            <w:r w:rsidR="00EF4D25"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sz w:val="26"/>
                <w:szCs w:val="26"/>
              </w:rPr>
              <w:t>-</w:t>
            </w:r>
            <w:r w:rsidR="00EF4D25">
              <w:rPr>
                <w:b/>
                <w:bCs/>
                <w:sz w:val="26"/>
                <w:szCs w:val="26"/>
              </w:rPr>
              <w:t>10</w:t>
            </w:r>
            <w:r w:rsidRPr="006F24AF">
              <w:rPr>
                <w:b/>
                <w:bCs/>
                <w:sz w:val="26"/>
                <w:szCs w:val="26"/>
              </w:rPr>
              <w:t xml:space="preserve"> </w:t>
            </w:r>
            <w:r w:rsidR="00EF4D25">
              <w:rPr>
                <w:b/>
                <w:bCs/>
                <w:sz w:val="26"/>
                <w:szCs w:val="26"/>
              </w:rPr>
              <w:t>April</w:t>
            </w:r>
            <w:r w:rsidRPr="006F24AF">
              <w:rPr>
                <w:b/>
                <w:bCs/>
                <w:sz w:val="26"/>
                <w:szCs w:val="26"/>
              </w:rPr>
              <w:t xml:space="preserve"> 202</w:t>
            </w:r>
            <w:r w:rsidR="00EF4D25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3368" w:type="dxa"/>
          </w:tcPr>
          <w:p w14:paraId="06B48AA1" w14:textId="516DD633" w:rsidR="00294BF6" w:rsidRPr="00403C69" w:rsidRDefault="00294BF6" w:rsidP="00294BF6">
            <w:pPr>
              <w:spacing w:line="240" w:lineRule="atLeast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lang w:val="fr-FR" w:eastAsia="fr-FR"/>
              </w:rPr>
              <w:drawing>
                <wp:inline distT="0" distB="0" distL="0" distR="0" wp14:anchorId="7DBF473A" wp14:editId="2E1C8112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403C69" w14:paraId="6DE5ABA3" w14:textId="77777777" w:rsidTr="3DD30E32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73168FEF" w14:textId="77777777" w:rsidR="00D83BF5" w:rsidRPr="00403C69" w:rsidRDefault="00D83BF5" w:rsidP="00403C69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439CB557" w14:textId="716EF333" w:rsidR="00D83BF5" w:rsidRPr="00403C69" w:rsidRDefault="00D83BF5" w:rsidP="00403C69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D87035" w:rsidRPr="00403C69" w14:paraId="02BC550A" w14:textId="77777777" w:rsidTr="3DD30E32">
        <w:trPr>
          <w:cantSplit/>
          <w:trHeight w:val="23"/>
        </w:trPr>
        <w:tc>
          <w:tcPr>
            <w:tcW w:w="6663" w:type="dxa"/>
          </w:tcPr>
          <w:p w14:paraId="1EF66EAC" w14:textId="77777777" w:rsidR="00D87035" w:rsidRPr="00403C69" w:rsidRDefault="00D87035" w:rsidP="00403C69">
            <w:pPr>
              <w:pStyle w:val="Committee"/>
              <w:framePr w:hSpace="0" w:wrap="auto" w:hAnchor="text" w:yAlign="inline"/>
            </w:pPr>
            <w:bookmarkStart w:id="2" w:name="dnum" w:colFirst="1" w:colLast="1"/>
            <w:bookmarkStart w:id="3" w:name="dmeeting" w:colFirst="0" w:colLast="0"/>
            <w:bookmarkEnd w:id="1"/>
          </w:p>
        </w:tc>
        <w:tc>
          <w:tcPr>
            <w:tcW w:w="3368" w:type="dxa"/>
          </w:tcPr>
          <w:p w14:paraId="6F008A08" w14:textId="05BB50C3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r w:rsidRPr="00403C69">
              <w:rPr>
                <w:b/>
                <w:bCs/>
                <w:lang w:val="en-US"/>
              </w:rPr>
              <w:t xml:space="preserve">Document </w:t>
            </w:r>
            <w:bookmarkStart w:id="4" w:name="DocRef1"/>
            <w:bookmarkEnd w:id="4"/>
            <w:r w:rsidRPr="00403C69">
              <w:rPr>
                <w:b/>
                <w:bCs/>
                <w:lang w:val="en-US"/>
              </w:rPr>
              <w:t>TDAG-</w:t>
            </w:r>
            <w:r w:rsidR="00523934" w:rsidRPr="00403C69">
              <w:rPr>
                <w:b/>
                <w:bCs/>
                <w:lang w:val="en-US"/>
              </w:rPr>
              <w:t>2</w:t>
            </w:r>
            <w:r w:rsidR="00EF4D25">
              <w:rPr>
                <w:b/>
                <w:bCs/>
                <w:lang w:val="en-US"/>
              </w:rPr>
              <w:t>6</w:t>
            </w:r>
            <w:r w:rsidRPr="00403C69">
              <w:rPr>
                <w:b/>
                <w:bCs/>
                <w:lang w:val="en-US"/>
              </w:rPr>
              <w:t>/</w:t>
            </w:r>
            <w:bookmarkStart w:id="5" w:name="DocNo1"/>
            <w:bookmarkEnd w:id="5"/>
            <w:r w:rsidR="00F30900">
              <w:rPr>
                <w:rFonts w:hint="eastAsia"/>
                <w:b/>
                <w:bCs/>
                <w:lang w:val="en-US" w:eastAsia="ko-KR"/>
              </w:rPr>
              <w:t>6</w:t>
            </w:r>
            <w:r w:rsidRPr="00403C69">
              <w:rPr>
                <w:b/>
                <w:bCs/>
                <w:lang w:val="en-US"/>
              </w:rPr>
              <w:t>-E</w:t>
            </w:r>
          </w:p>
        </w:tc>
      </w:tr>
      <w:tr w:rsidR="00D87035" w:rsidRPr="00403C69" w14:paraId="55AD5FBA" w14:textId="77777777" w:rsidTr="3DD30E32">
        <w:trPr>
          <w:cantSplit/>
          <w:trHeight w:val="23"/>
        </w:trPr>
        <w:tc>
          <w:tcPr>
            <w:tcW w:w="6663" w:type="dxa"/>
          </w:tcPr>
          <w:p w14:paraId="0E170520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</w:rPr>
            </w:pPr>
            <w:bookmarkStart w:id="6" w:name="ddate" w:colFirst="1" w:colLast="1"/>
            <w:bookmarkStart w:id="7" w:name="dblank" w:colFirst="0" w:colLast="0"/>
            <w:bookmarkEnd w:id="2"/>
            <w:bookmarkEnd w:id="3"/>
          </w:p>
        </w:tc>
        <w:tc>
          <w:tcPr>
            <w:tcW w:w="3368" w:type="dxa"/>
          </w:tcPr>
          <w:p w14:paraId="242C61B7" w14:textId="695B5553" w:rsidR="00D87035" w:rsidRPr="00403C69" w:rsidRDefault="27C2F2B8" w:rsidP="3DD30E32">
            <w:pPr>
              <w:spacing w:before="0" w:line="240" w:lineRule="atLeast"/>
              <w:rPr>
                <w:rFonts w:cstheme="minorBidi"/>
              </w:rPr>
            </w:pPr>
            <w:r w:rsidRPr="3DD30E32">
              <w:rPr>
                <w:b/>
                <w:bCs/>
              </w:rPr>
              <w:t>3</w:t>
            </w:r>
            <w:r w:rsidR="00710812" w:rsidRPr="3DD30E32">
              <w:rPr>
                <w:b/>
                <w:bCs/>
              </w:rPr>
              <w:t xml:space="preserve"> </w:t>
            </w:r>
            <w:r w:rsidR="4815279C" w:rsidRPr="3DD30E32">
              <w:rPr>
                <w:b/>
                <w:bCs/>
              </w:rPr>
              <w:t>March</w:t>
            </w:r>
            <w:r w:rsidR="00710812" w:rsidRPr="3DD30E32">
              <w:rPr>
                <w:b/>
                <w:bCs/>
                <w:lang w:eastAsia="ko-KR"/>
              </w:rPr>
              <w:t xml:space="preserve"> </w:t>
            </w:r>
            <w:r w:rsidR="00710812" w:rsidRPr="3DD30E32">
              <w:rPr>
                <w:b/>
                <w:bCs/>
              </w:rPr>
              <w:t>2026</w:t>
            </w:r>
          </w:p>
        </w:tc>
      </w:tr>
      <w:bookmarkEnd w:id="6"/>
      <w:bookmarkEnd w:id="7"/>
      <w:tr w:rsidR="00D87035" w:rsidRPr="00403C69" w14:paraId="07260C0B" w14:textId="77777777" w:rsidTr="3DD30E32">
        <w:trPr>
          <w:cantSplit/>
          <w:trHeight w:val="23"/>
        </w:trPr>
        <w:tc>
          <w:tcPr>
            <w:tcW w:w="6663" w:type="dxa"/>
          </w:tcPr>
          <w:p w14:paraId="773E4FE3" w14:textId="77777777" w:rsidR="00D87035" w:rsidRPr="00403C69" w:rsidRDefault="00D87035" w:rsidP="00403C6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368" w:type="dxa"/>
          </w:tcPr>
          <w:p w14:paraId="2C8BB831" w14:textId="60A573B4" w:rsidR="00D87035" w:rsidRPr="00403C69" w:rsidRDefault="00D87035" w:rsidP="00403C6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 w:rsidRPr="00403C69">
              <w:rPr>
                <w:b/>
                <w:bCs/>
                <w:szCs w:val="24"/>
              </w:rPr>
              <w:t>Original: English</w:t>
            </w:r>
          </w:p>
        </w:tc>
      </w:tr>
      <w:tr w:rsidR="000843D9" w:rsidRPr="00403C69" w14:paraId="35F96F24" w14:textId="77777777" w:rsidTr="3DD30E32">
        <w:trPr>
          <w:cantSplit/>
          <w:trHeight w:val="23"/>
        </w:trPr>
        <w:tc>
          <w:tcPr>
            <w:tcW w:w="10031" w:type="dxa"/>
            <w:gridSpan w:val="2"/>
          </w:tcPr>
          <w:p w14:paraId="59A8A61C" w14:textId="4F631C69" w:rsidR="000843D9" w:rsidRPr="00403C69" w:rsidRDefault="00015AE3" w:rsidP="000843D9">
            <w:pPr>
              <w:pStyle w:val="Source"/>
              <w:spacing w:before="240" w:after="240"/>
            </w:pPr>
            <w:bookmarkStart w:id="8" w:name="dbluepink" w:colFirst="0" w:colLast="0"/>
            <w:bookmarkStart w:id="9" w:name="dorlang" w:colFirst="1" w:colLast="1"/>
            <w:r w:rsidRPr="00FA4573">
              <w:rPr>
                <w:szCs w:val="22"/>
              </w:rPr>
              <w:t>Chair, ITU-D Study Group 2</w:t>
            </w:r>
          </w:p>
        </w:tc>
      </w:tr>
      <w:tr w:rsidR="000843D9" w:rsidRPr="00403C69" w14:paraId="7EDE1565" w14:textId="77777777" w:rsidTr="3DD30E32">
        <w:trPr>
          <w:cantSplit/>
          <w:trHeight w:val="23"/>
        </w:trPr>
        <w:tc>
          <w:tcPr>
            <w:tcW w:w="10031" w:type="dxa"/>
            <w:gridSpan w:val="2"/>
          </w:tcPr>
          <w:p w14:paraId="3D29924B" w14:textId="395C98A6" w:rsidR="000843D9" w:rsidRPr="000414E0" w:rsidRDefault="00B06F37" w:rsidP="3DD30E32">
            <w:pPr>
              <w:pStyle w:val="Title1"/>
              <w:spacing w:before="120" w:after="120"/>
              <w:rPr>
                <w:caps w:val="0"/>
              </w:rPr>
            </w:pPr>
            <w:r>
              <w:rPr>
                <w:caps w:val="0"/>
              </w:rPr>
              <w:t>Scope of work of ITU-D Study Group 2 for the 20</w:t>
            </w:r>
            <w:r w:rsidRPr="3DD30E32">
              <w:rPr>
                <w:caps w:val="0"/>
                <w:lang w:eastAsia="ko-KR"/>
              </w:rPr>
              <w:t>26</w:t>
            </w:r>
            <w:r>
              <w:rPr>
                <w:caps w:val="0"/>
              </w:rPr>
              <w:t>-202</w:t>
            </w:r>
            <w:r w:rsidRPr="3DD30E32">
              <w:rPr>
                <w:caps w:val="0"/>
                <w:lang w:eastAsia="ko-KR"/>
              </w:rPr>
              <w:t>9</w:t>
            </w:r>
            <w:r>
              <w:rPr>
                <w:caps w:val="0"/>
              </w:rPr>
              <w:t xml:space="preserve"> </w:t>
            </w:r>
            <w:r w:rsidR="000414E0">
              <w:rPr>
                <w:caps w:val="0"/>
              </w:rPr>
              <w:t>study period</w:t>
            </w:r>
          </w:p>
        </w:tc>
      </w:tr>
      <w:tr w:rsidR="00015AE3" w:rsidRPr="00403C69" w14:paraId="0E658BBE" w14:textId="77777777" w:rsidTr="3DD30E32">
        <w:trPr>
          <w:cantSplit/>
          <w:trHeight w:val="112"/>
        </w:trPr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14:paraId="087BBF46" w14:textId="77777777" w:rsidR="00015AE3" w:rsidRPr="00015AE3" w:rsidRDefault="00015AE3" w:rsidP="00015AE3">
            <w:pPr>
              <w:rPr>
                <w:rFonts w:eastAsia="Times New Roman"/>
              </w:rPr>
            </w:pPr>
          </w:p>
        </w:tc>
      </w:tr>
      <w:tr w:rsidR="00015AE3" w:rsidRPr="00403C69" w14:paraId="527170A8" w14:textId="77777777" w:rsidTr="3DD30E32">
        <w:trPr>
          <w:cantSplit/>
          <w:trHeight w:val="112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88E" w14:textId="77777777" w:rsidR="00015AE3" w:rsidRPr="00FA4573" w:rsidRDefault="00015AE3" w:rsidP="009F2258">
            <w:pPr>
              <w:spacing w:after="120"/>
              <w:rPr>
                <w:b/>
                <w:bCs/>
                <w:szCs w:val="24"/>
              </w:rPr>
            </w:pPr>
            <w:r w:rsidRPr="00FA4573">
              <w:rPr>
                <w:b/>
                <w:bCs/>
                <w:szCs w:val="24"/>
              </w:rPr>
              <w:t>Summary:</w:t>
            </w:r>
          </w:p>
          <w:p w14:paraId="325FE216" w14:textId="391C4ED1" w:rsidR="007103A9" w:rsidRDefault="007103A9" w:rsidP="3DD30E32">
            <w:pPr>
              <w:spacing w:after="120"/>
            </w:pPr>
            <w:r>
              <w:t xml:space="preserve">This report </w:t>
            </w:r>
            <w:r w:rsidR="00817FE6" w:rsidRPr="3DD30E32">
              <w:rPr>
                <w:lang w:eastAsia="ko-KR"/>
              </w:rPr>
              <w:t>provides</w:t>
            </w:r>
            <w:r>
              <w:t xml:space="preserve"> the scope of work of ITU-D Study Group 2 </w:t>
            </w:r>
            <w:r w:rsidR="00D128AE" w:rsidRPr="3DD30E32">
              <w:rPr>
                <w:lang w:eastAsia="ko-KR"/>
              </w:rPr>
              <w:t xml:space="preserve">(SG2) </w:t>
            </w:r>
            <w:r>
              <w:t>for the 20</w:t>
            </w:r>
            <w:r w:rsidR="00B06F37" w:rsidRPr="3DD30E32">
              <w:rPr>
                <w:lang w:eastAsia="ko-KR"/>
              </w:rPr>
              <w:t>26</w:t>
            </w:r>
            <w:r>
              <w:t>-202</w:t>
            </w:r>
            <w:r w:rsidR="00B06F37" w:rsidRPr="3DD30E32">
              <w:rPr>
                <w:lang w:eastAsia="ko-KR"/>
              </w:rPr>
              <w:t>9</w:t>
            </w:r>
            <w:r>
              <w:t xml:space="preserve"> study period as agreed by the 20</w:t>
            </w:r>
            <w:r w:rsidR="00B06F37" w:rsidRPr="3DD30E32">
              <w:rPr>
                <w:lang w:eastAsia="ko-KR"/>
              </w:rPr>
              <w:t>25</w:t>
            </w:r>
            <w:r>
              <w:t xml:space="preserve"> World Telecommunication Development Conference (WTDC-</w:t>
            </w:r>
            <w:r w:rsidR="00B06F37" w:rsidRPr="3DD30E32">
              <w:rPr>
                <w:lang w:eastAsia="ko-KR"/>
              </w:rPr>
              <w:t>25</w:t>
            </w:r>
            <w:r>
              <w:t>). It also contains information on WTDC-</w:t>
            </w:r>
            <w:r w:rsidR="00B06F37" w:rsidRPr="3DD30E32">
              <w:rPr>
                <w:lang w:eastAsia="ko-KR"/>
              </w:rPr>
              <w:t>25</w:t>
            </w:r>
            <w:r>
              <w:t xml:space="preserve"> decisions</w:t>
            </w:r>
            <w:r w:rsidR="005A7A91" w:rsidRPr="3DD30E32">
              <w:rPr>
                <w:lang w:eastAsia="ko-KR"/>
              </w:rPr>
              <w:t xml:space="preserve"> impacting</w:t>
            </w:r>
            <w:r>
              <w:t xml:space="preserve"> ITU-D study groups and the work plan for Study Group 2 to implement the mandate.</w:t>
            </w:r>
          </w:p>
          <w:p w14:paraId="5CCFC6F5" w14:textId="20E35A10" w:rsidR="00015AE3" w:rsidRPr="00FA4573" w:rsidRDefault="007103A9" w:rsidP="3DD30E32">
            <w:pPr>
              <w:spacing w:after="120"/>
            </w:pPr>
            <w:r>
              <w:t xml:space="preserve">The first meeting of ITU-D Study Group 2 for the new study period will take place from </w:t>
            </w:r>
            <w:r w:rsidR="00B06F37" w:rsidRPr="3DD30E32">
              <w:rPr>
                <w:lang w:eastAsia="ko-KR"/>
              </w:rPr>
              <w:t>20</w:t>
            </w:r>
            <w:r>
              <w:t> to </w:t>
            </w:r>
            <w:r w:rsidR="00B06F37" w:rsidRPr="3DD30E32">
              <w:rPr>
                <w:lang w:eastAsia="ko-KR"/>
              </w:rPr>
              <w:t>24</w:t>
            </w:r>
            <w:r>
              <w:t> </w:t>
            </w:r>
            <w:r w:rsidR="00B06F37" w:rsidRPr="3DD30E32">
              <w:rPr>
                <w:lang w:eastAsia="ko-KR"/>
              </w:rPr>
              <w:t>April</w:t>
            </w:r>
            <w:r>
              <w:t> 20</w:t>
            </w:r>
            <w:r w:rsidR="00B06F37" w:rsidRPr="3DD30E32">
              <w:rPr>
                <w:lang w:eastAsia="ko-KR"/>
              </w:rPr>
              <w:t>26</w:t>
            </w:r>
            <w:r>
              <w:t>.</w:t>
            </w:r>
          </w:p>
          <w:p w14:paraId="2A1087C3" w14:textId="77777777" w:rsidR="00015AE3" w:rsidRPr="00FA4573" w:rsidRDefault="00015AE3" w:rsidP="009F2258">
            <w:pPr>
              <w:spacing w:after="120"/>
              <w:rPr>
                <w:b/>
                <w:bCs/>
                <w:szCs w:val="24"/>
              </w:rPr>
            </w:pPr>
            <w:r w:rsidRPr="00FA4573">
              <w:rPr>
                <w:b/>
                <w:bCs/>
              </w:rPr>
              <w:t>Action required:</w:t>
            </w:r>
          </w:p>
          <w:p w14:paraId="573506C0" w14:textId="77777777" w:rsidR="00015AE3" w:rsidRPr="00FA4573" w:rsidRDefault="00015AE3" w:rsidP="009F2258">
            <w:pPr>
              <w:spacing w:after="120"/>
              <w:rPr>
                <w:szCs w:val="24"/>
              </w:rPr>
            </w:pPr>
            <w:r w:rsidRPr="00FA4573">
              <w:t>TDAG is invited to take note of this document and provide any guidance as deemed appropriate.</w:t>
            </w:r>
          </w:p>
          <w:p w14:paraId="2850D575" w14:textId="77777777" w:rsidR="00015AE3" w:rsidRPr="00FA4573" w:rsidRDefault="00015AE3" w:rsidP="009F2258">
            <w:pPr>
              <w:spacing w:after="120"/>
              <w:rPr>
                <w:b/>
                <w:bCs/>
                <w:szCs w:val="24"/>
              </w:rPr>
            </w:pPr>
            <w:r w:rsidRPr="00FA4573">
              <w:rPr>
                <w:b/>
                <w:bCs/>
                <w:szCs w:val="24"/>
              </w:rPr>
              <w:t>References:</w:t>
            </w:r>
          </w:p>
          <w:p w14:paraId="0DAD7515" w14:textId="189EA0AD" w:rsidR="00015AE3" w:rsidRPr="00015AE3" w:rsidRDefault="00817FE6" w:rsidP="009F2258">
            <w:pPr>
              <w:spacing w:after="120"/>
              <w:rPr>
                <w:rFonts w:eastAsia="Times New Roman"/>
              </w:rPr>
            </w:pPr>
            <w:r w:rsidRPr="0086709A">
              <w:t xml:space="preserve">WTDC Resolution 2 (Rev. </w:t>
            </w:r>
            <w:r>
              <w:t>Baku</w:t>
            </w:r>
            <w:r w:rsidRPr="0086709A">
              <w:t>, 202</w:t>
            </w:r>
            <w:r>
              <w:t>5</w:t>
            </w:r>
            <w:r w:rsidRPr="0086709A">
              <w:t xml:space="preserve">), WTDC Resolution 1 (Rev. </w:t>
            </w:r>
            <w:r>
              <w:t>Baku</w:t>
            </w:r>
            <w:r w:rsidRPr="0086709A">
              <w:t>, 202</w:t>
            </w:r>
            <w:r>
              <w:t>5</w:t>
            </w:r>
            <w:r w:rsidRPr="0086709A">
              <w:t>)</w:t>
            </w:r>
          </w:p>
        </w:tc>
      </w:tr>
      <w:bookmarkEnd w:id="8"/>
      <w:bookmarkEnd w:id="9"/>
    </w:tbl>
    <w:p w14:paraId="12C73C84" w14:textId="77777777" w:rsidR="00E160D5" w:rsidRDefault="00E160D5" w:rsidP="00E160D5">
      <w:pPr>
        <w:pStyle w:val="Heading1"/>
        <w:ind w:left="0" w:firstLine="0"/>
        <w:rPr>
          <w:noProof/>
          <w:lang w:val="en-US"/>
        </w:rPr>
      </w:pPr>
    </w:p>
    <w:p w14:paraId="6524D341" w14:textId="77777777" w:rsidR="00E160D5" w:rsidRDefault="00E160D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noProof/>
          <w:sz w:val="28"/>
          <w:lang w:val="en-US"/>
        </w:rPr>
      </w:pPr>
      <w:r>
        <w:rPr>
          <w:noProof/>
          <w:lang w:val="en-US"/>
        </w:rPr>
        <w:br w:type="page"/>
      </w:r>
    </w:p>
    <w:p w14:paraId="7C3E2AE3" w14:textId="149DF9FD" w:rsidR="00ED7F6D" w:rsidRPr="007A4761" w:rsidRDefault="00ED7F6D" w:rsidP="009E60C1">
      <w:pPr>
        <w:pStyle w:val="Heading1"/>
        <w:numPr>
          <w:ilvl w:val="0"/>
          <w:numId w:val="2"/>
        </w:numPr>
        <w:spacing w:before="120" w:after="120"/>
        <w:ind w:left="357" w:hanging="357"/>
        <w:rPr>
          <w:rFonts w:cstheme="minorHAnsi"/>
          <w:noProof/>
          <w:sz w:val="24"/>
          <w:szCs w:val="18"/>
          <w:lang w:val="en-US"/>
        </w:rPr>
      </w:pPr>
      <w:r w:rsidRPr="007A4761">
        <w:rPr>
          <w:rFonts w:cstheme="minorHAnsi"/>
          <w:noProof/>
          <w:sz w:val="24"/>
          <w:szCs w:val="18"/>
          <w:lang w:val="en-US"/>
        </w:rPr>
        <w:lastRenderedPageBreak/>
        <w:t>WTDC-</w:t>
      </w:r>
      <w:r w:rsidRPr="007A4761">
        <w:rPr>
          <w:rFonts w:cstheme="minorHAnsi"/>
          <w:noProof/>
          <w:sz w:val="24"/>
          <w:szCs w:val="18"/>
          <w:lang w:val="en-US" w:eastAsia="ko-KR"/>
        </w:rPr>
        <w:t>25</w:t>
      </w:r>
      <w:r w:rsidRPr="007A4761">
        <w:rPr>
          <w:rFonts w:cstheme="minorHAnsi"/>
          <w:noProof/>
          <w:sz w:val="24"/>
          <w:szCs w:val="18"/>
          <w:lang w:val="en-US"/>
        </w:rPr>
        <w:t xml:space="preserve"> decisions </w:t>
      </w:r>
      <w:r w:rsidR="00460DC6" w:rsidRPr="007A4761">
        <w:rPr>
          <w:rFonts w:cstheme="minorHAnsi"/>
          <w:noProof/>
          <w:sz w:val="24"/>
          <w:szCs w:val="18"/>
          <w:lang w:val="en-US" w:eastAsia="ko-KR"/>
        </w:rPr>
        <w:t>with impact on</w:t>
      </w:r>
      <w:r w:rsidRPr="007A4761">
        <w:rPr>
          <w:rFonts w:cstheme="minorHAnsi"/>
          <w:noProof/>
          <w:sz w:val="24"/>
          <w:szCs w:val="18"/>
          <w:lang w:val="en-US"/>
        </w:rPr>
        <w:t xml:space="preserve"> ITU-D </w:t>
      </w:r>
      <w:r w:rsidR="00D66463" w:rsidRPr="007A4761">
        <w:rPr>
          <w:rFonts w:cstheme="minorHAnsi"/>
          <w:noProof/>
          <w:sz w:val="24"/>
          <w:szCs w:val="18"/>
          <w:lang w:val="en-US" w:eastAsia="ko-KR"/>
        </w:rPr>
        <w:t>S</w:t>
      </w:r>
      <w:r w:rsidRPr="007A4761">
        <w:rPr>
          <w:rFonts w:cstheme="minorHAnsi"/>
          <w:noProof/>
          <w:sz w:val="24"/>
          <w:szCs w:val="18"/>
          <w:lang w:val="en-US"/>
        </w:rPr>
        <w:t xml:space="preserve">tudy </w:t>
      </w:r>
      <w:r w:rsidR="00D66463" w:rsidRPr="007A4761">
        <w:rPr>
          <w:rFonts w:cstheme="minorHAnsi"/>
          <w:noProof/>
          <w:sz w:val="24"/>
          <w:szCs w:val="18"/>
          <w:lang w:val="en-US" w:eastAsia="ko-KR"/>
        </w:rPr>
        <w:t>G</w:t>
      </w:r>
      <w:r w:rsidRPr="007A4761">
        <w:rPr>
          <w:rFonts w:cstheme="minorHAnsi"/>
          <w:noProof/>
          <w:sz w:val="24"/>
          <w:szCs w:val="18"/>
          <w:lang w:val="en-US"/>
        </w:rPr>
        <w:t>roup</w:t>
      </w:r>
      <w:r w:rsidR="00D66463" w:rsidRPr="007A4761">
        <w:rPr>
          <w:rFonts w:cstheme="minorHAnsi"/>
          <w:noProof/>
          <w:sz w:val="24"/>
          <w:szCs w:val="18"/>
          <w:lang w:val="en-US" w:eastAsia="ko-KR"/>
        </w:rPr>
        <w:t xml:space="preserve"> 2</w:t>
      </w:r>
    </w:p>
    <w:p w14:paraId="78005008" w14:textId="30B2C342" w:rsidR="00ED7F6D" w:rsidRPr="007A4761" w:rsidRDefault="00ED7F6D" w:rsidP="007A4761">
      <w:pPr>
        <w:spacing w:after="120"/>
        <w:rPr>
          <w:rFonts w:cstheme="minorHAnsi"/>
          <w:lang w:val="en-US"/>
        </w:rPr>
      </w:pPr>
      <w:r w:rsidRPr="007A4761">
        <w:rPr>
          <w:rFonts w:cstheme="minorHAnsi"/>
          <w:bCs/>
        </w:rPr>
        <w:t>The ITU-D study groups follow the process</w:t>
      </w:r>
      <w:r w:rsidR="005A7A91" w:rsidRPr="007A4761">
        <w:rPr>
          <w:rFonts w:cstheme="minorHAnsi"/>
          <w:bCs/>
          <w:lang w:eastAsia="ko-KR"/>
        </w:rPr>
        <w:t>es</w:t>
      </w:r>
      <w:r w:rsidRPr="007A4761">
        <w:rPr>
          <w:rFonts w:cstheme="minorHAnsi"/>
          <w:bCs/>
        </w:rPr>
        <w:t xml:space="preserve"> and working methods set out in Resolution 1 (Rev. </w:t>
      </w:r>
      <w:r w:rsidRPr="007A4761">
        <w:rPr>
          <w:rFonts w:cstheme="minorHAnsi"/>
          <w:bCs/>
          <w:lang w:eastAsia="ko-KR"/>
        </w:rPr>
        <w:t>Baku</w:t>
      </w:r>
      <w:r w:rsidRPr="007A4761">
        <w:rPr>
          <w:rFonts w:cstheme="minorHAnsi"/>
          <w:bCs/>
        </w:rPr>
        <w:t>, 20</w:t>
      </w:r>
      <w:r w:rsidRPr="007A4761">
        <w:rPr>
          <w:rFonts w:cstheme="minorHAnsi"/>
          <w:bCs/>
          <w:lang w:eastAsia="ko-KR"/>
        </w:rPr>
        <w:t>25</w:t>
      </w:r>
      <w:r w:rsidRPr="007A4761">
        <w:rPr>
          <w:rFonts w:cstheme="minorHAnsi"/>
          <w:bCs/>
        </w:rPr>
        <w:t>) “Rules of procedure of the ITU Telecommunication Development Sector” and work in accordance with the work plans adopted by WTDC-</w:t>
      </w:r>
      <w:r w:rsidRPr="007A4761">
        <w:rPr>
          <w:rFonts w:cstheme="minorHAnsi"/>
          <w:bCs/>
          <w:lang w:eastAsia="ko-KR"/>
        </w:rPr>
        <w:t>25</w:t>
      </w:r>
      <w:r w:rsidRPr="007A4761">
        <w:rPr>
          <w:rFonts w:cstheme="minorHAnsi"/>
          <w:bCs/>
        </w:rPr>
        <w:t xml:space="preserve">. </w:t>
      </w:r>
      <w:r w:rsidRPr="007A4761">
        <w:rPr>
          <w:rFonts w:cstheme="minorHAnsi"/>
          <w:lang w:val="en-US"/>
        </w:rPr>
        <w:t>WTDC-</w:t>
      </w:r>
      <w:r w:rsidRPr="007A4761">
        <w:rPr>
          <w:rFonts w:cstheme="minorHAnsi"/>
          <w:lang w:val="en-US" w:eastAsia="ko-KR"/>
        </w:rPr>
        <w:t>25</w:t>
      </w:r>
      <w:r w:rsidRPr="007A4761">
        <w:rPr>
          <w:rFonts w:cstheme="minorHAnsi"/>
          <w:lang w:val="en-US"/>
        </w:rPr>
        <w:t xml:space="preserve"> reinforced the role of the ITU-D study groups </w:t>
      </w:r>
      <w:r w:rsidR="005A7A91" w:rsidRPr="007A4761">
        <w:rPr>
          <w:rFonts w:cstheme="minorHAnsi"/>
          <w:lang w:val="en-US" w:eastAsia="ko-KR"/>
        </w:rPr>
        <w:t>in</w:t>
      </w:r>
      <w:r w:rsidRPr="007A4761">
        <w:rPr>
          <w:rFonts w:cstheme="minorHAnsi"/>
          <w:lang w:val="en-US"/>
        </w:rPr>
        <w:t xml:space="preserve"> provid</w:t>
      </w:r>
      <w:r w:rsidR="005A7A91" w:rsidRPr="007A4761">
        <w:rPr>
          <w:rFonts w:cstheme="minorHAnsi"/>
          <w:lang w:val="en-US" w:eastAsia="ko-KR"/>
        </w:rPr>
        <w:t>ing</w:t>
      </w:r>
      <w:r w:rsidRPr="007A4761">
        <w:rPr>
          <w:rFonts w:cstheme="minorHAnsi"/>
          <w:lang w:val="en-US"/>
        </w:rPr>
        <w:t xml:space="preserve"> a platform </w:t>
      </w:r>
      <w:r w:rsidR="005A7A91" w:rsidRPr="007A4761">
        <w:rPr>
          <w:rFonts w:cstheme="minorHAnsi"/>
          <w:lang w:val="en-US" w:eastAsia="ko-KR"/>
        </w:rPr>
        <w:t xml:space="preserve">for members </w:t>
      </w:r>
      <w:r w:rsidRPr="007A4761">
        <w:rPr>
          <w:rFonts w:cstheme="minorHAnsi"/>
          <w:lang w:val="en-US"/>
        </w:rPr>
        <w:t>to share experiences, present ideas, exchange views, and achieve consensus on strategies to address telecommunication/ICT priorities. In doing</w:t>
      </w:r>
      <w:r w:rsidR="005A7A91" w:rsidRPr="007A4761">
        <w:rPr>
          <w:rFonts w:cstheme="minorHAnsi"/>
          <w:lang w:val="en-US" w:eastAsia="ko-KR"/>
        </w:rPr>
        <w:t xml:space="preserve"> so</w:t>
      </w:r>
      <w:r w:rsidRPr="007A4761">
        <w:rPr>
          <w:rFonts w:cstheme="minorHAnsi"/>
          <w:lang w:val="en-US"/>
        </w:rPr>
        <w:t xml:space="preserve">, the role of the ITU-D study groups </w:t>
      </w:r>
      <w:r w:rsidR="005A7A91" w:rsidRPr="007A4761">
        <w:rPr>
          <w:rFonts w:cstheme="minorHAnsi"/>
          <w:lang w:val="en-US" w:eastAsia="ko-KR"/>
        </w:rPr>
        <w:t>in</w:t>
      </w:r>
      <w:r w:rsidRPr="007A4761">
        <w:rPr>
          <w:rFonts w:cstheme="minorHAnsi"/>
          <w:lang w:val="en-US"/>
        </w:rPr>
        <w:t xml:space="preserve"> assist</w:t>
      </w:r>
      <w:r w:rsidR="005A7A91" w:rsidRPr="007A4761">
        <w:rPr>
          <w:rFonts w:cstheme="minorHAnsi"/>
          <w:lang w:val="en-US" w:eastAsia="ko-KR"/>
        </w:rPr>
        <w:t>ing</w:t>
      </w:r>
      <w:r w:rsidRPr="007A4761">
        <w:rPr>
          <w:rFonts w:cstheme="minorHAnsi"/>
          <w:lang w:val="en-US"/>
        </w:rPr>
        <w:t xml:space="preserve"> Member States in achieving their development goals </w:t>
      </w:r>
      <w:r w:rsidR="005A7A91" w:rsidRPr="007A4761">
        <w:rPr>
          <w:rFonts w:cstheme="minorHAnsi"/>
          <w:lang w:val="en-US" w:eastAsia="ko-KR"/>
        </w:rPr>
        <w:t>w</w:t>
      </w:r>
      <w:r w:rsidRPr="007A4761">
        <w:rPr>
          <w:rFonts w:cstheme="minorHAnsi"/>
          <w:lang w:val="en-US"/>
        </w:rPr>
        <w:t>as strengthened.</w:t>
      </w:r>
    </w:p>
    <w:p w14:paraId="3F0B2FA1" w14:textId="6EFC3674" w:rsidR="00ED7F6D" w:rsidRPr="007A4761" w:rsidRDefault="005A7A91" w:rsidP="3DD30E32">
      <w:pPr>
        <w:spacing w:after="120"/>
        <w:rPr>
          <w:rFonts w:cstheme="minorBidi"/>
          <w:lang w:val="en-US"/>
        </w:rPr>
      </w:pPr>
      <w:r w:rsidRPr="3DD30E32">
        <w:rPr>
          <w:rFonts w:cstheme="minorBidi"/>
          <w:lang w:val="en-US" w:eastAsia="ko-KR"/>
        </w:rPr>
        <w:t>Regarding</w:t>
      </w:r>
      <w:r w:rsidR="00ED7F6D" w:rsidRPr="3DD30E32">
        <w:rPr>
          <w:rFonts w:cstheme="minorBidi"/>
          <w:lang w:val="en-US"/>
        </w:rPr>
        <w:t xml:space="preserve"> the scope, ITU-D Study Group 2 </w:t>
      </w:r>
      <w:r w:rsidR="00D128AE" w:rsidRPr="3DD30E32">
        <w:rPr>
          <w:rFonts w:cstheme="minorBidi"/>
          <w:lang w:val="en-US" w:eastAsia="ko-KR"/>
        </w:rPr>
        <w:t xml:space="preserve">(SG2) </w:t>
      </w:r>
      <w:r w:rsidR="00ED7F6D" w:rsidRPr="3DD30E32">
        <w:rPr>
          <w:rFonts w:cstheme="minorBidi"/>
          <w:lang w:val="en-US"/>
        </w:rPr>
        <w:t>will continue to focus on “</w:t>
      </w:r>
      <w:r w:rsidR="00ED7F6D" w:rsidRPr="3DD30E32">
        <w:rPr>
          <w:rFonts w:cstheme="minorBidi"/>
          <w:lang w:val="en-US" w:eastAsia="ko-KR"/>
        </w:rPr>
        <w:t>Digital transformation</w:t>
      </w:r>
      <w:r w:rsidR="00ED7F6D" w:rsidRPr="3DD30E32">
        <w:rPr>
          <w:rFonts w:cstheme="minorBidi"/>
          <w:lang w:val="en-US"/>
        </w:rPr>
        <w:t>”. The new management team appointed by WTDC-</w:t>
      </w:r>
      <w:r w:rsidR="00ED7F6D" w:rsidRPr="3DD30E32">
        <w:rPr>
          <w:rFonts w:cstheme="minorBidi"/>
          <w:lang w:val="en-US" w:eastAsia="ko-KR"/>
        </w:rPr>
        <w:t>25</w:t>
      </w:r>
      <w:r w:rsidR="00ED7F6D" w:rsidRPr="3DD30E32">
        <w:rPr>
          <w:rFonts w:cstheme="minorBidi"/>
          <w:lang w:val="en-US"/>
        </w:rPr>
        <w:t xml:space="preserve"> </w:t>
      </w:r>
      <w:r w:rsidR="00ED7F6D" w:rsidRPr="3DD30E32">
        <w:rPr>
          <w:rFonts w:cstheme="minorBidi"/>
        </w:rPr>
        <w:t>to lead the work</w:t>
      </w:r>
      <w:r w:rsidR="00ED7F6D" w:rsidRPr="3DD30E32">
        <w:rPr>
          <w:rFonts w:cstheme="minorBidi"/>
          <w:lang w:val="en-US"/>
        </w:rPr>
        <w:t xml:space="preserve"> of the</w:t>
      </w:r>
      <w:r w:rsidR="00ED7F6D" w:rsidRPr="3DD30E32">
        <w:rPr>
          <w:rFonts w:cstheme="minorBidi"/>
          <w:lang w:val="en-US" w:eastAsia="ko-KR"/>
        </w:rPr>
        <w:t xml:space="preserve"> </w:t>
      </w:r>
      <w:r w:rsidR="00ED7F6D" w:rsidRPr="3DD30E32">
        <w:rPr>
          <w:rFonts w:cstheme="minorBidi"/>
          <w:lang w:val="en-US"/>
        </w:rPr>
        <w:t xml:space="preserve">study group </w:t>
      </w:r>
      <w:r w:rsidRPr="3DD30E32">
        <w:rPr>
          <w:rFonts w:cstheme="minorBidi"/>
          <w:lang w:val="en-US" w:eastAsia="ko-KR"/>
        </w:rPr>
        <w:t>consists</w:t>
      </w:r>
      <w:r w:rsidR="00ED7F6D" w:rsidRPr="3DD30E32">
        <w:rPr>
          <w:rFonts w:cstheme="minorBidi"/>
          <w:lang w:val="en-US"/>
        </w:rPr>
        <w:t xml:space="preserve"> </w:t>
      </w:r>
      <w:r w:rsidR="00ED7F6D" w:rsidRPr="3DD30E32">
        <w:rPr>
          <w:rFonts w:cstheme="minorBidi"/>
          <w:lang w:val="en-US" w:eastAsia="ko-KR"/>
        </w:rPr>
        <w:t>of a</w:t>
      </w:r>
      <w:r w:rsidR="00ED7F6D" w:rsidRPr="3DD30E32">
        <w:rPr>
          <w:rFonts w:cstheme="minorBidi"/>
          <w:lang w:val="en-US"/>
        </w:rPr>
        <w:t xml:space="preserve"> </w:t>
      </w:r>
      <w:r w:rsidR="00D128AE" w:rsidRPr="3DD30E32">
        <w:rPr>
          <w:rFonts w:cstheme="minorBidi"/>
          <w:lang w:val="en-US" w:eastAsia="ko-KR"/>
        </w:rPr>
        <w:t>c</w:t>
      </w:r>
      <w:r w:rsidR="00ED7F6D" w:rsidRPr="3DD30E32">
        <w:rPr>
          <w:rFonts w:cstheme="minorBidi"/>
          <w:lang w:val="en-US"/>
        </w:rPr>
        <w:t xml:space="preserve">hair and </w:t>
      </w:r>
      <w:r w:rsidR="00ED7F6D" w:rsidRPr="3DD30E32">
        <w:rPr>
          <w:rFonts w:cstheme="minorBidi"/>
          <w:lang w:val="en-US" w:eastAsia="ko-KR"/>
        </w:rPr>
        <w:t>13</w:t>
      </w:r>
      <w:r w:rsidR="00ED7F6D" w:rsidRPr="3DD30E32">
        <w:rPr>
          <w:rFonts w:cstheme="minorBidi"/>
          <w:lang w:val="en-US"/>
        </w:rPr>
        <w:t xml:space="preserve"> </w:t>
      </w:r>
      <w:r w:rsidR="7CDE89D3" w:rsidRPr="3DD30E32">
        <w:rPr>
          <w:rFonts w:cstheme="minorBidi"/>
          <w:lang w:val="en-US"/>
        </w:rPr>
        <w:t>V</w:t>
      </w:r>
      <w:r w:rsidR="39DF4C52" w:rsidRPr="3DD30E32">
        <w:rPr>
          <w:rFonts w:cstheme="minorBidi"/>
          <w:lang w:val="en-US"/>
        </w:rPr>
        <w:t>ice-</w:t>
      </w:r>
      <w:r w:rsidR="0F93DCBE" w:rsidRPr="3DD30E32">
        <w:rPr>
          <w:rFonts w:cstheme="minorBidi"/>
          <w:lang w:val="en-US"/>
        </w:rPr>
        <w:t>C</w:t>
      </w:r>
      <w:r w:rsidR="00ED7F6D" w:rsidRPr="3DD30E32">
        <w:rPr>
          <w:rFonts w:cstheme="minorBidi"/>
          <w:lang w:val="en-US"/>
        </w:rPr>
        <w:t>hair</w:t>
      </w:r>
      <w:r w:rsidR="00ED7F6D" w:rsidRPr="3DD30E32">
        <w:rPr>
          <w:rFonts w:cstheme="minorBidi"/>
          <w:lang w:val="en-US" w:eastAsia="ko-KR"/>
        </w:rPr>
        <w:t>s</w:t>
      </w:r>
      <w:r w:rsidR="00ED7F6D" w:rsidRPr="3DD30E32">
        <w:rPr>
          <w:rFonts w:cstheme="minorBidi"/>
          <w:lang w:val="en-US"/>
        </w:rPr>
        <w:t xml:space="preserve">. New </w:t>
      </w:r>
      <w:r w:rsidR="00ED7F6D" w:rsidRPr="3DD30E32">
        <w:rPr>
          <w:rFonts w:cstheme="minorBidi"/>
          <w:lang w:val="en-US" w:eastAsia="ko-KR"/>
        </w:rPr>
        <w:t xml:space="preserve">coordination </w:t>
      </w:r>
      <w:r w:rsidR="00ED7F6D" w:rsidRPr="3DD30E32">
        <w:rPr>
          <w:rFonts w:cstheme="minorBidi"/>
          <w:lang w:val="en-US"/>
        </w:rPr>
        <w:t xml:space="preserve">roles </w:t>
      </w:r>
      <w:r w:rsidR="00ED7F6D" w:rsidRPr="3DD30E32">
        <w:rPr>
          <w:rFonts w:cstheme="minorBidi"/>
          <w:lang w:val="en-US" w:eastAsia="ko-KR"/>
        </w:rPr>
        <w:t xml:space="preserve">on specific topics </w:t>
      </w:r>
      <w:r w:rsidRPr="3DD30E32">
        <w:rPr>
          <w:rFonts w:cstheme="minorBidi"/>
          <w:lang w:val="en-US" w:eastAsia="ko-KR"/>
        </w:rPr>
        <w:t>have been</w:t>
      </w:r>
      <w:r w:rsidR="00ED7F6D" w:rsidRPr="3DD30E32">
        <w:rPr>
          <w:rFonts w:cstheme="minorBidi"/>
          <w:lang w:val="en-US" w:eastAsia="ko-KR"/>
        </w:rPr>
        <w:t xml:space="preserve"> </w:t>
      </w:r>
      <w:r w:rsidR="00ED7F6D" w:rsidRPr="3DD30E32">
        <w:rPr>
          <w:rFonts w:cstheme="minorBidi"/>
          <w:lang w:val="en-US"/>
        </w:rPr>
        <w:t xml:space="preserve">assigned to the </w:t>
      </w:r>
      <w:r w:rsidR="0867D4E4" w:rsidRPr="3DD30E32">
        <w:rPr>
          <w:rFonts w:cstheme="minorBidi"/>
          <w:lang w:val="en-US"/>
        </w:rPr>
        <w:t>V</w:t>
      </w:r>
      <w:r w:rsidR="39DF4C52" w:rsidRPr="3DD30E32">
        <w:rPr>
          <w:rFonts w:cstheme="minorBidi"/>
          <w:lang w:val="en-US"/>
        </w:rPr>
        <w:t>ice-</w:t>
      </w:r>
      <w:r w:rsidR="3A49745F" w:rsidRPr="3DD30E32">
        <w:rPr>
          <w:rFonts w:cstheme="minorBidi"/>
          <w:lang w:val="en-US"/>
        </w:rPr>
        <w:t>C</w:t>
      </w:r>
      <w:r w:rsidR="00ED7F6D" w:rsidRPr="3DD30E32">
        <w:rPr>
          <w:rFonts w:cstheme="minorBidi"/>
          <w:lang w:val="en-US"/>
        </w:rPr>
        <w:t>hair</w:t>
      </w:r>
      <w:r w:rsidR="00ED7F6D" w:rsidRPr="3DD30E32">
        <w:rPr>
          <w:rFonts w:cstheme="minorBidi"/>
          <w:lang w:val="en-US" w:eastAsia="ko-KR"/>
        </w:rPr>
        <w:t>s</w:t>
      </w:r>
      <w:r w:rsidR="00ED7F6D" w:rsidRPr="3DD30E32">
        <w:rPr>
          <w:rFonts w:cstheme="minorBidi"/>
          <w:lang w:val="en-US"/>
        </w:rPr>
        <w:t>.</w:t>
      </w:r>
      <w:r w:rsidR="00ED7F6D" w:rsidRPr="3DD30E32">
        <w:rPr>
          <w:rFonts w:cstheme="minorBidi"/>
        </w:rPr>
        <w:t xml:space="preserve"> A call for </w:t>
      </w:r>
      <w:r w:rsidR="00D128AE" w:rsidRPr="3DD30E32">
        <w:rPr>
          <w:rFonts w:cstheme="minorBidi"/>
          <w:lang w:eastAsia="ko-KR"/>
        </w:rPr>
        <w:t xml:space="preserve">SG2 </w:t>
      </w:r>
      <w:r w:rsidR="00D128AE" w:rsidRPr="3DD30E32">
        <w:rPr>
          <w:rFonts w:cstheme="minorBidi"/>
        </w:rPr>
        <w:t xml:space="preserve">rapporteurs and </w:t>
      </w:r>
      <w:r w:rsidR="4FE0E445" w:rsidRPr="3DD30E32">
        <w:rPr>
          <w:rFonts w:cstheme="minorBidi"/>
        </w:rPr>
        <w:t>V</w:t>
      </w:r>
      <w:r w:rsidR="026F19C1" w:rsidRPr="3DD30E32">
        <w:rPr>
          <w:rFonts w:cstheme="minorBidi"/>
        </w:rPr>
        <w:t>ice-</w:t>
      </w:r>
      <w:r w:rsidR="62ED472C" w:rsidRPr="3DD30E32">
        <w:rPr>
          <w:rFonts w:cstheme="minorBidi"/>
        </w:rPr>
        <w:t>R</w:t>
      </w:r>
      <w:r w:rsidR="00D128AE" w:rsidRPr="3DD30E32">
        <w:rPr>
          <w:rFonts w:cstheme="minorBidi"/>
        </w:rPr>
        <w:t xml:space="preserve">apporteurs </w:t>
      </w:r>
      <w:r w:rsidR="00ED7F6D" w:rsidRPr="3DD30E32">
        <w:rPr>
          <w:rFonts w:cstheme="minorBidi"/>
        </w:rPr>
        <w:t>has been sent out to the membership and appointments will be made at the first SG2 meeting</w:t>
      </w:r>
      <w:r w:rsidR="00D128AE" w:rsidRPr="3DD30E32">
        <w:rPr>
          <w:rFonts w:cstheme="minorBidi"/>
          <w:lang w:eastAsia="ko-KR"/>
        </w:rPr>
        <w:t>, which will take place from 20 to 24 April 2026</w:t>
      </w:r>
      <w:r w:rsidR="00ED7F6D" w:rsidRPr="3DD30E32">
        <w:rPr>
          <w:rFonts w:cstheme="minorBidi"/>
        </w:rPr>
        <w:t>.</w:t>
      </w:r>
    </w:p>
    <w:p w14:paraId="2B2EFC8C" w14:textId="43A6020C" w:rsidR="00ED7F6D" w:rsidRPr="007A4761" w:rsidRDefault="00D128AE" w:rsidP="007A4761">
      <w:pPr>
        <w:spacing w:after="120"/>
        <w:rPr>
          <w:rFonts w:cstheme="minorHAnsi"/>
          <w:lang w:val="en-US" w:eastAsia="ko-KR"/>
        </w:rPr>
      </w:pPr>
      <w:r w:rsidRPr="007A4761">
        <w:rPr>
          <w:rFonts w:cstheme="minorHAnsi"/>
          <w:lang w:val="en-US" w:eastAsia="ko-KR"/>
        </w:rPr>
        <w:t>SG2</w:t>
      </w:r>
      <w:r w:rsidR="00ED7F6D" w:rsidRPr="007A4761">
        <w:rPr>
          <w:rFonts w:cstheme="minorHAnsi"/>
          <w:lang w:val="en-US"/>
        </w:rPr>
        <w:t xml:space="preserve"> has </w:t>
      </w:r>
      <w:r w:rsidRPr="007A4761">
        <w:rPr>
          <w:rFonts w:cstheme="minorHAnsi"/>
          <w:lang w:val="en-US" w:eastAsia="ko-KR"/>
        </w:rPr>
        <w:t>five</w:t>
      </w:r>
      <w:r w:rsidR="00ED7F6D" w:rsidRPr="007A4761">
        <w:rPr>
          <w:rFonts w:cstheme="minorHAnsi"/>
          <w:lang w:val="en-US"/>
        </w:rPr>
        <w:t xml:space="preserve"> Questions compared to the previous </w:t>
      </w:r>
      <w:r w:rsidRPr="007A4761">
        <w:rPr>
          <w:rFonts w:cstheme="minorHAnsi"/>
          <w:lang w:val="en-US" w:eastAsia="ko-KR"/>
        </w:rPr>
        <w:t>seven</w:t>
      </w:r>
      <w:r w:rsidR="00ED7F6D" w:rsidRPr="007A4761">
        <w:rPr>
          <w:rFonts w:cstheme="minorHAnsi"/>
          <w:lang w:val="en-US"/>
        </w:rPr>
        <w:t xml:space="preserve">. </w:t>
      </w:r>
      <w:r w:rsidR="00C42F80" w:rsidRPr="007A4761">
        <w:rPr>
          <w:rFonts w:cstheme="minorHAnsi"/>
          <w:lang w:val="en-US" w:eastAsia="ko-KR"/>
        </w:rPr>
        <w:t>While the number of Questions has been reduced, all main topics from the previous study Question</w:t>
      </w:r>
      <w:r w:rsidR="005A7A91" w:rsidRPr="007A4761">
        <w:rPr>
          <w:rFonts w:cstheme="minorHAnsi"/>
          <w:lang w:val="en-US" w:eastAsia="ko-KR"/>
        </w:rPr>
        <w:t>s</w:t>
      </w:r>
      <w:r w:rsidR="00C42F80" w:rsidRPr="007A4761">
        <w:rPr>
          <w:rFonts w:cstheme="minorHAnsi"/>
          <w:lang w:val="en-US" w:eastAsia="ko-KR"/>
        </w:rPr>
        <w:t xml:space="preserve"> were maintained with some of them merged into the new Questions. New topics were also approved, </w:t>
      </w:r>
      <w:r w:rsidR="00225D6C" w:rsidRPr="007A4761">
        <w:rPr>
          <w:rFonts w:cstheme="minorHAnsi"/>
          <w:lang w:val="en-US" w:eastAsia="ko-KR"/>
        </w:rPr>
        <w:t>such as</w:t>
      </w:r>
      <w:r w:rsidR="005A7A91" w:rsidRPr="007A4761">
        <w:rPr>
          <w:rFonts w:cstheme="minorHAnsi"/>
          <w:lang w:val="en-US" w:eastAsia="ko-KR"/>
        </w:rPr>
        <w:t xml:space="preserve"> those on</w:t>
      </w:r>
      <w:r w:rsidR="00C42F80" w:rsidRPr="007A4761">
        <w:rPr>
          <w:rFonts w:cstheme="minorHAnsi"/>
          <w:lang w:val="en-US" w:eastAsia="ko-KR"/>
        </w:rPr>
        <w:t xml:space="preserve"> </w:t>
      </w:r>
      <w:r w:rsidR="005A7A91" w:rsidRPr="007A4761">
        <w:rPr>
          <w:rFonts w:cstheme="minorHAnsi"/>
          <w:lang w:val="en-US" w:eastAsia="ko-KR"/>
        </w:rPr>
        <w:t xml:space="preserve">the </w:t>
      </w:r>
      <w:r w:rsidR="00C42F80" w:rsidRPr="007A4761">
        <w:rPr>
          <w:rFonts w:cstheme="minorHAnsi"/>
          <w:lang w:val="en-US" w:eastAsia="ko-KR"/>
        </w:rPr>
        <w:t xml:space="preserve">availability and affordability of user devices, and </w:t>
      </w:r>
      <w:r w:rsidR="005A7A91" w:rsidRPr="007A4761">
        <w:rPr>
          <w:rFonts w:cstheme="minorHAnsi"/>
          <w:lang w:val="en-US" w:eastAsia="ko-KR"/>
        </w:rPr>
        <w:t>the</w:t>
      </w:r>
      <w:r w:rsidR="00C42F80" w:rsidRPr="007A4761">
        <w:rPr>
          <w:rFonts w:cstheme="minorHAnsi"/>
          <w:lang w:val="en-US" w:eastAsia="ko-KR"/>
        </w:rPr>
        <w:t xml:space="preserve"> adoption and utilization of new and emerging telecommunication/ICT services and technologies. </w:t>
      </w:r>
      <w:r w:rsidR="00ED7F6D" w:rsidRPr="007A4761">
        <w:rPr>
          <w:rFonts w:cstheme="minorHAnsi"/>
          <w:lang w:val="en-US"/>
        </w:rPr>
        <w:t xml:space="preserve">The delivery of </w:t>
      </w:r>
      <w:r w:rsidR="00C42F80" w:rsidRPr="007A4761">
        <w:rPr>
          <w:rFonts w:cstheme="minorHAnsi"/>
          <w:lang w:val="en-US" w:eastAsia="ko-KR"/>
        </w:rPr>
        <w:t>interim deliverables</w:t>
      </w:r>
      <w:r w:rsidR="00ED7F6D" w:rsidRPr="007A4761">
        <w:rPr>
          <w:rFonts w:cstheme="minorHAnsi"/>
          <w:lang w:val="en-US"/>
        </w:rPr>
        <w:t xml:space="preserve"> is to be</w:t>
      </w:r>
      <w:r w:rsidR="005A7A91" w:rsidRPr="007A4761">
        <w:rPr>
          <w:rFonts w:cstheme="minorHAnsi"/>
          <w:lang w:val="en-US" w:eastAsia="ko-KR"/>
        </w:rPr>
        <w:t xml:space="preserve"> </w:t>
      </w:r>
      <w:r w:rsidR="35B5728B" w:rsidRPr="007A4761">
        <w:rPr>
          <w:rFonts w:cstheme="minorHAnsi"/>
          <w:lang w:val="en-US" w:eastAsia="ko-KR"/>
        </w:rPr>
        <w:t>incorporated</w:t>
      </w:r>
      <w:r w:rsidR="00ED7F6D" w:rsidRPr="007A4761">
        <w:rPr>
          <w:rFonts w:cstheme="minorHAnsi"/>
          <w:lang w:val="en-US"/>
        </w:rPr>
        <w:t xml:space="preserve"> into the Question-specific work plans, </w:t>
      </w:r>
      <w:r w:rsidR="005A7A91" w:rsidRPr="007A4761">
        <w:rPr>
          <w:rFonts w:cstheme="minorHAnsi"/>
          <w:lang w:val="en-US" w:eastAsia="ko-KR"/>
        </w:rPr>
        <w:t>where</w:t>
      </w:r>
      <w:r w:rsidR="00ED7F6D" w:rsidRPr="007A4761">
        <w:rPr>
          <w:rFonts w:cstheme="minorHAnsi"/>
          <w:lang w:val="en-US"/>
        </w:rPr>
        <w:t xml:space="preserve"> feasible. The capacity building of the ITU</w:t>
      </w:r>
      <w:r w:rsidR="00225D6C" w:rsidRPr="007A4761">
        <w:rPr>
          <w:rFonts w:cstheme="minorHAnsi"/>
          <w:lang w:val="en-US"/>
        </w:rPr>
        <w:noBreakHyphen/>
      </w:r>
      <w:r w:rsidR="00ED7F6D" w:rsidRPr="007A4761">
        <w:rPr>
          <w:rFonts w:cstheme="minorHAnsi"/>
          <w:lang w:val="en-US"/>
        </w:rPr>
        <w:t xml:space="preserve">D study groups </w:t>
      </w:r>
      <w:r w:rsidR="00C42F80" w:rsidRPr="007A4761">
        <w:rPr>
          <w:rFonts w:cstheme="minorHAnsi"/>
          <w:lang w:val="en-US" w:eastAsia="ko-KR"/>
        </w:rPr>
        <w:t>will continue to be</w:t>
      </w:r>
      <w:r w:rsidR="00ED7F6D" w:rsidRPr="007A4761">
        <w:rPr>
          <w:rFonts w:cstheme="minorHAnsi"/>
          <w:lang w:val="en-US"/>
        </w:rPr>
        <w:t xml:space="preserve"> prominent in the </w:t>
      </w:r>
      <w:r w:rsidR="29BC35DC" w:rsidRPr="007A4761">
        <w:rPr>
          <w:rFonts w:cstheme="minorHAnsi"/>
          <w:lang w:val="en-US"/>
        </w:rPr>
        <w:t>S</w:t>
      </w:r>
      <w:r w:rsidR="00ED7F6D" w:rsidRPr="007A4761">
        <w:rPr>
          <w:rFonts w:cstheme="minorHAnsi"/>
          <w:lang w:val="en-US"/>
        </w:rPr>
        <w:t xml:space="preserve">tudy Questions, realized </w:t>
      </w:r>
      <w:r w:rsidR="18515EC1" w:rsidRPr="007A4761">
        <w:rPr>
          <w:rFonts w:cstheme="minorHAnsi"/>
          <w:lang w:val="en-US"/>
        </w:rPr>
        <w:t>through</w:t>
      </w:r>
      <w:r w:rsidR="00ED7F6D" w:rsidRPr="007A4761">
        <w:rPr>
          <w:rFonts w:cstheme="minorHAnsi"/>
          <w:lang w:val="en-US"/>
        </w:rPr>
        <w:t xml:space="preserve"> the </w:t>
      </w:r>
      <w:r w:rsidR="00C42F80" w:rsidRPr="007A4761">
        <w:rPr>
          <w:rFonts w:cstheme="minorHAnsi"/>
          <w:lang w:val="en-US" w:eastAsia="ko-KR"/>
        </w:rPr>
        <w:t xml:space="preserve">exchange of case studies and </w:t>
      </w:r>
      <w:r w:rsidR="005A7A91" w:rsidRPr="007A4761">
        <w:rPr>
          <w:rFonts w:cstheme="minorHAnsi"/>
          <w:lang w:val="en-US" w:eastAsia="ko-KR"/>
        </w:rPr>
        <w:t xml:space="preserve">the </w:t>
      </w:r>
      <w:r w:rsidR="00C42F80" w:rsidRPr="007A4761">
        <w:rPr>
          <w:rFonts w:cstheme="minorHAnsi"/>
          <w:lang w:val="en-US" w:eastAsia="ko-KR"/>
        </w:rPr>
        <w:t>organization of workshops</w:t>
      </w:r>
      <w:r w:rsidR="00225D6C" w:rsidRPr="007A4761">
        <w:rPr>
          <w:rFonts w:cstheme="minorHAnsi"/>
          <w:lang w:val="en-US" w:eastAsia="ko-KR"/>
        </w:rPr>
        <w:t xml:space="preserve"> and webinars</w:t>
      </w:r>
      <w:r w:rsidR="002E4E32" w:rsidRPr="007A4761">
        <w:rPr>
          <w:rFonts w:cstheme="minorHAnsi"/>
          <w:lang w:val="en-US" w:eastAsia="ko-KR"/>
        </w:rPr>
        <w:t>.</w:t>
      </w:r>
    </w:p>
    <w:p w14:paraId="2DAB7F71" w14:textId="010C9B48" w:rsidR="002E4E32" w:rsidRPr="007A4761" w:rsidRDefault="39DF4C52" w:rsidP="007A4761">
      <w:pPr>
        <w:spacing w:after="120"/>
        <w:rPr>
          <w:rFonts w:cstheme="minorHAnsi"/>
          <w:lang w:val="en-US" w:eastAsia="ko-KR"/>
        </w:rPr>
      </w:pPr>
      <w:r w:rsidRPr="007A4761">
        <w:rPr>
          <w:rFonts w:eastAsia="SimSun" w:cstheme="minorHAnsi"/>
        </w:rPr>
        <w:t xml:space="preserve">There are </w:t>
      </w:r>
      <w:r w:rsidR="27C49962" w:rsidRPr="007A4761">
        <w:rPr>
          <w:rFonts w:eastAsia="Malgun Gothic" w:cstheme="minorHAnsi"/>
          <w:lang w:eastAsia="ko-KR"/>
        </w:rPr>
        <w:t>s</w:t>
      </w:r>
      <w:r w:rsidR="31BA6835" w:rsidRPr="007A4761">
        <w:rPr>
          <w:rFonts w:eastAsia="Malgun Gothic" w:cstheme="minorHAnsi"/>
          <w:lang w:eastAsia="ko-KR"/>
        </w:rPr>
        <w:t>everal</w:t>
      </w:r>
      <w:r w:rsidRPr="007A4761">
        <w:rPr>
          <w:rFonts w:eastAsia="SimSun" w:cstheme="minorHAnsi"/>
        </w:rPr>
        <w:t xml:space="preserve"> changes to the </w:t>
      </w:r>
      <w:r w:rsidRPr="007A4761">
        <w:rPr>
          <w:rFonts w:cstheme="minorHAnsi"/>
          <w:lang w:val="en-US"/>
        </w:rPr>
        <w:t xml:space="preserve">rules of procedure and </w:t>
      </w:r>
      <w:r w:rsidRPr="007A4761">
        <w:rPr>
          <w:rFonts w:eastAsia="SimSun" w:cstheme="minorHAnsi"/>
        </w:rPr>
        <w:t xml:space="preserve">working methods as </w:t>
      </w:r>
      <w:r w:rsidR="59FCB67A" w:rsidRPr="007A4761">
        <w:rPr>
          <w:rFonts w:eastAsia="Malgun Gothic" w:cstheme="minorHAnsi"/>
          <w:lang w:eastAsia="ko-KR"/>
        </w:rPr>
        <w:t>reflected</w:t>
      </w:r>
      <w:r w:rsidRPr="007A4761">
        <w:rPr>
          <w:rFonts w:eastAsia="SimSun" w:cstheme="minorHAnsi"/>
        </w:rPr>
        <w:t xml:space="preserve"> in the revised </w:t>
      </w:r>
      <w:r w:rsidRPr="007A4761">
        <w:rPr>
          <w:rFonts w:cstheme="minorHAnsi"/>
        </w:rPr>
        <w:t>Resolution 1 (Rev. B</w:t>
      </w:r>
      <w:r w:rsidR="27C49962" w:rsidRPr="007A4761">
        <w:rPr>
          <w:rFonts w:cstheme="minorHAnsi"/>
          <w:lang w:eastAsia="ko-KR"/>
        </w:rPr>
        <w:t>aku</w:t>
      </w:r>
      <w:r w:rsidRPr="007A4761">
        <w:rPr>
          <w:rFonts w:cstheme="minorHAnsi"/>
        </w:rPr>
        <w:t>, 20</w:t>
      </w:r>
      <w:r w:rsidR="27C49962" w:rsidRPr="007A4761">
        <w:rPr>
          <w:rFonts w:cstheme="minorHAnsi"/>
          <w:lang w:eastAsia="ko-KR"/>
        </w:rPr>
        <w:t>25</w:t>
      </w:r>
      <w:r w:rsidRPr="007A4761">
        <w:rPr>
          <w:rFonts w:cstheme="minorHAnsi"/>
        </w:rPr>
        <w:t xml:space="preserve">) </w:t>
      </w:r>
      <w:r w:rsidRPr="007A4761">
        <w:rPr>
          <w:rFonts w:eastAsia="SimSun" w:cstheme="minorHAnsi"/>
        </w:rPr>
        <w:t>compared to the previous study period.</w:t>
      </w:r>
      <w:r w:rsidR="27C49962" w:rsidRPr="007A4761">
        <w:rPr>
          <w:rFonts w:eastAsia="Malgun Gothic" w:cstheme="minorHAnsi"/>
          <w:lang w:eastAsia="ko-KR"/>
        </w:rPr>
        <w:t xml:space="preserve"> </w:t>
      </w:r>
      <w:r w:rsidRPr="007A4761">
        <w:rPr>
          <w:rFonts w:cstheme="minorHAnsi"/>
          <w:lang w:val="en-US"/>
        </w:rPr>
        <w:t xml:space="preserve">The changes to the working methods include </w:t>
      </w:r>
      <w:r w:rsidR="27C49962" w:rsidRPr="007A4761">
        <w:rPr>
          <w:rFonts w:cstheme="minorHAnsi"/>
          <w:lang w:val="en-US" w:eastAsia="ko-KR"/>
        </w:rPr>
        <w:t xml:space="preserve">new or modified provisions related to office bearers (e.g. </w:t>
      </w:r>
      <w:r w:rsidR="1EBF48D7" w:rsidRPr="007A4761">
        <w:rPr>
          <w:rFonts w:cstheme="minorHAnsi"/>
          <w:lang w:val="en-US" w:eastAsia="ko-KR"/>
        </w:rPr>
        <w:t>nominating member contacted if a</w:t>
      </w:r>
      <w:r w:rsidR="27C49962" w:rsidRPr="007A4761">
        <w:rPr>
          <w:rFonts w:cstheme="minorHAnsi"/>
          <w:lang w:val="en-US" w:eastAsia="ko-KR"/>
        </w:rPr>
        <w:t xml:space="preserve">bsent for two consecutive meetings), output reports (e.g. maximum 70 pages for </w:t>
      </w:r>
      <w:r w:rsidR="27C49962" w:rsidRPr="007A4761">
        <w:rPr>
          <w:rFonts w:cstheme="minorHAnsi"/>
          <w:lang w:eastAsia="ko-KR"/>
        </w:rPr>
        <w:t xml:space="preserve">all new output reports of a Question), interim deliverables (e.g. a compilation of published interim deliverables may constitute an output report), </w:t>
      </w:r>
      <w:r w:rsidR="1EBF48D7" w:rsidRPr="007A4761">
        <w:rPr>
          <w:rFonts w:cstheme="minorHAnsi"/>
          <w:lang w:eastAsia="ko-KR"/>
        </w:rPr>
        <w:t>collaboration with other ITU Sectors (e.g. additional/revised procedures for intersector</w:t>
      </w:r>
      <w:r w:rsidR="7B3AF165" w:rsidRPr="007A4761">
        <w:rPr>
          <w:rFonts w:cstheme="minorHAnsi"/>
          <w:lang w:eastAsia="ko-KR"/>
        </w:rPr>
        <w:t>al</w:t>
      </w:r>
      <w:r w:rsidR="1EBF48D7" w:rsidRPr="007A4761">
        <w:rPr>
          <w:rFonts w:cstheme="minorHAnsi"/>
          <w:lang w:eastAsia="ko-KR"/>
        </w:rPr>
        <w:t xml:space="preserve"> correspondence groups and intersector</w:t>
      </w:r>
      <w:r w:rsidR="68FAD4E2" w:rsidRPr="007A4761">
        <w:rPr>
          <w:rFonts w:cstheme="minorHAnsi"/>
          <w:lang w:eastAsia="ko-KR"/>
        </w:rPr>
        <w:t>al</w:t>
      </w:r>
      <w:r w:rsidR="1EBF48D7" w:rsidRPr="007A4761">
        <w:rPr>
          <w:rFonts w:cstheme="minorHAnsi"/>
          <w:lang w:eastAsia="ko-KR"/>
        </w:rPr>
        <w:t xml:space="preserve"> rapporteur groups), supporting activities </w:t>
      </w:r>
      <w:r w:rsidR="59FCB67A" w:rsidRPr="007A4761">
        <w:rPr>
          <w:rFonts w:cstheme="minorHAnsi"/>
          <w:lang w:eastAsia="ko-KR"/>
        </w:rPr>
        <w:t>for</w:t>
      </w:r>
      <w:r w:rsidR="1EBF48D7" w:rsidRPr="007A4761">
        <w:rPr>
          <w:rFonts w:cstheme="minorHAnsi"/>
          <w:lang w:eastAsia="ko-KR"/>
        </w:rPr>
        <w:t xml:space="preserve"> study groups (e.g. events related to the priorities and objectives of the Baku Action Plan and WTDC resolutions, held during or around study group meetings), and other topics.</w:t>
      </w:r>
    </w:p>
    <w:p w14:paraId="79F7F0D1" w14:textId="77777777" w:rsidR="00ED7F6D" w:rsidRPr="007A4761" w:rsidRDefault="00ED7F6D" w:rsidP="009E60C1">
      <w:pPr>
        <w:pStyle w:val="Heading1"/>
        <w:numPr>
          <w:ilvl w:val="0"/>
          <w:numId w:val="2"/>
        </w:numPr>
        <w:spacing w:before="120" w:after="120"/>
        <w:ind w:left="357" w:hanging="357"/>
        <w:rPr>
          <w:rFonts w:cstheme="minorHAnsi"/>
          <w:noProof/>
          <w:sz w:val="24"/>
          <w:szCs w:val="18"/>
          <w:lang w:val="en-US"/>
        </w:rPr>
      </w:pPr>
      <w:r w:rsidRPr="007A4761">
        <w:rPr>
          <w:rFonts w:cstheme="minorHAnsi"/>
          <w:noProof/>
          <w:sz w:val="24"/>
          <w:szCs w:val="18"/>
          <w:lang w:val="en-US"/>
        </w:rPr>
        <w:t>Introduction to the work of ITU-D Study Group 2</w:t>
      </w:r>
    </w:p>
    <w:p w14:paraId="37DE899F" w14:textId="7F4AD129" w:rsidR="00ED7F6D" w:rsidRPr="009E60C1" w:rsidRDefault="00ED7F6D" w:rsidP="009E60C1">
      <w:pPr>
        <w:pStyle w:val="Heading1"/>
        <w:numPr>
          <w:ilvl w:val="1"/>
          <w:numId w:val="2"/>
        </w:numPr>
        <w:spacing w:before="120" w:after="120"/>
        <w:ind w:left="357" w:hanging="357"/>
        <w:rPr>
          <w:rFonts w:cstheme="minorHAnsi"/>
          <w:noProof/>
          <w:sz w:val="24"/>
          <w:szCs w:val="18"/>
          <w:lang w:val="en-US"/>
        </w:rPr>
      </w:pPr>
      <w:r w:rsidRPr="009E60C1">
        <w:rPr>
          <w:rFonts w:cstheme="minorHAnsi"/>
          <w:noProof/>
          <w:sz w:val="24"/>
          <w:szCs w:val="18"/>
          <w:lang w:val="en-US"/>
        </w:rPr>
        <w:t>Scope of work</w:t>
      </w:r>
    </w:p>
    <w:p w14:paraId="785D8774" w14:textId="0B8CA835" w:rsidR="00225D6C" w:rsidRPr="007A4761" w:rsidRDefault="00ED7F6D" w:rsidP="007A4761">
      <w:pPr>
        <w:spacing w:after="120"/>
        <w:rPr>
          <w:rFonts w:cstheme="minorHAnsi"/>
          <w:szCs w:val="24"/>
        </w:rPr>
      </w:pPr>
      <w:r w:rsidRPr="007A4761">
        <w:rPr>
          <w:rFonts w:cstheme="minorHAnsi"/>
          <w:szCs w:val="24"/>
        </w:rPr>
        <w:t>Study Group 2 (SG2) was established in accordance with Resolution 2 (Rev. B</w:t>
      </w:r>
      <w:r w:rsidR="004D45DE" w:rsidRPr="007A4761">
        <w:rPr>
          <w:rFonts w:cstheme="minorHAnsi"/>
          <w:szCs w:val="24"/>
          <w:lang w:eastAsia="ko-KR"/>
        </w:rPr>
        <w:t>aku</w:t>
      </w:r>
      <w:r w:rsidRPr="007A4761">
        <w:rPr>
          <w:rFonts w:cstheme="minorHAnsi"/>
          <w:szCs w:val="24"/>
        </w:rPr>
        <w:t>, 20</w:t>
      </w:r>
      <w:r w:rsidR="004D45DE" w:rsidRPr="007A4761">
        <w:rPr>
          <w:rFonts w:cstheme="minorHAnsi"/>
          <w:szCs w:val="24"/>
          <w:lang w:eastAsia="ko-KR"/>
        </w:rPr>
        <w:t>25</w:t>
      </w:r>
      <w:r w:rsidRPr="007A4761">
        <w:rPr>
          <w:rFonts w:cstheme="minorHAnsi"/>
          <w:szCs w:val="24"/>
        </w:rPr>
        <w:t>) to examine, through Questions adopted by the ITU membership at WTDC-</w:t>
      </w:r>
      <w:r w:rsidR="004D45DE" w:rsidRPr="007A4761">
        <w:rPr>
          <w:rFonts w:cstheme="minorHAnsi"/>
          <w:szCs w:val="24"/>
          <w:lang w:eastAsia="ko-KR"/>
        </w:rPr>
        <w:t>25</w:t>
      </w:r>
      <w:r w:rsidRPr="007A4761">
        <w:rPr>
          <w:rFonts w:cstheme="minorHAnsi"/>
          <w:szCs w:val="24"/>
        </w:rPr>
        <w:t xml:space="preserve">, issues relating to </w:t>
      </w:r>
      <w:r w:rsidR="004D45DE" w:rsidRPr="007A4761">
        <w:rPr>
          <w:rFonts w:cstheme="minorHAnsi"/>
          <w:szCs w:val="24"/>
          <w:lang w:eastAsia="ko-KR"/>
        </w:rPr>
        <w:t>digital transformation</w:t>
      </w:r>
      <w:r w:rsidRPr="007A4761">
        <w:rPr>
          <w:rFonts w:cstheme="minorHAnsi"/>
          <w:szCs w:val="24"/>
        </w:rPr>
        <w:t>.</w:t>
      </w:r>
    </w:p>
    <w:p w14:paraId="08FA30E9" w14:textId="3980B622" w:rsidR="00225D6C" w:rsidRPr="007A4761" w:rsidRDefault="00ED7F6D" w:rsidP="007A4761">
      <w:pPr>
        <w:spacing w:after="120"/>
        <w:rPr>
          <w:rFonts w:cstheme="minorHAnsi"/>
          <w:szCs w:val="24"/>
          <w:lang w:eastAsia="ko-KR"/>
        </w:rPr>
      </w:pPr>
      <w:r w:rsidRPr="007A4761">
        <w:rPr>
          <w:rFonts w:cstheme="minorHAnsi"/>
          <w:szCs w:val="24"/>
        </w:rPr>
        <w:t xml:space="preserve">In this context, SG2 is responsible for </w:t>
      </w:r>
      <w:r w:rsidR="004D45DE" w:rsidRPr="007A4761">
        <w:rPr>
          <w:rFonts w:cstheme="minorHAnsi"/>
          <w:szCs w:val="24"/>
          <w:lang w:eastAsia="ko-KR"/>
        </w:rPr>
        <w:t>several</w:t>
      </w:r>
      <w:r w:rsidRPr="007A4761">
        <w:rPr>
          <w:rFonts w:cstheme="minorHAnsi"/>
          <w:szCs w:val="24"/>
        </w:rPr>
        <w:t xml:space="preserve"> substantive topics, which </w:t>
      </w:r>
      <w:r w:rsidR="00225D6C" w:rsidRPr="007A4761">
        <w:rPr>
          <w:rFonts w:cstheme="minorHAnsi"/>
          <w:szCs w:val="24"/>
          <w:lang w:eastAsia="ko-KR"/>
        </w:rPr>
        <w:t>are the following</w:t>
      </w:r>
      <w:r w:rsidR="00225D6C" w:rsidRPr="007A4761">
        <w:rPr>
          <w:rStyle w:val="FootnoteReference"/>
          <w:rFonts w:cstheme="minorHAnsi"/>
          <w:szCs w:val="24"/>
          <w:lang w:eastAsia="ko-KR"/>
        </w:rPr>
        <w:footnoteReference w:id="2"/>
      </w:r>
      <w:r w:rsidR="00225D6C" w:rsidRPr="007A4761">
        <w:rPr>
          <w:rFonts w:cstheme="minorHAnsi"/>
          <w:szCs w:val="24"/>
          <w:lang w:eastAsia="ko-KR"/>
        </w:rPr>
        <w:t>:</w:t>
      </w:r>
    </w:p>
    <w:p w14:paraId="39661108" w14:textId="77777777" w:rsidR="00225D6C" w:rsidRPr="007A4761" w:rsidRDefault="00225D6C" w:rsidP="009E60C1">
      <w:pPr>
        <w:numPr>
          <w:ilvl w:val="0"/>
          <w:numId w:val="5"/>
        </w:numPr>
        <w:tabs>
          <w:tab w:val="clear" w:pos="720"/>
        </w:tabs>
        <w:spacing w:before="60" w:after="60"/>
        <w:ind w:left="714" w:hanging="357"/>
        <w:rPr>
          <w:rFonts w:cstheme="minorHAnsi"/>
          <w:szCs w:val="24"/>
          <w:lang w:eastAsia="ko-KR"/>
        </w:rPr>
      </w:pPr>
      <w:r w:rsidRPr="007A4761">
        <w:rPr>
          <w:rFonts w:cstheme="minorHAnsi"/>
          <w:szCs w:val="24"/>
          <w:lang w:eastAsia="ko-KR"/>
        </w:rPr>
        <w:t>Telecommunications/ICTs for digital transformation, including e-health and e-education</w:t>
      </w:r>
    </w:p>
    <w:p w14:paraId="1BA82751" w14:textId="77777777" w:rsidR="00225D6C" w:rsidRPr="007A4761" w:rsidRDefault="00225D6C" w:rsidP="009E60C1">
      <w:pPr>
        <w:numPr>
          <w:ilvl w:val="0"/>
          <w:numId w:val="5"/>
        </w:numPr>
        <w:tabs>
          <w:tab w:val="clear" w:pos="720"/>
        </w:tabs>
        <w:spacing w:before="60" w:after="60"/>
        <w:ind w:left="714" w:hanging="357"/>
        <w:rPr>
          <w:rFonts w:cstheme="minorHAnsi"/>
          <w:szCs w:val="24"/>
          <w:lang w:eastAsia="ko-KR"/>
        </w:rPr>
      </w:pPr>
      <w:r w:rsidRPr="007A4761">
        <w:rPr>
          <w:rFonts w:cstheme="minorHAnsi"/>
          <w:szCs w:val="24"/>
          <w:lang w:eastAsia="ko-KR"/>
        </w:rPr>
        <w:t>Building confidence and security in the use of ICTs</w:t>
      </w:r>
    </w:p>
    <w:p w14:paraId="1CF905E0" w14:textId="77777777" w:rsidR="00225D6C" w:rsidRPr="009E60C1" w:rsidRDefault="00225D6C" w:rsidP="009E60C1">
      <w:pPr>
        <w:numPr>
          <w:ilvl w:val="0"/>
          <w:numId w:val="5"/>
        </w:numPr>
        <w:tabs>
          <w:tab w:val="clear" w:pos="720"/>
        </w:tabs>
        <w:spacing w:before="60" w:after="60"/>
        <w:ind w:left="714" w:hanging="357"/>
        <w:rPr>
          <w:rFonts w:cstheme="minorHAnsi"/>
          <w:szCs w:val="24"/>
          <w:lang w:eastAsia="ko-KR"/>
        </w:rPr>
      </w:pPr>
      <w:r w:rsidRPr="009E60C1">
        <w:rPr>
          <w:rFonts w:cstheme="minorHAnsi"/>
          <w:szCs w:val="24"/>
          <w:lang w:eastAsia="ko-KR"/>
        </w:rPr>
        <w:t>Using telecommunications/ICTs for monitoring and mitigating the impact of climate change, and consideration of circular economy and safe disposal of electronic waste</w:t>
      </w:r>
    </w:p>
    <w:p w14:paraId="186325BD" w14:textId="77777777" w:rsidR="00225D6C" w:rsidRPr="007A4761" w:rsidRDefault="00225D6C" w:rsidP="009E60C1">
      <w:pPr>
        <w:numPr>
          <w:ilvl w:val="0"/>
          <w:numId w:val="5"/>
        </w:numPr>
        <w:tabs>
          <w:tab w:val="clear" w:pos="720"/>
        </w:tabs>
        <w:spacing w:before="60" w:after="60"/>
        <w:ind w:left="714" w:hanging="357"/>
        <w:rPr>
          <w:rFonts w:cstheme="minorHAnsi"/>
          <w:szCs w:val="24"/>
          <w:lang w:eastAsia="ko-KR"/>
        </w:rPr>
      </w:pPr>
      <w:r w:rsidRPr="007A4761">
        <w:rPr>
          <w:rFonts w:cstheme="minorHAnsi"/>
          <w:szCs w:val="24"/>
          <w:lang w:eastAsia="ko-KR"/>
        </w:rPr>
        <w:lastRenderedPageBreak/>
        <w:t>Combating counterfeit telecommunication/ICT devices and theft of mobile telecommunication devices</w:t>
      </w:r>
    </w:p>
    <w:p w14:paraId="2EAB8274" w14:textId="77777777" w:rsidR="00225D6C" w:rsidRPr="007A4761" w:rsidRDefault="00225D6C" w:rsidP="009E60C1">
      <w:pPr>
        <w:numPr>
          <w:ilvl w:val="0"/>
          <w:numId w:val="5"/>
        </w:numPr>
        <w:tabs>
          <w:tab w:val="clear" w:pos="720"/>
        </w:tabs>
        <w:spacing w:before="60" w:after="60"/>
        <w:ind w:left="714" w:hanging="357"/>
        <w:rPr>
          <w:rFonts w:cstheme="minorHAnsi"/>
          <w:szCs w:val="24"/>
          <w:lang w:eastAsia="ko-KR"/>
        </w:rPr>
      </w:pPr>
      <w:r w:rsidRPr="007A4761">
        <w:rPr>
          <w:rFonts w:cstheme="minorHAnsi"/>
          <w:szCs w:val="24"/>
          <w:lang w:eastAsia="ko-KR"/>
        </w:rPr>
        <w:t>Implementation of conformance and interoperability testing for telecommunication/ICT devices and equipment</w:t>
      </w:r>
    </w:p>
    <w:p w14:paraId="04B857DD" w14:textId="77777777" w:rsidR="00225D6C" w:rsidRPr="007A4761" w:rsidRDefault="00225D6C" w:rsidP="009E60C1">
      <w:pPr>
        <w:numPr>
          <w:ilvl w:val="0"/>
          <w:numId w:val="5"/>
        </w:numPr>
        <w:tabs>
          <w:tab w:val="clear" w:pos="720"/>
        </w:tabs>
        <w:spacing w:before="60" w:after="60"/>
        <w:ind w:left="714" w:hanging="357"/>
        <w:rPr>
          <w:rFonts w:cstheme="minorHAnsi"/>
          <w:szCs w:val="24"/>
          <w:lang w:eastAsia="ko-KR"/>
        </w:rPr>
      </w:pPr>
      <w:r w:rsidRPr="007A4761">
        <w:rPr>
          <w:rFonts w:cstheme="minorHAnsi"/>
          <w:szCs w:val="24"/>
          <w:lang w:eastAsia="ko-KR"/>
        </w:rPr>
        <w:t>Human exposure to electromagnetic fields</w:t>
      </w:r>
    </w:p>
    <w:p w14:paraId="2F0F63D9" w14:textId="77777777" w:rsidR="00225D6C" w:rsidRPr="007A4761" w:rsidRDefault="00225D6C" w:rsidP="009E60C1">
      <w:pPr>
        <w:numPr>
          <w:ilvl w:val="0"/>
          <w:numId w:val="5"/>
        </w:numPr>
        <w:tabs>
          <w:tab w:val="clear" w:pos="720"/>
        </w:tabs>
        <w:spacing w:before="60" w:after="60"/>
        <w:ind w:left="714" w:hanging="357"/>
        <w:rPr>
          <w:rFonts w:cstheme="minorHAnsi"/>
          <w:szCs w:val="24"/>
          <w:lang w:eastAsia="ko-KR"/>
        </w:rPr>
      </w:pPr>
      <w:r w:rsidRPr="007A4761">
        <w:rPr>
          <w:rFonts w:cstheme="minorHAnsi"/>
          <w:szCs w:val="24"/>
          <w:lang w:eastAsia="ko-KR"/>
        </w:rPr>
        <w:t>Challenges and prospects for developing countries in access to emerging telecommunication/ICT technologies, platforms, applications and use cases</w:t>
      </w:r>
    </w:p>
    <w:p w14:paraId="7C7635E6" w14:textId="77777777" w:rsidR="00225D6C" w:rsidRPr="007A4761" w:rsidRDefault="00225D6C" w:rsidP="009E60C1">
      <w:pPr>
        <w:numPr>
          <w:ilvl w:val="0"/>
          <w:numId w:val="5"/>
        </w:numPr>
        <w:tabs>
          <w:tab w:val="clear" w:pos="720"/>
        </w:tabs>
        <w:spacing w:before="60" w:after="60"/>
        <w:ind w:left="714" w:hanging="357"/>
        <w:rPr>
          <w:rFonts w:cstheme="minorHAnsi"/>
          <w:szCs w:val="24"/>
          <w:lang w:eastAsia="ko-KR"/>
        </w:rPr>
      </w:pPr>
      <w:r w:rsidRPr="007A4761">
        <w:rPr>
          <w:rFonts w:cstheme="minorHAnsi"/>
          <w:szCs w:val="24"/>
          <w:lang w:eastAsia="ko-KR"/>
        </w:rPr>
        <w:t>Using telecommunications/ICTs to create smart cities and the information society</w:t>
      </w:r>
    </w:p>
    <w:p w14:paraId="5DFEAFFD" w14:textId="77777777" w:rsidR="00225D6C" w:rsidRPr="007A4761" w:rsidRDefault="00225D6C" w:rsidP="009E60C1">
      <w:pPr>
        <w:numPr>
          <w:ilvl w:val="0"/>
          <w:numId w:val="5"/>
        </w:numPr>
        <w:tabs>
          <w:tab w:val="clear" w:pos="720"/>
        </w:tabs>
        <w:spacing w:before="60" w:after="60"/>
        <w:ind w:left="714" w:hanging="357"/>
        <w:rPr>
          <w:rFonts w:cstheme="minorHAnsi"/>
          <w:szCs w:val="24"/>
          <w:lang w:eastAsia="ko-KR"/>
        </w:rPr>
      </w:pPr>
      <w:r w:rsidRPr="007A4761">
        <w:rPr>
          <w:rFonts w:cstheme="minorHAnsi"/>
          <w:szCs w:val="24"/>
          <w:lang w:eastAsia="ko-KR"/>
        </w:rPr>
        <w:t>Adoption of telecommunications/ICTs and improving digital skills</w:t>
      </w:r>
    </w:p>
    <w:p w14:paraId="0EB26B6F" w14:textId="77777777" w:rsidR="00225D6C" w:rsidRPr="007A4761" w:rsidRDefault="00225D6C" w:rsidP="009E60C1">
      <w:pPr>
        <w:numPr>
          <w:ilvl w:val="0"/>
          <w:numId w:val="5"/>
        </w:numPr>
        <w:tabs>
          <w:tab w:val="clear" w:pos="720"/>
        </w:tabs>
        <w:spacing w:before="60" w:after="60"/>
        <w:ind w:left="714" w:hanging="357"/>
        <w:rPr>
          <w:rFonts w:cstheme="minorHAnsi"/>
          <w:szCs w:val="24"/>
          <w:lang w:eastAsia="ko-KR"/>
        </w:rPr>
      </w:pPr>
      <w:r w:rsidRPr="007A4761">
        <w:rPr>
          <w:rFonts w:cstheme="minorHAnsi"/>
          <w:szCs w:val="24"/>
          <w:lang w:eastAsia="ko-KR"/>
        </w:rPr>
        <w:t>Availability and affordability of user devices</w:t>
      </w:r>
    </w:p>
    <w:p w14:paraId="6DD031BA" w14:textId="77777777" w:rsidR="00225D6C" w:rsidRPr="007A4761" w:rsidRDefault="00225D6C" w:rsidP="009E60C1">
      <w:pPr>
        <w:numPr>
          <w:ilvl w:val="0"/>
          <w:numId w:val="5"/>
        </w:numPr>
        <w:tabs>
          <w:tab w:val="clear" w:pos="720"/>
        </w:tabs>
        <w:spacing w:before="60" w:after="60"/>
        <w:ind w:left="714" w:hanging="357"/>
        <w:rPr>
          <w:rFonts w:cstheme="minorHAnsi"/>
          <w:szCs w:val="24"/>
          <w:lang w:eastAsia="ko-KR"/>
        </w:rPr>
      </w:pPr>
      <w:r w:rsidRPr="007A4761">
        <w:rPr>
          <w:rFonts w:cstheme="minorHAnsi"/>
          <w:szCs w:val="24"/>
          <w:lang w:eastAsia="ko-KR"/>
        </w:rPr>
        <w:t>Utilization of new and emerging telecommunication/ICT technologies</w:t>
      </w:r>
    </w:p>
    <w:p w14:paraId="48784C90" w14:textId="11F96CDC" w:rsidR="00ED7F6D" w:rsidRPr="009E60C1" w:rsidRDefault="00ED7F6D" w:rsidP="009E60C1">
      <w:pPr>
        <w:pStyle w:val="Heading1"/>
        <w:numPr>
          <w:ilvl w:val="1"/>
          <w:numId w:val="2"/>
        </w:numPr>
        <w:spacing w:before="120" w:after="120"/>
        <w:ind w:left="357" w:hanging="357"/>
        <w:rPr>
          <w:rFonts w:cstheme="minorHAnsi"/>
          <w:noProof/>
          <w:sz w:val="24"/>
          <w:szCs w:val="18"/>
          <w:lang w:val="en-US"/>
        </w:rPr>
      </w:pPr>
      <w:r w:rsidRPr="009E60C1">
        <w:rPr>
          <w:rFonts w:cstheme="minorHAnsi"/>
          <w:noProof/>
          <w:sz w:val="24"/>
          <w:szCs w:val="18"/>
          <w:lang w:val="en-US"/>
        </w:rPr>
        <w:t>Study Group 2 management</w:t>
      </w:r>
    </w:p>
    <w:p w14:paraId="4A1E037C" w14:textId="13D84178" w:rsidR="00ED7F6D" w:rsidRPr="007A4761" w:rsidRDefault="00ED7F6D" w:rsidP="3DD30E32">
      <w:pPr>
        <w:spacing w:after="120"/>
        <w:rPr>
          <w:rFonts w:cstheme="minorBidi"/>
        </w:rPr>
      </w:pPr>
      <w:r w:rsidRPr="3DD30E32">
        <w:rPr>
          <w:rFonts w:cstheme="minorBidi"/>
        </w:rPr>
        <w:t>WTDC-</w:t>
      </w:r>
      <w:r w:rsidR="004112E3" w:rsidRPr="3DD30E32">
        <w:rPr>
          <w:rFonts w:cstheme="minorBidi"/>
          <w:lang w:eastAsia="ko-KR"/>
        </w:rPr>
        <w:t>25</w:t>
      </w:r>
      <w:r w:rsidRPr="3DD30E32">
        <w:rPr>
          <w:rFonts w:cstheme="minorBidi"/>
        </w:rPr>
        <w:t xml:space="preserve"> designated the SG2 leadership for the </w:t>
      </w:r>
      <w:r w:rsidR="004112E3" w:rsidRPr="3DD30E32">
        <w:rPr>
          <w:rFonts w:cstheme="minorBidi"/>
          <w:lang w:eastAsia="ko-KR"/>
        </w:rPr>
        <w:t>ninth</w:t>
      </w:r>
      <w:r w:rsidRPr="3DD30E32">
        <w:rPr>
          <w:rFonts w:cstheme="minorBidi"/>
        </w:rPr>
        <w:t xml:space="preserve"> cycle (20</w:t>
      </w:r>
      <w:r w:rsidR="004112E3" w:rsidRPr="3DD30E32">
        <w:rPr>
          <w:rFonts w:cstheme="minorBidi"/>
          <w:lang w:eastAsia="ko-KR"/>
        </w:rPr>
        <w:t>26</w:t>
      </w:r>
      <w:r w:rsidRPr="3DD30E32">
        <w:rPr>
          <w:rFonts w:cstheme="minorBidi"/>
        </w:rPr>
        <w:t>-202</w:t>
      </w:r>
      <w:r w:rsidR="004112E3" w:rsidRPr="3DD30E32">
        <w:rPr>
          <w:rFonts w:cstheme="minorBidi"/>
          <w:lang w:eastAsia="ko-KR"/>
        </w:rPr>
        <w:t>9</w:t>
      </w:r>
      <w:r w:rsidRPr="3DD30E32">
        <w:rPr>
          <w:rFonts w:cstheme="minorBidi"/>
        </w:rPr>
        <w:t xml:space="preserve">): </w:t>
      </w:r>
      <w:r w:rsidR="004112E3" w:rsidRPr="3DD30E32">
        <w:rPr>
          <w:rFonts w:cstheme="minorBidi"/>
          <w:lang w:eastAsia="ko-KR"/>
        </w:rPr>
        <w:t>Mr</w:t>
      </w:r>
      <w:r w:rsidRPr="3DD30E32">
        <w:rPr>
          <w:rFonts w:cstheme="minorBidi"/>
        </w:rPr>
        <w:t xml:space="preserve"> </w:t>
      </w:r>
      <w:r w:rsidR="004112E3" w:rsidRPr="3DD30E32">
        <w:rPr>
          <w:rFonts w:cstheme="minorBidi"/>
          <w:lang w:eastAsia="ko-KR"/>
        </w:rPr>
        <w:t xml:space="preserve">Fadel Digham </w:t>
      </w:r>
      <w:r w:rsidRPr="3DD30E32">
        <w:rPr>
          <w:rFonts w:cstheme="minorBidi"/>
        </w:rPr>
        <w:t>(</w:t>
      </w:r>
      <w:r w:rsidR="004112E3" w:rsidRPr="3DD30E32">
        <w:rPr>
          <w:rFonts w:cstheme="minorBidi"/>
          <w:lang w:eastAsia="ko-KR"/>
        </w:rPr>
        <w:t>Egypt</w:t>
      </w:r>
      <w:r w:rsidRPr="3DD30E32">
        <w:rPr>
          <w:rFonts w:cstheme="minorBidi"/>
        </w:rPr>
        <w:t xml:space="preserve">) was appointed as </w:t>
      </w:r>
      <w:r w:rsidR="5190684F" w:rsidRPr="3DD30E32">
        <w:rPr>
          <w:rFonts w:cstheme="minorBidi"/>
        </w:rPr>
        <w:t>C</w:t>
      </w:r>
      <w:r w:rsidRPr="3DD30E32">
        <w:rPr>
          <w:rFonts w:cstheme="minorBidi"/>
        </w:rPr>
        <w:t xml:space="preserve">hair; and </w:t>
      </w:r>
      <w:r w:rsidR="004112E3" w:rsidRPr="3DD30E32">
        <w:rPr>
          <w:rFonts w:cstheme="minorBidi"/>
          <w:lang w:eastAsia="ko-KR"/>
        </w:rPr>
        <w:t>thirteen</w:t>
      </w:r>
      <w:r w:rsidRPr="3DD30E32">
        <w:rPr>
          <w:rFonts w:cstheme="minorBidi"/>
        </w:rPr>
        <w:t xml:space="preserve"> </w:t>
      </w:r>
      <w:r w:rsidR="4E0EF65D" w:rsidRPr="3DD30E32">
        <w:rPr>
          <w:rFonts w:cstheme="minorBidi"/>
        </w:rPr>
        <w:t>V</w:t>
      </w:r>
      <w:r w:rsidR="39DF4C52" w:rsidRPr="3DD30E32">
        <w:rPr>
          <w:rFonts w:cstheme="minorBidi"/>
        </w:rPr>
        <w:t>ice-</w:t>
      </w:r>
      <w:r w:rsidR="0DF3DD55" w:rsidRPr="3DD30E32">
        <w:rPr>
          <w:rFonts w:cstheme="minorBidi"/>
        </w:rPr>
        <w:t>C</w:t>
      </w:r>
      <w:r w:rsidRPr="3DD30E32">
        <w:rPr>
          <w:rFonts w:cstheme="minorBidi"/>
        </w:rPr>
        <w:t>hair</w:t>
      </w:r>
      <w:r w:rsidR="004112E3" w:rsidRPr="3DD30E32">
        <w:rPr>
          <w:rFonts w:cstheme="minorBidi"/>
          <w:lang w:eastAsia="ko-KR"/>
        </w:rPr>
        <w:t>s</w:t>
      </w:r>
      <w:r w:rsidRPr="3DD30E32">
        <w:rPr>
          <w:rFonts w:cstheme="minorBidi"/>
        </w:rPr>
        <w:t xml:space="preserve"> were appointed:</w:t>
      </w:r>
    </w:p>
    <w:p w14:paraId="73300EBD" w14:textId="1958DAE3" w:rsidR="00966FC9" w:rsidRPr="00F922FD" w:rsidRDefault="00966FC9" w:rsidP="3DD30E32">
      <w:pPr>
        <w:pStyle w:val="ListParagraph"/>
        <w:numPr>
          <w:ilvl w:val="0"/>
          <w:numId w:val="1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Bidi"/>
          <w:lang w:val="pl-PL"/>
        </w:rPr>
      </w:pPr>
      <w:r w:rsidRPr="3DD30E32">
        <w:rPr>
          <w:rFonts w:cstheme="minorBidi"/>
          <w:lang w:val="pl-PL" w:eastAsia="ko-KR"/>
        </w:rPr>
        <w:t>Ms</w:t>
      </w:r>
      <w:r w:rsidRPr="3DD30E32">
        <w:rPr>
          <w:rFonts w:cstheme="minorBidi"/>
          <w:lang w:val="pl-PL"/>
        </w:rPr>
        <w:t xml:space="preserve"> Imelda Salum Banali (Tanzania</w:t>
      </w:r>
      <w:r w:rsidRPr="3DD30E32">
        <w:rPr>
          <w:rFonts w:cstheme="minorBidi"/>
          <w:lang w:val="pl-PL" w:eastAsia="ko-KR"/>
        </w:rPr>
        <w:t>, AFR</w:t>
      </w:r>
      <w:r w:rsidRPr="3DD30E32">
        <w:rPr>
          <w:rFonts w:cstheme="minorBidi"/>
          <w:lang w:val="pl-PL"/>
        </w:rPr>
        <w:t>)</w:t>
      </w:r>
    </w:p>
    <w:p w14:paraId="15B25768" w14:textId="11AF2137" w:rsidR="00966FC9" w:rsidRPr="007A4761" w:rsidRDefault="00966FC9" w:rsidP="009E60C1">
      <w:pPr>
        <w:pStyle w:val="ListParagraph"/>
        <w:numPr>
          <w:ilvl w:val="0"/>
          <w:numId w:val="1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</w:rPr>
      </w:pPr>
      <w:r w:rsidRPr="007A4761">
        <w:rPr>
          <w:rFonts w:cstheme="minorHAnsi"/>
        </w:rPr>
        <w:t>Mr Mohamed Lamine Minthe (Guinea</w:t>
      </w:r>
      <w:r w:rsidRPr="007A4761">
        <w:rPr>
          <w:rFonts w:cstheme="minorHAnsi"/>
          <w:lang w:eastAsia="ko-KR"/>
        </w:rPr>
        <w:t>, AFR</w:t>
      </w:r>
      <w:r w:rsidRPr="007A4761">
        <w:rPr>
          <w:rFonts w:cstheme="minorHAnsi"/>
        </w:rPr>
        <w:t>)</w:t>
      </w:r>
    </w:p>
    <w:p w14:paraId="75CFF63D" w14:textId="0699F607" w:rsidR="00966FC9" w:rsidRPr="007A4761" w:rsidRDefault="00966FC9" w:rsidP="009E60C1">
      <w:pPr>
        <w:pStyle w:val="ListParagraph"/>
        <w:numPr>
          <w:ilvl w:val="0"/>
          <w:numId w:val="1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</w:rPr>
      </w:pPr>
      <w:r w:rsidRPr="007A4761">
        <w:rPr>
          <w:rFonts w:cstheme="minorHAnsi"/>
          <w:lang w:eastAsia="ko-KR"/>
        </w:rPr>
        <w:t>Ms</w:t>
      </w:r>
      <w:r w:rsidRPr="007A4761">
        <w:rPr>
          <w:rFonts w:cstheme="minorHAnsi"/>
        </w:rPr>
        <w:t xml:space="preserve"> Fifatin Carrelle Lucrece Toho (Benin</w:t>
      </w:r>
      <w:r w:rsidRPr="007A4761">
        <w:rPr>
          <w:rFonts w:cstheme="minorHAnsi"/>
          <w:lang w:eastAsia="ko-KR"/>
        </w:rPr>
        <w:t>, AFR</w:t>
      </w:r>
      <w:r w:rsidRPr="007A4761">
        <w:rPr>
          <w:rFonts w:cstheme="minorHAnsi"/>
        </w:rPr>
        <w:t>)</w:t>
      </w:r>
    </w:p>
    <w:p w14:paraId="46266A9C" w14:textId="2027F712" w:rsidR="00966FC9" w:rsidRPr="007A4761" w:rsidRDefault="00966FC9" w:rsidP="009E60C1">
      <w:pPr>
        <w:pStyle w:val="ListParagraph"/>
        <w:numPr>
          <w:ilvl w:val="0"/>
          <w:numId w:val="1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</w:rPr>
      </w:pPr>
      <w:r w:rsidRPr="007A4761">
        <w:rPr>
          <w:rFonts w:cstheme="minorHAnsi"/>
        </w:rPr>
        <w:t>Mr Víctor Antonio Martínez Sánchez (Paraguay</w:t>
      </w:r>
      <w:r w:rsidRPr="007A4761">
        <w:rPr>
          <w:rFonts w:cstheme="minorHAnsi"/>
          <w:lang w:eastAsia="ko-KR"/>
        </w:rPr>
        <w:t>, AMS</w:t>
      </w:r>
      <w:r w:rsidRPr="007A4761">
        <w:rPr>
          <w:rFonts w:cstheme="minorHAnsi"/>
        </w:rPr>
        <w:t>)</w:t>
      </w:r>
    </w:p>
    <w:p w14:paraId="4AD4C49A" w14:textId="5E9D6E7B" w:rsidR="00966FC9" w:rsidRPr="007A4761" w:rsidRDefault="00966FC9" w:rsidP="009E60C1">
      <w:pPr>
        <w:pStyle w:val="ListParagraph"/>
        <w:numPr>
          <w:ilvl w:val="0"/>
          <w:numId w:val="1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</w:rPr>
      </w:pPr>
      <w:r w:rsidRPr="007A4761">
        <w:rPr>
          <w:rFonts w:cstheme="minorHAnsi"/>
        </w:rPr>
        <w:t>M</w:t>
      </w:r>
      <w:r w:rsidRPr="007A4761">
        <w:rPr>
          <w:rFonts w:cstheme="minorHAnsi"/>
          <w:lang w:eastAsia="ko-KR"/>
        </w:rPr>
        <w:t>s</w:t>
      </w:r>
      <w:r w:rsidRPr="007A4761">
        <w:rPr>
          <w:rFonts w:cstheme="minorHAnsi"/>
        </w:rPr>
        <w:t xml:space="preserve"> Aisha Al Marzooqi (United Arab Emirates</w:t>
      </w:r>
      <w:r w:rsidRPr="007A4761">
        <w:rPr>
          <w:rFonts w:cstheme="minorHAnsi"/>
          <w:lang w:eastAsia="ko-KR"/>
        </w:rPr>
        <w:t>, ARB</w:t>
      </w:r>
      <w:r w:rsidRPr="007A4761">
        <w:rPr>
          <w:rFonts w:cstheme="minorHAnsi"/>
        </w:rPr>
        <w:t>)</w:t>
      </w:r>
    </w:p>
    <w:p w14:paraId="5F87314B" w14:textId="5B6913BC" w:rsidR="00966FC9" w:rsidRPr="007A4761" w:rsidRDefault="00966FC9" w:rsidP="009E60C1">
      <w:pPr>
        <w:pStyle w:val="ListParagraph"/>
        <w:numPr>
          <w:ilvl w:val="0"/>
          <w:numId w:val="1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</w:rPr>
      </w:pPr>
      <w:r w:rsidRPr="007A4761">
        <w:rPr>
          <w:rFonts w:cstheme="minorHAnsi"/>
        </w:rPr>
        <w:t>Ms Maha Ziad Yousef Mouasher (Jordan</w:t>
      </w:r>
      <w:r w:rsidRPr="007A4761">
        <w:rPr>
          <w:rFonts w:cstheme="minorHAnsi"/>
          <w:lang w:eastAsia="ko-KR"/>
        </w:rPr>
        <w:t>, ARB</w:t>
      </w:r>
      <w:r w:rsidRPr="007A4761">
        <w:rPr>
          <w:rFonts w:cstheme="minorHAnsi"/>
        </w:rPr>
        <w:t>)</w:t>
      </w:r>
    </w:p>
    <w:p w14:paraId="607AF2EB" w14:textId="23CA12D9" w:rsidR="00966FC9" w:rsidRPr="007A4761" w:rsidRDefault="00966FC9" w:rsidP="009E60C1">
      <w:pPr>
        <w:pStyle w:val="ListParagraph"/>
        <w:numPr>
          <w:ilvl w:val="0"/>
          <w:numId w:val="1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</w:rPr>
      </w:pPr>
      <w:r w:rsidRPr="007A4761">
        <w:rPr>
          <w:rFonts w:cstheme="minorHAnsi"/>
          <w:lang w:eastAsia="ko-KR"/>
        </w:rPr>
        <w:t>Mr</w:t>
      </w:r>
      <w:r w:rsidRPr="007A4761">
        <w:rPr>
          <w:rFonts w:cstheme="minorHAnsi"/>
        </w:rPr>
        <w:t xml:space="preserve"> Hideo Imanaka (Japan</w:t>
      </w:r>
      <w:r w:rsidRPr="007A4761">
        <w:rPr>
          <w:rFonts w:cstheme="minorHAnsi"/>
          <w:lang w:eastAsia="ko-KR"/>
        </w:rPr>
        <w:t>, ASP</w:t>
      </w:r>
      <w:r w:rsidRPr="007A4761">
        <w:rPr>
          <w:rFonts w:cstheme="minorHAnsi"/>
        </w:rPr>
        <w:t>)</w:t>
      </w:r>
    </w:p>
    <w:p w14:paraId="67C6180E" w14:textId="461A3476" w:rsidR="00966FC9" w:rsidRPr="007A4761" w:rsidRDefault="00966FC9" w:rsidP="009E60C1">
      <w:pPr>
        <w:pStyle w:val="ListParagraph"/>
        <w:numPr>
          <w:ilvl w:val="0"/>
          <w:numId w:val="1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</w:rPr>
      </w:pPr>
      <w:r w:rsidRPr="007A4761">
        <w:rPr>
          <w:rFonts w:cstheme="minorHAnsi"/>
        </w:rPr>
        <w:t>Mr Sandeep Kumar Gupta (India</w:t>
      </w:r>
      <w:r w:rsidRPr="007A4761">
        <w:rPr>
          <w:rFonts w:cstheme="minorHAnsi"/>
          <w:lang w:eastAsia="ko-KR"/>
        </w:rPr>
        <w:t>, ASP</w:t>
      </w:r>
      <w:r w:rsidRPr="007A4761">
        <w:rPr>
          <w:rFonts w:cstheme="minorHAnsi"/>
        </w:rPr>
        <w:t>)</w:t>
      </w:r>
    </w:p>
    <w:p w14:paraId="3595C680" w14:textId="765B7BFD" w:rsidR="00966FC9" w:rsidRPr="007A4761" w:rsidRDefault="00966FC9" w:rsidP="009E60C1">
      <w:pPr>
        <w:pStyle w:val="ListParagraph"/>
        <w:numPr>
          <w:ilvl w:val="0"/>
          <w:numId w:val="1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</w:rPr>
      </w:pPr>
      <w:r w:rsidRPr="007A4761">
        <w:rPr>
          <w:rFonts w:cstheme="minorHAnsi"/>
        </w:rPr>
        <w:t>Mr Tongning Wu (China</w:t>
      </w:r>
      <w:r w:rsidRPr="007A4761">
        <w:rPr>
          <w:rFonts w:cstheme="minorHAnsi"/>
          <w:lang w:eastAsia="ko-KR"/>
        </w:rPr>
        <w:t>, ASP</w:t>
      </w:r>
      <w:r w:rsidRPr="007A4761">
        <w:rPr>
          <w:rFonts w:cstheme="minorHAnsi"/>
        </w:rPr>
        <w:t>)</w:t>
      </w:r>
    </w:p>
    <w:p w14:paraId="4DECE82D" w14:textId="23F075E4" w:rsidR="00966FC9" w:rsidRPr="007A4761" w:rsidRDefault="00966FC9" w:rsidP="009E60C1">
      <w:pPr>
        <w:pStyle w:val="ListParagraph"/>
        <w:numPr>
          <w:ilvl w:val="0"/>
          <w:numId w:val="1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</w:rPr>
      </w:pPr>
      <w:r w:rsidRPr="007A4761">
        <w:rPr>
          <w:rFonts w:cstheme="minorHAnsi"/>
        </w:rPr>
        <w:t>Mr Javokhir Aripov (Uzbekistan</w:t>
      </w:r>
      <w:r w:rsidRPr="007A4761">
        <w:rPr>
          <w:rFonts w:cstheme="minorHAnsi"/>
          <w:lang w:eastAsia="ko-KR"/>
        </w:rPr>
        <w:t>, CIS</w:t>
      </w:r>
      <w:r w:rsidRPr="007A4761">
        <w:rPr>
          <w:rFonts w:cstheme="minorHAnsi"/>
        </w:rPr>
        <w:t>)</w:t>
      </w:r>
    </w:p>
    <w:p w14:paraId="1493F1B9" w14:textId="17607953" w:rsidR="00966FC9" w:rsidRPr="007A4761" w:rsidRDefault="00966FC9" w:rsidP="009E60C1">
      <w:pPr>
        <w:pStyle w:val="ListParagraph"/>
        <w:numPr>
          <w:ilvl w:val="0"/>
          <w:numId w:val="1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</w:rPr>
      </w:pPr>
      <w:r w:rsidRPr="007A4761">
        <w:rPr>
          <w:rFonts w:cstheme="minorHAnsi"/>
        </w:rPr>
        <w:t>Ms Uliana Stoliarova (Russian Federation</w:t>
      </w:r>
      <w:r w:rsidRPr="007A4761">
        <w:rPr>
          <w:rFonts w:cstheme="minorHAnsi"/>
          <w:lang w:eastAsia="ko-KR"/>
        </w:rPr>
        <w:t>, CIS</w:t>
      </w:r>
      <w:r w:rsidRPr="007A4761">
        <w:rPr>
          <w:rFonts w:cstheme="minorHAnsi"/>
        </w:rPr>
        <w:t>)</w:t>
      </w:r>
    </w:p>
    <w:p w14:paraId="0AAD04DA" w14:textId="13321AF1" w:rsidR="00966FC9" w:rsidRPr="00F922FD" w:rsidRDefault="00966FC9" w:rsidP="3DD30E32">
      <w:pPr>
        <w:pStyle w:val="ListParagraph"/>
        <w:numPr>
          <w:ilvl w:val="0"/>
          <w:numId w:val="1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Bidi"/>
          <w:lang w:val="pl-PL"/>
        </w:rPr>
      </w:pPr>
      <w:r w:rsidRPr="00F922FD">
        <w:rPr>
          <w:rFonts w:cstheme="minorBidi"/>
          <w:lang w:val="pl-PL" w:eastAsia="ko-KR"/>
        </w:rPr>
        <w:t>Ms</w:t>
      </w:r>
      <w:r w:rsidRPr="00F922FD">
        <w:rPr>
          <w:rFonts w:cstheme="minorBidi"/>
          <w:lang w:val="pl-PL"/>
        </w:rPr>
        <w:t xml:space="preserve"> Lidia Stepinska-Ustasiak (Poland</w:t>
      </w:r>
      <w:r w:rsidRPr="00F922FD">
        <w:rPr>
          <w:rFonts w:cstheme="minorBidi"/>
          <w:lang w:val="pl-PL" w:eastAsia="ko-KR"/>
        </w:rPr>
        <w:t>, EUR</w:t>
      </w:r>
      <w:r w:rsidRPr="00F922FD">
        <w:rPr>
          <w:rFonts w:cstheme="minorBidi"/>
          <w:lang w:val="pl-PL"/>
        </w:rPr>
        <w:t>)</w:t>
      </w:r>
    </w:p>
    <w:p w14:paraId="2FC008EF" w14:textId="140746DF" w:rsidR="00966FC9" w:rsidRPr="00F922FD" w:rsidRDefault="00966FC9" w:rsidP="3DD30E32">
      <w:pPr>
        <w:pStyle w:val="ListParagraph"/>
        <w:numPr>
          <w:ilvl w:val="0"/>
          <w:numId w:val="1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Bidi"/>
          <w:lang w:val="fr-FR"/>
        </w:rPr>
      </w:pPr>
      <w:r w:rsidRPr="3DD30E32">
        <w:rPr>
          <w:rFonts w:cstheme="minorBidi"/>
          <w:lang w:val="fr-FR"/>
        </w:rPr>
        <w:t>Ms Carmen-Madalina Clapon (Romania</w:t>
      </w:r>
      <w:r w:rsidRPr="3DD30E32">
        <w:rPr>
          <w:rFonts w:cstheme="minorBidi"/>
          <w:lang w:val="fr-FR" w:eastAsia="ko-KR"/>
        </w:rPr>
        <w:t>, EUR</w:t>
      </w:r>
      <w:r w:rsidRPr="3DD30E32">
        <w:rPr>
          <w:rFonts w:cstheme="minorBidi"/>
          <w:lang w:val="fr-FR"/>
        </w:rPr>
        <w:t>)</w:t>
      </w:r>
    </w:p>
    <w:p w14:paraId="0ECC86B6" w14:textId="5DD5BCEF" w:rsidR="00ED7F6D" w:rsidRPr="009E60C1" w:rsidRDefault="00ED7F6D" w:rsidP="009E60C1">
      <w:pPr>
        <w:pStyle w:val="Heading1"/>
        <w:numPr>
          <w:ilvl w:val="1"/>
          <w:numId w:val="2"/>
        </w:numPr>
        <w:spacing w:before="120" w:after="120"/>
        <w:ind w:left="357" w:hanging="357"/>
        <w:rPr>
          <w:rFonts w:cstheme="minorHAnsi"/>
          <w:noProof/>
          <w:sz w:val="24"/>
          <w:szCs w:val="18"/>
          <w:lang w:val="en-US"/>
        </w:rPr>
      </w:pPr>
      <w:r w:rsidRPr="009E60C1">
        <w:rPr>
          <w:rFonts w:cstheme="minorHAnsi"/>
          <w:noProof/>
          <w:sz w:val="24"/>
          <w:szCs w:val="18"/>
          <w:lang w:val="en-US"/>
        </w:rPr>
        <w:t>Study Group 2 Questions</w:t>
      </w:r>
    </w:p>
    <w:p w14:paraId="5758AEEF" w14:textId="2189A880" w:rsidR="00ED7F6D" w:rsidRPr="007A4761" w:rsidRDefault="00ED7F6D" w:rsidP="007A4761">
      <w:pPr>
        <w:keepNext/>
        <w:spacing w:after="120"/>
        <w:rPr>
          <w:rFonts w:cstheme="minorHAnsi"/>
          <w:szCs w:val="24"/>
        </w:rPr>
      </w:pPr>
      <w:r w:rsidRPr="007A4761">
        <w:rPr>
          <w:rFonts w:cstheme="minorHAnsi"/>
          <w:szCs w:val="24"/>
        </w:rPr>
        <w:t>WTDC-</w:t>
      </w:r>
      <w:r w:rsidR="00093F0E" w:rsidRPr="007A4761">
        <w:rPr>
          <w:rFonts w:cstheme="minorHAnsi"/>
          <w:szCs w:val="24"/>
          <w:lang w:eastAsia="ko-KR"/>
        </w:rPr>
        <w:t>25</w:t>
      </w:r>
      <w:r w:rsidRPr="007A4761">
        <w:rPr>
          <w:rFonts w:cstheme="minorHAnsi"/>
          <w:szCs w:val="24"/>
        </w:rPr>
        <w:t xml:space="preserve"> entrusted Study Group 2 with the following Questions:</w:t>
      </w:r>
    </w:p>
    <w:p w14:paraId="003BF739" w14:textId="49A312B1" w:rsidR="00ED7F6D" w:rsidRPr="007A4761" w:rsidRDefault="00ED7F6D" w:rsidP="009E60C1">
      <w:pPr>
        <w:pStyle w:val="ListParagraph"/>
        <w:widowControl w:val="0"/>
        <w:numPr>
          <w:ilvl w:val="0"/>
          <w:numId w:val="3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  <w:color w:val="1E1E1E"/>
          <w:lang w:val="en-US" w:eastAsia="zh-CN"/>
        </w:rPr>
      </w:pPr>
      <w:hyperlink r:id="rId12" w:history="1">
        <w:r w:rsidRPr="007A4761">
          <w:rPr>
            <w:rStyle w:val="Hyperlink"/>
            <w:rFonts w:cstheme="minorHAnsi"/>
            <w:lang w:val="en-US" w:eastAsia="zh-CN"/>
          </w:rPr>
          <w:t>Question 1/2</w:t>
        </w:r>
      </w:hyperlink>
      <w:r w:rsidRPr="007A4761">
        <w:rPr>
          <w:rFonts w:cstheme="minorHAnsi"/>
          <w:color w:val="1E1E1E"/>
          <w:lang w:val="en-US" w:eastAsia="zh-CN"/>
        </w:rPr>
        <w:t xml:space="preserve">: </w:t>
      </w:r>
      <w:r w:rsidR="00D00B6A" w:rsidRPr="007A4761">
        <w:rPr>
          <w:rFonts w:cstheme="minorHAnsi"/>
          <w:color w:val="1E1E1E"/>
          <w:lang w:eastAsia="zh-CN"/>
        </w:rPr>
        <w:t>Enabling telecommunications/ICTs for digital transformation and smart sustainable cities and communities</w:t>
      </w:r>
    </w:p>
    <w:p w14:paraId="1787E481" w14:textId="3C8F920A" w:rsidR="00ED7F6D" w:rsidRPr="007A4761" w:rsidRDefault="00ED7F6D" w:rsidP="009E60C1">
      <w:pPr>
        <w:pStyle w:val="ListParagraph"/>
        <w:widowControl w:val="0"/>
        <w:numPr>
          <w:ilvl w:val="0"/>
          <w:numId w:val="3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  <w:color w:val="1E1E1E"/>
          <w:lang w:val="en-US" w:eastAsia="zh-CN"/>
        </w:rPr>
      </w:pPr>
      <w:hyperlink r:id="rId13" w:history="1">
        <w:r w:rsidRPr="007A4761">
          <w:rPr>
            <w:rStyle w:val="Hyperlink"/>
            <w:rFonts w:cstheme="minorHAnsi"/>
            <w:lang w:val="en-US" w:eastAsia="zh-CN"/>
          </w:rPr>
          <w:t>Question 2/2</w:t>
        </w:r>
      </w:hyperlink>
      <w:r w:rsidRPr="007A4761">
        <w:rPr>
          <w:rFonts w:cstheme="minorHAnsi"/>
          <w:color w:val="1E1E1E"/>
          <w:lang w:val="en-US" w:eastAsia="zh-CN"/>
        </w:rPr>
        <w:t xml:space="preserve">: </w:t>
      </w:r>
      <w:r w:rsidR="00D00B6A" w:rsidRPr="007A4761">
        <w:rPr>
          <w:rFonts w:cstheme="minorHAnsi"/>
          <w:color w:val="1E1E1E"/>
          <w:lang w:val="en-US" w:eastAsia="zh-CN"/>
        </w:rPr>
        <w:t>ICTs for the environment, and assessment of human exposure to electromagnetic fields</w:t>
      </w:r>
    </w:p>
    <w:p w14:paraId="5355F571" w14:textId="069A5A67" w:rsidR="00ED7F6D" w:rsidRPr="007A4761" w:rsidRDefault="00ED7F6D" w:rsidP="009E60C1">
      <w:pPr>
        <w:pStyle w:val="ListParagraph"/>
        <w:widowControl w:val="0"/>
        <w:numPr>
          <w:ilvl w:val="0"/>
          <w:numId w:val="3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  <w:color w:val="1E1E1E"/>
          <w:lang w:val="en-US" w:eastAsia="zh-CN"/>
        </w:rPr>
      </w:pPr>
      <w:hyperlink r:id="rId14" w:history="1">
        <w:r w:rsidRPr="007A4761">
          <w:rPr>
            <w:rStyle w:val="Hyperlink"/>
            <w:rFonts w:cstheme="minorHAnsi"/>
            <w:lang w:val="en-US" w:eastAsia="zh-CN"/>
          </w:rPr>
          <w:t>Question 3/2</w:t>
        </w:r>
      </w:hyperlink>
      <w:r w:rsidRPr="007A4761">
        <w:rPr>
          <w:rFonts w:cstheme="minorHAnsi"/>
          <w:color w:val="1E1E1E"/>
          <w:lang w:val="en-US" w:eastAsia="zh-CN"/>
        </w:rPr>
        <w:t>: Securing information and communication networks: Best practices for developing a culture of cybersecurity</w:t>
      </w:r>
    </w:p>
    <w:p w14:paraId="23B5CA53" w14:textId="0BB24D5B" w:rsidR="00ED7F6D" w:rsidRPr="007A4761" w:rsidRDefault="00ED7F6D" w:rsidP="009E60C1">
      <w:pPr>
        <w:pStyle w:val="ListParagraph"/>
        <w:widowControl w:val="0"/>
        <w:numPr>
          <w:ilvl w:val="0"/>
          <w:numId w:val="3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  <w:color w:val="1E1E1E"/>
          <w:lang w:val="en-US" w:eastAsia="zh-CN"/>
        </w:rPr>
      </w:pPr>
      <w:hyperlink r:id="rId15" w:history="1">
        <w:r w:rsidRPr="007A4761">
          <w:rPr>
            <w:rStyle w:val="Hyperlink"/>
            <w:rFonts w:cstheme="minorHAnsi"/>
            <w:lang w:val="en-US" w:eastAsia="zh-CN"/>
          </w:rPr>
          <w:t>Question 4/2</w:t>
        </w:r>
      </w:hyperlink>
      <w:r w:rsidRPr="007A4761">
        <w:rPr>
          <w:rFonts w:cstheme="minorHAnsi"/>
          <w:color w:val="1E1E1E"/>
          <w:lang w:val="en-US" w:eastAsia="zh-CN"/>
        </w:rPr>
        <w:t xml:space="preserve">: </w:t>
      </w:r>
      <w:r w:rsidR="00D00B6A" w:rsidRPr="007A4761">
        <w:rPr>
          <w:rFonts w:cstheme="minorHAnsi"/>
          <w:color w:val="1E1E1E"/>
          <w:lang w:eastAsia="zh-CN"/>
        </w:rPr>
        <w:t>Availability and affordability of user devices, and telecommunication/ICT equipment issues, including conformance and interoperability</w:t>
      </w:r>
    </w:p>
    <w:p w14:paraId="101F88C7" w14:textId="30CEF3D9" w:rsidR="00ED7F6D" w:rsidRPr="007A4761" w:rsidRDefault="00ED7F6D" w:rsidP="009E60C1">
      <w:pPr>
        <w:pStyle w:val="ListParagraph"/>
        <w:widowControl w:val="0"/>
        <w:numPr>
          <w:ilvl w:val="0"/>
          <w:numId w:val="3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  <w:color w:val="1E1E1E"/>
          <w:lang w:val="en-US" w:eastAsia="zh-CN"/>
        </w:rPr>
      </w:pPr>
      <w:hyperlink r:id="rId16" w:history="1">
        <w:r w:rsidRPr="007A4761">
          <w:rPr>
            <w:rStyle w:val="Hyperlink"/>
            <w:rFonts w:cstheme="minorHAnsi"/>
            <w:lang w:val="en-US" w:eastAsia="zh-CN"/>
          </w:rPr>
          <w:t>Question 5/2</w:t>
        </w:r>
      </w:hyperlink>
      <w:r w:rsidRPr="007A4761">
        <w:rPr>
          <w:rFonts w:cstheme="minorHAnsi"/>
          <w:color w:val="1E1E1E"/>
          <w:lang w:val="en-US" w:eastAsia="zh-CN"/>
        </w:rPr>
        <w:t xml:space="preserve">: </w:t>
      </w:r>
      <w:r w:rsidR="00D00B6A" w:rsidRPr="007A4761">
        <w:rPr>
          <w:rFonts w:cstheme="minorHAnsi"/>
          <w:color w:val="1E1E1E"/>
          <w:lang w:val="en-US" w:eastAsia="zh-CN"/>
        </w:rPr>
        <w:t xml:space="preserve">Adoption and utilization of new and emerging </w:t>
      </w:r>
      <w:proofErr w:type="gramStart"/>
      <w:r w:rsidR="00D00B6A" w:rsidRPr="007A4761">
        <w:rPr>
          <w:rFonts w:cstheme="minorHAnsi"/>
          <w:color w:val="1E1E1E"/>
          <w:lang w:val="en-US" w:eastAsia="zh-CN"/>
        </w:rPr>
        <w:t>telecommunication</w:t>
      </w:r>
      <w:proofErr w:type="gramEnd"/>
      <w:r w:rsidR="00D00B6A" w:rsidRPr="007A4761">
        <w:rPr>
          <w:rFonts w:cstheme="minorHAnsi"/>
          <w:color w:val="1E1E1E"/>
          <w:lang w:val="en-US" w:eastAsia="zh-CN"/>
        </w:rPr>
        <w:t>/ICT services and technologies, and development of digital skills</w:t>
      </w:r>
    </w:p>
    <w:p w14:paraId="0168C844" w14:textId="6125FA57" w:rsidR="00ED7F6D" w:rsidRPr="009E60C1" w:rsidRDefault="00ED7F6D" w:rsidP="009E60C1">
      <w:pPr>
        <w:pStyle w:val="Heading1"/>
        <w:numPr>
          <w:ilvl w:val="1"/>
          <w:numId w:val="2"/>
        </w:numPr>
        <w:spacing w:before="120" w:after="120"/>
        <w:ind w:left="357" w:hanging="357"/>
        <w:rPr>
          <w:rFonts w:cstheme="minorHAnsi"/>
          <w:noProof/>
          <w:sz w:val="24"/>
          <w:szCs w:val="18"/>
          <w:lang w:val="en-US"/>
        </w:rPr>
      </w:pPr>
      <w:r w:rsidRPr="009E60C1">
        <w:rPr>
          <w:rFonts w:cstheme="minorHAnsi"/>
          <w:noProof/>
          <w:sz w:val="24"/>
          <w:szCs w:val="18"/>
          <w:lang w:val="en-US"/>
        </w:rPr>
        <w:lastRenderedPageBreak/>
        <w:t xml:space="preserve">Appointment of Study Group 2 </w:t>
      </w:r>
      <w:r w:rsidR="008540CD" w:rsidRPr="009E60C1">
        <w:rPr>
          <w:rFonts w:cstheme="minorHAnsi"/>
          <w:noProof/>
          <w:sz w:val="24"/>
          <w:szCs w:val="18"/>
          <w:lang w:val="en-US"/>
        </w:rPr>
        <w:t>rapporteurs and vice-rapporteurs</w:t>
      </w:r>
    </w:p>
    <w:p w14:paraId="2BD783A3" w14:textId="2CCC8A78" w:rsidR="00ED7F6D" w:rsidRPr="007A4761" w:rsidRDefault="007F2191" w:rsidP="3DD30E32">
      <w:pPr>
        <w:spacing w:after="120"/>
        <w:rPr>
          <w:rFonts w:cstheme="minorBidi"/>
        </w:rPr>
      </w:pPr>
      <w:hyperlink r:id="rId17" w:history="1">
        <w:r w:rsidR="00ED7F6D" w:rsidRPr="3DD30E32">
          <w:rPr>
            <w:rStyle w:val="Hyperlink"/>
            <w:rFonts w:cstheme="minorBidi"/>
          </w:rPr>
          <w:t xml:space="preserve">A call for </w:t>
        </w:r>
        <w:r w:rsidR="177C2FF5" w:rsidRPr="3DD30E32">
          <w:rPr>
            <w:rStyle w:val="Hyperlink"/>
            <w:rFonts w:cstheme="minorBidi"/>
          </w:rPr>
          <w:t>R</w:t>
        </w:r>
        <w:r w:rsidR="4CAB236A" w:rsidRPr="3DD30E32">
          <w:rPr>
            <w:rStyle w:val="Hyperlink"/>
            <w:rFonts w:cstheme="minorBidi"/>
          </w:rPr>
          <w:t xml:space="preserve">apporteurs and </w:t>
        </w:r>
        <w:r w:rsidR="1DD871FF" w:rsidRPr="3DD30E32">
          <w:rPr>
            <w:rStyle w:val="Hyperlink"/>
            <w:rFonts w:cstheme="minorBidi"/>
          </w:rPr>
          <w:t>V</w:t>
        </w:r>
        <w:r w:rsidR="26B92826" w:rsidRPr="3DD30E32">
          <w:rPr>
            <w:rStyle w:val="Hyperlink"/>
            <w:rFonts w:cstheme="minorBidi"/>
          </w:rPr>
          <w:t>ice-</w:t>
        </w:r>
        <w:r w:rsidR="719C6776" w:rsidRPr="3DD30E32">
          <w:rPr>
            <w:rStyle w:val="Hyperlink"/>
            <w:rFonts w:cstheme="minorBidi"/>
          </w:rPr>
          <w:t>R</w:t>
        </w:r>
        <w:r w:rsidR="4CAB236A" w:rsidRPr="3DD30E32">
          <w:rPr>
            <w:rStyle w:val="Hyperlink"/>
            <w:rFonts w:cstheme="minorBidi"/>
          </w:rPr>
          <w:t>apporteurs</w:t>
        </w:r>
      </w:hyperlink>
      <w:r w:rsidR="004F6CE8" w:rsidRPr="3DD30E32">
        <w:rPr>
          <w:rStyle w:val="FootnoteReference"/>
          <w:rFonts w:cstheme="minorBidi"/>
        </w:rPr>
        <w:footnoteReference w:id="3"/>
      </w:r>
      <w:r w:rsidR="4CAB236A" w:rsidRPr="3DD30E32">
        <w:rPr>
          <w:rFonts w:cstheme="minorBidi"/>
        </w:rPr>
        <w:t xml:space="preserve"> </w:t>
      </w:r>
      <w:r w:rsidR="00ED7F6D" w:rsidRPr="3DD30E32">
        <w:rPr>
          <w:rFonts w:cstheme="minorBidi"/>
        </w:rPr>
        <w:t xml:space="preserve">has been sent out to the membership and subsequent appointments will be made for the </w:t>
      </w:r>
      <w:r w:rsidR="4CAB236A" w:rsidRPr="3DD30E32">
        <w:rPr>
          <w:rFonts w:cstheme="minorBidi"/>
          <w:lang w:eastAsia="ko-KR"/>
        </w:rPr>
        <w:t>five</w:t>
      </w:r>
      <w:r w:rsidR="00ED7F6D" w:rsidRPr="3DD30E32">
        <w:rPr>
          <w:rFonts w:cstheme="minorBidi"/>
        </w:rPr>
        <w:t xml:space="preserve"> study Questions at the first ITU-D SG2 meetin</w:t>
      </w:r>
      <w:r w:rsidR="4CAB236A" w:rsidRPr="3DD30E32">
        <w:rPr>
          <w:rFonts w:cstheme="minorBidi"/>
          <w:lang w:eastAsia="ko-KR"/>
        </w:rPr>
        <w:t>g</w:t>
      </w:r>
      <w:r w:rsidR="00EB2A85" w:rsidRPr="3DD30E32">
        <w:rPr>
          <w:rStyle w:val="FootnoteReference"/>
          <w:rFonts w:cstheme="minorBidi"/>
          <w:lang w:eastAsia="ko-KR"/>
        </w:rPr>
        <w:footnoteReference w:id="4"/>
      </w:r>
      <w:r w:rsidR="4CAB236A" w:rsidRPr="3DD30E32">
        <w:rPr>
          <w:rFonts w:cstheme="minorBidi"/>
          <w:lang w:eastAsia="ko-KR"/>
        </w:rPr>
        <w:t>, which will take place from 20 to 24 April 2026</w:t>
      </w:r>
      <w:r w:rsidR="00ED7F6D" w:rsidRPr="3DD30E32">
        <w:rPr>
          <w:rFonts w:cstheme="minorBidi"/>
        </w:rPr>
        <w:t xml:space="preserve">. </w:t>
      </w:r>
      <w:r w:rsidR="4CAB236A" w:rsidRPr="3DD30E32">
        <w:rPr>
          <w:rFonts w:cstheme="minorBidi"/>
          <w:lang w:eastAsia="ko-KR"/>
        </w:rPr>
        <w:t>The nomination and appointment process is following the TDAG-approved guidelines for composing rapporteur teams</w:t>
      </w:r>
      <w:r w:rsidR="008540CD" w:rsidRPr="3DD30E32">
        <w:rPr>
          <w:rStyle w:val="FootnoteReference"/>
          <w:rFonts w:cstheme="minorBidi"/>
          <w:lang w:eastAsia="ko-KR"/>
        </w:rPr>
        <w:footnoteReference w:id="5"/>
      </w:r>
      <w:r w:rsidR="4CAB236A" w:rsidRPr="3DD30E32">
        <w:rPr>
          <w:rFonts w:cstheme="minorBidi"/>
          <w:lang w:eastAsia="ko-KR"/>
        </w:rPr>
        <w:t>, presented during the TDAG-25 meeting.</w:t>
      </w:r>
    </w:p>
    <w:p w14:paraId="05E1E122" w14:textId="65D83D83" w:rsidR="00ED7F6D" w:rsidRPr="007A4761" w:rsidRDefault="00ED7F6D" w:rsidP="007A4761">
      <w:pPr>
        <w:spacing w:after="120"/>
        <w:rPr>
          <w:rFonts w:cstheme="minorHAnsi"/>
          <w:bCs/>
          <w:lang w:eastAsia="ko-KR"/>
        </w:rPr>
      </w:pPr>
      <w:r w:rsidRPr="007A4761">
        <w:rPr>
          <w:rFonts w:cstheme="minorHAnsi"/>
          <w:bCs/>
        </w:rPr>
        <w:t>The list of all candidatures received can be found online</w:t>
      </w:r>
      <w:r w:rsidR="00D7784C" w:rsidRPr="007A4761">
        <w:rPr>
          <w:rFonts w:cstheme="minorHAnsi"/>
          <w:bCs/>
          <w:lang w:eastAsia="ko-KR"/>
        </w:rPr>
        <w:t xml:space="preserve"> at this </w:t>
      </w:r>
      <w:hyperlink r:id="rId18" w:history="1">
        <w:r w:rsidR="00D7784C" w:rsidRPr="007A4761">
          <w:rPr>
            <w:rStyle w:val="Hyperlink"/>
            <w:rFonts w:cstheme="minorHAnsi"/>
            <w:bCs/>
            <w:lang w:eastAsia="ko-KR"/>
          </w:rPr>
          <w:t>link</w:t>
        </w:r>
      </w:hyperlink>
      <w:r w:rsidR="00D7784C" w:rsidRPr="007A4761">
        <w:rPr>
          <w:rFonts w:cstheme="minorHAnsi"/>
          <w:bCs/>
          <w:lang w:eastAsia="ko-KR"/>
        </w:rPr>
        <w:t>.</w:t>
      </w:r>
    </w:p>
    <w:p w14:paraId="458676F5" w14:textId="77777777" w:rsidR="00ED7F6D" w:rsidRPr="009E60C1" w:rsidRDefault="00ED7F6D" w:rsidP="009E60C1">
      <w:pPr>
        <w:pStyle w:val="Heading1"/>
        <w:numPr>
          <w:ilvl w:val="0"/>
          <w:numId w:val="2"/>
        </w:numPr>
        <w:spacing w:before="120" w:after="120"/>
        <w:ind w:left="357" w:hanging="357"/>
        <w:rPr>
          <w:rFonts w:cstheme="minorHAnsi"/>
          <w:noProof/>
          <w:sz w:val="24"/>
          <w:szCs w:val="18"/>
          <w:lang w:val="en-US"/>
        </w:rPr>
      </w:pPr>
      <w:r w:rsidRPr="009E60C1">
        <w:rPr>
          <w:rFonts w:cstheme="minorHAnsi"/>
          <w:noProof/>
          <w:sz w:val="24"/>
          <w:szCs w:val="18"/>
          <w:lang w:val="en-US"/>
        </w:rPr>
        <w:t>Strategy and work plan for Study Group 2</w:t>
      </w:r>
    </w:p>
    <w:p w14:paraId="3B7D0C83" w14:textId="1B149A98" w:rsidR="00B03D4C" w:rsidRPr="007A4761" w:rsidRDefault="00B03D4C" w:rsidP="007A4761">
      <w:pPr>
        <w:spacing w:after="120"/>
        <w:rPr>
          <w:rFonts w:cstheme="minorHAnsi"/>
          <w:bCs/>
        </w:rPr>
      </w:pPr>
      <w:r w:rsidRPr="007A4761">
        <w:rPr>
          <w:rFonts w:cstheme="minorHAnsi"/>
          <w:bCs/>
        </w:rPr>
        <w:t xml:space="preserve">The structure of the Baku Action Plan and its contribution to the ITU strategic plan </w:t>
      </w:r>
      <w:r w:rsidR="00BE4265" w:rsidRPr="007A4761">
        <w:rPr>
          <w:rFonts w:cstheme="minorHAnsi"/>
          <w:bCs/>
          <w:lang w:eastAsia="ko-KR"/>
        </w:rPr>
        <w:t xml:space="preserve">(see Annex 1) </w:t>
      </w:r>
      <w:r w:rsidRPr="007A4761">
        <w:rPr>
          <w:rFonts w:cstheme="minorHAnsi"/>
          <w:bCs/>
        </w:rPr>
        <w:t>provide clear linkages to the ITU-D study groups. The activities of the ITU-D study groups, along with regional initiatives and resolutions agreed upon at WTDC-25, feed into the five ITU-D priorities, which facilitate the delivery of the ITU-D mandate and guide the BDT for the next planning cycle on what ITU-D aims to achieve, in line with the overall RBM approach and the strategic goals and thematic priorities of the Union.</w:t>
      </w:r>
    </w:p>
    <w:p w14:paraId="4D99E7AE" w14:textId="77777777" w:rsidR="00011871" w:rsidRPr="007A4761" w:rsidRDefault="00ED7F6D" w:rsidP="007A4761">
      <w:pPr>
        <w:spacing w:after="120"/>
        <w:rPr>
          <w:rFonts w:cstheme="minorHAnsi"/>
          <w:bCs/>
        </w:rPr>
      </w:pPr>
      <w:proofErr w:type="gramStart"/>
      <w:r w:rsidRPr="007A4761">
        <w:rPr>
          <w:rFonts w:cstheme="minorHAnsi"/>
          <w:bCs/>
        </w:rPr>
        <w:t>In order for</w:t>
      </w:r>
      <w:proofErr w:type="gramEnd"/>
      <w:r w:rsidRPr="007A4761">
        <w:rPr>
          <w:rFonts w:cstheme="minorHAnsi"/>
          <w:bCs/>
        </w:rPr>
        <w:t xml:space="preserve"> Study Group 2 to reach its expected results for the 20</w:t>
      </w:r>
      <w:r w:rsidR="00A507E3" w:rsidRPr="007A4761">
        <w:rPr>
          <w:rFonts w:cstheme="minorHAnsi"/>
          <w:bCs/>
          <w:lang w:eastAsia="ko-KR"/>
        </w:rPr>
        <w:t>26</w:t>
      </w:r>
      <w:r w:rsidRPr="007A4761">
        <w:rPr>
          <w:rFonts w:cstheme="minorHAnsi"/>
          <w:bCs/>
        </w:rPr>
        <w:t>-202</w:t>
      </w:r>
      <w:r w:rsidR="00A507E3" w:rsidRPr="007A4761">
        <w:rPr>
          <w:rFonts w:cstheme="minorHAnsi"/>
          <w:bCs/>
          <w:lang w:eastAsia="ko-KR"/>
        </w:rPr>
        <w:t>9</w:t>
      </w:r>
      <w:r w:rsidRPr="007A4761">
        <w:rPr>
          <w:rFonts w:cstheme="minorHAnsi"/>
          <w:bCs/>
        </w:rPr>
        <w:t xml:space="preserve"> study period, in accordance with the scope of work as defined in Resolution 2 (Rev. </w:t>
      </w:r>
      <w:r w:rsidR="00A507E3" w:rsidRPr="007A4761">
        <w:rPr>
          <w:rFonts w:cstheme="minorHAnsi"/>
          <w:bCs/>
          <w:lang w:eastAsia="ko-KR"/>
        </w:rPr>
        <w:t>Baku</w:t>
      </w:r>
      <w:r w:rsidRPr="007A4761">
        <w:rPr>
          <w:rFonts w:cstheme="minorHAnsi"/>
          <w:bCs/>
        </w:rPr>
        <w:t>, 20</w:t>
      </w:r>
      <w:r w:rsidR="00A507E3" w:rsidRPr="007A4761">
        <w:rPr>
          <w:rFonts w:cstheme="minorHAnsi"/>
          <w:bCs/>
          <w:lang w:eastAsia="ko-KR"/>
        </w:rPr>
        <w:t>25</w:t>
      </w:r>
      <w:r w:rsidRPr="007A4761">
        <w:rPr>
          <w:rFonts w:cstheme="minorHAnsi"/>
          <w:bCs/>
        </w:rPr>
        <w:t xml:space="preserve">) “Establishment of study groups”, certain key elements are to be considered and put in place from the outset. </w:t>
      </w:r>
    </w:p>
    <w:p w14:paraId="528E6D88" w14:textId="2AD9A396" w:rsidR="00ED7F6D" w:rsidRPr="007A4761" w:rsidRDefault="00ED7F6D" w:rsidP="007A4761">
      <w:pPr>
        <w:spacing w:after="120"/>
        <w:rPr>
          <w:rFonts w:cstheme="minorHAnsi"/>
          <w:bCs/>
          <w:lang w:eastAsia="ko-KR"/>
        </w:rPr>
      </w:pPr>
      <w:r w:rsidRPr="007A4761">
        <w:rPr>
          <w:rFonts w:cstheme="minorHAnsi"/>
          <w:bCs/>
        </w:rPr>
        <w:t xml:space="preserve">Four annual study group meetings are planned as well as three sets of rapporteur group meetings. In addition, </w:t>
      </w:r>
      <w:r w:rsidR="00A507E3" w:rsidRPr="007A4761">
        <w:rPr>
          <w:rFonts w:cstheme="minorHAnsi"/>
          <w:bCs/>
          <w:lang w:eastAsia="ko-KR"/>
        </w:rPr>
        <w:t>workshops</w:t>
      </w:r>
      <w:r w:rsidR="00B03D4C" w:rsidRPr="007A4761">
        <w:rPr>
          <w:rFonts w:cstheme="minorHAnsi"/>
          <w:bCs/>
          <w:lang w:eastAsia="ko-KR"/>
        </w:rPr>
        <w:t xml:space="preserve"> and webinars</w:t>
      </w:r>
      <w:r w:rsidR="00A507E3" w:rsidRPr="007A4761">
        <w:rPr>
          <w:rFonts w:cstheme="minorHAnsi"/>
          <w:bCs/>
          <w:lang w:eastAsia="ko-KR"/>
        </w:rPr>
        <w:t xml:space="preserve"> </w:t>
      </w:r>
      <w:r w:rsidRPr="007A4761">
        <w:rPr>
          <w:rFonts w:cstheme="minorHAnsi"/>
          <w:bCs/>
        </w:rPr>
        <w:t>on topics related to the Questions under study are foreseen to be held</w:t>
      </w:r>
      <w:r w:rsidR="00A507E3" w:rsidRPr="007A4761">
        <w:rPr>
          <w:rFonts w:cstheme="minorHAnsi"/>
          <w:bCs/>
          <w:lang w:eastAsia="ko-KR"/>
        </w:rPr>
        <w:t xml:space="preserve"> </w:t>
      </w:r>
      <w:r w:rsidRPr="007A4761">
        <w:rPr>
          <w:rFonts w:cstheme="minorHAnsi"/>
          <w:bCs/>
          <w:lang w:val="en-US"/>
        </w:rPr>
        <w:t>throughout the study period to the extent possible</w:t>
      </w:r>
      <w:r w:rsidRPr="007A4761">
        <w:rPr>
          <w:rFonts w:cstheme="minorHAnsi"/>
          <w:bCs/>
        </w:rPr>
        <w:t>.</w:t>
      </w:r>
      <w:r w:rsidR="00011871" w:rsidRPr="007A4761">
        <w:rPr>
          <w:rFonts w:cstheme="minorHAnsi"/>
          <w:bCs/>
          <w:lang w:eastAsia="ko-KR"/>
        </w:rPr>
        <w:t xml:space="preserve"> </w:t>
      </w:r>
      <w:r w:rsidR="00011871" w:rsidRPr="007A4761">
        <w:rPr>
          <w:rFonts w:cstheme="minorHAnsi"/>
          <w:bCs/>
          <w:color w:val="1E1E1E"/>
          <w:lang w:val="en-US" w:eastAsia="zh-CN"/>
        </w:rPr>
        <w:t>Proposals for workshops and webinars are encouraged from the membership for consideration at the annual study group meetings.</w:t>
      </w:r>
    </w:p>
    <w:p w14:paraId="7820B616" w14:textId="2CCEB05F" w:rsidR="00B03D4C" w:rsidRPr="007A4761" w:rsidRDefault="00B03D4C" w:rsidP="007A4761">
      <w:pPr>
        <w:spacing w:after="120"/>
        <w:rPr>
          <w:rFonts w:cstheme="minorHAnsi"/>
          <w:bCs/>
        </w:rPr>
      </w:pPr>
      <w:r w:rsidRPr="007A4761">
        <w:rPr>
          <w:rFonts w:cstheme="minorHAnsi"/>
          <w:bCs/>
        </w:rPr>
        <w:t xml:space="preserve">The reduction in study Questions highlights certain practical elements. The time management plan for SG2 meetings has been reviewed so that SG2 management team meetings and joint SG1-SG2 management team meetings can be held </w:t>
      </w:r>
      <w:r w:rsidR="004145DC" w:rsidRPr="007A4761">
        <w:rPr>
          <w:rFonts w:cstheme="minorHAnsi"/>
          <w:bCs/>
          <w:lang w:eastAsia="ko-KR"/>
        </w:rPr>
        <w:t xml:space="preserve">on </w:t>
      </w:r>
      <w:r w:rsidRPr="007A4761">
        <w:rPr>
          <w:rFonts w:cstheme="minorHAnsi"/>
          <w:bCs/>
        </w:rPr>
        <w:t>Mondays instead of Sundays. Furthermore, the duration of SG2 rapporteur group meetings (including workshops</w:t>
      </w:r>
      <w:r w:rsidR="004145DC" w:rsidRPr="007A4761">
        <w:rPr>
          <w:rFonts w:cstheme="minorHAnsi"/>
          <w:bCs/>
          <w:lang w:eastAsia="ko-KR"/>
        </w:rPr>
        <w:t xml:space="preserve"> and webinars</w:t>
      </w:r>
      <w:r w:rsidRPr="007A4761">
        <w:rPr>
          <w:rFonts w:cstheme="minorHAnsi"/>
          <w:bCs/>
        </w:rPr>
        <w:t xml:space="preserve">) will span </w:t>
      </w:r>
      <w:r w:rsidR="00135012" w:rsidRPr="007A4761">
        <w:rPr>
          <w:rFonts w:cstheme="minorHAnsi"/>
          <w:bCs/>
          <w:lang w:eastAsia="ko-KR"/>
        </w:rPr>
        <w:t>7</w:t>
      </w:r>
      <w:r w:rsidRPr="007A4761">
        <w:rPr>
          <w:rFonts w:cstheme="minorHAnsi"/>
          <w:bCs/>
        </w:rPr>
        <w:t>.5 instead of 1</w:t>
      </w:r>
      <w:r w:rsidR="00135012" w:rsidRPr="007A4761">
        <w:rPr>
          <w:rFonts w:cstheme="minorHAnsi"/>
          <w:bCs/>
          <w:lang w:eastAsia="ko-KR"/>
        </w:rPr>
        <w:t>0</w:t>
      </w:r>
      <w:r w:rsidRPr="007A4761">
        <w:rPr>
          <w:rFonts w:cstheme="minorHAnsi"/>
          <w:bCs/>
        </w:rPr>
        <w:t xml:space="preserve"> </w:t>
      </w:r>
      <w:r w:rsidR="00135012" w:rsidRPr="007A4761">
        <w:rPr>
          <w:rFonts w:cstheme="minorHAnsi"/>
          <w:bCs/>
          <w:lang w:eastAsia="ko-KR"/>
        </w:rPr>
        <w:t xml:space="preserve">working </w:t>
      </w:r>
      <w:r w:rsidRPr="007A4761">
        <w:rPr>
          <w:rFonts w:cstheme="minorHAnsi"/>
          <w:bCs/>
        </w:rPr>
        <w:t>days. It is also expected that the shortened duration will improve options for hosting the meetings outside ITU HQ premises when required by the ITU HQ building construction project.</w:t>
      </w:r>
    </w:p>
    <w:p w14:paraId="3D0CD85E" w14:textId="7B937981" w:rsidR="00ED7F6D" w:rsidRPr="007A4761" w:rsidRDefault="00ED7F6D" w:rsidP="007A4761">
      <w:pPr>
        <w:spacing w:after="120"/>
        <w:rPr>
          <w:rFonts w:cstheme="minorHAnsi"/>
          <w:bCs/>
          <w:lang w:val="en-US" w:eastAsia="ko-KR"/>
        </w:rPr>
      </w:pPr>
      <w:r w:rsidRPr="007A4761">
        <w:rPr>
          <w:rFonts w:cstheme="minorHAnsi"/>
          <w:bCs/>
        </w:rPr>
        <w:t xml:space="preserve">Good planning at the beginning of the study period will also allow for strategic synergies to be sought between the work of the SG2 study Questions, with Questions in </w:t>
      </w:r>
      <w:r w:rsidR="00011871" w:rsidRPr="007A4761">
        <w:rPr>
          <w:rFonts w:cstheme="minorHAnsi"/>
          <w:bCs/>
          <w:lang w:eastAsia="ko-KR"/>
        </w:rPr>
        <w:t>SG1</w:t>
      </w:r>
      <w:r w:rsidRPr="007A4761">
        <w:rPr>
          <w:rFonts w:cstheme="minorHAnsi"/>
          <w:bCs/>
        </w:rPr>
        <w:t xml:space="preserve">, as well as with study groups in the other Sectors. </w:t>
      </w:r>
      <w:r w:rsidR="00011871" w:rsidRPr="007A4761">
        <w:rPr>
          <w:rFonts w:cstheme="minorHAnsi"/>
          <w:bCs/>
          <w:lang w:eastAsia="ko-KR"/>
        </w:rPr>
        <w:t>Furthermore, as in the previous study period</w:t>
      </w:r>
      <w:r w:rsidRPr="007A4761">
        <w:rPr>
          <w:rFonts w:cstheme="minorHAnsi"/>
          <w:bCs/>
        </w:rPr>
        <w:t xml:space="preserve">, </w:t>
      </w:r>
      <w:r w:rsidRPr="007A4761">
        <w:rPr>
          <w:rFonts w:cstheme="minorHAnsi"/>
          <w:bCs/>
          <w:lang w:val="en-US"/>
        </w:rPr>
        <w:t xml:space="preserve">synergies </w:t>
      </w:r>
      <w:r w:rsidR="00011871" w:rsidRPr="007A4761">
        <w:rPr>
          <w:rFonts w:cstheme="minorHAnsi"/>
          <w:bCs/>
          <w:lang w:val="en-US" w:eastAsia="ko-KR"/>
        </w:rPr>
        <w:t xml:space="preserve">will continue to be sought between </w:t>
      </w:r>
      <w:r w:rsidRPr="007A4761">
        <w:rPr>
          <w:rFonts w:cstheme="minorHAnsi"/>
          <w:bCs/>
          <w:lang w:val="en-US"/>
        </w:rPr>
        <w:t>study Question</w:t>
      </w:r>
      <w:r w:rsidR="005E23F2" w:rsidRPr="007A4761">
        <w:rPr>
          <w:rFonts w:cstheme="minorHAnsi"/>
          <w:bCs/>
          <w:lang w:val="en-US" w:eastAsia="ko-KR"/>
        </w:rPr>
        <w:t xml:space="preserve"> activities</w:t>
      </w:r>
      <w:r w:rsidR="00011871" w:rsidRPr="007A4761">
        <w:rPr>
          <w:rFonts w:cstheme="minorHAnsi"/>
          <w:bCs/>
          <w:lang w:val="en-US" w:eastAsia="ko-KR"/>
        </w:rPr>
        <w:t xml:space="preserve"> and other </w:t>
      </w:r>
      <w:r w:rsidR="005E23F2" w:rsidRPr="007A4761">
        <w:rPr>
          <w:rFonts w:cstheme="minorHAnsi"/>
          <w:bCs/>
          <w:lang w:val="en-US" w:eastAsia="ko-KR"/>
        </w:rPr>
        <w:t>workstreams</w:t>
      </w:r>
      <w:r w:rsidR="00011871" w:rsidRPr="007A4761">
        <w:rPr>
          <w:rFonts w:cstheme="minorHAnsi"/>
          <w:bCs/>
          <w:lang w:val="en-US" w:eastAsia="ko-KR"/>
        </w:rPr>
        <w:t xml:space="preserve"> such as</w:t>
      </w:r>
      <w:r w:rsidRPr="007A4761">
        <w:rPr>
          <w:rFonts w:cstheme="minorHAnsi"/>
          <w:bCs/>
          <w:lang w:val="en-US"/>
        </w:rPr>
        <w:t xml:space="preserve"> programmes, regional initiatives</w:t>
      </w:r>
      <w:r w:rsidR="00011871" w:rsidRPr="007A4761">
        <w:rPr>
          <w:rFonts w:cstheme="minorHAnsi"/>
          <w:bCs/>
          <w:lang w:val="en-US" w:eastAsia="ko-KR"/>
        </w:rPr>
        <w:t xml:space="preserve"> and </w:t>
      </w:r>
      <w:r w:rsidRPr="007A4761">
        <w:rPr>
          <w:rFonts w:cstheme="minorHAnsi"/>
          <w:bCs/>
          <w:lang w:val="en-US"/>
        </w:rPr>
        <w:t>projects.</w:t>
      </w:r>
      <w:r w:rsidR="00011871" w:rsidRPr="007A4761">
        <w:rPr>
          <w:rFonts w:cstheme="minorHAnsi"/>
          <w:bCs/>
          <w:lang w:val="en-US" w:eastAsia="ko-KR"/>
        </w:rPr>
        <w:t xml:space="preserve"> </w:t>
      </w:r>
      <w:r w:rsidR="00011871" w:rsidRPr="007A4761">
        <w:rPr>
          <w:rFonts w:cstheme="minorHAnsi"/>
          <w:bCs/>
          <w:lang w:val="en-US"/>
        </w:rPr>
        <w:t>Contributions on the activities undertaken at related national, regional and global meetings and events are encouraged to enrich the work of the study Questions.</w:t>
      </w:r>
    </w:p>
    <w:p w14:paraId="08F3C22A" w14:textId="5C739B43" w:rsidR="00B67F4F" w:rsidRPr="007A4761" w:rsidRDefault="589007F5" w:rsidP="3DD30E32">
      <w:pPr>
        <w:spacing w:after="120"/>
        <w:rPr>
          <w:rFonts w:cstheme="minorBidi"/>
          <w:lang w:eastAsia="ko-KR"/>
        </w:rPr>
      </w:pPr>
      <w:r w:rsidRPr="3DD30E32">
        <w:rPr>
          <w:rFonts w:cstheme="minorBidi"/>
          <w:lang w:eastAsia="ko-KR"/>
        </w:rPr>
        <w:t xml:space="preserve">To ensure </w:t>
      </w:r>
      <w:r w:rsidR="02599AD2" w:rsidRPr="3DD30E32">
        <w:rPr>
          <w:rFonts w:cstheme="minorBidi"/>
          <w:lang w:eastAsia="ko-KR"/>
        </w:rPr>
        <w:t>such synergies</w:t>
      </w:r>
      <w:r w:rsidRPr="3DD30E32">
        <w:rPr>
          <w:rFonts w:cstheme="minorBidi"/>
          <w:lang w:eastAsia="ko-KR"/>
        </w:rPr>
        <w:t xml:space="preserve">, </w:t>
      </w:r>
      <w:r w:rsidR="58528CEB" w:rsidRPr="3DD30E32">
        <w:rPr>
          <w:rFonts w:cstheme="minorBidi"/>
          <w:lang w:eastAsia="ko-KR"/>
        </w:rPr>
        <w:t xml:space="preserve">and in preparation for the first SG2 meeting, a call between the SG2 Chair and the SG2 Vice-Chairs was held on 4 February 2026, and which focused </w:t>
      </w:r>
      <w:proofErr w:type="gramStart"/>
      <w:r w:rsidR="58528CEB" w:rsidRPr="3DD30E32">
        <w:rPr>
          <w:rFonts w:cstheme="minorBidi"/>
          <w:lang w:eastAsia="ko-KR"/>
        </w:rPr>
        <w:t>in</w:t>
      </w:r>
      <w:proofErr w:type="gramEnd"/>
      <w:r w:rsidR="58528CEB" w:rsidRPr="3DD30E32">
        <w:rPr>
          <w:rFonts w:cstheme="minorBidi"/>
          <w:lang w:eastAsia="ko-KR"/>
        </w:rPr>
        <w:t xml:space="preserve"> the responsibilities of the </w:t>
      </w:r>
      <w:r w:rsidR="025A7B48" w:rsidRPr="3DD30E32">
        <w:rPr>
          <w:rFonts w:cstheme="minorBidi"/>
          <w:lang w:eastAsia="ko-KR"/>
        </w:rPr>
        <w:t>V</w:t>
      </w:r>
      <w:r w:rsidR="58528CEB" w:rsidRPr="3DD30E32">
        <w:rPr>
          <w:rFonts w:cstheme="minorBidi"/>
          <w:lang w:eastAsia="ko-KR"/>
        </w:rPr>
        <w:t>ice-</w:t>
      </w:r>
      <w:r w:rsidR="025A7B48" w:rsidRPr="3DD30E32">
        <w:rPr>
          <w:rFonts w:cstheme="minorBidi"/>
          <w:lang w:eastAsia="ko-KR"/>
        </w:rPr>
        <w:t>C</w:t>
      </w:r>
      <w:r w:rsidR="58528CEB" w:rsidRPr="3DD30E32">
        <w:rPr>
          <w:rFonts w:cstheme="minorBidi"/>
          <w:lang w:eastAsia="ko-KR"/>
        </w:rPr>
        <w:t xml:space="preserve">hairs and their expected roles </w:t>
      </w:r>
      <w:r w:rsidR="49EE9C19" w:rsidRPr="3DD30E32">
        <w:rPr>
          <w:rFonts w:cstheme="minorBidi"/>
          <w:lang w:eastAsia="ko-KR"/>
        </w:rPr>
        <w:t>as coordinators on specific topics,</w:t>
      </w:r>
      <w:r w:rsidR="02599AD2" w:rsidRPr="3DD30E32">
        <w:rPr>
          <w:rFonts w:cstheme="minorBidi"/>
          <w:lang w:eastAsia="ko-KR"/>
        </w:rPr>
        <w:t xml:space="preserve"> in accordance with provision 3.2.3 of WTDC Resolution 1. </w:t>
      </w:r>
      <w:r w:rsidR="58528CEB" w:rsidRPr="3DD30E32">
        <w:rPr>
          <w:rFonts w:cstheme="minorBidi"/>
          <w:lang w:eastAsia="ko-KR"/>
        </w:rPr>
        <w:t>Following this call,</w:t>
      </w:r>
      <w:r w:rsidR="02599AD2" w:rsidRPr="3DD30E32">
        <w:rPr>
          <w:rFonts w:cstheme="minorBidi"/>
          <w:lang w:eastAsia="ko-KR"/>
        </w:rPr>
        <w:t xml:space="preserve"> </w:t>
      </w:r>
      <w:r w:rsidR="58528CEB" w:rsidRPr="3DD30E32">
        <w:rPr>
          <w:rFonts w:cstheme="minorBidi"/>
          <w:lang w:eastAsia="ko-KR"/>
        </w:rPr>
        <w:t xml:space="preserve">coordinator </w:t>
      </w:r>
      <w:r w:rsidR="02599AD2" w:rsidRPr="3DD30E32">
        <w:rPr>
          <w:rFonts w:cstheme="minorBidi"/>
          <w:lang w:eastAsia="ko-KR"/>
        </w:rPr>
        <w:lastRenderedPageBreak/>
        <w:t>assignments were</w:t>
      </w:r>
      <w:r w:rsidR="213701FF" w:rsidRPr="3DD30E32">
        <w:rPr>
          <w:rFonts w:cstheme="minorBidi"/>
          <w:lang w:eastAsia="ko-KR"/>
        </w:rPr>
        <w:t xml:space="preserve"> </w:t>
      </w:r>
      <w:r w:rsidR="02599AD2" w:rsidRPr="3DD30E32">
        <w:rPr>
          <w:rFonts w:cstheme="minorBidi"/>
          <w:lang w:eastAsia="ko-KR"/>
        </w:rPr>
        <w:t xml:space="preserve">made </w:t>
      </w:r>
      <w:r w:rsidR="58528CEB" w:rsidRPr="3DD30E32">
        <w:rPr>
          <w:rFonts w:cstheme="minorBidi"/>
          <w:lang w:eastAsia="ko-KR"/>
        </w:rPr>
        <w:t>based on</w:t>
      </w:r>
      <w:r w:rsidR="02599AD2" w:rsidRPr="3DD30E32">
        <w:rPr>
          <w:rFonts w:cstheme="minorBidi"/>
          <w:lang w:eastAsia="ko-KR"/>
        </w:rPr>
        <w:t xml:space="preserve"> expression</w:t>
      </w:r>
      <w:r w:rsidR="58528CEB" w:rsidRPr="3DD30E32">
        <w:rPr>
          <w:rFonts w:cstheme="minorBidi"/>
          <w:lang w:eastAsia="ko-KR"/>
        </w:rPr>
        <w:t>s</w:t>
      </w:r>
      <w:r w:rsidR="02599AD2" w:rsidRPr="3DD30E32">
        <w:rPr>
          <w:rFonts w:cstheme="minorBidi"/>
          <w:lang w:eastAsia="ko-KR"/>
        </w:rPr>
        <w:t xml:space="preserve"> of interest </w:t>
      </w:r>
      <w:r w:rsidR="58528CEB" w:rsidRPr="3DD30E32">
        <w:rPr>
          <w:rFonts w:cstheme="minorBidi"/>
          <w:lang w:eastAsia="ko-KR"/>
        </w:rPr>
        <w:t xml:space="preserve">received </w:t>
      </w:r>
      <w:r w:rsidR="12763327" w:rsidRPr="3DD30E32">
        <w:rPr>
          <w:rFonts w:cstheme="minorBidi"/>
          <w:lang w:eastAsia="ko-KR"/>
        </w:rPr>
        <w:t>from</w:t>
      </w:r>
      <w:r w:rsidR="02599AD2" w:rsidRPr="3DD30E32">
        <w:rPr>
          <w:rFonts w:cstheme="minorBidi"/>
          <w:lang w:eastAsia="ko-KR"/>
        </w:rPr>
        <w:t xml:space="preserve"> the SG2 </w:t>
      </w:r>
      <w:r w:rsidR="025A7B48" w:rsidRPr="3DD30E32">
        <w:rPr>
          <w:rFonts w:cstheme="minorBidi"/>
          <w:lang w:eastAsia="ko-KR"/>
        </w:rPr>
        <w:t>V</w:t>
      </w:r>
      <w:r w:rsidR="02599AD2" w:rsidRPr="3DD30E32">
        <w:rPr>
          <w:rFonts w:cstheme="minorBidi"/>
          <w:lang w:eastAsia="ko-KR"/>
        </w:rPr>
        <w:t>ice-</w:t>
      </w:r>
      <w:r w:rsidR="025A7B48" w:rsidRPr="3DD30E32">
        <w:rPr>
          <w:rFonts w:cstheme="minorBidi"/>
          <w:lang w:eastAsia="ko-KR"/>
        </w:rPr>
        <w:t>C</w:t>
      </w:r>
      <w:r w:rsidR="02599AD2" w:rsidRPr="3DD30E32">
        <w:rPr>
          <w:rFonts w:cstheme="minorBidi"/>
          <w:lang w:eastAsia="ko-KR"/>
        </w:rPr>
        <w:t xml:space="preserve">hairs. When a role could not be filled by any SG2 </w:t>
      </w:r>
      <w:r w:rsidR="025A7B48" w:rsidRPr="3DD30E32">
        <w:rPr>
          <w:rFonts w:cstheme="minorBidi"/>
          <w:lang w:eastAsia="ko-KR"/>
        </w:rPr>
        <w:t>V</w:t>
      </w:r>
      <w:r w:rsidR="02599AD2" w:rsidRPr="3DD30E32">
        <w:rPr>
          <w:rFonts w:cstheme="minorBidi"/>
          <w:lang w:eastAsia="ko-KR"/>
        </w:rPr>
        <w:t>ice-</w:t>
      </w:r>
      <w:r w:rsidR="025A7B48" w:rsidRPr="3DD30E32">
        <w:rPr>
          <w:rFonts w:cstheme="minorBidi"/>
          <w:lang w:eastAsia="ko-KR"/>
        </w:rPr>
        <w:t>C</w:t>
      </w:r>
      <w:r w:rsidR="02599AD2" w:rsidRPr="3DD30E32">
        <w:rPr>
          <w:rFonts w:cstheme="minorBidi"/>
          <w:lang w:eastAsia="ko-KR"/>
        </w:rPr>
        <w:t xml:space="preserve">hair, additional members, such as </w:t>
      </w:r>
      <w:r w:rsidR="025A7B48" w:rsidRPr="3DD30E32">
        <w:rPr>
          <w:rFonts w:cstheme="minorBidi"/>
          <w:lang w:eastAsia="ko-KR"/>
        </w:rPr>
        <w:t>R</w:t>
      </w:r>
      <w:r w:rsidR="02599AD2" w:rsidRPr="3DD30E32">
        <w:rPr>
          <w:rFonts w:cstheme="minorBidi"/>
          <w:lang w:eastAsia="ko-KR"/>
        </w:rPr>
        <w:t xml:space="preserve">apporteurs and </w:t>
      </w:r>
      <w:r w:rsidR="025A7B48" w:rsidRPr="3DD30E32">
        <w:rPr>
          <w:rFonts w:cstheme="minorBidi"/>
          <w:lang w:eastAsia="ko-KR"/>
        </w:rPr>
        <w:t>V</w:t>
      </w:r>
      <w:r w:rsidR="02599AD2" w:rsidRPr="3DD30E32">
        <w:rPr>
          <w:rFonts w:cstheme="minorBidi"/>
          <w:lang w:eastAsia="ko-KR"/>
        </w:rPr>
        <w:t>ice-</w:t>
      </w:r>
      <w:r w:rsidR="025A7B48" w:rsidRPr="3DD30E32">
        <w:rPr>
          <w:rFonts w:cstheme="minorBidi"/>
          <w:lang w:eastAsia="ko-KR"/>
        </w:rPr>
        <w:t>R</w:t>
      </w:r>
      <w:r w:rsidR="02599AD2" w:rsidRPr="3DD30E32">
        <w:rPr>
          <w:rFonts w:cstheme="minorBidi"/>
          <w:lang w:eastAsia="ko-KR"/>
        </w:rPr>
        <w:t>apporteurs, were invited to fill the role.</w:t>
      </w:r>
      <w:r w:rsidR="213701FF" w:rsidRPr="3DD30E32">
        <w:rPr>
          <w:rFonts w:cstheme="minorBidi"/>
          <w:lang w:eastAsia="ko-KR"/>
        </w:rPr>
        <w:t xml:space="preserve"> The topics assigned include encouragement of joint activities (e.g. joint interim deliverables, joint workshops), engagement of women and youth, increased participation from ITU-D Sector Members and Academia members, strengthening of synergies/collaboration with BDT activities, other groups and ITU Sectors. A </w:t>
      </w:r>
      <w:r w:rsidR="025A7B48" w:rsidRPr="3DD30E32">
        <w:rPr>
          <w:rFonts w:cstheme="minorBidi"/>
          <w:lang w:eastAsia="ko-KR"/>
        </w:rPr>
        <w:t>V</w:t>
      </w:r>
      <w:r w:rsidR="213701FF" w:rsidRPr="3DD30E32">
        <w:rPr>
          <w:rFonts w:cstheme="minorBidi"/>
          <w:lang w:eastAsia="ko-KR"/>
        </w:rPr>
        <w:t>ice-</w:t>
      </w:r>
      <w:r w:rsidR="025A7B48" w:rsidRPr="3DD30E32">
        <w:rPr>
          <w:rFonts w:cstheme="minorBidi"/>
          <w:lang w:eastAsia="ko-KR"/>
        </w:rPr>
        <w:t>C</w:t>
      </w:r>
      <w:r w:rsidR="213701FF" w:rsidRPr="3DD30E32">
        <w:rPr>
          <w:rFonts w:cstheme="minorBidi"/>
          <w:lang w:eastAsia="ko-KR"/>
        </w:rPr>
        <w:t xml:space="preserve">hair was also assigned to ensure </w:t>
      </w:r>
      <w:r w:rsidR="002F7AAD" w:rsidRPr="3DD30E32">
        <w:rPr>
          <w:rFonts w:cstheme="minorBidi"/>
          <w:lang w:eastAsia="ko-KR"/>
        </w:rPr>
        <w:t xml:space="preserve">a good </w:t>
      </w:r>
      <w:r w:rsidR="213701FF" w:rsidRPr="3DD30E32">
        <w:rPr>
          <w:rFonts w:cstheme="minorBidi"/>
          <w:lang w:eastAsia="ko-KR"/>
        </w:rPr>
        <w:t>implementation of the TDAG-</w:t>
      </w:r>
      <w:r w:rsidR="12763327" w:rsidRPr="3DD30E32">
        <w:rPr>
          <w:rFonts w:cstheme="minorBidi"/>
          <w:lang w:eastAsia="ko-KR"/>
        </w:rPr>
        <w:t>approved</w:t>
      </w:r>
      <w:r w:rsidR="213701FF" w:rsidRPr="3DD30E32">
        <w:rPr>
          <w:rFonts w:cstheme="minorBidi"/>
          <w:lang w:eastAsia="ko-KR"/>
        </w:rPr>
        <w:t xml:space="preserve"> guidelines on composing rapporteur teams</w:t>
      </w:r>
      <w:r w:rsidR="002F7AAD" w:rsidRPr="3DD30E32">
        <w:rPr>
          <w:rStyle w:val="FootnoteReference"/>
          <w:rFonts w:cstheme="minorBidi"/>
          <w:lang w:eastAsia="ko-KR"/>
        </w:rPr>
        <w:footnoteReference w:id="6"/>
      </w:r>
      <w:r w:rsidR="213701FF" w:rsidRPr="3DD30E32">
        <w:rPr>
          <w:rFonts w:cstheme="minorBidi"/>
          <w:lang w:eastAsia="ko-KR"/>
        </w:rPr>
        <w:t xml:space="preserve"> and on better use of ITU-D study group products</w:t>
      </w:r>
      <w:r w:rsidR="002F7AAD" w:rsidRPr="3DD30E32">
        <w:rPr>
          <w:rStyle w:val="FootnoteReference"/>
          <w:rFonts w:cstheme="minorBidi"/>
          <w:lang w:eastAsia="ko-KR"/>
        </w:rPr>
        <w:footnoteReference w:id="7"/>
      </w:r>
      <w:r w:rsidR="213701FF" w:rsidRPr="3DD30E32">
        <w:rPr>
          <w:rFonts w:cstheme="minorBidi"/>
          <w:lang w:eastAsia="ko-KR"/>
        </w:rPr>
        <w:t>.</w:t>
      </w:r>
    </w:p>
    <w:p w14:paraId="16ACAC77" w14:textId="1137CEF7" w:rsidR="001A0949" w:rsidRPr="007A4761" w:rsidRDefault="001A0949" w:rsidP="007A4761">
      <w:pPr>
        <w:spacing w:after="120"/>
        <w:rPr>
          <w:rFonts w:cstheme="minorHAnsi"/>
          <w:bCs/>
          <w:lang w:eastAsia="ko-KR"/>
        </w:rPr>
      </w:pPr>
      <w:r w:rsidRPr="007A4761">
        <w:rPr>
          <w:rFonts w:cstheme="minorHAnsi"/>
          <w:bCs/>
          <w:lang w:eastAsia="ko-KR"/>
        </w:rPr>
        <w:t xml:space="preserve">Furthermore, as in </w:t>
      </w:r>
      <w:r w:rsidR="00F442D6" w:rsidRPr="007A4761">
        <w:rPr>
          <w:rFonts w:cstheme="minorHAnsi"/>
          <w:bCs/>
          <w:lang w:eastAsia="ko-KR"/>
        </w:rPr>
        <w:t xml:space="preserve">the </w:t>
      </w:r>
      <w:r w:rsidRPr="007A4761">
        <w:rPr>
          <w:rFonts w:cstheme="minorHAnsi"/>
          <w:bCs/>
          <w:lang w:eastAsia="ko-KR"/>
        </w:rPr>
        <w:t>previous study periods, BDT focal points (from headquarters and the regions) have been nominated as part of the management team for study Questions. They play a crucial role in serving as a bridge between the ITU-D study groups and BDT activities, as well as identifying and facilitating contributions from the regions and beneficiaries of ITU projects and initiatives.</w:t>
      </w:r>
    </w:p>
    <w:p w14:paraId="163AD1A5" w14:textId="71E98D1B" w:rsidR="004145DC" w:rsidRPr="007A4761" w:rsidRDefault="004145DC" w:rsidP="007A4761">
      <w:pPr>
        <w:spacing w:after="120"/>
        <w:rPr>
          <w:rFonts w:cstheme="minorHAnsi"/>
          <w:bCs/>
          <w:lang w:eastAsia="ko-KR"/>
        </w:rPr>
      </w:pPr>
      <w:r w:rsidRPr="007A4761">
        <w:rPr>
          <w:rFonts w:cstheme="minorHAnsi"/>
          <w:bCs/>
          <w:lang w:eastAsia="ko-KR"/>
        </w:rPr>
        <w:t xml:space="preserve">Other changes </w:t>
      </w:r>
      <w:r w:rsidR="007018D7" w:rsidRPr="007A4761">
        <w:rPr>
          <w:rFonts w:cstheme="minorHAnsi"/>
          <w:bCs/>
          <w:lang w:eastAsia="ko-KR"/>
        </w:rPr>
        <w:t>are applicable</w:t>
      </w:r>
      <w:r w:rsidRPr="007A4761">
        <w:rPr>
          <w:rFonts w:cstheme="minorHAnsi"/>
          <w:bCs/>
          <w:lang w:eastAsia="ko-KR"/>
        </w:rPr>
        <w:t xml:space="preserve"> in accordance with the new changes in WTDC Resolution 1 (Rev.</w:t>
      </w:r>
      <w:r w:rsidR="00E00B1F">
        <w:rPr>
          <w:rFonts w:cstheme="minorHAnsi"/>
          <w:bCs/>
          <w:lang w:eastAsia="ko-KR"/>
        </w:rPr>
        <w:t> </w:t>
      </w:r>
      <w:r w:rsidRPr="007A4761">
        <w:rPr>
          <w:rFonts w:cstheme="minorHAnsi"/>
          <w:bCs/>
          <w:lang w:eastAsia="ko-KR"/>
        </w:rPr>
        <w:t>Baku, 2025), including:</w:t>
      </w:r>
    </w:p>
    <w:p w14:paraId="7813AE39" w14:textId="116C9907" w:rsidR="004145DC" w:rsidRPr="007A4761" w:rsidRDefault="004145DC" w:rsidP="009E60C1">
      <w:pPr>
        <w:pStyle w:val="ListParagraph"/>
        <w:numPr>
          <w:ilvl w:val="0"/>
          <w:numId w:val="4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  <w:bCs/>
          <w:lang w:eastAsia="ko-KR"/>
        </w:rPr>
      </w:pPr>
      <w:r w:rsidRPr="007A4761">
        <w:rPr>
          <w:rFonts w:cstheme="minorHAnsi"/>
          <w:bCs/>
          <w:lang w:eastAsia="ko-KR"/>
        </w:rPr>
        <w:t xml:space="preserve">notification on the work plan, in particular the table of contents of the study Questions, to other ITU Sectors </w:t>
      </w:r>
      <w:proofErr w:type="gramStart"/>
      <w:r w:rsidRPr="007A4761">
        <w:rPr>
          <w:rFonts w:cstheme="minorHAnsi"/>
          <w:bCs/>
          <w:lang w:eastAsia="ko-KR"/>
        </w:rPr>
        <w:t>in order to</w:t>
      </w:r>
      <w:proofErr w:type="gramEnd"/>
      <w:r w:rsidRPr="007A4761">
        <w:rPr>
          <w:rFonts w:cstheme="minorHAnsi"/>
          <w:bCs/>
          <w:lang w:eastAsia="ko-KR"/>
        </w:rPr>
        <w:t xml:space="preserve"> request their </w:t>
      </w:r>
      <w:proofErr w:type="gramStart"/>
      <w:r w:rsidRPr="007A4761">
        <w:rPr>
          <w:rFonts w:cstheme="minorHAnsi"/>
          <w:bCs/>
          <w:lang w:eastAsia="ko-KR"/>
        </w:rPr>
        <w:t>opinions;</w:t>
      </w:r>
      <w:proofErr w:type="gramEnd"/>
    </w:p>
    <w:p w14:paraId="4C5E0964" w14:textId="65CF0D06" w:rsidR="004145DC" w:rsidRPr="007A4761" w:rsidRDefault="004145DC" w:rsidP="009E60C1">
      <w:pPr>
        <w:pStyle w:val="ListParagraph"/>
        <w:numPr>
          <w:ilvl w:val="0"/>
          <w:numId w:val="4"/>
        </w:numPr>
        <w:tabs>
          <w:tab w:val="clear" w:pos="1134"/>
          <w:tab w:val="clear" w:pos="1871"/>
          <w:tab w:val="clear" w:pos="2268"/>
        </w:tabs>
        <w:spacing w:before="60" w:after="60"/>
        <w:ind w:left="714" w:hanging="357"/>
        <w:contextualSpacing w:val="0"/>
        <w:rPr>
          <w:rFonts w:cstheme="minorHAnsi"/>
          <w:bCs/>
          <w:lang w:eastAsia="ko-KR"/>
        </w:rPr>
      </w:pPr>
      <w:r w:rsidRPr="007A4761">
        <w:rPr>
          <w:rFonts w:cstheme="minorHAnsi"/>
          <w:bCs/>
          <w:lang w:eastAsia="ko-KR"/>
        </w:rPr>
        <w:t>reinforcement of engagement of role bearers to ensure their active and meaningful participation</w:t>
      </w:r>
      <w:r w:rsidR="001A0949" w:rsidRPr="007A4761">
        <w:rPr>
          <w:rFonts w:cstheme="minorHAnsi"/>
          <w:bCs/>
          <w:lang w:eastAsia="ko-KR"/>
        </w:rPr>
        <w:t>.</w:t>
      </w:r>
    </w:p>
    <w:p w14:paraId="2690D3FC" w14:textId="165C4E42" w:rsidR="00ED7F6D" w:rsidRPr="007A4761" w:rsidRDefault="00ED7F6D" w:rsidP="007A4761">
      <w:pPr>
        <w:spacing w:after="120"/>
        <w:rPr>
          <w:rFonts w:cstheme="minorHAnsi"/>
          <w:bCs/>
        </w:rPr>
      </w:pPr>
      <w:r w:rsidRPr="007A4761">
        <w:rPr>
          <w:rFonts w:cstheme="minorHAnsi"/>
          <w:bCs/>
        </w:rPr>
        <w:t xml:space="preserve">The preliminary work plan for Study Group 2 can be found in Annex </w:t>
      </w:r>
      <w:r w:rsidR="00491C0F" w:rsidRPr="007A4761">
        <w:rPr>
          <w:rFonts w:cstheme="minorHAnsi"/>
          <w:bCs/>
          <w:lang w:eastAsia="ko-KR"/>
        </w:rPr>
        <w:t>2</w:t>
      </w:r>
      <w:r w:rsidRPr="007A4761">
        <w:rPr>
          <w:rFonts w:cstheme="minorHAnsi"/>
          <w:bCs/>
        </w:rPr>
        <w:t xml:space="preserve">. The work plan will be revised each year </w:t>
      </w:r>
      <w:r w:rsidR="002F7AAD" w:rsidRPr="007A4761">
        <w:rPr>
          <w:rFonts w:cstheme="minorHAnsi"/>
          <w:bCs/>
          <w:lang w:eastAsia="ko-KR"/>
        </w:rPr>
        <w:t xml:space="preserve">as appropriate </w:t>
      </w:r>
      <w:r w:rsidRPr="007A4761">
        <w:rPr>
          <w:rFonts w:cstheme="minorHAnsi"/>
          <w:bCs/>
        </w:rPr>
        <w:t>to guide the work of the study group.</w:t>
      </w:r>
    </w:p>
    <w:p w14:paraId="1D21346E" w14:textId="06BDFA87" w:rsidR="00ED7F6D" w:rsidRPr="009E60C1" w:rsidRDefault="00ED7F6D" w:rsidP="009E60C1">
      <w:pPr>
        <w:pStyle w:val="Heading1"/>
        <w:numPr>
          <w:ilvl w:val="0"/>
          <w:numId w:val="2"/>
        </w:numPr>
        <w:spacing w:before="120" w:after="120"/>
        <w:ind w:left="357" w:hanging="357"/>
        <w:rPr>
          <w:rFonts w:cstheme="minorHAnsi"/>
          <w:noProof/>
          <w:sz w:val="24"/>
          <w:szCs w:val="18"/>
          <w:lang w:val="en-US"/>
        </w:rPr>
      </w:pPr>
      <w:r w:rsidRPr="009E60C1">
        <w:rPr>
          <w:rFonts w:cstheme="minorHAnsi"/>
          <w:noProof/>
          <w:sz w:val="24"/>
          <w:szCs w:val="18"/>
          <w:lang w:val="en-US"/>
        </w:rPr>
        <w:t>Collaborative tools</w:t>
      </w:r>
    </w:p>
    <w:p w14:paraId="52EC7A70" w14:textId="4DBB376C" w:rsidR="00CB3C02" w:rsidRPr="007A4761" w:rsidRDefault="00CB3C02" w:rsidP="007A4761">
      <w:pPr>
        <w:spacing w:after="120"/>
        <w:rPr>
          <w:rFonts w:eastAsia="Malgun Gothic" w:cstheme="minorHAnsi"/>
          <w:lang w:eastAsia="ko-KR"/>
        </w:rPr>
      </w:pPr>
      <w:r w:rsidRPr="007A4761">
        <w:rPr>
          <w:rFonts w:cstheme="minorHAnsi"/>
        </w:rPr>
        <w:t xml:space="preserve">Collaborative tools to facilitate electronic participation in the work of the ITU-D study groups </w:t>
      </w:r>
      <w:r w:rsidRPr="007A4761">
        <w:rPr>
          <w:rFonts w:cstheme="minorHAnsi"/>
          <w:lang w:eastAsia="ko-KR"/>
        </w:rPr>
        <w:t>will continue to be provided</w:t>
      </w:r>
      <w:r w:rsidRPr="007A4761">
        <w:rPr>
          <w:rFonts w:cstheme="minorHAnsi"/>
        </w:rPr>
        <w:t xml:space="preserve">. In addition to remote participation services and webcast, mailing lists </w:t>
      </w:r>
      <w:r w:rsidR="001A0949" w:rsidRPr="007A4761">
        <w:rPr>
          <w:rFonts w:cstheme="minorHAnsi"/>
          <w:lang w:eastAsia="ko-KR"/>
        </w:rPr>
        <w:t>have been</w:t>
      </w:r>
      <w:r w:rsidRPr="007A4761">
        <w:rPr>
          <w:rFonts w:cstheme="minorHAnsi"/>
        </w:rPr>
        <w:t xml:space="preserve"> made available to participants and management team members. </w:t>
      </w:r>
    </w:p>
    <w:p w14:paraId="55220084" w14:textId="793D024F" w:rsidR="00CB3C02" w:rsidRPr="007A4761" w:rsidRDefault="00CB3C02" w:rsidP="007A4761">
      <w:pPr>
        <w:spacing w:after="120"/>
        <w:rPr>
          <w:rFonts w:eastAsia="Malgun Gothic" w:cstheme="minorHAnsi"/>
          <w:lang w:eastAsia="ko-KR"/>
        </w:rPr>
      </w:pPr>
      <w:r w:rsidRPr="007A4761">
        <w:rPr>
          <w:rFonts w:cstheme="minorHAnsi"/>
        </w:rPr>
        <w:t>M</w:t>
      </w:r>
      <w:r w:rsidRPr="007A4761">
        <w:rPr>
          <w:rFonts w:eastAsia="Malgun Gothic" w:cstheme="minorHAnsi"/>
          <w:lang w:eastAsia="ko-KR"/>
        </w:rPr>
        <w:t>icrosoft</w:t>
      </w:r>
      <w:r w:rsidRPr="007A4761">
        <w:rPr>
          <w:rFonts w:cstheme="minorHAnsi"/>
        </w:rPr>
        <w:t xml:space="preserve"> </w:t>
      </w:r>
      <w:r w:rsidRPr="007A4761">
        <w:rPr>
          <w:rFonts w:eastAsia="Malgun Gothic" w:cstheme="minorHAnsi"/>
          <w:lang w:eastAsia="ko-KR"/>
        </w:rPr>
        <w:t>T</w:t>
      </w:r>
      <w:r w:rsidRPr="007A4761">
        <w:rPr>
          <w:rFonts w:cstheme="minorHAnsi"/>
        </w:rPr>
        <w:t xml:space="preserve">eam channels </w:t>
      </w:r>
      <w:r w:rsidRPr="007A4761">
        <w:rPr>
          <w:rFonts w:cstheme="minorHAnsi"/>
          <w:lang w:eastAsia="ko-KR"/>
        </w:rPr>
        <w:t>will</w:t>
      </w:r>
      <w:r w:rsidRPr="007A4761">
        <w:rPr>
          <w:rFonts w:cstheme="minorHAnsi"/>
        </w:rPr>
        <w:t xml:space="preserve"> be created for use by each Question management team </w:t>
      </w:r>
      <w:r w:rsidR="007D6961" w:rsidRPr="007A4761">
        <w:rPr>
          <w:rFonts w:cstheme="minorHAnsi"/>
          <w:lang w:eastAsia="ko-KR"/>
        </w:rPr>
        <w:t>at</w:t>
      </w:r>
      <w:r w:rsidRPr="007A4761">
        <w:rPr>
          <w:rFonts w:cstheme="minorHAnsi"/>
        </w:rPr>
        <w:t xml:space="preserve"> their convenience. </w:t>
      </w:r>
      <w:r w:rsidRPr="007A4761">
        <w:rPr>
          <w:rFonts w:cstheme="minorHAnsi"/>
          <w:lang w:eastAsia="ko-KR"/>
        </w:rPr>
        <w:t>Machined-based</w:t>
      </w:r>
      <w:r w:rsidRPr="007A4761">
        <w:rPr>
          <w:rFonts w:eastAsia="Malgun Gothic" w:cstheme="minorHAnsi"/>
          <w:lang w:eastAsia="ko-KR"/>
        </w:rPr>
        <w:t xml:space="preserve"> captioning </w:t>
      </w:r>
      <w:r w:rsidR="001A0949" w:rsidRPr="007A4761">
        <w:rPr>
          <w:rFonts w:eastAsia="Malgun Gothic" w:cstheme="minorHAnsi"/>
          <w:lang w:eastAsia="ko-KR"/>
        </w:rPr>
        <w:t xml:space="preserve">and </w:t>
      </w:r>
      <w:r w:rsidRPr="007A4761">
        <w:rPr>
          <w:rFonts w:eastAsia="Malgun Gothic" w:cstheme="minorHAnsi"/>
          <w:lang w:eastAsia="ko-KR"/>
        </w:rPr>
        <w:t>translation</w:t>
      </w:r>
      <w:r w:rsidRPr="007A4761">
        <w:rPr>
          <w:rFonts w:cstheme="minorHAnsi"/>
        </w:rPr>
        <w:t xml:space="preserve"> </w:t>
      </w:r>
      <w:r w:rsidRPr="007A4761">
        <w:rPr>
          <w:rFonts w:cstheme="minorHAnsi"/>
          <w:lang w:eastAsia="ko-KR"/>
        </w:rPr>
        <w:t xml:space="preserve">will </w:t>
      </w:r>
      <w:r w:rsidR="001A0949" w:rsidRPr="007A4761">
        <w:rPr>
          <w:rFonts w:cstheme="minorHAnsi"/>
          <w:lang w:eastAsia="ko-KR"/>
        </w:rPr>
        <w:t xml:space="preserve">also </w:t>
      </w:r>
      <w:r w:rsidR="007D6961" w:rsidRPr="007A4761">
        <w:rPr>
          <w:rFonts w:cstheme="minorHAnsi"/>
          <w:lang w:eastAsia="ko-KR"/>
        </w:rPr>
        <w:t xml:space="preserve">be </w:t>
      </w:r>
      <w:r w:rsidRPr="007A4761">
        <w:rPr>
          <w:rFonts w:cstheme="minorHAnsi"/>
          <w:lang w:eastAsia="ko-KR"/>
        </w:rPr>
        <w:t>available</w:t>
      </w:r>
      <w:r w:rsidRPr="007A4761">
        <w:rPr>
          <w:rFonts w:eastAsia="Malgun Gothic" w:cstheme="minorHAnsi"/>
          <w:lang w:eastAsia="ko-KR"/>
        </w:rPr>
        <w:t xml:space="preserve"> during management team meetings to facilitate communication with members who are less fluent in English.</w:t>
      </w:r>
    </w:p>
    <w:p w14:paraId="147A9C07" w14:textId="5DF4CD3F" w:rsidR="00CB3C02" w:rsidRPr="007A4761" w:rsidRDefault="00CB3C02" w:rsidP="007A4761">
      <w:pPr>
        <w:spacing w:after="120"/>
        <w:rPr>
          <w:rFonts w:eastAsia="Malgun Gothic" w:cstheme="minorHAnsi"/>
          <w:szCs w:val="24"/>
          <w:lang w:eastAsia="ko-KR"/>
        </w:rPr>
      </w:pPr>
      <w:r w:rsidRPr="007A4761">
        <w:rPr>
          <w:rFonts w:eastAsia="Malgun Gothic" w:cstheme="minorHAnsi"/>
          <w:szCs w:val="24"/>
          <w:lang w:eastAsia="ko-KR"/>
        </w:rPr>
        <w:t>A</w:t>
      </w:r>
      <w:r w:rsidRPr="007A4761">
        <w:rPr>
          <w:rFonts w:cstheme="minorHAnsi"/>
          <w:szCs w:val="24"/>
        </w:rPr>
        <w:t xml:space="preserve"> contributions repository </w:t>
      </w:r>
      <w:r w:rsidRPr="007A4761">
        <w:rPr>
          <w:rFonts w:eastAsia="Malgun Gothic" w:cstheme="minorHAnsi"/>
          <w:szCs w:val="24"/>
          <w:lang w:eastAsia="ko-KR"/>
        </w:rPr>
        <w:t>and</w:t>
      </w:r>
      <w:r w:rsidRPr="007A4761">
        <w:rPr>
          <w:rFonts w:cstheme="minorHAnsi"/>
          <w:szCs w:val="24"/>
        </w:rPr>
        <w:t xml:space="preserve"> dashboard</w:t>
      </w:r>
      <w:r w:rsidRPr="007A4761">
        <w:rPr>
          <w:rStyle w:val="FootnoteReference"/>
          <w:rFonts w:cstheme="minorHAnsi"/>
        </w:rPr>
        <w:footnoteReference w:id="8"/>
      </w:r>
      <w:r w:rsidRPr="007A4761">
        <w:rPr>
          <w:rFonts w:cstheme="minorHAnsi"/>
          <w:szCs w:val="24"/>
        </w:rPr>
        <w:t>, which facilitates the search of previous contributions and their abstracts,</w:t>
      </w:r>
      <w:r w:rsidRPr="007A4761">
        <w:rPr>
          <w:rFonts w:eastAsia="Malgun Gothic" w:cstheme="minorHAnsi"/>
          <w:szCs w:val="24"/>
          <w:lang w:eastAsia="ko-KR"/>
        </w:rPr>
        <w:t xml:space="preserve"> will be provided and updated on a regular basis</w:t>
      </w:r>
      <w:r w:rsidRPr="007A4761">
        <w:rPr>
          <w:rFonts w:cstheme="minorHAnsi"/>
          <w:szCs w:val="24"/>
        </w:rPr>
        <w:t>. Automatic document (machine) translation named “ITUTranslate</w:t>
      </w:r>
      <w:r w:rsidRPr="007A4761">
        <w:rPr>
          <w:rFonts w:eastAsia="Malgun Gothic" w:cstheme="minorHAnsi"/>
          <w:szCs w:val="24"/>
          <w:lang w:eastAsia="ko-KR"/>
        </w:rPr>
        <w:t>”</w:t>
      </w:r>
      <w:r w:rsidRPr="007A4761">
        <w:rPr>
          <w:rStyle w:val="FootnoteReference"/>
          <w:rFonts w:cstheme="minorHAnsi"/>
        </w:rPr>
        <w:footnoteReference w:id="9"/>
      </w:r>
      <w:r w:rsidRPr="007A4761">
        <w:rPr>
          <w:rFonts w:cstheme="minorHAnsi"/>
          <w:szCs w:val="24"/>
        </w:rPr>
        <w:t xml:space="preserve"> is available on the </w:t>
      </w:r>
      <w:r w:rsidRPr="007A4761">
        <w:rPr>
          <w:rFonts w:eastAsia="Malgun Gothic" w:cstheme="minorHAnsi"/>
          <w:szCs w:val="24"/>
          <w:lang w:eastAsia="ko-KR"/>
        </w:rPr>
        <w:t>TIES</w:t>
      </w:r>
      <w:r w:rsidRPr="007A4761">
        <w:rPr>
          <w:rFonts w:cstheme="minorHAnsi"/>
          <w:szCs w:val="24"/>
        </w:rPr>
        <w:t xml:space="preserve"> protected document management repository whereby contributions, reports and other meeting documents can be translated from one UN official language into another UN official language. ITU-D study </w:t>
      </w:r>
      <w:r w:rsidRPr="007A4761">
        <w:rPr>
          <w:rFonts w:eastAsia="Malgun Gothic" w:cstheme="minorHAnsi"/>
          <w:szCs w:val="24"/>
          <w:lang w:eastAsia="ko-KR"/>
        </w:rPr>
        <w:t>g</w:t>
      </w:r>
      <w:r w:rsidRPr="007A4761">
        <w:rPr>
          <w:rFonts w:cstheme="minorHAnsi"/>
          <w:szCs w:val="24"/>
        </w:rPr>
        <w:t>roup web</w:t>
      </w:r>
      <w:r w:rsidRPr="007A4761">
        <w:rPr>
          <w:rFonts w:eastAsia="Malgun Gothic" w:cstheme="minorHAnsi"/>
          <w:szCs w:val="24"/>
          <w:lang w:eastAsia="ko-KR"/>
        </w:rPr>
        <w:t xml:space="preserve"> </w:t>
      </w:r>
      <w:r w:rsidRPr="007A4761">
        <w:rPr>
          <w:rFonts w:cstheme="minorHAnsi"/>
          <w:szCs w:val="24"/>
        </w:rPr>
        <w:t>pages</w:t>
      </w:r>
      <w:r w:rsidRPr="007A4761">
        <w:rPr>
          <w:rFonts w:eastAsia="Malgun Gothic" w:cstheme="minorHAnsi"/>
          <w:szCs w:val="24"/>
          <w:lang w:eastAsia="ko-KR"/>
        </w:rPr>
        <w:t xml:space="preserve"> can also be translated</w:t>
      </w:r>
      <w:r w:rsidRPr="007A4761">
        <w:rPr>
          <w:rFonts w:cstheme="minorHAnsi"/>
          <w:szCs w:val="24"/>
        </w:rPr>
        <w:t xml:space="preserve"> in</w:t>
      </w:r>
      <w:r w:rsidR="007D6961" w:rsidRPr="007A4761">
        <w:rPr>
          <w:rFonts w:cstheme="minorHAnsi"/>
          <w:szCs w:val="24"/>
          <w:lang w:eastAsia="ko-KR"/>
        </w:rPr>
        <w:t>to</w:t>
      </w:r>
      <w:r w:rsidRPr="007A4761">
        <w:rPr>
          <w:rFonts w:cstheme="minorHAnsi"/>
          <w:szCs w:val="24"/>
        </w:rPr>
        <w:t xml:space="preserve"> all UN official languages with the ITUTranslate widget.</w:t>
      </w:r>
    </w:p>
    <w:p w14:paraId="5320F4C7" w14:textId="498560D3" w:rsidR="0039262F" w:rsidRPr="007A4761" w:rsidRDefault="00ED7F6D" w:rsidP="007A4761">
      <w:pPr>
        <w:spacing w:after="120"/>
        <w:rPr>
          <w:rFonts w:cstheme="minorHAnsi"/>
        </w:rPr>
      </w:pPr>
      <w:r w:rsidRPr="007A4761">
        <w:rPr>
          <w:rFonts w:cstheme="minorHAnsi"/>
        </w:rPr>
        <w:t xml:space="preserve">The first meeting of ITU-D Study Group 2 will include induction and training sessions on the working methods and the collaborative tools that are available to those participating in the work of the ITU-D study groups. </w:t>
      </w:r>
      <w:r w:rsidR="0039262F" w:rsidRPr="007A4761">
        <w:rPr>
          <w:rFonts w:cstheme="minorHAnsi"/>
        </w:rPr>
        <w:t xml:space="preserve">The </w:t>
      </w:r>
      <w:hyperlink r:id="rId19" w:history="1">
        <w:r w:rsidR="0039262F" w:rsidRPr="007A4761">
          <w:rPr>
            <w:rStyle w:val="Hyperlink"/>
            <w:rFonts w:cstheme="minorHAnsi"/>
          </w:rPr>
          <w:t>briefing for delegates</w:t>
        </w:r>
      </w:hyperlink>
      <w:r w:rsidR="0039262F" w:rsidRPr="007A4761">
        <w:rPr>
          <w:rFonts w:cstheme="minorHAnsi"/>
        </w:rPr>
        <w:t xml:space="preserve"> document has been updated and is available </w:t>
      </w:r>
      <w:r w:rsidR="0039262F" w:rsidRPr="007A4761">
        <w:rPr>
          <w:rFonts w:cstheme="minorHAnsi"/>
        </w:rPr>
        <w:lastRenderedPageBreak/>
        <w:t>to the public in all UN official languages. This document is proposed for reading prior to attending the onboarding sessions.</w:t>
      </w:r>
    </w:p>
    <w:p w14:paraId="285B2E59" w14:textId="69C20404" w:rsidR="00ED7F6D" w:rsidRPr="007A4761" w:rsidRDefault="00ED7F6D" w:rsidP="007A4761">
      <w:pPr>
        <w:spacing w:after="120"/>
        <w:rPr>
          <w:rFonts w:cstheme="minorHAnsi"/>
        </w:rPr>
      </w:pPr>
      <w:r w:rsidRPr="007A4761">
        <w:rPr>
          <w:rFonts w:cstheme="minorHAnsi"/>
        </w:rPr>
        <w:t>Study group participants are encouraged to explore the tools and to provide any feedback to the secretariat to assist in their improvement.</w:t>
      </w:r>
    </w:p>
    <w:p w14:paraId="4D0DC700" w14:textId="22718468" w:rsidR="00ED7F6D" w:rsidRPr="009E60C1" w:rsidRDefault="00ED7F6D" w:rsidP="009E60C1">
      <w:pPr>
        <w:pStyle w:val="Heading1"/>
        <w:numPr>
          <w:ilvl w:val="0"/>
          <w:numId w:val="2"/>
        </w:numPr>
        <w:spacing w:before="120" w:after="120"/>
        <w:ind w:left="357" w:hanging="357"/>
        <w:rPr>
          <w:rFonts w:cstheme="minorHAnsi"/>
          <w:noProof/>
          <w:sz w:val="24"/>
          <w:szCs w:val="18"/>
          <w:lang w:val="en-US"/>
        </w:rPr>
      </w:pPr>
      <w:r w:rsidRPr="009E60C1">
        <w:rPr>
          <w:rFonts w:cstheme="minorHAnsi"/>
          <w:noProof/>
          <w:sz w:val="24"/>
          <w:szCs w:val="18"/>
          <w:lang w:val="en-US"/>
        </w:rPr>
        <w:t>Conclusion</w:t>
      </w:r>
    </w:p>
    <w:p w14:paraId="24982D75" w14:textId="66C8DD9D" w:rsidR="00ED7F6D" w:rsidRPr="007A4761" w:rsidRDefault="00ED7F6D" w:rsidP="3DD30E32">
      <w:pPr>
        <w:spacing w:after="120"/>
        <w:rPr>
          <w:rFonts w:cstheme="minorBidi"/>
          <w:lang w:val="en-US"/>
        </w:rPr>
      </w:pPr>
      <w:r w:rsidRPr="3DD30E32">
        <w:rPr>
          <w:rFonts w:cstheme="minorBidi"/>
          <w:lang w:val="en-US"/>
        </w:rPr>
        <w:t xml:space="preserve">With its new agreed scope of work and assigned study Questions, Study Group 2 will meet from </w:t>
      </w:r>
      <w:r w:rsidR="5D6E883E" w:rsidRPr="3DD30E32">
        <w:rPr>
          <w:rFonts w:cstheme="minorBidi"/>
          <w:lang w:val="en-US" w:eastAsia="ko-KR"/>
        </w:rPr>
        <w:t>20</w:t>
      </w:r>
      <w:r w:rsidR="009E60C1" w:rsidRPr="3DD30E32">
        <w:rPr>
          <w:rFonts w:cstheme="minorBidi"/>
          <w:lang w:val="en-US" w:eastAsia="ko-KR"/>
        </w:rPr>
        <w:t> </w:t>
      </w:r>
      <w:r w:rsidR="5D6E883E" w:rsidRPr="3DD30E32">
        <w:rPr>
          <w:rFonts w:cstheme="minorBidi"/>
          <w:lang w:val="en-US" w:eastAsia="ko-KR"/>
        </w:rPr>
        <w:t xml:space="preserve">to 24 April </w:t>
      </w:r>
      <w:r w:rsidRPr="3DD30E32">
        <w:rPr>
          <w:rFonts w:cstheme="minorBidi"/>
          <w:lang w:val="en-US"/>
        </w:rPr>
        <w:t>20</w:t>
      </w:r>
      <w:r w:rsidR="5D6E883E" w:rsidRPr="3DD30E32">
        <w:rPr>
          <w:rFonts w:cstheme="minorBidi"/>
          <w:lang w:val="en-US" w:eastAsia="ko-KR"/>
        </w:rPr>
        <w:t>26</w:t>
      </w:r>
      <w:r w:rsidRPr="3DD30E32">
        <w:rPr>
          <w:rFonts w:cstheme="minorBidi"/>
          <w:lang w:val="en-US"/>
        </w:rPr>
        <w:t>. The first meetings will closely look at the expected results agreed on by the membership at WTDC-</w:t>
      </w:r>
      <w:r w:rsidR="5D6E883E" w:rsidRPr="3DD30E32">
        <w:rPr>
          <w:rFonts w:cstheme="minorBidi"/>
          <w:lang w:val="en-US" w:eastAsia="ko-KR"/>
        </w:rPr>
        <w:t>25</w:t>
      </w:r>
      <w:r w:rsidRPr="3DD30E32">
        <w:rPr>
          <w:rFonts w:cstheme="minorBidi"/>
          <w:lang w:val="en-US"/>
        </w:rPr>
        <w:t xml:space="preserve">, identify methods for conducting its work and agree on detailed work plans for each study Question. These meetings will also appoint </w:t>
      </w:r>
      <w:r w:rsidR="5D6E883E" w:rsidRPr="3DD30E32">
        <w:rPr>
          <w:rFonts w:cstheme="minorBidi"/>
          <w:lang w:val="en-US" w:eastAsia="ko-KR"/>
        </w:rPr>
        <w:t>r</w:t>
      </w:r>
      <w:r w:rsidRPr="3DD30E32">
        <w:rPr>
          <w:rFonts w:cstheme="minorBidi"/>
          <w:lang w:val="en-US"/>
        </w:rPr>
        <w:t xml:space="preserve">apporteurs and </w:t>
      </w:r>
      <w:r w:rsidR="4F55699C" w:rsidRPr="3DD30E32">
        <w:rPr>
          <w:rFonts w:cstheme="minorBidi"/>
          <w:lang w:val="en-US"/>
        </w:rPr>
        <w:t>V</w:t>
      </w:r>
      <w:r w:rsidRPr="3DD30E32">
        <w:rPr>
          <w:rFonts w:cstheme="minorBidi"/>
          <w:lang w:val="en-US"/>
        </w:rPr>
        <w:t>ice-</w:t>
      </w:r>
      <w:r w:rsidR="0AD78604" w:rsidRPr="3DD30E32">
        <w:rPr>
          <w:rFonts w:cstheme="minorBidi"/>
          <w:lang w:val="en-US"/>
        </w:rPr>
        <w:t>R</w:t>
      </w:r>
      <w:r w:rsidRPr="3DD30E32">
        <w:rPr>
          <w:rFonts w:cstheme="minorBidi"/>
          <w:lang w:val="en-US"/>
        </w:rPr>
        <w:t xml:space="preserve">apporteurs for each of the study Questions. </w:t>
      </w:r>
    </w:p>
    <w:p w14:paraId="1D86C61C" w14:textId="69501015" w:rsidR="002F6722" w:rsidRPr="007A4761" w:rsidRDefault="00ED7F6D" w:rsidP="007A4761">
      <w:pPr>
        <w:spacing w:after="120"/>
        <w:rPr>
          <w:rFonts w:cstheme="minorHAnsi"/>
          <w:bCs/>
          <w:szCs w:val="24"/>
        </w:rPr>
      </w:pPr>
      <w:r w:rsidRPr="007A4761">
        <w:rPr>
          <w:rFonts w:cstheme="minorHAnsi"/>
          <w:bCs/>
          <w:szCs w:val="24"/>
        </w:rPr>
        <w:t>The 20</w:t>
      </w:r>
      <w:r w:rsidR="00CB3C02" w:rsidRPr="007A4761">
        <w:rPr>
          <w:rFonts w:cstheme="minorHAnsi"/>
          <w:bCs/>
          <w:szCs w:val="24"/>
          <w:lang w:eastAsia="ko-KR"/>
        </w:rPr>
        <w:t>26</w:t>
      </w:r>
      <w:r w:rsidRPr="007A4761">
        <w:rPr>
          <w:rFonts w:cstheme="minorHAnsi"/>
          <w:bCs/>
          <w:szCs w:val="24"/>
        </w:rPr>
        <w:t xml:space="preserve"> block of Study Group 2 Rapporteur Group meetings are planned to take place from </w:t>
      </w:r>
      <w:r w:rsidR="00A16E02" w:rsidRPr="007A4761">
        <w:rPr>
          <w:rFonts w:cstheme="minorHAnsi"/>
          <w:bCs/>
          <w:szCs w:val="24"/>
          <w:lang w:eastAsia="ko-KR"/>
        </w:rPr>
        <w:t>7</w:t>
      </w:r>
      <w:r w:rsidRPr="007A4761">
        <w:rPr>
          <w:rFonts w:cstheme="minorHAnsi"/>
          <w:bCs/>
          <w:szCs w:val="24"/>
        </w:rPr>
        <w:t xml:space="preserve"> to 1</w:t>
      </w:r>
      <w:r w:rsidR="00A16E02" w:rsidRPr="007A4761">
        <w:rPr>
          <w:rFonts w:cstheme="minorHAnsi"/>
          <w:bCs/>
          <w:szCs w:val="24"/>
          <w:lang w:eastAsia="ko-KR"/>
        </w:rPr>
        <w:t>6</w:t>
      </w:r>
      <w:r w:rsidRPr="007A4761">
        <w:rPr>
          <w:rFonts w:cstheme="minorHAnsi"/>
          <w:bCs/>
          <w:szCs w:val="24"/>
        </w:rPr>
        <w:t> October 20</w:t>
      </w:r>
      <w:r w:rsidR="00A16E02" w:rsidRPr="007A4761">
        <w:rPr>
          <w:rFonts w:cstheme="minorHAnsi"/>
          <w:bCs/>
          <w:szCs w:val="24"/>
          <w:lang w:eastAsia="ko-KR"/>
        </w:rPr>
        <w:t>26</w:t>
      </w:r>
      <w:r w:rsidRPr="007A4761">
        <w:rPr>
          <w:rFonts w:cstheme="minorHAnsi"/>
          <w:bCs/>
          <w:szCs w:val="24"/>
        </w:rPr>
        <w:t>.</w:t>
      </w:r>
    </w:p>
    <w:p w14:paraId="1546FF76" w14:textId="77777777" w:rsidR="00EC3B9D" w:rsidRDefault="00EC3B9D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Cs/>
          <w:szCs w:val="24"/>
        </w:rPr>
        <w:sectPr w:rsidR="00EC3B9D" w:rsidSect="0081159E">
          <w:headerReference w:type="default" r:id="rId20"/>
          <w:footerReference w:type="first" r:id="rId21"/>
          <w:pgSz w:w="11907" w:h="16840" w:code="9"/>
          <w:pgMar w:top="1418" w:right="1134" w:bottom="1134" w:left="1134" w:header="720" w:footer="720" w:gutter="0"/>
          <w:cols w:space="720"/>
          <w:titlePg/>
          <w:docGrid w:linePitch="326"/>
        </w:sectPr>
      </w:pPr>
    </w:p>
    <w:p w14:paraId="1DF6A72C" w14:textId="060D6232" w:rsidR="003A4C56" w:rsidRPr="003A4C56" w:rsidRDefault="003A4C56" w:rsidP="003F398F">
      <w:pPr>
        <w:spacing w:after="120"/>
        <w:jc w:val="center"/>
        <w:rPr>
          <w:b/>
          <w:bCs/>
          <w:szCs w:val="18"/>
        </w:rPr>
      </w:pPr>
      <w:r w:rsidRPr="003A4C56">
        <w:rPr>
          <w:b/>
          <w:bCs/>
          <w:szCs w:val="18"/>
        </w:rPr>
        <w:lastRenderedPageBreak/>
        <w:t>Annex 1: Structure of Baku Action Plan and its contribution to the ITU strategic plan</w:t>
      </w:r>
    </w:p>
    <w:p w14:paraId="1A77FCFB" w14:textId="09AF8412" w:rsidR="003A4C56" w:rsidRPr="003A4C56" w:rsidRDefault="003A4C56" w:rsidP="003F398F">
      <w:pPr>
        <w:spacing w:after="120"/>
        <w:jc w:val="center"/>
      </w:pPr>
    </w:p>
    <w:p w14:paraId="7552EF74" w14:textId="1C61603A" w:rsidR="006C09A1" w:rsidRPr="003A4C56" w:rsidRDefault="006C09A1" w:rsidP="3DD30E32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A2F910F" wp14:editId="7C5AC79B">
            <wp:extent cx="7343775" cy="4473006"/>
            <wp:effectExtent l="0" t="0" r="0" b="3810"/>
            <wp:docPr id="226241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324" cy="447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4ECEC" w14:textId="77777777" w:rsidR="003A4C56" w:rsidRDefault="003A4C56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  <w:bCs/>
          <w:szCs w:val="18"/>
        </w:rPr>
      </w:pPr>
      <w:r>
        <w:rPr>
          <w:b/>
          <w:bCs/>
          <w:szCs w:val="18"/>
        </w:rPr>
        <w:br w:type="page"/>
      </w:r>
    </w:p>
    <w:p w14:paraId="693D220C" w14:textId="6D3BA5C3" w:rsidR="00ED7F6D" w:rsidRDefault="002F6722" w:rsidP="003F398F">
      <w:pPr>
        <w:spacing w:after="120"/>
        <w:jc w:val="center"/>
        <w:rPr>
          <w:b/>
          <w:bCs/>
          <w:szCs w:val="18"/>
        </w:rPr>
      </w:pPr>
      <w:r w:rsidRPr="002F6722">
        <w:rPr>
          <w:b/>
          <w:bCs/>
          <w:szCs w:val="18"/>
        </w:rPr>
        <w:lastRenderedPageBreak/>
        <w:t xml:space="preserve">Annex </w:t>
      </w:r>
      <w:r w:rsidR="003A4C56">
        <w:rPr>
          <w:rFonts w:hint="eastAsia"/>
          <w:b/>
          <w:bCs/>
          <w:szCs w:val="18"/>
          <w:lang w:eastAsia="ko-KR"/>
        </w:rPr>
        <w:t>2</w:t>
      </w:r>
      <w:r w:rsidRPr="002F6722">
        <w:rPr>
          <w:b/>
          <w:bCs/>
          <w:szCs w:val="18"/>
        </w:rPr>
        <w:t>: Work plan of ITU-D Study Group 2</w:t>
      </w:r>
    </w:p>
    <w:p w14:paraId="41FB91D5" w14:textId="0AA74D21" w:rsidR="002F6722" w:rsidRDefault="00FD2844" w:rsidP="00ED7F6D">
      <w:pPr>
        <w:rPr>
          <w:b/>
          <w:bCs/>
          <w:szCs w:val="18"/>
        </w:rPr>
      </w:pPr>
      <w:r w:rsidRPr="00FD2844">
        <w:rPr>
          <w:noProof/>
        </w:rPr>
        <w:drawing>
          <wp:inline distT="0" distB="0" distL="0" distR="0" wp14:anchorId="53C2C7AF" wp14:editId="43EBFB9C">
            <wp:extent cx="9261349" cy="4619625"/>
            <wp:effectExtent l="0" t="0" r="0" b="0"/>
            <wp:docPr id="172598898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4729" cy="463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30005" w14:textId="6E12A796" w:rsidR="00D83BF5" w:rsidRPr="0084734D" w:rsidRDefault="00D83BF5" w:rsidP="00403C69">
      <w:pPr>
        <w:jc w:val="center"/>
        <w:rPr>
          <w:szCs w:val="24"/>
        </w:rPr>
      </w:pPr>
      <w:r w:rsidRPr="00403C69">
        <w:rPr>
          <w:szCs w:val="24"/>
        </w:rPr>
        <w:t>_______________</w:t>
      </w:r>
    </w:p>
    <w:sectPr w:rsidR="00D83BF5" w:rsidRPr="0084734D" w:rsidSect="00EC3B9D">
      <w:headerReference w:type="default" r:id="rId24"/>
      <w:pgSz w:w="16840" w:h="11907" w:orient="landscape" w:code="9"/>
      <w:pgMar w:top="1134" w:right="1418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0C00" w14:textId="77777777" w:rsidR="00D6287F" w:rsidRDefault="00D6287F">
      <w:r>
        <w:separator/>
      </w:r>
    </w:p>
    <w:p w14:paraId="4FB26B30" w14:textId="77777777" w:rsidR="00D6287F" w:rsidRDefault="00D6287F"/>
  </w:endnote>
  <w:endnote w:type="continuationSeparator" w:id="0">
    <w:p w14:paraId="0CC2EFB5" w14:textId="77777777" w:rsidR="00D6287F" w:rsidRDefault="00D6287F">
      <w:r>
        <w:continuationSeparator/>
      </w:r>
    </w:p>
    <w:p w14:paraId="2D72BB10" w14:textId="77777777" w:rsidR="00D6287F" w:rsidRDefault="00D6287F"/>
  </w:endnote>
  <w:endnote w:type="continuationNotice" w:id="1">
    <w:p w14:paraId="170E9DCE" w14:textId="77777777" w:rsidR="00D6287F" w:rsidRDefault="00D6287F">
      <w:pPr>
        <w:spacing w:before="0"/>
      </w:pPr>
    </w:p>
    <w:p w14:paraId="26C8AB20" w14:textId="77777777" w:rsidR="00D6287F" w:rsidRDefault="00D62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7103A9" w:rsidRPr="00F922FD" w14:paraId="0250776B" w14:textId="77777777" w:rsidTr="007103A9">
      <w:tc>
        <w:tcPr>
          <w:tcW w:w="1526" w:type="dxa"/>
          <w:tcBorders>
            <w:top w:val="single" w:sz="4" w:space="0" w:color="000000"/>
          </w:tcBorders>
        </w:tcPr>
        <w:p w14:paraId="7B97426B" w14:textId="77777777" w:rsidR="007103A9" w:rsidRPr="00F922FD" w:rsidRDefault="007103A9" w:rsidP="007103A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F922FD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74DBEBFE" w14:textId="77777777" w:rsidR="007103A9" w:rsidRPr="00F922FD" w:rsidRDefault="007103A9" w:rsidP="007103A9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F922FD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</w:tcPr>
        <w:p w14:paraId="15DBFEBF" w14:textId="5D18B076" w:rsidR="007103A9" w:rsidRPr="00F922FD" w:rsidRDefault="007103A9" w:rsidP="007103A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F922FD">
            <w:rPr>
              <w:sz w:val="18"/>
              <w:szCs w:val="18"/>
            </w:rPr>
            <w:t xml:space="preserve">Mr </w:t>
          </w:r>
          <w:r w:rsidRPr="00F922FD">
            <w:rPr>
              <w:sz w:val="18"/>
              <w:szCs w:val="18"/>
              <w:lang w:val="en-US"/>
            </w:rPr>
            <w:t>Fadel Digham, Chair, ITU-D Study Group 2</w:t>
          </w:r>
        </w:p>
      </w:tc>
      <w:bookmarkStart w:id="10" w:name="OrgName"/>
      <w:bookmarkEnd w:id="10"/>
    </w:tr>
    <w:tr w:rsidR="007103A9" w:rsidRPr="00F922FD" w14:paraId="5230281A" w14:textId="77777777" w:rsidTr="007103A9">
      <w:tc>
        <w:tcPr>
          <w:tcW w:w="1526" w:type="dxa"/>
        </w:tcPr>
        <w:p w14:paraId="6401EE47" w14:textId="77777777" w:rsidR="007103A9" w:rsidRPr="00F922FD" w:rsidRDefault="007103A9" w:rsidP="007103A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91F12A8" w14:textId="77777777" w:rsidR="007103A9" w:rsidRPr="00F922FD" w:rsidRDefault="007103A9" w:rsidP="007103A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F922FD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343AE9D3" w14:textId="173684C6" w:rsidR="007103A9" w:rsidRPr="00F922FD" w:rsidRDefault="007103A9" w:rsidP="007103A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F922FD">
            <w:rPr>
              <w:bCs/>
              <w:sz w:val="18"/>
              <w:szCs w:val="18"/>
            </w:rPr>
            <w:t>+20 100225 8599</w:t>
          </w:r>
        </w:p>
      </w:tc>
      <w:bookmarkStart w:id="11" w:name="PhoneNo"/>
      <w:bookmarkEnd w:id="11"/>
    </w:tr>
    <w:tr w:rsidR="007103A9" w:rsidRPr="00F922FD" w14:paraId="75C00FB1" w14:textId="77777777" w:rsidTr="007103A9">
      <w:tc>
        <w:tcPr>
          <w:tcW w:w="1526" w:type="dxa"/>
        </w:tcPr>
        <w:p w14:paraId="1C7F3E4C" w14:textId="77777777" w:rsidR="007103A9" w:rsidRPr="00F922FD" w:rsidRDefault="007103A9" w:rsidP="007103A9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58859CB6" w14:textId="77777777" w:rsidR="007103A9" w:rsidRPr="00F922FD" w:rsidRDefault="007103A9" w:rsidP="007103A9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F922FD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6B20DF29" w14:textId="2190549B" w:rsidR="007103A9" w:rsidRPr="00F922FD" w:rsidRDefault="007103A9" w:rsidP="007103A9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F922FD">
              <w:rPr>
                <w:rStyle w:val="Hyperlink"/>
                <w:sz w:val="18"/>
                <w:szCs w:val="18"/>
                <w:lang w:val="en-US"/>
              </w:rPr>
              <w:t>fdigham@tra.gov.eg</w:t>
            </w:r>
          </w:hyperlink>
          <w:r w:rsidRPr="00F922FD">
            <w:rPr>
              <w:sz w:val="18"/>
              <w:szCs w:val="18"/>
              <w:lang w:val="en-US"/>
            </w:rPr>
            <w:t xml:space="preserve">; </w:t>
          </w:r>
          <w:hyperlink r:id="rId2" w:history="1">
            <w:r w:rsidRPr="00F922FD">
              <w:rPr>
                <w:rStyle w:val="Hyperlink"/>
                <w:sz w:val="18"/>
                <w:szCs w:val="18"/>
                <w:lang w:val="en-US"/>
              </w:rPr>
              <w:t>fadel.digham@gmail.com</w:t>
            </w:r>
          </w:hyperlink>
        </w:p>
      </w:tc>
      <w:bookmarkStart w:id="12" w:name="Email"/>
      <w:bookmarkEnd w:id="12"/>
    </w:tr>
  </w:tbl>
  <w:p w14:paraId="4059E016" w14:textId="77777777" w:rsidR="00602CFD" w:rsidRPr="00F922FD" w:rsidRDefault="00602CFD" w:rsidP="00602CFD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7930" w14:textId="77777777" w:rsidR="00D6287F" w:rsidRPr="0054377E" w:rsidRDefault="00D6287F" w:rsidP="0054377E">
      <w:pPr>
        <w:spacing w:before="0"/>
      </w:pPr>
      <w:r w:rsidRPr="0054377E">
        <w:rPr>
          <w:b/>
        </w:rPr>
        <w:t>_______________</w:t>
      </w:r>
    </w:p>
  </w:footnote>
  <w:footnote w:type="continuationSeparator" w:id="0">
    <w:p w14:paraId="46EB037D" w14:textId="77777777" w:rsidR="00D6287F" w:rsidRDefault="00D6287F" w:rsidP="0054377E">
      <w:pPr>
        <w:spacing w:before="0"/>
      </w:pPr>
      <w:r>
        <w:continuationSeparator/>
      </w:r>
    </w:p>
    <w:p w14:paraId="40F1AE6C" w14:textId="77777777" w:rsidR="00D6287F" w:rsidRDefault="00D6287F"/>
  </w:footnote>
  <w:footnote w:type="continuationNotice" w:id="1">
    <w:p w14:paraId="017A09F5" w14:textId="77777777" w:rsidR="00D6287F" w:rsidRDefault="00D6287F">
      <w:pPr>
        <w:spacing w:before="0"/>
      </w:pPr>
    </w:p>
    <w:p w14:paraId="41DCAEBB" w14:textId="77777777" w:rsidR="00D6287F" w:rsidRDefault="00D6287F"/>
  </w:footnote>
  <w:footnote w:id="2">
    <w:p w14:paraId="19D7FE36" w14:textId="07503B99" w:rsidR="00225D6C" w:rsidRPr="005B5B86" w:rsidRDefault="00225D6C" w:rsidP="009E60C1">
      <w:pPr>
        <w:pStyle w:val="FootnoteText"/>
        <w:spacing w:before="0"/>
        <w:rPr>
          <w:sz w:val="20"/>
          <w:lang w:eastAsia="ko-KR"/>
        </w:rPr>
      </w:pPr>
      <w:r w:rsidRPr="005B5B86">
        <w:rPr>
          <w:rStyle w:val="FootnoteReference"/>
          <w:sz w:val="20"/>
        </w:rPr>
        <w:footnoteRef/>
      </w:r>
      <w:r w:rsidRPr="005B5B86">
        <w:rPr>
          <w:sz w:val="20"/>
        </w:rPr>
        <w:t xml:space="preserve"> </w:t>
      </w:r>
      <w:r w:rsidRPr="005B5B86">
        <w:rPr>
          <w:rFonts w:hint="eastAsia"/>
          <w:sz w:val="20"/>
          <w:lang w:eastAsia="ko-KR"/>
        </w:rPr>
        <w:t>Source: Annex 1 to WTDC Resolution 2 (Rev. Baku, 2025).</w:t>
      </w:r>
    </w:p>
  </w:footnote>
  <w:footnote w:id="3">
    <w:p w14:paraId="0FF08829" w14:textId="6F0C58A1" w:rsidR="004F6CE8" w:rsidRPr="005B5B86" w:rsidRDefault="004F6CE8" w:rsidP="009E60C1">
      <w:pPr>
        <w:pStyle w:val="FootnoteText"/>
        <w:spacing w:before="0"/>
        <w:rPr>
          <w:sz w:val="20"/>
          <w:lang w:eastAsia="ko-KR"/>
        </w:rPr>
      </w:pPr>
      <w:r w:rsidRPr="005B5B86">
        <w:rPr>
          <w:rStyle w:val="FootnoteReference"/>
          <w:sz w:val="20"/>
        </w:rPr>
        <w:footnoteRef/>
      </w:r>
      <w:r w:rsidRPr="005B5B86">
        <w:rPr>
          <w:sz w:val="20"/>
        </w:rPr>
        <w:t xml:space="preserve"> </w:t>
      </w:r>
      <w:r w:rsidRPr="005B5B86">
        <w:rPr>
          <w:rFonts w:hint="eastAsia"/>
          <w:sz w:val="20"/>
          <w:lang w:eastAsia="ko-KR"/>
        </w:rPr>
        <w:t xml:space="preserve">See circular letter </w:t>
      </w:r>
      <w:hyperlink r:id="rId1" w:history="1">
        <w:r w:rsidRPr="005B5B86">
          <w:rPr>
            <w:rStyle w:val="Hyperlink"/>
            <w:sz w:val="20"/>
            <w:lang w:eastAsia="ko-KR"/>
          </w:rPr>
          <w:t>BDT/PPS/CSTG-1</w:t>
        </w:r>
      </w:hyperlink>
      <w:r w:rsidRPr="005B5B86">
        <w:rPr>
          <w:rFonts w:hint="eastAsia"/>
          <w:sz w:val="20"/>
          <w:lang w:eastAsia="ko-KR"/>
        </w:rPr>
        <w:t>.</w:t>
      </w:r>
    </w:p>
  </w:footnote>
  <w:footnote w:id="4">
    <w:p w14:paraId="48EBE7D9" w14:textId="2CA45AE1" w:rsidR="00EB2A85" w:rsidRPr="005B5B86" w:rsidRDefault="00EB2A85" w:rsidP="009E60C1">
      <w:pPr>
        <w:pStyle w:val="FootnoteText"/>
        <w:spacing w:before="0"/>
        <w:rPr>
          <w:sz w:val="20"/>
          <w:lang w:eastAsia="ko-KR"/>
        </w:rPr>
      </w:pPr>
      <w:r w:rsidRPr="005B5B86">
        <w:rPr>
          <w:rStyle w:val="FootnoteReference"/>
          <w:sz w:val="20"/>
        </w:rPr>
        <w:footnoteRef/>
      </w:r>
      <w:r w:rsidRPr="005B5B86">
        <w:rPr>
          <w:sz w:val="20"/>
        </w:rPr>
        <w:t xml:space="preserve"> </w:t>
      </w:r>
      <w:r w:rsidRPr="005B5B86">
        <w:rPr>
          <w:rFonts w:hint="eastAsia"/>
          <w:sz w:val="20"/>
          <w:lang w:eastAsia="ko-KR"/>
        </w:rPr>
        <w:t xml:space="preserve">The web page for this meeting is available </w:t>
      </w:r>
      <w:hyperlink r:id="rId2" w:history="1">
        <w:r w:rsidRPr="005B5B86">
          <w:rPr>
            <w:rStyle w:val="Hyperlink"/>
            <w:rFonts w:hint="eastAsia"/>
            <w:sz w:val="20"/>
            <w:lang w:eastAsia="ko-KR"/>
          </w:rPr>
          <w:t>here</w:t>
        </w:r>
      </w:hyperlink>
      <w:r w:rsidRPr="005B5B86">
        <w:rPr>
          <w:rFonts w:hint="eastAsia"/>
          <w:sz w:val="20"/>
          <w:lang w:eastAsia="ko-KR"/>
        </w:rPr>
        <w:t>.</w:t>
      </w:r>
    </w:p>
  </w:footnote>
  <w:footnote w:id="5">
    <w:p w14:paraId="522CAE83" w14:textId="5D8FC962" w:rsidR="008540CD" w:rsidRPr="005B5B86" w:rsidRDefault="008540CD" w:rsidP="009E60C1">
      <w:pPr>
        <w:pStyle w:val="FootnoteText"/>
        <w:spacing w:before="0"/>
        <w:rPr>
          <w:sz w:val="20"/>
          <w:lang w:eastAsia="ko-KR"/>
        </w:rPr>
      </w:pPr>
      <w:r w:rsidRPr="005B5B86">
        <w:rPr>
          <w:rStyle w:val="FootnoteReference"/>
          <w:sz w:val="20"/>
        </w:rPr>
        <w:footnoteRef/>
      </w:r>
      <w:r w:rsidRPr="005B5B86">
        <w:rPr>
          <w:sz w:val="20"/>
        </w:rPr>
        <w:t xml:space="preserve"> </w:t>
      </w:r>
      <w:r w:rsidRPr="005B5B86">
        <w:rPr>
          <w:rFonts w:hint="eastAsia"/>
          <w:sz w:val="20"/>
          <w:lang w:eastAsia="ko-KR"/>
        </w:rPr>
        <w:t xml:space="preserve">Available at this </w:t>
      </w:r>
      <w:hyperlink r:id="rId3" w:history="1">
        <w:r w:rsidRPr="005B5B86">
          <w:rPr>
            <w:rStyle w:val="Hyperlink"/>
            <w:rFonts w:hint="eastAsia"/>
            <w:sz w:val="20"/>
            <w:lang w:eastAsia="ko-KR"/>
          </w:rPr>
          <w:t>link</w:t>
        </w:r>
      </w:hyperlink>
      <w:r w:rsidRPr="005B5B86">
        <w:rPr>
          <w:rFonts w:hint="eastAsia"/>
          <w:sz w:val="20"/>
          <w:lang w:eastAsia="ko-KR"/>
        </w:rPr>
        <w:t>.</w:t>
      </w:r>
    </w:p>
  </w:footnote>
  <w:footnote w:id="6">
    <w:p w14:paraId="7D5C42FB" w14:textId="77777777" w:rsidR="002F7AAD" w:rsidRPr="005B5B86" w:rsidRDefault="002F7AAD" w:rsidP="009E60C1">
      <w:pPr>
        <w:pStyle w:val="FootnoteText"/>
        <w:spacing w:before="0"/>
        <w:rPr>
          <w:sz w:val="20"/>
          <w:lang w:eastAsia="ko-KR"/>
        </w:rPr>
      </w:pPr>
      <w:r w:rsidRPr="005B5B86">
        <w:rPr>
          <w:rStyle w:val="FootnoteReference"/>
          <w:sz w:val="20"/>
        </w:rPr>
        <w:footnoteRef/>
      </w:r>
      <w:r w:rsidRPr="005B5B86">
        <w:rPr>
          <w:sz w:val="20"/>
        </w:rPr>
        <w:t xml:space="preserve"> </w:t>
      </w:r>
      <w:r w:rsidRPr="005B5B86">
        <w:rPr>
          <w:sz w:val="20"/>
          <w:lang w:eastAsia="ko-KR"/>
        </w:rPr>
        <w:t xml:space="preserve">Available at this </w:t>
      </w:r>
      <w:hyperlink r:id="rId4" w:history="1">
        <w:r w:rsidRPr="005B5B86">
          <w:rPr>
            <w:rStyle w:val="Hyperlink"/>
            <w:sz w:val="20"/>
            <w:lang w:eastAsia="ko-KR"/>
          </w:rPr>
          <w:t>link</w:t>
        </w:r>
      </w:hyperlink>
      <w:r w:rsidRPr="005B5B86">
        <w:rPr>
          <w:sz w:val="20"/>
          <w:lang w:eastAsia="ko-KR"/>
        </w:rPr>
        <w:t>.</w:t>
      </w:r>
    </w:p>
  </w:footnote>
  <w:footnote w:id="7">
    <w:p w14:paraId="3F0618CF" w14:textId="73E9C0C1" w:rsidR="002F7AAD" w:rsidRPr="005B5B86" w:rsidRDefault="002F7AAD" w:rsidP="009E60C1">
      <w:pPr>
        <w:pStyle w:val="FootnoteText"/>
        <w:spacing w:before="0"/>
        <w:rPr>
          <w:sz w:val="20"/>
          <w:lang w:eastAsia="ko-KR"/>
        </w:rPr>
      </w:pPr>
      <w:r w:rsidRPr="005B5B86">
        <w:rPr>
          <w:rStyle w:val="FootnoteReference"/>
          <w:sz w:val="20"/>
        </w:rPr>
        <w:footnoteRef/>
      </w:r>
      <w:r w:rsidRPr="005B5B86">
        <w:rPr>
          <w:sz w:val="20"/>
        </w:rPr>
        <w:t xml:space="preserve"> </w:t>
      </w:r>
      <w:r w:rsidRPr="005B5B86">
        <w:rPr>
          <w:sz w:val="20"/>
          <w:lang w:eastAsia="ko-KR"/>
        </w:rPr>
        <w:t xml:space="preserve">Available at this </w:t>
      </w:r>
      <w:hyperlink r:id="rId5" w:history="1">
        <w:r w:rsidRPr="005B5B86">
          <w:rPr>
            <w:rStyle w:val="Hyperlink"/>
            <w:sz w:val="20"/>
            <w:lang w:eastAsia="ko-KR"/>
          </w:rPr>
          <w:t>link</w:t>
        </w:r>
      </w:hyperlink>
      <w:r w:rsidRPr="005B5B86">
        <w:rPr>
          <w:sz w:val="20"/>
          <w:lang w:eastAsia="ko-KR"/>
        </w:rPr>
        <w:t>.</w:t>
      </w:r>
    </w:p>
  </w:footnote>
  <w:footnote w:id="8">
    <w:p w14:paraId="75D79AAD" w14:textId="67DF5A70" w:rsidR="00CB3C02" w:rsidRPr="005B5B86" w:rsidRDefault="00CB3C02" w:rsidP="009E60C1">
      <w:pPr>
        <w:pStyle w:val="FootnoteText"/>
        <w:spacing w:before="0"/>
        <w:rPr>
          <w:rFonts w:cstheme="minorHAnsi"/>
          <w:sz w:val="20"/>
        </w:rPr>
      </w:pPr>
      <w:r w:rsidRPr="005B5B86">
        <w:rPr>
          <w:rStyle w:val="FootnoteReference"/>
          <w:rFonts w:cstheme="minorHAnsi"/>
          <w:sz w:val="20"/>
        </w:rPr>
        <w:footnoteRef/>
      </w:r>
      <w:r w:rsidRPr="005B5B86">
        <w:rPr>
          <w:rFonts w:cstheme="minorHAnsi"/>
          <w:sz w:val="20"/>
        </w:rPr>
        <w:t xml:space="preserve"> The contributions repository &amp; dashboard </w:t>
      </w:r>
      <w:r w:rsidRPr="005B5B86">
        <w:rPr>
          <w:rFonts w:cstheme="minorHAnsi" w:hint="eastAsia"/>
          <w:sz w:val="20"/>
          <w:lang w:eastAsia="ko-KR"/>
        </w:rPr>
        <w:t xml:space="preserve">from the 2022-2025 study period </w:t>
      </w:r>
      <w:r w:rsidRPr="005B5B86">
        <w:rPr>
          <w:rFonts w:cstheme="minorHAnsi"/>
          <w:sz w:val="20"/>
        </w:rPr>
        <w:t xml:space="preserve">can be found </w:t>
      </w:r>
      <w:hyperlink r:id="rId6" w:history="1">
        <w:r w:rsidRPr="005B5B86">
          <w:rPr>
            <w:rStyle w:val="Hyperlink"/>
            <w:rFonts w:cstheme="minorHAnsi"/>
            <w:sz w:val="20"/>
          </w:rPr>
          <w:t>here</w:t>
        </w:r>
      </w:hyperlink>
      <w:r w:rsidRPr="005B5B86">
        <w:rPr>
          <w:rFonts w:cstheme="minorHAnsi"/>
          <w:sz w:val="20"/>
        </w:rPr>
        <w:t xml:space="preserve">. </w:t>
      </w:r>
    </w:p>
  </w:footnote>
  <w:footnote w:id="9">
    <w:p w14:paraId="6B55DCF3" w14:textId="77777777" w:rsidR="00CB3C02" w:rsidRPr="005B5B86" w:rsidRDefault="00CB3C02" w:rsidP="009E60C1">
      <w:pPr>
        <w:pStyle w:val="FootnoteText"/>
        <w:spacing w:before="0"/>
        <w:rPr>
          <w:rFonts w:cstheme="minorHAnsi"/>
          <w:sz w:val="20"/>
        </w:rPr>
      </w:pPr>
      <w:r w:rsidRPr="005B5B86">
        <w:rPr>
          <w:rStyle w:val="FootnoteReference"/>
          <w:rFonts w:cstheme="minorHAnsi"/>
          <w:sz w:val="20"/>
        </w:rPr>
        <w:footnoteRef/>
      </w:r>
      <w:r w:rsidRPr="005B5B86">
        <w:rPr>
          <w:rFonts w:cstheme="minorHAnsi"/>
          <w:sz w:val="20"/>
        </w:rPr>
        <w:t xml:space="preserve"> </w:t>
      </w:r>
      <w:hyperlink r:id="rId7" w:history="1">
        <w:r w:rsidRPr="005B5B86">
          <w:rPr>
            <w:rStyle w:val="Hyperlink"/>
            <w:rFonts w:cstheme="minorHAnsi"/>
            <w:sz w:val="20"/>
          </w:rPr>
          <w:t>https://translate.itu.int/documents</w:t>
        </w:r>
      </w:hyperlink>
      <w:r w:rsidRPr="005B5B86">
        <w:rPr>
          <w:rFonts w:eastAsia="Malgun Gothic" w:cstheme="minorHAnsi"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1B53" w14:textId="35E6A369" w:rsidR="00636181" w:rsidRPr="007A4761" w:rsidRDefault="00636181" w:rsidP="007C5BD0">
    <w:pPr>
      <w:tabs>
        <w:tab w:val="clear" w:pos="1134"/>
        <w:tab w:val="clear" w:pos="1871"/>
        <w:tab w:val="clear" w:pos="2268"/>
        <w:tab w:val="center" w:pos="4820"/>
        <w:tab w:val="right" w:pos="14287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>
      <w:rPr>
        <w:sz w:val="22"/>
        <w:szCs w:val="22"/>
        <w:lang w:val="es-ES_tradnl"/>
      </w:rPr>
      <w:t>TDAG-2</w:t>
    </w:r>
    <w:r w:rsidR="00EF4D25">
      <w:rPr>
        <w:sz w:val="22"/>
        <w:szCs w:val="22"/>
        <w:lang w:val="es-ES_tradnl"/>
      </w:rPr>
      <w:t>6</w:t>
    </w:r>
    <w:r w:rsidRPr="00FF089C">
      <w:rPr>
        <w:sz w:val="22"/>
        <w:szCs w:val="22"/>
        <w:lang w:val="es-ES_tradnl"/>
      </w:rPr>
      <w:t>/</w:t>
    </w:r>
    <w:r w:rsidR="00F442D6">
      <w:rPr>
        <w:rFonts w:hint="eastAsia"/>
        <w:sz w:val="22"/>
        <w:szCs w:val="22"/>
        <w:lang w:val="es-ES_tradnl" w:eastAsia="ko-KR"/>
      </w:rPr>
      <w:t>6</w:t>
    </w:r>
    <w:r w:rsidRPr="00FF089C">
      <w:rPr>
        <w:sz w:val="22"/>
        <w:szCs w:val="22"/>
        <w:lang w:val="es-ES_tradnl"/>
      </w:rPr>
      <w:t>-E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="00893B2C">
      <w:rPr>
        <w:noProof/>
        <w:sz w:val="22"/>
        <w:szCs w:val="22"/>
        <w:lang w:val="es-ES_tradnl"/>
      </w:rPr>
      <w:t>19</w:t>
    </w:r>
    <w:r w:rsidRPr="004D495C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798D" w14:textId="77777777" w:rsidR="007C5BD0" w:rsidRPr="007A4761" w:rsidRDefault="007C5BD0" w:rsidP="00EC3B9D">
    <w:pPr>
      <w:tabs>
        <w:tab w:val="clear" w:pos="1134"/>
        <w:tab w:val="clear" w:pos="1871"/>
        <w:tab w:val="clear" w:pos="2268"/>
        <w:tab w:val="center" w:pos="6946"/>
        <w:tab w:val="right" w:pos="14287"/>
      </w:tabs>
      <w:ind w:right="1"/>
      <w:rPr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>
      <w:rPr>
        <w:sz w:val="22"/>
        <w:szCs w:val="22"/>
        <w:lang w:val="es-ES_tradnl"/>
      </w:rPr>
      <w:t>TDAG-26</w:t>
    </w:r>
    <w:r w:rsidRPr="00FF089C">
      <w:rPr>
        <w:sz w:val="22"/>
        <w:szCs w:val="22"/>
        <w:lang w:val="es-ES_tradnl"/>
      </w:rPr>
      <w:t>/</w:t>
    </w:r>
    <w:r>
      <w:rPr>
        <w:rFonts w:hint="eastAsia"/>
        <w:sz w:val="22"/>
        <w:szCs w:val="22"/>
        <w:lang w:val="es-ES_tradnl" w:eastAsia="ko-KR"/>
      </w:rPr>
      <w:t>6</w:t>
    </w:r>
    <w:r w:rsidRPr="00FF089C">
      <w:rPr>
        <w:sz w:val="22"/>
        <w:szCs w:val="22"/>
        <w:lang w:val="es-ES_tradnl"/>
      </w:rPr>
      <w:t>-E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>
      <w:rPr>
        <w:noProof/>
        <w:sz w:val="22"/>
        <w:szCs w:val="22"/>
        <w:lang w:val="es-ES_tradnl"/>
      </w:rPr>
      <w:t>19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9554F"/>
    <w:multiLevelType w:val="multilevel"/>
    <w:tmpl w:val="2A0EB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001129"/>
    <w:multiLevelType w:val="hybridMultilevel"/>
    <w:tmpl w:val="7186BEFC"/>
    <w:lvl w:ilvl="0" w:tplc="F910A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23BB7"/>
    <w:multiLevelType w:val="hybridMultilevel"/>
    <w:tmpl w:val="D856187C"/>
    <w:lvl w:ilvl="0" w:tplc="F910A4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535A37"/>
    <w:multiLevelType w:val="multilevel"/>
    <w:tmpl w:val="28C8DD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042CAE"/>
    <w:multiLevelType w:val="hybridMultilevel"/>
    <w:tmpl w:val="BB6A7126"/>
    <w:lvl w:ilvl="0" w:tplc="2542B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54702">
    <w:abstractNumId w:val="4"/>
  </w:num>
  <w:num w:numId="2" w16cid:durableId="362947223">
    <w:abstractNumId w:val="0"/>
  </w:num>
  <w:num w:numId="3" w16cid:durableId="247229559">
    <w:abstractNumId w:val="2"/>
  </w:num>
  <w:num w:numId="4" w16cid:durableId="60373937">
    <w:abstractNumId w:val="1"/>
  </w:num>
  <w:num w:numId="5" w16cid:durableId="78318706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2BBA"/>
    <w:rsid w:val="000041EA"/>
    <w:rsid w:val="00004EB7"/>
    <w:rsid w:val="00005A53"/>
    <w:rsid w:val="00005FBD"/>
    <w:rsid w:val="00011871"/>
    <w:rsid w:val="00011ECB"/>
    <w:rsid w:val="000150B0"/>
    <w:rsid w:val="00015AE3"/>
    <w:rsid w:val="00015E52"/>
    <w:rsid w:val="00022A29"/>
    <w:rsid w:val="00025926"/>
    <w:rsid w:val="00025965"/>
    <w:rsid w:val="000355FD"/>
    <w:rsid w:val="0003589F"/>
    <w:rsid w:val="000414E0"/>
    <w:rsid w:val="000443CD"/>
    <w:rsid w:val="0005184F"/>
    <w:rsid w:val="00051E39"/>
    <w:rsid w:val="00053725"/>
    <w:rsid w:val="00054B72"/>
    <w:rsid w:val="0005581A"/>
    <w:rsid w:val="0005619C"/>
    <w:rsid w:val="0005747E"/>
    <w:rsid w:val="000604E5"/>
    <w:rsid w:val="000617DF"/>
    <w:rsid w:val="0006550B"/>
    <w:rsid w:val="0007000B"/>
    <w:rsid w:val="000735FD"/>
    <w:rsid w:val="00074109"/>
    <w:rsid w:val="00074C4D"/>
    <w:rsid w:val="00075C63"/>
    <w:rsid w:val="00076288"/>
    <w:rsid w:val="00077239"/>
    <w:rsid w:val="000778CA"/>
    <w:rsid w:val="000805BB"/>
    <w:rsid w:val="00080905"/>
    <w:rsid w:val="00081C9D"/>
    <w:rsid w:val="000822BE"/>
    <w:rsid w:val="000829BB"/>
    <w:rsid w:val="00082B11"/>
    <w:rsid w:val="000840A7"/>
    <w:rsid w:val="000843D9"/>
    <w:rsid w:val="00085C6A"/>
    <w:rsid w:val="00086491"/>
    <w:rsid w:val="00086C91"/>
    <w:rsid w:val="000904F9"/>
    <w:rsid w:val="000909ED"/>
    <w:rsid w:val="00091346"/>
    <w:rsid w:val="00091C80"/>
    <w:rsid w:val="00093F0E"/>
    <w:rsid w:val="0009581F"/>
    <w:rsid w:val="00095901"/>
    <w:rsid w:val="00097074"/>
    <w:rsid w:val="000A3B54"/>
    <w:rsid w:val="000A59AE"/>
    <w:rsid w:val="000B738A"/>
    <w:rsid w:val="000C03F4"/>
    <w:rsid w:val="000C17EA"/>
    <w:rsid w:val="000C2592"/>
    <w:rsid w:val="000C42BA"/>
    <w:rsid w:val="000C4FD1"/>
    <w:rsid w:val="000D1759"/>
    <w:rsid w:val="000D38EB"/>
    <w:rsid w:val="000D4875"/>
    <w:rsid w:val="000D6891"/>
    <w:rsid w:val="000D6E8D"/>
    <w:rsid w:val="000E71F8"/>
    <w:rsid w:val="000F29EC"/>
    <w:rsid w:val="000F38EA"/>
    <w:rsid w:val="000F542E"/>
    <w:rsid w:val="000F641B"/>
    <w:rsid w:val="000F73FF"/>
    <w:rsid w:val="000F75AA"/>
    <w:rsid w:val="000F7F1C"/>
    <w:rsid w:val="00102175"/>
    <w:rsid w:val="00102343"/>
    <w:rsid w:val="001029B3"/>
    <w:rsid w:val="00105DCD"/>
    <w:rsid w:val="001066B3"/>
    <w:rsid w:val="001114AC"/>
    <w:rsid w:val="00114584"/>
    <w:rsid w:val="00114CF7"/>
    <w:rsid w:val="00115411"/>
    <w:rsid w:val="00115B33"/>
    <w:rsid w:val="00116B95"/>
    <w:rsid w:val="00117233"/>
    <w:rsid w:val="00123B68"/>
    <w:rsid w:val="00124AF4"/>
    <w:rsid w:val="00124CAA"/>
    <w:rsid w:val="00125E69"/>
    <w:rsid w:val="00126F2E"/>
    <w:rsid w:val="00127FC6"/>
    <w:rsid w:val="00135012"/>
    <w:rsid w:val="001424DC"/>
    <w:rsid w:val="00143A87"/>
    <w:rsid w:val="00144E69"/>
    <w:rsid w:val="00146F6F"/>
    <w:rsid w:val="0014714E"/>
    <w:rsid w:val="00147DA1"/>
    <w:rsid w:val="00152957"/>
    <w:rsid w:val="00166196"/>
    <w:rsid w:val="001664A7"/>
    <w:rsid w:val="00167327"/>
    <w:rsid w:val="00167A9D"/>
    <w:rsid w:val="00170C5A"/>
    <w:rsid w:val="00171758"/>
    <w:rsid w:val="0017500F"/>
    <w:rsid w:val="001757FA"/>
    <w:rsid w:val="00176991"/>
    <w:rsid w:val="00180444"/>
    <w:rsid w:val="001832B9"/>
    <w:rsid w:val="00185737"/>
    <w:rsid w:val="00187BD9"/>
    <w:rsid w:val="0019060A"/>
    <w:rsid w:val="00190B55"/>
    <w:rsid w:val="00191F5C"/>
    <w:rsid w:val="00192FA9"/>
    <w:rsid w:val="00194CFB"/>
    <w:rsid w:val="001A0052"/>
    <w:rsid w:val="001A0949"/>
    <w:rsid w:val="001A1FFD"/>
    <w:rsid w:val="001A3858"/>
    <w:rsid w:val="001A4BD2"/>
    <w:rsid w:val="001B2ED3"/>
    <w:rsid w:val="001B643A"/>
    <w:rsid w:val="001B6675"/>
    <w:rsid w:val="001B7EA3"/>
    <w:rsid w:val="001C3B5F"/>
    <w:rsid w:val="001C61EA"/>
    <w:rsid w:val="001D058F"/>
    <w:rsid w:val="001D2025"/>
    <w:rsid w:val="001D520B"/>
    <w:rsid w:val="001E0384"/>
    <w:rsid w:val="001E24AF"/>
    <w:rsid w:val="001E252D"/>
    <w:rsid w:val="001E43DC"/>
    <w:rsid w:val="002009EA"/>
    <w:rsid w:val="00202CA0"/>
    <w:rsid w:val="00207A5D"/>
    <w:rsid w:val="002154A6"/>
    <w:rsid w:val="002162CD"/>
    <w:rsid w:val="00216478"/>
    <w:rsid w:val="00220634"/>
    <w:rsid w:val="00221C1D"/>
    <w:rsid w:val="002226B9"/>
    <w:rsid w:val="00224B7C"/>
    <w:rsid w:val="00224CDD"/>
    <w:rsid w:val="002255B3"/>
    <w:rsid w:val="00225D6C"/>
    <w:rsid w:val="00226B5F"/>
    <w:rsid w:val="0023164A"/>
    <w:rsid w:val="002319F6"/>
    <w:rsid w:val="002327FF"/>
    <w:rsid w:val="0023368E"/>
    <w:rsid w:val="0023409C"/>
    <w:rsid w:val="002346C7"/>
    <w:rsid w:val="002351D4"/>
    <w:rsid w:val="00236E8A"/>
    <w:rsid w:val="00240BC8"/>
    <w:rsid w:val="002420D0"/>
    <w:rsid w:val="00242487"/>
    <w:rsid w:val="00243411"/>
    <w:rsid w:val="00246B32"/>
    <w:rsid w:val="00251A53"/>
    <w:rsid w:val="0025489C"/>
    <w:rsid w:val="0026406F"/>
    <w:rsid w:val="002653F2"/>
    <w:rsid w:val="00266589"/>
    <w:rsid w:val="00267792"/>
    <w:rsid w:val="002712A9"/>
    <w:rsid w:val="00271316"/>
    <w:rsid w:val="00272417"/>
    <w:rsid w:val="00274CC3"/>
    <w:rsid w:val="00276414"/>
    <w:rsid w:val="00283F74"/>
    <w:rsid w:val="00286C1D"/>
    <w:rsid w:val="00286C4C"/>
    <w:rsid w:val="0029388F"/>
    <w:rsid w:val="00294BF6"/>
    <w:rsid w:val="00294D5A"/>
    <w:rsid w:val="002955DA"/>
    <w:rsid w:val="00295A71"/>
    <w:rsid w:val="00296313"/>
    <w:rsid w:val="00296DA0"/>
    <w:rsid w:val="00297006"/>
    <w:rsid w:val="002A0A7A"/>
    <w:rsid w:val="002A0D8C"/>
    <w:rsid w:val="002A27F8"/>
    <w:rsid w:val="002A3702"/>
    <w:rsid w:val="002A51DF"/>
    <w:rsid w:val="002A684E"/>
    <w:rsid w:val="002B074A"/>
    <w:rsid w:val="002B10D5"/>
    <w:rsid w:val="002B3296"/>
    <w:rsid w:val="002B3C0D"/>
    <w:rsid w:val="002B3C84"/>
    <w:rsid w:val="002B5490"/>
    <w:rsid w:val="002C00AA"/>
    <w:rsid w:val="002C12ED"/>
    <w:rsid w:val="002C49BA"/>
    <w:rsid w:val="002C4B75"/>
    <w:rsid w:val="002C73F6"/>
    <w:rsid w:val="002C7D5E"/>
    <w:rsid w:val="002D58BE"/>
    <w:rsid w:val="002E4D1D"/>
    <w:rsid w:val="002E4E32"/>
    <w:rsid w:val="002E51E0"/>
    <w:rsid w:val="002E5411"/>
    <w:rsid w:val="002E7A84"/>
    <w:rsid w:val="002F1BD0"/>
    <w:rsid w:val="002F6722"/>
    <w:rsid w:val="002F7AAD"/>
    <w:rsid w:val="003013EE"/>
    <w:rsid w:val="00304031"/>
    <w:rsid w:val="00311808"/>
    <w:rsid w:val="00311851"/>
    <w:rsid w:val="00311CD5"/>
    <w:rsid w:val="00316725"/>
    <w:rsid w:val="00316A69"/>
    <w:rsid w:val="00322FEF"/>
    <w:rsid w:val="003231C6"/>
    <w:rsid w:val="00323E49"/>
    <w:rsid w:val="003247A5"/>
    <w:rsid w:val="00325939"/>
    <w:rsid w:val="003273BC"/>
    <w:rsid w:val="00331F05"/>
    <w:rsid w:val="00335759"/>
    <w:rsid w:val="00337750"/>
    <w:rsid w:val="0034384D"/>
    <w:rsid w:val="00345D42"/>
    <w:rsid w:val="00346224"/>
    <w:rsid w:val="0034636C"/>
    <w:rsid w:val="0035089A"/>
    <w:rsid w:val="003511BC"/>
    <w:rsid w:val="00356083"/>
    <w:rsid w:val="00361609"/>
    <w:rsid w:val="00364098"/>
    <w:rsid w:val="00366978"/>
    <w:rsid w:val="0037003F"/>
    <w:rsid w:val="00372BCF"/>
    <w:rsid w:val="00373365"/>
    <w:rsid w:val="00377BD3"/>
    <w:rsid w:val="003807EA"/>
    <w:rsid w:val="003829D8"/>
    <w:rsid w:val="0038304D"/>
    <w:rsid w:val="00384088"/>
    <w:rsid w:val="0038489B"/>
    <w:rsid w:val="00385BE9"/>
    <w:rsid w:val="0039169B"/>
    <w:rsid w:val="00392277"/>
    <w:rsid w:val="0039262F"/>
    <w:rsid w:val="00394B90"/>
    <w:rsid w:val="003968CC"/>
    <w:rsid w:val="003A03FF"/>
    <w:rsid w:val="003A04F5"/>
    <w:rsid w:val="003A22FC"/>
    <w:rsid w:val="003A4C56"/>
    <w:rsid w:val="003A5137"/>
    <w:rsid w:val="003A6BAC"/>
    <w:rsid w:val="003A6BED"/>
    <w:rsid w:val="003A7F8C"/>
    <w:rsid w:val="003B08DA"/>
    <w:rsid w:val="003B11F9"/>
    <w:rsid w:val="003B2B56"/>
    <w:rsid w:val="003B532E"/>
    <w:rsid w:val="003B6306"/>
    <w:rsid w:val="003B6602"/>
    <w:rsid w:val="003B6F14"/>
    <w:rsid w:val="003B6F60"/>
    <w:rsid w:val="003C1870"/>
    <w:rsid w:val="003C6136"/>
    <w:rsid w:val="003D0F8B"/>
    <w:rsid w:val="003D39F2"/>
    <w:rsid w:val="003D5A63"/>
    <w:rsid w:val="003D6425"/>
    <w:rsid w:val="003D66A7"/>
    <w:rsid w:val="003D675C"/>
    <w:rsid w:val="003D7EE8"/>
    <w:rsid w:val="003E3496"/>
    <w:rsid w:val="003E7397"/>
    <w:rsid w:val="003F0A6C"/>
    <w:rsid w:val="003F0F49"/>
    <w:rsid w:val="003F1363"/>
    <w:rsid w:val="003F398F"/>
    <w:rsid w:val="00403C69"/>
    <w:rsid w:val="00405EC2"/>
    <w:rsid w:val="00406278"/>
    <w:rsid w:val="00406297"/>
    <w:rsid w:val="004112E3"/>
    <w:rsid w:val="00412C81"/>
    <w:rsid w:val="004131D4"/>
    <w:rsid w:val="0041348E"/>
    <w:rsid w:val="004145DC"/>
    <w:rsid w:val="00414895"/>
    <w:rsid w:val="00415E11"/>
    <w:rsid w:val="004208C6"/>
    <w:rsid w:val="00421605"/>
    <w:rsid w:val="004269E6"/>
    <w:rsid w:val="00433357"/>
    <w:rsid w:val="004345A3"/>
    <w:rsid w:val="00435762"/>
    <w:rsid w:val="00435E45"/>
    <w:rsid w:val="004364D9"/>
    <w:rsid w:val="00437819"/>
    <w:rsid w:val="00437A8D"/>
    <w:rsid w:val="00440C4F"/>
    <w:rsid w:val="0044164A"/>
    <w:rsid w:val="00441E8B"/>
    <w:rsid w:val="004445FD"/>
    <w:rsid w:val="00446FBA"/>
    <w:rsid w:val="00447308"/>
    <w:rsid w:val="00447990"/>
    <w:rsid w:val="004500BC"/>
    <w:rsid w:val="00451B1B"/>
    <w:rsid w:val="004552B4"/>
    <w:rsid w:val="004559E7"/>
    <w:rsid w:val="00460CF8"/>
    <w:rsid w:val="00460DC6"/>
    <w:rsid w:val="00462253"/>
    <w:rsid w:val="00462CB2"/>
    <w:rsid w:val="004631CC"/>
    <w:rsid w:val="00467DB2"/>
    <w:rsid w:val="00472FC1"/>
    <w:rsid w:val="004755BA"/>
    <w:rsid w:val="00476057"/>
    <w:rsid w:val="004765FF"/>
    <w:rsid w:val="00481E58"/>
    <w:rsid w:val="0048520E"/>
    <w:rsid w:val="00486163"/>
    <w:rsid w:val="00491C0F"/>
    <w:rsid w:val="00492075"/>
    <w:rsid w:val="0049304E"/>
    <w:rsid w:val="00495290"/>
    <w:rsid w:val="004969AD"/>
    <w:rsid w:val="00496E2A"/>
    <w:rsid w:val="004972C2"/>
    <w:rsid w:val="004A0244"/>
    <w:rsid w:val="004A2FDD"/>
    <w:rsid w:val="004A3FF4"/>
    <w:rsid w:val="004A7674"/>
    <w:rsid w:val="004A783D"/>
    <w:rsid w:val="004B13CB"/>
    <w:rsid w:val="004B2466"/>
    <w:rsid w:val="004B3C6F"/>
    <w:rsid w:val="004B4FDF"/>
    <w:rsid w:val="004B4FF2"/>
    <w:rsid w:val="004B716F"/>
    <w:rsid w:val="004B7C16"/>
    <w:rsid w:val="004B7E77"/>
    <w:rsid w:val="004C3355"/>
    <w:rsid w:val="004D04E2"/>
    <w:rsid w:val="004D4243"/>
    <w:rsid w:val="004D45DE"/>
    <w:rsid w:val="004D5D5C"/>
    <w:rsid w:val="004D6CC2"/>
    <w:rsid w:val="004D752D"/>
    <w:rsid w:val="004D7763"/>
    <w:rsid w:val="004E27DE"/>
    <w:rsid w:val="004E2F10"/>
    <w:rsid w:val="004E3276"/>
    <w:rsid w:val="004E4F74"/>
    <w:rsid w:val="004E5959"/>
    <w:rsid w:val="004E704A"/>
    <w:rsid w:val="004F051F"/>
    <w:rsid w:val="004F3D95"/>
    <w:rsid w:val="004F660E"/>
    <w:rsid w:val="004F6CE8"/>
    <w:rsid w:val="004F7270"/>
    <w:rsid w:val="005004A4"/>
    <w:rsid w:val="0050139F"/>
    <w:rsid w:val="0050712D"/>
    <w:rsid w:val="00510692"/>
    <w:rsid w:val="00510F4D"/>
    <w:rsid w:val="00516722"/>
    <w:rsid w:val="00517624"/>
    <w:rsid w:val="00520565"/>
    <w:rsid w:val="00521223"/>
    <w:rsid w:val="00523934"/>
    <w:rsid w:val="00523D3E"/>
    <w:rsid w:val="00524DF1"/>
    <w:rsid w:val="005252E6"/>
    <w:rsid w:val="0052716E"/>
    <w:rsid w:val="00531317"/>
    <w:rsid w:val="00533CBA"/>
    <w:rsid w:val="00536513"/>
    <w:rsid w:val="00536DB4"/>
    <w:rsid w:val="00541D24"/>
    <w:rsid w:val="00543159"/>
    <w:rsid w:val="0054377E"/>
    <w:rsid w:val="0054450F"/>
    <w:rsid w:val="0055140B"/>
    <w:rsid w:val="00552F9E"/>
    <w:rsid w:val="00554C4F"/>
    <w:rsid w:val="00561D72"/>
    <w:rsid w:val="00564F36"/>
    <w:rsid w:val="00566EEB"/>
    <w:rsid w:val="00570FA3"/>
    <w:rsid w:val="00571767"/>
    <w:rsid w:val="005723CC"/>
    <w:rsid w:val="00576FB4"/>
    <w:rsid w:val="00581467"/>
    <w:rsid w:val="00581664"/>
    <w:rsid w:val="00585238"/>
    <w:rsid w:val="005855FC"/>
    <w:rsid w:val="00586EB9"/>
    <w:rsid w:val="00592321"/>
    <w:rsid w:val="005933B2"/>
    <w:rsid w:val="00593B87"/>
    <w:rsid w:val="005964AB"/>
    <w:rsid w:val="005A1612"/>
    <w:rsid w:val="005A2BEB"/>
    <w:rsid w:val="005A3485"/>
    <w:rsid w:val="005A5E0C"/>
    <w:rsid w:val="005A6739"/>
    <w:rsid w:val="005A7A91"/>
    <w:rsid w:val="005B0278"/>
    <w:rsid w:val="005B25C3"/>
    <w:rsid w:val="005B2DD6"/>
    <w:rsid w:val="005B41B7"/>
    <w:rsid w:val="005B44F5"/>
    <w:rsid w:val="005B5B86"/>
    <w:rsid w:val="005B6D88"/>
    <w:rsid w:val="005C099A"/>
    <w:rsid w:val="005C116F"/>
    <w:rsid w:val="005C13B5"/>
    <w:rsid w:val="005C26D1"/>
    <w:rsid w:val="005C3173"/>
    <w:rsid w:val="005C31A5"/>
    <w:rsid w:val="005C3248"/>
    <w:rsid w:val="005C3F17"/>
    <w:rsid w:val="005C4740"/>
    <w:rsid w:val="005D0BEA"/>
    <w:rsid w:val="005D4916"/>
    <w:rsid w:val="005E0641"/>
    <w:rsid w:val="005E0D2B"/>
    <w:rsid w:val="005E10C9"/>
    <w:rsid w:val="005E23F2"/>
    <w:rsid w:val="005E5C6C"/>
    <w:rsid w:val="005E61DD"/>
    <w:rsid w:val="005E6321"/>
    <w:rsid w:val="005F5413"/>
    <w:rsid w:val="00600B9C"/>
    <w:rsid w:val="006023DF"/>
    <w:rsid w:val="00602CFD"/>
    <w:rsid w:val="0060693B"/>
    <w:rsid w:val="006117C6"/>
    <w:rsid w:val="00611CD2"/>
    <w:rsid w:val="00615AB9"/>
    <w:rsid w:val="00617602"/>
    <w:rsid w:val="00620ECD"/>
    <w:rsid w:val="00621FDD"/>
    <w:rsid w:val="00622B63"/>
    <w:rsid w:val="00624A81"/>
    <w:rsid w:val="0062697F"/>
    <w:rsid w:val="00627881"/>
    <w:rsid w:val="00636181"/>
    <w:rsid w:val="00637E99"/>
    <w:rsid w:val="006422AD"/>
    <w:rsid w:val="006430DA"/>
    <w:rsid w:val="0064322F"/>
    <w:rsid w:val="006449A5"/>
    <w:rsid w:val="00644F99"/>
    <w:rsid w:val="006463EE"/>
    <w:rsid w:val="006552DC"/>
    <w:rsid w:val="00657DE0"/>
    <w:rsid w:val="006608C4"/>
    <w:rsid w:val="006612C2"/>
    <w:rsid w:val="00661FB8"/>
    <w:rsid w:val="00665B75"/>
    <w:rsid w:val="00667F38"/>
    <w:rsid w:val="0067199F"/>
    <w:rsid w:val="006747D8"/>
    <w:rsid w:val="00674AEF"/>
    <w:rsid w:val="00675DB5"/>
    <w:rsid w:val="00676ED7"/>
    <w:rsid w:val="00677048"/>
    <w:rsid w:val="00680225"/>
    <w:rsid w:val="00680378"/>
    <w:rsid w:val="00685313"/>
    <w:rsid w:val="00690B44"/>
    <w:rsid w:val="006912F3"/>
    <w:rsid w:val="00696E7A"/>
    <w:rsid w:val="006A00BF"/>
    <w:rsid w:val="006A0D14"/>
    <w:rsid w:val="006A3985"/>
    <w:rsid w:val="006A47E5"/>
    <w:rsid w:val="006A6E9B"/>
    <w:rsid w:val="006A747C"/>
    <w:rsid w:val="006B1038"/>
    <w:rsid w:val="006B502E"/>
    <w:rsid w:val="006B73C2"/>
    <w:rsid w:val="006B7C2A"/>
    <w:rsid w:val="006C03CD"/>
    <w:rsid w:val="006C09A1"/>
    <w:rsid w:val="006C23DA"/>
    <w:rsid w:val="006C7898"/>
    <w:rsid w:val="006C7CA9"/>
    <w:rsid w:val="006D2DD5"/>
    <w:rsid w:val="006D4843"/>
    <w:rsid w:val="006D6130"/>
    <w:rsid w:val="006D6DDA"/>
    <w:rsid w:val="006E099C"/>
    <w:rsid w:val="006E3D45"/>
    <w:rsid w:val="006E64F1"/>
    <w:rsid w:val="006E7629"/>
    <w:rsid w:val="006F0C99"/>
    <w:rsid w:val="006F1889"/>
    <w:rsid w:val="006F5E79"/>
    <w:rsid w:val="006F7874"/>
    <w:rsid w:val="006F7BD3"/>
    <w:rsid w:val="007018D7"/>
    <w:rsid w:val="007034D9"/>
    <w:rsid w:val="00705932"/>
    <w:rsid w:val="007073C4"/>
    <w:rsid w:val="007103A9"/>
    <w:rsid w:val="00710812"/>
    <w:rsid w:val="007149F9"/>
    <w:rsid w:val="0071531C"/>
    <w:rsid w:val="0071541F"/>
    <w:rsid w:val="007167D5"/>
    <w:rsid w:val="00716E1B"/>
    <w:rsid w:val="00720DD1"/>
    <w:rsid w:val="007216D1"/>
    <w:rsid w:val="007265FE"/>
    <w:rsid w:val="00730009"/>
    <w:rsid w:val="00733A30"/>
    <w:rsid w:val="007372E2"/>
    <w:rsid w:val="007379E5"/>
    <w:rsid w:val="00737D40"/>
    <w:rsid w:val="00743072"/>
    <w:rsid w:val="00745AEE"/>
    <w:rsid w:val="00747028"/>
    <w:rsid w:val="007479EA"/>
    <w:rsid w:val="00747A98"/>
    <w:rsid w:val="007506F5"/>
    <w:rsid w:val="00750F10"/>
    <w:rsid w:val="0075193C"/>
    <w:rsid w:val="0075242F"/>
    <w:rsid w:val="00756ADC"/>
    <w:rsid w:val="00756CAF"/>
    <w:rsid w:val="00761CEF"/>
    <w:rsid w:val="007654FE"/>
    <w:rsid w:val="00765BA5"/>
    <w:rsid w:val="007664D4"/>
    <w:rsid w:val="00770D7E"/>
    <w:rsid w:val="007742CA"/>
    <w:rsid w:val="0077509B"/>
    <w:rsid w:val="00776DB1"/>
    <w:rsid w:val="0077768B"/>
    <w:rsid w:val="0077794B"/>
    <w:rsid w:val="00777CC6"/>
    <w:rsid w:val="00792DB8"/>
    <w:rsid w:val="00793BB0"/>
    <w:rsid w:val="00794ABD"/>
    <w:rsid w:val="00795C00"/>
    <w:rsid w:val="0079605E"/>
    <w:rsid w:val="007A4761"/>
    <w:rsid w:val="007A7FAF"/>
    <w:rsid w:val="007B12EB"/>
    <w:rsid w:val="007B2EB6"/>
    <w:rsid w:val="007B3BF6"/>
    <w:rsid w:val="007B4578"/>
    <w:rsid w:val="007C0A4D"/>
    <w:rsid w:val="007C2360"/>
    <w:rsid w:val="007C4234"/>
    <w:rsid w:val="007C5A7B"/>
    <w:rsid w:val="007C5BD0"/>
    <w:rsid w:val="007D06F0"/>
    <w:rsid w:val="007D35D0"/>
    <w:rsid w:val="007D3C25"/>
    <w:rsid w:val="007D45E3"/>
    <w:rsid w:val="007D5320"/>
    <w:rsid w:val="007D6961"/>
    <w:rsid w:val="007D714B"/>
    <w:rsid w:val="007E065B"/>
    <w:rsid w:val="007E0A1D"/>
    <w:rsid w:val="007E28A9"/>
    <w:rsid w:val="007E713F"/>
    <w:rsid w:val="007E7819"/>
    <w:rsid w:val="007E799D"/>
    <w:rsid w:val="007F2191"/>
    <w:rsid w:val="007F236E"/>
    <w:rsid w:val="007F2668"/>
    <w:rsid w:val="007F26E3"/>
    <w:rsid w:val="007F535C"/>
    <w:rsid w:val="007F54EB"/>
    <w:rsid w:val="007F735C"/>
    <w:rsid w:val="00800972"/>
    <w:rsid w:val="00803D04"/>
    <w:rsid w:val="00804475"/>
    <w:rsid w:val="0081159E"/>
    <w:rsid w:val="00811633"/>
    <w:rsid w:val="00814C00"/>
    <w:rsid w:val="00817FE6"/>
    <w:rsid w:val="00821CEF"/>
    <w:rsid w:val="00823BDC"/>
    <w:rsid w:val="00832828"/>
    <w:rsid w:val="008334AF"/>
    <w:rsid w:val="0083645A"/>
    <w:rsid w:val="0083797D"/>
    <w:rsid w:val="00837AB9"/>
    <w:rsid w:val="00840B0F"/>
    <w:rsid w:val="00840FD0"/>
    <w:rsid w:val="0084590A"/>
    <w:rsid w:val="00845C0D"/>
    <w:rsid w:val="008529D3"/>
    <w:rsid w:val="008540CD"/>
    <w:rsid w:val="00854840"/>
    <w:rsid w:val="0085555B"/>
    <w:rsid w:val="00855FDC"/>
    <w:rsid w:val="00860545"/>
    <w:rsid w:val="00860F8A"/>
    <w:rsid w:val="0086299C"/>
    <w:rsid w:val="00863096"/>
    <w:rsid w:val="00863578"/>
    <w:rsid w:val="00863FC4"/>
    <w:rsid w:val="00867B8E"/>
    <w:rsid w:val="008711AE"/>
    <w:rsid w:val="00872FC8"/>
    <w:rsid w:val="00874252"/>
    <w:rsid w:val="00874817"/>
    <w:rsid w:val="00877397"/>
    <w:rsid w:val="00877D80"/>
    <w:rsid w:val="008801D3"/>
    <w:rsid w:val="00880325"/>
    <w:rsid w:val="008806F3"/>
    <w:rsid w:val="00881DBB"/>
    <w:rsid w:val="00882996"/>
    <w:rsid w:val="00883866"/>
    <w:rsid w:val="008845D0"/>
    <w:rsid w:val="0089151A"/>
    <w:rsid w:val="00893B2C"/>
    <w:rsid w:val="00894F96"/>
    <w:rsid w:val="00897F1B"/>
    <w:rsid w:val="008A0BFE"/>
    <w:rsid w:val="008A2753"/>
    <w:rsid w:val="008A3933"/>
    <w:rsid w:val="008A7165"/>
    <w:rsid w:val="008B20A4"/>
    <w:rsid w:val="008B3713"/>
    <w:rsid w:val="008B43F2"/>
    <w:rsid w:val="008B54AB"/>
    <w:rsid w:val="008B54D9"/>
    <w:rsid w:val="008B61A9"/>
    <w:rsid w:val="008B61EA"/>
    <w:rsid w:val="008B63AA"/>
    <w:rsid w:val="008B6CFF"/>
    <w:rsid w:val="008C28A0"/>
    <w:rsid w:val="008C3D02"/>
    <w:rsid w:val="008C4ADD"/>
    <w:rsid w:val="008D06CB"/>
    <w:rsid w:val="008D279B"/>
    <w:rsid w:val="008D2B46"/>
    <w:rsid w:val="008D4E2C"/>
    <w:rsid w:val="008D678E"/>
    <w:rsid w:val="008E33DA"/>
    <w:rsid w:val="008E4F75"/>
    <w:rsid w:val="008E6B36"/>
    <w:rsid w:val="008E7DF8"/>
    <w:rsid w:val="008F04EE"/>
    <w:rsid w:val="008F238A"/>
    <w:rsid w:val="008F3284"/>
    <w:rsid w:val="008F36FB"/>
    <w:rsid w:val="009006A0"/>
    <w:rsid w:val="00900E22"/>
    <w:rsid w:val="00901779"/>
    <w:rsid w:val="009023DF"/>
    <w:rsid w:val="0090293E"/>
    <w:rsid w:val="0091016B"/>
    <w:rsid w:val="00910408"/>
    <w:rsid w:val="00910B26"/>
    <w:rsid w:val="00912004"/>
    <w:rsid w:val="009238B9"/>
    <w:rsid w:val="009274B4"/>
    <w:rsid w:val="00934743"/>
    <w:rsid w:val="00934EA2"/>
    <w:rsid w:val="009373C9"/>
    <w:rsid w:val="00941B98"/>
    <w:rsid w:val="00942FC1"/>
    <w:rsid w:val="00943545"/>
    <w:rsid w:val="00944A5C"/>
    <w:rsid w:val="00944A99"/>
    <w:rsid w:val="00951563"/>
    <w:rsid w:val="00951816"/>
    <w:rsid w:val="00952A66"/>
    <w:rsid w:val="00953C32"/>
    <w:rsid w:val="00964C68"/>
    <w:rsid w:val="00966FC9"/>
    <w:rsid w:val="009670A7"/>
    <w:rsid w:val="009737F9"/>
    <w:rsid w:val="00974EC4"/>
    <w:rsid w:val="00980AD1"/>
    <w:rsid w:val="00980AD6"/>
    <w:rsid w:val="009828A4"/>
    <w:rsid w:val="00985001"/>
    <w:rsid w:val="00986EBB"/>
    <w:rsid w:val="009907F3"/>
    <w:rsid w:val="00990A55"/>
    <w:rsid w:val="00992F9A"/>
    <w:rsid w:val="009944BE"/>
    <w:rsid w:val="00996913"/>
    <w:rsid w:val="00996ACA"/>
    <w:rsid w:val="00997678"/>
    <w:rsid w:val="009A04EC"/>
    <w:rsid w:val="009A234F"/>
    <w:rsid w:val="009A291A"/>
    <w:rsid w:val="009B28F2"/>
    <w:rsid w:val="009B29B0"/>
    <w:rsid w:val="009B5126"/>
    <w:rsid w:val="009B71C3"/>
    <w:rsid w:val="009B75FF"/>
    <w:rsid w:val="009C39A2"/>
    <w:rsid w:val="009C4D44"/>
    <w:rsid w:val="009C56E5"/>
    <w:rsid w:val="009C6F7B"/>
    <w:rsid w:val="009D3343"/>
    <w:rsid w:val="009D3429"/>
    <w:rsid w:val="009E3F7C"/>
    <w:rsid w:val="009E5FC8"/>
    <w:rsid w:val="009E60C1"/>
    <w:rsid w:val="009E687A"/>
    <w:rsid w:val="009E72E7"/>
    <w:rsid w:val="009F1542"/>
    <w:rsid w:val="009F2258"/>
    <w:rsid w:val="00A00AC6"/>
    <w:rsid w:val="00A03C5C"/>
    <w:rsid w:val="00A03FA8"/>
    <w:rsid w:val="00A04FB0"/>
    <w:rsid w:val="00A066F1"/>
    <w:rsid w:val="00A1280A"/>
    <w:rsid w:val="00A12A63"/>
    <w:rsid w:val="00A141AF"/>
    <w:rsid w:val="00A15958"/>
    <w:rsid w:val="00A16D29"/>
    <w:rsid w:val="00A16E02"/>
    <w:rsid w:val="00A20E5E"/>
    <w:rsid w:val="00A2101B"/>
    <w:rsid w:val="00A21E18"/>
    <w:rsid w:val="00A235FD"/>
    <w:rsid w:val="00A2618D"/>
    <w:rsid w:val="00A27146"/>
    <w:rsid w:val="00A30305"/>
    <w:rsid w:val="00A31315"/>
    <w:rsid w:val="00A31D2D"/>
    <w:rsid w:val="00A32267"/>
    <w:rsid w:val="00A32291"/>
    <w:rsid w:val="00A33D45"/>
    <w:rsid w:val="00A34772"/>
    <w:rsid w:val="00A35D6D"/>
    <w:rsid w:val="00A4049B"/>
    <w:rsid w:val="00A43642"/>
    <w:rsid w:val="00A44D51"/>
    <w:rsid w:val="00A4600A"/>
    <w:rsid w:val="00A507E3"/>
    <w:rsid w:val="00A524E6"/>
    <w:rsid w:val="00A538A6"/>
    <w:rsid w:val="00A54C25"/>
    <w:rsid w:val="00A56C71"/>
    <w:rsid w:val="00A612BB"/>
    <w:rsid w:val="00A62F73"/>
    <w:rsid w:val="00A67FB8"/>
    <w:rsid w:val="00A710E7"/>
    <w:rsid w:val="00A7140C"/>
    <w:rsid w:val="00A7372E"/>
    <w:rsid w:val="00A74739"/>
    <w:rsid w:val="00A76372"/>
    <w:rsid w:val="00A76BD5"/>
    <w:rsid w:val="00A80D65"/>
    <w:rsid w:val="00A81F59"/>
    <w:rsid w:val="00A83E00"/>
    <w:rsid w:val="00A853F5"/>
    <w:rsid w:val="00A9323C"/>
    <w:rsid w:val="00A93364"/>
    <w:rsid w:val="00A93B85"/>
    <w:rsid w:val="00A96F7D"/>
    <w:rsid w:val="00AA05FD"/>
    <w:rsid w:val="00AA0B18"/>
    <w:rsid w:val="00AA4774"/>
    <w:rsid w:val="00AA5B7C"/>
    <w:rsid w:val="00AA666F"/>
    <w:rsid w:val="00AA7A11"/>
    <w:rsid w:val="00AB15BE"/>
    <w:rsid w:val="00AB4006"/>
    <w:rsid w:val="00AB4927"/>
    <w:rsid w:val="00AB4EF9"/>
    <w:rsid w:val="00AC007A"/>
    <w:rsid w:val="00AC034F"/>
    <w:rsid w:val="00AC1A8E"/>
    <w:rsid w:val="00AC4C17"/>
    <w:rsid w:val="00AC4DB5"/>
    <w:rsid w:val="00AD0AEB"/>
    <w:rsid w:val="00AD4C7B"/>
    <w:rsid w:val="00AF17A2"/>
    <w:rsid w:val="00AF2081"/>
    <w:rsid w:val="00AF2664"/>
    <w:rsid w:val="00AF57EF"/>
    <w:rsid w:val="00B004E5"/>
    <w:rsid w:val="00B03D4C"/>
    <w:rsid w:val="00B053F3"/>
    <w:rsid w:val="00B06F37"/>
    <w:rsid w:val="00B10A09"/>
    <w:rsid w:val="00B124F9"/>
    <w:rsid w:val="00B13FFC"/>
    <w:rsid w:val="00B15F9D"/>
    <w:rsid w:val="00B17325"/>
    <w:rsid w:val="00B17BDC"/>
    <w:rsid w:val="00B20035"/>
    <w:rsid w:val="00B20480"/>
    <w:rsid w:val="00B20F6D"/>
    <w:rsid w:val="00B21BEA"/>
    <w:rsid w:val="00B2212C"/>
    <w:rsid w:val="00B232A2"/>
    <w:rsid w:val="00B247C3"/>
    <w:rsid w:val="00B27180"/>
    <w:rsid w:val="00B27EA8"/>
    <w:rsid w:val="00B30ECC"/>
    <w:rsid w:val="00B35A1C"/>
    <w:rsid w:val="00B35BC5"/>
    <w:rsid w:val="00B36A3C"/>
    <w:rsid w:val="00B4012B"/>
    <w:rsid w:val="00B41367"/>
    <w:rsid w:val="00B423AE"/>
    <w:rsid w:val="00B43D73"/>
    <w:rsid w:val="00B44083"/>
    <w:rsid w:val="00B441B1"/>
    <w:rsid w:val="00B45C98"/>
    <w:rsid w:val="00B50520"/>
    <w:rsid w:val="00B5544A"/>
    <w:rsid w:val="00B639E9"/>
    <w:rsid w:val="00B6598C"/>
    <w:rsid w:val="00B66F17"/>
    <w:rsid w:val="00B67F4F"/>
    <w:rsid w:val="00B71863"/>
    <w:rsid w:val="00B7345F"/>
    <w:rsid w:val="00B817CD"/>
    <w:rsid w:val="00B81D00"/>
    <w:rsid w:val="00B825BC"/>
    <w:rsid w:val="00B830CC"/>
    <w:rsid w:val="00B850F8"/>
    <w:rsid w:val="00B86916"/>
    <w:rsid w:val="00B87DA1"/>
    <w:rsid w:val="00B9105F"/>
    <w:rsid w:val="00B911B2"/>
    <w:rsid w:val="00B917E9"/>
    <w:rsid w:val="00B92195"/>
    <w:rsid w:val="00B92520"/>
    <w:rsid w:val="00B951D0"/>
    <w:rsid w:val="00B95DA2"/>
    <w:rsid w:val="00B97C6E"/>
    <w:rsid w:val="00BA231A"/>
    <w:rsid w:val="00BA2D00"/>
    <w:rsid w:val="00BA2FE8"/>
    <w:rsid w:val="00BA6783"/>
    <w:rsid w:val="00BB1F53"/>
    <w:rsid w:val="00BB29C8"/>
    <w:rsid w:val="00BB3A95"/>
    <w:rsid w:val="00BB42AD"/>
    <w:rsid w:val="00BB4491"/>
    <w:rsid w:val="00BB66DD"/>
    <w:rsid w:val="00BB6DD0"/>
    <w:rsid w:val="00BC00FB"/>
    <w:rsid w:val="00BC0382"/>
    <w:rsid w:val="00BC1DBF"/>
    <w:rsid w:val="00BC2C57"/>
    <w:rsid w:val="00BC31AC"/>
    <w:rsid w:val="00BC401E"/>
    <w:rsid w:val="00BC6488"/>
    <w:rsid w:val="00BD11D6"/>
    <w:rsid w:val="00BD1784"/>
    <w:rsid w:val="00BD239D"/>
    <w:rsid w:val="00BD31E7"/>
    <w:rsid w:val="00BD4089"/>
    <w:rsid w:val="00BD50BD"/>
    <w:rsid w:val="00BD618D"/>
    <w:rsid w:val="00BD62C6"/>
    <w:rsid w:val="00BE34A3"/>
    <w:rsid w:val="00BE4265"/>
    <w:rsid w:val="00BE7042"/>
    <w:rsid w:val="00BE7870"/>
    <w:rsid w:val="00BF095D"/>
    <w:rsid w:val="00BF3618"/>
    <w:rsid w:val="00BF4F16"/>
    <w:rsid w:val="00BF65C9"/>
    <w:rsid w:val="00C0018F"/>
    <w:rsid w:val="00C02828"/>
    <w:rsid w:val="00C03779"/>
    <w:rsid w:val="00C05634"/>
    <w:rsid w:val="00C07B4E"/>
    <w:rsid w:val="00C10393"/>
    <w:rsid w:val="00C14872"/>
    <w:rsid w:val="00C14874"/>
    <w:rsid w:val="00C166D0"/>
    <w:rsid w:val="00C16D39"/>
    <w:rsid w:val="00C16F28"/>
    <w:rsid w:val="00C20466"/>
    <w:rsid w:val="00C214ED"/>
    <w:rsid w:val="00C227EF"/>
    <w:rsid w:val="00C22BD6"/>
    <w:rsid w:val="00C234E6"/>
    <w:rsid w:val="00C24E20"/>
    <w:rsid w:val="00C324A8"/>
    <w:rsid w:val="00C349B4"/>
    <w:rsid w:val="00C35C13"/>
    <w:rsid w:val="00C36662"/>
    <w:rsid w:val="00C40D1F"/>
    <w:rsid w:val="00C40DF2"/>
    <w:rsid w:val="00C42F80"/>
    <w:rsid w:val="00C54517"/>
    <w:rsid w:val="00C55DBA"/>
    <w:rsid w:val="00C564C1"/>
    <w:rsid w:val="00C56E3C"/>
    <w:rsid w:val="00C60AEF"/>
    <w:rsid w:val="00C6240E"/>
    <w:rsid w:val="00C6439C"/>
    <w:rsid w:val="00C64CD8"/>
    <w:rsid w:val="00C720B0"/>
    <w:rsid w:val="00C73347"/>
    <w:rsid w:val="00C75E0E"/>
    <w:rsid w:val="00C75FF8"/>
    <w:rsid w:val="00C76A6C"/>
    <w:rsid w:val="00C80652"/>
    <w:rsid w:val="00C80A64"/>
    <w:rsid w:val="00C85F5D"/>
    <w:rsid w:val="00C87447"/>
    <w:rsid w:val="00C90579"/>
    <w:rsid w:val="00C976EE"/>
    <w:rsid w:val="00C97C68"/>
    <w:rsid w:val="00CA18A2"/>
    <w:rsid w:val="00CA1A47"/>
    <w:rsid w:val="00CA36C5"/>
    <w:rsid w:val="00CA48CF"/>
    <w:rsid w:val="00CB1404"/>
    <w:rsid w:val="00CB1D84"/>
    <w:rsid w:val="00CB3537"/>
    <w:rsid w:val="00CB3C02"/>
    <w:rsid w:val="00CB40E5"/>
    <w:rsid w:val="00CB615D"/>
    <w:rsid w:val="00CB6664"/>
    <w:rsid w:val="00CC247A"/>
    <w:rsid w:val="00CC41F6"/>
    <w:rsid w:val="00CD2733"/>
    <w:rsid w:val="00CD2A68"/>
    <w:rsid w:val="00CD2BC1"/>
    <w:rsid w:val="00CD3139"/>
    <w:rsid w:val="00CD4117"/>
    <w:rsid w:val="00CD7BC2"/>
    <w:rsid w:val="00CD7EC4"/>
    <w:rsid w:val="00CE5ACA"/>
    <w:rsid w:val="00CE5E47"/>
    <w:rsid w:val="00CE7A25"/>
    <w:rsid w:val="00CF020F"/>
    <w:rsid w:val="00CF269A"/>
    <w:rsid w:val="00CF2A29"/>
    <w:rsid w:val="00CF2B5B"/>
    <w:rsid w:val="00CF33C0"/>
    <w:rsid w:val="00CF4A84"/>
    <w:rsid w:val="00D00B6A"/>
    <w:rsid w:val="00D00E2A"/>
    <w:rsid w:val="00D0467B"/>
    <w:rsid w:val="00D0723D"/>
    <w:rsid w:val="00D10D23"/>
    <w:rsid w:val="00D128AE"/>
    <w:rsid w:val="00D12A27"/>
    <w:rsid w:val="00D14CE0"/>
    <w:rsid w:val="00D217E0"/>
    <w:rsid w:val="00D22A93"/>
    <w:rsid w:val="00D233CB"/>
    <w:rsid w:val="00D27D0F"/>
    <w:rsid w:val="00D305FC"/>
    <w:rsid w:val="00D33DC1"/>
    <w:rsid w:val="00D36333"/>
    <w:rsid w:val="00D36D3D"/>
    <w:rsid w:val="00D37F60"/>
    <w:rsid w:val="00D418AE"/>
    <w:rsid w:val="00D42CDE"/>
    <w:rsid w:val="00D42FEE"/>
    <w:rsid w:val="00D44DE2"/>
    <w:rsid w:val="00D45A9C"/>
    <w:rsid w:val="00D53EAE"/>
    <w:rsid w:val="00D541E4"/>
    <w:rsid w:val="00D5651D"/>
    <w:rsid w:val="00D56836"/>
    <w:rsid w:val="00D61378"/>
    <w:rsid w:val="00D6205E"/>
    <w:rsid w:val="00D6287F"/>
    <w:rsid w:val="00D62D8E"/>
    <w:rsid w:val="00D634E2"/>
    <w:rsid w:val="00D66463"/>
    <w:rsid w:val="00D66968"/>
    <w:rsid w:val="00D67A2E"/>
    <w:rsid w:val="00D71278"/>
    <w:rsid w:val="00D724BE"/>
    <w:rsid w:val="00D73CFE"/>
    <w:rsid w:val="00D74898"/>
    <w:rsid w:val="00D75941"/>
    <w:rsid w:val="00D75EB3"/>
    <w:rsid w:val="00D7784C"/>
    <w:rsid w:val="00D801ED"/>
    <w:rsid w:val="00D83BF5"/>
    <w:rsid w:val="00D8609B"/>
    <w:rsid w:val="00D864B0"/>
    <w:rsid w:val="00D87035"/>
    <w:rsid w:val="00D87E9C"/>
    <w:rsid w:val="00D91F0E"/>
    <w:rsid w:val="00D925C2"/>
    <w:rsid w:val="00D936BC"/>
    <w:rsid w:val="00D95534"/>
    <w:rsid w:val="00D9621A"/>
    <w:rsid w:val="00D96530"/>
    <w:rsid w:val="00D96B4B"/>
    <w:rsid w:val="00DA2345"/>
    <w:rsid w:val="00DA273A"/>
    <w:rsid w:val="00DA3AC1"/>
    <w:rsid w:val="00DA3AC4"/>
    <w:rsid w:val="00DA453A"/>
    <w:rsid w:val="00DA561A"/>
    <w:rsid w:val="00DA5C6F"/>
    <w:rsid w:val="00DA6B46"/>
    <w:rsid w:val="00DA7078"/>
    <w:rsid w:val="00DB1086"/>
    <w:rsid w:val="00DB2FB8"/>
    <w:rsid w:val="00DB4598"/>
    <w:rsid w:val="00DB4E0A"/>
    <w:rsid w:val="00DB71F7"/>
    <w:rsid w:val="00DB750F"/>
    <w:rsid w:val="00DC19DC"/>
    <w:rsid w:val="00DC2A65"/>
    <w:rsid w:val="00DC3758"/>
    <w:rsid w:val="00DC3FC1"/>
    <w:rsid w:val="00DC574F"/>
    <w:rsid w:val="00DC6EEA"/>
    <w:rsid w:val="00DD08B4"/>
    <w:rsid w:val="00DD44AF"/>
    <w:rsid w:val="00DE2AC3"/>
    <w:rsid w:val="00DE434C"/>
    <w:rsid w:val="00DE5692"/>
    <w:rsid w:val="00DE5E67"/>
    <w:rsid w:val="00DE7766"/>
    <w:rsid w:val="00DE79F1"/>
    <w:rsid w:val="00DF02A0"/>
    <w:rsid w:val="00DF1E46"/>
    <w:rsid w:val="00DF21DF"/>
    <w:rsid w:val="00DF2D60"/>
    <w:rsid w:val="00DF56EF"/>
    <w:rsid w:val="00DF6F8E"/>
    <w:rsid w:val="00E00B1F"/>
    <w:rsid w:val="00E02014"/>
    <w:rsid w:val="00E03C94"/>
    <w:rsid w:val="00E03CF8"/>
    <w:rsid w:val="00E06603"/>
    <w:rsid w:val="00E06AEA"/>
    <w:rsid w:val="00E07105"/>
    <w:rsid w:val="00E11115"/>
    <w:rsid w:val="00E12074"/>
    <w:rsid w:val="00E1307C"/>
    <w:rsid w:val="00E160D5"/>
    <w:rsid w:val="00E17BAD"/>
    <w:rsid w:val="00E21B22"/>
    <w:rsid w:val="00E239BD"/>
    <w:rsid w:val="00E241C9"/>
    <w:rsid w:val="00E26226"/>
    <w:rsid w:val="00E30F0D"/>
    <w:rsid w:val="00E31B77"/>
    <w:rsid w:val="00E36E67"/>
    <w:rsid w:val="00E378D8"/>
    <w:rsid w:val="00E4021C"/>
    <w:rsid w:val="00E4059F"/>
    <w:rsid w:val="00E4165C"/>
    <w:rsid w:val="00E422AC"/>
    <w:rsid w:val="00E425D0"/>
    <w:rsid w:val="00E45D05"/>
    <w:rsid w:val="00E51E28"/>
    <w:rsid w:val="00E528F8"/>
    <w:rsid w:val="00E5442B"/>
    <w:rsid w:val="00E55816"/>
    <w:rsid w:val="00E55AEF"/>
    <w:rsid w:val="00E61442"/>
    <w:rsid w:val="00E64B4B"/>
    <w:rsid w:val="00E66A93"/>
    <w:rsid w:val="00E70DD8"/>
    <w:rsid w:val="00E71B64"/>
    <w:rsid w:val="00E81961"/>
    <w:rsid w:val="00E82877"/>
    <w:rsid w:val="00E83BBB"/>
    <w:rsid w:val="00E84088"/>
    <w:rsid w:val="00E90BE9"/>
    <w:rsid w:val="00E976C1"/>
    <w:rsid w:val="00EA025D"/>
    <w:rsid w:val="00EA07F0"/>
    <w:rsid w:val="00EA12E5"/>
    <w:rsid w:val="00EA2136"/>
    <w:rsid w:val="00EA36A2"/>
    <w:rsid w:val="00EA3D99"/>
    <w:rsid w:val="00EA66A4"/>
    <w:rsid w:val="00EB00F7"/>
    <w:rsid w:val="00EB0E5E"/>
    <w:rsid w:val="00EB2238"/>
    <w:rsid w:val="00EB2A85"/>
    <w:rsid w:val="00EB4C45"/>
    <w:rsid w:val="00EC00DF"/>
    <w:rsid w:val="00EC0FC2"/>
    <w:rsid w:val="00EC3585"/>
    <w:rsid w:val="00EC3B9D"/>
    <w:rsid w:val="00EC6B65"/>
    <w:rsid w:val="00ED29AB"/>
    <w:rsid w:val="00ED335C"/>
    <w:rsid w:val="00ED44A8"/>
    <w:rsid w:val="00ED5AAF"/>
    <w:rsid w:val="00ED7F6D"/>
    <w:rsid w:val="00EE28D0"/>
    <w:rsid w:val="00EE3198"/>
    <w:rsid w:val="00EE4646"/>
    <w:rsid w:val="00EE67EC"/>
    <w:rsid w:val="00EF33D5"/>
    <w:rsid w:val="00EF481F"/>
    <w:rsid w:val="00EF4D25"/>
    <w:rsid w:val="00F000EA"/>
    <w:rsid w:val="00F02766"/>
    <w:rsid w:val="00F03EB7"/>
    <w:rsid w:val="00F04067"/>
    <w:rsid w:val="00F0520E"/>
    <w:rsid w:val="00F05BD4"/>
    <w:rsid w:val="00F07F46"/>
    <w:rsid w:val="00F11A98"/>
    <w:rsid w:val="00F13242"/>
    <w:rsid w:val="00F1463E"/>
    <w:rsid w:val="00F15368"/>
    <w:rsid w:val="00F15E05"/>
    <w:rsid w:val="00F16F35"/>
    <w:rsid w:val="00F2052C"/>
    <w:rsid w:val="00F20CA2"/>
    <w:rsid w:val="00F21A1D"/>
    <w:rsid w:val="00F277F9"/>
    <w:rsid w:val="00F30900"/>
    <w:rsid w:val="00F339E3"/>
    <w:rsid w:val="00F340C8"/>
    <w:rsid w:val="00F349CB"/>
    <w:rsid w:val="00F354F7"/>
    <w:rsid w:val="00F357E0"/>
    <w:rsid w:val="00F442D6"/>
    <w:rsid w:val="00F45892"/>
    <w:rsid w:val="00F53615"/>
    <w:rsid w:val="00F579D6"/>
    <w:rsid w:val="00F61818"/>
    <w:rsid w:val="00F623D9"/>
    <w:rsid w:val="00F64274"/>
    <w:rsid w:val="00F64DBC"/>
    <w:rsid w:val="00F659A6"/>
    <w:rsid w:val="00F65C19"/>
    <w:rsid w:val="00F6660F"/>
    <w:rsid w:val="00F66B3A"/>
    <w:rsid w:val="00F67276"/>
    <w:rsid w:val="00F7338B"/>
    <w:rsid w:val="00F7440E"/>
    <w:rsid w:val="00F76603"/>
    <w:rsid w:val="00F772D4"/>
    <w:rsid w:val="00F808C6"/>
    <w:rsid w:val="00F83F60"/>
    <w:rsid w:val="00F8476E"/>
    <w:rsid w:val="00F848EE"/>
    <w:rsid w:val="00F84DF8"/>
    <w:rsid w:val="00F91898"/>
    <w:rsid w:val="00F922FD"/>
    <w:rsid w:val="00F94FEF"/>
    <w:rsid w:val="00F971FB"/>
    <w:rsid w:val="00FA4CD4"/>
    <w:rsid w:val="00FA579C"/>
    <w:rsid w:val="00FA668B"/>
    <w:rsid w:val="00FB20E0"/>
    <w:rsid w:val="00FB34B9"/>
    <w:rsid w:val="00FC0BEF"/>
    <w:rsid w:val="00FC24DA"/>
    <w:rsid w:val="00FC4678"/>
    <w:rsid w:val="00FC6545"/>
    <w:rsid w:val="00FD0183"/>
    <w:rsid w:val="00FD037B"/>
    <w:rsid w:val="00FD2546"/>
    <w:rsid w:val="00FD2844"/>
    <w:rsid w:val="00FD6AC1"/>
    <w:rsid w:val="00FD772E"/>
    <w:rsid w:val="00FE3346"/>
    <w:rsid w:val="00FE3926"/>
    <w:rsid w:val="00FE48BE"/>
    <w:rsid w:val="00FE7205"/>
    <w:rsid w:val="00FE78C7"/>
    <w:rsid w:val="00FF21ED"/>
    <w:rsid w:val="00FF2A26"/>
    <w:rsid w:val="00FF3D55"/>
    <w:rsid w:val="00FF43AC"/>
    <w:rsid w:val="00FF7C84"/>
    <w:rsid w:val="02599AD2"/>
    <w:rsid w:val="025A7B48"/>
    <w:rsid w:val="026F19C1"/>
    <w:rsid w:val="0867D4E4"/>
    <w:rsid w:val="0AD78604"/>
    <w:rsid w:val="0DA11F09"/>
    <w:rsid w:val="0DF3DD55"/>
    <w:rsid w:val="0F93DCBE"/>
    <w:rsid w:val="12763327"/>
    <w:rsid w:val="13636F3C"/>
    <w:rsid w:val="177C2FF5"/>
    <w:rsid w:val="18515EC1"/>
    <w:rsid w:val="1AF9A41D"/>
    <w:rsid w:val="1DD871FF"/>
    <w:rsid w:val="1EBF48D7"/>
    <w:rsid w:val="213701FF"/>
    <w:rsid w:val="2287B947"/>
    <w:rsid w:val="242BEC13"/>
    <w:rsid w:val="26B92826"/>
    <w:rsid w:val="27C2F2B8"/>
    <w:rsid w:val="27C49962"/>
    <w:rsid w:val="29481A92"/>
    <w:rsid w:val="29BC35DC"/>
    <w:rsid w:val="30EFFE9F"/>
    <w:rsid w:val="31BA6835"/>
    <w:rsid w:val="323E1100"/>
    <w:rsid w:val="341638E8"/>
    <w:rsid w:val="3428C6D9"/>
    <w:rsid w:val="35B5728B"/>
    <w:rsid w:val="39DF4C52"/>
    <w:rsid w:val="3A49745F"/>
    <w:rsid w:val="3DD30E32"/>
    <w:rsid w:val="3EED5FA3"/>
    <w:rsid w:val="45A9DB5D"/>
    <w:rsid w:val="4815279C"/>
    <w:rsid w:val="49EE9C19"/>
    <w:rsid w:val="4A5D9F08"/>
    <w:rsid w:val="4CAB236A"/>
    <w:rsid w:val="4E0EF65D"/>
    <w:rsid w:val="4F55699C"/>
    <w:rsid w:val="4FE0E445"/>
    <w:rsid w:val="50C04B32"/>
    <w:rsid w:val="5190684F"/>
    <w:rsid w:val="51A061F5"/>
    <w:rsid w:val="53316CF0"/>
    <w:rsid w:val="58528CEB"/>
    <w:rsid w:val="586483C2"/>
    <w:rsid w:val="588D6D2A"/>
    <w:rsid w:val="589007F5"/>
    <w:rsid w:val="59FCB67A"/>
    <w:rsid w:val="5D6E883E"/>
    <w:rsid w:val="62ED472C"/>
    <w:rsid w:val="6548C891"/>
    <w:rsid w:val="68FAD4E2"/>
    <w:rsid w:val="6913F5CC"/>
    <w:rsid w:val="6C966BDA"/>
    <w:rsid w:val="719C6776"/>
    <w:rsid w:val="7AD7488F"/>
    <w:rsid w:val="7AE68B0B"/>
    <w:rsid w:val="7B3AF165"/>
    <w:rsid w:val="7C5B9F75"/>
    <w:rsid w:val="7CDE8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024FD"/>
  <w15:docId w15:val="{06D7B443-3ACF-4FBF-A1E5-71940507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Batang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B3537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CB3537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CB3537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CB3537"/>
    <w:pPr>
      <w:outlineLvl w:val="3"/>
    </w:pPr>
  </w:style>
  <w:style w:type="paragraph" w:styleId="Heading5">
    <w:name w:val="heading 5"/>
    <w:basedOn w:val="Heading4"/>
    <w:next w:val="Normal"/>
    <w:qFormat/>
    <w:rsid w:val="00CB3537"/>
    <w:pPr>
      <w:outlineLvl w:val="4"/>
    </w:pPr>
  </w:style>
  <w:style w:type="paragraph" w:styleId="Heading6">
    <w:name w:val="heading 6"/>
    <w:basedOn w:val="Heading4"/>
    <w:next w:val="Normal"/>
    <w:qFormat/>
    <w:rsid w:val="00CB3537"/>
    <w:pPr>
      <w:outlineLvl w:val="5"/>
    </w:pPr>
  </w:style>
  <w:style w:type="paragraph" w:styleId="Heading7">
    <w:name w:val="heading 7"/>
    <w:basedOn w:val="Heading6"/>
    <w:next w:val="Normal"/>
    <w:qFormat/>
    <w:rsid w:val="00CB3537"/>
    <w:pPr>
      <w:outlineLvl w:val="6"/>
    </w:pPr>
  </w:style>
  <w:style w:type="paragraph" w:styleId="Heading8">
    <w:name w:val="heading 8"/>
    <w:basedOn w:val="Heading6"/>
    <w:next w:val="Normal"/>
    <w:qFormat/>
    <w:rsid w:val="00CB3537"/>
    <w:pPr>
      <w:outlineLvl w:val="7"/>
    </w:pPr>
  </w:style>
  <w:style w:type="paragraph" w:styleId="Heading9">
    <w:name w:val="heading 9"/>
    <w:basedOn w:val="Heading6"/>
    <w:next w:val="Normal"/>
    <w:qFormat/>
    <w:rsid w:val="00CB353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uiPriority w:val="99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Normal"/>
    <w:link w:val="FootnoteTextChar"/>
    <w:uiPriority w:val="99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uiPriority w:val="99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,超??级链Ú,fL????,fL?级,超??级链,超?级链ïÈ,õ±?级链,õ±链ïÈ1,õ±???,超?级链Ú,’´?级链,’´????,’´??级链Ú,’´??级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TableGrid">
    <w:name w:val="Table Grid"/>
    <w:basedOn w:val="TableNormal"/>
    <w:rsid w:val="001E252D"/>
    <w:rPr>
      <w:rFonts w:ascii="CG Times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"/>
    <w:link w:val="ListParagraph"/>
    <w:uiPriority w:val="34"/>
    <w:qFormat/>
    <w:rsid w:val="003F1363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412C81"/>
    <w:rPr>
      <w:color w:val="800080" w:themeColor="followedHyperlink"/>
      <w:u w:val="single"/>
    </w:rPr>
  </w:style>
  <w:style w:type="paragraph" w:customStyle="1" w:styleId="Default">
    <w:name w:val="Default"/>
    <w:rsid w:val="00DB459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3C187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</w:rPr>
  </w:style>
  <w:style w:type="character" w:styleId="CommentReference">
    <w:name w:val="annotation reference"/>
    <w:basedOn w:val="DefaultParagraphFont"/>
    <w:semiHidden/>
    <w:unhideWhenUsed/>
    <w:rsid w:val="006747D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747D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747D8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4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47D8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6747D8"/>
    <w:rPr>
      <w:rFonts w:asciiTheme="minorHAnsi" w:hAnsiTheme="minorHAnsi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49A5"/>
    <w:rPr>
      <w:color w:val="605E5C"/>
      <w:shd w:val="clear" w:color="auto" w:fill="E1DFDD"/>
    </w:rPr>
  </w:style>
  <w:style w:type="paragraph" w:customStyle="1" w:styleId="CEOAgendaItemN">
    <w:name w:val="CEO_AgendaItemN°"/>
    <w:basedOn w:val="Normal"/>
    <w:rsid w:val="00BF4F1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A62F73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345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36181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36181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10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en/ITU-D/Study-Groups/2026-2029/Pages/reference/SG2/questions/Question-2-2.aspx" TargetMode="External"/><Relationship Id="rId18" Type="http://schemas.openxmlformats.org/officeDocument/2006/relationships/hyperlink" Target="https://www.itu.int/en/ITU-D/Study-Groups/2026-2029/Pages/candidates.asp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itu.int/en/ITU-D/Study-Groups/2026-2029/Pages/reference/SG2/questions/Question-1-2.aspx" TargetMode="External"/><Relationship Id="rId17" Type="http://schemas.openxmlformats.org/officeDocument/2006/relationships/hyperlink" Target="https://www.itu.int/md/D26-CA-CIR-0001/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ITU-D/Study-Groups/2026-2029/Pages/reference/SG2/questions/Question-5-2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ITU-D/Study-Groups/2026-2029/Pages/reference/SG2/questions/Question-4-2.aspx" TargetMode="External"/><Relationship Id="rId23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hyperlink" Target="https://www.itu.int/oth/D0735000001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en/ITU-D/Study-Groups/2026-2029/Pages/reference/SG2/questions/Question-3-2.aspx" TargetMode="External"/><Relationship Id="rId22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del.digham@gmail.com" TargetMode="External"/><Relationship Id="rId1" Type="http://schemas.openxmlformats.org/officeDocument/2006/relationships/hyperlink" Target="mailto:fdigham@tra.gov.eg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u.int/en/ITU-D/Study-Groups/2022-2025/Documents/Guidelines%20agreed%20at%20TDAG-25%20for%20Composing%20Rapporteurs%20Teams-for%20posting.pdf" TargetMode="External"/><Relationship Id="rId7" Type="http://schemas.openxmlformats.org/officeDocument/2006/relationships/hyperlink" Target="https://translate.itu.int/documents" TargetMode="External"/><Relationship Id="rId2" Type="http://schemas.openxmlformats.org/officeDocument/2006/relationships/hyperlink" Target="https://www.itu.int/net4/ITU-D/CDS/sg/blkmeetings.asp?lg=1&amp;stg=&amp;sp=2026&amp;blk=29195" TargetMode="External"/><Relationship Id="rId1" Type="http://schemas.openxmlformats.org/officeDocument/2006/relationships/hyperlink" Target="https://www.itu.int/md/D26-CA-CIR-0001/en" TargetMode="External"/><Relationship Id="rId6" Type="http://schemas.openxmlformats.org/officeDocument/2006/relationships/hyperlink" Target="https://www.itu.int/en/ITU-D/Study-Groups/2022-2025/Pages/TIES_Protected/contributions_dashboard_2022_2025.aspx" TargetMode="External"/><Relationship Id="rId5" Type="http://schemas.openxmlformats.org/officeDocument/2006/relationships/hyperlink" Target="https://www.itu.int/dms_pub/itu-d/md/22/tdag32/c/D22-TDAG32-C-0006!N6B!PDF-E.pdf" TargetMode="External"/><Relationship Id="rId4" Type="http://schemas.openxmlformats.org/officeDocument/2006/relationships/hyperlink" Target="https://www.itu.int/en/ITU-D/Study-Groups/2022-2025/Documents/Guidelines%20agreed%20at%20TDAG-25%20for%20Composing%20Rapporteurs%20Teams-for%20post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08de21dd3d53535c2968f418991843b1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61722b74c011d0d4baa2c88cba3894f1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Props1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38F01-714C-463B-9700-C16DFC2B9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2A876-AB41-4784-9C7F-CAA56FAF50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d4ea696a-cca3-460b-a983-57ac2621983a"/>
    <ds:schemaRef ds:uri="29399490-13b9-4c73-b71e-403b715b7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2109</Words>
  <Characters>12316</Characters>
  <Application>Microsoft Office Word</Application>
  <DocSecurity>0</DocSecurity>
  <Lines>102</Lines>
  <Paragraphs>28</Paragraphs>
  <ScaleCrop>false</ScaleCrop>
  <Manager>General Secretariat - Pool</Manager>
  <Company/>
  <LinksUpToDate>false</LinksUpToDate>
  <CharactersWithSpaces>14397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cp:lastModifiedBy>BDT-ND</cp:lastModifiedBy>
  <cp:revision>35</cp:revision>
  <cp:lastPrinted>2019-01-17T01:57:00Z</cp:lastPrinted>
  <dcterms:created xsi:type="dcterms:W3CDTF">2026-02-21T10:16:00Z</dcterms:created>
  <dcterms:modified xsi:type="dcterms:W3CDTF">2026-03-03T09:51:00Z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0x0101000421F7F6C5263B4B928A068E40912AB8</vt:lpwstr>
  </property>
  <property fmtid="{D5CDD505-2E9C-101B-9397-08002B2CF9AE}" pid="10" name="_dlc_DocIdItemGuid">
    <vt:lpwstr>1277586e-23f4-4a9c-8b22-c68c4fc349db</vt:lpwstr>
  </property>
  <property fmtid="{D5CDD505-2E9C-101B-9397-08002B2CF9AE}" pid="11" name="Mendeley Recent Style Id 0_1">
    <vt:lpwstr>http://www.zotero.org/styles/american-medical-association</vt:lpwstr>
  </property>
  <property fmtid="{D5CDD505-2E9C-101B-9397-08002B2CF9AE}" pid="12" name="Mendeley Recent Style Name 0_1">
    <vt:lpwstr>American Medical Association</vt:lpwstr>
  </property>
  <property fmtid="{D5CDD505-2E9C-101B-9397-08002B2CF9AE}" pid="13" name="Mendeley Recent Style Id 1_1">
    <vt:lpwstr>http://www.zotero.org/styles/american-political-science-association</vt:lpwstr>
  </property>
  <property fmtid="{D5CDD505-2E9C-101B-9397-08002B2CF9AE}" pid="14" name="Mendeley Recent Style Name 1_1">
    <vt:lpwstr>American Political Science Association</vt:lpwstr>
  </property>
  <property fmtid="{D5CDD505-2E9C-101B-9397-08002B2CF9AE}" pid="15" name="Mendeley Recent Style Id 2_1">
    <vt:lpwstr>http://www.zotero.org/styles/apa</vt:lpwstr>
  </property>
  <property fmtid="{D5CDD505-2E9C-101B-9397-08002B2CF9AE}" pid="16" name="Mendeley Recent Style Name 2_1">
    <vt:lpwstr>American Psychological Association 6th edition</vt:lpwstr>
  </property>
  <property fmtid="{D5CDD505-2E9C-101B-9397-08002B2CF9AE}" pid="17" name="Mendeley Recent Style Id 3_1">
    <vt:lpwstr>http://www.zotero.org/styles/american-sociological-association</vt:lpwstr>
  </property>
  <property fmtid="{D5CDD505-2E9C-101B-9397-08002B2CF9AE}" pid="18" name="Mendeley Recent Style Name 3_1">
    <vt:lpwstr>American Sociological Association</vt:lpwstr>
  </property>
  <property fmtid="{D5CDD505-2E9C-101B-9397-08002B2CF9AE}" pid="19" name="Mendeley Recent Style Id 4_1">
    <vt:lpwstr>http://www.zotero.org/styles/chicago-author-date</vt:lpwstr>
  </property>
  <property fmtid="{D5CDD505-2E9C-101B-9397-08002B2CF9AE}" pid="20" name="Mendeley Recent Style Name 4_1">
    <vt:lpwstr>Chicago Manual of Style 16th edition (author-date)</vt:lpwstr>
  </property>
  <property fmtid="{D5CDD505-2E9C-101B-9397-08002B2CF9AE}" pid="21" name="Mendeley Recent Style Id 5_1">
    <vt:lpwstr>http://www.zotero.org/styles/harvard1</vt:lpwstr>
  </property>
  <property fmtid="{D5CDD505-2E9C-101B-9397-08002B2CF9AE}" pid="22" name="Mendeley Recent Style Name 5_1">
    <vt:lpwstr>Harvard Reference format 1 (author-date)</vt:lpwstr>
  </property>
  <property fmtid="{D5CDD505-2E9C-101B-9397-08002B2CF9AE}" pid="23" name="Mendeley Recent Style Id 6_1">
    <vt:lpwstr>http://www.zotero.org/styles/ieee</vt:lpwstr>
  </property>
  <property fmtid="{D5CDD505-2E9C-101B-9397-08002B2CF9AE}" pid="24" name="Mendeley Recent Style Name 6_1">
    <vt:lpwstr>IEEE</vt:lpwstr>
  </property>
  <property fmtid="{D5CDD505-2E9C-101B-9397-08002B2CF9AE}" pid="25" name="Mendeley Recent Style Id 7_1">
    <vt:lpwstr>http://www.zotero.org/styles/modern-humanities-research-association</vt:lpwstr>
  </property>
  <property fmtid="{D5CDD505-2E9C-101B-9397-08002B2CF9AE}" pid="26" name="Mendeley Recent Style Name 7_1">
    <vt:lpwstr>Modern Humanities Research Association 3rd edition (note with bibliography)</vt:lpwstr>
  </property>
  <property fmtid="{D5CDD505-2E9C-101B-9397-08002B2CF9AE}" pid="27" name="Mendeley Recent Style Id 8_1">
    <vt:lpwstr>http://www.zotero.org/styles/modern-language-association</vt:lpwstr>
  </property>
  <property fmtid="{D5CDD505-2E9C-101B-9397-08002B2CF9AE}" pid="28" name="Mendeley Recent Style Name 8_1">
    <vt:lpwstr>Modern Language Association 7th edition</vt:lpwstr>
  </property>
  <property fmtid="{D5CDD505-2E9C-101B-9397-08002B2CF9AE}" pid="29" name="Mendeley Recent Style Id 9_1">
    <vt:lpwstr>http://www.zotero.org/styles/nature</vt:lpwstr>
  </property>
  <property fmtid="{D5CDD505-2E9C-101B-9397-08002B2CF9AE}" pid="30" name="Mendeley Recent Style Name 9_1">
    <vt:lpwstr>Nature</vt:lpwstr>
  </property>
  <property fmtid="{D5CDD505-2E9C-101B-9397-08002B2CF9AE}" pid="31" name="MediaServiceImageTags">
    <vt:lpwstr/>
  </property>
  <property fmtid="{D5CDD505-2E9C-101B-9397-08002B2CF9AE}" pid="32" name="docLang">
    <vt:lpwstr>en</vt:lpwstr>
  </property>
</Properties>
</file>