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8658F2" w14:paraId="3F0E9EC4" w14:textId="77777777" w:rsidTr="00F7434A">
        <w:trPr>
          <w:cantSplit/>
          <w:trHeight w:val="1134"/>
        </w:trPr>
        <w:tc>
          <w:tcPr>
            <w:tcW w:w="6379" w:type="dxa"/>
          </w:tcPr>
          <w:p w14:paraId="3C20C75B" w14:textId="77777777" w:rsidR="00F7434A" w:rsidRPr="008658F2" w:rsidRDefault="00F7434A" w:rsidP="004037AF">
            <w:pPr>
              <w:tabs>
                <w:tab w:val="clear" w:pos="1191"/>
                <w:tab w:val="clear" w:pos="1588"/>
                <w:tab w:val="clear" w:pos="1985"/>
              </w:tabs>
              <w:spacing w:before="240" w:after="240"/>
              <w:ind w:left="34"/>
              <w:rPr>
                <w:b/>
                <w:bCs/>
                <w:sz w:val="32"/>
                <w:szCs w:val="32"/>
                <w:lang w:val="fr-FR"/>
              </w:rPr>
            </w:pPr>
            <w:r w:rsidRPr="008658F2">
              <w:rPr>
                <w:b/>
                <w:bCs/>
                <w:sz w:val="32"/>
                <w:szCs w:val="32"/>
                <w:lang w:val="fr-FR"/>
              </w:rPr>
              <w:t xml:space="preserve">Groupe consultatif pour le développement </w:t>
            </w:r>
            <w:r w:rsidRPr="008658F2">
              <w:rPr>
                <w:b/>
                <w:bCs/>
                <w:sz w:val="32"/>
                <w:szCs w:val="32"/>
                <w:lang w:val="fr-FR"/>
              </w:rPr>
              <w:br/>
              <w:t>des télécommunications (GCDT)</w:t>
            </w:r>
          </w:p>
          <w:p w14:paraId="5F5F590A" w14:textId="39E36666" w:rsidR="00F7434A" w:rsidRPr="008658F2" w:rsidRDefault="00F7434A" w:rsidP="001011EB">
            <w:pPr>
              <w:tabs>
                <w:tab w:val="clear" w:pos="1191"/>
                <w:tab w:val="clear" w:pos="1588"/>
                <w:tab w:val="clear" w:pos="1985"/>
              </w:tabs>
              <w:spacing w:after="120"/>
              <w:ind w:left="34"/>
              <w:rPr>
                <w:rFonts w:ascii="Verdana" w:hAnsi="Verdana"/>
                <w:sz w:val="28"/>
                <w:szCs w:val="28"/>
                <w:lang w:val="fr-FR"/>
              </w:rPr>
            </w:pPr>
            <w:r w:rsidRPr="008658F2">
              <w:rPr>
                <w:b/>
                <w:bCs/>
                <w:sz w:val="26"/>
                <w:szCs w:val="26"/>
                <w:lang w:val="fr-FR"/>
              </w:rPr>
              <w:t>33ème réunion, Genève, Suisse, 7-10 avril 2026</w:t>
            </w:r>
          </w:p>
        </w:tc>
        <w:tc>
          <w:tcPr>
            <w:tcW w:w="3509" w:type="dxa"/>
          </w:tcPr>
          <w:p w14:paraId="67E7B4C4" w14:textId="0F52E4CC" w:rsidR="00F7434A" w:rsidRPr="008658F2" w:rsidRDefault="00F7434A" w:rsidP="00946023">
            <w:pPr>
              <w:spacing w:before="240" w:after="120"/>
              <w:ind w:right="142"/>
              <w:jc w:val="right"/>
              <w:rPr>
                <w:lang w:val="fr-FR"/>
              </w:rPr>
            </w:pPr>
            <w:r w:rsidRPr="008658F2">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8658F2" w14:paraId="3C13197B" w14:textId="77777777" w:rsidTr="0009076F">
        <w:trPr>
          <w:cantSplit/>
        </w:trPr>
        <w:tc>
          <w:tcPr>
            <w:tcW w:w="6379" w:type="dxa"/>
            <w:tcBorders>
              <w:top w:val="single" w:sz="12" w:space="0" w:color="auto"/>
            </w:tcBorders>
          </w:tcPr>
          <w:p w14:paraId="2EED9DB2" w14:textId="77777777" w:rsidR="00683C32" w:rsidRPr="008658F2"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8658F2" w:rsidRDefault="00683C32" w:rsidP="00107E85">
            <w:pPr>
              <w:spacing w:before="0"/>
              <w:rPr>
                <w:b/>
                <w:bCs/>
                <w:sz w:val="20"/>
                <w:lang w:val="fr-FR"/>
              </w:rPr>
            </w:pPr>
          </w:p>
        </w:tc>
      </w:tr>
      <w:tr w:rsidR="00683C32" w:rsidRPr="008658F2" w14:paraId="0BB3FBC4" w14:textId="77777777" w:rsidTr="0009076F">
        <w:trPr>
          <w:cantSplit/>
        </w:trPr>
        <w:tc>
          <w:tcPr>
            <w:tcW w:w="6379" w:type="dxa"/>
          </w:tcPr>
          <w:p w14:paraId="43C54B3D" w14:textId="77777777" w:rsidR="00683C32" w:rsidRPr="008658F2" w:rsidRDefault="00683C32" w:rsidP="00400CCF">
            <w:pPr>
              <w:pStyle w:val="Committee"/>
              <w:spacing w:before="0"/>
              <w:rPr>
                <w:b w:val="0"/>
                <w:szCs w:val="24"/>
                <w:lang w:val="fr-FR"/>
              </w:rPr>
            </w:pPr>
          </w:p>
        </w:tc>
        <w:tc>
          <w:tcPr>
            <w:tcW w:w="3509" w:type="dxa"/>
          </w:tcPr>
          <w:p w14:paraId="02E44EE9" w14:textId="008B815D" w:rsidR="00683C32" w:rsidRPr="008658F2" w:rsidRDefault="0096201B" w:rsidP="00E25345">
            <w:pPr>
              <w:spacing w:before="0"/>
              <w:jc w:val="both"/>
              <w:rPr>
                <w:bCs/>
                <w:szCs w:val="24"/>
                <w:lang w:val="fr-FR"/>
              </w:rPr>
            </w:pPr>
            <w:r w:rsidRPr="008658F2">
              <w:rPr>
                <w:b/>
                <w:bCs/>
                <w:lang w:val="fr-FR"/>
              </w:rPr>
              <w:t xml:space="preserve">Document </w:t>
            </w:r>
            <w:bookmarkStart w:id="0" w:name="DocRef1"/>
            <w:bookmarkEnd w:id="0"/>
            <w:r w:rsidRPr="008658F2">
              <w:rPr>
                <w:b/>
                <w:bCs/>
                <w:lang w:val="fr-FR"/>
              </w:rPr>
              <w:t>TDAG</w:t>
            </w:r>
            <w:r w:rsidR="003242AB" w:rsidRPr="008658F2">
              <w:rPr>
                <w:b/>
                <w:bCs/>
                <w:lang w:val="fr-FR"/>
              </w:rPr>
              <w:t>-</w:t>
            </w:r>
            <w:r w:rsidR="00B648C7" w:rsidRPr="008658F2">
              <w:rPr>
                <w:b/>
                <w:bCs/>
                <w:lang w:val="fr-FR"/>
              </w:rPr>
              <w:t>2</w:t>
            </w:r>
            <w:bookmarkStart w:id="1" w:name="DocNo1"/>
            <w:bookmarkEnd w:id="1"/>
            <w:r w:rsidR="00F7434A" w:rsidRPr="008658F2">
              <w:rPr>
                <w:b/>
                <w:bCs/>
                <w:lang w:val="fr-FR"/>
              </w:rPr>
              <w:t>6</w:t>
            </w:r>
            <w:r w:rsidR="0009076F" w:rsidRPr="008658F2">
              <w:rPr>
                <w:b/>
                <w:bCs/>
                <w:lang w:val="fr-FR"/>
              </w:rPr>
              <w:t>/</w:t>
            </w:r>
            <w:r w:rsidR="00E814A2" w:rsidRPr="008658F2">
              <w:rPr>
                <w:b/>
                <w:bCs/>
                <w:lang w:val="fr-FR"/>
              </w:rPr>
              <w:t>5</w:t>
            </w:r>
            <w:r w:rsidRPr="008658F2">
              <w:rPr>
                <w:b/>
                <w:bCs/>
                <w:lang w:val="fr-FR"/>
              </w:rPr>
              <w:t>-</w:t>
            </w:r>
            <w:r w:rsidR="00E25345" w:rsidRPr="008658F2">
              <w:rPr>
                <w:b/>
                <w:bCs/>
                <w:lang w:val="fr-FR"/>
              </w:rPr>
              <w:t>F</w:t>
            </w:r>
          </w:p>
        </w:tc>
      </w:tr>
      <w:tr w:rsidR="00683C32" w:rsidRPr="008658F2" w14:paraId="24D04936" w14:textId="77777777" w:rsidTr="0009076F">
        <w:trPr>
          <w:cantSplit/>
        </w:trPr>
        <w:tc>
          <w:tcPr>
            <w:tcW w:w="6379" w:type="dxa"/>
          </w:tcPr>
          <w:p w14:paraId="12CE4DBF" w14:textId="77777777" w:rsidR="00683C32" w:rsidRPr="008658F2" w:rsidRDefault="00683C32" w:rsidP="00400CCF">
            <w:pPr>
              <w:spacing w:before="0"/>
              <w:rPr>
                <w:b/>
                <w:bCs/>
                <w:smallCaps/>
                <w:szCs w:val="24"/>
                <w:lang w:val="fr-FR"/>
              </w:rPr>
            </w:pPr>
          </w:p>
        </w:tc>
        <w:tc>
          <w:tcPr>
            <w:tcW w:w="3509" w:type="dxa"/>
          </w:tcPr>
          <w:p w14:paraId="0F89640F" w14:textId="0F14D591" w:rsidR="00683C32" w:rsidRPr="008658F2" w:rsidRDefault="005D4903" w:rsidP="00B648C7">
            <w:pPr>
              <w:spacing w:before="0"/>
              <w:rPr>
                <w:b/>
                <w:szCs w:val="24"/>
                <w:lang w:val="fr-FR"/>
              </w:rPr>
            </w:pPr>
            <w:bookmarkStart w:id="2" w:name="CreationDate"/>
            <w:bookmarkEnd w:id="2"/>
            <w:r w:rsidRPr="008658F2">
              <w:rPr>
                <w:b/>
                <w:bCs/>
                <w:szCs w:val="28"/>
                <w:lang w:val="fr-FR"/>
              </w:rPr>
              <w:t>3 mars 2026</w:t>
            </w:r>
          </w:p>
        </w:tc>
      </w:tr>
      <w:tr w:rsidR="00683C32" w:rsidRPr="008658F2" w14:paraId="7B96545F" w14:textId="77777777" w:rsidTr="0009076F">
        <w:trPr>
          <w:cantSplit/>
        </w:trPr>
        <w:tc>
          <w:tcPr>
            <w:tcW w:w="6379" w:type="dxa"/>
          </w:tcPr>
          <w:p w14:paraId="65956FD3" w14:textId="77777777" w:rsidR="00683C32" w:rsidRPr="008658F2" w:rsidRDefault="00683C32" w:rsidP="00400CCF">
            <w:pPr>
              <w:spacing w:before="0"/>
              <w:rPr>
                <w:b/>
                <w:bCs/>
                <w:smallCaps/>
                <w:szCs w:val="24"/>
                <w:lang w:val="fr-FR"/>
              </w:rPr>
            </w:pPr>
          </w:p>
        </w:tc>
        <w:tc>
          <w:tcPr>
            <w:tcW w:w="3509" w:type="dxa"/>
          </w:tcPr>
          <w:p w14:paraId="30EFD39F" w14:textId="33ACFB79" w:rsidR="00514D2F" w:rsidRPr="008658F2" w:rsidRDefault="0096201B" w:rsidP="001011EB">
            <w:pPr>
              <w:spacing w:before="0"/>
              <w:rPr>
                <w:szCs w:val="24"/>
                <w:lang w:val="fr-FR"/>
              </w:rPr>
            </w:pPr>
            <w:r w:rsidRPr="008658F2">
              <w:rPr>
                <w:b/>
                <w:lang w:val="fr-FR"/>
              </w:rPr>
              <w:t>Original:</w:t>
            </w:r>
            <w:bookmarkStart w:id="3" w:name="Original"/>
            <w:bookmarkEnd w:id="3"/>
            <w:r w:rsidR="00CE0422" w:rsidRPr="008658F2">
              <w:rPr>
                <w:b/>
                <w:lang w:val="fr-FR"/>
              </w:rPr>
              <w:t xml:space="preserve"> </w:t>
            </w:r>
            <w:r w:rsidR="001011EB" w:rsidRPr="008658F2">
              <w:rPr>
                <w:b/>
                <w:lang w:val="fr-FR"/>
              </w:rPr>
              <w:t>anglais</w:t>
            </w:r>
          </w:p>
        </w:tc>
      </w:tr>
      <w:tr w:rsidR="00A13162" w:rsidRPr="008658F2" w14:paraId="31656E31" w14:textId="77777777" w:rsidTr="00107E85">
        <w:trPr>
          <w:cantSplit/>
          <w:trHeight w:val="852"/>
        </w:trPr>
        <w:tc>
          <w:tcPr>
            <w:tcW w:w="9888" w:type="dxa"/>
            <w:gridSpan w:val="2"/>
          </w:tcPr>
          <w:p w14:paraId="512FCA01" w14:textId="5E56D18D" w:rsidR="00A13162" w:rsidRPr="008658F2" w:rsidRDefault="00E814A2" w:rsidP="0030353C">
            <w:pPr>
              <w:pStyle w:val="Source"/>
              <w:rPr>
                <w:lang w:val="fr-FR"/>
              </w:rPr>
            </w:pPr>
            <w:bookmarkStart w:id="4" w:name="Source"/>
            <w:bookmarkEnd w:id="4"/>
            <w:r w:rsidRPr="008658F2">
              <w:rPr>
                <w:lang w:val="fr-FR"/>
              </w:rPr>
              <w:t>Président de la Commission d'études 1 de l'UIT-D</w:t>
            </w:r>
          </w:p>
        </w:tc>
      </w:tr>
      <w:tr w:rsidR="00AC6F14" w:rsidRPr="008658F2" w14:paraId="2CBD3A36" w14:textId="77777777" w:rsidTr="00107E85">
        <w:trPr>
          <w:cantSplit/>
        </w:trPr>
        <w:tc>
          <w:tcPr>
            <w:tcW w:w="9888" w:type="dxa"/>
            <w:gridSpan w:val="2"/>
          </w:tcPr>
          <w:p w14:paraId="1B4121DF" w14:textId="370879F9" w:rsidR="00AC6F14" w:rsidRPr="008658F2" w:rsidRDefault="00E814A2" w:rsidP="001011EB">
            <w:pPr>
              <w:pStyle w:val="Title1"/>
              <w:rPr>
                <w:lang w:val="fr-FR"/>
              </w:rPr>
            </w:pPr>
            <w:bookmarkStart w:id="5" w:name="Title"/>
            <w:bookmarkEnd w:id="5"/>
            <w:r w:rsidRPr="008658F2">
              <w:rPr>
                <w:lang w:val="fr-FR"/>
              </w:rPr>
              <w:t>Domaine de compétence de la Commission d'études 1</w:t>
            </w:r>
            <w:r w:rsidR="00BE7979" w:rsidRPr="008658F2">
              <w:rPr>
                <w:lang w:val="fr-FR"/>
              </w:rPr>
              <w:br/>
            </w:r>
            <w:r w:rsidRPr="008658F2">
              <w:rPr>
                <w:lang w:val="fr-FR"/>
              </w:rPr>
              <w:t>de l'UIT-D pour la période d'études 2026-2029</w:t>
            </w:r>
          </w:p>
        </w:tc>
      </w:tr>
      <w:tr w:rsidR="00A721F4" w:rsidRPr="008658F2" w14:paraId="23A30231" w14:textId="77777777" w:rsidTr="00A721F4">
        <w:trPr>
          <w:cantSplit/>
        </w:trPr>
        <w:tc>
          <w:tcPr>
            <w:tcW w:w="9888" w:type="dxa"/>
            <w:gridSpan w:val="2"/>
            <w:tcBorders>
              <w:bottom w:val="single" w:sz="4" w:space="0" w:color="auto"/>
            </w:tcBorders>
          </w:tcPr>
          <w:p w14:paraId="726EE70E" w14:textId="77777777" w:rsidR="00A721F4" w:rsidRPr="008658F2" w:rsidRDefault="00A721F4" w:rsidP="0030353C">
            <w:pPr>
              <w:rPr>
                <w:lang w:val="fr-FR"/>
              </w:rPr>
            </w:pPr>
          </w:p>
        </w:tc>
      </w:tr>
      <w:tr w:rsidR="00A721F4" w:rsidRPr="008658F2"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8658F2" w:rsidRDefault="001011EB" w:rsidP="00EA0C51">
            <w:pPr>
              <w:spacing w:after="120"/>
              <w:rPr>
                <w:b/>
                <w:bCs/>
                <w:szCs w:val="24"/>
                <w:lang w:val="fr-FR"/>
              </w:rPr>
            </w:pPr>
            <w:r w:rsidRPr="008658F2">
              <w:rPr>
                <w:b/>
                <w:bCs/>
                <w:szCs w:val="24"/>
                <w:lang w:val="fr-FR"/>
              </w:rPr>
              <w:t>Résumé</w:t>
            </w:r>
            <w:r w:rsidR="00A721F4" w:rsidRPr="008658F2">
              <w:rPr>
                <w:b/>
                <w:bCs/>
                <w:szCs w:val="24"/>
                <w:lang w:val="fr-FR"/>
              </w:rPr>
              <w:t>:</w:t>
            </w:r>
          </w:p>
          <w:p w14:paraId="4082D7E8" w14:textId="12D107DB" w:rsidR="00A721F4" w:rsidRPr="008658F2" w:rsidRDefault="00E814A2" w:rsidP="005D4903">
            <w:pPr>
              <w:spacing w:after="120"/>
              <w:rPr>
                <w:szCs w:val="24"/>
                <w:lang w:val="fr-FR"/>
              </w:rPr>
            </w:pPr>
            <w:r w:rsidRPr="008658F2">
              <w:rPr>
                <w:lang w:val="fr-FR"/>
              </w:rPr>
              <w:t>Le présent rapport décrit le domaine de compétence de la Commission d'études 1 de l'UIT-D pour la période d'études 2026-2029, tel qu'il a été approuvé par la Conférence mondiale de développement des télécommunications de 2025 (CMDT-25). On y trouve également des renseignements sur les décisions de la CMDT-25 ayant des incidences sur les commissions d'études de l'UIT-D et le programme de travail confié à la Commission d'études 1 pour lui permettre de s'acquitter de son mandat</w:t>
            </w:r>
            <w:r w:rsidR="005D4903" w:rsidRPr="008658F2">
              <w:rPr>
                <w:lang w:val="fr-FR"/>
              </w:rPr>
              <w:t>.</w:t>
            </w:r>
          </w:p>
          <w:p w14:paraId="76A1C541" w14:textId="23209CDB" w:rsidR="00A721F4" w:rsidRPr="008658F2" w:rsidRDefault="001011EB" w:rsidP="00EA0C51">
            <w:pPr>
              <w:spacing w:after="120"/>
              <w:rPr>
                <w:b/>
                <w:bCs/>
                <w:szCs w:val="24"/>
                <w:lang w:val="fr-FR"/>
              </w:rPr>
            </w:pPr>
            <w:r w:rsidRPr="008658F2">
              <w:rPr>
                <w:b/>
                <w:bCs/>
                <w:lang w:val="fr-FR"/>
              </w:rPr>
              <w:t>Suite à donner</w:t>
            </w:r>
            <w:r w:rsidR="00A721F4" w:rsidRPr="008658F2">
              <w:rPr>
                <w:b/>
                <w:bCs/>
                <w:lang w:val="fr-FR"/>
              </w:rPr>
              <w:t>:</w:t>
            </w:r>
          </w:p>
          <w:p w14:paraId="371956FC" w14:textId="5492250D" w:rsidR="00A721F4" w:rsidRPr="008658F2" w:rsidRDefault="00E814A2" w:rsidP="00EA0C51">
            <w:pPr>
              <w:spacing w:after="120"/>
              <w:rPr>
                <w:szCs w:val="24"/>
                <w:lang w:val="fr-FR"/>
              </w:rPr>
            </w:pPr>
            <w:r w:rsidRPr="008658F2">
              <w:rPr>
                <w:lang w:val="fr-FR"/>
              </w:rPr>
              <w:t>Le GCDT est invité à prendre note du présent document et à fournir les indications qu'il jugera utiles</w:t>
            </w:r>
            <w:r w:rsidR="00F7434A" w:rsidRPr="008658F2">
              <w:rPr>
                <w:lang w:val="fr-FR"/>
              </w:rPr>
              <w:t>.</w:t>
            </w:r>
          </w:p>
          <w:p w14:paraId="622ACB80" w14:textId="39EE560D" w:rsidR="00A721F4" w:rsidRPr="008658F2" w:rsidRDefault="00A721F4" w:rsidP="00EA0C51">
            <w:pPr>
              <w:spacing w:after="120"/>
              <w:rPr>
                <w:b/>
                <w:bCs/>
                <w:szCs w:val="24"/>
                <w:lang w:val="fr-FR"/>
              </w:rPr>
            </w:pPr>
            <w:r w:rsidRPr="008658F2">
              <w:rPr>
                <w:b/>
                <w:bCs/>
                <w:szCs w:val="24"/>
                <w:lang w:val="fr-FR"/>
              </w:rPr>
              <w:t>R</w:t>
            </w:r>
            <w:r w:rsidR="001011EB" w:rsidRPr="008658F2">
              <w:rPr>
                <w:b/>
                <w:bCs/>
                <w:szCs w:val="24"/>
                <w:lang w:val="fr-FR"/>
              </w:rPr>
              <w:t>é</w:t>
            </w:r>
            <w:r w:rsidRPr="008658F2">
              <w:rPr>
                <w:b/>
                <w:bCs/>
                <w:szCs w:val="24"/>
                <w:lang w:val="fr-FR"/>
              </w:rPr>
              <w:t>f</w:t>
            </w:r>
            <w:r w:rsidR="001011EB" w:rsidRPr="008658F2">
              <w:rPr>
                <w:b/>
                <w:bCs/>
                <w:szCs w:val="24"/>
                <w:lang w:val="fr-FR"/>
              </w:rPr>
              <w:t>é</w:t>
            </w:r>
            <w:r w:rsidRPr="008658F2">
              <w:rPr>
                <w:b/>
                <w:bCs/>
                <w:szCs w:val="24"/>
                <w:lang w:val="fr-FR"/>
              </w:rPr>
              <w:t>rences:</w:t>
            </w:r>
          </w:p>
          <w:p w14:paraId="1ECDD20E" w14:textId="5B3C0CF0" w:rsidR="00A721F4" w:rsidRPr="008658F2" w:rsidRDefault="00E814A2" w:rsidP="001C48D3">
            <w:pPr>
              <w:spacing w:after="120"/>
              <w:rPr>
                <w:szCs w:val="24"/>
                <w:lang w:val="fr-FR"/>
              </w:rPr>
            </w:pPr>
            <w:r w:rsidRPr="008658F2">
              <w:rPr>
                <w:lang w:val="fr-FR"/>
              </w:rPr>
              <w:t>Résolutions 1 et 2 (Rév. Bakou, 2025) de la CMDT</w:t>
            </w:r>
          </w:p>
        </w:tc>
      </w:tr>
    </w:tbl>
    <w:p w14:paraId="5B29B2A3" w14:textId="77777777" w:rsidR="00923CF1" w:rsidRPr="008658F2" w:rsidRDefault="00923CF1">
      <w:pPr>
        <w:tabs>
          <w:tab w:val="clear" w:pos="794"/>
          <w:tab w:val="clear" w:pos="1191"/>
          <w:tab w:val="clear" w:pos="1588"/>
          <w:tab w:val="clear" w:pos="1985"/>
        </w:tabs>
        <w:overflowPunct/>
        <w:autoSpaceDE/>
        <w:autoSpaceDN/>
        <w:adjustRightInd/>
        <w:spacing w:before="0"/>
        <w:textAlignment w:val="auto"/>
        <w:rPr>
          <w:lang w:val="fr-FR"/>
        </w:rPr>
      </w:pPr>
      <w:r w:rsidRPr="008658F2">
        <w:rPr>
          <w:lang w:val="fr-FR"/>
        </w:rPr>
        <w:br w:type="page"/>
      </w:r>
    </w:p>
    <w:p w14:paraId="69A61967" w14:textId="692CE52A" w:rsidR="005D4903" w:rsidRPr="008658F2" w:rsidRDefault="005D4903" w:rsidP="005D4903">
      <w:pPr>
        <w:pStyle w:val="Heading1"/>
        <w:rPr>
          <w:lang w:val="fr-FR"/>
        </w:rPr>
      </w:pPr>
      <w:r w:rsidRPr="008658F2">
        <w:rPr>
          <w:lang w:val="fr-FR"/>
        </w:rPr>
        <w:lastRenderedPageBreak/>
        <w:t>1</w:t>
      </w:r>
      <w:r w:rsidRPr="008658F2">
        <w:rPr>
          <w:lang w:val="fr-FR"/>
        </w:rPr>
        <w:tab/>
      </w:r>
      <w:r w:rsidR="00E814A2" w:rsidRPr="008658F2">
        <w:rPr>
          <w:lang w:val="fr-FR"/>
        </w:rPr>
        <w:t>Décisions de la CMDT-25 ayant une incidence sur la Commission d'études 1 de l'UIT-D</w:t>
      </w:r>
    </w:p>
    <w:p w14:paraId="15636FFF" w14:textId="1448EB36" w:rsidR="00E814A2" w:rsidRPr="008658F2" w:rsidRDefault="00E814A2" w:rsidP="00E814A2">
      <w:pPr>
        <w:rPr>
          <w:lang w:val="fr-FR"/>
        </w:rPr>
      </w:pPr>
      <w:r w:rsidRPr="008658F2">
        <w:rPr>
          <w:lang w:val="fr-FR"/>
        </w:rPr>
        <w:t>Les commissions d'études de l'UIT-D mènent leurs travaux conformément aux procédures et aux méthodes de travail décrites dans la Résolution 1 (Rév. Bakou, 2025) adoptée par la CMDT-25, intitulée "Règlement intérieur du Secteur du développement des télécommunications de l'UIT". La</w:t>
      </w:r>
      <w:r w:rsidR="00FD38B4" w:rsidRPr="008658F2">
        <w:rPr>
          <w:lang w:val="fr-FR"/>
        </w:rPr>
        <w:t> </w:t>
      </w:r>
      <w:r w:rsidRPr="008658F2">
        <w:rPr>
          <w:lang w:val="fr-FR"/>
        </w:rPr>
        <w:t>CMDT-25 a rappelé le rôle des commissions d'études de l'UIT-D, qui consiste à offrir aux membres une tribune permettant d'échanger des données d'expérience, de présenter des idées, de dialoguer et de parvenir à un consensus sur les stratégies à adopter pour répondre aux priorités actuelles et futures dans le domaine des télécommunications/TIC. À cette fin, le rôle que jouent les commissions d'études de l'UIT-D pour aider les États Membres à atteindre les cibles associées à leurs ODD et certains objectifs de développement a été renforcé.</w:t>
      </w:r>
    </w:p>
    <w:p w14:paraId="22CC4D13" w14:textId="7E786BDC" w:rsidR="00E814A2" w:rsidRPr="008658F2" w:rsidRDefault="00E814A2" w:rsidP="00E814A2">
      <w:pPr>
        <w:rPr>
          <w:lang w:val="fr-FR"/>
        </w:rPr>
      </w:pPr>
      <w:r w:rsidRPr="008658F2">
        <w:rPr>
          <w:lang w:val="fr-FR"/>
        </w:rPr>
        <w:t>Parmi les modifications apportées aux méthodes de travail décrites dans la Résolution 1 (Rév.</w:t>
      </w:r>
      <w:r w:rsidR="00004D2D" w:rsidRPr="008658F2">
        <w:rPr>
          <w:lang w:val="fr-FR"/>
        </w:rPr>
        <w:t> </w:t>
      </w:r>
      <w:r w:rsidRPr="008658F2">
        <w:rPr>
          <w:lang w:val="fr-FR"/>
        </w:rPr>
        <w:t>Bakou, 2025) de la CMDT figurent des dispositions nouvelles ou modifiées concernant notamment les responsables (exemple: un membre à l'origine d'une candidature est informé en cas d'absence du responsable à deux réunions consécutives), les rapports finals (exemple: les nouveaux rapports finals sur une Question ne doivent pas dépasser 70 pages, contre 50 auparavant), les produits intérimaires (exemple: une compilation des produits intérimaires publiés peut constituer un rapport sur les résultats), la collaboration avec les autres Secteurs de l'UIT (exemple: procédures additionnelles/révisées pour les groupes de travail par correspondance intersectoriels et les groupes du rapporteur intersectoriels), et les activités d'appui aux commissions d'études (exemple: des manifestations sur des sujets liés aux priorités et aux objectifs du Plan d'action de Bakou et des Résolutions de la CMDT, organisées pendant les réunions des commissions d'études, ou juste avant ou juste après).</w:t>
      </w:r>
    </w:p>
    <w:p w14:paraId="12B597AA" w14:textId="150C28EA" w:rsidR="00E814A2" w:rsidRPr="008658F2" w:rsidRDefault="00E814A2" w:rsidP="00E814A2">
      <w:pPr>
        <w:rPr>
          <w:lang w:val="fr-FR"/>
        </w:rPr>
      </w:pPr>
      <w:r w:rsidRPr="008658F2">
        <w:rPr>
          <w:lang w:val="fr-FR"/>
        </w:rPr>
        <w:t>Comme indiqué dans la Résolution 2 (Rév. Bakou, 2025) de la CMDT, les travaux de la Commission d</w:t>
      </w:r>
      <w:r w:rsidR="00D83883" w:rsidRPr="008658F2">
        <w:rPr>
          <w:lang w:val="fr-FR"/>
        </w:rPr>
        <w:t>'</w:t>
      </w:r>
      <w:r w:rsidRPr="008658F2">
        <w:rPr>
          <w:lang w:val="fr-FR"/>
        </w:rPr>
        <w:t>études 1 de l</w:t>
      </w:r>
      <w:r w:rsidR="00D83883" w:rsidRPr="008658F2">
        <w:rPr>
          <w:lang w:val="fr-FR"/>
        </w:rPr>
        <w:t>'</w:t>
      </w:r>
      <w:r w:rsidRPr="008658F2">
        <w:rPr>
          <w:lang w:val="fr-FR"/>
        </w:rPr>
        <w:t>UIT-D (CE 1) porteront toujours sur le thème "Une connectivité universelle et efficace pour réduire la fracture numérique". La nouvelle équipe de direction désignée par la</w:t>
      </w:r>
      <w:r w:rsidR="00326F0B" w:rsidRPr="008658F2">
        <w:rPr>
          <w:lang w:val="fr-FR"/>
        </w:rPr>
        <w:t> </w:t>
      </w:r>
      <w:r w:rsidRPr="008658F2">
        <w:rPr>
          <w:lang w:val="fr-FR"/>
        </w:rPr>
        <w:t>CMDT-25 pour diriger les travaux de la CE 1 comprend un Président et 16 Vice-Présidents. Des fonctions de coordination sur des sujets précis seront confiées aux Vice-Présidents.</w:t>
      </w:r>
    </w:p>
    <w:p w14:paraId="5B880C5A" w14:textId="08174D30" w:rsidR="00E814A2" w:rsidRPr="008658F2" w:rsidRDefault="00E814A2" w:rsidP="00E814A2">
      <w:pPr>
        <w:rPr>
          <w:lang w:val="fr-FR"/>
        </w:rPr>
      </w:pPr>
      <w:r w:rsidRPr="008658F2">
        <w:rPr>
          <w:lang w:val="fr-FR"/>
        </w:rPr>
        <w:t>Cinq Questions ont été confiées à la CE 1, contre sept auparavant, ce qui permet de réduire les chevauchements entre les sujets et les contributions et d'améliorer l'utilisation efficace des ressources. Le nombre de Questions a été réduit, mais les thèmes principaux des Questions étudiées précédemment ont été maintenus, certains d'entre eux ayant été intégrés dans les nouvelles Questions. Les cinq Questions porteront aussi sur de nouveaux sujets. Elles visent à mener des recherches, dans le cadre de leur champ d'action respectif, sur les télécommunications/TIC nouvelles et émergentes, y compris les applications d'intelligence artificielle (IA), pour assurer une connectivité universelle et efficace.</w:t>
      </w:r>
    </w:p>
    <w:p w14:paraId="0D4ED05C" w14:textId="536E8602" w:rsidR="00E814A2" w:rsidRPr="008658F2" w:rsidRDefault="00E814A2" w:rsidP="00E814A2">
      <w:pPr>
        <w:rPr>
          <w:lang w:val="fr-FR"/>
        </w:rPr>
      </w:pPr>
      <w:r w:rsidRPr="008658F2">
        <w:rPr>
          <w:lang w:val="fr-FR"/>
        </w:rPr>
        <w:t>Certaines Questions seront consacrées à l</w:t>
      </w:r>
      <w:r w:rsidR="00D83883" w:rsidRPr="008658F2">
        <w:rPr>
          <w:lang w:val="fr-FR"/>
        </w:rPr>
        <w:t>'</w:t>
      </w:r>
      <w:r w:rsidRPr="008658F2">
        <w:rPr>
          <w:lang w:val="fr-FR"/>
        </w:rPr>
        <w:t>étude de nouveaux sujets, notamment la complémentarité des réseaux de Terre et des réseaux autres que de Terre; l'élaboration de politiques fondées sur les données; l'institutionnalisation de la collaboration intersectorielle (exemples: TIC, finance, énergie, éducation, transport) pour aligner les objectifs en matière d</w:t>
      </w:r>
      <w:r w:rsidR="00D83883" w:rsidRPr="008658F2">
        <w:rPr>
          <w:lang w:val="fr-FR"/>
        </w:rPr>
        <w:t>'</w:t>
      </w:r>
      <w:r w:rsidRPr="008658F2">
        <w:rPr>
          <w:lang w:val="fr-FR"/>
        </w:rPr>
        <w:t>infrastructures de télécommunication/TIC sur les priorités nationales de développement; l</w:t>
      </w:r>
      <w:r w:rsidR="00D83883" w:rsidRPr="008658F2">
        <w:rPr>
          <w:lang w:val="fr-FR"/>
        </w:rPr>
        <w:t>'</w:t>
      </w:r>
      <w:r w:rsidRPr="008658F2">
        <w:rPr>
          <w:lang w:val="fr-FR"/>
        </w:rPr>
        <w:t>utilisation de l</w:t>
      </w:r>
      <w:r w:rsidR="00D83883" w:rsidRPr="008658F2">
        <w:rPr>
          <w:lang w:val="fr-FR"/>
        </w:rPr>
        <w:t>'</w:t>
      </w:r>
      <w:r w:rsidRPr="008658F2">
        <w:rPr>
          <w:lang w:val="fr-FR"/>
        </w:rPr>
        <w:t xml:space="preserve">IA dans la fourniture technique sur la chaîne de radiodiffusion; l'utilisation de l'IA, des jumeaux numériques et d'autres outils pertinents offerts par les technologies et les services de télécommunication/TIC nouveaux et émergents pour la prévision, la réduction et la gestion des risques de catastrophe; les incidences économiques des technologies et services des </w:t>
      </w:r>
      <w:r w:rsidRPr="008658F2">
        <w:rPr>
          <w:lang w:val="fr-FR"/>
        </w:rPr>
        <w:lastRenderedPageBreak/>
        <w:t>télécommunications/TIC nouvelles et émergentes, notamment les applications d'IA et le métavers; la valeur économique du spectre au niveau national; l'argent mobile; la contribution des services de télécommunication/TIC au retour social sur investissement; la façon dont les solutions de télécommunication/TIC accessibles peuvent améliorer l'environnement de travail et l'accès aux possibilités d'emploi, surtout pour les personnes handicapées et les personnes ayant des besoins particuliers; les stratégies innovantes de sensibilisation et d'autonomisation des consommateurs.</w:t>
      </w:r>
    </w:p>
    <w:p w14:paraId="64BB1CFF" w14:textId="239C0FF9" w:rsidR="005D4903" w:rsidRPr="008658F2" w:rsidRDefault="00E814A2" w:rsidP="00E814A2">
      <w:pPr>
        <w:rPr>
          <w:lang w:val="fr-FR"/>
        </w:rPr>
      </w:pPr>
      <w:r w:rsidRPr="008658F2">
        <w:rPr>
          <w:lang w:val="fr-FR"/>
        </w:rPr>
        <w:t>La présentation de rapports d'activité annuels doit être intégrée dans les programmes de travail propres à chaque Question, dans la mesure du possible. Le renforcement des capacités des commissions d'études de l'UIT-D restera important dans les Questions à l'étude; il prendra la forme d'échanges d'études de cas et d'ateliers et de webinaires</w:t>
      </w:r>
      <w:r w:rsidR="005D4903" w:rsidRPr="008658F2">
        <w:rPr>
          <w:lang w:val="fr-FR"/>
        </w:rPr>
        <w:t>.</w:t>
      </w:r>
    </w:p>
    <w:p w14:paraId="795450C7" w14:textId="1A12F0D2" w:rsidR="005D4903" w:rsidRPr="008658F2" w:rsidRDefault="005D4903" w:rsidP="005D4903">
      <w:pPr>
        <w:pStyle w:val="Heading1"/>
        <w:rPr>
          <w:lang w:val="fr-FR"/>
        </w:rPr>
      </w:pPr>
      <w:r w:rsidRPr="008658F2">
        <w:rPr>
          <w:lang w:val="fr-FR"/>
        </w:rPr>
        <w:t>2</w:t>
      </w:r>
      <w:r w:rsidRPr="008658F2">
        <w:rPr>
          <w:lang w:val="fr-FR"/>
        </w:rPr>
        <w:tab/>
      </w:r>
      <w:r w:rsidR="00E814A2" w:rsidRPr="008658F2">
        <w:rPr>
          <w:lang w:val="fr-FR"/>
        </w:rPr>
        <w:t>Présentation des travaux de la Commission d'études 1 de l'UIT-D</w:t>
      </w:r>
    </w:p>
    <w:p w14:paraId="32ABE2F2" w14:textId="26D6095A" w:rsidR="005D4903" w:rsidRPr="008658F2" w:rsidRDefault="005D4903" w:rsidP="005D4903">
      <w:pPr>
        <w:pStyle w:val="Heading2"/>
        <w:rPr>
          <w:lang w:val="fr-FR"/>
        </w:rPr>
      </w:pPr>
      <w:r w:rsidRPr="008658F2">
        <w:rPr>
          <w:lang w:val="fr-FR"/>
        </w:rPr>
        <w:t>2.1</w:t>
      </w:r>
      <w:r w:rsidRPr="008658F2">
        <w:rPr>
          <w:lang w:val="fr-FR"/>
        </w:rPr>
        <w:tab/>
      </w:r>
      <w:r w:rsidR="00E814A2" w:rsidRPr="008658F2">
        <w:rPr>
          <w:lang w:val="fr-FR"/>
        </w:rPr>
        <w:t>Domaine de compétence</w:t>
      </w:r>
    </w:p>
    <w:p w14:paraId="072E331C" w14:textId="34E1AC32" w:rsidR="005D4903" w:rsidRPr="008658F2" w:rsidRDefault="00E814A2" w:rsidP="00E814A2">
      <w:pPr>
        <w:rPr>
          <w:lang w:val="fr-FR"/>
        </w:rPr>
      </w:pPr>
      <w:r w:rsidRPr="008658F2">
        <w:rPr>
          <w:lang w:val="fr-FR"/>
        </w:rPr>
        <w:t>La CE 1 a été créée conformément à la Résolution 2 (Rév. Bakou, 2025) de la CMDT, en vue d'examiner, au titre des Questions adoptées par les membres de l'UIT lors de la CMDT-25, les questions relatives à la connectivité universelle et efficace pour réduire la fracture numérique</w:t>
      </w:r>
      <w:r w:rsidR="005D4903" w:rsidRPr="008658F2">
        <w:rPr>
          <w:lang w:val="fr-FR"/>
        </w:rPr>
        <w:t>.</w:t>
      </w:r>
    </w:p>
    <w:p w14:paraId="191FEE84" w14:textId="77777777" w:rsidR="00E814A2" w:rsidRPr="008658F2" w:rsidRDefault="00E814A2" w:rsidP="00A775FA">
      <w:pPr>
        <w:rPr>
          <w:rFonts w:cstheme="minorHAnsi"/>
          <w:szCs w:val="24"/>
          <w:lang w:val="fr-FR"/>
        </w:rPr>
      </w:pPr>
      <w:r w:rsidRPr="008658F2">
        <w:rPr>
          <w:lang w:val="fr-FR"/>
        </w:rPr>
        <w:t>Les sujets que la CE 1 sera appelée à étudier sont les suivants:</w:t>
      </w:r>
    </w:p>
    <w:p w14:paraId="790DF0C0" w14:textId="4BAD38AE" w:rsidR="00E814A2" w:rsidRPr="008658F2" w:rsidRDefault="00E814A2" w:rsidP="00E814A2">
      <w:pPr>
        <w:pStyle w:val="enumlev1"/>
        <w:rPr>
          <w:rFonts w:cstheme="minorHAnsi"/>
          <w:szCs w:val="24"/>
          <w:lang w:val="fr-FR"/>
        </w:rPr>
      </w:pPr>
      <w:r w:rsidRPr="008658F2">
        <w:rPr>
          <w:lang w:val="fr-FR"/>
        </w:rPr>
        <w:t>–</w:t>
      </w:r>
      <w:r w:rsidRPr="008658F2">
        <w:rPr>
          <w:lang w:val="fr-FR"/>
        </w:rPr>
        <w:tab/>
        <w:t>Aspects politiques et réglementaires nationaux du développement des télécommunications large bande/TIC.</w:t>
      </w:r>
    </w:p>
    <w:p w14:paraId="26D9FBCC" w14:textId="4E613277" w:rsidR="00E814A2" w:rsidRPr="008658F2" w:rsidRDefault="00E814A2" w:rsidP="00E814A2">
      <w:pPr>
        <w:pStyle w:val="enumlev1"/>
        <w:rPr>
          <w:rFonts w:cstheme="minorHAnsi"/>
          <w:szCs w:val="24"/>
          <w:lang w:val="fr-FR"/>
        </w:rPr>
      </w:pPr>
      <w:r w:rsidRPr="008658F2">
        <w:rPr>
          <w:lang w:val="fr-FR"/>
        </w:rPr>
        <w:t>–</w:t>
      </w:r>
      <w:r w:rsidRPr="008658F2">
        <w:rPr>
          <w:lang w:val="fr-FR"/>
        </w:rPr>
        <w:tab/>
        <w:t>Aspects économiques dans le domaine des télécommunications/TIC nationales, y compris les méthodes permettant de faciliter la mise en place de l'économie numérique et la fourniture de services de télécommunication/TIC, notamment pour les zones rurales et isolées.</w:t>
      </w:r>
    </w:p>
    <w:p w14:paraId="139D994E" w14:textId="1C6C6498" w:rsidR="00E814A2" w:rsidRPr="008658F2" w:rsidRDefault="00E814A2" w:rsidP="00E814A2">
      <w:pPr>
        <w:pStyle w:val="enumlev1"/>
        <w:rPr>
          <w:rFonts w:cstheme="minorHAnsi"/>
          <w:szCs w:val="24"/>
          <w:lang w:val="fr-FR"/>
        </w:rPr>
      </w:pPr>
      <w:r w:rsidRPr="008658F2">
        <w:rPr>
          <w:lang w:val="fr-FR"/>
        </w:rPr>
        <w:t>–</w:t>
      </w:r>
      <w:r w:rsidRPr="008658F2">
        <w:rPr>
          <w:lang w:val="fr-FR"/>
        </w:rPr>
        <w:tab/>
        <w:t>Approches nationales en ce qui concerne la fourniture d'un accès aux télécommunications/TIC modernes dans les zones rurales et isolées, l'accent étant mis tout particulièrement sur les pays en développement, y compris les pays les moins avancés, les petits États insulaires en développement, les pays en développement sans littoral et les pays dont l'économie est en transition.</w:t>
      </w:r>
    </w:p>
    <w:p w14:paraId="200EF0CC" w14:textId="309F0E1D" w:rsidR="00E814A2" w:rsidRPr="008658F2" w:rsidRDefault="00E814A2" w:rsidP="00E814A2">
      <w:pPr>
        <w:pStyle w:val="enumlev1"/>
        <w:rPr>
          <w:rFonts w:cstheme="minorHAnsi"/>
          <w:szCs w:val="24"/>
          <w:lang w:val="fr-FR"/>
        </w:rPr>
      </w:pPr>
      <w:r w:rsidRPr="008658F2">
        <w:rPr>
          <w:lang w:val="fr-FR"/>
        </w:rPr>
        <w:t>–</w:t>
      </w:r>
      <w:r w:rsidRPr="008658F2">
        <w:rPr>
          <w:lang w:val="fr-FR"/>
        </w:rPr>
        <w:tab/>
        <w:t>Accès aux services de télécommunication/TIC pour favoriser des communications inclusives, en particulier pour les personnes handicapées et les personnes ayant des besoins particuliers.</w:t>
      </w:r>
    </w:p>
    <w:p w14:paraId="78388312" w14:textId="06F91F57" w:rsidR="00E814A2" w:rsidRPr="008658F2" w:rsidRDefault="00E814A2" w:rsidP="00E814A2">
      <w:pPr>
        <w:pStyle w:val="enumlev1"/>
        <w:rPr>
          <w:rFonts w:cstheme="minorHAnsi"/>
          <w:szCs w:val="24"/>
          <w:lang w:val="fr-FR"/>
        </w:rPr>
      </w:pPr>
      <w:r w:rsidRPr="008658F2">
        <w:rPr>
          <w:lang w:val="fr-FR"/>
        </w:rPr>
        <w:t>–</w:t>
      </w:r>
      <w:r w:rsidRPr="008658F2">
        <w:rPr>
          <w:lang w:val="fr-FR"/>
        </w:rPr>
        <w:tab/>
        <w:t>Passage aux technologies numériques pour la radiodiffusion et adoption de ces technologies pour différents environnements.</w:t>
      </w:r>
    </w:p>
    <w:p w14:paraId="2B0935E3" w14:textId="7BF7FFEB" w:rsidR="00E814A2" w:rsidRPr="008658F2" w:rsidRDefault="00E814A2" w:rsidP="00E814A2">
      <w:pPr>
        <w:pStyle w:val="enumlev1"/>
        <w:rPr>
          <w:rFonts w:cstheme="minorHAnsi"/>
          <w:szCs w:val="24"/>
          <w:lang w:val="fr-FR"/>
        </w:rPr>
      </w:pPr>
      <w:r w:rsidRPr="008658F2">
        <w:rPr>
          <w:lang w:val="fr-FR"/>
        </w:rPr>
        <w:t>–</w:t>
      </w:r>
      <w:r w:rsidRPr="008658F2">
        <w:rPr>
          <w:lang w:val="fr-FR"/>
        </w:rPr>
        <w:tab/>
        <w:t>Utilisation des télécommunications/TIC pour l'atténuation et la gestion des risques de catastrophes, notamment dans les pays en développement.</w:t>
      </w:r>
    </w:p>
    <w:p w14:paraId="1B65121E" w14:textId="5ACB2C44" w:rsidR="00E814A2" w:rsidRPr="008658F2" w:rsidRDefault="00E814A2" w:rsidP="00E814A2">
      <w:pPr>
        <w:pStyle w:val="enumlev1"/>
        <w:rPr>
          <w:rFonts w:cstheme="minorHAnsi"/>
          <w:szCs w:val="24"/>
          <w:lang w:val="fr-FR"/>
        </w:rPr>
      </w:pPr>
      <w:r w:rsidRPr="008658F2">
        <w:rPr>
          <w:lang w:val="fr-FR"/>
        </w:rPr>
        <w:t>–</w:t>
      </w:r>
      <w:r w:rsidRPr="008658F2">
        <w:rPr>
          <w:lang w:val="fr-FR"/>
        </w:rPr>
        <w:tab/>
        <w:t>Information, autonomisation, protection et droits des consommateurs pour les services de télécommunication/TIC, en particulier pour les groupes vulnérables.</w:t>
      </w:r>
    </w:p>
    <w:p w14:paraId="5097CB89" w14:textId="0F436C54" w:rsidR="00E814A2" w:rsidRPr="008658F2" w:rsidRDefault="00E814A2" w:rsidP="00E814A2">
      <w:pPr>
        <w:pStyle w:val="enumlev1"/>
        <w:rPr>
          <w:lang w:val="fr-FR"/>
        </w:rPr>
      </w:pPr>
      <w:r w:rsidRPr="008658F2">
        <w:rPr>
          <w:lang w:val="fr-FR"/>
        </w:rPr>
        <w:t>–</w:t>
      </w:r>
      <w:r w:rsidRPr="008658F2">
        <w:rPr>
          <w:lang w:val="fr-FR"/>
        </w:rPr>
        <w:tab/>
        <w:t>Utilisation des télécommunications/TIC nouvelles et émergentes, y compris les applications d'intelligence artificielle (IA), pour garantir une connectivité universelle et efficace.</w:t>
      </w:r>
    </w:p>
    <w:p w14:paraId="0D5C967F" w14:textId="05521ED6" w:rsidR="00E814A2" w:rsidRPr="008658F2" w:rsidRDefault="00004D2D" w:rsidP="00A775FA">
      <w:pPr>
        <w:pStyle w:val="Heading2"/>
        <w:rPr>
          <w:rFonts w:cstheme="minorHAnsi"/>
          <w:sz w:val="22"/>
          <w:szCs w:val="16"/>
          <w:lang w:val="fr-FR"/>
        </w:rPr>
      </w:pPr>
      <w:r w:rsidRPr="008658F2">
        <w:rPr>
          <w:lang w:val="fr-FR"/>
        </w:rPr>
        <w:lastRenderedPageBreak/>
        <w:t>2</w:t>
      </w:r>
      <w:r w:rsidR="00A775FA" w:rsidRPr="008658F2">
        <w:rPr>
          <w:lang w:val="fr-FR"/>
        </w:rPr>
        <w:t>.</w:t>
      </w:r>
      <w:r w:rsidRPr="008658F2">
        <w:rPr>
          <w:lang w:val="fr-FR"/>
        </w:rPr>
        <w:t>2</w:t>
      </w:r>
      <w:r w:rsidR="00A775FA" w:rsidRPr="008658F2">
        <w:rPr>
          <w:lang w:val="fr-FR"/>
        </w:rPr>
        <w:tab/>
      </w:r>
      <w:r w:rsidR="00E814A2" w:rsidRPr="008658F2">
        <w:rPr>
          <w:lang w:val="fr-FR"/>
        </w:rPr>
        <w:t>Équipe de direction de la Commission d'études 1</w:t>
      </w:r>
    </w:p>
    <w:p w14:paraId="34064740" w14:textId="76F8F241" w:rsidR="00E814A2" w:rsidRPr="008658F2" w:rsidRDefault="00E814A2" w:rsidP="00A775FA">
      <w:pPr>
        <w:rPr>
          <w:rFonts w:cstheme="minorBidi"/>
          <w:lang w:val="fr-FR"/>
        </w:rPr>
      </w:pPr>
      <w:r w:rsidRPr="008658F2">
        <w:rPr>
          <w:lang w:val="fr-FR"/>
        </w:rPr>
        <w:t>La CMDT-25 a désigné l'équipe de direction de la CE 1 pour la neuvième période d'études (2026</w:t>
      </w:r>
      <w:r w:rsidR="00D83883" w:rsidRPr="008658F2">
        <w:rPr>
          <w:lang w:val="fr-FR"/>
        </w:rPr>
        <w:noBreakHyphen/>
      </w:r>
      <w:r w:rsidRPr="008658F2">
        <w:rPr>
          <w:lang w:val="fr-FR"/>
        </w:rPr>
        <w:t>2029): la présidence a été confiée à M. Roberto Mitsuake Hirayama (Brésil). Seize Vice</w:t>
      </w:r>
      <w:r w:rsidR="00D83883" w:rsidRPr="008658F2">
        <w:rPr>
          <w:lang w:val="fr-FR"/>
        </w:rPr>
        <w:noBreakHyphen/>
      </w:r>
      <w:r w:rsidRPr="008658F2">
        <w:rPr>
          <w:lang w:val="fr-FR"/>
        </w:rPr>
        <w:t>Présidents ont été nommés, à savoir:</w:t>
      </w:r>
    </w:p>
    <w:p w14:paraId="6FE8362B" w14:textId="7103ACA3"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Mme Hadiza Kachallah (Nigéria (République fédérale du), Afrique)</w:t>
      </w:r>
    </w:p>
    <w:p w14:paraId="3A72FA3F" w14:textId="22E21D49"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Malick Ndiaye (Sénégal (République du), Afrique)</w:t>
      </w:r>
    </w:p>
    <w:p w14:paraId="67F708A5" w14:textId="6D9085EA"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Francisco Antonio Casaccia Torres (Paraguay (République du), Amériques)</w:t>
      </w:r>
    </w:p>
    <w:p w14:paraId="0B137FE8" w14:textId="1041F43C"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Ali Rasheed Hamad Al-Hamad (Koweït (État du), États arabes)</w:t>
      </w:r>
    </w:p>
    <w:p w14:paraId="061E9238" w14:textId="4F22416B"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Abdelwaheb Galizra (Algérie (République algérienne démocratique et populaire), États</w:t>
      </w:r>
      <w:r w:rsidR="00004D2D" w:rsidRPr="008658F2">
        <w:rPr>
          <w:lang w:val="fr-FR"/>
        </w:rPr>
        <w:t> </w:t>
      </w:r>
      <w:r w:rsidR="00E814A2" w:rsidRPr="008658F2">
        <w:rPr>
          <w:lang w:val="fr-FR"/>
        </w:rPr>
        <w:t>arabes)</w:t>
      </w:r>
    </w:p>
    <w:p w14:paraId="5DDC24E4" w14:textId="6A0C4C40"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Wesam M. Sedik (Égypte (République arabe d'), États arabes)</w:t>
      </w:r>
    </w:p>
    <w:p w14:paraId="618021A8" w14:textId="574768E8"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Mme Memiko Otsuki (Japon, Asie-Pacifique)</w:t>
      </w:r>
    </w:p>
    <w:p w14:paraId="0B981A47" w14:textId="67AF96A2"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Sunil Singhal (Inde (République de l'), Asie-Pacifique)</w:t>
      </w:r>
    </w:p>
    <w:p w14:paraId="6534CD03" w14:textId="720C9ACB"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Mme Sha Wei (Chine (République populaire de), Asie-Pacifique)</w:t>
      </w:r>
    </w:p>
    <w:p w14:paraId="35A9E746" w14:textId="2A1CD449"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Dao Ngoc Tuyen (Viet Nam (République socialiste du), Asie-Pacifique)</w:t>
      </w:r>
    </w:p>
    <w:p w14:paraId="521A3395" w14:textId="7EFE5B4F"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 Ilgar Abdullayev (Azerbaïdjan (République d'), CEI)</w:t>
      </w:r>
    </w:p>
    <w:p w14:paraId="5239BC16" w14:textId="03D86388"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Mme Anastasia Konukhova (Fédération de Russie, CEI)</w:t>
      </w:r>
    </w:p>
    <w:p w14:paraId="0BF1737C" w14:textId="03979E39"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Mme Umida Musaeva (Ouzbékistan (République d'), CEI)</w:t>
      </w:r>
    </w:p>
    <w:p w14:paraId="48E80735" w14:textId="3E0F20F8"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Mme Cristina Aguiar (Portugal, Europe)</w:t>
      </w:r>
    </w:p>
    <w:p w14:paraId="086947B6" w14:textId="2CA16142" w:rsidR="00E814A2" w:rsidRPr="008658F2" w:rsidRDefault="00A775FA" w:rsidP="00A775FA">
      <w:pPr>
        <w:pStyle w:val="enumlev1"/>
        <w:rPr>
          <w:rFonts w:cs="Calibri"/>
          <w:color w:val="1E1E1E"/>
          <w:lang w:val="fr-FR"/>
        </w:rPr>
      </w:pPr>
      <w:r w:rsidRPr="008658F2">
        <w:rPr>
          <w:lang w:val="fr-FR"/>
        </w:rPr>
        <w:t>–</w:t>
      </w:r>
      <w:r w:rsidRPr="008658F2">
        <w:rPr>
          <w:lang w:val="fr-FR"/>
        </w:rPr>
        <w:tab/>
      </w:r>
      <w:hyperlink r:id="rId12" w:history="1">
        <w:r w:rsidR="00E814A2" w:rsidRPr="008658F2">
          <w:rPr>
            <w:lang w:val="fr-FR"/>
          </w:rPr>
          <w:t>M. Mehmet Alper Tekin (République de Türkiye, Europe)</w:t>
        </w:r>
      </w:hyperlink>
    </w:p>
    <w:p w14:paraId="49F0C139" w14:textId="5D8D5B1A" w:rsidR="00E814A2" w:rsidRPr="008658F2" w:rsidRDefault="00A775FA" w:rsidP="00A775FA">
      <w:pPr>
        <w:pStyle w:val="enumlev1"/>
        <w:rPr>
          <w:rFonts w:cs="Calibri"/>
          <w:color w:val="1E1E1E"/>
          <w:lang w:val="fr-FR"/>
        </w:rPr>
      </w:pPr>
      <w:r w:rsidRPr="008658F2">
        <w:rPr>
          <w:lang w:val="fr-FR"/>
        </w:rPr>
        <w:t>–</w:t>
      </w:r>
      <w:r w:rsidRPr="008658F2">
        <w:rPr>
          <w:lang w:val="fr-FR"/>
        </w:rPr>
        <w:tab/>
      </w:r>
      <w:hyperlink r:id="rId13" w:history="1">
        <w:r w:rsidR="00E814A2" w:rsidRPr="008658F2">
          <w:rPr>
            <w:lang w:val="fr-FR"/>
          </w:rPr>
          <w:t>M. Teddy Woodhouse (Royaume-Uni de Grande-Bretagne et d'Irlande du Nord, Europe)</w:t>
        </w:r>
      </w:hyperlink>
    </w:p>
    <w:p w14:paraId="343172B6" w14:textId="777C1C79" w:rsidR="00E814A2" w:rsidRPr="008658F2" w:rsidRDefault="00004D2D" w:rsidP="00004D2D">
      <w:pPr>
        <w:pStyle w:val="Heading2"/>
        <w:rPr>
          <w:rFonts w:cstheme="minorHAnsi"/>
          <w:sz w:val="22"/>
          <w:szCs w:val="16"/>
          <w:lang w:val="fr-FR"/>
        </w:rPr>
      </w:pPr>
      <w:r w:rsidRPr="008658F2">
        <w:rPr>
          <w:lang w:val="fr-FR"/>
        </w:rPr>
        <w:t>2</w:t>
      </w:r>
      <w:r w:rsidR="00A775FA" w:rsidRPr="008658F2">
        <w:rPr>
          <w:lang w:val="fr-FR"/>
        </w:rPr>
        <w:t>.</w:t>
      </w:r>
      <w:r w:rsidRPr="008658F2">
        <w:rPr>
          <w:lang w:val="fr-FR"/>
        </w:rPr>
        <w:t>3</w:t>
      </w:r>
      <w:r w:rsidR="00A775FA" w:rsidRPr="008658F2">
        <w:rPr>
          <w:lang w:val="fr-FR"/>
        </w:rPr>
        <w:tab/>
      </w:r>
      <w:r w:rsidR="00E814A2" w:rsidRPr="008658F2">
        <w:rPr>
          <w:lang w:val="fr-FR"/>
        </w:rPr>
        <w:t>Questions confiées à la Commission d'études 1</w:t>
      </w:r>
    </w:p>
    <w:p w14:paraId="680A8323" w14:textId="77777777" w:rsidR="00E814A2" w:rsidRPr="008658F2" w:rsidRDefault="00E814A2" w:rsidP="00A775FA">
      <w:pPr>
        <w:rPr>
          <w:rFonts w:cstheme="minorHAnsi"/>
          <w:szCs w:val="24"/>
          <w:lang w:val="fr-FR"/>
        </w:rPr>
      </w:pPr>
      <w:r w:rsidRPr="008658F2">
        <w:rPr>
          <w:lang w:val="fr-FR"/>
        </w:rPr>
        <w:t>La CMDT-25 a confié à la CE 1 l'étude des Questions suivantes:</w:t>
      </w:r>
    </w:p>
    <w:p w14:paraId="7655B971" w14:textId="77BDEFD6" w:rsidR="00E814A2" w:rsidRPr="008658F2" w:rsidRDefault="00A775FA" w:rsidP="00D83883">
      <w:pPr>
        <w:pStyle w:val="enumlev1"/>
        <w:rPr>
          <w:rFonts w:cs="Calibri"/>
          <w:color w:val="1E1E1E"/>
          <w:lang w:val="fr-FR"/>
        </w:rPr>
      </w:pPr>
      <w:r w:rsidRPr="008658F2">
        <w:rPr>
          <w:lang w:val="fr-FR"/>
        </w:rPr>
        <w:t>–</w:t>
      </w:r>
      <w:r w:rsidRPr="008658F2">
        <w:rPr>
          <w:lang w:val="fr-FR"/>
        </w:rPr>
        <w:tab/>
      </w:r>
      <w:hyperlink r:id="rId14" w:history="1">
        <w:r w:rsidR="00E814A2" w:rsidRPr="008658F2">
          <w:rPr>
            <w:rStyle w:val="Hyperlink"/>
            <w:lang w:val="fr-FR"/>
          </w:rPr>
          <w:t>Question</w:t>
        </w:r>
        <w:r w:rsidR="00E814A2" w:rsidRPr="008658F2">
          <w:rPr>
            <w:rStyle w:val="Hyperlink"/>
            <w:lang w:val="fr-FR"/>
          </w:rPr>
          <w:t xml:space="preserve"> </w:t>
        </w:r>
        <w:r w:rsidR="00E814A2" w:rsidRPr="008658F2">
          <w:rPr>
            <w:rStyle w:val="Hyperlink"/>
            <w:lang w:val="fr-FR"/>
          </w:rPr>
          <w:t>1/1</w:t>
        </w:r>
      </w:hyperlink>
      <w:r w:rsidR="00E814A2" w:rsidRPr="008658F2">
        <w:rPr>
          <w:lang w:val="fr-FR"/>
        </w:rPr>
        <w:t>: Politiques et stratégies propres à garantir une connectivité universelle, en particulier dans les zones mal desservies, isolées et rurales</w:t>
      </w:r>
    </w:p>
    <w:p w14:paraId="51B81B30" w14:textId="182B6F98" w:rsidR="00E814A2" w:rsidRPr="008658F2" w:rsidRDefault="00A775FA" w:rsidP="00D83883">
      <w:pPr>
        <w:pStyle w:val="enumlev1"/>
        <w:rPr>
          <w:rFonts w:cs="Calibri"/>
          <w:color w:val="1E1E1E"/>
          <w:lang w:val="fr-FR"/>
        </w:rPr>
      </w:pPr>
      <w:r w:rsidRPr="008658F2">
        <w:rPr>
          <w:lang w:val="fr-FR"/>
        </w:rPr>
        <w:t>–</w:t>
      </w:r>
      <w:r w:rsidRPr="008658F2">
        <w:rPr>
          <w:lang w:val="fr-FR"/>
        </w:rPr>
        <w:tab/>
      </w:r>
      <w:hyperlink r:id="rId15" w:history="1">
        <w:r w:rsidR="00E814A2" w:rsidRPr="008658F2">
          <w:rPr>
            <w:rStyle w:val="Hyperlink"/>
            <w:rFonts w:cs="Calibri"/>
            <w:lang w:val="fr-FR" w:eastAsia="zh-CN"/>
          </w:rPr>
          <w:t>Question 2/1</w:t>
        </w:r>
      </w:hyperlink>
      <w:r w:rsidR="00E814A2" w:rsidRPr="008658F2">
        <w:rPr>
          <w:lang w:val="fr-FR"/>
        </w:rPr>
        <w:t>: Politiques et réglementations propices à l'adoption de services et de technologies numériques de télécommunication/TIC pour la distribution et la radiodiffusion</w:t>
      </w:r>
    </w:p>
    <w:p w14:paraId="1EF7D316" w14:textId="21866B32" w:rsidR="00E814A2" w:rsidRPr="008658F2" w:rsidRDefault="00A775FA" w:rsidP="00D83883">
      <w:pPr>
        <w:pStyle w:val="enumlev1"/>
        <w:rPr>
          <w:rFonts w:cs="Calibri"/>
          <w:color w:val="1E1E1E"/>
          <w:lang w:val="fr-FR"/>
        </w:rPr>
      </w:pPr>
      <w:r w:rsidRPr="008658F2">
        <w:rPr>
          <w:lang w:val="fr-FR"/>
        </w:rPr>
        <w:t>–</w:t>
      </w:r>
      <w:r w:rsidRPr="008658F2">
        <w:rPr>
          <w:lang w:val="fr-FR"/>
        </w:rPr>
        <w:tab/>
      </w:r>
      <w:hyperlink r:id="rId16" w:history="1">
        <w:r w:rsidR="00E814A2" w:rsidRPr="008658F2">
          <w:rPr>
            <w:rStyle w:val="Hyperlink"/>
            <w:rFonts w:cs="Calibri"/>
            <w:lang w:val="fr-FR" w:eastAsia="zh-CN"/>
          </w:rPr>
          <w:t>Question 3/1</w:t>
        </w:r>
      </w:hyperlink>
      <w:r w:rsidR="00E814A2" w:rsidRPr="008658F2">
        <w:rPr>
          <w:lang w:val="fr-FR"/>
        </w:rPr>
        <w:t>: Utilisation des télécommunications/TIC pour l'atténuation et la gestion des risques de catastrophes</w:t>
      </w:r>
    </w:p>
    <w:p w14:paraId="2469B3E2" w14:textId="5735BF22" w:rsidR="00E814A2" w:rsidRPr="008658F2" w:rsidRDefault="00A775FA" w:rsidP="00D83883">
      <w:pPr>
        <w:pStyle w:val="enumlev1"/>
        <w:rPr>
          <w:rFonts w:cs="Calibri"/>
          <w:color w:val="1E1E1E"/>
          <w:lang w:val="fr-FR"/>
        </w:rPr>
      </w:pPr>
      <w:r w:rsidRPr="008658F2">
        <w:rPr>
          <w:lang w:val="fr-FR"/>
        </w:rPr>
        <w:t>–</w:t>
      </w:r>
      <w:r w:rsidRPr="008658F2">
        <w:rPr>
          <w:lang w:val="fr-FR"/>
        </w:rPr>
        <w:tab/>
      </w:r>
      <w:hyperlink r:id="rId17" w:history="1">
        <w:r w:rsidR="00E814A2" w:rsidRPr="008658F2">
          <w:rPr>
            <w:rStyle w:val="Hyperlink"/>
            <w:rFonts w:cs="Calibri"/>
            <w:lang w:val="fr-FR" w:eastAsia="zh-CN"/>
          </w:rPr>
          <w:t>Question 4/1</w:t>
        </w:r>
      </w:hyperlink>
      <w:r w:rsidR="00E814A2" w:rsidRPr="008658F2">
        <w:rPr>
          <w:lang w:val="fr-FR"/>
        </w:rPr>
        <w:t>: Aspects économiques des télécommunications/TIC nationales</w:t>
      </w:r>
    </w:p>
    <w:p w14:paraId="0626A41F" w14:textId="464A417A" w:rsidR="00E814A2" w:rsidRPr="008658F2" w:rsidRDefault="00A775FA" w:rsidP="00D83883">
      <w:pPr>
        <w:pStyle w:val="enumlev1"/>
        <w:rPr>
          <w:rFonts w:cs="Calibri"/>
          <w:color w:val="1E1E1E"/>
          <w:lang w:val="fr-FR"/>
        </w:rPr>
      </w:pPr>
      <w:r w:rsidRPr="008658F2">
        <w:rPr>
          <w:lang w:val="fr-FR"/>
        </w:rPr>
        <w:t>–</w:t>
      </w:r>
      <w:r w:rsidRPr="008658F2">
        <w:rPr>
          <w:lang w:val="fr-FR"/>
        </w:rPr>
        <w:tab/>
      </w:r>
      <w:hyperlink r:id="rId18" w:history="1">
        <w:r w:rsidR="00E814A2" w:rsidRPr="008658F2">
          <w:rPr>
            <w:rStyle w:val="Hyperlink"/>
            <w:rFonts w:cs="Calibri"/>
            <w:lang w:val="fr-FR" w:eastAsia="zh-CN"/>
          </w:rPr>
          <w:t>Question 5/1</w:t>
        </w:r>
      </w:hyperlink>
      <w:r w:rsidR="00E814A2" w:rsidRPr="008658F2">
        <w:rPr>
          <w:lang w:val="fr-FR"/>
        </w:rPr>
        <w:t>: Protection et autonomisation des consommateurs et accessibilité efficace pour tous, en particulier pour les personnes handicapées et les personnes ayant des besoins particuliers</w:t>
      </w:r>
    </w:p>
    <w:p w14:paraId="1372E386" w14:textId="36285D0C" w:rsidR="00E814A2" w:rsidRPr="008658F2" w:rsidRDefault="00004D2D" w:rsidP="00326F0B">
      <w:pPr>
        <w:pStyle w:val="Heading2"/>
        <w:rPr>
          <w:rFonts w:cstheme="minorHAnsi"/>
          <w:sz w:val="22"/>
          <w:szCs w:val="16"/>
          <w:lang w:val="fr-FR"/>
        </w:rPr>
      </w:pPr>
      <w:r w:rsidRPr="008658F2">
        <w:rPr>
          <w:lang w:val="fr-FR"/>
        </w:rPr>
        <w:t>2</w:t>
      </w:r>
      <w:r w:rsidR="00A775FA" w:rsidRPr="008658F2">
        <w:rPr>
          <w:lang w:val="fr-FR"/>
        </w:rPr>
        <w:t>.</w:t>
      </w:r>
      <w:r w:rsidRPr="008658F2">
        <w:rPr>
          <w:lang w:val="fr-FR"/>
        </w:rPr>
        <w:t>4</w:t>
      </w:r>
      <w:r w:rsidR="00A775FA" w:rsidRPr="008658F2">
        <w:rPr>
          <w:lang w:val="fr-FR"/>
        </w:rPr>
        <w:tab/>
      </w:r>
      <w:r w:rsidR="00E814A2" w:rsidRPr="008658F2">
        <w:rPr>
          <w:lang w:val="fr-FR"/>
        </w:rPr>
        <w:t>Désignation des Rapporteurs et des Vice-Rapporteurs de la Commission d'études 1</w:t>
      </w:r>
    </w:p>
    <w:p w14:paraId="398F503D" w14:textId="2307CC78" w:rsidR="00E814A2" w:rsidRPr="008658F2" w:rsidRDefault="00E814A2" w:rsidP="00A775FA">
      <w:pPr>
        <w:rPr>
          <w:rFonts w:eastAsia="Batang" w:cs="Calibri"/>
          <w:bCs/>
          <w:lang w:val="fr-FR"/>
        </w:rPr>
      </w:pPr>
      <w:r w:rsidRPr="008658F2">
        <w:rPr>
          <w:lang w:val="fr-FR"/>
        </w:rPr>
        <w:t xml:space="preserve">Un </w:t>
      </w:r>
      <w:hyperlink r:id="rId19" w:history="1">
        <w:r w:rsidRPr="008658F2">
          <w:rPr>
            <w:rStyle w:val="Hyperlink"/>
            <w:lang w:val="fr-FR"/>
          </w:rPr>
          <w:t>appel à candidatures pour les fonctions de Rapporteurs et de Vice-Rapporteurs</w:t>
        </w:r>
      </w:hyperlink>
      <w:r w:rsidRPr="008658F2">
        <w:rPr>
          <w:lang w:val="fr-FR"/>
        </w:rPr>
        <w:t xml:space="preserve"> a été envoyé aux membres le 16 décembre 2025 et il sera procédé aux nominations des Rapporteurs et des Vice-Rapporteurs pour les cinq Questions à l'étude lors de la plénière d'ouverture de la </w:t>
      </w:r>
      <w:hyperlink r:id="rId20" w:anchor="/fr" w:history="1">
        <w:r w:rsidRPr="008658F2">
          <w:rPr>
            <w:rStyle w:val="Hyperlink"/>
            <w:lang w:val="fr-FR"/>
          </w:rPr>
          <w:t>première</w:t>
        </w:r>
        <w:r w:rsidR="00326F0B" w:rsidRPr="008658F2">
          <w:rPr>
            <w:rStyle w:val="Hyperlink"/>
            <w:lang w:val="fr-FR"/>
          </w:rPr>
          <w:t> </w:t>
        </w:r>
        <w:r w:rsidRPr="008658F2">
          <w:rPr>
            <w:rStyle w:val="Hyperlink"/>
            <w:lang w:val="fr-FR"/>
          </w:rPr>
          <w:t>réunion de la CE 1 de l'</w:t>
        </w:r>
        <w:r w:rsidRPr="008658F2">
          <w:rPr>
            <w:rStyle w:val="Hyperlink"/>
            <w:lang w:val="fr-FR"/>
          </w:rPr>
          <w:t>U</w:t>
        </w:r>
        <w:r w:rsidRPr="008658F2">
          <w:rPr>
            <w:rStyle w:val="Hyperlink"/>
            <w:lang w:val="fr-FR"/>
          </w:rPr>
          <w:t>IT-D</w:t>
        </w:r>
      </w:hyperlink>
      <w:r w:rsidRPr="008658F2">
        <w:rPr>
          <w:lang w:val="fr-FR"/>
        </w:rPr>
        <w:t xml:space="preserve">, qui se tiendra le 13 avril 2026. Les Rapporteurs seront </w:t>
      </w:r>
      <w:r w:rsidRPr="008658F2">
        <w:rPr>
          <w:lang w:val="fr-FR"/>
        </w:rPr>
        <w:lastRenderedPageBreak/>
        <w:t xml:space="preserve">nommés sur la base de leur connaissance du sujet considéré et de leur capacité à coordonner les travaux. Lors de la nomination des Vice-Rapporteurs, on s'efforcera également d'assurer un équilibre entre les régions. Les </w:t>
      </w:r>
      <w:hyperlink r:id="rId21" w:history="1">
        <w:r w:rsidRPr="008658F2">
          <w:rPr>
            <w:rStyle w:val="Hyperlink"/>
            <w:lang w:val="fr-FR"/>
          </w:rPr>
          <w:t>lignes directrices p</w:t>
        </w:r>
        <w:r w:rsidRPr="008658F2">
          <w:rPr>
            <w:rStyle w:val="Hyperlink"/>
            <w:lang w:val="fr-FR"/>
          </w:rPr>
          <w:t>r</w:t>
        </w:r>
        <w:r w:rsidRPr="008658F2">
          <w:rPr>
            <w:rStyle w:val="Hyperlink"/>
            <w:lang w:val="fr-FR"/>
          </w:rPr>
          <w:t>atiques</w:t>
        </w:r>
      </w:hyperlink>
      <w:r w:rsidRPr="008658F2">
        <w:rPr>
          <w:lang w:val="fr-FR"/>
        </w:rPr>
        <w:t xml:space="preserve"> approuvées à la réunion de 2025 du</w:t>
      </w:r>
      <w:r w:rsidR="00FB39AC" w:rsidRPr="008658F2">
        <w:rPr>
          <w:lang w:val="fr-FR"/>
        </w:rPr>
        <w:t> </w:t>
      </w:r>
      <w:r w:rsidRPr="008658F2">
        <w:rPr>
          <w:lang w:val="fr-FR"/>
        </w:rPr>
        <w:t>GCDT doivent être examinées dans ce contexte.</w:t>
      </w:r>
    </w:p>
    <w:p w14:paraId="4A0615B7" w14:textId="308A7FFB" w:rsidR="00E814A2" w:rsidRPr="008658F2" w:rsidRDefault="00E814A2" w:rsidP="00E814A2">
      <w:pPr>
        <w:spacing w:after="120"/>
        <w:rPr>
          <w:rFonts w:eastAsia="Batang" w:cs="Calibri"/>
          <w:bCs/>
          <w:lang w:val="fr-FR"/>
        </w:rPr>
      </w:pPr>
      <w:r w:rsidRPr="008658F2">
        <w:rPr>
          <w:lang w:val="fr-FR"/>
        </w:rPr>
        <w:t xml:space="preserve">La liste de toutes les candidatures reçues est accessible en ligne à l'adresse suivante: </w:t>
      </w:r>
      <w:hyperlink r:id="rId22" w:history="1">
        <w:r w:rsidR="00FF7C21" w:rsidRPr="008658F2">
          <w:rPr>
            <w:rStyle w:val="Hyperlink"/>
            <w:rFonts w:eastAsia="Batang" w:cs="Calibri"/>
            <w:bCs/>
            <w:lang w:val="fr-FR"/>
          </w:rPr>
          <w:t>https://www.itu.int/en/ITU-D/Study-Groups/20</w:t>
        </w:r>
        <w:r w:rsidR="00FF7C21" w:rsidRPr="008658F2">
          <w:rPr>
            <w:rStyle w:val="Hyperlink"/>
            <w:rFonts w:eastAsia="Batang" w:cs="Calibri"/>
            <w:bCs/>
            <w:lang w:val="fr-FR"/>
          </w:rPr>
          <w:t>2</w:t>
        </w:r>
        <w:r w:rsidR="00FF7C21" w:rsidRPr="008658F2">
          <w:rPr>
            <w:rStyle w:val="Hyperlink"/>
            <w:rFonts w:eastAsia="Batang" w:cs="Calibri"/>
            <w:bCs/>
            <w:lang w:val="fr-FR"/>
          </w:rPr>
          <w:t>6-2029/Pages/candidates.aspx</w:t>
        </w:r>
      </w:hyperlink>
      <w:r w:rsidRPr="008658F2">
        <w:rPr>
          <w:lang w:val="fr-FR"/>
        </w:rPr>
        <w:t xml:space="preserve">. </w:t>
      </w:r>
      <w:hyperlink r:id="rId23" w:history="1"/>
    </w:p>
    <w:p w14:paraId="667BFA59" w14:textId="670FD8A4" w:rsidR="00E814A2" w:rsidRPr="008658F2" w:rsidRDefault="00FF7C21" w:rsidP="00A775FA">
      <w:pPr>
        <w:pStyle w:val="Heading1"/>
        <w:rPr>
          <w:rFonts w:cstheme="minorHAnsi"/>
          <w:lang w:val="fr-FR"/>
        </w:rPr>
      </w:pPr>
      <w:r w:rsidRPr="008658F2">
        <w:rPr>
          <w:lang w:val="fr-FR"/>
        </w:rPr>
        <w:t>3</w:t>
      </w:r>
      <w:r w:rsidR="00A775FA" w:rsidRPr="008658F2">
        <w:rPr>
          <w:lang w:val="fr-FR"/>
        </w:rPr>
        <w:tab/>
      </w:r>
      <w:r w:rsidR="00E814A2" w:rsidRPr="008658F2">
        <w:rPr>
          <w:lang w:val="fr-FR"/>
        </w:rPr>
        <w:t>Stratégie et programme de travail de la Commission d'études 1</w:t>
      </w:r>
    </w:p>
    <w:p w14:paraId="3D40259D" w14:textId="59FDCC9B" w:rsidR="00E814A2" w:rsidRPr="008658F2" w:rsidRDefault="00E814A2" w:rsidP="00A775FA">
      <w:pPr>
        <w:rPr>
          <w:lang w:val="fr-FR"/>
        </w:rPr>
      </w:pPr>
      <w:r w:rsidRPr="008658F2">
        <w:rPr>
          <w:lang w:val="fr-FR"/>
        </w:rPr>
        <w:t>La structure du Plan d'action de Bakou et sa contribution au Plan stratégique de l'UIT (voir l'</w:t>
      </w:r>
      <w:r w:rsidRPr="008658F2">
        <w:rPr>
          <w:b/>
          <w:bCs/>
          <w:lang w:val="fr-FR"/>
        </w:rPr>
        <w:t>Annexe 1</w:t>
      </w:r>
      <w:r w:rsidRPr="008658F2">
        <w:rPr>
          <w:lang w:val="fr-FR"/>
        </w:rPr>
        <w:t>) présentent des liens manifestes avec les commissions d'études de l'UIT-D. Les commissions d'études de l'UIT, ainsi que les initiatives régionales et les résolutions adoptées à la</w:t>
      </w:r>
      <w:r w:rsidR="00FB39AC" w:rsidRPr="008658F2">
        <w:rPr>
          <w:lang w:val="fr-FR"/>
        </w:rPr>
        <w:t> </w:t>
      </w:r>
      <w:r w:rsidRPr="008658F2">
        <w:rPr>
          <w:lang w:val="fr-FR"/>
        </w:rPr>
        <w:t>CMDT-25, contribuent aux cinq priorités de l'UIT-D, lesquelles facilitent l'exécution du mandat du Secteur et donnent des orientations au BDT pour le prochain cycle de planification concernant les objectifs que se fixe l'UIT-D, conformément à l'approche globale de gestion axée sur les résultats et aux buts stratégiques et priorités thématiques de l'Union.</w:t>
      </w:r>
    </w:p>
    <w:p w14:paraId="60EFC67C" w14:textId="3AAD2E01" w:rsidR="00E814A2" w:rsidRPr="008658F2" w:rsidRDefault="00E814A2" w:rsidP="00A775FA">
      <w:pPr>
        <w:rPr>
          <w:lang w:val="fr-FR"/>
        </w:rPr>
      </w:pPr>
      <w:r w:rsidRPr="008658F2">
        <w:rPr>
          <w:lang w:val="fr-FR"/>
        </w:rPr>
        <w:t>Afin que la CE 1 obtienne les résultats escomptés pour la période d'études 2026-2029, conformément au domaine de compétence défini dans la Résolution 2 (Rév. Bakou, 2025) de la</w:t>
      </w:r>
      <w:r w:rsidR="00FB39AC" w:rsidRPr="008658F2">
        <w:rPr>
          <w:lang w:val="fr-FR"/>
        </w:rPr>
        <w:t> </w:t>
      </w:r>
      <w:r w:rsidRPr="008658F2">
        <w:rPr>
          <w:lang w:val="fr-FR"/>
        </w:rPr>
        <w:t>CMDT, intitulée "Établissement de commissions d'études", certains éléments essentiels doivent être pris en considération et définis dès le départ</w:t>
      </w:r>
      <w:r w:rsidR="00FB39AC" w:rsidRPr="008658F2">
        <w:rPr>
          <w:lang w:val="fr-FR"/>
        </w:rPr>
        <w:t>:</w:t>
      </w:r>
    </w:p>
    <w:p w14:paraId="699E63B4" w14:textId="20CA9C94"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Quatre réunions annuelles de la Commission d'études et trois séries de réunions de groupes du Rapporteur sont prévues. En outre, il est prévu d</w:t>
      </w:r>
      <w:r w:rsidR="00D83883" w:rsidRPr="008658F2">
        <w:rPr>
          <w:lang w:val="fr-FR"/>
        </w:rPr>
        <w:t>'</w:t>
      </w:r>
      <w:r w:rsidR="00E814A2" w:rsidRPr="008658F2">
        <w:rPr>
          <w:lang w:val="fr-FR"/>
        </w:rPr>
        <w:t>organiser à Genève et dans les régions, conformément aux propositions des membres, des ateliers et des webinaires auxquels participeront des experts autres que les Membres de l</w:t>
      </w:r>
      <w:r w:rsidR="00D83883" w:rsidRPr="008658F2">
        <w:rPr>
          <w:lang w:val="fr-FR"/>
        </w:rPr>
        <w:t>'</w:t>
      </w:r>
      <w:r w:rsidR="00E814A2" w:rsidRPr="008658F2">
        <w:rPr>
          <w:lang w:val="fr-FR"/>
        </w:rPr>
        <w:t>UIT-D, sur des thèmes liés aux Questions à l</w:t>
      </w:r>
      <w:r w:rsidR="00D83883" w:rsidRPr="008658F2">
        <w:rPr>
          <w:lang w:val="fr-FR"/>
        </w:rPr>
        <w:t>'</w:t>
      </w:r>
      <w:r w:rsidR="00E814A2" w:rsidRPr="008658F2">
        <w:rPr>
          <w:lang w:val="fr-FR"/>
        </w:rPr>
        <w:t>étude, et tout au long de la période d'études dans la mesure du possible. Les membres sont encouragés à présenter des propositions relatives à ces ateliers et webinaires, pour examen lors des réunions annuelles de la Commission d'études.</w:t>
      </w:r>
    </w:p>
    <w:p w14:paraId="7C63D65D" w14:textId="60353AAA" w:rsidR="00E814A2" w:rsidRPr="008658F2" w:rsidRDefault="00A775FA" w:rsidP="00A775FA">
      <w:pPr>
        <w:pStyle w:val="enumlev1"/>
        <w:rPr>
          <w:rFonts w:cs="Calibri"/>
          <w:color w:val="1E1E1E"/>
          <w:lang w:val="fr-FR"/>
        </w:rPr>
      </w:pPr>
      <w:r w:rsidRPr="008658F2">
        <w:rPr>
          <w:lang w:val="fr-FR"/>
        </w:rPr>
        <w:t>–</w:t>
      </w:r>
      <w:r w:rsidRPr="008658F2">
        <w:rPr>
          <w:lang w:val="fr-FR"/>
        </w:rPr>
        <w:tab/>
      </w:r>
      <w:r w:rsidR="00E814A2" w:rsidRPr="008658F2">
        <w:rPr>
          <w:lang w:val="fr-FR"/>
        </w:rPr>
        <w:t>La réduction du nombre de Questions à l'étude met en évidence certains éléments pratiques. Le programme de gestion du temps pour les réunions de la CE 1 a été revu, afin que les réunions de l'équipe de direction de la CE 1 et les réunions conjointes des équipes de direction des CE puissent avoir lieu en semaine (le lundi et le vendredi) et non le dimanche. En outre, le programme de gestion du temps des réunions des groupes du Rapporteur de la CE 1 (y compris les ateliers) s'étendrait sur 7,5 jours au lieu de 14 jours. Cette durée raccourcie devrait offrir de meilleures possibilités d'accueil des réunions qui se tiendront en dehors des locaux du siège de l'UIT, lorsque le projet de construction du bâtiment du siège de l'Union l'exigera.</w:t>
      </w:r>
    </w:p>
    <w:p w14:paraId="1D23B628" w14:textId="0D644546" w:rsidR="00E814A2" w:rsidRPr="008658F2" w:rsidRDefault="00A775FA" w:rsidP="00A775FA">
      <w:pPr>
        <w:pStyle w:val="enumlev1"/>
        <w:rPr>
          <w:lang w:val="fr-FR"/>
        </w:rPr>
      </w:pPr>
      <w:r w:rsidRPr="008658F2">
        <w:rPr>
          <w:lang w:val="fr-FR"/>
        </w:rPr>
        <w:t>–</w:t>
      </w:r>
      <w:r w:rsidRPr="008658F2">
        <w:rPr>
          <w:lang w:val="fr-FR"/>
        </w:rPr>
        <w:tab/>
      </w:r>
      <w:r w:rsidR="00E814A2" w:rsidRPr="008658F2">
        <w:rPr>
          <w:lang w:val="fr-FR"/>
        </w:rPr>
        <w:t>Grâce à une bonne planification dès le début de la période d'études, il sera également possible de chercher à créer des synergies stratégiques entre les travaux menés au titre des Questions confiées à la CE 1, avec les responsables des Questions confiées à la CE 2 ainsi qu'avec les commissions des autres Secteurs. Comme l'ont demandé les membres, il sera tenu compte, dans toutes les activités menées par les commissions d'études de l'UIT</w:t>
      </w:r>
      <w:r w:rsidR="00FB39AC" w:rsidRPr="008658F2">
        <w:rPr>
          <w:lang w:val="fr-FR"/>
        </w:rPr>
        <w:noBreakHyphen/>
      </w:r>
      <w:r w:rsidR="00E814A2" w:rsidRPr="008658F2">
        <w:rPr>
          <w:lang w:val="fr-FR"/>
        </w:rPr>
        <w:t>D, de la nécessité de faire rapport sur les synergies obtenues dans le cadre des travaux effectués au titre des Questions connexes confiées aux commissions d'études, des programmes, des initiatives régionales et des projets associés (§ 3.8.1 de la Résolution 1 (Rév. Bakou, 2025) de la CMDT).</w:t>
      </w:r>
    </w:p>
    <w:p w14:paraId="7E0FE67B" w14:textId="698F7124" w:rsidR="00E814A2" w:rsidRPr="008658F2" w:rsidRDefault="00A775FA" w:rsidP="00A775FA">
      <w:pPr>
        <w:pStyle w:val="enumlev1"/>
        <w:rPr>
          <w:rFonts w:cs="Calibri"/>
          <w:lang w:val="fr-FR"/>
        </w:rPr>
      </w:pPr>
      <w:r w:rsidRPr="008658F2">
        <w:rPr>
          <w:lang w:val="fr-FR"/>
        </w:rPr>
        <w:lastRenderedPageBreak/>
        <w:t>–</w:t>
      </w:r>
      <w:r w:rsidRPr="008658F2">
        <w:rPr>
          <w:lang w:val="fr-FR"/>
        </w:rPr>
        <w:tab/>
      </w:r>
      <w:r w:rsidR="00E814A2" w:rsidRPr="008658F2">
        <w:rPr>
          <w:lang w:val="fr-FR"/>
        </w:rPr>
        <w:t>Au début de la période d</w:t>
      </w:r>
      <w:r w:rsidR="00D83883" w:rsidRPr="008658F2">
        <w:rPr>
          <w:lang w:val="fr-FR"/>
        </w:rPr>
        <w:t>'</w:t>
      </w:r>
      <w:r w:rsidR="00E814A2" w:rsidRPr="008658F2">
        <w:rPr>
          <w:lang w:val="fr-FR"/>
        </w:rPr>
        <w:t>études, des fonctions spécifiques sont attribuées aux Vice</w:t>
      </w:r>
      <w:r w:rsidR="00D83883" w:rsidRPr="008658F2">
        <w:rPr>
          <w:lang w:val="fr-FR"/>
        </w:rPr>
        <w:noBreakHyphen/>
      </w:r>
      <w:r w:rsidR="00E814A2" w:rsidRPr="008658F2">
        <w:rPr>
          <w:lang w:val="fr-FR"/>
        </w:rPr>
        <w:t>Présidents de la CE 1 dans le cadre des rôles de coordonnateur (§ 3.2.3 de la Résolution 1 (Rév. Bakou, 2025) de la CMDT) afin d</w:t>
      </w:r>
      <w:r w:rsidR="00D83883" w:rsidRPr="008658F2">
        <w:rPr>
          <w:lang w:val="fr-FR"/>
        </w:rPr>
        <w:t>'</w:t>
      </w:r>
      <w:r w:rsidR="00E814A2" w:rsidRPr="008658F2">
        <w:rPr>
          <w:lang w:val="fr-FR"/>
        </w:rPr>
        <w:t>aider le Président de la CE 1 et la CE 1 à produire les résultats escomptés. L</w:t>
      </w:r>
      <w:r w:rsidR="00D83883" w:rsidRPr="008658F2">
        <w:rPr>
          <w:lang w:val="fr-FR"/>
        </w:rPr>
        <w:t>'</w:t>
      </w:r>
      <w:r w:rsidR="00E814A2" w:rsidRPr="008658F2">
        <w:rPr>
          <w:lang w:val="fr-FR"/>
        </w:rPr>
        <w:t>un des rôles de coordonnateur consistera notamment à assurer le suivi des lignes directrices du GCDT, y compris les "</w:t>
      </w:r>
      <w:hyperlink r:id="rId24" w:history="1">
        <w:r w:rsidR="00E814A2" w:rsidRPr="008658F2">
          <w:rPr>
            <w:rStyle w:val="Hyperlink"/>
            <w:lang w:val="fr-FR"/>
          </w:rPr>
          <w:t>lignes directr</w:t>
        </w:r>
        <w:r w:rsidR="00E814A2" w:rsidRPr="008658F2">
          <w:rPr>
            <w:rStyle w:val="Hyperlink"/>
            <w:lang w:val="fr-FR"/>
          </w:rPr>
          <w:t>i</w:t>
        </w:r>
        <w:r w:rsidR="00E814A2" w:rsidRPr="008658F2">
          <w:rPr>
            <w:rStyle w:val="Hyperlink"/>
            <w:lang w:val="fr-FR"/>
          </w:rPr>
          <w:t>ces pratiques pour la promotion des produits des commissions d</w:t>
        </w:r>
        <w:r w:rsidR="00D83883" w:rsidRPr="008658F2">
          <w:rPr>
            <w:rStyle w:val="Hyperlink"/>
            <w:lang w:val="fr-FR"/>
          </w:rPr>
          <w:t>'</w:t>
        </w:r>
        <w:r w:rsidR="00E814A2" w:rsidRPr="008658F2">
          <w:rPr>
            <w:rStyle w:val="Hyperlink"/>
            <w:lang w:val="fr-FR"/>
          </w:rPr>
          <w:t>études</w:t>
        </w:r>
      </w:hyperlink>
      <w:r w:rsidR="00E814A2" w:rsidRPr="008658F2">
        <w:rPr>
          <w:lang w:val="fr-FR"/>
        </w:rPr>
        <w:t>" (voir le § 6.4 du Document</w:t>
      </w:r>
      <w:r w:rsidR="00FB39AC" w:rsidRPr="008658F2">
        <w:rPr>
          <w:lang w:val="fr-FR"/>
        </w:rPr>
        <w:t> </w:t>
      </w:r>
      <w:hyperlink r:id="rId25" w:history="1">
        <w:r w:rsidR="00E814A2" w:rsidRPr="008658F2">
          <w:rPr>
            <w:rStyle w:val="Hyperlink"/>
            <w:lang w:val="fr-FR"/>
          </w:rPr>
          <w:t>TDAG</w:t>
        </w:r>
        <w:r w:rsidR="00FF7C21" w:rsidRPr="008658F2">
          <w:rPr>
            <w:rStyle w:val="Hyperlink"/>
            <w:lang w:val="fr-FR"/>
          </w:rPr>
          <w:noBreakHyphen/>
        </w:r>
        <w:r w:rsidR="00E814A2" w:rsidRPr="008658F2">
          <w:rPr>
            <w:rStyle w:val="Hyperlink"/>
            <w:lang w:val="fr-FR"/>
          </w:rPr>
          <w:t>25/</w:t>
        </w:r>
        <w:r w:rsidR="00E814A2" w:rsidRPr="008658F2">
          <w:rPr>
            <w:rStyle w:val="Hyperlink"/>
            <w:lang w:val="fr-FR"/>
          </w:rPr>
          <w:t>6</w:t>
        </w:r>
        <w:r w:rsidR="00E814A2" w:rsidRPr="008658F2">
          <w:rPr>
            <w:rStyle w:val="Hyperlink"/>
            <w:lang w:val="fr-FR"/>
          </w:rPr>
          <w:t>2</w:t>
        </w:r>
      </w:hyperlink>
      <w:r w:rsidR="00E814A2" w:rsidRPr="008658F2">
        <w:rPr>
          <w:lang w:val="fr-FR"/>
        </w:rPr>
        <w:t>). Lorsqu'aucun des Vice-Présidents de la CE 1 ne pouvait assumer une fonction donnée, d'autres membres, comme les Rapporteurs et les Vice-Rapporteurs, ont été invités à remplir cette fonction.</w:t>
      </w:r>
      <w:hyperlink r:id="rId26"/>
      <w:hyperlink r:id="rId27"/>
    </w:p>
    <w:p w14:paraId="430A079A" w14:textId="39FC1910" w:rsidR="00E814A2" w:rsidRPr="008658F2" w:rsidRDefault="00A775FA" w:rsidP="00A775FA">
      <w:pPr>
        <w:pStyle w:val="enumlev1"/>
        <w:rPr>
          <w:lang w:val="fr-FR"/>
        </w:rPr>
      </w:pPr>
      <w:r w:rsidRPr="008658F2">
        <w:rPr>
          <w:lang w:val="fr-FR"/>
        </w:rPr>
        <w:t>–</w:t>
      </w:r>
      <w:r w:rsidRPr="008658F2">
        <w:rPr>
          <w:lang w:val="fr-FR"/>
        </w:rPr>
        <w:tab/>
      </w:r>
      <w:r w:rsidR="00E814A2" w:rsidRPr="008658F2">
        <w:rPr>
          <w:lang w:val="fr-FR"/>
        </w:rPr>
        <w:t>Au début de la période d</w:t>
      </w:r>
      <w:r w:rsidR="00D83883" w:rsidRPr="008658F2">
        <w:rPr>
          <w:lang w:val="fr-FR"/>
        </w:rPr>
        <w:t>'</w:t>
      </w:r>
      <w:r w:rsidR="00E814A2" w:rsidRPr="008658F2">
        <w:rPr>
          <w:lang w:val="fr-FR"/>
        </w:rPr>
        <w:t>études, le Président de la CE 1 peut informer les autres Secteurs des programmes de travail de la CE 1, et des Questions à l</w:t>
      </w:r>
      <w:r w:rsidR="00D83883" w:rsidRPr="008658F2">
        <w:rPr>
          <w:lang w:val="fr-FR"/>
        </w:rPr>
        <w:t>'</w:t>
      </w:r>
      <w:r w:rsidR="00E814A2" w:rsidRPr="008658F2">
        <w:rPr>
          <w:lang w:val="fr-FR"/>
        </w:rPr>
        <w:t>étude et de la table des matières des rapports finals, et demander leurs contributions (§ 3.8.2 de la Résolution 1 (Rév. Bakou, 2025) de la CMDT).</w:t>
      </w:r>
    </w:p>
    <w:p w14:paraId="72D26FCA" w14:textId="3FDA27F8" w:rsidR="00E814A2" w:rsidRPr="008658F2" w:rsidRDefault="00A775FA" w:rsidP="00A775FA">
      <w:pPr>
        <w:pStyle w:val="enumlev1"/>
        <w:rPr>
          <w:lang w:val="fr-FR"/>
        </w:rPr>
      </w:pPr>
      <w:r w:rsidRPr="008658F2">
        <w:rPr>
          <w:lang w:val="fr-FR"/>
        </w:rPr>
        <w:t>–</w:t>
      </w:r>
      <w:r w:rsidRPr="008658F2">
        <w:rPr>
          <w:lang w:val="fr-FR"/>
        </w:rPr>
        <w:tab/>
      </w:r>
      <w:r w:rsidR="00E814A2" w:rsidRPr="008658F2">
        <w:rPr>
          <w:lang w:val="fr-FR"/>
        </w:rPr>
        <w:t>Pour que les travaux soient durables et les résultats satisfaisants, le Président, les Vice</w:t>
      </w:r>
      <w:r w:rsidR="00D83883" w:rsidRPr="008658F2">
        <w:rPr>
          <w:lang w:val="fr-FR"/>
        </w:rPr>
        <w:noBreakHyphen/>
      </w:r>
      <w:r w:rsidR="00E814A2" w:rsidRPr="008658F2">
        <w:rPr>
          <w:lang w:val="fr-FR"/>
        </w:rPr>
        <w:t>Présidents, les Rapporteurs et les Vice-Rapporteurs de la CE 1 doivent être physiquement présents aux réunions et pleinement impliqués dans l</w:t>
      </w:r>
      <w:r w:rsidR="00D83883" w:rsidRPr="008658F2">
        <w:rPr>
          <w:lang w:val="fr-FR"/>
        </w:rPr>
        <w:t>'</w:t>
      </w:r>
      <w:r w:rsidR="00E814A2" w:rsidRPr="008658F2">
        <w:rPr>
          <w:lang w:val="fr-FR"/>
        </w:rPr>
        <w:t>exercice de leurs fonctions. Pour ce faire, les entités à l'origine de leur candidature doivent faire preuve d'engagement et apporter leur soutien. L</w:t>
      </w:r>
      <w:r w:rsidR="00D83883" w:rsidRPr="008658F2">
        <w:rPr>
          <w:lang w:val="fr-FR"/>
        </w:rPr>
        <w:t>'</w:t>
      </w:r>
      <w:r w:rsidR="00E814A2" w:rsidRPr="008658F2">
        <w:rPr>
          <w:lang w:val="fr-FR"/>
        </w:rPr>
        <w:t>absence aux réunions sera portée à l</w:t>
      </w:r>
      <w:r w:rsidR="00D83883" w:rsidRPr="008658F2">
        <w:rPr>
          <w:lang w:val="fr-FR"/>
        </w:rPr>
        <w:t>'</w:t>
      </w:r>
      <w:r w:rsidR="00E814A2" w:rsidRPr="008658F2">
        <w:rPr>
          <w:lang w:val="fr-FR"/>
        </w:rPr>
        <w:t>attention des entités à l'origine de la candidature, en leur rappelant leur engagement (§ 3.2.8 et</w:t>
      </w:r>
      <w:r w:rsidR="00FB39AC" w:rsidRPr="008658F2">
        <w:rPr>
          <w:lang w:val="fr-FR"/>
        </w:rPr>
        <w:t> </w:t>
      </w:r>
      <w:r w:rsidR="00E814A2" w:rsidRPr="008658F2">
        <w:rPr>
          <w:lang w:val="fr-FR"/>
        </w:rPr>
        <w:t>3.3.1 de la Résolution 1 (Rév. Bakou, 2025) de la CMDT).</w:t>
      </w:r>
    </w:p>
    <w:p w14:paraId="0E179837" w14:textId="0160CC5D" w:rsidR="00E814A2" w:rsidRPr="008658F2" w:rsidRDefault="00A775FA" w:rsidP="00A775FA">
      <w:pPr>
        <w:pStyle w:val="enumlev1"/>
        <w:rPr>
          <w:lang w:val="fr-FR"/>
        </w:rPr>
      </w:pPr>
      <w:r w:rsidRPr="008658F2">
        <w:rPr>
          <w:lang w:val="fr-FR"/>
        </w:rPr>
        <w:t>–</w:t>
      </w:r>
      <w:r w:rsidRPr="008658F2">
        <w:rPr>
          <w:lang w:val="fr-FR"/>
        </w:rPr>
        <w:tab/>
      </w:r>
      <w:r w:rsidR="00E814A2" w:rsidRPr="008658F2">
        <w:rPr>
          <w:lang w:val="fr-FR"/>
        </w:rPr>
        <w:t>Les contributions portant sur les activités (projets, ateliers et réunions) menées par les membres de l'UIT-D aux niveaux national, régional et mondial sont encouragées, afin de faire progresser les travaux sur les Questions à l'étude.</w:t>
      </w:r>
    </w:p>
    <w:p w14:paraId="3A3724F6" w14:textId="7662C0D6" w:rsidR="00E814A2" w:rsidRPr="008658F2" w:rsidRDefault="00A775FA" w:rsidP="00A775FA">
      <w:pPr>
        <w:pStyle w:val="enumlev1"/>
        <w:rPr>
          <w:lang w:val="fr-FR"/>
        </w:rPr>
      </w:pPr>
      <w:r w:rsidRPr="008658F2">
        <w:rPr>
          <w:lang w:val="fr-FR"/>
        </w:rPr>
        <w:t>–</w:t>
      </w:r>
      <w:r w:rsidRPr="008658F2">
        <w:rPr>
          <w:lang w:val="fr-FR"/>
        </w:rPr>
        <w:tab/>
      </w:r>
      <w:r w:rsidR="00E814A2" w:rsidRPr="008658F2">
        <w:rPr>
          <w:lang w:val="fr-FR"/>
        </w:rPr>
        <w:t>Au début de la période d</w:t>
      </w:r>
      <w:r w:rsidR="00D83883" w:rsidRPr="008658F2">
        <w:rPr>
          <w:lang w:val="fr-FR"/>
        </w:rPr>
        <w:t>'</w:t>
      </w:r>
      <w:r w:rsidR="00E814A2" w:rsidRPr="008658F2">
        <w:rPr>
          <w:lang w:val="fr-FR"/>
        </w:rPr>
        <w:t>études, des coordonnateurs du BDT pour la CE 1 (des bureaux régionaux et du siège) sont nommés au sein de l</w:t>
      </w:r>
      <w:r w:rsidR="00D83883" w:rsidRPr="008658F2">
        <w:rPr>
          <w:lang w:val="fr-FR"/>
        </w:rPr>
        <w:t>'</w:t>
      </w:r>
      <w:r w:rsidR="00E814A2" w:rsidRPr="008658F2">
        <w:rPr>
          <w:lang w:val="fr-FR"/>
        </w:rPr>
        <w:t>équipe responsable de la Question à l</w:t>
      </w:r>
      <w:r w:rsidR="00D83883" w:rsidRPr="008658F2">
        <w:rPr>
          <w:lang w:val="fr-FR"/>
        </w:rPr>
        <w:t>'</w:t>
      </w:r>
      <w:r w:rsidR="00E814A2" w:rsidRPr="008658F2">
        <w:rPr>
          <w:lang w:val="fr-FR"/>
        </w:rPr>
        <w:t>étude. Ils jouent un rôle déterminant pour recenser et faciliter les contributions des régions et des bénéficiaires des projets et initiatives de l</w:t>
      </w:r>
      <w:r w:rsidR="00D83883" w:rsidRPr="008658F2">
        <w:rPr>
          <w:lang w:val="fr-FR"/>
        </w:rPr>
        <w:t>'</w:t>
      </w:r>
      <w:r w:rsidR="00E814A2" w:rsidRPr="008658F2">
        <w:rPr>
          <w:lang w:val="fr-FR"/>
        </w:rPr>
        <w:t>UIT.</w:t>
      </w:r>
    </w:p>
    <w:p w14:paraId="7091C6EF" w14:textId="77777777" w:rsidR="00E814A2" w:rsidRPr="008658F2" w:rsidRDefault="00E814A2" w:rsidP="00A775FA">
      <w:pPr>
        <w:rPr>
          <w:lang w:val="fr-FR"/>
        </w:rPr>
      </w:pPr>
      <w:r w:rsidRPr="008658F2">
        <w:rPr>
          <w:lang w:val="fr-FR"/>
        </w:rPr>
        <w:t>Le programme de travail préliminaire de la CE 1 figure dans l'</w:t>
      </w:r>
      <w:r w:rsidRPr="008658F2">
        <w:rPr>
          <w:b/>
          <w:bCs/>
          <w:lang w:val="fr-FR"/>
        </w:rPr>
        <w:t>Annexe 2</w:t>
      </w:r>
      <w:r w:rsidRPr="008658F2">
        <w:rPr>
          <w:lang w:val="fr-FR"/>
        </w:rPr>
        <w:t>. Le programme de travail sera révisé chaque année, afin d'orienter les travaux de la Commission d'études.</w:t>
      </w:r>
    </w:p>
    <w:p w14:paraId="2389A94D" w14:textId="2EBFA4D2" w:rsidR="00E814A2" w:rsidRPr="008658F2" w:rsidRDefault="00FF7C21" w:rsidP="00A775FA">
      <w:pPr>
        <w:pStyle w:val="Heading1"/>
        <w:rPr>
          <w:rFonts w:cstheme="minorHAnsi"/>
          <w:sz w:val="22"/>
          <w:szCs w:val="16"/>
          <w:lang w:val="fr-FR"/>
        </w:rPr>
      </w:pPr>
      <w:r w:rsidRPr="008658F2">
        <w:rPr>
          <w:lang w:val="fr-FR"/>
        </w:rPr>
        <w:t>4</w:t>
      </w:r>
      <w:r w:rsidR="00A775FA" w:rsidRPr="008658F2">
        <w:rPr>
          <w:lang w:val="fr-FR"/>
        </w:rPr>
        <w:tab/>
      </w:r>
      <w:r w:rsidR="00E814A2" w:rsidRPr="008658F2">
        <w:rPr>
          <w:lang w:val="fr-FR"/>
        </w:rPr>
        <w:t>Outils de collaboration</w:t>
      </w:r>
    </w:p>
    <w:p w14:paraId="7511A25C" w14:textId="14DEC9FB" w:rsidR="00FB39AC" w:rsidRPr="008658F2" w:rsidRDefault="00E814A2" w:rsidP="00FB39AC">
      <w:pPr>
        <w:rPr>
          <w:lang w:val="fr-FR"/>
        </w:rPr>
      </w:pPr>
      <w:r w:rsidRPr="008658F2">
        <w:rPr>
          <w:lang w:val="fr-FR"/>
        </w:rPr>
        <w:t xml:space="preserve">Le secrétariat de la CE 1, en collaboration avec le service d'appui informatique du BDT, met en place des </w:t>
      </w:r>
      <w:hyperlink r:id="rId28" w:anchor="/fr" w:history="1">
        <w:r w:rsidRPr="008658F2">
          <w:rPr>
            <w:rStyle w:val="Hyperlink"/>
            <w:lang w:val="fr-FR"/>
          </w:rPr>
          <w:t>outils de collabo</w:t>
        </w:r>
        <w:r w:rsidRPr="008658F2">
          <w:rPr>
            <w:rStyle w:val="Hyperlink"/>
            <w:lang w:val="fr-FR"/>
          </w:rPr>
          <w:t>r</w:t>
        </w:r>
        <w:r w:rsidRPr="008658F2">
          <w:rPr>
            <w:rStyle w:val="Hyperlink"/>
            <w:lang w:val="fr-FR"/>
          </w:rPr>
          <w:t>ation</w:t>
        </w:r>
      </w:hyperlink>
      <w:r w:rsidRPr="008658F2">
        <w:rPr>
          <w:lang w:val="fr-FR"/>
        </w:rPr>
        <w:t xml:space="preserve"> qui permettent aux collaborateurs actifs, aux membres de l</w:t>
      </w:r>
      <w:r w:rsidR="00D83883" w:rsidRPr="008658F2">
        <w:rPr>
          <w:lang w:val="fr-FR"/>
        </w:rPr>
        <w:t>'</w:t>
      </w:r>
      <w:r w:rsidRPr="008658F2">
        <w:rPr>
          <w:lang w:val="fr-FR"/>
        </w:rPr>
        <w:t xml:space="preserve">équipe de direction et aux participants aux réunions de travailler ensemble efficacement. Ces outils évoluent. Outre les services de participation à distance et de diffusion sur le web dans les langues dans lesquelles se déroule la réunion considérée, des listes de diffusion sont mises à la disposition des participants et des membres de l'équipe de direction. Des équipes MS Teams sont créées pour toutes les équipes de direction chargées de l'étude des Questions, afin qu'elles les utilisent selon leurs besoins. Le sous-titrage automatique en plusieurs langues est très apprécié par les membres des équipes de direction chargées de l'étude des Questions, car ce service contribue à améliorer l'accessibilité des informations et les échanges lors des réunions électroniques. Toutes les réunions de la CE 1 bénéficient du sous-titrage pour personnes sourdes ou malentendantes, et les réunions relatives à la </w:t>
      </w:r>
      <w:hyperlink r:id="rId29" w:history="1">
        <w:r w:rsidRPr="008658F2">
          <w:rPr>
            <w:rStyle w:val="Hyperlink"/>
            <w:lang w:val="fr-FR"/>
          </w:rPr>
          <w:t>Questio</w:t>
        </w:r>
        <w:r w:rsidRPr="008658F2">
          <w:rPr>
            <w:rStyle w:val="Hyperlink"/>
            <w:lang w:val="fr-FR"/>
          </w:rPr>
          <w:t>n</w:t>
        </w:r>
        <w:r w:rsidRPr="008658F2">
          <w:rPr>
            <w:rStyle w:val="Hyperlink"/>
            <w:lang w:val="fr-FR"/>
          </w:rPr>
          <w:t xml:space="preserve"> 5/1</w:t>
        </w:r>
      </w:hyperlink>
      <w:r w:rsidRPr="008658F2">
        <w:rPr>
          <w:lang w:val="fr-FR"/>
        </w:rPr>
        <w:t xml:space="preserve"> bénéficient en outre d'un service d'interprétation en langue des signes. Lors de la dernière réunion de l'équipe de direction de</w:t>
      </w:r>
      <w:r w:rsidR="00FB39AC" w:rsidRPr="008658F2">
        <w:rPr>
          <w:lang w:val="fr-FR"/>
        </w:rPr>
        <w:br w:type="page"/>
      </w:r>
    </w:p>
    <w:p w14:paraId="7330A6CB" w14:textId="76AA4058" w:rsidR="00E814A2" w:rsidRPr="008658F2" w:rsidRDefault="00FB39AC" w:rsidP="00A775FA">
      <w:pPr>
        <w:rPr>
          <w:rFonts w:cstheme="minorBidi"/>
          <w:lang w:val="fr-FR"/>
        </w:rPr>
      </w:pPr>
      <w:r w:rsidRPr="008658F2">
        <w:rPr>
          <w:lang w:val="fr-FR"/>
        </w:rPr>
        <w:lastRenderedPageBreak/>
        <w:t xml:space="preserve">la </w:t>
      </w:r>
      <w:r w:rsidR="00E814A2" w:rsidRPr="008658F2">
        <w:rPr>
          <w:lang w:val="fr-FR"/>
        </w:rPr>
        <w:t>CE 1 et de la dernière réunion conjointe des équipes de direction de la CE 1 et de la CE 2 tenues en</w:t>
      </w:r>
      <w:r w:rsidRPr="008658F2">
        <w:rPr>
          <w:lang w:val="fr-FR"/>
        </w:rPr>
        <w:t> </w:t>
      </w:r>
      <w:r w:rsidR="00E814A2" w:rsidRPr="008658F2">
        <w:rPr>
          <w:lang w:val="fr-FR"/>
        </w:rPr>
        <w:t>2025 (habituellement sans service d'interprétation), un test d'interprétation utilisant l'intelligence artificielle a été effectué, et d'autres tests d'outils supplémentaires pourraient être menés.</w:t>
      </w:r>
      <w:hyperlink r:id="rId30" w:history="1"/>
      <w:hyperlink r:id="rId31" w:history="1"/>
    </w:p>
    <w:p w14:paraId="2C7B9FF3" w14:textId="4AA93B9F" w:rsidR="00E814A2" w:rsidRPr="008658F2" w:rsidRDefault="00E814A2" w:rsidP="00E814A2">
      <w:pPr>
        <w:spacing w:after="120"/>
        <w:rPr>
          <w:rFonts w:cstheme="minorHAnsi"/>
          <w:szCs w:val="24"/>
          <w:lang w:val="fr-FR"/>
        </w:rPr>
      </w:pPr>
      <w:r w:rsidRPr="008658F2">
        <w:rPr>
          <w:lang w:val="fr-FR"/>
        </w:rPr>
        <w:t>Une version actualisée du répertoire et du tableau de bord des contributions</w:t>
      </w:r>
      <w:r w:rsidRPr="008658F2">
        <w:rPr>
          <w:rStyle w:val="FootnoteReference"/>
          <w:rFonts w:cstheme="minorBidi"/>
          <w:lang w:val="fr-FR"/>
        </w:rPr>
        <w:footnoteReference w:id="1"/>
      </w:r>
      <w:r w:rsidRPr="008658F2">
        <w:rPr>
          <w:lang w:val="fr-FR"/>
        </w:rPr>
        <w:t>, visant à faciliter la recherche des contributions précédentes et des résumés de ces contributions, est maintenant disponible. L'outil de traduction automatique de documents, appelé "ITUTranslate"</w:t>
      </w:r>
      <w:r w:rsidRPr="008658F2">
        <w:rPr>
          <w:rStyle w:val="FootnoteReference"/>
          <w:rFonts w:cstheme="minorBidi"/>
          <w:lang w:val="fr-FR"/>
        </w:rPr>
        <w:footnoteReference w:id="2"/>
      </w:r>
      <w:r w:rsidRPr="008658F2">
        <w:rPr>
          <w:lang w:val="fr-FR"/>
        </w:rPr>
        <w:t>, est disponible sur le répertoire de gestion des documents accessible uniquement aux titulaires d'un compte TIES. Cet outil permet de traduire des contributions, des rapports et d'autres documents dans les langues officielles de l'ONU. Le site web des commissions d</w:t>
      </w:r>
      <w:r w:rsidR="00D83883" w:rsidRPr="008658F2">
        <w:rPr>
          <w:lang w:val="fr-FR"/>
        </w:rPr>
        <w:t>'</w:t>
      </w:r>
      <w:r w:rsidRPr="008658F2">
        <w:rPr>
          <w:lang w:val="fr-FR"/>
        </w:rPr>
        <w:t>études de l</w:t>
      </w:r>
      <w:r w:rsidR="00D83883" w:rsidRPr="008658F2">
        <w:rPr>
          <w:lang w:val="fr-FR"/>
        </w:rPr>
        <w:t>'</w:t>
      </w:r>
      <w:r w:rsidRPr="008658F2">
        <w:rPr>
          <w:lang w:val="fr-FR"/>
        </w:rPr>
        <w:t>UIT-D pour la période 2026-2029 a été mis au point et est en ligne. Toutes les pages web des commissions d'études de l'UIT-D, comme toutes les pages web du BDT, sont ainsi disponibles dans toutes les langues officielles de l'ONU grâce à l'objet fenêtre ITUTranslate.</w:t>
      </w:r>
    </w:p>
    <w:p w14:paraId="1DB3FDD4" w14:textId="7F229FA3" w:rsidR="00E814A2" w:rsidRPr="008658F2" w:rsidRDefault="00E814A2" w:rsidP="00A775FA">
      <w:pPr>
        <w:rPr>
          <w:lang w:val="fr-FR"/>
        </w:rPr>
      </w:pPr>
      <w:r w:rsidRPr="008658F2">
        <w:rPr>
          <w:lang w:val="fr-FR"/>
        </w:rPr>
        <w:t>Pour accéder aux outils collaboratifs ainsi qu</w:t>
      </w:r>
      <w:r w:rsidR="00D83883" w:rsidRPr="008658F2">
        <w:rPr>
          <w:lang w:val="fr-FR"/>
        </w:rPr>
        <w:t>'</w:t>
      </w:r>
      <w:r w:rsidRPr="008658F2">
        <w:rPr>
          <w:lang w:val="fr-FR"/>
        </w:rPr>
        <w:t xml:space="preserve">à tous les documents de la CE 1, un </w:t>
      </w:r>
      <w:hyperlink r:id="rId32" w:anchor="/fr" w:history="1">
        <w:r w:rsidRPr="008658F2">
          <w:rPr>
            <w:rStyle w:val="Hyperlink"/>
            <w:lang w:val="fr-FR"/>
          </w:rPr>
          <w:t xml:space="preserve">compte </w:t>
        </w:r>
        <w:r w:rsidRPr="008658F2">
          <w:rPr>
            <w:rStyle w:val="Hyperlink"/>
            <w:lang w:val="fr-FR"/>
          </w:rPr>
          <w:t>T</w:t>
        </w:r>
        <w:r w:rsidRPr="008658F2">
          <w:rPr>
            <w:rStyle w:val="Hyperlink"/>
            <w:lang w:val="fr-FR"/>
          </w:rPr>
          <w:t>IES actif</w:t>
        </w:r>
      </w:hyperlink>
      <w:r w:rsidRPr="008658F2">
        <w:rPr>
          <w:lang w:val="fr-FR"/>
        </w:rPr>
        <w:t xml:space="preserve"> est nécessaire.</w:t>
      </w:r>
      <w:hyperlink r:id="rId33" w:history="1"/>
    </w:p>
    <w:p w14:paraId="1D1D6B9C" w14:textId="2C5D1BA5" w:rsidR="00E814A2" w:rsidRPr="008658F2" w:rsidRDefault="00E814A2" w:rsidP="00A775FA">
      <w:pPr>
        <w:rPr>
          <w:rFonts w:cstheme="minorBidi"/>
          <w:lang w:val="fr-FR"/>
        </w:rPr>
      </w:pPr>
      <w:r w:rsidRPr="008658F2">
        <w:rPr>
          <w:lang w:val="fr-FR"/>
        </w:rPr>
        <w:t>Les participants aux travaux des commissions d'études sont encouragés à examiner ces outils et à transmettre leurs observations éventuelles au secrétariat (</w:t>
      </w:r>
      <w:hyperlink r:id="rId34" w:history="1">
        <w:r w:rsidR="00D83883" w:rsidRPr="008658F2">
          <w:rPr>
            <w:rStyle w:val="Hyperlink"/>
            <w:rFonts w:cstheme="minorBidi"/>
            <w:lang w:val="fr-FR"/>
          </w:rPr>
          <w:t>devsg@itu.int</w:t>
        </w:r>
      </w:hyperlink>
      <w:r w:rsidRPr="008658F2">
        <w:rPr>
          <w:lang w:val="fr-FR"/>
        </w:rPr>
        <w:t>), afin de contribuer à leur amélioration.</w:t>
      </w:r>
      <w:hyperlink r:id="rId35" w:history="1"/>
    </w:p>
    <w:p w14:paraId="0CB5FEFD" w14:textId="2B6BA1E7" w:rsidR="00E814A2" w:rsidRPr="008658F2" w:rsidRDefault="00FF7C21" w:rsidP="00A775FA">
      <w:pPr>
        <w:pStyle w:val="Heading1"/>
        <w:rPr>
          <w:rFonts w:cstheme="minorHAnsi"/>
          <w:sz w:val="22"/>
          <w:szCs w:val="16"/>
          <w:lang w:val="fr-FR"/>
        </w:rPr>
      </w:pPr>
      <w:r w:rsidRPr="008658F2">
        <w:rPr>
          <w:lang w:val="fr-FR"/>
        </w:rPr>
        <w:t>5</w:t>
      </w:r>
      <w:r w:rsidR="00A775FA" w:rsidRPr="008658F2">
        <w:rPr>
          <w:lang w:val="fr-FR"/>
        </w:rPr>
        <w:tab/>
      </w:r>
      <w:r w:rsidR="00E814A2" w:rsidRPr="008658F2">
        <w:rPr>
          <w:lang w:val="fr-FR"/>
        </w:rPr>
        <w:t>Conclusion</w:t>
      </w:r>
    </w:p>
    <w:p w14:paraId="3D03F60B" w14:textId="5BA171F2" w:rsidR="00E814A2" w:rsidRPr="008658F2" w:rsidRDefault="00E814A2" w:rsidP="00A775FA">
      <w:pPr>
        <w:rPr>
          <w:lang w:val="fr-FR"/>
        </w:rPr>
      </w:pPr>
      <w:r w:rsidRPr="008658F2">
        <w:rPr>
          <w:lang w:val="fr-FR"/>
        </w:rPr>
        <w:t>La CE 1, compte tenu du nouveau mandat qui lui a été confié et des Questions qui lui ont été assignées, se réunira du 13 au 17 avril 2026. Les premières séances seront l'occasion d'examiner de près les résultats attendus sur lesquels les membres se sont mis d'accord lors de la CMDT-25, de définir les méthodes à suivre pour la conduite des travaux et d'adopter des programmes de travail détaillés pour chaque Question à l'étude. Elles seront aussi l'occasion de nommer les Rapporteurs et les Vice-Rapporteurs pour chacune des Questions à l'étude.</w:t>
      </w:r>
    </w:p>
    <w:p w14:paraId="5C02DE6F" w14:textId="1AB52BA1" w:rsidR="00E814A2" w:rsidRPr="008658F2" w:rsidRDefault="00E814A2" w:rsidP="00A775FA">
      <w:pPr>
        <w:rPr>
          <w:lang w:val="fr-FR"/>
        </w:rPr>
      </w:pPr>
      <w:r w:rsidRPr="008658F2">
        <w:rPr>
          <w:lang w:val="fr-FR"/>
        </w:rPr>
        <w:t xml:space="preserve">Des séances de présentation des travaux des commissions d'études de l'UIT-D, durant lesquelles des informations détaillées seront données sur les méthodes de travail et les outils à la disposition des participants, seront organisées le premier jour de la réunion. Le </w:t>
      </w:r>
      <w:hyperlink r:id="rId36" w:history="1">
        <w:r w:rsidRPr="008658F2">
          <w:rPr>
            <w:rStyle w:val="Hyperlink"/>
            <w:lang w:val="fr-FR"/>
          </w:rPr>
          <w:t>document d'i</w:t>
        </w:r>
        <w:r w:rsidRPr="008658F2">
          <w:rPr>
            <w:rStyle w:val="Hyperlink"/>
            <w:lang w:val="fr-FR"/>
          </w:rPr>
          <w:t>n</w:t>
        </w:r>
        <w:r w:rsidRPr="008658F2">
          <w:rPr>
            <w:rStyle w:val="Hyperlink"/>
            <w:lang w:val="fr-FR"/>
          </w:rPr>
          <w:t>formation à l'intention des délégués</w:t>
        </w:r>
      </w:hyperlink>
      <w:r w:rsidRPr="008658F2">
        <w:rPr>
          <w:lang w:val="fr-FR"/>
        </w:rPr>
        <w:t xml:space="preserve"> a été mis à jour et est mis à la disposition du public dans toutes les langues officielles de l'ONU. Il est proposé de lire ce document avant de participer aux séances de présentation.</w:t>
      </w:r>
      <w:hyperlink r:id="rId37" w:history="1"/>
    </w:p>
    <w:p w14:paraId="289F967A" w14:textId="41E570E6" w:rsidR="00E814A2" w:rsidRPr="008658F2" w:rsidRDefault="00E814A2" w:rsidP="00FF7C21">
      <w:pPr>
        <w:rPr>
          <w:lang w:val="fr-FR"/>
        </w:rPr>
      </w:pPr>
      <w:r w:rsidRPr="008658F2">
        <w:rPr>
          <w:lang w:val="fr-FR"/>
        </w:rPr>
        <w:t>La série de réunions des groupes du Rapporteur de la CE 1 de 2026 devrait avoir lieu du</w:t>
      </w:r>
      <w:r w:rsidR="00FB39AC" w:rsidRPr="008658F2">
        <w:rPr>
          <w:lang w:val="fr-FR"/>
        </w:rPr>
        <w:t> </w:t>
      </w:r>
      <w:r w:rsidRPr="008658F2">
        <w:rPr>
          <w:lang w:val="fr-FR"/>
        </w:rPr>
        <w:t>28</w:t>
      </w:r>
      <w:r w:rsidR="00FF7C21" w:rsidRPr="008658F2">
        <w:rPr>
          <w:lang w:val="fr-FR"/>
        </w:rPr>
        <w:t> </w:t>
      </w:r>
      <w:r w:rsidRPr="008658F2">
        <w:rPr>
          <w:lang w:val="fr-FR"/>
        </w:rPr>
        <w:t>septembre au 7 octobre 2026.</w:t>
      </w:r>
    </w:p>
    <w:p w14:paraId="5380494B" w14:textId="77777777" w:rsidR="00CE5034" w:rsidRPr="008658F2" w:rsidRDefault="00CE5034" w:rsidP="005D4903">
      <w:pPr>
        <w:rPr>
          <w:lang w:val="fr-FR"/>
        </w:rPr>
      </w:pPr>
    </w:p>
    <w:p w14:paraId="2078E396" w14:textId="5BEDF942" w:rsidR="00CE5034" w:rsidRPr="008658F2" w:rsidRDefault="00CE5034" w:rsidP="005D4903">
      <w:pPr>
        <w:rPr>
          <w:lang w:val="fr-FR"/>
        </w:rPr>
        <w:sectPr w:rsidR="00CE5034" w:rsidRPr="008658F2" w:rsidSect="00D83883">
          <w:headerReference w:type="even" r:id="rId38"/>
          <w:headerReference w:type="default" r:id="rId39"/>
          <w:footerReference w:type="first" r:id="rId40"/>
          <w:pgSz w:w="11907" w:h="16834" w:code="9"/>
          <w:pgMar w:top="1418" w:right="1134" w:bottom="1418" w:left="1134" w:header="720" w:footer="720" w:gutter="0"/>
          <w:paperSrc w:first="7" w:other="7"/>
          <w:cols w:space="720"/>
          <w:titlePg/>
          <w:docGrid w:linePitch="326"/>
        </w:sectPr>
      </w:pPr>
    </w:p>
    <w:p w14:paraId="4473D72C" w14:textId="1AEB96FF" w:rsidR="00CE5034" w:rsidRPr="008658F2" w:rsidRDefault="004A1722" w:rsidP="00CE5034">
      <w:pPr>
        <w:pStyle w:val="Annextitle"/>
        <w:rPr>
          <w:lang w:val="fr-FR"/>
        </w:rPr>
      </w:pPr>
      <w:r w:rsidRPr="008658F2">
        <w:rPr>
          <w:lang w:val="fr-FR"/>
        </w:rPr>
        <w:lastRenderedPageBreak/>
        <w:t>Annexe 1: Structure du Plan d'action de Bakou et sa contribution au Plan stratégique de l'UIT</w:t>
      </w:r>
    </w:p>
    <w:p w14:paraId="521FF096" w14:textId="1871D82C" w:rsidR="004A1722" w:rsidRPr="008658F2" w:rsidRDefault="007B759C" w:rsidP="00DE56F8">
      <w:pPr>
        <w:pStyle w:val="Normalaftertitle"/>
        <w:jc w:val="center"/>
        <w:rPr>
          <w:lang w:val="fr-FR"/>
        </w:rPr>
      </w:pPr>
      <w:r w:rsidRPr="008658F2">
        <w:rPr>
          <w:lang w:val="fr-FR"/>
        </w:rPr>
        <w:drawing>
          <wp:inline distT="0" distB="0" distL="0" distR="0" wp14:anchorId="627EE1CE" wp14:editId="1525FD54">
            <wp:extent cx="6702637" cy="4626000"/>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702637" cy="4626000"/>
                    </a:xfrm>
                    <a:prstGeom prst="rect">
                      <a:avLst/>
                    </a:prstGeom>
                  </pic:spPr>
                </pic:pic>
              </a:graphicData>
            </a:graphic>
          </wp:inline>
        </w:drawing>
      </w:r>
    </w:p>
    <w:p w14:paraId="2ED44D46" w14:textId="77777777" w:rsidR="00CE5034" w:rsidRPr="008658F2" w:rsidRDefault="00CE5034">
      <w:pPr>
        <w:tabs>
          <w:tab w:val="clear" w:pos="794"/>
          <w:tab w:val="clear" w:pos="1191"/>
          <w:tab w:val="clear" w:pos="1588"/>
          <w:tab w:val="clear" w:pos="1985"/>
        </w:tabs>
        <w:overflowPunct/>
        <w:autoSpaceDE/>
        <w:autoSpaceDN/>
        <w:adjustRightInd/>
        <w:spacing w:before="0"/>
        <w:textAlignment w:val="auto"/>
        <w:rPr>
          <w:b/>
          <w:sz w:val="28"/>
          <w:lang w:val="fr-FR"/>
        </w:rPr>
      </w:pPr>
      <w:r w:rsidRPr="008658F2">
        <w:rPr>
          <w:lang w:val="fr-FR"/>
        </w:rPr>
        <w:br w:type="page"/>
      </w:r>
    </w:p>
    <w:p w14:paraId="5F8C6A52" w14:textId="3BE4E0E7" w:rsidR="00CE5034" w:rsidRPr="008658F2" w:rsidRDefault="00CE5034" w:rsidP="000A5FFE">
      <w:pPr>
        <w:pStyle w:val="Annextitle"/>
        <w:rPr>
          <w:lang w:val="fr-FR"/>
        </w:rPr>
      </w:pPr>
      <w:r w:rsidRPr="008658F2">
        <w:rPr>
          <w:lang w:val="fr-FR"/>
        </w:rPr>
        <w:lastRenderedPageBreak/>
        <w:t>Annex</w:t>
      </w:r>
      <w:r w:rsidR="00B31ED2" w:rsidRPr="008658F2">
        <w:rPr>
          <w:lang w:val="fr-FR"/>
        </w:rPr>
        <w:t>e</w:t>
      </w:r>
      <w:r w:rsidRPr="008658F2">
        <w:rPr>
          <w:lang w:val="fr-FR"/>
        </w:rPr>
        <w:t xml:space="preserve"> 2: Programme de travail de la Commission d'études 1 de l'UIT-D</w:t>
      </w:r>
    </w:p>
    <w:p w14:paraId="5694C1BA" w14:textId="73039D80" w:rsidR="000A5FFE" w:rsidRPr="008658F2" w:rsidRDefault="008658F2" w:rsidP="008658F2">
      <w:pPr>
        <w:pStyle w:val="Figure"/>
        <w:jc w:val="center"/>
        <w:rPr>
          <w:lang w:val="fr-FR"/>
        </w:rPr>
      </w:pPr>
      <w:r w:rsidRPr="008658F2">
        <w:rPr>
          <w:lang w:val="fr-FR"/>
        </w:rPr>
        <w:drawing>
          <wp:inline distT="0" distB="0" distL="0" distR="0" wp14:anchorId="1556B30E" wp14:editId="303C95CF">
            <wp:extent cx="8888730" cy="4545965"/>
            <wp:effectExtent l="0" t="0" r="762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88730" cy="4545965"/>
                    </a:xfrm>
                    <a:prstGeom prst="rect">
                      <a:avLst/>
                    </a:prstGeom>
                    <a:noFill/>
                    <a:ln>
                      <a:noFill/>
                    </a:ln>
                  </pic:spPr>
                </pic:pic>
              </a:graphicData>
            </a:graphic>
          </wp:inline>
        </w:drawing>
      </w:r>
    </w:p>
    <w:p w14:paraId="2EC2844A" w14:textId="28D7BC8F" w:rsidR="00821996" w:rsidRPr="008658F2" w:rsidRDefault="003C58BF" w:rsidP="00A50CA0">
      <w:pPr>
        <w:tabs>
          <w:tab w:val="clear" w:pos="794"/>
          <w:tab w:val="clear" w:pos="1191"/>
          <w:tab w:val="clear" w:pos="1588"/>
          <w:tab w:val="clear" w:pos="1985"/>
        </w:tabs>
        <w:spacing w:after="120"/>
        <w:jc w:val="center"/>
        <w:rPr>
          <w:lang w:val="fr-FR"/>
        </w:rPr>
      </w:pPr>
      <w:r w:rsidRPr="008658F2">
        <w:rPr>
          <w:lang w:val="fr-FR"/>
        </w:rPr>
        <w:t>_____________</w:t>
      </w:r>
      <w:r w:rsidR="004122C5" w:rsidRPr="008658F2">
        <w:rPr>
          <w:lang w:val="fr-FR"/>
        </w:rPr>
        <w:t>_</w:t>
      </w:r>
      <w:r w:rsidR="00922EC1" w:rsidRPr="008658F2">
        <w:rPr>
          <w:lang w:val="fr-FR"/>
        </w:rPr>
        <w:t>_</w:t>
      </w:r>
    </w:p>
    <w:sectPr w:rsidR="00821996" w:rsidRPr="008658F2" w:rsidSect="00CE5034">
      <w:headerReference w:type="default" r:id="rId43"/>
      <w:headerReference w:type="first" r:id="rId44"/>
      <w:footerReference w:type="first" r:id="rId45"/>
      <w:pgSz w:w="16834" w:h="11907" w:orient="landscape" w:code="9"/>
      <w:pgMar w:top="1134" w:right="1418" w:bottom="1134" w:left="1418"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E814A2"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6" w:name="Email"/>
          <w:bookmarkEnd w:id="6"/>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19B4C2C1" w:rsidR="001B030A" w:rsidRPr="00BE7979" w:rsidRDefault="00E814A2" w:rsidP="001B030A">
          <w:pPr>
            <w:pStyle w:val="FirstFooter"/>
            <w:rPr>
              <w:sz w:val="18"/>
              <w:szCs w:val="18"/>
              <w:highlight w:val="yellow"/>
            </w:rPr>
          </w:pPr>
          <w:r w:rsidRPr="00BE7979">
            <w:rPr>
              <w:sz w:val="18"/>
              <w:szCs w:val="18"/>
            </w:rPr>
            <w:t>M. Roberto M. Hirayama, Président de la Commission d'études 1 de l'UIT-D</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49056BE3" w:rsidR="001B030A" w:rsidRPr="00BE7979" w:rsidRDefault="00FD38B4" w:rsidP="001B030A">
          <w:pPr>
            <w:pStyle w:val="FirstFooter"/>
            <w:tabs>
              <w:tab w:val="left" w:pos="2302"/>
            </w:tabs>
            <w:rPr>
              <w:sz w:val="18"/>
              <w:szCs w:val="18"/>
              <w:highlight w:val="yellow"/>
              <w:lang w:val="en-US"/>
            </w:rPr>
          </w:pPr>
          <w:r>
            <w:rPr>
              <w:sz w:val="18"/>
              <w:szCs w:val="18"/>
              <w:lang w:val="en-US"/>
            </w:rPr>
            <w:t>S</w:t>
          </w:r>
          <w:r w:rsidR="00E814A2" w:rsidRPr="00BE7979">
            <w:rPr>
              <w:sz w:val="18"/>
              <w:szCs w:val="18"/>
              <w:lang w:val="en-US"/>
            </w:rPr>
            <w:t>ans objet</w:t>
          </w:r>
        </w:p>
      </w:tc>
    </w:tr>
    <w:tr w:rsidR="004913E7" w:rsidRPr="00CB110F" w14:paraId="336F05F8" w14:textId="77777777" w:rsidTr="005539C3">
      <w:tc>
        <w:tcPr>
          <w:tcW w:w="1526" w:type="dxa"/>
        </w:tcPr>
        <w:p w14:paraId="10E74C07" w14:textId="77777777" w:rsidR="004913E7" w:rsidRPr="00CB110F" w:rsidRDefault="004913E7" w:rsidP="004913E7">
          <w:pPr>
            <w:pStyle w:val="FirstFooter"/>
            <w:tabs>
              <w:tab w:val="left" w:pos="1559"/>
              <w:tab w:val="left" w:pos="3828"/>
            </w:tabs>
            <w:rPr>
              <w:sz w:val="20"/>
              <w:lang w:val="en-US"/>
            </w:rPr>
          </w:pPr>
        </w:p>
      </w:tc>
      <w:tc>
        <w:tcPr>
          <w:tcW w:w="2410" w:type="dxa"/>
        </w:tcPr>
        <w:p w14:paraId="145C550E" w14:textId="77777777" w:rsidR="004913E7" w:rsidRPr="00CB110F" w:rsidRDefault="004913E7" w:rsidP="004913E7">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6041EF7E" w:rsidR="004913E7" w:rsidRPr="00BE7979" w:rsidRDefault="008658F2" w:rsidP="004913E7">
          <w:pPr>
            <w:pStyle w:val="FirstFooter"/>
            <w:tabs>
              <w:tab w:val="left" w:pos="2302"/>
            </w:tabs>
            <w:jc w:val="both"/>
            <w:rPr>
              <w:sz w:val="18"/>
              <w:szCs w:val="18"/>
              <w:lang w:val="en-US"/>
            </w:rPr>
          </w:pPr>
          <w:hyperlink r:id="rId1" w:history="1">
            <w:r w:rsidR="004913E7" w:rsidRPr="00BE7979">
              <w:rPr>
                <w:rStyle w:val="Hyperlink"/>
                <w:sz w:val="18"/>
                <w:szCs w:val="18"/>
              </w:rPr>
              <w:t>hirayama@anatel.gov.br</w:t>
            </w:r>
          </w:hyperlink>
        </w:p>
      </w:tc>
    </w:tr>
  </w:tbl>
  <w:p w14:paraId="4830D301" w14:textId="77777777" w:rsidR="00C80022" w:rsidRPr="001B030A" w:rsidRDefault="00C80022" w:rsidP="001B03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5560" w14:textId="77777777" w:rsidR="00B31ED2" w:rsidRPr="001B030A" w:rsidRDefault="00B31ED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54B90706" w14:textId="3104FE6D" w:rsidR="00E814A2" w:rsidRPr="0061527D" w:rsidRDefault="00E814A2" w:rsidP="00E814A2">
      <w:pPr>
        <w:pStyle w:val="FootnoteText"/>
        <w:spacing w:before="0"/>
        <w:rPr>
          <w:rFonts w:cstheme="minorHAnsi"/>
          <w:sz w:val="20"/>
          <w:lang w:val="fr-FR"/>
        </w:rPr>
      </w:pPr>
      <w:r w:rsidRPr="00FB39AC">
        <w:rPr>
          <w:rStyle w:val="FootnoteReference"/>
          <w:rFonts w:cstheme="minorHAnsi"/>
          <w:szCs w:val="18"/>
          <w:lang w:val="fr-FR"/>
        </w:rPr>
        <w:footnoteRef/>
      </w:r>
      <w:r w:rsidR="00FB39AC">
        <w:rPr>
          <w:lang w:val="fr-FR"/>
        </w:rPr>
        <w:tab/>
      </w:r>
      <w:r w:rsidRPr="00FB39AC">
        <w:rPr>
          <w:szCs w:val="24"/>
          <w:lang w:val="fr-FR"/>
        </w:rPr>
        <w:t xml:space="preserve">Le répertoire et le tableau de bord des contributions pour la période d'études précédente (2018-2022) sont disponibles </w:t>
      </w:r>
      <w:hyperlink r:id="rId1" w:history="1">
        <w:r w:rsidRPr="00FB39AC">
          <w:rPr>
            <w:rStyle w:val="Hyperlink"/>
            <w:szCs w:val="24"/>
            <w:lang w:val="fr-FR"/>
          </w:rPr>
          <w:t>ici</w:t>
        </w:r>
      </w:hyperlink>
      <w:r w:rsidRPr="00FB39AC">
        <w:rPr>
          <w:szCs w:val="24"/>
          <w:lang w:val="fr-FR"/>
        </w:rPr>
        <w:t>.</w:t>
      </w:r>
      <w:hyperlink r:id="rId2"/>
    </w:p>
  </w:footnote>
  <w:footnote w:id="2">
    <w:p w14:paraId="594F427A" w14:textId="77348617" w:rsidR="00E814A2" w:rsidRPr="00E814A2" w:rsidRDefault="00E814A2" w:rsidP="00E814A2">
      <w:pPr>
        <w:pStyle w:val="FootnoteText"/>
        <w:spacing w:before="0"/>
        <w:rPr>
          <w:rFonts w:cstheme="minorHAnsi"/>
          <w:sz w:val="20"/>
          <w:lang w:val="fr-FR"/>
        </w:rPr>
      </w:pPr>
      <w:r w:rsidRPr="00FB39AC">
        <w:rPr>
          <w:rStyle w:val="FootnoteReference"/>
          <w:rFonts w:cstheme="minorHAnsi"/>
          <w:szCs w:val="18"/>
          <w:lang w:val="fr-FR"/>
        </w:rPr>
        <w:footnoteRef/>
      </w:r>
      <w:r w:rsidR="00FB39AC">
        <w:rPr>
          <w:lang w:val="fr-FR"/>
        </w:rPr>
        <w:tab/>
      </w:r>
      <w:hyperlink r:id="rId3" w:history="1">
        <w:r w:rsidRPr="00FB39AC">
          <w:rPr>
            <w:rStyle w:val="Hyperlink"/>
            <w:szCs w:val="24"/>
            <w:lang w:val="fr-FR"/>
          </w:rPr>
          <w:t>https</w:t>
        </w:r>
        <w:r w:rsidRPr="00FB39AC">
          <w:rPr>
            <w:rStyle w:val="Hyperlink"/>
            <w:szCs w:val="24"/>
          </w:rPr>
          <w:t>://translate.itu.int/documents</w:t>
        </w:r>
      </w:hyperlink>
      <w:r w:rsidR="00D84A07" w:rsidRPr="00FB39AC">
        <w:rPr>
          <w:rStyle w:val="Hyperlink"/>
          <w:szCs w:val="24"/>
          <w:u w:val="none"/>
        </w:rPr>
        <w:t>.</w:t>
      </w:r>
      <w:hyperlink r:id="rId4"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F026" w14:textId="3528C7B4" w:rsidR="00EA4CEE" w:rsidRDefault="00FD38B4" w:rsidP="00FD38B4">
    <w:pPr>
      <w:tabs>
        <w:tab w:val="clear" w:pos="794"/>
        <w:tab w:val="clear" w:pos="1191"/>
        <w:tab w:val="clear" w:pos="1588"/>
        <w:tab w:val="clear" w:pos="1985"/>
        <w:tab w:val="center" w:pos="4820"/>
        <w:tab w:val="right" w:pos="13892"/>
      </w:tabs>
      <w:ind w:right="1"/>
    </w:pPr>
    <w:r>
      <w:rPr>
        <w:sz w:val="22"/>
        <w:szCs w:val="22"/>
        <w:lang w:val="de-CH"/>
      </w:rPr>
      <w:tab/>
    </w:r>
    <w:r w:rsidR="00EA4CEE" w:rsidRPr="00A54E72">
      <w:rPr>
        <w:sz w:val="22"/>
        <w:szCs w:val="22"/>
        <w:lang w:val="de-CH"/>
      </w:rPr>
      <w:t>TDAG</w:t>
    </w:r>
    <w:r w:rsidR="00EA4CEE">
      <w:rPr>
        <w:sz w:val="22"/>
        <w:szCs w:val="22"/>
        <w:lang w:val="de-CH"/>
      </w:rPr>
      <w:t>-26</w:t>
    </w:r>
    <w:r w:rsidR="00EA4CEE" w:rsidRPr="00A54E72">
      <w:rPr>
        <w:sz w:val="22"/>
        <w:szCs w:val="22"/>
        <w:lang w:val="de-CH"/>
      </w:rPr>
      <w:t>/</w:t>
    </w:r>
    <w:r w:rsidR="00EA4CEE">
      <w:rPr>
        <w:sz w:val="22"/>
        <w:szCs w:val="22"/>
        <w:lang w:val="de-CH"/>
      </w:rPr>
      <w:t>5</w:t>
    </w:r>
    <w:r w:rsidR="00EA4CEE" w:rsidRPr="006D271A">
      <w:rPr>
        <w:sz w:val="22"/>
        <w:szCs w:val="22"/>
        <w:lang w:val="de-CH"/>
      </w:rPr>
      <w:t>-</w:t>
    </w:r>
    <w:r w:rsidR="00EA4CEE">
      <w:rPr>
        <w:sz w:val="22"/>
        <w:szCs w:val="22"/>
        <w:lang w:val="de-CH"/>
      </w:rPr>
      <w:t>F</w:t>
    </w:r>
    <w:r w:rsidR="00EA4CEE">
      <w:rPr>
        <w:sz w:val="22"/>
        <w:szCs w:val="22"/>
        <w:lang w:val="de-CH"/>
      </w:rPr>
      <w:tab/>
    </w:r>
    <w:r w:rsidR="00EA4CEE" w:rsidRPr="006D271A">
      <w:rPr>
        <w:sz w:val="22"/>
        <w:szCs w:val="22"/>
        <w:lang w:val="de-CH"/>
      </w:rPr>
      <w:t xml:space="preserve">Page </w:t>
    </w:r>
    <w:r w:rsidR="00EA4CEE" w:rsidRPr="00972BCD">
      <w:rPr>
        <w:sz w:val="22"/>
        <w:szCs w:val="22"/>
      </w:rPr>
      <w:fldChar w:fldCharType="begin"/>
    </w:r>
    <w:r w:rsidR="00EA4CEE" w:rsidRPr="006D271A">
      <w:rPr>
        <w:sz w:val="22"/>
        <w:szCs w:val="22"/>
        <w:lang w:val="de-CH"/>
      </w:rPr>
      <w:instrText xml:space="preserve"> PAGE </w:instrText>
    </w:r>
    <w:r w:rsidR="00EA4CEE" w:rsidRPr="00972BCD">
      <w:rPr>
        <w:sz w:val="22"/>
        <w:szCs w:val="22"/>
      </w:rPr>
      <w:fldChar w:fldCharType="separate"/>
    </w:r>
    <w:r w:rsidR="00EA4CEE">
      <w:rPr>
        <w:sz w:val="22"/>
        <w:szCs w:val="22"/>
      </w:rPr>
      <w:t>9</w:t>
    </w:r>
    <w:r w:rsidR="00EA4CEE" w:rsidRPr="00972BC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522B82B8" w:rsidR="00721657" w:rsidRPr="00A525CC" w:rsidRDefault="00B31ED2" w:rsidP="00EA4CEE">
    <w:pPr>
      <w:tabs>
        <w:tab w:val="clear" w:pos="794"/>
        <w:tab w:val="clear" w:pos="1191"/>
        <w:tab w:val="clear" w:pos="1588"/>
        <w:tab w:val="clear" w:pos="1985"/>
        <w:tab w:val="center" w:pos="7230"/>
        <w:tab w:val="right" w:pos="13892"/>
      </w:tabs>
      <w:ind w:right="1" w:firstLine="4111"/>
      <w:rPr>
        <w:rStyle w:val="PageNumber"/>
      </w:rPr>
    </w:pPr>
    <w:r w:rsidRPr="00A54E72">
      <w:rPr>
        <w:sz w:val="22"/>
        <w:szCs w:val="22"/>
        <w:lang w:val="de-CH"/>
      </w:rPr>
      <w:t>TDAG</w:t>
    </w:r>
    <w:r>
      <w:rPr>
        <w:sz w:val="22"/>
        <w:szCs w:val="22"/>
        <w:lang w:val="de-CH"/>
      </w:rPr>
      <w:t>-26</w:t>
    </w:r>
    <w:r w:rsidRPr="00A54E72">
      <w:rPr>
        <w:sz w:val="22"/>
        <w:szCs w:val="22"/>
        <w:lang w:val="de-CH"/>
      </w:rPr>
      <w:t>/</w:t>
    </w:r>
    <w:r>
      <w:rPr>
        <w:sz w:val="22"/>
        <w:szCs w:val="22"/>
        <w:lang w:val="de-CH"/>
      </w:rPr>
      <w:t>5</w:t>
    </w:r>
    <w:r w:rsidRPr="006D271A">
      <w:rPr>
        <w:sz w:val="22"/>
        <w:szCs w:val="22"/>
        <w:lang w:val="de-CH"/>
      </w:rPr>
      <w:t>-</w:t>
    </w:r>
    <w:r>
      <w:rPr>
        <w:sz w:val="22"/>
        <w:szCs w:val="22"/>
        <w:lang w:val="de-CH"/>
      </w:rPr>
      <w:t>F</w:t>
    </w:r>
    <w:r w:rsidRPr="006D271A">
      <w:rPr>
        <w:sz w:val="22"/>
        <w:szCs w:val="22"/>
        <w:lang w:val="de-CH"/>
      </w:rPr>
      <w:tab/>
    </w:r>
    <w:r w:rsidR="004913E7">
      <w:rPr>
        <w:sz w:val="22"/>
        <w:szCs w:val="22"/>
        <w:lang w:val="de-CH"/>
      </w:rPr>
      <w:tab/>
    </w:r>
    <w:r w:rsidRPr="006D271A">
      <w:rPr>
        <w:sz w:val="22"/>
        <w:szCs w:val="22"/>
        <w:lang w:val="de-CH"/>
      </w:rPr>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Pr>
        <w:sz w:val="22"/>
        <w:szCs w:val="22"/>
      </w:rPr>
      <w:t>8</w:t>
    </w:r>
    <w:r w:rsidRPr="00972BCD">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B95A" w14:textId="054A47CA" w:rsidR="001645B8" w:rsidRPr="00A525CC" w:rsidRDefault="007B759C" w:rsidP="007B759C">
    <w:pPr>
      <w:pStyle w:val="Header"/>
      <w:tabs>
        <w:tab w:val="center" w:pos="7088"/>
        <w:tab w:val="right" w:pos="13998"/>
      </w:tabs>
      <w:rPr>
        <w:rStyle w:val="PageNumber"/>
      </w:rPr>
    </w:pPr>
    <w:r>
      <w:rPr>
        <w:sz w:val="22"/>
        <w:szCs w:val="22"/>
        <w:lang w:val="de-CH"/>
      </w:rPr>
      <w:tab/>
    </w:r>
    <w:r w:rsidR="001645B8" w:rsidRPr="00A54E72">
      <w:rPr>
        <w:sz w:val="22"/>
        <w:szCs w:val="22"/>
        <w:lang w:val="de-CH"/>
      </w:rPr>
      <w:t>TDAG</w:t>
    </w:r>
    <w:r w:rsidR="001645B8">
      <w:rPr>
        <w:sz w:val="22"/>
        <w:szCs w:val="22"/>
        <w:lang w:val="de-CH"/>
      </w:rPr>
      <w:t>-26</w:t>
    </w:r>
    <w:r w:rsidR="001645B8" w:rsidRPr="00A54E72">
      <w:rPr>
        <w:sz w:val="22"/>
        <w:szCs w:val="22"/>
        <w:lang w:val="de-CH"/>
      </w:rPr>
      <w:t>/</w:t>
    </w:r>
    <w:r w:rsidR="001645B8">
      <w:rPr>
        <w:sz w:val="22"/>
        <w:szCs w:val="22"/>
        <w:lang w:val="de-CH"/>
      </w:rPr>
      <w:t>5</w:t>
    </w:r>
    <w:r w:rsidR="001645B8" w:rsidRPr="006D271A">
      <w:rPr>
        <w:sz w:val="22"/>
        <w:szCs w:val="22"/>
        <w:lang w:val="de-CH"/>
      </w:rPr>
      <w:t>-</w:t>
    </w:r>
    <w:r w:rsidR="001645B8">
      <w:rPr>
        <w:sz w:val="22"/>
        <w:szCs w:val="22"/>
        <w:lang w:val="de-CH"/>
      </w:rPr>
      <w:t>F</w:t>
    </w:r>
    <w:r w:rsidR="001645B8">
      <w:rPr>
        <w:sz w:val="22"/>
        <w:szCs w:val="22"/>
        <w:lang w:val="de-CH"/>
      </w:rPr>
      <w:tab/>
    </w:r>
    <w:r w:rsidR="001645B8" w:rsidRPr="006D271A">
      <w:rPr>
        <w:sz w:val="22"/>
        <w:szCs w:val="22"/>
        <w:lang w:val="de-CH"/>
      </w:rPr>
      <w:t xml:space="preserve">Page </w:t>
    </w:r>
    <w:r w:rsidR="001645B8" w:rsidRPr="007B759C">
      <w:rPr>
        <w:sz w:val="22"/>
        <w:szCs w:val="22"/>
        <w:lang w:val="de-CH"/>
      </w:rPr>
      <w:fldChar w:fldCharType="begin"/>
    </w:r>
    <w:r w:rsidR="001645B8" w:rsidRPr="006D271A">
      <w:rPr>
        <w:sz w:val="22"/>
        <w:szCs w:val="22"/>
        <w:lang w:val="de-CH"/>
      </w:rPr>
      <w:instrText xml:space="preserve"> PAGE </w:instrText>
    </w:r>
    <w:r w:rsidR="001645B8" w:rsidRPr="007B759C">
      <w:rPr>
        <w:sz w:val="22"/>
        <w:szCs w:val="22"/>
        <w:lang w:val="de-CH"/>
      </w:rPr>
      <w:fldChar w:fldCharType="separate"/>
    </w:r>
    <w:r w:rsidR="001645B8" w:rsidRPr="007B759C">
      <w:rPr>
        <w:sz w:val="22"/>
        <w:szCs w:val="22"/>
        <w:lang w:val="de-CH"/>
      </w:rPr>
      <w:t>8</w:t>
    </w:r>
    <w:r w:rsidR="001645B8" w:rsidRPr="007B759C">
      <w:rPr>
        <w:sz w:val="22"/>
        <w:szCs w:val="22"/>
        <w:lang w:val="de-CH"/>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1641" w14:textId="1D61C252" w:rsidR="001645B8" w:rsidRDefault="007B759C" w:rsidP="007B759C">
    <w:pPr>
      <w:pStyle w:val="Header"/>
      <w:tabs>
        <w:tab w:val="center" w:pos="7088"/>
        <w:tab w:val="right" w:pos="13998"/>
      </w:tabs>
    </w:pPr>
    <w:r>
      <w:rPr>
        <w:sz w:val="22"/>
        <w:szCs w:val="22"/>
        <w:lang w:val="de-CH"/>
      </w:rPr>
      <w:tab/>
    </w:r>
    <w:r w:rsidR="001645B8" w:rsidRPr="00A54E72">
      <w:rPr>
        <w:sz w:val="22"/>
        <w:szCs w:val="22"/>
        <w:lang w:val="de-CH"/>
      </w:rPr>
      <w:t>TDAG</w:t>
    </w:r>
    <w:r w:rsidR="001645B8">
      <w:rPr>
        <w:sz w:val="22"/>
        <w:szCs w:val="22"/>
        <w:lang w:val="de-CH"/>
      </w:rPr>
      <w:t>-26</w:t>
    </w:r>
    <w:r w:rsidR="001645B8" w:rsidRPr="00A54E72">
      <w:rPr>
        <w:sz w:val="22"/>
        <w:szCs w:val="22"/>
        <w:lang w:val="de-CH"/>
      </w:rPr>
      <w:t>/</w:t>
    </w:r>
    <w:r w:rsidR="001645B8">
      <w:rPr>
        <w:sz w:val="22"/>
        <w:szCs w:val="22"/>
        <w:lang w:val="de-CH"/>
      </w:rPr>
      <w:t>5</w:t>
    </w:r>
    <w:r w:rsidR="001645B8" w:rsidRPr="006D271A">
      <w:rPr>
        <w:sz w:val="22"/>
        <w:szCs w:val="22"/>
        <w:lang w:val="de-CH"/>
      </w:rPr>
      <w:t>-</w:t>
    </w:r>
    <w:r w:rsidR="001645B8">
      <w:rPr>
        <w:sz w:val="22"/>
        <w:szCs w:val="22"/>
        <w:lang w:val="de-CH"/>
      </w:rPr>
      <w:t>F</w:t>
    </w:r>
    <w:r w:rsidR="001645B8">
      <w:rPr>
        <w:sz w:val="22"/>
        <w:szCs w:val="22"/>
        <w:lang w:val="de-CH"/>
      </w:rPr>
      <w:tab/>
    </w:r>
    <w:r w:rsidR="001645B8" w:rsidRPr="006D271A">
      <w:rPr>
        <w:sz w:val="22"/>
        <w:szCs w:val="22"/>
        <w:lang w:val="de-CH"/>
      </w:rPr>
      <w:t xml:space="preserve">Page </w:t>
    </w:r>
    <w:r w:rsidR="001645B8" w:rsidRPr="00972BCD">
      <w:rPr>
        <w:sz w:val="22"/>
        <w:szCs w:val="22"/>
      </w:rPr>
      <w:fldChar w:fldCharType="begin"/>
    </w:r>
    <w:r w:rsidR="001645B8" w:rsidRPr="006D271A">
      <w:rPr>
        <w:sz w:val="22"/>
        <w:szCs w:val="22"/>
        <w:lang w:val="de-CH"/>
      </w:rPr>
      <w:instrText xml:space="preserve"> PAGE </w:instrText>
    </w:r>
    <w:r w:rsidR="001645B8" w:rsidRPr="00972BCD">
      <w:rPr>
        <w:sz w:val="22"/>
        <w:szCs w:val="22"/>
      </w:rPr>
      <w:fldChar w:fldCharType="separate"/>
    </w:r>
    <w:r w:rsidR="001645B8">
      <w:rPr>
        <w:sz w:val="22"/>
        <w:szCs w:val="22"/>
      </w:rPr>
      <w:t>9</w:t>
    </w:r>
    <w:r w:rsidR="001645B8"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6A9F5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C636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32D2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141E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56AF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8885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120A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826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4A8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DE54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80D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2" w15:restartNumberingAfterBreak="0">
    <w:nsid w:val="611A6AB5"/>
    <w:multiLevelType w:val="multilevel"/>
    <w:tmpl w:val="31A0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2820660">
    <w:abstractNumId w:val="11"/>
  </w:num>
  <w:num w:numId="2" w16cid:durableId="1701322179">
    <w:abstractNumId w:val="9"/>
  </w:num>
  <w:num w:numId="3" w16cid:durableId="1559853793">
    <w:abstractNumId w:val="7"/>
  </w:num>
  <w:num w:numId="4" w16cid:durableId="781873915">
    <w:abstractNumId w:val="6"/>
  </w:num>
  <w:num w:numId="5" w16cid:durableId="2107799424">
    <w:abstractNumId w:val="5"/>
  </w:num>
  <w:num w:numId="6" w16cid:durableId="692416016">
    <w:abstractNumId w:val="4"/>
  </w:num>
  <w:num w:numId="7" w16cid:durableId="282853768">
    <w:abstractNumId w:val="8"/>
  </w:num>
  <w:num w:numId="8" w16cid:durableId="1025211011">
    <w:abstractNumId w:val="3"/>
  </w:num>
  <w:num w:numId="9" w16cid:durableId="2037922128">
    <w:abstractNumId w:val="2"/>
  </w:num>
  <w:num w:numId="10" w16cid:durableId="1171410135">
    <w:abstractNumId w:val="1"/>
  </w:num>
  <w:num w:numId="11" w16cid:durableId="1465468699">
    <w:abstractNumId w:val="0"/>
  </w:num>
  <w:num w:numId="12" w16cid:durableId="1905094645">
    <w:abstractNumId w:val="8"/>
  </w:num>
  <w:num w:numId="13" w16cid:durableId="75983937">
    <w:abstractNumId w:val="3"/>
  </w:num>
  <w:num w:numId="14" w16cid:durableId="1232734587">
    <w:abstractNumId w:val="2"/>
  </w:num>
  <w:num w:numId="15" w16cid:durableId="1471745599">
    <w:abstractNumId w:val="1"/>
  </w:num>
  <w:num w:numId="16" w16cid:durableId="707141518">
    <w:abstractNumId w:val="0"/>
  </w:num>
  <w:num w:numId="17" w16cid:durableId="625965437">
    <w:abstractNumId w:val="12"/>
  </w:num>
  <w:num w:numId="18" w16cid:durableId="1795753864">
    <w:abstractNumId w:val="13"/>
  </w:num>
  <w:num w:numId="19" w16cid:durableId="2148588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4D2D"/>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A5FFE"/>
    <w:rsid w:val="000B12CF"/>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3501"/>
    <w:rsid w:val="001645B8"/>
    <w:rsid w:val="001645CB"/>
    <w:rsid w:val="00166305"/>
    <w:rsid w:val="00167545"/>
    <w:rsid w:val="001703C6"/>
    <w:rsid w:val="00173781"/>
    <w:rsid w:val="00173CA1"/>
    <w:rsid w:val="00175ADF"/>
    <w:rsid w:val="00175CAE"/>
    <w:rsid w:val="00176FA2"/>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3BA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6F0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201B"/>
    <w:rsid w:val="003D451D"/>
    <w:rsid w:val="003F2DD8"/>
    <w:rsid w:val="003F3F2D"/>
    <w:rsid w:val="003F50B2"/>
    <w:rsid w:val="00400CCF"/>
    <w:rsid w:val="00401BFF"/>
    <w:rsid w:val="004037AF"/>
    <w:rsid w:val="00404424"/>
    <w:rsid w:val="0041156B"/>
    <w:rsid w:val="004122C5"/>
    <w:rsid w:val="00413B78"/>
    <w:rsid w:val="00416DDE"/>
    <w:rsid w:val="00417F5B"/>
    <w:rsid w:val="0044411E"/>
    <w:rsid w:val="00453435"/>
    <w:rsid w:val="00460089"/>
    <w:rsid w:val="00466398"/>
    <w:rsid w:val="0047306D"/>
    <w:rsid w:val="00473791"/>
    <w:rsid w:val="00476E48"/>
    <w:rsid w:val="00481DE9"/>
    <w:rsid w:val="0049128B"/>
    <w:rsid w:val="004913E7"/>
    <w:rsid w:val="00493B49"/>
    <w:rsid w:val="00495501"/>
    <w:rsid w:val="004A070A"/>
    <w:rsid w:val="004A1722"/>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3244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14BB"/>
    <w:rsid w:val="005A33B0"/>
    <w:rsid w:val="005C2DC2"/>
    <w:rsid w:val="005C304A"/>
    <w:rsid w:val="005C3D69"/>
    <w:rsid w:val="005C7C98"/>
    <w:rsid w:val="005D2C3A"/>
    <w:rsid w:val="005D4903"/>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4766C"/>
    <w:rsid w:val="00752258"/>
    <w:rsid w:val="007529E1"/>
    <w:rsid w:val="00762880"/>
    <w:rsid w:val="00762AD6"/>
    <w:rsid w:val="00762E02"/>
    <w:rsid w:val="00772290"/>
    <w:rsid w:val="00777265"/>
    <w:rsid w:val="007805E7"/>
    <w:rsid w:val="0078222A"/>
    <w:rsid w:val="00787D48"/>
    <w:rsid w:val="0079338A"/>
    <w:rsid w:val="00793C6C"/>
    <w:rsid w:val="00795294"/>
    <w:rsid w:val="007A4E50"/>
    <w:rsid w:val="007A7D3C"/>
    <w:rsid w:val="007B18A7"/>
    <w:rsid w:val="007B250E"/>
    <w:rsid w:val="007B759C"/>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658F2"/>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24B3"/>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484"/>
    <w:rsid w:val="00A50CA0"/>
    <w:rsid w:val="00A525CC"/>
    <w:rsid w:val="00A53E7C"/>
    <w:rsid w:val="00A60087"/>
    <w:rsid w:val="00A66C4C"/>
    <w:rsid w:val="00A67E68"/>
    <w:rsid w:val="00A705E8"/>
    <w:rsid w:val="00A721F4"/>
    <w:rsid w:val="00A775FA"/>
    <w:rsid w:val="00A9392C"/>
    <w:rsid w:val="00A9462B"/>
    <w:rsid w:val="00A97D59"/>
    <w:rsid w:val="00AA3E09"/>
    <w:rsid w:val="00AA4BEF"/>
    <w:rsid w:val="00AA4D82"/>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0DD8"/>
    <w:rsid w:val="00B01046"/>
    <w:rsid w:val="00B310F9"/>
    <w:rsid w:val="00B31ED2"/>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E428D"/>
    <w:rsid w:val="00BE7979"/>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61AE"/>
    <w:rsid w:val="00CD7207"/>
    <w:rsid w:val="00CE0422"/>
    <w:rsid w:val="00CE0DBE"/>
    <w:rsid w:val="00CE5034"/>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83883"/>
    <w:rsid w:val="00D84A07"/>
    <w:rsid w:val="00D911DE"/>
    <w:rsid w:val="00D91B97"/>
    <w:rsid w:val="00D93ACC"/>
    <w:rsid w:val="00D93C08"/>
    <w:rsid w:val="00D95DAC"/>
    <w:rsid w:val="00DA0B53"/>
    <w:rsid w:val="00DA1D6B"/>
    <w:rsid w:val="00DB1171"/>
    <w:rsid w:val="00DB1519"/>
    <w:rsid w:val="00DB2840"/>
    <w:rsid w:val="00DB5A08"/>
    <w:rsid w:val="00DC1BD3"/>
    <w:rsid w:val="00DC2C1A"/>
    <w:rsid w:val="00DD66B4"/>
    <w:rsid w:val="00DE1972"/>
    <w:rsid w:val="00DE27AB"/>
    <w:rsid w:val="00DE56F8"/>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14A2"/>
    <w:rsid w:val="00E83810"/>
    <w:rsid w:val="00E857A8"/>
    <w:rsid w:val="00E86933"/>
    <w:rsid w:val="00E950F8"/>
    <w:rsid w:val="00E9605B"/>
    <w:rsid w:val="00E97298"/>
    <w:rsid w:val="00E97753"/>
    <w:rsid w:val="00EA0C51"/>
    <w:rsid w:val="00EA4CEE"/>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39AC"/>
    <w:rsid w:val="00FB4139"/>
    <w:rsid w:val="00FB476E"/>
    <w:rsid w:val="00FB6351"/>
    <w:rsid w:val="00FC0D90"/>
    <w:rsid w:val="00FC7D8C"/>
    <w:rsid w:val="00FD38B4"/>
    <w:rsid w:val="00FD3980"/>
    <w:rsid w:val="00FD431E"/>
    <w:rsid w:val="00FD5A2C"/>
    <w:rsid w:val="00FE0D47"/>
    <w:rsid w:val="00FE1D5C"/>
    <w:rsid w:val="00FE2F8B"/>
    <w:rsid w:val="00FE3669"/>
    <w:rsid w:val="00FE5204"/>
    <w:rsid w:val="00FF287F"/>
    <w:rsid w:val="00FF74A8"/>
    <w:rsid w:val="00FF7C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F52741"/>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
    <w:basedOn w:val="DefaultParagraphFont"/>
    <w:qForma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5D4903"/>
    <w:rPr>
      <w:color w:val="605E5C"/>
      <w:shd w:val="clear" w:color="auto" w:fill="E1DFDD"/>
    </w:r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E814A2"/>
    <w:rPr>
      <w:rFonts w:asciiTheme="minorHAnsi" w:hAnsiTheme="minorHAnsi"/>
      <w:sz w:val="24"/>
      <w:lang w:val="en-GB" w:eastAsia="en-US"/>
    </w:rPr>
  </w:style>
  <w:style w:type="character" w:customStyle="1" w:styleId="ListParagraphChar">
    <w:name w:val="List Paragraph Char"/>
    <w:link w:val="ListParagraph"/>
    <w:uiPriority w:val="34"/>
    <w:rsid w:val="00E814A2"/>
    <w:rPr>
      <w:rFonts w:asciiTheme="minorHAnsi" w:hAnsiTheme="minorHAnsi"/>
      <w:sz w:val="24"/>
      <w:lang w:val="en-GB" w:eastAsia="en-US"/>
    </w:rPr>
  </w:style>
  <w:style w:type="paragraph" w:customStyle="1" w:styleId="Figure">
    <w:name w:val="Figure"/>
    <w:basedOn w:val="Figurelegend"/>
    <w:rsid w:val="00A50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eddy.woodhouse@ofcom.org.uk" TargetMode="External"/><Relationship Id="rId18" Type="http://schemas.openxmlformats.org/officeDocument/2006/relationships/hyperlink" Target="https://www.itu.int/en/ITU-D/Study-Groups/2026-2029/Pages/reference/SG1/questions/Question-5-1.aspx" TargetMode="External"/><Relationship Id="rId26" Type="http://schemas.openxmlformats.org/officeDocument/2006/relationships/hyperlink" Target="https://www.itu.int/dms_pub/itu-d/md/22/tdag32/c/D22-TDAG32-C-0006!N6B!PDF-E.pdf" TargetMode="External"/><Relationship Id="rId39" Type="http://schemas.openxmlformats.org/officeDocument/2006/relationships/header" Target="header2.xml"/><Relationship Id="rId21" Type="http://schemas.openxmlformats.org/officeDocument/2006/relationships/hyperlink" Target="https://www.itu.int/en/ITU-D/Study-Groups/2022-2025/Documents/Guidelines%20agreed%20at%20TDAG-25%20for%20Composing%20Rapporteurs%20Teams-for%20posting.pdf" TargetMode="External"/><Relationship Id="rId34" Type="http://schemas.openxmlformats.org/officeDocument/2006/relationships/hyperlink" Target="mailto:devsg@itu.int" TargetMode="External"/><Relationship Id="rId42" Type="http://schemas.openxmlformats.org/officeDocument/2006/relationships/image" Target="media/image3.emf"/><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en/ITU-D/Study-Groups/2026-2029/Pages/reference/SG1/questions/Question-3-1.aspx" TargetMode="External"/><Relationship Id="rId29" Type="http://schemas.openxmlformats.org/officeDocument/2006/relationships/hyperlink" Target="https://www.itu.int/en/ITU-D/Study-Groups/2026-2029/Pages/reference/SG1/questions/Question-5-1.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dms_pub/itu-d/md/22/tdag32/c/D22-TDAG32-C-0006!N6B!PDF-E.pdf" TargetMode="External"/><Relationship Id="rId32" Type="http://schemas.openxmlformats.org/officeDocument/2006/relationships/hyperlink" Target="https://www.itu.int/hub/membership/user-account-ties/" TargetMode="External"/><Relationship Id="rId37" Type="http://schemas.openxmlformats.org/officeDocument/2006/relationships/hyperlink" Target="https://www.itu.int/oth/D0735000001/en" TargetMode="External"/><Relationship Id="rId40" Type="http://schemas.openxmlformats.org/officeDocument/2006/relationships/footer" Target="footer1.xm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en/ITU-D/Study-Groups/2026-2029/Pages/reference/SG1/questions/Question-2-1.aspx" TargetMode="External"/><Relationship Id="rId23" Type="http://schemas.openxmlformats.org/officeDocument/2006/relationships/hyperlink" Target="https://www.itu.int/en/ITU-D/Study-Groups/2026-2029/Pages/candidates.aspx" TargetMode="External"/><Relationship Id="rId28" Type="http://schemas.openxmlformats.org/officeDocument/2006/relationships/hyperlink" Target="https://www.itu.int/en/ITU-D/Study-Groups/2026-2029/Pages/reference/Collaborative-Tools.aspx" TargetMode="External"/><Relationship Id="rId36" Type="http://schemas.openxmlformats.org/officeDocument/2006/relationships/hyperlink" Target="https://www.itu.int/oth/D0735000001/fr" TargetMode="External"/><Relationship Id="rId10" Type="http://schemas.openxmlformats.org/officeDocument/2006/relationships/endnotes" Target="endnotes.xml"/><Relationship Id="rId19" Type="http://schemas.openxmlformats.org/officeDocument/2006/relationships/hyperlink" Target="https://www.itu.int/md/D26-CA-CIR-0001/fr" TargetMode="External"/><Relationship Id="rId31" Type="http://schemas.openxmlformats.org/officeDocument/2006/relationships/hyperlink" Target="https://www.itu.int/en/ITU-D/Study-Groups/2026-2029/Pages/reference/SG1/questions/Question-5-1.aspx"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ITU-D/Study-Groups/2026-2029/Pages/reference/SG1/questions/Question-1-1.aspx" TargetMode="External"/><Relationship Id="rId22" Type="http://schemas.openxmlformats.org/officeDocument/2006/relationships/hyperlink" Target="https://www.itu.int/en/ITU-D/Study-Groups/2026-2029/Pages/candidates.aspx" TargetMode="External"/><Relationship Id="rId27" Type="http://schemas.openxmlformats.org/officeDocument/2006/relationships/hyperlink" Target="https://www.itu.int/md/D22-TDAG32-C-0062/en" TargetMode="External"/><Relationship Id="rId30" Type="http://schemas.openxmlformats.org/officeDocument/2006/relationships/hyperlink" Target="https://www.itu.int/en/ITU-D/Study-Groups/2026-2029/Pages/reference/Collaborative-Tools.aspx" TargetMode="External"/><Relationship Id="rId35" Type="http://schemas.openxmlformats.org/officeDocument/2006/relationships/hyperlink" Target="mailto:devsg@itu.int"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hmetalper.tekin@btk.gov.tr" TargetMode="External"/><Relationship Id="rId17" Type="http://schemas.openxmlformats.org/officeDocument/2006/relationships/hyperlink" Target="https://www.itu.int/en/ITU-D/Study-Groups/2026-2029/Pages/reference/SG1/questions/Question-4-1.aspx" TargetMode="External"/><Relationship Id="rId25" Type="http://schemas.openxmlformats.org/officeDocument/2006/relationships/hyperlink" Target="https://www.itu.int/md/D22-TDAG32-C-0062/fr" TargetMode="External"/><Relationship Id="rId33" Type="http://schemas.openxmlformats.org/officeDocument/2006/relationships/hyperlink" Target="https://www.itu.int/hub/membership/user-account-ties/" TargetMode="External"/><Relationship Id="rId38" Type="http://schemas.openxmlformats.org/officeDocument/2006/relationships/header" Target="header1.xml"/><Relationship Id="rId46" Type="http://schemas.openxmlformats.org/officeDocument/2006/relationships/fontTable" Target="fontTable.xml"/><Relationship Id="rId20" Type="http://schemas.openxmlformats.org/officeDocument/2006/relationships/hyperlink" Target="https://www.itu.int/net4/ITU-D/CDS/sg/blkmeetings.asp?lg=1&amp;stg=&amp;sp=2026&amp;blk=29194" TargetMode="External"/><Relationship Id="rId41"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hirayama@anatel.gov.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ranslate.itu.int/documents" TargetMode="External"/><Relationship Id="rId2" Type="http://schemas.openxmlformats.org/officeDocument/2006/relationships/hyperlink" Target="https://www.itu.int/en/ITU-D/Study-Groups/2022-2025/Pages/TIES_Protected/contributions_dashboard_2022_2025.aspx" TargetMode="External"/><Relationship Id="rId1" Type="http://schemas.openxmlformats.org/officeDocument/2006/relationships/hyperlink" Target="https://www.itu.int/en/ITU-D/Study-Groups/2022-2025/Pages/TIES_Protected/contributions_dashboard_2022_2025.aspx" TargetMode="External"/><Relationship Id="rId4" Type="http://schemas.openxmlformats.org/officeDocument/2006/relationships/hyperlink" Target="https://translate.itu.int/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3.xml><?xml version="1.0" encoding="utf-8"?>
<ds:datastoreItem xmlns:ds="http://schemas.openxmlformats.org/officeDocument/2006/customXml" ds:itemID="{04AFF22B-E34E-4D13-BF0E-743F259223BD}">
  <ds:schemaRefs>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infopath/2007/PartnerControls"/>
    <ds:schemaRef ds:uri="29399490-13b9-4c73-b71e-403b715b75a7"/>
    <ds:schemaRef ds:uri="d4ea696a-cca3-460b-a983-57ac2621983a"/>
  </ds:schemaRefs>
</ds:datastoreItem>
</file>

<file path=customXml/itemProps4.xml><?xml version="1.0" encoding="utf-8"?>
<ds:datastoreItem xmlns:ds="http://schemas.openxmlformats.org/officeDocument/2006/customXml" ds:itemID="{A2000670-633D-4F9E-9C1D-E70D7D1C05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9</Pages>
  <Words>3408</Words>
  <Characters>19431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17</cp:revision>
  <cp:lastPrinted>2014-11-04T09:22:00Z</cp:lastPrinted>
  <dcterms:created xsi:type="dcterms:W3CDTF">2026-03-17T10:36:00Z</dcterms:created>
  <dcterms:modified xsi:type="dcterms:W3CDTF">2026-03-18T07:34:00Z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