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675"/>
        <w:tblW w:w="10031" w:type="dxa"/>
        <w:tblLayout w:type="fixed"/>
        <w:tblLook w:val="0000" w:firstRow="0" w:lastRow="0" w:firstColumn="0" w:lastColumn="0" w:noHBand="0" w:noVBand="0"/>
      </w:tblPr>
      <w:tblGrid>
        <w:gridCol w:w="6804"/>
        <w:gridCol w:w="3227"/>
      </w:tblGrid>
      <w:tr w:rsidR="001E252D" w:rsidRPr="00590766" w14:paraId="66D7DD9F" w14:textId="77777777" w:rsidTr="15AE6D17">
        <w:trPr>
          <w:cantSplit/>
          <w:trHeight w:val="1134"/>
        </w:trPr>
        <w:tc>
          <w:tcPr>
            <w:tcW w:w="6804" w:type="dxa"/>
          </w:tcPr>
          <w:p w14:paraId="4D48C930" w14:textId="77777777" w:rsidR="006D23A1" w:rsidRDefault="006D23A1" w:rsidP="006D23A1">
            <w:pPr>
              <w:ind w:left="34"/>
              <w:rPr>
                <w:b/>
                <w:bCs/>
                <w:sz w:val="32"/>
                <w:szCs w:val="32"/>
              </w:rPr>
            </w:pPr>
            <w:r w:rsidRPr="006F3D93">
              <w:rPr>
                <w:b/>
                <w:bCs/>
                <w:sz w:val="32"/>
                <w:szCs w:val="32"/>
              </w:rPr>
              <w:t>Telecommunication</w:t>
            </w:r>
            <w:r>
              <w:rPr>
                <w:b/>
                <w:bCs/>
                <w:sz w:val="32"/>
                <w:szCs w:val="32"/>
              </w:rPr>
              <w:t xml:space="preserve"> Development</w:t>
            </w:r>
            <w:r>
              <w:rPr>
                <w:b/>
                <w:bCs/>
                <w:sz w:val="32"/>
                <w:szCs w:val="32"/>
              </w:rPr>
              <w:br/>
              <w:t>Advisory Group (TDAG)</w:t>
            </w:r>
          </w:p>
          <w:p w14:paraId="0B57EFDC" w14:textId="7C5B251A" w:rsidR="001E252D" w:rsidRPr="00590766" w:rsidRDefault="006D23A1" w:rsidP="006D23A1">
            <w:pPr>
              <w:tabs>
                <w:tab w:val="clear" w:pos="1134"/>
              </w:tabs>
              <w:spacing w:after="48" w:line="240" w:lineRule="atLeast"/>
              <w:ind w:left="34"/>
              <w:rPr>
                <w:b/>
                <w:bCs/>
                <w:sz w:val="28"/>
                <w:szCs w:val="28"/>
              </w:rPr>
            </w:pPr>
            <w:r>
              <w:rPr>
                <w:b/>
                <w:bCs/>
                <w:sz w:val="26"/>
                <w:szCs w:val="26"/>
              </w:rPr>
              <w:t>33rd Meeting, Geneva, Switzerland, 7-10</w:t>
            </w:r>
            <w:r w:rsidRPr="006F24AF">
              <w:rPr>
                <w:b/>
                <w:bCs/>
                <w:sz w:val="26"/>
                <w:szCs w:val="26"/>
              </w:rPr>
              <w:t xml:space="preserve"> </w:t>
            </w:r>
            <w:r>
              <w:rPr>
                <w:b/>
                <w:bCs/>
                <w:sz w:val="26"/>
                <w:szCs w:val="26"/>
              </w:rPr>
              <w:t>April</w:t>
            </w:r>
            <w:r w:rsidRPr="006F24AF">
              <w:rPr>
                <w:b/>
                <w:bCs/>
                <w:sz w:val="26"/>
                <w:szCs w:val="26"/>
              </w:rPr>
              <w:t xml:space="preserve"> 202</w:t>
            </w:r>
            <w:r>
              <w:rPr>
                <w:b/>
                <w:bCs/>
                <w:sz w:val="26"/>
                <w:szCs w:val="26"/>
              </w:rPr>
              <w:t>6</w:t>
            </w:r>
          </w:p>
        </w:tc>
        <w:tc>
          <w:tcPr>
            <w:tcW w:w="3227" w:type="dxa"/>
          </w:tcPr>
          <w:p w14:paraId="47998032" w14:textId="0761D801" w:rsidR="001E252D" w:rsidRPr="00590766" w:rsidRDefault="00EC02A9" w:rsidP="00993563">
            <w:pPr>
              <w:spacing w:line="240" w:lineRule="atLeast"/>
              <w:jc w:val="right"/>
              <w:rPr>
                <w:rFonts w:cstheme="minorHAnsi"/>
              </w:rPr>
            </w:pPr>
            <w:bookmarkStart w:id="0" w:name="ditulogo"/>
            <w:bookmarkEnd w:id="0"/>
            <w:r w:rsidRPr="00EC0817">
              <w:rPr>
                <w:noProof/>
                <w:lang w:eastAsia="fr-FR"/>
              </w:rPr>
              <w:drawing>
                <wp:inline distT="0" distB="0" distL="0" distR="0" wp14:anchorId="4FA85A9B" wp14:editId="08A8C7A6">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D83BF5" w:rsidRPr="00590766" w14:paraId="0553BAD5" w14:textId="77777777" w:rsidTr="15AE6D17">
        <w:trPr>
          <w:cantSplit/>
        </w:trPr>
        <w:tc>
          <w:tcPr>
            <w:tcW w:w="6804" w:type="dxa"/>
            <w:tcBorders>
              <w:top w:val="single" w:sz="12" w:space="0" w:color="auto"/>
            </w:tcBorders>
          </w:tcPr>
          <w:p w14:paraId="025E0657" w14:textId="77777777" w:rsidR="00D83BF5" w:rsidRPr="00590766" w:rsidRDefault="00D83BF5" w:rsidP="00B951D0">
            <w:pPr>
              <w:spacing w:before="0" w:after="48" w:line="240" w:lineRule="atLeast"/>
              <w:rPr>
                <w:rFonts w:cstheme="minorHAnsi"/>
                <w:b/>
                <w:smallCaps/>
                <w:sz w:val="20"/>
              </w:rPr>
            </w:pPr>
            <w:bookmarkStart w:id="1" w:name="dhead"/>
          </w:p>
        </w:tc>
        <w:tc>
          <w:tcPr>
            <w:tcW w:w="3227" w:type="dxa"/>
            <w:tcBorders>
              <w:top w:val="single" w:sz="12" w:space="0" w:color="auto"/>
            </w:tcBorders>
          </w:tcPr>
          <w:p w14:paraId="6C25E875" w14:textId="77777777" w:rsidR="00D83BF5" w:rsidRPr="00590766" w:rsidRDefault="00D83BF5" w:rsidP="00B951D0">
            <w:pPr>
              <w:spacing w:before="0" w:line="240" w:lineRule="atLeast"/>
              <w:rPr>
                <w:rFonts w:cstheme="minorHAnsi"/>
                <w:sz w:val="20"/>
              </w:rPr>
            </w:pPr>
          </w:p>
        </w:tc>
      </w:tr>
      <w:tr w:rsidR="00D83BF5" w:rsidRPr="00590766" w14:paraId="6872385C" w14:textId="77777777" w:rsidTr="15AE6D17">
        <w:trPr>
          <w:cantSplit/>
          <w:trHeight w:val="23"/>
        </w:trPr>
        <w:tc>
          <w:tcPr>
            <w:tcW w:w="6804" w:type="dxa"/>
          </w:tcPr>
          <w:p w14:paraId="78333E30" w14:textId="77777777" w:rsidR="00D83BF5" w:rsidRPr="00590766" w:rsidRDefault="00D83BF5" w:rsidP="00B951D0">
            <w:pPr>
              <w:pStyle w:val="Committee"/>
              <w:framePr w:hSpace="0" w:wrap="auto" w:hAnchor="text" w:yAlign="inline"/>
            </w:pPr>
            <w:bookmarkStart w:id="2" w:name="dnum" w:colFirst="1" w:colLast="1"/>
            <w:bookmarkStart w:id="3" w:name="dmeeting" w:colFirst="0" w:colLast="0"/>
            <w:bookmarkEnd w:id="1"/>
          </w:p>
        </w:tc>
        <w:tc>
          <w:tcPr>
            <w:tcW w:w="3227" w:type="dxa"/>
          </w:tcPr>
          <w:p w14:paraId="60E5BC35" w14:textId="2B27AAFD" w:rsidR="00D83BF5" w:rsidRPr="00590766" w:rsidRDefault="00D83BF5" w:rsidP="5C84FEF2">
            <w:pPr>
              <w:tabs>
                <w:tab w:val="left" w:pos="851"/>
              </w:tabs>
              <w:spacing w:before="0" w:line="240" w:lineRule="atLeast"/>
              <w:rPr>
                <w:rFonts w:cstheme="minorBidi"/>
                <w:lang w:val="es-ES"/>
              </w:rPr>
            </w:pPr>
            <w:r w:rsidRPr="15BD81B1">
              <w:rPr>
                <w:b/>
                <w:lang w:val="es-ES"/>
              </w:rPr>
              <w:t xml:space="preserve">Document </w:t>
            </w:r>
            <w:bookmarkStart w:id="4" w:name="DocRef1"/>
            <w:bookmarkEnd w:id="4"/>
            <w:r w:rsidR="001E252D" w:rsidRPr="15BD81B1">
              <w:rPr>
                <w:b/>
                <w:lang w:val="es-ES"/>
              </w:rPr>
              <w:t>TDAG-</w:t>
            </w:r>
            <w:r w:rsidR="00EC02A9" w:rsidRPr="15BD81B1">
              <w:rPr>
                <w:b/>
                <w:lang w:val="es-ES"/>
              </w:rPr>
              <w:t>26</w:t>
            </w:r>
            <w:r w:rsidRPr="15BD81B1">
              <w:rPr>
                <w:b/>
                <w:lang w:val="es-ES"/>
              </w:rPr>
              <w:t>/</w:t>
            </w:r>
            <w:r w:rsidR="00EC02A9" w:rsidRPr="15BD81B1">
              <w:rPr>
                <w:b/>
                <w:lang w:val="es-ES"/>
              </w:rPr>
              <w:t>5</w:t>
            </w:r>
            <w:r w:rsidRPr="15BD81B1">
              <w:rPr>
                <w:b/>
                <w:lang w:val="es-ES"/>
              </w:rPr>
              <w:t>-E</w:t>
            </w:r>
          </w:p>
        </w:tc>
      </w:tr>
      <w:tr w:rsidR="00D83BF5" w:rsidRPr="00590766" w14:paraId="63958919" w14:textId="77777777" w:rsidTr="15AE6D17">
        <w:trPr>
          <w:cantSplit/>
          <w:trHeight w:val="23"/>
        </w:trPr>
        <w:tc>
          <w:tcPr>
            <w:tcW w:w="6804" w:type="dxa"/>
          </w:tcPr>
          <w:p w14:paraId="00E90BF9" w14:textId="77777777" w:rsidR="00D83BF5" w:rsidRPr="005C7123" w:rsidRDefault="00D83BF5" w:rsidP="00B951D0">
            <w:pPr>
              <w:tabs>
                <w:tab w:val="left" w:pos="851"/>
              </w:tabs>
              <w:spacing w:before="0" w:line="240" w:lineRule="atLeast"/>
              <w:rPr>
                <w:rFonts w:cstheme="minorHAnsi"/>
                <w:b/>
                <w:szCs w:val="24"/>
              </w:rPr>
            </w:pPr>
            <w:bookmarkStart w:id="5" w:name="ddate" w:colFirst="1" w:colLast="1"/>
            <w:bookmarkStart w:id="6" w:name="dblank" w:colFirst="0" w:colLast="0"/>
            <w:bookmarkEnd w:id="2"/>
            <w:bookmarkEnd w:id="3"/>
          </w:p>
        </w:tc>
        <w:tc>
          <w:tcPr>
            <w:tcW w:w="3227" w:type="dxa"/>
          </w:tcPr>
          <w:p w14:paraId="077D0E2D" w14:textId="4DB5E3FD" w:rsidR="00D83BF5" w:rsidRPr="00590766" w:rsidRDefault="005C7123" w:rsidP="005C7123">
            <w:pPr>
              <w:spacing w:before="0" w:line="240" w:lineRule="atLeast"/>
              <w:rPr>
                <w:rFonts w:cstheme="minorBidi"/>
                <w:lang w:val="fr-FR"/>
              </w:rPr>
            </w:pPr>
            <w:r>
              <w:rPr>
                <w:b/>
                <w:lang w:val="fr-FR"/>
              </w:rPr>
              <w:t>3 March</w:t>
            </w:r>
            <w:r w:rsidR="00593B87" w:rsidRPr="4A822C57">
              <w:rPr>
                <w:b/>
                <w:bCs/>
                <w:lang w:val="fr-FR"/>
              </w:rPr>
              <w:t>20</w:t>
            </w:r>
            <w:r w:rsidR="00EC02A9" w:rsidRPr="4A822C57">
              <w:rPr>
                <w:b/>
                <w:bCs/>
                <w:lang w:val="fr-FR"/>
              </w:rPr>
              <w:t>26</w:t>
            </w:r>
          </w:p>
        </w:tc>
      </w:tr>
      <w:tr w:rsidR="00D83BF5" w:rsidRPr="00590766" w14:paraId="4869FC78" w14:textId="77777777" w:rsidTr="15AE6D17">
        <w:trPr>
          <w:cantSplit/>
          <w:trHeight w:val="23"/>
        </w:trPr>
        <w:tc>
          <w:tcPr>
            <w:tcW w:w="6804" w:type="dxa"/>
          </w:tcPr>
          <w:p w14:paraId="7AB964A0" w14:textId="77777777" w:rsidR="00D83BF5" w:rsidRPr="00590766" w:rsidRDefault="00D83BF5" w:rsidP="00B951D0">
            <w:pPr>
              <w:tabs>
                <w:tab w:val="left" w:pos="851"/>
              </w:tabs>
              <w:spacing w:before="0" w:line="240" w:lineRule="atLeast"/>
              <w:rPr>
                <w:rFonts w:cstheme="minorHAnsi"/>
                <w:szCs w:val="24"/>
              </w:rPr>
            </w:pPr>
            <w:bookmarkStart w:id="7" w:name="dbluepink" w:colFirst="0" w:colLast="0"/>
            <w:bookmarkStart w:id="8" w:name="dorlang" w:colFirst="1" w:colLast="1"/>
            <w:bookmarkEnd w:id="5"/>
            <w:bookmarkEnd w:id="6"/>
          </w:p>
        </w:tc>
        <w:tc>
          <w:tcPr>
            <w:tcW w:w="3227" w:type="dxa"/>
          </w:tcPr>
          <w:p w14:paraId="35563CDF" w14:textId="77777777" w:rsidR="00D83BF5" w:rsidRPr="00590766" w:rsidRDefault="00D83BF5" w:rsidP="00B951D0">
            <w:pPr>
              <w:tabs>
                <w:tab w:val="left" w:pos="993"/>
              </w:tabs>
              <w:spacing w:before="0"/>
              <w:rPr>
                <w:rFonts w:cstheme="minorBidi"/>
                <w:b/>
                <w:lang w:val="fr-FR"/>
              </w:rPr>
            </w:pPr>
            <w:r w:rsidRPr="15BD81B1">
              <w:rPr>
                <w:b/>
                <w:lang w:val="fr-FR"/>
              </w:rPr>
              <w:t>Original: English</w:t>
            </w:r>
          </w:p>
        </w:tc>
      </w:tr>
      <w:tr w:rsidR="00D83BF5" w:rsidRPr="00590766" w14:paraId="296237C7" w14:textId="77777777" w:rsidTr="15AE6D17">
        <w:trPr>
          <w:cantSplit/>
          <w:trHeight w:val="23"/>
        </w:trPr>
        <w:tc>
          <w:tcPr>
            <w:tcW w:w="10031" w:type="dxa"/>
            <w:gridSpan w:val="2"/>
          </w:tcPr>
          <w:p w14:paraId="2507700C" w14:textId="454CAE30" w:rsidR="00D83BF5" w:rsidRPr="00590766" w:rsidRDefault="00C73347" w:rsidP="00B911B2">
            <w:pPr>
              <w:pStyle w:val="Source"/>
              <w:spacing w:before="240" w:after="240"/>
            </w:pPr>
            <w:r w:rsidRPr="00590766">
              <w:t>Chair, ITU-D Study Group 1</w:t>
            </w:r>
          </w:p>
        </w:tc>
      </w:tr>
      <w:tr w:rsidR="00D83BF5" w:rsidRPr="00590766" w14:paraId="590EF24E" w14:textId="77777777" w:rsidTr="15AE6D17">
        <w:trPr>
          <w:cantSplit/>
          <w:trHeight w:val="23"/>
        </w:trPr>
        <w:tc>
          <w:tcPr>
            <w:tcW w:w="10031" w:type="dxa"/>
            <w:gridSpan w:val="2"/>
            <w:vAlign w:val="center"/>
          </w:tcPr>
          <w:p w14:paraId="3802A8B5" w14:textId="3CDE81F0" w:rsidR="00D83BF5" w:rsidRPr="008F1EB2" w:rsidRDefault="00C73347" w:rsidP="007F735C">
            <w:pPr>
              <w:pStyle w:val="Title1"/>
              <w:spacing w:before="120" w:after="120"/>
              <w:rPr>
                <w:caps w:val="0"/>
              </w:rPr>
            </w:pPr>
            <w:r w:rsidRPr="008F1EB2">
              <w:rPr>
                <w:caps w:val="0"/>
                <w:szCs w:val="28"/>
              </w:rPr>
              <w:t>Scope of work of ITU-D Study Group 1 for the 20</w:t>
            </w:r>
            <w:r w:rsidR="00EC02A9" w:rsidRPr="008F1EB2">
              <w:rPr>
                <w:caps w:val="0"/>
                <w:szCs w:val="28"/>
              </w:rPr>
              <w:t>26</w:t>
            </w:r>
            <w:r w:rsidRPr="008F1EB2">
              <w:rPr>
                <w:caps w:val="0"/>
                <w:szCs w:val="28"/>
              </w:rPr>
              <w:t>-202</w:t>
            </w:r>
            <w:r w:rsidR="00EC02A9" w:rsidRPr="008F1EB2">
              <w:rPr>
                <w:caps w:val="0"/>
                <w:szCs w:val="28"/>
              </w:rPr>
              <w:t>9</w:t>
            </w:r>
            <w:r w:rsidRPr="008F1EB2">
              <w:rPr>
                <w:caps w:val="0"/>
                <w:szCs w:val="28"/>
              </w:rPr>
              <w:t xml:space="preserve"> </w:t>
            </w:r>
            <w:r w:rsidR="00921194">
              <w:rPr>
                <w:bCs/>
                <w:caps w:val="0"/>
                <w:szCs w:val="28"/>
              </w:rPr>
              <w:t>s</w:t>
            </w:r>
            <w:r w:rsidRPr="008F1EB2">
              <w:rPr>
                <w:bCs/>
                <w:caps w:val="0"/>
                <w:szCs w:val="28"/>
              </w:rPr>
              <w:t xml:space="preserve">tudy </w:t>
            </w:r>
            <w:r w:rsidR="00921194">
              <w:rPr>
                <w:bCs/>
                <w:caps w:val="0"/>
                <w:szCs w:val="28"/>
              </w:rPr>
              <w:t>p</w:t>
            </w:r>
            <w:r w:rsidRPr="008F1EB2">
              <w:rPr>
                <w:bCs/>
                <w:caps w:val="0"/>
                <w:szCs w:val="28"/>
              </w:rPr>
              <w:t>eriod</w:t>
            </w:r>
          </w:p>
        </w:tc>
      </w:tr>
      <w:tr w:rsidR="00D83BF5" w:rsidRPr="00590766" w14:paraId="1F15A386" w14:textId="77777777" w:rsidTr="15AE6D17">
        <w:trPr>
          <w:cantSplit/>
          <w:trHeight w:val="23"/>
        </w:trPr>
        <w:tc>
          <w:tcPr>
            <w:tcW w:w="10031" w:type="dxa"/>
            <w:gridSpan w:val="2"/>
            <w:tcBorders>
              <w:bottom w:val="single" w:sz="4" w:space="0" w:color="auto"/>
            </w:tcBorders>
          </w:tcPr>
          <w:p w14:paraId="2D729046" w14:textId="77777777" w:rsidR="00D83BF5" w:rsidRPr="00590766" w:rsidRDefault="00D83BF5" w:rsidP="00B911B2">
            <w:pPr>
              <w:pStyle w:val="Title1"/>
              <w:spacing w:before="120" w:after="120"/>
              <w:jc w:val="left"/>
              <w:rPr>
                <w:rFonts w:cs="Times New Roman Bold"/>
                <w:caps w:val="0"/>
                <w:szCs w:val="28"/>
              </w:rPr>
            </w:pPr>
          </w:p>
        </w:tc>
      </w:tr>
      <w:tr w:rsidR="001E252D" w:rsidRPr="00590766" w14:paraId="7FA34CEC" w14:textId="77777777" w:rsidTr="15AE6D17">
        <w:trPr>
          <w:cantSplit/>
          <w:trHeight w:val="23"/>
        </w:trPr>
        <w:tc>
          <w:tcPr>
            <w:tcW w:w="10031" w:type="dxa"/>
            <w:gridSpan w:val="2"/>
            <w:tcBorders>
              <w:top w:val="single" w:sz="4" w:space="0" w:color="auto"/>
              <w:left w:val="single" w:sz="4" w:space="0" w:color="auto"/>
              <w:bottom w:val="single" w:sz="4" w:space="0" w:color="auto"/>
              <w:right w:val="single" w:sz="4" w:space="0" w:color="auto"/>
            </w:tcBorders>
          </w:tcPr>
          <w:p w14:paraId="1C2F1A35" w14:textId="77777777" w:rsidR="001E252D" w:rsidRPr="00590766" w:rsidRDefault="001E252D" w:rsidP="008D7366">
            <w:pPr>
              <w:spacing w:after="120"/>
              <w:rPr>
                <w:b/>
                <w:bCs/>
                <w:szCs w:val="24"/>
              </w:rPr>
            </w:pPr>
            <w:r w:rsidRPr="00590766">
              <w:rPr>
                <w:b/>
                <w:bCs/>
                <w:szCs w:val="24"/>
              </w:rPr>
              <w:t>Summary:</w:t>
            </w:r>
          </w:p>
          <w:p w14:paraId="560D2484" w14:textId="43A2CE1F" w:rsidR="00C73347" w:rsidRPr="00590766" w:rsidRDefault="00C73347" w:rsidP="008D7366">
            <w:pPr>
              <w:spacing w:after="120"/>
            </w:pPr>
            <w:r w:rsidRPr="00590766">
              <w:t>This report provides the scope of work of ITU-D Study Group 1 for the 20</w:t>
            </w:r>
            <w:r w:rsidR="00EC02A9" w:rsidRPr="00590766">
              <w:t>26</w:t>
            </w:r>
            <w:r w:rsidRPr="00590766">
              <w:t>-202</w:t>
            </w:r>
            <w:r w:rsidR="00EC02A9" w:rsidRPr="00590766">
              <w:t>9</w:t>
            </w:r>
            <w:r w:rsidRPr="00590766">
              <w:t xml:space="preserve"> study period as agreed by the 20</w:t>
            </w:r>
            <w:r w:rsidR="00EC02A9" w:rsidRPr="00590766">
              <w:t>25</w:t>
            </w:r>
            <w:r w:rsidRPr="00590766">
              <w:t xml:space="preserve"> World Telecommunication Development Conference (WTDC-</w:t>
            </w:r>
            <w:r w:rsidR="00EC02A9" w:rsidRPr="00590766">
              <w:t>25</w:t>
            </w:r>
            <w:r w:rsidRPr="00590766">
              <w:t>). It also contains information on WTDC-</w:t>
            </w:r>
            <w:r w:rsidR="00EC02A9" w:rsidRPr="00590766">
              <w:t>25</w:t>
            </w:r>
            <w:r w:rsidRPr="00590766">
              <w:t xml:space="preserve"> decisions with impact on ITU-D study groups and the work plan for Study Group 1 to implement the mandate.</w:t>
            </w:r>
          </w:p>
          <w:p w14:paraId="513EBDCF" w14:textId="5F098035" w:rsidR="001E252D" w:rsidRPr="00590766" w:rsidRDefault="00C73347" w:rsidP="008D7366">
            <w:pPr>
              <w:spacing w:after="120"/>
            </w:pPr>
            <w:r w:rsidRPr="00590766">
              <w:t xml:space="preserve">The first meeting of ITU-D Study Group 1 for the new study period will take place from </w:t>
            </w:r>
            <w:r w:rsidR="00EC02A9" w:rsidRPr="00590766">
              <w:t>1</w:t>
            </w:r>
            <w:r w:rsidR="007F7DB7">
              <w:t>3</w:t>
            </w:r>
            <w:r w:rsidR="00EC02A9" w:rsidRPr="00590766">
              <w:t xml:space="preserve"> to 17 </w:t>
            </w:r>
            <w:r w:rsidR="66C886AB" w:rsidRPr="00590766">
              <w:t>April</w:t>
            </w:r>
            <w:r w:rsidR="00EC02A9" w:rsidRPr="00590766">
              <w:t xml:space="preserve"> 2026.</w:t>
            </w:r>
          </w:p>
          <w:p w14:paraId="6F049094" w14:textId="77777777" w:rsidR="001E252D" w:rsidRPr="00590766" w:rsidRDefault="001E252D" w:rsidP="008D7366">
            <w:pPr>
              <w:spacing w:after="120"/>
              <w:rPr>
                <w:b/>
                <w:bCs/>
                <w:szCs w:val="24"/>
              </w:rPr>
            </w:pPr>
            <w:r w:rsidRPr="00590766">
              <w:rPr>
                <w:b/>
                <w:bCs/>
              </w:rPr>
              <w:t>Action required</w:t>
            </w:r>
            <w:r w:rsidR="008A3933" w:rsidRPr="00590766">
              <w:rPr>
                <w:b/>
                <w:bCs/>
              </w:rPr>
              <w:t>:</w:t>
            </w:r>
          </w:p>
          <w:p w14:paraId="1D2B6A90" w14:textId="77777777" w:rsidR="001E252D" w:rsidRPr="00590766" w:rsidRDefault="00C73347" w:rsidP="008D7366">
            <w:pPr>
              <w:spacing w:after="120"/>
              <w:rPr>
                <w:szCs w:val="24"/>
              </w:rPr>
            </w:pPr>
            <w:r w:rsidRPr="00590766">
              <w:t>TDAG is invited to take note of this document and provide any guidance as deemed appropriate.</w:t>
            </w:r>
          </w:p>
          <w:p w14:paraId="25A3E643" w14:textId="77777777" w:rsidR="001E252D" w:rsidRPr="00590766" w:rsidRDefault="001E252D" w:rsidP="008D7366">
            <w:pPr>
              <w:spacing w:after="120"/>
              <w:rPr>
                <w:b/>
                <w:bCs/>
                <w:szCs w:val="24"/>
              </w:rPr>
            </w:pPr>
            <w:r w:rsidRPr="00590766">
              <w:rPr>
                <w:b/>
                <w:bCs/>
                <w:szCs w:val="24"/>
              </w:rPr>
              <w:t>References</w:t>
            </w:r>
            <w:r w:rsidR="008A3933" w:rsidRPr="00590766">
              <w:rPr>
                <w:b/>
                <w:bCs/>
                <w:szCs w:val="24"/>
              </w:rPr>
              <w:t>:</w:t>
            </w:r>
          </w:p>
          <w:p w14:paraId="1BC56AEA" w14:textId="0A884E8B" w:rsidR="001E252D" w:rsidRPr="00590766" w:rsidRDefault="00161062" w:rsidP="008D7366">
            <w:pPr>
              <w:spacing w:after="120"/>
            </w:pPr>
            <w:r w:rsidRPr="00590766">
              <w:t>WTDC Resolution 2 (Rev. Baku, 2025), WTDC Resolution 1 (Rev. Baku, 2025)</w:t>
            </w:r>
          </w:p>
        </w:tc>
      </w:tr>
      <w:bookmarkEnd w:id="7"/>
      <w:bookmarkEnd w:id="8"/>
    </w:tbl>
    <w:p w14:paraId="36CB0999" w14:textId="77777777" w:rsidR="001E252D" w:rsidRPr="00590766" w:rsidRDefault="001E252D">
      <w:pPr>
        <w:tabs>
          <w:tab w:val="clear" w:pos="1134"/>
          <w:tab w:val="clear" w:pos="1871"/>
          <w:tab w:val="clear" w:pos="2268"/>
        </w:tabs>
        <w:overflowPunct/>
        <w:autoSpaceDE/>
        <w:autoSpaceDN/>
        <w:adjustRightInd/>
        <w:spacing w:before="0"/>
        <w:textAlignment w:val="auto"/>
        <w:rPr>
          <w:szCs w:val="24"/>
        </w:rPr>
      </w:pPr>
    </w:p>
    <w:p w14:paraId="263C02D5" w14:textId="77777777" w:rsidR="00075C63" w:rsidRPr="00590766" w:rsidRDefault="00075C63">
      <w:pPr>
        <w:tabs>
          <w:tab w:val="clear" w:pos="1134"/>
          <w:tab w:val="clear" w:pos="1871"/>
          <w:tab w:val="clear" w:pos="2268"/>
        </w:tabs>
        <w:overflowPunct/>
        <w:autoSpaceDE/>
        <w:autoSpaceDN/>
        <w:adjustRightInd/>
        <w:spacing w:before="0"/>
        <w:textAlignment w:val="auto"/>
        <w:rPr>
          <w:szCs w:val="24"/>
        </w:rPr>
      </w:pPr>
      <w:r w:rsidRPr="00590766">
        <w:rPr>
          <w:szCs w:val="24"/>
        </w:rPr>
        <w:br w:type="page"/>
      </w:r>
    </w:p>
    <w:p w14:paraId="67456D75" w14:textId="16F09AB4" w:rsidR="00C73347" w:rsidRPr="00E433F0" w:rsidRDefault="00C73347" w:rsidP="00E433F0">
      <w:pPr>
        <w:pStyle w:val="Heading1"/>
        <w:keepLines w:val="0"/>
        <w:numPr>
          <w:ilvl w:val="0"/>
          <w:numId w:val="18"/>
        </w:numPr>
        <w:tabs>
          <w:tab w:val="clear" w:pos="1871"/>
          <w:tab w:val="clear" w:pos="2268"/>
          <w:tab w:val="left" w:pos="567"/>
          <w:tab w:val="left" w:pos="1701"/>
        </w:tabs>
        <w:spacing w:before="120" w:after="120"/>
        <w:ind w:left="357" w:hanging="357"/>
        <w:rPr>
          <w:rFonts w:cstheme="minorHAnsi"/>
          <w:sz w:val="24"/>
          <w:szCs w:val="18"/>
        </w:rPr>
      </w:pPr>
      <w:r w:rsidRPr="00E433F0">
        <w:rPr>
          <w:rFonts w:cstheme="minorHAnsi"/>
          <w:sz w:val="24"/>
          <w:szCs w:val="18"/>
        </w:rPr>
        <w:lastRenderedPageBreak/>
        <w:t>WTDC-</w:t>
      </w:r>
      <w:r w:rsidR="00EC02A9" w:rsidRPr="00E433F0">
        <w:rPr>
          <w:rFonts w:cstheme="minorHAnsi"/>
          <w:sz w:val="24"/>
          <w:szCs w:val="18"/>
        </w:rPr>
        <w:t>25</w:t>
      </w:r>
      <w:r w:rsidRPr="00E433F0">
        <w:rPr>
          <w:rFonts w:cstheme="minorHAnsi"/>
          <w:sz w:val="24"/>
          <w:szCs w:val="18"/>
        </w:rPr>
        <w:t xml:space="preserve"> decisions with impact on ITU-D </w:t>
      </w:r>
      <w:r w:rsidR="008C1538" w:rsidRPr="00E433F0">
        <w:rPr>
          <w:rFonts w:cstheme="minorHAnsi"/>
          <w:sz w:val="24"/>
          <w:szCs w:val="18"/>
        </w:rPr>
        <w:t>S</w:t>
      </w:r>
      <w:r w:rsidRPr="00E433F0">
        <w:rPr>
          <w:rFonts w:cstheme="minorHAnsi"/>
          <w:sz w:val="24"/>
          <w:szCs w:val="18"/>
        </w:rPr>
        <w:t xml:space="preserve">tudy </w:t>
      </w:r>
      <w:r w:rsidR="008C1538" w:rsidRPr="00E433F0">
        <w:rPr>
          <w:rFonts w:cstheme="minorHAnsi"/>
          <w:sz w:val="24"/>
          <w:szCs w:val="18"/>
        </w:rPr>
        <w:t>G</w:t>
      </w:r>
      <w:r w:rsidRPr="00E433F0">
        <w:rPr>
          <w:rFonts w:cstheme="minorHAnsi"/>
          <w:sz w:val="24"/>
          <w:szCs w:val="18"/>
        </w:rPr>
        <w:t>roup</w:t>
      </w:r>
      <w:r w:rsidR="008C1538" w:rsidRPr="00E433F0">
        <w:rPr>
          <w:rFonts w:cstheme="minorHAnsi"/>
          <w:sz w:val="24"/>
          <w:szCs w:val="18"/>
        </w:rPr>
        <w:t xml:space="preserve"> 1</w:t>
      </w:r>
    </w:p>
    <w:p w14:paraId="6D8517AA" w14:textId="1B313ED4" w:rsidR="00C73347" w:rsidRPr="00C02333" w:rsidRDefault="00C73347" w:rsidP="00E433F0">
      <w:pPr>
        <w:spacing w:after="120"/>
      </w:pPr>
      <w:r w:rsidRPr="15BD81B1">
        <w:rPr>
          <w:rFonts w:eastAsia="Batang" w:cs="Calibri"/>
          <w:lang w:val="en-US"/>
        </w:rPr>
        <w:t>The ITU-D study groups follow the process and working methods set out in Resolution 1 (Rev. </w:t>
      </w:r>
      <w:r w:rsidR="00EC02A9" w:rsidRPr="15BD81B1">
        <w:rPr>
          <w:rFonts w:eastAsia="Batang" w:cs="Calibri"/>
          <w:lang w:val="en-US"/>
        </w:rPr>
        <w:t>Baku</w:t>
      </w:r>
      <w:r w:rsidRPr="15BD81B1">
        <w:rPr>
          <w:rFonts w:eastAsia="Batang" w:cs="Calibri"/>
          <w:lang w:val="en-US"/>
        </w:rPr>
        <w:t>, 20</w:t>
      </w:r>
      <w:r w:rsidR="00EC02A9" w:rsidRPr="15BD81B1">
        <w:rPr>
          <w:rFonts w:eastAsia="Batang" w:cs="Calibri"/>
          <w:lang w:val="en-US"/>
        </w:rPr>
        <w:t>25</w:t>
      </w:r>
      <w:r w:rsidRPr="15BD81B1">
        <w:rPr>
          <w:rFonts w:eastAsia="Batang" w:cs="Calibri"/>
          <w:lang w:val="en-US"/>
        </w:rPr>
        <w:t>) “Rules of procedure of the ITU Telecommunication Development Sector adopted by WTDC-</w:t>
      </w:r>
      <w:r w:rsidR="00EC02A9" w:rsidRPr="15BD81B1">
        <w:rPr>
          <w:rFonts w:eastAsia="Batang" w:cs="Calibri"/>
          <w:lang w:val="en-US"/>
        </w:rPr>
        <w:t>25</w:t>
      </w:r>
      <w:r w:rsidRPr="15BD81B1">
        <w:rPr>
          <w:rFonts w:eastAsia="Batang" w:cs="Calibri"/>
          <w:lang w:val="en-US"/>
        </w:rPr>
        <w:t xml:space="preserve">. </w:t>
      </w:r>
      <w:r w:rsidRPr="15BD81B1">
        <w:rPr>
          <w:lang w:val="en-US"/>
        </w:rPr>
        <w:t>WTDC-</w:t>
      </w:r>
      <w:r w:rsidR="00EC02A9" w:rsidRPr="15BD81B1">
        <w:rPr>
          <w:lang w:val="en-US"/>
        </w:rPr>
        <w:t>25</w:t>
      </w:r>
      <w:r w:rsidRPr="15BD81B1">
        <w:rPr>
          <w:lang w:val="en-US"/>
        </w:rPr>
        <w:t xml:space="preserve"> re</w:t>
      </w:r>
      <w:r w:rsidR="000E3C4C" w:rsidRPr="15BD81B1">
        <w:rPr>
          <w:lang w:val="en-US"/>
        </w:rPr>
        <w:t xml:space="preserve">affirmed </w:t>
      </w:r>
      <w:r w:rsidRPr="15BD81B1">
        <w:rPr>
          <w:lang w:val="en-US"/>
        </w:rPr>
        <w:t xml:space="preserve">the role of the ITU-D study groups to provide membership with a platform to share experiences, present ideas, exchange views, and achieve consensus on strategies to address </w:t>
      </w:r>
      <w:r w:rsidR="000E3C4C" w:rsidRPr="15BD81B1">
        <w:rPr>
          <w:lang w:val="en-US"/>
        </w:rPr>
        <w:t xml:space="preserve">current and future </w:t>
      </w:r>
      <w:r w:rsidRPr="15BD81B1">
        <w:rPr>
          <w:lang w:val="en-US"/>
        </w:rPr>
        <w:t>telecommunication/ICT priorities. In so doing, the role of the ITU-D study groups to assist Member States in achieving their SDG targets and specific development goals was strengthened.</w:t>
      </w:r>
    </w:p>
    <w:p w14:paraId="79365106" w14:textId="5D467CF7" w:rsidR="0090077A" w:rsidRPr="00C02333" w:rsidRDefault="0090077A" w:rsidP="00E433F0">
      <w:pPr>
        <w:spacing w:after="120"/>
        <w:rPr>
          <w:lang w:eastAsia="ko-KR"/>
        </w:rPr>
      </w:pPr>
      <w:r w:rsidRPr="00C02333">
        <w:t xml:space="preserve">The changes to the working methods </w:t>
      </w:r>
      <w:r w:rsidRPr="00590766">
        <w:rPr>
          <w:rFonts w:cs="Calibri"/>
          <w:bCs/>
        </w:rPr>
        <w:t>Resolution 1 (Rev. B</w:t>
      </w:r>
      <w:r w:rsidRPr="00590766">
        <w:rPr>
          <w:rFonts w:cs="Calibri" w:hint="eastAsia"/>
          <w:bCs/>
          <w:lang w:eastAsia="ko-KR"/>
        </w:rPr>
        <w:t>aku</w:t>
      </w:r>
      <w:r w:rsidRPr="00590766">
        <w:rPr>
          <w:rFonts w:cs="Calibri"/>
          <w:bCs/>
        </w:rPr>
        <w:t>, 20</w:t>
      </w:r>
      <w:r w:rsidRPr="00590766">
        <w:rPr>
          <w:rFonts w:cs="Calibri" w:hint="eastAsia"/>
          <w:bCs/>
          <w:lang w:eastAsia="ko-KR"/>
        </w:rPr>
        <w:t>25</w:t>
      </w:r>
      <w:r w:rsidRPr="00590766">
        <w:rPr>
          <w:rFonts w:cs="Calibri"/>
          <w:bCs/>
        </w:rPr>
        <w:t>)</w:t>
      </w:r>
      <w:r w:rsidRPr="00C02333">
        <w:t xml:space="preserve"> include </w:t>
      </w:r>
      <w:r w:rsidRPr="00C02333">
        <w:rPr>
          <w:lang w:eastAsia="ko-KR"/>
        </w:rPr>
        <w:t xml:space="preserve">new or modified provisions related to office bearers (e.g. nominating member is informed if the office bearer is absent for two consecutive meetings), output reports (e.g. a maximum 70 pages instead of 50 pages for </w:t>
      </w:r>
      <w:r w:rsidRPr="00590766">
        <w:rPr>
          <w:lang w:eastAsia="ko-KR"/>
        </w:rPr>
        <w:t>new output reports</w:t>
      </w:r>
      <w:r w:rsidRPr="00590766">
        <w:rPr>
          <w:rFonts w:hint="eastAsia"/>
          <w:lang w:eastAsia="ko-KR"/>
        </w:rPr>
        <w:t xml:space="preserve"> of a Question), interim deliverables (e.g. a</w:t>
      </w:r>
      <w:r w:rsidRPr="00590766">
        <w:rPr>
          <w:lang w:eastAsia="ko-KR"/>
        </w:rPr>
        <w:t xml:space="preserve"> compilation of published interim deliverables may constitute an output report</w:t>
      </w:r>
      <w:r w:rsidRPr="00590766">
        <w:rPr>
          <w:rFonts w:hint="eastAsia"/>
          <w:lang w:eastAsia="ko-KR"/>
        </w:rPr>
        <w:t xml:space="preserve">), collaboration with other ITU Sectors (e.g. additional/revised procedures for </w:t>
      </w:r>
      <w:r w:rsidRPr="00590766">
        <w:rPr>
          <w:lang w:eastAsia="ko-KR"/>
        </w:rPr>
        <w:t>intersector</w:t>
      </w:r>
      <w:r w:rsidRPr="00590766">
        <w:rPr>
          <w:rFonts w:hint="eastAsia"/>
          <w:lang w:eastAsia="ko-KR"/>
        </w:rPr>
        <w:t xml:space="preserve"> correspondence groups and </w:t>
      </w:r>
      <w:r w:rsidRPr="00590766">
        <w:rPr>
          <w:lang w:eastAsia="ko-KR"/>
        </w:rPr>
        <w:t>intersector</w:t>
      </w:r>
      <w:r w:rsidRPr="00590766">
        <w:rPr>
          <w:rFonts w:hint="eastAsia"/>
          <w:lang w:eastAsia="ko-KR"/>
        </w:rPr>
        <w:t xml:space="preserve"> rapporteur groups), </w:t>
      </w:r>
      <w:r w:rsidRPr="00590766">
        <w:rPr>
          <w:lang w:eastAsia="ko-KR"/>
        </w:rPr>
        <w:t>support</w:t>
      </w:r>
      <w:r w:rsidRPr="00590766">
        <w:rPr>
          <w:rFonts w:hint="eastAsia"/>
          <w:lang w:eastAsia="ko-KR"/>
        </w:rPr>
        <w:t xml:space="preserve">ing activities to study groups (e.g. events related </w:t>
      </w:r>
      <w:r w:rsidRPr="00590766">
        <w:rPr>
          <w:lang w:eastAsia="ko-KR"/>
        </w:rPr>
        <w:t xml:space="preserve">to the priorities and objectives of the </w:t>
      </w:r>
      <w:r w:rsidRPr="00590766">
        <w:rPr>
          <w:rFonts w:hint="eastAsia"/>
          <w:lang w:eastAsia="ko-KR"/>
        </w:rPr>
        <w:t>Baku Action Plan</w:t>
      </w:r>
      <w:r w:rsidRPr="00590766">
        <w:rPr>
          <w:lang w:eastAsia="ko-KR"/>
        </w:rPr>
        <w:t xml:space="preserve"> and WTDC resolutions</w:t>
      </w:r>
      <w:r w:rsidRPr="00590766">
        <w:rPr>
          <w:rFonts w:hint="eastAsia"/>
          <w:lang w:eastAsia="ko-KR"/>
        </w:rPr>
        <w:t xml:space="preserve">, </w:t>
      </w:r>
      <w:r w:rsidRPr="00590766">
        <w:rPr>
          <w:lang w:eastAsia="ko-KR"/>
        </w:rPr>
        <w:t>held during or around study group meetings</w:t>
      </w:r>
      <w:r w:rsidRPr="00590766">
        <w:rPr>
          <w:rFonts w:hint="eastAsia"/>
          <w:lang w:eastAsia="ko-KR"/>
        </w:rPr>
        <w:t>), and other topics.</w:t>
      </w:r>
    </w:p>
    <w:p w14:paraId="25E9BFC2" w14:textId="71278937" w:rsidR="00C73347" w:rsidRPr="00C02333" w:rsidRDefault="000E3C4C" w:rsidP="00E433F0">
      <w:pPr>
        <w:spacing w:after="120"/>
      </w:pPr>
      <w:r w:rsidRPr="00C02333">
        <w:t>As detailed in Resolution 2 (Rev.</w:t>
      </w:r>
      <w:r w:rsidR="08017EED" w:rsidRPr="00C02333">
        <w:t xml:space="preserve"> </w:t>
      </w:r>
      <w:r w:rsidRPr="00C02333">
        <w:t xml:space="preserve">Baku, 2025), </w:t>
      </w:r>
      <w:r w:rsidR="00C73347" w:rsidRPr="00C02333">
        <w:t>ITU-D Study Group 1</w:t>
      </w:r>
      <w:r w:rsidR="00D8260D" w:rsidRPr="00C02333">
        <w:t xml:space="preserve"> (SG1)</w:t>
      </w:r>
      <w:r w:rsidR="00C73347" w:rsidRPr="00C02333">
        <w:t xml:space="preserve"> </w:t>
      </w:r>
      <w:r w:rsidR="00EC02A9" w:rsidRPr="00C02333">
        <w:t xml:space="preserve">has </w:t>
      </w:r>
      <w:r w:rsidRPr="00C02333">
        <w:t xml:space="preserve">a </w:t>
      </w:r>
      <w:r w:rsidR="00EC02A9" w:rsidRPr="00C02333">
        <w:t>renewed</w:t>
      </w:r>
      <w:r w:rsidR="00C73347" w:rsidRPr="00C02333">
        <w:t xml:space="preserve"> focus on “</w:t>
      </w:r>
      <w:r w:rsidR="00EC02A9" w:rsidRPr="00C02333">
        <w:t>Universal meaningful connectivity for bridging the digital divide</w:t>
      </w:r>
      <w:r w:rsidR="00C73347" w:rsidRPr="00C02333">
        <w:t>”. The new management team appointed by WTDC-</w:t>
      </w:r>
      <w:r w:rsidR="00EC02A9" w:rsidRPr="00C02333">
        <w:t>25</w:t>
      </w:r>
      <w:r w:rsidR="00C73347" w:rsidRPr="00C02333">
        <w:t xml:space="preserve"> </w:t>
      </w:r>
      <w:r w:rsidR="00C73347" w:rsidRPr="00590766">
        <w:rPr>
          <w:rFonts w:eastAsia="Batang" w:cs="Calibri"/>
          <w:bCs/>
        </w:rPr>
        <w:t>to lead the work</w:t>
      </w:r>
      <w:r w:rsidR="00C73347" w:rsidRPr="00C02333">
        <w:t xml:space="preserve"> of </w:t>
      </w:r>
      <w:r w:rsidR="00097DD0" w:rsidRPr="00C02333">
        <w:t xml:space="preserve">SG1 </w:t>
      </w:r>
      <w:r w:rsidR="00C73347" w:rsidRPr="00C02333">
        <w:t xml:space="preserve">is made up of </w:t>
      </w:r>
      <w:r w:rsidR="00097DD0" w:rsidRPr="00C02333">
        <w:t>1</w:t>
      </w:r>
      <w:r w:rsidR="00EC02A9" w:rsidRPr="00C02333">
        <w:t xml:space="preserve"> Chair and </w:t>
      </w:r>
      <w:r w:rsidR="009540E3" w:rsidRPr="00C02333">
        <w:t xml:space="preserve">16 </w:t>
      </w:r>
      <w:r w:rsidR="094490A6" w:rsidRPr="00C02333">
        <w:t>V</w:t>
      </w:r>
      <w:r w:rsidR="00EC02A9" w:rsidRPr="00C02333">
        <w:t>ice</w:t>
      </w:r>
      <w:r w:rsidR="008860B4">
        <w:t>-</w:t>
      </w:r>
      <w:r w:rsidR="00EC02A9" w:rsidRPr="00C02333">
        <w:t>Chair</w:t>
      </w:r>
      <w:r w:rsidR="009540E3" w:rsidRPr="00C02333">
        <w:t>s</w:t>
      </w:r>
      <w:r w:rsidR="00EC02A9" w:rsidRPr="00C02333">
        <w:t xml:space="preserve"> for </w:t>
      </w:r>
      <w:r w:rsidR="00D8260D" w:rsidRPr="00C02333">
        <w:t xml:space="preserve">SG1. </w:t>
      </w:r>
      <w:r w:rsidR="00753F76" w:rsidRPr="00C02333">
        <w:t>C</w:t>
      </w:r>
      <w:r w:rsidR="00753F76" w:rsidRPr="00C02333">
        <w:rPr>
          <w:lang w:eastAsia="ko-KR"/>
        </w:rPr>
        <w:t xml:space="preserve">oordination </w:t>
      </w:r>
      <w:r w:rsidR="00753F76" w:rsidRPr="00C02333">
        <w:t xml:space="preserve">roles </w:t>
      </w:r>
      <w:r w:rsidR="00753F76" w:rsidRPr="00C02333">
        <w:rPr>
          <w:lang w:eastAsia="ko-KR"/>
        </w:rPr>
        <w:t>on specific topics will</w:t>
      </w:r>
      <w:r w:rsidR="00753F76" w:rsidRPr="00C02333">
        <w:t xml:space="preserve"> </w:t>
      </w:r>
      <w:r w:rsidR="00753F76" w:rsidRPr="00C02333">
        <w:rPr>
          <w:lang w:eastAsia="ko-KR"/>
        </w:rPr>
        <w:t xml:space="preserve">be </w:t>
      </w:r>
      <w:r w:rsidR="00753F76" w:rsidRPr="00C02333">
        <w:t xml:space="preserve">assigned to the </w:t>
      </w:r>
      <w:r w:rsidR="00753F76" w:rsidRPr="00C02333">
        <w:rPr>
          <w:lang w:eastAsia="ko-KR"/>
        </w:rPr>
        <w:t>v</w:t>
      </w:r>
      <w:r w:rsidR="00753F76" w:rsidRPr="00C02333">
        <w:t>ice-</w:t>
      </w:r>
      <w:r w:rsidR="00753F76" w:rsidRPr="00C02333">
        <w:rPr>
          <w:lang w:eastAsia="ko-KR"/>
        </w:rPr>
        <w:t>c</w:t>
      </w:r>
      <w:r w:rsidR="00753F76" w:rsidRPr="00C02333">
        <w:t>hair</w:t>
      </w:r>
      <w:r w:rsidR="00753F76" w:rsidRPr="00C02333">
        <w:rPr>
          <w:lang w:eastAsia="ko-KR"/>
        </w:rPr>
        <w:t xml:space="preserve">s. </w:t>
      </w:r>
    </w:p>
    <w:p w14:paraId="195BB19D" w14:textId="77777777" w:rsidR="000E3C4C" w:rsidRPr="00590766" w:rsidRDefault="00942172" w:rsidP="00E433F0">
      <w:pPr>
        <w:spacing w:after="120"/>
        <w:rPr>
          <w:rFonts w:cstheme="minorBidi"/>
          <w:lang w:val="en-US"/>
        </w:rPr>
      </w:pPr>
      <w:r w:rsidRPr="15BD81B1">
        <w:rPr>
          <w:lang w:val="en-US"/>
        </w:rPr>
        <w:t xml:space="preserve">SG1 comprises 5 Questions compared to the previous 7, which </w:t>
      </w:r>
      <w:r w:rsidRPr="15BD81B1">
        <w:rPr>
          <w:rFonts w:cstheme="minorBidi"/>
          <w:lang w:val="en-US"/>
        </w:rPr>
        <w:t xml:space="preserve">reduces topic/contribution overlaps and enhances efficient use of resources. </w:t>
      </w:r>
      <w:r w:rsidRPr="15BD81B1">
        <w:rPr>
          <w:lang w:val="en-US" w:eastAsia="ko-KR"/>
        </w:rPr>
        <w:t xml:space="preserve">While the number of Questions has been reduced, </w:t>
      </w:r>
      <w:r w:rsidR="000E3C4C" w:rsidRPr="15BD81B1">
        <w:rPr>
          <w:lang w:val="en-US" w:eastAsia="ko-KR"/>
        </w:rPr>
        <w:t xml:space="preserve">main </w:t>
      </w:r>
      <w:r w:rsidRPr="15BD81B1">
        <w:rPr>
          <w:lang w:val="en-US" w:eastAsia="ko-KR"/>
        </w:rPr>
        <w:t>topics from the previous study Question were maintained with some of them merged into the new Questions</w:t>
      </w:r>
      <w:r w:rsidR="000E3C4C" w:rsidRPr="15BD81B1">
        <w:rPr>
          <w:lang w:val="en-US"/>
        </w:rPr>
        <w:t xml:space="preserve">. The 5 Questions will also study new topics. </w:t>
      </w:r>
      <w:r w:rsidRPr="15BD81B1">
        <w:rPr>
          <w:rFonts w:cstheme="minorBidi"/>
          <w:lang w:val="en-US"/>
        </w:rPr>
        <w:t>The</w:t>
      </w:r>
      <w:r w:rsidR="00097DD0" w:rsidRPr="15BD81B1">
        <w:rPr>
          <w:lang w:val="en-US"/>
        </w:rPr>
        <w:t xml:space="preserve"> 5</w:t>
      </w:r>
      <w:r w:rsidR="00097DD0" w:rsidRPr="15BD81B1">
        <w:rPr>
          <w:rFonts w:cstheme="minorBidi"/>
          <w:lang w:val="en-US"/>
        </w:rPr>
        <w:t xml:space="preserve"> study Questions are to research, in line with their respective terms of references, on new and emerging telecommunications/ICTs, including applications of artificial intelligence (AI), in delivering universal meaningful connectivity. </w:t>
      </w:r>
    </w:p>
    <w:p w14:paraId="0B06E8C1" w14:textId="14C7FD44" w:rsidR="00097DD0" w:rsidRPr="00590766" w:rsidRDefault="000E3C4C" w:rsidP="00E433F0">
      <w:pPr>
        <w:spacing w:after="120"/>
      </w:pPr>
      <w:r w:rsidRPr="00590766">
        <w:rPr>
          <w:rFonts w:cstheme="minorBidi"/>
        </w:rPr>
        <w:t>Specific study Questions will study new t</w:t>
      </w:r>
      <w:r w:rsidR="00097DD0" w:rsidRPr="00590766">
        <w:rPr>
          <w:rFonts w:cstheme="minorBidi"/>
        </w:rPr>
        <w:t xml:space="preserve">opics </w:t>
      </w:r>
      <w:r w:rsidRPr="00590766">
        <w:rPr>
          <w:rFonts w:cstheme="minorBidi"/>
        </w:rPr>
        <w:t>i</w:t>
      </w:r>
      <w:r w:rsidR="00097DD0" w:rsidRPr="00590766">
        <w:rPr>
          <w:rFonts w:cstheme="minorBidi"/>
        </w:rPr>
        <w:t>nclud</w:t>
      </w:r>
      <w:r w:rsidRPr="00590766">
        <w:rPr>
          <w:rFonts w:cstheme="minorBidi"/>
        </w:rPr>
        <w:t>ing</w:t>
      </w:r>
      <w:r w:rsidR="00942172" w:rsidRPr="00590766">
        <w:rPr>
          <w:rFonts w:cstheme="minorBidi"/>
        </w:rPr>
        <w:t xml:space="preserve">: </w:t>
      </w:r>
      <w:r w:rsidR="00097DD0" w:rsidRPr="00590766">
        <w:rPr>
          <w:rFonts w:cstheme="minorBidi"/>
        </w:rPr>
        <w:t xml:space="preserve">the complementarity of terrestrial and </w:t>
      </w:r>
      <w:r w:rsidR="38101774" w:rsidRPr="00590766">
        <w:rPr>
          <w:rFonts w:cstheme="minorBidi"/>
        </w:rPr>
        <w:t>non-terrestrial</w:t>
      </w:r>
      <w:r w:rsidR="00097DD0" w:rsidRPr="00590766">
        <w:rPr>
          <w:rFonts w:cstheme="minorBidi"/>
        </w:rPr>
        <w:t xml:space="preserve"> </w:t>
      </w:r>
      <w:r w:rsidR="00AA0BCF" w:rsidRPr="00590766">
        <w:rPr>
          <w:rFonts w:cstheme="minorBidi"/>
        </w:rPr>
        <w:t xml:space="preserve">networks; data-driven policy design; institutionalised cross sectoral collaboration (e.g., ICT, finance, energy, education, transport) to align telecommunication/ICT infrastructure goals with national development priorities; </w:t>
      </w:r>
      <w:r w:rsidR="00097DD0" w:rsidRPr="00590766">
        <w:rPr>
          <w:rFonts w:cstheme="minorBidi"/>
        </w:rPr>
        <w:t xml:space="preserve">the </w:t>
      </w:r>
      <w:r w:rsidR="00097DD0" w:rsidRPr="00590766">
        <w:t>use of AI in the technical delivery on the broadcasting chain</w:t>
      </w:r>
      <w:r w:rsidR="00AA0BCF" w:rsidRPr="00590766">
        <w:rPr>
          <w:rFonts w:cstheme="minorBidi"/>
        </w:rPr>
        <w:t xml:space="preserve">; </w:t>
      </w:r>
      <w:r w:rsidR="00AA0BCF" w:rsidRPr="00590766">
        <w:t xml:space="preserve">the use of AI, digital twins, and other relevant tools in new and emerging telecommunication/ICT services and technologies for disaster risk prediction, reduction, and management; economic impact of new and emerging telecommunication/ICT services and technologies, including applications of AI and metaverse; </w:t>
      </w:r>
      <w:r w:rsidR="00942172" w:rsidRPr="00590766">
        <w:t>national spectrum valuation; mobile money; contribution of telecommunication/ICT services to social return on investment; how accessible telecommunication/ICT solutions can improve work environment and access to employment opportunities, especially for persons with disabilities and persons with specific needs; innovative consumer awareness and empowerment strategies.</w:t>
      </w:r>
    </w:p>
    <w:p w14:paraId="0CB2B74E" w14:textId="574BDDF6" w:rsidR="000E3C4C" w:rsidRPr="00590766" w:rsidRDefault="000E3C4C" w:rsidP="00E433F0">
      <w:pPr>
        <w:spacing w:after="120"/>
        <w:rPr>
          <w:lang w:val="en-US" w:eastAsia="ko-KR"/>
        </w:rPr>
      </w:pPr>
      <w:r w:rsidRPr="15BD81B1">
        <w:rPr>
          <w:lang w:val="en-US"/>
        </w:rPr>
        <w:t xml:space="preserve">The delivery of </w:t>
      </w:r>
      <w:r w:rsidRPr="15BD81B1">
        <w:rPr>
          <w:lang w:val="en-US" w:eastAsia="ko-KR"/>
        </w:rPr>
        <w:t>interim deliverables</w:t>
      </w:r>
      <w:r w:rsidRPr="15BD81B1">
        <w:rPr>
          <w:lang w:val="en-US"/>
        </w:rPr>
        <w:t xml:space="preserve"> is to be built into the Question-specific work plans, to the extent feasible. The capacity building of the ITU-D study groups </w:t>
      </w:r>
      <w:r w:rsidRPr="15BD81B1">
        <w:rPr>
          <w:lang w:val="en-US" w:eastAsia="ko-KR"/>
        </w:rPr>
        <w:t>will continue to be</w:t>
      </w:r>
      <w:r w:rsidRPr="15BD81B1">
        <w:rPr>
          <w:lang w:val="en-US"/>
        </w:rPr>
        <w:t xml:space="preserve"> prominent in the study Questions, which </w:t>
      </w:r>
      <w:r w:rsidRPr="15BD81B1">
        <w:rPr>
          <w:lang w:val="en-US" w:eastAsia="ko-KR"/>
        </w:rPr>
        <w:t>will</w:t>
      </w:r>
      <w:r w:rsidRPr="15BD81B1">
        <w:rPr>
          <w:lang w:val="en-US"/>
        </w:rPr>
        <w:t xml:space="preserve"> be realized </w:t>
      </w:r>
      <w:r w:rsidR="361B90B3" w:rsidRPr="15BD81B1">
        <w:rPr>
          <w:lang w:val="en-US"/>
        </w:rPr>
        <w:t>through</w:t>
      </w:r>
      <w:r w:rsidRPr="15BD81B1">
        <w:rPr>
          <w:lang w:val="en-US"/>
        </w:rPr>
        <w:t xml:space="preserve"> the </w:t>
      </w:r>
      <w:r w:rsidRPr="15BD81B1">
        <w:rPr>
          <w:lang w:val="en-US" w:eastAsia="ko-KR"/>
        </w:rPr>
        <w:t>exchange of case studies and organization of workshops and webinars.</w:t>
      </w:r>
    </w:p>
    <w:p w14:paraId="750AD24B" w14:textId="30A8113F" w:rsidR="00C73347" w:rsidRPr="00E433F0" w:rsidRDefault="00C73347" w:rsidP="00E433F0">
      <w:pPr>
        <w:pStyle w:val="Heading1"/>
        <w:keepLines w:val="0"/>
        <w:numPr>
          <w:ilvl w:val="0"/>
          <w:numId w:val="18"/>
        </w:numPr>
        <w:tabs>
          <w:tab w:val="clear" w:pos="1871"/>
          <w:tab w:val="clear" w:pos="2268"/>
          <w:tab w:val="left" w:pos="567"/>
          <w:tab w:val="left" w:pos="1701"/>
        </w:tabs>
        <w:spacing w:before="120" w:after="120"/>
        <w:ind w:left="357" w:hanging="357"/>
        <w:rPr>
          <w:rFonts w:cstheme="minorHAnsi"/>
          <w:sz w:val="24"/>
          <w:szCs w:val="18"/>
        </w:rPr>
      </w:pPr>
      <w:r w:rsidRPr="00E433F0">
        <w:rPr>
          <w:rFonts w:cstheme="minorHAnsi"/>
          <w:sz w:val="24"/>
          <w:szCs w:val="18"/>
        </w:rPr>
        <w:lastRenderedPageBreak/>
        <w:t>Introduction to the work of ITU-D Study Group 1</w:t>
      </w:r>
    </w:p>
    <w:p w14:paraId="5B62CE39" w14:textId="457B55A7" w:rsidR="00C73347" w:rsidRPr="00E433F0" w:rsidRDefault="00C73347" w:rsidP="00E433F0">
      <w:pPr>
        <w:pStyle w:val="Heading1"/>
        <w:keepLines w:val="0"/>
        <w:numPr>
          <w:ilvl w:val="1"/>
          <w:numId w:val="18"/>
        </w:numPr>
        <w:tabs>
          <w:tab w:val="clear" w:pos="1871"/>
          <w:tab w:val="clear" w:pos="2268"/>
          <w:tab w:val="left" w:pos="567"/>
          <w:tab w:val="left" w:pos="1701"/>
        </w:tabs>
        <w:spacing w:before="120" w:after="120"/>
        <w:ind w:left="431" w:hanging="431"/>
        <w:rPr>
          <w:rFonts w:cstheme="minorHAnsi"/>
          <w:sz w:val="24"/>
          <w:szCs w:val="18"/>
        </w:rPr>
      </w:pPr>
      <w:r w:rsidRPr="00E433F0">
        <w:rPr>
          <w:rFonts w:cstheme="minorHAnsi"/>
          <w:sz w:val="24"/>
          <w:szCs w:val="18"/>
        </w:rPr>
        <w:t>Scope of work</w:t>
      </w:r>
    </w:p>
    <w:p w14:paraId="788E48A1" w14:textId="6B1B70B6" w:rsidR="00C73347" w:rsidRPr="00590766" w:rsidRDefault="00C73347" w:rsidP="00E433F0">
      <w:pPr>
        <w:spacing w:after="120"/>
        <w:rPr>
          <w:rFonts w:cstheme="minorBidi"/>
          <w:lang w:val="en-US"/>
        </w:rPr>
      </w:pPr>
      <w:r w:rsidRPr="15BD81B1">
        <w:rPr>
          <w:rFonts w:cstheme="minorBidi"/>
          <w:lang w:val="en-US"/>
        </w:rPr>
        <w:t xml:space="preserve">Study Group 1 (SG1) was established in accordance with Resolution 2 (Rev. </w:t>
      </w:r>
      <w:r w:rsidR="002C1410" w:rsidRPr="15BD81B1">
        <w:rPr>
          <w:rFonts w:cstheme="minorBidi"/>
          <w:lang w:val="en-US"/>
        </w:rPr>
        <w:t>Baku</w:t>
      </w:r>
      <w:r w:rsidRPr="15BD81B1">
        <w:rPr>
          <w:rFonts w:cstheme="minorBidi"/>
          <w:lang w:val="en-US"/>
        </w:rPr>
        <w:t>, 20</w:t>
      </w:r>
      <w:r w:rsidR="002C1410" w:rsidRPr="15BD81B1">
        <w:rPr>
          <w:rFonts w:cstheme="minorBidi"/>
          <w:lang w:val="en-US"/>
        </w:rPr>
        <w:t>25</w:t>
      </w:r>
      <w:r w:rsidRPr="15BD81B1">
        <w:rPr>
          <w:rFonts w:cstheme="minorBidi"/>
          <w:lang w:val="en-US"/>
        </w:rPr>
        <w:t>) to examine, through Questions adopted by the ITU membership at WTDC-</w:t>
      </w:r>
      <w:r w:rsidR="002C1410" w:rsidRPr="15BD81B1">
        <w:rPr>
          <w:rFonts w:cstheme="minorBidi"/>
          <w:lang w:val="en-US"/>
        </w:rPr>
        <w:t>25</w:t>
      </w:r>
      <w:r w:rsidRPr="15BD81B1">
        <w:rPr>
          <w:rFonts w:cstheme="minorBidi"/>
          <w:lang w:val="en-US"/>
        </w:rPr>
        <w:t xml:space="preserve">, issues relating to </w:t>
      </w:r>
      <w:r w:rsidR="002C1410" w:rsidRPr="15BD81B1">
        <w:rPr>
          <w:rFonts w:cstheme="minorBidi"/>
          <w:lang w:val="en-US"/>
        </w:rPr>
        <w:t>u</w:t>
      </w:r>
      <w:r w:rsidR="002C1410" w:rsidRPr="15BD81B1">
        <w:rPr>
          <w:lang w:val="en-US"/>
        </w:rPr>
        <w:t>niversal meaningful connectivity for bridging the digital divide.</w:t>
      </w:r>
    </w:p>
    <w:p w14:paraId="32E8BBB5" w14:textId="1F40C796" w:rsidR="00161062" w:rsidRPr="00E433F0" w:rsidRDefault="00161062" w:rsidP="00E433F0">
      <w:pPr>
        <w:spacing w:after="120"/>
        <w:rPr>
          <w:rFonts w:cstheme="minorHAnsi"/>
          <w:szCs w:val="24"/>
        </w:rPr>
      </w:pPr>
      <w:r w:rsidRPr="00E433F0">
        <w:rPr>
          <w:rFonts w:cstheme="minorHAnsi"/>
          <w:szCs w:val="24"/>
        </w:rPr>
        <w:t>Topics to be studied by SG1 are:</w:t>
      </w:r>
    </w:p>
    <w:p w14:paraId="2575EC7E" w14:textId="77777777" w:rsidR="00161062" w:rsidRPr="00E433F0" w:rsidRDefault="00161062" w:rsidP="008D7366">
      <w:pPr>
        <w:numPr>
          <w:ilvl w:val="0"/>
          <w:numId w:val="20"/>
        </w:numPr>
        <w:spacing w:before="60" w:after="60"/>
        <w:rPr>
          <w:rFonts w:cstheme="minorHAnsi"/>
          <w:szCs w:val="24"/>
        </w:rPr>
      </w:pPr>
      <w:r w:rsidRPr="00E433F0">
        <w:rPr>
          <w:rFonts w:cstheme="minorHAnsi"/>
          <w:szCs w:val="24"/>
        </w:rPr>
        <w:t>National policy and regulatory aspects of broadband telecommunication/ICT development</w:t>
      </w:r>
    </w:p>
    <w:p w14:paraId="37FE5A2B" w14:textId="77777777" w:rsidR="00161062" w:rsidRPr="00E433F0" w:rsidRDefault="00161062" w:rsidP="008D7366">
      <w:pPr>
        <w:numPr>
          <w:ilvl w:val="0"/>
          <w:numId w:val="20"/>
        </w:numPr>
        <w:spacing w:before="60" w:after="60"/>
        <w:rPr>
          <w:rFonts w:cstheme="minorHAnsi"/>
          <w:szCs w:val="24"/>
        </w:rPr>
      </w:pPr>
      <w:r w:rsidRPr="00E433F0">
        <w:rPr>
          <w:rFonts w:cstheme="minorHAnsi"/>
          <w:szCs w:val="24"/>
        </w:rPr>
        <w:t>Economic aspects in the field of national telecommunications/ICTs, including facilitating the implementation of the digital economy and the provision of telecommunication/ICT services, including for rural and remote areas</w:t>
      </w:r>
    </w:p>
    <w:p w14:paraId="33D5E688" w14:textId="77777777" w:rsidR="00161062" w:rsidRPr="00E433F0" w:rsidRDefault="00161062" w:rsidP="008D7366">
      <w:pPr>
        <w:numPr>
          <w:ilvl w:val="0"/>
          <w:numId w:val="20"/>
        </w:numPr>
        <w:spacing w:before="60" w:after="60"/>
        <w:rPr>
          <w:rFonts w:cstheme="minorHAnsi"/>
          <w:szCs w:val="24"/>
        </w:rPr>
      </w:pPr>
      <w:r w:rsidRPr="00E433F0">
        <w:rPr>
          <w:rFonts w:cstheme="minorHAnsi"/>
          <w:szCs w:val="24"/>
        </w:rPr>
        <w:t>National approaches for providing access to telecommunications/ICTs in rural and remote areas, with special focus on developing countries, including least developed countries, small island developing states, landlocked developing countries and countries with economies in transition</w:t>
      </w:r>
    </w:p>
    <w:p w14:paraId="2FF9D11D" w14:textId="77777777" w:rsidR="00161062" w:rsidRPr="00E433F0" w:rsidRDefault="00161062" w:rsidP="008D7366">
      <w:pPr>
        <w:numPr>
          <w:ilvl w:val="0"/>
          <w:numId w:val="20"/>
        </w:numPr>
        <w:spacing w:before="60" w:after="60"/>
        <w:rPr>
          <w:rFonts w:cstheme="minorHAnsi"/>
          <w:szCs w:val="24"/>
        </w:rPr>
      </w:pPr>
      <w:r w:rsidRPr="00E433F0">
        <w:rPr>
          <w:rFonts w:cstheme="minorHAnsi"/>
          <w:szCs w:val="24"/>
        </w:rPr>
        <w:t>Access to telecommunication/ICT services to enable inclusive communications, especially for persons with disabilities and persons with specific needs</w:t>
      </w:r>
    </w:p>
    <w:p w14:paraId="1DD819FB" w14:textId="77777777" w:rsidR="00161062" w:rsidRPr="00E433F0" w:rsidRDefault="00161062" w:rsidP="008D7366">
      <w:pPr>
        <w:numPr>
          <w:ilvl w:val="0"/>
          <w:numId w:val="20"/>
        </w:numPr>
        <w:spacing w:before="60" w:after="60"/>
        <w:rPr>
          <w:rFonts w:cstheme="minorHAnsi"/>
          <w:szCs w:val="24"/>
        </w:rPr>
      </w:pPr>
      <w:r w:rsidRPr="00E433F0">
        <w:rPr>
          <w:rFonts w:cstheme="minorHAnsi"/>
          <w:szCs w:val="24"/>
        </w:rPr>
        <w:t>Migration and adoption of digital technologies for broadcasting for different environments</w:t>
      </w:r>
    </w:p>
    <w:p w14:paraId="066980DD" w14:textId="77777777" w:rsidR="00161062" w:rsidRPr="00E433F0" w:rsidRDefault="00161062" w:rsidP="008D7366">
      <w:pPr>
        <w:numPr>
          <w:ilvl w:val="0"/>
          <w:numId w:val="20"/>
        </w:numPr>
        <w:spacing w:before="60" w:after="60"/>
        <w:rPr>
          <w:rFonts w:cstheme="minorHAnsi"/>
          <w:szCs w:val="24"/>
        </w:rPr>
      </w:pPr>
      <w:r w:rsidRPr="00E433F0">
        <w:rPr>
          <w:rFonts w:cstheme="minorHAnsi"/>
          <w:szCs w:val="24"/>
        </w:rPr>
        <w:t>Use of telecommunications/ICTs for disaster risk reduction and management, particularly in developing countries</w:t>
      </w:r>
    </w:p>
    <w:p w14:paraId="18814720" w14:textId="77777777" w:rsidR="00161062" w:rsidRPr="00E433F0" w:rsidRDefault="00161062" w:rsidP="008D7366">
      <w:pPr>
        <w:numPr>
          <w:ilvl w:val="0"/>
          <w:numId w:val="20"/>
        </w:numPr>
        <w:spacing w:before="60" w:after="60"/>
        <w:rPr>
          <w:rFonts w:cstheme="minorHAnsi"/>
          <w:szCs w:val="24"/>
        </w:rPr>
      </w:pPr>
      <w:r w:rsidRPr="00E433F0">
        <w:rPr>
          <w:rFonts w:cstheme="minorHAnsi"/>
          <w:szCs w:val="24"/>
        </w:rPr>
        <w:t>Consumer information, empowerment, protection and rights for telecommunication/ICT services, especially for vulnerable groups</w:t>
      </w:r>
    </w:p>
    <w:p w14:paraId="329249E1" w14:textId="77777777" w:rsidR="00161062" w:rsidRPr="00E433F0" w:rsidRDefault="00161062" w:rsidP="008D7366">
      <w:pPr>
        <w:numPr>
          <w:ilvl w:val="0"/>
          <w:numId w:val="20"/>
        </w:numPr>
        <w:spacing w:before="60" w:after="60"/>
        <w:rPr>
          <w:rFonts w:cstheme="minorHAnsi"/>
          <w:szCs w:val="24"/>
        </w:rPr>
      </w:pPr>
      <w:bookmarkStart w:id="9" w:name="_Hlk221711162"/>
      <w:r w:rsidRPr="00E433F0">
        <w:rPr>
          <w:rFonts w:cstheme="minorHAnsi"/>
          <w:szCs w:val="24"/>
        </w:rPr>
        <w:t>New and emerging telecommunications/ICTs, including applications of artificial intelligence (AI), in delivering universal meaningful connectivity</w:t>
      </w:r>
    </w:p>
    <w:bookmarkEnd w:id="9"/>
    <w:p w14:paraId="64E3A463" w14:textId="02BE0804" w:rsidR="00C73347" w:rsidRPr="00E433F0" w:rsidRDefault="00C73347" w:rsidP="00E433F0">
      <w:pPr>
        <w:pStyle w:val="Heading1"/>
        <w:keepLines w:val="0"/>
        <w:numPr>
          <w:ilvl w:val="1"/>
          <w:numId w:val="18"/>
        </w:numPr>
        <w:tabs>
          <w:tab w:val="clear" w:pos="1871"/>
          <w:tab w:val="clear" w:pos="2268"/>
          <w:tab w:val="left" w:pos="567"/>
          <w:tab w:val="left" w:pos="1701"/>
        </w:tabs>
        <w:spacing w:before="120" w:after="120"/>
        <w:ind w:left="431" w:hanging="431"/>
        <w:rPr>
          <w:rFonts w:cstheme="minorHAnsi"/>
          <w:sz w:val="24"/>
          <w:szCs w:val="18"/>
        </w:rPr>
      </w:pPr>
      <w:r w:rsidRPr="00E433F0">
        <w:rPr>
          <w:rFonts w:cstheme="minorHAnsi"/>
          <w:sz w:val="24"/>
          <w:szCs w:val="18"/>
        </w:rPr>
        <w:t>Study Group 1 management</w:t>
      </w:r>
    </w:p>
    <w:p w14:paraId="0C266633" w14:textId="5AC1FDDB" w:rsidR="00C73347" w:rsidRPr="00590766" w:rsidRDefault="00C73347" w:rsidP="00E433F0">
      <w:pPr>
        <w:spacing w:after="120"/>
        <w:rPr>
          <w:rFonts w:cstheme="minorBidi"/>
        </w:rPr>
      </w:pPr>
      <w:r w:rsidRPr="00590766">
        <w:rPr>
          <w:rFonts w:cstheme="minorBidi"/>
        </w:rPr>
        <w:t>WTDC-</w:t>
      </w:r>
      <w:r w:rsidR="00161062" w:rsidRPr="00590766">
        <w:rPr>
          <w:rFonts w:cstheme="minorBidi"/>
        </w:rPr>
        <w:t>25</w:t>
      </w:r>
      <w:r w:rsidRPr="00590766">
        <w:rPr>
          <w:rFonts w:cstheme="minorBidi"/>
        </w:rPr>
        <w:t xml:space="preserve"> designated the SG1 leadership for the </w:t>
      </w:r>
      <w:r w:rsidR="00161062" w:rsidRPr="00590766">
        <w:rPr>
          <w:rFonts w:cstheme="minorBidi"/>
        </w:rPr>
        <w:t>ninth</w:t>
      </w:r>
      <w:r w:rsidRPr="00590766">
        <w:rPr>
          <w:rFonts w:cstheme="minorBidi"/>
        </w:rPr>
        <w:t xml:space="preserve"> cycle (20</w:t>
      </w:r>
      <w:r w:rsidR="00161062" w:rsidRPr="00590766">
        <w:rPr>
          <w:rFonts w:cstheme="minorBidi"/>
        </w:rPr>
        <w:t>26</w:t>
      </w:r>
      <w:r w:rsidRPr="00590766">
        <w:rPr>
          <w:rFonts w:cstheme="minorBidi"/>
        </w:rPr>
        <w:t>-202</w:t>
      </w:r>
      <w:r w:rsidR="00161062" w:rsidRPr="00590766">
        <w:rPr>
          <w:rFonts w:cstheme="minorBidi"/>
        </w:rPr>
        <w:t>9</w:t>
      </w:r>
      <w:r w:rsidRPr="00590766">
        <w:rPr>
          <w:rFonts w:cstheme="minorBidi"/>
        </w:rPr>
        <w:t>): M</w:t>
      </w:r>
      <w:r w:rsidR="000E23F5" w:rsidRPr="00590766">
        <w:rPr>
          <w:rFonts w:cstheme="minorBidi"/>
        </w:rPr>
        <w:t xml:space="preserve">r Roberto </w:t>
      </w:r>
      <w:r w:rsidR="000E23F5" w:rsidRPr="00590766">
        <w:rPr>
          <w:rFonts w:cs="Calibri"/>
          <w:color w:val="1E1E1E"/>
          <w:lang w:eastAsia="zh-CN"/>
        </w:rPr>
        <w:t>Mitsuake</w:t>
      </w:r>
      <w:r w:rsidR="000E23F5" w:rsidRPr="00590766">
        <w:rPr>
          <w:rFonts w:cstheme="minorBidi"/>
        </w:rPr>
        <w:t xml:space="preserve"> Hirayama</w:t>
      </w:r>
      <w:r w:rsidRPr="00590766">
        <w:rPr>
          <w:rFonts w:cstheme="minorBidi"/>
        </w:rPr>
        <w:t xml:space="preserve"> (</w:t>
      </w:r>
      <w:r w:rsidR="000E23F5" w:rsidRPr="00590766">
        <w:rPr>
          <w:rFonts w:cstheme="minorBidi"/>
        </w:rPr>
        <w:t>Brazil)</w:t>
      </w:r>
      <w:r w:rsidRPr="00590766">
        <w:rPr>
          <w:rFonts w:cstheme="minorBidi"/>
        </w:rPr>
        <w:t xml:space="preserve"> was appointed as Chair; and </w:t>
      </w:r>
      <w:r w:rsidR="00E25140" w:rsidRPr="00590766">
        <w:rPr>
          <w:rFonts w:cstheme="minorBidi"/>
        </w:rPr>
        <w:t>sixteen</w:t>
      </w:r>
      <w:r w:rsidRPr="00590766">
        <w:rPr>
          <w:rFonts w:cstheme="minorBidi"/>
        </w:rPr>
        <w:t xml:space="preserve"> Vice-Chair</w:t>
      </w:r>
      <w:r w:rsidR="411177AE" w:rsidRPr="00590766">
        <w:rPr>
          <w:rFonts w:cstheme="minorBidi"/>
        </w:rPr>
        <w:t>s</w:t>
      </w:r>
      <w:r w:rsidR="000E23F5" w:rsidRPr="00590766">
        <w:rPr>
          <w:rFonts w:cstheme="minorBidi"/>
        </w:rPr>
        <w:t xml:space="preserve"> </w:t>
      </w:r>
      <w:r w:rsidRPr="00590766">
        <w:rPr>
          <w:rFonts w:cstheme="minorBidi"/>
        </w:rPr>
        <w:t>were appointed:</w:t>
      </w:r>
    </w:p>
    <w:p w14:paraId="3092A68D" w14:textId="377AF25E" w:rsidR="000E23F5" w:rsidRPr="00590766" w:rsidRDefault="000E23F5" w:rsidP="00C5446F">
      <w:pPr>
        <w:pStyle w:val="ListParagraph"/>
        <w:widowControl w:val="0"/>
        <w:numPr>
          <w:ilvl w:val="0"/>
          <w:numId w:val="6"/>
        </w:numPr>
        <w:spacing w:before="60" w:after="60"/>
        <w:ind w:left="714" w:hanging="357"/>
        <w:contextualSpacing w:val="0"/>
        <w:rPr>
          <w:rFonts w:cs="Calibri"/>
          <w:color w:val="1E1E1E"/>
          <w:lang w:eastAsia="zh-CN"/>
        </w:rPr>
      </w:pPr>
      <w:r w:rsidRPr="00590766">
        <w:rPr>
          <w:rFonts w:cs="Calibri"/>
          <w:color w:val="1E1E1E"/>
          <w:lang w:eastAsia="zh-CN"/>
        </w:rPr>
        <w:t>Ms Hadiza Kachallah</w:t>
      </w:r>
      <w:r w:rsidR="00937B0F">
        <w:rPr>
          <w:rFonts w:cs="Calibri"/>
          <w:color w:val="1E1E1E"/>
          <w:lang w:eastAsia="zh-CN"/>
        </w:rPr>
        <w:t xml:space="preserve"> </w:t>
      </w:r>
      <w:r w:rsidRPr="00590766">
        <w:rPr>
          <w:rFonts w:cs="Calibri"/>
          <w:color w:val="1E1E1E"/>
          <w:lang w:eastAsia="zh-CN"/>
        </w:rPr>
        <w:t>(Nigeria (Federal Republic of)</w:t>
      </w:r>
      <w:r w:rsidR="00B3788A" w:rsidRPr="00590766">
        <w:rPr>
          <w:rFonts w:cs="Calibri"/>
          <w:color w:val="1E1E1E"/>
          <w:lang w:eastAsia="zh-CN"/>
        </w:rPr>
        <w:t xml:space="preserve">, </w:t>
      </w:r>
      <w:r w:rsidR="00C73347" w:rsidRPr="00E433F0">
        <w:rPr>
          <w:rFonts w:cstheme="minorHAnsi"/>
          <w:szCs w:val="24"/>
        </w:rPr>
        <w:t>AFR</w:t>
      </w:r>
      <w:r w:rsidR="00B3788A" w:rsidRPr="00E433F0">
        <w:rPr>
          <w:rFonts w:cstheme="minorHAnsi"/>
          <w:szCs w:val="24"/>
        </w:rPr>
        <w:t>)</w:t>
      </w:r>
    </w:p>
    <w:p w14:paraId="432F7EC2" w14:textId="47CDF317" w:rsidR="000E23F5" w:rsidRPr="00590766" w:rsidRDefault="000E23F5" w:rsidP="00C5446F">
      <w:pPr>
        <w:pStyle w:val="ListParagraph"/>
        <w:widowControl w:val="0"/>
        <w:numPr>
          <w:ilvl w:val="0"/>
          <w:numId w:val="6"/>
        </w:numPr>
        <w:spacing w:before="60" w:after="60"/>
        <w:ind w:left="714" w:hanging="357"/>
        <w:contextualSpacing w:val="0"/>
        <w:rPr>
          <w:rFonts w:cs="Calibri"/>
          <w:color w:val="1E1E1E"/>
          <w:lang w:eastAsia="zh-CN"/>
        </w:rPr>
      </w:pPr>
      <w:r w:rsidRPr="00590766">
        <w:rPr>
          <w:rFonts w:cs="Calibri"/>
          <w:color w:val="1E1E1E"/>
          <w:lang w:eastAsia="zh-CN"/>
        </w:rPr>
        <w:t>Mr Malick Ndiaye (Senegal (Republic of), AFR)</w:t>
      </w:r>
    </w:p>
    <w:p w14:paraId="1FC57B34" w14:textId="1C307290" w:rsidR="000E23F5" w:rsidRPr="00590766" w:rsidRDefault="00C73347" w:rsidP="00C5446F">
      <w:pPr>
        <w:pStyle w:val="ListParagraph"/>
        <w:widowControl w:val="0"/>
        <w:numPr>
          <w:ilvl w:val="0"/>
          <w:numId w:val="6"/>
        </w:numPr>
        <w:spacing w:before="60" w:after="60"/>
        <w:ind w:left="714" w:hanging="357"/>
        <w:contextualSpacing w:val="0"/>
        <w:rPr>
          <w:rFonts w:cs="Calibri"/>
          <w:color w:val="1E1E1E"/>
          <w:lang w:eastAsia="zh-CN"/>
        </w:rPr>
      </w:pPr>
      <w:r w:rsidRPr="00590766">
        <w:rPr>
          <w:rFonts w:cs="Calibri"/>
          <w:color w:val="1E1E1E"/>
          <w:lang w:eastAsia="zh-CN"/>
        </w:rPr>
        <w:t xml:space="preserve">Mr </w:t>
      </w:r>
      <w:r w:rsidR="000E23F5" w:rsidRPr="00590766">
        <w:rPr>
          <w:rFonts w:cs="Calibri"/>
          <w:color w:val="1E1E1E"/>
          <w:lang w:eastAsia="zh-CN"/>
        </w:rPr>
        <w:t>Francisco Antonio Casaccia Torres</w:t>
      </w:r>
      <w:r w:rsidR="00937B0F">
        <w:rPr>
          <w:rFonts w:cs="Calibri"/>
          <w:color w:val="1E1E1E"/>
          <w:lang w:eastAsia="zh-CN"/>
        </w:rPr>
        <w:t xml:space="preserve"> </w:t>
      </w:r>
      <w:r w:rsidR="000E23F5" w:rsidRPr="00590766">
        <w:rPr>
          <w:rFonts w:cs="Calibri"/>
          <w:color w:val="1E1E1E"/>
          <w:lang w:eastAsia="zh-CN"/>
        </w:rPr>
        <w:t>(Paraguay (Republic of), AMS)</w:t>
      </w:r>
    </w:p>
    <w:p w14:paraId="712AD804" w14:textId="053377D4" w:rsidR="00C73347" w:rsidRPr="00C02333" w:rsidRDefault="00C73347" w:rsidP="00C5446F">
      <w:pPr>
        <w:pStyle w:val="ListParagraph"/>
        <w:widowControl w:val="0"/>
        <w:numPr>
          <w:ilvl w:val="0"/>
          <w:numId w:val="6"/>
        </w:numPr>
        <w:spacing w:before="60" w:after="60"/>
        <w:ind w:left="714" w:hanging="357"/>
        <w:contextualSpacing w:val="0"/>
        <w:rPr>
          <w:rFonts w:cs="Calibri"/>
          <w:color w:val="1E1E1E"/>
          <w:lang w:eastAsia="zh-CN"/>
        </w:rPr>
      </w:pPr>
      <w:r w:rsidRPr="00C02333">
        <w:rPr>
          <w:rFonts w:cs="Calibri"/>
          <w:color w:val="1E1E1E"/>
          <w:lang w:eastAsia="zh-CN"/>
        </w:rPr>
        <w:t>M</w:t>
      </w:r>
      <w:r w:rsidR="000E23F5" w:rsidRPr="00C02333">
        <w:rPr>
          <w:rFonts w:cs="Calibri"/>
          <w:color w:val="1E1E1E"/>
          <w:lang w:eastAsia="zh-CN"/>
        </w:rPr>
        <w:t>r</w:t>
      </w:r>
      <w:r w:rsidRPr="00C02333">
        <w:rPr>
          <w:rFonts w:cs="Calibri"/>
          <w:color w:val="1E1E1E"/>
          <w:lang w:eastAsia="zh-CN"/>
        </w:rPr>
        <w:t xml:space="preserve"> </w:t>
      </w:r>
      <w:r w:rsidR="000E23F5" w:rsidRPr="00590766">
        <w:rPr>
          <w:rFonts w:cs="Calibri"/>
          <w:color w:val="1E1E1E"/>
          <w:lang w:eastAsia="zh-CN"/>
        </w:rPr>
        <w:t>Ali Rasheed Hamad Al-Hamad</w:t>
      </w:r>
      <w:r w:rsidR="00937B0F">
        <w:rPr>
          <w:rFonts w:cs="Calibri"/>
          <w:color w:val="1E1E1E"/>
          <w:lang w:eastAsia="zh-CN"/>
        </w:rPr>
        <w:t xml:space="preserve"> </w:t>
      </w:r>
      <w:r w:rsidR="000E23F5" w:rsidRPr="00590766">
        <w:rPr>
          <w:rFonts w:cs="Calibri"/>
          <w:color w:val="1E1E1E"/>
          <w:lang w:eastAsia="zh-CN"/>
        </w:rPr>
        <w:t>(Kuwait (State of)</w:t>
      </w:r>
      <w:r w:rsidR="00B3788A" w:rsidRPr="00C02333">
        <w:rPr>
          <w:rFonts w:cs="Calibri"/>
          <w:color w:val="1E1E1E"/>
          <w:lang w:eastAsia="zh-CN"/>
        </w:rPr>
        <w:t>,</w:t>
      </w:r>
      <w:r w:rsidRPr="00C02333">
        <w:rPr>
          <w:rFonts w:cs="Calibri"/>
          <w:color w:val="1E1E1E"/>
          <w:lang w:eastAsia="zh-CN"/>
        </w:rPr>
        <w:t xml:space="preserve"> </w:t>
      </w:r>
      <w:r w:rsidRPr="00E433F0">
        <w:rPr>
          <w:rFonts w:cstheme="minorHAnsi"/>
          <w:szCs w:val="24"/>
        </w:rPr>
        <w:t>ARB</w:t>
      </w:r>
      <w:r w:rsidR="001840CA" w:rsidRPr="00E433F0">
        <w:rPr>
          <w:rFonts w:cstheme="minorHAnsi"/>
          <w:szCs w:val="24"/>
        </w:rPr>
        <w:t>)</w:t>
      </w:r>
    </w:p>
    <w:p w14:paraId="4ECB9934" w14:textId="2F388643" w:rsidR="00BD63AB" w:rsidRPr="00590766" w:rsidRDefault="00BD63AB" w:rsidP="00C5446F">
      <w:pPr>
        <w:pStyle w:val="ListParagraph"/>
        <w:widowControl w:val="0"/>
        <w:numPr>
          <w:ilvl w:val="0"/>
          <w:numId w:val="6"/>
        </w:numPr>
        <w:spacing w:before="60" w:after="60"/>
        <w:ind w:left="714" w:hanging="357"/>
        <w:contextualSpacing w:val="0"/>
        <w:rPr>
          <w:rFonts w:cs="Calibri"/>
          <w:color w:val="1E1E1E"/>
          <w:lang w:eastAsia="zh-CN"/>
        </w:rPr>
      </w:pPr>
      <w:r w:rsidRPr="00590766">
        <w:rPr>
          <w:rFonts w:cs="Calibri"/>
          <w:color w:val="1E1E1E"/>
          <w:lang w:eastAsia="zh-CN"/>
        </w:rPr>
        <w:t>Mr Abdelwaheb Galizra</w:t>
      </w:r>
      <w:r w:rsidR="00937B0F">
        <w:rPr>
          <w:rFonts w:cs="Calibri"/>
          <w:color w:val="1E1E1E"/>
          <w:lang w:eastAsia="zh-CN"/>
        </w:rPr>
        <w:t xml:space="preserve"> </w:t>
      </w:r>
      <w:r w:rsidRPr="00590766">
        <w:rPr>
          <w:rFonts w:cs="Calibri"/>
          <w:color w:val="1E1E1E"/>
          <w:lang w:eastAsia="zh-CN"/>
        </w:rPr>
        <w:t>(Algeria (People's Democratic Republic of), ARB)</w:t>
      </w:r>
    </w:p>
    <w:p w14:paraId="6DE0CF53" w14:textId="554E7497" w:rsidR="00E25140" w:rsidRPr="00590766" w:rsidRDefault="00E25140" w:rsidP="00C5446F">
      <w:pPr>
        <w:pStyle w:val="ListParagraph"/>
        <w:widowControl w:val="0"/>
        <w:numPr>
          <w:ilvl w:val="0"/>
          <w:numId w:val="6"/>
        </w:numPr>
        <w:spacing w:before="60" w:after="60"/>
        <w:ind w:left="714" w:hanging="357"/>
        <w:contextualSpacing w:val="0"/>
        <w:rPr>
          <w:rFonts w:cs="Calibri"/>
          <w:color w:val="1E1E1E"/>
          <w:lang w:eastAsia="zh-CN"/>
        </w:rPr>
      </w:pPr>
      <w:r w:rsidRPr="00590766">
        <w:rPr>
          <w:rFonts w:cs="Calibri"/>
          <w:color w:val="1E1E1E"/>
          <w:lang w:eastAsia="zh-CN"/>
        </w:rPr>
        <w:t>Mr Wesam M. Sedik</w:t>
      </w:r>
      <w:r w:rsidR="00937B0F">
        <w:rPr>
          <w:rFonts w:cs="Calibri"/>
          <w:color w:val="1E1E1E"/>
          <w:lang w:eastAsia="zh-CN"/>
        </w:rPr>
        <w:t xml:space="preserve"> </w:t>
      </w:r>
      <w:r w:rsidRPr="00590766">
        <w:rPr>
          <w:rFonts w:cs="Calibri"/>
          <w:color w:val="1E1E1E"/>
          <w:lang w:eastAsia="zh-CN"/>
        </w:rPr>
        <w:t xml:space="preserve">(Egypt (Arab Republic of), </w:t>
      </w:r>
      <w:r w:rsidRPr="00E433F0">
        <w:rPr>
          <w:rFonts w:cstheme="minorHAnsi"/>
          <w:szCs w:val="24"/>
        </w:rPr>
        <w:t>ARB)</w:t>
      </w:r>
    </w:p>
    <w:p w14:paraId="13AE151B" w14:textId="72CAA9E4" w:rsidR="00C73347" w:rsidRPr="00C02333" w:rsidRDefault="00C73347" w:rsidP="00C5446F">
      <w:pPr>
        <w:pStyle w:val="ListParagraph"/>
        <w:widowControl w:val="0"/>
        <w:numPr>
          <w:ilvl w:val="0"/>
          <w:numId w:val="6"/>
        </w:numPr>
        <w:spacing w:before="60" w:after="60"/>
        <w:ind w:left="714" w:hanging="357"/>
        <w:contextualSpacing w:val="0"/>
        <w:rPr>
          <w:rFonts w:cs="Calibri"/>
          <w:color w:val="1E1E1E"/>
          <w:lang w:val="pl-PL" w:eastAsia="zh-CN"/>
        </w:rPr>
      </w:pPr>
      <w:r w:rsidRPr="00C02333">
        <w:rPr>
          <w:rFonts w:cs="Calibri"/>
          <w:color w:val="1E1E1E"/>
          <w:lang w:val="pl-PL" w:eastAsia="zh-CN"/>
        </w:rPr>
        <w:t>M</w:t>
      </w:r>
      <w:r w:rsidR="00BD63AB" w:rsidRPr="00C02333">
        <w:rPr>
          <w:rFonts w:cs="Calibri"/>
          <w:color w:val="1E1E1E"/>
          <w:lang w:val="pl-PL" w:eastAsia="zh-CN"/>
        </w:rPr>
        <w:t>s</w:t>
      </w:r>
      <w:r w:rsidRPr="00C02333">
        <w:rPr>
          <w:rFonts w:cs="Calibri"/>
          <w:color w:val="1E1E1E"/>
          <w:lang w:val="pl-PL" w:eastAsia="zh-CN"/>
        </w:rPr>
        <w:t xml:space="preserve"> </w:t>
      </w:r>
      <w:r w:rsidR="00BD63AB" w:rsidRPr="00C02333">
        <w:rPr>
          <w:rFonts w:cs="Calibri"/>
          <w:color w:val="1E1E1E"/>
          <w:lang w:val="pl-PL" w:eastAsia="zh-CN"/>
        </w:rPr>
        <w:t>Memiko Otsuki</w:t>
      </w:r>
      <w:r w:rsidR="00937B0F">
        <w:rPr>
          <w:rFonts w:cs="Calibri"/>
          <w:color w:val="1E1E1E"/>
          <w:lang w:val="pl-PL" w:eastAsia="zh-CN"/>
        </w:rPr>
        <w:t xml:space="preserve"> </w:t>
      </w:r>
      <w:r w:rsidRPr="00C02333">
        <w:rPr>
          <w:rFonts w:cs="Calibri"/>
          <w:color w:val="1E1E1E"/>
          <w:lang w:val="pl-PL" w:eastAsia="zh-CN"/>
        </w:rPr>
        <w:t>(Japan</w:t>
      </w:r>
      <w:r w:rsidR="00B3788A" w:rsidRPr="00C02333">
        <w:rPr>
          <w:rFonts w:cs="Calibri"/>
          <w:color w:val="1E1E1E"/>
          <w:lang w:val="pl-PL" w:eastAsia="zh-CN"/>
        </w:rPr>
        <w:t xml:space="preserve">, </w:t>
      </w:r>
      <w:r w:rsidRPr="00E433F0">
        <w:rPr>
          <w:rFonts w:cstheme="minorHAnsi"/>
          <w:szCs w:val="24"/>
          <w:lang w:val="pl-PL"/>
        </w:rPr>
        <w:t>ASP</w:t>
      </w:r>
      <w:r w:rsidR="00B3788A" w:rsidRPr="00E433F0">
        <w:rPr>
          <w:rFonts w:cstheme="minorHAnsi"/>
          <w:szCs w:val="24"/>
          <w:lang w:val="pl-PL"/>
        </w:rPr>
        <w:t>)</w:t>
      </w:r>
    </w:p>
    <w:p w14:paraId="7D75DC46" w14:textId="4E154717" w:rsidR="00BD63AB" w:rsidRPr="00590766" w:rsidRDefault="00C73347" w:rsidP="00C5446F">
      <w:pPr>
        <w:pStyle w:val="ListParagraph"/>
        <w:widowControl w:val="0"/>
        <w:numPr>
          <w:ilvl w:val="0"/>
          <w:numId w:val="6"/>
        </w:numPr>
        <w:spacing w:before="60" w:after="60"/>
        <w:ind w:left="714" w:hanging="357"/>
        <w:contextualSpacing w:val="0"/>
        <w:rPr>
          <w:rFonts w:cs="Calibri"/>
          <w:color w:val="1E1E1E"/>
          <w:lang w:eastAsia="zh-CN"/>
        </w:rPr>
      </w:pPr>
      <w:r w:rsidRPr="00590766">
        <w:rPr>
          <w:rFonts w:cs="Calibri"/>
          <w:color w:val="1E1E1E"/>
          <w:lang w:eastAsia="zh-CN"/>
        </w:rPr>
        <w:t xml:space="preserve">Mr </w:t>
      </w:r>
      <w:r w:rsidR="00BD63AB" w:rsidRPr="00590766">
        <w:rPr>
          <w:rFonts w:cs="Calibri"/>
          <w:color w:val="1E1E1E"/>
          <w:lang w:eastAsia="zh-CN"/>
        </w:rPr>
        <w:t>Sunil Singhal</w:t>
      </w:r>
      <w:r w:rsidR="00937B0F">
        <w:rPr>
          <w:rFonts w:cs="Calibri"/>
          <w:color w:val="1E1E1E"/>
          <w:lang w:eastAsia="zh-CN"/>
        </w:rPr>
        <w:t xml:space="preserve"> </w:t>
      </w:r>
      <w:r w:rsidR="00BD63AB" w:rsidRPr="00590766">
        <w:rPr>
          <w:rFonts w:cs="Calibri"/>
          <w:color w:val="1E1E1E"/>
          <w:lang w:eastAsia="zh-CN"/>
        </w:rPr>
        <w:t>(India (Republic of)</w:t>
      </w:r>
      <w:r w:rsidR="00B3788A" w:rsidRPr="00590766">
        <w:rPr>
          <w:rFonts w:cs="Calibri"/>
          <w:color w:val="1E1E1E"/>
          <w:lang w:eastAsia="zh-CN"/>
        </w:rPr>
        <w:t xml:space="preserve">, </w:t>
      </w:r>
      <w:r w:rsidRPr="00E433F0">
        <w:rPr>
          <w:rFonts w:cstheme="minorHAnsi"/>
          <w:szCs w:val="24"/>
        </w:rPr>
        <w:t>ASP</w:t>
      </w:r>
      <w:r w:rsidR="00B3788A" w:rsidRPr="00E433F0">
        <w:rPr>
          <w:rFonts w:cstheme="minorHAnsi"/>
          <w:szCs w:val="24"/>
        </w:rPr>
        <w:t>)</w:t>
      </w:r>
    </w:p>
    <w:p w14:paraId="1A23A69A" w14:textId="7D73944E" w:rsidR="00BD63AB" w:rsidRPr="00590766" w:rsidRDefault="00BD63AB" w:rsidP="00C5446F">
      <w:pPr>
        <w:pStyle w:val="ListParagraph"/>
        <w:widowControl w:val="0"/>
        <w:numPr>
          <w:ilvl w:val="0"/>
          <w:numId w:val="6"/>
        </w:numPr>
        <w:spacing w:before="60" w:after="60"/>
        <w:ind w:left="714" w:hanging="357"/>
        <w:contextualSpacing w:val="0"/>
        <w:rPr>
          <w:rFonts w:cs="Calibri"/>
          <w:color w:val="1E1E1E"/>
          <w:lang w:eastAsia="zh-CN"/>
        </w:rPr>
      </w:pPr>
      <w:r w:rsidRPr="00590766">
        <w:rPr>
          <w:rFonts w:cs="Calibri"/>
          <w:color w:val="1E1E1E"/>
          <w:lang w:eastAsia="zh-CN"/>
        </w:rPr>
        <w:t xml:space="preserve">Ms Sha </w:t>
      </w:r>
      <w:r w:rsidR="00E25140" w:rsidRPr="00590766">
        <w:rPr>
          <w:rFonts w:cs="Calibri"/>
          <w:color w:val="1E1E1E"/>
          <w:lang w:eastAsia="zh-CN"/>
        </w:rPr>
        <w:t>Wei</w:t>
      </w:r>
      <w:r w:rsidRPr="00590766">
        <w:rPr>
          <w:rFonts w:cs="Calibri"/>
          <w:color w:val="1E1E1E"/>
          <w:lang w:eastAsia="zh-CN"/>
        </w:rPr>
        <w:t xml:space="preserve"> (China (People's Republic of), ASP)</w:t>
      </w:r>
    </w:p>
    <w:p w14:paraId="02298BD9" w14:textId="77777777" w:rsidR="00E25140" w:rsidRPr="00590766" w:rsidRDefault="00BD63AB" w:rsidP="00C5446F">
      <w:pPr>
        <w:pStyle w:val="ListParagraph"/>
        <w:widowControl w:val="0"/>
        <w:numPr>
          <w:ilvl w:val="0"/>
          <w:numId w:val="6"/>
        </w:numPr>
        <w:spacing w:before="60" w:after="60"/>
        <w:ind w:left="714" w:hanging="357"/>
        <w:contextualSpacing w:val="0"/>
        <w:rPr>
          <w:rFonts w:cs="Calibri"/>
          <w:color w:val="1E1E1E"/>
          <w:lang w:eastAsia="zh-CN"/>
        </w:rPr>
      </w:pPr>
      <w:r w:rsidRPr="00590766">
        <w:rPr>
          <w:rFonts w:cs="Calibri"/>
          <w:color w:val="1E1E1E"/>
          <w:lang w:eastAsia="zh-CN"/>
        </w:rPr>
        <w:t xml:space="preserve">Mr Dao Ngoc </w:t>
      </w:r>
      <w:r w:rsidR="00E25140" w:rsidRPr="00590766">
        <w:rPr>
          <w:rFonts w:cs="Calibri"/>
          <w:color w:val="1E1E1E"/>
          <w:lang w:eastAsia="zh-CN"/>
        </w:rPr>
        <w:t xml:space="preserve">Tuyen </w:t>
      </w:r>
      <w:r w:rsidRPr="00590766">
        <w:rPr>
          <w:rFonts w:cs="Calibri"/>
          <w:color w:val="1E1E1E"/>
          <w:lang w:eastAsia="zh-CN"/>
        </w:rPr>
        <w:t>(Viet Nam (Socialist Republic of), ASP)</w:t>
      </w:r>
    </w:p>
    <w:p w14:paraId="1674D125" w14:textId="148F126B" w:rsidR="00E25140" w:rsidRPr="00590766" w:rsidRDefault="00E25140" w:rsidP="00C5446F">
      <w:pPr>
        <w:pStyle w:val="ListParagraph"/>
        <w:widowControl w:val="0"/>
        <w:numPr>
          <w:ilvl w:val="0"/>
          <w:numId w:val="6"/>
        </w:numPr>
        <w:spacing w:before="60" w:after="60"/>
        <w:ind w:left="714" w:hanging="357"/>
        <w:contextualSpacing w:val="0"/>
        <w:rPr>
          <w:rFonts w:cs="Calibri"/>
          <w:color w:val="1E1E1E"/>
          <w:lang w:eastAsia="zh-CN"/>
        </w:rPr>
      </w:pPr>
      <w:r w:rsidRPr="00590766">
        <w:rPr>
          <w:rFonts w:cs="Calibri"/>
          <w:color w:val="1E1E1E"/>
          <w:lang w:eastAsia="zh-CN"/>
        </w:rPr>
        <w:t xml:space="preserve">Mr </w:t>
      </w:r>
      <w:r w:rsidR="00F666F9">
        <w:rPr>
          <w:rFonts w:cs="Calibri"/>
          <w:color w:val="1E1E1E"/>
          <w:lang w:eastAsia="zh-CN"/>
        </w:rPr>
        <w:t xml:space="preserve">Ilgar </w:t>
      </w:r>
      <w:r w:rsidRPr="00590766">
        <w:rPr>
          <w:rFonts w:cs="Calibri"/>
          <w:color w:val="1E1E1E"/>
          <w:lang w:eastAsia="zh-CN"/>
        </w:rPr>
        <w:t>Abdullayev (Azerbaijan (Republic of), CIS)</w:t>
      </w:r>
    </w:p>
    <w:p w14:paraId="6B382856" w14:textId="4FC24380" w:rsidR="00E25140" w:rsidRPr="00590766" w:rsidRDefault="00E25140" w:rsidP="00C5446F">
      <w:pPr>
        <w:pStyle w:val="ListParagraph"/>
        <w:widowControl w:val="0"/>
        <w:numPr>
          <w:ilvl w:val="0"/>
          <w:numId w:val="6"/>
        </w:numPr>
        <w:spacing w:before="60" w:after="60"/>
        <w:ind w:left="714" w:hanging="357"/>
        <w:contextualSpacing w:val="0"/>
        <w:rPr>
          <w:rFonts w:cs="Calibri"/>
          <w:color w:val="1E1E1E"/>
          <w:lang w:eastAsia="zh-CN"/>
        </w:rPr>
      </w:pPr>
      <w:r w:rsidRPr="00590766">
        <w:rPr>
          <w:rFonts w:cs="Calibri"/>
          <w:color w:val="1E1E1E"/>
          <w:lang w:eastAsia="zh-CN"/>
        </w:rPr>
        <w:t>Ms Anastasia Konukhova (Russian Federation, CIS)</w:t>
      </w:r>
    </w:p>
    <w:p w14:paraId="48E68A64" w14:textId="06AAE1B7" w:rsidR="00E25140" w:rsidRPr="00590766" w:rsidRDefault="00E25140" w:rsidP="00C5446F">
      <w:pPr>
        <w:pStyle w:val="ListParagraph"/>
        <w:widowControl w:val="0"/>
        <w:numPr>
          <w:ilvl w:val="0"/>
          <w:numId w:val="6"/>
        </w:numPr>
        <w:spacing w:before="60" w:after="60"/>
        <w:ind w:left="714" w:hanging="357"/>
        <w:contextualSpacing w:val="0"/>
        <w:rPr>
          <w:rFonts w:cs="Calibri"/>
          <w:color w:val="1E1E1E"/>
          <w:lang w:eastAsia="zh-CN"/>
        </w:rPr>
      </w:pPr>
      <w:r w:rsidRPr="00590766">
        <w:rPr>
          <w:rFonts w:cs="Calibri"/>
          <w:color w:val="1E1E1E"/>
          <w:lang w:eastAsia="zh-CN"/>
        </w:rPr>
        <w:t>Ms Umida Musa</w:t>
      </w:r>
      <w:r w:rsidR="00E822D9">
        <w:rPr>
          <w:rFonts w:cs="Calibri"/>
          <w:color w:val="1E1E1E"/>
          <w:lang w:eastAsia="zh-CN"/>
        </w:rPr>
        <w:t>y</w:t>
      </w:r>
      <w:r w:rsidRPr="00590766">
        <w:rPr>
          <w:rFonts w:cs="Calibri"/>
          <w:color w:val="1E1E1E"/>
          <w:lang w:eastAsia="zh-CN"/>
        </w:rPr>
        <w:t>eva (Uzbekistan (Republic of), CIS)</w:t>
      </w:r>
    </w:p>
    <w:p w14:paraId="6B899E91" w14:textId="1A6BEE4D" w:rsidR="00E25140" w:rsidRPr="00590766" w:rsidRDefault="00E25140" w:rsidP="00C5446F">
      <w:pPr>
        <w:pStyle w:val="ListParagraph"/>
        <w:widowControl w:val="0"/>
        <w:numPr>
          <w:ilvl w:val="0"/>
          <w:numId w:val="6"/>
        </w:numPr>
        <w:spacing w:before="60" w:after="60"/>
        <w:ind w:left="714" w:hanging="357"/>
        <w:contextualSpacing w:val="0"/>
        <w:rPr>
          <w:rFonts w:cs="Calibri"/>
          <w:color w:val="1E1E1E"/>
          <w:lang w:val="pt-BR" w:eastAsia="zh-CN"/>
        </w:rPr>
      </w:pPr>
      <w:r w:rsidRPr="15BD81B1">
        <w:rPr>
          <w:rFonts w:cs="Calibri"/>
          <w:color w:val="1E1E1E"/>
          <w:lang w:val="pt-BR" w:eastAsia="zh-CN"/>
        </w:rPr>
        <w:t>Ms Cristina Aguiar (Portugal, EUR)</w:t>
      </w:r>
    </w:p>
    <w:p w14:paraId="242BEA27" w14:textId="52AC0DA4" w:rsidR="00E25140" w:rsidRPr="00590766" w:rsidRDefault="00E25140" w:rsidP="00C5446F">
      <w:pPr>
        <w:pStyle w:val="ListParagraph"/>
        <w:widowControl w:val="0"/>
        <w:numPr>
          <w:ilvl w:val="0"/>
          <w:numId w:val="6"/>
        </w:numPr>
        <w:spacing w:before="60" w:after="60"/>
        <w:ind w:left="714" w:hanging="357"/>
        <w:contextualSpacing w:val="0"/>
        <w:rPr>
          <w:rFonts w:cs="Calibri"/>
          <w:color w:val="1E1E1E"/>
          <w:lang w:eastAsia="zh-CN"/>
        </w:rPr>
      </w:pPr>
      <w:hyperlink r:id="rId12" w:history="1">
        <w:r w:rsidRPr="00590766">
          <w:rPr>
            <w:rFonts w:cs="Calibri"/>
            <w:color w:val="1E1E1E"/>
            <w:lang w:eastAsia="zh-CN"/>
          </w:rPr>
          <w:t>Mr Mehmet Alper Tekin</w:t>
        </w:r>
      </w:hyperlink>
      <w:r w:rsidR="00937B0F">
        <w:t xml:space="preserve"> </w:t>
      </w:r>
      <w:r w:rsidRPr="00590766">
        <w:rPr>
          <w:rFonts w:cs="Calibri"/>
          <w:color w:val="1E1E1E"/>
          <w:lang w:eastAsia="zh-CN"/>
        </w:rPr>
        <w:t>(Republic of Türkiye, EUR)</w:t>
      </w:r>
    </w:p>
    <w:p w14:paraId="06011233" w14:textId="13CEED1C" w:rsidR="00E25140" w:rsidRPr="00590766" w:rsidRDefault="00E25140" w:rsidP="00C5446F">
      <w:pPr>
        <w:pStyle w:val="ListParagraph"/>
        <w:widowControl w:val="0"/>
        <w:numPr>
          <w:ilvl w:val="0"/>
          <w:numId w:val="6"/>
        </w:numPr>
        <w:spacing w:before="60" w:after="60"/>
        <w:ind w:left="714" w:hanging="357"/>
        <w:contextualSpacing w:val="0"/>
        <w:rPr>
          <w:rFonts w:cs="Calibri"/>
          <w:color w:val="1E1E1E"/>
          <w:lang w:eastAsia="zh-CN"/>
        </w:rPr>
      </w:pPr>
      <w:hyperlink r:id="rId13" w:history="1">
        <w:r w:rsidRPr="00590766">
          <w:rPr>
            <w:rFonts w:cs="Calibri"/>
            <w:color w:val="1E1E1E"/>
            <w:lang w:eastAsia="zh-CN"/>
          </w:rPr>
          <w:t>Mr Teddy Woodhouse</w:t>
        </w:r>
      </w:hyperlink>
      <w:r w:rsidR="003F66D3">
        <w:rPr>
          <w:rFonts w:cs="Calibri"/>
          <w:color w:val="1E1E1E"/>
          <w:lang w:eastAsia="zh-CN"/>
        </w:rPr>
        <w:t xml:space="preserve"> </w:t>
      </w:r>
      <w:r w:rsidRPr="00590766">
        <w:rPr>
          <w:rFonts w:cs="Calibri"/>
          <w:color w:val="1E1E1E"/>
          <w:lang w:eastAsia="zh-CN"/>
        </w:rPr>
        <w:t>(United Kingdom of Great Britain and Northern Ireland</w:t>
      </w:r>
      <w:r w:rsidR="003E1038" w:rsidRPr="00590766">
        <w:rPr>
          <w:rFonts w:cs="Calibri"/>
          <w:color w:val="1E1E1E"/>
          <w:lang w:eastAsia="zh-CN"/>
        </w:rPr>
        <w:t>, EUR</w:t>
      </w:r>
      <w:r w:rsidRPr="00590766">
        <w:rPr>
          <w:rFonts w:cs="Calibri"/>
          <w:color w:val="1E1E1E"/>
          <w:lang w:eastAsia="zh-CN"/>
        </w:rPr>
        <w:t>)</w:t>
      </w:r>
    </w:p>
    <w:p w14:paraId="78940BA9" w14:textId="56EF9832" w:rsidR="00C73347" w:rsidRPr="00E433F0" w:rsidRDefault="00C73347" w:rsidP="00E433F0">
      <w:pPr>
        <w:pStyle w:val="Heading1"/>
        <w:keepLines w:val="0"/>
        <w:numPr>
          <w:ilvl w:val="1"/>
          <w:numId w:val="18"/>
        </w:numPr>
        <w:tabs>
          <w:tab w:val="clear" w:pos="1871"/>
          <w:tab w:val="clear" w:pos="2268"/>
          <w:tab w:val="left" w:pos="567"/>
          <w:tab w:val="left" w:pos="1701"/>
        </w:tabs>
        <w:spacing w:before="120" w:after="120"/>
        <w:ind w:left="431" w:hanging="431"/>
        <w:rPr>
          <w:rFonts w:cstheme="minorHAnsi"/>
          <w:sz w:val="24"/>
          <w:szCs w:val="18"/>
        </w:rPr>
      </w:pPr>
      <w:r w:rsidRPr="00E433F0">
        <w:rPr>
          <w:rFonts w:cstheme="minorHAnsi"/>
          <w:sz w:val="24"/>
          <w:szCs w:val="18"/>
        </w:rPr>
        <w:t>Study Group 1 Questions</w:t>
      </w:r>
    </w:p>
    <w:p w14:paraId="62904ACD" w14:textId="6C33ACBE" w:rsidR="00C73347" w:rsidRPr="00E433F0" w:rsidRDefault="00C73347" w:rsidP="00E433F0">
      <w:pPr>
        <w:keepNext/>
        <w:spacing w:after="120"/>
        <w:rPr>
          <w:rFonts w:cstheme="minorHAnsi"/>
          <w:szCs w:val="24"/>
        </w:rPr>
      </w:pPr>
      <w:r w:rsidRPr="00E433F0">
        <w:rPr>
          <w:rFonts w:cstheme="minorHAnsi"/>
          <w:szCs w:val="24"/>
        </w:rPr>
        <w:t>WTDC-</w:t>
      </w:r>
      <w:r w:rsidR="002C1410" w:rsidRPr="00E433F0">
        <w:rPr>
          <w:rFonts w:cstheme="minorHAnsi"/>
          <w:szCs w:val="24"/>
        </w:rPr>
        <w:t>25</w:t>
      </w:r>
      <w:r w:rsidRPr="00E433F0">
        <w:rPr>
          <w:rFonts w:cstheme="minorHAnsi"/>
          <w:szCs w:val="24"/>
        </w:rPr>
        <w:t xml:space="preserve"> entrusted Study Group 1 with the following Questions:</w:t>
      </w:r>
    </w:p>
    <w:p w14:paraId="549296C7" w14:textId="238D57CA" w:rsidR="00C73347" w:rsidRPr="00C02333" w:rsidRDefault="00C73347" w:rsidP="00C5446F">
      <w:pPr>
        <w:pStyle w:val="ListParagraph"/>
        <w:widowControl w:val="0"/>
        <w:numPr>
          <w:ilvl w:val="0"/>
          <w:numId w:val="6"/>
        </w:numPr>
        <w:spacing w:before="60" w:after="60"/>
        <w:ind w:left="714" w:hanging="357"/>
        <w:contextualSpacing w:val="0"/>
        <w:rPr>
          <w:rFonts w:cs="Calibri"/>
          <w:color w:val="1E1E1E"/>
          <w:lang w:eastAsia="zh-CN"/>
        </w:rPr>
      </w:pPr>
      <w:hyperlink r:id="rId14" w:history="1">
        <w:r w:rsidRPr="00C02333">
          <w:rPr>
            <w:rStyle w:val="Hyperlink"/>
            <w:rFonts w:cs="Calibri"/>
            <w:lang w:eastAsia="zh-CN"/>
          </w:rPr>
          <w:t>Question 1/1</w:t>
        </w:r>
      </w:hyperlink>
      <w:r w:rsidRPr="00C02333">
        <w:rPr>
          <w:rFonts w:cs="Calibri"/>
          <w:color w:val="1E1E1E"/>
          <w:lang w:eastAsia="zh-CN"/>
        </w:rPr>
        <w:t xml:space="preserve">: </w:t>
      </w:r>
      <w:r w:rsidR="00161062" w:rsidRPr="00590766">
        <w:rPr>
          <w:rFonts w:cs="Calibri"/>
          <w:color w:val="1E1E1E"/>
          <w:lang w:eastAsia="zh-CN"/>
        </w:rPr>
        <w:t>Enabling policies and strategies for universal connectivity with a focus on underserved, remote and rural areas</w:t>
      </w:r>
    </w:p>
    <w:p w14:paraId="16AF373F" w14:textId="683D381C" w:rsidR="00C73347" w:rsidRPr="00C02333" w:rsidRDefault="00C73347" w:rsidP="00C5446F">
      <w:pPr>
        <w:pStyle w:val="ListParagraph"/>
        <w:widowControl w:val="0"/>
        <w:numPr>
          <w:ilvl w:val="0"/>
          <w:numId w:val="6"/>
        </w:numPr>
        <w:spacing w:before="60" w:after="60"/>
        <w:ind w:left="714" w:hanging="357"/>
        <w:contextualSpacing w:val="0"/>
        <w:rPr>
          <w:rFonts w:cs="Calibri"/>
          <w:color w:val="1E1E1E"/>
          <w:lang w:eastAsia="zh-CN"/>
        </w:rPr>
      </w:pPr>
      <w:hyperlink r:id="rId15" w:history="1">
        <w:r w:rsidRPr="00C02333">
          <w:rPr>
            <w:rStyle w:val="Hyperlink"/>
            <w:rFonts w:cs="Calibri"/>
            <w:lang w:eastAsia="zh-CN"/>
          </w:rPr>
          <w:t>Question 2/1</w:t>
        </w:r>
      </w:hyperlink>
      <w:r w:rsidRPr="00C02333">
        <w:rPr>
          <w:rFonts w:cs="Calibri"/>
          <w:color w:val="1E1E1E"/>
          <w:lang w:eastAsia="zh-CN"/>
        </w:rPr>
        <w:t xml:space="preserve">: </w:t>
      </w:r>
      <w:r w:rsidR="00161062" w:rsidRPr="00590766">
        <w:rPr>
          <w:rFonts w:cs="Calibri"/>
          <w:color w:val="1E1E1E"/>
          <w:lang w:eastAsia="zh-CN"/>
        </w:rPr>
        <w:t>Enabling policies and regulations for adopting digital telecommunication/ICT services and technologies for distribution and broadcasting</w:t>
      </w:r>
    </w:p>
    <w:p w14:paraId="5AE73564" w14:textId="0F9E70F0" w:rsidR="00C73347" w:rsidRPr="00C02333" w:rsidRDefault="00C73347" w:rsidP="00C5446F">
      <w:pPr>
        <w:pStyle w:val="ListParagraph"/>
        <w:widowControl w:val="0"/>
        <w:numPr>
          <w:ilvl w:val="0"/>
          <w:numId w:val="6"/>
        </w:numPr>
        <w:spacing w:before="60" w:after="60"/>
        <w:ind w:left="714" w:hanging="357"/>
        <w:contextualSpacing w:val="0"/>
        <w:rPr>
          <w:rFonts w:cs="Calibri"/>
          <w:color w:val="1E1E1E"/>
          <w:lang w:eastAsia="zh-CN"/>
        </w:rPr>
      </w:pPr>
      <w:hyperlink r:id="rId16" w:history="1">
        <w:r w:rsidRPr="00C02333">
          <w:rPr>
            <w:rStyle w:val="Hyperlink"/>
            <w:rFonts w:cs="Calibri"/>
            <w:lang w:eastAsia="zh-CN"/>
          </w:rPr>
          <w:t>Question 3/1</w:t>
        </w:r>
      </w:hyperlink>
      <w:r w:rsidRPr="00C02333">
        <w:rPr>
          <w:rFonts w:cs="Calibri"/>
          <w:color w:val="1E1E1E"/>
          <w:lang w:eastAsia="zh-CN"/>
        </w:rPr>
        <w:t xml:space="preserve">: </w:t>
      </w:r>
      <w:r w:rsidR="00161062" w:rsidRPr="00590766">
        <w:rPr>
          <w:rFonts w:cs="Calibri"/>
          <w:color w:val="1E1E1E"/>
          <w:lang w:eastAsia="zh-CN"/>
        </w:rPr>
        <w:t>The use of telecommunications/ICTs for disaster risk reduction and management</w:t>
      </w:r>
    </w:p>
    <w:p w14:paraId="72F81E6F" w14:textId="2CC7B81F" w:rsidR="00C73347" w:rsidRPr="00C02333" w:rsidRDefault="00C73347" w:rsidP="00C5446F">
      <w:pPr>
        <w:pStyle w:val="ListParagraph"/>
        <w:widowControl w:val="0"/>
        <w:numPr>
          <w:ilvl w:val="0"/>
          <w:numId w:val="6"/>
        </w:numPr>
        <w:spacing w:before="60" w:after="60"/>
        <w:ind w:left="714" w:hanging="357"/>
        <w:contextualSpacing w:val="0"/>
        <w:rPr>
          <w:rFonts w:cs="Calibri"/>
          <w:color w:val="1E1E1E"/>
          <w:lang w:eastAsia="zh-CN"/>
        </w:rPr>
      </w:pPr>
      <w:hyperlink r:id="rId17" w:history="1">
        <w:r w:rsidRPr="00C02333">
          <w:rPr>
            <w:rStyle w:val="Hyperlink"/>
            <w:rFonts w:cs="Calibri"/>
            <w:lang w:eastAsia="zh-CN"/>
          </w:rPr>
          <w:t>Question 4/1</w:t>
        </w:r>
      </w:hyperlink>
      <w:r w:rsidRPr="00C02333">
        <w:rPr>
          <w:rFonts w:cs="Calibri"/>
          <w:color w:val="1E1E1E"/>
          <w:lang w:eastAsia="zh-CN"/>
        </w:rPr>
        <w:t xml:space="preserve">: </w:t>
      </w:r>
      <w:r w:rsidR="00161062" w:rsidRPr="00590766">
        <w:rPr>
          <w:rFonts w:cs="Calibri"/>
          <w:color w:val="1E1E1E"/>
          <w:lang w:eastAsia="zh-CN"/>
        </w:rPr>
        <w:t>Economic aspects of national telecommunications/ICTs</w:t>
      </w:r>
    </w:p>
    <w:p w14:paraId="33B471C0" w14:textId="4C5F726A" w:rsidR="00C73347" w:rsidRPr="00C02333" w:rsidRDefault="00C73347" w:rsidP="00C5446F">
      <w:pPr>
        <w:pStyle w:val="ListParagraph"/>
        <w:widowControl w:val="0"/>
        <w:numPr>
          <w:ilvl w:val="0"/>
          <w:numId w:val="6"/>
        </w:numPr>
        <w:spacing w:before="60" w:after="60"/>
        <w:ind w:left="714" w:hanging="357"/>
        <w:contextualSpacing w:val="0"/>
        <w:rPr>
          <w:rFonts w:cs="Calibri"/>
          <w:color w:val="1E1E1E"/>
          <w:lang w:eastAsia="zh-CN"/>
        </w:rPr>
      </w:pPr>
      <w:hyperlink r:id="rId18" w:history="1">
        <w:r w:rsidRPr="00C02333">
          <w:rPr>
            <w:rStyle w:val="Hyperlink"/>
            <w:rFonts w:cs="Calibri"/>
            <w:lang w:eastAsia="zh-CN"/>
          </w:rPr>
          <w:t>Question 5/1</w:t>
        </w:r>
      </w:hyperlink>
      <w:r w:rsidRPr="00C02333">
        <w:rPr>
          <w:rFonts w:cs="Calibri"/>
          <w:color w:val="1E1E1E"/>
          <w:lang w:eastAsia="zh-CN"/>
        </w:rPr>
        <w:t xml:space="preserve">: </w:t>
      </w:r>
      <w:r w:rsidR="00161062" w:rsidRPr="00590766">
        <w:rPr>
          <w:rFonts w:cs="Calibri"/>
          <w:color w:val="1E1E1E"/>
          <w:lang w:eastAsia="zh-CN"/>
        </w:rPr>
        <w:t>Consumer protection and empowerment, and meaningful accessibility for all, especially for persons with disabilities and persons with specific needs</w:t>
      </w:r>
    </w:p>
    <w:p w14:paraId="42498A7D" w14:textId="0D8B55DB" w:rsidR="00C73347" w:rsidRPr="00E433F0" w:rsidRDefault="00C73347" w:rsidP="00E433F0">
      <w:pPr>
        <w:pStyle w:val="Heading1"/>
        <w:keepLines w:val="0"/>
        <w:numPr>
          <w:ilvl w:val="1"/>
          <w:numId w:val="18"/>
        </w:numPr>
        <w:tabs>
          <w:tab w:val="clear" w:pos="1871"/>
          <w:tab w:val="clear" w:pos="2268"/>
          <w:tab w:val="left" w:pos="567"/>
          <w:tab w:val="left" w:pos="1701"/>
        </w:tabs>
        <w:spacing w:before="120" w:after="120"/>
        <w:ind w:left="431" w:hanging="431"/>
        <w:rPr>
          <w:rFonts w:cstheme="minorHAnsi"/>
          <w:sz w:val="24"/>
          <w:szCs w:val="18"/>
        </w:rPr>
      </w:pPr>
      <w:r w:rsidRPr="00E433F0">
        <w:rPr>
          <w:rFonts w:cstheme="minorHAnsi"/>
          <w:sz w:val="24"/>
          <w:szCs w:val="18"/>
        </w:rPr>
        <w:t>Appointment of Study Group 1 Rapporteurs and Vice-Rapporteurs</w:t>
      </w:r>
    </w:p>
    <w:p w14:paraId="1A52A5F2" w14:textId="5F5E80DA" w:rsidR="00C73347" w:rsidRPr="00590766" w:rsidRDefault="00C73347" w:rsidP="00E433F0">
      <w:pPr>
        <w:spacing w:after="120"/>
        <w:rPr>
          <w:rFonts w:eastAsia="Batang" w:cs="Calibri"/>
          <w:bCs/>
        </w:rPr>
      </w:pPr>
      <w:hyperlink r:id="rId19" w:history="1">
        <w:r w:rsidRPr="00590766">
          <w:rPr>
            <w:rStyle w:val="Hyperlink"/>
            <w:rFonts w:eastAsia="Batang" w:cs="Calibri"/>
            <w:bCs/>
          </w:rPr>
          <w:t>A call for Rapporteurs and Vice-Rapporteurs</w:t>
        </w:r>
      </w:hyperlink>
      <w:r w:rsidRPr="00590766">
        <w:rPr>
          <w:rFonts w:eastAsia="Batang" w:cs="Calibri"/>
          <w:bCs/>
        </w:rPr>
        <w:t xml:space="preserve"> has been sent out to the membership </w:t>
      </w:r>
      <w:r w:rsidR="0090077A" w:rsidRPr="00590766">
        <w:rPr>
          <w:rFonts w:eastAsia="Batang" w:cs="Calibri"/>
          <w:bCs/>
        </w:rPr>
        <w:t xml:space="preserve">on 16 December 2025 </w:t>
      </w:r>
      <w:r w:rsidRPr="00590766">
        <w:rPr>
          <w:rFonts w:eastAsia="Batang" w:cs="Calibri"/>
          <w:bCs/>
        </w:rPr>
        <w:t xml:space="preserve">and subsequent appointments will be made for the </w:t>
      </w:r>
      <w:r w:rsidR="00E25140" w:rsidRPr="00590766">
        <w:rPr>
          <w:rFonts w:eastAsia="Batang" w:cs="Calibri"/>
          <w:bCs/>
        </w:rPr>
        <w:t>five</w:t>
      </w:r>
      <w:r w:rsidRPr="00590766">
        <w:rPr>
          <w:rFonts w:eastAsia="Batang" w:cs="Calibri"/>
          <w:bCs/>
        </w:rPr>
        <w:t xml:space="preserve"> study Questions at the </w:t>
      </w:r>
      <w:r w:rsidR="0090077A" w:rsidRPr="00590766">
        <w:rPr>
          <w:rFonts w:eastAsia="Batang" w:cs="Calibri"/>
          <w:bCs/>
        </w:rPr>
        <w:t xml:space="preserve">opening plenary of the </w:t>
      </w:r>
      <w:hyperlink r:id="rId20" w:history="1">
        <w:r w:rsidRPr="00590766">
          <w:rPr>
            <w:rStyle w:val="Hyperlink"/>
            <w:rFonts w:eastAsia="Batang" w:cs="Calibri"/>
            <w:bCs/>
          </w:rPr>
          <w:t>first ITU-D SG1 meeting</w:t>
        </w:r>
      </w:hyperlink>
      <w:r w:rsidRPr="00590766">
        <w:rPr>
          <w:rFonts w:eastAsia="Batang" w:cs="Calibri"/>
          <w:bCs/>
        </w:rPr>
        <w:t xml:space="preserve"> </w:t>
      </w:r>
      <w:r w:rsidR="0090077A" w:rsidRPr="00590766">
        <w:rPr>
          <w:rFonts w:eastAsia="Batang" w:cs="Calibri"/>
          <w:bCs/>
        </w:rPr>
        <w:t>on 13</w:t>
      </w:r>
      <w:r w:rsidRPr="00590766">
        <w:rPr>
          <w:rFonts w:eastAsia="Batang" w:cs="Calibri"/>
          <w:bCs/>
        </w:rPr>
        <w:t xml:space="preserve"> April 20</w:t>
      </w:r>
      <w:r w:rsidR="00E25140" w:rsidRPr="00590766">
        <w:rPr>
          <w:rFonts w:eastAsia="Batang" w:cs="Calibri"/>
          <w:bCs/>
        </w:rPr>
        <w:t>26</w:t>
      </w:r>
      <w:r w:rsidRPr="00590766">
        <w:rPr>
          <w:rFonts w:eastAsia="Batang" w:cs="Calibri"/>
          <w:bCs/>
        </w:rPr>
        <w:t xml:space="preserve">. </w:t>
      </w:r>
      <w:r w:rsidR="00E25140" w:rsidRPr="00590766">
        <w:rPr>
          <w:rFonts w:eastAsia="Batang" w:cs="Calibri"/>
          <w:bCs/>
        </w:rPr>
        <w:t>T</w:t>
      </w:r>
      <w:r w:rsidRPr="00590766">
        <w:rPr>
          <w:rFonts w:eastAsia="Batang" w:cs="Calibri"/>
          <w:bCs/>
        </w:rPr>
        <w:t xml:space="preserve">he appointment of Rapporteurs will be based both on expertise in the subject to be studied and on the ability to coordinate the work. The appointment of Vice-Rapporteurs will also seek regional balance. </w:t>
      </w:r>
      <w:hyperlink r:id="rId21" w:history="1">
        <w:r w:rsidR="00E25140" w:rsidRPr="00590766">
          <w:rPr>
            <w:rStyle w:val="Hyperlink"/>
            <w:rFonts w:eastAsia="Batang" w:cs="Calibri"/>
            <w:bCs/>
          </w:rPr>
          <w:t>The practical guidelines</w:t>
        </w:r>
      </w:hyperlink>
      <w:r w:rsidR="00E25140" w:rsidRPr="00590766">
        <w:rPr>
          <w:rFonts w:eastAsia="Batang" w:cs="Calibri"/>
          <w:bCs/>
        </w:rPr>
        <w:t> agreed at TDAG 2025 are to be considered in this context.</w:t>
      </w:r>
    </w:p>
    <w:p w14:paraId="6FB4E1CB" w14:textId="36CCAB71" w:rsidR="00C73347" w:rsidRPr="00590766" w:rsidRDefault="00C73347" w:rsidP="00E433F0">
      <w:pPr>
        <w:spacing w:after="120"/>
        <w:rPr>
          <w:rFonts w:eastAsia="Batang" w:cs="Calibri"/>
          <w:bCs/>
        </w:rPr>
      </w:pPr>
      <w:r w:rsidRPr="00590766">
        <w:rPr>
          <w:rFonts w:eastAsia="Batang" w:cs="Calibri"/>
          <w:bCs/>
        </w:rPr>
        <w:t xml:space="preserve">The list of all candidatures received can be found online at the following link: </w:t>
      </w:r>
      <w:hyperlink r:id="rId22" w:history="1">
        <w:r w:rsidR="00E25140" w:rsidRPr="00590766">
          <w:rPr>
            <w:rStyle w:val="Hyperlink"/>
            <w:rFonts w:eastAsia="Batang" w:cs="Calibri"/>
            <w:bCs/>
          </w:rPr>
          <w:t>https://www.itu.int/en/ITU-D/Study-Groups/2026-2029/Pages/candidates.aspx</w:t>
        </w:r>
      </w:hyperlink>
      <w:r w:rsidR="00E25140" w:rsidRPr="00590766">
        <w:rPr>
          <w:rFonts w:eastAsia="Batang" w:cs="Calibri"/>
          <w:bCs/>
        </w:rPr>
        <w:t xml:space="preserve"> </w:t>
      </w:r>
    </w:p>
    <w:p w14:paraId="09472162" w14:textId="77777777" w:rsidR="00C73347" w:rsidRPr="00E433F0" w:rsidRDefault="00C73347" w:rsidP="00E433F0">
      <w:pPr>
        <w:pStyle w:val="Heading1"/>
        <w:keepLines w:val="0"/>
        <w:numPr>
          <w:ilvl w:val="0"/>
          <w:numId w:val="18"/>
        </w:numPr>
        <w:tabs>
          <w:tab w:val="clear" w:pos="1871"/>
          <w:tab w:val="clear" w:pos="2268"/>
          <w:tab w:val="left" w:pos="567"/>
          <w:tab w:val="left" w:pos="1701"/>
        </w:tabs>
        <w:spacing w:before="120" w:after="120"/>
        <w:ind w:left="357" w:hanging="357"/>
        <w:rPr>
          <w:rFonts w:cstheme="minorHAnsi"/>
          <w:sz w:val="24"/>
          <w:szCs w:val="18"/>
        </w:rPr>
      </w:pPr>
      <w:r w:rsidRPr="00E433F0">
        <w:rPr>
          <w:rFonts w:cstheme="minorHAnsi"/>
          <w:sz w:val="24"/>
          <w:szCs w:val="18"/>
        </w:rPr>
        <w:t>Strategy and work plan for Study Group 1</w:t>
      </w:r>
    </w:p>
    <w:p w14:paraId="62CCFA2E" w14:textId="6AA45AEA" w:rsidR="00FD6FE2" w:rsidRPr="00590766" w:rsidRDefault="00FC71B6" w:rsidP="00E433F0">
      <w:pPr>
        <w:spacing w:after="120"/>
      </w:pPr>
      <w:r w:rsidRPr="00590766">
        <w:t xml:space="preserve">The structure of the Baku Action Plan and its contribution ITU-D to the ITU strategic plan (see </w:t>
      </w:r>
      <w:r w:rsidR="00CF1F80">
        <w:rPr>
          <w:b/>
          <w:bCs/>
        </w:rPr>
        <w:t>A</w:t>
      </w:r>
      <w:r w:rsidRPr="00590766">
        <w:rPr>
          <w:b/>
          <w:bCs/>
        </w:rPr>
        <w:t xml:space="preserve">nnex </w:t>
      </w:r>
      <w:r w:rsidR="00FD6FE2" w:rsidRPr="00590766">
        <w:rPr>
          <w:b/>
          <w:bCs/>
        </w:rPr>
        <w:t>1</w:t>
      </w:r>
      <w:r w:rsidRPr="00590766">
        <w:t xml:space="preserve">) provides clear linkages to the ITU-D study Groups. ITU Study Groups together with regional initiatives and resolutions agreed at WTDC-25, feed into the </w:t>
      </w:r>
      <w:r w:rsidR="00FD6FE2" w:rsidRPr="00590766">
        <w:t xml:space="preserve">5 ITU-D priorities which facilitate delivery of the ITU-D mandate and guides BDT for the next planning cycle on what ITU-D aims to achieve, in line with the overall RBM approach and the strategic goals and thematic priorities of the Union. </w:t>
      </w:r>
    </w:p>
    <w:p w14:paraId="08D8712A" w14:textId="3E40C5E8" w:rsidR="002420D0" w:rsidRPr="00590766" w:rsidRDefault="00143B1B" w:rsidP="00E433F0">
      <w:pPr>
        <w:spacing w:after="120"/>
      </w:pPr>
      <w:r w:rsidRPr="00590766">
        <w:t>For</w:t>
      </w:r>
      <w:r w:rsidR="00C73347" w:rsidRPr="00590766">
        <w:t xml:space="preserve"> Study Group 1 to reach its expected results for the 20</w:t>
      </w:r>
      <w:r w:rsidR="00E25140" w:rsidRPr="00590766">
        <w:t>26</w:t>
      </w:r>
      <w:r w:rsidR="00C73347" w:rsidRPr="00590766">
        <w:t>-202</w:t>
      </w:r>
      <w:r w:rsidR="00E25140" w:rsidRPr="00590766">
        <w:t>9</w:t>
      </w:r>
      <w:r w:rsidR="00C73347" w:rsidRPr="00590766">
        <w:t xml:space="preserve"> study period, in accordance with the scope of work as defined in Resolution 2 (Rev. </w:t>
      </w:r>
      <w:r w:rsidR="00E25140" w:rsidRPr="00590766">
        <w:t>Baku</w:t>
      </w:r>
      <w:r w:rsidR="00C73347" w:rsidRPr="00590766">
        <w:t>, 20</w:t>
      </w:r>
      <w:r w:rsidR="00E25140" w:rsidRPr="00590766">
        <w:t>25</w:t>
      </w:r>
      <w:r w:rsidR="00C73347" w:rsidRPr="00590766">
        <w:t>) “Establishment of study groups”, certain key elements are to be considered and put in place from the outset</w:t>
      </w:r>
      <w:r w:rsidR="002420D0" w:rsidRPr="00590766">
        <w:t>:</w:t>
      </w:r>
    </w:p>
    <w:p w14:paraId="727A1373" w14:textId="1F47DA92" w:rsidR="00C73347" w:rsidRPr="00590766" w:rsidRDefault="00C73347" w:rsidP="00C5446F">
      <w:pPr>
        <w:pStyle w:val="ListParagraph"/>
        <w:widowControl w:val="0"/>
        <w:numPr>
          <w:ilvl w:val="0"/>
          <w:numId w:val="6"/>
        </w:numPr>
        <w:spacing w:before="60" w:after="60"/>
        <w:ind w:left="714" w:hanging="357"/>
        <w:contextualSpacing w:val="0"/>
        <w:rPr>
          <w:rFonts w:cs="Calibri"/>
          <w:color w:val="1E1E1E"/>
          <w:lang w:val="en-US" w:eastAsia="zh-CN"/>
        </w:rPr>
      </w:pPr>
      <w:r w:rsidRPr="15BD81B1">
        <w:rPr>
          <w:rFonts w:cs="Calibri"/>
          <w:color w:val="1E1E1E"/>
          <w:lang w:val="en-US" w:eastAsia="zh-CN"/>
        </w:rPr>
        <w:t xml:space="preserve">Four annual study group meetings are planned as well as </w:t>
      </w:r>
      <w:r w:rsidR="00F8476E" w:rsidRPr="15BD81B1">
        <w:rPr>
          <w:rFonts w:cs="Calibri"/>
          <w:color w:val="1E1E1E"/>
          <w:lang w:val="en-US" w:eastAsia="zh-CN"/>
        </w:rPr>
        <w:t>three</w:t>
      </w:r>
      <w:r w:rsidRPr="15BD81B1">
        <w:rPr>
          <w:rFonts w:cs="Calibri"/>
          <w:color w:val="1E1E1E"/>
          <w:lang w:val="en-US" w:eastAsia="zh-CN"/>
        </w:rPr>
        <w:t xml:space="preserve"> sets of rapporteur group meetings. In addition, </w:t>
      </w:r>
      <w:r w:rsidR="0090077A" w:rsidRPr="15BD81B1">
        <w:rPr>
          <w:rFonts w:cs="Calibri"/>
          <w:color w:val="1E1E1E"/>
          <w:lang w:val="en-US" w:eastAsia="zh-CN"/>
        </w:rPr>
        <w:t>workshops and webinars</w:t>
      </w:r>
      <w:r w:rsidR="00B87150" w:rsidRPr="15BD81B1">
        <w:rPr>
          <w:rFonts w:cs="Calibri"/>
          <w:color w:val="1E1E1E"/>
          <w:lang w:val="en-US" w:eastAsia="zh-CN"/>
        </w:rPr>
        <w:t>, with the</w:t>
      </w:r>
      <w:r w:rsidR="00FE0A63" w:rsidRPr="15BD81B1">
        <w:rPr>
          <w:rFonts w:cs="Calibri"/>
          <w:color w:val="1E1E1E"/>
          <w:lang w:val="en-US" w:eastAsia="zh-CN"/>
        </w:rPr>
        <w:t xml:space="preserve"> </w:t>
      </w:r>
      <w:r w:rsidR="00B87150" w:rsidRPr="15BD81B1">
        <w:rPr>
          <w:rFonts w:cs="Calibri"/>
          <w:color w:val="1E1E1E"/>
          <w:lang w:val="en-US" w:eastAsia="zh-CN"/>
        </w:rPr>
        <w:t xml:space="preserve">participation of experts beyond the realm of ITU-D members, </w:t>
      </w:r>
      <w:r w:rsidRPr="15BD81B1">
        <w:rPr>
          <w:rFonts w:cs="Calibri"/>
          <w:color w:val="1E1E1E"/>
          <w:lang w:val="en-US" w:eastAsia="zh-CN"/>
        </w:rPr>
        <w:t>on topics related to the Questions under study are foreseen to be held in Geneva and in the regions</w:t>
      </w:r>
      <w:r w:rsidR="0090077A" w:rsidRPr="15BD81B1">
        <w:rPr>
          <w:rFonts w:cs="Calibri"/>
          <w:color w:val="1E1E1E"/>
          <w:lang w:val="en-US" w:eastAsia="zh-CN"/>
        </w:rPr>
        <w:t xml:space="preserve">, in line with </w:t>
      </w:r>
      <w:r w:rsidRPr="15BD81B1">
        <w:rPr>
          <w:rFonts w:cs="Calibri"/>
          <w:color w:val="1E1E1E"/>
          <w:lang w:val="en-US" w:eastAsia="zh-CN"/>
        </w:rPr>
        <w:t xml:space="preserve">proposals from the membership, </w:t>
      </w:r>
      <w:r w:rsidR="00265727" w:rsidRPr="15BD81B1">
        <w:rPr>
          <w:rFonts w:cs="Calibri"/>
          <w:color w:val="1E1E1E"/>
          <w:lang w:val="en-US" w:eastAsia="zh-CN"/>
        </w:rPr>
        <w:t xml:space="preserve">and </w:t>
      </w:r>
      <w:r w:rsidRPr="15BD81B1">
        <w:rPr>
          <w:rFonts w:cs="Calibri"/>
          <w:color w:val="1E1E1E"/>
          <w:lang w:val="en-US" w:eastAsia="zh-CN"/>
        </w:rPr>
        <w:t>are to be held throughout the study period to the extent possible. Proposals for workshops</w:t>
      </w:r>
      <w:r w:rsidR="0090077A" w:rsidRPr="15BD81B1">
        <w:rPr>
          <w:rFonts w:cs="Calibri"/>
          <w:color w:val="1E1E1E"/>
          <w:lang w:val="en-US" w:eastAsia="zh-CN"/>
        </w:rPr>
        <w:t xml:space="preserve"> and webinars</w:t>
      </w:r>
      <w:r w:rsidRPr="15BD81B1">
        <w:rPr>
          <w:rFonts w:cs="Calibri"/>
          <w:color w:val="1E1E1E"/>
          <w:lang w:val="en-US" w:eastAsia="zh-CN"/>
        </w:rPr>
        <w:t xml:space="preserve"> are encouraged from the membership for consideration at the annual study group meetings. </w:t>
      </w:r>
    </w:p>
    <w:p w14:paraId="674F0DAE" w14:textId="3BFD9456" w:rsidR="00570403" w:rsidRPr="00590766" w:rsidRDefault="00E2339E" w:rsidP="00C5446F">
      <w:pPr>
        <w:pStyle w:val="ListParagraph"/>
        <w:widowControl w:val="0"/>
        <w:numPr>
          <w:ilvl w:val="0"/>
          <w:numId w:val="6"/>
        </w:numPr>
        <w:spacing w:before="60" w:after="60"/>
        <w:ind w:left="714" w:hanging="357"/>
        <w:contextualSpacing w:val="0"/>
        <w:rPr>
          <w:rFonts w:cs="Calibri"/>
          <w:color w:val="1E1E1E"/>
          <w:lang w:val="en-US" w:eastAsia="zh-CN"/>
        </w:rPr>
      </w:pPr>
      <w:r w:rsidRPr="15BD81B1">
        <w:rPr>
          <w:rFonts w:cs="Calibri"/>
          <w:color w:val="1E1E1E"/>
          <w:lang w:val="en-US" w:eastAsia="zh-CN"/>
        </w:rPr>
        <w:t>The</w:t>
      </w:r>
      <w:r w:rsidR="00570403" w:rsidRPr="15BD81B1">
        <w:rPr>
          <w:rFonts w:cs="Calibri"/>
          <w:color w:val="1E1E1E"/>
          <w:lang w:val="en-US" w:eastAsia="zh-CN"/>
        </w:rPr>
        <w:t xml:space="preserve"> reduction in study Questions</w:t>
      </w:r>
      <w:r w:rsidRPr="15BD81B1">
        <w:rPr>
          <w:rFonts w:cs="Calibri"/>
          <w:color w:val="1E1E1E"/>
          <w:lang w:val="en-US" w:eastAsia="zh-CN"/>
        </w:rPr>
        <w:t xml:space="preserve"> brings to light certain practical elements. T</w:t>
      </w:r>
      <w:r w:rsidR="00570403" w:rsidRPr="15BD81B1">
        <w:rPr>
          <w:rFonts w:cs="Calibri"/>
          <w:color w:val="1E1E1E"/>
          <w:lang w:val="en-US" w:eastAsia="zh-CN"/>
        </w:rPr>
        <w:t xml:space="preserve">he time management plan of SG1 meetings have been reviewed such that SG1 management team </w:t>
      </w:r>
      <w:r w:rsidR="420C42D0" w:rsidRPr="15BD81B1">
        <w:rPr>
          <w:rFonts w:cs="Calibri"/>
          <w:color w:val="1E1E1E"/>
          <w:lang w:val="en-US" w:eastAsia="zh-CN"/>
        </w:rPr>
        <w:t>meetings</w:t>
      </w:r>
      <w:r w:rsidR="00570403" w:rsidRPr="15BD81B1">
        <w:rPr>
          <w:rFonts w:cs="Calibri"/>
          <w:color w:val="1E1E1E"/>
          <w:lang w:val="en-US" w:eastAsia="zh-CN"/>
        </w:rPr>
        <w:t xml:space="preserve"> and joint SG management team meetings can be held on weekdays (Mondays </w:t>
      </w:r>
      <w:r w:rsidR="00570403" w:rsidRPr="15BD81B1">
        <w:rPr>
          <w:rFonts w:cs="Calibri"/>
          <w:color w:val="1E1E1E"/>
          <w:lang w:val="en-US" w:eastAsia="zh-CN"/>
        </w:rPr>
        <w:lastRenderedPageBreak/>
        <w:t>and Fridays) instead of Sundays. F</w:t>
      </w:r>
      <w:r w:rsidRPr="15BD81B1">
        <w:rPr>
          <w:rFonts w:cs="Calibri"/>
          <w:color w:val="1E1E1E"/>
          <w:lang w:val="en-US" w:eastAsia="zh-CN"/>
        </w:rPr>
        <w:t>u</w:t>
      </w:r>
      <w:r w:rsidR="00570403" w:rsidRPr="15BD81B1">
        <w:rPr>
          <w:rFonts w:cs="Calibri"/>
          <w:color w:val="1E1E1E"/>
          <w:lang w:val="en-US" w:eastAsia="zh-CN"/>
        </w:rPr>
        <w:t>rth</w:t>
      </w:r>
      <w:r w:rsidRPr="15BD81B1">
        <w:rPr>
          <w:rFonts w:cs="Calibri"/>
          <w:color w:val="1E1E1E"/>
          <w:lang w:val="en-US" w:eastAsia="zh-CN"/>
        </w:rPr>
        <w:t xml:space="preserve">ermore, the time management plan of SG1 Rapporteur Group meetings (including workshops) would span </w:t>
      </w:r>
      <w:r w:rsidR="003D67EE" w:rsidRPr="15BD81B1">
        <w:rPr>
          <w:rFonts w:cs="Calibri"/>
          <w:color w:val="1E1E1E"/>
          <w:lang w:val="en-US" w:eastAsia="zh-CN"/>
        </w:rPr>
        <w:t>7</w:t>
      </w:r>
      <w:r w:rsidRPr="15BD81B1">
        <w:rPr>
          <w:rFonts w:cs="Calibri"/>
          <w:color w:val="1E1E1E"/>
          <w:lang w:val="en-US" w:eastAsia="zh-CN"/>
        </w:rPr>
        <w:t xml:space="preserve">.5 days instead of 14 days. It is also expected that the shortened duration will improve options for </w:t>
      </w:r>
      <w:r w:rsidR="04A8D008" w:rsidRPr="15BD81B1">
        <w:rPr>
          <w:rFonts w:cs="Calibri"/>
          <w:color w:val="1E1E1E"/>
          <w:lang w:val="en-US" w:eastAsia="zh-CN"/>
        </w:rPr>
        <w:t>hosting</w:t>
      </w:r>
      <w:r w:rsidRPr="15BD81B1">
        <w:rPr>
          <w:rFonts w:cs="Calibri"/>
          <w:color w:val="1E1E1E"/>
          <w:lang w:val="en-US" w:eastAsia="zh-CN"/>
        </w:rPr>
        <w:t xml:space="preserve"> the meetings outside ITU HQ premises when the ITU HQ building construction project requires so.</w:t>
      </w:r>
    </w:p>
    <w:p w14:paraId="73A2651E" w14:textId="3F662751" w:rsidR="00FC71B6" w:rsidRPr="00C02333" w:rsidRDefault="00C73347" w:rsidP="00C5446F">
      <w:pPr>
        <w:pStyle w:val="ListParagraph"/>
        <w:widowControl w:val="0"/>
        <w:numPr>
          <w:ilvl w:val="0"/>
          <w:numId w:val="6"/>
        </w:numPr>
        <w:spacing w:before="60" w:after="60"/>
        <w:ind w:left="714" w:hanging="357"/>
        <w:contextualSpacing w:val="0"/>
      </w:pPr>
      <w:r w:rsidRPr="15BD81B1">
        <w:rPr>
          <w:rFonts w:cs="Calibri"/>
          <w:color w:val="1E1E1E"/>
          <w:lang w:val="en-US" w:eastAsia="zh-CN"/>
        </w:rPr>
        <w:t>Good planning at the beginning of the study period will also allow for strategic synergies to be sought</w:t>
      </w:r>
      <w:r w:rsidRPr="15BD81B1">
        <w:rPr>
          <w:lang w:val="en-US"/>
        </w:rPr>
        <w:t xml:space="preserve"> between the work of the SG1 study Questions, with Questions in </w:t>
      </w:r>
      <w:r w:rsidR="0090077A" w:rsidRPr="15BD81B1">
        <w:rPr>
          <w:lang w:val="en-US"/>
        </w:rPr>
        <w:t>SG2</w:t>
      </w:r>
      <w:r w:rsidRPr="15BD81B1">
        <w:rPr>
          <w:lang w:val="en-US"/>
        </w:rPr>
        <w:t>, as well as with groups in the other Sectors. As requested by the membership, a need to report on the synergies achieved through the work of the related study Questions, programmes, regional initiatives and projects will be considered in all activities that are undertaken by the ITU-D study groups</w:t>
      </w:r>
      <w:r w:rsidR="00FC71B6" w:rsidRPr="15BD81B1">
        <w:rPr>
          <w:lang w:val="en-US"/>
        </w:rPr>
        <w:t xml:space="preserve"> (3.8.1 Resolution 1(Rev. Baku, 2025))</w:t>
      </w:r>
      <w:r w:rsidRPr="15BD81B1">
        <w:rPr>
          <w:lang w:val="en-US"/>
        </w:rPr>
        <w:t>.</w:t>
      </w:r>
      <w:r w:rsidR="00B35A1C" w:rsidRPr="15BD81B1">
        <w:rPr>
          <w:lang w:val="en-US"/>
        </w:rPr>
        <w:t xml:space="preserve"> </w:t>
      </w:r>
    </w:p>
    <w:p w14:paraId="091FD2C0" w14:textId="22D17398" w:rsidR="00B87150" w:rsidRPr="00590766" w:rsidRDefault="002B4429" w:rsidP="00C5446F">
      <w:pPr>
        <w:pStyle w:val="ListParagraph"/>
        <w:widowControl w:val="0"/>
        <w:numPr>
          <w:ilvl w:val="0"/>
          <w:numId w:val="6"/>
        </w:numPr>
        <w:spacing w:before="60" w:after="60"/>
        <w:ind w:left="714" w:hanging="357"/>
        <w:contextualSpacing w:val="0"/>
        <w:rPr>
          <w:rFonts w:cs="Calibri"/>
          <w:lang w:eastAsia="ko-KR"/>
        </w:rPr>
      </w:pPr>
      <w:r>
        <w:t xml:space="preserve">At the beginning of the </w:t>
      </w:r>
      <w:r w:rsidR="23FD7DB7">
        <w:t>study period</w:t>
      </w:r>
      <w:r>
        <w:t xml:space="preserve">, </w:t>
      </w:r>
      <w:r w:rsidR="00FD6FE2">
        <w:t xml:space="preserve">specific functions </w:t>
      </w:r>
      <w:r>
        <w:t xml:space="preserve">are assigned </w:t>
      </w:r>
      <w:r w:rsidR="00FD6FE2">
        <w:t xml:space="preserve">to </w:t>
      </w:r>
      <w:r>
        <w:t xml:space="preserve">SG1 </w:t>
      </w:r>
      <w:r w:rsidR="005D5E9B">
        <w:t>Vice</w:t>
      </w:r>
      <w:r w:rsidR="00FD6FE2">
        <w:t xml:space="preserve">-Chairs through coordinator roles (3.2.3 Resolution 1(Rev. Baku, 2025)) to assist </w:t>
      </w:r>
      <w:r>
        <w:t xml:space="preserve">the SG1 Chair and the SG1 in </w:t>
      </w:r>
      <w:r w:rsidR="1C6F7FB9">
        <w:t>delivering</w:t>
      </w:r>
      <w:r>
        <w:t xml:space="preserve"> expected outputs</w:t>
      </w:r>
      <w:r w:rsidR="00B87150">
        <w:t xml:space="preserve">. One of the coordinator roles will include following up </w:t>
      </w:r>
      <w:r w:rsidR="007D1AC5">
        <w:t>o</w:t>
      </w:r>
      <w:r w:rsidR="00B87150">
        <w:t>n guidelines from TDAG including the</w:t>
      </w:r>
      <w:r w:rsidR="007D1AC5">
        <w:t xml:space="preserve"> “</w:t>
      </w:r>
      <w:hyperlink r:id="rId23">
        <w:r w:rsidR="007D1AC5" w:rsidRPr="3D08685F">
          <w:rPr>
            <w:rStyle w:val="Hyperlink"/>
          </w:rPr>
          <w:t>p</w:t>
        </w:r>
        <w:r w:rsidR="00B87150" w:rsidRPr="3D08685F">
          <w:rPr>
            <w:rStyle w:val="Hyperlink"/>
          </w:rPr>
          <w:t>ractical guidelines for promoting Study Group products</w:t>
        </w:r>
      </w:hyperlink>
      <w:r w:rsidR="007D1AC5">
        <w:t>” (see</w:t>
      </w:r>
      <w:r w:rsidR="00E97EB7">
        <w:t xml:space="preserve"> section 6.4 of document </w:t>
      </w:r>
      <w:hyperlink r:id="rId24">
        <w:r w:rsidR="00E97EB7" w:rsidRPr="3D08685F">
          <w:rPr>
            <w:rStyle w:val="Hyperlink"/>
          </w:rPr>
          <w:t>TDAG-25/62</w:t>
        </w:r>
      </w:hyperlink>
      <w:r w:rsidR="007D1AC5">
        <w:t>)</w:t>
      </w:r>
      <w:r w:rsidR="003D67EE">
        <w:t xml:space="preserve">. </w:t>
      </w:r>
      <w:r w:rsidR="003D67EE" w:rsidRPr="3D08685F">
        <w:rPr>
          <w:rFonts w:cs="Calibri"/>
          <w:lang w:eastAsia="ko-KR"/>
        </w:rPr>
        <w:t xml:space="preserve">When a role could not be filled by any SG1 </w:t>
      </w:r>
      <w:r w:rsidR="20ABD893" w:rsidRPr="3D08685F">
        <w:rPr>
          <w:rFonts w:cs="Calibri"/>
          <w:lang w:eastAsia="ko-KR"/>
        </w:rPr>
        <w:t>V</w:t>
      </w:r>
      <w:r w:rsidR="003D67EE" w:rsidRPr="3D08685F">
        <w:rPr>
          <w:rFonts w:cs="Calibri"/>
          <w:lang w:eastAsia="ko-KR"/>
        </w:rPr>
        <w:t>ice-</w:t>
      </w:r>
      <w:r w:rsidR="1A5A657B" w:rsidRPr="3D08685F">
        <w:rPr>
          <w:rFonts w:cs="Calibri"/>
          <w:lang w:eastAsia="ko-KR"/>
        </w:rPr>
        <w:t>C</w:t>
      </w:r>
      <w:r w:rsidR="003D67EE" w:rsidRPr="3D08685F">
        <w:rPr>
          <w:rFonts w:cs="Calibri"/>
          <w:lang w:eastAsia="ko-KR"/>
        </w:rPr>
        <w:t xml:space="preserve">hair, additional members, such as rapporteurs and </w:t>
      </w:r>
      <w:r w:rsidR="055993C4" w:rsidRPr="3D08685F">
        <w:rPr>
          <w:rFonts w:cs="Calibri"/>
          <w:lang w:eastAsia="ko-KR"/>
        </w:rPr>
        <w:t>V</w:t>
      </w:r>
      <w:r w:rsidR="003D67EE" w:rsidRPr="3D08685F">
        <w:rPr>
          <w:rFonts w:cs="Calibri"/>
          <w:lang w:eastAsia="ko-KR"/>
        </w:rPr>
        <w:t>ice-</w:t>
      </w:r>
      <w:r w:rsidR="5486ED9C" w:rsidRPr="3D08685F">
        <w:rPr>
          <w:rFonts w:cs="Calibri"/>
          <w:lang w:eastAsia="ko-KR"/>
        </w:rPr>
        <w:t>R</w:t>
      </w:r>
      <w:r w:rsidR="003D67EE" w:rsidRPr="3D08685F">
        <w:rPr>
          <w:rFonts w:cs="Calibri"/>
          <w:lang w:eastAsia="ko-KR"/>
        </w:rPr>
        <w:t>apporteurs, are invited to fill the role.</w:t>
      </w:r>
    </w:p>
    <w:p w14:paraId="10E8A818" w14:textId="584C5074" w:rsidR="00B87150" w:rsidRPr="00C02333" w:rsidRDefault="00B87150" w:rsidP="00C5446F">
      <w:pPr>
        <w:pStyle w:val="ListParagraph"/>
        <w:widowControl w:val="0"/>
        <w:numPr>
          <w:ilvl w:val="0"/>
          <w:numId w:val="6"/>
        </w:numPr>
        <w:spacing w:before="60" w:after="60"/>
        <w:ind w:left="714" w:hanging="357"/>
        <w:contextualSpacing w:val="0"/>
      </w:pPr>
      <w:r w:rsidRPr="15BD81B1">
        <w:rPr>
          <w:lang w:val="en-US"/>
        </w:rPr>
        <w:t xml:space="preserve">At the beginning of the study period, the SG1 Chair may inform other sectors on the SG1 and study Questions workplans </w:t>
      </w:r>
      <w:r w:rsidR="00630624" w:rsidRPr="15BD81B1">
        <w:rPr>
          <w:lang w:val="en-US"/>
        </w:rPr>
        <w:t>on</w:t>
      </w:r>
      <w:r w:rsidRPr="15BD81B1">
        <w:rPr>
          <w:lang w:val="en-US"/>
        </w:rPr>
        <w:t xml:space="preserve"> the table of content of final output reports and request their inputs (3.8.2 Resolution 1(Rev. Baku, 2025)).</w:t>
      </w:r>
    </w:p>
    <w:p w14:paraId="36D97AD8" w14:textId="3E0A61B7" w:rsidR="00FD6FE2" w:rsidRPr="00C02333" w:rsidRDefault="002B4429" w:rsidP="00C5446F">
      <w:pPr>
        <w:pStyle w:val="ListParagraph"/>
        <w:widowControl w:val="0"/>
        <w:numPr>
          <w:ilvl w:val="0"/>
          <w:numId w:val="6"/>
        </w:numPr>
        <w:spacing w:before="60" w:after="60"/>
        <w:ind w:left="714" w:hanging="357"/>
        <w:contextualSpacing w:val="0"/>
      </w:pPr>
      <w:r w:rsidRPr="15BD81B1">
        <w:rPr>
          <w:lang w:val="en-US"/>
        </w:rPr>
        <w:t xml:space="preserve">For a sustainable work with quality outputs, </w:t>
      </w:r>
      <w:r w:rsidR="00B87150" w:rsidRPr="15BD81B1">
        <w:rPr>
          <w:lang w:val="en-US"/>
        </w:rPr>
        <w:t xml:space="preserve">the </w:t>
      </w:r>
      <w:r w:rsidRPr="15BD81B1">
        <w:rPr>
          <w:lang w:val="en-US"/>
        </w:rPr>
        <w:t xml:space="preserve">SG1 Chair, </w:t>
      </w:r>
      <w:r w:rsidR="44E2517A" w:rsidRPr="15BD81B1">
        <w:rPr>
          <w:lang w:val="en-US"/>
        </w:rPr>
        <w:t>V</w:t>
      </w:r>
      <w:r w:rsidRPr="15BD81B1">
        <w:rPr>
          <w:lang w:val="en-US"/>
        </w:rPr>
        <w:t xml:space="preserve">ice-Chairs, Rapporteurs and </w:t>
      </w:r>
      <w:r w:rsidR="1EBE462B" w:rsidRPr="15BD81B1">
        <w:rPr>
          <w:lang w:val="en-US"/>
        </w:rPr>
        <w:t>V</w:t>
      </w:r>
      <w:r w:rsidRPr="15BD81B1">
        <w:rPr>
          <w:lang w:val="en-US"/>
        </w:rPr>
        <w:t xml:space="preserve">ice-Rapporteurs </w:t>
      </w:r>
      <w:r w:rsidR="009B3456" w:rsidRPr="15BD81B1">
        <w:rPr>
          <w:lang w:val="en-US"/>
        </w:rPr>
        <w:t xml:space="preserve">are </w:t>
      </w:r>
      <w:r w:rsidRPr="15BD81B1">
        <w:rPr>
          <w:lang w:val="en-US"/>
        </w:rPr>
        <w:t>require</w:t>
      </w:r>
      <w:r w:rsidR="009B3456" w:rsidRPr="15BD81B1">
        <w:rPr>
          <w:lang w:val="en-US"/>
        </w:rPr>
        <w:t>d</w:t>
      </w:r>
      <w:r w:rsidRPr="15BD81B1">
        <w:rPr>
          <w:lang w:val="en-US"/>
        </w:rPr>
        <w:t xml:space="preserve"> to be physically present at meetings and fully engaged in discharging their duties. This is achieved with commitment and support of their nominating entities. </w:t>
      </w:r>
      <w:r w:rsidR="3F35B3E0" w:rsidRPr="15BD81B1">
        <w:rPr>
          <w:lang w:val="en-US"/>
        </w:rPr>
        <w:t>Nonattendance</w:t>
      </w:r>
      <w:r w:rsidRPr="15BD81B1">
        <w:rPr>
          <w:lang w:val="en-US"/>
        </w:rPr>
        <w:t xml:space="preserve"> to meetings will be raised to the nominating </w:t>
      </w:r>
      <w:r w:rsidR="3A84BF6C" w:rsidRPr="15BD81B1">
        <w:rPr>
          <w:lang w:val="en-US"/>
        </w:rPr>
        <w:t>entities,</w:t>
      </w:r>
      <w:r w:rsidRPr="15BD81B1">
        <w:rPr>
          <w:lang w:val="en-US"/>
        </w:rPr>
        <w:t xml:space="preserve"> reminding them of their commitment (3.2.8 and 3.3.1 Resolution 1(Rev. Baku, 2025))</w:t>
      </w:r>
      <w:r w:rsidR="00B87150" w:rsidRPr="15BD81B1">
        <w:rPr>
          <w:lang w:val="en-US"/>
        </w:rPr>
        <w:t>.</w:t>
      </w:r>
    </w:p>
    <w:p w14:paraId="6DC5C503" w14:textId="2F5373A9" w:rsidR="00603CCA" w:rsidRPr="00C02333" w:rsidRDefault="00B35A1C" w:rsidP="00C5446F">
      <w:pPr>
        <w:pStyle w:val="ListParagraph"/>
        <w:widowControl w:val="0"/>
        <w:numPr>
          <w:ilvl w:val="0"/>
          <w:numId w:val="6"/>
        </w:numPr>
        <w:spacing w:before="60" w:after="60"/>
        <w:ind w:left="714" w:hanging="357"/>
        <w:contextualSpacing w:val="0"/>
      </w:pPr>
      <w:r w:rsidRPr="15BD81B1">
        <w:rPr>
          <w:lang w:val="en-US"/>
        </w:rPr>
        <w:t>Contributions on the activities</w:t>
      </w:r>
      <w:r w:rsidR="00E97EB7" w:rsidRPr="15BD81B1">
        <w:rPr>
          <w:lang w:val="en-US"/>
        </w:rPr>
        <w:t xml:space="preserve"> (projects, workshops, meetings)</w:t>
      </w:r>
      <w:r w:rsidRPr="15BD81B1">
        <w:rPr>
          <w:lang w:val="en-US"/>
        </w:rPr>
        <w:t xml:space="preserve"> undertaken at related national, regional and global </w:t>
      </w:r>
      <w:r w:rsidR="00E97EB7" w:rsidRPr="15BD81B1">
        <w:rPr>
          <w:lang w:val="en-US"/>
        </w:rPr>
        <w:t xml:space="preserve">level by ITU-D members </w:t>
      </w:r>
      <w:r w:rsidRPr="15BD81B1">
        <w:rPr>
          <w:lang w:val="en-US"/>
        </w:rPr>
        <w:t xml:space="preserve">are encouraged to enrich the work of the </w:t>
      </w:r>
      <w:r w:rsidR="47EF0F88" w:rsidRPr="15BD81B1">
        <w:rPr>
          <w:lang w:val="en-US"/>
        </w:rPr>
        <w:t>S</w:t>
      </w:r>
      <w:r w:rsidRPr="15BD81B1">
        <w:rPr>
          <w:lang w:val="en-US"/>
        </w:rPr>
        <w:t xml:space="preserve">tudy Questions. </w:t>
      </w:r>
    </w:p>
    <w:p w14:paraId="3B657B07" w14:textId="2F88ED7E" w:rsidR="00C73347" w:rsidRPr="00590766" w:rsidRDefault="00603CCA" w:rsidP="00C5446F">
      <w:pPr>
        <w:pStyle w:val="ListParagraph"/>
        <w:widowControl w:val="0"/>
        <w:numPr>
          <w:ilvl w:val="0"/>
          <w:numId w:val="6"/>
        </w:numPr>
        <w:spacing w:before="60" w:after="60"/>
        <w:ind w:left="714" w:hanging="357"/>
        <w:contextualSpacing w:val="0"/>
        <w:rPr>
          <w:lang w:val="en-US"/>
        </w:rPr>
      </w:pPr>
      <w:r w:rsidRPr="15BD81B1">
        <w:rPr>
          <w:lang w:val="en-US"/>
        </w:rPr>
        <w:t xml:space="preserve">At the beginning of the study period, </w:t>
      </w:r>
      <w:r w:rsidR="00E97EB7" w:rsidRPr="15BD81B1">
        <w:rPr>
          <w:lang w:val="en-US"/>
        </w:rPr>
        <w:t>BDT focal points for SG1</w:t>
      </w:r>
      <w:r w:rsidRPr="15BD81B1">
        <w:rPr>
          <w:lang w:val="en-US"/>
        </w:rPr>
        <w:t xml:space="preserve"> (from regional</w:t>
      </w:r>
      <w:r w:rsidR="00483880" w:rsidRPr="15BD81B1">
        <w:rPr>
          <w:lang w:val="en-US"/>
        </w:rPr>
        <w:t xml:space="preserve"> offices</w:t>
      </w:r>
      <w:r w:rsidRPr="15BD81B1">
        <w:rPr>
          <w:lang w:val="en-US"/>
        </w:rPr>
        <w:t xml:space="preserve"> and from HQ) are nominated as part of the management team of study Question. They play a crucial role in identifying and facilitating contributions from the region and from beneficiaries of ITU </w:t>
      </w:r>
      <w:r w:rsidR="212D80B7" w:rsidRPr="72D4C27B">
        <w:rPr>
          <w:lang w:val="en-US"/>
        </w:rPr>
        <w:t>projects</w:t>
      </w:r>
      <w:r w:rsidRPr="15BD81B1">
        <w:rPr>
          <w:lang w:val="en-US"/>
        </w:rPr>
        <w:t xml:space="preserve"> and initiatives.</w:t>
      </w:r>
    </w:p>
    <w:p w14:paraId="3F2D9814" w14:textId="09E5D3A7" w:rsidR="00C73347" w:rsidRPr="00590766" w:rsidRDefault="00C73347" w:rsidP="00E433F0">
      <w:pPr>
        <w:spacing w:after="120"/>
      </w:pPr>
      <w:r w:rsidRPr="00590766">
        <w:t xml:space="preserve">The preliminary work plan for Study Group 1 can be found in </w:t>
      </w:r>
      <w:r w:rsidRPr="00590766">
        <w:rPr>
          <w:b/>
          <w:bCs/>
        </w:rPr>
        <w:t xml:space="preserve">Annex </w:t>
      </w:r>
      <w:r w:rsidR="00FD6FE2" w:rsidRPr="00590766">
        <w:rPr>
          <w:b/>
          <w:bCs/>
        </w:rPr>
        <w:t>2</w:t>
      </w:r>
      <w:r w:rsidRPr="00590766">
        <w:t>. The work plan will be revised every year to guide the work of the study group.</w:t>
      </w:r>
    </w:p>
    <w:p w14:paraId="53301D9E" w14:textId="487EFC0D" w:rsidR="00C73347" w:rsidRPr="00E433F0" w:rsidRDefault="00C73347" w:rsidP="00E433F0">
      <w:pPr>
        <w:pStyle w:val="Heading1"/>
        <w:keepLines w:val="0"/>
        <w:numPr>
          <w:ilvl w:val="0"/>
          <w:numId w:val="18"/>
        </w:numPr>
        <w:tabs>
          <w:tab w:val="clear" w:pos="1871"/>
          <w:tab w:val="clear" w:pos="2268"/>
          <w:tab w:val="left" w:pos="567"/>
          <w:tab w:val="left" w:pos="1701"/>
        </w:tabs>
        <w:spacing w:before="120" w:after="120"/>
        <w:ind w:left="357" w:hanging="357"/>
        <w:rPr>
          <w:rFonts w:cstheme="minorHAnsi"/>
          <w:sz w:val="24"/>
          <w:szCs w:val="18"/>
        </w:rPr>
      </w:pPr>
      <w:r w:rsidRPr="00E433F0">
        <w:rPr>
          <w:rFonts w:cstheme="minorHAnsi"/>
          <w:sz w:val="24"/>
          <w:szCs w:val="18"/>
        </w:rPr>
        <w:t>Collaborative tools</w:t>
      </w:r>
    </w:p>
    <w:p w14:paraId="7A14D681" w14:textId="79561720" w:rsidR="00603CCA" w:rsidRPr="00590766" w:rsidRDefault="00603CCA" w:rsidP="00E433F0">
      <w:pPr>
        <w:spacing w:after="120"/>
        <w:rPr>
          <w:rFonts w:cstheme="minorBidi"/>
        </w:rPr>
      </w:pPr>
      <w:r w:rsidRPr="00590766">
        <w:t>SG1 s</w:t>
      </w:r>
      <w:r w:rsidR="00C73347" w:rsidRPr="00590766">
        <w:t>ecretariat</w:t>
      </w:r>
      <w:r w:rsidRPr="00590766">
        <w:t>, in collaboration with BDT IT support, puts in place</w:t>
      </w:r>
      <w:r w:rsidR="00C73347" w:rsidRPr="00590766">
        <w:t xml:space="preserve"> </w:t>
      </w:r>
      <w:hyperlink r:id="rId25" w:history="1">
        <w:r w:rsidR="00C73347" w:rsidRPr="00590766">
          <w:rPr>
            <w:rStyle w:val="Hyperlink"/>
          </w:rPr>
          <w:t>collaborative tools</w:t>
        </w:r>
      </w:hyperlink>
      <w:r w:rsidR="00C73347" w:rsidRPr="00590766">
        <w:t xml:space="preserve"> </w:t>
      </w:r>
      <w:r w:rsidR="00570403" w:rsidRPr="00590766">
        <w:t>that allows active collaborators, management team members and meeting participants to work together efficiently. These tools are evol</w:t>
      </w:r>
      <w:r w:rsidRPr="00590766">
        <w:rPr>
          <w:rFonts w:cstheme="minorBidi"/>
        </w:rPr>
        <w:t xml:space="preserve">ving. In addition to remote participation services and the webcast in the languages of the respective meeting, mailing lists are mae available to participants and management team members. MS teams </w:t>
      </w:r>
      <w:r w:rsidR="00570403" w:rsidRPr="00590766">
        <w:rPr>
          <w:rFonts w:cstheme="minorBidi"/>
        </w:rPr>
        <w:t>are</w:t>
      </w:r>
      <w:r w:rsidRPr="00590766">
        <w:rPr>
          <w:rFonts w:cstheme="minorBidi"/>
        </w:rPr>
        <w:t xml:space="preserve"> created for use by each Question management team as per their convenience. The automatic captioning in various languages</w:t>
      </w:r>
      <w:r w:rsidR="00570403" w:rsidRPr="00590766">
        <w:rPr>
          <w:rFonts w:cstheme="minorBidi"/>
        </w:rPr>
        <w:t xml:space="preserve"> is </w:t>
      </w:r>
      <w:r w:rsidRPr="00590766">
        <w:rPr>
          <w:rFonts w:cstheme="minorBidi"/>
        </w:rPr>
        <w:t xml:space="preserve">highly appreciated by the Question management team members as it improves accessibility and exchanges during the e-Meetings. Captioning in all SG1 meetings and Sign language interpretation in </w:t>
      </w:r>
      <w:hyperlink r:id="rId26" w:history="1">
        <w:r w:rsidR="00570403" w:rsidRPr="00C02333">
          <w:rPr>
            <w:rStyle w:val="Hyperlink"/>
            <w:rFonts w:cs="Calibri"/>
            <w:lang w:eastAsia="zh-CN"/>
          </w:rPr>
          <w:t>Question 5/1</w:t>
        </w:r>
      </w:hyperlink>
      <w:r w:rsidR="00570403" w:rsidRPr="00C02333">
        <w:rPr>
          <w:rFonts w:cs="Calibri"/>
          <w:color w:val="1E1E1E"/>
          <w:lang w:eastAsia="zh-CN"/>
        </w:rPr>
        <w:t xml:space="preserve"> </w:t>
      </w:r>
      <w:r w:rsidRPr="00590766">
        <w:rPr>
          <w:rFonts w:cstheme="minorBidi"/>
        </w:rPr>
        <w:t>meetings is offered and appreciated. At the</w:t>
      </w:r>
      <w:r w:rsidR="00570403" w:rsidRPr="00590766">
        <w:rPr>
          <w:rFonts w:cstheme="minorBidi"/>
        </w:rPr>
        <w:t xml:space="preserve"> last </w:t>
      </w:r>
      <w:r w:rsidRPr="00590766">
        <w:rPr>
          <w:rFonts w:cstheme="minorBidi"/>
        </w:rPr>
        <w:t>SG1 management team meeting and joint SG1-</w:t>
      </w:r>
      <w:r w:rsidRPr="00590766">
        <w:rPr>
          <w:rFonts w:cstheme="minorBidi"/>
        </w:rPr>
        <w:lastRenderedPageBreak/>
        <w:t xml:space="preserve">SG2 management team meeting </w:t>
      </w:r>
      <w:r w:rsidR="00570403" w:rsidRPr="00590766">
        <w:rPr>
          <w:rFonts w:cstheme="minorBidi"/>
        </w:rPr>
        <w:t xml:space="preserve">in 2025 </w:t>
      </w:r>
      <w:r w:rsidRPr="00590766">
        <w:rPr>
          <w:rFonts w:cstheme="minorBidi"/>
        </w:rPr>
        <w:t>(usually have no interpretation facility), AI-interpretation was trialled</w:t>
      </w:r>
      <w:r w:rsidR="00570403" w:rsidRPr="00590766">
        <w:rPr>
          <w:rFonts w:cstheme="minorBidi"/>
        </w:rPr>
        <w:t xml:space="preserve"> and further trials of additional tools may be conducted.</w:t>
      </w:r>
    </w:p>
    <w:p w14:paraId="0C760B6D" w14:textId="76CB59EA" w:rsidR="00603CCA" w:rsidRPr="00E433F0" w:rsidRDefault="00603CCA" w:rsidP="00E433F0">
      <w:pPr>
        <w:spacing w:after="120"/>
        <w:rPr>
          <w:rFonts w:cstheme="minorHAnsi"/>
          <w:szCs w:val="24"/>
        </w:rPr>
      </w:pPr>
      <w:r w:rsidRPr="00590766">
        <w:rPr>
          <w:rFonts w:cstheme="minorBidi"/>
        </w:rPr>
        <w:t>The contributions repository &amp; dashboard</w:t>
      </w:r>
      <w:r w:rsidRPr="00590766">
        <w:rPr>
          <w:rStyle w:val="FootnoteReference"/>
          <w:rFonts w:cstheme="minorBidi"/>
        </w:rPr>
        <w:footnoteReference w:id="1"/>
      </w:r>
      <w:r w:rsidRPr="00590766">
        <w:rPr>
          <w:rFonts w:cstheme="minorBidi"/>
        </w:rPr>
        <w:t>, which facilitates the search of previous contributions, and their abstracts is updated. Automatic document (machine) translation names “ITUTranslate</w:t>
      </w:r>
      <w:r w:rsidRPr="00590766">
        <w:rPr>
          <w:rStyle w:val="FootnoteReference"/>
          <w:rFonts w:cstheme="minorBidi"/>
        </w:rPr>
        <w:footnoteReference w:id="2"/>
      </w:r>
      <w:r w:rsidRPr="00590766">
        <w:rPr>
          <w:rFonts w:cstheme="minorBidi"/>
        </w:rPr>
        <w:t>” is available on the ties protected document management repository whereby contributions, reports and other meeting documents can be translated from one UN official language into another UN official language by the reader.</w:t>
      </w:r>
      <w:r w:rsidR="00E2339E" w:rsidRPr="00590766">
        <w:rPr>
          <w:rFonts w:cstheme="minorBidi"/>
        </w:rPr>
        <w:t xml:space="preserve"> The ITU-D Study Group website for 2026-2029 has been developed and is online.</w:t>
      </w:r>
      <w:r w:rsidRPr="00590766">
        <w:rPr>
          <w:rFonts w:cstheme="minorBidi"/>
        </w:rPr>
        <w:t xml:space="preserve"> All ITU-D study Group website pages, as is the case for all BDT webpages, are available in all </w:t>
      </w:r>
      <w:r w:rsidR="00E2339E" w:rsidRPr="00590766">
        <w:rPr>
          <w:rFonts w:cstheme="minorBidi"/>
        </w:rPr>
        <w:t xml:space="preserve">UN </w:t>
      </w:r>
      <w:r w:rsidRPr="00590766">
        <w:rPr>
          <w:rFonts w:cstheme="minorBidi"/>
        </w:rPr>
        <w:t>official languages with the ITUTranslate widget.</w:t>
      </w:r>
    </w:p>
    <w:p w14:paraId="031BAF6A" w14:textId="7A23504E" w:rsidR="00570403" w:rsidRPr="00590766" w:rsidRDefault="00570403" w:rsidP="00E433F0">
      <w:pPr>
        <w:spacing w:after="120"/>
      </w:pPr>
      <w:r w:rsidRPr="00590766">
        <w:t xml:space="preserve">To access collaborative tools as well as all SG1 documents, an </w:t>
      </w:r>
      <w:hyperlink r:id="rId27" w:history="1">
        <w:r w:rsidRPr="00590766">
          <w:rPr>
            <w:rStyle w:val="Hyperlink"/>
          </w:rPr>
          <w:t>active TIES account</w:t>
        </w:r>
      </w:hyperlink>
      <w:r w:rsidRPr="00590766">
        <w:t xml:space="preserve"> is required.</w:t>
      </w:r>
    </w:p>
    <w:p w14:paraId="27A1121E" w14:textId="46E61D27" w:rsidR="00603CCA" w:rsidRPr="00590766" w:rsidRDefault="00603CCA" w:rsidP="00E433F0">
      <w:pPr>
        <w:spacing w:after="120"/>
        <w:rPr>
          <w:rFonts w:cstheme="minorBidi"/>
        </w:rPr>
      </w:pPr>
      <w:r w:rsidRPr="00590766">
        <w:rPr>
          <w:rFonts w:cstheme="minorBidi"/>
        </w:rPr>
        <w:t xml:space="preserve">Study group participants </w:t>
      </w:r>
      <w:r w:rsidR="00845B8D" w:rsidRPr="00590766">
        <w:rPr>
          <w:rFonts w:cstheme="minorBidi"/>
        </w:rPr>
        <w:t xml:space="preserve">are </w:t>
      </w:r>
      <w:r w:rsidRPr="00590766">
        <w:rPr>
          <w:rFonts w:cstheme="minorBidi"/>
        </w:rPr>
        <w:t>encouraged to explore the tools and to provide any feedback to the secretariat</w:t>
      </w:r>
      <w:r w:rsidR="00E2339E" w:rsidRPr="00590766">
        <w:rPr>
          <w:rFonts w:cstheme="minorBidi"/>
        </w:rPr>
        <w:t xml:space="preserve"> </w:t>
      </w:r>
      <w:r w:rsidR="4267217A" w:rsidRPr="00590766">
        <w:rPr>
          <w:rFonts w:cstheme="minorBidi"/>
        </w:rPr>
        <w:t>(</w:t>
      </w:r>
      <w:hyperlink r:id="rId28" w:history="1">
        <w:r w:rsidR="4267217A" w:rsidRPr="00590766">
          <w:rPr>
            <w:rStyle w:val="Hyperlink"/>
            <w:rFonts w:cstheme="minorBidi"/>
          </w:rPr>
          <w:t>devsg@itu.int</w:t>
        </w:r>
      </w:hyperlink>
      <w:r w:rsidR="00E2339E" w:rsidRPr="00590766">
        <w:rPr>
          <w:rFonts w:cstheme="minorBidi"/>
        </w:rPr>
        <w:t>)</w:t>
      </w:r>
      <w:r w:rsidRPr="00590766">
        <w:rPr>
          <w:rFonts w:cstheme="minorBidi"/>
        </w:rPr>
        <w:t xml:space="preserve"> to assist in their improvement.</w:t>
      </w:r>
    </w:p>
    <w:p w14:paraId="637B4460" w14:textId="03C85F3A" w:rsidR="00C73347" w:rsidRPr="00E433F0" w:rsidRDefault="00C73347" w:rsidP="00E433F0">
      <w:pPr>
        <w:pStyle w:val="Heading1"/>
        <w:keepLines w:val="0"/>
        <w:numPr>
          <w:ilvl w:val="0"/>
          <w:numId w:val="18"/>
        </w:numPr>
        <w:tabs>
          <w:tab w:val="clear" w:pos="1871"/>
          <w:tab w:val="clear" w:pos="2268"/>
          <w:tab w:val="left" w:pos="567"/>
          <w:tab w:val="left" w:pos="1701"/>
        </w:tabs>
        <w:spacing w:before="120" w:after="120"/>
        <w:ind w:left="357" w:hanging="357"/>
        <w:rPr>
          <w:rFonts w:cstheme="minorHAnsi"/>
          <w:sz w:val="24"/>
          <w:szCs w:val="18"/>
        </w:rPr>
      </w:pPr>
      <w:r w:rsidRPr="00E433F0">
        <w:rPr>
          <w:rFonts w:cstheme="minorHAnsi"/>
          <w:sz w:val="24"/>
          <w:szCs w:val="18"/>
        </w:rPr>
        <w:t>Conclusion</w:t>
      </w:r>
    </w:p>
    <w:p w14:paraId="373E5EC8" w14:textId="66D57EDB" w:rsidR="00CA68D9" w:rsidRPr="00C02333" w:rsidRDefault="00C73347" w:rsidP="00E433F0">
      <w:pPr>
        <w:spacing w:after="120"/>
        <w:rPr>
          <w:lang w:val="en-US"/>
        </w:rPr>
      </w:pPr>
      <w:r w:rsidRPr="3D08685F">
        <w:rPr>
          <w:lang w:val="en-US"/>
        </w:rPr>
        <w:t xml:space="preserve">With its new agreed scope of work and assigned study Questions, </w:t>
      </w:r>
      <w:r w:rsidR="00462CB2" w:rsidRPr="3D08685F">
        <w:rPr>
          <w:lang w:val="en-US"/>
        </w:rPr>
        <w:t xml:space="preserve">Study Group 1 will meet from </w:t>
      </w:r>
      <w:r w:rsidR="007018EE" w:rsidRPr="3D08685F">
        <w:rPr>
          <w:lang w:val="en-US"/>
        </w:rPr>
        <w:t>1</w:t>
      </w:r>
      <w:r w:rsidR="00E2339E" w:rsidRPr="3D08685F">
        <w:rPr>
          <w:lang w:val="en-US"/>
        </w:rPr>
        <w:t>3</w:t>
      </w:r>
      <w:r w:rsidR="007018EE" w:rsidRPr="3D08685F">
        <w:rPr>
          <w:lang w:val="en-US"/>
        </w:rPr>
        <w:t xml:space="preserve"> to 17 April 202</w:t>
      </w:r>
      <w:r w:rsidR="00554080" w:rsidRPr="3D08685F">
        <w:rPr>
          <w:lang w:val="en-US"/>
        </w:rPr>
        <w:t>6</w:t>
      </w:r>
      <w:r w:rsidRPr="3D08685F">
        <w:rPr>
          <w:lang w:val="en-US"/>
        </w:rPr>
        <w:t xml:space="preserve">. The first meetings will </w:t>
      </w:r>
      <w:r w:rsidR="00462CB2" w:rsidRPr="3D08685F">
        <w:rPr>
          <w:lang w:val="en-US"/>
        </w:rPr>
        <w:t xml:space="preserve">closely </w:t>
      </w:r>
      <w:r w:rsidRPr="3D08685F">
        <w:rPr>
          <w:lang w:val="en-US"/>
        </w:rPr>
        <w:t>look at the expected results agreed on by the membership at WTDC-</w:t>
      </w:r>
      <w:r w:rsidR="007018EE" w:rsidRPr="3D08685F">
        <w:rPr>
          <w:lang w:val="en-US"/>
        </w:rPr>
        <w:t>25</w:t>
      </w:r>
      <w:r w:rsidRPr="3D08685F">
        <w:rPr>
          <w:lang w:val="en-US"/>
        </w:rPr>
        <w:t xml:space="preserve">, identify methods for conducting its work and agree on detailed work plans for each study Question. These meetings will also appoint Rapporteurs and </w:t>
      </w:r>
      <w:r w:rsidR="11871A40" w:rsidRPr="3D08685F">
        <w:rPr>
          <w:lang w:val="en-US"/>
        </w:rPr>
        <w:t>V</w:t>
      </w:r>
      <w:r w:rsidRPr="3D08685F">
        <w:rPr>
          <w:lang w:val="en-US"/>
        </w:rPr>
        <w:t xml:space="preserve">ice-Rapporteurs for each of the study Questions. </w:t>
      </w:r>
    </w:p>
    <w:p w14:paraId="4639B1EA" w14:textId="27708435" w:rsidR="00CA68D9" w:rsidRPr="00590766" w:rsidRDefault="007018EE" w:rsidP="00E433F0">
      <w:pPr>
        <w:spacing w:after="120"/>
      </w:pPr>
      <w:r w:rsidRPr="00C02333">
        <w:rPr>
          <w:szCs w:val="24"/>
        </w:rPr>
        <w:t>Onboarding</w:t>
      </w:r>
      <w:r w:rsidR="00C73347" w:rsidRPr="00C02333">
        <w:rPr>
          <w:szCs w:val="24"/>
        </w:rPr>
        <w:t xml:space="preserve"> sessions </w:t>
      </w:r>
      <w:r w:rsidR="00CA68D9" w:rsidRPr="00C02333">
        <w:rPr>
          <w:szCs w:val="24"/>
        </w:rPr>
        <w:t>on</w:t>
      </w:r>
      <w:r w:rsidR="00C73347" w:rsidRPr="00C02333">
        <w:rPr>
          <w:szCs w:val="24"/>
        </w:rPr>
        <w:t xml:space="preserve"> the work of the ITU-D study groups, with details on the working methods and tools available to study group participants, will be provided on the first day of the meeting.</w:t>
      </w:r>
      <w:r w:rsidR="00CA68D9" w:rsidRPr="00C02333">
        <w:rPr>
          <w:szCs w:val="24"/>
        </w:rPr>
        <w:t xml:space="preserve"> </w:t>
      </w:r>
      <w:r w:rsidR="00CA68D9" w:rsidRPr="00590766">
        <w:t xml:space="preserve">The </w:t>
      </w:r>
      <w:hyperlink r:id="rId29" w:history="1">
        <w:r w:rsidR="00CA68D9" w:rsidRPr="00590766">
          <w:rPr>
            <w:rStyle w:val="Hyperlink"/>
          </w:rPr>
          <w:t>briefing for delegates</w:t>
        </w:r>
      </w:hyperlink>
      <w:r w:rsidR="00CA68D9" w:rsidRPr="00590766">
        <w:t xml:space="preserve"> document has been updated and is available to the public in all </w:t>
      </w:r>
      <w:r w:rsidR="00CA68D9" w:rsidRPr="00590766">
        <w:rPr>
          <w:rFonts w:cstheme="minorBidi"/>
        </w:rPr>
        <w:t>UN official languages. This document is proposed for reading prior to attending the onboarding sessions.</w:t>
      </w:r>
    </w:p>
    <w:p w14:paraId="57F7A088" w14:textId="3B634ADB" w:rsidR="00C73347" w:rsidRPr="00590766" w:rsidRDefault="00C73347" w:rsidP="00E433F0">
      <w:pPr>
        <w:spacing w:after="120"/>
        <w:rPr>
          <w:bCs/>
          <w:szCs w:val="24"/>
        </w:rPr>
      </w:pPr>
      <w:r w:rsidRPr="00590766">
        <w:rPr>
          <w:bCs/>
          <w:szCs w:val="24"/>
        </w:rPr>
        <w:t>The 20</w:t>
      </w:r>
      <w:r w:rsidR="007018EE" w:rsidRPr="00590766">
        <w:rPr>
          <w:bCs/>
          <w:szCs w:val="24"/>
        </w:rPr>
        <w:t>26</w:t>
      </w:r>
      <w:r w:rsidRPr="00590766">
        <w:rPr>
          <w:bCs/>
          <w:szCs w:val="24"/>
        </w:rPr>
        <w:t xml:space="preserve"> block of Study Group 1 Rapporteur Group meetings are planned to take place from </w:t>
      </w:r>
      <w:r w:rsidR="00D8260D" w:rsidRPr="00590766">
        <w:rPr>
          <w:bCs/>
          <w:szCs w:val="24"/>
        </w:rPr>
        <w:t xml:space="preserve">28 September </w:t>
      </w:r>
      <w:r w:rsidRPr="00590766">
        <w:rPr>
          <w:bCs/>
          <w:szCs w:val="24"/>
        </w:rPr>
        <w:t xml:space="preserve">to </w:t>
      </w:r>
      <w:r w:rsidR="00D8260D" w:rsidRPr="00590766">
        <w:rPr>
          <w:bCs/>
          <w:szCs w:val="24"/>
        </w:rPr>
        <w:t xml:space="preserve">7 </w:t>
      </w:r>
      <w:r w:rsidR="007018EE" w:rsidRPr="00590766">
        <w:rPr>
          <w:bCs/>
          <w:szCs w:val="24"/>
        </w:rPr>
        <w:t xml:space="preserve">October </w:t>
      </w:r>
      <w:r w:rsidRPr="00590766">
        <w:rPr>
          <w:bCs/>
          <w:szCs w:val="24"/>
        </w:rPr>
        <w:t>20</w:t>
      </w:r>
      <w:r w:rsidR="007018EE" w:rsidRPr="00590766">
        <w:rPr>
          <w:bCs/>
          <w:szCs w:val="24"/>
        </w:rPr>
        <w:t>26</w:t>
      </w:r>
      <w:r w:rsidRPr="00590766">
        <w:rPr>
          <w:bCs/>
          <w:szCs w:val="24"/>
        </w:rPr>
        <w:t xml:space="preserve">. </w:t>
      </w:r>
    </w:p>
    <w:p w14:paraId="51D66A74" w14:textId="77777777" w:rsidR="00C73347" w:rsidRPr="00C02333" w:rsidRDefault="00C73347" w:rsidP="00C73347">
      <w:pPr>
        <w:rPr>
          <w:szCs w:val="24"/>
        </w:rPr>
      </w:pPr>
    </w:p>
    <w:p w14:paraId="29BED74F" w14:textId="77777777" w:rsidR="00C73347" w:rsidRPr="00590766" w:rsidRDefault="00C73347" w:rsidP="00C73347">
      <w:pPr>
        <w:overflowPunct/>
        <w:autoSpaceDE/>
        <w:autoSpaceDN/>
        <w:adjustRightInd/>
        <w:spacing w:before="0"/>
        <w:textAlignment w:val="auto"/>
        <w:rPr>
          <w:b/>
          <w:sz w:val="28"/>
        </w:rPr>
      </w:pPr>
    </w:p>
    <w:p w14:paraId="1956AC25" w14:textId="77777777" w:rsidR="00BD239D" w:rsidRPr="00590766" w:rsidRDefault="00BD239D" w:rsidP="00C73347">
      <w:pPr>
        <w:pStyle w:val="Annextitle"/>
        <w:spacing w:before="120" w:after="0"/>
        <w:sectPr w:rsidR="00BD239D" w:rsidRPr="00590766" w:rsidSect="00BB1F53">
          <w:headerReference w:type="default" r:id="rId30"/>
          <w:footerReference w:type="even" r:id="rId31"/>
          <w:footerReference w:type="first" r:id="rId32"/>
          <w:pgSz w:w="11907" w:h="16840" w:code="9"/>
          <w:pgMar w:top="1440" w:right="1134" w:bottom="1134" w:left="1134" w:header="720" w:footer="720" w:gutter="0"/>
          <w:paperSrc w:first="7" w:other="7"/>
          <w:pgNumType w:start="1"/>
          <w:cols w:space="720"/>
          <w:titlePg/>
          <w:docGrid w:linePitch="326"/>
        </w:sectPr>
      </w:pPr>
    </w:p>
    <w:p w14:paraId="2D8DC2E5" w14:textId="206B3EA4" w:rsidR="00FD6FE2" w:rsidRDefault="00FD6FE2" w:rsidP="00FD6FE2">
      <w:pPr>
        <w:pStyle w:val="Annextitle"/>
        <w:spacing w:before="120" w:after="0"/>
        <w:rPr>
          <w:sz w:val="24"/>
          <w:szCs w:val="18"/>
        </w:rPr>
      </w:pPr>
      <w:r w:rsidRPr="00C5446F">
        <w:rPr>
          <w:sz w:val="24"/>
          <w:szCs w:val="18"/>
        </w:rPr>
        <w:lastRenderedPageBreak/>
        <w:t>Annex 1: Structure of Baku Action Plan and its contribution to the ITU strategic plan</w:t>
      </w:r>
    </w:p>
    <w:p w14:paraId="660CE340" w14:textId="77777777" w:rsidR="00990627" w:rsidRPr="00990627" w:rsidRDefault="00990627" w:rsidP="00990627"/>
    <w:p w14:paraId="75F20A63" w14:textId="4C7A81FE" w:rsidR="00A6634C" w:rsidRPr="00590766" w:rsidRDefault="00471287" w:rsidP="00C02333">
      <w:pPr>
        <w:jc w:val="center"/>
      </w:pPr>
      <w:r w:rsidRPr="00590766">
        <w:rPr>
          <w:noProof/>
        </w:rPr>
        <w:drawing>
          <wp:inline distT="0" distB="0" distL="0" distR="0" wp14:anchorId="12D9CD09" wp14:editId="5E1784D2">
            <wp:extent cx="7592874" cy="4626591"/>
            <wp:effectExtent l="0" t="0" r="8255" b="3175"/>
            <wp:docPr id="7345217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521706" name=""/>
                    <pic:cNvPicPr/>
                  </pic:nvPicPr>
                  <pic:blipFill>
                    <a:blip r:embed="rId33"/>
                    <a:stretch>
                      <a:fillRect/>
                    </a:stretch>
                  </pic:blipFill>
                  <pic:spPr>
                    <a:xfrm>
                      <a:off x="0" y="0"/>
                      <a:ext cx="7613237" cy="4638999"/>
                    </a:xfrm>
                    <a:prstGeom prst="rect">
                      <a:avLst/>
                    </a:prstGeom>
                  </pic:spPr>
                </pic:pic>
              </a:graphicData>
            </a:graphic>
          </wp:inline>
        </w:drawing>
      </w:r>
    </w:p>
    <w:p w14:paraId="214E8CCD" w14:textId="15514B22" w:rsidR="00FD6FE2" w:rsidRPr="00590766" w:rsidRDefault="00FD6FE2" w:rsidP="00FD6FE2"/>
    <w:p w14:paraId="2D16D4FE" w14:textId="1930BE6D" w:rsidR="00C73347" w:rsidRPr="00590766" w:rsidRDefault="00C73347" w:rsidP="00C73347">
      <w:pPr>
        <w:pStyle w:val="Annextitle"/>
        <w:spacing w:before="120" w:after="0"/>
      </w:pPr>
      <w:r w:rsidRPr="00C5446F">
        <w:rPr>
          <w:sz w:val="24"/>
          <w:szCs w:val="18"/>
        </w:rPr>
        <w:lastRenderedPageBreak/>
        <w:t xml:space="preserve">Annex </w:t>
      </w:r>
      <w:r w:rsidR="00FD6FE2" w:rsidRPr="00C5446F">
        <w:rPr>
          <w:sz w:val="24"/>
          <w:szCs w:val="18"/>
        </w:rPr>
        <w:t>2</w:t>
      </w:r>
      <w:r w:rsidRPr="00C5446F">
        <w:rPr>
          <w:sz w:val="24"/>
          <w:szCs w:val="18"/>
        </w:rPr>
        <w:t>: ITU-D Study Group 1 work plan</w:t>
      </w:r>
    </w:p>
    <w:p w14:paraId="78B9C055" w14:textId="7E155463" w:rsidR="00C73347" w:rsidRPr="00590766" w:rsidRDefault="00D8260D" w:rsidP="00C73347">
      <w:pPr>
        <w:spacing w:after="120"/>
        <w:jc w:val="center"/>
        <w:rPr>
          <w:b/>
          <w:bCs/>
          <w:szCs w:val="24"/>
        </w:rPr>
      </w:pPr>
      <w:r w:rsidRPr="00EC0817">
        <w:rPr>
          <w:b/>
          <w:bCs/>
          <w:noProof/>
          <w:szCs w:val="24"/>
        </w:rPr>
        <w:drawing>
          <wp:inline distT="0" distB="0" distL="0" distR="0" wp14:anchorId="13535E37" wp14:editId="14BFD777">
            <wp:extent cx="8978002" cy="5426936"/>
            <wp:effectExtent l="0" t="0" r="0" b="2540"/>
            <wp:docPr id="8650822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082228" name=""/>
                    <pic:cNvPicPr/>
                  </pic:nvPicPr>
                  <pic:blipFill>
                    <a:blip r:embed="rId34"/>
                    <a:stretch>
                      <a:fillRect/>
                    </a:stretch>
                  </pic:blipFill>
                  <pic:spPr>
                    <a:xfrm>
                      <a:off x="0" y="0"/>
                      <a:ext cx="8998565" cy="5439366"/>
                    </a:xfrm>
                    <a:prstGeom prst="rect">
                      <a:avLst/>
                    </a:prstGeom>
                  </pic:spPr>
                </pic:pic>
              </a:graphicData>
            </a:graphic>
          </wp:inline>
        </w:drawing>
      </w:r>
    </w:p>
    <w:p w14:paraId="091480C2" w14:textId="5CA961E5" w:rsidR="00D83BF5" w:rsidRPr="0084734D" w:rsidRDefault="00E97EB7" w:rsidP="00E97EB7">
      <w:pPr>
        <w:jc w:val="center"/>
        <w:rPr>
          <w:szCs w:val="24"/>
        </w:rPr>
      </w:pPr>
      <w:r w:rsidRPr="00590766">
        <w:rPr>
          <w:szCs w:val="24"/>
        </w:rPr>
        <w:t>________</w:t>
      </w:r>
    </w:p>
    <w:sectPr w:rsidR="00D83BF5" w:rsidRPr="0084734D" w:rsidSect="00E97EB7">
      <w:headerReference w:type="default" r:id="rId35"/>
      <w:pgSz w:w="16840" w:h="11907" w:orient="landscape" w:code="9"/>
      <w:pgMar w:top="1134" w:right="1418" w:bottom="1134"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E09D3" w14:textId="77777777" w:rsidR="00001934" w:rsidRPr="00590766" w:rsidRDefault="00001934">
      <w:r w:rsidRPr="00590766">
        <w:separator/>
      </w:r>
    </w:p>
  </w:endnote>
  <w:endnote w:type="continuationSeparator" w:id="0">
    <w:p w14:paraId="06779EB8" w14:textId="77777777" w:rsidR="00001934" w:rsidRPr="00590766" w:rsidRDefault="00001934">
      <w:r w:rsidRPr="005907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D8B7D" w14:textId="77777777" w:rsidR="00E45D05" w:rsidRPr="00590766" w:rsidRDefault="00E45D05">
    <w:pPr>
      <w:framePr w:wrap="around" w:vAnchor="text" w:hAnchor="margin" w:xAlign="right" w:y="1"/>
    </w:pPr>
    <w:r w:rsidRPr="00590766">
      <w:fldChar w:fldCharType="begin"/>
    </w:r>
    <w:r w:rsidRPr="00590766">
      <w:instrText xml:space="preserve">PAGE  </w:instrText>
    </w:r>
    <w:r w:rsidRPr="00590766">
      <w:fldChar w:fldCharType="end"/>
    </w:r>
  </w:p>
  <w:p w14:paraId="632D1CA4" w14:textId="725280F8" w:rsidR="00E45D05" w:rsidRPr="004D2690" w:rsidRDefault="00E45D05">
    <w:pPr>
      <w:ind w:right="360"/>
    </w:pPr>
    <w:r w:rsidRPr="00590766">
      <w:fldChar w:fldCharType="begin"/>
    </w:r>
    <w:r w:rsidRPr="00C02333">
      <w:instrText xml:space="preserve"> FILENAME \p  \* MERGEFORMAT </w:instrText>
    </w:r>
    <w:r w:rsidRPr="00590766">
      <w:fldChar w:fldCharType="separate"/>
    </w:r>
    <w:r w:rsidR="00264508" w:rsidRPr="00C02333">
      <w:t>P:\SUP\Meetings\TDAG\2018-23rd\Documents\C\012E_v7_SG1_with-input-IEE.docx</w:t>
    </w:r>
    <w:r w:rsidRPr="00590766">
      <w:fldChar w:fldCharType="end"/>
    </w:r>
    <w:r w:rsidRPr="00C02333">
      <w:tab/>
    </w:r>
    <w:r w:rsidRPr="00590766">
      <w:fldChar w:fldCharType="begin"/>
    </w:r>
    <w:r w:rsidRPr="00590766">
      <w:instrText xml:space="preserve"> SAVEDATE \@ DD.MM.YY </w:instrText>
    </w:r>
    <w:r w:rsidRPr="00590766">
      <w:fldChar w:fldCharType="separate"/>
    </w:r>
    <w:r w:rsidR="00993563">
      <w:rPr>
        <w:noProof/>
      </w:rPr>
      <w:t>03.03.26</w:t>
    </w:r>
    <w:r w:rsidRPr="00590766">
      <w:fldChar w:fldCharType="end"/>
    </w:r>
    <w:r w:rsidRPr="00C02333">
      <w:tab/>
    </w:r>
    <w:r w:rsidRPr="00590766">
      <w:fldChar w:fldCharType="begin"/>
    </w:r>
    <w:r w:rsidRPr="00590766">
      <w:instrText xml:space="preserve"> PRINTDATE \@ DD.MM.YY </w:instrText>
    </w:r>
    <w:r w:rsidRPr="00590766">
      <w:fldChar w:fldCharType="separate"/>
    </w:r>
    <w:r w:rsidR="00264508" w:rsidRPr="00C02333">
      <w:t>24.08.11</w:t>
    </w:r>
    <w:r w:rsidRPr="0059076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4A0" w:firstRow="1" w:lastRow="0" w:firstColumn="1" w:lastColumn="0" w:noHBand="0" w:noVBand="1"/>
    </w:tblPr>
    <w:tblGrid>
      <w:gridCol w:w="1526"/>
      <w:gridCol w:w="2410"/>
      <w:gridCol w:w="5987"/>
    </w:tblGrid>
    <w:tr w:rsidR="00C73347" w:rsidRPr="005973C4" w14:paraId="7933F9C6" w14:textId="77777777" w:rsidTr="00C73347">
      <w:tc>
        <w:tcPr>
          <w:tcW w:w="1526" w:type="dxa"/>
          <w:tcBorders>
            <w:top w:val="single" w:sz="4" w:space="0" w:color="000000"/>
          </w:tcBorders>
        </w:tcPr>
        <w:p w14:paraId="16BB06E2" w14:textId="77777777" w:rsidR="00C73347" w:rsidRPr="005973C4" w:rsidRDefault="00C73347" w:rsidP="00C73347">
          <w:pPr>
            <w:pStyle w:val="FirstFooter"/>
            <w:tabs>
              <w:tab w:val="left" w:pos="1559"/>
              <w:tab w:val="left" w:pos="3828"/>
            </w:tabs>
            <w:rPr>
              <w:sz w:val="18"/>
              <w:szCs w:val="18"/>
            </w:rPr>
          </w:pPr>
          <w:r w:rsidRPr="005973C4">
            <w:rPr>
              <w:sz w:val="18"/>
              <w:szCs w:val="18"/>
            </w:rPr>
            <w:t>Contact:</w:t>
          </w:r>
        </w:p>
      </w:tc>
      <w:tc>
        <w:tcPr>
          <w:tcW w:w="2410" w:type="dxa"/>
          <w:tcBorders>
            <w:top w:val="single" w:sz="4" w:space="0" w:color="000000"/>
          </w:tcBorders>
        </w:tcPr>
        <w:p w14:paraId="2003B790" w14:textId="77777777" w:rsidR="00C73347" w:rsidRPr="005973C4" w:rsidRDefault="00C73347" w:rsidP="00C73347">
          <w:pPr>
            <w:pStyle w:val="FirstFooter"/>
            <w:tabs>
              <w:tab w:val="left" w:pos="2302"/>
            </w:tabs>
            <w:ind w:left="2302" w:hanging="2302"/>
            <w:rPr>
              <w:sz w:val="18"/>
              <w:szCs w:val="18"/>
            </w:rPr>
          </w:pPr>
          <w:r w:rsidRPr="005973C4">
            <w:rPr>
              <w:sz w:val="18"/>
              <w:szCs w:val="18"/>
            </w:rPr>
            <w:t>Name/Organization/Entity:</w:t>
          </w:r>
        </w:p>
      </w:tc>
      <w:tc>
        <w:tcPr>
          <w:tcW w:w="5987" w:type="dxa"/>
          <w:tcBorders>
            <w:top w:val="single" w:sz="4" w:space="0" w:color="000000"/>
          </w:tcBorders>
        </w:tcPr>
        <w:p w14:paraId="49A5D046" w14:textId="3B639A17" w:rsidR="00C73347" w:rsidRPr="005973C4" w:rsidRDefault="00EC02A9" w:rsidP="00C73347">
          <w:pPr>
            <w:pStyle w:val="FirstFooter"/>
            <w:tabs>
              <w:tab w:val="left" w:pos="2302"/>
            </w:tabs>
            <w:ind w:left="2302" w:hanging="2302"/>
            <w:rPr>
              <w:sz w:val="18"/>
              <w:szCs w:val="18"/>
              <w:highlight w:val="yellow"/>
            </w:rPr>
          </w:pPr>
          <w:r w:rsidRPr="005973C4">
            <w:rPr>
              <w:sz w:val="18"/>
              <w:szCs w:val="18"/>
            </w:rPr>
            <w:t>Mr Roberto M. Hirayama</w:t>
          </w:r>
          <w:r w:rsidR="00C73347" w:rsidRPr="005973C4">
            <w:rPr>
              <w:sz w:val="18"/>
              <w:szCs w:val="18"/>
            </w:rPr>
            <w:t>, Chair, ITU-D Study Group 1</w:t>
          </w:r>
        </w:p>
      </w:tc>
      <w:bookmarkStart w:id="11" w:name="OrgName"/>
      <w:bookmarkEnd w:id="11"/>
    </w:tr>
    <w:tr w:rsidR="00C73347" w:rsidRPr="005973C4" w14:paraId="4C571710" w14:textId="77777777" w:rsidTr="00C73347">
      <w:tc>
        <w:tcPr>
          <w:tcW w:w="1526" w:type="dxa"/>
        </w:tcPr>
        <w:p w14:paraId="5A0213CB" w14:textId="77777777" w:rsidR="00C73347" w:rsidRPr="004D2690" w:rsidRDefault="00C73347" w:rsidP="00C73347">
          <w:pPr>
            <w:pStyle w:val="FirstFooter"/>
            <w:tabs>
              <w:tab w:val="left" w:pos="1559"/>
              <w:tab w:val="left" w:pos="3828"/>
            </w:tabs>
            <w:rPr>
              <w:sz w:val="18"/>
              <w:szCs w:val="18"/>
            </w:rPr>
          </w:pPr>
        </w:p>
      </w:tc>
      <w:tc>
        <w:tcPr>
          <w:tcW w:w="2410" w:type="dxa"/>
        </w:tcPr>
        <w:p w14:paraId="1CBE3E1F" w14:textId="77777777" w:rsidR="00C73347" w:rsidRPr="005973C4" w:rsidRDefault="00C73347" w:rsidP="00C73347">
          <w:pPr>
            <w:pStyle w:val="FirstFooter"/>
            <w:tabs>
              <w:tab w:val="left" w:pos="2302"/>
            </w:tabs>
            <w:rPr>
              <w:sz w:val="18"/>
              <w:szCs w:val="18"/>
            </w:rPr>
          </w:pPr>
          <w:r w:rsidRPr="005973C4">
            <w:rPr>
              <w:sz w:val="18"/>
              <w:szCs w:val="18"/>
            </w:rPr>
            <w:t>Phone number:</w:t>
          </w:r>
        </w:p>
      </w:tc>
      <w:tc>
        <w:tcPr>
          <w:tcW w:w="5987" w:type="dxa"/>
        </w:tcPr>
        <w:p w14:paraId="4961E9E7" w14:textId="4CC92F23" w:rsidR="00C73347" w:rsidRPr="005973C4" w:rsidRDefault="00C02333" w:rsidP="00C73347">
          <w:pPr>
            <w:pStyle w:val="FirstFooter"/>
            <w:tabs>
              <w:tab w:val="left" w:pos="2302"/>
            </w:tabs>
            <w:rPr>
              <w:sz w:val="18"/>
              <w:szCs w:val="18"/>
              <w:highlight w:val="yellow"/>
            </w:rPr>
          </w:pPr>
          <w:r w:rsidRPr="005973C4">
            <w:rPr>
              <w:sz w:val="18"/>
              <w:szCs w:val="18"/>
            </w:rPr>
            <w:t>n/a</w:t>
          </w:r>
        </w:p>
      </w:tc>
      <w:bookmarkStart w:id="12" w:name="PhoneNo"/>
      <w:bookmarkEnd w:id="12"/>
    </w:tr>
    <w:tr w:rsidR="00C73347" w:rsidRPr="005973C4" w14:paraId="3184E70A" w14:textId="77777777" w:rsidTr="00C73347">
      <w:tc>
        <w:tcPr>
          <w:tcW w:w="1526" w:type="dxa"/>
        </w:tcPr>
        <w:p w14:paraId="441C99FA" w14:textId="77777777" w:rsidR="00C73347" w:rsidRPr="004D2690" w:rsidRDefault="00C73347" w:rsidP="00C73347">
          <w:pPr>
            <w:pStyle w:val="FirstFooter"/>
            <w:tabs>
              <w:tab w:val="left" w:pos="1559"/>
              <w:tab w:val="left" w:pos="3828"/>
            </w:tabs>
            <w:rPr>
              <w:sz w:val="18"/>
              <w:szCs w:val="18"/>
            </w:rPr>
          </w:pPr>
        </w:p>
      </w:tc>
      <w:tc>
        <w:tcPr>
          <w:tcW w:w="2410" w:type="dxa"/>
        </w:tcPr>
        <w:p w14:paraId="184BEB82" w14:textId="77777777" w:rsidR="00C73347" w:rsidRPr="005973C4" w:rsidRDefault="00C73347" w:rsidP="00C73347">
          <w:pPr>
            <w:pStyle w:val="FirstFooter"/>
            <w:tabs>
              <w:tab w:val="left" w:pos="2302"/>
            </w:tabs>
            <w:rPr>
              <w:sz w:val="18"/>
              <w:szCs w:val="18"/>
            </w:rPr>
          </w:pPr>
          <w:r w:rsidRPr="005973C4">
            <w:rPr>
              <w:sz w:val="18"/>
              <w:szCs w:val="18"/>
            </w:rPr>
            <w:t>E-mail:</w:t>
          </w:r>
        </w:p>
      </w:tc>
      <w:tc>
        <w:tcPr>
          <w:tcW w:w="5987" w:type="dxa"/>
        </w:tcPr>
        <w:p w14:paraId="33968BFB" w14:textId="03173941" w:rsidR="00C73347" w:rsidRPr="005973C4" w:rsidRDefault="006D5DB1" w:rsidP="00C73347">
          <w:pPr>
            <w:pStyle w:val="FirstFooter"/>
            <w:tabs>
              <w:tab w:val="left" w:pos="2302"/>
            </w:tabs>
            <w:rPr>
              <w:sz w:val="18"/>
              <w:szCs w:val="18"/>
              <w:highlight w:val="yellow"/>
            </w:rPr>
          </w:pPr>
          <w:hyperlink r:id="rId1" w:history="1">
            <w:r w:rsidRPr="005973C4">
              <w:rPr>
                <w:rStyle w:val="Hyperlink"/>
                <w:sz w:val="18"/>
                <w:szCs w:val="18"/>
              </w:rPr>
              <w:t>hirayama@anatel.gov.br</w:t>
            </w:r>
          </w:hyperlink>
          <w:r w:rsidRPr="005973C4">
            <w:rPr>
              <w:sz w:val="18"/>
              <w:szCs w:val="18"/>
            </w:rPr>
            <w:t xml:space="preserve"> </w:t>
          </w:r>
        </w:p>
      </w:tc>
      <w:bookmarkStart w:id="13" w:name="Email"/>
      <w:bookmarkEnd w:id="13"/>
    </w:tr>
  </w:tbl>
  <w:p w14:paraId="52A02FB7" w14:textId="32D901C9" w:rsidR="00E45D05" w:rsidRPr="004D2690" w:rsidRDefault="00E45D05" w:rsidP="00EC02A9">
    <w:pP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96C71" w14:textId="77777777" w:rsidR="00001934" w:rsidRPr="00590766" w:rsidRDefault="00001934">
      <w:r w:rsidRPr="00590766">
        <w:rPr>
          <w:b/>
        </w:rPr>
        <w:t>_______________</w:t>
      </w:r>
    </w:p>
  </w:footnote>
  <w:footnote w:type="continuationSeparator" w:id="0">
    <w:p w14:paraId="56F34A0D" w14:textId="77777777" w:rsidR="00001934" w:rsidRPr="00590766" w:rsidRDefault="00001934">
      <w:r w:rsidRPr="00590766">
        <w:continuationSeparator/>
      </w:r>
    </w:p>
  </w:footnote>
  <w:footnote w:id="1">
    <w:p w14:paraId="6940C13E" w14:textId="77777777" w:rsidR="00603CCA" w:rsidRPr="00FE1951" w:rsidRDefault="00603CCA" w:rsidP="00603CCA">
      <w:pPr>
        <w:pStyle w:val="FootnoteText"/>
        <w:spacing w:before="0"/>
        <w:rPr>
          <w:rFonts w:cstheme="minorHAnsi"/>
          <w:sz w:val="20"/>
          <w:lang w:eastAsia="ko-KR"/>
        </w:rPr>
      </w:pPr>
      <w:r w:rsidRPr="00FE1951">
        <w:rPr>
          <w:rStyle w:val="FootnoteReference"/>
          <w:rFonts w:cstheme="minorHAnsi"/>
          <w:sz w:val="20"/>
        </w:rPr>
        <w:footnoteRef/>
      </w:r>
      <w:r w:rsidRPr="00FE1951">
        <w:rPr>
          <w:rFonts w:cstheme="minorHAnsi"/>
          <w:sz w:val="20"/>
        </w:rPr>
        <w:t xml:space="preserve"> </w:t>
      </w:r>
      <w:r w:rsidRPr="00FE1951">
        <w:rPr>
          <w:rFonts w:cstheme="minorHAnsi"/>
          <w:sz w:val="20"/>
          <w:lang w:eastAsia="ko-KR"/>
        </w:rPr>
        <w:t xml:space="preserve">The </w:t>
      </w:r>
      <w:r w:rsidRPr="00FE1951">
        <w:rPr>
          <w:rFonts w:cstheme="minorHAnsi"/>
          <w:sz w:val="20"/>
        </w:rPr>
        <w:t xml:space="preserve">contributions repository &amp; dashboard for the previous study period (2018-2022) can be found </w:t>
      </w:r>
      <w:hyperlink r:id="rId1">
        <w:r w:rsidRPr="00FE1951">
          <w:rPr>
            <w:rStyle w:val="Hyperlink"/>
            <w:rFonts w:cstheme="minorHAnsi"/>
            <w:sz w:val="20"/>
          </w:rPr>
          <w:t>here</w:t>
        </w:r>
      </w:hyperlink>
      <w:r w:rsidRPr="00FE1951">
        <w:rPr>
          <w:rFonts w:cstheme="minorHAnsi"/>
          <w:sz w:val="20"/>
        </w:rPr>
        <w:t xml:space="preserve">. </w:t>
      </w:r>
    </w:p>
  </w:footnote>
  <w:footnote w:id="2">
    <w:p w14:paraId="74425823" w14:textId="77777777" w:rsidR="00603CCA" w:rsidRPr="00FE1951" w:rsidRDefault="00603CCA" w:rsidP="00603CCA">
      <w:pPr>
        <w:pStyle w:val="FootnoteText"/>
        <w:spacing w:before="0"/>
        <w:rPr>
          <w:rFonts w:cstheme="minorHAnsi"/>
          <w:sz w:val="20"/>
        </w:rPr>
      </w:pPr>
      <w:r w:rsidRPr="00FE1951">
        <w:rPr>
          <w:rStyle w:val="FootnoteReference"/>
          <w:rFonts w:cstheme="minorHAnsi"/>
          <w:sz w:val="20"/>
        </w:rPr>
        <w:footnoteRef/>
      </w:r>
      <w:r w:rsidRPr="00FE1951">
        <w:rPr>
          <w:rFonts w:cstheme="minorHAnsi"/>
          <w:sz w:val="20"/>
        </w:rPr>
        <w:t xml:space="preserve"> </w:t>
      </w:r>
      <w:hyperlink r:id="rId2" w:history="1">
        <w:r w:rsidRPr="00FE1951">
          <w:rPr>
            <w:rStyle w:val="Hyperlink"/>
            <w:rFonts w:cstheme="minorHAnsi"/>
            <w:sz w:val="20"/>
          </w:rPr>
          <w:t>https://translate.itu.int/documents</w:t>
        </w:r>
      </w:hyperlink>
      <w:r w:rsidRPr="00FE1951">
        <w:rPr>
          <w:rFonts w:cstheme="minorHAnsi"/>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C110F" w14:textId="16D6FCA2" w:rsidR="00A066F1" w:rsidRPr="00C02333" w:rsidRDefault="00D83BF5" w:rsidP="00220634">
    <w:pPr>
      <w:tabs>
        <w:tab w:val="clear" w:pos="1134"/>
        <w:tab w:val="clear" w:pos="1871"/>
        <w:tab w:val="clear" w:pos="2268"/>
        <w:tab w:val="center" w:pos="4820"/>
        <w:tab w:val="right" w:pos="9638"/>
        <w:tab w:val="right" w:pos="14003"/>
      </w:tabs>
      <w:ind w:right="1"/>
      <w:rPr>
        <w:smallCaps/>
        <w:spacing w:val="24"/>
        <w:sz w:val="22"/>
        <w:szCs w:val="22"/>
      </w:rPr>
    </w:pPr>
    <w:r w:rsidRPr="00590766">
      <w:rPr>
        <w:sz w:val="22"/>
        <w:szCs w:val="22"/>
      </w:rPr>
      <w:tab/>
    </w:r>
    <w:r w:rsidR="001E252D" w:rsidRPr="00C02333">
      <w:rPr>
        <w:sz w:val="22"/>
        <w:szCs w:val="22"/>
      </w:rPr>
      <w:t>TDAG</w:t>
    </w:r>
    <w:r w:rsidR="008B61EA" w:rsidRPr="00C02333">
      <w:rPr>
        <w:sz w:val="22"/>
        <w:szCs w:val="22"/>
      </w:rPr>
      <w:t>-</w:t>
    </w:r>
    <w:r w:rsidR="00EC02A9" w:rsidRPr="00C02333">
      <w:rPr>
        <w:sz w:val="22"/>
        <w:szCs w:val="22"/>
      </w:rPr>
      <w:t>26</w:t>
    </w:r>
    <w:r w:rsidRPr="00C02333">
      <w:rPr>
        <w:sz w:val="22"/>
        <w:szCs w:val="22"/>
      </w:rPr>
      <w:t>/</w:t>
    </w:r>
    <w:bookmarkStart w:id="10" w:name="DocNo2"/>
    <w:bookmarkEnd w:id="10"/>
    <w:r w:rsidR="00EC02A9" w:rsidRPr="00C02333">
      <w:rPr>
        <w:sz w:val="22"/>
        <w:szCs w:val="22"/>
      </w:rPr>
      <w:t>5</w:t>
    </w:r>
    <w:r w:rsidRPr="00C02333">
      <w:rPr>
        <w:sz w:val="22"/>
        <w:szCs w:val="22"/>
      </w:rPr>
      <w:t>-E</w:t>
    </w:r>
    <w:r w:rsidRPr="00C02333">
      <w:rPr>
        <w:sz w:val="22"/>
        <w:szCs w:val="22"/>
      </w:rPr>
      <w:tab/>
      <w:t xml:space="preserve">Page </w:t>
    </w:r>
    <w:r w:rsidRPr="00590766">
      <w:rPr>
        <w:sz w:val="22"/>
        <w:szCs w:val="22"/>
      </w:rPr>
      <w:fldChar w:fldCharType="begin"/>
    </w:r>
    <w:r w:rsidRPr="00C02333">
      <w:rPr>
        <w:sz w:val="22"/>
        <w:szCs w:val="22"/>
      </w:rPr>
      <w:instrText xml:space="preserve"> PAGE </w:instrText>
    </w:r>
    <w:r w:rsidRPr="00590766">
      <w:rPr>
        <w:sz w:val="22"/>
        <w:szCs w:val="22"/>
      </w:rPr>
      <w:fldChar w:fldCharType="separate"/>
    </w:r>
    <w:r w:rsidR="006B1599" w:rsidRPr="00C02333">
      <w:rPr>
        <w:sz w:val="22"/>
        <w:szCs w:val="22"/>
      </w:rPr>
      <w:t>2</w:t>
    </w:r>
    <w:r w:rsidRPr="00590766">
      <w:rPr>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E112A" w14:textId="314E1C5B" w:rsidR="00220634" w:rsidRPr="004D2690" w:rsidRDefault="00220634" w:rsidP="00361609">
    <w:pPr>
      <w:tabs>
        <w:tab w:val="clear" w:pos="1134"/>
        <w:tab w:val="clear" w:pos="1871"/>
        <w:tab w:val="clear" w:pos="2268"/>
        <w:tab w:val="center" w:pos="6946"/>
        <w:tab w:val="right" w:pos="14003"/>
      </w:tabs>
      <w:ind w:right="1"/>
      <w:rPr>
        <w:smallCaps/>
        <w:spacing w:val="24"/>
        <w:sz w:val="22"/>
        <w:szCs w:val="22"/>
      </w:rPr>
    </w:pPr>
    <w:r w:rsidRPr="00590766">
      <w:rPr>
        <w:sz w:val="22"/>
        <w:szCs w:val="22"/>
      </w:rPr>
      <w:tab/>
    </w:r>
    <w:r w:rsidRPr="00C02333">
      <w:rPr>
        <w:sz w:val="22"/>
        <w:szCs w:val="22"/>
      </w:rPr>
      <w:t>TDAG-</w:t>
    </w:r>
    <w:r w:rsidR="007018EE" w:rsidRPr="00C02333">
      <w:rPr>
        <w:sz w:val="22"/>
        <w:szCs w:val="22"/>
      </w:rPr>
      <w:t>26</w:t>
    </w:r>
    <w:r w:rsidRPr="00C02333">
      <w:rPr>
        <w:sz w:val="22"/>
        <w:szCs w:val="22"/>
      </w:rPr>
      <w:t>/</w:t>
    </w:r>
    <w:r w:rsidR="007018EE" w:rsidRPr="00C02333">
      <w:rPr>
        <w:sz w:val="22"/>
        <w:szCs w:val="22"/>
      </w:rPr>
      <w:t>5</w:t>
    </w:r>
    <w:r w:rsidRPr="00C02333">
      <w:rPr>
        <w:sz w:val="22"/>
        <w:szCs w:val="22"/>
      </w:rPr>
      <w:t>-E</w:t>
    </w:r>
    <w:r w:rsidRPr="00C02333">
      <w:rPr>
        <w:sz w:val="22"/>
        <w:szCs w:val="22"/>
      </w:rPr>
      <w:tab/>
      <w:t xml:space="preserve">Page </w:t>
    </w:r>
    <w:r w:rsidRPr="00590766">
      <w:rPr>
        <w:sz w:val="22"/>
        <w:szCs w:val="22"/>
      </w:rPr>
      <w:fldChar w:fldCharType="begin"/>
    </w:r>
    <w:r w:rsidRPr="00C02333">
      <w:rPr>
        <w:sz w:val="22"/>
        <w:szCs w:val="22"/>
      </w:rPr>
      <w:instrText xml:space="preserve"> PAGE </w:instrText>
    </w:r>
    <w:r w:rsidRPr="00590766">
      <w:rPr>
        <w:sz w:val="22"/>
        <w:szCs w:val="22"/>
      </w:rPr>
      <w:fldChar w:fldCharType="separate"/>
    </w:r>
    <w:r w:rsidR="006B1599" w:rsidRPr="00C02333">
      <w:rPr>
        <w:sz w:val="22"/>
        <w:szCs w:val="22"/>
      </w:rPr>
      <w:t>6</w:t>
    </w:r>
    <w:r w:rsidRPr="00590766">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4780D6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550B3A"/>
    <w:multiLevelType w:val="hybridMultilevel"/>
    <w:tmpl w:val="AECC4870"/>
    <w:lvl w:ilvl="0" w:tplc="AC745B2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0C235FC0"/>
    <w:multiLevelType w:val="multilevel"/>
    <w:tmpl w:val="B38C879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CEA151C"/>
    <w:multiLevelType w:val="hybridMultilevel"/>
    <w:tmpl w:val="BAA4C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020D0F"/>
    <w:multiLevelType w:val="hybridMultilevel"/>
    <w:tmpl w:val="AF2836E0"/>
    <w:lvl w:ilvl="0" w:tplc="B588981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C768B9"/>
    <w:multiLevelType w:val="multilevel"/>
    <w:tmpl w:val="83828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C9554F"/>
    <w:multiLevelType w:val="hybridMultilevel"/>
    <w:tmpl w:val="062E5F72"/>
    <w:lvl w:ilvl="0" w:tplc="539CDC4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15D7536"/>
    <w:multiLevelType w:val="multilevel"/>
    <w:tmpl w:val="C7B63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AA60C6"/>
    <w:multiLevelType w:val="multilevel"/>
    <w:tmpl w:val="B6B48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F01523"/>
    <w:multiLevelType w:val="multilevel"/>
    <w:tmpl w:val="4DCCF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B17FA7"/>
    <w:multiLevelType w:val="multilevel"/>
    <w:tmpl w:val="E63AE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764653"/>
    <w:multiLevelType w:val="hybridMultilevel"/>
    <w:tmpl w:val="7462403C"/>
    <w:lvl w:ilvl="0" w:tplc="FFB693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16" w15:restartNumberingAfterBreak="0">
    <w:nsid w:val="611A6AB5"/>
    <w:multiLevelType w:val="multilevel"/>
    <w:tmpl w:val="31A05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2737B0"/>
    <w:multiLevelType w:val="multilevel"/>
    <w:tmpl w:val="57328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042CAE"/>
    <w:multiLevelType w:val="hybridMultilevel"/>
    <w:tmpl w:val="BB6A7126"/>
    <w:lvl w:ilvl="0" w:tplc="2542BA0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1925955">
    <w:abstractNumId w:val="0"/>
  </w:num>
  <w:num w:numId="2" w16cid:durableId="100566788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375587280">
    <w:abstractNumId w:val="19"/>
  </w:num>
  <w:num w:numId="4" w16cid:durableId="1051921842">
    <w:abstractNumId w:val="4"/>
  </w:num>
  <w:num w:numId="5" w16cid:durableId="219563885">
    <w:abstractNumId w:val="15"/>
  </w:num>
  <w:num w:numId="6" w16cid:durableId="520441012">
    <w:abstractNumId w:val="18"/>
  </w:num>
  <w:num w:numId="7" w16cid:durableId="145168724">
    <w:abstractNumId w:val="5"/>
  </w:num>
  <w:num w:numId="8" w16cid:durableId="1135412224">
    <w:abstractNumId w:val="9"/>
  </w:num>
  <w:num w:numId="9" w16cid:durableId="285550728">
    <w:abstractNumId w:val="6"/>
  </w:num>
  <w:num w:numId="10" w16cid:durableId="513109178">
    <w:abstractNumId w:val="12"/>
  </w:num>
  <w:num w:numId="11" w16cid:durableId="1842088091">
    <w:abstractNumId w:val="17"/>
  </w:num>
  <w:num w:numId="12" w16cid:durableId="525680065">
    <w:abstractNumId w:val="8"/>
  </w:num>
  <w:num w:numId="13" w16cid:durableId="1056389885">
    <w:abstractNumId w:val="13"/>
  </w:num>
  <w:num w:numId="14" w16cid:durableId="2116363100">
    <w:abstractNumId w:val="10"/>
  </w:num>
  <w:num w:numId="15" w16cid:durableId="841508803">
    <w:abstractNumId w:val="14"/>
  </w:num>
  <w:num w:numId="16" w16cid:durableId="1850175007">
    <w:abstractNumId w:val="7"/>
  </w:num>
  <w:num w:numId="17" w16cid:durableId="1797139433">
    <w:abstractNumId w:val="3"/>
  </w:num>
  <w:num w:numId="18" w16cid:durableId="1106467282">
    <w:abstractNumId w:val="2"/>
  </w:num>
  <w:num w:numId="19" w16cid:durableId="1318459565">
    <w:abstractNumId w:val="11"/>
  </w:num>
  <w:num w:numId="20" w16cid:durableId="19123054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1934"/>
    <w:rsid w:val="000041EA"/>
    <w:rsid w:val="00021067"/>
    <w:rsid w:val="00022A29"/>
    <w:rsid w:val="000300B7"/>
    <w:rsid w:val="000355FD"/>
    <w:rsid w:val="00051CD2"/>
    <w:rsid w:val="00051E39"/>
    <w:rsid w:val="000617DF"/>
    <w:rsid w:val="0007203B"/>
    <w:rsid w:val="00075C63"/>
    <w:rsid w:val="00077239"/>
    <w:rsid w:val="00080905"/>
    <w:rsid w:val="000822BE"/>
    <w:rsid w:val="00084230"/>
    <w:rsid w:val="00086491"/>
    <w:rsid w:val="00091346"/>
    <w:rsid w:val="00094BC6"/>
    <w:rsid w:val="00097DD0"/>
    <w:rsid w:val="000A152E"/>
    <w:rsid w:val="000A5E10"/>
    <w:rsid w:val="000B61BB"/>
    <w:rsid w:val="000C0E69"/>
    <w:rsid w:val="000D03A5"/>
    <w:rsid w:val="000D4875"/>
    <w:rsid w:val="000D56FA"/>
    <w:rsid w:val="000E23F5"/>
    <w:rsid w:val="000E3C4C"/>
    <w:rsid w:val="000E53FE"/>
    <w:rsid w:val="000F069F"/>
    <w:rsid w:val="000F19E4"/>
    <w:rsid w:val="000F73FF"/>
    <w:rsid w:val="00106685"/>
    <w:rsid w:val="00111E46"/>
    <w:rsid w:val="00114CF7"/>
    <w:rsid w:val="001152FD"/>
    <w:rsid w:val="00123B68"/>
    <w:rsid w:val="00124D58"/>
    <w:rsid w:val="00126F2E"/>
    <w:rsid w:val="00127C1B"/>
    <w:rsid w:val="00143B1B"/>
    <w:rsid w:val="001445B0"/>
    <w:rsid w:val="00146F6F"/>
    <w:rsid w:val="00147DA1"/>
    <w:rsid w:val="00152957"/>
    <w:rsid w:val="00161062"/>
    <w:rsid w:val="00165B6F"/>
    <w:rsid w:val="00173F51"/>
    <w:rsid w:val="001840CA"/>
    <w:rsid w:val="001851D1"/>
    <w:rsid w:val="00187613"/>
    <w:rsid w:val="00187BD9"/>
    <w:rsid w:val="00190B55"/>
    <w:rsid w:val="00190F5D"/>
    <w:rsid w:val="00194CFB"/>
    <w:rsid w:val="001B2ED3"/>
    <w:rsid w:val="001B3BC0"/>
    <w:rsid w:val="001B6056"/>
    <w:rsid w:val="001B7EA3"/>
    <w:rsid w:val="001C248A"/>
    <w:rsid w:val="001C3B5F"/>
    <w:rsid w:val="001D058F"/>
    <w:rsid w:val="001E06E5"/>
    <w:rsid w:val="001E252D"/>
    <w:rsid w:val="001F0B18"/>
    <w:rsid w:val="002009EA"/>
    <w:rsid w:val="00202CA0"/>
    <w:rsid w:val="002070A5"/>
    <w:rsid w:val="0021523E"/>
    <w:rsid w:val="002154A6"/>
    <w:rsid w:val="0021615C"/>
    <w:rsid w:val="002162CD"/>
    <w:rsid w:val="00220634"/>
    <w:rsid w:val="00222187"/>
    <w:rsid w:val="00222AB2"/>
    <w:rsid w:val="002255B3"/>
    <w:rsid w:val="00230B26"/>
    <w:rsid w:val="002353E0"/>
    <w:rsid w:val="00236E8A"/>
    <w:rsid w:val="002420D0"/>
    <w:rsid w:val="002557DF"/>
    <w:rsid w:val="00264508"/>
    <w:rsid w:val="00265727"/>
    <w:rsid w:val="00271316"/>
    <w:rsid w:val="00273301"/>
    <w:rsid w:val="00286DEA"/>
    <w:rsid w:val="0029073E"/>
    <w:rsid w:val="00296313"/>
    <w:rsid w:val="002B2143"/>
    <w:rsid w:val="002B3C84"/>
    <w:rsid w:val="002B4429"/>
    <w:rsid w:val="002B58EC"/>
    <w:rsid w:val="002B6477"/>
    <w:rsid w:val="002B679A"/>
    <w:rsid w:val="002C1410"/>
    <w:rsid w:val="002D3CFC"/>
    <w:rsid w:val="002D58BE"/>
    <w:rsid w:val="002E488E"/>
    <w:rsid w:val="002E5D77"/>
    <w:rsid w:val="002E7E63"/>
    <w:rsid w:val="003013EE"/>
    <w:rsid w:val="00303F02"/>
    <w:rsid w:val="00316A1F"/>
    <w:rsid w:val="00327094"/>
    <w:rsid w:val="0033081E"/>
    <w:rsid w:val="0033135B"/>
    <w:rsid w:val="003363FB"/>
    <w:rsid w:val="00344854"/>
    <w:rsid w:val="00345DBB"/>
    <w:rsid w:val="00346504"/>
    <w:rsid w:val="00352649"/>
    <w:rsid w:val="00352CFC"/>
    <w:rsid w:val="00361609"/>
    <w:rsid w:val="00363A25"/>
    <w:rsid w:val="00365C5A"/>
    <w:rsid w:val="00377711"/>
    <w:rsid w:val="00377BD3"/>
    <w:rsid w:val="00384088"/>
    <w:rsid w:val="0038489B"/>
    <w:rsid w:val="0039169B"/>
    <w:rsid w:val="00392654"/>
    <w:rsid w:val="003A7F8C"/>
    <w:rsid w:val="003B1180"/>
    <w:rsid w:val="003B238D"/>
    <w:rsid w:val="003B532E"/>
    <w:rsid w:val="003B6F14"/>
    <w:rsid w:val="003D0F8B"/>
    <w:rsid w:val="003D47E0"/>
    <w:rsid w:val="003D66D1"/>
    <w:rsid w:val="003D67EE"/>
    <w:rsid w:val="003E0A9B"/>
    <w:rsid w:val="003E1038"/>
    <w:rsid w:val="003E5C45"/>
    <w:rsid w:val="003F66D3"/>
    <w:rsid w:val="00404CEE"/>
    <w:rsid w:val="004053AA"/>
    <w:rsid w:val="00406C3D"/>
    <w:rsid w:val="004131D4"/>
    <w:rsid w:val="0041348E"/>
    <w:rsid w:val="0044218A"/>
    <w:rsid w:val="00447308"/>
    <w:rsid w:val="00457245"/>
    <w:rsid w:val="00462CB2"/>
    <w:rsid w:val="00471287"/>
    <w:rsid w:val="004726C1"/>
    <w:rsid w:val="00475E46"/>
    <w:rsid w:val="004765FF"/>
    <w:rsid w:val="00483880"/>
    <w:rsid w:val="00487D26"/>
    <w:rsid w:val="004911AB"/>
    <w:rsid w:val="00492075"/>
    <w:rsid w:val="004969AD"/>
    <w:rsid w:val="004A2FDD"/>
    <w:rsid w:val="004B13CB"/>
    <w:rsid w:val="004B4FDF"/>
    <w:rsid w:val="004B6578"/>
    <w:rsid w:val="004B7EC6"/>
    <w:rsid w:val="004C3355"/>
    <w:rsid w:val="004C6BEB"/>
    <w:rsid w:val="004D2690"/>
    <w:rsid w:val="004D4246"/>
    <w:rsid w:val="004D5D5C"/>
    <w:rsid w:val="004D7763"/>
    <w:rsid w:val="004E2F10"/>
    <w:rsid w:val="004E3F8C"/>
    <w:rsid w:val="0050139F"/>
    <w:rsid w:val="00503263"/>
    <w:rsid w:val="005071D4"/>
    <w:rsid w:val="005131F4"/>
    <w:rsid w:val="00521223"/>
    <w:rsid w:val="005212A8"/>
    <w:rsid w:val="00522869"/>
    <w:rsid w:val="00523D3E"/>
    <w:rsid w:val="00524DF1"/>
    <w:rsid w:val="00526C8D"/>
    <w:rsid w:val="00536266"/>
    <w:rsid w:val="00536513"/>
    <w:rsid w:val="00536E71"/>
    <w:rsid w:val="005373B7"/>
    <w:rsid w:val="0054450F"/>
    <w:rsid w:val="00547E4C"/>
    <w:rsid w:val="0055140B"/>
    <w:rsid w:val="0055318D"/>
    <w:rsid w:val="00554080"/>
    <w:rsid w:val="00554C4F"/>
    <w:rsid w:val="00561D72"/>
    <w:rsid w:val="00570403"/>
    <w:rsid w:val="00590766"/>
    <w:rsid w:val="0059206F"/>
    <w:rsid w:val="00593B87"/>
    <w:rsid w:val="005964AB"/>
    <w:rsid w:val="005973C4"/>
    <w:rsid w:val="005A2933"/>
    <w:rsid w:val="005B44F5"/>
    <w:rsid w:val="005B5A3D"/>
    <w:rsid w:val="005C099A"/>
    <w:rsid w:val="005C1E09"/>
    <w:rsid w:val="005C31A5"/>
    <w:rsid w:val="005C4234"/>
    <w:rsid w:val="005C7123"/>
    <w:rsid w:val="005D5E9B"/>
    <w:rsid w:val="005E10C9"/>
    <w:rsid w:val="005E5501"/>
    <w:rsid w:val="005E5E0D"/>
    <w:rsid w:val="005E61DD"/>
    <w:rsid w:val="005E6321"/>
    <w:rsid w:val="006023DF"/>
    <w:rsid w:val="00603CCA"/>
    <w:rsid w:val="006071CA"/>
    <w:rsid w:val="006252DB"/>
    <w:rsid w:val="006258BB"/>
    <w:rsid w:val="00630624"/>
    <w:rsid w:val="00631A26"/>
    <w:rsid w:val="00640D18"/>
    <w:rsid w:val="0064322F"/>
    <w:rsid w:val="006463EE"/>
    <w:rsid w:val="0064654F"/>
    <w:rsid w:val="00655057"/>
    <w:rsid w:val="00657DE0"/>
    <w:rsid w:val="0066220F"/>
    <w:rsid w:val="0067199F"/>
    <w:rsid w:val="00677048"/>
    <w:rsid w:val="00685313"/>
    <w:rsid w:val="006A5998"/>
    <w:rsid w:val="006A6E9B"/>
    <w:rsid w:val="006B1599"/>
    <w:rsid w:val="006B7888"/>
    <w:rsid w:val="006B7C2A"/>
    <w:rsid w:val="006C23BB"/>
    <w:rsid w:val="006C23DA"/>
    <w:rsid w:val="006D23A1"/>
    <w:rsid w:val="006D2B28"/>
    <w:rsid w:val="006D2C33"/>
    <w:rsid w:val="006D5DB1"/>
    <w:rsid w:val="006E0083"/>
    <w:rsid w:val="006E0AB0"/>
    <w:rsid w:val="006E3D45"/>
    <w:rsid w:val="006E687E"/>
    <w:rsid w:val="006E6CD0"/>
    <w:rsid w:val="006F77FA"/>
    <w:rsid w:val="007018EE"/>
    <w:rsid w:val="00705D50"/>
    <w:rsid w:val="007121C0"/>
    <w:rsid w:val="00713945"/>
    <w:rsid w:val="0071412E"/>
    <w:rsid w:val="007148AE"/>
    <w:rsid w:val="007149F9"/>
    <w:rsid w:val="00723999"/>
    <w:rsid w:val="00733A30"/>
    <w:rsid w:val="00745AEE"/>
    <w:rsid w:val="007471A9"/>
    <w:rsid w:val="007479EA"/>
    <w:rsid w:val="00750F10"/>
    <w:rsid w:val="00752340"/>
    <w:rsid w:val="007538A1"/>
    <w:rsid w:val="00753F76"/>
    <w:rsid w:val="00754E5A"/>
    <w:rsid w:val="0077269B"/>
    <w:rsid w:val="007742CA"/>
    <w:rsid w:val="0078016B"/>
    <w:rsid w:val="00797FE5"/>
    <w:rsid w:val="007B2688"/>
    <w:rsid w:val="007B4578"/>
    <w:rsid w:val="007B6F60"/>
    <w:rsid w:val="007C01F0"/>
    <w:rsid w:val="007D06F0"/>
    <w:rsid w:val="007D1AC5"/>
    <w:rsid w:val="007D45E3"/>
    <w:rsid w:val="007D5320"/>
    <w:rsid w:val="007D6EFF"/>
    <w:rsid w:val="007F1339"/>
    <w:rsid w:val="007F735C"/>
    <w:rsid w:val="007F7DB7"/>
    <w:rsid w:val="00800972"/>
    <w:rsid w:val="00804475"/>
    <w:rsid w:val="008054B1"/>
    <w:rsid w:val="00811633"/>
    <w:rsid w:val="00820F72"/>
    <w:rsid w:val="00821CEF"/>
    <w:rsid w:val="00832828"/>
    <w:rsid w:val="00832B55"/>
    <w:rsid w:val="008334AF"/>
    <w:rsid w:val="00836103"/>
    <w:rsid w:val="0083645A"/>
    <w:rsid w:val="00840B0F"/>
    <w:rsid w:val="0084543E"/>
    <w:rsid w:val="00845B8D"/>
    <w:rsid w:val="00851861"/>
    <w:rsid w:val="00851C7A"/>
    <w:rsid w:val="00863578"/>
    <w:rsid w:val="00870B78"/>
    <w:rsid w:val="008711AE"/>
    <w:rsid w:val="00871778"/>
    <w:rsid w:val="00872FC8"/>
    <w:rsid w:val="00873A84"/>
    <w:rsid w:val="008801D3"/>
    <w:rsid w:val="008845D0"/>
    <w:rsid w:val="008860B4"/>
    <w:rsid w:val="0089126A"/>
    <w:rsid w:val="00893BF9"/>
    <w:rsid w:val="008A3933"/>
    <w:rsid w:val="008B43F2"/>
    <w:rsid w:val="008B61EA"/>
    <w:rsid w:val="008B6CFF"/>
    <w:rsid w:val="008C1538"/>
    <w:rsid w:val="008C2CB7"/>
    <w:rsid w:val="008D63D3"/>
    <w:rsid w:val="008D7366"/>
    <w:rsid w:val="008E33DA"/>
    <w:rsid w:val="008F1EB2"/>
    <w:rsid w:val="008F422A"/>
    <w:rsid w:val="009006A0"/>
    <w:rsid w:val="0090077A"/>
    <w:rsid w:val="009024FD"/>
    <w:rsid w:val="00905BB9"/>
    <w:rsid w:val="00910B26"/>
    <w:rsid w:val="00910DC4"/>
    <w:rsid w:val="00921194"/>
    <w:rsid w:val="009274B4"/>
    <w:rsid w:val="00934EA2"/>
    <w:rsid w:val="00937B0F"/>
    <w:rsid w:val="00942172"/>
    <w:rsid w:val="00942CC5"/>
    <w:rsid w:val="00944A5C"/>
    <w:rsid w:val="0094616C"/>
    <w:rsid w:val="00950614"/>
    <w:rsid w:val="0095281D"/>
    <w:rsid w:val="00952A66"/>
    <w:rsid w:val="009540E3"/>
    <w:rsid w:val="00956F53"/>
    <w:rsid w:val="00960C26"/>
    <w:rsid w:val="0097131B"/>
    <w:rsid w:val="009719B5"/>
    <w:rsid w:val="009854D9"/>
    <w:rsid w:val="00985C7A"/>
    <w:rsid w:val="00990627"/>
    <w:rsid w:val="00991F8F"/>
    <w:rsid w:val="00993563"/>
    <w:rsid w:val="00996CBC"/>
    <w:rsid w:val="009B3456"/>
    <w:rsid w:val="009B5654"/>
    <w:rsid w:val="009B75FF"/>
    <w:rsid w:val="009C56E5"/>
    <w:rsid w:val="009D5DCE"/>
    <w:rsid w:val="009E5FC8"/>
    <w:rsid w:val="009E687A"/>
    <w:rsid w:val="009F2ABC"/>
    <w:rsid w:val="00A03C5C"/>
    <w:rsid w:val="00A066F1"/>
    <w:rsid w:val="00A13645"/>
    <w:rsid w:val="00A141AF"/>
    <w:rsid w:val="00A16D29"/>
    <w:rsid w:val="00A20E5E"/>
    <w:rsid w:val="00A258AF"/>
    <w:rsid w:val="00A261E6"/>
    <w:rsid w:val="00A3006C"/>
    <w:rsid w:val="00A30305"/>
    <w:rsid w:val="00A31093"/>
    <w:rsid w:val="00A31D2D"/>
    <w:rsid w:val="00A32A29"/>
    <w:rsid w:val="00A37192"/>
    <w:rsid w:val="00A4600A"/>
    <w:rsid w:val="00A529AE"/>
    <w:rsid w:val="00A538A6"/>
    <w:rsid w:val="00A542DC"/>
    <w:rsid w:val="00A54C25"/>
    <w:rsid w:val="00A57ADE"/>
    <w:rsid w:val="00A6634C"/>
    <w:rsid w:val="00A708D8"/>
    <w:rsid w:val="00A710E7"/>
    <w:rsid w:val="00A7372E"/>
    <w:rsid w:val="00A83FF7"/>
    <w:rsid w:val="00A90F14"/>
    <w:rsid w:val="00A91C0D"/>
    <w:rsid w:val="00A92760"/>
    <w:rsid w:val="00A93B85"/>
    <w:rsid w:val="00A93C05"/>
    <w:rsid w:val="00AA0B18"/>
    <w:rsid w:val="00AA0BCF"/>
    <w:rsid w:val="00AA3762"/>
    <w:rsid w:val="00AA666F"/>
    <w:rsid w:val="00AA6F31"/>
    <w:rsid w:val="00AB4927"/>
    <w:rsid w:val="00AC034F"/>
    <w:rsid w:val="00AE143A"/>
    <w:rsid w:val="00AF2022"/>
    <w:rsid w:val="00B004E5"/>
    <w:rsid w:val="00B01046"/>
    <w:rsid w:val="00B15F9D"/>
    <w:rsid w:val="00B30B34"/>
    <w:rsid w:val="00B34936"/>
    <w:rsid w:val="00B35A1C"/>
    <w:rsid w:val="00B37810"/>
    <w:rsid w:val="00B3788A"/>
    <w:rsid w:val="00B41367"/>
    <w:rsid w:val="00B441B1"/>
    <w:rsid w:val="00B47C7A"/>
    <w:rsid w:val="00B53501"/>
    <w:rsid w:val="00B548AC"/>
    <w:rsid w:val="00B62F9C"/>
    <w:rsid w:val="00B639E9"/>
    <w:rsid w:val="00B73D57"/>
    <w:rsid w:val="00B73E7B"/>
    <w:rsid w:val="00B817CD"/>
    <w:rsid w:val="00B87150"/>
    <w:rsid w:val="00B911B2"/>
    <w:rsid w:val="00B951D0"/>
    <w:rsid w:val="00B95DA2"/>
    <w:rsid w:val="00BA3E78"/>
    <w:rsid w:val="00BA3F46"/>
    <w:rsid w:val="00BA665B"/>
    <w:rsid w:val="00BB1F53"/>
    <w:rsid w:val="00BB29C8"/>
    <w:rsid w:val="00BB3A95"/>
    <w:rsid w:val="00BC00FB"/>
    <w:rsid w:val="00BC0382"/>
    <w:rsid w:val="00BD2011"/>
    <w:rsid w:val="00BD239D"/>
    <w:rsid w:val="00BD371E"/>
    <w:rsid w:val="00BD4621"/>
    <w:rsid w:val="00BD62C6"/>
    <w:rsid w:val="00BD63AB"/>
    <w:rsid w:val="00BE64FD"/>
    <w:rsid w:val="00C0018F"/>
    <w:rsid w:val="00C02333"/>
    <w:rsid w:val="00C031BD"/>
    <w:rsid w:val="00C07D2B"/>
    <w:rsid w:val="00C20466"/>
    <w:rsid w:val="00C214ED"/>
    <w:rsid w:val="00C234E6"/>
    <w:rsid w:val="00C324A8"/>
    <w:rsid w:val="00C44005"/>
    <w:rsid w:val="00C449B3"/>
    <w:rsid w:val="00C5446F"/>
    <w:rsid w:val="00C54517"/>
    <w:rsid w:val="00C64CD8"/>
    <w:rsid w:val="00C659A8"/>
    <w:rsid w:val="00C6656B"/>
    <w:rsid w:val="00C73347"/>
    <w:rsid w:val="00C734B8"/>
    <w:rsid w:val="00C85619"/>
    <w:rsid w:val="00C97C68"/>
    <w:rsid w:val="00CA1A47"/>
    <w:rsid w:val="00CA4E5B"/>
    <w:rsid w:val="00CA68D9"/>
    <w:rsid w:val="00CB174C"/>
    <w:rsid w:val="00CC247A"/>
    <w:rsid w:val="00CD0298"/>
    <w:rsid w:val="00CD275E"/>
    <w:rsid w:val="00CE5E47"/>
    <w:rsid w:val="00CF020F"/>
    <w:rsid w:val="00CF160A"/>
    <w:rsid w:val="00CF1B44"/>
    <w:rsid w:val="00CF1F80"/>
    <w:rsid w:val="00CF2B5B"/>
    <w:rsid w:val="00D036AD"/>
    <w:rsid w:val="00D0586B"/>
    <w:rsid w:val="00D14596"/>
    <w:rsid w:val="00D14CE0"/>
    <w:rsid w:val="00D229E7"/>
    <w:rsid w:val="00D25368"/>
    <w:rsid w:val="00D305FC"/>
    <w:rsid w:val="00D36333"/>
    <w:rsid w:val="00D37FD3"/>
    <w:rsid w:val="00D402E9"/>
    <w:rsid w:val="00D458E8"/>
    <w:rsid w:val="00D461BA"/>
    <w:rsid w:val="00D5651D"/>
    <w:rsid w:val="00D7420F"/>
    <w:rsid w:val="00D74898"/>
    <w:rsid w:val="00D801ED"/>
    <w:rsid w:val="00D8260D"/>
    <w:rsid w:val="00D83BF5"/>
    <w:rsid w:val="00D925C2"/>
    <w:rsid w:val="00D936BC"/>
    <w:rsid w:val="00D96088"/>
    <w:rsid w:val="00D9621A"/>
    <w:rsid w:val="00D96530"/>
    <w:rsid w:val="00D96B4B"/>
    <w:rsid w:val="00DA1479"/>
    <w:rsid w:val="00DA2345"/>
    <w:rsid w:val="00DA3AC4"/>
    <w:rsid w:val="00DA3E78"/>
    <w:rsid w:val="00DA453A"/>
    <w:rsid w:val="00DA4EA1"/>
    <w:rsid w:val="00DA7078"/>
    <w:rsid w:val="00DB0EEC"/>
    <w:rsid w:val="00DB441D"/>
    <w:rsid w:val="00DB677F"/>
    <w:rsid w:val="00DC0CB4"/>
    <w:rsid w:val="00DC6AEB"/>
    <w:rsid w:val="00DC7D20"/>
    <w:rsid w:val="00DD08B4"/>
    <w:rsid w:val="00DD2CBF"/>
    <w:rsid w:val="00DD44AF"/>
    <w:rsid w:val="00DE2AC3"/>
    <w:rsid w:val="00DE434C"/>
    <w:rsid w:val="00DE5692"/>
    <w:rsid w:val="00DF0BB6"/>
    <w:rsid w:val="00DF56EF"/>
    <w:rsid w:val="00DF68B3"/>
    <w:rsid w:val="00DF6F8E"/>
    <w:rsid w:val="00E0333D"/>
    <w:rsid w:val="00E03C94"/>
    <w:rsid w:val="00E0471F"/>
    <w:rsid w:val="00E07105"/>
    <w:rsid w:val="00E13984"/>
    <w:rsid w:val="00E2017E"/>
    <w:rsid w:val="00E2339E"/>
    <w:rsid w:val="00E25140"/>
    <w:rsid w:val="00E258AE"/>
    <w:rsid w:val="00E26226"/>
    <w:rsid w:val="00E4165C"/>
    <w:rsid w:val="00E421D6"/>
    <w:rsid w:val="00E422DD"/>
    <w:rsid w:val="00E433F0"/>
    <w:rsid w:val="00E45497"/>
    <w:rsid w:val="00E45D05"/>
    <w:rsid w:val="00E4764D"/>
    <w:rsid w:val="00E53AEE"/>
    <w:rsid w:val="00E55816"/>
    <w:rsid w:val="00E55AEF"/>
    <w:rsid w:val="00E579D6"/>
    <w:rsid w:val="00E64B4B"/>
    <w:rsid w:val="00E672E6"/>
    <w:rsid w:val="00E742ED"/>
    <w:rsid w:val="00E80885"/>
    <w:rsid w:val="00E81B53"/>
    <w:rsid w:val="00E822D9"/>
    <w:rsid w:val="00E86772"/>
    <w:rsid w:val="00E94833"/>
    <w:rsid w:val="00E95648"/>
    <w:rsid w:val="00E96A9B"/>
    <w:rsid w:val="00E976C1"/>
    <w:rsid w:val="00E97EB7"/>
    <w:rsid w:val="00EA12E5"/>
    <w:rsid w:val="00EB344C"/>
    <w:rsid w:val="00EB4C45"/>
    <w:rsid w:val="00EC02A9"/>
    <w:rsid w:val="00EC0817"/>
    <w:rsid w:val="00EC0FC2"/>
    <w:rsid w:val="00EC147C"/>
    <w:rsid w:val="00ED5775"/>
    <w:rsid w:val="00ED7D3C"/>
    <w:rsid w:val="00F02766"/>
    <w:rsid w:val="00F04067"/>
    <w:rsid w:val="00F05BD4"/>
    <w:rsid w:val="00F116F5"/>
    <w:rsid w:val="00F11A98"/>
    <w:rsid w:val="00F15FE2"/>
    <w:rsid w:val="00F16970"/>
    <w:rsid w:val="00F21A1D"/>
    <w:rsid w:val="00F23577"/>
    <w:rsid w:val="00F25990"/>
    <w:rsid w:val="00F35EB8"/>
    <w:rsid w:val="00F36C4D"/>
    <w:rsid w:val="00F53576"/>
    <w:rsid w:val="00F55268"/>
    <w:rsid w:val="00F5611C"/>
    <w:rsid w:val="00F64DBC"/>
    <w:rsid w:val="00F65C19"/>
    <w:rsid w:val="00F66029"/>
    <w:rsid w:val="00F666F9"/>
    <w:rsid w:val="00F70A10"/>
    <w:rsid w:val="00F7338B"/>
    <w:rsid w:val="00F8001D"/>
    <w:rsid w:val="00F81D39"/>
    <w:rsid w:val="00F8476E"/>
    <w:rsid w:val="00F94FEF"/>
    <w:rsid w:val="00F969A3"/>
    <w:rsid w:val="00F96CEE"/>
    <w:rsid w:val="00F97BCB"/>
    <w:rsid w:val="00FB152D"/>
    <w:rsid w:val="00FB5E9D"/>
    <w:rsid w:val="00FC0703"/>
    <w:rsid w:val="00FC5FA9"/>
    <w:rsid w:val="00FC71B6"/>
    <w:rsid w:val="00FD2546"/>
    <w:rsid w:val="00FD6FE2"/>
    <w:rsid w:val="00FD772E"/>
    <w:rsid w:val="00FE0A63"/>
    <w:rsid w:val="00FE0B64"/>
    <w:rsid w:val="00FE1951"/>
    <w:rsid w:val="00FE3926"/>
    <w:rsid w:val="00FE78C7"/>
    <w:rsid w:val="00FF1423"/>
    <w:rsid w:val="00FF2DA6"/>
    <w:rsid w:val="00FF43AC"/>
    <w:rsid w:val="04A8D008"/>
    <w:rsid w:val="055993C4"/>
    <w:rsid w:val="07EEAC50"/>
    <w:rsid w:val="08017EED"/>
    <w:rsid w:val="094490A6"/>
    <w:rsid w:val="0C089D0C"/>
    <w:rsid w:val="10111F44"/>
    <w:rsid w:val="11871A40"/>
    <w:rsid w:val="15AE6D17"/>
    <w:rsid w:val="15BD81B1"/>
    <w:rsid w:val="1A5A657B"/>
    <w:rsid w:val="1BA04D93"/>
    <w:rsid w:val="1BD07CF3"/>
    <w:rsid w:val="1C6F7FB9"/>
    <w:rsid w:val="1EBE462B"/>
    <w:rsid w:val="20ABD893"/>
    <w:rsid w:val="212D80B7"/>
    <w:rsid w:val="23FD7DB7"/>
    <w:rsid w:val="27ADB372"/>
    <w:rsid w:val="27C72221"/>
    <w:rsid w:val="2FC6AF09"/>
    <w:rsid w:val="314C2E23"/>
    <w:rsid w:val="3168881A"/>
    <w:rsid w:val="361B90B3"/>
    <w:rsid w:val="37279A9A"/>
    <w:rsid w:val="38101774"/>
    <w:rsid w:val="3A84BF6C"/>
    <w:rsid w:val="3D08685F"/>
    <w:rsid w:val="3F35B3E0"/>
    <w:rsid w:val="411177AE"/>
    <w:rsid w:val="420C42D0"/>
    <w:rsid w:val="4267217A"/>
    <w:rsid w:val="44E2517A"/>
    <w:rsid w:val="47EF0F88"/>
    <w:rsid w:val="4A822C57"/>
    <w:rsid w:val="4C24BCFF"/>
    <w:rsid w:val="5486ED9C"/>
    <w:rsid w:val="5C84FEF2"/>
    <w:rsid w:val="5D0F44AA"/>
    <w:rsid w:val="5F62AB6B"/>
    <w:rsid w:val="615C5698"/>
    <w:rsid w:val="63BDA8DA"/>
    <w:rsid w:val="65FE3476"/>
    <w:rsid w:val="66C886AB"/>
    <w:rsid w:val="68C74DB2"/>
    <w:rsid w:val="69FE8C72"/>
    <w:rsid w:val="6F14C615"/>
    <w:rsid w:val="7028F33B"/>
    <w:rsid w:val="72433199"/>
    <w:rsid w:val="72D4C27B"/>
    <w:rsid w:val="731BABC0"/>
    <w:rsid w:val="772BECFD"/>
    <w:rsid w:val="7B739C18"/>
    <w:rsid w:val="7D42B9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851D47"/>
  <w15:docId w15:val="{3311AB47-1B87-41F2-BA6C-69C1115CE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Style 3"/>
    <w:basedOn w:val="DefaultParagraphFont"/>
    <w:qFormat/>
    <w:rsid w:val="002154A6"/>
    <w:rPr>
      <w:rFonts w:asciiTheme="minorHAnsi" w:hAnsiTheme="minorHAnsi"/>
      <w:position w:val="6"/>
      <w:sz w:val="18"/>
    </w:rPr>
  </w:style>
  <w:style w:type="paragraph" w:styleId="FootnoteText">
    <w:name w:val="footnote text"/>
    <w:aliases w:val="ACMA Footnote Text,ALTS FOOTNOTE,Footnote Text Char1,Footnote Text Char Char1,Footnote Text Char4 Char Char,Footnote Text Char1 Char1 Char1 Char,Footnote Text Char Char1 Char1 Char Char,Footnote Text Char1 Char1 Char1 Char Char Char1,DNV-"/>
    <w:basedOn w:val="Normal"/>
    <w:link w:val="FootnoteTextChar"/>
    <w:qFormat/>
    <w:rsid w:val="00745AEE"/>
    <w:pPr>
      <w:keepLines/>
      <w:tabs>
        <w:tab w:val="left" w:pos="255"/>
      </w:tabs>
    </w:p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qForma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하이퍼링크21,ECC Hyperlink,超??级链Ú,fL????,fL?级,超??级链,超?级链ïÈ,õ±?级链,õ±链ïÈ1,õ±???,超?级链Ú,’´?级链,’´????,’´??级链Ú,’´??级"/>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table" w:styleId="TableGrid">
    <w:name w:val="Table Grid"/>
    <w:basedOn w:val="TableNormal"/>
    <w:uiPriority w:val="59"/>
    <w:rsid w:val="001E252D"/>
    <w:rPr>
      <w:rFonts w:ascii="CG Times"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link w:val="ListParagraph"/>
    <w:uiPriority w:val="34"/>
    <w:rsid w:val="00C73347"/>
    <w:rPr>
      <w:rFonts w:asciiTheme="minorHAnsi" w:hAnsiTheme="minorHAnsi"/>
      <w:sz w:val="24"/>
      <w:lang w:val="en-GB" w:eastAsia="en-US"/>
    </w:rPr>
  </w:style>
  <w:style w:type="character" w:styleId="FollowedHyperlink">
    <w:name w:val="FollowedHyperlink"/>
    <w:basedOn w:val="DefaultParagraphFont"/>
    <w:semiHidden/>
    <w:unhideWhenUsed/>
    <w:rsid w:val="00523D3E"/>
    <w:rPr>
      <w:color w:val="800080" w:themeColor="followedHyperlink"/>
      <w:u w:val="single"/>
    </w:rPr>
  </w:style>
  <w:style w:type="character" w:styleId="UnresolvedMention">
    <w:name w:val="Unresolved Mention"/>
    <w:basedOn w:val="DefaultParagraphFont"/>
    <w:uiPriority w:val="99"/>
    <w:semiHidden/>
    <w:unhideWhenUsed/>
    <w:rsid w:val="000E23F5"/>
    <w:rPr>
      <w:color w:val="605E5C"/>
      <w:shd w:val="clear" w:color="auto" w:fill="E1DFDD"/>
    </w:rPr>
  </w:style>
  <w:style w:type="paragraph" w:styleId="Revision">
    <w:name w:val="Revision"/>
    <w:hidden/>
    <w:uiPriority w:val="99"/>
    <w:semiHidden/>
    <w:rsid w:val="00FE0A63"/>
    <w:rPr>
      <w:rFonts w:asciiTheme="minorHAnsi" w:hAnsiTheme="minorHAnsi"/>
      <w:sz w:val="24"/>
      <w:lang w:val="en-GB" w:eastAsia="en-US"/>
    </w:rPr>
  </w:style>
  <w:style w:type="character" w:styleId="CommentReference">
    <w:name w:val="annotation reference"/>
    <w:basedOn w:val="DefaultParagraphFont"/>
    <w:semiHidden/>
    <w:unhideWhenUsed/>
    <w:rsid w:val="00640D18"/>
    <w:rPr>
      <w:sz w:val="16"/>
      <w:szCs w:val="16"/>
    </w:rPr>
  </w:style>
  <w:style w:type="paragraph" w:styleId="CommentText">
    <w:name w:val="annotation text"/>
    <w:basedOn w:val="Normal"/>
    <w:link w:val="CommentTextChar"/>
    <w:unhideWhenUsed/>
    <w:rsid w:val="00640D18"/>
    <w:rPr>
      <w:sz w:val="20"/>
    </w:rPr>
  </w:style>
  <w:style w:type="character" w:customStyle="1" w:styleId="CommentTextChar">
    <w:name w:val="Comment Text Char"/>
    <w:basedOn w:val="DefaultParagraphFont"/>
    <w:link w:val="CommentText"/>
    <w:rsid w:val="00640D18"/>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640D18"/>
    <w:rPr>
      <w:b/>
      <w:bCs/>
    </w:rPr>
  </w:style>
  <w:style w:type="character" w:customStyle="1" w:styleId="CommentSubjectChar">
    <w:name w:val="Comment Subject Char"/>
    <w:basedOn w:val="CommentTextChar"/>
    <w:link w:val="CommentSubject"/>
    <w:semiHidden/>
    <w:rsid w:val="00640D18"/>
    <w:rPr>
      <w:rFonts w:asciiTheme="minorHAnsi" w:hAnsiTheme="minorHAnsi"/>
      <w:b/>
      <w:bCs/>
      <w:lang w:val="en-GB" w:eastAsia="en-US"/>
    </w:rPr>
  </w:style>
  <w:style w:type="character" w:styleId="Mention">
    <w:name w:val="Mention"/>
    <w:basedOn w:val="DefaultParagraphFont"/>
    <w:uiPriority w:val="99"/>
    <w:unhideWhenUsed/>
    <w:rsid w:val="0094616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eddy.woodhouse@ofcom.org.uk" TargetMode="External"/><Relationship Id="rId18" Type="http://schemas.openxmlformats.org/officeDocument/2006/relationships/hyperlink" Target="https://www.itu.int/en/ITU-D/Study-Groups/2026-2029/Pages/reference/SG1/questions/Question-5-1.aspx" TargetMode="External"/><Relationship Id="rId26" Type="http://schemas.openxmlformats.org/officeDocument/2006/relationships/hyperlink" Target="https://www.itu.int/en/ITU-D/Study-Groups/2026-2029/Pages/reference/SG1/questions/Question-5-1.aspx" TargetMode="External"/><Relationship Id="rId21" Type="http://schemas.openxmlformats.org/officeDocument/2006/relationships/hyperlink" Target="https://www.itu.int/en/ITU-D/Study-Groups/2022-2025/Documents/Guidelines%20agreed%20at%20TDAG-25%20for%20Composing%20Rapporteurs%20Teams-for%20posting.pdf" TargetMode="External"/><Relationship Id="rId34"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mailto:mehmetalper.tekin@btk.gov.tr" TargetMode="External"/><Relationship Id="rId17" Type="http://schemas.openxmlformats.org/officeDocument/2006/relationships/hyperlink" Target="https://www.itu.int/en/ITU-D/Study-Groups/2026-2029/Pages/reference/SG1/questions/Question-4-1.aspx" TargetMode="External"/><Relationship Id="rId25" Type="http://schemas.openxmlformats.org/officeDocument/2006/relationships/hyperlink" Target="https://www.itu.int/en/ITU-D/Study-Groups/2026-2029/Pages/reference/Collaborative-Tools.aspx" TargetMode="External"/><Relationship Id="rId33"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itu.int/en/ITU-D/Study-Groups/2026-2029/Pages/reference/SG1/questions/Question-3-1.aspx" TargetMode="External"/><Relationship Id="rId20" Type="http://schemas.openxmlformats.org/officeDocument/2006/relationships/hyperlink" Target="https://www.itu.int/net4/ITU-D/CDS/sg/blkmeetings.asp?lg=1&amp;stg=&amp;sp=2026&amp;blk=29194" TargetMode="External"/><Relationship Id="rId29" Type="http://schemas.openxmlformats.org/officeDocument/2006/relationships/hyperlink" Target="https://www.itu.int/oth/D0735000001/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itu.int/md/D22-TDAG32-C-0062/en"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tu.int/en/ITU-D/Study-Groups/2026-2029/Pages/reference/SG1/questions/Question-2-1.aspx" TargetMode="External"/><Relationship Id="rId23" Type="http://schemas.openxmlformats.org/officeDocument/2006/relationships/hyperlink" Target="https://www.itu.int/dms_pub/itu-d/md/22/tdag32/c/D22-TDAG32-C-0006!N6B!PDF-E.pdf" TargetMode="External"/><Relationship Id="rId28" Type="http://schemas.openxmlformats.org/officeDocument/2006/relationships/hyperlink" Target="mailto:devsg@itu.int"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itu.int/md/D26-CA-CIR-0001/en"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ITU-D/Study-Groups/2026-2029/Pages/reference/SG1/questions/Question-1-1.aspx" TargetMode="External"/><Relationship Id="rId22" Type="http://schemas.openxmlformats.org/officeDocument/2006/relationships/hyperlink" Target="https://www.itu.int/en/ITU-D/Study-Groups/2026-2029/Pages/candidates.aspx" TargetMode="External"/><Relationship Id="rId27" Type="http://schemas.openxmlformats.org/officeDocument/2006/relationships/hyperlink" Target="https://www.itu.int/hub/membership/user-account-ties/" TargetMode="External"/><Relationship Id="rId30" Type="http://schemas.openxmlformats.org/officeDocument/2006/relationships/header" Target="header1.xm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hyperlink" Target="mailto:hirayama@anatel.gov.b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translate.itu.int/documents" TargetMode="External"/><Relationship Id="rId1" Type="http://schemas.openxmlformats.org/officeDocument/2006/relationships/hyperlink" Target="https://www.itu.int/en/ITU-D/Study-Groups/2022-2025/Pages/TIES_Protected/contributions_dashboard_2022_202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ea696a-cca3-460b-a983-57ac2621983a">
      <Terms xmlns="http://schemas.microsoft.com/office/infopath/2007/PartnerControls"/>
    </lcf76f155ced4ddcb4097134ff3c332f>
    <TaxCatchAll xmlns="29399490-13b9-4c73-b71e-403b715b75a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21F7F6C5263B4B928A068E40912AB8" ma:contentTypeVersion="17" ma:contentTypeDescription="Create a new document." ma:contentTypeScope="" ma:versionID="08de21dd3d53535c2968f418991843b1">
  <xsd:schema xmlns:xsd="http://www.w3.org/2001/XMLSchema" xmlns:xs="http://www.w3.org/2001/XMLSchema" xmlns:p="http://schemas.microsoft.com/office/2006/metadata/properties" xmlns:ns2="d4ea696a-cca3-460b-a983-57ac2621983a" xmlns:ns3="29399490-13b9-4c73-b71e-403b715b75a7" targetNamespace="http://schemas.microsoft.com/office/2006/metadata/properties" ma:root="true" ma:fieldsID="61722b74c011d0d4baa2c88cba3894f1" ns2:_="" ns3:_="">
    <xsd:import namespace="d4ea696a-cca3-460b-a983-57ac2621983a"/>
    <xsd:import namespace="29399490-13b9-4c73-b71e-403b715b75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a696a-cca3-460b-a983-57ac262198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399490-13b9-4c73-b71e-403b715b75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36094f-0688-4081-a569-0c74b76e7ddf}" ma:internalName="TaxCatchAll" ma:showField="CatchAllData" ma:web="29399490-13b9-4c73-b71e-403b715b7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93D933-8FAF-4B3A-81ED-70FB4BA28952}">
  <ds:schemaRefs>
    <ds:schemaRef ds:uri="http://schemas.openxmlformats.org/officeDocument/2006/bibliography"/>
  </ds:schemaRefs>
</ds:datastoreItem>
</file>

<file path=customXml/itemProps2.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d4ea696a-cca3-460b-a983-57ac2621983a"/>
    <ds:schemaRef ds:uri="29399490-13b9-4c73-b71e-403b715b75a7"/>
  </ds:schemaRefs>
</ds:datastoreItem>
</file>

<file path=customXml/itemProps3.xml><?xml version="1.0" encoding="utf-8"?>
<ds:datastoreItem xmlns:ds="http://schemas.openxmlformats.org/officeDocument/2006/customXml" ds:itemID="{D40E41C3-25CE-49F4-95DF-D6CCF6A9C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a696a-cca3-460b-a983-57ac2621983a"/>
    <ds:schemaRef ds:uri="29399490-13b9-4c73-b71e-403b715b7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D358B6-82FD-4ED4-B974-7341365ED9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2440</Words>
  <Characters>15218</Characters>
  <Application>Microsoft Office Word</Application>
  <DocSecurity>0</DocSecurity>
  <Lines>126</Lines>
  <Paragraphs>35</Paragraphs>
  <ScaleCrop>false</ScaleCrop>
  <Manager>General Secretariat - Pool</Manager>
  <Company/>
  <LinksUpToDate>false</LinksUpToDate>
  <CharactersWithSpaces>17623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BDT</dc:creator>
  <cp:keywords/>
  <dc:description/>
  <cp:lastModifiedBy>BDT-ND</cp:lastModifiedBy>
  <cp:revision>105</cp:revision>
  <cp:lastPrinted>2011-08-25T19:41:00Z</cp:lastPrinted>
  <dcterms:created xsi:type="dcterms:W3CDTF">2026-02-10T22:38:00Z</dcterms:created>
  <dcterms:modified xsi:type="dcterms:W3CDTF">2026-03-03T14:30:00Z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0x0101000421F7F6C5263B4B928A068E40912AB8</vt:lpwstr>
  </property>
  <property fmtid="{D5CDD505-2E9C-101B-9397-08002B2CF9AE}" pid="10" name="_dlc_DocIdItemGuid">
    <vt:lpwstr>1277586e-23f4-4a9c-8b22-c68c4fc349db</vt:lpwstr>
  </property>
  <property fmtid="{D5CDD505-2E9C-101B-9397-08002B2CF9AE}" pid="11" name="docLang">
    <vt:lpwstr>en</vt:lpwstr>
  </property>
  <property fmtid="{D5CDD505-2E9C-101B-9397-08002B2CF9AE}" pid="12" name="MediaServiceImageTags">
    <vt:lpwstr/>
  </property>
</Properties>
</file>