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3F11C5D7" w14:textId="77777777" w:rsidTr="004F5BCA">
        <w:trPr>
          <w:cantSplit/>
          <w:trHeight w:val="1310"/>
          <w:jc w:val="center"/>
        </w:trPr>
        <w:tc>
          <w:tcPr>
            <w:tcW w:w="8219" w:type="dxa"/>
            <w:gridSpan w:val="2"/>
            <w:tcBorders>
              <w:bottom w:val="single" w:sz="12" w:space="0" w:color="auto"/>
            </w:tcBorders>
            <w:vAlign w:val="center"/>
          </w:tcPr>
          <w:p w14:paraId="4F7D15A1"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0CB39736"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60BC9E4C"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54362C54" wp14:editId="3D4F689C">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5ED411EA" w14:textId="77777777" w:rsidTr="00AD1E92">
        <w:trPr>
          <w:cantSplit/>
          <w:jc w:val="center"/>
        </w:trPr>
        <w:tc>
          <w:tcPr>
            <w:tcW w:w="6660" w:type="dxa"/>
            <w:tcBorders>
              <w:top w:val="single" w:sz="12" w:space="0" w:color="auto"/>
            </w:tcBorders>
          </w:tcPr>
          <w:p w14:paraId="27DFA917"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4A66A4FB" w14:textId="77777777" w:rsidR="00CA08BA" w:rsidRPr="00C85CB5" w:rsidRDefault="00CA08BA" w:rsidP="00B93B7B">
            <w:pPr>
              <w:spacing w:before="20" w:after="20" w:line="300" w:lineRule="exact"/>
              <w:rPr>
                <w:b/>
                <w:bCs/>
                <w:highlight w:val="yellow"/>
                <w:rtl/>
                <w:lang w:bidi="ar-EG"/>
              </w:rPr>
            </w:pPr>
          </w:p>
        </w:tc>
      </w:tr>
      <w:tr w:rsidR="00783A69" w:rsidRPr="00783A69" w14:paraId="664CF55F" w14:textId="77777777" w:rsidTr="00AD1E92">
        <w:trPr>
          <w:cantSplit/>
          <w:jc w:val="center"/>
        </w:trPr>
        <w:tc>
          <w:tcPr>
            <w:tcW w:w="6660" w:type="dxa"/>
          </w:tcPr>
          <w:p w14:paraId="08C02AF5" w14:textId="77777777" w:rsidR="00783A69" w:rsidRPr="00783A69" w:rsidRDefault="00783A69" w:rsidP="00B93B7B">
            <w:pPr>
              <w:spacing w:before="20" w:after="20" w:line="300" w:lineRule="exact"/>
              <w:rPr>
                <w:b/>
                <w:bCs/>
                <w:rtl/>
                <w:lang w:bidi="ar-EG"/>
              </w:rPr>
            </w:pPr>
          </w:p>
        </w:tc>
        <w:tc>
          <w:tcPr>
            <w:tcW w:w="2979" w:type="dxa"/>
            <w:gridSpan w:val="2"/>
          </w:tcPr>
          <w:p w14:paraId="4F3CB086" w14:textId="7AAA2232"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16142F">
              <w:rPr>
                <w:b/>
                <w:bCs/>
                <w:lang w:bidi="ar-EG"/>
              </w:rPr>
              <w:t>5</w:t>
            </w:r>
            <w:r w:rsidRPr="00153471">
              <w:rPr>
                <w:b/>
                <w:bCs/>
                <w:lang w:bidi="ar-EG"/>
              </w:rPr>
              <w:t>-A</w:t>
            </w:r>
          </w:p>
        </w:tc>
      </w:tr>
      <w:tr w:rsidR="00783A69" w:rsidRPr="00783A69" w14:paraId="75100A0A" w14:textId="77777777" w:rsidTr="00AD1E92">
        <w:trPr>
          <w:cantSplit/>
          <w:jc w:val="center"/>
        </w:trPr>
        <w:tc>
          <w:tcPr>
            <w:tcW w:w="6660" w:type="dxa"/>
          </w:tcPr>
          <w:p w14:paraId="316E1E8C" w14:textId="77777777" w:rsidR="00783A69" w:rsidRPr="00783A69" w:rsidRDefault="00783A69" w:rsidP="00B93B7B">
            <w:pPr>
              <w:spacing w:before="20" w:after="20" w:line="300" w:lineRule="exact"/>
              <w:rPr>
                <w:b/>
                <w:bCs/>
              </w:rPr>
            </w:pPr>
          </w:p>
        </w:tc>
        <w:tc>
          <w:tcPr>
            <w:tcW w:w="2979" w:type="dxa"/>
            <w:gridSpan w:val="2"/>
          </w:tcPr>
          <w:p w14:paraId="68969CF3" w14:textId="577C8AC6" w:rsidR="00783A69" w:rsidRPr="00C85CB5" w:rsidRDefault="0016142F"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58F2C258" w14:textId="77777777" w:rsidTr="00AD1E92">
        <w:trPr>
          <w:cantSplit/>
          <w:jc w:val="center"/>
        </w:trPr>
        <w:tc>
          <w:tcPr>
            <w:tcW w:w="6660" w:type="dxa"/>
          </w:tcPr>
          <w:p w14:paraId="035E13D4" w14:textId="77777777" w:rsidR="00783A69" w:rsidRPr="00783A69" w:rsidRDefault="00783A69" w:rsidP="00B93B7B">
            <w:pPr>
              <w:spacing w:before="20" w:after="20" w:line="300" w:lineRule="exact"/>
              <w:rPr>
                <w:b/>
                <w:bCs/>
                <w:lang w:bidi="ar-EG"/>
              </w:rPr>
            </w:pPr>
          </w:p>
        </w:tc>
        <w:tc>
          <w:tcPr>
            <w:tcW w:w="2979" w:type="dxa"/>
            <w:gridSpan w:val="2"/>
          </w:tcPr>
          <w:p w14:paraId="4B2B5899"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1E0DB669" w14:textId="77777777" w:rsidTr="00EE5CF2">
        <w:trPr>
          <w:cantSplit/>
          <w:jc w:val="center"/>
        </w:trPr>
        <w:tc>
          <w:tcPr>
            <w:tcW w:w="9639" w:type="dxa"/>
            <w:gridSpan w:val="3"/>
          </w:tcPr>
          <w:p w14:paraId="74167EDC" w14:textId="76792961" w:rsidR="00783A69" w:rsidRPr="00783A69" w:rsidRDefault="0016142F" w:rsidP="0016142F">
            <w:pPr>
              <w:pStyle w:val="Source"/>
              <w:rPr>
                <w:rFonts w:hint="cs"/>
                <w:rtl/>
                <w:lang w:bidi="ar-EG"/>
              </w:rPr>
            </w:pPr>
            <w:r w:rsidRPr="0016142F">
              <w:rPr>
                <w:sz w:val="28"/>
                <w:szCs w:val="28"/>
                <w:rtl/>
              </w:rPr>
              <w:t>رئيس لجنة الدراسات 1 لقطاع تنمية الاتصالات</w:t>
            </w:r>
          </w:p>
        </w:tc>
      </w:tr>
      <w:tr w:rsidR="00783A69" w:rsidRPr="00783A69" w14:paraId="2F87D943" w14:textId="77777777" w:rsidTr="00EE5CF2">
        <w:trPr>
          <w:cantSplit/>
          <w:jc w:val="center"/>
        </w:trPr>
        <w:tc>
          <w:tcPr>
            <w:tcW w:w="9639" w:type="dxa"/>
            <w:gridSpan w:val="3"/>
          </w:tcPr>
          <w:p w14:paraId="0F1B909F" w14:textId="45FE71F4" w:rsidR="00783A69" w:rsidRPr="00783A69" w:rsidRDefault="0016142F" w:rsidP="0016142F">
            <w:pPr>
              <w:pStyle w:val="Title1"/>
              <w:rPr>
                <w:lang w:bidi="ar-EG"/>
              </w:rPr>
            </w:pPr>
            <w:r w:rsidRPr="0016142F">
              <w:rPr>
                <w:rtl/>
              </w:rPr>
              <w:t>نطاق عمل لجنة الدراسات 1 لقطاع تنمية الاتصالات لفترة الدراسة 2026-2029</w:t>
            </w:r>
          </w:p>
        </w:tc>
      </w:tr>
    </w:tbl>
    <w:p w14:paraId="09A6AD58"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601C741C"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5A54BFD1"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09DA8ED8" w14:textId="3BE8FC9E" w:rsidR="00D118AD" w:rsidRPr="00D118AD" w:rsidRDefault="00D118AD" w:rsidP="00D118AD">
            <w:pPr>
              <w:rPr>
                <w:spacing w:val="-2"/>
                <w:lang w:val="ar-SA" w:bidi="ar-EG"/>
              </w:rPr>
            </w:pPr>
            <w:r w:rsidRPr="00D118AD">
              <w:rPr>
                <w:spacing w:val="-2"/>
                <w:rtl/>
                <w:lang w:val="en-GB"/>
              </w:rPr>
              <w:t>يعرض هذا التقرير نطاق عمل لجنة الدراسات 1 لقطاع تنمية الاتصالات في فترة الدراسة 2026-2029، بصيغته المتفق عليها في المؤتمر العالمي لتنمية الاتصالات لعام 2025 (WTDC-25). ويتضمن التقرير أيضاً معلومات بشأن قرارات المؤتمر WTDC</w:t>
            </w:r>
            <w:r w:rsidR="00B72D12">
              <w:rPr>
                <w:spacing w:val="-2"/>
                <w:rtl/>
                <w:lang w:val="en-GB"/>
              </w:rPr>
              <w:noBreakHyphen/>
            </w:r>
            <w:r w:rsidRPr="00D118AD">
              <w:rPr>
                <w:spacing w:val="-2"/>
                <w:rtl/>
                <w:lang w:val="en-GB"/>
              </w:rPr>
              <w:t>25 التي لها تأثير على لجنتي دراسات قطاع تنمية الاتصالات وخطة عمل لجنة الدراسات 1 التي تمكِّنها من تنفيذ الولاية المنوطة بها.</w:t>
            </w:r>
          </w:p>
          <w:p w14:paraId="004F8D45" w14:textId="20A6A4CD" w:rsidR="00783A69" w:rsidRPr="00B72D12" w:rsidRDefault="00D118AD" w:rsidP="00D118AD">
            <w:pPr>
              <w:rPr>
                <w:spacing w:val="-2"/>
                <w:rtl/>
                <w:lang w:val="en-GB"/>
              </w:rPr>
            </w:pPr>
            <w:r w:rsidRPr="00B72D12">
              <w:rPr>
                <w:spacing w:val="-2"/>
                <w:rtl/>
                <w:lang w:val="en-GB"/>
              </w:rPr>
              <w:t>وسيُعقد الاجتماع الأول للجنة الدراسات 1 لقطاع تنمية الاتصالات لفترة الدارسة الجديدة في الفترة من 13 إلى 17 أبريل 2025.</w:t>
            </w:r>
          </w:p>
          <w:p w14:paraId="06EB4977"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0B6E12F5" w14:textId="77777777"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18D9EFC1"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7BCF7084" w14:textId="613C9600" w:rsidR="00783A69" w:rsidRPr="00153471" w:rsidRDefault="00D118AD" w:rsidP="00D118AD">
            <w:pPr>
              <w:rPr>
                <w:rtl/>
              </w:rPr>
            </w:pPr>
            <w:r w:rsidRPr="00D118AD">
              <w:rPr>
                <w:rtl/>
                <w:lang w:val="en-GB"/>
              </w:rPr>
              <w:t>القرار 2 (المراجَع في باكو، 2025)، القرار 1 (المراجَع في باكو، 2025) للمؤتمر العالمي لتنمية الاتصالات</w:t>
            </w:r>
          </w:p>
        </w:tc>
      </w:tr>
    </w:tbl>
    <w:p w14:paraId="3E9F2F43" w14:textId="77777777" w:rsidR="00882A17" w:rsidRDefault="00882A17" w:rsidP="00B72D12">
      <w:pPr>
        <w:rPr>
          <w:lang w:bidi="ar-EG"/>
        </w:rPr>
      </w:pPr>
      <w:r>
        <w:rPr>
          <w:rtl/>
          <w:lang w:bidi="ar-EG"/>
        </w:rPr>
        <w:br w:type="page"/>
      </w:r>
    </w:p>
    <w:p w14:paraId="0C99B83C" w14:textId="50B060BD" w:rsidR="00F240F4" w:rsidRPr="00250270" w:rsidRDefault="00250270" w:rsidP="00250270">
      <w:pPr>
        <w:pStyle w:val="Heading1"/>
      </w:pPr>
      <w:r w:rsidRPr="00250270">
        <w:lastRenderedPageBreak/>
        <w:t>1</w:t>
      </w:r>
      <w:r w:rsidRPr="00250270">
        <w:tab/>
      </w:r>
      <w:r w:rsidR="00F240F4" w:rsidRPr="00250270">
        <w:rPr>
          <w:rtl/>
        </w:rPr>
        <w:t>قرارات المؤتمر WTDC-25 التي لها تأثير على لجنة الدراسات 1 لقطاع تنمية الاتصالات</w:t>
      </w:r>
    </w:p>
    <w:p w14:paraId="003D9B1C" w14:textId="0364F4DB" w:rsidR="00F240F4" w:rsidRPr="007741D9" w:rsidRDefault="00F240F4" w:rsidP="00F240F4">
      <w:pPr>
        <w:textDirection w:val="tbRlV"/>
        <w:rPr>
          <w:lang w:val="ar-SA" w:eastAsia="zh-TW" w:bidi="en-GB"/>
        </w:rPr>
      </w:pPr>
      <w:r w:rsidRPr="007741D9">
        <w:rPr>
          <w:rtl/>
        </w:rPr>
        <w:t>تتبع لجنتا دراسات قطاع تنمية الاتصالات العملية وأساليب العمل المنصوص عليها في القرار 1 (المراجَع في باكو، 2025) "النظام الداخلي لقطاع تنمية الاتصالات التابع للاتحاد الدولي للاتصالات" الذي اعتمده المؤتمر WTDC-25. وقد عزز المؤتمر WTDC</w:t>
      </w:r>
      <w:r w:rsidR="00250270">
        <w:rPr>
          <w:rtl/>
        </w:rPr>
        <w:noBreakHyphen/>
      </w:r>
      <w:r w:rsidRPr="007741D9">
        <w:rPr>
          <w:rtl/>
        </w:rPr>
        <w:t>25 دور لجنتي دراسات قطاع تنمية الاتصالات لتزويد الأعضاء بمنصة لتبادل الخبرات وطرح الأفكار وتبادل وجهات النظر والتوصل إلى توافق في الآراء بشأن الاستراتيجيات لمعالجة الأولويات الحالية والمستقبلية في مجال الاتصالات/تكنولوجيا المعلومات والاتصالات. وبذلك، تعزز دور لجنتي دراسات قطاع تنمية الاتصالات في مساعدة الدول الأعضاء على تحقيق غاياتها المرتبطة بأهداف التنمية المستدامة وأهدافها الإنمائية المحددة.</w:t>
      </w:r>
    </w:p>
    <w:p w14:paraId="56743552" w14:textId="77777777" w:rsidR="00F240F4" w:rsidRPr="000E60AB" w:rsidRDefault="00F240F4" w:rsidP="00F240F4">
      <w:pPr>
        <w:textDirection w:val="tbRlV"/>
        <w:rPr>
          <w:spacing w:val="-2"/>
          <w:lang w:val="ar-SA" w:eastAsia="zh-TW" w:bidi="en-GB"/>
        </w:rPr>
      </w:pPr>
      <w:r w:rsidRPr="000E60AB">
        <w:rPr>
          <w:spacing w:val="-2"/>
          <w:rtl/>
        </w:rPr>
        <w:t>وتشمل التغييرات التي أُدخلت على أساليب العمل في القرار 1 (المراجَع في باكو، 2025) أحكاماً جديدة أو معدَّلة تتعلق بالمسؤولين (مثل إخطار العضو المرشِّح إذا تغيب المسؤول عن اجتماعين متتاليين)، وتقارير النواتج (مثل تحديد 70 صفحة بدلاً من 50 صفحة كحد أقصى لتقارير النواتج الجديدة لمسألة ما)، والنواتج المؤقتة (مثل إمكانية أن يشكِّل تجميع للنواتج المؤقتة المنشورة تقرير نواتج)، والتعاون مع قطاعي الاتحاد الآخرين (مثل إجراءات إضافية/مراجَعة لأفرقة العمل بالمراسلة المشتركة بين القطاعات وأفرقة المقررين المشتركة بين القطاعات)، وأنشطة دعم لجنتي الدراسات (مثل الأحداث المتعلقة بأولويات وأهداف خطة عمل باكو وقرارات المؤتمر العالمي لتنمية الاتصالات، التي تُعقد أثناء اجتماعات لجنتي الدراسات أو على هامشها)، ومواضيع أخرى.</w:t>
      </w:r>
    </w:p>
    <w:p w14:paraId="432E74D0" w14:textId="14B6D799" w:rsidR="00F240F4" w:rsidRPr="007741D9" w:rsidRDefault="00F240F4" w:rsidP="00F240F4">
      <w:pPr>
        <w:textDirection w:val="tbRlV"/>
        <w:rPr>
          <w:lang w:val="ar-SA" w:eastAsia="zh-TW" w:bidi="en-GB"/>
        </w:rPr>
      </w:pPr>
      <w:r w:rsidRPr="007741D9">
        <w:rPr>
          <w:rtl/>
        </w:rPr>
        <w:t xml:space="preserve">وعلى النحو المفصل في القرار 2 (المراجَع في باكو، 2025)، تجدد لجنة الدراسات 1 </w:t>
      </w:r>
      <w:r w:rsidR="0027287E">
        <w:t>(SG1)</w:t>
      </w:r>
      <w:r w:rsidR="0027287E">
        <w:rPr>
          <w:rFonts w:hint="cs"/>
          <w:rtl/>
        </w:rPr>
        <w:t xml:space="preserve"> </w:t>
      </w:r>
      <w:r w:rsidRPr="007741D9">
        <w:rPr>
          <w:rtl/>
        </w:rPr>
        <w:t>لقطاع تنمية الاتصالات التركيز على "التوصيلية الشاملة والهادفة من أجل سد الفجوة الرقمية". ويتكون فريق الإدارة الجديد الذي عيّنه المؤتمر WTDC-25 لقيادة أعمال لجنة الدراسات 1 من رئيس و16 نائباً للرئيس. وتُسنَد مهام التنسيق بشأن مواضيع محددة إلى نواب الرئيس.</w:t>
      </w:r>
    </w:p>
    <w:p w14:paraId="6844389C" w14:textId="234D9047" w:rsidR="00F240F4" w:rsidRPr="00585EDC" w:rsidRDefault="00F240F4" w:rsidP="00F240F4">
      <w:pPr>
        <w:textDirection w:val="tbRlV"/>
        <w:rPr>
          <w:spacing w:val="-6"/>
          <w:lang w:val="ar-SA" w:eastAsia="zh-TW" w:bidi="en-GB"/>
        </w:rPr>
      </w:pPr>
      <w:r w:rsidRPr="00585EDC">
        <w:rPr>
          <w:spacing w:val="-6"/>
          <w:rtl/>
        </w:rPr>
        <w:t xml:space="preserve">أُسندت إلى لجنة الدراسات 1 خمس (5) مسائل مقارنة بالمسائل السبع (7) الماضية، ما يقلل من التداخل بين المواضيع/المساهمات ويعزز كفاءة استخدام الموارد. وعلى الرغم من خفض عدد المسائل، أُبقي على المواضيع الرئيسية من مسائل الدراسة السابقة مع دمج بعضها في المسائل الجديدة. وستدرس المسائل الخمس أيضاً مواضيع جديدة. وتتولى مسائل الدراسة الخمس، بما يتماشى مع اختصاصات كل منها، إجراء بحوث بشأن الاتصالات/تكنولوجيا المعلومات والاتصالات الجديدة والناشئة، بما في ذلك تطبيقات الذكاء الاصطناعي </w:t>
      </w:r>
      <w:r w:rsidRPr="00585EDC">
        <w:rPr>
          <w:spacing w:val="-6"/>
        </w:rPr>
        <w:t>(AI)</w:t>
      </w:r>
      <w:r w:rsidRPr="00585EDC">
        <w:rPr>
          <w:spacing w:val="-6"/>
          <w:rtl/>
        </w:rPr>
        <w:t>، من أجل توفير توصيلية شاملة وهادفة.</w:t>
      </w:r>
    </w:p>
    <w:p w14:paraId="1C3CABD7" w14:textId="77777777" w:rsidR="00F240F4" w:rsidRPr="00585EDC" w:rsidRDefault="00F240F4" w:rsidP="00F240F4">
      <w:pPr>
        <w:textDirection w:val="tbRlV"/>
        <w:rPr>
          <w:spacing w:val="-2"/>
          <w:lang w:val="ar-SA" w:eastAsia="zh-TW" w:bidi="en-GB"/>
        </w:rPr>
      </w:pPr>
      <w:r w:rsidRPr="00585EDC">
        <w:rPr>
          <w:spacing w:val="-2"/>
          <w:rtl/>
        </w:rPr>
        <w:t xml:space="preserve">وستتناول مسائل دراسة محددة مواضيع جديدة ، منها: التكامل بين شبكات الأرض والشبكات الأخرى غير شبكات الأرض؛ تصميم سياسات قائمة على البيانات؛ التعاون المؤسسي بين القطاعات (مثلاً بين قطاع تكنولوجيا المعلومات والاتصالات والقطاع المالي وقطاع الطاقة وقطاع التعليم وقطاع النقل) لمواءمة أهداف البنية التحتية للاتصالات/تكنولوجيا المعلومات والاتصالات مع الأولويات الإنمائية الوطنية؛ استخدام الذكاء الاصطناعي في التنفيذ التقني لسلسلة الإذاعة؛ استخدام الذكاء الاصطناعي، والتوائم الرقمية، والأدوات الأخرى ذات الصلة في الخدمات والتكنولوجيات الجديدة والناشئة في مجال الاتصالات/تكنولوجيا المعلومات والاتصالات، للتنبؤ بمخاطر الكوارث والحد منها وإدارتها؛ التأثير الاقتصادي للخدمات والتكنولوجيات الجديدة والناشئة في مجال الاتصالات/تكنولوجيا المعلومات والاتصالات، بما في ذلك تطبيقات الذكاء الاصطناعي </w:t>
      </w:r>
      <w:proofErr w:type="spellStart"/>
      <w:r w:rsidRPr="00585EDC">
        <w:rPr>
          <w:spacing w:val="-2"/>
          <w:rtl/>
        </w:rPr>
        <w:t>والميتافيرس</w:t>
      </w:r>
      <w:proofErr w:type="spellEnd"/>
      <w:r w:rsidRPr="00585EDC">
        <w:rPr>
          <w:spacing w:val="-2"/>
          <w:rtl/>
        </w:rPr>
        <w:t>؛ تقييم الطيف على الصعيد الوطني؛ الأموال المتنقلة؛ إسهام خدمات الاتصالات/تكنولوجيا المعلومات والاتصالات في العائد الاجتماعي على الاستثمار؛ كيف يمكن لحلول الاتصالات/تكنولوجيا المعلومات والاتصالات الميسَّرة النفاذ أن تحسن بيئة العمل والحصول على فرص العمل، خاصة للأشخاص ذوي الإعاقة والأشخاص ذوي الاحتياجات المحددة؛ استراتيجيات مبتكرة لتوعية المستهلكين وتمكينهم.</w:t>
      </w:r>
    </w:p>
    <w:p w14:paraId="5E99118C" w14:textId="36A1C785" w:rsidR="00F240F4" w:rsidRPr="007741D9" w:rsidRDefault="00F240F4" w:rsidP="00F240F4">
      <w:pPr>
        <w:textDirection w:val="tbRlV"/>
        <w:rPr>
          <w:lang w:val="ar-SA" w:eastAsia="zh-TW" w:bidi="en-GB"/>
        </w:rPr>
      </w:pPr>
      <w:r w:rsidRPr="007741D9">
        <w:rPr>
          <w:rtl/>
        </w:rPr>
        <w:t>وينبغي، قدر الإمكان، دمج تقديم النواتج المؤقتة في خطط العمل الخاصة بكل مسألة. وسيظل بناء قدرات لجنتي دراسات قطاع تنمية الاتصالات مهماً في مسائل الدراسة، وسيتحقق من خلال تبادل دراسات الحالة وتنظيم ورش العمل والحلقات الدراسية الإلكترونية.</w:t>
      </w:r>
    </w:p>
    <w:p w14:paraId="31431BC6" w14:textId="1EAD78F6" w:rsidR="00F240F4" w:rsidRPr="00762C8F" w:rsidRDefault="009A65BC" w:rsidP="00762C8F">
      <w:pPr>
        <w:pStyle w:val="Heading1"/>
      </w:pPr>
      <w:r w:rsidRPr="00762C8F">
        <w:t>2</w:t>
      </w:r>
      <w:r w:rsidRPr="00762C8F">
        <w:tab/>
      </w:r>
      <w:r w:rsidR="00F240F4" w:rsidRPr="00762C8F">
        <w:rPr>
          <w:rtl/>
        </w:rPr>
        <w:t>مقدمة عن عمل لجنة الدراسات 1 لقطاع تنمية الاتصالات</w:t>
      </w:r>
    </w:p>
    <w:p w14:paraId="768D54B1" w14:textId="1E693851" w:rsidR="00F240F4" w:rsidRPr="007741D9" w:rsidRDefault="009A65BC" w:rsidP="00762C8F">
      <w:pPr>
        <w:pStyle w:val="Heading2"/>
        <w:rPr>
          <w:lang w:val="ar-SA" w:eastAsia="zh-TW" w:bidi="en-GB"/>
        </w:rPr>
      </w:pPr>
      <w:r>
        <w:t>1.2</w:t>
      </w:r>
      <w:r>
        <w:tab/>
      </w:r>
      <w:r w:rsidR="00F240F4" w:rsidRPr="007741D9">
        <w:rPr>
          <w:rtl/>
        </w:rPr>
        <w:t>نطاق العمل</w:t>
      </w:r>
    </w:p>
    <w:p w14:paraId="26F6FB5F" w14:textId="77777777" w:rsidR="00F240F4" w:rsidRPr="007741D9" w:rsidRDefault="00F240F4" w:rsidP="00F240F4">
      <w:pPr>
        <w:textDirection w:val="tbRlV"/>
        <w:rPr>
          <w:lang w:val="ar-SA" w:eastAsia="zh-TW" w:bidi="en-GB"/>
        </w:rPr>
      </w:pPr>
      <w:r w:rsidRPr="007741D9">
        <w:rPr>
          <w:rtl/>
        </w:rPr>
        <w:t>أنشئت لجنة الدراسات 1 (SG1) وفقاً للقرار 2 (المراجَع في باكو، 2025) لكي تدرس، من خلال المسائل التي اعتمدها أعضاء الاتحاد في المؤتمر العالمي لتنمية الاتصالات لعام 2025 (WTDC-25)، القضايا المتصلة بالتوصيلية الشاملة والهادفة من أجل سد الفجوة الرقمية.</w:t>
      </w:r>
    </w:p>
    <w:p w14:paraId="6C1622BB" w14:textId="77777777" w:rsidR="00F240F4" w:rsidRPr="007741D9" w:rsidRDefault="00F240F4" w:rsidP="00F240F4">
      <w:pPr>
        <w:textDirection w:val="tbRlV"/>
        <w:rPr>
          <w:lang w:val="ar-SA" w:eastAsia="zh-TW" w:bidi="en-GB"/>
        </w:rPr>
      </w:pPr>
      <w:r w:rsidRPr="007741D9">
        <w:rPr>
          <w:rtl/>
        </w:rPr>
        <w:t>والمواضيع التي يتعين أن تدرسها لجنة الدراسات 1 هي:</w:t>
      </w:r>
    </w:p>
    <w:p w14:paraId="283F5B1E" w14:textId="2A670E5D" w:rsidR="00F240F4" w:rsidRPr="007741D9" w:rsidRDefault="00CA6858" w:rsidP="00BF296B">
      <w:pPr>
        <w:pStyle w:val="enumlev1"/>
        <w:rPr>
          <w:lang w:val="ar-SA" w:eastAsia="zh-TW" w:bidi="en-GB"/>
        </w:rPr>
      </w:pPr>
      <w:r>
        <w:rPr>
          <w:rFonts w:hint="cs"/>
          <w:rtl/>
          <w:lang w:bidi="ar-EG"/>
        </w:rPr>
        <w:t>-</w:t>
      </w:r>
      <w:r>
        <w:rPr>
          <w:rtl/>
          <w:lang w:bidi="ar-EG"/>
        </w:rPr>
        <w:tab/>
      </w:r>
      <w:r w:rsidR="00F240F4" w:rsidRPr="007741D9">
        <w:rPr>
          <w:rtl/>
        </w:rPr>
        <w:t>الجوانب السياساتية والتنظيمية الوطنية لتنمية الاتصالات/تكنولوجيا المعلومات والاتصالات عريضة النطاق.</w:t>
      </w:r>
    </w:p>
    <w:p w14:paraId="2197590E" w14:textId="3DD3A75F" w:rsidR="00F240F4" w:rsidRPr="00365BF8" w:rsidRDefault="00CA6858" w:rsidP="00BF296B">
      <w:pPr>
        <w:pStyle w:val="enumlev1"/>
        <w:rPr>
          <w:spacing w:val="-6"/>
          <w:lang w:val="ar-SA" w:eastAsia="zh-TW" w:bidi="en-GB"/>
        </w:rPr>
      </w:pPr>
      <w:r w:rsidRPr="00365BF8">
        <w:rPr>
          <w:rFonts w:hint="cs"/>
          <w:spacing w:val="-6"/>
          <w:rtl/>
        </w:rPr>
        <w:lastRenderedPageBreak/>
        <w:t>-</w:t>
      </w:r>
      <w:r w:rsidRPr="00365BF8">
        <w:rPr>
          <w:spacing w:val="-6"/>
          <w:rtl/>
        </w:rPr>
        <w:tab/>
      </w:r>
      <w:r w:rsidR="00F240F4" w:rsidRPr="00365BF8">
        <w:rPr>
          <w:spacing w:val="-6"/>
          <w:rtl/>
        </w:rPr>
        <w:t>الجوانب الاقتصادية المتبعة في مجال الاتصالات/تكنولوجيا المعلومات والاتصالات الوطنية، بما في ذلك تسهيل تنفيذ الاقتصاد الرقمي وتوفير خدمات الاتصالات/تكنولوجيا المعلومات والاتصالات، بما في ذلك في المناطق الريفية والمناطق النائية.</w:t>
      </w:r>
    </w:p>
    <w:p w14:paraId="464028AE" w14:textId="5C391333" w:rsidR="00F240F4" w:rsidRPr="007741D9" w:rsidRDefault="00CA6858" w:rsidP="00BF296B">
      <w:pPr>
        <w:pStyle w:val="enumlev1"/>
        <w:rPr>
          <w:lang w:val="ar-SA" w:eastAsia="zh-TW" w:bidi="en-GB"/>
        </w:rPr>
      </w:pPr>
      <w:r>
        <w:rPr>
          <w:rFonts w:hint="cs"/>
          <w:rtl/>
        </w:rPr>
        <w:t>-</w:t>
      </w:r>
      <w:r>
        <w:rPr>
          <w:rtl/>
        </w:rPr>
        <w:tab/>
      </w:r>
      <w:r w:rsidR="00F240F4" w:rsidRPr="007741D9">
        <w:rPr>
          <w:rtl/>
        </w:rPr>
        <w:t>النهج الوطنية لتوفير النفاذ إلى الاتصالات/تكنولوجيا المعلومات والاتصالات الحديثة في المناطق الريفية والنائية، مع تركيز خاص على البلدان النامية، بما في ذلك في أقل البلدان نمواً والدول الجزرية الصغيرة النامية والبلدان النامية غير الساحلية والبلدان التي تمر اقتصاداتها بمرحلة انتقالية.</w:t>
      </w:r>
    </w:p>
    <w:p w14:paraId="266576B3" w14:textId="14A2685E" w:rsidR="00F240F4" w:rsidRPr="007741D9" w:rsidRDefault="00CA6858" w:rsidP="00BF296B">
      <w:pPr>
        <w:pStyle w:val="enumlev1"/>
        <w:rPr>
          <w:lang w:val="ar-SA" w:eastAsia="zh-TW" w:bidi="en-GB"/>
        </w:rPr>
      </w:pPr>
      <w:r>
        <w:rPr>
          <w:rFonts w:hint="cs"/>
          <w:rtl/>
        </w:rPr>
        <w:t>-</w:t>
      </w:r>
      <w:r>
        <w:rPr>
          <w:rtl/>
        </w:rPr>
        <w:tab/>
      </w:r>
      <w:r w:rsidR="00F240F4" w:rsidRPr="007741D9">
        <w:rPr>
          <w:rtl/>
        </w:rPr>
        <w:t>النفاذ إلى خدمات الاتصالات/تكنولوجيا المعلومات والاتصالات لتمكين الاتصالات الشاملة، خاصة للأشخاص ذوي الإعاقة والأشخاص ذوي الاحتياجات المحددة.</w:t>
      </w:r>
    </w:p>
    <w:p w14:paraId="1D87828D" w14:textId="358A93A6" w:rsidR="00F240F4" w:rsidRPr="007741D9" w:rsidRDefault="00CA6858" w:rsidP="00BF296B">
      <w:pPr>
        <w:pStyle w:val="enumlev1"/>
        <w:rPr>
          <w:lang w:val="ar-SA" w:eastAsia="zh-TW" w:bidi="en-GB"/>
        </w:rPr>
      </w:pPr>
      <w:r>
        <w:rPr>
          <w:rFonts w:hint="cs"/>
          <w:rtl/>
        </w:rPr>
        <w:t>-</w:t>
      </w:r>
      <w:r>
        <w:rPr>
          <w:rtl/>
        </w:rPr>
        <w:tab/>
      </w:r>
      <w:r w:rsidR="00F240F4" w:rsidRPr="007741D9">
        <w:rPr>
          <w:rtl/>
        </w:rPr>
        <w:t>الانتقال إلى التكنولوجيات الرقمية للإذاعة، واعتمادها، من أجل بيئات مختلفة.</w:t>
      </w:r>
    </w:p>
    <w:p w14:paraId="72A826AC" w14:textId="204F154F" w:rsidR="00F240F4" w:rsidRPr="007741D9" w:rsidRDefault="00CA6858" w:rsidP="00BF296B">
      <w:pPr>
        <w:pStyle w:val="enumlev1"/>
        <w:rPr>
          <w:lang w:val="ar-SA" w:eastAsia="zh-TW" w:bidi="en-GB"/>
        </w:rPr>
      </w:pPr>
      <w:r>
        <w:rPr>
          <w:rFonts w:hint="cs"/>
          <w:rtl/>
        </w:rPr>
        <w:t>-</w:t>
      </w:r>
      <w:r>
        <w:rPr>
          <w:rtl/>
        </w:rPr>
        <w:tab/>
      </w:r>
      <w:r w:rsidR="00F240F4" w:rsidRPr="007741D9">
        <w:rPr>
          <w:rtl/>
        </w:rPr>
        <w:t>استخدام الاتصالات/تكنولوجيا المعلومات والاتصالات للحد من مخاطر الكوارث وإدارتها، وخاصة في البلدان النامية.</w:t>
      </w:r>
    </w:p>
    <w:p w14:paraId="37E09151" w14:textId="14F12E8D" w:rsidR="00F240F4" w:rsidRPr="007741D9" w:rsidRDefault="00CA6858" w:rsidP="00BF296B">
      <w:pPr>
        <w:pStyle w:val="enumlev1"/>
        <w:rPr>
          <w:lang w:val="ar-SA" w:eastAsia="zh-TW" w:bidi="en-GB"/>
        </w:rPr>
      </w:pPr>
      <w:r>
        <w:rPr>
          <w:rFonts w:hint="cs"/>
          <w:rtl/>
        </w:rPr>
        <w:t>-</w:t>
      </w:r>
      <w:r>
        <w:rPr>
          <w:rtl/>
        </w:rPr>
        <w:tab/>
      </w:r>
      <w:r w:rsidR="00F240F4" w:rsidRPr="007741D9">
        <w:rPr>
          <w:rtl/>
        </w:rPr>
        <w:t>إعلام المستهلك وتمكينه وحمايته وحقوقه فيما يتعلق بخدمات الاتصالات/تكنولوجيا المعلومات والاتصالات، خاصةً الفئات الضعيفة.</w:t>
      </w:r>
    </w:p>
    <w:p w14:paraId="3D339B94" w14:textId="67771267" w:rsidR="00F240F4" w:rsidRPr="00365BF8" w:rsidRDefault="00CA6858" w:rsidP="00BF296B">
      <w:pPr>
        <w:pStyle w:val="enumlev1"/>
        <w:rPr>
          <w:spacing w:val="-2"/>
          <w:lang w:val="ar-SA" w:eastAsia="zh-TW" w:bidi="en-GB"/>
        </w:rPr>
      </w:pPr>
      <w:bookmarkStart w:id="1" w:name="_Hlk221711162"/>
      <w:r w:rsidRPr="00365BF8">
        <w:rPr>
          <w:rFonts w:hint="cs"/>
          <w:spacing w:val="-2"/>
          <w:rtl/>
        </w:rPr>
        <w:t>-</w:t>
      </w:r>
      <w:r w:rsidRPr="00365BF8">
        <w:rPr>
          <w:spacing w:val="-2"/>
          <w:rtl/>
        </w:rPr>
        <w:tab/>
      </w:r>
      <w:r w:rsidR="00F240F4" w:rsidRPr="00365BF8">
        <w:rPr>
          <w:spacing w:val="-2"/>
          <w:rtl/>
        </w:rPr>
        <w:t xml:space="preserve">الاتصالات/تكنولوجيا المعلومات والاتصالات الجديدة والناشئة، بما في ذلك تطبيقات الذكاء الاصطناعي </w:t>
      </w:r>
      <w:r w:rsidR="00F240F4" w:rsidRPr="00365BF8">
        <w:rPr>
          <w:spacing w:val="-2"/>
        </w:rPr>
        <w:t>(AI)</w:t>
      </w:r>
      <w:r w:rsidR="00F240F4" w:rsidRPr="00365BF8">
        <w:rPr>
          <w:spacing w:val="-2"/>
          <w:rtl/>
        </w:rPr>
        <w:t>، في</w:t>
      </w:r>
      <w:r w:rsidR="00365BF8">
        <w:rPr>
          <w:rFonts w:hint="cs"/>
          <w:spacing w:val="-2"/>
          <w:rtl/>
        </w:rPr>
        <w:t> </w:t>
      </w:r>
      <w:r w:rsidR="00F240F4" w:rsidRPr="00365BF8">
        <w:rPr>
          <w:spacing w:val="-2"/>
          <w:rtl/>
        </w:rPr>
        <w:t>تحقيق التوصيلية الشاملة والهادفة.</w:t>
      </w:r>
    </w:p>
    <w:bookmarkEnd w:id="1"/>
    <w:p w14:paraId="7FE45DB8" w14:textId="3715E2FF" w:rsidR="00F240F4" w:rsidRPr="007741D9" w:rsidRDefault="009A65BC" w:rsidP="00762C8F">
      <w:pPr>
        <w:pStyle w:val="Heading2"/>
        <w:rPr>
          <w:lang w:val="ar-SA" w:eastAsia="zh-TW" w:bidi="en-GB"/>
        </w:rPr>
      </w:pPr>
      <w:r>
        <w:t>2.2</w:t>
      </w:r>
      <w:r>
        <w:tab/>
      </w:r>
      <w:r w:rsidR="00F240F4" w:rsidRPr="007741D9">
        <w:rPr>
          <w:rtl/>
        </w:rPr>
        <w:t>إدارة لجنة الدراسات 1</w:t>
      </w:r>
    </w:p>
    <w:p w14:paraId="76EC5DB1" w14:textId="77777777" w:rsidR="00F240F4" w:rsidRPr="007741D9" w:rsidRDefault="00F240F4" w:rsidP="00F240F4">
      <w:pPr>
        <w:textDirection w:val="tbRlV"/>
        <w:rPr>
          <w:lang w:val="ar-SA" w:eastAsia="zh-TW" w:bidi="en-GB"/>
        </w:rPr>
      </w:pPr>
      <w:r w:rsidRPr="007741D9">
        <w:rPr>
          <w:rtl/>
        </w:rPr>
        <w:t xml:space="preserve">حدد المؤتمر WTDC-25 فريق قيادة لجنة الدراسات 1 لدورة الدراسة التاسعة (2026-2029) على النحو التالي: عُيِّن السيد روبرتو </w:t>
      </w:r>
      <w:proofErr w:type="spellStart"/>
      <w:r w:rsidRPr="007741D9">
        <w:rPr>
          <w:rtl/>
        </w:rPr>
        <w:t>ميتسواك</w:t>
      </w:r>
      <w:proofErr w:type="spellEnd"/>
      <w:r w:rsidRPr="007741D9">
        <w:rPr>
          <w:rtl/>
        </w:rPr>
        <w:t xml:space="preserve"> </w:t>
      </w:r>
      <w:proofErr w:type="spellStart"/>
      <w:r w:rsidRPr="007741D9">
        <w:rPr>
          <w:rtl/>
        </w:rPr>
        <w:t>هيراياما</w:t>
      </w:r>
      <w:proofErr w:type="spellEnd"/>
      <w:r w:rsidRPr="007741D9">
        <w:rPr>
          <w:rtl/>
        </w:rPr>
        <w:t xml:space="preserve"> (البرازيل) رئيساً للجنة الدراسات 1؛ كما تم تعيين نواب الرئيس الستة عشر التالية أسماؤهم:</w:t>
      </w:r>
    </w:p>
    <w:p w14:paraId="64D34742" w14:textId="4E034949" w:rsidR="00F240F4" w:rsidRPr="007741D9" w:rsidRDefault="00CA6858" w:rsidP="00BF296B">
      <w:pPr>
        <w:pStyle w:val="enumlev1"/>
        <w:rPr>
          <w:color w:val="1E1E1E"/>
          <w:lang w:val="ar-SA" w:eastAsia="zh-TW" w:bidi="en-GB"/>
        </w:rPr>
      </w:pPr>
      <w:r>
        <w:rPr>
          <w:rFonts w:hint="cs"/>
          <w:rtl/>
        </w:rPr>
        <w:t>-</w:t>
      </w:r>
      <w:r>
        <w:rPr>
          <w:rtl/>
        </w:rPr>
        <w:tab/>
      </w:r>
      <w:r w:rsidR="00F240F4" w:rsidRPr="007741D9">
        <w:rPr>
          <w:rtl/>
        </w:rPr>
        <w:t xml:space="preserve">السيدة </w:t>
      </w:r>
      <w:proofErr w:type="spellStart"/>
      <w:r w:rsidR="00F240F4" w:rsidRPr="007741D9">
        <w:rPr>
          <w:rtl/>
        </w:rPr>
        <w:t>هديزا</w:t>
      </w:r>
      <w:proofErr w:type="spellEnd"/>
      <w:r w:rsidR="00F240F4" w:rsidRPr="007741D9">
        <w:rPr>
          <w:rtl/>
        </w:rPr>
        <w:t xml:space="preserve"> كاشا الله (جمهورية نيجيريا الاتحادية، منطقة إفريقيا)</w:t>
      </w:r>
    </w:p>
    <w:p w14:paraId="1861A7D7" w14:textId="6F1F549A" w:rsidR="00F240F4" w:rsidRPr="007741D9" w:rsidRDefault="00CA6858" w:rsidP="00BF296B">
      <w:pPr>
        <w:pStyle w:val="enumlev1"/>
        <w:rPr>
          <w:color w:val="1E1E1E"/>
          <w:lang w:val="ar-SA" w:eastAsia="zh-TW" w:bidi="en-GB"/>
        </w:rPr>
      </w:pPr>
      <w:r>
        <w:rPr>
          <w:rFonts w:hint="cs"/>
          <w:rtl/>
        </w:rPr>
        <w:t>-</w:t>
      </w:r>
      <w:r>
        <w:rPr>
          <w:rtl/>
        </w:rPr>
        <w:tab/>
      </w:r>
      <w:r w:rsidR="00F240F4" w:rsidRPr="007741D9">
        <w:rPr>
          <w:rtl/>
        </w:rPr>
        <w:t>السيد مالك ندياي (جمهورية السنغال، منطقة إفريقيا)</w:t>
      </w:r>
    </w:p>
    <w:p w14:paraId="7570960E" w14:textId="1FFD850B" w:rsidR="00F240F4" w:rsidRPr="007741D9" w:rsidRDefault="00CA6858" w:rsidP="00BF296B">
      <w:pPr>
        <w:pStyle w:val="enumlev1"/>
        <w:rPr>
          <w:color w:val="1E1E1E"/>
          <w:lang w:val="ar-SA" w:eastAsia="zh-TW" w:bidi="en-GB"/>
        </w:rPr>
      </w:pPr>
      <w:r>
        <w:rPr>
          <w:rFonts w:hint="cs"/>
          <w:rtl/>
        </w:rPr>
        <w:t>-</w:t>
      </w:r>
      <w:r>
        <w:rPr>
          <w:rtl/>
        </w:rPr>
        <w:tab/>
      </w:r>
      <w:r w:rsidR="00F240F4" w:rsidRPr="007741D9">
        <w:rPr>
          <w:rtl/>
        </w:rPr>
        <w:t xml:space="preserve">السيد فرانسيسكو أنطونيو </w:t>
      </w:r>
      <w:proofErr w:type="spellStart"/>
      <w:r w:rsidR="00F240F4" w:rsidRPr="003D2711">
        <w:rPr>
          <w:rtl/>
        </w:rPr>
        <w:t>كاساكسيا</w:t>
      </w:r>
      <w:proofErr w:type="spellEnd"/>
      <w:r w:rsidR="00F240F4" w:rsidRPr="007741D9">
        <w:rPr>
          <w:rtl/>
        </w:rPr>
        <w:t xml:space="preserve"> توريس (جمهورية باراغواي، منطقة الأمريكتين)</w:t>
      </w:r>
    </w:p>
    <w:p w14:paraId="7B3984B4" w14:textId="0DE10FAB" w:rsidR="00F240F4" w:rsidRPr="007741D9" w:rsidRDefault="00CA6858" w:rsidP="00BF296B">
      <w:pPr>
        <w:pStyle w:val="enumlev1"/>
        <w:rPr>
          <w:color w:val="1E1E1E"/>
          <w:lang w:val="ar-SA" w:eastAsia="zh-TW" w:bidi="en-GB"/>
        </w:rPr>
      </w:pPr>
      <w:r>
        <w:rPr>
          <w:rFonts w:hint="cs"/>
          <w:rtl/>
        </w:rPr>
        <w:t>-</w:t>
      </w:r>
      <w:r>
        <w:rPr>
          <w:rtl/>
        </w:rPr>
        <w:tab/>
      </w:r>
      <w:r w:rsidR="00F240F4" w:rsidRPr="007741D9">
        <w:rPr>
          <w:rtl/>
        </w:rPr>
        <w:t xml:space="preserve">السيد علي رشيد حمد الحمد </w:t>
      </w:r>
      <w:r w:rsidR="00236C3F">
        <w:rPr>
          <w:rFonts w:hint="cs"/>
          <w:rtl/>
        </w:rPr>
        <w:t>(</w:t>
      </w:r>
      <w:r w:rsidR="00F240F4" w:rsidRPr="007741D9">
        <w:rPr>
          <w:rtl/>
        </w:rPr>
        <w:t>دولة الكويت</w:t>
      </w:r>
      <w:r w:rsidR="00AD6EBF">
        <w:rPr>
          <w:rFonts w:hint="cs"/>
          <w:rtl/>
        </w:rPr>
        <w:t>،</w:t>
      </w:r>
      <w:r w:rsidR="00F240F4" w:rsidRPr="007741D9">
        <w:rPr>
          <w:rtl/>
        </w:rPr>
        <w:t xml:space="preserve"> منطقة الدول العربية)</w:t>
      </w:r>
    </w:p>
    <w:p w14:paraId="68A4E3B3" w14:textId="177B9698" w:rsidR="00F240F4" w:rsidRPr="007741D9" w:rsidRDefault="00CA6858" w:rsidP="00BF296B">
      <w:pPr>
        <w:pStyle w:val="enumlev1"/>
        <w:rPr>
          <w:color w:val="1E1E1E"/>
          <w:lang w:val="ar-SA" w:eastAsia="zh-TW" w:bidi="en-GB"/>
        </w:rPr>
      </w:pPr>
      <w:r>
        <w:rPr>
          <w:rFonts w:hint="cs"/>
          <w:rtl/>
        </w:rPr>
        <w:t>-</w:t>
      </w:r>
      <w:r>
        <w:rPr>
          <w:rtl/>
        </w:rPr>
        <w:tab/>
      </w:r>
      <w:r w:rsidR="00F240F4" w:rsidRPr="007741D9">
        <w:rPr>
          <w:rtl/>
        </w:rPr>
        <w:t xml:space="preserve">السيد عبد الوهاب </w:t>
      </w:r>
      <w:proofErr w:type="spellStart"/>
      <w:r w:rsidR="00F240F4" w:rsidRPr="007741D9">
        <w:rPr>
          <w:rtl/>
        </w:rPr>
        <w:t>قليزرة</w:t>
      </w:r>
      <w:proofErr w:type="spellEnd"/>
      <w:r w:rsidR="00F240F4" w:rsidRPr="007741D9">
        <w:rPr>
          <w:rtl/>
        </w:rPr>
        <w:t xml:space="preserve"> (الجمهورية الجزائرية الديمقراطية الشعبية، منطقة الدول العربية)</w:t>
      </w:r>
    </w:p>
    <w:p w14:paraId="18C0430A" w14:textId="7B4D00A2" w:rsidR="00F240F4" w:rsidRPr="007741D9" w:rsidRDefault="00CA6858" w:rsidP="00BF296B">
      <w:pPr>
        <w:pStyle w:val="enumlev1"/>
        <w:rPr>
          <w:color w:val="1E1E1E"/>
          <w:lang w:val="ar-SA" w:eastAsia="zh-TW" w:bidi="en-GB"/>
        </w:rPr>
      </w:pPr>
      <w:r>
        <w:rPr>
          <w:rFonts w:hint="cs"/>
          <w:rtl/>
        </w:rPr>
        <w:t>-</w:t>
      </w:r>
      <w:r>
        <w:rPr>
          <w:rtl/>
        </w:rPr>
        <w:tab/>
      </w:r>
      <w:r w:rsidR="00F240F4" w:rsidRPr="007741D9">
        <w:rPr>
          <w:rtl/>
        </w:rPr>
        <w:t>السيد وسام م. صديق (جمهورية مصر العربية، منطقة الدول العربية)</w:t>
      </w:r>
    </w:p>
    <w:p w14:paraId="22D89786" w14:textId="541E48A0" w:rsidR="00F240F4" w:rsidRPr="007741D9" w:rsidRDefault="00CA6858" w:rsidP="00BF296B">
      <w:pPr>
        <w:pStyle w:val="enumlev1"/>
        <w:rPr>
          <w:color w:val="1E1E1E"/>
          <w:lang w:val="ar-SA" w:eastAsia="zh-TW" w:bidi="en-GB"/>
        </w:rPr>
      </w:pPr>
      <w:r>
        <w:rPr>
          <w:rFonts w:hint="cs"/>
          <w:rtl/>
        </w:rPr>
        <w:t>-</w:t>
      </w:r>
      <w:r>
        <w:rPr>
          <w:rtl/>
        </w:rPr>
        <w:tab/>
      </w:r>
      <w:r w:rsidR="00F240F4" w:rsidRPr="007741D9">
        <w:rPr>
          <w:rtl/>
        </w:rPr>
        <w:t xml:space="preserve">السيدة </w:t>
      </w:r>
      <w:proofErr w:type="spellStart"/>
      <w:r w:rsidR="00F240F4" w:rsidRPr="007741D9">
        <w:rPr>
          <w:rtl/>
        </w:rPr>
        <w:t>ميميكو</w:t>
      </w:r>
      <w:proofErr w:type="spellEnd"/>
      <w:r w:rsidR="00F240F4" w:rsidRPr="007741D9">
        <w:rPr>
          <w:rtl/>
        </w:rPr>
        <w:t xml:space="preserve"> </w:t>
      </w:r>
      <w:proofErr w:type="spellStart"/>
      <w:r w:rsidR="00F240F4" w:rsidRPr="007741D9">
        <w:rPr>
          <w:rtl/>
        </w:rPr>
        <w:t>أوتسوكي</w:t>
      </w:r>
      <w:proofErr w:type="spellEnd"/>
      <w:r w:rsidR="00F240F4" w:rsidRPr="007741D9">
        <w:rPr>
          <w:rtl/>
        </w:rPr>
        <w:t xml:space="preserve"> (اليابان، منطقة آسيا والمحيط الهادئ)</w:t>
      </w:r>
    </w:p>
    <w:p w14:paraId="6A39AEB1" w14:textId="28D5130B" w:rsidR="00F240F4" w:rsidRPr="007741D9" w:rsidRDefault="00CA6858" w:rsidP="00BF296B">
      <w:pPr>
        <w:pStyle w:val="enumlev1"/>
        <w:rPr>
          <w:color w:val="1E1E1E"/>
          <w:lang w:val="ar-SA" w:eastAsia="zh-TW" w:bidi="en-GB"/>
        </w:rPr>
      </w:pPr>
      <w:r>
        <w:rPr>
          <w:rFonts w:hint="cs"/>
          <w:rtl/>
        </w:rPr>
        <w:t>-</w:t>
      </w:r>
      <w:r>
        <w:rPr>
          <w:rtl/>
        </w:rPr>
        <w:tab/>
      </w:r>
      <w:r w:rsidR="00F240F4" w:rsidRPr="007741D9">
        <w:rPr>
          <w:rtl/>
        </w:rPr>
        <w:t xml:space="preserve">السيد سونيل </w:t>
      </w:r>
      <w:proofErr w:type="spellStart"/>
      <w:r w:rsidR="00F240F4" w:rsidRPr="007741D9">
        <w:rPr>
          <w:rtl/>
        </w:rPr>
        <w:t>سينغهال</w:t>
      </w:r>
      <w:proofErr w:type="spellEnd"/>
      <w:r w:rsidR="00F240F4" w:rsidRPr="007741D9">
        <w:rPr>
          <w:rtl/>
        </w:rPr>
        <w:t xml:space="preserve"> (جمهورية الهند، منطقة آسيا والمحيط الهادئ)</w:t>
      </w:r>
    </w:p>
    <w:p w14:paraId="41EFB34A" w14:textId="11485C93" w:rsidR="00F240F4" w:rsidRPr="007741D9" w:rsidRDefault="00CA6858" w:rsidP="00BF296B">
      <w:pPr>
        <w:pStyle w:val="enumlev1"/>
        <w:rPr>
          <w:color w:val="1E1E1E"/>
          <w:lang w:val="ar-SA" w:eastAsia="zh-TW" w:bidi="en-GB"/>
        </w:rPr>
      </w:pPr>
      <w:r>
        <w:rPr>
          <w:rFonts w:hint="cs"/>
          <w:rtl/>
        </w:rPr>
        <w:t>-</w:t>
      </w:r>
      <w:r>
        <w:rPr>
          <w:rtl/>
        </w:rPr>
        <w:tab/>
      </w:r>
      <w:r w:rsidR="00F240F4" w:rsidRPr="007741D9">
        <w:rPr>
          <w:rtl/>
        </w:rPr>
        <w:t xml:space="preserve">السيدة </w:t>
      </w:r>
      <w:proofErr w:type="spellStart"/>
      <w:r w:rsidR="00F240F4" w:rsidRPr="007741D9">
        <w:rPr>
          <w:rtl/>
        </w:rPr>
        <w:t>شا</w:t>
      </w:r>
      <w:proofErr w:type="spellEnd"/>
      <w:r w:rsidR="00F240F4" w:rsidRPr="007741D9">
        <w:rPr>
          <w:rtl/>
        </w:rPr>
        <w:t xml:space="preserve"> وي (جمهورية الصين الشعبية، منطقة آسيا والمحيط الهادئ)</w:t>
      </w:r>
    </w:p>
    <w:p w14:paraId="23BDE272" w14:textId="5704DF84" w:rsidR="00F240F4" w:rsidRPr="003D2711" w:rsidRDefault="00CA6858" w:rsidP="003D2711">
      <w:pPr>
        <w:pStyle w:val="enumlev1"/>
      </w:pPr>
      <w:r w:rsidRPr="003D2711">
        <w:rPr>
          <w:rFonts w:hint="cs"/>
          <w:rtl/>
        </w:rPr>
        <w:t>-</w:t>
      </w:r>
      <w:r w:rsidRPr="003D2711">
        <w:rPr>
          <w:rtl/>
        </w:rPr>
        <w:tab/>
      </w:r>
      <w:r w:rsidR="00F240F4" w:rsidRPr="003D2711">
        <w:rPr>
          <w:rtl/>
        </w:rPr>
        <w:t xml:space="preserve">السيد </w:t>
      </w:r>
      <w:r w:rsidR="003D2711" w:rsidRPr="003D2711">
        <w:rPr>
          <w:rFonts w:hint="cs"/>
          <w:rtl/>
        </w:rPr>
        <w:t>د</w:t>
      </w:r>
      <w:r w:rsidR="00F240F4" w:rsidRPr="003D2711">
        <w:rPr>
          <w:rtl/>
        </w:rPr>
        <w:t>او نجوك توين (جمهورية فيتنام الاشتراكية، منطقة آسيا والمحيط الهادئ)</w:t>
      </w:r>
    </w:p>
    <w:p w14:paraId="46A4EA9B" w14:textId="3F949DE0" w:rsidR="00F240F4" w:rsidRPr="003D2711" w:rsidRDefault="00CA6858" w:rsidP="00BF296B">
      <w:pPr>
        <w:pStyle w:val="enumlev1"/>
        <w:rPr>
          <w:color w:val="1E1E1E"/>
          <w:lang w:val="ar-SA" w:eastAsia="zh-TW" w:bidi="en-GB"/>
        </w:rPr>
      </w:pPr>
      <w:r w:rsidRPr="003D2711">
        <w:rPr>
          <w:rFonts w:hint="cs"/>
          <w:rtl/>
        </w:rPr>
        <w:t>-</w:t>
      </w:r>
      <w:r w:rsidRPr="003D2711">
        <w:rPr>
          <w:rtl/>
        </w:rPr>
        <w:tab/>
      </w:r>
      <w:r w:rsidR="00F240F4" w:rsidRPr="003D2711">
        <w:rPr>
          <w:rtl/>
        </w:rPr>
        <w:t xml:space="preserve">السيد </w:t>
      </w:r>
      <w:proofErr w:type="spellStart"/>
      <w:r w:rsidR="00F240F4" w:rsidRPr="003D2711">
        <w:rPr>
          <w:rtl/>
        </w:rPr>
        <w:t>إلغار</w:t>
      </w:r>
      <w:proofErr w:type="spellEnd"/>
      <w:r w:rsidR="00F240F4" w:rsidRPr="003D2711">
        <w:rPr>
          <w:rtl/>
        </w:rPr>
        <w:t xml:space="preserve"> عبد </w:t>
      </w:r>
      <w:proofErr w:type="spellStart"/>
      <w:r w:rsidR="00F240F4" w:rsidRPr="003D2711">
        <w:rPr>
          <w:rtl/>
        </w:rPr>
        <w:t>اللاييف</w:t>
      </w:r>
      <w:proofErr w:type="spellEnd"/>
      <w:r w:rsidR="00F240F4" w:rsidRPr="003D2711">
        <w:rPr>
          <w:rtl/>
        </w:rPr>
        <w:t xml:space="preserve"> (جمهورية أذربيجان، منطقة كومنولث الدول المستقلة)</w:t>
      </w:r>
    </w:p>
    <w:p w14:paraId="3FC9292E" w14:textId="43798200" w:rsidR="00F240F4" w:rsidRPr="003D2711" w:rsidRDefault="00CA6858" w:rsidP="00BF296B">
      <w:pPr>
        <w:pStyle w:val="enumlev1"/>
        <w:rPr>
          <w:color w:val="1E1E1E"/>
          <w:lang w:val="ar-SA" w:eastAsia="zh-TW" w:bidi="en-GB"/>
        </w:rPr>
      </w:pPr>
      <w:r w:rsidRPr="003D2711">
        <w:rPr>
          <w:rFonts w:hint="cs"/>
          <w:rtl/>
        </w:rPr>
        <w:t>-</w:t>
      </w:r>
      <w:r w:rsidRPr="003D2711">
        <w:rPr>
          <w:rtl/>
        </w:rPr>
        <w:tab/>
      </w:r>
      <w:r w:rsidR="00F240F4" w:rsidRPr="003D2711">
        <w:rPr>
          <w:rtl/>
        </w:rPr>
        <w:t xml:space="preserve">السيدة </w:t>
      </w:r>
      <w:proofErr w:type="spellStart"/>
      <w:r w:rsidR="00F240F4" w:rsidRPr="003D2711">
        <w:rPr>
          <w:rtl/>
        </w:rPr>
        <w:t>أناستازيا</w:t>
      </w:r>
      <w:proofErr w:type="spellEnd"/>
      <w:r w:rsidR="00F240F4" w:rsidRPr="003D2711">
        <w:rPr>
          <w:rtl/>
        </w:rPr>
        <w:t xml:space="preserve"> </w:t>
      </w:r>
      <w:proofErr w:type="spellStart"/>
      <w:r w:rsidR="00F240F4" w:rsidRPr="003D2711">
        <w:rPr>
          <w:rtl/>
        </w:rPr>
        <w:t>كونوخوفا</w:t>
      </w:r>
      <w:proofErr w:type="spellEnd"/>
      <w:r w:rsidR="00F240F4" w:rsidRPr="003D2711">
        <w:rPr>
          <w:rtl/>
        </w:rPr>
        <w:t xml:space="preserve"> (الاتحاد الروسي، منطقة كومنولث الدول المستقلة)</w:t>
      </w:r>
    </w:p>
    <w:p w14:paraId="233DA0A1" w14:textId="277D1BDC" w:rsidR="00F240F4" w:rsidRPr="003D2711" w:rsidRDefault="00CA6858" w:rsidP="00BF296B">
      <w:pPr>
        <w:pStyle w:val="enumlev1"/>
        <w:rPr>
          <w:color w:val="1E1E1E"/>
          <w:lang w:val="ar-SA" w:eastAsia="zh-TW" w:bidi="en-GB"/>
        </w:rPr>
      </w:pPr>
      <w:r w:rsidRPr="003D2711">
        <w:rPr>
          <w:rFonts w:hint="cs"/>
          <w:rtl/>
        </w:rPr>
        <w:t>-</w:t>
      </w:r>
      <w:r w:rsidRPr="003D2711">
        <w:rPr>
          <w:rtl/>
        </w:rPr>
        <w:tab/>
      </w:r>
      <w:r w:rsidR="00F240F4" w:rsidRPr="003D2711">
        <w:rPr>
          <w:rtl/>
        </w:rPr>
        <w:t xml:space="preserve">السيدة </w:t>
      </w:r>
      <w:proofErr w:type="spellStart"/>
      <w:r w:rsidR="00F240F4" w:rsidRPr="003D2711">
        <w:rPr>
          <w:rtl/>
        </w:rPr>
        <w:t>أوميدا</w:t>
      </w:r>
      <w:proofErr w:type="spellEnd"/>
      <w:r w:rsidR="00F240F4" w:rsidRPr="003D2711">
        <w:rPr>
          <w:rtl/>
        </w:rPr>
        <w:t xml:space="preserve"> </w:t>
      </w:r>
      <w:proofErr w:type="spellStart"/>
      <w:r w:rsidR="00F240F4" w:rsidRPr="003D2711">
        <w:rPr>
          <w:rtl/>
        </w:rPr>
        <w:t>موساييفا</w:t>
      </w:r>
      <w:proofErr w:type="spellEnd"/>
      <w:r w:rsidR="00F240F4" w:rsidRPr="003D2711">
        <w:rPr>
          <w:rtl/>
        </w:rPr>
        <w:t xml:space="preserve"> (جمهورية أوزبكستان، منطقة كومنولث الدول المستقلة)</w:t>
      </w:r>
    </w:p>
    <w:p w14:paraId="0E480EF1" w14:textId="05A282F1" w:rsidR="00F240F4" w:rsidRPr="003D2711" w:rsidRDefault="00CA6858" w:rsidP="00BF296B">
      <w:pPr>
        <w:pStyle w:val="enumlev1"/>
        <w:rPr>
          <w:color w:val="1E1E1E"/>
          <w:lang w:val="ar-SA" w:eastAsia="zh-TW" w:bidi="en-GB"/>
        </w:rPr>
      </w:pPr>
      <w:r w:rsidRPr="003D2711">
        <w:rPr>
          <w:rFonts w:hint="cs"/>
          <w:rtl/>
        </w:rPr>
        <w:t>-</w:t>
      </w:r>
      <w:r w:rsidRPr="003D2711">
        <w:rPr>
          <w:rtl/>
        </w:rPr>
        <w:tab/>
      </w:r>
      <w:r w:rsidR="00F240F4" w:rsidRPr="003D2711">
        <w:rPr>
          <w:rtl/>
        </w:rPr>
        <w:t>السيدة كريستينا أغيار (البرتغال، منطقة أوروبا)</w:t>
      </w:r>
    </w:p>
    <w:p w14:paraId="7D71EDD7" w14:textId="46861DFC" w:rsidR="00F240F4" w:rsidRPr="007741D9" w:rsidRDefault="00CA6858" w:rsidP="00BF296B">
      <w:pPr>
        <w:pStyle w:val="enumlev1"/>
        <w:rPr>
          <w:color w:val="1E1E1E"/>
          <w:lang w:val="ar-SA" w:eastAsia="zh-TW" w:bidi="en-GB"/>
        </w:rPr>
      </w:pPr>
      <w:r w:rsidRPr="003D2711">
        <w:rPr>
          <w:rFonts w:hint="cs"/>
          <w:rtl/>
        </w:rPr>
        <w:t>-</w:t>
      </w:r>
      <w:r w:rsidRPr="003D2711">
        <w:rPr>
          <w:rtl/>
        </w:rPr>
        <w:tab/>
      </w:r>
      <w:hyperlink r:id="rId9" w:history="1">
        <w:r w:rsidR="00F240F4" w:rsidRPr="003D2711">
          <w:rPr>
            <w:rtl/>
          </w:rPr>
          <w:t>السيد محمد ألبير تكين (جمهورية تركيا، منطقة أوروبا)</w:t>
        </w:r>
      </w:hyperlink>
    </w:p>
    <w:p w14:paraId="16BE5D73" w14:textId="22391C7F" w:rsidR="00F240F4" w:rsidRPr="007741D9" w:rsidRDefault="00CA6858" w:rsidP="00BF296B">
      <w:pPr>
        <w:pStyle w:val="enumlev1"/>
        <w:rPr>
          <w:color w:val="1E1E1E"/>
          <w:lang w:val="ar-SA" w:eastAsia="zh-TW" w:bidi="en-GB"/>
        </w:rPr>
      </w:pPr>
      <w:r>
        <w:rPr>
          <w:rFonts w:hint="cs"/>
          <w:rtl/>
        </w:rPr>
        <w:t>-</w:t>
      </w:r>
      <w:r>
        <w:rPr>
          <w:rtl/>
        </w:rPr>
        <w:tab/>
      </w:r>
      <w:hyperlink r:id="rId10" w:history="1">
        <w:r w:rsidR="00F240F4" w:rsidRPr="007741D9">
          <w:rPr>
            <w:rtl/>
          </w:rPr>
          <w:t xml:space="preserve">السيد </w:t>
        </w:r>
        <w:proofErr w:type="spellStart"/>
        <w:r w:rsidR="00F240F4" w:rsidRPr="007741D9">
          <w:rPr>
            <w:rtl/>
          </w:rPr>
          <w:t>تيدي</w:t>
        </w:r>
        <w:proofErr w:type="spellEnd"/>
        <w:r w:rsidR="00F240F4" w:rsidRPr="007741D9">
          <w:rPr>
            <w:rtl/>
          </w:rPr>
          <w:t xml:space="preserve"> </w:t>
        </w:r>
        <w:proofErr w:type="spellStart"/>
        <w:r w:rsidR="00F240F4" w:rsidRPr="007741D9">
          <w:rPr>
            <w:rtl/>
          </w:rPr>
          <w:t>وودهاوس</w:t>
        </w:r>
        <w:proofErr w:type="spellEnd"/>
        <w:r w:rsidR="00F240F4" w:rsidRPr="007741D9">
          <w:rPr>
            <w:rtl/>
          </w:rPr>
          <w:t xml:space="preserve"> (المملكة المتحدة لبريطانيا العظمى وأيرلندا الشمالية، منطقة أوروبا)</w:t>
        </w:r>
      </w:hyperlink>
    </w:p>
    <w:p w14:paraId="2013C07F" w14:textId="4285E26F" w:rsidR="00F240F4" w:rsidRPr="007741D9" w:rsidRDefault="009A65BC" w:rsidP="00762C8F">
      <w:pPr>
        <w:pStyle w:val="Heading2"/>
        <w:rPr>
          <w:lang w:val="ar-SA" w:eastAsia="zh-TW" w:bidi="en-GB"/>
        </w:rPr>
      </w:pPr>
      <w:r>
        <w:lastRenderedPageBreak/>
        <w:t>3.2</w:t>
      </w:r>
      <w:r>
        <w:tab/>
      </w:r>
      <w:r w:rsidR="00F240F4" w:rsidRPr="007741D9">
        <w:rPr>
          <w:rtl/>
        </w:rPr>
        <w:t>مسائل لجنة الدراسات 1</w:t>
      </w:r>
    </w:p>
    <w:p w14:paraId="30CC990F" w14:textId="77777777" w:rsidR="00F240F4" w:rsidRPr="007741D9" w:rsidRDefault="00F240F4" w:rsidP="00F240F4">
      <w:pPr>
        <w:keepNext/>
        <w:textDirection w:val="tbRlV"/>
        <w:rPr>
          <w:lang w:val="ar-SA" w:eastAsia="zh-TW" w:bidi="en-GB"/>
        </w:rPr>
      </w:pPr>
      <w:r w:rsidRPr="007741D9">
        <w:rPr>
          <w:rtl/>
        </w:rPr>
        <w:t>كلف المؤتمر WTDC-25 لجنة الدراسات 1 بدراسة المسائل التالية:</w:t>
      </w:r>
    </w:p>
    <w:p w14:paraId="5BC51BED" w14:textId="4CD0CE8F" w:rsidR="000D38E5" w:rsidRPr="000D38E5" w:rsidRDefault="000D38E5" w:rsidP="000D38E5">
      <w:pPr>
        <w:pStyle w:val="enumlev1"/>
        <w:rPr>
          <w:rtl/>
        </w:rPr>
      </w:pPr>
      <w:r w:rsidRPr="000D38E5">
        <w:rPr>
          <w:rtl/>
        </w:rPr>
        <w:t>-</w:t>
      </w:r>
      <w:r w:rsidRPr="000D38E5">
        <w:rPr>
          <w:rtl/>
        </w:rPr>
        <w:tab/>
      </w:r>
      <w:hyperlink r:id="rId11" w:history="1">
        <w:r w:rsidRPr="00C905B4">
          <w:rPr>
            <w:rStyle w:val="Hyperlink"/>
            <w:rtl/>
          </w:rPr>
          <w:t>المسألة 1/1</w:t>
        </w:r>
      </w:hyperlink>
      <w:r w:rsidRPr="000D38E5">
        <w:rPr>
          <w:rtl/>
        </w:rPr>
        <w:t>: السياسات والاستراتيجيات التمكينية للتوصيلية الهادفة مع التركيز على المناطق التي تعاني من شح الخدمات والمناطق النائية والمناطق الريفية</w:t>
      </w:r>
    </w:p>
    <w:p w14:paraId="33CD4B6F" w14:textId="7AB75EDD" w:rsidR="000D38E5" w:rsidRPr="000D38E5" w:rsidRDefault="000D38E5" w:rsidP="000D38E5">
      <w:pPr>
        <w:pStyle w:val="enumlev1"/>
        <w:rPr>
          <w:rtl/>
        </w:rPr>
      </w:pPr>
      <w:r w:rsidRPr="000D38E5">
        <w:rPr>
          <w:rtl/>
        </w:rPr>
        <w:t>-</w:t>
      </w:r>
      <w:r w:rsidRPr="000D38E5">
        <w:rPr>
          <w:rtl/>
        </w:rPr>
        <w:tab/>
      </w:r>
      <w:hyperlink r:id="rId12" w:history="1">
        <w:r w:rsidRPr="00C905B4">
          <w:rPr>
            <w:rStyle w:val="Hyperlink"/>
            <w:rtl/>
          </w:rPr>
          <w:t xml:space="preserve">المسألة </w:t>
        </w:r>
        <w:r w:rsidR="00C905B4" w:rsidRPr="00C905B4">
          <w:rPr>
            <w:rStyle w:val="Hyperlink"/>
          </w:rPr>
          <w:t>2/1</w:t>
        </w:r>
      </w:hyperlink>
      <w:r w:rsidRPr="000D38E5">
        <w:rPr>
          <w:rtl/>
        </w:rPr>
        <w:t>: السياسات واللوائح التمكينية لاعتماد خدمات وتكنولوجيات الاتصالات/تكنولوجيا المعلومات والاتصالات الرقمية من أجل توزيع المحتوى والإذاعة</w:t>
      </w:r>
    </w:p>
    <w:p w14:paraId="65D3B039" w14:textId="02B61407" w:rsidR="000D38E5" w:rsidRPr="000D38E5" w:rsidRDefault="000D38E5" w:rsidP="000D38E5">
      <w:pPr>
        <w:pStyle w:val="enumlev1"/>
        <w:rPr>
          <w:rtl/>
        </w:rPr>
      </w:pPr>
      <w:r w:rsidRPr="000D38E5">
        <w:rPr>
          <w:rtl/>
        </w:rPr>
        <w:t>-</w:t>
      </w:r>
      <w:r w:rsidRPr="000D38E5">
        <w:rPr>
          <w:rtl/>
        </w:rPr>
        <w:tab/>
      </w:r>
      <w:hyperlink r:id="rId13" w:history="1">
        <w:r w:rsidRPr="00C905B4">
          <w:rPr>
            <w:rStyle w:val="Hyperlink"/>
            <w:rtl/>
          </w:rPr>
          <w:t xml:space="preserve">المسألة </w:t>
        </w:r>
        <w:r w:rsidR="00C905B4" w:rsidRPr="00C905B4">
          <w:rPr>
            <w:rStyle w:val="Hyperlink"/>
          </w:rPr>
          <w:t>3/1</w:t>
        </w:r>
      </w:hyperlink>
      <w:r w:rsidRPr="000D38E5">
        <w:rPr>
          <w:rtl/>
        </w:rPr>
        <w:t>: استعمال الاتصالات/تكنولوجيات المعلومات والاتصالات من أجل الحد من مخاطر الكوارث وإدارتها</w:t>
      </w:r>
    </w:p>
    <w:p w14:paraId="051C5ED1" w14:textId="34D5B1D6" w:rsidR="000D38E5" w:rsidRPr="000D38E5" w:rsidRDefault="000D38E5" w:rsidP="000D38E5">
      <w:pPr>
        <w:pStyle w:val="enumlev1"/>
        <w:rPr>
          <w:rtl/>
        </w:rPr>
      </w:pPr>
      <w:r w:rsidRPr="000D38E5">
        <w:rPr>
          <w:rtl/>
        </w:rPr>
        <w:t>-</w:t>
      </w:r>
      <w:r w:rsidRPr="000D38E5">
        <w:rPr>
          <w:rtl/>
        </w:rPr>
        <w:tab/>
      </w:r>
      <w:hyperlink r:id="rId14" w:history="1">
        <w:r w:rsidRPr="00C905B4">
          <w:rPr>
            <w:rStyle w:val="Hyperlink"/>
            <w:rtl/>
          </w:rPr>
          <w:t xml:space="preserve">المسـألة </w:t>
        </w:r>
        <w:r w:rsidR="00C905B4" w:rsidRPr="00C905B4">
          <w:rPr>
            <w:rStyle w:val="Hyperlink"/>
          </w:rPr>
          <w:t>4/1</w:t>
        </w:r>
      </w:hyperlink>
      <w:r w:rsidRPr="000D38E5">
        <w:rPr>
          <w:rtl/>
        </w:rPr>
        <w:t>: الجوانب الاقتصادية للاتصالات/تكنولوجيات المعلومات والاتصالات الوطنية</w:t>
      </w:r>
    </w:p>
    <w:p w14:paraId="0B289245" w14:textId="2D0B258C" w:rsidR="000D38E5" w:rsidRDefault="000D38E5" w:rsidP="000D38E5">
      <w:pPr>
        <w:pStyle w:val="enumlev1"/>
        <w:rPr>
          <w:b/>
          <w:bCs/>
        </w:rPr>
      </w:pPr>
      <w:r w:rsidRPr="000D38E5">
        <w:rPr>
          <w:rtl/>
        </w:rPr>
        <w:t>-</w:t>
      </w:r>
      <w:r w:rsidRPr="000D38E5">
        <w:rPr>
          <w:rtl/>
        </w:rPr>
        <w:tab/>
      </w:r>
      <w:hyperlink r:id="rId15" w:history="1">
        <w:r w:rsidRPr="00C905B4">
          <w:rPr>
            <w:rStyle w:val="Hyperlink"/>
            <w:rtl/>
          </w:rPr>
          <w:t xml:space="preserve">المسـألة </w:t>
        </w:r>
        <w:r w:rsidR="00C905B4" w:rsidRPr="00C905B4">
          <w:rPr>
            <w:rStyle w:val="Hyperlink"/>
          </w:rPr>
          <w:t>5/1</w:t>
        </w:r>
      </w:hyperlink>
      <w:r w:rsidRPr="000D38E5">
        <w:rPr>
          <w:rtl/>
        </w:rPr>
        <w:t>: حماية المستهلك وتمكينه وإمكانية النفاذ الهادفة للجميع، خاصة للأشخاص ذوي الإعاقة والأشخاص ذوي الاحتياجات المحددة</w:t>
      </w:r>
    </w:p>
    <w:p w14:paraId="5BA6A747" w14:textId="2600E39C" w:rsidR="00F240F4" w:rsidRPr="007741D9" w:rsidRDefault="009A65BC" w:rsidP="000D38E5">
      <w:pPr>
        <w:pStyle w:val="Heading2"/>
        <w:rPr>
          <w:lang w:val="ar-SA" w:eastAsia="zh-TW" w:bidi="en-GB"/>
        </w:rPr>
      </w:pPr>
      <w:r>
        <w:t>4.2</w:t>
      </w:r>
      <w:r>
        <w:tab/>
      </w:r>
      <w:r w:rsidR="00F240F4" w:rsidRPr="007741D9">
        <w:rPr>
          <w:rtl/>
        </w:rPr>
        <w:t>تعيين المقررين ونواب المقررين التابعين للجنة الدراسات 1</w:t>
      </w:r>
    </w:p>
    <w:p w14:paraId="6C2F1827" w14:textId="4B34BF43" w:rsidR="006C2073" w:rsidRPr="004444CF" w:rsidRDefault="000D38E5" w:rsidP="00F240F4">
      <w:pPr>
        <w:textDirection w:val="tbRlV"/>
        <w:rPr>
          <w:spacing w:val="-2"/>
        </w:rPr>
      </w:pPr>
      <w:r w:rsidRPr="004444CF">
        <w:rPr>
          <w:spacing w:val="-2"/>
          <w:rtl/>
        </w:rPr>
        <w:t xml:space="preserve">وُجهت دعوة إلى الأعضاء </w:t>
      </w:r>
      <w:hyperlink r:id="rId16" w:history="1">
        <w:r w:rsidRPr="004444CF">
          <w:rPr>
            <w:rStyle w:val="Hyperlink"/>
            <w:spacing w:val="-2"/>
            <w:rtl/>
          </w:rPr>
          <w:t>لترشيح مقرِّرين ونواب للمقررين</w:t>
        </w:r>
      </w:hyperlink>
      <w:r w:rsidRPr="004444CF">
        <w:rPr>
          <w:spacing w:val="-2"/>
          <w:rtl/>
        </w:rPr>
        <w:t xml:space="preserve"> في 16 ديسمبر 2025، وستُجرى التعيينات اللاحقة فيما يتعلق بمسائل الدراسة الخمس في الجلسة العامة الافتتاحية </w:t>
      </w:r>
      <w:hyperlink r:id="rId17" w:anchor="/ar" w:history="1">
        <w:r w:rsidRPr="004444CF">
          <w:rPr>
            <w:rStyle w:val="Hyperlink"/>
            <w:spacing w:val="-2"/>
            <w:rtl/>
          </w:rPr>
          <w:t>للاجتماع الأول للجنة الدراسات 1 لقطاع تنمية الاتصالات</w:t>
        </w:r>
      </w:hyperlink>
      <w:r w:rsidRPr="004444CF">
        <w:rPr>
          <w:spacing w:val="-2"/>
          <w:rtl/>
        </w:rPr>
        <w:t xml:space="preserve"> في 13 أبريل 2026. وسيستند تعيين المقررين إلى الخبرة العملية في موضوع الدراسة والقدرة على تنسيق العمل على السواء. وعند تعيين نواب المقرِّرين، سيُراعى أيضاً تحقيق التوازن الإقليمي. وفي هذا السياق، ينبغي النظر في </w:t>
      </w:r>
      <w:hyperlink r:id="rId18" w:history="1">
        <w:r w:rsidRPr="004444CF">
          <w:rPr>
            <w:rStyle w:val="Hyperlink"/>
            <w:spacing w:val="-2"/>
            <w:rtl/>
          </w:rPr>
          <w:t>المبادئ التوجيهية العملية</w:t>
        </w:r>
      </w:hyperlink>
      <w:r w:rsidRPr="004444CF">
        <w:rPr>
          <w:spacing w:val="-2"/>
          <w:rtl/>
        </w:rPr>
        <w:t xml:space="preserve"> المتفق عليها في</w:t>
      </w:r>
      <w:r w:rsidR="00977BDA">
        <w:rPr>
          <w:rFonts w:hint="cs"/>
          <w:spacing w:val="-2"/>
          <w:rtl/>
        </w:rPr>
        <w:t> </w:t>
      </w:r>
      <w:r w:rsidRPr="004444CF">
        <w:rPr>
          <w:spacing w:val="-2"/>
          <w:rtl/>
        </w:rPr>
        <w:t>اجتماع الفريق الاستشاري لتنمية الاتصالات لعام 2025.</w:t>
      </w:r>
    </w:p>
    <w:p w14:paraId="0A22C0B6" w14:textId="6F74832A" w:rsidR="00F240F4" w:rsidRPr="007741D9" w:rsidRDefault="00F240F4" w:rsidP="00F240F4">
      <w:pPr>
        <w:textDirection w:val="tbRlV"/>
        <w:rPr>
          <w:rFonts w:eastAsia="Batang"/>
          <w:bCs/>
          <w:lang w:val="ar-SA" w:eastAsia="zh-TW" w:bidi="en-GB"/>
        </w:rPr>
      </w:pPr>
      <w:r w:rsidRPr="007741D9">
        <w:rPr>
          <w:rtl/>
        </w:rPr>
        <w:t>ويمكن الاطلاع عبر الإنترنت على قائمة جميع الترشيحات الواردة من خلال الرابط التالي</w:t>
      </w:r>
      <w:r w:rsidR="00560A07">
        <w:rPr>
          <w:rFonts w:hint="cs"/>
          <w:rtl/>
        </w:rPr>
        <w:t>:</w:t>
      </w:r>
      <w:r w:rsidRPr="007741D9">
        <w:rPr>
          <w:rtl/>
        </w:rPr>
        <w:t xml:space="preserve"> </w:t>
      </w:r>
      <w:r w:rsidR="00560A07">
        <w:rPr>
          <w:rtl/>
        </w:rPr>
        <w:tab/>
      </w:r>
      <w:r w:rsidR="00560A07">
        <w:rPr>
          <w:rtl/>
        </w:rPr>
        <w:br/>
      </w:r>
      <w:hyperlink r:id="rId19" w:history="1">
        <w:r w:rsidR="00560A07" w:rsidRPr="00B17DC8">
          <w:rPr>
            <w:rStyle w:val="Hyperlink"/>
            <w:rFonts w:eastAsia="Batang" w:cs="Calibri"/>
            <w:bCs/>
          </w:rPr>
          <w:t>https://www.itu.int/en/ITU-D/Study-Groups/2026-2029/Pages/candidates.aspx</w:t>
        </w:r>
      </w:hyperlink>
      <w:r w:rsidRPr="007741D9">
        <w:rPr>
          <w:rtl/>
        </w:rPr>
        <w:t xml:space="preserve"> </w:t>
      </w:r>
      <w:hyperlink r:id="rId20" w:history="1"/>
    </w:p>
    <w:p w14:paraId="7247CF2B" w14:textId="0101FDD5" w:rsidR="00F240F4" w:rsidRPr="00762C8F" w:rsidRDefault="009A65BC" w:rsidP="00762C8F">
      <w:pPr>
        <w:pStyle w:val="Heading1"/>
      </w:pPr>
      <w:r w:rsidRPr="00762C8F">
        <w:t>3</w:t>
      </w:r>
      <w:r w:rsidRPr="00762C8F">
        <w:tab/>
      </w:r>
      <w:r w:rsidR="00F240F4" w:rsidRPr="00762C8F">
        <w:rPr>
          <w:rtl/>
        </w:rPr>
        <w:t>استراتيجية لجنة الدراسات 1 وخطة عملها</w:t>
      </w:r>
    </w:p>
    <w:p w14:paraId="47E3A8A5" w14:textId="4F4C1560" w:rsidR="00F240F4" w:rsidRPr="007741D9" w:rsidRDefault="00F240F4" w:rsidP="00F240F4">
      <w:pPr>
        <w:textDirection w:val="tbRlV"/>
        <w:rPr>
          <w:lang w:val="ar-SA" w:eastAsia="zh-TW" w:bidi="en-GB"/>
        </w:rPr>
      </w:pPr>
      <w:r w:rsidRPr="007741D9">
        <w:rPr>
          <w:rtl/>
        </w:rPr>
        <w:t xml:space="preserve">يوفر هيكل خطة عمل باكو ومساهمة قطاع تنمية الاتصالات في الخطة الاستراتيجية للاتحاد (انظر </w:t>
      </w:r>
      <w:r w:rsidRPr="007741D9">
        <w:rPr>
          <w:b/>
          <w:bCs/>
          <w:rtl/>
        </w:rPr>
        <w:t>الملحق 1</w:t>
      </w:r>
      <w:r w:rsidRPr="007741D9">
        <w:rPr>
          <w:rtl/>
        </w:rPr>
        <w:t>) روابط واضحة بلجنتي دراسات قطاع تنمية الاتصالات. وتساهم لجان دراسات الاتحاد إلى جانب المبادرات الإقليمية والقرارات المتفق عليها في</w:t>
      </w:r>
      <w:r w:rsidR="00560A07">
        <w:rPr>
          <w:rFonts w:hint="cs"/>
          <w:rtl/>
        </w:rPr>
        <w:t> </w:t>
      </w:r>
      <w:r w:rsidRPr="007741D9">
        <w:rPr>
          <w:rtl/>
        </w:rPr>
        <w:t xml:space="preserve">المؤتمر WTDC-25 في </w:t>
      </w:r>
      <w:r w:rsidR="00D56711" w:rsidRPr="007741D9">
        <w:rPr>
          <w:rFonts w:hint="cs"/>
          <w:rtl/>
        </w:rPr>
        <w:t>الأولويات</w:t>
      </w:r>
      <w:r w:rsidRPr="007741D9">
        <w:rPr>
          <w:rtl/>
        </w:rPr>
        <w:t xml:space="preserve"> الخمس لقطاع تنمية الاتصالات التي تيسِّر تنفيذ ولاية القطاع وتوجه مكتب تنمية الاتصالات في دورة التخطيط المقبلة بشأن ما يهدف القطاع إلى تحقيقه، تمشياً مع النهج الشامل للإدارة القائمة على النتائج والغايات الاستراتيجية والأولويات </w:t>
      </w:r>
      <w:proofErr w:type="spellStart"/>
      <w:r w:rsidRPr="007741D9">
        <w:rPr>
          <w:rtl/>
        </w:rPr>
        <w:t>المواضيعية</w:t>
      </w:r>
      <w:proofErr w:type="spellEnd"/>
      <w:r w:rsidRPr="007741D9">
        <w:rPr>
          <w:rtl/>
        </w:rPr>
        <w:t xml:space="preserve"> للاتحاد.</w:t>
      </w:r>
    </w:p>
    <w:p w14:paraId="03C99DE2" w14:textId="19159CF0" w:rsidR="00F240F4" w:rsidRPr="007741D9" w:rsidRDefault="00F240F4" w:rsidP="00F240F4">
      <w:pPr>
        <w:textDirection w:val="tbRlV"/>
        <w:rPr>
          <w:lang w:val="ar-SA" w:eastAsia="zh-TW" w:bidi="en-GB"/>
        </w:rPr>
      </w:pPr>
      <w:r w:rsidRPr="007741D9">
        <w:rPr>
          <w:rtl/>
        </w:rPr>
        <w:t>ولكي تحقق لجنة الدراسات 1 النتائج المتوقعة منها لفترة الدراسة 2026-2029، ووفقاً لنطاق العمل المحدد في القرار</w:t>
      </w:r>
      <w:r w:rsidR="00D56711">
        <w:rPr>
          <w:rFonts w:hint="cs"/>
          <w:rtl/>
        </w:rPr>
        <w:t> </w:t>
      </w:r>
      <w:r w:rsidRPr="007741D9">
        <w:rPr>
          <w:rtl/>
        </w:rPr>
        <w:t>2 (المراجَع في باكو، 2025) بشأن "إنشاء لجان الدراسات"، ينبغي النظر في بعض العناصر الرئيسية وتحديدها منذ البداية:</w:t>
      </w:r>
    </w:p>
    <w:p w14:paraId="68BA95B4" w14:textId="59BAC025" w:rsidR="00F240F4" w:rsidRPr="007741D9" w:rsidRDefault="000D38E5" w:rsidP="000D38E5">
      <w:pPr>
        <w:pStyle w:val="enumlev1"/>
        <w:rPr>
          <w:color w:val="1E1E1E"/>
          <w:lang w:val="ar-SA" w:eastAsia="zh-TW" w:bidi="en-GB"/>
        </w:rPr>
      </w:pPr>
      <w:r>
        <w:rPr>
          <w:rFonts w:hint="cs"/>
          <w:rtl/>
        </w:rPr>
        <w:t>-</w:t>
      </w:r>
      <w:r>
        <w:rPr>
          <w:rtl/>
        </w:rPr>
        <w:tab/>
      </w:r>
      <w:r w:rsidR="00F240F4" w:rsidRPr="007741D9">
        <w:rPr>
          <w:rtl/>
        </w:rPr>
        <w:t>من المخطط عقد أربعة اجتماعات سنوية للجنة الدراسات فضلاً عن ثلاث مجموعات من اجتماعات أفرقة المقرِّرين. وبالإضافة إلى ذلك، من المتوقع أن تُعقد في جنيف وفي المناطق، وبمشاركة خبراء من خارج نطاق أعضاء قطاع تنمية الاتصالات، ورش عمل وحلقات دراسية إلكترونية بشأن المواضيع المتصلة بالمسائل قيد الدراسة، وفقاً للمقترحات المقدمة من الأعضاء، وستُعقد طوال فترة الدراسة قدر الإمكان. ويشجَّع الأعضاء على تقديم مقترحات بشأن ورش العمل والحلقات الدراسية الإلكترونية للنظر فيها في اجتماعي لجنتي الدراسات السنويين.</w:t>
      </w:r>
      <w:r w:rsidR="002E7665">
        <w:rPr>
          <w:rFonts w:hint="cs"/>
          <w:rtl/>
        </w:rPr>
        <w:t xml:space="preserve"> </w:t>
      </w:r>
    </w:p>
    <w:p w14:paraId="590E19D8" w14:textId="0532EC81" w:rsidR="00F240F4" w:rsidRPr="007741D9" w:rsidRDefault="000D38E5" w:rsidP="000D38E5">
      <w:pPr>
        <w:pStyle w:val="enumlev1"/>
        <w:rPr>
          <w:color w:val="1E1E1E"/>
          <w:lang w:val="ar-SA" w:eastAsia="zh-TW" w:bidi="en-GB"/>
        </w:rPr>
      </w:pPr>
      <w:r>
        <w:rPr>
          <w:rFonts w:hint="cs"/>
          <w:rtl/>
        </w:rPr>
        <w:t>-</w:t>
      </w:r>
      <w:r>
        <w:rPr>
          <w:rtl/>
        </w:rPr>
        <w:tab/>
      </w:r>
      <w:r w:rsidR="00F240F4" w:rsidRPr="007741D9">
        <w:rPr>
          <w:rtl/>
        </w:rPr>
        <w:t>يسلط خفض عدد مسائل الدراسة الضوء على بعض العناصر العملية. وقد أعيد النظر في خطة إدارة الوقت لاجتماعات لجنة الدراسات 1 بحيث يمكن عقد اجتماعات فريق إدارة لجنة الدراسات 1 واجتماعات مشتركة لفريقي إدارة لجنتي الدراسات في أيام الأسبوع (الإثنين والجمعة) بدلاً من يوم الأحد. وعلاوة على ذلك، ستمتد خطة إدارة الوقت لاجتماعات أفرقة المقررين التابعة للجنة الدراسات 1 (بما في ذلك ورش العمل) على مدى 7,5 أيام بدلاً من 14 يوماً. ومن المتوقع أيضاً أن يؤدي تقصير المدة إلى تحسين الخيارات المتاحة لاستضافة الاجتماعات خارج مباني مقر الاتحاد عندما يتطلب مشروع تشييد مباني مقر الاتحاد ذلك.</w:t>
      </w:r>
    </w:p>
    <w:p w14:paraId="0D024C30" w14:textId="59138594" w:rsidR="00F240F4" w:rsidRPr="007741D9" w:rsidRDefault="000D38E5" w:rsidP="00E04572">
      <w:pPr>
        <w:pStyle w:val="enumlev1"/>
        <w:keepNext/>
        <w:keepLines/>
        <w:rPr>
          <w:lang w:val="ar-SA" w:eastAsia="zh-TW" w:bidi="en-GB"/>
        </w:rPr>
      </w:pPr>
      <w:r>
        <w:rPr>
          <w:rFonts w:hint="cs"/>
          <w:rtl/>
        </w:rPr>
        <w:lastRenderedPageBreak/>
        <w:t>-</w:t>
      </w:r>
      <w:r>
        <w:rPr>
          <w:rtl/>
        </w:rPr>
        <w:tab/>
      </w:r>
      <w:r w:rsidR="00F240F4" w:rsidRPr="007741D9">
        <w:rPr>
          <w:rtl/>
        </w:rPr>
        <w:t>سيتيح التخطيط الجيد في بداية فترة الدراسة أيضاً إمكانية تحقيق التآزر الاستراتيجي بين الأعمال الجارية في</w:t>
      </w:r>
      <w:r w:rsidR="00977BDA">
        <w:rPr>
          <w:rFonts w:hint="cs"/>
          <w:rtl/>
        </w:rPr>
        <w:t> </w:t>
      </w:r>
      <w:r w:rsidR="00F240F4" w:rsidRPr="007741D9">
        <w:rPr>
          <w:rtl/>
        </w:rPr>
        <w:t xml:space="preserve">إطار المسائل المسندة إلى لجنة الدراسات 1 ومع المعنيين بالمسائل المسندة إلى لجنة الدراسات 2 ومع اللجان والأفرقة في القطاعين الآخرين. وبناءً على طلب الأعضاء، ستراعى ضرورة الإبلاغ عن أوجه التآزر التي تحققت في إطار الأعمال المتعلقة بمسائل الدراسة والبرامج والمبادرات الإقليمية والمشاريع ذات الصلة في جميع الأنشطة التي تضطلع بها لجنتا دراسات قطاع تنمية الاتصالات (الفقرة 1.8.3 من القرار 1 (المراجَع في باكو، 2025)). </w:t>
      </w:r>
    </w:p>
    <w:p w14:paraId="2C318350" w14:textId="281E4644" w:rsidR="00F240F4" w:rsidRPr="00410DCF" w:rsidRDefault="000D38E5" w:rsidP="000D38E5">
      <w:pPr>
        <w:pStyle w:val="enumlev1"/>
        <w:rPr>
          <w:spacing w:val="-2"/>
          <w:lang w:val="ar-SA" w:eastAsia="zh-TW" w:bidi="en-GB"/>
        </w:rPr>
      </w:pPr>
      <w:r w:rsidRPr="00410DCF">
        <w:rPr>
          <w:rFonts w:hint="cs"/>
          <w:spacing w:val="-2"/>
          <w:rtl/>
        </w:rPr>
        <w:t>-</w:t>
      </w:r>
      <w:r w:rsidRPr="00410DCF">
        <w:rPr>
          <w:spacing w:val="-2"/>
          <w:rtl/>
        </w:rPr>
        <w:tab/>
      </w:r>
      <w:r w:rsidR="00F240F4" w:rsidRPr="00410DCF">
        <w:rPr>
          <w:spacing w:val="-2"/>
          <w:rtl/>
        </w:rPr>
        <w:t>في بداية فترة الدراسة، تُسند وظائف محددة إلى نواب رئيس لجنة الدراسات 1 من خلال أدوار المنسق (الفقرة 3.2.3 من القرار 1 (المراجَع في باكو، 2025)) لمساعدة رئيس لجنة الدراسات 1 ولجنة الدراسات 1 في تحقيق النواتج المتوقعة. وسيشمل أحد أدوار المنسق متابعة المبادئ التوجيهية المقدمة من الفريق الاستشاري لتنمية الاتصالات بما في ذلك "</w:t>
      </w:r>
      <w:hyperlink r:id="rId21" w:history="1">
        <w:r w:rsidR="00F240F4" w:rsidRPr="00410DCF">
          <w:rPr>
            <w:rStyle w:val="Hyperlink"/>
            <w:spacing w:val="-2"/>
            <w:rtl/>
          </w:rPr>
          <w:t>المبادئ التوجيهية العملية للترويج لمنتجات لجنتي الدراسات</w:t>
        </w:r>
      </w:hyperlink>
      <w:r w:rsidR="00F240F4" w:rsidRPr="00410DCF">
        <w:rPr>
          <w:spacing w:val="-2"/>
          <w:rtl/>
        </w:rPr>
        <w:t xml:space="preserve">" (انظر القسم 4.6 من الوثيقة </w:t>
      </w:r>
      <w:hyperlink r:id="rId22">
        <w:r w:rsidR="00977BDA" w:rsidRPr="3D08685F">
          <w:rPr>
            <w:rStyle w:val="Hyperlink"/>
          </w:rPr>
          <w:t>TDAG</w:t>
        </w:r>
        <w:r w:rsidR="00977BDA">
          <w:rPr>
            <w:rStyle w:val="Hyperlink"/>
          </w:rPr>
          <w:noBreakHyphen/>
        </w:r>
        <w:r w:rsidR="00977BDA" w:rsidRPr="3D08685F">
          <w:rPr>
            <w:rStyle w:val="Hyperlink"/>
          </w:rPr>
          <w:t>25/62</w:t>
        </w:r>
      </w:hyperlink>
      <w:r w:rsidR="00410DCF">
        <w:rPr>
          <w:rFonts w:hint="cs"/>
          <w:spacing w:val="-2"/>
          <w:rtl/>
        </w:rPr>
        <w:t>)</w:t>
      </w:r>
      <w:r w:rsidR="00F240F4" w:rsidRPr="00410DCF">
        <w:rPr>
          <w:spacing w:val="-2"/>
          <w:rtl/>
        </w:rPr>
        <w:t>. وفي</w:t>
      </w:r>
      <w:r w:rsidR="00410DCF">
        <w:rPr>
          <w:rFonts w:hint="cs"/>
          <w:spacing w:val="-2"/>
          <w:rtl/>
        </w:rPr>
        <w:t> </w:t>
      </w:r>
      <w:r w:rsidR="00F240F4" w:rsidRPr="00410DCF">
        <w:rPr>
          <w:spacing w:val="-2"/>
          <w:rtl/>
        </w:rPr>
        <w:t>الحالات التي يتعذر فيها على أي نائب من نواب رئيس لجنة الدراسات 1 شَغل أحد الأدوار، توجَّه الدعوة إلى أعضاء إضافيين، مثل المقررين ونواب المقررين، لشَغل هذا الدور.</w:t>
      </w:r>
      <w:hyperlink r:id="rId23"/>
      <w:hyperlink r:id="rId24"/>
    </w:p>
    <w:p w14:paraId="02875E8C" w14:textId="70E5C073" w:rsidR="00F240F4" w:rsidRPr="007741D9" w:rsidRDefault="000D38E5" w:rsidP="000D38E5">
      <w:pPr>
        <w:pStyle w:val="enumlev1"/>
        <w:rPr>
          <w:lang w:val="ar-SA" w:eastAsia="zh-TW" w:bidi="en-GB"/>
        </w:rPr>
      </w:pPr>
      <w:r>
        <w:rPr>
          <w:rFonts w:hint="cs"/>
          <w:rtl/>
        </w:rPr>
        <w:t>-</w:t>
      </w:r>
      <w:r>
        <w:rPr>
          <w:rtl/>
        </w:rPr>
        <w:tab/>
      </w:r>
      <w:r w:rsidR="00F240F4" w:rsidRPr="007741D9">
        <w:rPr>
          <w:rtl/>
        </w:rPr>
        <w:t>في بداية فترة الدراسة، يجوز لرئيس لجنة الدراسات 1 إبلاغ القطاعين الآخرين بخطة عمل لجنة الدراسات 1 وخطة عمل مسائل الدراسة وبجداول محتويات تقارير النواتج النهائية، وطلب مدخلاتهما (الفقرة 2.8.3 من القرار 1 (المراجَع في باكو، 2025)).</w:t>
      </w:r>
    </w:p>
    <w:p w14:paraId="1E42C31B" w14:textId="3914EB7F" w:rsidR="00F240F4" w:rsidRPr="007741D9" w:rsidRDefault="000D38E5" w:rsidP="000D38E5">
      <w:pPr>
        <w:pStyle w:val="enumlev1"/>
        <w:rPr>
          <w:lang w:val="ar-SA" w:eastAsia="zh-TW" w:bidi="en-GB"/>
        </w:rPr>
      </w:pPr>
      <w:r>
        <w:rPr>
          <w:rFonts w:hint="cs"/>
          <w:rtl/>
        </w:rPr>
        <w:t>-</w:t>
      </w:r>
      <w:r>
        <w:rPr>
          <w:rtl/>
        </w:rPr>
        <w:tab/>
      </w:r>
      <w:r w:rsidR="00F240F4" w:rsidRPr="007741D9">
        <w:rPr>
          <w:rtl/>
        </w:rPr>
        <w:t>لضمان استدامة العمل وجودة النواتج، يتعين على رئيس لجنة الدراسات 1 ونوابه والمقررين ونوابهم حضور الاجتماعات شخصياً والمشاركة الكاملة في أداء مهامهم. ويتحقق ذلك من خلال التزام الكيانات المرشِّحة لهم ودعمها لهم. وسيُرفع أمر عدم حضور الاجتماعات إلى الكيانات المرشِّحة، مع تذكيرها بالتزامها (الفقرتان 8.2.3 و1.3.3 من القرار 1 (المراجَع في باكو، 2025)).</w:t>
      </w:r>
    </w:p>
    <w:p w14:paraId="024396AA" w14:textId="4A6589F1" w:rsidR="00F240F4" w:rsidRPr="007741D9" w:rsidRDefault="000D38E5" w:rsidP="000D38E5">
      <w:pPr>
        <w:pStyle w:val="enumlev1"/>
        <w:rPr>
          <w:lang w:val="ar-SA" w:eastAsia="zh-TW" w:bidi="en-GB"/>
        </w:rPr>
      </w:pPr>
      <w:r>
        <w:rPr>
          <w:rFonts w:hint="cs"/>
          <w:rtl/>
        </w:rPr>
        <w:t>-</w:t>
      </w:r>
      <w:r>
        <w:rPr>
          <w:rtl/>
        </w:rPr>
        <w:tab/>
      </w:r>
      <w:r w:rsidR="00F240F4" w:rsidRPr="007741D9">
        <w:rPr>
          <w:rtl/>
        </w:rPr>
        <w:t>وتشجَّع المساهمات المتعلقة بالأنشطة (المشاريع وورش العمل والاجتماعات) التي يضطلع بها أعضاء قطاع تنمية الاتصالات على الصعيد الوطني والإقليمي والعالمي لإثراء الأعمال المتعلقة بمسائل الدراسة.</w:t>
      </w:r>
    </w:p>
    <w:p w14:paraId="75F7B68B" w14:textId="7D20D620" w:rsidR="00F240F4" w:rsidRPr="007741D9" w:rsidRDefault="000D38E5" w:rsidP="000D38E5">
      <w:pPr>
        <w:pStyle w:val="enumlev1"/>
        <w:rPr>
          <w:lang w:val="ar-SA" w:eastAsia="zh-TW" w:bidi="en-GB"/>
        </w:rPr>
      </w:pPr>
      <w:r>
        <w:rPr>
          <w:rFonts w:hint="cs"/>
          <w:rtl/>
        </w:rPr>
        <w:t>-</w:t>
      </w:r>
      <w:r>
        <w:rPr>
          <w:rtl/>
        </w:rPr>
        <w:tab/>
      </w:r>
      <w:r w:rsidR="00F240F4" w:rsidRPr="007741D9">
        <w:rPr>
          <w:rtl/>
        </w:rPr>
        <w:t>في بداية فترة الدراسة، يعيَّن مسؤولو الاتصال للجنة الدراسات 1 بمكتب تنمية الاتصالات (من المكاتب الإقليمية ومن</w:t>
      </w:r>
      <w:r w:rsidR="00A907EA">
        <w:rPr>
          <w:rFonts w:hint="cs"/>
          <w:rtl/>
        </w:rPr>
        <w:t> </w:t>
      </w:r>
      <w:r w:rsidR="00F240F4" w:rsidRPr="007741D9">
        <w:rPr>
          <w:rtl/>
        </w:rPr>
        <w:t>المقر) ضمن فريق إدارة مسألة الدراسة. وهم يؤدون دوراً حاسماً في تحديد وتيسير المساهمات من المنطقة ومن المستفيدين من مشاريع الاتحاد ومبادراته.</w:t>
      </w:r>
    </w:p>
    <w:p w14:paraId="3B22FAF2" w14:textId="77777777" w:rsidR="00F240F4" w:rsidRPr="00E33AB2" w:rsidRDefault="00F240F4" w:rsidP="00F240F4">
      <w:pPr>
        <w:textDirection w:val="tbRlV"/>
        <w:rPr>
          <w:spacing w:val="-2"/>
          <w:lang w:val="ar-SA" w:eastAsia="zh-TW" w:bidi="en-GB"/>
        </w:rPr>
      </w:pPr>
      <w:r w:rsidRPr="00E33AB2">
        <w:rPr>
          <w:spacing w:val="-2"/>
          <w:rtl/>
        </w:rPr>
        <w:t xml:space="preserve">ويمكن الاطلاع على خطة العمل الأولية للجنة الدراسات 1 في </w:t>
      </w:r>
      <w:r w:rsidRPr="00E33AB2">
        <w:rPr>
          <w:b/>
          <w:bCs/>
          <w:spacing w:val="-2"/>
          <w:rtl/>
        </w:rPr>
        <w:t>الملحق 2</w:t>
      </w:r>
      <w:r w:rsidRPr="00E33AB2">
        <w:rPr>
          <w:spacing w:val="-2"/>
          <w:rtl/>
        </w:rPr>
        <w:t>. وستراجَع خطة العمل سنوياً لتوجيه عمل لجنة الدراسات.</w:t>
      </w:r>
    </w:p>
    <w:p w14:paraId="4801D77A" w14:textId="20B3BCC6" w:rsidR="00F240F4" w:rsidRPr="00762C8F" w:rsidRDefault="009A65BC" w:rsidP="00762C8F">
      <w:pPr>
        <w:pStyle w:val="Heading1"/>
      </w:pPr>
      <w:r w:rsidRPr="00762C8F">
        <w:t>4</w:t>
      </w:r>
      <w:r w:rsidRPr="00762C8F">
        <w:tab/>
      </w:r>
      <w:r w:rsidR="00F240F4" w:rsidRPr="00762C8F">
        <w:rPr>
          <w:rtl/>
        </w:rPr>
        <w:t>الأدوات التعاونية</w:t>
      </w:r>
    </w:p>
    <w:p w14:paraId="09B43AB1" w14:textId="617799A2" w:rsidR="00F240F4" w:rsidRPr="007741D9" w:rsidRDefault="00F240F4" w:rsidP="00F240F4">
      <w:pPr>
        <w:textDirection w:val="tbRlV"/>
        <w:rPr>
          <w:lang w:val="ar-SA" w:eastAsia="zh-TW" w:bidi="en-GB"/>
        </w:rPr>
      </w:pPr>
      <w:r w:rsidRPr="007741D9">
        <w:rPr>
          <w:rtl/>
        </w:rPr>
        <w:t xml:space="preserve">تضع أمانة لجنة الدراسات 1، بالتعاون مع فريق دعم تكنولوجيا المعلومات بمكتب تنمية الاتصالات، </w:t>
      </w:r>
      <w:hyperlink r:id="rId25" w:anchor="/ar" w:history="1">
        <w:r w:rsidRPr="00E33AB2">
          <w:rPr>
            <w:rStyle w:val="Hyperlink"/>
            <w:rtl/>
          </w:rPr>
          <w:t>أدوات تعاونية</w:t>
        </w:r>
      </w:hyperlink>
      <w:r w:rsidRPr="007741D9">
        <w:rPr>
          <w:rtl/>
        </w:rPr>
        <w:t xml:space="preserve"> تمكِّن المتعاونين النشطين وأعضاء فريق الإدارة والمشاركين في الاجتماع من العمل معاً بكفاءة. وهذه الأدوات آخذة في التطور. فبالإضافة إلى خدمات المشاركة عن بُعد وخدمات البث الشبكي بلغات الاجتماع المعني، تتاح قوائم بريدية للمشاركين وأعضاء فريق الإدارة. وتُستحدث أدوات على منصة MS </w:t>
      </w:r>
      <w:proofErr w:type="spellStart"/>
      <w:r w:rsidRPr="007741D9">
        <w:rPr>
          <w:rtl/>
        </w:rPr>
        <w:t>teams</w:t>
      </w:r>
      <w:proofErr w:type="spellEnd"/>
      <w:r w:rsidRPr="007741D9">
        <w:rPr>
          <w:rtl/>
        </w:rPr>
        <w:t xml:space="preserve"> لكي يستخدمها كل فريق من أفرقة إدارة المسائل وفقاً لاحتياجاته. ويحظى العرض النصي التلقائي بلغات مختلفة بتقدير كبير لدى أعضاء أفرقة إدارة المسائل لأنه يحسِّن إمكانية النفاذ وتبادل الآراء أثناء الاجتماعات الإلكترونية. وتتاح خدمات العرض النصي في جميع اجتماعات لجنة الدراسات 1، وتتاح خدمات الترجمة الشفوية بلغة الإشارة في اجتماعات </w:t>
      </w:r>
      <w:hyperlink r:id="rId26" w:history="1">
        <w:r w:rsidRPr="00A77DC4">
          <w:rPr>
            <w:rStyle w:val="Hyperlink"/>
            <w:rtl/>
          </w:rPr>
          <w:t>المسألة 1/5</w:t>
        </w:r>
      </w:hyperlink>
      <w:r w:rsidRPr="007741D9">
        <w:rPr>
          <w:rtl/>
        </w:rPr>
        <w:t>، وتحظى هذه الخدمات بالتقدير. وفي الاجتماع الأخير لفريق إدارة لجنة الدراسات 1 والاجتماع المشترك لفريقي إدارة لجنتي الدراسات 1 و2 في عام 2025 (غير المزوَّدين عادة بمرافق الترجمة الشفوية)، جُربت الترجمة الشفوية المفعَّلة بالذكاء الاصطناعي، مع إمكانية إجراء تجارب إضافية على أدوات أخرى.</w:t>
      </w:r>
      <w:hyperlink r:id="rId27" w:history="1"/>
      <w:hyperlink r:id="rId28" w:history="1"/>
    </w:p>
    <w:p w14:paraId="623C43D5" w14:textId="77777777" w:rsidR="00F240F4" w:rsidRPr="00A71335" w:rsidRDefault="00F240F4" w:rsidP="001F6FA1">
      <w:pPr>
        <w:rPr>
          <w:lang w:val="ar-SA" w:eastAsia="zh-TW" w:bidi="en-GB"/>
        </w:rPr>
      </w:pPr>
      <w:r w:rsidRPr="00A71335">
        <w:rPr>
          <w:rtl/>
        </w:rPr>
        <w:t>وجرى تحديث مستودع المساهمات ولوحة المعلومات ذات الصلة</w:t>
      </w:r>
      <w:r w:rsidRPr="00846406">
        <w:rPr>
          <w:rStyle w:val="FootnoteReference"/>
          <w:rtl/>
        </w:rPr>
        <w:footnoteReference w:id="1"/>
      </w:r>
      <w:r w:rsidRPr="00A71335">
        <w:rPr>
          <w:rtl/>
        </w:rPr>
        <w:t>، ما يسهّل البحث عن المساهمات السابقة وملخصاتها. وتتاح أداة الترجمة التلقائية (الآلية) للوثائق، المسماة "</w:t>
      </w:r>
      <w:proofErr w:type="spellStart"/>
      <w:r w:rsidRPr="00A71335">
        <w:t>ITUTranslate</w:t>
      </w:r>
      <w:proofErr w:type="spellEnd"/>
      <w:r w:rsidRPr="00A71335">
        <w:t>"</w:t>
      </w:r>
      <w:r w:rsidRPr="00A71335">
        <w:rPr>
          <w:rStyle w:val="FootnoteReference"/>
          <w:spacing w:val="-2"/>
          <w:rtl/>
        </w:rPr>
        <w:footnoteReference w:id="2"/>
      </w:r>
      <w:r w:rsidRPr="00A71335">
        <w:rPr>
          <w:rtl/>
        </w:rPr>
        <w:t xml:space="preserve">، في مستودع إدارة الوثائق المحمية بخدمة تبادل معلومات الاتصالات </w:t>
      </w:r>
      <w:r w:rsidRPr="00A71335">
        <w:t>(TIES)</w:t>
      </w:r>
      <w:r w:rsidRPr="00A71335">
        <w:rPr>
          <w:rtl/>
        </w:rPr>
        <w:t xml:space="preserve"> حيث يمكن للقارئ ترجمة المساهمات والتقارير ووثائق الاجتماع الأخرى من لغة رسمية للأمم المتحدة إلى لغة رسمية أخرى للأمم المتحدة. وتم تطوير الموقع الإلكتروني للجنتي دراسات قطاع تنمية الاتصالات للفترة 2026-2029 وهو متاح على الإنترنت. وعلى غرار جميع صفحات مكتب تنمية الاتصالات على شبكة الإنترنت، تتاح جميع صفحات </w:t>
      </w:r>
      <w:r w:rsidRPr="00A71335">
        <w:rPr>
          <w:rtl/>
        </w:rPr>
        <w:lastRenderedPageBreak/>
        <w:t xml:space="preserve">الموقع الإلكتروني للجنتي دراسات قطاع تنمية الاتصالات بجميع اللغات الرسمية للأمم المتحدة مع أداة الترجمة الآلية </w:t>
      </w:r>
      <w:proofErr w:type="spellStart"/>
      <w:r w:rsidRPr="00A71335">
        <w:t>ITUTranslate</w:t>
      </w:r>
      <w:proofErr w:type="spellEnd"/>
      <w:r w:rsidRPr="00A71335">
        <w:rPr>
          <w:rtl/>
        </w:rPr>
        <w:t>.</w:t>
      </w:r>
    </w:p>
    <w:p w14:paraId="3D0330AD" w14:textId="033A0959" w:rsidR="00F240F4" w:rsidRPr="007741D9" w:rsidRDefault="00F240F4" w:rsidP="00F240F4">
      <w:pPr>
        <w:textDirection w:val="tbRlV"/>
        <w:rPr>
          <w:lang w:val="ar-SA" w:eastAsia="zh-TW" w:bidi="en-GB"/>
        </w:rPr>
      </w:pPr>
      <w:r w:rsidRPr="007741D9">
        <w:rPr>
          <w:rtl/>
        </w:rPr>
        <w:t xml:space="preserve">ويلزم </w:t>
      </w:r>
      <w:hyperlink r:id="rId29" w:anchor="/ar" w:history="1">
        <w:r w:rsidRPr="00A71335">
          <w:rPr>
            <w:rStyle w:val="Hyperlink"/>
            <w:rtl/>
          </w:rPr>
          <w:t xml:space="preserve">حساب نشط في خدمة تبادل معلومات الاتصالات </w:t>
        </w:r>
        <w:r w:rsidRPr="00A71335">
          <w:rPr>
            <w:rStyle w:val="Hyperlink"/>
          </w:rPr>
          <w:t>(TIES)</w:t>
        </w:r>
      </w:hyperlink>
      <w:r w:rsidRPr="007741D9">
        <w:rPr>
          <w:rtl/>
        </w:rPr>
        <w:t xml:space="preserve"> للنفاذ إلى الأدوات التعاونية وجميع وثائق لجنة الدراسات 1.</w:t>
      </w:r>
      <w:hyperlink r:id="rId30" w:history="1"/>
    </w:p>
    <w:p w14:paraId="3E6F1EB6" w14:textId="14D2EC58" w:rsidR="00F240F4" w:rsidRPr="007741D9" w:rsidRDefault="00F240F4" w:rsidP="00F240F4">
      <w:pPr>
        <w:textDirection w:val="tbRlV"/>
        <w:rPr>
          <w:lang w:val="ar-SA" w:eastAsia="zh-TW" w:bidi="en-GB"/>
        </w:rPr>
      </w:pPr>
      <w:r w:rsidRPr="007741D9">
        <w:rPr>
          <w:rtl/>
        </w:rPr>
        <w:t xml:space="preserve">ويشجَّع المشاركون في لجنتي الدراسات على استكشاف الأدوات وتقديم أي تعليقات بشأنها إلى الأمانة </w:t>
      </w:r>
      <w:r w:rsidR="00191447" w:rsidRPr="00590766">
        <w:rPr>
          <w:rFonts w:cstheme="minorBidi"/>
        </w:rPr>
        <w:t>(</w:t>
      </w:r>
      <w:hyperlink r:id="rId31" w:history="1">
        <w:r w:rsidR="00191447" w:rsidRPr="00590766">
          <w:rPr>
            <w:rStyle w:val="Hyperlink"/>
            <w:rFonts w:cstheme="minorBidi"/>
          </w:rPr>
          <w:t>devsg@itu.int</w:t>
        </w:r>
      </w:hyperlink>
      <w:r w:rsidR="00191447" w:rsidRPr="00590766">
        <w:rPr>
          <w:rFonts w:cstheme="minorBidi"/>
        </w:rPr>
        <w:t>)</w:t>
      </w:r>
      <w:r w:rsidRPr="007741D9">
        <w:rPr>
          <w:rtl/>
        </w:rPr>
        <w:t xml:space="preserve"> للمساعدة في تحسينها.</w:t>
      </w:r>
      <w:hyperlink r:id="rId32" w:history="1"/>
    </w:p>
    <w:p w14:paraId="47F9F8FE" w14:textId="6B091276" w:rsidR="00F240F4" w:rsidRPr="00762C8F" w:rsidRDefault="009A65BC" w:rsidP="00762C8F">
      <w:pPr>
        <w:pStyle w:val="Heading1"/>
      </w:pPr>
      <w:r w:rsidRPr="00762C8F">
        <w:t>5</w:t>
      </w:r>
      <w:r w:rsidRPr="00762C8F">
        <w:tab/>
      </w:r>
      <w:r w:rsidR="00F240F4" w:rsidRPr="00762C8F">
        <w:rPr>
          <w:rtl/>
        </w:rPr>
        <w:t>الخلاصة</w:t>
      </w:r>
    </w:p>
    <w:p w14:paraId="5BD2100C" w14:textId="77777777" w:rsidR="00F240F4" w:rsidRPr="007741D9" w:rsidRDefault="00F240F4" w:rsidP="00F240F4">
      <w:pPr>
        <w:textDirection w:val="tbRlV"/>
        <w:rPr>
          <w:lang w:val="ar-SA" w:eastAsia="zh-TW" w:bidi="en-GB"/>
        </w:rPr>
      </w:pPr>
      <w:r w:rsidRPr="007741D9">
        <w:rPr>
          <w:rtl/>
        </w:rPr>
        <w:t xml:space="preserve">ستجتمع لجنة الدراسات 1 في الفترة من 13 إلى 17 أبريل 2026، في إطار نطاق عملها الجديد المتفق عليه ومسائل الدراسة الجديدة المسندة إليها. وستمعن الجلسات الأولى النظر في النتائج المتوقعة التي اتفق الأعضاء عليها في المؤتمر العالمي لتنمية الاتصالات لعام 2025، وستحدد أساليب سير عمل لجنة الدراسات، وتتفق على خطط العمل التفصيلية لكل مسألة من مسائل الدراسة. وسيجري في هذه الجلسات أيضاً تعيين المقررين ونواب المقررين المعنيين بكل مسألة دراسة. </w:t>
      </w:r>
    </w:p>
    <w:p w14:paraId="24BE8C28" w14:textId="4BB28F73" w:rsidR="00F240F4" w:rsidRPr="007741D9" w:rsidRDefault="00F240F4" w:rsidP="00F240F4">
      <w:pPr>
        <w:textDirection w:val="tbRlV"/>
        <w:rPr>
          <w:lang w:val="ar-SA" w:eastAsia="zh-TW" w:bidi="en-GB"/>
        </w:rPr>
      </w:pPr>
      <w:r w:rsidRPr="007741D9">
        <w:rPr>
          <w:rtl/>
        </w:rPr>
        <w:t xml:space="preserve">وستعقد في اليوم الأول من الاجتماع جلسات تعريفية بعمل لجنتي دراسات قطاع تنمية الاتصالات تقدَّم فيها تفاصيل عن أساليب العمل والأدوات المتاحة للمشاركين في لجنتي الدراسات. وتم تحديث وثيقة </w:t>
      </w:r>
      <w:hyperlink r:id="rId33" w:history="1">
        <w:r w:rsidRPr="00191447">
          <w:rPr>
            <w:rStyle w:val="Hyperlink"/>
            <w:rtl/>
          </w:rPr>
          <w:t>الإحاطة الإعلامية المقدمة إلى المندوبين</w:t>
        </w:r>
      </w:hyperlink>
      <w:r w:rsidRPr="007741D9">
        <w:rPr>
          <w:rtl/>
        </w:rPr>
        <w:t xml:space="preserve"> وهي متاحة للعموم بجميع اللغات الرسمية للأمم المتحدة. ويُقترح قراءة هذه الوثيقة قبل حضور الجلسات التعريفية.</w:t>
      </w:r>
      <w:hyperlink r:id="rId34" w:history="1"/>
    </w:p>
    <w:p w14:paraId="3D138E4F" w14:textId="791F18E2" w:rsidR="00F240F4" w:rsidRPr="00846406" w:rsidRDefault="00F240F4" w:rsidP="00F240F4">
      <w:pPr>
        <w:textDirection w:val="tbRlV"/>
        <w:rPr>
          <w:bCs/>
          <w:spacing w:val="-6"/>
          <w:lang w:val="ar-SA" w:eastAsia="zh-TW" w:bidi="en-GB"/>
        </w:rPr>
      </w:pPr>
      <w:r w:rsidRPr="00846406">
        <w:rPr>
          <w:spacing w:val="-6"/>
          <w:rtl/>
        </w:rPr>
        <w:t>ومن المخطط عقد مجموعة اجتماعات أفرقة المقررين التابعة للجنة الدراسات 1 لعام 2026 في الفترة من 28 سبتمبر إلى 7 أكتوبر 2026.</w:t>
      </w:r>
    </w:p>
    <w:p w14:paraId="0F98E3CF" w14:textId="77777777" w:rsidR="008D7BD9" w:rsidRDefault="008D7BD9" w:rsidP="0006468A">
      <w:pPr>
        <w:rPr>
          <w:rtl/>
        </w:rPr>
        <w:sectPr w:rsidR="008D7BD9" w:rsidSect="006C3242">
          <w:headerReference w:type="default" r:id="rId35"/>
          <w:footerReference w:type="first" r:id="rId36"/>
          <w:type w:val="oddPage"/>
          <w:pgSz w:w="11907" w:h="16840" w:code="9"/>
          <w:pgMar w:top="1418" w:right="1134" w:bottom="1134" w:left="1134" w:header="709" w:footer="709" w:gutter="0"/>
          <w:cols w:space="708"/>
          <w:titlePg/>
          <w:docGrid w:linePitch="360"/>
        </w:sectPr>
      </w:pPr>
    </w:p>
    <w:p w14:paraId="764FAF56" w14:textId="0F96146B" w:rsidR="00B20989" w:rsidRPr="00B20989" w:rsidRDefault="00361EF0" w:rsidP="001F3481">
      <w:pPr>
        <w:pStyle w:val="Annextitle"/>
        <w:rPr>
          <w:lang w:bidi="ar-SA"/>
        </w:rPr>
      </w:pPr>
      <w:r>
        <w:rPr>
          <w:rtl/>
        </w:rPr>
        <w:lastRenderedPageBreak/>
        <w:br/>
      </w:r>
      <w:r w:rsidR="00B20989" w:rsidRPr="00B20989">
        <w:rPr>
          <w:rtl/>
        </w:rPr>
        <w:t>الملحق 1</w:t>
      </w:r>
      <w:r w:rsidR="00B20989" w:rsidRPr="00B20989">
        <w:t>:</w:t>
      </w:r>
      <w:r w:rsidR="00B20989" w:rsidRPr="00B20989">
        <w:rPr>
          <w:rtl/>
        </w:rPr>
        <w:t xml:space="preserve"> هيكل خطة عمل باكو ومساهمتها في الخطة الاستراتيجية للاتحاد</w:t>
      </w:r>
    </w:p>
    <w:p w14:paraId="6C468DBB" w14:textId="6B4B172F" w:rsidR="00402781" w:rsidRPr="002E52F4" w:rsidRDefault="001F6FA1" w:rsidP="00E1485D">
      <w:pPr>
        <w:pStyle w:val="Figure"/>
        <w:jc w:val="center"/>
        <w:rPr>
          <w:rtl/>
        </w:rPr>
      </w:pPr>
      <w:r>
        <w:drawing>
          <wp:inline distT="0" distB="0" distL="0" distR="0" wp14:anchorId="217A7414" wp14:editId="4D4FD7AF">
            <wp:extent cx="5090625" cy="3556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01204" cy="3563390"/>
                    </a:xfrm>
                    <a:prstGeom prst="rect">
                      <a:avLst/>
                    </a:prstGeom>
                    <a:noFill/>
                  </pic:spPr>
                </pic:pic>
              </a:graphicData>
            </a:graphic>
          </wp:inline>
        </w:drawing>
      </w:r>
    </w:p>
    <w:p w14:paraId="19C05353" w14:textId="590BAAE2" w:rsidR="00402781" w:rsidRDefault="00402781" w:rsidP="00402781">
      <w:pPr>
        <w:rPr>
          <w:rtl/>
          <w:lang w:bidi="ar-EG"/>
        </w:rPr>
      </w:pPr>
      <w:r>
        <w:rPr>
          <w:rtl/>
          <w:lang w:bidi="ar-EG"/>
        </w:rPr>
        <w:br w:type="page"/>
      </w:r>
    </w:p>
    <w:p w14:paraId="607D54C4" w14:textId="66BAF930" w:rsidR="00402781" w:rsidRPr="00441365" w:rsidRDefault="00402781" w:rsidP="00441365">
      <w:pPr>
        <w:pStyle w:val="Annextitle"/>
      </w:pPr>
      <w:r w:rsidRPr="00441365">
        <w:rPr>
          <w:rtl/>
          <w:lang w:bidi="ar-SA"/>
        </w:rPr>
        <w:lastRenderedPageBreak/>
        <w:t>الملحق 2</w:t>
      </w:r>
      <w:r w:rsidRPr="00441365">
        <w:t>:</w:t>
      </w:r>
      <w:r w:rsidRPr="00441365">
        <w:rPr>
          <w:rtl/>
          <w:lang w:bidi="ar-SA"/>
        </w:rPr>
        <w:t xml:space="preserve"> خطة عمل لجنة الدراسات 1 لقطاع تنمية الاتصالات</w:t>
      </w:r>
    </w:p>
    <w:p w14:paraId="7E30C4B6" w14:textId="55162DC9" w:rsidR="00E1485D" w:rsidRPr="00324868" w:rsidRDefault="00DA204A" w:rsidP="00857CBC">
      <w:pPr>
        <w:pStyle w:val="Figure"/>
        <w:jc w:val="center"/>
        <w:rPr>
          <w:rtl/>
        </w:rPr>
      </w:pPr>
      <w:r w:rsidRPr="00DA204A">
        <w:rPr>
          <w:szCs w:val="22"/>
          <w:rtl/>
        </w:rPr>
        <w:drawing>
          <wp:inline distT="0" distB="0" distL="0" distR="0" wp14:anchorId="757E783B" wp14:editId="5B6C98A9">
            <wp:extent cx="6863068" cy="522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63068" cy="5220000"/>
                    </a:xfrm>
                    <a:prstGeom prst="rect">
                      <a:avLst/>
                    </a:prstGeom>
                    <a:noFill/>
                    <a:ln>
                      <a:noFill/>
                    </a:ln>
                  </pic:spPr>
                </pic:pic>
              </a:graphicData>
            </a:graphic>
          </wp:inline>
        </w:drawing>
      </w:r>
    </w:p>
    <w:p w14:paraId="024961B6" w14:textId="70840F74" w:rsidR="007B4FA0" w:rsidRDefault="00153471" w:rsidP="009A7F25">
      <w:pPr>
        <w:spacing w:before="240" w:after="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361EF0">
      <w:headerReference w:type="default" r:id="rId39"/>
      <w:pgSz w:w="16840" w:h="11907" w:orient="landscape" w:code="9"/>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493ED" w14:textId="77777777" w:rsidR="001E1867" w:rsidRDefault="001E1867" w:rsidP="006C3242">
      <w:pPr>
        <w:spacing w:before="0" w:line="240" w:lineRule="auto"/>
      </w:pPr>
      <w:r>
        <w:separator/>
      </w:r>
    </w:p>
  </w:endnote>
  <w:endnote w:type="continuationSeparator" w:id="0">
    <w:p w14:paraId="476DEF4C" w14:textId="77777777" w:rsidR="001E1867" w:rsidRDefault="001E1867"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051C6CBC" w14:textId="77777777" w:rsidTr="00031158">
      <w:tc>
        <w:tcPr>
          <w:tcW w:w="991" w:type="dxa"/>
          <w:tcBorders>
            <w:top w:val="single" w:sz="4" w:space="0" w:color="auto"/>
            <w:left w:val="nil"/>
            <w:bottom w:val="nil"/>
            <w:right w:val="nil"/>
          </w:tcBorders>
          <w:shd w:val="clear" w:color="auto" w:fill="FFFFFF" w:themeFill="background1"/>
          <w:hideMark/>
        </w:tcPr>
        <w:p w14:paraId="3757D684"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3FCD60D7"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4508FE9B" w14:textId="2DE02CD8" w:rsidR="00AD1E92" w:rsidRPr="00AD1E92" w:rsidRDefault="00D118AD" w:rsidP="00D118AD">
          <w:pPr>
            <w:spacing w:before="60" w:after="40" w:line="260" w:lineRule="exact"/>
            <w:rPr>
              <w:position w:val="2"/>
              <w:sz w:val="18"/>
              <w:szCs w:val="18"/>
              <w:lang w:val="en-GB"/>
            </w:rPr>
          </w:pPr>
          <w:r w:rsidRPr="00D118AD">
            <w:rPr>
              <w:position w:val="2"/>
              <w:sz w:val="18"/>
              <w:szCs w:val="18"/>
              <w:rtl/>
              <w:lang w:val="fr-FR"/>
            </w:rPr>
            <w:t xml:space="preserve">السيد </w:t>
          </w:r>
          <w:proofErr w:type="spellStart"/>
          <w:r w:rsidRPr="00D118AD">
            <w:rPr>
              <w:position w:val="2"/>
              <w:sz w:val="18"/>
              <w:szCs w:val="18"/>
              <w:rtl/>
              <w:lang w:val="fr-FR"/>
            </w:rPr>
            <w:t>Roberto</w:t>
          </w:r>
          <w:proofErr w:type="spellEnd"/>
          <w:r w:rsidRPr="00D118AD">
            <w:rPr>
              <w:position w:val="2"/>
              <w:sz w:val="18"/>
              <w:szCs w:val="18"/>
              <w:rtl/>
              <w:lang w:val="fr-FR"/>
            </w:rPr>
            <w:t xml:space="preserve"> M. </w:t>
          </w:r>
          <w:proofErr w:type="spellStart"/>
          <w:r w:rsidRPr="00D118AD">
            <w:rPr>
              <w:position w:val="2"/>
              <w:sz w:val="18"/>
              <w:szCs w:val="18"/>
              <w:rtl/>
              <w:lang w:val="fr-FR"/>
            </w:rPr>
            <w:t>Hirayama</w:t>
          </w:r>
          <w:proofErr w:type="spellEnd"/>
          <w:r w:rsidRPr="00D118AD">
            <w:rPr>
              <w:position w:val="2"/>
              <w:sz w:val="18"/>
              <w:szCs w:val="18"/>
              <w:rtl/>
              <w:lang w:val="fr-FR"/>
            </w:rPr>
            <w:t>، رئيس لجنة الدراسات 1 لقطاع تنمية الاتصالات</w:t>
          </w:r>
        </w:p>
      </w:tc>
    </w:tr>
    <w:tr w:rsidR="00AD1E92" w:rsidRPr="00AD1E92" w14:paraId="084FD53C" w14:textId="77777777" w:rsidTr="00031158">
      <w:tc>
        <w:tcPr>
          <w:tcW w:w="991" w:type="dxa"/>
        </w:tcPr>
        <w:p w14:paraId="2E841568"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1C35F799"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5D6860A0" w14:textId="02E97988" w:rsidR="00AD1E92" w:rsidRPr="00AD1E92" w:rsidRDefault="00D118AD" w:rsidP="00D118AD">
          <w:pPr>
            <w:spacing w:before="60" w:after="40" w:line="260" w:lineRule="exact"/>
            <w:rPr>
              <w:position w:val="2"/>
              <w:sz w:val="18"/>
              <w:szCs w:val="18"/>
              <w:lang w:val="en-GB"/>
            </w:rPr>
          </w:pPr>
          <w:r w:rsidRPr="00D118AD">
            <w:rPr>
              <w:position w:val="2"/>
              <w:sz w:val="18"/>
              <w:szCs w:val="18"/>
              <w:rtl/>
              <w:lang w:val="fr-FR"/>
            </w:rPr>
            <w:t>لا يوجد</w:t>
          </w:r>
        </w:p>
      </w:tc>
    </w:tr>
    <w:tr w:rsidR="00AD1E92" w:rsidRPr="00AD1E92" w14:paraId="1C27040F" w14:textId="77777777" w:rsidTr="00031158">
      <w:tc>
        <w:tcPr>
          <w:tcW w:w="991" w:type="dxa"/>
        </w:tcPr>
        <w:p w14:paraId="79B422FA"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0EAEDC44"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6544D187" w14:textId="470A5621" w:rsidR="00AD1E92" w:rsidRPr="00AD1E92" w:rsidRDefault="00541567" w:rsidP="00AD1E92">
          <w:pPr>
            <w:spacing w:before="60" w:after="40" w:line="260" w:lineRule="exact"/>
            <w:rPr>
              <w:position w:val="2"/>
              <w:sz w:val="18"/>
              <w:szCs w:val="18"/>
              <w:rtl/>
              <w:lang w:val="fr-FR" w:bidi="ar-EG"/>
            </w:rPr>
          </w:pPr>
          <w:hyperlink r:id="rId1" w:history="1">
            <w:r w:rsidR="00D118AD" w:rsidRPr="005973C4">
              <w:rPr>
                <w:rStyle w:val="Hyperlink"/>
                <w:sz w:val="18"/>
                <w:szCs w:val="18"/>
              </w:rPr>
              <w:t>hirayama@anatel.gov.br</w:t>
            </w:r>
          </w:hyperlink>
        </w:p>
      </w:tc>
    </w:tr>
  </w:tbl>
  <w:p w14:paraId="1FD36906"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5CDA0" w14:textId="77777777" w:rsidR="001E1867" w:rsidRDefault="001E1867" w:rsidP="006C3242">
      <w:pPr>
        <w:spacing w:before="0" w:line="240" w:lineRule="auto"/>
      </w:pPr>
      <w:r>
        <w:separator/>
      </w:r>
    </w:p>
  </w:footnote>
  <w:footnote w:type="continuationSeparator" w:id="0">
    <w:p w14:paraId="0D42759C" w14:textId="77777777" w:rsidR="001E1867" w:rsidRDefault="001E1867" w:rsidP="006C3242">
      <w:pPr>
        <w:spacing w:before="0" w:line="240" w:lineRule="auto"/>
      </w:pPr>
      <w:r>
        <w:continuationSeparator/>
      </w:r>
    </w:p>
  </w:footnote>
  <w:footnote w:id="1">
    <w:p w14:paraId="324733E2" w14:textId="604EB171" w:rsidR="00F240F4" w:rsidRPr="00FE1951" w:rsidRDefault="00F240F4" w:rsidP="006332A2">
      <w:pPr>
        <w:pStyle w:val="FootnoteText"/>
        <w:rPr>
          <w:rFonts w:cstheme="minorHAnsi"/>
          <w:sz w:val="20"/>
          <w:szCs w:val="20"/>
          <w:lang w:val="ar-SA" w:eastAsia="zh-TW" w:bidi="en-GB"/>
        </w:rPr>
      </w:pPr>
      <w:r w:rsidRPr="00FE1951">
        <w:rPr>
          <w:rStyle w:val="FootnoteReference"/>
          <w:rFonts w:cstheme="minorHAnsi"/>
          <w:sz w:val="20"/>
          <w:rtl/>
        </w:rPr>
        <w:footnoteRef/>
      </w:r>
      <w:r w:rsidR="006332A2">
        <w:rPr>
          <w:rtl/>
        </w:rPr>
        <w:tab/>
      </w:r>
      <w:r w:rsidRPr="006332A2">
        <w:rPr>
          <w:rtl/>
        </w:rPr>
        <w:t xml:space="preserve">يمكن الاطلاع على مستودع المساهمات ولوحة المعلومات ذات الصلة لفترة الدراسة السابقة (2018-2022) </w:t>
      </w:r>
      <w:hyperlink r:id="rId1" w:history="1">
        <w:r w:rsidRPr="00B30132">
          <w:rPr>
            <w:rStyle w:val="Hyperlink"/>
            <w:rtl/>
          </w:rPr>
          <w:t>هنا</w:t>
        </w:r>
      </w:hyperlink>
      <w:r w:rsidRPr="006332A2">
        <w:rPr>
          <w:rtl/>
        </w:rPr>
        <w:t>.</w:t>
      </w:r>
      <w:hyperlink r:id="rId2"/>
    </w:p>
  </w:footnote>
  <w:footnote w:id="2">
    <w:p w14:paraId="709E2E01" w14:textId="4F5062A1" w:rsidR="00F240F4" w:rsidRPr="00FE1951" w:rsidRDefault="00F240F4" w:rsidP="006332A2">
      <w:pPr>
        <w:pStyle w:val="FootnoteText"/>
        <w:rPr>
          <w:rFonts w:cstheme="minorHAnsi"/>
          <w:sz w:val="20"/>
          <w:szCs w:val="20"/>
          <w:lang w:val="ar-SA" w:eastAsia="zh-TW" w:bidi="en-GB"/>
        </w:rPr>
      </w:pPr>
      <w:r w:rsidRPr="00FE1951">
        <w:rPr>
          <w:rStyle w:val="FootnoteReference"/>
          <w:rFonts w:cstheme="minorHAnsi"/>
          <w:sz w:val="20"/>
          <w:rtl/>
        </w:rPr>
        <w:footnoteRef/>
      </w:r>
      <w:r w:rsidR="006332A2">
        <w:rPr>
          <w:rtl/>
        </w:rPr>
        <w:tab/>
      </w:r>
      <w:hyperlink r:id="rId3" w:history="1">
        <w:r w:rsidR="006332A2" w:rsidRPr="006332A2">
          <w:rPr>
            <w:rStyle w:val="Hyperlink"/>
            <w:rFonts w:cstheme="minorHAnsi"/>
          </w:rPr>
          <w:t>https://translate.itu.int/documents</w:t>
        </w:r>
      </w:hyperlink>
      <w:r>
        <w:rPr>
          <w:rtl/>
        </w:rPr>
        <w:t xml:space="preserve"> </w:t>
      </w:r>
      <w:hyperlink r:id="rId4"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2F516192" w14:textId="38F25235"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2" w:name="DocNo2"/>
        <w:bookmarkEnd w:id="2"/>
        <w:r w:rsidR="00105EF4">
          <w:rPr>
            <w:sz w:val="20"/>
            <w:szCs w:val="20"/>
            <w:lang w:val="es-ES_tradnl"/>
          </w:rPr>
          <w:t>6</w:t>
        </w:r>
        <w:r w:rsidR="004F0F62" w:rsidRPr="004F0F62">
          <w:rPr>
            <w:sz w:val="20"/>
            <w:szCs w:val="20"/>
            <w:lang w:val="es-ES_tradnl"/>
          </w:rPr>
          <w:t>/</w:t>
        </w:r>
        <w:r w:rsidR="00D118AD">
          <w:rPr>
            <w:sz w:val="20"/>
            <w:szCs w:val="20"/>
            <w:lang w:val="es-ES_tradnl"/>
          </w:rPr>
          <w:t>5</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8812160"/>
      <w:docPartObj>
        <w:docPartGallery w:val="Page Numbers (Top of Page)"/>
        <w:docPartUnique/>
      </w:docPartObj>
    </w:sdtPr>
    <w:sdtEndPr>
      <w:rPr>
        <w:rFonts w:cs="Calibri"/>
        <w:noProof/>
        <w:sz w:val="18"/>
        <w:szCs w:val="18"/>
      </w:rPr>
    </w:sdtEndPr>
    <w:sdtContent>
      <w:p w14:paraId="4D2B4BA6" w14:textId="77777777" w:rsidR="00B20989" w:rsidRPr="00FC3D2F" w:rsidRDefault="00B20989" w:rsidP="00541567">
        <w:pPr>
          <w:pStyle w:val="Header"/>
          <w:tabs>
            <w:tab w:val="clear" w:pos="794"/>
            <w:tab w:val="clear" w:pos="4680"/>
            <w:tab w:val="clear" w:pos="9360"/>
            <w:tab w:val="center" w:pos="7625"/>
            <w:tab w:val="right" w:pos="14996"/>
          </w:tabs>
          <w:spacing w:before="120" w:line="192" w:lineRule="auto"/>
          <w:rPr>
            <w:sz w:val="20"/>
            <w:szCs w:val="20"/>
            <w:rtl/>
            <w:lang w:bidi="ar-EG"/>
          </w:rPr>
        </w:pPr>
        <w:r w:rsidRPr="00FC3D2F">
          <w:rPr>
            <w:sz w:val="20"/>
            <w:szCs w:val="20"/>
          </w:rPr>
          <w:tab/>
        </w:r>
        <w:r>
          <w:rPr>
            <w:sz w:val="20"/>
            <w:szCs w:val="20"/>
            <w:lang w:val="es-ES_tradnl"/>
          </w:rPr>
          <w:t>TDAG-26</w:t>
        </w:r>
        <w:r w:rsidRPr="004F0F62">
          <w:rPr>
            <w:sz w:val="20"/>
            <w:szCs w:val="20"/>
            <w:lang w:val="es-ES_tradnl"/>
          </w:rPr>
          <w:t>/</w:t>
        </w:r>
        <w:r>
          <w:rPr>
            <w:sz w:val="20"/>
            <w:szCs w:val="20"/>
            <w:lang w:val="es-ES_tradnl"/>
          </w:rPr>
          <w:t>5</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80D6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11A6AB5"/>
    <w:multiLevelType w:val="multilevel"/>
    <w:tmpl w:val="31A0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1"/>
  </w:num>
  <w:num w:numId="12" w16cid:durableId="903829584">
    <w:abstractNumId w:val="13"/>
  </w:num>
  <w:num w:numId="13" w16cid:durableId="808594601">
    <w:abstractNumId w:val="10"/>
  </w:num>
  <w:num w:numId="14" w16cid:durableId="1490313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869"/>
    <w:rsid w:val="00026D7C"/>
    <w:rsid w:val="000310B6"/>
    <w:rsid w:val="0006468A"/>
    <w:rsid w:val="00090574"/>
    <w:rsid w:val="000C1C0E"/>
    <w:rsid w:val="000C548A"/>
    <w:rsid w:val="000D38E5"/>
    <w:rsid w:val="000E60AB"/>
    <w:rsid w:val="00105EF4"/>
    <w:rsid w:val="00145668"/>
    <w:rsid w:val="00153471"/>
    <w:rsid w:val="0016142F"/>
    <w:rsid w:val="0019128D"/>
    <w:rsid w:val="00191447"/>
    <w:rsid w:val="001C0169"/>
    <w:rsid w:val="001D1D50"/>
    <w:rsid w:val="001D6745"/>
    <w:rsid w:val="001E1867"/>
    <w:rsid w:val="001E446E"/>
    <w:rsid w:val="001F1740"/>
    <w:rsid w:val="001F3481"/>
    <w:rsid w:val="001F6FA1"/>
    <w:rsid w:val="0021016E"/>
    <w:rsid w:val="002154EE"/>
    <w:rsid w:val="002276D2"/>
    <w:rsid w:val="0023283D"/>
    <w:rsid w:val="00236C3F"/>
    <w:rsid w:val="00250270"/>
    <w:rsid w:val="00260869"/>
    <w:rsid w:val="0026373E"/>
    <w:rsid w:val="00271C43"/>
    <w:rsid w:val="0027287E"/>
    <w:rsid w:val="00276C1B"/>
    <w:rsid w:val="00290728"/>
    <w:rsid w:val="002978F4"/>
    <w:rsid w:val="002A3824"/>
    <w:rsid w:val="002B028D"/>
    <w:rsid w:val="002D695E"/>
    <w:rsid w:val="002E1A1A"/>
    <w:rsid w:val="002E6541"/>
    <w:rsid w:val="002E7665"/>
    <w:rsid w:val="00317741"/>
    <w:rsid w:val="00324868"/>
    <w:rsid w:val="00334924"/>
    <w:rsid w:val="003409BC"/>
    <w:rsid w:val="00352462"/>
    <w:rsid w:val="00357185"/>
    <w:rsid w:val="00361EF0"/>
    <w:rsid w:val="00365BF8"/>
    <w:rsid w:val="00383829"/>
    <w:rsid w:val="003971E3"/>
    <w:rsid w:val="003C4402"/>
    <w:rsid w:val="003D2711"/>
    <w:rsid w:val="003E3971"/>
    <w:rsid w:val="003F4B29"/>
    <w:rsid w:val="00402781"/>
    <w:rsid w:val="00410DCF"/>
    <w:rsid w:val="004200BD"/>
    <w:rsid w:val="0042686F"/>
    <w:rsid w:val="004317D8"/>
    <w:rsid w:val="00434183"/>
    <w:rsid w:val="00441365"/>
    <w:rsid w:val="00443869"/>
    <w:rsid w:val="004444CF"/>
    <w:rsid w:val="00447F32"/>
    <w:rsid w:val="00457D22"/>
    <w:rsid w:val="004612EC"/>
    <w:rsid w:val="004A0B7B"/>
    <w:rsid w:val="004E11DC"/>
    <w:rsid w:val="004F0F62"/>
    <w:rsid w:val="004F3C48"/>
    <w:rsid w:val="004F3D8B"/>
    <w:rsid w:val="00506E94"/>
    <w:rsid w:val="00525DDD"/>
    <w:rsid w:val="00525F67"/>
    <w:rsid w:val="00526643"/>
    <w:rsid w:val="005409AC"/>
    <w:rsid w:val="00541567"/>
    <w:rsid w:val="00544D2A"/>
    <w:rsid w:val="00553261"/>
    <w:rsid w:val="0055516A"/>
    <w:rsid w:val="00560A07"/>
    <w:rsid w:val="0058491B"/>
    <w:rsid w:val="00585EDC"/>
    <w:rsid w:val="005874F2"/>
    <w:rsid w:val="00592EA5"/>
    <w:rsid w:val="005A3170"/>
    <w:rsid w:val="005B2C89"/>
    <w:rsid w:val="005C0C76"/>
    <w:rsid w:val="005D610E"/>
    <w:rsid w:val="005D63D6"/>
    <w:rsid w:val="005E1E6D"/>
    <w:rsid w:val="006128FC"/>
    <w:rsid w:val="006332A2"/>
    <w:rsid w:val="00677396"/>
    <w:rsid w:val="0069200F"/>
    <w:rsid w:val="006A33D4"/>
    <w:rsid w:val="006A5FEC"/>
    <w:rsid w:val="006A65CB"/>
    <w:rsid w:val="006B266A"/>
    <w:rsid w:val="006C2073"/>
    <w:rsid w:val="006C3242"/>
    <w:rsid w:val="006C7CC0"/>
    <w:rsid w:val="006E4285"/>
    <w:rsid w:val="006F63F7"/>
    <w:rsid w:val="007025C7"/>
    <w:rsid w:val="00706D7A"/>
    <w:rsid w:val="00722F0D"/>
    <w:rsid w:val="00737BEC"/>
    <w:rsid w:val="0074420E"/>
    <w:rsid w:val="0074742E"/>
    <w:rsid w:val="00747A70"/>
    <w:rsid w:val="00762C8F"/>
    <w:rsid w:val="00783A69"/>
    <w:rsid w:val="00783E26"/>
    <w:rsid w:val="007A1D77"/>
    <w:rsid w:val="007B4FA0"/>
    <w:rsid w:val="007C3BC7"/>
    <w:rsid w:val="007C3BCD"/>
    <w:rsid w:val="007D345C"/>
    <w:rsid w:val="007D4ACF"/>
    <w:rsid w:val="007F0787"/>
    <w:rsid w:val="00810B7B"/>
    <w:rsid w:val="0082358A"/>
    <w:rsid w:val="008235CD"/>
    <w:rsid w:val="00823F7C"/>
    <w:rsid w:val="008247DE"/>
    <w:rsid w:val="00840B10"/>
    <w:rsid w:val="00846406"/>
    <w:rsid w:val="008513CB"/>
    <w:rsid w:val="00855F97"/>
    <w:rsid w:val="008562F3"/>
    <w:rsid w:val="00857CBC"/>
    <w:rsid w:val="00874F08"/>
    <w:rsid w:val="00882A17"/>
    <w:rsid w:val="008A7F84"/>
    <w:rsid w:val="008D7BD9"/>
    <w:rsid w:val="008F1A22"/>
    <w:rsid w:val="0091702E"/>
    <w:rsid w:val="00923B0C"/>
    <w:rsid w:val="00932AC3"/>
    <w:rsid w:val="0094021C"/>
    <w:rsid w:val="0094065A"/>
    <w:rsid w:val="00952F86"/>
    <w:rsid w:val="00957084"/>
    <w:rsid w:val="00977BDA"/>
    <w:rsid w:val="00982B28"/>
    <w:rsid w:val="00983DA5"/>
    <w:rsid w:val="009A65BC"/>
    <w:rsid w:val="009A7F25"/>
    <w:rsid w:val="009D313F"/>
    <w:rsid w:val="00A15396"/>
    <w:rsid w:val="00A24359"/>
    <w:rsid w:val="00A47A5A"/>
    <w:rsid w:val="00A6683B"/>
    <w:rsid w:val="00A71335"/>
    <w:rsid w:val="00A77DC4"/>
    <w:rsid w:val="00A8242D"/>
    <w:rsid w:val="00A907EA"/>
    <w:rsid w:val="00A90BD8"/>
    <w:rsid w:val="00A97F94"/>
    <w:rsid w:val="00AA7EA2"/>
    <w:rsid w:val="00AD1E92"/>
    <w:rsid w:val="00AD6EBF"/>
    <w:rsid w:val="00B03099"/>
    <w:rsid w:val="00B05BC8"/>
    <w:rsid w:val="00B20989"/>
    <w:rsid w:val="00B30132"/>
    <w:rsid w:val="00B319BC"/>
    <w:rsid w:val="00B64B47"/>
    <w:rsid w:val="00B72D12"/>
    <w:rsid w:val="00B93B7B"/>
    <w:rsid w:val="00BB1F54"/>
    <w:rsid w:val="00BC4B48"/>
    <w:rsid w:val="00BF296B"/>
    <w:rsid w:val="00BF7EF6"/>
    <w:rsid w:val="00C002DE"/>
    <w:rsid w:val="00C26BC4"/>
    <w:rsid w:val="00C53BF8"/>
    <w:rsid w:val="00C56B5F"/>
    <w:rsid w:val="00C66157"/>
    <w:rsid w:val="00C674FE"/>
    <w:rsid w:val="00C67501"/>
    <w:rsid w:val="00C75633"/>
    <w:rsid w:val="00C85CB5"/>
    <w:rsid w:val="00C905B4"/>
    <w:rsid w:val="00CA08BA"/>
    <w:rsid w:val="00CA160C"/>
    <w:rsid w:val="00CA6858"/>
    <w:rsid w:val="00CE2EE1"/>
    <w:rsid w:val="00CE3349"/>
    <w:rsid w:val="00CE36E5"/>
    <w:rsid w:val="00CF27F5"/>
    <w:rsid w:val="00CF3FFD"/>
    <w:rsid w:val="00CF4342"/>
    <w:rsid w:val="00D10CCF"/>
    <w:rsid w:val="00D118AD"/>
    <w:rsid w:val="00D16E05"/>
    <w:rsid w:val="00D56711"/>
    <w:rsid w:val="00D77D0F"/>
    <w:rsid w:val="00D8311F"/>
    <w:rsid w:val="00D84440"/>
    <w:rsid w:val="00DA1CF0"/>
    <w:rsid w:val="00DA204A"/>
    <w:rsid w:val="00DC1E02"/>
    <w:rsid w:val="00DC24B4"/>
    <w:rsid w:val="00DC5FB0"/>
    <w:rsid w:val="00DD3DCD"/>
    <w:rsid w:val="00DF16DC"/>
    <w:rsid w:val="00E04572"/>
    <w:rsid w:val="00E1485D"/>
    <w:rsid w:val="00E33AB2"/>
    <w:rsid w:val="00E43176"/>
    <w:rsid w:val="00E45211"/>
    <w:rsid w:val="00E473C5"/>
    <w:rsid w:val="00E47905"/>
    <w:rsid w:val="00E76AA3"/>
    <w:rsid w:val="00E92863"/>
    <w:rsid w:val="00EB796D"/>
    <w:rsid w:val="00EE5CF2"/>
    <w:rsid w:val="00F058DC"/>
    <w:rsid w:val="00F240F4"/>
    <w:rsid w:val="00F24FC4"/>
    <w:rsid w:val="00F2676C"/>
    <w:rsid w:val="00F43D01"/>
    <w:rsid w:val="00F63D4E"/>
    <w:rsid w:val="00F77022"/>
    <w:rsid w:val="00F84366"/>
    <w:rsid w:val="00F85089"/>
    <w:rsid w:val="00F974C5"/>
    <w:rsid w:val="00FA6F46"/>
    <w:rsid w:val="00FC20BC"/>
    <w:rsid w:val="00FE1AFB"/>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00C3F84"/>
  <w15:chartTrackingRefBased/>
  <w15:docId w15:val="{FEA69A2C-BA61-4948-898B-17E2420E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autoRedefine/>
    <w:unhideWhenUsed/>
    <w:qFormat/>
    <w:rsid w:val="006332A2"/>
    <w:pPr>
      <w:tabs>
        <w:tab w:val="clear" w:pos="794"/>
        <w:tab w:val="left" w:pos="425"/>
      </w:tabs>
      <w:spacing w:before="0" w:line="168" w:lineRule="auto"/>
      <w:textDirection w:val="tbRlV"/>
    </w:pPr>
    <w:rPr>
      <w:sz w:val="18"/>
      <w:szCs w:val="18"/>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qFormat/>
    <w:rsid w:val="006332A2"/>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超链接1,超?级链?,Style?,S,하이퍼링크21,ECC Hyperlink,超??级链Ú,fL????,fL?级,超??级链,超?级链ïÈ,õ±?级链,õ±链ïÈ1,õ±???,超?级链Ú,’´?级链,’´????,’´??级链Ú,’´??级"/>
    <w:basedOn w:val="DefaultParagraphFont"/>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link w:val="ListParagraphChar"/>
    <w:uiPriority w:val="34"/>
    <w:qFormat/>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customStyle="1" w:styleId="ListParagraphChar">
    <w:name w:val="List Paragraph Char"/>
    <w:link w:val="ListParagraph"/>
    <w:uiPriority w:val="34"/>
    <w:rsid w:val="00F240F4"/>
    <w:rPr>
      <w:rFonts w:ascii="Dubai" w:hAnsi="Dubai" w:cs="Dubai"/>
    </w:rPr>
  </w:style>
  <w:style w:type="character" w:styleId="UnresolvedMention">
    <w:name w:val="Unresolved Mention"/>
    <w:basedOn w:val="DefaultParagraphFont"/>
    <w:uiPriority w:val="99"/>
    <w:semiHidden/>
    <w:unhideWhenUsed/>
    <w:rsid w:val="00C905B4"/>
    <w:rPr>
      <w:color w:val="605E5C"/>
      <w:shd w:val="clear" w:color="auto" w:fill="E1DFDD"/>
    </w:rPr>
  </w:style>
  <w:style w:type="character" w:styleId="FollowedHyperlink">
    <w:name w:val="FollowedHyperlink"/>
    <w:basedOn w:val="DefaultParagraphFont"/>
    <w:uiPriority w:val="99"/>
    <w:semiHidden/>
    <w:unhideWhenUsed/>
    <w:rsid w:val="00C905B4"/>
    <w:rPr>
      <w:color w:val="954F72" w:themeColor="followedHyperlink"/>
      <w:u w:val="single"/>
    </w:rPr>
  </w:style>
  <w:style w:type="paragraph" w:customStyle="1" w:styleId="Figure">
    <w:name w:val="Figure"/>
    <w:basedOn w:val="Normal"/>
    <w:qFormat/>
    <w:rsid w:val="00402781"/>
    <w:pPr>
      <w:tabs>
        <w:tab w:val="clear" w:pos="794"/>
        <w:tab w:val="left" w:pos="1842"/>
      </w:tabs>
      <w:spacing w:before="100" w:beforeAutospacing="1" w:after="100" w:afterAutospacing="1" w:line="240" w:lineRule="auto"/>
    </w:pPr>
    <w:rPr>
      <w:rFonts w:eastAsia="Malgun Gothic"/>
      <w:noProof/>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80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D/Study-Groups/2026-2029/Pages/reference/SG1/questions/Question-3-1.aspx" TargetMode="External"/><Relationship Id="rId18" Type="http://schemas.openxmlformats.org/officeDocument/2006/relationships/hyperlink" Target="https://www.itu.int/en/ITU-D/Study-Groups/2022-2025/Documents/Guidelines%20agreed%20at%20TDAG-25%20for%20Composing%20Rapporteurs%20Teams-for%20posting.pdf" TargetMode="External"/><Relationship Id="rId26" Type="http://schemas.openxmlformats.org/officeDocument/2006/relationships/hyperlink" Target="https://www.itu.int/en/ITU-D/Study-Groups/2026-2029/Pages/reference/SG1/questions/Question-5-1.aspx" TargetMode="External"/><Relationship Id="rId39" Type="http://schemas.openxmlformats.org/officeDocument/2006/relationships/header" Target="header2.xml"/><Relationship Id="rId21" Type="http://schemas.openxmlformats.org/officeDocument/2006/relationships/hyperlink" Target="https://www.itu.int/dms_pub/itu-d/md/22/tdag32/c/D22-TDAG32-C-0006!N6B!PDF-E.pdf" TargetMode="External"/><Relationship Id="rId34" Type="http://schemas.openxmlformats.org/officeDocument/2006/relationships/hyperlink" Target="https://www.itu.int/oth/D0735000001/en" TargetMode="External"/><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md/D26-CA-CIR-0001/en" TargetMode="External"/><Relationship Id="rId20" Type="http://schemas.openxmlformats.org/officeDocument/2006/relationships/hyperlink" Target="https://www.itu.int/en/ITU-D/Study-Groups/2026-2029/Pages/candidates.aspx" TargetMode="External"/><Relationship Id="rId29" Type="http://schemas.openxmlformats.org/officeDocument/2006/relationships/hyperlink" Target="https://www.itu.int/hub/membership/user-account-ti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D/Study-Groups/2026-2029/Pages/reference/SG1/questions/Question-1-1.aspx" TargetMode="External"/><Relationship Id="rId24" Type="http://schemas.openxmlformats.org/officeDocument/2006/relationships/hyperlink" Target="https://www.itu.int/md/D22-TDAG32-C-0062/en" TargetMode="External"/><Relationship Id="rId32" Type="http://schemas.openxmlformats.org/officeDocument/2006/relationships/hyperlink" Target="mailto:devsg@itu.int" TargetMode="External"/><Relationship Id="rId37" Type="http://schemas.openxmlformats.org/officeDocument/2006/relationships/image" Target="media/image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en/ITU-D/Study-Groups/2026-2029/Pages/reference/SG1/questions/Question-5-1.aspx" TargetMode="External"/><Relationship Id="rId23" Type="http://schemas.openxmlformats.org/officeDocument/2006/relationships/hyperlink" Target="https://www.itu.int/dms_pub/itu-d/md/22/tdag32/c/D22-TDAG32-C-0006!N6B!PDF-E.pdf" TargetMode="External"/><Relationship Id="rId28" Type="http://schemas.openxmlformats.org/officeDocument/2006/relationships/hyperlink" Target="https://www.itu.int/en/ITU-D/Study-Groups/2026-2029/Pages/reference/SG1/questions/Question-5-1.aspx" TargetMode="External"/><Relationship Id="rId36" Type="http://schemas.openxmlformats.org/officeDocument/2006/relationships/footer" Target="footer1.xml"/><Relationship Id="rId10" Type="http://schemas.openxmlformats.org/officeDocument/2006/relationships/hyperlink" Target="mailto:teddy.woodhouse@ofcom.org.uk" TargetMode="External"/><Relationship Id="rId19" Type="http://schemas.openxmlformats.org/officeDocument/2006/relationships/hyperlink" Target="https://www.itu.int/en/ITU-D/Study-Groups/2026-2029/Pages/candidates.aspx" TargetMode="External"/><Relationship Id="rId31" Type="http://schemas.openxmlformats.org/officeDocument/2006/relationships/hyperlink" Target="mailto:devsg@itu.int" TargetMode="External"/><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mehmetalper.tekin@btk.gov.tr" TargetMode="External"/><Relationship Id="rId14" Type="http://schemas.openxmlformats.org/officeDocument/2006/relationships/hyperlink" Target="https://www.itu.int/en/ITU-D/Study-Groups/2026-2029/Pages/reference/SG1/questions/Question-4-1.aspx" TargetMode="External"/><Relationship Id="rId22" Type="http://schemas.openxmlformats.org/officeDocument/2006/relationships/hyperlink" Target="https://www.itu.int/md/D22-TDAG32-C-0062/en" TargetMode="External"/><Relationship Id="rId27" Type="http://schemas.openxmlformats.org/officeDocument/2006/relationships/hyperlink" Target="https://www.itu.int/en/ITU-D/Study-Groups/2026-2029/Pages/reference/Collaborative-Tools.aspx" TargetMode="External"/><Relationship Id="rId30" Type="http://schemas.openxmlformats.org/officeDocument/2006/relationships/hyperlink" Target="https://www.itu.int/hub/membership/user-account-ties/" TargetMode="External"/><Relationship Id="rId35" Type="http://schemas.openxmlformats.org/officeDocument/2006/relationships/header" Target="header1.xml"/><Relationship Id="rId43" Type="http://schemas.openxmlformats.org/officeDocument/2006/relationships/customXml" Target="../customXml/item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itu.int/en/ITU-D/Study-Groups/2026-2029/Pages/reference/SG1/questions/Question-2-1.aspx" TargetMode="External"/><Relationship Id="rId17" Type="http://schemas.openxmlformats.org/officeDocument/2006/relationships/hyperlink" Target="https://www.itu.int/net4/ITU-D/CDS/sg/blkmeetings.asp?lg=1&amp;stg=&amp;sp=2026&amp;blk=29194" TargetMode="External"/><Relationship Id="rId25" Type="http://schemas.openxmlformats.org/officeDocument/2006/relationships/hyperlink" Target="https://www.itu.int/en/ITU-D/Study-Groups/2026-2029/Pages/reference/Collaborative-Tools.aspx" TargetMode="External"/><Relationship Id="rId33" Type="http://schemas.openxmlformats.org/officeDocument/2006/relationships/hyperlink" Target="https://www.itu.int/oth/D0735000001/en" TargetMode="External"/><Relationship Id="rId38"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hyperlink" Target="mailto:hirayama@anatel.gov.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ranslate.itu.int/documents" TargetMode="External"/><Relationship Id="rId2" Type="http://schemas.openxmlformats.org/officeDocument/2006/relationships/hyperlink" Target="https://www.itu.int/en/ITU-D/Study-Groups/2022-2025/Pages/TIES_Protected/contributions_dashboard_2022_2025.aspx" TargetMode="External"/><Relationship Id="rId1" Type="http://schemas.openxmlformats.org/officeDocument/2006/relationships/hyperlink" Target="https://www.itu.int/en/ITU-D/Study-Groups/2022-2025/Pages/TIES_Protected/contributions_dashboard_2022_2025.aspx" TargetMode="External"/><Relationship Id="rId4" Type="http://schemas.openxmlformats.org/officeDocument/2006/relationships/hyperlink" Target="https://translate.itu.int/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D39E0B80-6CAB-4314-9165-D7AD62894ADE}"/>
</file>

<file path=customXml/itemProps3.xml><?xml version="1.0" encoding="utf-8"?>
<ds:datastoreItem xmlns:ds="http://schemas.openxmlformats.org/officeDocument/2006/customXml" ds:itemID="{133FA3FF-C957-42F1-AA2F-DD528DE67A04}"/>
</file>

<file path=customXml/itemProps4.xml><?xml version="1.0" encoding="utf-8"?>
<ds:datastoreItem xmlns:ds="http://schemas.openxmlformats.org/officeDocument/2006/customXml" ds:itemID="{608311D3-39D1-4CF1-B9DC-9638E0773F0D}"/>
</file>

<file path=docProps/app.xml><?xml version="1.0" encoding="utf-8"?>
<Properties xmlns="http://schemas.openxmlformats.org/officeDocument/2006/extended-properties" xmlns:vt="http://schemas.openxmlformats.org/officeDocument/2006/docPropsVTypes">
  <Template>PA_TDAG26.dotx</Template>
  <TotalTime>72</TotalTime>
  <Pages>8</Pages>
  <Words>2758</Words>
  <Characters>15721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Arabic_I.R</cp:lastModifiedBy>
  <cp:revision>12</cp:revision>
  <dcterms:created xsi:type="dcterms:W3CDTF">2026-03-26T13:46:00Z</dcterms:created>
  <dcterms:modified xsi:type="dcterms:W3CDTF">2026-03-26T15:01:00Z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