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5A38884" w14:textId="77777777" w:rsidTr="005C3173">
        <w:trPr>
          <w:cantSplit/>
          <w:trHeight w:val="1134"/>
        </w:trPr>
        <w:tc>
          <w:tcPr>
            <w:tcW w:w="6663" w:type="dxa"/>
          </w:tcPr>
          <w:p w14:paraId="3A1D1514" w14:textId="77777777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08BE674D" w14:textId="7777777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0B8DAFF2" w14:textId="77777777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34753A7C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DB9133B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023B220" w14:textId="77777777" w:rsidR="00D83BF5" w:rsidRPr="00403C69" w:rsidRDefault="00D83BF5" w:rsidP="00B06557">
            <w:pPr>
              <w:spacing w:before="0"/>
            </w:pPr>
          </w:p>
        </w:tc>
      </w:tr>
      <w:tr w:rsidR="00F94009" w:rsidRPr="00403C69" w14:paraId="7A2A0826" w14:textId="77777777" w:rsidTr="005C3173">
        <w:trPr>
          <w:cantSplit/>
          <w:trHeight w:val="23"/>
        </w:trPr>
        <w:tc>
          <w:tcPr>
            <w:tcW w:w="6663" w:type="dxa"/>
          </w:tcPr>
          <w:p w14:paraId="10517E1E" w14:textId="77777777" w:rsidR="00F94009" w:rsidRPr="00403C69" w:rsidRDefault="00F94009" w:rsidP="00F9400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215FFAED" w14:textId="1431122E" w:rsidR="00F94009" w:rsidRPr="00F42215" w:rsidRDefault="00F94009" w:rsidP="00F9400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010EDA">
              <w:rPr>
                <w:rFonts w:cstheme="minorHAnsi"/>
                <w:b/>
                <w:lang w:val="es-ES"/>
              </w:rPr>
              <w:t>Documento</w:t>
            </w:r>
            <w:bookmarkStart w:id="4" w:name="DocRef1"/>
            <w:bookmarkEnd w:id="4"/>
            <w:r w:rsidRPr="00010EDA">
              <w:rPr>
                <w:rFonts w:cstheme="minorHAnsi"/>
                <w:b/>
                <w:lang w:val="es-ES"/>
              </w:rPr>
              <w:t xml:space="preserve"> GADT-26/</w:t>
            </w:r>
            <w:bookmarkStart w:id="5" w:name="DocNo1"/>
            <w:bookmarkEnd w:id="5"/>
            <w:r w:rsidRPr="00010EDA">
              <w:rPr>
                <w:rFonts w:cstheme="minorHAnsi"/>
                <w:b/>
                <w:lang w:val="es-ES"/>
              </w:rPr>
              <w:t>4-</w:t>
            </w:r>
            <w:r>
              <w:rPr>
                <w:rFonts w:cstheme="minorHAnsi"/>
                <w:b/>
                <w:lang w:val="es-ES"/>
              </w:rPr>
              <w:t>S</w:t>
            </w:r>
          </w:p>
        </w:tc>
      </w:tr>
      <w:tr w:rsidR="00F94009" w:rsidRPr="00403C69" w14:paraId="19FC2F7E" w14:textId="77777777" w:rsidTr="005C3173">
        <w:trPr>
          <w:cantSplit/>
          <w:trHeight w:val="23"/>
        </w:trPr>
        <w:tc>
          <w:tcPr>
            <w:tcW w:w="6663" w:type="dxa"/>
          </w:tcPr>
          <w:p w14:paraId="39878088" w14:textId="77777777" w:rsidR="00F94009" w:rsidRPr="00403C69" w:rsidRDefault="00F94009" w:rsidP="00F94009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1E5ABC72" w14:textId="4C928845" w:rsidR="00F94009" w:rsidRPr="00F42215" w:rsidRDefault="00F94009" w:rsidP="00F9400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010EDA">
              <w:rPr>
                <w:rFonts w:cstheme="minorHAnsi"/>
                <w:b/>
                <w:bCs/>
                <w:szCs w:val="28"/>
                <w:lang w:val="es-ES"/>
              </w:rPr>
              <w:t>3 de marzo de 2026</w:t>
            </w:r>
          </w:p>
        </w:tc>
      </w:tr>
      <w:bookmarkEnd w:id="6"/>
      <w:bookmarkEnd w:id="7"/>
      <w:tr w:rsidR="00F94009" w:rsidRPr="00403C69" w14:paraId="432AFC09" w14:textId="77777777" w:rsidTr="005C3173">
        <w:trPr>
          <w:cantSplit/>
          <w:trHeight w:val="23"/>
        </w:trPr>
        <w:tc>
          <w:tcPr>
            <w:tcW w:w="6663" w:type="dxa"/>
          </w:tcPr>
          <w:p w14:paraId="7AB6B296" w14:textId="77777777" w:rsidR="00F94009" w:rsidRPr="00403C69" w:rsidRDefault="00F94009" w:rsidP="00F94009">
            <w:pPr>
              <w:spacing w:before="0"/>
            </w:pPr>
          </w:p>
        </w:tc>
        <w:tc>
          <w:tcPr>
            <w:tcW w:w="3368" w:type="dxa"/>
          </w:tcPr>
          <w:p w14:paraId="4DEE1F13" w14:textId="2C2D6B8E" w:rsidR="00F94009" w:rsidRPr="00F42215" w:rsidRDefault="00F94009" w:rsidP="00F9400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010EDA">
              <w:rPr>
                <w:rFonts w:cstheme="minorHAnsi"/>
                <w:b/>
                <w:bCs/>
                <w:szCs w:val="24"/>
                <w:lang w:val="es-ES"/>
              </w:rPr>
              <w:t>Original: inglés</w:t>
            </w:r>
          </w:p>
        </w:tc>
      </w:tr>
      <w:tr w:rsidR="00D83BF5" w:rsidRPr="00181E6A" w14:paraId="07D983DF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6313C0D5" w14:textId="1726F17F" w:rsidR="00D83BF5" w:rsidRPr="00F42215" w:rsidRDefault="00F94009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010EDA">
              <w:rPr>
                <w:rFonts w:cstheme="minorHAnsi"/>
                <w:lang w:val="es-ES"/>
              </w:rPr>
              <w:t>Director de la Oficina de Desarrollo de las Telecomunicaciones</w:t>
            </w:r>
          </w:p>
        </w:tc>
      </w:tr>
      <w:tr w:rsidR="00D83BF5" w:rsidRPr="00181E6A" w14:paraId="52CD0BCF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3EA4C958" w14:textId="1FE6B6A6" w:rsidR="00D83BF5" w:rsidRPr="00F42215" w:rsidRDefault="00F94009" w:rsidP="00B06557">
            <w:pPr>
              <w:pStyle w:val="Title1"/>
              <w:spacing w:before="120" w:after="120"/>
              <w:rPr>
                <w:lang w:val="es-ES"/>
              </w:rPr>
            </w:pPr>
            <w:r>
              <w:rPr>
                <w:rFonts w:cstheme="minorHAnsi"/>
                <w:caps w:val="0"/>
                <w:szCs w:val="28"/>
                <w:lang w:val="es-ES"/>
              </w:rPr>
              <w:t>Examen de</w:t>
            </w:r>
            <w:r w:rsidRPr="00010EDA">
              <w:rPr>
                <w:rFonts w:cstheme="minorHAnsi"/>
                <w:caps w:val="0"/>
                <w:szCs w:val="28"/>
                <w:lang w:val="es-ES"/>
              </w:rPr>
              <w:t xml:space="preserve"> las repercusiones financieras de las </w:t>
            </w:r>
            <w:r>
              <w:rPr>
                <w:rFonts w:cstheme="minorHAnsi"/>
                <w:caps w:val="0"/>
                <w:szCs w:val="28"/>
                <w:lang w:val="es-ES"/>
              </w:rPr>
              <w:t>R</w:t>
            </w:r>
            <w:r w:rsidRPr="00010EDA">
              <w:rPr>
                <w:rFonts w:cstheme="minorHAnsi"/>
                <w:caps w:val="0"/>
                <w:szCs w:val="28"/>
                <w:lang w:val="es-ES"/>
              </w:rPr>
              <w:t xml:space="preserve">esoluciones aprobadas </w:t>
            </w:r>
            <w:r>
              <w:rPr>
                <w:rFonts w:cstheme="minorHAnsi"/>
                <w:caps w:val="0"/>
                <w:szCs w:val="28"/>
                <w:lang w:val="es-ES"/>
              </w:rPr>
              <w:br/>
              <w:t>en</w:t>
            </w:r>
            <w:r w:rsidRPr="00010EDA">
              <w:rPr>
                <w:rFonts w:cstheme="minorHAnsi"/>
                <w:caps w:val="0"/>
                <w:szCs w:val="28"/>
                <w:lang w:val="es-ES"/>
              </w:rPr>
              <w:t xml:space="preserve"> la CMDT-25</w:t>
            </w:r>
          </w:p>
        </w:tc>
      </w:tr>
      <w:tr w:rsidR="00D83BF5" w:rsidRPr="00181E6A" w14:paraId="193474C7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1F4AF20C" w14:textId="77777777" w:rsidR="00D83BF5" w:rsidRPr="00F94009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181E6A" w14:paraId="061CEEA1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589" w14:textId="77777777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26AF3EF6" w14:textId="77777777" w:rsidR="00F94009" w:rsidRPr="00010EDA" w:rsidRDefault="00F94009" w:rsidP="00F94009">
            <w:pPr>
              <w:spacing w:after="120"/>
              <w:rPr>
                <w:rFonts w:cstheme="minorHAnsi"/>
                <w:lang w:val="es-ES"/>
              </w:rPr>
            </w:pPr>
            <w:r w:rsidRPr="00010EDA">
              <w:rPr>
                <w:rFonts w:cstheme="minorHAnsi"/>
                <w:lang w:val="es-ES"/>
              </w:rPr>
              <w:t xml:space="preserve">La Conferencia Mundial de Desarrollo de las Telecomunicaciones (CMDT-25) de la UIT de 2025 se celebró en Bakú (Azerbaiyán) del 17 al 28 de noviembre de 2025. Como </w:t>
            </w:r>
            <w:r>
              <w:rPr>
                <w:rFonts w:cstheme="minorHAnsi"/>
                <w:lang w:val="es-ES"/>
              </w:rPr>
              <w:t>evento señalado de</w:t>
            </w:r>
            <w:r w:rsidRPr="00010EDA">
              <w:rPr>
                <w:rFonts w:cstheme="minorHAnsi"/>
                <w:lang w:val="es-ES"/>
              </w:rPr>
              <w:t xml:space="preserve"> la UIT, la CMDT-25 arrojó varios resultados </w:t>
            </w:r>
            <w:r>
              <w:rPr>
                <w:rFonts w:cstheme="minorHAnsi"/>
                <w:lang w:val="es-ES"/>
              </w:rPr>
              <w:t>destacados</w:t>
            </w:r>
            <w:r w:rsidRPr="00010EDA">
              <w:rPr>
                <w:rFonts w:cstheme="minorHAnsi"/>
                <w:lang w:val="es-ES"/>
              </w:rPr>
              <w:t xml:space="preserve">, entre ellos la adopción del Plan de Acción de Bakú (PAB) y la Declaración de Bakú. La </w:t>
            </w:r>
            <w:r>
              <w:rPr>
                <w:rFonts w:cstheme="minorHAnsi"/>
                <w:lang w:val="es-ES"/>
              </w:rPr>
              <w:t>C</w:t>
            </w:r>
            <w:r w:rsidRPr="00010EDA">
              <w:rPr>
                <w:rFonts w:cstheme="minorHAnsi"/>
                <w:lang w:val="es-ES"/>
              </w:rPr>
              <w:t xml:space="preserve">onferencia llevó a cabo una revisión exhaustiva de sus </w:t>
            </w:r>
            <w:r>
              <w:rPr>
                <w:rFonts w:cstheme="minorHAnsi"/>
                <w:lang w:val="es-ES"/>
              </w:rPr>
              <w:t>R</w:t>
            </w:r>
            <w:r w:rsidRPr="00010EDA">
              <w:rPr>
                <w:rFonts w:cstheme="minorHAnsi"/>
                <w:lang w:val="es-ES"/>
              </w:rPr>
              <w:t xml:space="preserve">esoluciones, lo que dio lugar a la modificación de 44 </w:t>
            </w:r>
            <w:r>
              <w:rPr>
                <w:rFonts w:cstheme="minorHAnsi"/>
                <w:lang w:val="es-ES"/>
              </w:rPr>
              <w:t>R</w:t>
            </w:r>
            <w:r w:rsidRPr="00010EDA">
              <w:rPr>
                <w:rFonts w:cstheme="minorHAnsi"/>
                <w:lang w:val="es-ES"/>
              </w:rPr>
              <w:t xml:space="preserve">esoluciones y a la adopción de </w:t>
            </w:r>
            <w:r>
              <w:rPr>
                <w:rFonts w:cstheme="minorHAnsi"/>
                <w:lang w:val="es-ES"/>
              </w:rPr>
              <w:t>cuatro</w:t>
            </w:r>
            <w:r w:rsidRPr="00010EDA">
              <w:rPr>
                <w:rFonts w:cstheme="minorHAnsi"/>
                <w:lang w:val="es-ES"/>
              </w:rPr>
              <w:t xml:space="preserve"> nuevas.</w:t>
            </w:r>
          </w:p>
          <w:p w14:paraId="2C0F2B73" w14:textId="7836D8AF" w:rsidR="00F94009" w:rsidRPr="00010EDA" w:rsidRDefault="00F94009" w:rsidP="00F94009">
            <w:pPr>
              <w:spacing w:after="120"/>
              <w:rPr>
                <w:rFonts w:cstheme="minorHAnsi"/>
                <w:lang w:val="es-ES"/>
              </w:rPr>
            </w:pPr>
            <w:r w:rsidRPr="00010EDA">
              <w:rPr>
                <w:rFonts w:cstheme="minorHAnsi"/>
                <w:lang w:val="es-ES"/>
              </w:rPr>
              <w:t xml:space="preserve">El informe </w:t>
            </w:r>
            <w:r w:rsidRPr="007A2672">
              <w:rPr>
                <w:lang w:val="es-ES"/>
              </w:rPr>
              <w:t xml:space="preserve">de la </w:t>
            </w:r>
            <w:r w:rsidRPr="003A5BF1">
              <w:rPr>
                <w:rFonts w:cstheme="minorHAnsi"/>
                <w:lang w:val="es-ES"/>
              </w:rPr>
              <w:t xml:space="preserve">Comisión de Control de Presupuesto </w:t>
            </w:r>
            <w:r w:rsidRPr="00010EDA">
              <w:rPr>
                <w:rFonts w:cstheme="minorHAnsi"/>
                <w:lang w:val="es-ES"/>
              </w:rPr>
              <w:t xml:space="preserve">de la CMDT-25 (COM2) identificó las decisiones de la </w:t>
            </w:r>
            <w:r>
              <w:rPr>
                <w:rFonts w:cstheme="minorHAnsi"/>
                <w:lang w:val="es-ES"/>
              </w:rPr>
              <w:t>C</w:t>
            </w:r>
            <w:r w:rsidRPr="00010EDA">
              <w:rPr>
                <w:rFonts w:cstheme="minorHAnsi"/>
                <w:lang w:val="es-ES"/>
              </w:rPr>
              <w:t>onferencia</w:t>
            </w:r>
            <w:r>
              <w:rPr>
                <w:rFonts w:cstheme="minorHAnsi"/>
                <w:lang w:val="es-ES"/>
              </w:rPr>
              <w:t>, incluidas esferas</w:t>
            </w:r>
            <w:r w:rsidRPr="00010EDA">
              <w:rPr>
                <w:rFonts w:cstheme="minorHAnsi"/>
                <w:lang w:val="es-ES"/>
              </w:rPr>
              <w:t xml:space="preserve"> de trabajo </w:t>
            </w:r>
            <w:r>
              <w:rPr>
                <w:rFonts w:cstheme="minorHAnsi"/>
                <w:lang w:val="es-ES"/>
              </w:rPr>
              <w:t>suplementarias,</w:t>
            </w:r>
            <w:r w:rsidRPr="00010EDA">
              <w:rPr>
                <w:rFonts w:cstheme="minorHAnsi"/>
                <w:lang w:val="es-ES"/>
              </w:rPr>
              <w:t xml:space="preserve"> estudios técnicos y talleres que requerirán recursos financieros adicionales para su ejecución, </w:t>
            </w:r>
            <w:r>
              <w:rPr>
                <w:rFonts w:cstheme="minorHAnsi"/>
                <w:lang w:val="es-ES"/>
              </w:rPr>
              <w:t>y determinó</w:t>
            </w:r>
            <w:r w:rsidRPr="00010EDA">
              <w:rPr>
                <w:rFonts w:cstheme="minorHAnsi"/>
                <w:lang w:val="es-ES"/>
              </w:rPr>
              <w:t xml:space="preserve"> </w:t>
            </w:r>
            <w:r>
              <w:rPr>
                <w:rFonts w:cstheme="minorHAnsi"/>
                <w:lang w:val="es-ES"/>
              </w:rPr>
              <w:t xml:space="preserve">que serían necesarios </w:t>
            </w:r>
            <w:r w:rsidRPr="00010EDA">
              <w:rPr>
                <w:rFonts w:cstheme="minorHAnsi"/>
                <w:lang w:val="es-ES"/>
              </w:rPr>
              <w:t>4,2</w:t>
            </w:r>
            <w:r w:rsidR="00C9129C">
              <w:rPr>
                <w:rFonts w:cstheme="minorHAnsi"/>
                <w:lang w:val="es-ES"/>
              </w:rPr>
              <w:t> </w:t>
            </w:r>
            <w:r w:rsidRPr="00010EDA">
              <w:rPr>
                <w:rFonts w:cstheme="minorHAnsi"/>
                <w:lang w:val="es-ES"/>
              </w:rPr>
              <w:t>millones</w:t>
            </w:r>
            <w:r w:rsidR="00931011">
              <w:rPr>
                <w:rFonts w:cstheme="minorHAnsi"/>
                <w:lang w:val="es-ES"/>
              </w:rPr>
              <w:t> </w:t>
            </w:r>
            <w:r>
              <w:rPr>
                <w:rFonts w:cstheme="minorHAnsi"/>
                <w:lang w:val="es-ES"/>
              </w:rPr>
              <w:t>CHF durante</w:t>
            </w:r>
            <w:r w:rsidRPr="00010EDA">
              <w:rPr>
                <w:rFonts w:cstheme="minorHAnsi"/>
                <w:lang w:val="es-ES"/>
              </w:rPr>
              <w:t xml:space="preserve"> el per</w:t>
            </w:r>
            <w:r w:rsidR="00CA75EB">
              <w:rPr>
                <w:rFonts w:cstheme="minorHAnsi"/>
                <w:lang w:val="es-ES"/>
              </w:rPr>
              <w:t>i</w:t>
            </w:r>
            <w:r w:rsidRPr="00010EDA">
              <w:rPr>
                <w:rFonts w:cstheme="minorHAnsi"/>
                <w:lang w:val="es-ES"/>
              </w:rPr>
              <w:t xml:space="preserve">odo </w:t>
            </w:r>
            <w:r>
              <w:rPr>
                <w:rFonts w:cstheme="minorHAnsi"/>
                <w:lang w:val="es-ES"/>
              </w:rPr>
              <w:t>cuatrienal</w:t>
            </w:r>
            <w:r w:rsidRPr="00010EDA">
              <w:rPr>
                <w:rFonts w:cstheme="minorHAnsi"/>
                <w:lang w:val="es-ES"/>
              </w:rPr>
              <w:t xml:space="preserve"> para sufragar los gastos relacionados con las nuevas actividades. </w:t>
            </w:r>
          </w:p>
          <w:p w14:paraId="5AF107EF" w14:textId="4AAE28BC" w:rsidR="001E252D" w:rsidRPr="00F94009" w:rsidRDefault="00F94009" w:rsidP="00F94009">
            <w:pPr>
              <w:spacing w:after="120"/>
              <w:rPr>
                <w:rFonts w:eastAsia="SimSun" w:cstheme="minorBidi"/>
                <w:color w:val="000000" w:themeColor="text1"/>
                <w:spacing w:val="-2"/>
                <w:lang w:val="es-ES"/>
              </w:rPr>
            </w:pP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>E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n e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l presente documento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se establece el modo de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abordar el nuevo mandato de la CMDT-25 mediante la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implantación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de proyectos del UIT-D diseñados específicamente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a tenor de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las actividades solicitadas en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el marco de las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Resoluciones nuevas y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las 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revisadas de la CMDT.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A través del presente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enfoque de integración de las Resoluciones de la CMDT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en el marco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de proyectos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se fortalecerá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la gestión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orientada a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los resultados y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se </w:t>
            </w:r>
            <w:r w:rsidRPr="00010EDA" w:rsidDel="00546C23">
              <w:rPr>
                <w:rFonts w:eastAsia="SimSun" w:cstheme="minorBidi"/>
                <w:color w:val="000000" w:themeColor="text1"/>
                <w:lang w:val="es-ES"/>
              </w:rPr>
              <w:t xml:space="preserve">evitará la necesidad de asignar un 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>presupuesto adicional para hacer frente a las repercusiones financieras de la CMDT-25, siempre que se disponga de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los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fondos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necesarios 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para que la BDT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fomente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la movilización de recursos y de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asociados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financieros </w:t>
            </w:r>
            <w:r>
              <w:rPr>
                <w:rFonts w:eastAsia="SimSun" w:cstheme="minorBidi"/>
                <w:color w:val="000000" w:themeColor="text1"/>
                <w:spacing w:val="-2"/>
                <w:lang w:val="es-ES"/>
              </w:rPr>
              <w:t>interesados en</w:t>
            </w:r>
            <w:r w:rsidRPr="00010EDA" w:rsidDel="00546C23">
              <w:rPr>
                <w:rFonts w:eastAsia="SimSun" w:cstheme="minorBidi"/>
                <w:color w:val="000000" w:themeColor="text1"/>
                <w:spacing w:val="-2"/>
                <w:lang w:val="es-ES"/>
              </w:rPr>
              <w:t xml:space="preserve"> apoyar la labor de la UIT. </w:t>
            </w:r>
            <w:r w:rsidRPr="00010EDA">
              <w:rPr>
                <w:rFonts w:eastAsia="SimSun" w:cstheme="minorBidi"/>
                <w:color w:val="000000" w:themeColor="text1"/>
                <w:spacing w:val="-2"/>
                <w:lang w:val="es-ES"/>
              </w:rPr>
              <w:t>El documento se basa en la experiencia adquirida en la aplicación de los resultados de conferencias anteriores.</w:t>
            </w:r>
          </w:p>
          <w:p w14:paraId="6BCA3A62" w14:textId="77777777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482EA448" w14:textId="6FA3B841" w:rsidR="005C33FB" w:rsidRDefault="00F94009" w:rsidP="00403C69">
            <w:pPr>
              <w:rPr>
                <w:lang w:val="es-ES"/>
              </w:rPr>
            </w:pPr>
            <w:r w:rsidRPr="00010EDA">
              <w:rPr>
                <w:rFonts w:cstheme="minorHAnsi"/>
                <w:lang w:val="es-ES"/>
              </w:rPr>
              <w:t xml:space="preserve">Se invita al GADT a </w:t>
            </w:r>
            <w:r>
              <w:rPr>
                <w:rFonts w:cstheme="minorHAnsi"/>
                <w:lang w:val="es-ES"/>
              </w:rPr>
              <w:t>que tome</w:t>
            </w:r>
            <w:r w:rsidRPr="00010EDA">
              <w:rPr>
                <w:rFonts w:cstheme="minorHAnsi"/>
                <w:lang w:val="es-ES"/>
              </w:rPr>
              <w:t xml:space="preserve"> nota de</w:t>
            </w:r>
            <w:r>
              <w:rPr>
                <w:rFonts w:cstheme="minorHAnsi"/>
                <w:lang w:val="es-ES"/>
              </w:rPr>
              <w:t>l presente</w:t>
            </w:r>
            <w:r w:rsidRPr="00010EDA">
              <w:rPr>
                <w:rFonts w:cstheme="minorHAnsi"/>
                <w:lang w:val="es-ES"/>
              </w:rPr>
              <w:t xml:space="preserve"> documento y a </w:t>
            </w:r>
            <w:r>
              <w:rPr>
                <w:rFonts w:cstheme="minorHAnsi"/>
                <w:lang w:val="es-ES"/>
              </w:rPr>
              <w:t>que formule las orientaciones</w:t>
            </w:r>
            <w:r w:rsidRPr="00010EDA">
              <w:rPr>
                <w:rFonts w:cstheme="minorHAnsi"/>
                <w:lang w:val="es-ES"/>
              </w:rPr>
              <w:t xml:space="preserve"> que </w:t>
            </w:r>
            <w:r>
              <w:rPr>
                <w:rFonts w:cstheme="minorHAnsi"/>
                <w:lang w:val="es-ES"/>
              </w:rPr>
              <w:t>estime</w:t>
            </w:r>
            <w:r w:rsidRPr="00010EDA">
              <w:rPr>
                <w:rFonts w:cstheme="minorHAnsi"/>
                <w:lang w:val="es-ES"/>
              </w:rPr>
              <w:t xml:space="preserve"> oportuna</w:t>
            </w:r>
            <w:r>
              <w:rPr>
                <w:rFonts w:cstheme="minorHAnsi"/>
                <w:lang w:val="es-ES"/>
              </w:rPr>
              <w:t>s</w:t>
            </w:r>
            <w:r w:rsidR="005C33FB" w:rsidRPr="005C33FB">
              <w:rPr>
                <w:lang w:val="es-ES"/>
              </w:rPr>
              <w:t>.</w:t>
            </w:r>
          </w:p>
          <w:p w14:paraId="4061408A" w14:textId="77777777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6DF5B490" w14:textId="1B74295A" w:rsidR="001E252D" w:rsidRPr="005C33FB" w:rsidRDefault="00F94009" w:rsidP="00403C69">
            <w:pPr>
              <w:spacing w:after="120"/>
              <w:rPr>
                <w:lang w:val="es-ES"/>
              </w:rPr>
            </w:pPr>
            <w:hyperlink r:id="rId12">
              <w:r w:rsidRPr="00010EDA">
                <w:rPr>
                  <w:rStyle w:val="Hyperlink"/>
                  <w:rFonts w:cstheme="minorBidi"/>
                  <w:lang w:val="es-ES"/>
                </w:rPr>
                <w:t xml:space="preserve">Informe </w:t>
              </w:r>
              <w:r>
                <w:rPr>
                  <w:rStyle w:val="Hyperlink"/>
                  <w:rFonts w:cstheme="minorBidi"/>
                  <w:lang w:val="es-ES"/>
                </w:rPr>
                <w:t>definitivo</w:t>
              </w:r>
              <w:r w:rsidRPr="00010EDA">
                <w:rPr>
                  <w:rStyle w:val="Hyperlink"/>
                  <w:rFonts w:cstheme="minorBidi"/>
                  <w:lang w:val="es-ES"/>
                </w:rPr>
                <w:t xml:space="preserve"> de la CMDT-25</w:t>
              </w:r>
            </w:hyperlink>
            <w:r w:rsidRPr="00010EDA">
              <w:rPr>
                <w:rFonts w:cstheme="minorBidi"/>
                <w:color w:val="000000" w:themeColor="text1"/>
                <w:lang w:val="es-ES"/>
              </w:rPr>
              <w:t xml:space="preserve">, </w:t>
            </w:r>
            <w:r w:rsidRPr="00010EDA">
              <w:rPr>
                <w:rFonts w:cstheme="minorBidi"/>
                <w:color w:val="000000" w:themeColor="text1"/>
                <w:lang w:val="es-ES" w:eastAsia="zh-CN"/>
              </w:rPr>
              <w:t>Resoluciones 17 (Rev. Bakú, 2025) y 52 (Rev. Dubái, 2014) de la Conferencia Mundial de Desarrollo de las Telecomunicaciones (CMDT-22) y Resolución 157 (Rev.</w:t>
            </w:r>
            <w:r w:rsidR="00CA75EB">
              <w:rPr>
                <w:rFonts w:cstheme="minorBidi"/>
                <w:color w:val="000000" w:themeColor="text1"/>
                <w:lang w:val="es-ES" w:eastAsia="zh-CN"/>
              </w:rPr>
              <w:t> </w:t>
            </w:r>
            <w:r w:rsidRPr="00010EDA">
              <w:rPr>
                <w:rFonts w:cstheme="minorBidi"/>
                <w:color w:val="000000" w:themeColor="text1"/>
                <w:lang w:val="es-ES" w:eastAsia="zh-CN"/>
              </w:rPr>
              <w:t>Bucarest, 2022) de la Conferencia de Plenipotenciarios (</w:t>
            </w:r>
            <w:r w:rsidR="00181E6A">
              <w:rPr>
                <w:rFonts w:cstheme="minorBidi"/>
                <w:color w:val="000000" w:themeColor="text1"/>
                <w:lang w:val="es-ES" w:eastAsia="zh-CN"/>
              </w:rPr>
              <w:t>P</w:t>
            </w:r>
            <w:r w:rsidRPr="00010EDA">
              <w:rPr>
                <w:rFonts w:cstheme="minorBidi"/>
                <w:color w:val="000000" w:themeColor="text1"/>
                <w:lang w:val="es-ES" w:eastAsia="zh-CN"/>
              </w:rPr>
              <w:t>P-22).</w:t>
            </w:r>
          </w:p>
        </w:tc>
      </w:tr>
      <w:bookmarkEnd w:id="8"/>
      <w:bookmarkEnd w:id="9"/>
    </w:tbl>
    <w:p w14:paraId="1EFB42C6" w14:textId="77777777" w:rsidR="00075C63" w:rsidRDefault="00075C63" w:rsidP="00B06557">
      <w:pPr>
        <w:rPr>
          <w:lang w:val="es-ES"/>
        </w:rPr>
      </w:pPr>
      <w:r w:rsidRPr="005C33FB">
        <w:rPr>
          <w:lang w:val="es-ES"/>
        </w:rPr>
        <w:lastRenderedPageBreak/>
        <w:br w:type="page"/>
      </w:r>
    </w:p>
    <w:p w14:paraId="02FC4426" w14:textId="051666A3" w:rsidR="00F94009" w:rsidRPr="00010EDA" w:rsidRDefault="00C9129C" w:rsidP="00C9129C">
      <w:pPr>
        <w:pStyle w:val="Heading1"/>
        <w:rPr>
          <w:lang w:val="es-ES"/>
        </w:rPr>
      </w:pPr>
      <w:r>
        <w:rPr>
          <w:lang w:val="es-ES"/>
        </w:rPr>
        <w:lastRenderedPageBreak/>
        <w:t>1</w:t>
      </w:r>
      <w:r>
        <w:rPr>
          <w:lang w:val="es-ES"/>
        </w:rPr>
        <w:tab/>
      </w:r>
      <w:r w:rsidR="00F94009" w:rsidRPr="00010EDA">
        <w:rPr>
          <w:lang w:val="es-ES"/>
        </w:rPr>
        <w:t>Introducción</w:t>
      </w:r>
    </w:p>
    <w:p w14:paraId="22CF0DF8" w14:textId="35068138" w:rsidR="00F94009" w:rsidRPr="00010EDA" w:rsidRDefault="00F94009" w:rsidP="00F94009">
      <w:pPr>
        <w:spacing w:after="120"/>
        <w:rPr>
          <w:rFonts w:cstheme="minorBidi"/>
          <w:lang w:val="es-ES"/>
        </w:rPr>
      </w:pPr>
      <w:r w:rsidRPr="00010EDA">
        <w:rPr>
          <w:rFonts w:cstheme="minorBidi"/>
          <w:lang w:val="es-ES"/>
        </w:rPr>
        <w:t xml:space="preserve">La Conferencia Mundial de Desarrollo de las Telecomunicaciones (CMDT-25) de la UIT de 2025 se celebró en Bakú (Azerbaiyán) del 17 al 28 de noviembre de 2025. Como </w:t>
      </w:r>
      <w:r>
        <w:rPr>
          <w:rFonts w:cstheme="minorHAnsi"/>
          <w:lang w:val="es-ES"/>
        </w:rPr>
        <w:t xml:space="preserve">evento señalado </w:t>
      </w:r>
      <w:r>
        <w:rPr>
          <w:rFonts w:cstheme="minorBidi"/>
          <w:lang w:val="es-ES"/>
        </w:rPr>
        <w:t>de</w:t>
      </w:r>
      <w:r w:rsidRPr="00010EDA">
        <w:rPr>
          <w:rFonts w:cstheme="minorBidi"/>
          <w:lang w:val="es-ES"/>
        </w:rPr>
        <w:t xml:space="preserve"> la UIT, la CMDT-25 arrojó varios resultados </w:t>
      </w:r>
      <w:r>
        <w:rPr>
          <w:rFonts w:cstheme="minorBidi"/>
          <w:lang w:val="es-ES"/>
        </w:rPr>
        <w:t>destacados</w:t>
      </w:r>
      <w:r w:rsidRPr="00010EDA">
        <w:rPr>
          <w:rFonts w:cstheme="minorBidi"/>
          <w:lang w:val="es-ES"/>
        </w:rPr>
        <w:t xml:space="preserve">, entre ellos la adopción del Plan de Acción de Bakú (PAB) y la Declaración de Bakú. La </w:t>
      </w:r>
      <w:r>
        <w:rPr>
          <w:rFonts w:cstheme="minorBidi"/>
          <w:lang w:val="es-ES"/>
        </w:rPr>
        <w:t>C</w:t>
      </w:r>
      <w:r w:rsidRPr="00010EDA">
        <w:rPr>
          <w:rFonts w:cstheme="minorBidi"/>
          <w:lang w:val="es-ES"/>
        </w:rPr>
        <w:t xml:space="preserve">onferencia llevó a cabo una revisión exhaustiva de sus Resoluciones, lo que dio lugar a la modificación de 44 Resoluciones existentes y a la adopción de </w:t>
      </w:r>
      <w:r>
        <w:rPr>
          <w:rFonts w:cstheme="minorBidi"/>
          <w:lang w:val="es-ES"/>
        </w:rPr>
        <w:t>cuatro</w:t>
      </w:r>
      <w:r w:rsidRPr="00010EDA">
        <w:rPr>
          <w:rFonts w:cstheme="minorBidi"/>
          <w:lang w:val="es-ES"/>
        </w:rPr>
        <w:t xml:space="preserve"> nuevas. E</w:t>
      </w:r>
      <w:r>
        <w:rPr>
          <w:rFonts w:cstheme="minorBidi"/>
          <w:lang w:val="es-ES"/>
        </w:rPr>
        <w:t>n e</w:t>
      </w:r>
      <w:r w:rsidRPr="00010EDA">
        <w:rPr>
          <w:rFonts w:cstheme="minorBidi"/>
          <w:lang w:val="es-ES"/>
        </w:rPr>
        <w:t xml:space="preserve">l documento </w:t>
      </w:r>
      <w:hyperlink r:id="rId13">
        <w:r w:rsidRPr="00010EDA">
          <w:rPr>
            <w:rStyle w:val="Hyperlink"/>
            <w:rFonts w:cstheme="minorBidi"/>
            <w:lang w:val="es-ES"/>
          </w:rPr>
          <w:t>GADT-26/3</w:t>
        </w:r>
      </w:hyperlink>
      <w:r w:rsidRPr="00010EDA">
        <w:rPr>
          <w:rFonts w:cstheme="minorBidi"/>
          <w:lang w:val="es-ES"/>
        </w:rPr>
        <w:t xml:space="preserve"> </w:t>
      </w:r>
      <w:r>
        <w:rPr>
          <w:rFonts w:cstheme="minorBidi"/>
          <w:lang w:val="es-ES"/>
        </w:rPr>
        <w:t>se proporciona</w:t>
      </w:r>
      <w:r w:rsidRPr="00010EDA">
        <w:rPr>
          <w:rFonts w:cstheme="minorBidi"/>
          <w:lang w:val="es-ES"/>
        </w:rPr>
        <w:t xml:space="preserve"> una visión general de los resultados de la CMDT-25 y </w:t>
      </w:r>
      <w:r>
        <w:rPr>
          <w:rFonts w:cstheme="minorBidi"/>
          <w:lang w:val="es-ES"/>
        </w:rPr>
        <w:t>se enumeran las R</w:t>
      </w:r>
      <w:r w:rsidRPr="00010EDA">
        <w:rPr>
          <w:rFonts w:cstheme="minorBidi"/>
          <w:lang w:val="es-ES"/>
        </w:rPr>
        <w:t>esoluciones modificadas, derogadas o introducidas en la Conferencia.</w:t>
      </w:r>
    </w:p>
    <w:p w14:paraId="7C57A45B" w14:textId="5CA41912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 xml:space="preserve">El Informe </w:t>
      </w:r>
      <w:r>
        <w:rPr>
          <w:lang w:val="es-ES"/>
        </w:rPr>
        <w:t>de la Comisión</w:t>
      </w:r>
      <w:r w:rsidRPr="00010EDA">
        <w:rPr>
          <w:lang w:val="es-ES"/>
        </w:rPr>
        <w:t xml:space="preserve"> de Control </w:t>
      </w:r>
      <w:r>
        <w:rPr>
          <w:lang w:val="es-ES"/>
        </w:rPr>
        <w:t>de Presupuesto</w:t>
      </w:r>
      <w:r w:rsidRPr="00010EDA">
        <w:rPr>
          <w:lang w:val="es-ES"/>
        </w:rPr>
        <w:t xml:space="preserve"> de la CMDT-25 (COM2) (</w:t>
      </w:r>
      <w:hyperlink r:id="rId14" w:history="1">
        <w:r w:rsidRPr="00010EDA">
          <w:rPr>
            <w:rStyle w:val="Hyperlink"/>
            <w:rFonts w:cstheme="minorBidi"/>
            <w:lang w:val="es-ES"/>
          </w:rPr>
          <w:t>documento WTDC-25/70</w:t>
        </w:r>
      </w:hyperlink>
      <w:r w:rsidRPr="00010EDA">
        <w:rPr>
          <w:lang w:val="es-ES"/>
        </w:rPr>
        <w:t xml:space="preserve">) </w:t>
      </w:r>
      <w:r>
        <w:rPr>
          <w:lang w:val="es-ES"/>
        </w:rPr>
        <w:t>contiene</w:t>
      </w:r>
      <w:r w:rsidRPr="00010EDA">
        <w:rPr>
          <w:lang w:val="es-ES"/>
        </w:rPr>
        <w:t xml:space="preserve"> las decisiones de la </w:t>
      </w:r>
      <w:r>
        <w:rPr>
          <w:lang w:val="es-ES"/>
        </w:rPr>
        <w:t>C</w:t>
      </w:r>
      <w:r w:rsidRPr="00010EDA">
        <w:rPr>
          <w:lang w:val="es-ES"/>
        </w:rPr>
        <w:t>onferenci</w:t>
      </w:r>
      <w:r>
        <w:rPr>
          <w:lang w:val="es-ES"/>
        </w:rPr>
        <w:t>a, incluidas esferas</w:t>
      </w:r>
      <w:r w:rsidRPr="00010EDA">
        <w:rPr>
          <w:lang w:val="es-ES"/>
        </w:rPr>
        <w:t xml:space="preserve"> de trabajo </w:t>
      </w:r>
      <w:r>
        <w:rPr>
          <w:rFonts w:cstheme="minorHAnsi"/>
          <w:lang w:val="es-ES"/>
        </w:rPr>
        <w:t>suplementarias</w:t>
      </w:r>
      <w:r>
        <w:rPr>
          <w:lang w:val="es-ES"/>
        </w:rPr>
        <w:t>,</w:t>
      </w:r>
      <w:r w:rsidRPr="00010EDA">
        <w:rPr>
          <w:lang w:val="es-ES"/>
        </w:rPr>
        <w:t xml:space="preserve"> estudios técnicos y talleres que requerirán recursos financieros adicionales para su </w:t>
      </w:r>
      <w:r w:rsidRPr="00010EDA">
        <w:rPr>
          <w:rFonts w:cstheme="minorHAnsi"/>
          <w:lang w:val="es-ES"/>
        </w:rPr>
        <w:t>ejecución</w:t>
      </w:r>
      <w:r w:rsidRPr="00010EDA">
        <w:rPr>
          <w:lang w:val="es-ES"/>
        </w:rPr>
        <w:t xml:space="preserve">. En el informe se </w:t>
      </w:r>
      <w:r>
        <w:rPr>
          <w:lang w:val="es-ES"/>
        </w:rPr>
        <w:t>determina que</w:t>
      </w:r>
      <w:r w:rsidRPr="00010EDA">
        <w:rPr>
          <w:lang w:val="es-ES"/>
        </w:rPr>
        <w:t xml:space="preserve"> los costos para la realización de es</w:t>
      </w:r>
      <w:r>
        <w:rPr>
          <w:lang w:val="es-ES"/>
        </w:rPr>
        <w:t>a</w:t>
      </w:r>
      <w:r w:rsidRPr="00010EDA">
        <w:rPr>
          <w:lang w:val="es-ES"/>
        </w:rPr>
        <w:t xml:space="preserve">s nuevas actividades </w:t>
      </w:r>
      <w:r>
        <w:rPr>
          <w:lang w:val="es-ES"/>
        </w:rPr>
        <w:t>se elevan a</w:t>
      </w:r>
      <w:r w:rsidRPr="00010EDA">
        <w:rPr>
          <w:lang w:val="es-ES"/>
        </w:rPr>
        <w:t xml:space="preserve"> 4,2</w:t>
      </w:r>
      <w:r w:rsidR="00931011">
        <w:rPr>
          <w:lang w:val="es-ES"/>
        </w:rPr>
        <w:t> </w:t>
      </w:r>
      <w:r w:rsidRPr="00010EDA">
        <w:rPr>
          <w:lang w:val="es-ES"/>
        </w:rPr>
        <w:t>millones</w:t>
      </w:r>
      <w:r w:rsidR="00931011">
        <w:rPr>
          <w:lang w:val="es-ES"/>
        </w:rPr>
        <w:t xml:space="preserve"> CHF </w:t>
      </w:r>
      <w:r>
        <w:rPr>
          <w:rFonts w:cstheme="minorHAnsi"/>
          <w:lang w:val="es-ES"/>
        </w:rPr>
        <w:t>durante</w:t>
      </w:r>
      <w:r w:rsidRPr="00010EDA">
        <w:rPr>
          <w:rFonts w:cstheme="minorHAnsi"/>
          <w:lang w:val="es-ES"/>
        </w:rPr>
        <w:t xml:space="preserve"> el per</w:t>
      </w:r>
      <w:r w:rsidR="00931011">
        <w:rPr>
          <w:rFonts w:cstheme="minorHAnsi"/>
          <w:lang w:val="es-ES"/>
        </w:rPr>
        <w:t>i</w:t>
      </w:r>
      <w:r w:rsidRPr="00010EDA">
        <w:rPr>
          <w:rFonts w:cstheme="minorHAnsi"/>
          <w:lang w:val="es-ES"/>
        </w:rPr>
        <w:t xml:space="preserve">odo </w:t>
      </w:r>
      <w:r>
        <w:rPr>
          <w:rFonts w:cstheme="minorHAnsi"/>
          <w:lang w:val="es-ES"/>
        </w:rPr>
        <w:t>cuatrienal</w:t>
      </w:r>
      <w:r w:rsidRPr="00010EDA">
        <w:rPr>
          <w:lang w:val="es-ES"/>
        </w:rPr>
        <w:t xml:space="preserve">, </w:t>
      </w:r>
      <w:r>
        <w:rPr>
          <w:lang w:val="es-ES"/>
        </w:rPr>
        <w:t>incluidos</w:t>
      </w:r>
      <w:r w:rsidRPr="00010EDA">
        <w:rPr>
          <w:lang w:val="es-ES"/>
        </w:rPr>
        <w:t xml:space="preserve"> gastos únicos y recurrentes. </w:t>
      </w:r>
    </w:p>
    <w:p w14:paraId="49492FEB" w14:textId="7520303A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>La CMDT-25 solicitó a la Secretar</w:t>
      </w:r>
      <w:r>
        <w:rPr>
          <w:lang w:val="es-ES"/>
        </w:rPr>
        <w:t>ia</w:t>
      </w:r>
      <w:r w:rsidRPr="00010EDA">
        <w:rPr>
          <w:lang w:val="es-ES"/>
        </w:rPr>
        <w:t xml:space="preserve"> General que </w:t>
      </w:r>
      <w:r w:rsidR="00931011" w:rsidRPr="00010EDA">
        <w:rPr>
          <w:lang w:val="es-ES"/>
        </w:rPr>
        <w:t>presentará</w:t>
      </w:r>
      <w:r w:rsidRPr="00010EDA">
        <w:rPr>
          <w:lang w:val="es-ES"/>
        </w:rPr>
        <w:t xml:space="preserve"> los resultados de la Conferencia y el informe de COM2 al </w:t>
      </w:r>
      <w:r w:rsidRPr="00010EDA">
        <w:rPr>
          <w:rFonts w:eastAsia="SimSun"/>
          <w:spacing w:val="-2"/>
          <w:lang w:val="es-ES"/>
        </w:rPr>
        <w:t xml:space="preserve">Grupo de Trabajo del Consejo sobre Recursos Financieros y Humanos </w:t>
      </w:r>
      <w:r w:rsidRPr="00010EDA">
        <w:rPr>
          <w:lang w:val="es-ES"/>
        </w:rPr>
        <w:t>(</w:t>
      </w:r>
      <w:r>
        <w:rPr>
          <w:lang w:val="es-ES"/>
        </w:rPr>
        <w:t>GTC</w:t>
      </w:r>
      <w:r w:rsidR="00931011">
        <w:rPr>
          <w:lang w:val="es-ES"/>
        </w:rPr>
        <w:noBreakHyphen/>
      </w:r>
      <w:r>
        <w:rPr>
          <w:lang w:val="es-ES"/>
        </w:rPr>
        <w:t>RHF)</w:t>
      </w:r>
      <w:r w:rsidRPr="00010EDA">
        <w:rPr>
          <w:lang w:val="es-ES"/>
        </w:rPr>
        <w:t>, que se reunirá del 14 al 16 de enero de 2026, con el fin de debatir la metodología más eficaz para la financiación de esas actividades, que se llevarán a cabo antes de la Conferencia Mundial de Desarrollo de las Telecomunicaciones prevista para 2029 (CMDT-29).</w:t>
      </w:r>
    </w:p>
    <w:p w14:paraId="17C023C3" w14:textId="5CBC16C4" w:rsidR="00F94009" w:rsidRPr="00010EDA" w:rsidRDefault="00F94009" w:rsidP="00521D40">
      <w:pPr>
        <w:rPr>
          <w:lang w:val="es-ES"/>
        </w:rPr>
      </w:pPr>
      <w:r>
        <w:rPr>
          <w:lang w:val="es-ES"/>
        </w:rPr>
        <w:t>En</w:t>
      </w:r>
      <w:r w:rsidRPr="00010EDA">
        <w:rPr>
          <w:lang w:val="es-ES"/>
        </w:rPr>
        <w:t xml:space="preserve"> su reunión, el </w:t>
      </w:r>
      <w:r>
        <w:rPr>
          <w:lang w:val="es-ES"/>
        </w:rPr>
        <w:t>GTC-RHF</w:t>
      </w:r>
      <w:r w:rsidRPr="00010EDA">
        <w:rPr>
          <w:lang w:val="es-ES"/>
        </w:rPr>
        <w:t xml:space="preserve"> examinó el informe de la COM2 (documento </w:t>
      </w:r>
      <w:hyperlink r:id="rId15" w:history="1">
        <w:r w:rsidRPr="00010EDA">
          <w:rPr>
            <w:rStyle w:val="Hyperlink"/>
            <w:rFonts w:eastAsia="SimSun" w:cstheme="minorBidi"/>
            <w:spacing w:val="-2"/>
            <w:lang w:val="es-ES"/>
          </w:rPr>
          <w:t>CWG-FHR-22/7</w:t>
        </w:r>
      </w:hyperlink>
      <w:r w:rsidRPr="00010EDA">
        <w:rPr>
          <w:lang w:val="es-ES"/>
        </w:rPr>
        <w:t xml:space="preserve">), así como la metodología adoptada por la COM2 para estimar las repercusiones financieras de las </w:t>
      </w:r>
      <w:r>
        <w:rPr>
          <w:lang w:val="es-ES"/>
        </w:rPr>
        <w:t>d</w:t>
      </w:r>
      <w:r w:rsidRPr="00010EDA">
        <w:rPr>
          <w:lang w:val="es-ES"/>
        </w:rPr>
        <w:t xml:space="preserve">ecisiones y </w:t>
      </w:r>
      <w:r>
        <w:rPr>
          <w:lang w:val="es-ES"/>
        </w:rPr>
        <w:t>R</w:t>
      </w:r>
      <w:r w:rsidRPr="00010EDA">
        <w:rPr>
          <w:lang w:val="es-ES"/>
        </w:rPr>
        <w:t xml:space="preserve">esoluciones de las </w:t>
      </w:r>
      <w:r>
        <w:rPr>
          <w:lang w:val="es-ES"/>
        </w:rPr>
        <w:t>C</w:t>
      </w:r>
      <w:r w:rsidRPr="00010EDA">
        <w:rPr>
          <w:lang w:val="es-ES"/>
        </w:rPr>
        <w:t xml:space="preserve">onferencias de la UIT (documento </w:t>
      </w:r>
      <w:hyperlink r:id="rId16" w:history="1">
        <w:r w:rsidRPr="00010EDA">
          <w:rPr>
            <w:rStyle w:val="Hyperlink"/>
            <w:rFonts w:eastAsia="SimSun" w:cstheme="minorBidi"/>
            <w:spacing w:val="-2"/>
            <w:lang w:val="es-ES"/>
          </w:rPr>
          <w:t>CWG-FHR-21/3</w:t>
        </w:r>
      </w:hyperlink>
      <w:r w:rsidRPr="00010EDA">
        <w:rPr>
          <w:lang w:val="es-ES"/>
        </w:rPr>
        <w:t xml:space="preserve">). </w:t>
      </w:r>
      <w:r>
        <w:rPr>
          <w:lang w:val="es-ES"/>
        </w:rPr>
        <w:t>A raíz de ese</w:t>
      </w:r>
      <w:r w:rsidRPr="00010EDA">
        <w:rPr>
          <w:lang w:val="es-ES"/>
        </w:rPr>
        <w:t xml:space="preserve"> debate, el </w:t>
      </w:r>
      <w:r>
        <w:rPr>
          <w:lang w:val="es-ES"/>
        </w:rPr>
        <w:t>GTC-RHF</w:t>
      </w:r>
      <w:r w:rsidRPr="00010EDA">
        <w:rPr>
          <w:lang w:val="es-ES"/>
        </w:rPr>
        <w:t xml:space="preserve"> </w:t>
      </w:r>
      <w:r>
        <w:rPr>
          <w:lang w:val="es-ES"/>
        </w:rPr>
        <w:t>envió</w:t>
      </w:r>
      <w:r w:rsidRPr="00010EDA">
        <w:rPr>
          <w:lang w:val="es-ES"/>
        </w:rPr>
        <w:t xml:space="preserve"> la declaración de </w:t>
      </w:r>
      <w:r>
        <w:rPr>
          <w:lang w:val="es-ES"/>
        </w:rPr>
        <w:t>coordinación</w:t>
      </w:r>
      <w:r w:rsidRPr="00010EDA">
        <w:rPr>
          <w:lang w:val="es-ES"/>
        </w:rPr>
        <w:t xml:space="preserve"> </w:t>
      </w:r>
      <w:hyperlink r:id="rId17" w:history="1">
        <w:r w:rsidRPr="00010EDA">
          <w:rPr>
            <w:rStyle w:val="Hyperlink"/>
            <w:rFonts w:eastAsia="SimSun" w:cstheme="minorBidi"/>
            <w:spacing w:val="-2"/>
            <w:lang w:val="es-ES"/>
          </w:rPr>
          <w:t>CWG-FHR-22/35</w:t>
        </w:r>
      </w:hyperlink>
      <w:r w:rsidRPr="00010EDA">
        <w:rPr>
          <w:lang w:val="es-ES"/>
        </w:rPr>
        <w:t xml:space="preserve"> para invitar a los Grupos Asesores de Sector a </w:t>
      </w:r>
      <w:r>
        <w:rPr>
          <w:lang w:val="es-ES"/>
        </w:rPr>
        <w:t>que añadieran</w:t>
      </w:r>
      <w:r w:rsidRPr="00010EDA">
        <w:rPr>
          <w:lang w:val="es-ES"/>
        </w:rPr>
        <w:t xml:space="preserve"> un punto del orden del día a sus próximas reuniones de 2026</w:t>
      </w:r>
      <w:r>
        <w:rPr>
          <w:lang w:val="es-ES"/>
        </w:rPr>
        <w:t>,</w:t>
      </w:r>
      <w:r w:rsidRPr="00010EDA">
        <w:rPr>
          <w:lang w:val="es-ES"/>
        </w:rPr>
        <w:t xml:space="preserve"> con el fin de consultar a los Estados Miembros y a los Miembros de Sector (incluidos los Asociados y el </w:t>
      </w:r>
      <w:r>
        <w:rPr>
          <w:lang w:val="es-ES"/>
        </w:rPr>
        <w:t>sector</w:t>
      </w:r>
      <w:r w:rsidRPr="00010EDA">
        <w:rPr>
          <w:lang w:val="es-ES"/>
        </w:rPr>
        <w:t xml:space="preserve"> académico) </w:t>
      </w:r>
      <w:r>
        <w:rPr>
          <w:lang w:val="es-ES"/>
        </w:rPr>
        <w:t>el debate d</w:t>
      </w:r>
      <w:r w:rsidRPr="00010EDA">
        <w:rPr>
          <w:lang w:val="es-ES"/>
        </w:rPr>
        <w:t>el informe de la COM2.</w:t>
      </w:r>
    </w:p>
    <w:p w14:paraId="4128BE11" w14:textId="0F892396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>E</w:t>
      </w:r>
      <w:r>
        <w:rPr>
          <w:lang w:val="es-ES"/>
        </w:rPr>
        <w:t>n e</w:t>
      </w:r>
      <w:r w:rsidRPr="00010EDA">
        <w:rPr>
          <w:lang w:val="es-ES"/>
        </w:rPr>
        <w:t xml:space="preserve">l presente documento </w:t>
      </w:r>
      <w:r>
        <w:rPr>
          <w:lang w:val="es-ES"/>
        </w:rPr>
        <w:t xml:space="preserve">se </w:t>
      </w:r>
      <w:r w:rsidRPr="00010EDA">
        <w:rPr>
          <w:lang w:val="es-ES"/>
        </w:rPr>
        <w:t>presenta una alternativa para abordar el nuevo mandato de la CMDT</w:t>
      </w:r>
      <w:r w:rsidR="000A10B2">
        <w:rPr>
          <w:lang w:val="es-ES"/>
        </w:rPr>
        <w:noBreakHyphen/>
      </w:r>
      <w:r w:rsidRPr="00010EDA">
        <w:rPr>
          <w:lang w:val="es-ES"/>
        </w:rPr>
        <w:t xml:space="preserve">25 mediante la ejecución de proyectos del UIT-D destinados a </w:t>
      </w:r>
      <w:r>
        <w:rPr>
          <w:lang w:val="es-ES"/>
        </w:rPr>
        <w:t>abarcar</w:t>
      </w:r>
      <w:r w:rsidRPr="00010EDA">
        <w:rPr>
          <w:lang w:val="es-ES"/>
        </w:rPr>
        <w:t xml:space="preserve"> las nuevas actividades solicitadas en las Resoluciones de la CMDT nuevas y</w:t>
      </w:r>
      <w:r>
        <w:rPr>
          <w:lang w:val="es-ES"/>
        </w:rPr>
        <w:t xml:space="preserve"> en las</w:t>
      </w:r>
      <w:r w:rsidRPr="00010EDA">
        <w:rPr>
          <w:lang w:val="es-ES"/>
        </w:rPr>
        <w:t xml:space="preserve"> modificadas. Este análisis se basa en la experiencia adquirida en la aplicación de los resultados de la CMDT-22 (per</w:t>
      </w:r>
      <w:r w:rsidR="000A10B2">
        <w:rPr>
          <w:lang w:val="es-ES"/>
        </w:rPr>
        <w:t>i</w:t>
      </w:r>
      <w:r w:rsidRPr="00010EDA">
        <w:rPr>
          <w:lang w:val="es-ES"/>
        </w:rPr>
        <w:t>odo de aplicación 2023</w:t>
      </w:r>
      <w:r w:rsidR="000A10B2">
        <w:rPr>
          <w:lang w:val="es-ES"/>
        </w:rPr>
        <w:noBreakHyphen/>
      </w:r>
      <w:r w:rsidRPr="00010EDA">
        <w:rPr>
          <w:lang w:val="es-ES"/>
        </w:rPr>
        <w:t xml:space="preserve">2025). </w:t>
      </w:r>
    </w:p>
    <w:p w14:paraId="53105DED" w14:textId="4A1B0F4A" w:rsidR="00F94009" w:rsidRPr="00010EDA" w:rsidRDefault="00C9129C" w:rsidP="00C9129C">
      <w:pPr>
        <w:pStyle w:val="Heading1"/>
        <w:rPr>
          <w:rFonts w:cstheme="minorHAnsi"/>
          <w:b w:val="0"/>
          <w:szCs w:val="24"/>
          <w:lang w:val="es-ES"/>
        </w:rPr>
      </w:pPr>
      <w:r>
        <w:rPr>
          <w:rFonts w:cstheme="minorHAnsi"/>
          <w:szCs w:val="24"/>
          <w:lang w:val="es-ES"/>
        </w:rPr>
        <w:t>2</w:t>
      </w:r>
      <w:r>
        <w:rPr>
          <w:rFonts w:cstheme="minorHAnsi"/>
          <w:szCs w:val="24"/>
          <w:lang w:val="es-ES"/>
        </w:rPr>
        <w:tab/>
      </w:r>
      <w:r w:rsidR="00F94009">
        <w:rPr>
          <w:rFonts w:cstheme="minorHAnsi"/>
          <w:szCs w:val="24"/>
          <w:lang w:val="es-ES"/>
        </w:rPr>
        <w:t>Función</w:t>
      </w:r>
      <w:r w:rsidR="00F94009" w:rsidRPr="00010EDA">
        <w:rPr>
          <w:rFonts w:cstheme="minorHAnsi"/>
          <w:szCs w:val="24"/>
          <w:lang w:val="es-ES"/>
        </w:rPr>
        <w:t xml:space="preserve"> de los proyectos del UIT-D en apoyo a la aplicación de las Resoluciones de la CMDT</w:t>
      </w:r>
    </w:p>
    <w:p w14:paraId="35F03F70" w14:textId="3940C63F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 xml:space="preserve">Durante los últimos tres años, la Oficina de Desarrollo de las Telecomunicaciones (BDT) ha aplicado los resultados de la CMDT-22 </w:t>
      </w:r>
      <w:r>
        <w:rPr>
          <w:lang w:val="es-ES"/>
        </w:rPr>
        <w:t>en el marco d</w:t>
      </w:r>
      <w:r w:rsidRPr="00010EDA">
        <w:rPr>
          <w:lang w:val="es-ES"/>
        </w:rPr>
        <w:t xml:space="preserve">el Plan </w:t>
      </w:r>
      <w:r>
        <w:rPr>
          <w:lang w:val="es-ES"/>
        </w:rPr>
        <w:t>O</w:t>
      </w:r>
      <w:r w:rsidRPr="00010EDA">
        <w:rPr>
          <w:lang w:val="es-ES"/>
        </w:rPr>
        <w:t xml:space="preserve">peracional (OP) asignado a la Oficina, así como a través de proyectos del UIT-D, </w:t>
      </w:r>
      <w:r>
        <w:rPr>
          <w:lang w:val="es-ES"/>
        </w:rPr>
        <w:t>subrayando</w:t>
      </w:r>
      <w:r w:rsidRPr="00010EDA">
        <w:rPr>
          <w:lang w:val="es-ES"/>
        </w:rPr>
        <w:t xml:space="preserve"> la importancia de garantizar un enfoque integrado en ambos mecanismos, tal y como se informó en reuniones anteriores del GADT</w:t>
      </w:r>
      <w:r w:rsidRPr="00010EDA">
        <w:rPr>
          <w:rStyle w:val="FootnoteReference"/>
          <w:rFonts w:cstheme="minorHAnsi"/>
          <w:szCs w:val="24"/>
          <w:lang w:val="es-ES"/>
        </w:rPr>
        <w:footnoteReference w:id="2"/>
      </w:r>
      <w:r w:rsidRPr="00010EDA">
        <w:rPr>
          <w:lang w:val="es-ES"/>
        </w:rPr>
        <w:t>.</w:t>
      </w:r>
    </w:p>
    <w:p w14:paraId="5CBE8C91" w14:textId="77777777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 xml:space="preserve">Los proyectos del UIT-D </w:t>
      </w:r>
      <w:r>
        <w:rPr>
          <w:lang w:val="es-ES"/>
        </w:rPr>
        <w:t>transforman</w:t>
      </w:r>
      <w:r w:rsidRPr="00010EDA">
        <w:rPr>
          <w:lang w:val="es-ES"/>
        </w:rPr>
        <w:t xml:space="preserve"> las prioridades de desarrollo </w:t>
      </w:r>
      <w:r>
        <w:rPr>
          <w:lang w:val="es-ES"/>
        </w:rPr>
        <w:t xml:space="preserve">a escalas </w:t>
      </w:r>
      <w:r w:rsidRPr="00010EDA">
        <w:rPr>
          <w:lang w:val="es-ES"/>
        </w:rPr>
        <w:t xml:space="preserve">mundial y regional </w:t>
      </w:r>
      <w:r>
        <w:rPr>
          <w:lang w:val="es-ES"/>
        </w:rPr>
        <w:t>establecidas</w:t>
      </w:r>
      <w:r w:rsidRPr="00010EDA">
        <w:rPr>
          <w:lang w:val="es-ES"/>
        </w:rPr>
        <w:t xml:space="preserve"> en los resultados de la CMDT en intervenciones prácticas sobre el terreno. </w:t>
      </w:r>
      <w:r>
        <w:rPr>
          <w:lang w:val="es-ES"/>
        </w:rPr>
        <w:t>El conjunto</w:t>
      </w:r>
      <w:r w:rsidRPr="00010EDA">
        <w:rPr>
          <w:lang w:val="es-ES"/>
        </w:rPr>
        <w:t xml:space="preserve"> de proyectos de la UIT consta de proyectos ejecutados en todas las regiones de la UIT</w:t>
      </w:r>
      <w:r>
        <w:rPr>
          <w:lang w:val="es-ES"/>
        </w:rPr>
        <w:t xml:space="preserve">, a </w:t>
      </w:r>
      <w:r>
        <w:rPr>
          <w:lang w:val="es-ES"/>
        </w:rPr>
        <w:lastRenderedPageBreak/>
        <w:t>fin de garantizar</w:t>
      </w:r>
      <w:r w:rsidRPr="00010EDA">
        <w:rPr>
          <w:lang w:val="es-ES"/>
        </w:rPr>
        <w:t xml:space="preserve"> respuestas adaptadas a las necesidades de desarrollo de cada región</w:t>
      </w:r>
      <w:r>
        <w:rPr>
          <w:lang w:val="es-ES"/>
        </w:rPr>
        <w:t>,</w:t>
      </w:r>
      <w:r w:rsidRPr="00010EDA">
        <w:rPr>
          <w:lang w:val="es-ES"/>
        </w:rPr>
        <w:t xml:space="preserve"> y abarcan la </w:t>
      </w:r>
      <w:r>
        <w:rPr>
          <w:lang w:val="es-ES"/>
        </w:rPr>
        <w:t>gran variedad de esferas</w:t>
      </w:r>
      <w:r w:rsidRPr="00010EDA">
        <w:rPr>
          <w:lang w:val="es-ES"/>
        </w:rPr>
        <w:t xml:space="preserve"> de especialización de la UIT.</w:t>
      </w:r>
    </w:p>
    <w:p w14:paraId="15239190" w14:textId="4C98FFA8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 xml:space="preserve">Los proyectos del UIT-D se financian en gran medida </w:t>
      </w:r>
      <w:r>
        <w:rPr>
          <w:lang w:val="es-ES"/>
        </w:rPr>
        <w:t>mediante</w:t>
      </w:r>
      <w:r w:rsidRPr="00010EDA">
        <w:rPr>
          <w:lang w:val="es-ES"/>
        </w:rPr>
        <w:t xml:space="preserve"> contribuciones de </w:t>
      </w:r>
      <w:r>
        <w:rPr>
          <w:lang w:val="es-ES"/>
        </w:rPr>
        <w:t>asociados</w:t>
      </w:r>
      <w:r w:rsidRPr="00010EDA">
        <w:rPr>
          <w:lang w:val="es-ES"/>
        </w:rPr>
        <w:t xml:space="preserve">, con fondos adicionales gestionados por la UIT disponibles en determinados casos, sujetos </w:t>
      </w:r>
      <w:r>
        <w:rPr>
          <w:lang w:val="es-ES"/>
        </w:rPr>
        <w:t>al cumplimiento de criterios específicos</w:t>
      </w:r>
      <w:r w:rsidRPr="00010EDA">
        <w:rPr>
          <w:rStyle w:val="FootnoteReference"/>
          <w:rFonts w:cstheme="minorHAnsi"/>
          <w:color w:val="000000" w:themeColor="text1"/>
          <w:lang w:val="es-ES"/>
        </w:rPr>
        <w:footnoteReference w:id="3"/>
      </w:r>
      <w:r w:rsidRPr="00010EDA">
        <w:rPr>
          <w:lang w:val="es-ES"/>
        </w:rPr>
        <w:t xml:space="preserve">. </w:t>
      </w:r>
      <w:r>
        <w:rPr>
          <w:lang w:val="es-ES"/>
        </w:rPr>
        <w:t>Al comienzo de la ejecución del ciclo de la CMDT-25 por la</w:t>
      </w:r>
      <w:r w:rsidRPr="00010EDA">
        <w:rPr>
          <w:lang w:val="es-ES"/>
        </w:rPr>
        <w:t xml:space="preserve"> BDT</w:t>
      </w:r>
      <w:r>
        <w:rPr>
          <w:lang w:val="es-ES"/>
        </w:rPr>
        <w:t>, existen</w:t>
      </w:r>
      <w:r w:rsidRPr="00010EDA">
        <w:rPr>
          <w:lang w:val="es-ES"/>
        </w:rPr>
        <w:t xml:space="preserve"> 79 proyectos en curso, con un valor de 55,6</w:t>
      </w:r>
      <w:r w:rsidR="000A10B2">
        <w:rPr>
          <w:lang w:val="es-ES"/>
        </w:rPr>
        <w:t> CHF</w:t>
      </w:r>
      <w:r w:rsidRPr="00010EDA">
        <w:rPr>
          <w:lang w:val="es-ES"/>
        </w:rPr>
        <w:t xml:space="preserve">. </w:t>
      </w:r>
      <w:r>
        <w:rPr>
          <w:lang w:val="es-ES"/>
        </w:rPr>
        <w:t>Dichos</w:t>
      </w:r>
      <w:r w:rsidRPr="00010EDA">
        <w:rPr>
          <w:lang w:val="es-ES"/>
        </w:rPr>
        <w:t xml:space="preserve"> proyectos </w:t>
      </w:r>
      <w:r>
        <w:rPr>
          <w:lang w:val="es-ES"/>
        </w:rPr>
        <w:t>contribuyen</w:t>
      </w:r>
      <w:r w:rsidRPr="00010EDA">
        <w:rPr>
          <w:lang w:val="es-ES"/>
        </w:rPr>
        <w:t xml:space="preserve"> a la </w:t>
      </w:r>
      <w:r>
        <w:rPr>
          <w:lang w:val="es-ES"/>
        </w:rPr>
        <w:t>aplicación</w:t>
      </w:r>
      <w:r w:rsidRPr="00010EDA">
        <w:rPr>
          <w:lang w:val="es-ES"/>
        </w:rPr>
        <w:t xml:space="preserve"> de las </w:t>
      </w:r>
      <w:r>
        <w:rPr>
          <w:lang w:val="es-ES"/>
        </w:rPr>
        <w:t>R</w:t>
      </w:r>
      <w:r w:rsidRPr="00010EDA">
        <w:rPr>
          <w:lang w:val="es-ES"/>
        </w:rPr>
        <w:t xml:space="preserve">esoluciones nuevas y </w:t>
      </w:r>
      <w:r>
        <w:rPr>
          <w:lang w:val="es-ES"/>
        </w:rPr>
        <w:t xml:space="preserve">las </w:t>
      </w:r>
      <w:r w:rsidRPr="00010EDA">
        <w:rPr>
          <w:lang w:val="es-ES"/>
        </w:rPr>
        <w:t xml:space="preserve">modificadas </w:t>
      </w:r>
      <w:r>
        <w:rPr>
          <w:lang w:val="es-ES"/>
        </w:rPr>
        <w:t>de la</w:t>
      </w:r>
      <w:r w:rsidRPr="00010EDA">
        <w:rPr>
          <w:lang w:val="es-ES"/>
        </w:rPr>
        <w:t xml:space="preserve"> CMDT, como se indica en la figura 1. </w:t>
      </w:r>
    </w:p>
    <w:p w14:paraId="1093F098" w14:textId="3FF202FA" w:rsidR="00F94009" w:rsidRPr="000A10B2" w:rsidRDefault="00F94009" w:rsidP="000A10B2">
      <w:pPr>
        <w:pStyle w:val="Figuretitle"/>
        <w:keepNext w:val="0"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 w:after="240"/>
        <w:rPr>
          <w:rFonts w:eastAsia="Times New Roman"/>
          <w:sz w:val="24"/>
          <w:lang w:val="fr-FR"/>
        </w:rPr>
      </w:pPr>
      <w:r w:rsidRPr="000A10B2">
        <w:rPr>
          <w:rFonts w:eastAsia="Times New Roman"/>
          <w:sz w:val="24"/>
          <w:lang w:val="fr-FR"/>
        </w:rPr>
        <w:t>Figura 1</w:t>
      </w:r>
      <w:r w:rsidR="000A10B2">
        <w:rPr>
          <w:rFonts w:eastAsia="Times New Roman"/>
          <w:sz w:val="24"/>
          <w:lang w:val="fr-FR"/>
        </w:rPr>
        <w:t xml:space="preserve"> </w:t>
      </w:r>
      <w:r w:rsidR="000A10B2" w:rsidRPr="000A10B2">
        <w:rPr>
          <w:rFonts w:eastAsia="Times New Roman"/>
          <w:sz w:val="24"/>
          <w:lang w:val="fr-FR"/>
        </w:rPr>
        <w:t>–</w:t>
      </w:r>
      <w:r w:rsidRPr="000A10B2">
        <w:rPr>
          <w:rFonts w:eastAsia="Times New Roman"/>
          <w:sz w:val="24"/>
          <w:lang w:val="fr-FR"/>
        </w:rPr>
        <w:t xml:space="preserve"> Número de proyectos de la UIT-D en curso que contribuyen a la aplicación de las Resoluciones de la CMDT-25</w:t>
      </w:r>
      <w:r w:rsidRPr="00D7760A">
        <w:rPr>
          <w:rFonts w:eastAsia="Times New Roman"/>
          <w:sz w:val="24"/>
          <w:vertAlign w:val="superscript"/>
          <w:lang w:val="fr-FR"/>
        </w:rPr>
        <w:footnoteReference w:id="4"/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696"/>
        <w:gridCol w:w="696"/>
        <w:gridCol w:w="696"/>
        <w:gridCol w:w="696"/>
        <w:gridCol w:w="696"/>
        <w:gridCol w:w="696"/>
        <w:gridCol w:w="696"/>
        <w:gridCol w:w="1047"/>
      </w:tblGrid>
      <w:tr w:rsidR="00F94009" w:rsidRPr="00181E6A" w14:paraId="421B4831" w14:textId="77777777" w:rsidTr="00C9129C">
        <w:trPr>
          <w:trHeight w:val="298"/>
          <w:tblHeader/>
          <w:jc w:val="center"/>
        </w:trPr>
        <w:tc>
          <w:tcPr>
            <w:tcW w:w="3980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1681C24D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Resolución de la CMDT</w:t>
            </w:r>
          </w:p>
        </w:tc>
        <w:tc>
          <w:tcPr>
            <w:tcW w:w="5919" w:type="dxa"/>
            <w:gridSpan w:val="8"/>
            <w:shd w:val="clear" w:color="auto" w:fill="D9D9D9" w:themeFill="background1" w:themeFillShade="D9"/>
            <w:noWrap/>
            <w:vAlign w:val="center"/>
          </w:tcPr>
          <w:p w14:paraId="0B07B79A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Número de proyectos por región que contribuyen a la aplicación de cada Resolución</w:t>
            </w:r>
          </w:p>
        </w:tc>
      </w:tr>
      <w:tr w:rsidR="00F94009" w:rsidRPr="00010EDA" w14:paraId="4F087303" w14:textId="77777777" w:rsidTr="00C9129C">
        <w:trPr>
          <w:trHeight w:val="298"/>
          <w:tblHeader/>
          <w:jc w:val="center"/>
        </w:trPr>
        <w:tc>
          <w:tcPr>
            <w:tcW w:w="3980" w:type="dxa"/>
            <w:vMerge/>
            <w:shd w:val="clear" w:color="auto" w:fill="D9D9D9" w:themeFill="background1" w:themeFillShade="D9"/>
            <w:noWrap/>
            <w:vAlign w:val="center"/>
          </w:tcPr>
          <w:p w14:paraId="2BAD50F3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33074941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AFR</w:t>
            </w: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39920753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AMS</w:t>
            </w: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322FC449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ARB</w:t>
            </w: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6D89E2C8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ASP</w:t>
            </w: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5DCE10AF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CEI</w:t>
            </w: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4562F77E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EUR</w:t>
            </w:r>
          </w:p>
        </w:tc>
        <w:tc>
          <w:tcPr>
            <w:tcW w:w="696" w:type="dxa"/>
            <w:shd w:val="clear" w:color="auto" w:fill="D9D9D9" w:themeFill="background1" w:themeFillShade="D9"/>
            <w:noWrap/>
            <w:vAlign w:val="center"/>
            <w:hideMark/>
          </w:tcPr>
          <w:p w14:paraId="00BD8886" w14:textId="52154603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MUL (*</w:t>
            </w:r>
            <w:r w:rsidRPr="00BE4BE9">
              <w:rPr>
                <w:rFonts w:eastAsia="Times New Roman" w:cs="Times New Roman"/>
                <w:sz w:val="22"/>
                <w:vertAlign w:val="superscript"/>
                <w:lang w:val="fr-FR"/>
              </w:rPr>
              <w:t>1</w:t>
            </w:r>
            <w:r w:rsidRPr="00C9129C">
              <w:rPr>
                <w:rFonts w:eastAsia="Times New Roman" w:cs="Times New Roman"/>
                <w:sz w:val="22"/>
                <w:lang w:val="fr-FR"/>
              </w:rPr>
              <w:t>)</w:t>
            </w:r>
          </w:p>
        </w:tc>
        <w:tc>
          <w:tcPr>
            <w:tcW w:w="1042" w:type="dxa"/>
            <w:shd w:val="clear" w:color="auto" w:fill="D9D9D9" w:themeFill="background1" w:themeFillShade="D9"/>
            <w:noWrap/>
            <w:vAlign w:val="center"/>
            <w:hideMark/>
          </w:tcPr>
          <w:p w14:paraId="022B37CD" w14:textId="77777777" w:rsidR="00F94009" w:rsidRPr="00C9129C" w:rsidRDefault="00F94009" w:rsidP="00C9129C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C9129C">
              <w:rPr>
                <w:rFonts w:eastAsia="Times New Roman" w:cs="Times New Roman"/>
                <w:sz w:val="22"/>
                <w:lang w:val="fr-FR"/>
              </w:rPr>
              <w:t>Total</w:t>
            </w:r>
          </w:p>
        </w:tc>
      </w:tr>
      <w:tr w:rsidR="00F94009" w:rsidRPr="00010EDA" w14:paraId="25155DB7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23120A1" w14:textId="39CB28F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05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Participación de países en desarrollo</w:t>
            </w:r>
          </w:p>
        </w:tc>
        <w:tc>
          <w:tcPr>
            <w:tcW w:w="696" w:type="dxa"/>
            <w:noWrap/>
            <w:vAlign w:val="bottom"/>
          </w:tcPr>
          <w:p w14:paraId="01BD864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ED3FCD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597E22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ECAFFE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CC81AA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3B4764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D2A5F4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7D97012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4696A873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3FB8EFDA" w14:textId="41EF9A3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08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Estadísticas sobre TIC </w:t>
            </w:r>
          </w:p>
        </w:tc>
        <w:tc>
          <w:tcPr>
            <w:tcW w:w="696" w:type="dxa"/>
            <w:noWrap/>
            <w:vAlign w:val="bottom"/>
          </w:tcPr>
          <w:p w14:paraId="34D644C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B19642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825030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EF277A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6E5973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0E6E68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526C92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1042" w:type="dxa"/>
            <w:noWrap/>
            <w:vAlign w:val="bottom"/>
          </w:tcPr>
          <w:p w14:paraId="4C0067B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</w:tr>
      <w:tr w:rsidR="00F94009" w:rsidRPr="00010EDA" w14:paraId="66D1CED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CC911A1" w14:textId="5331E3B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09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Gestión del espectro </w:t>
            </w:r>
          </w:p>
        </w:tc>
        <w:tc>
          <w:tcPr>
            <w:tcW w:w="696" w:type="dxa"/>
            <w:noWrap/>
            <w:vAlign w:val="bottom"/>
          </w:tcPr>
          <w:p w14:paraId="68B61CC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D7A456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6C61F3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9A973A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4C6974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1A533F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9C749A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6D621523" w14:textId="152BBEFA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428E4E3C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9F8A99B" w14:textId="7739E073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10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Financiación del espectro </w:t>
            </w:r>
          </w:p>
        </w:tc>
        <w:tc>
          <w:tcPr>
            <w:tcW w:w="696" w:type="dxa"/>
            <w:noWrap/>
            <w:vAlign w:val="bottom"/>
          </w:tcPr>
          <w:p w14:paraId="738F6C2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0362ED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9B02AB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662F62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D895FC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A2C1E9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99DB9C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2EBFE79" w14:textId="4A4A472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01DF8267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685C2B50" w14:textId="66C9B47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11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Conectividad rural </w:t>
            </w:r>
          </w:p>
        </w:tc>
        <w:tc>
          <w:tcPr>
            <w:tcW w:w="696" w:type="dxa"/>
            <w:noWrap/>
            <w:vAlign w:val="bottom"/>
          </w:tcPr>
          <w:p w14:paraId="32F67BE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4FBE63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EBCC18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A58115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F9DCEC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413A85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12F482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7DF02C4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</w:tr>
      <w:tr w:rsidR="00F94009" w:rsidRPr="00010EDA" w14:paraId="6F8B2F3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769A5E64" w14:textId="12846993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 15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Transferencia de tecnología </w:t>
            </w:r>
          </w:p>
        </w:tc>
        <w:tc>
          <w:tcPr>
            <w:tcW w:w="696" w:type="dxa"/>
            <w:noWrap/>
            <w:vAlign w:val="bottom"/>
          </w:tcPr>
          <w:p w14:paraId="1B240C4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0F7EA9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1EE904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822825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EEFD99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27B4B5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F0678E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46596BD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6510A62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99EFA1E" w14:textId="0EB6A30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16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Apoyo a PMA, PEID y PDSL </w:t>
            </w:r>
          </w:p>
        </w:tc>
        <w:tc>
          <w:tcPr>
            <w:tcW w:w="696" w:type="dxa"/>
            <w:noWrap/>
            <w:vAlign w:val="bottom"/>
          </w:tcPr>
          <w:p w14:paraId="72EE201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45238B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696" w:type="dxa"/>
            <w:noWrap/>
            <w:vAlign w:val="bottom"/>
          </w:tcPr>
          <w:p w14:paraId="5155E7C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7AA3C7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696" w:type="dxa"/>
            <w:noWrap/>
            <w:vAlign w:val="bottom"/>
          </w:tcPr>
          <w:p w14:paraId="08DFC79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BF9354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727D2EC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1042" w:type="dxa"/>
            <w:noWrap/>
            <w:vAlign w:val="bottom"/>
          </w:tcPr>
          <w:p w14:paraId="477816D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10</w:t>
            </w:r>
          </w:p>
        </w:tc>
      </w:tr>
      <w:tr w:rsidR="00F94009" w:rsidRPr="00010EDA" w14:paraId="09A4E15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AC2BF32" w14:textId="772FF02E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17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Iniciativas Regionales </w:t>
            </w:r>
          </w:p>
        </w:tc>
        <w:tc>
          <w:tcPr>
            <w:tcW w:w="696" w:type="dxa"/>
            <w:noWrap/>
            <w:vAlign w:val="bottom"/>
          </w:tcPr>
          <w:p w14:paraId="2C2DAE4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F833D0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7</w:t>
            </w:r>
          </w:p>
        </w:tc>
        <w:tc>
          <w:tcPr>
            <w:tcW w:w="696" w:type="dxa"/>
            <w:noWrap/>
            <w:vAlign w:val="bottom"/>
          </w:tcPr>
          <w:p w14:paraId="18C8CC4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A50683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696" w:type="dxa"/>
            <w:noWrap/>
            <w:vAlign w:val="bottom"/>
          </w:tcPr>
          <w:p w14:paraId="29BB3CA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F12CCB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F44D14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6E1DD5E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12</w:t>
            </w:r>
          </w:p>
        </w:tc>
      </w:tr>
      <w:tr w:rsidR="00F94009" w:rsidRPr="00010EDA" w14:paraId="31BB9A0C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56533A7" w14:textId="6BFE7EC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18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Asistencia a Palestina </w:t>
            </w:r>
          </w:p>
        </w:tc>
        <w:tc>
          <w:tcPr>
            <w:tcW w:w="696" w:type="dxa"/>
            <w:noWrap/>
            <w:vAlign w:val="bottom"/>
          </w:tcPr>
          <w:p w14:paraId="667B42D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1C1172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7A1876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D49DF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9BDBA6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EA4731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5E0B86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090F79AD" w14:textId="1E985DD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7BDD11A2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5117AAE" w14:textId="2DCC985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20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Acceso no discriminatorio </w:t>
            </w:r>
          </w:p>
        </w:tc>
        <w:tc>
          <w:tcPr>
            <w:tcW w:w="696" w:type="dxa"/>
            <w:noWrap/>
            <w:vAlign w:val="bottom"/>
          </w:tcPr>
          <w:p w14:paraId="0A9C212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2B0BAF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1029CB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C429DF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2B2572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EC6783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EFFACC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1194285C" w14:textId="5654BD32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1ABC56D9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6AFA673D" w14:textId="3EF1646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21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Coordinación regional </w:t>
            </w:r>
          </w:p>
        </w:tc>
        <w:tc>
          <w:tcPr>
            <w:tcW w:w="696" w:type="dxa"/>
            <w:noWrap/>
            <w:vAlign w:val="bottom"/>
          </w:tcPr>
          <w:p w14:paraId="235784E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696" w:type="dxa"/>
            <w:noWrap/>
            <w:vAlign w:val="bottom"/>
          </w:tcPr>
          <w:p w14:paraId="6F9146A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34FBD1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5153E1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AFB0CE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C2B0E5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D2661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4A3609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</w:tr>
      <w:tr w:rsidR="00F94009" w:rsidRPr="00010EDA" w14:paraId="1D7D926B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65C70D7" w14:textId="6E8D370E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 22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Identificación del origen de llamadas</w:t>
            </w:r>
          </w:p>
        </w:tc>
        <w:tc>
          <w:tcPr>
            <w:tcW w:w="696" w:type="dxa"/>
            <w:noWrap/>
            <w:vAlign w:val="bottom"/>
          </w:tcPr>
          <w:p w14:paraId="6361AFC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5A291E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8C3645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AED444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B606BF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D1AFAA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F0FF38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71FD4CF0" w14:textId="0BEB1AE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07ADD851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7566D6D4" w14:textId="4471D074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23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Acceso a Internet y centros de conmutación de Internet </w:t>
            </w:r>
          </w:p>
        </w:tc>
        <w:tc>
          <w:tcPr>
            <w:tcW w:w="696" w:type="dxa"/>
            <w:noWrap/>
            <w:vAlign w:val="bottom"/>
          </w:tcPr>
          <w:p w14:paraId="054C798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1DFFDD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91A4FB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16FF55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F23113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F5887A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2590A9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1CF89661" w14:textId="5574E84A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1502EA54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33503D12" w14:textId="688B2EF2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25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Países con necesidades especiales </w:t>
            </w:r>
          </w:p>
        </w:tc>
        <w:tc>
          <w:tcPr>
            <w:tcW w:w="696" w:type="dxa"/>
            <w:noWrap/>
            <w:vAlign w:val="bottom"/>
          </w:tcPr>
          <w:p w14:paraId="2843A45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696" w:type="dxa"/>
            <w:noWrap/>
            <w:vAlign w:val="bottom"/>
          </w:tcPr>
          <w:p w14:paraId="4605994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FD5ADD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37B707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196712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37EC80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1CD2BA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  <w:tc>
          <w:tcPr>
            <w:tcW w:w="1042" w:type="dxa"/>
            <w:noWrap/>
            <w:vAlign w:val="bottom"/>
          </w:tcPr>
          <w:p w14:paraId="3710A7D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10</w:t>
            </w:r>
          </w:p>
        </w:tc>
      </w:tr>
      <w:tr w:rsidR="00F94009" w:rsidRPr="00010EDA" w14:paraId="44F961C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2BE44420" w14:textId="705B2FF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26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Asistencia a Afganistán </w:t>
            </w:r>
          </w:p>
        </w:tc>
        <w:tc>
          <w:tcPr>
            <w:tcW w:w="696" w:type="dxa"/>
            <w:noWrap/>
            <w:vAlign w:val="bottom"/>
          </w:tcPr>
          <w:p w14:paraId="6F164E8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5CF4EC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D0E424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711355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A3765F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5003D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AAFDE5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7F09E65" w14:textId="010031D5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4EC215C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2E290E5F" w14:textId="7B95972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30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Función del BDT en la CMSI </w:t>
            </w:r>
          </w:p>
        </w:tc>
        <w:tc>
          <w:tcPr>
            <w:tcW w:w="696" w:type="dxa"/>
            <w:noWrap/>
            <w:vAlign w:val="bottom"/>
          </w:tcPr>
          <w:p w14:paraId="78192EB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923463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94A0E3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90F2FA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  <w:tc>
          <w:tcPr>
            <w:tcW w:w="696" w:type="dxa"/>
            <w:noWrap/>
            <w:vAlign w:val="bottom"/>
          </w:tcPr>
          <w:p w14:paraId="26A459A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A0F83A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03980E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  <w:tc>
          <w:tcPr>
            <w:tcW w:w="1042" w:type="dxa"/>
            <w:noWrap/>
            <w:vAlign w:val="bottom"/>
          </w:tcPr>
          <w:p w14:paraId="0913918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10</w:t>
            </w:r>
          </w:p>
        </w:tc>
      </w:tr>
      <w:tr w:rsidR="00F94009" w:rsidRPr="00010EDA" w14:paraId="7904B77F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6CA15D7" w14:textId="6BB38258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33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Apoyo a la radiodifusión en Serbia</w:t>
            </w:r>
          </w:p>
        </w:tc>
        <w:tc>
          <w:tcPr>
            <w:tcW w:w="696" w:type="dxa"/>
            <w:noWrap/>
            <w:vAlign w:val="bottom"/>
          </w:tcPr>
          <w:p w14:paraId="11B4827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4FDF34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D6A17A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19172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F99748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D183E9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6257DF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175D800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15864B12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5007D1F" w14:textId="66AE44D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34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TIC para situaciones de catástrofe</w:t>
            </w:r>
          </w:p>
        </w:tc>
        <w:tc>
          <w:tcPr>
            <w:tcW w:w="696" w:type="dxa"/>
            <w:noWrap/>
            <w:vAlign w:val="bottom"/>
          </w:tcPr>
          <w:p w14:paraId="3ECCDD0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447924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8C2C37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2D1B61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9</w:t>
            </w:r>
          </w:p>
        </w:tc>
        <w:tc>
          <w:tcPr>
            <w:tcW w:w="696" w:type="dxa"/>
            <w:noWrap/>
            <w:vAlign w:val="bottom"/>
          </w:tcPr>
          <w:p w14:paraId="0243BF5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0F3EE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6FEDBBE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11</w:t>
            </w:r>
          </w:p>
        </w:tc>
        <w:tc>
          <w:tcPr>
            <w:tcW w:w="1042" w:type="dxa"/>
            <w:noWrap/>
            <w:vAlign w:val="bottom"/>
          </w:tcPr>
          <w:p w14:paraId="0E4F5BE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22</w:t>
            </w:r>
          </w:p>
        </w:tc>
      </w:tr>
      <w:tr w:rsidR="00F94009" w:rsidRPr="00010EDA" w14:paraId="1A6AE56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BFABF50" w14:textId="2C8858D3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lastRenderedPageBreak/>
              <w:t>Res. 36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Apoyo a la UAT</w:t>
            </w:r>
          </w:p>
        </w:tc>
        <w:tc>
          <w:tcPr>
            <w:tcW w:w="696" w:type="dxa"/>
            <w:noWrap/>
            <w:vAlign w:val="bottom"/>
          </w:tcPr>
          <w:p w14:paraId="3D8A4EB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DFB40A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AEB8BD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960ED8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68645B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82E45B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2365AF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0A4BD65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263B112B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1EF8ECA" w14:textId="5722FCB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37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Brecha digital</w:t>
            </w:r>
          </w:p>
        </w:tc>
        <w:tc>
          <w:tcPr>
            <w:tcW w:w="696" w:type="dxa"/>
            <w:noWrap/>
            <w:vAlign w:val="bottom"/>
          </w:tcPr>
          <w:p w14:paraId="2E45A43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40B99AB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B72067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06E2FA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2E28387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80B430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316A7C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1042" w:type="dxa"/>
            <w:noWrap/>
            <w:vAlign w:val="bottom"/>
          </w:tcPr>
          <w:p w14:paraId="572E4C8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7</w:t>
            </w:r>
          </w:p>
        </w:tc>
      </w:tr>
      <w:tr w:rsidR="00F94009" w:rsidRPr="00010EDA" w14:paraId="202B10CC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30E5997" w14:textId="55B1143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40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Capacitación</w:t>
            </w:r>
          </w:p>
        </w:tc>
        <w:tc>
          <w:tcPr>
            <w:tcW w:w="696" w:type="dxa"/>
            <w:noWrap/>
            <w:vAlign w:val="bottom"/>
          </w:tcPr>
          <w:p w14:paraId="188FCDD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FD7D49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602B25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081850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3D874D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02084C0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35896A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4898922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</w:tr>
      <w:tr w:rsidR="00F94009" w:rsidRPr="00010EDA" w14:paraId="3BE7DAA0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2F3031E9" w14:textId="2185B9F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43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IMT y redes</w:t>
            </w:r>
          </w:p>
        </w:tc>
        <w:tc>
          <w:tcPr>
            <w:tcW w:w="696" w:type="dxa"/>
            <w:noWrap/>
            <w:vAlign w:val="bottom"/>
          </w:tcPr>
          <w:p w14:paraId="66F77C4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F67985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44B442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68349A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5ACE38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4A0BE4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5B091A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1D03757" w14:textId="7F846EC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4959024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8BAF3AE" w14:textId="7DF05D02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45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Cooperación en materia de ciberseguridad</w:t>
            </w:r>
          </w:p>
        </w:tc>
        <w:tc>
          <w:tcPr>
            <w:tcW w:w="696" w:type="dxa"/>
            <w:noWrap/>
            <w:vAlign w:val="bottom"/>
          </w:tcPr>
          <w:p w14:paraId="472345F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2F3FA97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696" w:type="dxa"/>
            <w:noWrap/>
            <w:vAlign w:val="bottom"/>
          </w:tcPr>
          <w:p w14:paraId="3855DFF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17D485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4E4C198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87B27A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7AE126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6</w:t>
            </w:r>
          </w:p>
        </w:tc>
        <w:tc>
          <w:tcPr>
            <w:tcW w:w="1042" w:type="dxa"/>
            <w:noWrap/>
            <w:vAlign w:val="bottom"/>
          </w:tcPr>
          <w:p w14:paraId="3C05E61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15</w:t>
            </w:r>
          </w:p>
        </w:tc>
      </w:tr>
      <w:tr w:rsidR="00F94009" w:rsidRPr="00010EDA" w14:paraId="6F77AB8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76B95CA5" w14:textId="1EC97E93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46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Inclusión de pueblos indígenas</w:t>
            </w:r>
          </w:p>
        </w:tc>
        <w:tc>
          <w:tcPr>
            <w:tcW w:w="696" w:type="dxa"/>
            <w:noWrap/>
            <w:vAlign w:val="bottom"/>
          </w:tcPr>
          <w:p w14:paraId="402413A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3122B0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B0AA5E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28C803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732089C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251E35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8C6BC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80FC14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</w:tr>
      <w:tr w:rsidR="00F94009" w:rsidRPr="00010EDA" w14:paraId="77C0BDA6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CFBF384" w14:textId="13B82ED4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47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Recomendaciones de la UIT/C+I</w:t>
            </w:r>
          </w:p>
        </w:tc>
        <w:tc>
          <w:tcPr>
            <w:tcW w:w="696" w:type="dxa"/>
            <w:noWrap/>
            <w:vAlign w:val="bottom"/>
          </w:tcPr>
          <w:p w14:paraId="48BA05D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37FD33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9D7B0D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2A7EE3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F6B749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864F4A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409F00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C490139" w14:textId="169A9D31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2BD64889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38387042" w14:textId="5D8973D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48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Cooperación entre organismos de reglamentación</w:t>
            </w:r>
          </w:p>
        </w:tc>
        <w:tc>
          <w:tcPr>
            <w:tcW w:w="696" w:type="dxa"/>
            <w:noWrap/>
            <w:vAlign w:val="bottom"/>
          </w:tcPr>
          <w:p w14:paraId="68375DA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2F0FD88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DF2BA9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3ECFCE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5AE55A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2C17A7B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289704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0DA5C72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</w:tr>
      <w:tr w:rsidR="00F94009" w:rsidRPr="00010EDA" w14:paraId="23835AE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6A98509" w14:textId="6EAFE5E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51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Asistencia a Irak</w:t>
            </w:r>
          </w:p>
        </w:tc>
        <w:tc>
          <w:tcPr>
            <w:tcW w:w="696" w:type="dxa"/>
            <w:noWrap/>
            <w:vAlign w:val="bottom"/>
          </w:tcPr>
          <w:p w14:paraId="40619F3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26890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D63AF4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44819A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D0BD91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A93B8D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026212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71D2152D" w14:textId="448D182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127D3E9B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1433DFE" w14:textId="708A7FAD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52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Organismo de ejecución del UIT</w:t>
            </w:r>
            <w:r w:rsidR="00CD2DEA">
              <w:rPr>
                <w:rFonts w:eastAsia="Times New Roman"/>
                <w:sz w:val="22"/>
                <w:lang w:val="fr-FR"/>
              </w:rPr>
              <w:noBreakHyphen/>
            </w:r>
            <w:r w:rsidRPr="00C9129C">
              <w:rPr>
                <w:rFonts w:eastAsia="Times New Roman"/>
                <w:sz w:val="22"/>
                <w:lang w:val="fr-FR"/>
              </w:rPr>
              <w:t>D</w:t>
            </w:r>
          </w:p>
        </w:tc>
        <w:tc>
          <w:tcPr>
            <w:tcW w:w="696" w:type="dxa"/>
            <w:noWrap/>
            <w:vAlign w:val="bottom"/>
          </w:tcPr>
          <w:p w14:paraId="0BADE63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9663EA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27F3EA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692D5D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A23249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13FED1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77F17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1042" w:type="dxa"/>
            <w:noWrap/>
            <w:vAlign w:val="bottom"/>
          </w:tcPr>
          <w:p w14:paraId="20770EB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</w:tr>
      <w:tr w:rsidR="00F94009" w:rsidRPr="00010EDA" w14:paraId="61014D3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69D780E5" w14:textId="44BD0CF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55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Integración de la perspectiva de género</w:t>
            </w:r>
          </w:p>
        </w:tc>
        <w:tc>
          <w:tcPr>
            <w:tcW w:w="696" w:type="dxa"/>
            <w:noWrap/>
            <w:vAlign w:val="bottom"/>
          </w:tcPr>
          <w:p w14:paraId="0B78C11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2933D8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5AD5A0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7662EE5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C5F7EB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68D01F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A91C94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1042" w:type="dxa"/>
            <w:noWrap/>
            <w:vAlign w:val="bottom"/>
          </w:tcPr>
          <w:p w14:paraId="75E4AE5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</w:tr>
      <w:tr w:rsidR="00F94009" w:rsidRPr="00010EDA" w14:paraId="623EC8CA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9FC42E0" w14:textId="6F3947DD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57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Asistencia a Somalia</w:t>
            </w:r>
          </w:p>
        </w:tc>
        <w:tc>
          <w:tcPr>
            <w:tcW w:w="696" w:type="dxa"/>
            <w:noWrap/>
            <w:vAlign w:val="bottom"/>
          </w:tcPr>
          <w:p w14:paraId="2D9E439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B931AB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574E72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0D482A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3A454E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25AB3E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CB5954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3D2C297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</w:tr>
      <w:tr w:rsidR="00F94009" w:rsidRPr="00010EDA" w14:paraId="5BCF9A4C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DA9C713" w14:textId="6534A625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58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Accesibilidad a las TIC</w:t>
            </w:r>
          </w:p>
        </w:tc>
        <w:tc>
          <w:tcPr>
            <w:tcW w:w="696" w:type="dxa"/>
            <w:noWrap/>
            <w:vAlign w:val="bottom"/>
          </w:tcPr>
          <w:p w14:paraId="1546E7A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C3139D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696" w:type="dxa"/>
            <w:noWrap/>
            <w:vAlign w:val="bottom"/>
          </w:tcPr>
          <w:p w14:paraId="6785074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576347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2C8BAF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9B94C8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4B8C23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4F005BD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7</w:t>
            </w:r>
          </w:p>
        </w:tc>
      </w:tr>
      <w:tr w:rsidR="00F94009" w:rsidRPr="00010EDA" w14:paraId="768C7BCC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65F3DFC" w14:textId="5CB0EB6B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59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Coordinación intersectorial</w:t>
            </w:r>
          </w:p>
        </w:tc>
        <w:tc>
          <w:tcPr>
            <w:tcW w:w="696" w:type="dxa"/>
            <w:noWrap/>
            <w:vAlign w:val="bottom"/>
          </w:tcPr>
          <w:p w14:paraId="4ED9C75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3C1F3F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2B8C83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5E4862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AFC0A5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224B87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5C499E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6251C8A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36447EE6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67630FB" w14:textId="7ABBB0B4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60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Asistencia a Haití</w:t>
            </w:r>
          </w:p>
        </w:tc>
        <w:tc>
          <w:tcPr>
            <w:tcW w:w="696" w:type="dxa"/>
            <w:noWrap/>
            <w:vAlign w:val="bottom"/>
          </w:tcPr>
          <w:p w14:paraId="7F41C80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9A2986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DBD1FD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B7BBAC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4B909D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9BB0A4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786B7E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364954BC" w14:textId="73E532BD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00C169A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7CC505C8" w14:textId="26061CBB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62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Evaluación de la exposición a campos electromagnéticos</w:t>
            </w:r>
          </w:p>
        </w:tc>
        <w:tc>
          <w:tcPr>
            <w:tcW w:w="696" w:type="dxa"/>
            <w:noWrap/>
            <w:vAlign w:val="bottom"/>
          </w:tcPr>
          <w:p w14:paraId="2D7BCDC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19147F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D81D8C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966C15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613BA2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DD9A06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0EB12F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25426FA2" w14:textId="3AD865E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0AF89AB7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6FEF04E" w14:textId="45F55D65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63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Transición a IPv6</w:t>
            </w:r>
          </w:p>
        </w:tc>
        <w:tc>
          <w:tcPr>
            <w:tcW w:w="696" w:type="dxa"/>
            <w:noWrap/>
            <w:vAlign w:val="bottom"/>
          </w:tcPr>
          <w:p w14:paraId="4D55A28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947D66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3F879D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E6814A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9EE720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B98C16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E41080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4FDDCC6F" w14:textId="1ACB639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2EEFD15A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7E541087" w14:textId="10E630E2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64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Protección de los usuarios</w:t>
            </w:r>
          </w:p>
        </w:tc>
        <w:tc>
          <w:tcPr>
            <w:tcW w:w="696" w:type="dxa"/>
            <w:noWrap/>
            <w:vAlign w:val="bottom"/>
          </w:tcPr>
          <w:p w14:paraId="7A0B182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6A9AB6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620E97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7A9D87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9E243B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84BBDC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CBD863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2DD3BC6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</w:tr>
      <w:tr w:rsidR="00F94009" w:rsidRPr="00010EDA" w14:paraId="23A4DFB5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13F2EEE" w14:textId="6E57330D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66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TIC y medio ambiente</w:t>
            </w:r>
          </w:p>
        </w:tc>
        <w:tc>
          <w:tcPr>
            <w:tcW w:w="696" w:type="dxa"/>
            <w:noWrap/>
            <w:vAlign w:val="bottom"/>
          </w:tcPr>
          <w:p w14:paraId="2FF8340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FEFF88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41D6D8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7FF361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24CA379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C2862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DA13CC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1042" w:type="dxa"/>
            <w:noWrap/>
            <w:vAlign w:val="bottom"/>
          </w:tcPr>
          <w:p w14:paraId="3DA5FB4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</w:tr>
      <w:tr w:rsidR="00F94009" w:rsidRPr="00010EDA" w14:paraId="3A25B7A4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726D63C" w14:textId="356F2474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67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Protección de la infancia en línea</w:t>
            </w:r>
          </w:p>
        </w:tc>
        <w:tc>
          <w:tcPr>
            <w:tcW w:w="696" w:type="dxa"/>
            <w:noWrap/>
            <w:vAlign w:val="bottom"/>
          </w:tcPr>
          <w:p w14:paraId="77F5671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C81503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7EE82D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41DD1B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704078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0A1343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35CCC9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1A228A7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</w:tr>
      <w:tr w:rsidR="00F94009" w:rsidRPr="00010EDA" w14:paraId="6A553E26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402D6F5" w14:textId="4C8E26F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69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EIII nacionales</w:t>
            </w:r>
          </w:p>
        </w:tc>
        <w:tc>
          <w:tcPr>
            <w:tcW w:w="696" w:type="dxa"/>
            <w:noWrap/>
            <w:vAlign w:val="bottom"/>
          </w:tcPr>
          <w:p w14:paraId="0BFD60A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1272A75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696" w:type="dxa"/>
            <w:noWrap/>
            <w:vAlign w:val="bottom"/>
          </w:tcPr>
          <w:p w14:paraId="538B5E7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24B3161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562CED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AA6C6B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B21E01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4D9F10D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9</w:t>
            </w:r>
          </w:p>
        </w:tc>
      </w:tr>
      <w:tr w:rsidR="00F94009" w:rsidRPr="00010EDA" w14:paraId="30F5E894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633E2D4A" w14:textId="552BF94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71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Cooperación entre partes interesadas</w:t>
            </w:r>
          </w:p>
        </w:tc>
        <w:tc>
          <w:tcPr>
            <w:tcW w:w="696" w:type="dxa"/>
            <w:noWrap/>
            <w:vAlign w:val="bottom"/>
          </w:tcPr>
          <w:p w14:paraId="635C68E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B30DA1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C2B16A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2C1088A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156C71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921343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9DE1BC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  <w:tc>
          <w:tcPr>
            <w:tcW w:w="1042" w:type="dxa"/>
            <w:noWrap/>
            <w:vAlign w:val="bottom"/>
          </w:tcPr>
          <w:p w14:paraId="78DC27F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6</w:t>
            </w:r>
          </w:p>
        </w:tc>
      </w:tr>
      <w:tr w:rsidR="00F94009" w:rsidRPr="00010EDA" w14:paraId="4C2AEB8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64E831EE" w14:textId="3A75523A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73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Centros de la Academia de la UIT</w:t>
            </w:r>
          </w:p>
        </w:tc>
        <w:tc>
          <w:tcPr>
            <w:tcW w:w="696" w:type="dxa"/>
            <w:noWrap/>
            <w:vAlign w:val="bottom"/>
          </w:tcPr>
          <w:p w14:paraId="3AD0723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69B9AFD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39CD15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217831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B0DFC8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429E813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5D0239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2CF19D4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</w:tr>
      <w:tr w:rsidR="00F94009" w:rsidRPr="00010EDA" w14:paraId="30479692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259A923B" w14:textId="57205510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75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Apoyo a Smart Africa</w:t>
            </w:r>
          </w:p>
        </w:tc>
        <w:tc>
          <w:tcPr>
            <w:tcW w:w="696" w:type="dxa"/>
            <w:noWrap/>
            <w:vAlign w:val="bottom"/>
          </w:tcPr>
          <w:p w14:paraId="35E8A26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8AAE90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FBAF12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1C190A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9D70E5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4DF7D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2AFEC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187DE1AE" w14:textId="07B90CBA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2303FB93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5682805" w14:textId="093E256B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76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Empoderamiento de los jóvenes</w:t>
            </w:r>
          </w:p>
        </w:tc>
        <w:tc>
          <w:tcPr>
            <w:tcW w:w="696" w:type="dxa"/>
            <w:noWrap/>
            <w:vAlign w:val="bottom"/>
          </w:tcPr>
          <w:p w14:paraId="47D41E8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2FA3412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506A26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0A8FFB5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0AB0B5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CDF837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5C34B2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2027696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6</w:t>
            </w:r>
          </w:p>
        </w:tc>
      </w:tr>
      <w:tr w:rsidR="00F94009" w:rsidRPr="00010EDA" w14:paraId="480A164D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6AD6F7BD" w14:textId="750A727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77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Despliegue de la banda ancha</w:t>
            </w:r>
          </w:p>
        </w:tc>
        <w:tc>
          <w:tcPr>
            <w:tcW w:w="696" w:type="dxa"/>
            <w:noWrap/>
            <w:vAlign w:val="bottom"/>
          </w:tcPr>
          <w:p w14:paraId="53EAF67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7FED16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5B36A6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4F04D3B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73A1FF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BE836F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690A5F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263B326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</w:tr>
      <w:tr w:rsidR="00F94009" w:rsidRPr="00010EDA" w14:paraId="35DC147A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4606633C" w14:textId="299E5B1E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78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Utilización indebida de recursos de numeración</w:t>
            </w:r>
          </w:p>
        </w:tc>
        <w:tc>
          <w:tcPr>
            <w:tcW w:w="696" w:type="dxa"/>
            <w:noWrap/>
            <w:vAlign w:val="bottom"/>
          </w:tcPr>
          <w:p w14:paraId="7E19D7C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077C51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DD1988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D4D58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C1039C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585D89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D218E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49114049" w14:textId="6129DFC2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686CCE66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70A4BA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 xml:space="preserve">Res. 79 – Falsificación de dispositivos </w:t>
            </w:r>
          </w:p>
        </w:tc>
        <w:tc>
          <w:tcPr>
            <w:tcW w:w="696" w:type="dxa"/>
            <w:noWrap/>
            <w:vAlign w:val="bottom"/>
          </w:tcPr>
          <w:p w14:paraId="4104725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2A39AC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9755A9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622648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078201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B739B9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D2416F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3C92D7C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45344137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3137087B" w14:textId="7B86D7C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80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Marcos digitales de confianza</w:t>
            </w:r>
          </w:p>
        </w:tc>
        <w:tc>
          <w:tcPr>
            <w:tcW w:w="696" w:type="dxa"/>
            <w:noWrap/>
            <w:vAlign w:val="bottom"/>
          </w:tcPr>
          <w:p w14:paraId="274D1FF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54D012E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D732A3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628A16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FC4E98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04086B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67DC34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1B91A5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583C2498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0B6AB02" w14:textId="7335DAD3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lastRenderedPageBreak/>
              <w:t>Res. 82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Plurilingüismo en Internet</w:t>
            </w:r>
          </w:p>
        </w:tc>
        <w:tc>
          <w:tcPr>
            <w:tcW w:w="696" w:type="dxa"/>
            <w:noWrap/>
            <w:vAlign w:val="bottom"/>
          </w:tcPr>
          <w:p w14:paraId="7ACB1EE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D6D601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480BD4A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8EAE2E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60F09D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9F93BB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975E28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6A8054A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5DE857EB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654AF37" w14:textId="736DDD34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83</w:t>
            </w:r>
            <w:r w:rsidR="00CD2DEA">
              <w:rPr>
                <w:rFonts w:eastAsia="Times New Roman"/>
                <w:sz w:val="22"/>
                <w:lang w:val="fr-FR"/>
              </w:rPr>
              <w:t xml:space="preserve"> – </w:t>
            </w:r>
            <w:r w:rsidRPr="00C9129C">
              <w:rPr>
                <w:rFonts w:eastAsia="Times New Roman"/>
                <w:sz w:val="22"/>
                <w:lang w:val="fr-FR"/>
              </w:rPr>
              <w:t>Asistencia a Libia</w:t>
            </w:r>
          </w:p>
        </w:tc>
        <w:tc>
          <w:tcPr>
            <w:tcW w:w="696" w:type="dxa"/>
            <w:noWrap/>
            <w:vAlign w:val="bottom"/>
          </w:tcPr>
          <w:p w14:paraId="49D29C3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FBF852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1650D1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CB38A2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EC8353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1AD5AA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27BF8A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48FE46A1" w14:textId="1E7A0B6B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70F0ACF1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3581AC83" w14:textId="513E18EA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 xml:space="preserve">Res. 84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Robo de dispositivos móviles</w:t>
            </w:r>
          </w:p>
        </w:tc>
        <w:tc>
          <w:tcPr>
            <w:tcW w:w="696" w:type="dxa"/>
            <w:noWrap/>
            <w:vAlign w:val="bottom"/>
          </w:tcPr>
          <w:p w14:paraId="4AC3E4C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82C48D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5F3097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7BEFE4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52D16A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DC9BA2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EF6AB8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481F3994" w14:textId="63856F2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12E102EE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C279302" w14:textId="0A4BE8C1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85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IoT y ciudades inteligentes</w:t>
            </w:r>
          </w:p>
        </w:tc>
        <w:tc>
          <w:tcPr>
            <w:tcW w:w="696" w:type="dxa"/>
            <w:noWrap/>
            <w:vAlign w:val="bottom"/>
          </w:tcPr>
          <w:p w14:paraId="753F9E7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4B0681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E973C0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2AE6154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7CA5A7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8FD911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2B44E5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5A2D31E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  <w:tr w:rsidR="00F94009" w:rsidRPr="00010EDA" w14:paraId="20BA4406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D3A26EC" w14:textId="1FFD28CC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87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Conectividad escolar</w:t>
            </w:r>
          </w:p>
        </w:tc>
        <w:tc>
          <w:tcPr>
            <w:tcW w:w="696" w:type="dxa"/>
            <w:noWrap/>
            <w:vAlign w:val="bottom"/>
          </w:tcPr>
          <w:p w14:paraId="1AF409F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F30427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971DBD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00BAB6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ABCA37C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1D87D9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9564CB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  <w:tc>
          <w:tcPr>
            <w:tcW w:w="1042" w:type="dxa"/>
            <w:noWrap/>
            <w:vAlign w:val="bottom"/>
          </w:tcPr>
          <w:p w14:paraId="7EC9D9E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3</w:t>
            </w:r>
          </w:p>
        </w:tc>
      </w:tr>
      <w:tr w:rsidR="00F94009" w:rsidRPr="00010EDA" w14:paraId="6A0BB18E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24D05573" w14:textId="4E12DFA4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88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Partner2Connect</w:t>
            </w:r>
          </w:p>
        </w:tc>
        <w:tc>
          <w:tcPr>
            <w:tcW w:w="696" w:type="dxa"/>
            <w:noWrap/>
            <w:vAlign w:val="bottom"/>
          </w:tcPr>
          <w:p w14:paraId="676AEA4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696" w:type="dxa"/>
            <w:noWrap/>
            <w:vAlign w:val="bottom"/>
          </w:tcPr>
          <w:p w14:paraId="0BA9926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</w:t>
            </w:r>
          </w:p>
        </w:tc>
        <w:tc>
          <w:tcPr>
            <w:tcW w:w="696" w:type="dxa"/>
            <w:noWrap/>
            <w:vAlign w:val="bottom"/>
          </w:tcPr>
          <w:p w14:paraId="036294F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7F9CB3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4F667C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BF92DD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16163E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704389D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9</w:t>
            </w:r>
          </w:p>
        </w:tc>
      </w:tr>
      <w:tr w:rsidR="00F94009" w:rsidRPr="00010EDA" w14:paraId="48346C2F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DA7741E" w14:textId="451A85FF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89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Transformación digital</w:t>
            </w:r>
          </w:p>
        </w:tc>
        <w:tc>
          <w:tcPr>
            <w:tcW w:w="696" w:type="dxa"/>
            <w:noWrap/>
            <w:vAlign w:val="bottom"/>
          </w:tcPr>
          <w:p w14:paraId="7C1E937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9</w:t>
            </w:r>
          </w:p>
        </w:tc>
        <w:tc>
          <w:tcPr>
            <w:tcW w:w="696" w:type="dxa"/>
            <w:noWrap/>
            <w:vAlign w:val="bottom"/>
          </w:tcPr>
          <w:p w14:paraId="3C0B292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13</w:t>
            </w:r>
          </w:p>
        </w:tc>
        <w:tc>
          <w:tcPr>
            <w:tcW w:w="696" w:type="dxa"/>
            <w:noWrap/>
            <w:vAlign w:val="bottom"/>
          </w:tcPr>
          <w:p w14:paraId="13365B3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4</w:t>
            </w:r>
          </w:p>
        </w:tc>
        <w:tc>
          <w:tcPr>
            <w:tcW w:w="696" w:type="dxa"/>
            <w:noWrap/>
            <w:vAlign w:val="bottom"/>
          </w:tcPr>
          <w:p w14:paraId="2756209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9</w:t>
            </w:r>
          </w:p>
        </w:tc>
        <w:tc>
          <w:tcPr>
            <w:tcW w:w="696" w:type="dxa"/>
            <w:noWrap/>
            <w:vAlign w:val="bottom"/>
          </w:tcPr>
          <w:p w14:paraId="2E2D82B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22FBBCD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696" w:type="dxa"/>
            <w:noWrap/>
            <w:vAlign w:val="bottom"/>
          </w:tcPr>
          <w:p w14:paraId="2E880CE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12</w:t>
            </w:r>
          </w:p>
        </w:tc>
        <w:tc>
          <w:tcPr>
            <w:tcW w:w="1042" w:type="dxa"/>
            <w:noWrap/>
            <w:vAlign w:val="bottom"/>
          </w:tcPr>
          <w:p w14:paraId="3462AA8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51</w:t>
            </w:r>
          </w:p>
        </w:tc>
      </w:tr>
      <w:tr w:rsidR="00F94009" w:rsidRPr="00010EDA" w14:paraId="461A8986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E2725F0" w14:textId="2593654D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90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Innovación digital</w:t>
            </w:r>
          </w:p>
        </w:tc>
        <w:tc>
          <w:tcPr>
            <w:tcW w:w="696" w:type="dxa"/>
            <w:noWrap/>
            <w:vAlign w:val="bottom"/>
          </w:tcPr>
          <w:p w14:paraId="5EE71A0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62DDDD4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47EADC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696" w:type="dxa"/>
            <w:noWrap/>
            <w:vAlign w:val="bottom"/>
          </w:tcPr>
          <w:p w14:paraId="3ADCB17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F90C88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069693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6F52C3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6</w:t>
            </w:r>
          </w:p>
        </w:tc>
        <w:tc>
          <w:tcPr>
            <w:tcW w:w="1042" w:type="dxa"/>
            <w:noWrap/>
            <w:vAlign w:val="bottom"/>
          </w:tcPr>
          <w:p w14:paraId="16AEAC7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8</w:t>
            </w:r>
          </w:p>
        </w:tc>
      </w:tr>
      <w:tr w:rsidR="00F94009" w:rsidRPr="00010EDA" w14:paraId="4CDDD119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031ABA0B" w14:textId="22A1F06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</w:t>
            </w:r>
            <w:r w:rsidR="00482A98">
              <w:rPr>
                <w:rFonts w:eastAsia="Times New Roman"/>
                <w:sz w:val="22"/>
                <w:lang w:val="fr-FR"/>
              </w:rPr>
              <w:t>.</w:t>
            </w:r>
            <w:r w:rsidRPr="00C9129C">
              <w:rPr>
                <w:rFonts w:eastAsia="Times New Roman"/>
                <w:sz w:val="22"/>
                <w:lang w:val="fr-FR"/>
              </w:rPr>
              <w:t xml:space="preserve"> 91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Inteligencia artificial (ADD)</w:t>
            </w:r>
          </w:p>
        </w:tc>
        <w:tc>
          <w:tcPr>
            <w:tcW w:w="696" w:type="dxa"/>
            <w:noWrap/>
            <w:vAlign w:val="bottom"/>
          </w:tcPr>
          <w:p w14:paraId="335FDBBD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6</w:t>
            </w:r>
          </w:p>
        </w:tc>
        <w:tc>
          <w:tcPr>
            <w:tcW w:w="696" w:type="dxa"/>
            <w:noWrap/>
            <w:vAlign w:val="bottom"/>
          </w:tcPr>
          <w:p w14:paraId="7F7DADC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13</w:t>
            </w:r>
          </w:p>
        </w:tc>
        <w:tc>
          <w:tcPr>
            <w:tcW w:w="696" w:type="dxa"/>
            <w:noWrap/>
            <w:vAlign w:val="bottom"/>
          </w:tcPr>
          <w:p w14:paraId="1380FDD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6970AD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B874C2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081EFB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63D59D6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1503C65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20</w:t>
            </w:r>
          </w:p>
        </w:tc>
      </w:tr>
      <w:tr w:rsidR="00F94009" w:rsidRPr="00010EDA" w14:paraId="16371EA1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74AB9AD3" w14:textId="50383F26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92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Oficinas Regionales (ADD)</w:t>
            </w:r>
          </w:p>
        </w:tc>
        <w:tc>
          <w:tcPr>
            <w:tcW w:w="696" w:type="dxa"/>
            <w:noWrap/>
            <w:vAlign w:val="bottom"/>
          </w:tcPr>
          <w:p w14:paraId="765F7C52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83156B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7D981B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E529A14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1EDE57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E896EF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9728D9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  <w:tc>
          <w:tcPr>
            <w:tcW w:w="1042" w:type="dxa"/>
            <w:noWrap/>
            <w:vAlign w:val="bottom"/>
          </w:tcPr>
          <w:p w14:paraId="7AAE927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2</w:t>
            </w:r>
          </w:p>
        </w:tc>
      </w:tr>
      <w:tr w:rsidR="00F94009" w:rsidRPr="00010EDA" w14:paraId="11D7C360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5B9ED024" w14:textId="38CB381A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93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Asistencia a Sudán (ADD)</w:t>
            </w:r>
          </w:p>
        </w:tc>
        <w:tc>
          <w:tcPr>
            <w:tcW w:w="696" w:type="dxa"/>
            <w:noWrap/>
            <w:vAlign w:val="bottom"/>
          </w:tcPr>
          <w:p w14:paraId="76A3E41E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8735A73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4C61918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618677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14548E0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A095F4A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34997047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042" w:type="dxa"/>
            <w:noWrap/>
            <w:vAlign w:val="bottom"/>
          </w:tcPr>
          <w:p w14:paraId="7D75234A" w14:textId="11061665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(*</w:t>
            </w:r>
            <w:r w:rsidRPr="00BE4BE9">
              <w:rPr>
                <w:rFonts w:eastAsia="Times New Roman"/>
                <w:sz w:val="22"/>
                <w:vertAlign w:val="superscript"/>
                <w:lang w:val="fr-FR"/>
              </w:rPr>
              <w:t>2</w:t>
            </w:r>
            <w:r w:rsidRPr="00C9129C">
              <w:rPr>
                <w:rFonts w:eastAsia="Times New Roman"/>
                <w:sz w:val="22"/>
                <w:lang w:val="fr-FR"/>
              </w:rPr>
              <w:t>)</w:t>
            </w:r>
          </w:p>
        </w:tc>
      </w:tr>
      <w:tr w:rsidR="00F94009" w:rsidRPr="00010EDA" w14:paraId="3826FC0F" w14:textId="77777777" w:rsidTr="00C9129C">
        <w:trPr>
          <w:trHeight w:val="298"/>
          <w:jc w:val="center"/>
        </w:trPr>
        <w:tc>
          <w:tcPr>
            <w:tcW w:w="3980" w:type="dxa"/>
            <w:noWrap/>
            <w:vAlign w:val="bottom"/>
          </w:tcPr>
          <w:p w14:paraId="1D6EE629" w14:textId="5196DDE9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Res. 94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="000A10B2" w:rsidRPr="000A10B2">
              <w:rPr>
                <w:rFonts w:eastAsia="Times New Roman"/>
                <w:sz w:val="22"/>
                <w:lang w:val="fr-FR"/>
              </w:rPr>
              <w:t>–</w:t>
            </w:r>
            <w:r w:rsidR="000A10B2" w:rsidRPr="00C9129C">
              <w:rPr>
                <w:rFonts w:eastAsia="Times New Roman"/>
                <w:sz w:val="22"/>
                <w:lang w:val="fr-FR"/>
              </w:rPr>
              <w:t xml:space="preserve"> </w:t>
            </w:r>
            <w:r w:rsidRPr="00C9129C">
              <w:rPr>
                <w:rFonts w:eastAsia="Times New Roman"/>
                <w:sz w:val="22"/>
                <w:lang w:val="fr-FR"/>
              </w:rPr>
              <w:t>Transformación digital en el Pacífico (ADD)</w:t>
            </w:r>
          </w:p>
        </w:tc>
        <w:tc>
          <w:tcPr>
            <w:tcW w:w="696" w:type="dxa"/>
            <w:noWrap/>
            <w:vAlign w:val="bottom"/>
          </w:tcPr>
          <w:p w14:paraId="428073C8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54E6A509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2F561AE5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55287C1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1A2EB24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0C7B4736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696" w:type="dxa"/>
            <w:noWrap/>
            <w:vAlign w:val="bottom"/>
          </w:tcPr>
          <w:p w14:paraId="7067932B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  <w:tc>
          <w:tcPr>
            <w:tcW w:w="1042" w:type="dxa"/>
            <w:noWrap/>
            <w:vAlign w:val="bottom"/>
          </w:tcPr>
          <w:p w14:paraId="5085CD6F" w14:textId="77777777" w:rsidR="00F94009" w:rsidRPr="00C9129C" w:rsidRDefault="00F94009" w:rsidP="00C9129C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C9129C">
              <w:rPr>
                <w:rFonts w:eastAsia="Times New Roman"/>
                <w:sz w:val="22"/>
                <w:lang w:val="fr-FR"/>
              </w:rPr>
              <w:t>1</w:t>
            </w:r>
          </w:p>
        </w:tc>
      </w:tr>
    </w:tbl>
    <w:p w14:paraId="077A867C" w14:textId="77777777" w:rsidR="00521D40" w:rsidRDefault="00F94009" w:rsidP="00521D40">
      <w:pPr>
        <w:spacing w:before="0"/>
        <w:ind w:left="272"/>
        <w:rPr>
          <w:rFonts w:cstheme="minorHAnsi"/>
          <w:sz w:val="18"/>
          <w:szCs w:val="18"/>
          <w:lang w:val="es-ES"/>
        </w:rPr>
      </w:pPr>
      <w:r w:rsidRPr="00010EDA">
        <w:rPr>
          <w:rFonts w:cstheme="minorHAnsi"/>
          <w:sz w:val="18"/>
          <w:szCs w:val="18"/>
          <w:lang w:val="es-ES"/>
        </w:rPr>
        <w:t>(*1)</w:t>
      </w:r>
      <w:r w:rsidR="00C9129C">
        <w:rPr>
          <w:rFonts w:cstheme="minorHAnsi"/>
          <w:sz w:val="18"/>
          <w:szCs w:val="18"/>
          <w:lang w:val="es-ES"/>
        </w:rPr>
        <w:tab/>
      </w:r>
      <w:r w:rsidRPr="00010EDA">
        <w:rPr>
          <w:rFonts w:cstheme="minorHAnsi"/>
          <w:sz w:val="18"/>
          <w:szCs w:val="18"/>
          <w:lang w:val="es-ES"/>
        </w:rPr>
        <w:t xml:space="preserve">Proyectos multirregionales </w:t>
      </w:r>
      <w:r>
        <w:rPr>
          <w:rFonts w:cstheme="minorHAnsi"/>
          <w:sz w:val="18"/>
          <w:szCs w:val="18"/>
          <w:lang w:val="es-ES"/>
        </w:rPr>
        <w:t>en beneficio de</w:t>
      </w:r>
      <w:r w:rsidRPr="00010EDA">
        <w:rPr>
          <w:rFonts w:cstheme="minorHAnsi"/>
          <w:sz w:val="18"/>
          <w:szCs w:val="18"/>
          <w:lang w:val="es-ES"/>
        </w:rPr>
        <w:t xml:space="preserve"> todas las regiones</w:t>
      </w:r>
      <w:r w:rsidRPr="00010EDA">
        <w:rPr>
          <w:rFonts w:cstheme="minorHAnsi"/>
          <w:sz w:val="18"/>
          <w:szCs w:val="18"/>
          <w:lang w:val="es-ES"/>
        </w:rPr>
        <w:br/>
        <w:t>(*2)</w:t>
      </w:r>
      <w:r w:rsidR="00C9129C">
        <w:rPr>
          <w:rFonts w:cstheme="minorHAnsi"/>
          <w:sz w:val="18"/>
          <w:szCs w:val="18"/>
          <w:lang w:val="es-ES"/>
        </w:rPr>
        <w:tab/>
      </w:r>
      <w:r>
        <w:rPr>
          <w:rFonts w:cstheme="minorHAnsi"/>
          <w:sz w:val="18"/>
          <w:szCs w:val="18"/>
          <w:lang w:val="es-ES"/>
        </w:rPr>
        <w:t>No existen</w:t>
      </w:r>
      <w:r w:rsidRPr="00010EDA">
        <w:rPr>
          <w:rFonts w:cstheme="minorHAnsi"/>
          <w:sz w:val="18"/>
          <w:szCs w:val="18"/>
          <w:lang w:val="es-ES"/>
        </w:rPr>
        <w:t xml:space="preserve"> proyectos en curso que contribuyan a la aplicación de esta </w:t>
      </w:r>
      <w:r>
        <w:rPr>
          <w:rFonts w:cstheme="minorHAnsi"/>
          <w:sz w:val="18"/>
          <w:szCs w:val="18"/>
          <w:lang w:val="es-ES"/>
        </w:rPr>
        <w:t>R</w:t>
      </w:r>
      <w:r w:rsidRPr="00010EDA">
        <w:rPr>
          <w:rFonts w:cstheme="minorHAnsi"/>
          <w:sz w:val="18"/>
          <w:szCs w:val="18"/>
          <w:lang w:val="es-ES"/>
        </w:rPr>
        <w:t>esolución</w:t>
      </w:r>
    </w:p>
    <w:p w14:paraId="49CD7197" w14:textId="028609C9" w:rsidR="00C9129C" w:rsidRDefault="00F94009" w:rsidP="00521D40">
      <w:pPr>
        <w:spacing w:before="0"/>
        <w:ind w:left="272"/>
        <w:rPr>
          <w:rFonts w:cstheme="minorHAnsi"/>
          <w:sz w:val="18"/>
          <w:szCs w:val="18"/>
          <w:lang w:val="es-ES"/>
        </w:rPr>
      </w:pPr>
      <w:r w:rsidRPr="00010EDA">
        <w:rPr>
          <w:rFonts w:cstheme="minorHAnsi"/>
          <w:sz w:val="18"/>
          <w:szCs w:val="18"/>
          <w:lang w:val="es-ES"/>
        </w:rPr>
        <w:t>(ADD)</w:t>
      </w:r>
      <w:r w:rsidR="00C9129C">
        <w:rPr>
          <w:rFonts w:cstheme="minorHAnsi"/>
          <w:sz w:val="18"/>
          <w:szCs w:val="18"/>
          <w:lang w:val="es-ES"/>
        </w:rPr>
        <w:tab/>
      </w:r>
      <w:r w:rsidRPr="00010EDA">
        <w:rPr>
          <w:rFonts w:cstheme="minorHAnsi"/>
          <w:sz w:val="18"/>
          <w:szCs w:val="18"/>
          <w:lang w:val="es-ES"/>
        </w:rPr>
        <w:t>Nuevas</w:t>
      </w:r>
      <w:r>
        <w:rPr>
          <w:rFonts w:cstheme="minorHAnsi"/>
          <w:sz w:val="18"/>
          <w:szCs w:val="18"/>
          <w:lang w:val="es-ES"/>
        </w:rPr>
        <w:t xml:space="preserve"> R</w:t>
      </w:r>
      <w:r w:rsidRPr="00010EDA">
        <w:rPr>
          <w:rFonts w:cstheme="minorHAnsi"/>
          <w:sz w:val="18"/>
          <w:szCs w:val="18"/>
          <w:lang w:val="es-ES"/>
        </w:rPr>
        <w:t>esoluciones adoptadas en la CMDT-25</w:t>
      </w:r>
    </w:p>
    <w:p w14:paraId="0D0F1ACB" w14:textId="4B319FD4" w:rsidR="00F94009" w:rsidRPr="00010EDA" w:rsidRDefault="00F94009" w:rsidP="00521D40">
      <w:pPr>
        <w:rPr>
          <w:lang w:val="es-ES"/>
        </w:rPr>
      </w:pPr>
      <w:r w:rsidRPr="00010EDA">
        <w:rPr>
          <w:rFonts w:eastAsia="SimSun"/>
          <w:spacing w:val="-2"/>
          <w:lang w:val="es-ES"/>
        </w:rPr>
        <w:t xml:space="preserve">El cuadro anterior confirma que </w:t>
      </w:r>
      <w:r w:rsidRPr="00010EDA">
        <w:rPr>
          <w:lang w:val="es-ES"/>
        </w:rPr>
        <w:t xml:space="preserve">los proyectos del UIT-D desempeñan un papel fundamental </w:t>
      </w:r>
      <w:r>
        <w:rPr>
          <w:lang w:val="es-ES"/>
        </w:rPr>
        <w:t>en el plano operacional</w:t>
      </w:r>
      <w:r w:rsidRPr="00010EDA">
        <w:rPr>
          <w:lang w:val="es-ES"/>
        </w:rPr>
        <w:t xml:space="preserve"> </w:t>
      </w:r>
      <w:r>
        <w:rPr>
          <w:lang w:val="es-ES"/>
        </w:rPr>
        <w:t xml:space="preserve">para cumplir </w:t>
      </w:r>
      <w:r w:rsidRPr="00010EDA">
        <w:rPr>
          <w:lang w:val="es-ES"/>
        </w:rPr>
        <w:t xml:space="preserve">el mandato encomendado por la CMDT, al incorporar las instrucciones específicas de las Resoluciones de la CMDT en la labor de los proyectos. Todos los proyectos del UIT-D </w:t>
      </w:r>
      <w:r>
        <w:rPr>
          <w:lang w:val="es-ES"/>
        </w:rPr>
        <w:t>poseen</w:t>
      </w:r>
      <w:r w:rsidRPr="00010EDA">
        <w:rPr>
          <w:lang w:val="es-ES"/>
        </w:rPr>
        <w:t xml:space="preserve"> indicadores </w:t>
      </w:r>
      <w:r>
        <w:rPr>
          <w:lang w:val="es-ES"/>
        </w:rPr>
        <w:t>fundamentales</w:t>
      </w:r>
      <w:r w:rsidRPr="00010EDA">
        <w:rPr>
          <w:lang w:val="es-ES"/>
        </w:rPr>
        <w:t xml:space="preserve"> de rendimiento y marcos de resultados claramente definidos y aplican principios de gestión basada en los resultados en </w:t>
      </w:r>
      <w:r>
        <w:rPr>
          <w:lang w:val="es-ES"/>
        </w:rPr>
        <w:t>el cumplimiento</w:t>
      </w:r>
      <w:r w:rsidRPr="00010EDA">
        <w:rPr>
          <w:lang w:val="es-ES"/>
        </w:rPr>
        <w:t xml:space="preserve"> de las Resoluciones de la CMDT, lo que aporta mayor claridad sobre los </w:t>
      </w:r>
      <w:r>
        <w:rPr>
          <w:lang w:val="es-ES"/>
        </w:rPr>
        <w:t>resultados que se prevén</w:t>
      </w:r>
      <w:r w:rsidRPr="00010EDA">
        <w:rPr>
          <w:lang w:val="es-ES"/>
        </w:rPr>
        <w:t xml:space="preserve"> a lo largo del ciclo de la CMDT-25. </w:t>
      </w:r>
    </w:p>
    <w:p w14:paraId="1783A814" w14:textId="293D5CA8" w:rsidR="00F94009" w:rsidRPr="00010EDA" w:rsidRDefault="00C9129C" w:rsidP="00C9129C">
      <w:pPr>
        <w:pStyle w:val="Heading1"/>
        <w:rPr>
          <w:rFonts w:cstheme="minorHAnsi"/>
          <w:b w:val="0"/>
          <w:szCs w:val="24"/>
          <w:lang w:val="es-ES"/>
        </w:rPr>
      </w:pPr>
      <w:r>
        <w:rPr>
          <w:rFonts w:cstheme="minorHAnsi"/>
          <w:szCs w:val="24"/>
          <w:lang w:val="es-ES"/>
        </w:rPr>
        <w:t>3</w:t>
      </w:r>
      <w:r>
        <w:rPr>
          <w:rFonts w:cstheme="minorHAnsi"/>
          <w:szCs w:val="24"/>
          <w:lang w:val="es-ES"/>
        </w:rPr>
        <w:tab/>
      </w:r>
      <w:r w:rsidR="00F94009">
        <w:rPr>
          <w:rFonts w:cstheme="minorHAnsi"/>
          <w:szCs w:val="24"/>
          <w:lang w:val="es-ES"/>
        </w:rPr>
        <w:t>Examen de</w:t>
      </w:r>
      <w:r w:rsidR="00F94009" w:rsidRPr="00010EDA">
        <w:rPr>
          <w:rFonts w:cstheme="minorHAnsi"/>
          <w:szCs w:val="24"/>
          <w:lang w:val="es-ES"/>
        </w:rPr>
        <w:t xml:space="preserve"> las repercusiones financieras del Plan de Acción de Bakú </w:t>
      </w:r>
      <w:r w:rsidR="00F94009">
        <w:rPr>
          <w:rFonts w:cstheme="minorHAnsi"/>
          <w:szCs w:val="24"/>
          <w:lang w:val="es-ES"/>
        </w:rPr>
        <w:t>en el marco de</w:t>
      </w:r>
      <w:r w:rsidR="00F94009" w:rsidRPr="00010EDA">
        <w:rPr>
          <w:rFonts w:cstheme="minorHAnsi"/>
          <w:szCs w:val="24"/>
          <w:lang w:val="es-ES"/>
        </w:rPr>
        <w:t xml:space="preserve"> proyectos del UIT-D</w:t>
      </w:r>
    </w:p>
    <w:p w14:paraId="30D3C1F0" w14:textId="77777777" w:rsidR="00F94009" w:rsidRPr="00010EDA" w:rsidRDefault="00F94009" w:rsidP="00521D40">
      <w:pPr>
        <w:rPr>
          <w:lang w:val="es-ES"/>
        </w:rPr>
      </w:pPr>
      <w:r w:rsidRPr="00010EDA">
        <w:rPr>
          <w:lang w:val="es-ES"/>
        </w:rPr>
        <w:t xml:space="preserve">La </w:t>
      </w:r>
      <w:r w:rsidRPr="00CC2E98">
        <w:rPr>
          <w:color w:val="000000" w:themeColor="text1"/>
          <w:lang w:val="es-ES"/>
        </w:rPr>
        <w:t>CMDT</w:t>
      </w:r>
      <w:r w:rsidRPr="00010EDA">
        <w:rPr>
          <w:lang w:val="es-ES"/>
        </w:rPr>
        <w:t xml:space="preserve">-25 adoptó varias </w:t>
      </w:r>
      <w:r>
        <w:rPr>
          <w:lang w:val="es-ES"/>
        </w:rPr>
        <w:t>R</w:t>
      </w:r>
      <w:r w:rsidRPr="00010EDA">
        <w:rPr>
          <w:lang w:val="es-ES"/>
        </w:rPr>
        <w:t xml:space="preserve">esoluciones nuevas y revisadas que introducen actividades, estudios, programas de formación y actividades de </w:t>
      </w:r>
      <w:r>
        <w:rPr>
          <w:lang w:val="es-ES"/>
        </w:rPr>
        <w:t>capacitación</w:t>
      </w:r>
      <w:r w:rsidRPr="00010EDA">
        <w:rPr>
          <w:lang w:val="es-ES"/>
        </w:rPr>
        <w:t xml:space="preserve"> adicionales que </w:t>
      </w:r>
      <w:r>
        <w:rPr>
          <w:lang w:val="es-ES"/>
        </w:rPr>
        <w:t>conllevarán</w:t>
      </w:r>
      <w:r w:rsidRPr="00010EDA">
        <w:rPr>
          <w:lang w:val="es-ES"/>
        </w:rPr>
        <w:t xml:space="preserve"> costes </w:t>
      </w:r>
      <w:r>
        <w:rPr>
          <w:lang w:val="es-ES"/>
        </w:rPr>
        <w:t xml:space="preserve">sustanciales </w:t>
      </w:r>
      <w:r w:rsidRPr="00010EDA">
        <w:rPr>
          <w:lang w:val="es-ES"/>
        </w:rPr>
        <w:t xml:space="preserve">a lo largo de los próximos cuatro años. La estimación realizada por la COM2 se </w:t>
      </w:r>
      <w:r>
        <w:rPr>
          <w:lang w:val="es-ES"/>
        </w:rPr>
        <w:t>efectuó</w:t>
      </w:r>
      <w:r w:rsidRPr="00010EDA">
        <w:rPr>
          <w:lang w:val="es-ES"/>
        </w:rPr>
        <w:t xml:space="preserve"> </w:t>
      </w:r>
      <w:r>
        <w:rPr>
          <w:lang w:val="es-ES"/>
        </w:rPr>
        <w:t>con arreglo al</w:t>
      </w:r>
      <w:r w:rsidRPr="00010EDA">
        <w:rPr>
          <w:lang w:val="es-ES"/>
        </w:rPr>
        <w:t xml:space="preserve"> enfoque de </w:t>
      </w:r>
      <w:r>
        <w:rPr>
          <w:lang w:val="es-ES"/>
        </w:rPr>
        <w:t>examinar las</w:t>
      </w:r>
      <w:r w:rsidRPr="00010EDA">
        <w:rPr>
          <w:lang w:val="es-ES"/>
        </w:rPr>
        <w:t xml:space="preserve"> nuevas instrucciones a través del presupuesto ordinario</w:t>
      </w:r>
      <w:r>
        <w:rPr>
          <w:lang w:val="es-ES"/>
        </w:rPr>
        <w:t>,</w:t>
      </w:r>
      <w:r w:rsidRPr="00010EDA">
        <w:rPr>
          <w:lang w:val="es-ES"/>
        </w:rPr>
        <w:t xml:space="preserve"> mediante acciones como la contratación de nuevos puestos de expertos, la organización de nuevos eventos o la asignación de nuevos fondos para becas, entre otros gastos. </w:t>
      </w:r>
    </w:p>
    <w:p w14:paraId="46C3D048" w14:textId="77777777" w:rsidR="00F94009" w:rsidRPr="00010EDA" w:rsidRDefault="00F94009" w:rsidP="00521D40">
      <w:pPr>
        <w:rPr>
          <w:lang w:val="es-ES"/>
        </w:rPr>
      </w:pPr>
      <w:r w:rsidRPr="00010EDA">
        <w:rPr>
          <w:rFonts w:eastAsia="SimSun"/>
          <w:spacing w:val="-2"/>
          <w:lang w:val="es-ES"/>
        </w:rPr>
        <w:t xml:space="preserve">Sin embargo, existe otro enfoque posible. </w:t>
      </w:r>
      <w:r w:rsidRPr="00010EDA">
        <w:rPr>
          <w:lang w:val="es-ES"/>
        </w:rPr>
        <w:t xml:space="preserve">La BDT ya ha comenzado a aplicar el Plan de Acción de Bakú sin incurrir en ningún gasto adicional, </w:t>
      </w:r>
      <w:r>
        <w:rPr>
          <w:lang w:val="es-ES"/>
        </w:rPr>
        <w:t>al establecer</w:t>
      </w:r>
      <w:r w:rsidRPr="00010EDA">
        <w:rPr>
          <w:lang w:val="es-ES"/>
        </w:rPr>
        <w:t xml:space="preserve"> una coherencia entre el proceso de planificación operacional y la identificación, el diseño y la ejecución de los proyectos del UIT-D. Ese enfoque coordinado tiene por objeto aprovechar las sinergias entre regiones y esferas de trabajo y optimizar los costos. </w:t>
      </w:r>
    </w:p>
    <w:p w14:paraId="611A278E" w14:textId="34DE5CBF" w:rsidR="00F94009" w:rsidRPr="00010EDA" w:rsidRDefault="00F94009" w:rsidP="00521D40">
      <w:pPr>
        <w:rPr>
          <w:rFonts w:eastAsia="SimSun"/>
          <w:spacing w:val="-2"/>
          <w:lang w:val="es-ES"/>
        </w:rPr>
      </w:pPr>
      <w:r w:rsidRPr="00010EDA">
        <w:rPr>
          <w:lang w:val="es-ES"/>
        </w:rPr>
        <w:t xml:space="preserve">Si bien muchos de los proyectos que se </w:t>
      </w:r>
      <w:r>
        <w:rPr>
          <w:lang w:val="es-ES"/>
        </w:rPr>
        <w:t xml:space="preserve">ejecutan </w:t>
      </w:r>
      <w:r w:rsidRPr="00010EDA">
        <w:rPr>
          <w:lang w:val="es-ES"/>
        </w:rPr>
        <w:t xml:space="preserve">actualmente se </w:t>
      </w:r>
      <w:r>
        <w:rPr>
          <w:lang w:val="es-ES"/>
        </w:rPr>
        <w:t>suscribieron</w:t>
      </w:r>
      <w:r w:rsidRPr="00010EDA">
        <w:rPr>
          <w:lang w:val="es-ES"/>
        </w:rPr>
        <w:t xml:space="preserve"> antes de la CMDT</w:t>
      </w:r>
      <w:r w:rsidR="00521D40">
        <w:rPr>
          <w:lang w:val="es-ES"/>
        </w:rPr>
        <w:noBreakHyphen/>
      </w:r>
      <w:r w:rsidRPr="00010EDA">
        <w:rPr>
          <w:lang w:val="es-ES"/>
        </w:rPr>
        <w:t xml:space="preserve">25, </w:t>
      </w:r>
      <w:r>
        <w:rPr>
          <w:lang w:val="es-ES"/>
        </w:rPr>
        <w:t>abarcan</w:t>
      </w:r>
      <w:r w:rsidRPr="00010EDA">
        <w:rPr>
          <w:lang w:val="es-ES"/>
        </w:rPr>
        <w:t xml:space="preserve"> actividades que contribuirán a la aplicación del Plan de Acción de Bakú. </w:t>
      </w:r>
      <w:r>
        <w:rPr>
          <w:lang w:val="es-ES"/>
        </w:rPr>
        <w:t>Ello pone claramente de manifiesto</w:t>
      </w:r>
      <w:r w:rsidRPr="00010EDA">
        <w:rPr>
          <w:lang w:val="es-ES"/>
        </w:rPr>
        <w:t xml:space="preserve"> la viabilidad </w:t>
      </w:r>
      <w:r>
        <w:rPr>
          <w:lang w:val="es-ES"/>
        </w:rPr>
        <w:t>y</w:t>
      </w:r>
      <w:r w:rsidRPr="00010EDA">
        <w:rPr>
          <w:lang w:val="es-ES"/>
        </w:rPr>
        <w:t xml:space="preserve"> la sostenibilidad de recurrir a recursos </w:t>
      </w:r>
      <w:r w:rsidRPr="00010EDA">
        <w:rPr>
          <w:lang w:val="es-ES"/>
        </w:rPr>
        <w:lastRenderedPageBreak/>
        <w:t xml:space="preserve">extrapresupuestarios </w:t>
      </w:r>
      <w:r>
        <w:rPr>
          <w:lang w:val="es-ES"/>
        </w:rPr>
        <w:t>de forma que se supere ampliamente</w:t>
      </w:r>
      <w:r w:rsidRPr="00010EDA">
        <w:rPr>
          <w:lang w:val="es-ES"/>
        </w:rPr>
        <w:t xml:space="preserve"> la estimación realizada por la COM2 </w:t>
      </w:r>
      <w:r>
        <w:rPr>
          <w:lang w:val="es-ES"/>
        </w:rPr>
        <w:t>a los efectos de supervisión en la</w:t>
      </w:r>
      <w:r w:rsidRPr="00010EDA">
        <w:rPr>
          <w:lang w:val="es-ES"/>
        </w:rPr>
        <w:t xml:space="preserve"> CMDT-25. </w:t>
      </w:r>
      <w:r>
        <w:rPr>
          <w:lang w:val="es-ES"/>
        </w:rPr>
        <w:t>Por otro lado</w:t>
      </w:r>
      <w:r w:rsidRPr="00010EDA">
        <w:rPr>
          <w:lang w:val="es-ES"/>
        </w:rPr>
        <w:t xml:space="preserve">, </w:t>
      </w:r>
      <w:r w:rsidRPr="00010EDA">
        <w:rPr>
          <w:rFonts w:eastAsia="SimSun"/>
          <w:spacing w:val="-2"/>
          <w:lang w:val="es-ES"/>
        </w:rPr>
        <w:t xml:space="preserve">la reciente firma de proyectos </w:t>
      </w:r>
      <w:r>
        <w:rPr>
          <w:rFonts w:eastAsia="SimSun"/>
          <w:spacing w:val="-2"/>
          <w:lang w:val="es-ES"/>
        </w:rPr>
        <w:t>denota</w:t>
      </w:r>
      <w:r w:rsidRPr="00010EDA">
        <w:rPr>
          <w:rFonts w:eastAsia="SimSun"/>
          <w:spacing w:val="-2"/>
          <w:lang w:val="es-ES"/>
        </w:rPr>
        <w:t xml:space="preserve"> un fuerte compromiso de los </w:t>
      </w:r>
      <w:r>
        <w:rPr>
          <w:rFonts w:eastAsia="SimSun"/>
          <w:spacing w:val="-2"/>
          <w:lang w:val="es-ES"/>
        </w:rPr>
        <w:t>asociados</w:t>
      </w:r>
      <w:r w:rsidRPr="00010EDA">
        <w:rPr>
          <w:rFonts w:eastAsia="SimSun"/>
          <w:spacing w:val="-2"/>
          <w:lang w:val="es-ES"/>
        </w:rPr>
        <w:t xml:space="preserve"> </w:t>
      </w:r>
      <w:r>
        <w:rPr>
          <w:rFonts w:eastAsia="SimSun"/>
          <w:spacing w:val="-2"/>
          <w:lang w:val="es-ES"/>
        </w:rPr>
        <w:t>con respecto a</w:t>
      </w:r>
      <w:r w:rsidRPr="00010EDA">
        <w:rPr>
          <w:rFonts w:eastAsia="SimSun"/>
          <w:spacing w:val="-2"/>
          <w:lang w:val="es-ES"/>
        </w:rPr>
        <w:t xml:space="preserve"> todos los temas pertinentes para la CMDT-25, </w:t>
      </w:r>
      <w:r>
        <w:rPr>
          <w:rFonts w:eastAsia="SimSun"/>
          <w:spacing w:val="-2"/>
          <w:lang w:val="es-ES"/>
        </w:rPr>
        <w:t>entre los que cabe destacar</w:t>
      </w:r>
      <w:r w:rsidRPr="00010EDA">
        <w:rPr>
          <w:rFonts w:eastAsia="SimSun"/>
          <w:spacing w:val="-2"/>
          <w:lang w:val="es-ES"/>
        </w:rPr>
        <w:t>:</w:t>
      </w:r>
    </w:p>
    <w:p w14:paraId="436C64C7" w14:textId="36210959" w:rsidR="00F94009" w:rsidRPr="00010EDA" w:rsidRDefault="00C9129C" w:rsidP="00C9129C">
      <w:pPr>
        <w:pStyle w:val="enumlev1"/>
        <w:rPr>
          <w:lang w:val="es-ES"/>
        </w:rPr>
      </w:pPr>
      <w:r w:rsidRPr="00C9129C">
        <w:rPr>
          <w:lang w:val="es-ES"/>
        </w:rPr>
        <w:t>–</w:t>
      </w:r>
      <w:r>
        <w:rPr>
          <w:lang w:val="es-ES"/>
        </w:rPr>
        <w:tab/>
      </w:r>
      <w:r w:rsidR="00F94009" w:rsidRPr="00010EDA">
        <w:rPr>
          <w:lang w:val="es-ES"/>
        </w:rPr>
        <w:t>Transformación digital e infraestructura</w:t>
      </w:r>
      <w:r w:rsidR="00F94009">
        <w:rPr>
          <w:lang w:val="es-ES"/>
        </w:rPr>
        <w:t>s</w:t>
      </w:r>
      <w:r w:rsidR="00F94009" w:rsidRPr="00010EDA">
        <w:rPr>
          <w:lang w:val="es-ES"/>
        </w:rPr>
        <w:t xml:space="preserve"> (</w:t>
      </w:r>
      <w:r w:rsidR="00F94009">
        <w:rPr>
          <w:lang w:val="es-ES"/>
        </w:rPr>
        <w:t>en particular,</w:t>
      </w:r>
      <w:r w:rsidR="00F94009" w:rsidRPr="00010EDA">
        <w:rPr>
          <w:lang w:val="es-ES"/>
        </w:rPr>
        <w:t xml:space="preserve"> GovStack, aldeas inteligentes, islas inteligentes</w:t>
      </w:r>
      <w:r w:rsidR="00F94009">
        <w:rPr>
          <w:lang w:val="es-ES"/>
        </w:rPr>
        <w:t xml:space="preserve"> y</w:t>
      </w:r>
      <w:r w:rsidR="00F94009" w:rsidRPr="00010EDA">
        <w:rPr>
          <w:lang w:val="es-ES"/>
        </w:rPr>
        <w:t xml:space="preserve"> cartografía de la banda ancha).</w:t>
      </w:r>
    </w:p>
    <w:p w14:paraId="3062F93D" w14:textId="6ED946D9" w:rsidR="00F94009" w:rsidRPr="00010EDA" w:rsidRDefault="00C9129C" w:rsidP="00C9129C">
      <w:pPr>
        <w:pStyle w:val="enumlev1"/>
        <w:rPr>
          <w:rFonts w:eastAsia="SimSun" w:cstheme="minorHAnsi"/>
          <w:spacing w:val="-2"/>
          <w:lang w:val="es-ES"/>
        </w:rPr>
      </w:pPr>
      <w:r w:rsidRPr="00C9129C">
        <w:rPr>
          <w:lang w:val="es-ES"/>
        </w:rPr>
        <w:t>–</w:t>
      </w:r>
      <w:r>
        <w:rPr>
          <w:lang w:val="es-ES"/>
        </w:rPr>
        <w:tab/>
      </w:r>
      <w:r w:rsidR="00F94009" w:rsidRPr="00010EDA">
        <w:rPr>
          <w:rFonts w:eastAsia="SimSun" w:cstheme="minorHAnsi"/>
          <w:spacing w:val="-2"/>
          <w:lang w:val="es-ES"/>
        </w:rPr>
        <w:t>Inclusión digital (</w:t>
      </w:r>
      <w:r w:rsidR="00F94009">
        <w:rPr>
          <w:rFonts w:eastAsia="SimSun" w:cstheme="minorHAnsi"/>
          <w:spacing w:val="-2"/>
          <w:lang w:val="es-ES"/>
        </w:rPr>
        <w:t>en particular</w:t>
      </w:r>
      <w:r w:rsidR="00F94009" w:rsidRPr="00010EDA">
        <w:rPr>
          <w:rFonts w:eastAsia="SimSun" w:cstheme="minorHAnsi"/>
          <w:spacing w:val="-2"/>
          <w:lang w:val="es-ES"/>
        </w:rPr>
        <w:t>, género, juventud, pueblos indígenas).</w:t>
      </w:r>
    </w:p>
    <w:p w14:paraId="600075EB" w14:textId="69E934BC" w:rsidR="00F94009" w:rsidRPr="00010EDA" w:rsidRDefault="00C9129C" w:rsidP="00C9129C">
      <w:pPr>
        <w:pStyle w:val="enumlev1"/>
        <w:rPr>
          <w:rFonts w:eastAsia="SimSun" w:cstheme="minorHAnsi"/>
          <w:spacing w:val="-2"/>
          <w:lang w:val="es-ES"/>
        </w:rPr>
      </w:pPr>
      <w:r w:rsidRPr="00C9129C">
        <w:rPr>
          <w:lang w:val="es-ES"/>
        </w:rPr>
        <w:t>–</w:t>
      </w:r>
      <w:r>
        <w:rPr>
          <w:lang w:val="es-ES"/>
        </w:rPr>
        <w:tab/>
      </w:r>
      <w:r w:rsidR="00F94009" w:rsidRPr="00010EDA">
        <w:rPr>
          <w:rFonts w:eastAsia="SimSun" w:cstheme="minorHAnsi"/>
          <w:spacing w:val="-2"/>
          <w:lang w:val="es-ES"/>
        </w:rPr>
        <w:t xml:space="preserve">Telecomunicaciones de emergencia y reducción del riesgo de </w:t>
      </w:r>
      <w:r w:rsidR="00F94009">
        <w:rPr>
          <w:rFonts w:eastAsia="SimSun" w:cstheme="minorHAnsi"/>
          <w:spacing w:val="-2"/>
          <w:lang w:val="es-ES"/>
        </w:rPr>
        <w:t>catástrofes</w:t>
      </w:r>
      <w:r w:rsidR="00F94009" w:rsidRPr="00010EDA">
        <w:rPr>
          <w:rFonts w:eastAsia="SimSun" w:cstheme="minorHAnsi"/>
          <w:spacing w:val="-2"/>
          <w:lang w:val="es-ES"/>
        </w:rPr>
        <w:t xml:space="preserve"> (</w:t>
      </w:r>
      <w:r w:rsidR="00F94009">
        <w:rPr>
          <w:rFonts w:eastAsia="SimSun" w:cstheme="minorHAnsi"/>
          <w:spacing w:val="-2"/>
          <w:lang w:val="es-ES"/>
        </w:rPr>
        <w:t>en particular</w:t>
      </w:r>
      <w:r w:rsidR="00F94009" w:rsidRPr="00010EDA">
        <w:rPr>
          <w:rFonts w:eastAsia="SimSun" w:cstheme="minorHAnsi"/>
          <w:spacing w:val="-2"/>
          <w:lang w:val="es-ES"/>
        </w:rPr>
        <w:t xml:space="preserve">, la iniciativa </w:t>
      </w:r>
      <w:r w:rsidR="00521D40">
        <w:rPr>
          <w:rFonts w:eastAsia="SimSun" w:cstheme="minorHAnsi"/>
          <w:spacing w:val="-2"/>
          <w:lang w:val="es-ES"/>
        </w:rPr>
        <w:t>"</w:t>
      </w:r>
      <w:r w:rsidR="00F94009" w:rsidRPr="00010EDA">
        <w:rPr>
          <w:rFonts w:eastAsia="SimSun" w:cstheme="minorHAnsi"/>
          <w:spacing w:val="-2"/>
          <w:lang w:val="es-ES"/>
        </w:rPr>
        <w:t>Alerta temprana para todos</w:t>
      </w:r>
      <w:r w:rsidR="00521D40">
        <w:rPr>
          <w:rFonts w:eastAsia="SimSun" w:cstheme="minorHAnsi"/>
          <w:spacing w:val="-2"/>
          <w:lang w:val="es-ES"/>
        </w:rPr>
        <w:t>"</w:t>
      </w:r>
      <w:r w:rsidR="00F94009" w:rsidRPr="00010EDA">
        <w:rPr>
          <w:rFonts w:eastAsia="SimSun" w:cstheme="minorHAnsi"/>
          <w:spacing w:val="-2"/>
          <w:lang w:val="es-ES"/>
        </w:rPr>
        <w:t>).</w:t>
      </w:r>
    </w:p>
    <w:p w14:paraId="0CB8B3A2" w14:textId="64319954" w:rsidR="00F94009" w:rsidRPr="00010EDA" w:rsidRDefault="00C9129C" w:rsidP="00C9129C">
      <w:pPr>
        <w:pStyle w:val="enumlev1"/>
        <w:rPr>
          <w:rFonts w:eastAsia="SimSun" w:cstheme="minorHAnsi"/>
          <w:spacing w:val="-2"/>
          <w:lang w:val="es-ES"/>
        </w:rPr>
      </w:pPr>
      <w:r w:rsidRPr="00C9129C">
        <w:rPr>
          <w:lang w:val="es-ES"/>
        </w:rPr>
        <w:t>–</w:t>
      </w:r>
      <w:r>
        <w:rPr>
          <w:lang w:val="es-ES"/>
        </w:rPr>
        <w:tab/>
      </w:r>
      <w:r w:rsidR="00F94009" w:rsidRPr="00010EDA">
        <w:rPr>
          <w:rFonts w:eastAsia="SimSun" w:cstheme="minorHAnsi"/>
          <w:spacing w:val="-2"/>
          <w:lang w:val="es-ES"/>
        </w:rPr>
        <w:t>Clima, medio ambiente y economía circular (</w:t>
      </w:r>
      <w:r w:rsidR="00F94009">
        <w:rPr>
          <w:rFonts w:eastAsia="SimSun" w:cstheme="minorHAnsi"/>
          <w:spacing w:val="-2"/>
          <w:lang w:val="es-ES"/>
        </w:rPr>
        <w:t>en particular</w:t>
      </w:r>
      <w:r w:rsidR="00F94009" w:rsidRPr="00010EDA">
        <w:rPr>
          <w:rFonts w:eastAsia="SimSun" w:cstheme="minorHAnsi"/>
          <w:spacing w:val="-2"/>
          <w:lang w:val="es-ES"/>
        </w:rPr>
        <w:t>, residuos electrónicos y electrónica sostenible).</w:t>
      </w:r>
    </w:p>
    <w:p w14:paraId="24CFF99D" w14:textId="5DD4250C" w:rsidR="00F94009" w:rsidRPr="00010EDA" w:rsidRDefault="00C9129C" w:rsidP="00521D40">
      <w:pPr>
        <w:pStyle w:val="enumlev1"/>
        <w:spacing w:after="120"/>
        <w:rPr>
          <w:rFonts w:eastAsia="SimSun" w:cstheme="minorHAnsi"/>
          <w:spacing w:val="-2"/>
          <w:lang w:val="es-ES"/>
        </w:rPr>
      </w:pPr>
      <w:r w:rsidRPr="00C9129C">
        <w:rPr>
          <w:lang w:val="es-ES"/>
        </w:rPr>
        <w:t>–</w:t>
      </w:r>
      <w:r>
        <w:rPr>
          <w:lang w:val="es-ES"/>
        </w:rPr>
        <w:tab/>
      </w:r>
      <w:r w:rsidR="00F94009" w:rsidRPr="00010EDA">
        <w:rPr>
          <w:rFonts w:eastAsia="SimSun" w:cstheme="minorHAnsi"/>
          <w:spacing w:val="-2"/>
          <w:lang w:val="es-ES"/>
        </w:rPr>
        <w:t>Tecnologías incipientes (</w:t>
      </w:r>
      <w:r w:rsidR="00F94009">
        <w:rPr>
          <w:rFonts w:eastAsia="SimSun" w:cstheme="minorHAnsi"/>
          <w:spacing w:val="-2"/>
          <w:lang w:val="es-ES"/>
        </w:rPr>
        <w:t>en particular</w:t>
      </w:r>
      <w:r w:rsidR="00F94009" w:rsidRPr="00010EDA">
        <w:rPr>
          <w:rFonts w:eastAsia="SimSun" w:cstheme="minorHAnsi"/>
          <w:spacing w:val="-2"/>
          <w:lang w:val="es-ES"/>
        </w:rPr>
        <w:t xml:space="preserve">, programas de </w:t>
      </w:r>
      <w:r w:rsidR="00F94009">
        <w:rPr>
          <w:rFonts w:eastAsia="SimSun" w:cstheme="minorHAnsi"/>
          <w:spacing w:val="-2"/>
          <w:lang w:val="es-ES"/>
        </w:rPr>
        <w:t>capacitación</w:t>
      </w:r>
      <w:r w:rsidR="00F94009" w:rsidRPr="00010EDA">
        <w:rPr>
          <w:rFonts w:eastAsia="SimSun" w:cstheme="minorHAnsi"/>
          <w:spacing w:val="-2"/>
          <w:lang w:val="es-ES"/>
        </w:rPr>
        <w:t xml:space="preserve"> en Asia-Pacífico).</w:t>
      </w:r>
    </w:p>
    <w:p w14:paraId="59A7B282" w14:textId="77777777" w:rsidR="00F94009" w:rsidRPr="00010EDA" w:rsidRDefault="00F94009" w:rsidP="00792739">
      <w:pPr>
        <w:spacing w:after="120"/>
        <w:rPr>
          <w:lang w:val="es-ES"/>
        </w:rPr>
      </w:pPr>
      <w:r w:rsidRPr="00010EDA">
        <w:rPr>
          <w:lang w:val="es-ES"/>
        </w:rPr>
        <w:t>Es</w:t>
      </w:r>
      <w:r>
        <w:rPr>
          <w:lang w:val="es-ES"/>
        </w:rPr>
        <w:t>a armonización</w:t>
      </w:r>
      <w:r w:rsidRPr="00010EDA">
        <w:rPr>
          <w:lang w:val="es-ES"/>
        </w:rPr>
        <w:t xml:space="preserve"> </w:t>
      </w:r>
      <w:r>
        <w:rPr>
          <w:lang w:val="es-ES"/>
        </w:rPr>
        <w:t>facilita</w:t>
      </w:r>
      <w:r w:rsidRPr="00010EDA">
        <w:rPr>
          <w:lang w:val="es-ES"/>
        </w:rPr>
        <w:t xml:space="preserve"> una alta probabilidad de movilizar recursos adicionales </w:t>
      </w:r>
      <w:r>
        <w:rPr>
          <w:lang w:val="es-ES"/>
        </w:rPr>
        <w:t>en los casos en que</w:t>
      </w:r>
      <w:r w:rsidRPr="00010EDA">
        <w:rPr>
          <w:lang w:val="es-ES"/>
        </w:rPr>
        <w:t xml:space="preserve"> las actividades de </w:t>
      </w:r>
      <w:r>
        <w:rPr>
          <w:lang w:val="es-ES"/>
        </w:rPr>
        <w:t>supervisión</w:t>
      </w:r>
      <w:r w:rsidRPr="00010EDA">
        <w:rPr>
          <w:lang w:val="es-ES"/>
        </w:rPr>
        <w:t xml:space="preserve"> de la CMDT-25 se </w:t>
      </w:r>
      <w:r>
        <w:rPr>
          <w:lang w:val="es-ES"/>
        </w:rPr>
        <w:t>aborden</w:t>
      </w:r>
      <w:r w:rsidRPr="00010EDA">
        <w:rPr>
          <w:lang w:val="es-ES"/>
        </w:rPr>
        <w:t xml:space="preserve"> como propuestas de proyectos. </w:t>
      </w:r>
    </w:p>
    <w:p w14:paraId="11780118" w14:textId="4FAEE9A2" w:rsidR="00F94009" w:rsidRPr="00010EDA" w:rsidRDefault="00F94009" w:rsidP="00F94009">
      <w:pPr>
        <w:spacing w:after="120"/>
        <w:rPr>
          <w:rFonts w:cstheme="minorHAnsi"/>
          <w:szCs w:val="24"/>
          <w:lang w:val="es-ES"/>
        </w:rPr>
      </w:pPr>
      <w:r>
        <w:rPr>
          <w:rFonts w:cstheme="minorHAnsi"/>
          <w:szCs w:val="24"/>
          <w:lang w:val="es-ES"/>
        </w:rPr>
        <w:t>Habida cuenta de ello</w:t>
      </w:r>
      <w:r w:rsidRPr="00010EDA">
        <w:rPr>
          <w:rFonts w:cstheme="minorHAnsi"/>
          <w:szCs w:val="24"/>
          <w:lang w:val="es-ES"/>
        </w:rPr>
        <w:t xml:space="preserve">, resulta justificable </w:t>
      </w:r>
      <w:r>
        <w:rPr>
          <w:rFonts w:cstheme="minorHAnsi"/>
          <w:szCs w:val="24"/>
          <w:lang w:val="es-ES"/>
        </w:rPr>
        <w:t>atribuir todo</w:t>
      </w:r>
      <w:r w:rsidRPr="00010EDA">
        <w:rPr>
          <w:rFonts w:cstheme="minorHAnsi"/>
          <w:szCs w:val="24"/>
          <w:lang w:val="es-ES"/>
        </w:rPr>
        <w:t xml:space="preserve"> superávit presupuestario del presupuesto ordinario de la UIT y realizar nuevas asignaciones </w:t>
      </w:r>
      <w:r>
        <w:rPr>
          <w:rFonts w:cstheme="minorHAnsi"/>
          <w:szCs w:val="24"/>
          <w:lang w:val="es-ES"/>
        </w:rPr>
        <w:t>d</w:t>
      </w:r>
      <w:r w:rsidRPr="00010EDA">
        <w:rPr>
          <w:rFonts w:cstheme="minorHAnsi"/>
          <w:szCs w:val="24"/>
          <w:lang w:val="es-ES"/>
        </w:rPr>
        <w:t xml:space="preserve">el presupuesto de la UIT </w:t>
      </w:r>
      <w:r>
        <w:rPr>
          <w:rFonts w:cstheme="minorHAnsi"/>
          <w:szCs w:val="24"/>
          <w:lang w:val="es-ES"/>
        </w:rPr>
        <w:t>al fortalecimiento de</w:t>
      </w:r>
      <w:r w:rsidRPr="00010EDA">
        <w:rPr>
          <w:rFonts w:cstheme="minorHAnsi"/>
          <w:szCs w:val="24"/>
          <w:lang w:val="es-ES"/>
        </w:rPr>
        <w:t xml:space="preserve"> los esfuerzos de movilización de recursos</w:t>
      </w:r>
      <w:r>
        <w:rPr>
          <w:rFonts w:cstheme="minorHAnsi"/>
          <w:szCs w:val="24"/>
          <w:lang w:val="es-ES"/>
        </w:rPr>
        <w:t>,</w:t>
      </w:r>
      <w:r w:rsidRPr="00010EDA">
        <w:rPr>
          <w:rFonts w:cstheme="minorHAnsi"/>
          <w:szCs w:val="24"/>
          <w:lang w:val="es-ES"/>
        </w:rPr>
        <w:t xml:space="preserve"> con el fin de </w:t>
      </w:r>
      <w:r>
        <w:rPr>
          <w:rFonts w:cstheme="minorHAnsi"/>
          <w:szCs w:val="24"/>
          <w:lang w:val="es-ES"/>
        </w:rPr>
        <w:t>facilitar</w:t>
      </w:r>
      <w:r w:rsidRPr="00010EDA">
        <w:rPr>
          <w:rFonts w:cstheme="minorHAnsi"/>
          <w:szCs w:val="24"/>
          <w:lang w:val="es-ES"/>
        </w:rPr>
        <w:t xml:space="preserve"> la identificación y la puesta en marcha de nuevos proyectos</w:t>
      </w:r>
      <w:r>
        <w:rPr>
          <w:rFonts w:cstheme="minorHAnsi"/>
          <w:szCs w:val="24"/>
          <w:lang w:val="es-ES"/>
        </w:rPr>
        <w:t>, en el marco del</w:t>
      </w:r>
      <w:r w:rsidRPr="00010EDA">
        <w:rPr>
          <w:rFonts w:cstheme="minorHAnsi"/>
          <w:szCs w:val="24"/>
          <w:lang w:val="es-ES"/>
        </w:rPr>
        <w:t xml:space="preserve"> Plan de Acción de Bakú. A lo largo del ciclo de la CMDT-22 (2023-2025), el 85</w:t>
      </w:r>
      <w:r w:rsidR="00521D40">
        <w:rPr>
          <w:rFonts w:cstheme="minorHAnsi"/>
          <w:szCs w:val="24"/>
          <w:lang w:val="es-ES"/>
        </w:rPr>
        <w:t> </w:t>
      </w:r>
      <w:r w:rsidRPr="00010EDA">
        <w:rPr>
          <w:rFonts w:cstheme="minorHAnsi"/>
          <w:szCs w:val="24"/>
          <w:lang w:val="es-ES"/>
        </w:rPr>
        <w:t xml:space="preserve">% de los fondos para </w:t>
      </w:r>
      <w:r>
        <w:rPr>
          <w:rFonts w:cstheme="minorHAnsi"/>
          <w:szCs w:val="24"/>
          <w:lang w:val="es-ES"/>
        </w:rPr>
        <w:t xml:space="preserve">los </w:t>
      </w:r>
      <w:r w:rsidRPr="00010EDA">
        <w:rPr>
          <w:rFonts w:cstheme="minorHAnsi"/>
          <w:szCs w:val="24"/>
          <w:lang w:val="es-ES"/>
        </w:rPr>
        <w:t xml:space="preserve">proyectos del UIT-D recién </w:t>
      </w:r>
      <w:r>
        <w:rPr>
          <w:rFonts w:cstheme="minorHAnsi"/>
          <w:szCs w:val="24"/>
          <w:lang w:val="es-ES"/>
        </w:rPr>
        <w:t>suscritos</w:t>
      </w:r>
      <w:r w:rsidRPr="00010EDA">
        <w:rPr>
          <w:rFonts w:cstheme="minorHAnsi"/>
          <w:szCs w:val="24"/>
          <w:lang w:val="es-ES"/>
        </w:rPr>
        <w:t xml:space="preserve"> se obtuvieron </w:t>
      </w:r>
      <w:r>
        <w:rPr>
          <w:rFonts w:cstheme="minorHAnsi"/>
          <w:szCs w:val="24"/>
          <w:lang w:val="es-ES"/>
        </w:rPr>
        <w:t>por medio de</w:t>
      </w:r>
      <w:r w:rsidRPr="00010EDA">
        <w:rPr>
          <w:rFonts w:cstheme="minorHAnsi"/>
          <w:szCs w:val="24"/>
          <w:lang w:val="es-ES"/>
        </w:rPr>
        <w:t xml:space="preserve"> fondos asignados </w:t>
      </w:r>
      <w:r>
        <w:rPr>
          <w:rFonts w:cstheme="minorHAnsi"/>
          <w:szCs w:val="24"/>
          <w:lang w:val="es-ES"/>
        </w:rPr>
        <w:t>en reuniones previas</w:t>
      </w:r>
      <w:r w:rsidRPr="00010EDA">
        <w:rPr>
          <w:rFonts w:cstheme="minorHAnsi"/>
          <w:szCs w:val="24"/>
          <w:lang w:val="es-ES"/>
        </w:rPr>
        <w:t xml:space="preserve"> del Consejo como financiación inicial para atraer fondos extrapresupuestarios. Eso demuestra que, </w:t>
      </w:r>
      <w:r>
        <w:rPr>
          <w:rFonts w:cstheme="minorHAnsi"/>
          <w:szCs w:val="24"/>
          <w:lang w:val="es-ES"/>
        </w:rPr>
        <w:t>si</w:t>
      </w:r>
      <w:r w:rsidRPr="00010EDA">
        <w:rPr>
          <w:rFonts w:cstheme="minorHAnsi"/>
          <w:szCs w:val="24"/>
          <w:lang w:val="es-ES"/>
        </w:rPr>
        <w:t xml:space="preserve"> se dispone de financiación inicial, los </w:t>
      </w:r>
      <w:r>
        <w:rPr>
          <w:rFonts w:cstheme="minorHAnsi"/>
          <w:szCs w:val="24"/>
          <w:lang w:val="es-ES"/>
        </w:rPr>
        <w:t>asociados</w:t>
      </w:r>
      <w:r w:rsidRPr="00010EDA">
        <w:rPr>
          <w:rFonts w:cstheme="minorHAnsi"/>
          <w:szCs w:val="24"/>
          <w:lang w:val="es-ES"/>
        </w:rPr>
        <w:t xml:space="preserve"> se comprometen con la labor de la UIT y que la BDT ha </w:t>
      </w:r>
      <w:r>
        <w:rPr>
          <w:rFonts w:cstheme="minorHAnsi"/>
          <w:szCs w:val="24"/>
          <w:lang w:val="es-ES"/>
        </w:rPr>
        <w:t>establecido</w:t>
      </w:r>
      <w:r w:rsidRPr="00010EDA">
        <w:rPr>
          <w:rFonts w:cstheme="minorHAnsi"/>
          <w:szCs w:val="24"/>
          <w:lang w:val="es-ES"/>
        </w:rPr>
        <w:t xml:space="preserve"> mecanismos de </w:t>
      </w:r>
      <w:r>
        <w:rPr>
          <w:rFonts w:cstheme="minorHAnsi"/>
          <w:szCs w:val="24"/>
          <w:lang w:val="es-ES"/>
        </w:rPr>
        <w:t>obtención</w:t>
      </w:r>
      <w:r w:rsidRPr="00010EDA">
        <w:rPr>
          <w:rFonts w:cstheme="minorHAnsi"/>
          <w:szCs w:val="24"/>
          <w:lang w:val="es-ES"/>
        </w:rPr>
        <w:t xml:space="preserve"> de fondos </w:t>
      </w:r>
      <w:r>
        <w:rPr>
          <w:rFonts w:cstheme="minorHAnsi"/>
          <w:szCs w:val="24"/>
          <w:lang w:val="es-ES"/>
        </w:rPr>
        <w:t>eficaces</w:t>
      </w:r>
      <w:r w:rsidRPr="00010EDA">
        <w:rPr>
          <w:rFonts w:cstheme="minorHAnsi"/>
          <w:szCs w:val="24"/>
          <w:lang w:val="es-ES"/>
        </w:rPr>
        <w:t xml:space="preserve"> y </w:t>
      </w:r>
      <w:r>
        <w:rPr>
          <w:rFonts w:cstheme="minorHAnsi"/>
          <w:szCs w:val="24"/>
          <w:lang w:val="es-ES"/>
        </w:rPr>
        <w:t>ampliables</w:t>
      </w:r>
      <w:r w:rsidRPr="00010EDA">
        <w:rPr>
          <w:rFonts w:cstheme="minorHAnsi"/>
          <w:szCs w:val="24"/>
          <w:lang w:val="es-ES"/>
        </w:rPr>
        <w:t xml:space="preserve"> </w:t>
      </w:r>
      <w:r>
        <w:rPr>
          <w:rFonts w:cstheme="minorHAnsi"/>
          <w:szCs w:val="24"/>
          <w:lang w:val="es-ES"/>
        </w:rPr>
        <w:t xml:space="preserve">a fin de mejorar los resultados </w:t>
      </w:r>
      <w:r w:rsidRPr="00010EDA">
        <w:rPr>
          <w:rFonts w:cstheme="minorHAnsi"/>
          <w:szCs w:val="24"/>
          <w:lang w:val="es-ES"/>
        </w:rPr>
        <w:t xml:space="preserve">sobre el terreno. </w:t>
      </w:r>
    </w:p>
    <w:p w14:paraId="43CE9D5B" w14:textId="0AC20640" w:rsidR="00F94009" w:rsidRPr="00010EDA" w:rsidRDefault="00C9129C" w:rsidP="00C9129C">
      <w:pPr>
        <w:pStyle w:val="Heading1"/>
        <w:rPr>
          <w:lang w:val="es-ES"/>
        </w:rPr>
      </w:pPr>
      <w:r>
        <w:rPr>
          <w:lang w:val="es-ES"/>
        </w:rPr>
        <w:t>4</w:t>
      </w:r>
      <w:r>
        <w:rPr>
          <w:lang w:val="es-ES"/>
        </w:rPr>
        <w:tab/>
      </w:r>
      <w:r w:rsidR="00F94009" w:rsidRPr="00010EDA">
        <w:rPr>
          <w:lang w:val="es-ES"/>
        </w:rPr>
        <w:t>Conclusión</w:t>
      </w:r>
    </w:p>
    <w:p w14:paraId="68778944" w14:textId="77777777" w:rsidR="00F94009" w:rsidRPr="00010EDA" w:rsidRDefault="00F94009" w:rsidP="00F94009">
      <w:pPr>
        <w:spacing w:after="120"/>
        <w:rPr>
          <w:rFonts w:cstheme="minorBidi"/>
          <w:lang w:val="es-ES"/>
        </w:rPr>
      </w:pPr>
      <w:r>
        <w:rPr>
          <w:rFonts w:cstheme="minorBidi"/>
          <w:lang w:val="es-ES"/>
        </w:rPr>
        <w:t>Habida cuenta de</w:t>
      </w:r>
      <w:r w:rsidRPr="00010EDA">
        <w:rPr>
          <w:rFonts w:cstheme="minorBidi"/>
          <w:lang w:val="es-ES"/>
        </w:rPr>
        <w:t xml:space="preserve"> la capacidad demostrada de la BDT para movilizar </w:t>
      </w:r>
      <w:r>
        <w:rPr>
          <w:rFonts w:cstheme="minorBidi"/>
          <w:lang w:val="es-ES"/>
        </w:rPr>
        <w:t>sustanciales</w:t>
      </w:r>
      <w:r w:rsidRPr="00010EDA">
        <w:rPr>
          <w:rFonts w:cstheme="minorBidi"/>
          <w:lang w:val="es-ES"/>
        </w:rPr>
        <w:t xml:space="preserve"> recursos extrapresupuestarios, la </w:t>
      </w:r>
      <w:r>
        <w:rPr>
          <w:rFonts w:cstheme="minorBidi"/>
          <w:lang w:val="es-ES"/>
        </w:rPr>
        <w:t>clara armonización</w:t>
      </w:r>
      <w:r w:rsidRPr="00010EDA">
        <w:rPr>
          <w:rFonts w:cstheme="minorBidi"/>
          <w:lang w:val="es-ES"/>
        </w:rPr>
        <w:t xml:space="preserve"> entre las prioridades de los </w:t>
      </w:r>
      <w:r>
        <w:rPr>
          <w:rFonts w:cstheme="minorBidi"/>
          <w:lang w:val="es-ES"/>
        </w:rPr>
        <w:t>asociados</w:t>
      </w:r>
      <w:r w:rsidRPr="00010EDA">
        <w:rPr>
          <w:rFonts w:cstheme="minorBidi"/>
          <w:lang w:val="es-ES"/>
        </w:rPr>
        <w:t xml:space="preserve"> y las Resoluciones de la CMDT-25, y los mecanismos institucionales </w:t>
      </w:r>
      <w:r>
        <w:rPr>
          <w:rFonts w:cstheme="minorBidi"/>
          <w:lang w:val="es-ES"/>
        </w:rPr>
        <w:t>en vigor</w:t>
      </w:r>
      <w:r w:rsidRPr="00010EDA">
        <w:rPr>
          <w:rFonts w:cstheme="minorBidi"/>
          <w:lang w:val="es-ES"/>
        </w:rPr>
        <w:t xml:space="preserve"> para llevar a cabo las actividades de la CMDT </w:t>
      </w:r>
      <w:r>
        <w:rPr>
          <w:rFonts w:cstheme="minorBidi"/>
          <w:lang w:val="es-ES"/>
        </w:rPr>
        <w:t xml:space="preserve">en el marco de </w:t>
      </w:r>
      <w:r w:rsidRPr="00010EDA">
        <w:rPr>
          <w:rFonts w:cstheme="minorBidi"/>
          <w:lang w:val="es-ES"/>
        </w:rPr>
        <w:t xml:space="preserve">proyectos, la plena </w:t>
      </w:r>
      <w:r>
        <w:rPr>
          <w:rFonts w:cstheme="minorBidi"/>
          <w:lang w:val="es-ES"/>
        </w:rPr>
        <w:t>implantación</w:t>
      </w:r>
      <w:r w:rsidRPr="00010EDA">
        <w:rPr>
          <w:rFonts w:cstheme="minorBidi"/>
          <w:lang w:val="es-ES"/>
        </w:rPr>
        <w:t xml:space="preserve"> de </w:t>
      </w:r>
      <w:r>
        <w:rPr>
          <w:rFonts w:cstheme="minorBidi"/>
          <w:lang w:val="es-ES"/>
        </w:rPr>
        <w:t>los resultados</w:t>
      </w:r>
      <w:r w:rsidRPr="00010EDA">
        <w:rPr>
          <w:rFonts w:cstheme="minorBidi"/>
          <w:lang w:val="es-ES"/>
        </w:rPr>
        <w:t xml:space="preserve"> financier</w:t>
      </w:r>
      <w:r>
        <w:rPr>
          <w:rFonts w:cstheme="minorBidi"/>
          <w:lang w:val="es-ES"/>
        </w:rPr>
        <w:t>os</w:t>
      </w:r>
      <w:r w:rsidRPr="00010EDA">
        <w:rPr>
          <w:rFonts w:cstheme="minorBidi"/>
          <w:lang w:val="es-ES"/>
        </w:rPr>
        <w:t xml:space="preserve"> de la CMDT-25 puede lograrse sin asignar fondos </w:t>
      </w:r>
      <w:r>
        <w:rPr>
          <w:rFonts w:cstheme="minorBidi"/>
          <w:lang w:val="es-ES"/>
        </w:rPr>
        <w:t>suplementarios a</w:t>
      </w:r>
      <w:r w:rsidRPr="00010EDA">
        <w:rPr>
          <w:rFonts w:cstheme="minorBidi"/>
          <w:lang w:val="es-ES"/>
        </w:rPr>
        <w:t xml:space="preserve"> la aplicación de las </w:t>
      </w:r>
      <w:r>
        <w:rPr>
          <w:rFonts w:cstheme="minorBidi"/>
          <w:lang w:val="es-ES"/>
        </w:rPr>
        <w:t>R</w:t>
      </w:r>
      <w:r w:rsidRPr="00010EDA">
        <w:rPr>
          <w:rFonts w:cstheme="minorBidi"/>
          <w:lang w:val="es-ES"/>
        </w:rPr>
        <w:t>esoluciones con cargo al presupuesto ordinario de la UIT.</w:t>
      </w:r>
    </w:p>
    <w:p w14:paraId="4CD9F468" w14:textId="77777777" w:rsidR="00F94009" w:rsidRPr="00010EDA" w:rsidRDefault="00F94009" w:rsidP="00F94009">
      <w:pPr>
        <w:spacing w:after="120"/>
        <w:rPr>
          <w:rFonts w:cstheme="minorHAnsi"/>
          <w:szCs w:val="24"/>
          <w:lang w:val="es-ES"/>
        </w:rPr>
      </w:pPr>
      <w:r w:rsidRPr="00010EDA">
        <w:rPr>
          <w:rFonts w:cstheme="minorHAnsi"/>
          <w:szCs w:val="24"/>
          <w:lang w:val="es-ES"/>
        </w:rPr>
        <w:t>La financiación de la dotación presupuestaria de la CMDT-25 mediante proyectos extrapresupuestarios evitaría la necesidad de re</w:t>
      </w:r>
      <w:r>
        <w:rPr>
          <w:rFonts w:cstheme="minorHAnsi"/>
          <w:szCs w:val="24"/>
          <w:lang w:val="es-ES"/>
        </w:rPr>
        <w:t>establecer</w:t>
      </w:r>
      <w:r w:rsidRPr="00010EDA">
        <w:rPr>
          <w:rFonts w:cstheme="minorHAnsi"/>
          <w:szCs w:val="24"/>
          <w:lang w:val="es-ES"/>
        </w:rPr>
        <w:t xml:space="preserve"> las prioridades </w:t>
      </w:r>
      <w:r>
        <w:rPr>
          <w:rFonts w:cstheme="minorHAnsi"/>
          <w:szCs w:val="24"/>
          <w:lang w:val="es-ES"/>
        </w:rPr>
        <w:t>en el marco</w:t>
      </w:r>
      <w:r w:rsidRPr="00010EDA">
        <w:rPr>
          <w:rFonts w:cstheme="minorHAnsi"/>
          <w:szCs w:val="24"/>
          <w:lang w:val="es-ES"/>
        </w:rPr>
        <w:t xml:space="preserve"> del presupuesto ordinario, </w:t>
      </w:r>
      <w:r>
        <w:rPr>
          <w:rFonts w:cstheme="minorHAnsi"/>
          <w:szCs w:val="24"/>
          <w:lang w:val="es-ES"/>
        </w:rPr>
        <w:t>fomentaría</w:t>
      </w:r>
      <w:r w:rsidRPr="00010EDA">
        <w:rPr>
          <w:rFonts w:cstheme="minorHAnsi"/>
          <w:szCs w:val="24"/>
          <w:lang w:val="es-ES"/>
        </w:rPr>
        <w:t xml:space="preserve"> la movilización de fondos externos y la participación de </w:t>
      </w:r>
      <w:r>
        <w:rPr>
          <w:rFonts w:cstheme="minorHAnsi"/>
          <w:szCs w:val="24"/>
          <w:lang w:val="es-ES"/>
        </w:rPr>
        <w:t>asociados</w:t>
      </w:r>
      <w:r w:rsidRPr="00010EDA">
        <w:rPr>
          <w:rFonts w:cstheme="minorHAnsi"/>
          <w:szCs w:val="24"/>
          <w:lang w:val="es-ES"/>
        </w:rPr>
        <w:t xml:space="preserve"> externos en apoyo </w:t>
      </w:r>
      <w:r>
        <w:rPr>
          <w:rFonts w:cstheme="minorHAnsi"/>
          <w:szCs w:val="24"/>
          <w:lang w:val="es-ES"/>
        </w:rPr>
        <w:t>a</w:t>
      </w:r>
      <w:r w:rsidRPr="00010EDA">
        <w:rPr>
          <w:rFonts w:cstheme="minorHAnsi"/>
          <w:szCs w:val="24"/>
          <w:lang w:val="es-ES"/>
        </w:rPr>
        <w:t xml:space="preserve"> la aplicación del mandato de la CMDT</w:t>
      </w:r>
      <w:r>
        <w:rPr>
          <w:rFonts w:cstheme="minorHAnsi"/>
          <w:szCs w:val="24"/>
          <w:lang w:val="es-ES"/>
        </w:rPr>
        <w:t>, y fortalecería</w:t>
      </w:r>
      <w:r w:rsidRPr="00010EDA">
        <w:rPr>
          <w:rFonts w:cstheme="minorHAnsi"/>
          <w:szCs w:val="24"/>
          <w:lang w:val="es-ES"/>
        </w:rPr>
        <w:t xml:space="preserve"> la capacidad </w:t>
      </w:r>
      <w:r>
        <w:rPr>
          <w:rFonts w:cstheme="minorHAnsi"/>
          <w:szCs w:val="24"/>
          <w:lang w:val="es-ES"/>
        </w:rPr>
        <w:t>del</w:t>
      </w:r>
      <w:r w:rsidRPr="00010EDA">
        <w:rPr>
          <w:rFonts w:cstheme="minorHAnsi"/>
          <w:szCs w:val="24"/>
          <w:lang w:val="es-ES"/>
        </w:rPr>
        <w:t xml:space="preserve"> UIT-D para ampliar sus actividades sin repercutir en el presupuesto general de la Unión. </w:t>
      </w:r>
    </w:p>
    <w:p w14:paraId="6082198A" w14:textId="02D63F18" w:rsidR="00F94009" w:rsidRPr="00010EDA" w:rsidRDefault="00F94009" w:rsidP="00F94009">
      <w:pPr>
        <w:spacing w:after="120"/>
        <w:rPr>
          <w:rFonts w:cstheme="minorHAnsi"/>
          <w:szCs w:val="24"/>
          <w:lang w:val="es-ES"/>
        </w:rPr>
      </w:pPr>
      <w:r>
        <w:rPr>
          <w:rFonts w:cstheme="minorHAnsi"/>
          <w:szCs w:val="24"/>
          <w:lang w:val="es-ES"/>
        </w:rPr>
        <w:t>No obstante, es</w:t>
      </w:r>
      <w:r w:rsidRPr="00010EDA">
        <w:rPr>
          <w:rFonts w:cstheme="minorHAnsi"/>
          <w:szCs w:val="24"/>
          <w:lang w:val="es-ES"/>
        </w:rPr>
        <w:t xml:space="preserve"> </w:t>
      </w:r>
      <w:r>
        <w:rPr>
          <w:rFonts w:cstheme="minorHAnsi"/>
          <w:szCs w:val="24"/>
          <w:lang w:val="es-ES"/>
        </w:rPr>
        <w:t>primordial</w:t>
      </w:r>
      <w:r w:rsidRPr="00010EDA">
        <w:rPr>
          <w:rFonts w:cstheme="minorHAnsi"/>
          <w:szCs w:val="24"/>
          <w:lang w:val="es-ES"/>
        </w:rPr>
        <w:t xml:space="preserve"> que </w:t>
      </w:r>
      <w:r>
        <w:rPr>
          <w:rFonts w:cstheme="minorHAnsi"/>
          <w:szCs w:val="24"/>
          <w:lang w:val="es-ES"/>
        </w:rPr>
        <w:t>a tal efecto</w:t>
      </w:r>
      <w:r w:rsidRPr="00010EDA">
        <w:rPr>
          <w:rFonts w:cstheme="minorHAnsi"/>
          <w:szCs w:val="24"/>
          <w:lang w:val="es-ES"/>
        </w:rPr>
        <w:t xml:space="preserve"> el Consejo de la UIT examine la propuesta presentada en el documento </w:t>
      </w:r>
      <w:hyperlink r:id="rId18" w:history="1">
        <w:r w:rsidRPr="00010EDA">
          <w:rPr>
            <w:rStyle w:val="Hyperlink"/>
            <w:rFonts w:cstheme="minorHAnsi"/>
            <w:szCs w:val="24"/>
            <w:lang w:val="es-ES"/>
          </w:rPr>
          <w:t>GADT-26/19</w:t>
        </w:r>
      </w:hyperlink>
      <w:r w:rsidRPr="00010EDA">
        <w:rPr>
          <w:rFonts w:cstheme="minorHAnsi"/>
          <w:szCs w:val="24"/>
          <w:lang w:val="es-ES"/>
        </w:rPr>
        <w:t xml:space="preserve"> para </w:t>
      </w:r>
      <w:r w:rsidRPr="00010EDA">
        <w:rPr>
          <w:rFonts w:eastAsia="SimSun" w:cstheme="minorHAnsi"/>
          <w:spacing w:val="-2"/>
          <w:lang w:val="es-ES"/>
        </w:rPr>
        <w:t xml:space="preserve">aprobar la nueva asignación de fondos iniciales destinados a </w:t>
      </w:r>
      <w:r>
        <w:rPr>
          <w:rFonts w:eastAsia="SimSun" w:cstheme="minorHAnsi"/>
          <w:spacing w:val="-2"/>
          <w:lang w:val="es-ES"/>
        </w:rPr>
        <w:t>facilitar</w:t>
      </w:r>
      <w:r w:rsidRPr="00010EDA">
        <w:rPr>
          <w:rFonts w:eastAsia="SimSun" w:cstheme="minorHAnsi"/>
          <w:spacing w:val="-2"/>
          <w:lang w:val="es-ES"/>
        </w:rPr>
        <w:t xml:space="preserve"> la identificación y la firma de nuevos proyectos</w:t>
      </w:r>
      <w:r>
        <w:rPr>
          <w:rFonts w:eastAsia="SimSun" w:cstheme="minorHAnsi"/>
          <w:spacing w:val="-2"/>
          <w:lang w:val="es-ES"/>
        </w:rPr>
        <w:t>, en consonancia con</w:t>
      </w:r>
      <w:r w:rsidRPr="00010EDA">
        <w:rPr>
          <w:rFonts w:eastAsia="SimSun" w:cstheme="minorHAnsi"/>
          <w:spacing w:val="-2"/>
          <w:lang w:val="es-ES"/>
        </w:rPr>
        <w:t xml:space="preserve"> la </w:t>
      </w:r>
      <w:r>
        <w:rPr>
          <w:rFonts w:eastAsia="SimSun" w:cstheme="minorHAnsi"/>
          <w:spacing w:val="-2"/>
          <w:lang w:val="es-ES"/>
        </w:rPr>
        <w:t>implantación</w:t>
      </w:r>
      <w:r w:rsidRPr="00010EDA">
        <w:rPr>
          <w:rFonts w:eastAsia="SimSun" w:cstheme="minorHAnsi"/>
          <w:spacing w:val="-2"/>
          <w:lang w:val="es-ES"/>
        </w:rPr>
        <w:t xml:space="preserve"> de las nuevas </w:t>
      </w:r>
      <w:r>
        <w:rPr>
          <w:rFonts w:eastAsia="SimSun" w:cstheme="minorHAnsi"/>
          <w:spacing w:val="-2"/>
          <w:lang w:val="es-ES"/>
        </w:rPr>
        <w:t>I</w:t>
      </w:r>
      <w:r w:rsidRPr="00010EDA">
        <w:rPr>
          <w:rFonts w:eastAsia="SimSun" w:cstheme="minorHAnsi"/>
          <w:spacing w:val="-2"/>
          <w:lang w:val="es-ES"/>
        </w:rPr>
        <w:t xml:space="preserve">niciativas </w:t>
      </w:r>
      <w:r>
        <w:rPr>
          <w:rFonts w:eastAsia="SimSun" w:cstheme="minorHAnsi"/>
          <w:spacing w:val="-2"/>
          <w:lang w:val="es-ES"/>
        </w:rPr>
        <w:t>R</w:t>
      </w:r>
      <w:r w:rsidRPr="00010EDA">
        <w:rPr>
          <w:rFonts w:eastAsia="SimSun" w:cstheme="minorHAnsi"/>
          <w:spacing w:val="-2"/>
          <w:lang w:val="es-ES"/>
        </w:rPr>
        <w:t>egionales (IR) adoptadas en la CMDT-25.</w:t>
      </w:r>
    </w:p>
    <w:p w14:paraId="7A1AA237" w14:textId="77777777" w:rsidR="00F94009" w:rsidRPr="00010EDA" w:rsidRDefault="00F94009" w:rsidP="00F94009">
      <w:pPr>
        <w:spacing w:after="120"/>
        <w:rPr>
          <w:rFonts w:eastAsia="SimSun" w:cstheme="minorHAnsi"/>
          <w:spacing w:val="-2"/>
          <w:lang w:val="es-ES"/>
        </w:rPr>
      </w:pPr>
      <w:r w:rsidRPr="00010EDA">
        <w:rPr>
          <w:rFonts w:cstheme="minorHAnsi"/>
          <w:lang w:val="es-ES"/>
        </w:rPr>
        <w:t>Se invita al GADT a que proporcione orientacion</w:t>
      </w:r>
      <w:r>
        <w:rPr>
          <w:rFonts w:cstheme="minorHAnsi"/>
          <w:lang w:val="es-ES"/>
        </w:rPr>
        <w:t>es</w:t>
      </w:r>
      <w:r w:rsidRPr="00010EDA">
        <w:rPr>
          <w:rFonts w:cstheme="minorHAnsi"/>
          <w:lang w:val="es-ES"/>
        </w:rPr>
        <w:t xml:space="preserve"> sobre el análisis presentado en este documento, según </w:t>
      </w:r>
      <w:r>
        <w:rPr>
          <w:rFonts w:cstheme="minorHAnsi"/>
          <w:lang w:val="es-ES"/>
        </w:rPr>
        <w:t>estime</w:t>
      </w:r>
      <w:r w:rsidRPr="00010EDA">
        <w:rPr>
          <w:rFonts w:cstheme="minorHAnsi"/>
          <w:lang w:val="es-ES"/>
        </w:rPr>
        <w:t xml:space="preserve"> oportuno.</w:t>
      </w:r>
    </w:p>
    <w:p w14:paraId="6021F541" w14:textId="77777777" w:rsidR="00792739" w:rsidRDefault="00792739">
      <w:pPr>
        <w:jc w:val="center"/>
      </w:pPr>
      <w:r>
        <w:t>______________</w:t>
      </w:r>
    </w:p>
    <w:sectPr w:rsidR="00792739" w:rsidSect="0081159E">
      <w:headerReference w:type="default" r:id="rId19"/>
      <w:footerReference w:type="first" r:id="rId20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2DC2" w14:textId="77777777" w:rsidR="00F94009" w:rsidRDefault="00F94009">
      <w:r>
        <w:separator/>
      </w:r>
    </w:p>
    <w:p w14:paraId="58324072" w14:textId="77777777" w:rsidR="00F94009" w:rsidRDefault="00F94009"/>
  </w:endnote>
  <w:endnote w:type="continuationSeparator" w:id="0">
    <w:p w14:paraId="7F07E393" w14:textId="77777777" w:rsidR="00F94009" w:rsidRDefault="00F94009">
      <w:r>
        <w:continuationSeparator/>
      </w:r>
    </w:p>
    <w:p w14:paraId="6CB28100" w14:textId="77777777" w:rsidR="00F94009" w:rsidRDefault="00F94009"/>
  </w:endnote>
  <w:endnote w:type="continuationNotice" w:id="1">
    <w:p w14:paraId="3AE78005" w14:textId="77777777" w:rsidR="00F94009" w:rsidRDefault="00F94009">
      <w:pPr>
        <w:spacing w:before="0"/>
      </w:pPr>
    </w:p>
    <w:p w14:paraId="5E271CE0" w14:textId="77777777" w:rsidR="00F94009" w:rsidRDefault="00F94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F94009" w:rsidRPr="00181E6A" w14:paraId="7BB22BE1" w14:textId="77777777" w:rsidTr="00F94009">
      <w:tc>
        <w:tcPr>
          <w:tcW w:w="1526" w:type="dxa"/>
          <w:tcBorders>
            <w:top w:val="single" w:sz="4" w:space="0" w:color="000000"/>
          </w:tcBorders>
        </w:tcPr>
        <w:p w14:paraId="1F9705B9" w14:textId="77777777" w:rsidR="00F94009" w:rsidRPr="00F42215" w:rsidRDefault="00F94009" w:rsidP="00F94009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Contacto: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7FC35282" w14:textId="77777777" w:rsidR="00F94009" w:rsidRPr="00F42215" w:rsidRDefault="00F94009" w:rsidP="00F94009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</w:tcPr>
        <w:p w14:paraId="3C65A720" w14:textId="7479CC99" w:rsidR="00F94009" w:rsidRPr="00F42215" w:rsidRDefault="00F94009" w:rsidP="00F94009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7A2672">
            <w:rPr>
              <w:sz w:val="18"/>
              <w:szCs w:val="18"/>
              <w:lang w:val="es-ES"/>
            </w:rPr>
            <w:t>Sra.</w:t>
          </w:r>
          <w:r w:rsidR="00C9129C">
            <w:rPr>
              <w:sz w:val="18"/>
              <w:szCs w:val="18"/>
              <w:lang w:val="es-ES"/>
            </w:rPr>
            <w:t> </w:t>
          </w:r>
          <w:r w:rsidRPr="007A2672">
            <w:rPr>
              <w:sz w:val="18"/>
              <w:szCs w:val="18"/>
              <w:lang w:val="es-ES"/>
            </w:rPr>
            <w:t>Archana Gulati, Directora Adjunta de la Oficina de Desarrollo de las Telecomunicaciones</w:t>
          </w:r>
        </w:p>
      </w:tc>
      <w:bookmarkStart w:id="10" w:name="OrgName"/>
      <w:bookmarkEnd w:id="10"/>
    </w:tr>
    <w:tr w:rsidR="00F94009" w:rsidRPr="004D495C" w14:paraId="1D302F79" w14:textId="77777777" w:rsidTr="00F94009">
      <w:tc>
        <w:tcPr>
          <w:tcW w:w="1526" w:type="dxa"/>
        </w:tcPr>
        <w:p w14:paraId="7D4A4063" w14:textId="77777777" w:rsidR="00F94009" w:rsidRPr="00F42215" w:rsidRDefault="00F94009" w:rsidP="00F94009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24950B3B" w14:textId="77777777" w:rsidR="00F94009" w:rsidRPr="00F42215" w:rsidRDefault="00F94009" w:rsidP="00F94009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1D8E7485" w14:textId="228A2AE8" w:rsidR="00F94009" w:rsidRPr="00F42215" w:rsidRDefault="00F94009" w:rsidP="00F94009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921E3B">
            <w:rPr>
              <w:sz w:val="18"/>
              <w:szCs w:val="18"/>
            </w:rPr>
            <w:t>+41</w:t>
          </w:r>
          <w:r>
            <w:rPr>
              <w:sz w:val="18"/>
              <w:szCs w:val="18"/>
            </w:rPr>
            <w:t xml:space="preserve"> 227306475</w:t>
          </w:r>
        </w:p>
      </w:tc>
      <w:bookmarkStart w:id="11" w:name="PhoneNo"/>
      <w:bookmarkEnd w:id="11"/>
    </w:tr>
    <w:tr w:rsidR="00F94009" w:rsidRPr="004D495C" w14:paraId="3F4CCECD" w14:textId="77777777" w:rsidTr="00F94009">
      <w:tc>
        <w:tcPr>
          <w:tcW w:w="1526" w:type="dxa"/>
        </w:tcPr>
        <w:p w14:paraId="5C99EEBA" w14:textId="77777777" w:rsidR="00F94009" w:rsidRPr="00F42215" w:rsidRDefault="00F94009" w:rsidP="00F94009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18683123" w14:textId="77777777" w:rsidR="00F94009" w:rsidRPr="00F42215" w:rsidRDefault="00F94009" w:rsidP="00F94009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3DCA077E" w14:textId="299CC3F3" w:rsidR="00F94009" w:rsidRPr="00F42215" w:rsidRDefault="00F94009" w:rsidP="00F94009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 w:history="1">
            <w:r w:rsidRPr="00921E3B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00A66552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4EED" w14:textId="77777777" w:rsidR="00F94009" w:rsidRPr="0054377E" w:rsidRDefault="00F94009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7800E2AF" w14:textId="77777777" w:rsidR="00F94009" w:rsidRDefault="00F94009" w:rsidP="0054377E">
      <w:pPr>
        <w:spacing w:before="0"/>
      </w:pPr>
      <w:r>
        <w:continuationSeparator/>
      </w:r>
    </w:p>
    <w:p w14:paraId="55055EDD" w14:textId="77777777" w:rsidR="00F94009" w:rsidRDefault="00F94009"/>
  </w:footnote>
  <w:footnote w:type="continuationNotice" w:id="1">
    <w:p w14:paraId="2B0E56CF" w14:textId="77777777" w:rsidR="00F94009" w:rsidRDefault="00F94009">
      <w:pPr>
        <w:spacing w:before="0"/>
      </w:pPr>
    </w:p>
    <w:p w14:paraId="60251E63" w14:textId="77777777" w:rsidR="00F94009" w:rsidRDefault="00F94009"/>
  </w:footnote>
  <w:footnote w:id="2">
    <w:p w14:paraId="7CA595B9" w14:textId="69A7A751" w:rsidR="00F94009" w:rsidRPr="007A2672" w:rsidRDefault="00F94009" w:rsidP="00F94009">
      <w:pPr>
        <w:pStyle w:val="FootnoteText"/>
        <w:spacing w:before="0"/>
        <w:rPr>
          <w:i/>
          <w:sz w:val="20"/>
          <w:lang w:val="es-ES"/>
        </w:rPr>
      </w:pPr>
      <w:r w:rsidRPr="0046569C">
        <w:rPr>
          <w:rStyle w:val="FootnoteReference"/>
          <w:i/>
          <w:sz w:val="20"/>
        </w:rPr>
        <w:footnoteRef/>
      </w:r>
      <w:r w:rsidR="00C9129C">
        <w:rPr>
          <w:i/>
          <w:sz w:val="20"/>
          <w:lang w:val="es-ES"/>
        </w:rPr>
        <w:tab/>
      </w:r>
      <w:r w:rsidRPr="007A2672">
        <w:rPr>
          <w:i/>
          <w:sz w:val="20"/>
          <w:lang w:val="es-ES"/>
        </w:rPr>
        <w:t>Para ampliar información sobre la aplicación general de los resultados de la CMDT-22 (Plan de Acción de Kigali)</w:t>
      </w:r>
      <w:r w:rsidRPr="007A2672">
        <w:rPr>
          <w:i/>
          <w:iCs/>
          <w:sz w:val="20"/>
          <w:lang w:val="es-ES"/>
        </w:rPr>
        <w:t>,</w:t>
      </w:r>
      <w:r w:rsidRPr="007A2672">
        <w:rPr>
          <w:i/>
          <w:sz w:val="20"/>
          <w:lang w:val="es-ES"/>
        </w:rPr>
        <w:t xml:space="preserve"> véanse los documentos </w:t>
      </w:r>
      <w:hyperlink r:id="rId1" w:history="1">
        <w:r w:rsidRPr="007A2672">
          <w:rPr>
            <w:rStyle w:val="Hyperlink"/>
            <w:i/>
            <w:iCs/>
            <w:sz w:val="20"/>
            <w:lang w:val="es-ES"/>
          </w:rPr>
          <w:t>WTDC-25/2</w:t>
        </w:r>
      </w:hyperlink>
      <w:r w:rsidRPr="007A2672">
        <w:rPr>
          <w:i/>
          <w:sz w:val="20"/>
          <w:lang w:val="es-ES"/>
        </w:rPr>
        <w:t xml:space="preserve"> y </w:t>
      </w:r>
      <w:hyperlink r:id="rId2" w:history="1">
        <w:r w:rsidRPr="007A2672">
          <w:rPr>
            <w:rStyle w:val="Hyperlink"/>
            <w:i/>
            <w:iCs/>
            <w:sz w:val="20"/>
            <w:lang w:val="es-ES"/>
          </w:rPr>
          <w:t>GADT-26/2</w:t>
        </w:r>
      </w:hyperlink>
      <w:r w:rsidRPr="007A2672">
        <w:rPr>
          <w:i/>
          <w:iCs/>
          <w:sz w:val="20"/>
          <w:lang w:val="es-ES"/>
        </w:rPr>
        <w:t>.</w:t>
      </w:r>
    </w:p>
  </w:footnote>
  <w:footnote w:id="3">
    <w:p w14:paraId="776DC2BB" w14:textId="4E23DF67" w:rsidR="00F94009" w:rsidRPr="00C80C21" w:rsidRDefault="00F94009" w:rsidP="00F94009">
      <w:pPr>
        <w:pStyle w:val="FootnoteText"/>
        <w:spacing w:before="0"/>
        <w:rPr>
          <w:i/>
          <w:sz w:val="20"/>
          <w:lang w:val="es-ES"/>
        </w:rPr>
      </w:pPr>
      <w:r w:rsidRPr="0046569C">
        <w:rPr>
          <w:rStyle w:val="FootnoteReference"/>
          <w:i/>
          <w:sz w:val="20"/>
        </w:rPr>
        <w:footnoteRef/>
      </w:r>
      <w:r w:rsidR="00C9129C">
        <w:rPr>
          <w:i/>
          <w:sz w:val="20"/>
          <w:lang w:val="es-ES"/>
        </w:rPr>
        <w:tab/>
      </w:r>
      <w:r w:rsidRPr="00C80C21">
        <w:rPr>
          <w:i/>
          <w:sz w:val="20"/>
          <w:lang w:val="es-ES"/>
        </w:rPr>
        <w:t xml:space="preserve">Para ampliar información sobre los proyectos del UIT-D, véase el documento </w:t>
      </w:r>
      <w:r>
        <w:fldChar w:fldCharType="begin"/>
      </w:r>
      <w:r w:rsidRPr="00181E6A">
        <w:rPr>
          <w:lang w:val="es-ES"/>
        </w:rPr>
        <w:instrText>HYPERLINK "https://www.itu.int/md/D26-TDAG33-C-0008/es"</w:instrText>
      </w:r>
      <w:r>
        <w:fldChar w:fldCharType="separate"/>
      </w:r>
      <w:r w:rsidRPr="00C80C21">
        <w:rPr>
          <w:rStyle w:val="Hyperlink"/>
          <w:i/>
          <w:iCs/>
          <w:sz w:val="20"/>
          <w:lang w:val="es-ES"/>
        </w:rPr>
        <w:t>GADT-26/8</w:t>
      </w:r>
      <w:r>
        <w:fldChar w:fldCharType="end"/>
      </w:r>
      <w:r w:rsidRPr="00C80C21">
        <w:rPr>
          <w:i/>
          <w:sz w:val="20"/>
          <w:lang w:val="es-ES"/>
        </w:rPr>
        <w:t xml:space="preserve"> o consúltese el portal de proyectos del UIT-D que figura en</w:t>
      </w:r>
      <w:hyperlink r:id="rId3" w:history="1">
        <w:r w:rsidR="001F1A07" w:rsidRPr="004038C6">
          <w:rPr>
            <w:rStyle w:val="Hyperlink"/>
            <w:i/>
            <w:sz w:val="20"/>
            <w:lang w:val="es-ES"/>
          </w:rPr>
          <w:t>https://www.itu.int/itu-d/sites/projects/home/projects/es</w:t>
        </w:r>
      </w:hyperlink>
      <w:r w:rsidRPr="00C80C21">
        <w:rPr>
          <w:i/>
          <w:sz w:val="20"/>
          <w:lang w:val="es-ES"/>
        </w:rPr>
        <w:t xml:space="preserve"> </w:t>
      </w:r>
    </w:p>
  </w:footnote>
  <w:footnote w:id="4">
    <w:p w14:paraId="48D468C2" w14:textId="3B614095" w:rsidR="00F94009" w:rsidRPr="00C80C21" w:rsidRDefault="00F94009" w:rsidP="00F94009">
      <w:pPr>
        <w:pStyle w:val="FootnoteText"/>
        <w:spacing w:before="0"/>
        <w:rPr>
          <w:i/>
          <w:sz w:val="20"/>
          <w:lang w:val="es-ES"/>
        </w:rPr>
      </w:pPr>
      <w:r w:rsidRPr="00C80C21">
        <w:rPr>
          <w:rStyle w:val="FootnoteReference"/>
          <w:i/>
          <w:sz w:val="20"/>
          <w:lang w:val="es-ES"/>
        </w:rPr>
        <w:footnoteRef/>
      </w:r>
      <w:r w:rsidR="00C9129C">
        <w:rPr>
          <w:i/>
          <w:sz w:val="20"/>
          <w:lang w:val="es-ES"/>
        </w:rPr>
        <w:tab/>
      </w:r>
      <w:r w:rsidRPr="00C80C21">
        <w:rPr>
          <w:i/>
          <w:sz w:val="20"/>
          <w:lang w:val="es-ES"/>
        </w:rPr>
        <w:t>Las Resoluciones 1, 2, 24,</w:t>
      </w:r>
      <w:r w:rsidRPr="00C80C21">
        <w:rPr>
          <w:i/>
          <w:iCs/>
          <w:sz w:val="20"/>
          <w:lang w:val="es-ES"/>
        </w:rPr>
        <w:t xml:space="preserve"> 31,</w:t>
      </w:r>
      <w:r w:rsidRPr="00C80C21">
        <w:rPr>
          <w:i/>
          <w:sz w:val="20"/>
          <w:lang w:val="es-ES"/>
        </w:rPr>
        <w:t xml:space="preserve"> 40 y 59 no se enumeran en el cuadro por hacer hincapié en el funcionamiento operacional de la Oficina de Desarrollo de las Telecomunicaciones.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8315" w14:textId="1781AE23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C9129C">
      <w:rPr>
        <w:sz w:val="22"/>
        <w:szCs w:val="22"/>
        <w:lang w:val="es-ES_tradnl"/>
      </w:rPr>
      <w:t>4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00F623C"/>
    <w:multiLevelType w:val="hybridMultilevel"/>
    <w:tmpl w:val="AC9C5ABE"/>
    <w:lvl w:ilvl="0" w:tplc="522CC5CC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D927A1"/>
    <w:multiLevelType w:val="hybridMultilevel"/>
    <w:tmpl w:val="0DBEA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075DE"/>
    <w:multiLevelType w:val="hybridMultilevel"/>
    <w:tmpl w:val="F5CC39FC"/>
    <w:lvl w:ilvl="0" w:tplc="93E6492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9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4434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4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1"/>
  </w:num>
  <w:num w:numId="4" w16cid:durableId="1830174465">
    <w:abstractNumId w:val="4"/>
  </w:num>
  <w:num w:numId="5" w16cid:durableId="1479105461">
    <w:abstractNumId w:val="33"/>
  </w:num>
  <w:num w:numId="6" w16cid:durableId="869954702">
    <w:abstractNumId w:val="39"/>
  </w:num>
  <w:num w:numId="7" w16cid:durableId="444734477">
    <w:abstractNumId w:val="5"/>
  </w:num>
  <w:num w:numId="8" w16cid:durableId="362947223">
    <w:abstractNumId w:val="16"/>
  </w:num>
  <w:num w:numId="9" w16cid:durableId="458111764">
    <w:abstractNumId w:val="7"/>
  </w:num>
  <w:num w:numId="10" w16cid:durableId="1195534353">
    <w:abstractNumId w:val="15"/>
  </w:num>
  <w:num w:numId="11" w16cid:durableId="1826580952">
    <w:abstractNumId w:val="31"/>
  </w:num>
  <w:num w:numId="12" w16cid:durableId="1514690498">
    <w:abstractNumId w:val="38"/>
  </w:num>
  <w:num w:numId="13" w16cid:durableId="1235118698">
    <w:abstractNumId w:val="3"/>
  </w:num>
  <w:num w:numId="14" w16cid:durableId="509291828">
    <w:abstractNumId w:val="6"/>
  </w:num>
  <w:num w:numId="15" w16cid:durableId="383218916">
    <w:abstractNumId w:val="14"/>
  </w:num>
  <w:num w:numId="16" w16cid:durableId="1227569663">
    <w:abstractNumId w:val="9"/>
  </w:num>
  <w:num w:numId="17" w16cid:durableId="810974550">
    <w:abstractNumId w:val="45"/>
  </w:num>
  <w:num w:numId="18" w16cid:durableId="1354573477">
    <w:abstractNumId w:val="36"/>
  </w:num>
  <w:num w:numId="19" w16cid:durableId="435754545">
    <w:abstractNumId w:val="20"/>
  </w:num>
  <w:num w:numId="20" w16cid:durableId="1066875134">
    <w:abstractNumId w:val="30"/>
  </w:num>
  <w:num w:numId="21" w16cid:durableId="1689939216">
    <w:abstractNumId w:val="29"/>
  </w:num>
  <w:num w:numId="22" w16cid:durableId="1257783837">
    <w:abstractNumId w:val="46"/>
  </w:num>
  <w:num w:numId="23" w16cid:durableId="970285242">
    <w:abstractNumId w:val="25"/>
  </w:num>
  <w:num w:numId="24" w16cid:durableId="1876889861">
    <w:abstractNumId w:val="19"/>
  </w:num>
  <w:num w:numId="25" w16cid:durableId="138228398">
    <w:abstractNumId w:val="22"/>
  </w:num>
  <w:num w:numId="26" w16cid:durableId="1871145006">
    <w:abstractNumId w:val="23"/>
  </w:num>
  <w:num w:numId="27" w16cid:durableId="1946108508">
    <w:abstractNumId w:val="26"/>
  </w:num>
  <w:num w:numId="28" w16cid:durableId="1629045729">
    <w:abstractNumId w:val="13"/>
  </w:num>
  <w:num w:numId="29" w16cid:durableId="2010906637">
    <w:abstractNumId w:val="27"/>
  </w:num>
  <w:num w:numId="30" w16cid:durableId="290525213">
    <w:abstractNumId w:val="44"/>
  </w:num>
  <w:num w:numId="31" w16cid:durableId="191966975">
    <w:abstractNumId w:val="28"/>
  </w:num>
  <w:num w:numId="32" w16cid:durableId="2014406757">
    <w:abstractNumId w:val="34"/>
  </w:num>
  <w:num w:numId="33" w16cid:durableId="648558829">
    <w:abstractNumId w:val="21"/>
  </w:num>
  <w:num w:numId="34" w16cid:durableId="2071807613">
    <w:abstractNumId w:val="12"/>
  </w:num>
  <w:num w:numId="35" w16cid:durableId="271744889">
    <w:abstractNumId w:val="37"/>
  </w:num>
  <w:num w:numId="36" w16cid:durableId="1457527817">
    <w:abstractNumId w:val="24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0"/>
  </w:num>
  <w:num w:numId="40" w16cid:durableId="1037706265">
    <w:abstractNumId w:val="8"/>
  </w:num>
  <w:num w:numId="41" w16cid:durableId="447436251">
    <w:abstractNumId w:val="47"/>
  </w:num>
  <w:num w:numId="42" w16cid:durableId="655766109">
    <w:abstractNumId w:val="18"/>
  </w:num>
  <w:num w:numId="43" w16cid:durableId="577523632">
    <w:abstractNumId w:val="17"/>
  </w:num>
  <w:num w:numId="44" w16cid:durableId="1138063662">
    <w:abstractNumId w:val="43"/>
  </w:num>
  <w:num w:numId="45" w16cid:durableId="1522358246">
    <w:abstractNumId w:val="42"/>
  </w:num>
  <w:num w:numId="46" w16cid:durableId="1093938953">
    <w:abstractNumId w:val="10"/>
  </w:num>
  <w:num w:numId="47" w16cid:durableId="1706519690">
    <w:abstractNumId w:val="2"/>
  </w:num>
  <w:num w:numId="48" w16cid:durableId="3671494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10B2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1E6A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1A07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2F344D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412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2A9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1D40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4B80"/>
    <w:rsid w:val="00657DE0"/>
    <w:rsid w:val="006608C4"/>
    <w:rsid w:val="006612C2"/>
    <w:rsid w:val="00661FB8"/>
    <w:rsid w:val="00665B75"/>
    <w:rsid w:val="00667F38"/>
    <w:rsid w:val="0067199F"/>
    <w:rsid w:val="00671B00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739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0C1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1011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4BE9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129C"/>
    <w:rsid w:val="00C976EE"/>
    <w:rsid w:val="00C97C68"/>
    <w:rsid w:val="00CA18A2"/>
    <w:rsid w:val="00CA1A47"/>
    <w:rsid w:val="00CA36C5"/>
    <w:rsid w:val="00CA48CF"/>
    <w:rsid w:val="00CA75EB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2DEA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7760A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009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BF3D5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,Listenabsatz Standard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,Listenabsatz Standard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9400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D26-TDAG33-C-0003/es" TargetMode="External"/><Relationship Id="rId18" Type="http://schemas.openxmlformats.org/officeDocument/2006/relationships/hyperlink" Target="https://www.itu.int/md/D26-TDAG33-C-0019/e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itu.int/go/wtdc25-final-report" TargetMode="External"/><Relationship Id="rId17" Type="http://schemas.openxmlformats.org/officeDocument/2006/relationships/hyperlink" Target="https://www.itu.int/md/S26-CWGFHR22-C-0035/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5-CWGFHR21-C-0003/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itu.int/md/S26-CWGFHR22-C-0007/es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D22-WTDC25-C-0070/e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tu.int/itu-d/sites/projects/home/projects/es" TargetMode="External"/><Relationship Id="rId2" Type="http://schemas.openxmlformats.org/officeDocument/2006/relationships/hyperlink" Target="https://www.itu.int/md/D26-TDAG33-C-0002/" TargetMode="External"/><Relationship Id="rId1" Type="http://schemas.openxmlformats.org/officeDocument/2006/relationships/hyperlink" Target="https://www.itu.int/md/D22-WTDC25-C-00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2418</Words>
  <Characters>13266</Characters>
  <Application>Microsoft Office Word</Application>
  <DocSecurity>0</DocSecurity>
  <Lines>221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15605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Spanish</dc:creator>
  <cp:lastModifiedBy>Spanish</cp:lastModifiedBy>
  <cp:revision>14</cp:revision>
  <cp:lastPrinted>2019-01-16T07:57:00Z</cp:lastPrinted>
  <dcterms:created xsi:type="dcterms:W3CDTF">2026-03-18T10:43:00Z</dcterms:created>
  <dcterms:modified xsi:type="dcterms:W3CDTF">2026-03-18T15:12:00Z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