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403C69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F723AC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CB76A2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CB76A2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EB4AE6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3</w:t>
            </w:r>
            <w:r>
              <w:rPr>
                <w:rFonts w:cstheme="minorHAnsi"/>
                <w:b/>
                <w:bCs/>
                <w:szCs w:val="22"/>
                <w:lang w:eastAsia="zh-CN"/>
              </w:rPr>
              <w:t>3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-е собрание, Женева, Швейцария, </w:t>
            </w:r>
            <w:r w:rsidR="000674FE" w:rsidRPr="001C3DD0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1C3DD0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403C69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403C69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199974E5" w:rsidR="00D87035" w:rsidRPr="005E032D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  <w:lang w:val="en-US"/>
              </w:rPr>
            </w:pPr>
            <w:r w:rsidRPr="005E032D">
              <w:rPr>
                <w:b/>
                <w:bCs/>
                <w:szCs w:val="22"/>
              </w:rPr>
              <w:t>Документ</w:t>
            </w:r>
            <w:r w:rsidR="00D87035" w:rsidRPr="005E032D">
              <w:rPr>
                <w:b/>
                <w:bCs/>
                <w:szCs w:val="22"/>
                <w:lang w:val="en-US"/>
              </w:rPr>
              <w:t xml:space="preserve"> </w:t>
            </w:r>
            <w:bookmarkStart w:id="4" w:name="DocRef1"/>
            <w:bookmarkEnd w:id="4"/>
            <w:r w:rsidR="00D87035" w:rsidRPr="005E032D">
              <w:rPr>
                <w:b/>
                <w:bCs/>
                <w:szCs w:val="22"/>
                <w:lang w:val="en-US"/>
              </w:rPr>
              <w:t>TDAG-</w:t>
            </w:r>
            <w:r w:rsidR="00523934" w:rsidRPr="005E032D">
              <w:rPr>
                <w:b/>
                <w:bCs/>
                <w:szCs w:val="22"/>
                <w:lang w:val="en-US"/>
              </w:rPr>
              <w:t>2</w:t>
            </w:r>
            <w:r w:rsidR="000674FE">
              <w:rPr>
                <w:b/>
                <w:bCs/>
                <w:szCs w:val="22"/>
              </w:rPr>
              <w:t>6</w:t>
            </w:r>
            <w:r w:rsidR="00D87035" w:rsidRPr="005E032D">
              <w:rPr>
                <w:b/>
                <w:bCs/>
                <w:szCs w:val="22"/>
                <w:lang w:val="en-US"/>
              </w:rPr>
              <w:t>/</w:t>
            </w:r>
            <w:bookmarkStart w:id="5" w:name="DocNo1"/>
            <w:bookmarkEnd w:id="5"/>
            <w:r w:rsidR="001C3DD0">
              <w:rPr>
                <w:b/>
                <w:bCs/>
                <w:szCs w:val="22"/>
                <w:lang w:val="en-US"/>
              </w:rPr>
              <w:t>4</w:t>
            </w:r>
            <w:r w:rsidR="00D87035" w:rsidRPr="005E032D">
              <w:rPr>
                <w:b/>
                <w:bCs/>
                <w:szCs w:val="22"/>
                <w:lang w:val="en-US"/>
              </w:rPr>
              <w:t>-</w:t>
            </w:r>
            <w:r w:rsidRPr="005E032D">
              <w:rPr>
                <w:b/>
                <w:bCs/>
                <w:szCs w:val="22"/>
                <w:lang w:val="en-US"/>
              </w:rPr>
              <w:t>R</w:t>
            </w:r>
          </w:p>
        </w:tc>
      </w:tr>
      <w:tr w:rsidR="00D87035" w:rsidRPr="00403C69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423E2398" w:rsidR="00D87035" w:rsidRPr="005E032D" w:rsidRDefault="001C3DD0" w:rsidP="00CE66E4">
            <w:pPr>
              <w:spacing w:before="0"/>
              <w:rPr>
                <w:rFonts w:cstheme="minorHAnsi"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 xml:space="preserve">3 </w:t>
            </w:r>
            <w:r>
              <w:rPr>
                <w:b/>
                <w:bCs/>
                <w:szCs w:val="22"/>
              </w:rPr>
              <w:t>марта</w:t>
            </w:r>
            <w:r w:rsidR="0081159E" w:rsidRPr="005E032D">
              <w:rPr>
                <w:b/>
                <w:bCs/>
                <w:szCs w:val="22"/>
              </w:rPr>
              <w:t xml:space="preserve"> </w:t>
            </w:r>
            <w:r w:rsidR="002955DA" w:rsidRPr="005E032D">
              <w:rPr>
                <w:b/>
                <w:bCs/>
                <w:szCs w:val="22"/>
              </w:rPr>
              <w:t>202</w:t>
            </w:r>
            <w:r w:rsidR="000674FE">
              <w:rPr>
                <w:b/>
                <w:bCs/>
                <w:szCs w:val="22"/>
              </w:rPr>
              <w:t>6</w:t>
            </w:r>
            <w:r w:rsidR="005E032D" w:rsidRPr="005E032D">
              <w:rPr>
                <w:b/>
                <w:bCs/>
                <w:szCs w:val="22"/>
              </w:rPr>
              <w:t xml:space="preserve"> года</w:t>
            </w:r>
          </w:p>
        </w:tc>
      </w:tr>
      <w:bookmarkEnd w:id="6"/>
      <w:bookmarkEnd w:id="7"/>
      <w:tr w:rsidR="00D87035" w:rsidRPr="00403C69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5E032D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5E032D">
              <w:rPr>
                <w:b/>
                <w:bCs/>
                <w:szCs w:val="22"/>
              </w:rPr>
              <w:t>Оригинал</w:t>
            </w:r>
            <w:r w:rsidR="00D87035" w:rsidRPr="005E032D">
              <w:rPr>
                <w:b/>
                <w:bCs/>
                <w:szCs w:val="22"/>
              </w:rPr>
              <w:t xml:space="preserve">: </w:t>
            </w:r>
            <w:r w:rsidRPr="005E032D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403C69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3B464731" w:rsidR="00D83BF5" w:rsidRPr="005E032D" w:rsidRDefault="001C3DD0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>
              <w:rPr>
                <w:rFonts w:cstheme="minorHAnsi"/>
              </w:rPr>
              <w:t>Директор</w:t>
            </w:r>
            <w:r w:rsidRPr="0031329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</w:rPr>
              <w:t>Бюро</w:t>
            </w:r>
            <w:r w:rsidRPr="0031329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</w:rPr>
              <w:t>развития</w:t>
            </w:r>
            <w:r w:rsidRPr="00313291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</w:rPr>
              <w:t>электросвязи</w:t>
            </w:r>
          </w:p>
        </w:tc>
      </w:tr>
      <w:tr w:rsidR="00D83BF5" w:rsidRPr="00403C69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1CDA44C3" w:rsidR="00D83BF5" w:rsidRPr="005E032D" w:rsidRDefault="001C3DD0" w:rsidP="006774C6">
            <w:pPr>
              <w:pStyle w:val="Title1"/>
              <w:rPr>
                <w:caps/>
              </w:rPr>
            </w:pPr>
            <w:r>
              <w:rPr>
                <w:rFonts w:cstheme="minorHAnsi"/>
                <w:szCs w:val="28"/>
              </w:rPr>
              <w:t>Реализация</w:t>
            </w:r>
            <w:r w:rsidRPr="00313291">
              <w:rPr>
                <w:rFonts w:cstheme="minorHAnsi"/>
                <w:szCs w:val="28"/>
              </w:rPr>
              <w:t xml:space="preserve"> </w:t>
            </w:r>
            <w:r>
              <w:rPr>
                <w:rFonts w:cstheme="minorHAnsi"/>
                <w:szCs w:val="28"/>
              </w:rPr>
              <w:t>мер</w:t>
            </w:r>
            <w:r w:rsidRPr="00313291">
              <w:rPr>
                <w:rFonts w:cstheme="minorHAnsi"/>
                <w:szCs w:val="28"/>
              </w:rPr>
              <w:t xml:space="preserve"> </w:t>
            </w:r>
            <w:r>
              <w:rPr>
                <w:rFonts w:cstheme="minorHAnsi"/>
                <w:szCs w:val="28"/>
              </w:rPr>
              <w:t>в</w:t>
            </w:r>
            <w:r w:rsidRPr="00313291">
              <w:rPr>
                <w:rFonts w:cstheme="minorHAnsi"/>
                <w:szCs w:val="28"/>
              </w:rPr>
              <w:t xml:space="preserve"> </w:t>
            </w:r>
            <w:r>
              <w:rPr>
                <w:rFonts w:cstheme="minorHAnsi"/>
                <w:szCs w:val="28"/>
              </w:rPr>
              <w:t>связи</w:t>
            </w:r>
            <w:r w:rsidRPr="00313291">
              <w:rPr>
                <w:rFonts w:cstheme="minorHAnsi"/>
                <w:szCs w:val="28"/>
              </w:rPr>
              <w:t xml:space="preserve"> </w:t>
            </w:r>
            <w:r>
              <w:rPr>
                <w:rFonts w:cstheme="minorHAnsi"/>
                <w:szCs w:val="28"/>
              </w:rPr>
              <w:t>с</w:t>
            </w:r>
            <w:r w:rsidRPr="00313291">
              <w:rPr>
                <w:rFonts w:cstheme="minorHAnsi"/>
                <w:szCs w:val="28"/>
              </w:rPr>
              <w:t xml:space="preserve"> финансовы</w:t>
            </w:r>
            <w:r>
              <w:rPr>
                <w:rFonts w:cstheme="minorHAnsi"/>
                <w:szCs w:val="28"/>
              </w:rPr>
              <w:t>ми</w:t>
            </w:r>
            <w:r w:rsidRPr="00313291">
              <w:rPr>
                <w:rFonts w:cstheme="minorHAnsi"/>
                <w:szCs w:val="28"/>
              </w:rPr>
              <w:t xml:space="preserve"> последств</w:t>
            </w:r>
            <w:r>
              <w:rPr>
                <w:rFonts w:cstheme="minorHAnsi"/>
                <w:szCs w:val="28"/>
              </w:rPr>
              <w:t>иями</w:t>
            </w:r>
            <w:r w:rsidRPr="00313291">
              <w:rPr>
                <w:rFonts w:cstheme="minorHAnsi"/>
                <w:szCs w:val="28"/>
              </w:rPr>
              <w:t xml:space="preserve"> Резолюций, принятых ВКРЭ-25</w:t>
            </w:r>
          </w:p>
        </w:tc>
      </w:tr>
      <w:tr w:rsidR="00D83BF5" w:rsidRPr="00403C69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403C69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403C69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7606A7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606A7">
              <w:rPr>
                <w:szCs w:val="22"/>
                <w:lang w:val="ru-RU"/>
              </w:rPr>
              <w:t>Резюме</w:t>
            </w:r>
          </w:p>
          <w:p w14:paraId="4DF26EA8" w14:textId="77777777" w:rsidR="001C3DD0" w:rsidRPr="00F805C1" w:rsidRDefault="001C3DD0" w:rsidP="005728FE">
            <w:r w:rsidRPr="00F805C1">
              <w:t xml:space="preserve">Всемирная конференция МСЭ по развитию электросвязи 2025 года (ВКРЭ-25) состоялась в Баку, Азербайджан, с 17 по 28 ноября 2025 года. ВКРЭ-25, </w:t>
            </w:r>
            <w:r>
              <w:t>которая стала</w:t>
            </w:r>
            <w:r w:rsidRPr="00F805C1">
              <w:t xml:space="preserve"> знаковым событием для МСЭ, принесла ряд важных результатов, включая принятие Бакинского плана действий (</w:t>
            </w:r>
            <w:r>
              <w:t>БПД</w:t>
            </w:r>
            <w:r w:rsidRPr="00F805C1">
              <w:t>) и Бакинской декларации. Конференция провела всеобъемлющ</w:t>
            </w:r>
            <w:r>
              <w:t>ее</w:t>
            </w:r>
            <w:r w:rsidRPr="00F805C1">
              <w:t xml:space="preserve"> </w:t>
            </w:r>
            <w:r>
              <w:t xml:space="preserve">рассмотрение </w:t>
            </w:r>
            <w:r w:rsidRPr="00F805C1">
              <w:t xml:space="preserve">своих Резолюций, в результате чего были внесены поправки в 44 существующие Резолюции и приняты </w:t>
            </w:r>
            <w:r>
              <w:t xml:space="preserve">четыре </w:t>
            </w:r>
            <w:r w:rsidRPr="00F805C1">
              <w:t>новы</w:t>
            </w:r>
            <w:r>
              <w:t>е Резолюции</w:t>
            </w:r>
            <w:r w:rsidRPr="00F805C1">
              <w:t>.</w:t>
            </w:r>
          </w:p>
          <w:p w14:paraId="688C137F" w14:textId="77777777" w:rsidR="001C3DD0" w:rsidRPr="00F805C1" w:rsidRDefault="001C3DD0" w:rsidP="005728FE">
            <w:r w:rsidRPr="00F805C1">
              <w:t xml:space="preserve">В отчете Комитета по бюджетному контролю ВКРЭ-25 (COM2) </w:t>
            </w:r>
            <w:r>
              <w:t>перечислены</w:t>
            </w:r>
            <w:r w:rsidRPr="00F805C1">
              <w:t xml:space="preserve"> решения Конференции, в том числе дополнительные </w:t>
            </w:r>
            <w:r>
              <w:t>направления</w:t>
            </w:r>
            <w:r w:rsidRPr="00F805C1">
              <w:t xml:space="preserve"> работы, технические исследования и семинары-практикумы, для </w:t>
            </w:r>
            <w:r>
              <w:t>реализации</w:t>
            </w:r>
            <w:r w:rsidRPr="00F805C1">
              <w:t xml:space="preserve"> которых потребуются дополнительные финансовые ресурсы</w:t>
            </w:r>
            <w:r>
              <w:t>; расходы на покрытие потребностей, связанных с новыми видами деятельности, в течение четырехгодичного периода</w:t>
            </w:r>
            <w:r w:rsidRPr="00F805C1">
              <w:t xml:space="preserve"> оцениваются в 4,2 млн</w:t>
            </w:r>
            <w:r>
              <w:t>.</w:t>
            </w:r>
            <w:r w:rsidRPr="00F805C1">
              <w:t xml:space="preserve"> швейцарских франков. </w:t>
            </w:r>
          </w:p>
          <w:p w14:paraId="60D4E1A0" w14:textId="77777777" w:rsidR="001C3DD0" w:rsidRPr="00BA1C11" w:rsidRDefault="001C3DD0" w:rsidP="005728FE">
            <w:r w:rsidRPr="00BA1C11">
              <w:t>В настоящем документе представлен</w:t>
            </w:r>
            <w:r>
              <w:t xml:space="preserve"> один из вариантов</w:t>
            </w:r>
            <w:r w:rsidRPr="00BA1C11">
              <w:t xml:space="preserve"> дальнейши</w:t>
            </w:r>
            <w:r>
              <w:t>х</w:t>
            </w:r>
            <w:r w:rsidRPr="00BA1C11">
              <w:t xml:space="preserve"> шаг</w:t>
            </w:r>
            <w:r>
              <w:t>ов</w:t>
            </w:r>
            <w:r w:rsidRPr="00BA1C11">
              <w:t xml:space="preserve"> по выполнению нового мандата ВКРЭ-25 путем реализации проектов МСЭ-D, специально разработанных для охвата видов деятельности, </w:t>
            </w:r>
            <w:r>
              <w:t>предусмотренных</w:t>
            </w:r>
            <w:r w:rsidRPr="00BA1C11">
              <w:t xml:space="preserve"> в новых и пересмотренных Резолюциях ВКРЭ. Такой подход</w:t>
            </w:r>
            <w:r>
              <w:t>, заключающийся в переводе</w:t>
            </w:r>
            <w:r w:rsidRPr="00BA1C11">
              <w:t xml:space="preserve"> Резолюций ВКРЭ в </w:t>
            </w:r>
            <w:r>
              <w:t xml:space="preserve">плоскость реализации </w:t>
            </w:r>
            <w:r w:rsidRPr="00BA1C11">
              <w:t>проект</w:t>
            </w:r>
            <w:r>
              <w:t>ов,</w:t>
            </w:r>
            <w:r w:rsidRPr="00BA1C11">
              <w:t xml:space="preserve"> укрепит управление, ориентированное на результаты, и исключит необходимость выделения какого-либо дополнительного бюджета </w:t>
            </w:r>
            <w:r>
              <w:t>в связи с</w:t>
            </w:r>
            <w:r w:rsidRPr="00BA1C11">
              <w:t xml:space="preserve"> финансовы</w:t>
            </w:r>
            <w:r>
              <w:t>ми</w:t>
            </w:r>
            <w:r w:rsidRPr="00BA1C11">
              <w:t xml:space="preserve"> последстви</w:t>
            </w:r>
            <w:r>
              <w:t>ями</w:t>
            </w:r>
            <w:r w:rsidRPr="00BA1C11">
              <w:t xml:space="preserve"> ВКРЭ-25 при условии наличия средств для участия БРЭ в мобилизации ресурсов</w:t>
            </w:r>
            <w:r>
              <w:t>, а также</w:t>
            </w:r>
            <w:r w:rsidRPr="00BA1C11">
              <w:t xml:space="preserve"> финанси</w:t>
            </w:r>
            <w:r>
              <w:t>рующих</w:t>
            </w:r>
            <w:r w:rsidRPr="00BA1C11">
              <w:t xml:space="preserve"> партнеров, желающих поддержать работу МСЭ. Документ основан на опыте выполнения решений предыдущих конференций.</w:t>
            </w:r>
          </w:p>
          <w:p w14:paraId="404BE8A6" w14:textId="77777777" w:rsidR="005E032D" w:rsidRPr="007606A7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606A7">
              <w:rPr>
                <w:szCs w:val="22"/>
                <w:lang w:val="ru-RU"/>
              </w:rPr>
              <w:t>Необходимые действия</w:t>
            </w:r>
          </w:p>
          <w:p w14:paraId="6BDE7AFA" w14:textId="68F511D3" w:rsidR="001E252D" w:rsidRPr="007606A7" w:rsidRDefault="001C3DD0" w:rsidP="00EB4AE6">
            <w:pPr>
              <w:rPr>
                <w:szCs w:val="22"/>
              </w:rPr>
            </w:pPr>
            <w:r w:rsidRPr="00160830">
              <w:rPr>
                <w:rFonts w:cstheme="minorHAnsi"/>
              </w:rPr>
              <w:t>КГРЭ предлагается принять настоящий документ к сведению и предоставить руководящие указания, которые она сочтет необходимыми.</w:t>
            </w:r>
          </w:p>
          <w:p w14:paraId="5120B5FD" w14:textId="41E15B9D" w:rsidR="001E252D" w:rsidRPr="00532A8A" w:rsidRDefault="004A3CDF" w:rsidP="005728FE">
            <w:pPr>
              <w:pStyle w:val="Headingb"/>
            </w:pPr>
            <w:r w:rsidRPr="007606A7">
              <w:t>Справочные материалы</w:t>
            </w:r>
          </w:p>
          <w:p w14:paraId="6EF29DC6" w14:textId="22C5B25D" w:rsidR="001E252D" w:rsidRPr="00403C69" w:rsidRDefault="001C3DD0" w:rsidP="00EB4AE6">
            <w:pPr>
              <w:spacing w:after="120"/>
            </w:pPr>
            <w:hyperlink r:id="rId12">
              <w:r>
                <w:rPr>
                  <w:rStyle w:val="Hyperlink"/>
                  <w:rFonts w:cstheme="minorBidi"/>
                </w:rPr>
                <w:t>Заключительный</w:t>
              </w:r>
              <w:r w:rsidRPr="00160830">
                <w:rPr>
                  <w:rStyle w:val="Hyperlink"/>
                  <w:rFonts w:cstheme="minorBidi"/>
                </w:rPr>
                <w:t xml:space="preserve"> </w:t>
              </w:r>
              <w:r>
                <w:rPr>
                  <w:rStyle w:val="Hyperlink"/>
                  <w:rFonts w:cstheme="minorBidi"/>
                </w:rPr>
                <w:t>отчет</w:t>
              </w:r>
              <w:r w:rsidRPr="00160830">
                <w:rPr>
                  <w:rStyle w:val="Hyperlink"/>
                  <w:rFonts w:cstheme="minorBidi"/>
                </w:rPr>
                <w:t xml:space="preserve"> </w:t>
              </w:r>
              <w:r>
                <w:rPr>
                  <w:rStyle w:val="Hyperlink"/>
                  <w:rFonts w:cstheme="minorBidi"/>
                </w:rPr>
                <w:t>ВК</w:t>
              </w:r>
              <w:r>
                <w:rPr>
                  <w:rStyle w:val="Hyperlink"/>
                  <w:rFonts w:cstheme="minorBidi"/>
                </w:rPr>
                <w:t>Р</w:t>
              </w:r>
              <w:r>
                <w:rPr>
                  <w:rStyle w:val="Hyperlink"/>
                  <w:rFonts w:cstheme="minorBidi"/>
                </w:rPr>
                <w:t>Э</w:t>
              </w:r>
              <w:r w:rsidRPr="00160830">
                <w:rPr>
                  <w:rStyle w:val="Hyperlink"/>
                  <w:rFonts w:cstheme="minorBidi"/>
                </w:rPr>
                <w:t>-25</w:t>
              </w:r>
            </w:hyperlink>
            <w:r w:rsidRPr="00160830">
              <w:rPr>
                <w:rFonts w:cstheme="minorBidi"/>
                <w:color w:val="000000" w:themeColor="text1"/>
              </w:rPr>
              <w:t xml:space="preserve">, </w:t>
            </w:r>
            <w:r w:rsidRPr="00160830">
              <w:rPr>
                <w:rFonts w:cstheme="minorBidi"/>
                <w:color w:val="000000" w:themeColor="text1"/>
                <w:lang w:eastAsia="zh-CN"/>
              </w:rPr>
              <w:t xml:space="preserve">Резолюции 17 (Пересм. Баку, 2025 г.) и 52 (Пересм. Дубай, 2014 г.) Всемирной конференции по развитию электросвязи (ВКРЭ-22) и Резолюция 157 (Пересм. Бухарест, 2022 г.) </w:t>
            </w:r>
            <w:r w:rsidRPr="00160830">
              <w:rPr>
                <w:rFonts w:cstheme="minorBidi"/>
                <w:color w:val="000000" w:themeColor="text1"/>
                <w:lang w:val="en-US" w:eastAsia="zh-CN"/>
              </w:rPr>
              <w:t>Полномочной конференции (ПК-22)</w:t>
            </w:r>
          </w:p>
        </w:tc>
      </w:tr>
      <w:bookmarkEnd w:id="8"/>
      <w:bookmarkEnd w:id="9"/>
    </w:tbl>
    <w:p w14:paraId="30707726" w14:textId="04BED4D4" w:rsidR="00075C63" w:rsidRPr="00403C69" w:rsidRDefault="00075C63" w:rsidP="00E64779">
      <w:pPr>
        <w:rPr>
          <w:szCs w:val="24"/>
        </w:rPr>
      </w:pPr>
      <w:r w:rsidRPr="00403C69">
        <w:rPr>
          <w:szCs w:val="24"/>
        </w:rPr>
        <w:br w:type="page"/>
      </w:r>
    </w:p>
    <w:p w14:paraId="390E93E1" w14:textId="3E438D0E" w:rsidR="001C3DD0" w:rsidRPr="00573BF6" w:rsidRDefault="005728FE" w:rsidP="005728FE">
      <w:pPr>
        <w:pStyle w:val="Heading1"/>
      </w:pPr>
      <w:r>
        <w:lastRenderedPageBreak/>
        <w:t>1</w:t>
      </w:r>
      <w:r>
        <w:tab/>
      </w:r>
      <w:r w:rsidR="001C3DD0">
        <w:t>Введение</w:t>
      </w:r>
    </w:p>
    <w:p w14:paraId="7F4BE1CC" w14:textId="3B3F42C9" w:rsidR="001C3DD0" w:rsidRPr="00286D08" w:rsidRDefault="001C3DD0" w:rsidP="005728FE">
      <w:r w:rsidRPr="00286D08">
        <w:t xml:space="preserve">Всемирная конференция МСЭ по развитию электросвязи 2025 года (ВКРЭ-25) состоялась в Баку, Азербайджан, с 17 по 28 ноября 2025 года. </w:t>
      </w:r>
      <w:r>
        <w:t>Она</w:t>
      </w:r>
      <w:r w:rsidRPr="00286D08">
        <w:t xml:space="preserve"> стала знаковым событием для МСЭ</w:t>
      </w:r>
      <w:r>
        <w:t xml:space="preserve"> и</w:t>
      </w:r>
      <w:r w:rsidRPr="00286D08">
        <w:t xml:space="preserve"> принесла ряд важных результатов, включая принятие Бакинского плана действий (БПД) и Бакинской декларации. Конференция провела всеобъемлющ</w:t>
      </w:r>
      <w:r>
        <w:t>ее</w:t>
      </w:r>
      <w:r w:rsidRPr="00286D08">
        <w:t xml:space="preserve"> </w:t>
      </w:r>
      <w:r>
        <w:t xml:space="preserve">рассмотрение </w:t>
      </w:r>
      <w:r w:rsidRPr="00286D08">
        <w:t xml:space="preserve">своих Резолюций, в результате чего были внесены поправки в 44 существующие Резолюции и приняты </w:t>
      </w:r>
      <w:r>
        <w:t>четыре новые</w:t>
      </w:r>
      <w:r w:rsidRPr="003F56F0">
        <w:rPr>
          <w:rFonts w:cstheme="minorHAnsi"/>
        </w:rPr>
        <w:t xml:space="preserve"> </w:t>
      </w:r>
      <w:r>
        <w:rPr>
          <w:rFonts w:cstheme="minorHAnsi"/>
        </w:rPr>
        <w:t>Резолюции</w:t>
      </w:r>
      <w:r w:rsidRPr="00286D08">
        <w:t xml:space="preserve">. В Документе </w:t>
      </w:r>
      <w:hyperlink r:id="rId13" w:history="1">
        <w:r w:rsidRPr="00286D08">
          <w:rPr>
            <w:rStyle w:val="Hyperlink"/>
            <w:rFonts w:cstheme="minorBidi"/>
          </w:rPr>
          <w:t>TDAG-26/3</w:t>
        </w:r>
      </w:hyperlink>
      <w:r w:rsidRPr="00286D08">
        <w:t xml:space="preserve"> представлен обзор итогов ВКРЭ-25 и список Резолюций, которые были изменены, аннулированы или приняты на Конференции.</w:t>
      </w:r>
    </w:p>
    <w:p w14:paraId="1D223EC1" w14:textId="77777777" w:rsidR="001C3DD0" w:rsidRPr="001763EF" w:rsidRDefault="001C3DD0" w:rsidP="005728FE">
      <w:r w:rsidRPr="001763EF">
        <w:t>В отчете Комитета по бюджетному контролю ВКРЭ-25 (</w:t>
      </w:r>
      <w:r w:rsidRPr="00286D08">
        <w:t>COM</w:t>
      </w:r>
      <w:r w:rsidRPr="001763EF">
        <w:t>2) (</w:t>
      </w:r>
      <w:hyperlink r:id="rId14" w:history="1">
        <w:r>
          <w:rPr>
            <w:rStyle w:val="Hyperlink"/>
            <w:rFonts w:cstheme="minorBidi"/>
          </w:rPr>
          <w:t>Д</w:t>
        </w:r>
        <w:r w:rsidRPr="001763EF">
          <w:rPr>
            <w:rStyle w:val="Hyperlink"/>
            <w:rFonts w:cstheme="minorBidi"/>
          </w:rPr>
          <w:t>окумент WTDC-25/70</w:t>
        </w:r>
      </w:hyperlink>
      <w:r w:rsidRPr="001763EF">
        <w:t xml:space="preserve">) </w:t>
      </w:r>
      <w:r>
        <w:t>перечислены</w:t>
      </w:r>
      <w:r w:rsidRPr="001763EF">
        <w:t xml:space="preserve"> решения Конференции, в том числе дополнительные направления работы, технические исследования и семинары-практикумы, для </w:t>
      </w:r>
      <w:r>
        <w:t>реализации</w:t>
      </w:r>
      <w:r w:rsidRPr="001763EF">
        <w:t xml:space="preserve"> которых потребуются дополнительные финансовые ресурсы. Затраты на </w:t>
      </w:r>
      <w:r>
        <w:t>осуществление</w:t>
      </w:r>
      <w:r w:rsidRPr="001763EF">
        <w:t xml:space="preserve"> этих новых видов деятельности </w:t>
      </w:r>
      <w:r>
        <w:t xml:space="preserve">в течение </w:t>
      </w:r>
      <w:r w:rsidRPr="001763EF">
        <w:t>четырехгодичн</w:t>
      </w:r>
      <w:r>
        <w:t>ого</w:t>
      </w:r>
      <w:r w:rsidRPr="001763EF">
        <w:t xml:space="preserve"> период</w:t>
      </w:r>
      <w:r>
        <w:t>а</w:t>
      </w:r>
      <w:r w:rsidRPr="001763EF">
        <w:t xml:space="preserve"> оцениваются в Отчете в 4,2 млн швейцарских франков в виде совокупных единовременных и текущих расходов. </w:t>
      </w:r>
    </w:p>
    <w:p w14:paraId="45CE3E77" w14:textId="4749233F" w:rsidR="001C3DD0" w:rsidRPr="00A6149C" w:rsidRDefault="001C3DD0" w:rsidP="005728FE">
      <w:r w:rsidRPr="00A6149C">
        <w:t xml:space="preserve">ВКРЭ-25 поручила Генеральному секретарю довести итоги Конференции и отчет </w:t>
      </w:r>
      <w:r w:rsidRPr="001763EF">
        <w:t>COM</w:t>
      </w:r>
      <w:r w:rsidRPr="00A6149C">
        <w:t xml:space="preserve">2 до сведения Рабочей группы Совета по финансовым и людским ресурсам (РГС-ФЛР), </w:t>
      </w:r>
      <w:r>
        <w:t xml:space="preserve">собрание </w:t>
      </w:r>
      <w:r w:rsidRPr="00A6149C">
        <w:t>котор</w:t>
      </w:r>
      <w:r>
        <w:t>ой</w:t>
      </w:r>
      <w:r w:rsidRPr="00A6149C">
        <w:t xml:space="preserve"> </w:t>
      </w:r>
      <w:r>
        <w:t>было намечено на</w:t>
      </w:r>
      <w:r w:rsidRPr="00A6149C">
        <w:t xml:space="preserve"> 14–16 января 2026 года, </w:t>
      </w:r>
      <w:r>
        <w:t xml:space="preserve">с тем </w:t>
      </w:r>
      <w:r w:rsidRPr="00A6149C">
        <w:t xml:space="preserve">чтобы обсудить наиболее эффективную методику финансирования этой деятельности, которая должна быть реализована до </w:t>
      </w:r>
      <w:r>
        <w:t xml:space="preserve">начала </w:t>
      </w:r>
      <w:r w:rsidRPr="00A6149C">
        <w:t>Всемирной конференции по развитию электросвязи, запланированной на 2029 год (ВКРЭ-29).</w:t>
      </w:r>
    </w:p>
    <w:p w14:paraId="143F3898" w14:textId="5BD9FCA1" w:rsidR="001C3DD0" w:rsidRPr="00A6149C" w:rsidRDefault="001C3DD0" w:rsidP="005728FE">
      <w:r w:rsidRPr="00A6149C">
        <w:t xml:space="preserve">На своем собрании РГС-ФЛР изучила отчет COM2 (Документ </w:t>
      </w:r>
      <w:hyperlink r:id="rId15" w:history="1">
        <w:r w:rsidRPr="00A6149C">
          <w:rPr>
            <w:rStyle w:val="Hyperlink"/>
            <w:rFonts w:eastAsia="SimSun" w:cstheme="minorBidi"/>
            <w:spacing w:val="-2"/>
          </w:rPr>
          <w:t>CWG-FHR-22/7</w:t>
        </w:r>
      </w:hyperlink>
      <w:r w:rsidRPr="00A6149C">
        <w:t xml:space="preserve">), а также методику, </w:t>
      </w:r>
      <w:r>
        <w:t>которая применяется</w:t>
      </w:r>
      <w:r w:rsidRPr="00A6149C">
        <w:t xml:space="preserve"> COM2 для оценки финансовых последствий Решений и Резолюций, принятых на конференциях МСЭ (Документ </w:t>
      </w:r>
      <w:hyperlink r:id="rId16" w:history="1">
        <w:r w:rsidRPr="00A6149C">
          <w:rPr>
            <w:rStyle w:val="Hyperlink"/>
            <w:rFonts w:eastAsia="SimSun" w:cstheme="minorBidi"/>
            <w:spacing w:val="-2"/>
          </w:rPr>
          <w:t>CWG-FHR-21/3</w:t>
        </w:r>
      </w:hyperlink>
      <w:r w:rsidRPr="00A6149C">
        <w:t xml:space="preserve">). В результате этого обсуждения РГС-ФЛР опубликовала заявление о взаимодействии </w:t>
      </w:r>
      <w:hyperlink r:id="rId17" w:history="1">
        <w:r w:rsidRPr="00A6149C">
          <w:rPr>
            <w:rStyle w:val="Hyperlink"/>
            <w:rFonts w:eastAsia="SimSun" w:cstheme="minorBidi"/>
            <w:spacing w:val="-2"/>
          </w:rPr>
          <w:t>CWG-FHR-22/35</w:t>
        </w:r>
      </w:hyperlink>
      <w:r w:rsidRPr="00A6149C">
        <w:t xml:space="preserve">, в котором предложила консультативным группам Секторов добавить пункт </w:t>
      </w:r>
      <w:r>
        <w:t xml:space="preserve">в </w:t>
      </w:r>
      <w:r w:rsidRPr="00A6149C">
        <w:t>повестки дня их предстоящи</w:t>
      </w:r>
      <w:r>
        <w:t>х</w:t>
      </w:r>
      <w:r w:rsidRPr="00A6149C">
        <w:t xml:space="preserve"> собрани</w:t>
      </w:r>
      <w:r>
        <w:t>й</w:t>
      </w:r>
      <w:r w:rsidRPr="00A6149C">
        <w:t xml:space="preserve"> в 2026 году для проведения консультаций с Государствами-Членами и Членами Секторов (включая Ассоциированных членов и Академические организации) </w:t>
      </w:r>
      <w:r>
        <w:t>в контексте</w:t>
      </w:r>
      <w:r w:rsidRPr="00A6149C">
        <w:t xml:space="preserve"> обсуждени</w:t>
      </w:r>
      <w:r>
        <w:t>я</w:t>
      </w:r>
      <w:r w:rsidRPr="00A6149C">
        <w:t xml:space="preserve"> отчета COM2.</w:t>
      </w:r>
    </w:p>
    <w:p w14:paraId="586ADF22" w14:textId="54BD9709" w:rsidR="001C3DD0" w:rsidRPr="006F278E" w:rsidRDefault="001C3DD0" w:rsidP="005728FE">
      <w:r w:rsidRPr="006F278E">
        <w:t xml:space="preserve">В настоящем документе представлен альтернативный вариант </w:t>
      </w:r>
      <w:r>
        <w:t xml:space="preserve">дальнейших мер по </w:t>
      </w:r>
      <w:r w:rsidRPr="006F278E">
        <w:t>выполнени</w:t>
      </w:r>
      <w:r>
        <w:t>ю</w:t>
      </w:r>
      <w:r w:rsidRPr="006F278E">
        <w:t xml:space="preserve"> нового мандата ВКРЭ-25 путем реализации проектов МСЭ-</w:t>
      </w:r>
      <w:r w:rsidRPr="006F278E">
        <w:rPr>
          <w:lang w:val="en-US"/>
        </w:rPr>
        <w:t>D</w:t>
      </w:r>
      <w:r>
        <w:t xml:space="preserve"> в целях</w:t>
      </w:r>
      <w:r w:rsidRPr="006F278E">
        <w:t xml:space="preserve"> охвата новых видов деятельности, </w:t>
      </w:r>
      <w:r>
        <w:t>предусмотренных</w:t>
      </w:r>
      <w:r w:rsidRPr="006F278E">
        <w:t xml:space="preserve"> в новых и измененных Резолюциях ВКРЭ. Этот анализ основан на опыте выполнения решений ВКРЭ-22 (период реализации 2023–2025 гг.).</w:t>
      </w:r>
    </w:p>
    <w:p w14:paraId="16FEF2DF" w14:textId="33B6969D" w:rsidR="001C3DD0" w:rsidRPr="006F278E" w:rsidRDefault="005728FE" w:rsidP="005728FE">
      <w:pPr>
        <w:pStyle w:val="Heading1"/>
        <w:rPr>
          <w:rFonts w:cstheme="minorHAnsi"/>
          <w:b w:val="0"/>
          <w:szCs w:val="24"/>
        </w:rPr>
      </w:pPr>
      <w:r>
        <w:t>2</w:t>
      </w:r>
      <w:r>
        <w:tab/>
      </w:r>
      <w:r w:rsidR="001C3DD0" w:rsidRPr="005728FE">
        <w:t>Роль</w:t>
      </w:r>
      <w:r w:rsidR="001C3DD0" w:rsidRPr="006F278E">
        <w:rPr>
          <w:rFonts w:cstheme="minorHAnsi"/>
          <w:szCs w:val="24"/>
        </w:rPr>
        <w:t xml:space="preserve"> проектов МСЭ-</w:t>
      </w:r>
      <w:r w:rsidR="001C3DD0" w:rsidRPr="006F278E">
        <w:rPr>
          <w:rFonts w:cstheme="minorHAnsi"/>
          <w:szCs w:val="24"/>
          <w:lang w:val="en-US"/>
        </w:rPr>
        <w:t>D</w:t>
      </w:r>
      <w:r w:rsidR="001C3DD0" w:rsidRPr="006F278E">
        <w:rPr>
          <w:rFonts w:cstheme="minorHAnsi"/>
          <w:szCs w:val="24"/>
        </w:rPr>
        <w:t xml:space="preserve"> в поддержке </w:t>
      </w:r>
      <w:r w:rsidR="001C3DD0">
        <w:rPr>
          <w:rFonts w:cstheme="minorHAnsi"/>
          <w:szCs w:val="24"/>
        </w:rPr>
        <w:t>осуществления</w:t>
      </w:r>
      <w:r w:rsidR="001C3DD0" w:rsidRPr="006F278E">
        <w:rPr>
          <w:rFonts w:cstheme="minorHAnsi"/>
          <w:szCs w:val="24"/>
        </w:rPr>
        <w:t xml:space="preserve"> Резолюций ВКРЭ</w:t>
      </w:r>
    </w:p>
    <w:p w14:paraId="4DB80E7B" w14:textId="36D14672" w:rsidR="001C3DD0" w:rsidRPr="008F4AA0" w:rsidRDefault="001C3DD0" w:rsidP="005728FE">
      <w:r w:rsidRPr="006F278E">
        <w:t>На протяжении последних трех лет Бюро развития электросвязи (БРЭ) выполняло решения ВКРЭ-22 в</w:t>
      </w:r>
      <w:r w:rsidR="000D189F">
        <w:t> </w:t>
      </w:r>
      <w:r w:rsidRPr="006F278E">
        <w:t xml:space="preserve">рамках Оперативного плана (ОП), порученного Бюро, а также проектов МСЭ-D, уделяя особое внимание важности обеспечения комплексного подхода в </w:t>
      </w:r>
      <w:r>
        <w:t xml:space="preserve">рамках </w:t>
      </w:r>
      <w:r w:rsidRPr="006F278E">
        <w:t>обоих механизм</w:t>
      </w:r>
      <w:r>
        <w:t>ов</w:t>
      </w:r>
      <w:r w:rsidRPr="006F278E">
        <w:t>, о чем сообщалось на предыдущих собраниях КГРЭ</w:t>
      </w:r>
      <w:r w:rsidRPr="005728FE">
        <w:rPr>
          <w:rStyle w:val="FootnoteReference"/>
        </w:rPr>
        <w:footnoteReference w:id="2"/>
      </w:r>
      <w:r w:rsidRPr="008F4AA0">
        <w:t>.</w:t>
      </w:r>
    </w:p>
    <w:p w14:paraId="29106ABD" w14:textId="77777777" w:rsidR="001C3DD0" w:rsidRPr="008F4AA0" w:rsidRDefault="001C3DD0" w:rsidP="005728FE">
      <w:pPr>
        <w:rPr>
          <w:color w:val="000000" w:themeColor="text1"/>
        </w:rPr>
      </w:pPr>
      <w:r w:rsidRPr="008F4AA0">
        <w:rPr>
          <w:color w:val="000000" w:themeColor="text1"/>
        </w:rPr>
        <w:t xml:space="preserve">В рамках проектов МСЭ-D глобальные и региональные приоритеты в области развития, определенные в итоговых документах ВКРЭ, преобразуются в практические мероприятия на местах. Портфель проектов МСЭ состоит из проектов, реализуемых во всех регионах МСЭ, которые обеспечивают </w:t>
      </w:r>
      <w:r>
        <w:rPr>
          <w:color w:val="000000" w:themeColor="text1"/>
        </w:rPr>
        <w:t>адресное</w:t>
      </w:r>
      <w:r w:rsidRPr="008F4AA0">
        <w:rPr>
          <w:color w:val="000000" w:themeColor="text1"/>
        </w:rPr>
        <w:t xml:space="preserve"> реагирование на потребности каждого региона в области развития и охватывают широкий спектр </w:t>
      </w:r>
      <w:r>
        <w:rPr>
          <w:color w:val="000000" w:themeColor="text1"/>
        </w:rPr>
        <w:t>сфер</w:t>
      </w:r>
      <w:r w:rsidRPr="008F4AA0">
        <w:rPr>
          <w:color w:val="000000" w:themeColor="text1"/>
        </w:rPr>
        <w:t xml:space="preserve"> компетенции МСЭ.</w:t>
      </w:r>
    </w:p>
    <w:p w14:paraId="75DB9745" w14:textId="584C02DC" w:rsidR="001C3DD0" w:rsidRPr="008F4AA0" w:rsidRDefault="001C3DD0" w:rsidP="005728FE">
      <w:r w:rsidRPr="008F4AA0">
        <w:t>Проекты МСЭ-</w:t>
      </w:r>
      <w:r w:rsidRPr="008F4AA0">
        <w:rPr>
          <w:lang w:val="en-US"/>
        </w:rPr>
        <w:t>D</w:t>
      </w:r>
      <w:r w:rsidRPr="008F4AA0">
        <w:t xml:space="preserve"> в значительной степени финансируются за счет взносов партнеров, при этом в определенных случаях доступны дополнительные средства, управляемые МСЭ, при условии </w:t>
      </w:r>
      <w:r w:rsidRPr="008F4AA0">
        <w:lastRenderedPageBreak/>
        <w:t>соблюдения критериев соответствия</w:t>
      </w:r>
      <w:r w:rsidRPr="005728FE">
        <w:rPr>
          <w:rStyle w:val="FootnoteReference"/>
        </w:rPr>
        <w:footnoteReference w:id="3"/>
      </w:r>
      <w:r w:rsidRPr="008F4AA0">
        <w:t xml:space="preserve">. </w:t>
      </w:r>
      <w:r>
        <w:t xml:space="preserve">На фоне того, что </w:t>
      </w:r>
      <w:r w:rsidRPr="008F4AA0">
        <w:t xml:space="preserve">БРЭ приступает к реализации цикла ВКРЭ-25, в настоящее время уже </w:t>
      </w:r>
      <w:r>
        <w:t>реализуется</w:t>
      </w:r>
      <w:r w:rsidRPr="008F4AA0">
        <w:t xml:space="preserve"> 79 </w:t>
      </w:r>
      <w:r>
        <w:t>проектов</w:t>
      </w:r>
      <w:r w:rsidRPr="008F4AA0">
        <w:t xml:space="preserve"> на сумму 55,6 млн</w:t>
      </w:r>
      <w:r>
        <w:t>.</w:t>
      </w:r>
      <w:r w:rsidRPr="008F4AA0">
        <w:t xml:space="preserve"> швейцарских франков. </w:t>
      </w:r>
      <w:r>
        <w:t xml:space="preserve">Как показано на </w:t>
      </w:r>
      <w:r w:rsidR="005728FE">
        <w:t>Р</w:t>
      </w:r>
      <w:r>
        <w:t>исунке 1, э</w:t>
      </w:r>
      <w:r w:rsidRPr="008F4AA0">
        <w:t xml:space="preserve">ти проекты уже </w:t>
      </w:r>
      <w:r>
        <w:t xml:space="preserve">вносят вклад в </w:t>
      </w:r>
      <w:r w:rsidRPr="008F4AA0">
        <w:t>выполнени</w:t>
      </w:r>
      <w:r>
        <w:t>е</w:t>
      </w:r>
      <w:r w:rsidRPr="008F4AA0">
        <w:t xml:space="preserve"> новых и измененных Резолюций ВКРЭ.</w:t>
      </w:r>
    </w:p>
    <w:p w14:paraId="04471E44" w14:textId="3D9E2D51" w:rsidR="001C3DD0" w:rsidRPr="000D189F" w:rsidRDefault="001C3DD0" w:rsidP="000D189F">
      <w:pPr>
        <w:pStyle w:val="Figuretitle"/>
        <w:spacing w:before="360" w:after="240"/>
        <w:rPr>
          <w:sz w:val="22"/>
          <w:szCs w:val="22"/>
        </w:rPr>
      </w:pPr>
      <w:r w:rsidRPr="000D189F">
        <w:rPr>
          <w:sz w:val="22"/>
          <w:szCs w:val="22"/>
        </w:rPr>
        <w:t>Рисунок 1 – Количество текущих проектов МСЭ-</w:t>
      </w:r>
      <w:r w:rsidRPr="000D189F">
        <w:rPr>
          <w:sz w:val="22"/>
          <w:szCs w:val="22"/>
          <w:lang w:val="en-US"/>
        </w:rPr>
        <w:t>D</w:t>
      </w:r>
      <w:r w:rsidRPr="000D189F">
        <w:rPr>
          <w:sz w:val="22"/>
          <w:szCs w:val="22"/>
        </w:rPr>
        <w:t xml:space="preserve">, которые вносят вклад в выполнение </w:t>
      </w:r>
      <w:r w:rsidR="000D189F">
        <w:rPr>
          <w:sz w:val="22"/>
          <w:szCs w:val="22"/>
        </w:rPr>
        <w:br/>
      </w:r>
      <w:r w:rsidRPr="000D189F">
        <w:rPr>
          <w:sz w:val="22"/>
          <w:szCs w:val="22"/>
        </w:rPr>
        <w:t>Резолюций ВКРЭ-25</w:t>
      </w:r>
      <w:r w:rsidRPr="000D189F">
        <w:rPr>
          <w:rStyle w:val="FootnoteReference"/>
          <w:b w:val="0"/>
          <w:bCs/>
        </w:rPr>
        <w:footnoteReference w:id="4"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6"/>
        <w:gridCol w:w="710"/>
        <w:gridCol w:w="710"/>
        <w:gridCol w:w="710"/>
        <w:gridCol w:w="710"/>
        <w:gridCol w:w="710"/>
        <w:gridCol w:w="710"/>
        <w:gridCol w:w="1035"/>
        <w:gridCol w:w="992"/>
      </w:tblGrid>
      <w:tr w:rsidR="001C3DD0" w:rsidRPr="00593463" w14:paraId="451E78CF" w14:textId="77777777" w:rsidTr="000D189F">
        <w:trPr>
          <w:trHeight w:val="300"/>
          <w:tblHeader/>
          <w:jc w:val="center"/>
        </w:trPr>
        <w:tc>
          <w:tcPr>
            <w:tcW w:w="4056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3760D545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  <w:r>
              <w:rPr>
                <w:lang w:eastAsia="en-GB"/>
              </w:rPr>
              <w:t>Резолюция ВКРЭ</w:t>
            </w:r>
          </w:p>
        </w:tc>
        <w:tc>
          <w:tcPr>
            <w:tcW w:w="6287" w:type="dxa"/>
            <w:gridSpan w:val="8"/>
            <w:shd w:val="clear" w:color="auto" w:fill="D9D9D9" w:themeFill="background1" w:themeFillShade="D9"/>
            <w:noWrap/>
            <w:vAlign w:val="center"/>
          </w:tcPr>
          <w:p w14:paraId="18E2853F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  <w:r>
              <w:rPr>
                <w:lang w:eastAsia="en-GB"/>
              </w:rPr>
              <w:t>Количество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проектов</w:t>
            </w:r>
            <w:r w:rsidRPr="00DE732E">
              <w:rPr>
                <w:lang w:eastAsia="en-GB"/>
              </w:rPr>
              <w:t xml:space="preserve">, </w:t>
            </w:r>
            <w:r>
              <w:rPr>
                <w:lang w:eastAsia="en-GB"/>
              </w:rPr>
              <w:t>которые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вносят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вклад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в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выполнение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каждой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Резолюции</w:t>
            </w:r>
            <w:r w:rsidRPr="00DE732E">
              <w:rPr>
                <w:lang w:eastAsia="en-GB"/>
              </w:rPr>
              <w:t xml:space="preserve">, </w:t>
            </w:r>
            <w:r>
              <w:rPr>
                <w:lang w:eastAsia="en-GB"/>
              </w:rPr>
              <w:t>в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разбивке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по</w:t>
            </w:r>
            <w:r w:rsidRPr="00DE732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 xml:space="preserve">регионам </w:t>
            </w:r>
          </w:p>
        </w:tc>
      </w:tr>
      <w:tr w:rsidR="001C3DD0" w:rsidRPr="00BC219E" w14:paraId="54FD9322" w14:textId="77777777" w:rsidTr="000D189F">
        <w:trPr>
          <w:trHeight w:val="300"/>
          <w:tblHeader/>
          <w:jc w:val="center"/>
        </w:trPr>
        <w:tc>
          <w:tcPr>
            <w:tcW w:w="4056" w:type="dxa"/>
            <w:vMerge/>
            <w:shd w:val="clear" w:color="auto" w:fill="D9D9D9" w:themeFill="background1" w:themeFillShade="D9"/>
            <w:noWrap/>
            <w:vAlign w:val="center"/>
          </w:tcPr>
          <w:p w14:paraId="3D0D7C82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</w:p>
        </w:tc>
        <w:tc>
          <w:tcPr>
            <w:tcW w:w="710" w:type="dxa"/>
            <w:shd w:val="clear" w:color="auto" w:fill="D9D9D9" w:themeFill="background1" w:themeFillShade="D9"/>
            <w:noWrap/>
            <w:vAlign w:val="center"/>
            <w:hideMark/>
          </w:tcPr>
          <w:p w14:paraId="496E62DD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  <w:r>
              <w:rPr>
                <w:lang w:eastAsia="en-GB"/>
              </w:rPr>
              <w:t>АФР</w:t>
            </w:r>
          </w:p>
        </w:tc>
        <w:tc>
          <w:tcPr>
            <w:tcW w:w="710" w:type="dxa"/>
            <w:shd w:val="clear" w:color="auto" w:fill="D9D9D9" w:themeFill="background1" w:themeFillShade="D9"/>
            <w:noWrap/>
            <w:vAlign w:val="center"/>
            <w:hideMark/>
          </w:tcPr>
          <w:p w14:paraId="2AD397BF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  <w:r>
              <w:rPr>
                <w:lang w:eastAsia="en-GB"/>
              </w:rPr>
              <w:t>СЮА</w:t>
            </w:r>
          </w:p>
        </w:tc>
        <w:tc>
          <w:tcPr>
            <w:tcW w:w="710" w:type="dxa"/>
            <w:shd w:val="clear" w:color="auto" w:fill="D9D9D9" w:themeFill="background1" w:themeFillShade="D9"/>
            <w:noWrap/>
            <w:vAlign w:val="center"/>
            <w:hideMark/>
          </w:tcPr>
          <w:p w14:paraId="12713D9A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  <w:r>
              <w:rPr>
                <w:lang w:eastAsia="en-GB"/>
              </w:rPr>
              <w:t>АРБ</w:t>
            </w:r>
          </w:p>
        </w:tc>
        <w:tc>
          <w:tcPr>
            <w:tcW w:w="710" w:type="dxa"/>
            <w:shd w:val="clear" w:color="auto" w:fill="D9D9D9" w:themeFill="background1" w:themeFillShade="D9"/>
            <w:noWrap/>
            <w:vAlign w:val="center"/>
            <w:hideMark/>
          </w:tcPr>
          <w:p w14:paraId="1D54EDCD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  <w:r>
              <w:rPr>
                <w:lang w:eastAsia="en-GB"/>
              </w:rPr>
              <w:t>АТР</w:t>
            </w:r>
          </w:p>
        </w:tc>
        <w:tc>
          <w:tcPr>
            <w:tcW w:w="710" w:type="dxa"/>
            <w:shd w:val="clear" w:color="auto" w:fill="D9D9D9" w:themeFill="background1" w:themeFillShade="D9"/>
            <w:noWrap/>
            <w:vAlign w:val="center"/>
            <w:hideMark/>
          </w:tcPr>
          <w:p w14:paraId="5E33956E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  <w:r>
              <w:rPr>
                <w:lang w:eastAsia="en-GB"/>
              </w:rPr>
              <w:t>СНГ</w:t>
            </w:r>
          </w:p>
        </w:tc>
        <w:tc>
          <w:tcPr>
            <w:tcW w:w="710" w:type="dxa"/>
            <w:shd w:val="clear" w:color="auto" w:fill="D9D9D9" w:themeFill="background1" w:themeFillShade="D9"/>
            <w:noWrap/>
            <w:vAlign w:val="center"/>
            <w:hideMark/>
          </w:tcPr>
          <w:p w14:paraId="7BF8937F" w14:textId="77777777" w:rsidR="001C3DD0" w:rsidRPr="00DE732E" w:rsidRDefault="001C3DD0" w:rsidP="005728FE">
            <w:pPr>
              <w:pStyle w:val="Tablehead"/>
              <w:rPr>
                <w:lang w:eastAsia="en-GB"/>
              </w:rPr>
            </w:pPr>
            <w:r>
              <w:rPr>
                <w:lang w:eastAsia="en-GB"/>
              </w:rPr>
              <w:t>ЕВР</w:t>
            </w:r>
          </w:p>
        </w:tc>
        <w:tc>
          <w:tcPr>
            <w:tcW w:w="1035" w:type="dxa"/>
            <w:shd w:val="clear" w:color="auto" w:fill="D9D9D9" w:themeFill="background1" w:themeFillShade="D9"/>
            <w:noWrap/>
            <w:vAlign w:val="center"/>
            <w:hideMark/>
          </w:tcPr>
          <w:p w14:paraId="0A3F569E" w14:textId="77777777" w:rsidR="001C3DD0" w:rsidRPr="000D189F" w:rsidRDefault="001C3DD0" w:rsidP="005728FE">
            <w:pPr>
              <w:pStyle w:val="Tablehead"/>
              <w:rPr>
                <w:sz w:val="18"/>
                <w:szCs w:val="18"/>
                <w:lang w:eastAsia="en-GB"/>
              </w:rPr>
            </w:pPr>
            <w:r w:rsidRPr="000D189F">
              <w:rPr>
                <w:spacing w:val="-2"/>
                <w:sz w:val="18"/>
                <w:szCs w:val="18"/>
                <w:lang w:eastAsia="en-GB"/>
              </w:rPr>
              <w:t xml:space="preserve">Несколько </w:t>
            </w:r>
            <w:r w:rsidRPr="000D189F">
              <w:rPr>
                <w:sz w:val="18"/>
                <w:szCs w:val="18"/>
                <w:lang w:eastAsia="en-GB"/>
              </w:rPr>
              <w:t>регионов (*</w:t>
            </w:r>
            <w:r w:rsidRPr="000D189F">
              <w:rPr>
                <w:sz w:val="18"/>
                <w:szCs w:val="18"/>
                <w:vertAlign w:val="superscript"/>
                <w:lang w:eastAsia="en-GB"/>
              </w:rPr>
              <w:t>1</w:t>
            </w:r>
            <w:r w:rsidRPr="000D189F">
              <w:rPr>
                <w:sz w:val="18"/>
                <w:szCs w:val="18"/>
                <w:lang w:eastAsia="en-GB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3AEA9908" w14:textId="77777777" w:rsidR="001C3DD0" w:rsidRPr="005765B2" w:rsidRDefault="001C3DD0" w:rsidP="005728FE">
            <w:pPr>
              <w:pStyle w:val="Tablehead"/>
              <w:rPr>
                <w:lang w:val="en-US" w:eastAsia="en-GB"/>
              </w:rPr>
            </w:pPr>
            <w:r>
              <w:rPr>
                <w:lang w:eastAsia="en-GB"/>
              </w:rPr>
              <w:t>Всего</w:t>
            </w:r>
          </w:p>
        </w:tc>
      </w:tr>
      <w:tr w:rsidR="001C3DD0" w:rsidRPr="00BC219E" w14:paraId="2402513B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1F02674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05 – Участие развивающихся стран</w:t>
            </w:r>
          </w:p>
        </w:tc>
        <w:tc>
          <w:tcPr>
            <w:tcW w:w="710" w:type="dxa"/>
            <w:noWrap/>
            <w:vAlign w:val="bottom"/>
          </w:tcPr>
          <w:p w14:paraId="3A40E62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6CA84C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25527A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7E0001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076FA5C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137C21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331D134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D78F2A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BC219E" w14:paraId="7647ADAC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7F3067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08 – Статистика ИКТ </w:t>
            </w:r>
          </w:p>
        </w:tc>
        <w:tc>
          <w:tcPr>
            <w:tcW w:w="710" w:type="dxa"/>
            <w:noWrap/>
            <w:vAlign w:val="bottom"/>
          </w:tcPr>
          <w:p w14:paraId="114B1E3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9D3769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1079E27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EF2A88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E37479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9C12BF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2C0759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992" w:type="dxa"/>
            <w:noWrap/>
            <w:vAlign w:val="bottom"/>
          </w:tcPr>
          <w:p w14:paraId="4C6C6AB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</w:tr>
      <w:tr w:rsidR="001C3DD0" w:rsidRPr="00573BF6" w14:paraId="6FD84FEF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36DE979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09 – Управление использованием спектра </w:t>
            </w:r>
          </w:p>
        </w:tc>
        <w:tc>
          <w:tcPr>
            <w:tcW w:w="710" w:type="dxa"/>
            <w:noWrap/>
            <w:vAlign w:val="bottom"/>
          </w:tcPr>
          <w:p w14:paraId="146A82A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52311B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3D6C6E0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3C5F1B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BD7A86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B64D2A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5F2634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1ED86CF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573BF6" w14:paraId="644387DC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87F83B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10 – Финансирование использования спектра </w:t>
            </w:r>
          </w:p>
        </w:tc>
        <w:tc>
          <w:tcPr>
            <w:tcW w:w="710" w:type="dxa"/>
            <w:noWrap/>
            <w:vAlign w:val="bottom"/>
          </w:tcPr>
          <w:p w14:paraId="2EED52C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18E99A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36AA70D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3B6DC2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9281F3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342DF3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77A377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56ADCAA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30974FC0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DBFE90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11 – Возможности установления соединений в сельских районах </w:t>
            </w:r>
          </w:p>
        </w:tc>
        <w:tc>
          <w:tcPr>
            <w:tcW w:w="710" w:type="dxa"/>
            <w:noWrap/>
            <w:vAlign w:val="bottom"/>
          </w:tcPr>
          <w:p w14:paraId="165C614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10DAF0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350144A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CB3F76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F27663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588209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1035" w:type="dxa"/>
            <w:noWrap/>
            <w:vAlign w:val="bottom"/>
          </w:tcPr>
          <w:p w14:paraId="62583DD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6E4A39C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</w:tr>
      <w:tr w:rsidR="001C3DD0" w:rsidRPr="00BC219E" w14:paraId="0E854AFD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37DB451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15 – Передача технологий </w:t>
            </w:r>
          </w:p>
        </w:tc>
        <w:tc>
          <w:tcPr>
            <w:tcW w:w="710" w:type="dxa"/>
            <w:noWrap/>
            <w:vAlign w:val="bottom"/>
          </w:tcPr>
          <w:p w14:paraId="71F6D3C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25286C1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AC86C2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5E8EE6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40FAD8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880FD6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5785CE0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33CCCB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BC219E" w14:paraId="4C6B907B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2A9A979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16 – Поддержка НРС/СИДС/ЛЛДС </w:t>
            </w:r>
          </w:p>
        </w:tc>
        <w:tc>
          <w:tcPr>
            <w:tcW w:w="710" w:type="dxa"/>
            <w:noWrap/>
            <w:vAlign w:val="bottom"/>
          </w:tcPr>
          <w:p w14:paraId="07B640D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5E3434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710" w:type="dxa"/>
            <w:noWrap/>
            <w:vAlign w:val="bottom"/>
          </w:tcPr>
          <w:p w14:paraId="2A99420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486DFC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710" w:type="dxa"/>
            <w:noWrap/>
            <w:vAlign w:val="bottom"/>
          </w:tcPr>
          <w:p w14:paraId="5543E24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84DC4B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1035" w:type="dxa"/>
            <w:noWrap/>
            <w:vAlign w:val="bottom"/>
          </w:tcPr>
          <w:p w14:paraId="4A7FABE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992" w:type="dxa"/>
            <w:noWrap/>
            <w:vAlign w:val="bottom"/>
          </w:tcPr>
          <w:p w14:paraId="1EF231C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10</w:t>
            </w:r>
          </w:p>
        </w:tc>
      </w:tr>
      <w:tr w:rsidR="001C3DD0" w:rsidRPr="00BC219E" w14:paraId="2DE46210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592909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17 – Региональные инициативы </w:t>
            </w:r>
          </w:p>
        </w:tc>
        <w:tc>
          <w:tcPr>
            <w:tcW w:w="710" w:type="dxa"/>
            <w:noWrap/>
            <w:vAlign w:val="bottom"/>
          </w:tcPr>
          <w:p w14:paraId="72C16C0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15B63A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7</w:t>
            </w:r>
          </w:p>
        </w:tc>
        <w:tc>
          <w:tcPr>
            <w:tcW w:w="710" w:type="dxa"/>
            <w:noWrap/>
            <w:vAlign w:val="bottom"/>
          </w:tcPr>
          <w:p w14:paraId="2A0BB0C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D8A70D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710" w:type="dxa"/>
            <w:noWrap/>
            <w:vAlign w:val="bottom"/>
          </w:tcPr>
          <w:p w14:paraId="6318525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71CC95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663C61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1CB3843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12</w:t>
            </w:r>
          </w:p>
        </w:tc>
      </w:tr>
      <w:tr w:rsidR="001C3DD0" w:rsidRPr="00573BF6" w14:paraId="04066832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2D92D41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18 – Помощь Палестине </w:t>
            </w:r>
          </w:p>
        </w:tc>
        <w:tc>
          <w:tcPr>
            <w:tcW w:w="710" w:type="dxa"/>
            <w:noWrap/>
            <w:vAlign w:val="bottom"/>
          </w:tcPr>
          <w:p w14:paraId="74DFF6E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F10201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38ABC4E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0AECF9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3D5F2B6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711BE5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4EBF6C2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20A5645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573BF6" w14:paraId="78AE52E5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4D807C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20 – Недискриминационный доступ</w:t>
            </w:r>
          </w:p>
        </w:tc>
        <w:tc>
          <w:tcPr>
            <w:tcW w:w="710" w:type="dxa"/>
            <w:noWrap/>
            <w:vAlign w:val="bottom"/>
          </w:tcPr>
          <w:p w14:paraId="6EB021C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60DCFF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0AF0724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55CDA2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16299AC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52490C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76D1ED4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6E88298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12E20C1B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2AF0B3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21 – Региональная координация </w:t>
            </w:r>
          </w:p>
        </w:tc>
        <w:tc>
          <w:tcPr>
            <w:tcW w:w="710" w:type="dxa"/>
            <w:noWrap/>
            <w:vAlign w:val="bottom"/>
          </w:tcPr>
          <w:p w14:paraId="204DDF6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710" w:type="dxa"/>
            <w:noWrap/>
            <w:vAlign w:val="bottom"/>
          </w:tcPr>
          <w:p w14:paraId="667F27A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7216AA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805E7A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594E11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2B8BE6A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311C707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B12FF8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</w:tr>
      <w:tr w:rsidR="001C3DD0" w:rsidRPr="00573BF6" w14:paraId="36660770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4F7196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22 – Определение происхождения вызова </w:t>
            </w:r>
          </w:p>
        </w:tc>
        <w:tc>
          <w:tcPr>
            <w:tcW w:w="710" w:type="dxa"/>
            <w:noWrap/>
            <w:vAlign w:val="bottom"/>
          </w:tcPr>
          <w:p w14:paraId="1696B46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2E9486E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308F6F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9F6EC1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0CB4AE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42063E8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04990E5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EC7146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573BF6" w14:paraId="1BE26ABE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33815B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23 – Доступ к интернету/IXP</w:t>
            </w:r>
          </w:p>
        </w:tc>
        <w:tc>
          <w:tcPr>
            <w:tcW w:w="710" w:type="dxa"/>
            <w:noWrap/>
            <w:vAlign w:val="bottom"/>
          </w:tcPr>
          <w:p w14:paraId="19A54ED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75CE6DA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B510DC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F89BBF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1FBFF0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5B74117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0ECE5B6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D95EE4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6CB7C80F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825ABC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25 – Страны, находящиеся в особо трудном положении </w:t>
            </w:r>
          </w:p>
        </w:tc>
        <w:tc>
          <w:tcPr>
            <w:tcW w:w="710" w:type="dxa"/>
            <w:noWrap/>
            <w:vAlign w:val="bottom"/>
          </w:tcPr>
          <w:p w14:paraId="383CBAD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  <w:tc>
          <w:tcPr>
            <w:tcW w:w="710" w:type="dxa"/>
            <w:noWrap/>
            <w:vAlign w:val="bottom"/>
          </w:tcPr>
          <w:p w14:paraId="0CD82B5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C025CC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1AEFBE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110318E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EDE0D2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7ACACA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5</w:t>
            </w:r>
          </w:p>
        </w:tc>
        <w:tc>
          <w:tcPr>
            <w:tcW w:w="992" w:type="dxa"/>
            <w:noWrap/>
            <w:vAlign w:val="bottom"/>
          </w:tcPr>
          <w:p w14:paraId="6669323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10</w:t>
            </w:r>
          </w:p>
        </w:tc>
      </w:tr>
      <w:tr w:rsidR="001C3DD0" w:rsidRPr="00573BF6" w14:paraId="50D06ABB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182D91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>.</w:t>
            </w:r>
            <w:r w:rsidRPr="005728FE">
              <w:rPr>
                <w:rFonts w:cstheme="minorHAnsi"/>
                <w:color w:val="000000"/>
                <w:sz w:val="20"/>
              </w:rPr>
              <w:t xml:space="preserve"> 26 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 xml:space="preserve">– </w:t>
            </w:r>
            <w:r w:rsidRPr="005728FE">
              <w:rPr>
                <w:rFonts w:cstheme="minorHAnsi"/>
                <w:color w:val="000000"/>
                <w:sz w:val="20"/>
              </w:rPr>
              <w:t>Помощь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 xml:space="preserve"> </w:t>
            </w:r>
            <w:r w:rsidRPr="005728FE">
              <w:rPr>
                <w:rFonts w:cstheme="minorHAnsi"/>
                <w:color w:val="000000"/>
                <w:sz w:val="20"/>
              </w:rPr>
              <w:t>Афганистану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710" w:type="dxa"/>
            <w:noWrap/>
            <w:vAlign w:val="bottom"/>
          </w:tcPr>
          <w:p w14:paraId="73D01C8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11E25B1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3CCDC6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530B9A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494F322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E42FC7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ADD6C2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4B8BE4A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2D29493F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69B766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sz w:val="20"/>
              </w:rPr>
              <w:t xml:space="preserve">Рез. 30 – Роль БРЭ в ВВУИО </w:t>
            </w:r>
          </w:p>
        </w:tc>
        <w:tc>
          <w:tcPr>
            <w:tcW w:w="710" w:type="dxa"/>
            <w:noWrap/>
            <w:vAlign w:val="bottom"/>
          </w:tcPr>
          <w:p w14:paraId="7519370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3613F4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4C4FC3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40D25D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sz w:val="20"/>
              </w:rPr>
              <w:t>5</w:t>
            </w:r>
          </w:p>
        </w:tc>
        <w:tc>
          <w:tcPr>
            <w:tcW w:w="710" w:type="dxa"/>
            <w:noWrap/>
            <w:vAlign w:val="bottom"/>
          </w:tcPr>
          <w:p w14:paraId="7770C09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B98DF0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72B20E8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sz w:val="20"/>
              </w:rPr>
              <w:t>5</w:t>
            </w:r>
          </w:p>
        </w:tc>
        <w:tc>
          <w:tcPr>
            <w:tcW w:w="992" w:type="dxa"/>
            <w:noWrap/>
            <w:vAlign w:val="bottom"/>
          </w:tcPr>
          <w:p w14:paraId="33E32C5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sz w:val="20"/>
              </w:rPr>
              <w:t>10</w:t>
            </w:r>
          </w:p>
        </w:tc>
      </w:tr>
      <w:tr w:rsidR="001C3DD0" w:rsidRPr="00BC219E" w14:paraId="0F671345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23EBB37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33 – Помощь Сербии в области радиовещания </w:t>
            </w:r>
          </w:p>
        </w:tc>
        <w:tc>
          <w:tcPr>
            <w:tcW w:w="710" w:type="dxa"/>
            <w:noWrap/>
            <w:vAlign w:val="bottom"/>
          </w:tcPr>
          <w:p w14:paraId="2451350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A6B072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6FD7DC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5CF917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70B547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8B4772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E4CF5A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5978EE9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BC219E" w14:paraId="0468A83A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05AF8D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34 – Роль ИКТ в контексте бедствий</w:t>
            </w:r>
          </w:p>
        </w:tc>
        <w:tc>
          <w:tcPr>
            <w:tcW w:w="710" w:type="dxa"/>
            <w:noWrap/>
            <w:vAlign w:val="bottom"/>
          </w:tcPr>
          <w:p w14:paraId="3D0806A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7F2F16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3E23FD5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5BBF03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9</w:t>
            </w:r>
          </w:p>
        </w:tc>
        <w:tc>
          <w:tcPr>
            <w:tcW w:w="710" w:type="dxa"/>
            <w:noWrap/>
            <w:vAlign w:val="bottom"/>
          </w:tcPr>
          <w:p w14:paraId="15FB4B7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48BEE9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1035" w:type="dxa"/>
            <w:noWrap/>
            <w:vAlign w:val="bottom"/>
          </w:tcPr>
          <w:p w14:paraId="674E3F6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11</w:t>
            </w:r>
          </w:p>
        </w:tc>
        <w:tc>
          <w:tcPr>
            <w:tcW w:w="992" w:type="dxa"/>
            <w:noWrap/>
            <w:vAlign w:val="bottom"/>
          </w:tcPr>
          <w:p w14:paraId="3FE30CA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22</w:t>
            </w:r>
          </w:p>
        </w:tc>
      </w:tr>
      <w:tr w:rsidR="001C3DD0" w:rsidRPr="00BC219E" w14:paraId="617B7E9D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3E0A78D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36 – Поддержка АСЭ</w:t>
            </w:r>
          </w:p>
        </w:tc>
        <w:tc>
          <w:tcPr>
            <w:tcW w:w="710" w:type="dxa"/>
            <w:noWrap/>
            <w:vAlign w:val="bottom"/>
          </w:tcPr>
          <w:p w14:paraId="32CA735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BB6F8D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5761B9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F0D398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9641F4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1107B4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7055104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0A5E5F5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BC219E" w14:paraId="7901CC97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9B5453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37 – Цифровой разрыв</w:t>
            </w:r>
          </w:p>
        </w:tc>
        <w:tc>
          <w:tcPr>
            <w:tcW w:w="710" w:type="dxa"/>
            <w:noWrap/>
            <w:vAlign w:val="bottom"/>
          </w:tcPr>
          <w:p w14:paraId="1A2D5CA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5948F87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F70E01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0851E40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710" w:type="dxa"/>
            <w:noWrap/>
            <w:vAlign w:val="bottom"/>
          </w:tcPr>
          <w:p w14:paraId="48A54B7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84DD2A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C980FA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992" w:type="dxa"/>
            <w:noWrap/>
            <w:vAlign w:val="bottom"/>
          </w:tcPr>
          <w:p w14:paraId="609CC36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7</w:t>
            </w:r>
          </w:p>
        </w:tc>
      </w:tr>
      <w:tr w:rsidR="001C3DD0" w:rsidRPr="00BC219E" w14:paraId="46F5A1A1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512AC3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val="en-US"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40 – Создание потенциала</w:t>
            </w:r>
          </w:p>
        </w:tc>
        <w:tc>
          <w:tcPr>
            <w:tcW w:w="710" w:type="dxa"/>
            <w:noWrap/>
            <w:vAlign w:val="bottom"/>
          </w:tcPr>
          <w:p w14:paraId="4864F75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6472BEF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115FB0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34D075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D1EE0A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449E51C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08B3D54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7608B43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</w:tr>
      <w:tr w:rsidR="001C3DD0" w:rsidRPr="00573BF6" w14:paraId="545F7BCD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84671A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43 – МПЭ и сети</w:t>
            </w:r>
          </w:p>
        </w:tc>
        <w:tc>
          <w:tcPr>
            <w:tcW w:w="710" w:type="dxa"/>
            <w:noWrap/>
            <w:vAlign w:val="bottom"/>
          </w:tcPr>
          <w:p w14:paraId="21822D0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1A05D22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C5B60D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89E963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6F640F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7026C39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1A29F70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56F6C7E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4DC82A88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E1D389E" w14:textId="77777777" w:rsidR="001C3DD0" w:rsidRPr="000D189F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</w:rPr>
            </w:pPr>
            <w:r w:rsidRPr="000D189F">
              <w:rPr>
                <w:rFonts w:cstheme="minorHAnsi"/>
                <w:color w:val="000000"/>
                <w:sz w:val="20"/>
              </w:rPr>
              <w:t>Рез. 45 – Сотрудничество в области кибербезопасности</w:t>
            </w:r>
          </w:p>
        </w:tc>
        <w:tc>
          <w:tcPr>
            <w:tcW w:w="710" w:type="dxa"/>
            <w:noWrap/>
            <w:vAlign w:val="bottom"/>
          </w:tcPr>
          <w:p w14:paraId="7211FABC" w14:textId="77777777" w:rsidR="001C3DD0" w:rsidRPr="00BC219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Cs w:val="22"/>
                <w:lang w:eastAsia="en-GB"/>
              </w:rPr>
            </w:pPr>
            <w:r w:rsidRPr="0046569C">
              <w:rPr>
                <w:rFonts w:cstheme="minorHAnsi"/>
                <w:color w:val="000000"/>
                <w:szCs w:val="22"/>
              </w:rPr>
              <w:t>2</w:t>
            </w:r>
          </w:p>
        </w:tc>
        <w:tc>
          <w:tcPr>
            <w:tcW w:w="710" w:type="dxa"/>
            <w:noWrap/>
            <w:vAlign w:val="bottom"/>
          </w:tcPr>
          <w:p w14:paraId="36CCE985" w14:textId="77777777" w:rsidR="001C3DD0" w:rsidRPr="0046569C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Cs w:val="22"/>
                <w:lang w:eastAsia="en-GB"/>
              </w:rPr>
            </w:pPr>
            <w:r w:rsidRPr="0046569C">
              <w:rPr>
                <w:rFonts w:cstheme="minorHAnsi"/>
                <w:color w:val="000000"/>
                <w:szCs w:val="22"/>
              </w:rPr>
              <w:t>4</w:t>
            </w:r>
          </w:p>
        </w:tc>
        <w:tc>
          <w:tcPr>
            <w:tcW w:w="710" w:type="dxa"/>
            <w:noWrap/>
            <w:vAlign w:val="bottom"/>
          </w:tcPr>
          <w:p w14:paraId="6E276A75" w14:textId="77777777" w:rsidR="001C3DD0" w:rsidRPr="0046569C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Cs w:val="22"/>
                <w:lang w:eastAsia="en-GB"/>
              </w:rPr>
            </w:pPr>
            <w:r w:rsidRPr="0046569C">
              <w:rPr>
                <w:rFonts w:cstheme="minorHAnsi"/>
                <w:color w:val="000000"/>
                <w:szCs w:val="22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792BEDDB" w14:textId="77777777" w:rsidR="001C3DD0" w:rsidRPr="0046569C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Cs w:val="22"/>
                <w:lang w:eastAsia="en-GB"/>
              </w:rPr>
            </w:pPr>
            <w:r w:rsidRPr="0046569C">
              <w:rPr>
                <w:rFonts w:cstheme="minorHAnsi"/>
                <w:color w:val="000000"/>
                <w:szCs w:val="22"/>
              </w:rPr>
              <w:t>2</w:t>
            </w:r>
          </w:p>
        </w:tc>
        <w:tc>
          <w:tcPr>
            <w:tcW w:w="710" w:type="dxa"/>
            <w:noWrap/>
            <w:vAlign w:val="bottom"/>
          </w:tcPr>
          <w:p w14:paraId="2550E55E" w14:textId="77777777" w:rsidR="001C3DD0" w:rsidRPr="0046569C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Cs w:val="22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B7C15E6" w14:textId="77777777" w:rsidR="001C3DD0" w:rsidRPr="00BC219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Cs w:val="22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5260EEB9" w14:textId="77777777" w:rsidR="001C3DD0" w:rsidRPr="00BC219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Cs w:val="22"/>
                <w:lang w:eastAsia="en-GB"/>
              </w:rPr>
            </w:pPr>
            <w:r w:rsidRPr="0046569C">
              <w:rPr>
                <w:rFonts w:cstheme="minorHAnsi"/>
                <w:color w:val="000000"/>
                <w:szCs w:val="22"/>
              </w:rPr>
              <w:t>6</w:t>
            </w:r>
          </w:p>
        </w:tc>
        <w:tc>
          <w:tcPr>
            <w:tcW w:w="992" w:type="dxa"/>
            <w:noWrap/>
            <w:vAlign w:val="bottom"/>
          </w:tcPr>
          <w:p w14:paraId="6BB304B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15</w:t>
            </w:r>
          </w:p>
        </w:tc>
      </w:tr>
      <w:tr w:rsidR="001C3DD0" w:rsidRPr="00BC219E" w14:paraId="319B59AF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131485A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46 – Охват коренных народов</w:t>
            </w:r>
          </w:p>
        </w:tc>
        <w:tc>
          <w:tcPr>
            <w:tcW w:w="710" w:type="dxa"/>
            <w:noWrap/>
            <w:vAlign w:val="bottom"/>
          </w:tcPr>
          <w:p w14:paraId="15579D1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D31BA1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7BCFC8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831217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710" w:type="dxa"/>
            <w:noWrap/>
            <w:vAlign w:val="bottom"/>
          </w:tcPr>
          <w:p w14:paraId="5FDD71D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D6584B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4AA08BF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0C263A6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</w:tr>
      <w:tr w:rsidR="001C3DD0" w:rsidRPr="00573BF6" w14:paraId="52F511DA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2FCC675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lastRenderedPageBreak/>
              <w:t>Рез. 47 – Рекомендации МСЭ/C&amp;I</w:t>
            </w:r>
          </w:p>
        </w:tc>
        <w:tc>
          <w:tcPr>
            <w:tcW w:w="710" w:type="dxa"/>
            <w:noWrap/>
            <w:vAlign w:val="bottom"/>
          </w:tcPr>
          <w:p w14:paraId="4FA63DF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7A4FFA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FEFB2D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9AC6C1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26BACE7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78ED86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E11FF2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3774DE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3A8793CB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1EBABE1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48 – Сотрудничество регуляторных органов</w:t>
            </w:r>
          </w:p>
        </w:tc>
        <w:tc>
          <w:tcPr>
            <w:tcW w:w="710" w:type="dxa"/>
            <w:noWrap/>
            <w:vAlign w:val="bottom"/>
          </w:tcPr>
          <w:p w14:paraId="7D1BA01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710" w:type="dxa"/>
            <w:noWrap/>
            <w:vAlign w:val="bottom"/>
          </w:tcPr>
          <w:p w14:paraId="27DA935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7532E9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1D2E793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AEC4B0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7608346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33CEFE8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7065F6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</w:tr>
      <w:tr w:rsidR="001C3DD0" w:rsidRPr="00573BF6" w14:paraId="14C36EA2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7E3D994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51 – Помощь Ираку </w:t>
            </w:r>
          </w:p>
        </w:tc>
        <w:tc>
          <w:tcPr>
            <w:tcW w:w="710" w:type="dxa"/>
            <w:noWrap/>
            <w:vAlign w:val="bottom"/>
          </w:tcPr>
          <w:p w14:paraId="1C2D298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0B9F14D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0EFF63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40C581F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417761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4319FAE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56BBC37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C45971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6BD1678C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287805C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52 – МСЭ-D как исполнительное учреждение</w:t>
            </w:r>
          </w:p>
        </w:tc>
        <w:tc>
          <w:tcPr>
            <w:tcW w:w="710" w:type="dxa"/>
            <w:noWrap/>
            <w:vAlign w:val="bottom"/>
          </w:tcPr>
          <w:p w14:paraId="1F81B33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DC48F8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8C4273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821EAC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839E20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FA06C9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874006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992" w:type="dxa"/>
            <w:noWrap/>
            <w:vAlign w:val="bottom"/>
          </w:tcPr>
          <w:p w14:paraId="053F634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</w:tr>
      <w:tr w:rsidR="001C3DD0" w:rsidRPr="00BC219E" w14:paraId="4EDAE8F9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B7E593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i/>
                <w:iCs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55 – Учет гендерных аспектов</w:t>
            </w:r>
          </w:p>
        </w:tc>
        <w:tc>
          <w:tcPr>
            <w:tcW w:w="710" w:type="dxa"/>
            <w:noWrap/>
            <w:vAlign w:val="bottom"/>
          </w:tcPr>
          <w:p w14:paraId="1932BB9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A53C42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A98273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0A2635A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6E580D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D8BA56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5154FB0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  <w:tc>
          <w:tcPr>
            <w:tcW w:w="992" w:type="dxa"/>
            <w:noWrap/>
            <w:vAlign w:val="bottom"/>
          </w:tcPr>
          <w:p w14:paraId="442EB4C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5</w:t>
            </w:r>
          </w:p>
        </w:tc>
      </w:tr>
      <w:tr w:rsidR="001C3DD0" w:rsidRPr="00BC219E" w14:paraId="3A0C5E8E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3F2883C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57 – Помощь Сомали</w:t>
            </w:r>
          </w:p>
        </w:tc>
        <w:tc>
          <w:tcPr>
            <w:tcW w:w="710" w:type="dxa"/>
            <w:noWrap/>
            <w:vAlign w:val="bottom"/>
          </w:tcPr>
          <w:p w14:paraId="1053612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9C2C71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05BD65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E3A37B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A787A9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B02D5A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6CB64B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63E3ED1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</w:tr>
      <w:tr w:rsidR="001C3DD0" w:rsidRPr="00BC219E" w14:paraId="33F999B1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794527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58 – Доступность ИКТ </w:t>
            </w:r>
          </w:p>
        </w:tc>
        <w:tc>
          <w:tcPr>
            <w:tcW w:w="710" w:type="dxa"/>
            <w:noWrap/>
            <w:vAlign w:val="bottom"/>
          </w:tcPr>
          <w:p w14:paraId="602B7F4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FBDE86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  <w:tc>
          <w:tcPr>
            <w:tcW w:w="710" w:type="dxa"/>
            <w:noWrap/>
            <w:vAlign w:val="bottom"/>
          </w:tcPr>
          <w:p w14:paraId="3388D68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39B250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11E76C0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628527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1035" w:type="dxa"/>
            <w:noWrap/>
            <w:vAlign w:val="bottom"/>
          </w:tcPr>
          <w:p w14:paraId="03F1484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5A6D73A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7</w:t>
            </w:r>
          </w:p>
        </w:tc>
      </w:tr>
      <w:tr w:rsidR="001C3DD0" w:rsidRPr="00BC219E" w14:paraId="2627EBDB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989E99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59 – Межсекторальная координация</w:t>
            </w:r>
          </w:p>
        </w:tc>
        <w:tc>
          <w:tcPr>
            <w:tcW w:w="710" w:type="dxa"/>
            <w:noWrap/>
            <w:vAlign w:val="bottom"/>
          </w:tcPr>
          <w:p w14:paraId="0AD38BA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0A1E6F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E26E61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5555E6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713D77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F3E74C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A11FF9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4F87C1F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573BF6" w14:paraId="6953FAC9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48FF7F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>.</w:t>
            </w:r>
            <w:r w:rsidRPr="005728FE">
              <w:rPr>
                <w:rFonts w:cstheme="minorHAnsi"/>
                <w:color w:val="000000"/>
                <w:sz w:val="20"/>
              </w:rPr>
              <w:t xml:space="preserve"> 60 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 xml:space="preserve">– </w:t>
            </w:r>
            <w:r w:rsidRPr="005728FE">
              <w:rPr>
                <w:rFonts w:cstheme="minorHAnsi"/>
                <w:color w:val="000000"/>
                <w:sz w:val="20"/>
              </w:rPr>
              <w:t>Помощь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 xml:space="preserve"> </w:t>
            </w:r>
            <w:r w:rsidRPr="005728FE">
              <w:rPr>
                <w:rFonts w:cstheme="minorHAnsi"/>
                <w:color w:val="000000"/>
                <w:sz w:val="20"/>
              </w:rPr>
              <w:t>Гаити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710" w:type="dxa"/>
            <w:noWrap/>
            <w:vAlign w:val="bottom"/>
          </w:tcPr>
          <w:p w14:paraId="02289C8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B0A43D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3DA0DB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F4CF84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6DD8A9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C1BAC8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CB6D52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3D1BA9F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573BF6" w14:paraId="32704929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5C8E89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62 – Оценка воздействия ЭМП</w:t>
            </w:r>
          </w:p>
        </w:tc>
        <w:tc>
          <w:tcPr>
            <w:tcW w:w="710" w:type="dxa"/>
            <w:noWrap/>
            <w:vAlign w:val="bottom"/>
          </w:tcPr>
          <w:p w14:paraId="1790584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796763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241726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3CE6DC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157148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4BBAC0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EC4583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7D7952F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573BF6" w14:paraId="15AC3BD9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18B380B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63 – Переход к IPv6 </w:t>
            </w:r>
          </w:p>
        </w:tc>
        <w:tc>
          <w:tcPr>
            <w:tcW w:w="710" w:type="dxa"/>
            <w:noWrap/>
            <w:vAlign w:val="bottom"/>
          </w:tcPr>
          <w:p w14:paraId="395E9A2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D4C3BD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0A1262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141D86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61885D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5D47F5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742744A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21820FF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63E1A401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B80ACA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64 – Защита пользователей</w:t>
            </w:r>
          </w:p>
        </w:tc>
        <w:tc>
          <w:tcPr>
            <w:tcW w:w="710" w:type="dxa"/>
            <w:noWrap/>
            <w:vAlign w:val="bottom"/>
          </w:tcPr>
          <w:p w14:paraId="626B6A3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DD59B2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6AD768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7A96A6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9636B7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61FD9E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1EF83D6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345960C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</w:tr>
      <w:tr w:rsidR="001C3DD0" w:rsidRPr="00BC219E" w14:paraId="350C9A8E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25D96A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66 – ИКТ и окружающая среда</w:t>
            </w:r>
          </w:p>
        </w:tc>
        <w:tc>
          <w:tcPr>
            <w:tcW w:w="710" w:type="dxa"/>
            <w:noWrap/>
            <w:vAlign w:val="bottom"/>
          </w:tcPr>
          <w:p w14:paraId="3B6A3C4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597F41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17C174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096FC6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6B5DD8E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A57F05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AAAFC6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  <w:tc>
          <w:tcPr>
            <w:tcW w:w="992" w:type="dxa"/>
            <w:noWrap/>
            <w:vAlign w:val="bottom"/>
          </w:tcPr>
          <w:p w14:paraId="3CA22FB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5</w:t>
            </w:r>
          </w:p>
        </w:tc>
      </w:tr>
      <w:tr w:rsidR="001C3DD0" w:rsidRPr="00BC219E" w14:paraId="5D50D4BD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3F91F9B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67 – Защита ребенка в онлайновой среде</w:t>
            </w:r>
          </w:p>
        </w:tc>
        <w:tc>
          <w:tcPr>
            <w:tcW w:w="710" w:type="dxa"/>
            <w:noWrap/>
            <w:vAlign w:val="bottom"/>
          </w:tcPr>
          <w:p w14:paraId="5E261AA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6D865F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6CC4F2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706763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DF137E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9F972C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41B607E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7F5AE6A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</w:tr>
      <w:tr w:rsidR="001C3DD0" w:rsidRPr="00BC219E" w14:paraId="1E669FAF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0FE389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69 – Национальные CIRT</w:t>
            </w:r>
          </w:p>
        </w:tc>
        <w:tc>
          <w:tcPr>
            <w:tcW w:w="710" w:type="dxa"/>
            <w:noWrap/>
            <w:vAlign w:val="bottom"/>
          </w:tcPr>
          <w:p w14:paraId="33CDE23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710" w:type="dxa"/>
            <w:noWrap/>
            <w:vAlign w:val="bottom"/>
          </w:tcPr>
          <w:p w14:paraId="7C6BCD9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  <w:tc>
          <w:tcPr>
            <w:tcW w:w="710" w:type="dxa"/>
            <w:noWrap/>
            <w:vAlign w:val="bottom"/>
          </w:tcPr>
          <w:p w14:paraId="4EBA0F8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52F17F3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5AB038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CB4217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0575E6D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1725C0E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9</w:t>
            </w:r>
          </w:p>
        </w:tc>
      </w:tr>
      <w:tr w:rsidR="001C3DD0" w:rsidRPr="00BC219E" w14:paraId="07E08AEE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208CBC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71 – Сотрудничество между заинтересованными сторонами</w:t>
            </w:r>
          </w:p>
        </w:tc>
        <w:tc>
          <w:tcPr>
            <w:tcW w:w="710" w:type="dxa"/>
            <w:noWrap/>
            <w:vAlign w:val="bottom"/>
          </w:tcPr>
          <w:p w14:paraId="067E448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5186BA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4E5BEE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7CD88AD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A53306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47582A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B228F0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5</w:t>
            </w:r>
          </w:p>
        </w:tc>
        <w:tc>
          <w:tcPr>
            <w:tcW w:w="992" w:type="dxa"/>
            <w:noWrap/>
            <w:vAlign w:val="bottom"/>
          </w:tcPr>
          <w:p w14:paraId="67D595C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6</w:t>
            </w:r>
          </w:p>
        </w:tc>
      </w:tr>
      <w:tr w:rsidR="001C3DD0" w:rsidRPr="00BC219E" w14:paraId="06FE00BF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4C3E7B7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73 – Центры Академии МСЭ</w:t>
            </w:r>
          </w:p>
        </w:tc>
        <w:tc>
          <w:tcPr>
            <w:tcW w:w="710" w:type="dxa"/>
            <w:noWrap/>
            <w:vAlign w:val="bottom"/>
          </w:tcPr>
          <w:p w14:paraId="1412739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22EA5EE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4466F2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D21D77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654F7C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44B37D9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34E4F47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4E82B24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</w:tr>
      <w:tr w:rsidR="001C3DD0" w:rsidRPr="00573BF6" w14:paraId="5B0C3843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96F66A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75 – Поддержка манифеста "Умная Африка"</w:t>
            </w:r>
          </w:p>
        </w:tc>
        <w:tc>
          <w:tcPr>
            <w:tcW w:w="710" w:type="dxa"/>
            <w:noWrap/>
            <w:vAlign w:val="bottom"/>
          </w:tcPr>
          <w:p w14:paraId="21C197D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1AE9F88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CF0377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68BF98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2F0F6E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713CD89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464E803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4C9A6B1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01746772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7ED73E6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76 – Расширение прав и возможностей молодежи</w:t>
            </w:r>
          </w:p>
        </w:tc>
        <w:tc>
          <w:tcPr>
            <w:tcW w:w="710" w:type="dxa"/>
            <w:noWrap/>
            <w:vAlign w:val="bottom"/>
          </w:tcPr>
          <w:p w14:paraId="2282BE8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710" w:type="dxa"/>
            <w:noWrap/>
            <w:vAlign w:val="bottom"/>
          </w:tcPr>
          <w:p w14:paraId="0CD32BB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C40BE9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7ADC2F5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6C104AC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811CD5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E0092F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27123B2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6</w:t>
            </w:r>
          </w:p>
        </w:tc>
      </w:tr>
      <w:tr w:rsidR="001C3DD0" w:rsidRPr="00BC219E" w14:paraId="3B0C02D3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9B121D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77 – Развертывание широкополосной связи</w:t>
            </w:r>
          </w:p>
        </w:tc>
        <w:tc>
          <w:tcPr>
            <w:tcW w:w="710" w:type="dxa"/>
            <w:noWrap/>
            <w:vAlign w:val="bottom"/>
          </w:tcPr>
          <w:p w14:paraId="4B6BC2A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017FAB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2F9AA6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2F0AF12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1D36F4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761543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BE8456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08BC4E1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</w:tr>
      <w:tr w:rsidR="001C3DD0" w:rsidRPr="00573BF6" w14:paraId="6AD6C347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56D51CE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78 – Неправомерное присвоение ресурсов нумерации</w:t>
            </w:r>
          </w:p>
        </w:tc>
        <w:tc>
          <w:tcPr>
            <w:tcW w:w="710" w:type="dxa"/>
            <w:noWrap/>
            <w:vAlign w:val="bottom"/>
          </w:tcPr>
          <w:p w14:paraId="48C302B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C4B174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7C96DA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3580EF4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E68F69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BC92A1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3F5FA9E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54054FE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128BE8FA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4C0E78B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79 – Контрафактные устройства</w:t>
            </w:r>
          </w:p>
        </w:tc>
        <w:tc>
          <w:tcPr>
            <w:tcW w:w="710" w:type="dxa"/>
            <w:noWrap/>
            <w:vAlign w:val="bottom"/>
          </w:tcPr>
          <w:p w14:paraId="623B1E4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104D93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20EDE6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F76650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4C0E174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39F106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1845EA1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4D32023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BC219E" w14:paraId="35F9060A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1C756F0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80 – Пользующиеся доверием цифровые структуры</w:t>
            </w:r>
          </w:p>
        </w:tc>
        <w:tc>
          <w:tcPr>
            <w:tcW w:w="710" w:type="dxa"/>
            <w:noWrap/>
            <w:vAlign w:val="bottom"/>
          </w:tcPr>
          <w:p w14:paraId="603024F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3207335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94A0E2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90E2E8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01B157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A13EAD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5926490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2CCC558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BC219E" w14:paraId="27B87DB1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2D696EB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82 – Многоязычие в интернете</w:t>
            </w:r>
          </w:p>
        </w:tc>
        <w:tc>
          <w:tcPr>
            <w:tcW w:w="710" w:type="dxa"/>
            <w:noWrap/>
            <w:vAlign w:val="bottom"/>
          </w:tcPr>
          <w:p w14:paraId="40CA694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036BFF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3F6F060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147F7B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0F6FCE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E50E01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7FB1B8B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6007D66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573BF6" w14:paraId="4509D47D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BBAAE1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83 – Помощь Ливии</w:t>
            </w:r>
          </w:p>
        </w:tc>
        <w:tc>
          <w:tcPr>
            <w:tcW w:w="710" w:type="dxa"/>
            <w:noWrap/>
            <w:vAlign w:val="bottom"/>
          </w:tcPr>
          <w:p w14:paraId="73B58A6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68CBBB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3009100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6B996A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8D4FC3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DDC1C9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0410A8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7A3E59D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573BF6" w14:paraId="4BCCDB5D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2529A69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84 – Хищения мобильных устройств</w:t>
            </w:r>
          </w:p>
        </w:tc>
        <w:tc>
          <w:tcPr>
            <w:tcW w:w="710" w:type="dxa"/>
            <w:noWrap/>
            <w:vAlign w:val="bottom"/>
          </w:tcPr>
          <w:p w14:paraId="49E8A6E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D57C0A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710" w:type="dxa"/>
            <w:noWrap/>
            <w:vAlign w:val="bottom"/>
          </w:tcPr>
          <w:p w14:paraId="2A86FDF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7C8EBC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20A1A5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8A16EC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54235C5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6B9B9C6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62F8DBB8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D0849A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85 – IoT и "умные" города</w:t>
            </w:r>
          </w:p>
        </w:tc>
        <w:tc>
          <w:tcPr>
            <w:tcW w:w="710" w:type="dxa"/>
            <w:noWrap/>
            <w:vAlign w:val="bottom"/>
          </w:tcPr>
          <w:p w14:paraId="11FDDDA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32D885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4D54E2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5624C78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C073BD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C8F90F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4AB9B9E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521DF97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  <w:tr w:rsidR="001C3DD0" w:rsidRPr="00BC219E" w14:paraId="22A7D9B3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0011FB3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87 – Установление соединений в школах</w:t>
            </w:r>
          </w:p>
        </w:tc>
        <w:tc>
          <w:tcPr>
            <w:tcW w:w="710" w:type="dxa"/>
            <w:noWrap/>
            <w:vAlign w:val="bottom"/>
          </w:tcPr>
          <w:p w14:paraId="4CDFFB0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7ADE0E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49B0A7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AEC4DD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67230C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75C5304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28D92D2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  <w:tc>
          <w:tcPr>
            <w:tcW w:w="992" w:type="dxa"/>
            <w:noWrap/>
            <w:vAlign w:val="bottom"/>
          </w:tcPr>
          <w:p w14:paraId="2EA59DE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3</w:t>
            </w:r>
          </w:p>
        </w:tc>
      </w:tr>
      <w:tr w:rsidR="001C3DD0" w:rsidRPr="00BC219E" w14:paraId="76D4F2B2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1C576AA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88 – "Партнерство для подключения"</w:t>
            </w:r>
          </w:p>
        </w:tc>
        <w:tc>
          <w:tcPr>
            <w:tcW w:w="710" w:type="dxa"/>
            <w:noWrap/>
            <w:vAlign w:val="bottom"/>
          </w:tcPr>
          <w:p w14:paraId="60A2DB6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  <w:tc>
          <w:tcPr>
            <w:tcW w:w="710" w:type="dxa"/>
            <w:noWrap/>
            <w:vAlign w:val="bottom"/>
          </w:tcPr>
          <w:p w14:paraId="62C8301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5</w:t>
            </w:r>
          </w:p>
        </w:tc>
        <w:tc>
          <w:tcPr>
            <w:tcW w:w="710" w:type="dxa"/>
            <w:noWrap/>
            <w:vAlign w:val="bottom"/>
          </w:tcPr>
          <w:p w14:paraId="34E9161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D00DA8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4CD328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F18670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4635F07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992" w:type="dxa"/>
            <w:noWrap/>
            <w:vAlign w:val="bottom"/>
          </w:tcPr>
          <w:p w14:paraId="1E567BB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9</w:t>
            </w:r>
          </w:p>
        </w:tc>
      </w:tr>
      <w:tr w:rsidR="001C3DD0" w:rsidRPr="00BC219E" w14:paraId="452CCA41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26F80FC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89 – Цифровая трансформация </w:t>
            </w:r>
          </w:p>
        </w:tc>
        <w:tc>
          <w:tcPr>
            <w:tcW w:w="710" w:type="dxa"/>
            <w:noWrap/>
            <w:vAlign w:val="bottom"/>
          </w:tcPr>
          <w:p w14:paraId="6AB43A2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9</w:t>
            </w:r>
          </w:p>
        </w:tc>
        <w:tc>
          <w:tcPr>
            <w:tcW w:w="710" w:type="dxa"/>
            <w:noWrap/>
            <w:vAlign w:val="bottom"/>
          </w:tcPr>
          <w:p w14:paraId="1F27FEF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13</w:t>
            </w:r>
          </w:p>
        </w:tc>
        <w:tc>
          <w:tcPr>
            <w:tcW w:w="710" w:type="dxa"/>
            <w:noWrap/>
            <w:vAlign w:val="bottom"/>
          </w:tcPr>
          <w:p w14:paraId="5C6D8C9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4</w:t>
            </w:r>
          </w:p>
        </w:tc>
        <w:tc>
          <w:tcPr>
            <w:tcW w:w="710" w:type="dxa"/>
            <w:noWrap/>
            <w:vAlign w:val="bottom"/>
          </w:tcPr>
          <w:p w14:paraId="71B8746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9</w:t>
            </w:r>
          </w:p>
        </w:tc>
        <w:tc>
          <w:tcPr>
            <w:tcW w:w="710" w:type="dxa"/>
            <w:noWrap/>
            <w:vAlign w:val="bottom"/>
          </w:tcPr>
          <w:p w14:paraId="4C562F3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710" w:type="dxa"/>
            <w:noWrap/>
            <w:vAlign w:val="bottom"/>
          </w:tcPr>
          <w:p w14:paraId="215E39C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1035" w:type="dxa"/>
            <w:noWrap/>
            <w:vAlign w:val="bottom"/>
          </w:tcPr>
          <w:p w14:paraId="36DC7219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12</w:t>
            </w:r>
          </w:p>
        </w:tc>
        <w:tc>
          <w:tcPr>
            <w:tcW w:w="992" w:type="dxa"/>
            <w:noWrap/>
            <w:vAlign w:val="bottom"/>
          </w:tcPr>
          <w:p w14:paraId="4211EFE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51</w:t>
            </w:r>
          </w:p>
        </w:tc>
      </w:tr>
      <w:tr w:rsidR="001C3DD0" w:rsidRPr="00BC219E" w14:paraId="2E5FD4F3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625803F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i/>
                <w:iCs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Рез. 90 – Цифровые инновации</w:t>
            </w:r>
          </w:p>
        </w:tc>
        <w:tc>
          <w:tcPr>
            <w:tcW w:w="710" w:type="dxa"/>
            <w:noWrap/>
            <w:vAlign w:val="bottom"/>
          </w:tcPr>
          <w:p w14:paraId="659C16B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301FF5A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51F974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710" w:type="dxa"/>
            <w:noWrap/>
            <w:vAlign w:val="bottom"/>
          </w:tcPr>
          <w:p w14:paraId="37FA6A10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CC3AC4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9B5BA3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BB5012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6</w:t>
            </w:r>
          </w:p>
        </w:tc>
        <w:tc>
          <w:tcPr>
            <w:tcW w:w="992" w:type="dxa"/>
            <w:noWrap/>
            <w:vAlign w:val="bottom"/>
          </w:tcPr>
          <w:p w14:paraId="19FA321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8</w:t>
            </w:r>
          </w:p>
        </w:tc>
      </w:tr>
      <w:tr w:rsidR="001C3DD0" w:rsidRPr="00BC219E" w14:paraId="56710620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2D79442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91 – Искусственный интеллект 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(ADD)</w:t>
            </w:r>
          </w:p>
        </w:tc>
        <w:tc>
          <w:tcPr>
            <w:tcW w:w="710" w:type="dxa"/>
            <w:noWrap/>
            <w:vAlign w:val="bottom"/>
          </w:tcPr>
          <w:p w14:paraId="20381F6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6</w:t>
            </w:r>
          </w:p>
        </w:tc>
        <w:tc>
          <w:tcPr>
            <w:tcW w:w="710" w:type="dxa"/>
            <w:noWrap/>
            <w:vAlign w:val="bottom"/>
          </w:tcPr>
          <w:p w14:paraId="241A663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13</w:t>
            </w:r>
          </w:p>
        </w:tc>
        <w:tc>
          <w:tcPr>
            <w:tcW w:w="710" w:type="dxa"/>
            <w:noWrap/>
            <w:vAlign w:val="bottom"/>
          </w:tcPr>
          <w:p w14:paraId="23D0797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FCFAAA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CD1E6B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B8DAAFE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54E58CF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055CDC0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20</w:t>
            </w:r>
          </w:p>
        </w:tc>
      </w:tr>
      <w:tr w:rsidR="001C3DD0" w:rsidRPr="00BC219E" w14:paraId="6ABC247D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4904EBD1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92 – Региональные отделения 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(ADD)</w:t>
            </w:r>
          </w:p>
        </w:tc>
        <w:tc>
          <w:tcPr>
            <w:tcW w:w="710" w:type="dxa"/>
            <w:noWrap/>
            <w:vAlign w:val="bottom"/>
          </w:tcPr>
          <w:p w14:paraId="5CD783D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2EADEC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77126D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AEB3EC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DD40EC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B475124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6A00A70B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  <w:tc>
          <w:tcPr>
            <w:tcW w:w="992" w:type="dxa"/>
            <w:noWrap/>
            <w:vAlign w:val="bottom"/>
          </w:tcPr>
          <w:p w14:paraId="36155073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2</w:t>
            </w:r>
          </w:p>
        </w:tc>
      </w:tr>
      <w:tr w:rsidR="001C3DD0" w:rsidRPr="00573BF6" w14:paraId="37517B8D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4ED0D202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lastRenderedPageBreak/>
              <w:t>Рез</w:t>
            </w:r>
            <w:r w:rsidRPr="005728FE">
              <w:rPr>
                <w:rFonts w:cstheme="minorHAnsi"/>
                <w:color w:val="000000"/>
                <w:sz w:val="20"/>
                <w:lang w:val="en-US"/>
              </w:rPr>
              <w:t>.</w:t>
            </w:r>
            <w:r w:rsidRPr="005728FE">
              <w:rPr>
                <w:rFonts w:cstheme="minorHAnsi"/>
                <w:color w:val="000000"/>
                <w:sz w:val="20"/>
              </w:rPr>
              <w:t xml:space="preserve"> 93 – Помощь Судану 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(ADD)</w:t>
            </w:r>
          </w:p>
        </w:tc>
        <w:tc>
          <w:tcPr>
            <w:tcW w:w="710" w:type="dxa"/>
            <w:noWrap/>
            <w:vAlign w:val="bottom"/>
          </w:tcPr>
          <w:p w14:paraId="3C158792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20FEB4A6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664F827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A90E4AE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33A1D25C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620FE385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169845D4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</w:p>
        </w:tc>
        <w:tc>
          <w:tcPr>
            <w:tcW w:w="992" w:type="dxa"/>
            <w:noWrap/>
            <w:vAlign w:val="bottom"/>
          </w:tcPr>
          <w:p w14:paraId="6ABB87B1" w14:textId="77777777" w:rsidR="001C3DD0" w:rsidRPr="005728FE" w:rsidRDefault="001C3DD0" w:rsidP="000D189F">
            <w:pPr>
              <w:keepNext/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cstheme="minorHAnsi"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>(*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2</w:t>
            </w:r>
            <w:r w:rsidRPr="005728FE">
              <w:rPr>
                <w:rFonts w:cstheme="minorHAnsi"/>
                <w:color w:val="000000"/>
                <w:sz w:val="20"/>
              </w:rPr>
              <w:t>)</w:t>
            </w:r>
          </w:p>
        </w:tc>
      </w:tr>
      <w:tr w:rsidR="001C3DD0" w:rsidRPr="00BC219E" w14:paraId="38088CF3" w14:textId="77777777" w:rsidTr="000D189F">
        <w:trPr>
          <w:trHeight w:val="300"/>
          <w:jc w:val="center"/>
        </w:trPr>
        <w:tc>
          <w:tcPr>
            <w:tcW w:w="4056" w:type="dxa"/>
            <w:noWrap/>
            <w:vAlign w:val="bottom"/>
          </w:tcPr>
          <w:p w14:paraId="4BFD996D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cstheme="minorHAnsi"/>
                <w:i/>
                <w:color w:val="000000"/>
                <w:sz w:val="20"/>
              </w:rPr>
            </w:pPr>
            <w:r w:rsidRPr="005728FE">
              <w:rPr>
                <w:rFonts w:cstheme="minorHAnsi"/>
                <w:color w:val="000000"/>
                <w:sz w:val="20"/>
              </w:rPr>
              <w:t xml:space="preserve">Рез. 94 – Цифровая трансформация государств Тихого океана 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(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  <w:lang w:val="fr-FR"/>
              </w:rPr>
              <w:t>ADD</w:t>
            </w:r>
            <w:r w:rsidRPr="005728FE">
              <w:rPr>
                <w:rFonts w:cstheme="minorHAnsi"/>
                <w:color w:val="000000"/>
                <w:sz w:val="20"/>
                <w:vertAlign w:val="superscript"/>
              </w:rPr>
              <w:t>)</w:t>
            </w:r>
          </w:p>
        </w:tc>
        <w:tc>
          <w:tcPr>
            <w:tcW w:w="710" w:type="dxa"/>
            <w:noWrap/>
            <w:vAlign w:val="bottom"/>
          </w:tcPr>
          <w:p w14:paraId="5AF3D632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76D0FB5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0E0080E7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445DD1D8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5E48209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color w:val="000000"/>
                <w:sz w:val="20"/>
                <w:lang w:eastAsia="en-GB"/>
              </w:rPr>
            </w:pPr>
          </w:p>
        </w:tc>
        <w:tc>
          <w:tcPr>
            <w:tcW w:w="710" w:type="dxa"/>
            <w:noWrap/>
            <w:vAlign w:val="bottom"/>
          </w:tcPr>
          <w:p w14:paraId="10170186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color w:val="000000"/>
                <w:sz w:val="20"/>
                <w:lang w:eastAsia="en-GB"/>
              </w:rPr>
            </w:pPr>
          </w:p>
        </w:tc>
        <w:tc>
          <w:tcPr>
            <w:tcW w:w="1035" w:type="dxa"/>
            <w:noWrap/>
            <w:vAlign w:val="bottom"/>
          </w:tcPr>
          <w:p w14:paraId="5DA21BCA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  <w:tc>
          <w:tcPr>
            <w:tcW w:w="992" w:type="dxa"/>
            <w:noWrap/>
            <w:vAlign w:val="bottom"/>
          </w:tcPr>
          <w:p w14:paraId="2F10F15F" w14:textId="77777777" w:rsidR="001C3DD0" w:rsidRPr="005728FE" w:rsidRDefault="001C3DD0" w:rsidP="009F66F9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eastAsia="Times New Roman" w:cstheme="minorHAnsi"/>
                <w:i/>
                <w:iCs/>
                <w:color w:val="000000"/>
                <w:sz w:val="20"/>
                <w:lang w:eastAsia="en-GB"/>
              </w:rPr>
            </w:pPr>
            <w:r w:rsidRPr="005728FE">
              <w:rPr>
                <w:rFonts w:cstheme="minorHAnsi"/>
                <w:color w:val="000000"/>
                <w:sz w:val="20"/>
              </w:rPr>
              <w:t>1</w:t>
            </w:r>
          </w:p>
        </w:tc>
      </w:tr>
    </w:tbl>
    <w:p w14:paraId="3B140C09" w14:textId="69998E34" w:rsidR="001C3DD0" w:rsidRPr="00593463" w:rsidRDefault="001C3DD0" w:rsidP="001C3DD0">
      <w:pPr>
        <w:ind w:left="270"/>
        <w:rPr>
          <w:rFonts w:cstheme="minorHAnsi"/>
          <w:sz w:val="18"/>
          <w:szCs w:val="18"/>
        </w:rPr>
      </w:pPr>
      <w:r w:rsidRPr="008F3F04">
        <w:rPr>
          <w:rFonts w:cstheme="minorHAnsi"/>
          <w:sz w:val="18"/>
          <w:szCs w:val="18"/>
        </w:rPr>
        <w:t>(*1)</w:t>
      </w:r>
      <w:r w:rsidR="005728FE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>Межрегиональные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проекты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в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интересах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всех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регионов</w:t>
      </w:r>
      <w:r w:rsidRPr="008F3F04">
        <w:rPr>
          <w:rFonts w:cstheme="minorHAnsi"/>
          <w:sz w:val="18"/>
          <w:szCs w:val="18"/>
        </w:rPr>
        <w:t xml:space="preserve"> </w:t>
      </w:r>
      <w:r w:rsidRPr="008F3F04">
        <w:rPr>
          <w:rFonts w:cstheme="minorHAnsi"/>
          <w:sz w:val="18"/>
          <w:szCs w:val="18"/>
        </w:rPr>
        <w:br/>
        <w:t>(*2)</w:t>
      </w:r>
      <w:r w:rsidR="005728FE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>В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настоящее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время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ни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один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из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текущих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проектов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не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вносит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вклад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в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реализацию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данной</w:t>
      </w:r>
      <w:r w:rsidRPr="008F3F04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Резолюции</w:t>
      </w:r>
      <w:r w:rsidRPr="008F3F04">
        <w:rPr>
          <w:rFonts w:cstheme="minorHAnsi"/>
          <w:sz w:val="18"/>
          <w:szCs w:val="18"/>
        </w:rPr>
        <w:t xml:space="preserve"> </w:t>
      </w:r>
      <w:r w:rsidRPr="008F3F04">
        <w:rPr>
          <w:rFonts w:cstheme="minorHAnsi"/>
          <w:sz w:val="18"/>
          <w:szCs w:val="18"/>
        </w:rPr>
        <w:br/>
        <w:t>(</w:t>
      </w:r>
      <w:r w:rsidRPr="00573BF6">
        <w:rPr>
          <w:rFonts w:cstheme="minorHAnsi"/>
          <w:sz w:val="18"/>
          <w:szCs w:val="18"/>
        </w:rPr>
        <w:t>ADD</w:t>
      </w:r>
      <w:r w:rsidRPr="008F3F04">
        <w:rPr>
          <w:rFonts w:cstheme="minorHAnsi"/>
          <w:sz w:val="18"/>
          <w:szCs w:val="18"/>
        </w:rPr>
        <w:t>)</w:t>
      </w:r>
      <w:r w:rsidR="005728FE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Новые Резолюции, принятые на ВКРЭ-25 </w:t>
      </w:r>
    </w:p>
    <w:p w14:paraId="0B1E933C" w14:textId="77777777" w:rsidR="001C3DD0" w:rsidRPr="000F0F38" w:rsidRDefault="001C3DD0" w:rsidP="005728FE">
      <w:r w:rsidRPr="000F0F38">
        <w:t xml:space="preserve">В приведенной выше таблице подтверждается, что проекты МСЭ-D играют центральную оперативную роль в выполнении мандата, данного ВКРЭ, путем включения конкретных поручений, содержащихся в Резолюциях ВКРЭ, в работу по проектам. Во всех проектах МСЭ-D четко определены KPI и структура результатов и применяются принципы управления, ориентированного на результаты, при выполнении Резолюций ВКРЭ, что обеспечивает дополнительную ясность в отношении </w:t>
      </w:r>
      <w:r>
        <w:t>результатов</w:t>
      </w:r>
      <w:r w:rsidRPr="000F0F38">
        <w:t>, котор</w:t>
      </w:r>
      <w:r>
        <w:t>ые</w:t>
      </w:r>
      <w:r w:rsidRPr="000F0F38">
        <w:t xml:space="preserve"> должн</w:t>
      </w:r>
      <w:r>
        <w:t>ы</w:t>
      </w:r>
      <w:r w:rsidRPr="000F0F38">
        <w:t xml:space="preserve"> быть достигнут</w:t>
      </w:r>
      <w:r>
        <w:t>ы</w:t>
      </w:r>
      <w:r w:rsidRPr="000F0F38">
        <w:t xml:space="preserve"> на протяжении цикла ВКРЭ-25.</w:t>
      </w:r>
    </w:p>
    <w:p w14:paraId="2F030FBB" w14:textId="546A72A4" w:rsidR="001C3DD0" w:rsidRPr="000F0F38" w:rsidRDefault="005728FE" w:rsidP="005728FE">
      <w:pPr>
        <w:pStyle w:val="Heading1"/>
        <w:rPr>
          <w:rFonts w:cstheme="minorHAnsi"/>
          <w:b w:val="0"/>
          <w:szCs w:val="24"/>
        </w:rPr>
      </w:pPr>
      <w:r>
        <w:t>3</w:t>
      </w:r>
      <w:r>
        <w:tab/>
      </w:r>
      <w:r w:rsidR="001C3DD0" w:rsidRPr="005728FE">
        <w:t>Реализация</w:t>
      </w:r>
      <w:r w:rsidR="001C3DD0">
        <w:rPr>
          <w:rFonts w:cstheme="minorHAnsi"/>
          <w:szCs w:val="24"/>
        </w:rPr>
        <w:t xml:space="preserve"> мер в связи с </w:t>
      </w:r>
      <w:r w:rsidR="001C3DD0" w:rsidRPr="000F0F38">
        <w:rPr>
          <w:rFonts w:cstheme="minorHAnsi"/>
          <w:szCs w:val="24"/>
        </w:rPr>
        <w:t>финансовы</w:t>
      </w:r>
      <w:r w:rsidR="001C3DD0">
        <w:rPr>
          <w:rFonts w:cstheme="minorHAnsi"/>
          <w:szCs w:val="24"/>
        </w:rPr>
        <w:t>ми</w:t>
      </w:r>
      <w:r w:rsidR="001C3DD0" w:rsidRPr="000F0F38">
        <w:rPr>
          <w:rFonts w:cstheme="minorHAnsi"/>
          <w:szCs w:val="24"/>
        </w:rPr>
        <w:t xml:space="preserve"> последстви</w:t>
      </w:r>
      <w:r w:rsidR="001C3DD0">
        <w:rPr>
          <w:rFonts w:cstheme="minorHAnsi"/>
          <w:szCs w:val="24"/>
        </w:rPr>
        <w:t>ями</w:t>
      </w:r>
      <w:r w:rsidR="001C3DD0" w:rsidRPr="000F0F38">
        <w:rPr>
          <w:rFonts w:cstheme="minorHAnsi"/>
          <w:szCs w:val="24"/>
        </w:rPr>
        <w:t xml:space="preserve"> Бакинского плана действий через проекты МСЭ-</w:t>
      </w:r>
      <w:r w:rsidR="001C3DD0" w:rsidRPr="000F0F38">
        <w:rPr>
          <w:rFonts w:cstheme="minorHAnsi"/>
          <w:szCs w:val="24"/>
          <w:lang w:val="en-US"/>
        </w:rPr>
        <w:t>D</w:t>
      </w:r>
    </w:p>
    <w:p w14:paraId="237F55D9" w14:textId="77777777" w:rsidR="001C3DD0" w:rsidRPr="000F0F38" w:rsidRDefault="001C3DD0" w:rsidP="005728FE">
      <w:r w:rsidRPr="000F0F38">
        <w:t xml:space="preserve">ВКРЭ-25 приняла несколько новых и пересмотренных Резолюций, в которых предусматриваются дополнительные виды деятельности, исследования, программы профессиональной подготовки и мероприятия по созданию потенциала, сопряженные со значительными затратами в течение следующих четырех лет. </w:t>
      </w:r>
      <w:r>
        <w:t>Прогноз</w:t>
      </w:r>
      <w:r w:rsidRPr="000F0F38">
        <w:t xml:space="preserve"> COM2</w:t>
      </w:r>
      <w:r>
        <w:t xml:space="preserve"> </w:t>
      </w:r>
      <w:r w:rsidRPr="000F0F38">
        <w:t>был</w:t>
      </w:r>
      <w:r>
        <w:t xml:space="preserve"> подготовлен </w:t>
      </w:r>
      <w:r w:rsidRPr="000F0F38">
        <w:t xml:space="preserve">в соответствии с подходом, предусматривающим выполнение этих новых поручений в рамках регулярного бюджета с помощью таких мер, как </w:t>
      </w:r>
      <w:r>
        <w:t>набор</w:t>
      </w:r>
      <w:r w:rsidRPr="000F0F38">
        <w:t xml:space="preserve"> новых экспертов, организация новых мероприятий или выделение новых средств на стипендии, среди прочих расходов.</w:t>
      </w:r>
    </w:p>
    <w:p w14:paraId="670D224C" w14:textId="77777777" w:rsidR="001C3DD0" w:rsidRPr="000F0F38" w:rsidRDefault="001C3DD0" w:rsidP="005728FE">
      <w:r w:rsidRPr="000F0F38">
        <w:t>Однако возможен и другой подход. БРЭ уже приступило к выполнению Бакинского плана действий, не понеся при этом каких-либо дополнительных затрат</w:t>
      </w:r>
      <w:r>
        <w:t>,</w:t>
      </w:r>
      <w:r w:rsidRPr="000F0F38">
        <w:t xml:space="preserve"> </w:t>
      </w:r>
      <w:r>
        <w:t>благодаря</w:t>
      </w:r>
      <w:r w:rsidRPr="000F0F38">
        <w:t xml:space="preserve"> обеспечени</w:t>
      </w:r>
      <w:r>
        <w:t>ю</w:t>
      </w:r>
      <w:r w:rsidRPr="000F0F38">
        <w:t xml:space="preserve"> согласованности между процессом оперативного планирования и определением, разработкой и реализацией проектов МСЭ-</w:t>
      </w:r>
      <w:r w:rsidRPr="000F0F38">
        <w:rPr>
          <w:lang w:val="en-US"/>
        </w:rPr>
        <w:t>D</w:t>
      </w:r>
      <w:r w:rsidRPr="000F0F38">
        <w:t xml:space="preserve">. Этот скоординированный подход направлен на использование эффекта синергии между регионами и </w:t>
      </w:r>
      <w:r>
        <w:t>направлениями</w:t>
      </w:r>
      <w:r w:rsidRPr="000F0F38">
        <w:t xml:space="preserve"> работы, а также на оптимизацию затрат.</w:t>
      </w:r>
    </w:p>
    <w:p w14:paraId="7DE9ADD9" w14:textId="5BE824A1" w:rsidR="001C3DD0" w:rsidRPr="000F0F38" w:rsidRDefault="001C3DD0" w:rsidP="005728FE">
      <w:r w:rsidRPr="00081C0C">
        <w:t xml:space="preserve">Хотя </w:t>
      </w:r>
      <w:r>
        <w:t>соглашения</w:t>
      </w:r>
      <w:r w:rsidRPr="00081C0C">
        <w:t xml:space="preserve"> </w:t>
      </w:r>
      <w:r>
        <w:t>по</w:t>
      </w:r>
      <w:r w:rsidRPr="00081C0C">
        <w:t xml:space="preserve"> многи</w:t>
      </w:r>
      <w:r>
        <w:t>м</w:t>
      </w:r>
      <w:r w:rsidRPr="00081C0C">
        <w:t xml:space="preserve"> из реализуемых в настоящее время проектов были подписаны до ВКРЭ</w:t>
      </w:r>
      <w:r w:rsidR="000D189F">
        <w:noBreakHyphen/>
      </w:r>
      <w:r w:rsidRPr="00081C0C">
        <w:t xml:space="preserve">25, в них предусматриваются виды деятельности, которые будут способствовать выполнению </w:t>
      </w:r>
      <w:r w:rsidRPr="000F0F38">
        <w:t xml:space="preserve">Бакинского плана действий. Это ясно показывает как целесообразность, так и устойчивость использования внебюджетных ресурсов в масштабах, намного превышающих оценку, сделанную </w:t>
      </w:r>
      <w:r>
        <w:rPr>
          <w:lang w:val="en-US"/>
        </w:rPr>
        <w:t>COM</w:t>
      </w:r>
      <w:r w:rsidRPr="000F0F38">
        <w:t>2 для последующих мер по итогам ВКРЭ-25. Кроме того, проекты</w:t>
      </w:r>
      <w:r>
        <w:t>, соглашения по которым были подписаны в последнее время,</w:t>
      </w:r>
      <w:r w:rsidRPr="000F0F38">
        <w:t xml:space="preserve"> демонстрируют активную вовлеченность партнеров по всем темам, актуальным для ВКРЭ-25, включая, в </w:t>
      </w:r>
      <w:r>
        <w:t>частности</w:t>
      </w:r>
      <w:r w:rsidRPr="000F0F38">
        <w:t>:</w:t>
      </w:r>
    </w:p>
    <w:p w14:paraId="08BF61C9" w14:textId="3BAE4CDF" w:rsidR="001C3DD0" w:rsidRPr="00081C0C" w:rsidRDefault="005728FE" w:rsidP="005728FE">
      <w:pPr>
        <w:pStyle w:val="enumlev1"/>
      </w:pPr>
      <w:r>
        <w:t>–</w:t>
      </w:r>
      <w:r>
        <w:tab/>
      </w:r>
      <w:r w:rsidR="001C3DD0">
        <w:t>цифровую</w:t>
      </w:r>
      <w:r w:rsidR="001C3DD0" w:rsidRPr="00081C0C">
        <w:t xml:space="preserve"> </w:t>
      </w:r>
      <w:r w:rsidR="001C3DD0">
        <w:t>трансформацию</w:t>
      </w:r>
      <w:r w:rsidR="001C3DD0" w:rsidRPr="00081C0C">
        <w:t xml:space="preserve"> </w:t>
      </w:r>
      <w:r w:rsidR="001C3DD0">
        <w:t>и</w:t>
      </w:r>
      <w:r w:rsidR="001C3DD0" w:rsidRPr="00081C0C">
        <w:t xml:space="preserve"> </w:t>
      </w:r>
      <w:r w:rsidR="001C3DD0">
        <w:t>инфраструктуру</w:t>
      </w:r>
      <w:r w:rsidR="001C3DD0" w:rsidRPr="00081C0C">
        <w:t xml:space="preserve"> </w:t>
      </w:r>
      <w:r w:rsidR="001C3DD0">
        <w:t>(например</w:t>
      </w:r>
      <w:r w:rsidR="001C3DD0" w:rsidRPr="00081C0C">
        <w:t xml:space="preserve">, </w:t>
      </w:r>
      <w:r w:rsidR="001C3DD0" w:rsidRPr="00573BF6">
        <w:t>GovStack</w:t>
      </w:r>
      <w:r w:rsidR="001C3DD0" w:rsidRPr="00081C0C">
        <w:t>, "</w:t>
      </w:r>
      <w:r w:rsidR="001C3DD0">
        <w:t>умные</w:t>
      </w:r>
      <w:r w:rsidR="001C3DD0" w:rsidRPr="00081C0C">
        <w:t>"</w:t>
      </w:r>
      <w:r w:rsidR="001C3DD0">
        <w:t xml:space="preserve"> деревни, </w:t>
      </w:r>
      <w:r w:rsidR="001C3DD0" w:rsidRPr="00081C0C">
        <w:t>"</w:t>
      </w:r>
      <w:r w:rsidR="001C3DD0">
        <w:t>умные</w:t>
      </w:r>
      <w:r w:rsidR="001C3DD0" w:rsidRPr="00081C0C">
        <w:t>"</w:t>
      </w:r>
      <w:r w:rsidR="001C3DD0">
        <w:t xml:space="preserve"> острова, картографирование широкополосной связи</w:t>
      </w:r>
      <w:r w:rsidR="001C3DD0" w:rsidRPr="00081C0C">
        <w:t>)</w:t>
      </w:r>
      <w:r w:rsidR="001C3DD0">
        <w:t xml:space="preserve">; </w:t>
      </w:r>
    </w:p>
    <w:p w14:paraId="31170A8D" w14:textId="154F30C9" w:rsidR="001C3DD0" w:rsidRPr="00081C0C" w:rsidRDefault="005728FE" w:rsidP="005728FE">
      <w:pPr>
        <w:pStyle w:val="enumlev1"/>
      </w:pPr>
      <w:r>
        <w:t>–</w:t>
      </w:r>
      <w:r>
        <w:tab/>
      </w:r>
      <w:r w:rsidR="001C3DD0">
        <w:t>охват</w:t>
      </w:r>
      <w:r w:rsidR="001C3DD0" w:rsidRPr="00081C0C">
        <w:t xml:space="preserve"> </w:t>
      </w:r>
      <w:r w:rsidR="001C3DD0">
        <w:t>цифровыми</w:t>
      </w:r>
      <w:r w:rsidR="001C3DD0" w:rsidRPr="00081C0C">
        <w:t xml:space="preserve"> </w:t>
      </w:r>
      <w:r w:rsidR="001C3DD0">
        <w:t>технологиями</w:t>
      </w:r>
      <w:r w:rsidR="001C3DD0" w:rsidRPr="00081C0C">
        <w:t xml:space="preserve"> (</w:t>
      </w:r>
      <w:r w:rsidR="001C3DD0">
        <w:t>например, гендерные аспекты, молодежь, коренные народы</w:t>
      </w:r>
      <w:r w:rsidR="001C3DD0" w:rsidRPr="00081C0C">
        <w:t>)</w:t>
      </w:r>
      <w:r w:rsidR="001C3DD0">
        <w:t>;</w:t>
      </w:r>
    </w:p>
    <w:p w14:paraId="5BFC9558" w14:textId="1A0F56E1" w:rsidR="001C3DD0" w:rsidRPr="00081C0C" w:rsidRDefault="005728FE" w:rsidP="005728FE">
      <w:pPr>
        <w:pStyle w:val="enumlev1"/>
      </w:pPr>
      <w:r>
        <w:t>–</w:t>
      </w:r>
      <w:r>
        <w:tab/>
      </w:r>
      <w:r w:rsidR="001C3DD0">
        <w:t>э</w:t>
      </w:r>
      <w:r w:rsidR="001C3DD0" w:rsidRPr="00081C0C">
        <w:t>лектросвязь в чрезвычайных ситуациях и снижение риска бедствий (</w:t>
      </w:r>
      <w:r w:rsidR="001C3DD0">
        <w:t>например, и</w:t>
      </w:r>
      <w:r w:rsidR="001C3DD0" w:rsidRPr="00081C0C">
        <w:t>нициатива "Раннее предупреждение для всех")</w:t>
      </w:r>
      <w:r w:rsidR="001C3DD0">
        <w:t>;</w:t>
      </w:r>
    </w:p>
    <w:p w14:paraId="03FA2DCF" w14:textId="5984B0A1" w:rsidR="001C3DD0" w:rsidRPr="00081C0C" w:rsidRDefault="005728FE" w:rsidP="005728FE">
      <w:pPr>
        <w:pStyle w:val="enumlev1"/>
      </w:pPr>
      <w:r>
        <w:t>–</w:t>
      </w:r>
      <w:r>
        <w:tab/>
      </w:r>
      <w:r w:rsidR="001C3DD0">
        <w:t>к</w:t>
      </w:r>
      <w:r w:rsidR="001C3DD0" w:rsidRPr="00081C0C">
        <w:t>лимат, окружающая среда и циркуляционная экономика (например, электронные отходы и устойчивая электроника)</w:t>
      </w:r>
      <w:r w:rsidR="001C3DD0">
        <w:t>;</w:t>
      </w:r>
    </w:p>
    <w:p w14:paraId="2FBC13B3" w14:textId="527907D9" w:rsidR="001C3DD0" w:rsidRPr="00D6172A" w:rsidRDefault="005728FE" w:rsidP="005728FE">
      <w:pPr>
        <w:pStyle w:val="enumlev1"/>
      </w:pPr>
      <w:r>
        <w:lastRenderedPageBreak/>
        <w:t>–</w:t>
      </w:r>
      <w:r>
        <w:tab/>
      </w:r>
      <w:r w:rsidR="001C3DD0">
        <w:t>п</w:t>
      </w:r>
      <w:r w:rsidR="001C3DD0" w:rsidRPr="00D6172A">
        <w:t>оявляющиеся технологии (например, программы создания потенциала в Азиатско-Тихоокеанском регионе)</w:t>
      </w:r>
      <w:r w:rsidR="001C3DD0">
        <w:t>.</w:t>
      </w:r>
    </w:p>
    <w:p w14:paraId="5D4C8807" w14:textId="77777777" w:rsidR="001C3DD0" w:rsidRPr="00D6172A" w:rsidRDefault="001C3DD0" w:rsidP="005728FE">
      <w:r w:rsidRPr="00D6172A">
        <w:t>Такое согласование обеспечивает высокую вероятность мобилизации дополнительных ресурсов, когда последующая деятельность в связи с ВКРЭ-25 оформлена в виде предложений по проектам.</w:t>
      </w:r>
    </w:p>
    <w:p w14:paraId="5C0B51C1" w14:textId="03202A4D" w:rsidR="001C3DD0" w:rsidRPr="00D6172A" w:rsidRDefault="001C3DD0" w:rsidP="005728FE">
      <w:pPr>
        <w:rPr>
          <w:szCs w:val="24"/>
        </w:rPr>
      </w:pPr>
      <w:r w:rsidRPr="00D6172A">
        <w:rPr>
          <w:szCs w:val="24"/>
        </w:rPr>
        <w:t>На этом фоне увеличивается инвестиционная целесообразность выделения люб</w:t>
      </w:r>
      <w:r>
        <w:rPr>
          <w:szCs w:val="24"/>
        </w:rPr>
        <w:t>ых</w:t>
      </w:r>
      <w:r w:rsidRPr="00D6172A">
        <w:rPr>
          <w:szCs w:val="24"/>
        </w:rPr>
        <w:t xml:space="preserve"> </w:t>
      </w:r>
      <w:r>
        <w:rPr>
          <w:szCs w:val="24"/>
        </w:rPr>
        <w:t>излишков</w:t>
      </w:r>
      <w:r w:rsidRPr="00D6172A">
        <w:rPr>
          <w:szCs w:val="24"/>
        </w:rPr>
        <w:t xml:space="preserve"> </w:t>
      </w:r>
      <w:r>
        <w:rPr>
          <w:szCs w:val="24"/>
        </w:rPr>
        <w:t xml:space="preserve">регулярного </w:t>
      </w:r>
      <w:r w:rsidRPr="00D6172A">
        <w:rPr>
          <w:szCs w:val="24"/>
        </w:rPr>
        <w:t xml:space="preserve">бюджета МСЭ и осуществления новых ассигнований в </w:t>
      </w:r>
      <w:r>
        <w:rPr>
          <w:szCs w:val="24"/>
        </w:rPr>
        <w:t xml:space="preserve">рамках </w:t>
      </w:r>
      <w:r w:rsidRPr="00D6172A">
        <w:rPr>
          <w:szCs w:val="24"/>
        </w:rPr>
        <w:t>бюджет</w:t>
      </w:r>
      <w:r>
        <w:rPr>
          <w:szCs w:val="24"/>
        </w:rPr>
        <w:t>а</w:t>
      </w:r>
      <w:r w:rsidRPr="00D6172A">
        <w:rPr>
          <w:szCs w:val="24"/>
        </w:rPr>
        <w:t xml:space="preserve"> МСЭ для укрепления усилий по мобилизации ресурсов </w:t>
      </w:r>
      <w:r>
        <w:rPr>
          <w:szCs w:val="24"/>
        </w:rPr>
        <w:t>в целях</w:t>
      </w:r>
      <w:r w:rsidRPr="00D6172A">
        <w:rPr>
          <w:szCs w:val="24"/>
        </w:rPr>
        <w:t xml:space="preserve"> поддержки определения и внедрения новых проектов в </w:t>
      </w:r>
      <w:r>
        <w:rPr>
          <w:szCs w:val="24"/>
        </w:rPr>
        <w:t>интересах выполнения</w:t>
      </w:r>
      <w:r w:rsidRPr="00D6172A">
        <w:rPr>
          <w:szCs w:val="24"/>
        </w:rPr>
        <w:t xml:space="preserve"> Бакинского плана действий. В течение цикла ВКРЭ-22 (2023</w:t>
      </w:r>
      <w:r w:rsidR="005728FE">
        <w:rPr>
          <w:rFonts w:cs="Calibri"/>
          <w:szCs w:val="24"/>
        </w:rPr>
        <w:t>−</w:t>
      </w:r>
      <w:r w:rsidRPr="00D6172A">
        <w:rPr>
          <w:szCs w:val="24"/>
        </w:rPr>
        <w:t>2025</w:t>
      </w:r>
      <w:r w:rsidR="005728FE">
        <w:rPr>
          <w:szCs w:val="24"/>
        </w:rPr>
        <w:t> </w:t>
      </w:r>
      <w:r w:rsidRPr="00D6172A">
        <w:rPr>
          <w:szCs w:val="24"/>
        </w:rPr>
        <w:t xml:space="preserve">гг.) 85% </w:t>
      </w:r>
      <w:r>
        <w:rPr>
          <w:szCs w:val="24"/>
        </w:rPr>
        <w:t>финансирования</w:t>
      </w:r>
      <w:r w:rsidRPr="00D6172A">
        <w:rPr>
          <w:szCs w:val="24"/>
        </w:rPr>
        <w:t xml:space="preserve"> для вновь подписанных проектов МСЭ-D был</w:t>
      </w:r>
      <w:r>
        <w:rPr>
          <w:szCs w:val="24"/>
        </w:rPr>
        <w:t>о</w:t>
      </w:r>
      <w:r w:rsidRPr="00D6172A">
        <w:rPr>
          <w:szCs w:val="24"/>
        </w:rPr>
        <w:t xml:space="preserve"> обеспечен</w:t>
      </w:r>
      <w:r>
        <w:rPr>
          <w:szCs w:val="24"/>
        </w:rPr>
        <w:t>о</w:t>
      </w:r>
      <w:r w:rsidRPr="00D6172A">
        <w:rPr>
          <w:szCs w:val="24"/>
        </w:rPr>
        <w:t xml:space="preserve"> за счет средств, выделенных предыдущими сессиями Совета в качестве начального финансирования для привлечения внебюджетных средств. Это свидетельствует о том, что при наличии начального финансирования к работе МСЭ п</w:t>
      </w:r>
      <w:r>
        <w:rPr>
          <w:szCs w:val="24"/>
        </w:rPr>
        <w:t>рисоединяются</w:t>
      </w:r>
      <w:r w:rsidRPr="00D6172A">
        <w:rPr>
          <w:szCs w:val="24"/>
        </w:rPr>
        <w:t xml:space="preserve"> партнеры и что БРЭ создало проверенные и масштабируемые механизмы сбора средств для усиления воздействия на местах.</w:t>
      </w:r>
      <w:r>
        <w:rPr>
          <w:szCs w:val="24"/>
        </w:rPr>
        <w:t xml:space="preserve"> </w:t>
      </w:r>
    </w:p>
    <w:p w14:paraId="394C3174" w14:textId="56B3CE08" w:rsidR="001C3DD0" w:rsidRPr="00573BF6" w:rsidRDefault="005728FE" w:rsidP="005728FE">
      <w:pPr>
        <w:pStyle w:val="Heading1"/>
      </w:pPr>
      <w:r>
        <w:t>4</w:t>
      </w:r>
      <w:r>
        <w:tab/>
      </w:r>
      <w:r w:rsidR="001C3DD0">
        <w:t>Заключение</w:t>
      </w:r>
    </w:p>
    <w:p w14:paraId="3B120EE6" w14:textId="77777777" w:rsidR="001C3DD0" w:rsidRPr="00D6172A" w:rsidRDefault="001C3DD0" w:rsidP="005728FE">
      <w:r w:rsidRPr="00D6172A">
        <w:t xml:space="preserve">Учитывая продемонстрированную БРЭ способность мобилизовывать значительные внебюджетные ресурсы, тесную увязку между приоритетами партнеров и Резолюциями ВКРЭ-25, а также уже существующие институциональные механизмы для реализации деятельности ВКРЭ </w:t>
      </w:r>
      <w:r>
        <w:t>посредством</w:t>
      </w:r>
      <w:r w:rsidRPr="00D6172A">
        <w:t xml:space="preserve"> проектов, </w:t>
      </w:r>
      <w:r>
        <w:t xml:space="preserve">можно </w:t>
      </w:r>
      <w:r w:rsidRPr="00D6172A">
        <w:t>полно</w:t>
      </w:r>
      <w:r>
        <w:t>стью</w:t>
      </w:r>
      <w:r w:rsidRPr="00D6172A">
        <w:t xml:space="preserve"> </w:t>
      </w:r>
      <w:r>
        <w:t>закрыть</w:t>
      </w:r>
      <w:r w:rsidRPr="00D6172A">
        <w:t xml:space="preserve"> финансовы</w:t>
      </w:r>
      <w:r>
        <w:t>е</w:t>
      </w:r>
      <w:r w:rsidRPr="00D6172A">
        <w:t xml:space="preserve"> последстви</w:t>
      </w:r>
      <w:r>
        <w:t>я</w:t>
      </w:r>
      <w:r w:rsidRPr="00D6172A">
        <w:t xml:space="preserve"> ВКРЭ-25 без выделения дополнительных средств из регулярного бюджета МСЭ на выполнение Резолюций.</w:t>
      </w:r>
      <w:r>
        <w:t xml:space="preserve"> </w:t>
      </w:r>
    </w:p>
    <w:p w14:paraId="3ED26CA4" w14:textId="77777777" w:rsidR="001C3DD0" w:rsidRPr="003E3DD8" w:rsidRDefault="001C3DD0" w:rsidP="005728FE">
      <w:pPr>
        <w:rPr>
          <w:rFonts w:cstheme="minorHAnsi"/>
          <w:szCs w:val="24"/>
        </w:rPr>
      </w:pPr>
      <w:r w:rsidRPr="003E3DD8">
        <w:rPr>
          <w:rFonts w:cstheme="minorHAnsi"/>
          <w:szCs w:val="24"/>
        </w:rPr>
        <w:t xml:space="preserve">Финансирование пакета затрат ВКРЭ-25 за счет внебюджетных проектов позволит избежать необходимости изменения приоритетов в рамках регулярного бюджета, расширит мобилизацию внешних средств и привлечение внешних партнеров к поддержке выполнения мандата ВКРЭ, а также укрепит способность МСЭ-D расширять масштабы своей деятельности без </w:t>
      </w:r>
      <w:r>
        <w:rPr>
          <w:rFonts w:cstheme="minorHAnsi"/>
          <w:szCs w:val="24"/>
        </w:rPr>
        <w:t>последствий для</w:t>
      </w:r>
      <w:r w:rsidRPr="003E3DD8">
        <w:rPr>
          <w:rFonts w:cstheme="minorHAnsi"/>
          <w:szCs w:val="24"/>
        </w:rPr>
        <w:t xml:space="preserve"> общ</w:t>
      </w:r>
      <w:r>
        <w:rPr>
          <w:rFonts w:cstheme="minorHAnsi"/>
          <w:szCs w:val="24"/>
        </w:rPr>
        <w:t>его</w:t>
      </w:r>
      <w:r w:rsidRPr="003E3DD8">
        <w:rPr>
          <w:rFonts w:cstheme="minorHAnsi"/>
          <w:szCs w:val="24"/>
        </w:rPr>
        <w:t xml:space="preserve"> бюджет</w:t>
      </w:r>
      <w:r>
        <w:rPr>
          <w:rFonts w:cstheme="minorHAnsi"/>
          <w:szCs w:val="24"/>
        </w:rPr>
        <w:t>а</w:t>
      </w:r>
      <w:r w:rsidRPr="003E3DD8">
        <w:rPr>
          <w:rFonts w:cstheme="minorHAnsi"/>
          <w:szCs w:val="24"/>
        </w:rPr>
        <w:t xml:space="preserve"> Союза.</w:t>
      </w:r>
      <w:r>
        <w:rPr>
          <w:rFonts w:cstheme="minorHAnsi"/>
          <w:szCs w:val="24"/>
        </w:rPr>
        <w:t xml:space="preserve"> </w:t>
      </w:r>
    </w:p>
    <w:p w14:paraId="299E9650" w14:textId="77777777" w:rsidR="001C3DD0" w:rsidRPr="003E3DD8" w:rsidRDefault="001C3DD0" w:rsidP="005728FE">
      <w:pPr>
        <w:rPr>
          <w:szCs w:val="24"/>
        </w:rPr>
      </w:pPr>
      <w:r w:rsidRPr="003E3DD8">
        <w:t xml:space="preserve">Однако для достижения этой цели важно, чтобы Совет МСЭ рассмотрел представленное в Документе </w:t>
      </w:r>
      <w:hyperlink r:id="rId18" w:history="1">
        <w:r w:rsidRPr="003E3DD8">
          <w:rPr>
            <w:rStyle w:val="Hyperlink"/>
            <w:rFonts w:eastAsia="SimSun" w:cstheme="minorHAnsi"/>
            <w:spacing w:val="-2"/>
            <w:lang w:val="en-US"/>
          </w:rPr>
          <w:t>TDAG</w:t>
        </w:r>
        <w:r w:rsidRPr="003E3DD8">
          <w:rPr>
            <w:rStyle w:val="Hyperlink"/>
            <w:rFonts w:eastAsia="SimSun" w:cstheme="minorHAnsi"/>
            <w:spacing w:val="-2"/>
          </w:rPr>
          <w:t>-26/19</w:t>
        </w:r>
      </w:hyperlink>
      <w:r w:rsidRPr="003E3DD8">
        <w:t xml:space="preserve"> предложение об утверждении нового распределения </w:t>
      </w:r>
      <w:r>
        <w:t xml:space="preserve">средств для </w:t>
      </w:r>
      <w:r w:rsidRPr="003E3DD8">
        <w:t>начальн</w:t>
      </w:r>
      <w:r>
        <w:t xml:space="preserve">ого финансирования </w:t>
      </w:r>
      <w:r w:rsidRPr="003E3DD8">
        <w:t xml:space="preserve">для поддержки определения и подписания новых проектов в </w:t>
      </w:r>
      <w:r>
        <w:t>интересах</w:t>
      </w:r>
      <w:r w:rsidRPr="003E3DD8">
        <w:t xml:space="preserve"> реализации новых региональных инициатив (РИ), принятых на ВКРЭ-25.</w:t>
      </w:r>
      <w:r>
        <w:t xml:space="preserve"> </w:t>
      </w:r>
    </w:p>
    <w:p w14:paraId="43F94085" w14:textId="77777777" w:rsidR="001C3DD0" w:rsidRPr="003E3DD8" w:rsidRDefault="001C3DD0" w:rsidP="005728FE">
      <w:r w:rsidRPr="003E3DD8">
        <w:t xml:space="preserve">КГРЭ предлагается предоставить руководящие указания в отношении анализа, </w:t>
      </w:r>
      <w:r>
        <w:t>содержащегося</w:t>
      </w:r>
      <w:r w:rsidRPr="003E3DD8">
        <w:t xml:space="preserve"> в настоящем документе, если она сочтет это целесообразным.</w:t>
      </w:r>
    </w:p>
    <w:p w14:paraId="5348E6D0" w14:textId="2DE2AB85" w:rsidR="00CE66E4" w:rsidRPr="00CE66E4" w:rsidRDefault="00CE66E4" w:rsidP="001C3DD0">
      <w:pPr>
        <w:spacing w:before="720"/>
        <w:jc w:val="center"/>
        <w:rPr>
          <w:lang w:val="en-US"/>
        </w:rPr>
      </w:pPr>
      <w:r>
        <w:t>______________</w:t>
      </w:r>
    </w:p>
    <w:sectPr w:rsidR="00CE66E4" w:rsidRPr="00CE66E4" w:rsidSect="00FC1EC2">
      <w:headerReference w:type="default" r:id="rId19"/>
      <w:footerReference w:type="first" r:id="rId20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23C6" w14:textId="77777777" w:rsidR="001833E1" w:rsidRDefault="001833E1">
      <w:r>
        <w:separator/>
      </w:r>
    </w:p>
    <w:p w14:paraId="7D9213EE" w14:textId="77777777" w:rsidR="001833E1" w:rsidRDefault="001833E1"/>
  </w:endnote>
  <w:endnote w:type="continuationSeparator" w:id="0">
    <w:p w14:paraId="50974636" w14:textId="77777777" w:rsidR="001833E1" w:rsidRDefault="001833E1">
      <w:r>
        <w:continuationSeparator/>
      </w:r>
    </w:p>
    <w:p w14:paraId="566D74CF" w14:textId="77777777" w:rsidR="001833E1" w:rsidRDefault="001833E1"/>
  </w:endnote>
  <w:endnote w:type="continuationNotice" w:id="1">
    <w:p w14:paraId="36DCC394" w14:textId="77777777" w:rsidR="001833E1" w:rsidRDefault="001833E1">
      <w:pPr>
        <w:spacing w:before="0"/>
      </w:pPr>
    </w:p>
    <w:p w14:paraId="4E47CAAC" w14:textId="77777777" w:rsidR="001833E1" w:rsidRDefault="001833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1C3DD0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1C3DD0" w:rsidRPr="00365AB0" w:rsidRDefault="001C3DD0" w:rsidP="001C3DD0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1C3DD0" w:rsidRPr="00365AB0" w:rsidRDefault="001C3DD0" w:rsidP="001C3DD0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2A8DE6A1" w:rsidR="001C3DD0" w:rsidRPr="001C3DD0" w:rsidRDefault="001C3DD0" w:rsidP="001C3DD0">
          <w:pPr>
            <w:pStyle w:val="FirstFooter"/>
            <w:rPr>
              <w:sz w:val="18"/>
              <w:szCs w:val="18"/>
            </w:rPr>
          </w:pPr>
          <w:r w:rsidRPr="00160830">
            <w:rPr>
              <w:sz w:val="18"/>
              <w:szCs w:val="18"/>
            </w:rPr>
            <w:t>г-жа Арчана Гулати (Ms Archana Gulati), заместитель Директора Бюро развития электросвязи</w:t>
          </w:r>
        </w:p>
      </w:tc>
      <w:bookmarkStart w:id="10" w:name="OrgName"/>
      <w:bookmarkEnd w:id="10"/>
    </w:tr>
    <w:tr w:rsidR="001C3DD0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1C3DD0" w:rsidRPr="001C3DD0" w:rsidRDefault="001C3DD0" w:rsidP="001C3DD0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1C3DD0" w:rsidRPr="00365AB0" w:rsidRDefault="001C3DD0" w:rsidP="001C3DD0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3663C3A9" w:rsidR="001C3DD0" w:rsidRPr="00365AB0" w:rsidRDefault="001C3DD0" w:rsidP="001C3DD0">
          <w:pPr>
            <w:pStyle w:val="FirstFooter"/>
            <w:rPr>
              <w:sz w:val="18"/>
              <w:szCs w:val="18"/>
            </w:rPr>
          </w:pPr>
          <w:r w:rsidRPr="00921E3B">
            <w:rPr>
              <w:sz w:val="18"/>
              <w:szCs w:val="18"/>
            </w:rPr>
            <w:t>+41 227306</w:t>
          </w:r>
          <w:r>
            <w:rPr>
              <w:sz w:val="18"/>
              <w:szCs w:val="18"/>
            </w:rPr>
            <w:t>475</w:t>
          </w:r>
        </w:p>
      </w:tc>
      <w:bookmarkStart w:id="11" w:name="PhoneNo"/>
      <w:bookmarkEnd w:id="11"/>
    </w:tr>
    <w:tr w:rsidR="00F723AC" w:rsidRPr="00365AB0" w14:paraId="0E4D2617" w14:textId="77777777" w:rsidTr="005539C3">
      <w:tc>
        <w:tcPr>
          <w:tcW w:w="1526" w:type="dxa"/>
        </w:tcPr>
        <w:p w14:paraId="7845751D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1514CC21" w:rsidR="00F723AC" w:rsidRPr="00365AB0" w:rsidRDefault="001C3DD0" w:rsidP="00F723AC">
          <w:pPr>
            <w:pStyle w:val="FirstFooter"/>
            <w:rPr>
              <w:sz w:val="18"/>
              <w:szCs w:val="18"/>
            </w:rPr>
          </w:pPr>
          <w:hyperlink r:id="rId1" w:history="1">
            <w:r w:rsidRPr="00921E3B">
              <w:rPr>
                <w:rStyle w:val="Hyperlink"/>
                <w:sz w:val="18"/>
                <w:szCs w:val="18"/>
              </w:rPr>
              <w:t>archana.gulati@itu.int</w:t>
            </w:r>
          </w:hyperlink>
        </w:p>
      </w:tc>
      <w:bookmarkStart w:id="12" w:name="Email"/>
      <w:bookmarkEnd w:id="12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F6BA" w14:textId="77777777" w:rsidR="001833E1" w:rsidRPr="0054377E" w:rsidRDefault="001833E1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2C6DFC5D" w14:textId="77777777" w:rsidR="001833E1" w:rsidRDefault="001833E1" w:rsidP="0054377E">
      <w:pPr>
        <w:spacing w:before="0"/>
      </w:pPr>
      <w:r>
        <w:continuationSeparator/>
      </w:r>
    </w:p>
    <w:p w14:paraId="12773DF3" w14:textId="77777777" w:rsidR="001833E1" w:rsidRDefault="001833E1"/>
  </w:footnote>
  <w:footnote w:type="continuationNotice" w:id="1">
    <w:p w14:paraId="5333320C" w14:textId="77777777" w:rsidR="001833E1" w:rsidRDefault="001833E1">
      <w:pPr>
        <w:spacing w:before="0"/>
      </w:pPr>
    </w:p>
    <w:p w14:paraId="6E13E7A6" w14:textId="77777777" w:rsidR="001833E1" w:rsidRDefault="001833E1"/>
  </w:footnote>
  <w:footnote w:id="2">
    <w:p w14:paraId="4C2D16C4" w14:textId="1ACE207D" w:rsidR="001C3DD0" w:rsidRPr="005728FE" w:rsidRDefault="001C3DD0" w:rsidP="005728FE">
      <w:pPr>
        <w:pStyle w:val="FootnoteText"/>
      </w:pPr>
      <w:r w:rsidRPr="005728FE">
        <w:rPr>
          <w:rStyle w:val="FootnoteReference"/>
        </w:rPr>
        <w:footnoteRef/>
      </w:r>
      <w:r w:rsidR="005728FE">
        <w:tab/>
      </w:r>
      <w:r w:rsidRPr="008F4AA0">
        <w:t xml:space="preserve">Для </w:t>
      </w:r>
      <w:r w:rsidRPr="005728FE">
        <w:t xml:space="preserve">получения дополнительной информации об общем выполнении решений ВКРЭ-22 (Кигалийский план действий) см. Документ </w:t>
      </w:r>
      <w:hyperlink r:id="rId1" w:history="1">
        <w:r w:rsidRPr="005728FE">
          <w:rPr>
            <w:rStyle w:val="Hyperlink"/>
            <w:lang w:val="en-US"/>
          </w:rPr>
          <w:t>WTDC</w:t>
        </w:r>
        <w:r w:rsidRPr="005728FE">
          <w:rPr>
            <w:rStyle w:val="Hyperlink"/>
          </w:rPr>
          <w:t>-25/2</w:t>
        </w:r>
      </w:hyperlink>
      <w:r w:rsidRPr="005728FE">
        <w:t xml:space="preserve"> и Документ </w:t>
      </w:r>
      <w:hyperlink r:id="rId2" w:history="1">
        <w:r w:rsidRPr="005728FE">
          <w:rPr>
            <w:rStyle w:val="Hyperlink"/>
            <w:lang w:val="en-US"/>
          </w:rPr>
          <w:t>TDAG</w:t>
        </w:r>
        <w:r w:rsidRPr="005728FE">
          <w:rPr>
            <w:rStyle w:val="Hyperlink"/>
          </w:rPr>
          <w:t>-26/2</w:t>
        </w:r>
      </w:hyperlink>
      <w:r w:rsidRPr="005728FE">
        <w:t>.</w:t>
      </w:r>
    </w:p>
  </w:footnote>
  <w:footnote w:id="3">
    <w:p w14:paraId="78CF3EFB" w14:textId="0DA0438C" w:rsidR="001C3DD0" w:rsidRPr="005728FE" w:rsidRDefault="001C3DD0" w:rsidP="001C3DD0">
      <w:pPr>
        <w:pStyle w:val="FootnoteText"/>
        <w:spacing w:before="0"/>
        <w:rPr>
          <w:iCs/>
        </w:rPr>
      </w:pPr>
      <w:r w:rsidRPr="005728FE">
        <w:rPr>
          <w:rStyle w:val="FootnoteReference"/>
        </w:rPr>
        <w:footnoteRef/>
      </w:r>
      <w:r w:rsidR="005728FE">
        <w:rPr>
          <w:i/>
        </w:rPr>
        <w:tab/>
      </w:r>
      <w:r w:rsidRPr="005728FE">
        <w:rPr>
          <w:iCs/>
        </w:rPr>
        <w:t xml:space="preserve">Для получения дополнительной информации о проектах МСЭ-D см. Документ </w:t>
      </w:r>
      <w:hyperlink r:id="rId3" w:history="1">
        <w:r w:rsidRPr="005728FE">
          <w:rPr>
            <w:rStyle w:val="Hyperlink"/>
            <w:iCs/>
          </w:rPr>
          <w:t>TDAG-26/8</w:t>
        </w:r>
      </w:hyperlink>
      <w:r w:rsidRPr="005728FE">
        <w:rPr>
          <w:iCs/>
        </w:rPr>
        <w:t xml:space="preserve"> или посетите портал "Проекты МСЭ-D", доступный по адресу: </w:t>
      </w:r>
      <w:hyperlink r:id="rId4" w:history="1">
        <w:r w:rsidRPr="005728FE">
          <w:rPr>
            <w:rStyle w:val="Hyperlink"/>
            <w:iCs/>
          </w:rPr>
          <w:t>https://www.itu.int/en/ITU-D/Projects</w:t>
        </w:r>
      </w:hyperlink>
      <w:r w:rsidR="000D189F">
        <w:rPr>
          <w:iCs/>
        </w:rPr>
        <w:t>.</w:t>
      </w:r>
    </w:p>
  </w:footnote>
  <w:footnote w:id="4">
    <w:p w14:paraId="41B024F6" w14:textId="366C0070" w:rsidR="001C3DD0" w:rsidRPr="005728FE" w:rsidRDefault="001C3DD0" w:rsidP="001C3DD0">
      <w:pPr>
        <w:pStyle w:val="FootnoteText"/>
        <w:spacing w:before="0"/>
        <w:rPr>
          <w:iCs/>
        </w:rPr>
      </w:pPr>
      <w:r w:rsidRPr="005728FE">
        <w:rPr>
          <w:rStyle w:val="FootnoteReference"/>
          <w:iCs/>
        </w:rPr>
        <w:footnoteRef/>
      </w:r>
      <w:r w:rsidR="005728FE" w:rsidRPr="005728FE">
        <w:rPr>
          <w:iCs/>
        </w:rPr>
        <w:tab/>
      </w:r>
      <w:r w:rsidRPr="005728FE">
        <w:rPr>
          <w:iCs/>
        </w:rPr>
        <w:t>Резолюции 1, 2, 24, 31, 40 и 59 не были включены в таблицу, поскольку они касаются деятельности Бюро развития электросвязи.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1D2693D6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0D189F">
      <w:rPr>
        <w:sz w:val="20"/>
      </w:rPr>
      <w:t>4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00F623C"/>
    <w:multiLevelType w:val="hybridMultilevel"/>
    <w:tmpl w:val="AC9C5ABE"/>
    <w:lvl w:ilvl="0" w:tplc="522CC5CC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D927A1"/>
    <w:multiLevelType w:val="hybridMultilevel"/>
    <w:tmpl w:val="0DBEA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075DE"/>
    <w:multiLevelType w:val="hybridMultilevel"/>
    <w:tmpl w:val="F5CC39FC"/>
    <w:lvl w:ilvl="0" w:tplc="93E6492E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9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4434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4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1"/>
  </w:num>
  <w:num w:numId="4" w16cid:durableId="1830174465">
    <w:abstractNumId w:val="4"/>
  </w:num>
  <w:num w:numId="5" w16cid:durableId="1479105461">
    <w:abstractNumId w:val="33"/>
  </w:num>
  <w:num w:numId="6" w16cid:durableId="869954702">
    <w:abstractNumId w:val="39"/>
  </w:num>
  <w:num w:numId="7" w16cid:durableId="444734477">
    <w:abstractNumId w:val="5"/>
  </w:num>
  <w:num w:numId="8" w16cid:durableId="362947223">
    <w:abstractNumId w:val="16"/>
  </w:num>
  <w:num w:numId="9" w16cid:durableId="458111764">
    <w:abstractNumId w:val="7"/>
  </w:num>
  <w:num w:numId="10" w16cid:durableId="1195534353">
    <w:abstractNumId w:val="15"/>
  </w:num>
  <w:num w:numId="11" w16cid:durableId="1826580952">
    <w:abstractNumId w:val="31"/>
  </w:num>
  <w:num w:numId="12" w16cid:durableId="1514690498">
    <w:abstractNumId w:val="38"/>
  </w:num>
  <w:num w:numId="13" w16cid:durableId="1235118698">
    <w:abstractNumId w:val="3"/>
  </w:num>
  <w:num w:numId="14" w16cid:durableId="509291828">
    <w:abstractNumId w:val="6"/>
  </w:num>
  <w:num w:numId="15" w16cid:durableId="383218916">
    <w:abstractNumId w:val="14"/>
  </w:num>
  <w:num w:numId="16" w16cid:durableId="1227569663">
    <w:abstractNumId w:val="9"/>
  </w:num>
  <w:num w:numId="17" w16cid:durableId="810974550">
    <w:abstractNumId w:val="45"/>
  </w:num>
  <w:num w:numId="18" w16cid:durableId="1354573477">
    <w:abstractNumId w:val="36"/>
  </w:num>
  <w:num w:numId="19" w16cid:durableId="435754545">
    <w:abstractNumId w:val="20"/>
  </w:num>
  <w:num w:numId="20" w16cid:durableId="1066875134">
    <w:abstractNumId w:val="30"/>
  </w:num>
  <w:num w:numId="21" w16cid:durableId="1689939216">
    <w:abstractNumId w:val="29"/>
  </w:num>
  <w:num w:numId="22" w16cid:durableId="1257783837">
    <w:abstractNumId w:val="46"/>
  </w:num>
  <w:num w:numId="23" w16cid:durableId="970285242">
    <w:abstractNumId w:val="25"/>
  </w:num>
  <w:num w:numId="24" w16cid:durableId="1876889861">
    <w:abstractNumId w:val="19"/>
  </w:num>
  <w:num w:numId="25" w16cid:durableId="138228398">
    <w:abstractNumId w:val="22"/>
  </w:num>
  <w:num w:numId="26" w16cid:durableId="1871145006">
    <w:abstractNumId w:val="23"/>
  </w:num>
  <w:num w:numId="27" w16cid:durableId="1946108508">
    <w:abstractNumId w:val="26"/>
  </w:num>
  <w:num w:numId="28" w16cid:durableId="1629045729">
    <w:abstractNumId w:val="13"/>
  </w:num>
  <w:num w:numId="29" w16cid:durableId="2010906637">
    <w:abstractNumId w:val="27"/>
  </w:num>
  <w:num w:numId="30" w16cid:durableId="290525213">
    <w:abstractNumId w:val="44"/>
  </w:num>
  <w:num w:numId="31" w16cid:durableId="191966975">
    <w:abstractNumId w:val="28"/>
  </w:num>
  <w:num w:numId="32" w16cid:durableId="2014406757">
    <w:abstractNumId w:val="34"/>
  </w:num>
  <w:num w:numId="33" w16cid:durableId="648558829">
    <w:abstractNumId w:val="21"/>
  </w:num>
  <w:num w:numId="34" w16cid:durableId="2071807613">
    <w:abstractNumId w:val="12"/>
  </w:num>
  <w:num w:numId="35" w16cid:durableId="271744889">
    <w:abstractNumId w:val="37"/>
  </w:num>
  <w:num w:numId="36" w16cid:durableId="1457527817">
    <w:abstractNumId w:val="24"/>
  </w:num>
  <w:num w:numId="37" w16cid:durableId="10661010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5"/>
  </w:num>
  <w:num w:numId="39" w16cid:durableId="359361948">
    <w:abstractNumId w:val="40"/>
  </w:num>
  <w:num w:numId="40" w16cid:durableId="1037706265">
    <w:abstractNumId w:val="8"/>
  </w:num>
  <w:num w:numId="41" w16cid:durableId="447436251">
    <w:abstractNumId w:val="47"/>
  </w:num>
  <w:num w:numId="42" w16cid:durableId="655766109">
    <w:abstractNumId w:val="18"/>
  </w:num>
  <w:num w:numId="43" w16cid:durableId="577523632">
    <w:abstractNumId w:val="17"/>
  </w:num>
  <w:num w:numId="44" w16cid:durableId="1138063662">
    <w:abstractNumId w:val="43"/>
  </w:num>
  <w:num w:numId="45" w16cid:durableId="1522358246">
    <w:abstractNumId w:val="42"/>
  </w:num>
  <w:num w:numId="46" w16cid:durableId="1093938953">
    <w:abstractNumId w:val="10"/>
  </w:num>
  <w:num w:numId="47" w16cid:durableId="1706519690">
    <w:abstractNumId w:val="2"/>
  </w:num>
  <w:num w:numId="48" w16cid:durableId="3671494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189F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3DD0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28FE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474BA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4FAB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1EDD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97A80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,Listenabsatz Standard"/>
    <w:basedOn w:val="Normal"/>
    <w:link w:val="ListParagraphChar"/>
    <w:uiPriority w:val="34"/>
    <w:qFormat/>
    <w:rsid w:val="001C3DD0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,Listenabsatz Standard Char"/>
    <w:link w:val="ListParagraph"/>
    <w:uiPriority w:val="34"/>
    <w:qFormat/>
    <w:rsid w:val="001C3DD0"/>
    <w:rPr>
      <w:rFonts w:asciiTheme="minorHAnsi" w:hAnsiTheme="minorHAnsi"/>
      <w:sz w:val="24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1C3DD0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 w:val="24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1C3DD0"/>
    <w:rPr>
      <w:rFonts w:ascii="GulimChe" w:eastAsia="GulimChe" w:hAnsi="GulimChe"/>
      <w:sz w:val="24"/>
      <w:szCs w:val="24"/>
      <w:lang w:val="zh-CN"/>
    </w:rPr>
  </w:style>
  <w:style w:type="character" w:styleId="Mention">
    <w:name w:val="Mention"/>
    <w:basedOn w:val="DefaultParagraphFont"/>
    <w:uiPriority w:val="99"/>
    <w:unhideWhenUsed/>
    <w:rsid w:val="001C3DD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D26-TDAG33-C-0003/" TargetMode="External"/><Relationship Id="rId18" Type="http://schemas.openxmlformats.org/officeDocument/2006/relationships/hyperlink" Target="https://www.itu.int/md/D26-TDAG33-C-0019/en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itu.int/en/ITU-D/Documents/BAP/D22-WTDC25-C-0090%21%21PDF-r.pdf" TargetMode="External"/><Relationship Id="rId17" Type="http://schemas.openxmlformats.org/officeDocument/2006/relationships/hyperlink" Target="https://www.itu.int/md/S26-CWGFHR22-C-0035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meetingdoc.asp?lang=en&amp;parent=S25-CWGFHR21-C-000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itu.int/md/meetingdoc.asp?lang=en&amp;parent=S26-CWGFHR22-C-0007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D22-WTDC25-C-007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tu.int/md/D26-TDAG33-C-0008/" TargetMode="External"/><Relationship Id="rId2" Type="http://schemas.openxmlformats.org/officeDocument/2006/relationships/hyperlink" Target="https://www.itu.int/md/D26-TDAG33-C-0002/" TargetMode="External"/><Relationship Id="rId1" Type="http://schemas.openxmlformats.org/officeDocument/2006/relationships/hyperlink" Target="https://www.itu.int/md/D22-WTDC25-C-0002/" TargetMode="External"/><Relationship Id="rId4" Type="http://schemas.openxmlformats.org/officeDocument/2006/relationships/hyperlink" Target="https://www.itu.int/en/ITU-D/Proj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B0C281-8B8B-46EC-A5B2-CFBF1A50107E}"/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1879</Words>
  <Characters>12955</Characters>
  <Application>Microsoft Office Word</Application>
  <DocSecurity>0</DocSecurity>
  <Lines>107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14805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FE</cp:lastModifiedBy>
  <cp:revision>4</cp:revision>
  <cp:lastPrinted>2019-01-16T07:57:00Z</cp:lastPrinted>
  <dcterms:created xsi:type="dcterms:W3CDTF">2026-03-27T14:14:00Z</dcterms:created>
  <dcterms:modified xsi:type="dcterms:W3CDTF">2026-03-27T14:35:00Z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