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Y="-492"/>
        <w:tblW w:w="9888" w:type="dxa"/>
        <w:tblLayout w:type="fixed"/>
        <w:tblCellMar>
          <w:left w:w="107" w:type="dxa"/>
          <w:right w:w="107" w:type="dxa"/>
        </w:tblCellMar>
        <w:tblLook w:val="0000" w:firstRow="0" w:lastRow="0" w:firstColumn="0" w:lastColumn="0" w:noHBand="0" w:noVBand="0"/>
        <w:tblCaption w:val="Document metadata (Study Group, meeting, Question, source, title)"/>
        <w:tblDescription w:val="Document metadata (Study Group, meeting, document number, Question, source, title)"/>
      </w:tblPr>
      <w:tblGrid>
        <w:gridCol w:w="6379"/>
        <w:gridCol w:w="3509"/>
      </w:tblGrid>
      <w:tr w:rsidR="00F7434A" w:rsidRPr="00FF6C63" w14:paraId="3F0E9EC4" w14:textId="77777777" w:rsidTr="00F7434A">
        <w:trPr>
          <w:cantSplit/>
          <w:trHeight w:val="1134"/>
        </w:trPr>
        <w:tc>
          <w:tcPr>
            <w:tcW w:w="6379" w:type="dxa"/>
          </w:tcPr>
          <w:p w14:paraId="3C20C75B" w14:textId="77777777" w:rsidR="00F7434A" w:rsidRPr="00FF6C63" w:rsidRDefault="00F7434A" w:rsidP="004037AF">
            <w:pPr>
              <w:tabs>
                <w:tab w:val="clear" w:pos="1191"/>
                <w:tab w:val="clear" w:pos="1588"/>
                <w:tab w:val="clear" w:pos="1985"/>
              </w:tabs>
              <w:spacing w:before="240" w:after="240"/>
              <w:ind w:left="34"/>
              <w:rPr>
                <w:b/>
                <w:bCs/>
                <w:sz w:val="32"/>
                <w:szCs w:val="32"/>
                <w:lang w:val="fr-FR"/>
              </w:rPr>
            </w:pPr>
            <w:r w:rsidRPr="00FF6C63">
              <w:rPr>
                <w:b/>
                <w:bCs/>
                <w:sz w:val="32"/>
                <w:szCs w:val="32"/>
                <w:lang w:val="fr-FR"/>
              </w:rPr>
              <w:t xml:space="preserve">Groupe consultatif pour le développement </w:t>
            </w:r>
            <w:r w:rsidRPr="00FF6C63">
              <w:rPr>
                <w:b/>
                <w:bCs/>
                <w:sz w:val="32"/>
                <w:szCs w:val="32"/>
                <w:lang w:val="fr-FR"/>
              </w:rPr>
              <w:br/>
              <w:t>des télécommunications (GCDT)</w:t>
            </w:r>
          </w:p>
          <w:p w14:paraId="5F5F590A" w14:textId="39E36666" w:rsidR="00F7434A" w:rsidRPr="00FF6C63" w:rsidRDefault="00F7434A" w:rsidP="001011EB">
            <w:pPr>
              <w:tabs>
                <w:tab w:val="clear" w:pos="1191"/>
                <w:tab w:val="clear" w:pos="1588"/>
                <w:tab w:val="clear" w:pos="1985"/>
              </w:tabs>
              <w:spacing w:after="120"/>
              <w:ind w:left="34"/>
              <w:rPr>
                <w:rFonts w:ascii="Verdana" w:hAnsi="Verdana"/>
                <w:sz w:val="28"/>
                <w:szCs w:val="28"/>
                <w:lang w:val="fr-FR"/>
              </w:rPr>
            </w:pPr>
            <w:r w:rsidRPr="00FF6C63">
              <w:rPr>
                <w:b/>
                <w:bCs/>
                <w:sz w:val="26"/>
                <w:szCs w:val="26"/>
                <w:lang w:val="fr-FR"/>
              </w:rPr>
              <w:t>33ème réunion, Genève, Suisse, 7-10 avril 2026</w:t>
            </w:r>
          </w:p>
        </w:tc>
        <w:tc>
          <w:tcPr>
            <w:tcW w:w="3509" w:type="dxa"/>
          </w:tcPr>
          <w:p w14:paraId="67E7B4C4" w14:textId="0F52E4CC" w:rsidR="00F7434A" w:rsidRPr="00FF6C63" w:rsidRDefault="00F7434A" w:rsidP="00946023">
            <w:pPr>
              <w:spacing w:before="240" w:after="120"/>
              <w:ind w:right="142"/>
              <w:jc w:val="right"/>
              <w:rPr>
                <w:lang w:val="fr-FR"/>
              </w:rPr>
            </w:pPr>
            <w:r w:rsidRPr="00FF6C63">
              <w:rPr>
                <w:noProof/>
                <w:lang w:val="fr-FR" w:eastAsia="en-GB"/>
              </w:rPr>
              <w:drawing>
                <wp:inline distT="0" distB="0" distL="0" distR="0" wp14:anchorId="7A20172F" wp14:editId="75B43B9A">
                  <wp:extent cx="712470" cy="785496"/>
                  <wp:effectExtent l="0" t="0" r="0" b="0"/>
                  <wp:docPr id="2" name="Picture 2" descr="A close up of a sign&#10;&#10;Description automatically generated"/>
                  <wp:cNvGraphicFramePr/>
                  <a:graphic xmlns:a="http://schemas.openxmlformats.org/drawingml/2006/main">
                    <a:graphicData uri="http://schemas.openxmlformats.org/drawingml/2006/picture">
                      <pic:pic xmlns:pic="http://schemas.openxmlformats.org/drawingml/2006/picture">
                        <pic:nvPicPr>
                          <pic:cNvPr id="2" name="Picture 2" descr="A close up of a sign&#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14296" cy="787509"/>
                          </a:xfrm>
                          <a:prstGeom prst="rect">
                            <a:avLst/>
                          </a:prstGeom>
                        </pic:spPr>
                      </pic:pic>
                    </a:graphicData>
                  </a:graphic>
                </wp:inline>
              </w:drawing>
            </w:r>
          </w:p>
        </w:tc>
      </w:tr>
      <w:tr w:rsidR="00683C32" w:rsidRPr="00FF6C63" w14:paraId="3C13197B" w14:textId="77777777" w:rsidTr="0009076F">
        <w:trPr>
          <w:cantSplit/>
        </w:trPr>
        <w:tc>
          <w:tcPr>
            <w:tcW w:w="6379" w:type="dxa"/>
            <w:tcBorders>
              <w:top w:val="single" w:sz="12" w:space="0" w:color="auto"/>
            </w:tcBorders>
          </w:tcPr>
          <w:p w14:paraId="2EED9DB2" w14:textId="77777777" w:rsidR="00683C32" w:rsidRPr="00FF6C63" w:rsidRDefault="00683C32" w:rsidP="00107E85">
            <w:pPr>
              <w:spacing w:before="0"/>
              <w:rPr>
                <w:rFonts w:cs="Arial"/>
                <w:b/>
                <w:bCs/>
                <w:sz w:val="20"/>
                <w:lang w:val="fr-FR"/>
              </w:rPr>
            </w:pPr>
          </w:p>
        </w:tc>
        <w:tc>
          <w:tcPr>
            <w:tcW w:w="3509" w:type="dxa"/>
            <w:tcBorders>
              <w:top w:val="single" w:sz="12" w:space="0" w:color="auto"/>
            </w:tcBorders>
          </w:tcPr>
          <w:p w14:paraId="6CC77CFE" w14:textId="77777777" w:rsidR="00683C32" w:rsidRPr="00FF6C63" w:rsidRDefault="00683C32" w:rsidP="00107E85">
            <w:pPr>
              <w:spacing w:before="0"/>
              <w:rPr>
                <w:b/>
                <w:bCs/>
                <w:sz w:val="20"/>
                <w:lang w:val="fr-FR"/>
              </w:rPr>
            </w:pPr>
          </w:p>
        </w:tc>
      </w:tr>
      <w:tr w:rsidR="00683C32" w:rsidRPr="00FF6C63" w14:paraId="0BB3FBC4" w14:textId="77777777" w:rsidTr="0009076F">
        <w:trPr>
          <w:cantSplit/>
        </w:trPr>
        <w:tc>
          <w:tcPr>
            <w:tcW w:w="6379" w:type="dxa"/>
          </w:tcPr>
          <w:p w14:paraId="43C54B3D" w14:textId="77777777" w:rsidR="00683C32" w:rsidRPr="00FF6C63" w:rsidRDefault="00683C32" w:rsidP="00400CCF">
            <w:pPr>
              <w:pStyle w:val="Committee"/>
              <w:spacing w:before="0"/>
              <w:rPr>
                <w:b w:val="0"/>
                <w:szCs w:val="24"/>
                <w:lang w:val="fr-FR"/>
              </w:rPr>
            </w:pPr>
          </w:p>
        </w:tc>
        <w:tc>
          <w:tcPr>
            <w:tcW w:w="3509" w:type="dxa"/>
          </w:tcPr>
          <w:p w14:paraId="02E44EE9" w14:textId="4983226A" w:rsidR="00683C32" w:rsidRPr="00FF6C63" w:rsidRDefault="00E8622D" w:rsidP="00E8622D">
            <w:pPr>
              <w:spacing w:before="0"/>
              <w:rPr>
                <w:bCs/>
                <w:szCs w:val="24"/>
                <w:lang w:val="fr-FR"/>
              </w:rPr>
            </w:pPr>
            <w:r w:rsidRPr="00FF6C63">
              <w:rPr>
                <w:b/>
                <w:bCs/>
                <w:lang w:val="fr-FR"/>
              </w:rPr>
              <w:t>Révision 2 du</w:t>
            </w:r>
            <w:r w:rsidRPr="00FF6C63">
              <w:rPr>
                <w:b/>
                <w:bCs/>
                <w:lang w:val="fr-FR"/>
              </w:rPr>
              <w:br/>
            </w:r>
            <w:r w:rsidR="0096201B" w:rsidRPr="00FF6C63">
              <w:rPr>
                <w:b/>
                <w:bCs/>
                <w:lang w:val="fr-FR"/>
              </w:rPr>
              <w:t xml:space="preserve">Document </w:t>
            </w:r>
            <w:bookmarkStart w:id="0" w:name="DocRef1"/>
            <w:bookmarkEnd w:id="0"/>
            <w:r w:rsidR="0096201B" w:rsidRPr="00FF6C63">
              <w:rPr>
                <w:b/>
                <w:bCs/>
                <w:lang w:val="fr-FR"/>
              </w:rPr>
              <w:t>TDAG</w:t>
            </w:r>
            <w:r w:rsidR="003242AB" w:rsidRPr="00FF6C63">
              <w:rPr>
                <w:b/>
                <w:bCs/>
                <w:lang w:val="fr-FR"/>
              </w:rPr>
              <w:t>-</w:t>
            </w:r>
            <w:r w:rsidR="00B648C7" w:rsidRPr="00FF6C63">
              <w:rPr>
                <w:b/>
                <w:bCs/>
                <w:lang w:val="fr-FR"/>
              </w:rPr>
              <w:t>2</w:t>
            </w:r>
            <w:bookmarkStart w:id="1" w:name="DocNo1"/>
            <w:bookmarkEnd w:id="1"/>
            <w:r w:rsidR="00F7434A" w:rsidRPr="00FF6C63">
              <w:rPr>
                <w:b/>
                <w:bCs/>
                <w:lang w:val="fr-FR"/>
              </w:rPr>
              <w:t>6</w:t>
            </w:r>
            <w:r w:rsidR="0009076F" w:rsidRPr="00FF6C63">
              <w:rPr>
                <w:b/>
                <w:bCs/>
                <w:lang w:val="fr-FR"/>
              </w:rPr>
              <w:t>/</w:t>
            </w:r>
            <w:r w:rsidR="00FF5CBE" w:rsidRPr="00FF6C63">
              <w:rPr>
                <w:b/>
                <w:bCs/>
                <w:lang w:val="fr-FR"/>
              </w:rPr>
              <w:t>3</w:t>
            </w:r>
            <w:r w:rsidR="0096201B" w:rsidRPr="00FF6C63">
              <w:rPr>
                <w:b/>
                <w:bCs/>
                <w:lang w:val="fr-FR"/>
              </w:rPr>
              <w:t>-</w:t>
            </w:r>
            <w:r w:rsidR="00E25345" w:rsidRPr="00FF6C63">
              <w:rPr>
                <w:b/>
                <w:bCs/>
                <w:lang w:val="fr-FR"/>
              </w:rPr>
              <w:t>F</w:t>
            </w:r>
          </w:p>
        </w:tc>
      </w:tr>
      <w:tr w:rsidR="00683C32" w:rsidRPr="00FF6C63" w14:paraId="24D04936" w14:textId="77777777" w:rsidTr="0009076F">
        <w:trPr>
          <w:cantSplit/>
        </w:trPr>
        <w:tc>
          <w:tcPr>
            <w:tcW w:w="6379" w:type="dxa"/>
          </w:tcPr>
          <w:p w14:paraId="12CE4DBF" w14:textId="77777777" w:rsidR="00683C32" w:rsidRPr="00FF6C63" w:rsidRDefault="00683C32" w:rsidP="00400CCF">
            <w:pPr>
              <w:spacing w:before="0"/>
              <w:rPr>
                <w:b/>
                <w:bCs/>
                <w:smallCaps/>
                <w:szCs w:val="24"/>
                <w:lang w:val="fr-FR"/>
              </w:rPr>
            </w:pPr>
          </w:p>
        </w:tc>
        <w:tc>
          <w:tcPr>
            <w:tcW w:w="3509" w:type="dxa"/>
          </w:tcPr>
          <w:p w14:paraId="0F89640F" w14:textId="1F794FEB" w:rsidR="00683C32" w:rsidRPr="00FF6C63" w:rsidRDefault="00230684" w:rsidP="00B648C7">
            <w:pPr>
              <w:spacing w:before="0"/>
              <w:rPr>
                <w:b/>
                <w:szCs w:val="24"/>
                <w:lang w:val="fr-FR"/>
              </w:rPr>
            </w:pPr>
            <w:bookmarkStart w:id="2" w:name="CreationDate"/>
            <w:bookmarkEnd w:id="2"/>
            <w:r w:rsidRPr="00FF6C63">
              <w:rPr>
                <w:b/>
                <w:bCs/>
                <w:szCs w:val="28"/>
                <w:lang w:val="fr-FR"/>
              </w:rPr>
              <w:t xml:space="preserve">1er avril </w:t>
            </w:r>
            <w:r w:rsidR="00FF5CBE" w:rsidRPr="00FF6C63">
              <w:rPr>
                <w:b/>
                <w:bCs/>
                <w:szCs w:val="28"/>
                <w:lang w:val="fr-FR"/>
              </w:rPr>
              <w:t>2026</w:t>
            </w:r>
          </w:p>
        </w:tc>
      </w:tr>
      <w:tr w:rsidR="00683C32" w:rsidRPr="00FF6C63" w14:paraId="7B96545F" w14:textId="77777777" w:rsidTr="0009076F">
        <w:trPr>
          <w:cantSplit/>
        </w:trPr>
        <w:tc>
          <w:tcPr>
            <w:tcW w:w="6379" w:type="dxa"/>
          </w:tcPr>
          <w:p w14:paraId="65956FD3" w14:textId="77777777" w:rsidR="00683C32" w:rsidRPr="00FF6C63" w:rsidRDefault="00683C32" w:rsidP="00400CCF">
            <w:pPr>
              <w:spacing w:before="0"/>
              <w:rPr>
                <w:b/>
                <w:bCs/>
                <w:smallCaps/>
                <w:szCs w:val="24"/>
                <w:lang w:val="fr-FR"/>
              </w:rPr>
            </w:pPr>
          </w:p>
        </w:tc>
        <w:tc>
          <w:tcPr>
            <w:tcW w:w="3509" w:type="dxa"/>
          </w:tcPr>
          <w:p w14:paraId="30EFD39F" w14:textId="33ACFB79" w:rsidR="00514D2F" w:rsidRPr="00FF6C63" w:rsidRDefault="0096201B" w:rsidP="001011EB">
            <w:pPr>
              <w:spacing w:before="0"/>
              <w:rPr>
                <w:szCs w:val="24"/>
                <w:lang w:val="fr-FR"/>
              </w:rPr>
            </w:pPr>
            <w:r w:rsidRPr="00FF6C63">
              <w:rPr>
                <w:b/>
                <w:lang w:val="fr-FR"/>
              </w:rPr>
              <w:t>Original:</w:t>
            </w:r>
            <w:bookmarkStart w:id="3" w:name="Original"/>
            <w:bookmarkEnd w:id="3"/>
            <w:r w:rsidR="00CE0422" w:rsidRPr="00FF6C63">
              <w:rPr>
                <w:b/>
                <w:lang w:val="fr-FR"/>
              </w:rPr>
              <w:t xml:space="preserve"> </w:t>
            </w:r>
            <w:r w:rsidR="001011EB" w:rsidRPr="00FF6C63">
              <w:rPr>
                <w:b/>
                <w:lang w:val="fr-FR"/>
              </w:rPr>
              <w:t>anglais</w:t>
            </w:r>
          </w:p>
        </w:tc>
      </w:tr>
      <w:tr w:rsidR="00A13162" w:rsidRPr="00FF6C63" w14:paraId="31656E31" w14:textId="77777777" w:rsidTr="00107E85">
        <w:trPr>
          <w:cantSplit/>
          <w:trHeight w:val="852"/>
        </w:trPr>
        <w:tc>
          <w:tcPr>
            <w:tcW w:w="9888" w:type="dxa"/>
            <w:gridSpan w:val="2"/>
          </w:tcPr>
          <w:p w14:paraId="512FCA01" w14:textId="3D887F45" w:rsidR="00A13162" w:rsidRPr="00FF6C63" w:rsidRDefault="00FF5CBE" w:rsidP="0030353C">
            <w:pPr>
              <w:pStyle w:val="Source"/>
              <w:rPr>
                <w:lang w:val="fr-FR"/>
              </w:rPr>
            </w:pPr>
            <w:bookmarkStart w:id="4" w:name="Source"/>
            <w:bookmarkEnd w:id="4"/>
            <w:r w:rsidRPr="00FF6C63">
              <w:rPr>
                <w:lang w:val="fr-FR"/>
              </w:rPr>
              <w:t>Directeur du Bureau de développement des télécommunications</w:t>
            </w:r>
          </w:p>
        </w:tc>
      </w:tr>
      <w:tr w:rsidR="00AC6F14" w:rsidRPr="00FF6C63" w14:paraId="2CBD3A36" w14:textId="77777777" w:rsidTr="00107E85">
        <w:trPr>
          <w:cantSplit/>
        </w:trPr>
        <w:tc>
          <w:tcPr>
            <w:tcW w:w="9888" w:type="dxa"/>
            <w:gridSpan w:val="2"/>
          </w:tcPr>
          <w:p w14:paraId="1B4121DF" w14:textId="2AA87171" w:rsidR="00AC6F14" w:rsidRPr="00FF6C63" w:rsidRDefault="00FF5CBE" w:rsidP="001011EB">
            <w:pPr>
              <w:pStyle w:val="Title1"/>
              <w:rPr>
                <w:lang w:val="fr-FR"/>
              </w:rPr>
            </w:pPr>
            <w:bookmarkStart w:id="5" w:name="Title"/>
            <w:bookmarkEnd w:id="5"/>
            <w:r w:rsidRPr="00FF6C63">
              <w:rPr>
                <w:lang w:val="fr-FR"/>
              </w:rPr>
              <w:t xml:space="preserve">Résultats de la Conférence mondiale de développement des </w:t>
            </w:r>
            <w:r w:rsidRPr="00FF6C63">
              <w:rPr>
                <w:lang w:val="fr-FR"/>
              </w:rPr>
              <w:br/>
              <w:t>télécommunications de 2025 (CMDT-25)</w:t>
            </w:r>
          </w:p>
        </w:tc>
      </w:tr>
      <w:tr w:rsidR="00A721F4" w:rsidRPr="00FF6C63" w14:paraId="23A30231" w14:textId="77777777" w:rsidTr="00A721F4">
        <w:trPr>
          <w:cantSplit/>
        </w:trPr>
        <w:tc>
          <w:tcPr>
            <w:tcW w:w="9888" w:type="dxa"/>
            <w:gridSpan w:val="2"/>
            <w:tcBorders>
              <w:bottom w:val="single" w:sz="4" w:space="0" w:color="auto"/>
            </w:tcBorders>
          </w:tcPr>
          <w:p w14:paraId="726EE70E" w14:textId="77777777" w:rsidR="00A721F4" w:rsidRPr="00FF6C63" w:rsidRDefault="00A721F4" w:rsidP="0030353C">
            <w:pPr>
              <w:rPr>
                <w:lang w:val="fr-FR"/>
              </w:rPr>
            </w:pPr>
          </w:p>
        </w:tc>
      </w:tr>
      <w:tr w:rsidR="00A721F4" w:rsidRPr="00FF6C63" w14:paraId="590033C8" w14:textId="77777777" w:rsidTr="00A721F4">
        <w:trPr>
          <w:cantSplit/>
        </w:trPr>
        <w:tc>
          <w:tcPr>
            <w:tcW w:w="9888" w:type="dxa"/>
            <w:gridSpan w:val="2"/>
            <w:tcBorders>
              <w:top w:val="single" w:sz="4" w:space="0" w:color="auto"/>
              <w:left w:val="single" w:sz="4" w:space="0" w:color="auto"/>
              <w:bottom w:val="single" w:sz="4" w:space="0" w:color="auto"/>
              <w:right w:val="single" w:sz="4" w:space="0" w:color="auto"/>
            </w:tcBorders>
          </w:tcPr>
          <w:p w14:paraId="3F97E040" w14:textId="31B66266" w:rsidR="00A721F4" w:rsidRPr="00FF6C63" w:rsidRDefault="001011EB" w:rsidP="00EA0C51">
            <w:pPr>
              <w:spacing w:after="120"/>
              <w:rPr>
                <w:b/>
                <w:bCs/>
                <w:szCs w:val="24"/>
                <w:lang w:val="fr-FR"/>
              </w:rPr>
            </w:pPr>
            <w:r w:rsidRPr="00FF6C63">
              <w:rPr>
                <w:b/>
                <w:bCs/>
                <w:szCs w:val="24"/>
                <w:lang w:val="fr-FR"/>
              </w:rPr>
              <w:t>Résumé</w:t>
            </w:r>
            <w:r w:rsidR="00A721F4" w:rsidRPr="00FF6C63">
              <w:rPr>
                <w:b/>
                <w:bCs/>
                <w:szCs w:val="24"/>
                <w:lang w:val="fr-FR"/>
              </w:rPr>
              <w:t>:</w:t>
            </w:r>
          </w:p>
          <w:p w14:paraId="4AA8E2D9" w14:textId="4ED8FC6C" w:rsidR="00FF5CBE" w:rsidRPr="00FF6C63" w:rsidRDefault="00FF5CBE" w:rsidP="00FF5CBE">
            <w:pPr>
              <w:spacing w:after="120"/>
              <w:rPr>
                <w:lang w:val="fr-FR"/>
              </w:rPr>
            </w:pPr>
            <w:r w:rsidRPr="00FF6C63">
              <w:rPr>
                <w:lang w:val="fr-FR"/>
              </w:rPr>
              <w:t>La Conférence mondiale de développement des télécommunications de 2025 (CMDT-25) s'est tenue à Bakou (Azerbaïdjan), du 17 au 28 novembre 2025. La CMDT-25, manifestation emblématique de l'Union internationale des télécommunications (UIT), a produit d'importants résultats, notamment l'adoption du Plan d'action de Bakou et de la Déclaration de Bakou. La</w:t>
            </w:r>
            <w:r w:rsidR="00FD3B61" w:rsidRPr="00FF6C63">
              <w:rPr>
                <w:lang w:val="fr-FR"/>
              </w:rPr>
              <w:t> </w:t>
            </w:r>
            <w:r w:rsidR="006C4F79" w:rsidRPr="00FF6C63">
              <w:rPr>
                <w:lang w:val="fr-FR"/>
              </w:rPr>
              <w:t>C</w:t>
            </w:r>
            <w:r w:rsidRPr="00FF6C63">
              <w:rPr>
                <w:lang w:val="fr-FR"/>
              </w:rPr>
              <w:t>onférence a également adopté de nouvelles initiatives régionales et révisé ou adopté des Questions confiées aux commissions d'études, initiatives et Questions qui intéresseront les travaux menés pendant la période 2026-2029.</w:t>
            </w:r>
          </w:p>
          <w:p w14:paraId="4C136DBB" w14:textId="63502094" w:rsidR="00FF5CBE" w:rsidRPr="00FF6C63" w:rsidRDefault="00FF5CBE" w:rsidP="00FF5CBE">
            <w:pPr>
              <w:spacing w:after="120"/>
              <w:rPr>
                <w:lang w:val="fr-FR"/>
              </w:rPr>
            </w:pPr>
            <w:r w:rsidRPr="00FF6C63">
              <w:rPr>
                <w:lang w:val="fr-FR"/>
              </w:rPr>
              <w:t>En outre, la CMDT-25 a procédé à un examen complet de ses Résolutions, qui a abouti à</w:t>
            </w:r>
            <w:r w:rsidR="00FD3B61" w:rsidRPr="00FF6C63">
              <w:rPr>
                <w:lang w:val="fr-FR"/>
              </w:rPr>
              <w:t> </w:t>
            </w:r>
            <w:r w:rsidRPr="00FF6C63">
              <w:rPr>
                <w:lang w:val="fr-FR"/>
              </w:rPr>
              <w:t xml:space="preserve">l'amendement de </w:t>
            </w:r>
            <w:r w:rsidR="005D40D8" w:rsidRPr="00FF6C63">
              <w:rPr>
                <w:lang w:val="fr-FR"/>
              </w:rPr>
              <w:t>43</w:t>
            </w:r>
            <w:r w:rsidRPr="00FF6C63">
              <w:rPr>
                <w:lang w:val="fr-FR"/>
              </w:rPr>
              <w:t xml:space="preserve"> d'entre elles et à l'adoption de </w:t>
            </w:r>
            <w:r w:rsidR="005D40D8" w:rsidRPr="00FF6C63">
              <w:rPr>
                <w:lang w:val="fr-FR"/>
              </w:rPr>
              <w:t>4</w:t>
            </w:r>
            <w:r w:rsidRPr="00FF6C63">
              <w:rPr>
                <w:lang w:val="fr-FR"/>
              </w:rPr>
              <w:t xml:space="preserve"> nouvelles Résolutions. La</w:t>
            </w:r>
            <w:r w:rsidR="005D40D8" w:rsidRPr="00FF6C63">
              <w:rPr>
                <w:lang w:val="fr-FR"/>
              </w:rPr>
              <w:t xml:space="preserve"> </w:t>
            </w:r>
            <w:r w:rsidR="006C4F79" w:rsidRPr="00FF6C63">
              <w:rPr>
                <w:lang w:val="fr-FR"/>
              </w:rPr>
              <w:t>C</w:t>
            </w:r>
            <w:r w:rsidRPr="00FF6C63">
              <w:rPr>
                <w:lang w:val="fr-FR"/>
              </w:rPr>
              <w:t>onférence a en</w:t>
            </w:r>
            <w:r w:rsidR="0004566E" w:rsidRPr="00FF6C63">
              <w:rPr>
                <w:lang w:val="fr-FR"/>
              </w:rPr>
              <w:t> </w:t>
            </w:r>
            <w:r w:rsidRPr="00FF6C63">
              <w:rPr>
                <w:lang w:val="fr-FR"/>
              </w:rPr>
              <w:t>outre nommé le nouveau président et les nouveaux membres du Bureau du Groupe consultatif pour le développement des télécommunications (GCDT), ainsi que les nouveaux</w:t>
            </w:r>
            <w:r w:rsidR="00DF7C1F" w:rsidRPr="00FF6C63">
              <w:rPr>
                <w:lang w:val="fr-FR"/>
              </w:rPr>
              <w:t> </w:t>
            </w:r>
            <w:r w:rsidRPr="00FF6C63">
              <w:rPr>
                <w:lang w:val="fr-FR"/>
              </w:rPr>
              <w:t>présidents et vice</w:t>
            </w:r>
            <w:r w:rsidR="005D40D8" w:rsidRPr="00FF6C63">
              <w:rPr>
                <w:lang w:val="fr-FR"/>
              </w:rPr>
              <w:noBreakHyphen/>
            </w:r>
            <w:r w:rsidRPr="00FF6C63">
              <w:rPr>
                <w:lang w:val="fr-FR"/>
              </w:rPr>
              <w:t>présidents des commissions d'études du Secteur du développement des télécommunications de l'UIT (UIT-D).</w:t>
            </w:r>
          </w:p>
          <w:p w14:paraId="4082D7E8" w14:textId="2065830A" w:rsidR="00A721F4" w:rsidRPr="00FF6C63" w:rsidRDefault="00FF5CBE" w:rsidP="00FF5CBE">
            <w:pPr>
              <w:spacing w:after="120"/>
              <w:rPr>
                <w:szCs w:val="24"/>
                <w:lang w:val="fr-FR"/>
              </w:rPr>
            </w:pPr>
            <w:r w:rsidRPr="00FF6C63">
              <w:rPr>
                <w:lang w:val="fr-FR"/>
              </w:rPr>
              <w:t>Le présent rapport a été élaboré afin de communiquer au GCDT les principaux résultats de la CMDT-25 et de lui demander de formuler des orientations sur les étapes à venir.</w:t>
            </w:r>
          </w:p>
          <w:p w14:paraId="76A1C541" w14:textId="23209CDB" w:rsidR="00A721F4" w:rsidRPr="00FF6C63" w:rsidRDefault="001011EB" w:rsidP="00EA0C51">
            <w:pPr>
              <w:spacing w:after="120"/>
              <w:rPr>
                <w:b/>
                <w:bCs/>
                <w:szCs w:val="24"/>
                <w:lang w:val="fr-FR"/>
              </w:rPr>
            </w:pPr>
            <w:r w:rsidRPr="00FF6C63">
              <w:rPr>
                <w:b/>
                <w:bCs/>
                <w:lang w:val="fr-FR"/>
              </w:rPr>
              <w:t>Suite à donner</w:t>
            </w:r>
            <w:r w:rsidR="00A721F4" w:rsidRPr="00FF6C63">
              <w:rPr>
                <w:b/>
                <w:bCs/>
                <w:lang w:val="fr-FR"/>
              </w:rPr>
              <w:t>:</w:t>
            </w:r>
          </w:p>
          <w:p w14:paraId="371956FC" w14:textId="6F1BF4FC" w:rsidR="00A721F4" w:rsidRPr="00FF6C63" w:rsidRDefault="00FF5CBE" w:rsidP="00EA0C51">
            <w:pPr>
              <w:spacing w:after="120"/>
              <w:rPr>
                <w:szCs w:val="24"/>
                <w:lang w:val="fr-FR"/>
              </w:rPr>
            </w:pPr>
            <w:r w:rsidRPr="00FF6C63">
              <w:rPr>
                <w:lang w:val="fr-FR"/>
              </w:rPr>
              <w:t>Le GCDT est invité à prendre note du présent document.</w:t>
            </w:r>
          </w:p>
          <w:p w14:paraId="622ACB80" w14:textId="39EE560D" w:rsidR="00A721F4" w:rsidRPr="00FF6C63" w:rsidRDefault="00A721F4" w:rsidP="00EA0C51">
            <w:pPr>
              <w:spacing w:after="120"/>
              <w:rPr>
                <w:b/>
                <w:bCs/>
                <w:szCs w:val="24"/>
                <w:lang w:val="fr-FR"/>
              </w:rPr>
            </w:pPr>
            <w:r w:rsidRPr="00FF6C63">
              <w:rPr>
                <w:b/>
                <w:bCs/>
                <w:szCs w:val="24"/>
                <w:lang w:val="fr-FR"/>
              </w:rPr>
              <w:t>R</w:t>
            </w:r>
            <w:r w:rsidR="001011EB" w:rsidRPr="00FF6C63">
              <w:rPr>
                <w:b/>
                <w:bCs/>
                <w:szCs w:val="24"/>
                <w:lang w:val="fr-FR"/>
              </w:rPr>
              <w:t>é</w:t>
            </w:r>
            <w:r w:rsidRPr="00FF6C63">
              <w:rPr>
                <w:b/>
                <w:bCs/>
                <w:szCs w:val="24"/>
                <w:lang w:val="fr-FR"/>
              </w:rPr>
              <w:t>f</w:t>
            </w:r>
            <w:r w:rsidR="001011EB" w:rsidRPr="00FF6C63">
              <w:rPr>
                <w:b/>
                <w:bCs/>
                <w:szCs w:val="24"/>
                <w:lang w:val="fr-FR"/>
              </w:rPr>
              <w:t>é</w:t>
            </w:r>
            <w:r w:rsidRPr="00FF6C63">
              <w:rPr>
                <w:b/>
                <w:bCs/>
                <w:szCs w:val="24"/>
                <w:lang w:val="fr-FR"/>
              </w:rPr>
              <w:t>rences:</w:t>
            </w:r>
          </w:p>
          <w:p w14:paraId="1ECDD20E" w14:textId="01AF61FE" w:rsidR="00A721F4" w:rsidRPr="00FF6C63" w:rsidRDefault="00FF5CBE" w:rsidP="001C48D3">
            <w:pPr>
              <w:spacing w:after="120"/>
              <w:rPr>
                <w:szCs w:val="24"/>
                <w:lang w:val="fr-FR"/>
              </w:rPr>
            </w:pPr>
            <w:hyperlink r:id="rId12" w:history="1">
              <w:r w:rsidRPr="00FF6C63">
                <w:rPr>
                  <w:rStyle w:val="Hyperlink"/>
                  <w:lang w:val="fr-FR"/>
                </w:rPr>
                <w:t>Rapport final de la CMDT-25</w:t>
              </w:r>
            </w:hyperlink>
          </w:p>
        </w:tc>
      </w:tr>
    </w:tbl>
    <w:p w14:paraId="5B29B2A3" w14:textId="77777777" w:rsidR="00923CF1" w:rsidRPr="00FF6C63" w:rsidRDefault="00923CF1">
      <w:pPr>
        <w:tabs>
          <w:tab w:val="clear" w:pos="794"/>
          <w:tab w:val="clear" w:pos="1191"/>
          <w:tab w:val="clear" w:pos="1588"/>
          <w:tab w:val="clear" w:pos="1985"/>
        </w:tabs>
        <w:overflowPunct/>
        <w:autoSpaceDE/>
        <w:autoSpaceDN/>
        <w:adjustRightInd/>
        <w:spacing w:before="0"/>
        <w:textAlignment w:val="auto"/>
        <w:rPr>
          <w:lang w:val="fr-FR"/>
        </w:rPr>
      </w:pPr>
      <w:r w:rsidRPr="00FF6C63">
        <w:rPr>
          <w:lang w:val="fr-FR"/>
        </w:rPr>
        <w:br w:type="page"/>
      </w:r>
    </w:p>
    <w:p w14:paraId="03F0A0E0" w14:textId="63CB08DC" w:rsidR="00FF5CBE" w:rsidRPr="00FF6C63" w:rsidRDefault="00FF5CBE" w:rsidP="00F86B83">
      <w:pPr>
        <w:pStyle w:val="Heading1"/>
        <w:rPr>
          <w:rFonts w:cstheme="minorHAnsi"/>
          <w:sz w:val="24"/>
          <w:szCs w:val="24"/>
          <w:lang w:val="fr-FR"/>
        </w:rPr>
      </w:pPr>
      <w:r w:rsidRPr="00FF6C63">
        <w:rPr>
          <w:lang w:val="fr-FR"/>
        </w:rPr>
        <w:lastRenderedPageBreak/>
        <w:t>1</w:t>
      </w:r>
      <w:r w:rsidRPr="00FF6C63">
        <w:rPr>
          <w:lang w:val="fr-FR"/>
        </w:rPr>
        <w:tab/>
        <w:t>Introduction</w:t>
      </w:r>
    </w:p>
    <w:p w14:paraId="4158642D" w14:textId="06BC9FDE" w:rsidR="00FF5CBE" w:rsidRPr="00FF6C63" w:rsidRDefault="00FF5CBE" w:rsidP="00F86B83">
      <w:pPr>
        <w:rPr>
          <w:color w:val="000000"/>
          <w:lang w:val="fr-FR"/>
        </w:rPr>
      </w:pPr>
      <w:r w:rsidRPr="00FF6C63">
        <w:rPr>
          <w:lang w:val="fr-FR"/>
        </w:rPr>
        <w:t>1.1</w:t>
      </w:r>
      <w:r w:rsidRPr="00FF6C63">
        <w:rPr>
          <w:lang w:val="fr-FR"/>
        </w:rPr>
        <w:tab/>
        <w:t>La neuvième Conférence mondiale de développement des télécommunications tenue en</w:t>
      </w:r>
      <w:r w:rsidR="00F86B83" w:rsidRPr="00FF6C63">
        <w:rPr>
          <w:lang w:val="fr-FR"/>
        </w:rPr>
        <w:t> </w:t>
      </w:r>
      <w:r w:rsidRPr="00FF6C63">
        <w:rPr>
          <w:lang w:val="fr-FR"/>
        </w:rPr>
        <w:t>2025 (</w:t>
      </w:r>
      <w:hyperlink r:id="rId13" w:anchor="/fr" w:history="1">
        <w:r w:rsidRPr="00FF6C63">
          <w:rPr>
            <w:rStyle w:val="Hyperlink"/>
            <w:lang w:val="fr-FR"/>
          </w:rPr>
          <w:t>CMDT-25</w:t>
        </w:r>
      </w:hyperlink>
      <w:r w:rsidRPr="00FF6C63">
        <w:rPr>
          <w:lang w:val="fr-FR"/>
        </w:rPr>
        <w:t>), qui a eu lieu du 17 au 28 novembre 2025 à Bakou (Azerbaïdjan), a marqué une étape importante en matière de connectivité mondiale et de développement numérique. La</w:t>
      </w:r>
      <w:r w:rsidR="00F86B83" w:rsidRPr="00FF6C63">
        <w:rPr>
          <w:lang w:val="fr-FR"/>
        </w:rPr>
        <w:t> </w:t>
      </w:r>
      <w:r w:rsidRPr="00FF6C63">
        <w:rPr>
          <w:lang w:val="fr-FR"/>
        </w:rPr>
        <w:t>CMDT-25, qui a été présidée par S. E. M. Samaddin Asadov, Vice-Ministre du développement</w:t>
      </w:r>
      <w:r w:rsidR="00FA5759" w:rsidRPr="00FF6C63">
        <w:rPr>
          <w:lang w:val="fr-FR"/>
        </w:rPr>
        <w:t> </w:t>
      </w:r>
      <w:r w:rsidRPr="00FF6C63">
        <w:rPr>
          <w:lang w:val="fr-FR"/>
        </w:rPr>
        <w:t>numérique et des transports de la République d'Azerbaïdjan, a rassemblé environ</w:t>
      </w:r>
      <w:r w:rsidR="00FA5759" w:rsidRPr="00FF6C63">
        <w:rPr>
          <w:lang w:val="fr-FR"/>
        </w:rPr>
        <w:t> </w:t>
      </w:r>
      <w:r w:rsidRPr="00FF6C63">
        <w:rPr>
          <w:lang w:val="fr-FR"/>
        </w:rPr>
        <w:t>2</w:t>
      </w:r>
      <w:r w:rsidR="00F86B83" w:rsidRPr="00FF6C63">
        <w:rPr>
          <w:lang w:val="fr-FR"/>
        </w:rPr>
        <w:t> </w:t>
      </w:r>
      <w:r w:rsidRPr="00FF6C63">
        <w:rPr>
          <w:lang w:val="fr-FR"/>
        </w:rPr>
        <w:t>000</w:t>
      </w:r>
      <w:r w:rsidR="00F86B83" w:rsidRPr="00FF6C63">
        <w:rPr>
          <w:lang w:val="fr-FR"/>
        </w:rPr>
        <w:t> </w:t>
      </w:r>
      <w:r w:rsidRPr="00FF6C63">
        <w:rPr>
          <w:lang w:val="fr-FR"/>
        </w:rPr>
        <w:t>participants, dont des États Membres, des Membres de Secteur, des Associés et des établissements universitaires de plus de 150 pays.</w:t>
      </w:r>
      <w:hyperlink r:id="rId14" w:tgtFrame="_blank" w:history="1"/>
    </w:p>
    <w:p w14:paraId="7707F207" w14:textId="6395898D" w:rsidR="00FF5CBE" w:rsidRPr="00FF6C63" w:rsidRDefault="00FF5CBE" w:rsidP="00F86B83">
      <w:pPr>
        <w:rPr>
          <w:bCs/>
          <w:color w:val="000000"/>
          <w:lang w:val="fr-FR"/>
        </w:rPr>
      </w:pPr>
      <w:r w:rsidRPr="00FF6C63">
        <w:rPr>
          <w:lang w:val="fr-FR"/>
        </w:rPr>
        <w:t>1.2</w:t>
      </w:r>
      <w:r w:rsidRPr="00FF6C63">
        <w:rPr>
          <w:lang w:val="fr-FR"/>
        </w:rPr>
        <w:tab/>
        <w:t>Placée sous le thème "</w:t>
      </w:r>
      <w:r w:rsidRPr="00FF6C63">
        <w:rPr>
          <w:b/>
          <w:bCs/>
          <w:i/>
          <w:iCs/>
          <w:lang w:val="fr-FR"/>
        </w:rPr>
        <w:t>Une connectivité universelle, efficace et financièrement abordable pour un avenir numérique inclusif et durable</w:t>
      </w:r>
      <w:r w:rsidRPr="00FF6C63">
        <w:rPr>
          <w:lang w:val="fr-FR"/>
        </w:rPr>
        <w:t>", la CMDT-25 a réuni 1</w:t>
      </w:r>
      <w:r w:rsidR="00DF7C1F" w:rsidRPr="00FF6C63">
        <w:rPr>
          <w:lang w:val="fr-FR"/>
        </w:rPr>
        <w:t> </w:t>
      </w:r>
      <w:r w:rsidRPr="00FF6C63">
        <w:rPr>
          <w:lang w:val="fr-FR"/>
        </w:rPr>
        <w:t>939 participants (1</w:t>
      </w:r>
      <w:r w:rsidR="00DF7C1F" w:rsidRPr="00FF6C63">
        <w:rPr>
          <w:lang w:val="fr-FR"/>
        </w:rPr>
        <w:t> </w:t>
      </w:r>
      <w:r w:rsidRPr="00FF6C63">
        <w:rPr>
          <w:lang w:val="fr-FR"/>
        </w:rPr>
        <w:t>704</w:t>
      </w:r>
      <w:r w:rsidR="00FD3B61" w:rsidRPr="00FF6C63">
        <w:rPr>
          <w:lang w:val="fr-FR"/>
        </w:rPr>
        <w:t> </w:t>
      </w:r>
      <w:r w:rsidRPr="00FF6C63">
        <w:rPr>
          <w:lang w:val="fr-FR"/>
        </w:rPr>
        <w:t>en</w:t>
      </w:r>
      <w:r w:rsidR="00FD3B61" w:rsidRPr="00FF6C63">
        <w:rPr>
          <w:lang w:val="fr-FR"/>
        </w:rPr>
        <w:t> </w:t>
      </w:r>
      <w:r w:rsidRPr="00FF6C63">
        <w:rPr>
          <w:lang w:val="fr-FR"/>
        </w:rPr>
        <w:t>présentiel et 235 en ligne) représentant 153 États Membres, 93 Membres du Secteur du</w:t>
      </w:r>
      <w:r w:rsidR="00FD3B61" w:rsidRPr="00FF6C63">
        <w:rPr>
          <w:lang w:val="fr-FR"/>
        </w:rPr>
        <w:t> </w:t>
      </w:r>
      <w:r w:rsidRPr="00FF6C63">
        <w:rPr>
          <w:lang w:val="fr-FR"/>
        </w:rPr>
        <w:t>développement des télécommunications de l'UIT (UIT-D), 11 établissements universitaires, ainsi que des observateurs au titre de la Résolution</w:t>
      </w:r>
      <w:r w:rsidR="00DF7C1F" w:rsidRPr="00FF6C63">
        <w:rPr>
          <w:lang w:val="fr-FR"/>
        </w:rPr>
        <w:t> </w:t>
      </w:r>
      <w:r w:rsidRPr="00FF6C63">
        <w:rPr>
          <w:lang w:val="fr-FR"/>
        </w:rPr>
        <w:t>99 de la Conférence de plénipotentiaires et de l'Organisation des Nations Unies et de ses institutions spécialisées.</w:t>
      </w:r>
    </w:p>
    <w:p w14:paraId="06DCF507" w14:textId="305D24C7" w:rsidR="00FF5CBE" w:rsidRPr="00FF6C63" w:rsidRDefault="00FF5CBE" w:rsidP="00FF5CBE">
      <w:pPr>
        <w:rPr>
          <w:rFonts w:cstheme="minorHAnsi"/>
          <w:lang w:val="fr-FR"/>
        </w:rPr>
      </w:pPr>
      <w:r w:rsidRPr="00FF6C63">
        <w:rPr>
          <w:lang w:val="fr-FR"/>
        </w:rPr>
        <w:t>1.3</w:t>
      </w:r>
      <w:r w:rsidRPr="00FF6C63">
        <w:rPr>
          <w:lang w:val="fr-FR"/>
        </w:rPr>
        <w:tab/>
        <w:t xml:space="preserve">Au cours des deux premiers jours de la CMDT-25, les sessions du </w:t>
      </w:r>
      <w:hyperlink r:id="rId15" w:anchor="/fr" w:history="1">
        <w:r w:rsidRPr="00FF6C63">
          <w:rPr>
            <w:rStyle w:val="Hyperlink"/>
            <w:lang w:val="fr-FR"/>
          </w:rPr>
          <w:t>Segment de haut niveau</w:t>
        </w:r>
      </w:hyperlink>
      <w:r w:rsidRPr="00FF6C63">
        <w:rPr>
          <w:lang w:val="fr-FR"/>
        </w:rPr>
        <w:t xml:space="preserve"> ont permis aux hauts fonctionnaires et aux représentants des États Membres de l'UIT de faire part de leurs réflexions et des priorités stratégiques en ce qui concerne le développement des télécommunications et des technologies de l'information et de la communication (TIC) à l'échelle mondiale. La participation de ministres, de vice-ministres, d'ambassadeurs, de responsables d'organismes de réglementation et de hauts dirigeants à cette occasion témoigne d'un fort engagement de la communauté internationale en faveur de la promotion du progrès numérique. Articulées autour du thème "Une connectivité universelle, efficace et financièrement abordable", les discussions ont permis de mettre en avant les réalisations nationales et de proposer des recommandations orientées vers l'avenir pour les travaux de l'UIT-D. Des précisions sur le Segment de haut niveau sont disponibles sur le </w:t>
      </w:r>
      <w:hyperlink r:id="rId16" w:anchor="/fr" w:history="1">
        <w:r w:rsidRPr="00FF6C63">
          <w:rPr>
            <w:rStyle w:val="Hyperlink"/>
            <w:lang w:val="fr-FR"/>
          </w:rPr>
          <w:t>site web de la CMDT-25</w:t>
        </w:r>
      </w:hyperlink>
      <w:r w:rsidRPr="00FF6C63">
        <w:rPr>
          <w:lang w:val="fr-FR"/>
        </w:rPr>
        <w:t>.</w:t>
      </w:r>
      <w:hyperlink r:id="rId17" w:history="1"/>
      <w:hyperlink r:id="rId18" w:history="1"/>
    </w:p>
    <w:p w14:paraId="65B0B208" w14:textId="24264BF7" w:rsidR="00FF5CBE" w:rsidRPr="00FF6C63" w:rsidRDefault="00FF5CBE" w:rsidP="00FF5CBE">
      <w:pPr>
        <w:rPr>
          <w:rFonts w:cstheme="minorHAnsi"/>
          <w:lang w:val="fr-FR"/>
        </w:rPr>
      </w:pPr>
      <w:r w:rsidRPr="00FF6C63">
        <w:rPr>
          <w:lang w:val="fr-FR"/>
        </w:rPr>
        <w:t>1.4</w:t>
      </w:r>
      <w:r w:rsidRPr="00FF6C63">
        <w:rPr>
          <w:lang w:val="fr-FR"/>
        </w:rPr>
        <w:tab/>
        <w:t>Avant l'ouverture de la CMDT-25 s'est tenue à Bakou une journée animée de célébration mondiale du rôle des jeunes, à laquelle ont participé de jeunes dirigeants, innovateurs dans le domaine numérique et étudiants du monde entier. La manifestation a permis d'offrir aux jeunes une tribune dynamique pour présenter leurs vues, contribuer aux discussions sur l'inclusion numérique et interagir directement avec les décideurs et les spécialistes du secteur. Quelque</w:t>
      </w:r>
      <w:r w:rsidR="00FD3B61" w:rsidRPr="00FF6C63">
        <w:rPr>
          <w:lang w:val="fr-FR"/>
        </w:rPr>
        <w:t> </w:t>
      </w:r>
      <w:r w:rsidRPr="00FF6C63">
        <w:rPr>
          <w:lang w:val="fr-FR"/>
        </w:rPr>
        <w:t>400</w:t>
      </w:r>
      <w:r w:rsidR="00F86B83" w:rsidRPr="00FF6C63">
        <w:rPr>
          <w:lang w:val="fr-FR"/>
        </w:rPr>
        <w:t> </w:t>
      </w:r>
      <w:r w:rsidRPr="00FF6C63">
        <w:rPr>
          <w:lang w:val="fr-FR"/>
        </w:rPr>
        <w:t xml:space="preserve">représentants de la jeunesse issus de </w:t>
      </w:r>
      <w:r w:rsidR="00FF0ED0" w:rsidRPr="00FF6C63">
        <w:rPr>
          <w:lang w:val="fr-FR"/>
        </w:rPr>
        <w:t>85</w:t>
      </w:r>
      <w:r w:rsidRPr="00FF6C63">
        <w:rPr>
          <w:lang w:val="fr-FR"/>
        </w:rPr>
        <w:t xml:space="preserve"> pays ont participé à cette manifestation, ce qui témoigne d'une participation de la prochaine génération, placée sous le signe de la diversité et de l'enthousiasme, pour ce qui est de façonner l'avenir des télécommunications et du développement numérique.</w:t>
      </w:r>
    </w:p>
    <w:p w14:paraId="46AAC85A" w14:textId="77777777" w:rsidR="00FF5CBE" w:rsidRPr="00FF6C63" w:rsidRDefault="00FF5CBE" w:rsidP="00F86B83">
      <w:pPr>
        <w:rPr>
          <w:bCs/>
          <w:color w:val="000000"/>
          <w:lang w:val="fr-FR"/>
        </w:rPr>
      </w:pPr>
      <w:r w:rsidRPr="00FF6C63">
        <w:rPr>
          <w:lang w:val="fr-FR"/>
        </w:rPr>
        <w:t>1.5</w:t>
      </w:r>
      <w:r w:rsidRPr="00FF6C63">
        <w:rPr>
          <w:lang w:val="fr-FR"/>
        </w:rPr>
        <w:tab/>
        <w:t>La CMDT-25 a abouti aux principaux résultats suivants:</w:t>
      </w:r>
    </w:p>
    <w:p w14:paraId="20D510AB" w14:textId="5515CAD8" w:rsidR="00FF5CBE" w:rsidRPr="00FF6C63" w:rsidRDefault="00F86B83" w:rsidP="00F86B83">
      <w:pPr>
        <w:pStyle w:val="enumlev1"/>
        <w:rPr>
          <w:bCs/>
          <w:color w:val="000000"/>
          <w:lang w:val="fr-FR"/>
        </w:rPr>
      </w:pPr>
      <w:r w:rsidRPr="00FF6C63">
        <w:rPr>
          <w:lang w:val="fr-FR"/>
        </w:rPr>
        <w:t>–</w:t>
      </w:r>
      <w:r w:rsidRPr="00FF6C63">
        <w:rPr>
          <w:lang w:val="fr-FR"/>
        </w:rPr>
        <w:tab/>
      </w:r>
      <w:r w:rsidR="00FF5CBE" w:rsidRPr="00FF6C63">
        <w:rPr>
          <w:lang w:val="fr-FR"/>
        </w:rPr>
        <w:t xml:space="preserve">La </w:t>
      </w:r>
      <w:hyperlink r:id="rId19" w:history="1">
        <w:r w:rsidR="00FF5CBE" w:rsidRPr="00FF6C63">
          <w:rPr>
            <w:rStyle w:val="Hyperlink"/>
            <w:b/>
            <w:bCs/>
            <w:lang w:val="fr-FR"/>
          </w:rPr>
          <w:t>Déclaration de Bakou</w:t>
        </w:r>
      </w:hyperlink>
      <w:r w:rsidR="00FF5CBE" w:rsidRPr="00FF6C63">
        <w:rPr>
          <w:lang w:val="fr-FR"/>
        </w:rPr>
        <w:t>, qui met en évidence les principales conclusions et priorités établies par la Conférence et renforce l'appui politique en faveur de la mission de développement et des objectifs stratégiques de l'UIT.</w:t>
      </w:r>
      <w:hyperlink r:id="rId20" w:history="1"/>
    </w:p>
    <w:p w14:paraId="28ED4025" w14:textId="7A7807A3" w:rsidR="00FF5CBE" w:rsidRPr="00FF6C63" w:rsidRDefault="00F86B83" w:rsidP="00F86B83">
      <w:pPr>
        <w:pStyle w:val="enumlev1"/>
        <w:rPr>
          <w:bCs/>
          <w:color w:val="000000"/>
          <w:lang w:val="fr-FR"/>
        </w:rPr>
      </w:pPr>
      <w:r w:rsidRPr="00FF6C63">
        <w:rPr>
          <w:lang w:val="fr-FR"/>
        </w:rPr>
        <w:t>–</w:t>
      </w:r>
      <w:r w:rsidRPr="00FF6C63">
        <w:rPr>
          <w:lang w:val="fr-FR"/>
        </w:rPr>
        <w:tab/>
      </w:r>
      <w:r w:rsidR="00FF5CBE" w:rsidRPr="00FF6C63">
        <w:rPr>
          <w:lang w:val="fr-FR"/>
        </w:rPr>
        <w:t xml:space="preserve">Le </w:t>
      </w:r>
      <w:hyperlink r:id="rId21" w:history="1">
        <w:r w:rsidR="00FF5CBE" w:rsidRPr="00FF6C63">
          <w:rPr>
            <w:rStyle w:val="Hyperlink"/>
            <w:b/>
            <w:bCs/>
            <w:lang w:val="fr-FR"/>
          </w:rPr>
          <w:t>Plan d'action de Bakou</w:t>
        </w:r>
      </w:hyperlink>
      <w:r w:rsidR="00FF5CBE" w:rsidRPr="00FF6C63">
        <w:rPr>
          <w:lang w:val="fr-FR"/>
        </w:rPr>
        <w:t>, plan détaillé dans lequel sont fixées les priorités de l'UIT</w:t>
      </w:r>
      <w:r w:rsidR="00FD3B61" w:rsidRPr="00FF6C63">
        <w:rPr>
          <w:lang w:val="fr-FR"/>
        </w:rPr>
        <w:noBreakHyphen/>
      </w:r>
      <w:r w:rsidR="00FF5CBE" w:rsidRPr="00FF6C63">
        <w:rPr>
          <w:lang w:val="fr-FR"/>
        </w:rPr>
        <w:t>D, qui vise à orienter les activités de développement numérique de l'UIT et à promouvoir le développement durable des réseaux et services de télécommunication/TIC pour la période</w:t>
      </w:r>
      <w:r w:rsidR="00FA5759" w:rsidRPr="00FF6C63">
        <w:rPr>
          <w:lang w:val="fr-FR"/>
        </w:rPr>
        <w:t> </w:t>
      </w:r>
      <w:r w:rsidR="00FF5CBE" w:rsidRPr="00FF6C63">
        <w:rPr>
          <w:lang w:val="fr-FR"/>
        </w:rPr>
        <w:t>2026-2029.</w:t>
      </w:r>
      <w:hyperlink r:id="rId22" w:history="1"/>
    </w:p>
    <w:p w14:paraId="30C2A4FB" w14:textId="6F699D1B" w:rsidR="00FF5CBE" w:rsidRPr="00FF6C63" w:rsidRDefault="00F86B83" w:rsidP="00FD3B61">
      <w:pPr>
        <w:pStyle w:val="enumlev1"/>
        <w:keepLines/>
        <w:rPr>
          <w:bCs/>
          <w:color w:val="000000"/>
          <w:lang w:val="fr-FR"/>
        </w:rPr>
      </w:pPr>
      <w:r w:rsidRPr="00FF6C63">
        <w:rPr>
          <w:lang w:val="fr-FR"/>
        </w:rPr>
        <w:t>–</w:t>
      </w:r>
      <w:r w:rsidRPr="00FF6C63">
        <w:rPr>
          <w:lang w:val="fr-FR"/>
        </w:rPr>
        <w:tab/>
      </w:r>
      <w:r w:rsidR="00FF5CBE" w:rsidRPr="00FF6C63">
        <w:rPr>
          <w:lang w:val="fr-FR"/>
        </w:rPr>
        <w:t xml:space="preserve">Des </w:t>
      </w:r>
      <w:hyperlink r:id="rId23" w:history="1">
        <w:r w:rsidR="00FF5CBE" w:rsidRPr="00FF6C63">
          <w:rPr>
            <w:rStyle w:val="Hyperlink"/>
            <w:b/>
            <w:bCs/>
            <w:lang w:val="fr-FR"/>
          </w:rPr>
          <w:t>initiatives régionales</w:t>
        </w:r>
      </w:hyperlink>
      <w:r w:rsidR="00FF5CBE" w:rsidRPr="00FF6C63">
        <w:rPr>
          <w:lang w:val="fr-FR"/>
        </w:rPr>
        <w:t xml:space="preserve"> pour la région Afrique, la région Amériques, la région des États</w:t>
      </w:r>
      <w:r w:rsidRPr="00FF6C63">
        <w:rPr>
          <w:lang w:val="fr-FR"/>
        </w:rPr>
        <w:t> </w:t>
      </w:r>
      <w:r w:rsidR="00FF5CBE" w:rsidRPr="00FF6C63">
        <w:rPr>
          <w:lang w:val="fr-FR"/>
        </w:rPr>
        <w:t>arabes, la région Asie-Pacifique, la Communauté des États indépendants (CEI) et la région Europe. La CMDT-25 a approuvé un nouvel ensemble d'initiatives régionales, adaptées pour répondre aux besoins et priorités spécifiques de chacune des six régions. Ces initiatives permettront de mener des projets ciblés, de favoriser l'établissement de partenariats et de veiller à ce que les travaux entrepris demeurent pertinents et efficaces à l'échelle locale.</w:t>
      </w:r>
    </w:p>
    <w:p w14:paraId="36400D59" w14:textId="2A4BA423" w:rsidR="00FF5CBE" w:rsidRPr="00FF6C63" w:rsidRDefault="00F86B83" w:rsidP="00F86B83">
      <w:pPr>
        <w:pStyle w:val="enumlev1"/>
        <w:rPr>
          <w:bCs/>
          <w:color w:val="000000"/>
          <w:lang w:val="fr-FR"/>
        </w:rPr>
      </w:pPr>
      <w:r w:rsidRPr="00FF6C63">
        <w:rPr>
          <w:lang w:val="fr-FR"/>
        </w:rPr>
        <w:t>–</w:t>
      </w:r>
      <w:r w:rsidRPr="00FF6C63">
        <w:rPr>
          <w:b/>
          <w:bCs/>
          <w:lang w:val="fr-FR"/>
        </w:rPr>
        <w:tab/>
      </w:r>
      <w:r w:rsidR="00FA5759" w:rsidRPr="00FF6C63">
        <w:rPr>
          <w:b/>
          <w:bCs/>
          <w:lang w:val="fr-FR"/>
        </w:rPr>
        <w:t>4</w:t>
      </w:r>
      <w:r w:rsidR="00FF5CBE" w:rsidRPr="00FF6C63">
        <w:rPr>
          <w:b/>
          <w:bCs/>
          <w:lang w:val="fr-FR"/>
        </w:rPr>
        <w:t xml:space="preserve"> nouvelles Résolutions</w:t>
      </w:r>
      <w:r w:rsidR="00FF5CBE" w:rsidRPr="00FF6C63">
        <w:rPr>
          <w:lang w:val="fr-FR"/>
        </w:rPr>
        <w:t xml:space="preserve"> et </w:t>
      </w:r>
      <w:r w:rsidR="00FA5759" w:rsidRPr="00FF6C63">
        <w:rPr>
          <w:b/>
          <w:bCs/>
          <w:lang w:val="fr-FR"/>
        </w:rPr>
        <w:t>43</w:t>
      </w:r>
      <w:r w:rsidR="00FF5CBE" w:rsidRPr="00FF6C63">
        <w:rPr>
          <w:b/>
          <w:bCs/>
          <w:lang w:val="fr-FR"/>
        </w:rPr>
        <w:t xml:space="preserve"> Résolutions révisées</w:t>
      </w:r>
      <w:r w:rsidR="00FF5CBE" w:rsidRPr="00FF6C63">
        <w:rPr>
          <w:lang w:val="fr-FR"/>
        </w:rPr>
        <w:t>.</w:t>
      </w:r>
    </w:p>
    <w:p w14:paraId="524CD2D7" w14:textId="314A9365" w:rsidR="00FF5CBE" w:rsidRPr="00FF6C63" w:rsidRDefault="00F86B83" w:rsidP="00F86B83">
      <w:pPr>
        <w:pStyle w:val="enumlev1"/>
        <w:rPr>
          <w:color w:val="000000"/>
          <w:lang w:val="fr-FR"/>
        </w:rPr>
      </w:pPr>
      <w:r w:rsidRPr="00FF6C63">
        <w:rPr>
          <w:lang w:val="fr-FR"/>
        </w:rPr>
        <w:t>–</w:t>
      </w:r>
      <w:r w:rsidRPr="00FF6C63">
        <w:rPr>
          <w:lang w:val="fr-FR"/>
        </w:rPr>
        <w:tab/>
      </w:r>
      <w:r w:rsidR="00FF5CBE" w:rsidRPr="00FF6C63">
        <w:rPr>
          <w:lang w:val="fr-FR"/>
        </w:rPr>
        <w:t xml:space="preserve">Des </w:t>
      </w:r>
      <w:hyperlink r:id="rId24" w:history="1">
        <w:r w:rsidR="00FF5CBE" w:rsidRPr="00FF6C63">
          <w:rPr>
            <w:rStyle w:val="Hyperlink"/>
            <w:b/>
            <w:bCs/>
            <w:lang w:val="fr-FR"/>
          </w:rPr>
          <w:t>Questions confiées aux commissions d'études de l'UIT-D</w:t>
        </w:r>
      </w:hyperlink>
      <w:r w:rsidR="00FF5CBE" w:rsidRPr="00FF6C63">
        <w:rPr>
          <w:lang w:val="fr-FR"/>
        </w:rPr>
        <w:t>, nouvelles ou révisées, qui seront étudiées pendant la période d'études 2026-2029.</w:t>
      </w:r>
      <w:hyperlink r:id="rId25"/>
    </w:p>
    <w:p w14:paraId="68417531" w14:textId="63E0CC57" w:rsidR="00FF5CBE" w:rsidRPr="00FF6C63" w:rsidRDefault="00F86B83" w:rsidP="00F86B83">
      <w:pPr>
        <w:pStyle w:val="enumlev1"/>
        <w:rPr>
          <w:lang w:val="fr-FR"/>
        </w:rPr>
      </w:pPr>
      <w:r w:rsidRPr="00FF6C63">
        <w:rPr>
          <w:lang w:val="fr-FR"/>
        </w:rPr>
        <w:t>–</w:t>
      </w:r>
      <w:r w:rsidRPr="00FF6C63">
        <w:rPr>
          <w:lang w:val="fr-FR"/>
        </w:rPr>
        <w:tab/>
      </w:r>
      <w:r w:rsidR="00FF5CBE" w:rsidRPr="00FF6C63">
        <w:rPr>
          <w:lang w:val="fr-FR"/>
        </w:rPr>
        <w:t xml:space="preserve">La CMDT-25 a nommé les présidents et vice-présidents des </w:t>
      </w:r>
      <w:hyperlink r:id="rId26" w:history="1">
        <w:r w:rsidR="00FF5CBE" w:rsidRPr="00FF6C63">
          <w:rPr>
            <w:rStyle w:val="Hyperlink"/>
            <w:b/>
            <w:bCs/>
            <w:lang w:val="fr-FR"/>
          </w:rPr>
          <w:t>commissions d'études de l'UIT-D</w:t>
        </w:r>
      </w:hyperlink>
      <w:r w:rsidR="00FF5CBE" w:rsidRPr="00FF6C63">
        <w:rPr>
          <w:lang w:val="fr-FR"/>
        </w:rPr>
        <w:t>.</w:t>
      </w:r>
      <w:hyperlink r:id="rId27"/>
    </w:p>
    <w:p w14:paraId="3239D901" w14:textId="47B0525C" w:rsidR="00FF5CBE" w:rsidRPr="00FF6C63" w:rsidRDefault="00F86B83" w:rsidP="00F86B83">
      <w:pPr>
        <w:pStyle w:val="enumlev1"/>
        <w:rPr>
          <w:bCs/>
          <w:szCs w:val="24"/>
          <w:lang w:val="fr-FR"/>
        </w:rPr>
      </w:pPr>
      <w:r w:rsidRPr="00FF6C63">
        <w:rPr>
          <w:lang w:val="fr-FR"/>
        </w:rPr>
        <w:t>–</w:t>
      </w:r>
      <w:r w:rsidRPr="00FF6C63">
        <w:rPr>
          <w:lang w:val="fr-FR"/>
        </w:rPr>
        <w:tab/>
      </w:r>
      <w:r w:rsidR="00FF5CBE" w:rsidRPr="00FF6C63">
        <w:rPr>
          <w:lang w:val="fr-FR"/>
        </w:rPr>
        <w:t xml:space="preserve">La CMDT-25 a nommé les membres du </w:t>
      </w:r>
      <w:hyperlink r:id="rId28" w:anchor="/fr" w:history="1">
        <w:r w:rsidR="00FF5CBE" w:rsidRPr="00FF6C63">
          <w:rPr>
            <w:rStyle w:val="Hyperlink"/>
            <w:b/>
            <w:bCs/>
            <w:lang w:val="fr-FR"/>
          </w:rPr>
          <w:t>Bureau du Groupe consultatif pour le développement des télécommunications (GCDT)</w:t>
        </w:r>
      </w:hyperlink>
      <w:r w:rsidR="00FF5CBE" w:rsidRPr="00FF6C63">
        <w:rPr>
          <w:lang w:val="fr-FR"/>
        </w:rPr>
        <w:t>, qui comprend le président et les</w:t>
      </w:r>
      <w:r w:rsidR="00FD3B61" w:rsidRPr="00FF6C63">
        <w:rPr>
          <w:lang w:val="fr-FR"/>
        </w:rPr>
        <w:t> </w:t>
      </w:r>
      <w:r w:rsidR="00FF5CBE" w:rsidRPr="00FF6C63">
        <w:rPr>
          <w:lang w:val="fr-FR"/>
        </w:rPr>
        <w:t>vice</w:t>
      </w:r>
      <w:r w:rsidR="00FD3B61" w:rsidRPr="00FF6C63">
        <w:rPr>
          <w:lang w:val="fr-FR"/>
        </w:rPr>
        <w:noBreakHyphen/>
      </w:r>
      <w:r w:rsidR="00FF5CBE" w:rsidRPr="00FF6C63">
        <w:rPr>
          <w:lang w:val="fr-FR"/>
        </w:rPr>
        <w:t>présidents du GCDT, ainsi que les présidents des commissions d'études de l'UIT</w:t>
      </w:r>
      <w:r w:rsidR="00FD3B61" w:rsidRPr="00FF6C63">
        <w:rPr>
          <w:lang w:val="fr-FR"/>
        </w:rPr>
        <w:noBreakHyphen/>
      </w:r>
      <w:r w:rsidR="00FF5CBE" w:rsidRPr="00FF6C63">
        <w:rPr>
          <w:lang w:val="fr-FR"/>
        </w:rPr>
        <w:t>D pour la période 2026-2029.</w:t>
      </w:r>
      <w:hyperlink r:id="rId29"/>
    </w:p>
    <w:p w14:paraId="7046CD08" w14:textId="5C14D579" w:rsidR="00FF5CBE" w:rsidRPr="00FF6C63" w:rsidRDefault="00FF5CBE" w:rsidP="00F86B83">
      <w:pPr>
        <w:pStyle w:val="Heading1"/>
        <w:rPr>
          <w:rFonts w:cstheme="minorHAnsi"/>
          <w:sz w:val="24"/>
          <w:szCs w:val="24"/>
          <w:lang w:val="fr-FR"/>
        </w:rPr>
      </w:pPr>
      <w:r w:rsidRPr="00FF6C63">
        <w:rPr>
          <w:lang w:val="fr-FR"/>
        </w:rPr>
        <w:t>2</w:t>
      </w:r>
      <w:r w:rsidRPr="00FF6C63">
        <w:rPr>
          <w:lang w:val="fr-FR"/>
        </w:rPr>
        <w:tab/>
        <w:t>Déclaration de Bakou</w:t>
      </w:r>
    </w:p>
    <w:p w14:paraId="6734ABA8" w14:textId="7BEEA7B4" w:rsidR="00FF5CBE" w:rsidRPr="00FF6C63" w:rsidRDefault="00FF5CBE" w:rsidP="00F86B83">
      <w:pPr>
        <w:rPr>
          <w:rFonts w:cstheme="minorHAnsi"/>
          <w:bCs/>
          <w:szCs w:val="24"/>
          <w:lang w:val="fr-FR"/>
        </w:rPr>
      </w:pPr>
      <w:r w:rsidRPr="00FF6C63">
        <w:rPr>
          <w:lang w:val="fr-FR"/>
        </w:rPr>
        <w:t>2.1</w:t>
      </w:r>
      <w:r w:rsidRPr="00FF6C63">
        <w:rPr>
          <w:lang w:val="fr-FR"/>
        </w:rPr>
        <w:tab/>
        <w:t>La Déclaration de Bakou, adoptée à la neuvième CMDT, définit une vision commune pour parvenir à une connectivité universelle, efficace et financièrement abordable en tant que pierre angulaire d'un avenir numérique inclusif et durable. La Déclaration de Bakou permet de réaffirmer l'engagement des États Membres de l'UIT en faveur d'une transformation numérique équitable, conformément aux objectifs de développement plus larges définis par les Nations Unies, et de reconnaître le rôle de la connectivité numérique en tant que moteur essentiel du développement socio</w:t>
      </w:r>
      <w:r w:rsidR="00FF0ED0" w:rsidRPr="00FF6C63">
        <w:rPr>
          <w:lang w:val="fr-FR"/>
        </w:rPr>
        <w:noBreakHyphen/>
      </w:r>
      <w:r w:rsidRPr="00FF6C63">
        <w:rPr>
          <w:lang w:val="fr-FR"/>
        </w:rPr>
        <w:t>économique, de la résilience et d'une croissance inclusive.</w:t>
      </w:r>
    </w:p>
    <w:p w14:paraId="6AAA40B1" w14:textId="23CA526A" w:rsidR="00FF5CBE" w:rsidRPr="00FF6C63" w:rsidRDefault="00FF5CBE" w:rsidP="00F86B83">
      <w:pPr>
        <w:rPr>
          <w:rFonts w:cstheme="minorHAnsi"/>
          <w:bCs/>
          <w:szCs w:val="24"/>
          <w:lang w:val="fr-FR"/>
        </w:rPr>
      </w:pPr>
      <w:r w:rsidRPr="00FF6C63">
        <w:rPr>
          <w:lang w:val="fr-FR"/>
        </w:rPr>
        <w:t>2.2</w:t>
      </w:r>
      <w:r w:rsidRPr="00FF6C63">
        <w:rPr>
          <w:lang w:val="fr-FR"/>
        </w:rPr>
        <w:tab/>
        <w:t>Si des progrès ont certes été accomplis dans le développement des TIC à l'échelle mondiale, la Déclaration fait ressortir que d'importantes fractures numériques persistent à</w:t>
      </w:r>
      <w:r w:rsidR="00FD3B61" w:rsidRPr="00FF6C63">
        <w:rPr>
          <w:lang w:val="fr-FR"/>
        </w:rPr>
        <w:t> </w:t>
      </w:r>
      <w:r w:rsidRPr="00FF6C63">
        <w:rPr>
          <w:lang w:val="fr-FR"/>
        </w:rPr>
        <w:t>l'intérieur des frontières d'un pays et d'un pays à l'autre. Ces disparités continuent de toucher de manière disproportionnée les pays en développement, en particulier les pays les moins avancés (PMA), les pays en développement sans littoral (PDSL) et les petits États insulaires en</w:t>
      </w:r>
      <w:r w:rsidR="00FD3B61" w:rsidRPr="00FF6C63">
        <w:rPr>
          <w:lang w:val="fr-FR"/>
        </w:rPr>
        <w:t> </w:t>
      </w:r>
      <w:r w:rsidRPr="00FF6C63">
        <w:rPr>
          <w:lang w:val="fr-FR"/>
        </w:rPr>
        <w:t>développement (PEID), ce qui limite leur capacité à tirer pleinement parti de la transformation numérique. Il est urgent de combler ces lacunes, ce qui nécessitera de mettre en place des mesures coordonnées, à dimension humaine et axées sur le développement.</w:t>
      </w:r>
    </w:p>
    <w:p w14:paraId="2080BF63" w14:textId="29BB0E43" w:rsidR="00FF5CBE" w:rsidRPr="00FF6C63" w:rsidRDefault="00FF5CBE" w:rsidP="00F86B83">
      <w:pPr>
        <w:rPr>
          <w:rFonts w:cstheme="minorHAnsi"/>
          <w:bCs/>
          <w:szCs w:val="24"/>
          <w:lang w:val="fr-FR"/>
        </w:rPr>
      </w:pPr>
      <w:r w:rsidRPr="00FF6C63">
        <w:rPr>
          <w:lang w:val="fr-FR"/>
        </w:rPr>
        <w:t>2.3</w:t>
      </w:r>
      <w:r w:rsidRPr="00FF6C63">
        <w:rPr>
          <w:lang w:val="fr-FR"/>
        </w:rPr>
        <w:tab/>
        <w:t>Dans sa Déclaration, la CMDT souligne le rôle central de l'UIT-D dans l'appui fourni aux</w:t>
      </w:r>
      <w:r w:rsidR="00FD3B61" w:rsidRPr="00FF6C63">
        <w:rPr>
          <w:lang w:val="fr-FR"/>
        </w:rPr>
        <w:t> </w:t>
      </w:r>
      <w:r w:rsidRPr="00FF6C63">
        <w:rPr>
          <w:lang w:val="fr-FR"/>
        </w:rPr>
        <w:t>États Membres pour surmonter ces difficultés et intensifier les activités de développement numérique. Elle vise à demander aux gouvernements, aux partenaires de développement et au secteur privé d'intensifier les activités de coopération, d'investissement et de mise en œuvre, en accordant une attention particulière aux besoins des pays les plus vulnérables. En veillant à la mise en œuvre pleine et entière de la Déclaration de Bakou, du Plan d'action de Bakou et des Résolutions connexes, les États Membres s'engagent à faire en sorte que la transformation numérique contribue à un développement inclusif, durable et équilibré pour tous.</w:t>
      </w:r>
    </w:p>
    <w:p w14:paraId="063B00D3" w14:textId="444BC5D3" w:rsidR="00FF5CBE" w:rsidRPr="00FF6C63" w:rsidRDefault="00FF5CBE" w:rsidP="00F86B83">
      <w:pPr>
        <w:pStyle w:val="Heading1"/>
        <w:rPr>
          <w:rFonts w:cstheme="minorHAnsi"/>
          <w:sz w:val="24"/>
          <w:szCs w:val="24"/>
          <w:lang w:val="fr-FR"/>
        </w:rPr>
      </w:pPr>
      <w:r w:rsidRPr="00FF6C63">
        <w:rPr>
          <w:lang w:val="fr-FR"/>
        </w:rPr>
        <w:t>3</w:t>
      </w:r>
      <w:r w:rsidRPr="00FF6C63">
        <w:rPr>
          <w:lang w:val="fr-FR"/>
        </w:rPr>
        <w:tab/>
        <w:t>Plan d'action de Bakou et priorités de l'UIT-D</w:t>
      </w:r>
    </w:p>
    <w:p w14:paraId="209B598C" w14:textId="482AEBF3" w:rsidR="00FF5CBE" w:rsidRPr="00FF6C63" w:rsidRDefault="00FF5CBE" w:rsidP="00F86B83">
      <w:pPr>
        <w:rPr>
          <w:rFonts w:cstheme="minorHAnsi"/>
          <w:szCs w:val="24"/>
          <w:lang w:val="fr-FR"/>
        </w:rPr>
      </w:pPr>
      <w:r w:rsidRPr="00FF6C63">
        <w:rPr>
          <w:lang w:val="fr-FR"/>
        </w:rPr>
        <w:t>3.1</w:t>
      </w:r>
      <w:r w:rsidRPr="00FF6C63">
        <w:rPr>
          <w:lang w:val="fr-FR"/>
        </w:rPr>
        <w:tab/>
        <w:t>Le Plan d'action de Bakou, adopté par la CMDT-25, vise à arrêter les orientations stratégiques et le cadre opérationnel des travaux de l'UIT-D pour la période 2026-2029. Il</w:t>
      </w:r>
      <w:r w:rsidR="00FD3B61" w:rsidRPr="00FF6C63">
        <w:rPr>
          <w:lang w:val="fr-FR"/>
        </w:rPr>
        <w:t> </w:t>
      </w:r>
      <w:r w:rsidRPr="00FF6C63">
        <w:rPr>
          <w:lang w:val="fr-FR"/>
        </w:rPr>
        <w:t>contribue à traduire la vision politique de la Déclaration de Bakou en un plan d'action concret, axé sur les résultats, pour accélérer le développement numérique inclusif et durable dans le monde entier. L'accent est ainsi mis sur l'harmonisation des programmes mondiaux de développement et la définition d'une structure cohérente mettant en relation les objectifs stratégiques, les réalisations et les produits mesurables, en veillant à ce que les activités de l'UIT</w:t>
      </w:r>
      <w:r w:rsidR="006C4F79" w:rsidRPr="00FF6C63">
        <w:rPr>
          <w:lang w:val="fr-FR"/>
        </w:rPr>
        <w:noBreakHyphen/>
      </w:r>
      <w:r w:rsidRPr="00FF6C63">
        <w:rPr>
          <w:lang w:val="fr-FR"/>
        </w:rPr>
        <w:t>D tiennent efficacement compte de l'évolution du paysage numérique et des priorités de ses membres.</w:t>
      </w:r>
    </w:p>
    <w:p w14:paraId="02C720DC" w14:textId="0567072E" w:rsidR="00FF5CBE" w:rsidRPr="00FF6C63" w:rsidRDefault="00FF5CBE" w:rsidP="00F86B83">
      <w:pPr>
        <w:rPr>
          <w:rFonts w:cstheme="minorHAnsi"/>
          <w:lang w:val="fr-FR"/>
        </w:rPr>
      </w:pPr>
      <w:r w:rsidRPr="00FF6C63">
        <w:rPr>
          <w:lang w:val="fr-FR"/>
        </w:rPr>
        <w:t>3.2</w:t>
      </w:r>
      <w:r w:rsidRPr="00FF6C63">
        <w:rPr>
          <w:lang w:val="fr-FR"/>
        </w:rPr>
        <w:tab/>
        <w:t xml:space="preserve">Le </w:t>
      </w:r>
      <w:r w:rsidR="00FA5759" w:rsidRPr="00FF6C63">
        <w:rPr>
          <w:lang w:val="fr-FR"/>
        </w:rPr>
        <w:t>p</w:t>
      </w:r>
      <w:r w:rsidRPr="00FF6C63">
        <w:rPr>
          <w:lang w:val="fr-FR"/>
        </w:rPr>
        <w:t>lan d'action repose sur cinq priorités interdépendantes qui définissent les travaux de l'UIT-D tout au long du cycle, à savoir l'élargissement d'une connectivité financièrement abordable, la promotion de la transformation numérique, la création d'un environnement politique et réglementaire propice, la mobilisation des ressources et la promotion de la coopération internationale, et la promotion de télécommunications et de TIC inclusives, sûres et sécurisées. Elles constituent les priorités de l'UIT-D et visent, collectivement, à réduire les fractures numériques qui subsistent tout en reconnaissant la capacité des technologies nouvelles et émergentes à apporter des transformations.</w:t>
      </w:r>
    </w:p>
    <w:p w14:paraId="2C4458F6" w14:textId="0F5D204D" w:rsidR="00FF5CBE" w:rsidRPr="00FF6C63" w:rsidRDefault="00FF5CBE" w:rsidP="00F86B83">
      <w:pPr>
        <w:rPr>
          <w:rFonts w:cstheme="minorHAnsi"/>
          <w:szCs w:val="24"/>
          <w:lang w:val="fr-FR"/>
        </w:rPr>
      </w:pPr>
      <w:r w:rsidRPr="00FF6C63">
        <w:rPr>
          <w:lang w:val="fr-FR"/>
        </w:rPr>
        <w:t>3.3</w:t>
      </w:r>
      <w:r w:rsidRPr="00FF6C63">
        <w:rPr>
          <w:lang w:val="fr-FR"/>
        </w:rPr>
        <w:tab/>
        <w:t>Le Plan d'action de Bakou prévoit l'adoption d'une approche de gestion axée sur les résultats qui met en correspondance les activités de l'UIT-D avec des réalisations concrètes à</w:t>
      </w:r>
      <w:r w:rsidR="00493E6C" w:rsidRPr="00FF6C63">
        <w:rPr>
          <w:lang w:val="fr-FR"/>
        </w:rPr>
        <w:t> </w:t>
      </w:r>
      <w:r w:rsidRPr="00FF6C63">
        <w:rPr>
          <w:lang w:val="fr-FR"/>
        </w:rPr>
        <w:t>atteindre aux niveaux national et régional. On y souligne l'amélioration de l'accès au large bande et son caractère financièrement plus abordable, le renforcement des capacités institutionnelles et humaines, l'amélioration des compétences numériques et la résilience accrue de l'infrastructure numérique. Il s'agit aussi de mettre en lumière l'importance que revêtent la confiance, la sécurité et l'inclusion dans l'écosystème numérique, compte tenu des dimensions de cybersécurité, de protection en ligne des enfants et d'inclusion numérique, qui sont les fondements essentiels d'une transformation numérique durable.</w:t>
      </w:r>
    </w:p>
    <w:p w14:paraId="5515A252" w14:textId="636C9C1B" w:rsidR="00FF5CBE" w:rsidRPr="00FF6C63" w:rsidRDefault="00FF5CBE" w:rsidP="00F86B83">
      <w:pPr>
        <w:rPr>
          <w:rFonts w:cstheme="minorHAnsi"/>
          <w:szCs w:val="24"/>
          <w:lang w:val="fr-FR"/>
        </w:rPr>
      </w:pPr>
      <w:r w:rsidRPr="00FF6C63">
        <w:rPr>
          <w:lang w:val="fr-FR"/>
        </w:rPr>
        <w:t>3.4</w:t>
      </w:r>
      <w:r w:rsidRPr="00FF6C63">
        <w:rPr>
          <w:lang w:val="fr-FR"/>
        </w:rPr>
        <w:tab/>
        <w:t xml:space="preserve">Le </w:t>
      </w:r>
      <w:r w:rsidR="00FA5759" w:rsidRPr="00FF6C63">
        <w:rPr>
          <w:lang w:val="fr-FR"/>
        </w:rPr>
        <w:t>p</w:t>
      </w:r>
      <w:r w:rsidRPr="00FF6C63">
        <w:rPr>
          <w:lang w:val="fr-FR"/>
        </w:rPr>
        <w:t>lan d'action se caractérise notamment par l'attention qui est portée aux activités de mise en œuvre par le biais de partenariats, d'initiatives régionales et d'outils pratiques. Il prévoit la fourniture de produits intersectoriels tels que des politiques types, des boîtes à outils, des cadres d'apprentissage, des produits statistiques et une assistance technique ciblée. Les initiatives régionales jouent un rôle central dans l'adaptation des priorités mondiales aux contextes régionaux, permettant ainsi à l'UIT-D de répondre avec souplesse aux divers problèmes de développement rencontrés tout en assurant une certaine cohérence avec le cadre stratégique global.</w:t>
      </w:r>
    </w:p>
    <w:p w14:paraId="3A01032C" w14:textId="008A6A20" w:rsidR="00FF5CBE" w:rsidRPr="00FF6C63" w:rsidRDefault="00FF5CBE" w:rsidP="00F86B83">
      <w:pPr>
        <w:rPr>
          <w:rFonts w:cstheme="minorHAnsi"/>
          <w:szCs w:val="24"/>
          <w:lang w:val="fr-FR"/>
        </w:rPr>
      </w:pPr>
      <w:r w:rsidRPr="00FF6C63">
        <w:rPr>
          <w:lang w:val="fr-FR"/>
        </w:rPr>
        <w:t>3.5</w:t>
      </w:r>
      <w:r w:rsidRPr="00FF6C63">
        <w:rPr>
          <w:lang w:val="fr-FR"/>
        </w:rPr>
        <w:tab/>
        <w:t>Le Plan d'action de Bakou recense un ensemble de produits et de services (produits) intersectoriels fournis par le Bureau de développement des télécommunications (BDT) pour appuyer la mise en œuvre des priorités de l'UIT-D aux niveaux national, régional et mondial. Il</w:t>
      </w:r>
      <w:r w:rsidR="00493E6C" w:rsidRPr="00FF6C63">
        <w:rPr>
          <w:lang w:val="fr-FR"/>
        </w:rPr>
        <w:t> </w:t>
      </w:r>
      <w:r w:rsidRPr="00FF6C63">
        <w:rPr>
          <w:lang w:val="fr-FR"/>
        </w:rPr>
        <w:t>s'agit notamment de politiques et stratégies types, de boîtes à outils, de plates-formes fédératrices pour le dialogue et la coordination, de cadres d'apprentissage et de solutions de renforcement des capacités, de statistiques comparables au niveau international et d'interventions techniques ciblées. Ensemble, ces produits visent à traduire les priorités de l'UIT</w:t>
      </w:r>
      <w:r w:rsidR="00FF0ED0" w:rsidRPr="00FF6C63">
        <w:rPr>
          <w:lang w:val="fr-FR"/>
        </w:rPr>
        <w:noBreakHyphen/>
      </w:r>
      <w:r w:rsidRPr="00FF6C63">
        <w:rPr>
          <w:lang w:val="fr-FR"/>
        </w:rPr>
        <w:t>D en une assistance concrète et axée sur les résultats à fournir aux États Membres, l'accent étant mis en particulier sur la réponse à apporter aux besoins des pays en développement, notamment les PMA, les PDSL et les PEID.</w:t>
      </w:r>
    </w:p>
    <w:p w14:paraId="53E39197" w14:textId="0B6F74DD" w:rsidR="00FF5CBE" w:rsidRPr="00FF6C63" w:rsidRDefault="00FF5CBE" w:rsidP="00F86B83">
      <w:pPr>
        <w:rPr>
          <w:rFonts w:cstheme="minorHAnsi"/>
          <w:szCs w:val="24"/>
          <w:lang w:val="fr-FR"/>
        </w:rPr>
      </w:pPr>
      <w:r w:rsidRPr="00FF6C63">
        <w:rPr>
          <w:lang w:val="fr-FR"/>
        </w:rPr>
        <w:t>3.6</w:t>
      </w:r>
      <w:r w:rsidRPr="00FF6C63">
        <w:rPr>
          <w:lang w:val="fr-FR"/>
        </w:rPr>
        <w:tab/>
        <w:t xml:space="preserve">L'UIT-D mettra en œuvre le plan d'action </w:t>
      </w:r>
      <w:r w:rsidR="00230684" w:rsidRPr="00FF6C63">
        <w:rPr>
          <w:lang w:val="fr-FR"/>
        </w:rPr>
        <w:t>en appliquant le principe d</w:t>
      </w:r>
      <w:r w:rsidR="00184147" w:rsidRPr="00FF6C63">
        <w:rPr>
          <w:lang w:val="fr-FR"/>
        </w:rPr>
        <w:t>'</w:t>
      </w:r>
      <w:r w:rsidR="00230684" w:rsidRPr="00FF6C63">
        <w:rPr>
          <w:lang w:val="fr-FR"/>
        </w:rPr>
        <w:t>excellence institutionnelle</w:t>
      </w:r>
      <w:r w:rsidRPr="00FF6C63">
        <w:rPr>
          <w:lang w:val="fr-FR"/>
        </w:rPr>
        <w:t xml:space="preserve">, </w:t>
      </w:r>
      <w:r w:rsidR="00230684" w:rsidRPr="00FF6C63">
        <w:rPr>
          <w:lang w:val="fr-FR"/>
        </w:rPr>
        <w:t>tel que défini dans le plan d</w:t>
      </w:r>
      <w:r w:rsidR="00184147" w:rsidRPr="00FF6C63">
        <w:rPr>
          <w:lang w:val="fr-FR"/>
        </w:rPr>
        <w:t>'</w:t>
      </w:r>
      <w:r w:rsidR="00230684" w:rsidRPr="00FF6C63">
        <w:rPr>
          <w:lang w:val="fr-FR"/>
        </w:rPr>
        <w:t xml:space="preserve">action, ce qui consistera notamment à </w:t>
      </w:r>
      <w:r w:rsidRPr="00FF6C63">
        <w:rPr>
          <w:lang w:val="fr-FR"/>
        </w:rPr>
        <w:t>renforce</w:t>
      </w:r>
      <w:r w:rsidR="00230684" w:rsidRPr="00FF6C63">
        <w:rPr>
          <w:lang w:val="fr-FR"/>
        </w:rPr>
        <w:t>r</w:t>
      </w:r>
      <w:r w:rsidRPr="00FF6C63">
        <w:rPr>
          <w:lang w:val="fr-FR"/>
        </w:rPr>
        <w:t xml:space="preserve"> la présence régionale, </w:t>
      </w:r>
      <w:r w:rsidR="00230684" w:rsidRPr="00FF6C63">
        <w:rPr>
          <w:lang w:val="fr-FR"/>
        </w:rPr>
        <w:t xml:space="preserve">à </w:t>
      </w:r>
      <w:r w:rsidRPr="00FF6C63">
        <w:rPr>
          <w:lang w:val="fr-FR"/>
        </w:rPr>
        <w:t>amélior</w:t>
      </w:r>
      <w:r w:rsidR="00230684" w:rsidRPr="00FF6C63">
        <w:rPr>
          <w:lang w:val="fr-FR"/>
        </w:rPr>
        <w:t>er</w:t>
      </w:r>
      <w:r w:rsidRPr="00FF6C63">
        <w:rPr>
          <w:lang w:val="fr-FR"/>
        </w:rPr>
        <w:t xml:space="preserve"> la gestion des projets et </w:t>
      </w:r>
      <w:r w:rsidR="00230684" w:rsidRPr="00FF6C63">
        <w:rPr>
          <w:lang w:val="fr-FR"/>
        </w:rPr>
        <w:t xml:space="preserve">à </w:t>
      </w:r>
      <w:r w:rsidRPr="00FF6C63">
        <w:rPr>
          <w:lang w:val="fr-FR"/>
        </w:rPr>
        <w:t>fourni</w:t>
      </w:r>
      <w:r w:rsidR="00230684" w:rsidRPr="00FF6C63">
        <w:rPr>
          <w:lang w:val="fr-FR"/>
        </w:rPr>
        <w:t>r</w:t>
      </w:r>
      <w:r w:rsidRPr="00FF6C63">
        <w:rPr>
          <w:lang w:val="fr-FR"/>
        </w:rPr>
        <w:t xml:space="preserve"> de</w:t>
      </w:r>
      <w:r w:rsidR="00230684" w:rsidRPr="00FF6C63">
        <w:rPr>
          <w:lang w:val="fr-FR"/>
        </w:rPr>
        <w:t>s</w:t>
      </w:r>
      <w:r w:rsidRPr="00FF6C63">
        <w:rPr>
          <w:lang w:val="fr-FR"/>
        </w:rPr>
        <w:t xml:space="preserve"> services d'appui fiables. Pris ensemble, ces éléments visent à améliorer l'efficacité des opérations, à renforcer les synergies transversales et interfonctionnelles et à permettre la mise en place de travaux souples reposant sur les contributions des membres pour répondre aux besoins de développement numérique en constante évolution. Par le renforcement des capacités internes, l'amélioration de la coordination entre le siège et les bureaux régionaux et le renforcement des fonctions de planification, de mise en œuvre, de suivi et d'établissement de rapports, ce catalyseur constitue la base institutionnelle nécessaire à la mise en œuvre réussie du </w:t>
      </w:r>
      <w:r w:rsidR="00FF0ED0" w:rsidRPr="00FF6C63">
        <w:rPr>
          <w:lang w:val="fr-FR"/>
        </w:rPr>
        <w:t>p</w:t>
      </w:r>
      <w:r w:rsidRPr="00FF6C63">
        <w:rPr>
          <w:lang w:val="fr-FR"/>
        </w:rPr>
        <w:t>lan d'action et à la réalisation de ses objectifs axés sur les résultats.</w:t>
      </w:r>
    </w:p>
    <w:p w14:paraId="5C552931" w14:textId="58CF798B" w:rsidR="00FF5CBE" w:rsidRPr="00FF6C63" w:rsidRDefault="00FF5CBE" w:rsidP="00F86B83">
      <w:pPr>
        <w:rPr>
          <w:rFonts w:cstheme="minorHAnsi"/>
          <w:szCs w:val="24"/>
          <w:lang w:val="fr-FR"/>
        </w:rPr>
      </w:pPr>
      <w:r w:rsidRPr="00FF6C63">
        <w:rPr>
          <w:lang w:val="fr-FR"/>
        </w:rPr>
        <w:t>3.7</w:t>
      </w:r>
      <w:r w:rsidRPr="00FF6C63">
        <w:rPr>
          <w:lang w:val="fr-FR"/>
        </w:rPr>
        <w:tab/>
        <w:t>Enfin, le Plan d'action de Bakou vise à établir un cadre de suivi et d'évaluation dynamique permettant un examen et des ajustements réguliers tout au long du cycle. En intégrant la responsabilisation, la prise de décisions fondées sur des informations concrètes et l'apprentissage continu dans la phase de mise en œuvre du plan, on entend en optimiser l'incidence et en garantir la pertinence au fil du temps. Dans l'ensemble, le Plan d'action de Bakou constitue pour l'UIT</w:t>
      </w:r>
      <w:r w:rsidR="00113BC0" w:rsidRPr="00FF6C63">
        <w:rPr>
          <w:lang w:val="fr-FR"/>
        </w:rPr>
        <w:noBreakHyphen/>
      </w:r>
      <w:r w:rsidRPr="00FF6C63">
        <w:rPr>
          <w:lang w:val="fr-FR"/>
        </w:rPr>
        <w:t>D une feuille de route complète et tournée vers l'avenir en faveur d'une connectivité efficace, d'une transformation numérique inclusive et d'un développement durable pour tous.</w:t>
      </w:r>
    </w:p>
    <w:p w14:paraId="4A1A26C0" w14:textId="21339F5C" w:rsidR="00FF5CBE" w:rsidRPr="00FF6C63" w:rsidRDefault="00FF5CBE" w:rsidP="00F86B83">
      <w:pPr>
        <w:pStyle w:val="Heading1"/>
        <w:rPr>
          <w:rFonts w:cstheme="minorHAnsi"/>
          <w:sz w:val="24"/>
          <w:szCs w:val="24"/>
          <w:lang w:val="fr-FR"/>
        </w:rPr>
      </w:pPr>
      <w:r w:rsidRPr="00FF6C63">
        <w:rPr>
          <w:lang w:val="fr-FR"/>
        </w:rPr>
        <w:t>4</w:t>
      </w:r>
      <w:r w:rsidRPr="00FF6C63">
        <w:rPr>
          <w:lang w:val="fr-FR"/>
        </w:rPr>
        <w:tab/>
        <w:t>Initiatives régionales</w:t>
      </w:r>
    </w:p>
    <w:p w14:paraId="684D6771" w14:textId="68FFB2DE" w:rsidR="00FF5CBE" w:rsidRPr="00FF6C63" w:rsidRDefault="00FF5CBE" w:rsidP="00F86B83">
      <w:pPr>
        <w:rPr>
          <w:rFonts w:cstheme="minorHAnsi"/>
          <w:szCs w:val="24"/>
          <w:lang w:val="fr-FR"/>
        </w:rPr>
      </w:pPr>
      <w:r w:rsidRPr="00FF6C63">
        <w:rPr>
          <w:lang w:val="fr-FR"/>
        </w:rPr>
        <w:t>4.1</w:t>
      </w:r>
      <w:r w:rsidRPr="00FF6C63">
        <w:rPr>
          <w:lang w:val="fr-FR"/>
        </w:rPr>
        <w:tab/>
        <w:t>À la CMDT-25, les membres ont adopté un ensemble complet d'initiatives régionales qui s'inscrivent pleinement dans le Plan d'action de Bakou pour la période 2026-2029. Ces initiatives transposent les priorités mondiales de l'UIT-D en cadres propres à chaque région pour répondre à</w:t>
      </w:r>
      <w:r w:rsidR="005A6FAA" w:rsidRPr="00FF6C63">
        <w:rPr>
          <w:lang w:val="fr-FR"/>
        </w:rPr>
        <w:t> </w:t>
      </w:r>
      <w:r w:rsidRPr="00FF6C63">
        <w:rPr>
          <w:lang w:val="fr-FR"/>
        </w:rPr>
        <w:t xml:space="preserve">un ensemble varié de défis de développement, de niveaux de maturité numérique et d'environnements politiques. Conçues pour être mises en œuvre par le biais de partenariats, de la mobilisation des ressources et de projets ciblés, les initiatives régionales offrent un mécanisme pratique pour produire sur le terrain des retombées mesurables en matière de développement. Ces initiatives viennent renforcer l'approche axée sur les résultats définie dans le </w:t>
      </w:r>
      <w:r w:rsidR="0004566E" w:rsidRPr="00FF6C63">
        <w:rPr>
          <w:lang w:val="fr-FR"/>
        </w:rPr>
        <w:t>p</w:t>
      </w:r>
      <w:r w:rsidRPr="00FF6C63">
        <w:rPr>
          <w:lang w:val="fr-FR"/>
        </w:rPr>
        <w:t>lan d'action tout en garantissant une certaine souplesse, une certaine maîtrise et une certaine harmonisation avec les priorités régionales dans toutes les régions de l'UIT. Au total, la CMDT-25 a approuvé trente initiatives régionales réparties entre les six régions, comme suit:</w:t>
      </w:r>
    </w:p>
    <w:p w14:paraId="7C865621" w14:textId="77777777" w:rsidR="00FF5CBE" w:rsidRPr="00FF6C63" w:rsidRDefault="00FF5CBE" w:rsidP="00F86B83">
      <w:pPr>
        <w:pStyle w:val="Heading2"/>
        <w:rPr>
          <w:rFonts w:cstheme="minorHAnsi"/>
          <w:color w:val="000000"/>
          <w:szCs w:val="24"/>
          <w:lang w:val="fr-FR"/>
        </w:rPr>
      </w:pPr>
      <w:r w:rsidRPr="00FF6C63">
        <w:rPr>
          <w:lang w:val="fr-FR"/>
        </w:rPr>
        <w:t>4.2</w:t>
      </w:r>
      <w:r w:rsidRPr="00FF6C63">
        <w:rPr>
          <w:lang w:val="fr-FR"/>
        </w:rPr>
        <w:tab/>
        <w:t>Région Afrique</w:t>
      </w:r>
    </w:p>
    <w:p w14:paraId="48A32866" w14:textId="42818CD5" w:rsidR="00FF5CBE" w:rsidRPr="00FF6C63" w:rsidRDefault="00F86B83" w:rsidP="00F86B83">
      <w:pPr>
        <w:pStyle w:val="enumlev1"/>
        <w:rPr>
          <w:rFonts w:cstheme="minorHAnsi"/>
          <w:color w:val="000000"/>
          <w:szCs w:val="24"/>
          <w:lang w:val="fr-FR"/>
        </w:rPr>
      </w:pPr>
      <w:r w:rsidRPr="00FF6C63">
        <w:rPr>
          <w:lang w:val="fr-FR"/>
        </w:rPr>
        <w:t>–</w:t>
      </w:r>
      <w:r w:rsidRPr="00FF6C63">
        <w:rPr>
          <w:lang w:val="fr-FR"/>
        </w:rPr>
        <w:tab/>
      </w:r>
      <w:r w:rsidR="00FF5CBE" w:rsidRPr="00FF6C63">
        <w:rPr>
          <w:lang w:val="fr-FR"/>
        </w:rPr>
        <w:t>AFR 1 – Infrastructure numérique résiliente et connectivité universelle, efficace et financièrement abordable au service du développement durable</w:t>
      </w:r>
    </w:p>
    <w:p w14:paraId="3651A700" w14:textId="6CA195EE" w:rsidR="00FF5CBE" w:rsidRPr="00FF6C63" w:rsidRDefault="00F86B83" w:rsidP="00F86B83">
      <w:pPr>
        <w:pStyle w:val="enumlev1"/>
        <w:rPr>
          <w:rFonts w:cstheme="minorHAnsi"/>
          <w:color w:val="000000"/>
          <w:szCs w:val="24"/>
          <w:lang w:val="fr-FR"/>
        </w:rPr>
      </w:pPr>
      <w:r w:rsidRPr="00FF6C63">
        <w:rPr>
          <w:lang w:val="fr-FR"/>
        </w:rPr>
        <w:t>–</w:t>
      </w:r>
      <w:r w:rsidRPr="00FF6C63">
        <w:rPr>
          <w:lang w:val="fr-FR"/>
        </w:rPr>
        <w:tab/>
      </w:r>
      <w:r w:rsidR="00FF5CBE" w:rsidRPr="00FF6C63">
        <w:rPr>
          <w:lang w:val="fr-FR"/>
        </w:rPr>
        <w:t>AFR 2 – Instaurer un écosystème d'intelligence artificielle de confiance et inclusif en Afrique pour favoriser le développement socio-économique</w:t>
      </w:r>
    </w:p>
    <w:p w14:paraId="75806B96" w14:textId="0E01CB5E" w:rsidR="00FF5CBE" w:rsidRPr="00FF6C63" w:rsidRDefault="00F86B83" w:rsidP="00F86B83">
      <w:pPr>
        <w:pStyle w:val="enumlev1"/>
        <w:rPr>
          <w:rFonts w:cstheme="minorHAnsi"/>
          <w:color w:val="000000"/>
          <w:szCs w:val="24"/>
          <w:lang w:val="fr-FR"/>
        </w:rPr>
      </w:pPr>
      <w:r w:rsidRPr="00FF6C63">
        <w:rPr>
          <w:lang w:val="fr-FR"/>
        </w:rPr>
        <w:t>–</w:t>
      </w:r>
      <w:r w:rsidRPr="00FF6C63">
        <w:rPr>
          <w:lang w:val="fr-FR"/>
        </w:rPr>
        <w:tab/>
      </w:r>
      <w:r w:rsidR="00FF5CBE" w:rsidRPr="00FF6C63">
        <w:rPr>
          <w:lang w:val="fr-FR"/>
        </w:rPr>
        <w:t>AFR3 – Renforcer la confiance, la sûreté et la sécurité dans l'utilisation des télécommunications/technologies de l'information et de la communication</w:t>
      </w:r>
    </w:p>
    <w:p w14:paraId="5AAC495C" w14:textId="69BD1B6E" w:rsidR="00FF5CBE" w:rsidRPr="00FF6C63" w:rsidRDefault="00F86B83" w:rsidP="00F86B83">
      <w:pPr>
        <w:pStyle w:val="enumlev1"/>
        <w:rPr>
          <w:rFonts w:cstheme="minorHAnsi"/>
          <w:color w:val="000000"/>
          <w:szCs w:val="24"/>
          <w:lang w:val="fr-FR"/>
        </w:rPr>
      </w:pPr>
      <w:r w:rsidRPr="00FF6C63">
        <w:rPr>
          <w:lang w:val="fr-FR"/>
        </w:rPr>
        <w:t>–</w:t>
      </w:r>
      <w:r w:rsidRPr="00FF6C63">
        <w:rPr>
          <w:lang w:val="fr-FR"/>
        </w:rPr>
        <w:tab/>
      </w:r>
      <w:r w:rsidR="00FF5CBE" w:rsidRPr="00FF6C63">
        <w:rPr>
          <w:lang w:val="fr-FR"/>
        </w:rPr>
        <w:t>AFR4 – Permettre la mise au point d'applications numériques et le développement des micro-entreprises et des petites et moyennes entreprises et des écosystèmes de l'innovation numérique.</w:t>
      </w:r>
    </w:p>
    <w:p w14:paraId="1E872F9B" w14:textId="16D23A88" w:rsidR="00FF5CBE" w:rsidRPr="00FF6C63" w:rsidRDefault="00F86B83" w:rsidP="00F86B83">
      <w:pPr>
        <w:pStyle w:val="enumlev1"/>
        <w:rPr>
          <w:rFonts w:cstheme="minorHAnsi"/>
          <w:color w:val="000000"/>
          <w:szCs w:val="24"/>
          <w:lang w:val="fr-FR"/>
        </w:rPr>
      </w:pPr>
      <w:r w:rsidRPr="00FF6C63">
        <w:rPr>
          <w:lang w:val="fr-FR"/>
        </w:rPr>
        <w:t>–</w:t>
      </w:r>
      <w:r w:rsidRPr="00FF6C63">
        <w:rPr>
          <w:lang w:val="fr-FR"/>
        </w:rPr>
        <w:tab/>
      </w:r>
      <w:r w:rsidR="00FF5CBE" w:rsidRPr="00FF6C63">
        <w:rPr>
          <w:lang w:val="fr-FR"/>
        </w:rPr>
        <w:t>AFR5 – Mécanismes de financement durables pour la transformation numérique de l'Afrique</w:t>
      </w:r>
    </w:p>
    <w:p w14:paraId="433A1756" w14:textId="77777777" w:rsidR="00FF5CBE" w:rsidRPr="00FF6C63" w:rsidRDefault="00FF5CBE" w:rsidP="00F86B83">
      <w:pPr>
        <w:pStyle w:val="Heading2"/>
        <w:rPr>
          <w:rFonts w:cstheme="minorHAnsi"/>
          <w:color w:val="000000"/>
          <w:szCs w:val="24"/>
          <w:lang w:val="fr-FR"/>
        </w:rPr>
      </w:pPr>
      <w:r w:rsidRPr="00FF6C63">
        <w:rPr>
          <w:lang w:val="fr-FR"/>
        </w:rPr>
        <w:t>4.3</w:t>
      </w:r>
      <w:r w:rsidRPr="00FF6C63">
        <w:rPr>
          <w:lang w:val="fr-FR"/>
        </w:rPr>
        <w:tab/>
        <w:t>Région Amériques</w:t>
      </w:r>
    </w:p>
    <w:p w14:paraId="269E29C4" w14:textId="1A1C38A5" w:rsidR="00FF5CBE" w:rsidRPr="00FF6C63" w:rsidRDefault="00F86B83" w:rsidP="00F86B83">
      <w:pPr>
        <w:pStyle w:val="enumlev1"/>
        <w:rPr>
          <w:rFonts w:cstheme="minorHAnsi"/>
          <w:color w:val="000000"/>
          <w:szCs w:val="24"/>
          <w:lang w:val="fr-FR"/>
        </w:rPr>
      </w:pPr>
      <w:r w:rsidRPr="00FF6C63">
        <w:rPr>
          <w:lang w:val="fr-FR"/>
        </w:rPr>
        <w:t>–</w:t>
      </w:r>
      <w:r w:rsidRPr="00FF6C63">
        <w:rPr>
          <w:lang w:val="fr-FR"/>
        </w:rPr>
        <w:tab/>
      </w:r>
      <w:r w:rsidR="00FF5CBE" w:rsidRPr="00FF6C63">
        <w:rPr>
          <w:lang w:val="fr-FR"/>
        </w:rPr>
        <w:t>AMS 1 – Faciliter la résilience des infrastructures pour permettre le déploiement d'une connectivité universelle et efficace</w:t>
      </w:r>
    </w:p>
    <w:p w14:paraId="1CB510C8" w14:textId="47B5BF1F" w:rsidR="00FF5CBE" w:rsidRPr="00FF6C63" w:rsidRDefault="00F86B83" w:rsidP="00F86B83">
      <w:pPr>
        <w:pStyle w:val="enumlev1"/>
        <w:rPr>
          <w:rFonts w:cstheme="minorHAnsi"/>
          <w:color w:val="000000"/>
          <w:szCs w:val="24"/>
          <w:lang w:val="fr-FR"/>
        </w:rPr>
      </w:pPr>
      <w:r w:rsidRPr="00FF6C63">
        <w:rPr>
          <w:lang w:val="fr-FR"/>
        </w:rPr>
        <w:t>–</w:t>
      </w:r>
      <w:r w:rsidRPr="00FF6C63">
        <w:rPr>
          <w:lang w:val="fr-FR"/>
        </w:rPr>
        <w:tab/>
      </w:r>
      <w:r w:rsidR="00FF5CBE" w:rsidRPr="00FF6C63">
        <w:rPr>
          <w:lang w:val="fr-FR"/>
        </w:rPr>
        <w:t>AMS2 – Inclusion numérique, aptitudes/compétences numériques</w:t>
      </w:r>
    </w:p>
    <w:p w14:paraId="6951948E" w14:textId="2271F669" w:rsidR="00FF5CBE" w:rsidRPr="00FF6C63" w:rsidRDefault="00F86B83" w:rsidP="00F86B83">
      <w:pPr>
        <w:pStyle w:val="enumlev1"/>
        <w:rPr>
          <w:rFonts w:cstheme="minorHAnsi"/>
          <w:color w:val="000000"/>
          <w:szCs w:val="24"/>
          <w:lang w:val="fr-FR"/>
        </w:rPr>
      </w:pPr>
      <w:r w:rsidRPr="00FF6C63">
        <w:rPr>
          <w:lang w:val="fr-FR"/>
        </w:rPr>
        <w:t>–</w:t>
      </w:r>
      <w:r w:rsidRPr="00FF6C63">
        <w:rPr>
          <w:lang w:val="fr-FR"/>
        </w:rPr>
        <w:tab/>
      </w:r>
      <w:r w:rsidR="00FF5CBE" w:rsidRPr="00FF6C63">
        <w:rPr>
          <w:lang w:val="fr-FR"/>
        </w:rPr>
        <w:t>AMS 3 – Appui aux écosystèmes numériques innovants et à l'adoption et à l'utilisation des technologies émergentes</w:t>
      </w:r>
    </w:p>
    <w:p w14:paraId="79BD0BDC" w14:textId="0906CE13" w:rsidR="00FF5CBE" w:rsidRPr="00FF6C63" w:rsidRDefault="00F86B83" w:rsidP="00F86B83">
      <w:pPr>
        <w:pStyle w:val="enumlev1"/>
        <w:rPr>
          <w:rFonts w:cstheme="minorHAnsi"/>
          <w:color w:val="000000"/>
          <w:szCs w:val="24"/>
          <w:lang w:val="fr-FR"/>
        </w:rPr>
      </w:pPr>
      <w:r w:rsidRPr="00FF6C63">
        <w:rPr>
          <w:lang w:val="fr-FR"/>
        </w:rPr>
        <w:t>–</w:t>
      </w:r>
      <w:r w:rsidRPr="00FF6C63">
        <w:rPr>
          <w:lang w:val="fr-FR"/>
        </w:rPr>
        <w:tab/>
      </w:r>
      <w:r w:rsidR="00FF5CBE" w:rsidRPr="00FF6C63">
        <w:rPr>
          <w:lang w:val="fr-FR"/>
        </w:rPr>
        <w:t>AMS4 – Promouvoir la cyberrésilience et le renforcement des capacités en matière de cybersécurité et de cyberrésilience</w:t>
      </w:r>
    </w:p>
    <w:p w14:paraId="647CF5EC" w14:textId="651C5DA8" w:rsidR="00FF5CBE" w:rsidRPr="00FF6C63" w:rsidRDefault="00F86B83" w:rsidP="00F86B83">
      <w:pPr>
        <w:pStyle w:val="enumlev1"/>
        <w:rPr>
          <w:rFonts w:cstheme="minorHAnsi"/>
          <w:color w:val="000000"/>
          <w:szCs w:val="24"/>
          <w:lang w:val="fr-FR"/>
        </w:rPr>
      </w:pPr>
      <w:r w:rsidRPr="00FF6C63">
        <w:rPr>
          <w:lang w:val="fr-FR"/>
        </w:rPr>
        <w:t>–</w:t>
      </w:r>
      <w:r w:rsidRPr="00FF6C63">
        <w:rPr>
          <w:lang w:val="fr-FR"/>
        </w:rPr>
        <w:tab/>
      </w:r>
      <w:r w:rsidR="00FF5CBE" w:rsidRPr="00FF6C63">
        <w:rPr>
          <w:lang w:val="fr-FR"/>
        </w:rPr>
        <w:t>AMS 5 – Gouvernance et cadres réglementaires propices à une transformation numérique durable</w:t>
      </w:r>
    </w:p>
    <w:p w14:paraId="28F35A71" w14:textId="77777777" w:rsidR="00FF5CBE" w:rsidRPr="00FF6C63" w:rsidRDefault="00FF5CBE" w:rsidP="00F86B83">
      <w:pPr>
        <w:pStyle w:val="Heading2"/>
        <w:rPr>
          <w:rFonts w:cstheme="minorHAnsi"/>
          <w:color w:val="000000"/>
          <w:szCs w:val="24"/>
          <w:lang w:val="fr-FR"/>
        </w:rPr>
      </w:pPr>
      <w:r w:rsidRPr="00FF6C63">
        <w:rPr>
          <w:lang w:val="fr-FR"/>
        </w:rPr>
        <w:t>4.4</w:t>
      </w:r>
      <w:r w:rsidRPr="00FF6C63">
        <w:rPr>
          <w:lang w:val="fr-FR"/>
        </w:rPr>
        <w:tab/>
        <w:t>Région des États arabes</w:t>
      </w:r>
    </w:p>
    <w:p w14:paraId="1AE1769F" w14:textId="0C41DD10" w:rsidR="00FF5CBE" w:rsidRPr="00FF6C63" w:rsidRDefault="00F86B83" w:rsidP="00F86B83">
      <w:pPr>
        <w:pStyle w:val="enumlev1"/>
        <w:rPr>
          <w:rFonts w:cstheme="minorHAnsi"/>
          <w:color w:val="000000"/>
          <w:szCs w:val="24"/>
          <w:lang w:val="fr-FR"/>
        </w:rPr>
      </w:pPr>
      <w:r w:rsidRPr="00FF6C63">
        <w:rPr>
          <w:lang w:val="fr-FR"/>
        </w:rPr>
        <w:t>–</w:t>
      </w:r>
      <w:r w:rsidRPr="00FF6C63">
        <w:rPr>
          <w:lang w:val="fr-FR"/>
        </w:rPr>
        <w:tab/>
      </w:r>
      <w:r w:rsidR="00FF5CBE" w:rsidRPr="00FF6C63">
        <w:rPr>
          <w:lang w:val="fr-FR"/>
        </w:rPr>
        <w:t>ARB 1 – Une connectivité universelle et efficace pour une croissance inclusive</w:t>
      </w:r>
    </w:p>
    <w:p w14:paraId="569075DF" w14:textId="55CA58EC" w:rsidR="00FF5CBE" w:rsidRPr="00FF6C63" w:rsidRDefault="00F86B83" w:rsidP="00F86B83">
      <w:pPr>
        <w:pStyle w:val="enumlev1"/>
        <w:rPr>
          <w:rFonts w:cstheme="minorHAnsi"/>
          <w:color w:val="000000"/>
          <w:szCs w:val="24"/>
          <w:lang w:val="fr-FR"/>
        </w:rPr>
      </w:pPr>
      <w:r w:rsidRPr="00FF6C63">
        <w:rPr>
          <w:lang w:val="fr-FR"/>
        </w:rPr>
        <w:t>–</w:t>
      </w:r>
      <w:r w:rsidRPr="00FF6C63">
        <w:rPr>
          <w:lang w:val="fr-FR"/>
        </w:rPr>
        <w:tab/>
      </w:r>
      <w:r w:rsidR="00FF5CBE" w:rsidRPr="00FF6C63">
        <w:rPr>
          <w:lang w:val="fr-FR"/>
        </w:rPr>
        <w:t>ARB2 – Promouvoir une transformation numérique durable pour une économie numérique résiliente et inclusive</w:t>
      </w:r>
    </w:p>
    <w:p w14:paraId="7F06CA1E" w14:textId="4EC232B8" w:rsidR="00FF5CBE" w:rsidRPr="00FF6C63" w:rsidRDefault="00F86B83" w:rsidP="00F86B83">
      <w:pPr>
        <w:pStyle w:val="enumlev1"/>
        <w:rPr>
          <w:rFonts w:cstheme="minorHAnsi"/>
          <w:color w:val="000000"/>
          <w:szCs w:val="24"/>
          <w:lang w:val="fr-FR"/>
        </w:rPr>
      </w:pPr>
      <w:r w:rsidRPr="00FF6C63">
        <w:rPr>
          <w:lang w:val="fr-FR"/>
        </w:rPr>
        <w:t>–</w:t>
      </w:r>
      <w:r w:rsidRPr="00FF6C63">
        <w:rPr>
          <w:lang w:val="fr-FR"/>
        </w:rPr>
        <w:tab/>
      </w:r>
      <w:r w:rsidR="00FF5CBE" w:rsidRPr="00FF6C63">
        <w:rPr>
          <w:lang w:val="fr-FR"/>
        </w:rPr>
        <w:t>ARB 3 – Améliorer l'état de préparation et les capacités d'intervention grâce aux télécommunications d'urgence dans la région des États arabes</w:t>
      </w:r>
    </w:p>
    <w:p w14:paraId="4284E67F" w14:textId="0B20A6A5" w:rsidR="00FF5CBE" w:rsidRPr="00FF6C63" w:rsidRDefault="00F86B83" w:rsidP="00F86B83">
      <w:pPr>
        <w:pStyle w:val="enumlev1"/>
        <w:rPr>
          <w:rFonts w:cstheme="minorHAnsi"/>
          <w:color w:val="000000"/>
          <w:szCs w:val="24"/>
          <w:lang w:val="fr-FR"/>
        </w:rPr>
      </w:pPr>
      <w:r w:rsidRPr="00FF6C63">
        <w:rPr>
          <w:lang w:val="fr-FR"/>
        </w:rPr>
        <w:t>–</w:t>
      </w:r>
      <w:r w:rsidRPr="00FF6C63">
        <w:rPr>
          <w:lang w:val="fr-FR"/>
        </w:rPr>
        <w:tab/>
      </w:r>
      <w:r w:rsidR="00FF5CBE" w:rsidRPr="00FF6C63">
        <w:rPr>
          <w:lang w:val="fr-FR"/>
        </w:rPr>
        <w:t>ARB 4 – Les écosystèmes de l'innovation pour stimuler l'adoption et la croissance des technologies émergentes, notamment de l'intelligence artificielle</w:t>
      </w:r>
    </w:p>
    <w:p w14:paraId="7F8B6AE1" w14:textId="7EA5CDB2" w:rsidR="00FF5CBE" w:rsidRPr="00FF6C63" w:rsidRDefault="00F86B83" w:rsidP="00F86B83">
      <w:pPr>
        <w:pStyle w:val="enumlev1"/>
        <w:rPr>
          <w:rFonts w:cstheme="minorHAnsi"/>
          <w:color w:val="000000"/>
          <w:szCs w:val="24"/>
          <w:lang w:val="fr-FR"/>
        </w:rPr>
      </w:pPr>
      <w:r w:rsidRPr="00FF6C63">
        <w:rPr>
          <w:lang w:val="fr-FR"/>
        </w:rPr>
        <w:t>–</w:t>
      </w:r>
      <w:r w:rsidRPr="00FF6C63">
        <w:rPr>
          <w:lang w:val="fr-FR"/>
        </w:rPr>
        <w:tab/>
      </w:r>
      <w:r w:rsidR="00FF5CBE" w:rsidRPr="00FF6C63">
        <w:rPr>
          <w:lang w:val="fr-FR"/>
        </w:rPr>
        <w:t>ARB 5 – La résilience en matière de cybersécurité pour l'avenir du numérique dans les États arabes</w:t>
      </w:r>
    </w:p>
    <w:p w14:paraId="2290244A" w14:textId="77777777" w:rsidR="00FF5CBE" w:rsidRPr="00FF6C63" w:rsidRDefault="00FF5CBE" w:rsidP="00F86B83">
      <w:pPr>
        <w:pStyle w:val="Heading2"/>
        <w:rPr>
          <w:rFonts w:cstheme="minorHAnsi"/>
          <w:color w:val="000000"/>
          <w:szCs w:val="24"/>
          <w:lang w:val="fr-FR"/>
        </w:rPr>
      </w:pPr>
      <w:r w:rsidRPr="00FF6C63">
        <w:rPr>
          <w:lang w:val="fr-FR"/>
        </w:rPr>
        <w:t>4.5</w:t>
      </w:r>
      <w:r w:rsidRPr="00FF6C63">
        <w:rPr>
          <w:lang w:val="fr-FR"/>
        </w:rPr>
        <w:tab/>
        <w:t>Région Asie-Pacifique</w:t>
      </w:r>
    </w:p>
    <w:p w14:paraId="0ECCE9C0" w14:textId="394FC281" w:rsidR="00FF5CBE" w:rsidRPr="00FF6C63" w:rsidRDefault="00F86B83" w:rsidP="00F86B83">
      <w:pPr>
        <w:pStyle w:val="enumlev1"/>
        <w:rPr>
          <w:rFonts w:cstheme="minorHAnsi"/>
          <w:color w:val="000000"/>
          <w:szCs w:val="24"/>
          <w:lang w:val="fr-FR"/>
        </w:rPr>
      </w:pPr>
      <w:r w:rsidRPr="00FF6C63">
        <w:rPr>
          <w:lang w:val="fr-FR"/>
        </w:rPr>
        <w:t>–</w:t>
      </w:r>
      <w:r w:rsidRPr="00FF6C63">
        <w:rPr>
          <w:lang w:val="fr-FR"/>
        </w:rPr>
        <w:tab/>
      </w:r>
      <w:r w:rsidR="00FF5CBE" w:rsidRPr="00FF6C63">
        <w:rPr>
          <w:lang w:val="fr-FR"/>
        </w:rPr>
        <w:t>ASP1 – Répondre aux besoins particuliers des pays les moins avancés, des</w:t>
      </w:r>
      <w:r w:rsidR="005A6FAA" w:rsidRPr="00FF6C63">
        <w:rPr>
          <w:lang w:val="fr-FR"/>
        </w:rPr>
        <w:t> </w:t>
      </w:r>
      <w:r w:rsidR="00FF5CBE" w:rsidRPr="00FF6C63">
        <w:rPr>
          <w:lang w:val="fr-FR"/>
        </w:rPr>
        <w:t>petits</w:t>
      </w:r>
      <w:r w:rsidR="005A6FAA" w:rsidRPr="00FF6C63">
        <w:rPr>
          <w:lang w:val="fr-FR"/>
        </w:rPr>
        <w:t> </w:t>
      </w:r>
      <w:r w:rsidR="00FF5CBE" w:rsidRPr="00FF6C63">
        <w:rPr>
          <w:lang w:val="fr-FR"/>
        </w:rPr>
        <w:t>États</w:t>
      </w:r>
      <w:r w:rsidR="005A6FAA" w:rsidRPr="00FF6C63">
        <w:rPr>
          <w:lang w:val="fr-FR"/>
        </w:rPr>
        <w:t> </w:t>
      </w:r>
      <w:r w:rsidR="00FF5CBE" w:rsidRPr="00FF6C63">
        <w:rPr>
          <w:lang w:val="fr-FR"/>
        </w:rPr>
        <w:t>insulaires en développement et des pays en développement sans littoral</w:t>
      </w:r>
    </w:p>
    <w:p w14:paraId="66302D6F" w14:textId="2844A05C" w:rsidR="00FF5CBE" w:rsidRPr="00FF6C63" w:rsidRDefault="00F86B83" w:rsidP="00F86B83">
      <w:pPr>
        <w:pStyle w:val="enumlev1"/>
        <w:rPr>
          <w:rFonts w:cstheme="minorHAnsi"/>
          <w:color w:val="000000"/>
          <w:szCs w:val="24"/>
          <w:lang w:val="fr-FR"/>
        </w:rPr>
      </w:pPr>
      <w:r w:rsidRPr="00FF6C63">
        <w:rPr>
          <w:lang w:val="fr-FR"/>
        </w:rPr>
        <w:t>–</w:t>
      </w:r>
      <w:r w:rsidRPr="00FF6C63">
        <w:rPr>
          <w:lang w:val="fr-FR"/>
        </w:rPr>
        <w:tab/>
      </w:r>
      <w:r w:rsidR="00FF5CBE" w:rsidRPr="00FF6C63">
        <w:rPr>
          <w:lang w:val="fr-FR"/>
        </w:rPr>
        <w:t>ASP2 – Tirer parti des télécommunications/technologies de l'information et de la communication pour appuyer une transformation numérique inclusive et durable</w:t>
      </w:r>
    </w:p>
    <w:p w14:paraId="614BEE7D" w14:textId="6BC8ADE7" w:rsidR="00FF5CBE" w:rsidRPr="00FF6C63" w:rsidRDefault="00F86B83" w:rsidP="00F86B83">
      <w:pPr>
        <w:pStyle w:val="enumlev1"/>
        <w:rPr>
          <w:rFonts w:cstheme="minorHAnsi"/>
          <w:color w:val="000000"/>
          <w:szCs w:val="24"/>
          <w:lang w:val="fr-FR"/>
        </w:rPr>
      </w:pPr>
      <w:r w:rsidRPr="00FF6C63">
        <w:rPr>
          <w:lang w:val="fr-FR"/>
        </w:rPr>
        <w:t>–</w:t>
      </w:r>
      <w:r w:rsidRPr="00FF6C63">
        <w:rPr>
          <w:lang w:val="fr-FR"/>
        </w:rPr>
        <w:tab/>
      </w:r>
      <w:r w:rsidR="00FF5CBE" w:rsidRPr="00FF6C63">
        <w:rPr>
          <w:lang w:val="fr-FR"/>
        </w:rPr>
        <w:t>ASP3 – Promouvoir le développement des infrastructures pour améliorer la connectivité numérique et connecter ceux qui ne le sont pas encore</w:t>
      </w:r>
    </w:p>
    <w:p w14:paraId="39091238" w14:textId="0CC477DF" w:rsidR="00FF5CBE" w:rsidRPr="00FF6C63" w:rsidRDefault="00F86B83" w:rsidP="00F86B83">
      <w:pPr>
        <w:pStyle w:val="enumlev1"/>
        <w:rPr>
          <w:rFonts w:cstheme="minorHAnsi"/>
          <w:color w:val="000000"/>
          <w:szCs w:val="24"/>
          <w:lang w:val="fr-FR"/>
        </w:rPr>
      </w:pPr>
      <w:r w:rsidRPr="00FF6C63">
        <w:rPr>
          <w:lang w:val="fr-FR"/>
        </w:rPr>
        <w:t>–</w:t>
      </w:r>
      <w:r w:rsidRPr="00FF6C63">
        <w:rPr>
          <w:lang w:val="fr-FR"/>
        </w:rPr>
        <w:tab/>
      </w:r>
      <w:r w:rsidR="00FF5CBE" w:rsidRPr="00FF6C63">
        <w:rPr>
          <w:lang w:val="fr-FR"/>
        </w:rPr>
        <w:t>ASP4 – Permettre la mise en place d'un secteur des télécommunications/technologies de l'information et de la communication innovant et durable</w:t>
      </w:r>
    </w:p>
    <w:p w14:paraId="2C0CBBE5" w14:textId="6C4EC983" w:rsidR="00FF5CBE" w:rsidRPr="00FF6C63" w:rsidRDefault="00F86B83" w:rsidP="00F86B83">
      <w:pPr>
        <w:pStyle w:val="enumlev1"/>
        <w:rPr>
          <w:rFonts w:cstheme="minorHAnsi"/>
          <w:color w:val="000000"/>
          <w:szCs w:val="24"/>
          <w:lang w:val="fr-FR"/>
        </w:rPr>
      </w:pPr>
      <w:r w:rsidRPr="00FF6C63">
        <w:rPr>
          <w:lang w:val="fr-FR"/>
        </w:rPr>
        <w:t>–</w:t>
      </w:r>
      <w:r w:rsidRPr="00FF6C63">
        <w:rPr>
          <w:lang w:val="fr-FR"/>
        </w:rPr>
        <w:tab/>
      </w:r>
      <w:r w:rsidR="00FF5CBE" w:rsidRPr="00FF6C63">
        <w:rPr>
          <w:lang w:val="fr-FR"/>
        </w:rPr>
        <w:t>ASP5 – Appuyer un environnement des télécommunications/technologies de l'information et de la communication sûr, sécurisé et résilient</w:t>
      </w:r>
    </w:p>
    <w:p w14:paraId="7F9119F4" w14:textId="77777777" w:rsidR="00FF5CBE" w:rsidRPr="00FF6C63" w:rsidRDefault="00FF5CBE" w:rsidP="00F86B83">
      <w:pPr>
        <w:pStyle w:val="Heading2"/>
        <w:rPr>
          <w:rFonts w:cstheme="minorHAnsi"/>
          <w:color w:val="000000"/>
          <w:szCs w:val="24"/>
          <w:lang w:val="fr-FR"/>
        </w:rPr>
      </w:pPr>
      <w:r w:rsidRPr="00FF6C63">
        <w:rPr>
          <w:lang w:val="fr-FR"/>
        </w:rPr>
        <w:t>4.6</w:t>
      </w:r>
      <w:r w:rsidRPr="00FF6C63">
        <w:rPr>
          <w:lang w:val="fr-FR"/>
        </w:rPr>
        <w:tab/>
        <w:t>Région de la CEI</w:t>
      </w:r>
    </w:p>
    <w:p w14:paraId="7C9D96B4" w14:textId="259599D5" w:rsidR="00FF5CBE" w:rsidRPr="00FF6C63" w:rsidRDefault="00F86B83" w:rsidP="00F86B83">
      <w:pPr>
        <w:pStyle w:val="enumlev1"/>
        <w:rPr>
          <w:rFonts w:cstheme="minorHAnsi"/>
          <w:color w:val="000000"/>
          <w:szCs w:val="24"/>
          <w:lang w:val="fr-FR"/>
        </w:rPr>
      </w:pPr>
      <w:r w:rsidRPr="00FF6C63">
        <w:rPr>
          <w:lang w:val="fr-FR"/>
        </w:rPr>
        <w:t>–</w:t>
      </w:r>
      <w:r w:rsidRPr="00FF6C63">
        <w:rPr>
          <w:lang w:val="fr-FR"/>
        </w:rPr>
        <w:tab/>
      </w:r>
      <w:r w:rsidR="00FF5CBE" w:rsidRPr="00FF6C63">
        <w:rPr>
          <w:lang w:val="fr-FR"/>
        </w:rPr>
        <w:t>CEI1 – Mise en œuvre de systèmes et de réseaux de télécommunication/technologies de l'information et de la communication nouveaux et émergents</w:t>
      </w:r>
    </w:p>
    <w:p w14:paraId="44AB7B57" w14:textId="773B41F0" w:rsidR="00FF5CBE" w:rsidRPr="00FF6C63" w:rsidRDefault="00F86B83" w:rsidP="00F86B83">
      <w:pPr>
        <w:pStyle w:val="enumlev1"/>
        <w:rPr>
          <w:rFonts w:cstheme="minorHAnsi"/>
          <w:color w:val="000000"/>
          <w:szCs w:val="24"/>
          <w:lang w:val="fr-FR"/>
        </w:rPr>
      </w:pPr>
      <w:r w:rsidRPr="00FF6C63">
        <w:rPr>
          <w:lang w:val="fr-FR"/>
        </w:rPr>
        <w:t>–</w:t>
      </w:r>
      <w:r w:rsidRPr="00FF6C63">
        <w:rPr>
          <w:lang w:val="fr-FR"/>
        </w:rPr>
        <w:tab/>
      </w:r>
      <w:r w:rsidR="00FF5CBE" w:rsidRPr="00FF6C63">
        <w:rPr>
          <w:lang w:val="fr-FR"/>
        </w:rPr>
        <w:t>CEI2 – Éducation et renforcement des compétences dans le domaine des télécommunications/technologies de l'information et de la communication, y compris pour les personnes handicapées et les personnes ayant des besoins particuliers</w:t>
      </w:r>
    </w:p>
    <w:p w14:paraId="01A78D81" w14:textId="375D91EB" w:rsidR="00FF5CBE" w:rsidRPr="00FF6C63" w:rsidRDefault="00F86B83" w:rsidP="00F86B83">
      <w:pPr>
        <w:pStyle w:val="enumlev1"/>
        <w:rPr>
          <w:rFonts w:cstheme="minorHAnsi"/>
          <w:color w:val="000000"/>
          <w:szCs w:val="24"/>
          <w:lang w:val="fr-FR"/>
        </w:rPr>
      </w:pPr>
      <w:r w:rsidRPr="00FF6C63">
        <w:rPr>
          <w:lang w:val="fr-FR"/>
        </w:rPr>
        <w:t>–</w:t>
      </w:r>
      <w:r w:rsidRPr="00FF6C63">
        <w:rPr>
          <w:lang w:val="fr-FR"/>
        </w:rPr>
        <w:tab/>
      </w:r>
      <w:r w:rsidR="00FF5CBE" w:rsidRPr="00FF6C63">
        <w:rPr>
          <w:lang w:val="fr-FR"/>
        </w:rPr>
        <w:t>CEI3 – Sécurité dans l'utilisation des télécommunications/technologies de l'information et de la communication, y compris la lutte contre la fraude</w:t>
      </w:r>
    </w:p>
    <w:p w14:paraId="13EC39A0" w14:textId="1BB3B66C" w:rsidR="00FF5CBE" w:rsidRPr="00FF6C63" w:rsidRDefault="00F86B83" w:rsidP="00F86B83">
      <w:pPr>
        <w:pStyle w:val="enumlev1"/>
        <w:rPr>
          <w:rFonts w:cstheme="minorHAnsi"/>
          <w:color w:val="000000"/>
          <w:szCs w:val="24"/>
          <w:lang w:val="fr-FR"/>
        </w:rPr>
      </w:pPr>
      <w:r w:rsidRPr="00FF6C63">
        <w:rPr>
          <w:lang w:val="fr-FR"/>
        </w:rPr>
        <w:t>–</w:t>
      </w:r>
      <w:r w:rsidRPr="00FF6C63">
        <w:rPr>
          <w:lang w:val="fr-FR"/>
        </w:rPr>
        <w:tab/>
      </w:r>
      <w:r w:rsidR="00FF5CBE" w:rsidRPr="00FF6C63">
        <w:rPr>
          <w:lang w:val="fr-FR"/>
        </w:rPr>
        <w:t>CEI4 – Création d'un environnement propice et réglementation des télécommunications/technologies de l'information et de la communication</w:t>
      </w:r>
    </w:p>
    <w:p w14:paraId="686B6599" w14:textId="5869FCBD" w:rsidR="00FF5CBE" w:rsidRPr="00FF6C63" w:rsidRDefault="00F86B83" w:rsidP="00F86B83">
      <w:pPr>
        <w:pStyle w:val="enumlev1"/>
        <w:rPr>
          <w:rFonts w:cstheme="minorHAnsi"/>
          <w:color w:val="000000"/>
          <w:szCs w:val="24"/>
          <w:lang w:val="fr-FR"/>
        </w:rPr>
      </w:pPr>
      <w:r w:rsidRPr="00FF6C63">
        <w:rPr>
          <w:lang w:val="fr-FR"/>
        </w:rPr>
        <w:t>–</w:t>
      </w:r>
      <w:r w:rsidRPr="00FF6C63">
        <w:rPr>
          <w:lang w:val="fr-FR"/>
        </w:rPr>
        <w:tab/>
      </w:r>
      <w:r w:rsidR="00FF5CBE" w:rsidRPr="00FF6C63">
        <w:rPr>
          <w:lang w:val="fr-FR"/>
        </w:rPr>
        <w:t>CEI5 – Développement et mise en œuvre de technologies d'intelligence artificielle</w:t>
      </w:r>
    </w:p>
    <w:p w14:paraId="7B2585F1" w14:textId="77777777" w:rsidR="00FF5CBE" w:rsidRPr="00FF6C63" w:rsidRDefault="00FF5CBE" w:rsidP="00F86B83">
      <w:pPr>
        <w:pStyle w:val="Heading2"/>
        <w:rPr>
          <w:rFonts w:cstheme="minorHAnsi"/>
          <w:color w:val="000000"/>
          <w:szCs w:val="24"/>
          <w:lang w:val="fr-FR"/>
        </w:rPr>
      </w:pPr>
      <w:r w:rsidRPr="00FF6C63">
        <w:rPr>
          <w:lang w:val="fr-FR"/>
        </w:rPr>
        <w:t>4.7</w:t>
      </w:r>
      <w:r w:rsidRPr="00FF6C63">
        <w:rPr>
          <w:lang w:val="fr-FR"/>
        </w:rPr>
        <w:tab/>
        <w:t>Région Europe</w:t>
      </w:r>
    </w:p>
    <w:p w14:paraId="69907186" w14:textId="7511BEA4" w:rsidR="00FF5CBE" w:rsidRPr="00FF6C63" w:rsidRDefault="00F86B83" w:rsidP="00F86B83">
      <w:pPr>
        <w:pStyle w:val="enumlev1"/>
        <w:rPr>
          <w:rFonts w:cstheme="minorHAnsi"/>
          <w:color w:val="000000"/>
          <w:szCs w:val="24"/>
          <w:lang w:val="fr-FR"/>
        </w:rPr>
      </w:pPr>
      <w:r w:rsidRPr="00FF6C63">
        <w:rPr>
          <w:lang w:val="fr-FR"/>
        </w:rPr>
        <w:t>–</w:t>
      </w:r>
      <w:r w:rsidRPr="00FF6C63">
        <w:rPr>
          <w:lang w:val="fr-FR"/>
        </w:rPr>
        <w:tab/>
      </w:r>
      <w:r w:rsidR="00FF5CBE" w:rsidRPr="00FF6C63">
        <w:rPr>
          <w:lang w:val="fr-FR"/>
        </w:rPr>
        <w:t>EUR1 – Développement de l'infrastructure numérique</w:t>
      </w:r>
    </w:p>
    <w:p w14:paraId="65600F00" w14:textId="44CB8D91" w:rsidR="00FF5CBE" w:rsidRPr="00FF6C63" w:rsidRDefault="00F86B83" w:rsidP="00F86B83">
      <w:pPr>
        <w:pStyle w:val="enumlev1"/>
        <w:rPr>
          <w:rFonts w:cstheme="minorHAnsi"/>
          <w:color w:val="000000"/>
          <w:szCs w:val="24"/>
          <w:lang w:val="fr-FR"/>
        </w:rPr>
      </w:pPr>
      <w:r w:rsidRPr="00FF6C63">
        <w:rPr>
          <w:lang w:val="fr-FR"/>
        </w:rPr>
        <w:t>–</w:t>
      </w:r>
      <w:r w:rsidRPr="00FF6C63">
        <w:rPr>
          <w:lang w:val="fr-FR"/>
        </w:rPr>
        <w:tab/>
      </w:r>
      <w:r w:rsidR="00FF5CBE" w:rsidRPr="00FF6C63">
        <w:rPr>
          <w:lang w:val="fr-FR"/>
        </w:rPr>
        <w:t>EUR2 – La transformation numérique au service de la résilience</w:t>
      </w:r>
    </w:p>
    <w:p w14:paraId="312C4D5D" w14:textId="5002D468" w:rsidR="00FF5CBE" w:rsidRPr="00FF6C63" w:rsidRDefault="00F86B83" w:rsidP="00F86B83">
      <w:pPr>
        <w:pStyle w:val="enumlev1"/>
        <w:rPr>
          <w:rFonts w:cstheme="minorHAnsi"/>
          <w:color w:val="000000"/>
          <w:szCs w:val="24"/>
          <w:lang w:val="fr-FR"/>
        </w:rPr>
      </w:pPr>
      <w:r w:rsidRPr="00FF6C63">
        <w:rPr>
          <w:lang w:val="fr-FR"/>
        </w:rPr>
        <w:t>–</w:t>
      </w:r>
      <w:r w:rsidRPr="00FF6C63">
        <w:rPr>
          <w:lang w:val="fr-FR"/>
        </w:rPr>
        <w:tab/>
      </w:r>
      <w:r w:rsidR="00FF5CBE" w:rsidRPr="00FF6C63">
        <w:rPr>
          <w:lang w:val="fr-FR"/>
        </w:rPr>
        <w:t>EUR3 – Inclusion numérique et renforcement des compétences</w:t>
      </w:r>
    </w:p>
    <w:p w14:paraId="0BA0C4E0" w14:textId="179B86BB" w:rsidR="00FF5CBE" w:rsidRPr="00FF6C63" w:rsidRDefault="00F86B83" w:rsidP="00F86B83">
      <w:pPr>
        <w:pStyle w:val="enumlev1"/>
        <w:rPr>
          <w:rFonts w:cstheme="minorHAnsi"/>
          <w:color w:val="000000"/>
          <w:szCs w:val="24"/>
          <w:lang w:val="fr-FR"/>
        </w:rPr>
      </w:pPr>
      <w:r w:rsidRPr="00FF6C63">
        <w:rPr>
          <w:lang w:val="fr-FR"/>
        </w:rPr>
        <w:t>–</w:t>
      </w:r>
      <w:r w:rsidRPr="00FF6C63">
        <w:rPr>
          <w:lang w:val="fr-FR"/>
        </w:rPr>
        <w:tab/>
      </w:r>
      <w:r w:rsidR="00FF5CBE" w:rsidRPr="00FF6C63">
        <w:rPr>
          <w:lang w:val="fr-FR"/>
        </w:rPr>
        <w:t>EUR4 – Confiance dans l'utilisation des télécommunications/technologies de l'information et de la communication</w:t>
      </w:r>
    </w:p>
    <w:p w14:paraId="31AD81EB" w14:textId="448C6B75" w:rsidR="00FF5CBE" w:rsidRPr="00FF6C63" w:rsidRDefault="00F86B83" w:rsidP="00F86B83">
      <w:pPr>
        <w:pStyle w:val="enumlev1"/>
        <w:rPr>
          <w:rFonts w:cstheme="minorHAnsi"/>
          <w:color w:val="000000"/>
          <w:szCs w:val="24"/>
          <w:lang w:val="fr-FR"/>
        </w:rPr>
      </w:pPr>
      <w:r w:rsidRPr="00FF6C63">
        <w:rPr>
          <w:lang w:val="fr-FR"/>
        </w:rPr>
        <w:t>–</w:t>
      </w:r>
      <w:r w:rsidRPr="00FF6C63">
        <w:rPr>
          <w:lang w:val="fr-FR"/>
        </w:rPr>
        <w:tab/>
      </w:r>
      <w:r w:rsidR="00FF5CBE" w:rsidRPr="00FF6C63">
        <w:rPr>
          <w:lang w:val="fr-FR"/>
        </w:rPr>
        <w:t>EUR5 – Écosystèmes de l'innovation numérique</w:t>
      </w:r>
    </w:p>
    <w:p w14:paraId="685DE537" w14:textId="77777777" w:rsidR="00FF5CBE" w:rsidRPr="00FF6C63" w:rsidRDefault="00FF5CBE" w:rsidP="00F86B83">
      <w:pPr>
        <w:rPr>
          <w:rFonts w:cstheme="minorHAnsi"/>
          <w:szCs w:val="24"/>
          <w:lang w:val="fr-FR"/>
        </w:rPr>
      </w:pPr>
      <w:r w:rsidRPr="00FF6C63">
        <w:rPr>
          <w:lang w:val="fr-FR"/>
        </w:rPr>
        <w:t>Les initiatives régionales ont une portée plus précise que les priorités de haut niveau de l'UIT-D, dans le cadre des priorités stratégiques globales de l'UIT. Des descriptions détaillées des résultats attendus au titre de chaque initiative régionale ont été définies par les régions et approuvées par la CMDT-25, afin de cibler davantage les travaux de l'UIT-D dans la région concernée.</w:t>
      </w:r>
    </w:p>
    <w:p w14:paraId="752F6ECE" w14:textId="5A0331D5" w:rsidR="00FF5CBE" w:rsidRPr="00FF6C63" w:rsidRDefault="00FF5CBE" w:rsidP="00F86B83">
      <w:pPr>
        <w:pStyle w:val="Heading1"/>
        <w:rPr>
          <w:rFonts w:cstheme="minorHAnsi"/>
          <w:sz w:val="24"/>
          <w:szCs w:val="24"/>
          <w:lang w:val="fr-FR"/>
        </w:rPr>
      </w:pPr>
      <w:r w:rsidRPr="00FF6C63">
        <w:rPr>
          <w:lang w:val="fr-FR"/>
        </w:rPr>
        <w:t>5</w:t>
      </w:r>
      <w:r w:rsidRPr="00FF6C63">
        <w:rPr>
          <w:lang w:val="fr-FR"/>
        </w:rPr>
        <w:tab/>
        <w:t>Questions confiées aux commissions d'études de l'UIT-D</w:t>
      </w:r>
    </w:p>
    <w:p w14:paraId="37BAD065" w14:textId="1174BBA4" w:rsidR="00FF5CBE" w:rsidRPr="00FF6C63" w:rsidRDefault="00FF5CBE" w:rsidP="00F86B83">
      <w:pPr>
        <w:rPr>
          <w:rFonts w:cstheme="minorHAnsi"/>
          <w:color w:val="000000"/>
          <w:szCs w:val="24"/>
          <w:lang w:val="fr-FR"/>
        </w:rPr>
      </w:pPr>
      <w:r w:rsidRPr="00FF6C63">
        <w:rPr>
          <w:lang w:val="fr-FR"/>
        </w:rPr>
        <w:t xml:space="preserve">La CMDT-25 a révisé les Questions actuellement à l'étude au sein de l'UIT-D et formulé une nouvelle série de Questions, ce qui porte à dix </w:t>
      </w:r>
      <w:r w:rsidR="0004566E" w:rsidRPr="00FF6C63">
        <w:rPr>
          <w:lang w:val="fr-FR"/>
        </w:rPr>
        <w:t xml:space="preserve">(10) </w:t>
      </w:r>
      <w:r w:rsidRPr="00FF6C63">
        <w:rPr>
          <w:lang w:val="fr-FR"/>
        </w:rPr>
        <w:t>le nombre total de Questions à l'étude pour la période 2026-2029.</w:t>
      </w:r>
    </w:p>
    <w:p w14:paraId="14D97A67" w14:textId="77777777" w:rsidR="00FF5CBE" w:rsidRPr="00FF6C63" w:rsidRDefault="00FF5CBE" w:rsidP="00F86B83">
      <w:pPr>
        <w:pStyle w:val="Tabletitle"/>
        <w:rPr>
          <w:rFonts w:cstheme="minorHAnsi"/>
          <w:color w:val="000000"/>
          <w:lang w:val="fr-FR"/>
        </w:rPr>
      </w:pPr>
      <w:r w:rsidRPr="00FF6C63">
        <w:rPr>
          <w:lang w:val="fr-FR"/>
        </w:rPr>
        <w:t>Commission d'études 1</w:t>
      </w:r>
    </w:p>
    <w:tbl>
      <w:tblPr>
        <w:tblpPr w:leftFromText="180" w:rightFromText="180" w:vertAnchor="text" w:tblpXSpec="center"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99"/>
        <w:gridCol w:w="4817"/>
        <w:gridCol w:w="3113"/>
      </w:tblGrid>
      <w:tr w:rsidR="00FF5CBE" w:rsidRPr="00FF6C63" w14:paraId="7E720A4D" w14:textId="77777777" w:rsidTr="00F4581B">
        <w:tc>
          <w:tcPr>
            <w:tcW w:w="1699" w:type="dxa"/>
            <w:tcBorders>
              <w:bottom w:val="single" w:sz="4" w:space="0" w:color="auto"/>
            </w:tcBorders>
            <w:hideMark/>
          </w:tcPr>
          <w:p w14:paraId="76396E5F" w14:textId="77777777" w:rsidR="00FF5CBE" w:rsidRPr="00FF6C63" w:rsidRDefault="00FF5CBE" w:rsidP="00F86B83">
            <w:pPr>
              <w:pStyle w:val="Tablehead"/>
              <w:rPr>
                <w:lang w:val="fr-FR"/>
              </w:rPr>
            </w:pPr>
            <w:r w:rsidRPr="00FF6C63">
              <w:rPr>
                <w:lang w:val="fr-FR"/>
              </w:rPr>
              <w:t>Nouveau numéro</w:t>
            </w:r>
          </w:p>
        </w:tc>
        <w:tc>
          <w:tcPr>
            <w:tcW w:w="4817" w:type="dxa"/>
            <w:tcBorders>
              <w:bottom w:val="single" w:sz="4" w:space="0" w:color="auto"/>
            </w:tcBorders>
            <w:hideMark/>
          </w:tcPr>
          <w:p w14:paraId="144C321E" w14:textId="77777777" w:rsidR="00FF5CBE" w:rsidRPr="00FF6C63" w:rsidRDefault="00FF5CBE" w:rsidP="00F86B83">
            <w:pPr>
              <w:pStyle w:val="Tablehead"/>
              <w:rPr>
                <w:lang w:val="fr-FR"/>
              </w:rPr>
            </w:pPr>
            <w:r w:rsidRPr="00FF6C63">
              <w:rPr>
                <w:lang w:val="fr-FR"/>
              </w:rPr>
              <w:t>Titre</w:t>
            </w:r>
          </w:p>
        </w:tc>
        <w:tc>
          <w:tcPr>
            <w:tcW w:w="3113" w:type="dxa"/>
            <w:tcBorders>
              <w:bottom w:val="single" w:sz="4" w:space="0" w:color="auto"/>
            </w:tcBorders>
            <w:hideMark/>
          </w:tcPr>
          <w:p w14:paraId="4A2B6943" w14:textId="77777777" w:rsidR="00FF5CBE" w:rsidRPr="00FF6C63" w:rsidRDefault="00FF5CBE" w:rsidP="00F86B83">
            <w:pPr>
              <w:pStyle w:val="Tablehead"/>
              <w:rPr>
                <w:lang w:val="fr-FR"/>
              </w:rPr>
            </w:pPr>
            <w:r w:rsidRPr="00FF6C63">
              <w:rPr>
                <w:lang w:val="fr-FR"/>
              </w:rPr>
              <w:t>Source</w:t>
            </w:r>
          </w:p>
        </w:tc>
      </w:tr>
      <w:tr w:rsidR="00FF5CBE" w:rsidRPr="00FF6C63" w14:paraId="1B95378D" w14:textId="77777777" w:rsidTr="00F4581B">
        <w:tc>
          <w:tcPr>
            <w:tcW w:w="1699" w:type="dxa"/>
            <w:hideMark/>
          </w:tcPr>
          <w:p w14:paraId="78021971" w14:textId="77777777" w:rsidR="00FF5CBE" w:rsidRPr="00FF6C63" w:rsidRDefault="00FF5CBE" w:rsidP="00F86B83">
            <w:pPr>
              <w:pStyle w:val="Tabletext"/>
              <w:jc w:val="center"/>
              <w:rPr>
                <w:b/>
                <w:bCs/>
                <w:szCs w:val="22"/>
                <w:lang w:val="fr-FR"/>
              </w:rPr>
            </w:pPr>
            <w:r w:rsidRPr="00FF6C63">
              <w:rPr>
                <w:b/>
                <w:bCs/>
                <w:lang w:val="fr-FR"/>
              </w:rPr>
              <w:t>Q1/1</w:t>
            </w:r>
          </w:p>
        </w:tc>
        <w:tc>
          <w:tcPr>
            <w:tcW w:w="4817" w:type="dxa"/>
          </w:tcPr>
          <w:p w14:paraId="0396EC6E" w14:textId="77777777" w:rsidR="00FF5CBE" w:rsidRPr="00FF6C63" w:rsidRDefault="00FF5CBE" w:rsidP="00F86B83">
            <w:pPr>
              <w:pStyle w:val="Tabletext"/>
              <w:rPr>
                <w:szCs w:val="22"/>
                <w:lang w:val="fr-FR"/>
              </w:rPr>
            </w:pPr>
            <w:r w:rsidRPr="00FF6C63">
              <w:rPr>
                <w:lang w:val="fr-FR"/>
              </w:rPr>
              <w:t>Politiques et stratégies propres à garantir une connectivité universelle, en particulier dans les zones mal desservies, isolées et rurales</w:t>
            </w:r>
          </w:p>
        </w:tc>
        <w:tc>
          <w:tcPr>
            <w:tcW w:w="3113" w:type="dxa"/>
          </w:tcPr>
          <w:p w14:paraId="4FF8EC7C" w14:textId="01AB3F60" w:rsidR="00FF5CBE" w:rsidRPr="00FF6C63" w:rsidRDefault="00FF5CBE" w:rsidP="00F86B83">
            <w:pPr>
              <w:pStyle w:val="Tabletext"/>
              <w:rPr>
                <w:szCs w:val="22"/>
                <w:lang w:val="fr-FR"/>
              </w:rPr>
            </w:pPr>
            <w:r w:rsidRPr="00FF6C63">
              <w:rPr>
                <w:lang w:val="fr-FR"/>
              </w:rPr>
              <w:t>Fusion des anciennes Questions</w:t>
            </w:r>
            <w:r w:rsidR="00FD3B61" w:rsidRPr="00FF6C63">
              <w:rPr>
                <w:lang w:val="fr-FR"/>
              </w:rPr>
              <w:t> </w:t>
            </w:r>
            <w:r w:rsidRPr="00FF6C63">
              <w:rPr>
                <w:lang w:val="fr-FR"/>
              </w:rPr>
              <w:t>1/1 et 5/1, dont l'intitulé a été modifié et les thèmes actualisés</w:t>
            </w:r>
          </w:p>
        </w:tc>
      </w:tr>
      <w:tr w:rsidR="00FF5CBE" w:rsidRPr="00FF6C63" w14:paraId="1F6BD462" w14:textId="77777777" w:rsidTr="00F4581B">
        <w:tc>
          <w:tcPr>
            <w:tcW w:w="1699" w:type="dxa"/>
            <w:hideMark/>
          </w:tcPr>
          <w:p w14:paraId="4680E248" w14:textId="77777777" w:rsidR="00FF5CBE" w:rsidRPr="00FF6C63" w:rsidRDefault="00FF5CBE" w:rsidP="00F86B83">
            <w:pPr>
              <w:pStyle w:val="Tabletext"/>
              <w:jc w:val="center"/>
              <w:rPr>
                <w:b/>
                <w:bCs/>
                <w:szCs w:val="22"/>
                <w:lang w:val="fr-FR"/>
              </w:rPr>
            </w:pPr>
            <w:r w:rsidRPr="00FF6C63">
              <w:rPr>
                <w:b/>
                <w:bCs/>
                <w:lang w:val="fr-FR"/>
              </w:rPr>
              <w:t>Q2/1</w:t>
            </w:r>
          </w:p>
        </w:tc>
        <w:tc>
          <w:tcPr>
            <w:tcW w:w="4817" w:type="dxa"/>
          </w:tcPr>
          <w:p w14:paraId="5975B7A0" w14:textId="77777777" w:rsidR="00FF5CBE" w:rsidRPr="00FF6C63" w:rsidRDefault="00FF5CBE" w:rsidP="00F86B83">
            <w:pPr>
              <w:pStyle w:val="Tabletext"/>
              <w:rPr>
                <w:szCs w:val="22"/>
                <w:lang w:val="fr-FR"/>
              </w:rPr>
            </w:pPr>
            <w:r w:rsidRPr="00FF6C63">
              <w:rPr>
                <w:lang w:val="fr-FR"/>
              </w:rPr>
              <w:t>Politiques et réglementations propices à l'adoption de services et de technologies numériques de télécommunication/TIC pour la distribution et la radiodiffusion</w:t>
            </w:r>
          </w:p>
        </w:tc>
        <w:tc>
          <w:tcPr>
            <w:tcW w:w="3113" w:type="dxa"/>
          </w:tcPr>
          <w:p w14:paraId="14125C4E" w14:textId="1597EDF9" w:rsidR="00FF5CBE" w:rsidRPr="00FF6C63" w:rsidRDefault="00FF5CBE" w:rsidP="00F86B83">
            <w:pPr>
              <w:pStyle w:val="Tabletext"/>
              <w:rPr>
                <w:szCs w:val="22"/>
                <w:lang w:val="fr-FR"/>
              </w:rPr>
            </w:pPr>
            <w:r w:rsidRPr="00FF6C63">
              <w:rPr>
                <w:lang w:val="fr-FR"/>
              </w:rPr>
              <w:t>Suite de l'étude de l'ancienne Question</w:t>
            </w:r>
            <w:r w:rsidR="00FD3B61" w:rsidRPr="00FF6C63">
              <w:rPr>
                <w:lang w:val="fr-FR"/>
              </w:rPr>
              <w:t> </w:t>
            </w:r>
            <w:r w:rsidRPr="00FF6C63">
              <w:rPr>
                <w:lang w:val="fr-FR"/>
              </w:rPr>
              <w:t>2/1, dont l'intitulé a été modifié et les thèmes actualisés</w:t>
            </w:r>
          </w:p>
        </w:tc>
      </w:tr>
      <w:tr w:rsidR="00FF5CBE" w:rsidRPr="00FF6C63" w14:paraId="1E48F919" w14:textId="77777777" w:rsidTr="00F4581B">
        <w:tc>
          <w:tcPr>
            <w:tcW w:w="1699" w:type="dxa"/>
            <w:hideMark/>
          </w:tcPr>
          <w:p w14:paraId="06BF8859" w14:textId="77777777" w:rsidR="00FF5CBE" w:rsidRPr="00FF6C63" w:rsidRDefault="00FF5CBE" w:rsidP="00F86B83">
            <w:pPr>
              <w:pStyle w:val="Tabletext"/>
              <w:jc w:val="center"/>
              <w:rPr>
                <w:b/>
                <w:bCs/>
                <w:szCs w:val="22"/>
                <w:lang w:val="fr-FR"/>
              </w:rPr>
            </w:pPr>
            <w:r w:rsidRPr="00FF6C63">
              <w:rPr>
                <w:b/>
                <w:bCs/>
                <w:lang w:val="fr-FR"/>
              </w:rPr>
              <w:t>Q3/1</w:t>
            </w:r>
          </w:p>
        </w:tc>
        <w:tc>
          <w:tcPr>
            <w:tcW w:w="4817" w:type="dxa"/>
          </w:tcPr>
          <w:p w14:paraId="7CDE8283" w14:textId="77777777" w:rsidR="00FF5CBE" w:rsidRPr="00FF6C63" w:rsidRDefault="00FF5CBE" w:rsidP="00F86B83">
            <w:pPr>
              <w:pStyle w:val="Tabletext"/>
              <w:rPr>
                <w:szCs w:val="22"/>
                <w:lang w:val="fr-FR"/>
              </w:rPr>
            </w:pPr>
            <w:r w:rsidRPr="00FF6C63">
              <w:rPr>
                <w:lang w:val="fr-FR"/>
              </w:rPr>
              <w:t>Utilisation des télécommunications/TIC pour l'atténuation et la gestion des risques de catastrophes</w:t>
            </w:r>
          </w:p>
        </w:tc>
        <w:tc>
          <w:tcPr>
            <w:tcW w:w="3113" w:type="dxa"/>
          </w:tcPr>
          <w:p w14:paraId="7F41E707" w14:textId="5D150BB5" w:rsidR="00FF5CBE" w:rsidRPr="00FF6C63" w:rsidRDefault="00FF5CBE" w:rsidP="00F86B83">
            <w:pPr>
              <w:pStyle w:val="Tabletext"/>
              <w:rPr>
                <w:szCs w:val="22"/>
                <w:lang w:val="fr-FR"/>
              </w:rPr>
            </w:pPr>
            <w:r w:rsidRPr="00FF6C63">
              <w:rPr>
                <w:lang w:val="fr-FR"/>
              </w:rPr>
              <w:t>Suite de l'étude de l'ancienne Question</w:t>
            </w:r>
            <w:r w:rsidR="00FD3B61" w:rsidRPr="00FF6C63">
              <w:rPr>
                <w:lang w:val="fr-FR"/>
              </w:rPr>
              <w:t> </w:t>
            </w:r>
            <w:r w:rsidRPr="00FF6C63">
              <w:rPr>
                <w:lang w:val="fr-FR"/>
              </w:rPr>
              <w:t>3/1, dont les thèmes ont été actualisés</w:t>
            </w:r>
          </w:p>
        </w:tc>
      </w:tr>
      <w:tr w:rsidR="00FF5CBE" w:rsidRPr="00FF6C63" w14:paraId="6F8FDF79" w14:textId="77777777" w:rsidTr="00F4581B">
        <w:tc>
          <w:tcPr>
            <w:tcW w:w="1699" w:type="dxa"/>
            <w:hideMark/>
          </w:tcPr>
          <w:p w14:paraId="7088E9CE" w14:textId="77777777" w:rsidR="00FF5CBE" w:rsidRPr="00FF6C63" w:rsidRDefault="00FF5CBE" w:rsidP="00F86B83">
            <w:pPr>
              <w:pStyle w:val="Tabletext"/>
              <w:jc w:val="center"/>
              <w:rPr>
                <w:b/>
                <w:bCs/>
                <w:szCs w:val="22"/>
                <w:lang w:val="fr-FR"/>
              </w:rPr>
            </w:pPr>
            <w:r w:rsidRPr="00FF6C63">
              <w:rPr>
                <w:b/>
                <w:bCs/>
                <w:lang w:val="fr-FR"/>
              </w:rPr>
              <w:t>Q4/1</w:t>
            </w:r>
          </w:p>
        </w:tc>
        <w:tc>
          <w:tcPr>
            <w:tcW w:w="4817" w:type="dxa"/>
          </w:tcPr>
          <w:p w14:paraId="4F7E66BE" w14:textId="77777777" w:rsidR="00FF5CBE" w:rsidRPr="00FF6C63" w:rsidRDefault="00FF5CBE" w:rsidP="00F86B83">
            <w:pPr>
              <w:pStyle w:val="Tabletext"/>
              <w:rPr>
                <w:szCs w:val="22"/>
                <w:lang w:val="fr-FR"/>
              </w:rPr>
            </w:pPr>
            <w:r w:rsidRPr="00FF6C63">
              <w:rPr>
                <w:lang w:val="fr-FR"/>
              </w:rPr>
              <w:t>Aspects économiques des télécommunications/TIC nationales</w:t>
            </w:r>
          </w:p>
        </w:tc>
        <w:tc>
          <w:tcPr>
            <w:tcW w:w="3113" w:type="dxa"/>
          </w:tcPr>
          <w:p w14:paraId="3F3857DF" w14:textId="3BCAD647" w:rsidR="00FF5CBE" w:rsidRPr="00FF6C63" w:rsidRDefault="00FF5CBE" w:rsidP="00F86B83">
            <w:pPr>
              <w:pStyle w:val="Tabletext"/>
              <w:rPr>
                <w:szCs w:val="22"/>
                <w:lang w:val="fr-FR"/>
              </w:rPr>
            </w:pPr>
            <w:r w:rsidRPr="00FF6C63">
              <w:rPr>
                <w:lang w:val="fr-FR"/>
              </w:rPr>
              <w:t>Suite de l'étude de l'ancienne Question</w:t>
            </w:r>
            <w:r w:rsidR="00FD3B61" w:rsidRPr="00FF6C63">
              <w:rPr>
                <w:lang w:val="fr-FR"/>
              </w:rPr>
              <w:t> </w:t>
            </w:r>
            <w:r w:rsidRPr="00FF6C63">
              <w:rPr>
                <w:lang w:val="fr-FR"/>
              </w:rPr>
              <w:t>4/1, dont les thèmes ont été actualisés</w:t>
            </w:r>
          </w:p>
        </w:tc>
      </w:tr>
      <w:tr w:rsidR="00FF5CBE" w:rsidRPr="00FF6C63" w14:paraId="3D3FDA97" w14:textId="77777777" w:rsidTr="00F4581B">
        <w:tc>
          <w:tcPr>
            <w:tcW w:w="1699" w:type="dxa"/>
            <w:hideMark/>
          </w:tcPr>
          <w:p w14:paraId="7D7D2083" w14:textId="77777777" w:rsidR="00FF5CBE" w:rsidRPr="00FF6C63" w:rsidRDefault="00FF5CBE" w:rsidP="00F86B83">
            <w:pPr>
              <w:pStyle w:val="Tabletext"/>
              <w:jc w:val="center"/>
              <w:rPr>
                <w:b/>
                <w:bCs/>
                <w:szCs w:val="22"/>
                <w:lang w:val="fr-FR"/>
              </w:rPr>
            </w:pPr>
            <w:r w:rsidRPr="00FF6C63">
              <w:rPr>
                <w:b/>
                <w:bCs/>
                <w:lang w:val="fr-FR"/>
              </w:rPr>
              <w:t>Q5/1</w:t>
            </w:r>
          </w:p>
        </w:tc>
        <w:tc>
          <w:tcPr>
            <w:tcW w:w="4817" w:type="dxa"/>
          </w:tcPr>
          <w:p w14:paraId="44552FA9" w14:textId="77777777" w:rsidR="00FF5CBE" w:rsidRPr="00FF6C63" w:rsidRDefault="00FF5CBE" w:rsidP="00F86B83">
            <w:pPr>
              <w:pStyle w:val="Tabletext"/>
              <w:rPr>
                <w:szCs w:val="22"/>
                <w:lang w:val="fr-FR"/>
              </w:rPr>
            </w:pPr>
            <w:r w:rsidRPr="00FF6C63">
              <w:rPr>
                <w:lang w:val="fr-FR"/>
              </w:rPr>
              <w:t>Protection et autonomisation des consommateurs et accessibilité efficace pour tous, en particulier pour les personnes handicapées et les personnes ayant des besoins particuliers</w:t>
            </w:r>
          </w:p>
        </w:tc>
        <w:tc>
          <w:tcPr>
            <w:tcW w:w="3113" w:type="dxa"/>
          </w:tcPr>
          <w:p w14:paraId="131239CB" w14:textId="49EED95F" w:rsidR="00FF5CBE" w:rsidRPr="00FF6C63" w:rsidRDefault="00FF5CBE" w:rsidP="00F86B83">
            <w:pPr>
              <w:pStyle w:val="Tabletext"/>
              <w:rPr>
                <w:szCs w:val="22"/>
                <w:lang w:val="fr-FR"/>
              </w:rPr>
            </w:pPr>
            <w:r w:rsidRPr="00FF6C63">
              <w:rPr>
                <w:lang w:val="fr-FR"/>
              </w:rPr>
              <w:t>Fusion des anciennes Questions</w:t>
            </w:r>
            <w:r w:rsidR="00FD3B61" w:rsidRPr="00FF6C63">
              <w:rPr>
                <w:lang w:val="fr-FR"/>
              </w:rPr>
              <w:t> </w:t>
            </w:r>
            <w:r w:rsidRPr="00FF6C63">
              <w:rPr>
                <w:lang w:val="fr-FR"/>
              </w:rPr>
              <w:t>6/1 et 7/1, dont l'intitulé a été modifié et les thèmes actualisés</w:t>
            </w:r>
          </w:p>
        </w:tc>
      </w:tr>
    </w:tbl>
    <w:p w14:paraId="1D886B56" w14:textId="77777777" w:rsidR="00FF5CBE" w:rsidRPr="00FF6C63" w:rsidRDefault="00FF5CBE" w:rsidP="00FF5CBE">
      <w:pPr>
        <w:tabs>
          <w:tab w:val="clear" w:pos="794"/>
          <w:tab w:val="clear" w:pos="1191"/>
          <w:tab w:val="clear" w:pos="1588"/>
          <w:tab w:val="clear" w:pos="1985"/>
        </w:tabs>
        <w:overflowPunct/>
        <w:autoSpaceDE/>
        <w:autoSpaceDN/>
        <w:adjustRightInd/>
        <w:spacing w:before="0"/>
        <w:textAlignment w:val="auto"/>
        <w:rPr>
          <w:rFonts w:ascii="Calibri" w:hAnsi="Calibri" w:cs="Calibri"/>
          <w:b/>
          <w:bCs/>
          <w:color w:val="000000"/>
          <w:szCs w:val="24"/>
          <w:lang w:val="fr-FR" w:eastAsia="zh-CN"/>
        </w:rPr>
      </w:pPr>
      <w:r w:rsidRPr="00FF6C63">
        <w:rPr>
          <w:b/>
          <w:bCs/>
          <w:color w:val="000000"/>
          <w:lang w:val="fr-FR"/>
        </w:rPr>
        <w:br w:type="page"/>
      </w:r>
    </w:p>
    <w:p w14:paraId="158A89F4" w14:textId="77777777" w:rsidR="00FF5CBE" w:rsidRPr="00FF6C63" w:rsidRDefault="00FF5CBE" w:rsidP="00F86B83">
      <w:pPr>
        <w:pStyle w:val="Tabletitle"/>
        <w:rPr>
          <w:color w:val="000000"/>
          <w:lang w:val="fr-FR"/>
        </w:rPr>
      </w:pPr>
      <w:r w:rsidRPr="00FF6C63">
        <w:rPr>
          <w:lang w:val="fr-FR"/>
        </w:rPr>
        <w:t>Commission d'études 2</w:t>
      </w:r>
    </w:p>
    <w:tbl>
      <w:tblPr>
        <w:tblpPr w:leftFromText="180" w:rightFromText="180" w:vertAnchor="text" w:tblpXSpec="center"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99"/>
        <w:gridCol w:w="4817"/>
        <w:gridCol w:w="3113"/>
      </w:tblGrid>
      <w:tr w:rsidR="00FF5CBE" w:rsidRPr="00FF6C63" w14:paraId="3C61776B" w14:textId="77777777" w:rsidTr="00F4581B">
        <w:tc>
          <w:tcPr>
            <w:tcW w:w="1699" w:type="dxa"/>
            <w:tcBorders>
              <w:bottom w:val="single" w:sz="4" w:space="0" w:color="auto"/>
            </w:tcBorders>
            <w:hideMark/>
          </w:tcPr>
          <w:p w14:paraId="7EDB0298" w14:textId="77777777" w:rsidR="00FF5CBE" w:rsidRPr="00FF6C63" w:rsidRDefault="00FF5CBE" w:rsidP="00F86B83">
            <w:pPr>
              <w:pStyle w:val="Tablehead"/>
              <w:rPr>
                <w:lang w:val="fr-FR"/>
              </w:rPr>
            </w:pPr>
            <w:r w:rsidRPr="00FF6C63">
              <w:rPr>
                <w:lang w:val="fr-FR"/>
              </w:rPr>
              <w:t>Nouveau numéro</w:t>
            </w:r>
          </w:p>
        </w:tc>
        <w:tc>
          <w:tcPr>
            <w:tcW w:w="4817" w:type="dxa"/>
            <w:tcBorders>
              <w:bottom w:val="single" w:sz="4" w:space="0" w:color="auto"/>
            </w:tcBorders>
            <w:hideMark/>
          </w:tcPr>
          <w:p w14:paraId="32FF80D3" w14:textId="77777777" w:rsidR="00FF5CBE" w:rsidRPr="00FF6C63" w:rsidRDefault="00FF5CBE" w:rsidP="00F86B83">
            <w:pPr>
              <w:pStyle w:val="Tablehead"/>
              <w:rPr>
                <w:lang w:val="fr-FR"/>
              </w:rPr>
            </w:pPr>
            <w:r w:rsidRPr="00FF6C63">
              <w:rPr>
                <w:lang w:val="fr-FR"/>
              </w:rPr>
              <w:t>Titre</w:t>
            </w:r>
          </w:p>
        </w:tc>
        <w:tc>
          <w:tcPr>
            <w:tcW w:w="3113" w:type="dxa"/>
            <w:tcBorders>
              <w:bottom w:val="single" w:sz="4" w:space="0" w:color="auto"/>
            </w:tcBorders>
            <w:hideMark/>
          </w:tcPr>
          <w:p w14:paraId="0EFDDF05" w14:textId="77777777" w:rsidR="00FF5CBE" w:rsidRPr="00FF6C63" w:rsidRDefault="00FF5CBE" w:rsidP="00F86B83">
            <w:pPr>
              <w:pStyle w:val="Tablehead"/>
              <w:rPr>
                <w:lang w:val="fr-FR"/>
              </w:rPr>
            </w:pPr>
            <w:r w:rsidRPr="00FF6C63">
              <w:rPr>
                <w:lang w:val="fr-FR"/>
              </w:rPr>
              <w:t>Source</w:t>
            </w:r>
          </w:p>
        </w:tc>
      </w:tr>
      <w:tr w:rsidR="00FF5CBE" w:rsidRPr="00FF6C63" w14:paraId="7CCAC476" w14:textId="77777777" w:rsidTr="00F4581B">
        <w:tc>
          <w:tcPr>
            <w:tcW w:w="1699" w:type="dxa"/>
            <w:hideMark/>
          </w:tcPr>
          <w:p w14:paraId="022F0AFB" w14:textId="77777777" w:rsidR="00FF5CBE" w:rsidRPr="00FF6C63" w:rsidRDefault="00FF5CBE" w:rsidP="00F86B83">
            <w:pPr>
              <w:pStyle w:val="Tabletext"/>
              <w:jc w:val="center"/>
              <w:rPr>
                <w:b/>
                <w:bCs/>
                <w:szCs w:val="22"/>
                <w:lang w:val="fr-FR"/>
              </w:rPr>
            </w:pPr>
            <w:r w:rsidRPr="00FF6C63">
              <w:rPr>
                <w:b/>
                <w:bCs/>
                <w:lang w:val="fr-FR"/>
              </w:rPr>
              <w:t>Q1/2</w:t>
            </w:r>
          </w:p>
        </w:tc>
        <w:tc>
          <w:tcPr>
            <w:tcW w:w="4817" w:type="dxa"/>
          </w:tcPr>
          <w:p w14:paraId="61C5011E" w14:textId="77777777" w:rsidR="00FF5CBE" w:rsidRPr="00FF6C63" w:rsidRDefault="00FF5CBE" w:rsidP="00F86B83">
            <w:pPr>
              <w:pStyle w:val="Tabletext"/>
              <w:rPr>
                <w:szCs w:val="22"/>
                <w:lang w:val="fr-FR"/>
              </w:rPr>
            </w:pPr>
            <w:r w:rsidRPr="00FF6C63">
              <w:rPr>
                <w:lang w:val="fr-FR"/>
              </w:rPr>
              <w:t>Télécommunications/TIC de base pour la transformation numérique et les villes et communautés intelligentes et durables</w:t>
            </w:r>
          </w:p>
        </w:tc>
        <w:tc>
          <w:tcPr>
            <w:tcW w:w="3113" w:type="dxa"/>
          </w:tcPr>
          <w:p w14:paraId="5DC8D61B" w14:textId="188A1330" w:rsidR="00FF5CBE" w:rsidRPr="00FF6C63" w:rsidRDefault="00FF5CBE" w:rsidP="00F86B83">
            <w:pPr>
              <w:pStyle w:val="Tabletext"/>
              <w:rPr>
                <w:szCs w:val="22"/>
                <w:lang w:val="fr-FR"/>
              </w:rPr>
            </w:pPr>
            <w:r w:rsidRPr="00FF6C63">
              <w:rPr>
                <w:lang w:val="fr-FR"/>
              </w:rPr>
              <w:t>Fusion des anciennes Questions</w:t>
            </w:r>
            <w:r w:rsidR="00FD3B61" w:rsidRPr="00FF6C63">
              <w:rPr>
                <w:lang w:val="fr-FR"/>
              </w:rPr>
              <w:t> </w:t>
            </w:r>
            <w:r w:rsidRPr="00FF6C63">
              <w:rPr>
                <w:lang w:val="fr-FR"/>
              </w:rPr>
              <w:t>1/2 et 2/2, dont l'intitulé a été modifié et les thèmes actualisés</w:t>
            </w:r>
          </w:p>
        </w:tc>
      </w:tr>
      <w:tr w:rsidR="00FF5CBE" w:rsidRPr="00FF6C63" w14:paraId="388C2EFE" w14:textId="77777777" w:rsidTr="00F4581B">
        <w:tc>
          <w:tcPr>
            <w:tcW w:w="1699" w:type="dxa"/>
            <w:hideMark/>
          </w:tcPr>
          <w:p w14:paraId="09DFF056" w14:textId="77777777" w:rsidR="00FF5CBE" w:rsidRPr="00FF6C63" w:rsidRDefault="00FF5CBE" w:rsidP="00F86B83">
            <w:pPr>
              <w:pStyle w:val="Tabletext"/>
              <w:jc w:val="center"/>
              <w:rPr>
                <w:b/>
                <w:bCs/>
                <w:szCs w:val="22"/>
                <w:lang w:val="fr-FR"/>
              </w:rPr>
            </w:pPr>
            <w:r w:rsidRPr="00FF6C63">
              <w:rPr>
                <w:b/>
                <w:bCs/>
                <w:lang w:val="fr-FR"/>
              </w:rPr>
              <w:t>Q2/2</w:t>
            </w:r>
          </w:p>
        </w:tc>
        <w:tc>
          <w:tcPr>
            <w:tcW w:w="4817" w:type="dxa"/>
          </w:tcPr>
          <w:p w14:paraId="6F13C451" w14:textId="77777777" w:rsidR="00FF5CBE" w:rsidRPr="00FF6C63" w:rsidRDefault="00FF5CBE" w:rsidP="00F86B83">
            <w:pPr>
              <w:pStyle w:val="Tabletext"/>
              <w:rPr>
                <w:szCs w:val="22"/>
                <w:lang w:val="fr-FR"/>
              </w:rPr>
            </w:pPr>
            <w:r w:rsidRPr="00FF6C63">
              <w:rPr>
                <w:lang w:val="fr-FR"/>
              </w:rPr>
              <w:t>Les TIC au service de l'environnement, et évaluation de l'exposition des personnes aux champs électromagnétiques</w:t>
            </w:r>
          </w:p>
        </w:tc>
        <w:tc>
          <w:tcPr>
            <w:tcW w:w="3113" w:type="dxa"/>
          </w:tcPr>
          <w:p w14:paraId="645F56A7" w14:textId="4766B988" w:rsidR="00FF5CBE" w:rsidRPr="00FF6C63" w:rsidRDefault="00FF5CBE" w:rsidP="00F86B83">
            <w:pPr>
              <w:pStyle w:val="Tabletext"/>
              <w:rPr>
                <w:szCs w:val="22"/>
                <w:lang w:val="fr-FR"/>
              </w:rPr>
            </w:pPr>
            <w:r w:rsidRPr="00FF6C63">
              <w:rPr>
                <w:lang w:val="fr-FR"/>
              </w:rPr>
              <w:t>Fusion des anciennes Questions</w:t>
            </w:r>
            <w:r w:rsidR="00FD3B61" w:rsidRPr="00FF6C63">
              <w:rPr>
                <w:lang w:val="fr-FR"/>
              </w:rPr>
              <w:t> </w:t>
            </w:r>
            <w:r w:rsidRPr="00FF6C63">
              <w:rPr>
                <w:lang w:val="fr-FR"/>
              </w:rPr>
              <w:t>6/2 et 7/2, dont l'intitulé a été modifié et les thèmes actualisés</w:t>
            </w:r>
          </w:p>
        </w:tc>
      </w:tr>
      <w:tr w:rsidR="00FF5CBE" w:rsidRPr="00FF6C63" w14:paraId="1E7B79E2" w14:textId="77777777" w:rsidTr="00F4581B">
        <w:tc>
          <w:tcPr>
            <w:tcW w:w="1699" w:type="dxa"/>
            <w:hideMark/>
          </w:tcPr>
          <w:p w14:paraId="74F39672" w14:textId="77777777" w:rsidR="00FF5CBE" w:rsidRPr="00FF6C63" w:rsidRDefault="00FF5CBE" w:rsidP="00F86B83">
            <w:pPr>
              <w:pStyle w:val="Tabletext"/>
              <w:jc w:val="center"/>
              <w:rPr>
                <w:b/>
                <w:bCs/>
                <w:szCs w:val="22"/>
                <w:lang w:val="fr-FR"/>
              </w:rPr>
            </w:pPr>
            <w:r w:rsidRPr="00FF6C63">
              <w:rPr>
                <w:b/>
                <w:bCs/>
                <w:lang w:val="fr-FR"/>
              </w:rPr>
              <w:t>Q3/2</w:t>
            </w:r>
          </w:p>
        </w:tc>
        <w:tc>
          <w:tcPr>
            <w:tcW w:w="4817" w:type="dxa"/>
          </w:tcPr>
          <w:p w14:paraId="3FDF7AE4" w14:textId="77777777" w:rsidR="00FF5CBE" w:rsidRPr="00FF6C63" w:rsidRDefault="00FF5CBE" w:rsidP="00F86B83">
            <w:pPr>
              <w:pStyle w:val="Tabletext"/>
              <w:rPr>
                <w:szCs w:val="22"/>
                <w:lang w:val="fr-FR"/>
              </w:rPr>
            </w:pPr>
            <w:r w:rsidRPr="00FF6C63">
              <w:rPr>
                <w:lang w:val="fr-FR"/>
              </w:rPr>
              <w:t>Sécurisation des réseaux d'information et de communication: bonnes pratiques pour créer une culture de la cybersécurité</w:t>
            </w:r>
          </w:p>
        </w:tc>
        <w:tc>
          <w:tcPr>
            <w:tcW w:w="3113" w:type="dxa"/>
          </w:tcPr>
          <w:p w14:paraId="7B7A50D2" w14:textId="77777777" w:rsidR="00FF5CBE" w:rsidRPr="00FF6C63" w:rsidRDefault="00FF5CBE" w:rsidP="00F86B83">
            <w:pPr>
              <w:pStyle w:val="Tabletext"/>
              <w:rPr>
                <w:szCs w:val="22"/>
                <w:lang w:val="fr-FR"/>
              </w:rPr>
            </w:pPr>
            <w:r w:rsidRPr="00FF6C63">
              <w:rPr>
                <w:lang w:val="fr-FR"/>
              </w:rPr>
              <w:t>Suite de l'étude de l'ancienne Question 3/2, dont les thèmes ont été actualisés</w:t>
            </w:r>
          </w:p>
        </w:tc>
      </w:tr>
      <w:tr w:rsidR="00FF5CBE" w:rsidRPr="00FF6C63" w14:paraId="4955799D" w14:textId="77777777" w:rsidTr="00F4581B">
        <w:tc>
          <w:tcPr>
            <w:tcW w:w="1699" w:type="dxa"/>
            <w:tcBorders>
              <w:bottom w:val="single" w:sz="4" w:space="0" w:color="auto"/>
            </w:tcBorders>
            <w:hideMark/>
          </w:tcPr>
          <w:p w14:paraId="01FF94AB" w14:textId="77777777" w:rsidR="00FF5CBE" w:rsidRPr="00FF6C63" w:rsidRDefault="00FF5CBE" w:rsidP="00F86B83">
            <w:pPr>
              <w:pStyle w:val="Tabletext"/>
              <w:jc w:val="center"/>
              <w:rPr>
                <w:b/>
                <w:bCs/>
                <w:szCs w:val="22"/>
                <w:lang w:val="fr-FR"/>
              </w:rPr>
            </w:pPr>
            <w:r w:rsidRPr="00FF6C63">
              <w:rPr>
                <w:b/>
                <w:bCs/>
                <w:lang w:val="fr-FR"/>
              </w:rPr>
              <w:t>Q4/2</w:t>
            </w:r>
          </w:p>
        </w:tc>
        <w:tc>
          <w:tcPr>
            <w:tcW w:w="4817" w:type="dxa"/>
            <w:tcBorders>
              <w:bottom w:val="single" w:sz="4" w:space="0" w:color="auto"/>
            </w:tcBorders>
          </w:tcPr>
          <w:p w14:paraId="44F71520" w14:textId="77777777" w:rsidR="00FF5CBE" w:rsidRPr="00FF6C63" w:rsidRDefault="00FF5CBE" w:rsidP="00F86B83">
            <w:pPr>
              <w:pStyle w:val="Tabletext"/>
              <w:rPr>
                <w:szCs w:val="22"/>
                <w:lang w:val="fr-FR"/>
              </w:rPr>
            </w:pPr>
            <w:r w:rsidRPr="00FF6C63">
              <w:rPr>
                <w:lang w:val="fr-FR"/>
              </w:rPr>
              <w:t>Disponibilité et accessibilité financière des dispositifs des utilisateurs, et questions liées aux équipements de télécommunication/TIC, y compris la conformité et l'interopérabilité</w:t>
            </w:r>
          </w:p>
        </w:tc>
        <w:tc>
          <w:tcPr>
            <w:tcW w:w="3113" w:type="dxa"/>
            <w:tcBorders>
              <w:bottom w:val="single" w:sz="4" w:space="0" w:color="auto"/>
            </w:tcBorders>
          </w:tcPr>
          <w:p w14:paraId="55F23E86" w14:textId="77777777" w:rsidR="00FF5CBE" w:rsidRPr="00FF6C63" w:rsidRDefault="00FF5CBE" w:rsidP="00F86B83">
            <w:pPr>
              <w:pStyle w:val="Tabletext"/>
              <w:rPr>
                <w:szCs w:val="22"/>
                <w:lang w:val="fr-FR"/>
              </w:rPr>
            </w:pPr>
            <w:r w:rsidRPr="00FF6C63">
              <w:rPr>
                <w:lang w:val="fr-FR"/>
              </w:rPr>
              <w:t>Suite de l'étude de l'ancienne Question 4/2, dont l'intitulé a été modifié et les thèmes actualisés</w:t>
            </w:r>
          </w:p>
        </w:tc>
      </w:tr>
      <w:tr w:rsidR="00FF5CBE" w:rsidRPr="00FF6C63" w14:paraId="6ED6073D" w14:textId="77777777" w:rsidTr="00F4581B">
        <w:tc>
          <w:tcPr>
            <w:tcW w:w="1699" w:type="dxa"/>
            <w:hideMark/>
          </w:tcPr>
          <w:p w14:paraId="6F275B31" w14:textId="77777777" w:rsidR="00FF5CBE" w:rsidRPr="00FF6C63" w:rsidRDefault="00FF5CBE" w:rsidP="00F86B83">
            <w:pPr>
              <w:pStyle w:val="Tabletext"/>
              <w:jc w:val="center"/>
              <w:rPr>
                <w:b/>
                <w:bCs/>
                <w:szCs w:val="22"/>
                <w:lang w:val="fr-FR"/>
              </w:rPr>
            </w:pPr>
            <w:r w:rsidRPr="00FF6C63">
              <w:rPr>
                <w:b/>
                <w:bCs/>
                <w:lang w:val="fr-FR"/>
              </w:rPr>
              <w:t>Q5/2</w:t>
            </w:r>
          </w:p>
        </w:tc>
        <w:tc>
          <w:tcPr>
            <w:tcW w:w="4817" w:type="dxa"/>
          </w:tcPr>
          <w:p w14:paraId="53E25ADD" w14:textId="77777777" w:rsidR="00FF5CBE" w:rsidRPr="00FF6C63" w:rsidRDefault="00FF5CBE" w:rsidP="00F86B83">
            <w:pPr>
              <w:pStyle w:val="Tabletext"/>
              <w:rPr>
                <w:szCs w:val="22"/>
                <w:lang w:val="fr-FR"/>
              </w:rPr>
            </w:pPr>
            <w:r w:rsidRPr="00FF6C63">
              <w:rPr>
                <w:lang w:val="fr-FR"/>
              </w:rPr>
              <w:t>Adoption et utilisation des services et des technologies de télécommunications/TIC nouveaux et émergents et développement des compétences numériques</w:t>
            </w:r>
          </w:p>
        </w:tc>
        <w:tc>
          <w:tcPr>
            <w:tcW w:w="3113" w:type="dxa"/>
          </w:tcPr>
          <w:p w14:paraId="2DC4B810" w14:textId="77777777" w:rsidR="00FF5CBE" w:rsidRPr="00FF6C63" w:rsidRDefault="00FF5CBE" w:rsidP="00F86B83">
            <w:pPr>
              <w:pStyle w:val="Tabletext"/>
              <w:rPr>
                <w:szCs w:val="22"/>
                <w:lang w:val="fr-FR"/>
              </w:rPr>
            </w:pPr>
            <w:r w:rsidRPr="00FF6C63">
              <w:rPr>
                <w:lang w:val="fr-FR"/>
              </w:rPr>
              <w:t>Suite de l'étude de l'ancienne Question 5/2, dont l'intitulé a été modifié et les thèmes actualisés</w:t>
            </w:r>
          </w:p>
        </w:tc>
      </w:tr>
    </w:tbl>
    <w:p w14:paraId="23E0AFAA" w14:textId="22FF71D9" w:rsidR="00FF5CBE" w:rsidRPr="00FF6C63" w:rsidRDefault="00FF5CBE" w:rsidP="007B4FC5">
      <w:pPr>
        <w:pStyle w:val="Heading1"/>
        <w:rPr>
          <w:rFonts w:cstheme="minorHAnsi"/>
          <w:sz w:val="24"/>
          <w:szCs w:val="24"/>
          <w:lang w:val="fr-FR"/>
        </w:rPr>
      </w:pPr>
      <w:r w:rsidRPr="00FF6C63">
        <w:rPr>
          <w:lang w:val="fr-FR"/>
        </w:rPr>
        <w:t>6</w:t>
      </w:r>
      <w:r w:rsidRPr="00FF6C63">
        <w:rPr>
          <w:lang w:val="fr-FR"/>
        </w:rPr>
        <w:tab/>
        <w:t>Résolutions de la CMDT-25</w:t>
      </w:r>
    </w:p>
    <w:p w14:paraId="7DBFD403" w14:textId="1459D505" w:rsidR="00FF5CBE" w:rsidRPr="00FF6C63" w:rsidRDefault="00FF5CBE" w:rsidP="007B4FC5">
      <w:pPr>
        <w:rPr>
          <w:rFonts w:eastAsia="Calibri" w:cstheme="minorHAnsi"/>
          <w:szCs w:val="24"/>
          <w:lang w:val="fr-FR"/>
        </w:rPr>
      </w:pPr>
      <w:r w:rsidRPr="00FF6C63">
        <w:rPr>
          <w:lang w:val="fr-FR"/>
        </w:rPr>
        <w:t xml:space="preserve">La CMDT-25 a révisé </w:t>
      </w:r>
      <w:r w:rsidR="0004566E" w:rsidRPr="00FF6C63">
        <w:rPr>
          <w:lang w:val="fr-FR"/>
        </w:rPr>
        <w:t>43</w:t>
      </w:r>
      <w:r w:rsidRPr="00FF6C63">
        <w:rPr>
          <w:lang w:val="fr-FR"/>
        </w:rPr>
        <w:t xml:space="preserve"> Résolutions existantes de la CMDT, afin de faire en sorte que les activités de l'UIT-D demeurent en phase avec les besoins des membres de l'UIT. La Conférence a également élaboré quatre </w:t>
      </w:r>
      <w:r w:rsidR="00113BC0" w:rsidRPr="00FF6C63">
        <w:rPr>
          <w:lang w:val="fr-FR"/>
        </w:rPr>
        <w:t xml:space="preserve">(4) </w:t>
      </w:r>
      <w:r w:rsidRPr="00FF6C63">
        <w:rPr>
          <w:lang w:val="fr-FR"/>
        </w:rPr>
        <w:t>nouvelles Résolutions sur les sujets suivants:</w:t>
      </w:r>
    </w:p>
    <w:p w14:paraId="43356D54" w14:textId="288B8615" w:rsidR="00FF5CBE" w:rsidRPr="00FF6C63" w:rsidRDefault="007B4FC5" w:rsidP="007B4FC5">
      <w:pPr>
        <w:pStyle w:val="enumlev1"/>
        <w:rPr>
          <w:rFonts w:cstheme="minorHAnsi"/>
          <w:color w:val="000000"/>
          <w:szCs w:val="24"/>
          <w:lang w:val="fr-FR"/>
        </w:rPr>
      </w:pPr>
      <w:r w:rsidRPr="00FF6C63">
        <w:rPr>
          <w:lang w:val="fr-FR"/>
        </w:rPr>
        <w:t>–</w:t>
      </w:r>
      <w:r w:rsidRPr="00FF6C63">
        <w:rPr>
          <w:lang w:val="fr-FR"/>
        </w:rPr>
        <w:tab/>
      </w:r>
      <w:r w:rsidR="00FF5CBE" w:rsidRPr="00FF6C63">
        <w:rPr>
          <w:b/>
          <w:bCs/>
          <w:lang w:val="fr-FR"/>
        </w:rPr>
        <w:t>Résolution 91 (Bakou, 2025)</w:t>
      </w:r>
      <w:r w:rsidR="0004566E" w:rsidRPr="00FF6C63">
        <w:rPr>
          <w:b/>
          <w:bCs/>
          <w:lang w:val="fr-FR"/>
        </w:rPr>
        <w:t xml:space="preserve"> –</w:t>
      </w:r>
      <w:r w:rsidR="00FF5CBE" w:rsidRPr="00FF6C63">
        <w:rPr>
          <w:b/>
          <w:bCs/>
          <w:lang w:val="fr-FR"/>
        </w:rPr>
        <w:t xml:space="preserve"> Technologies d'intelligence artificielle dans le développement des télécommunications</w:t>
      </w:r>
      <w:r w:rsidR="00FF5CBE" w:rsidRPr="00FF6C63">
        <w:rPr>
          <w:lang w:val="fr-FR"/>
        </w:rPr>
        <w:t xml:space="preserve">: </w:t>
      </w:r>
      <w:r w:rsidR="0004566E" w:rsidRPr="00FF6C63">
        <w:rPr>
          <w:lang w:val="fr-FR"/>
        </w:rPr>
        <w:t>c</w:t>
      </w:r>
      <w:r w:rsidR="00FF5CBE" w:rsidRPr="00FF6C63">
        <w:rPr>
          <w:lang w:val="fr-FR"/>
        </w:rPr>
        <w:t>ette Résolution vise à reconnaître l'importance croissante que revêt l'intelligence artificielle (IA) dans l'accélération du développement des télécommunications et la promotion d'une transformation numérique inclusive. Aux termes de cette Résolution, les États Membres et l'UIT-D sont encouragés à</w:t>
      </w:r>
      <w:r w:rsidR="00FD3B61" w:rsidRPr="00FF6C63">
        <w:rPr>
          <w:lang w:val="fr-FR"/>
        </w:rPr>
        <w:t> </w:t>
      </w:r>
      <w:r w:rsidR="00FF5CBE" w:rsidRPr="00FF6C63">
        <w:rPr>
          <w:lang w:val="fr-FR"/>
        </w:rPr>
        <w:t>promouvoir une adoption responsable, à dimension humaine et axée sur le développement des technologies d'IA, en particulier à l'appui de la connectivité, de la prestation de services, du renforcement des capacités et de l'innovation. L'accent porte notamment sur le partage des connaissances, le développement des compétences et la coopération internationale pour faire en sorte que les pays en développement puissent tirer efficacement parti de l'IA tout en s'attaquant aux risques associés et aux lacunes en matière de capacités.</w:t>
      </w:r>
      <w:r w:rsidR="00296A91" w:rsidRPr="00FF6C63">
        <w:rPr>
          <w:lang w:val="fr-FR"/>
        </w:rPr>
        <w:t xml:space="preserve"> Pour en savoir plus sur l'appui du BDT en faveur de l'adoption de l'IA au service du développement durable, veuillez consulter le </w:t>
      </w:r>
      <w:r w:rsidR="00962A96" w:rsidRPr="00FF6C63">
        <w:rPr>
          <w:lang w:val="fr-FR"/>
        </w:rPr>
        <w:t>d</w:t>
      </w:r>
      <w:r w:rsidR="00296A91" w:rsidRPr="00FF6C63">
        <w:rPr>
          <w:lang w:val="fr-FR"/>
        </w:rPr>
        <w:t xml:space="preserve">ocument d'information </w:t>
      </w:r>
      <w:r w:rsidR="00296A91" w:rsidRPr="00FF6C63">
        <w:rPr>
          <w:rFonts w:cstheme="minorHAnsi"/>
          <w:color w:val="000000"/>
          <w:szCs w:val="24"/>
          <w:lang w:val="fr-FR"/>
        </w:rPr>
        <w:t>[</w:t>
      </w:r>
      <w:r w:rsidR="00113BC0" w:rsidRPr="00FF6C63">
        <w:rPr>
          <w:rFonts w:cstheme="minorHAnsi"/>
          <w:color w:val="000000"/>
          <w:szCs w:val="24"/>
          <w:lang w:val="fr-FR"/>
        </w:rPr>
        <w:t>i</w:t>
      </w:r>
      <w:r w:rsidR="00296A91" w:rsidRPr="00FF6C63">
        <w:rPr>
          <w:rFonts w:cstheme="minorHAnsi"/>
          <w:color w:val="000000"/>
          <w:szCs w:val="24"/>
          <w:lang w:val="fr-FR"/>
        </w:rPr>
        <w:t>nsérer le lien vers le document d'information sur l'IA].</w:t>
      </w:r>
    </w:p>
    <w:p w14:paraId="73AFFB44" w14:textId="4DE2E98C" w:rsidR="00FF5CBE" w:rsidRPr="00FF6C63" w:rsidRDefault="007B4FC5" w:rsidP="0004566E">
      <w:pPr>
        <w:pStyle w:val="enumlev1"/>
        <w:keepLines/>
        <w:rPr>
          <w:rFonts w:cstheme="minorHAnsi"/>
          <w:color w:val="000000"/>
          <w:szCs w:val="24"/>
          <w:lang w:val="fr-FR"/>
        </w:rPr>
      </w:pPr>
      <w:r w:rsidRPr="00FF6C63">
        <w:rPr>
          <w:lang w:val="fr-FR"/>
        </w:rPr>
        <w:t>–</w:t>
      </w:r>
      <w:r w:rsidRPr="00FF6C63">
        <w:rPr>
          <w:lang w:val="fr-FR"/>
        </w:rPr>
        <w:tab/>
      </w:r>
      <w:r w:rsidR="00FF5CBE" w:rsidRPr="00FF6C63">
        <w:rPr>
          <w:b/>
          <w:bCs/>
          <w:lang w:val="fr-FR"/>
        </w:rPr>
        <w:t>Résolution 92 (Bakou, 2025)</w:t>
      </w:r>
      <w:r w:rsidR="0004566E" w:rsidRPr="00FF6C63">
        <w:rPr>
          <w:b/>
          <w:bCs/>
          <w:lang w:val="fr-FR"/>
        </w:rPr>
        <w:t xml:space="preserve"> –</w:t>
      </w:r>
      <w:r w:rsidR="00FF5CBE" w:rsidRPr="00FF6C63">
        <w:rPr>
          <w:b/>
          <w:bCs/>
          <w:lang w:val="fr-FR"/>
        </w:rPr>
        <w:t xml:space="preserve"> Renforcement du rôle des bureaux régionaux de l'UIT dans l'accélération de la transformation numérique et mise à profit des partenariats</w:t>
      </w:r>
      <w:r w:rsidR="00FF5CBE" w:rsidRPr="00FF6C63">
        <w:rPr>
          <w:lang w:val="fr-FR"/>
        </w:rPr>
        <w:t xml:space="preserve">: </w:t>
      </w:r>
      <w:r w:rsidR="0004566E" w:rsidRPr="00FF6C63">
        <w:rPr>
          <w:lang w:val="fr-FR"/>
        </w:rPr>
        <w:t>c</w:t>
      </w:r>
      <w:r w:rsidR="00FF5CBE" w:rsidRPr="00FF6C63">
        <w:rPr>
          <w:lang w:val="fr-FR"/>
        </w:rPr>
        <w:t xml:space="preserve">ette Résolution </w:t>
      </w:r>
      <w:r w:rsidR="006923D8" w:rsidRPr="00FF6C63">
        <w:rPr>
          <w:lang w:val="fr-FR"/>
        </w:rPr>
        <w:t xml:space="preserve">complète la Résolution 89 révisée de la CMDT-25, intitulée "La transformation numérique au service du développement durable", qui </w:t>
      </w:r>
      <w:r w:rsidR="00FF5CBE" w:rsidRPr="00FF6C63">
        <w:rPr>
          <w:lang w:val="fr-FR"/>
        </w:rPr>
        <w:t>vise à souligner le rôle stratégique des bureaux régionaux de l'UIT dans la transformation des priorités mondiales en mesures adaptées aux régions. Elle appelle à un renforcement des capacités pour appuyer la transformation numérique, renforcer la coordination avec les États Membres et les partenaires, et tirer parti des partenariats pour accroître les retombées en matière de développement. Aux termes de cette Résolution, les bureaux régionaux sont des moteurs essentiels de la mise en œuvre, de la participation des pays et de l'alignement des activités de l'UIT-D sur les priorités nationales et régionales.</w:t>
      </w:r>
    </w:p>
    <w:p w14:paraId="4147520B" w14:textId="28748F5E" w:rsidR="00FF5CBE" w:rsidRPr="00FF6C63" w:rsidRDefault="007B4FC5" w:rsidP="007B4FC5">
      <w:pPr>
        <w:pStyle w:val="enumlev1"/>
        <w:rPr>
          <w:rFonts w:cstheme="minorHAnsi"/>
          <w:color w:val="000000"/>
          <w:szCs w:val="24"/>
          <w:lang w:val="fr-FR"/>
        </w:rPr>
      </w:pPr>
      <w:r w:rsidRPr="00FF6C63">
        <w:rPr>
          <w:lang w:val="fr-FR"/>
        </w:rPr>
        <w:t>–</w:t>
      </w:r>
      <w:r w:rsidRPr="00FF6C63">
        <w:rPr>
          <w:lang w:val="fr-FR"/>
        </w:rPr>
        <w:tab/>
      </w:r>
      <w:r w:rsidR="00FF5CBE" w:rsidRPr="00FF6C63">
        <w:rPr>
          <w:b/>
          <w:bCs/>
          <w:lang w:val="fr-FR"/>
        </w:rPr>
        <w:t>Résolution 93 (Bakou, 2025)</w:t>
      </w:r>
      <w:r w:rsidR="0004566E" w:rsidRPr="00FF6C63">
        <w:rPr>
          <w:b/>
          <w:bCs/>
          <w:lang w:val="fr-FR"/>
        </w:rPr>
        <w:t xml:space="preserve"> –</w:t>
      </w:r>
      <w:r w:rsidR="00FF5CBE" w:rsidRPr="00FF6C63">
        <w:rPr>
          <w:b/>
          <w:bCs/>
          <w:lang w:val="fr-FR"/>
        </w:rPr>
        <w:t xml:space="preserve"> Fourniture au Soudan d'une assistance et d'un appui pour la reconstruction de ses infrastructures de télécommunication/technologies de l'information et de la communication endommagées et la réduction de la fracture numérique</w:t>
      </w:r>
      <w:r w:rsidR="00FF5CBE" w:rsidRPr="00FF6C63">
        <w:rPr>
          <w:lang w:val="fr-FR"/>
        </w:rPr>
        <w:t xml:space="preserve">: </w:t>
      </w:r>
      <w:r w:rsidR="0004566E" w:rsidRPr="00FF6C63">
        <w:rPr>
          <w:lang w:val="fr-FR"/>
        </w:rPr>
        <w:t>c</w:t>
      </w:r>
      <w:r w:rsidR="00FF5CBE" w:rsidRPr="00FF6C63">
        <w:rPr>
          <w:lang w:val="fr-FR"/>
        </w:rPr>
        <w:t>ette Résolution traite de la nécessité urgente d'aider le Soudan à</w:t>
      </w:r>
      <w:r w:rsidR="00FD3B61" w:rsidRPr="00FF6C63">
        <w:rPr>
          <w:lang w:val="fr-FR"/>
        </w:rPr>
        <w:t> </w:t>
      </w:r>
      <w:r w:rsidR="00FF5CBE" w:rsidRPr="00FF6C63">
        <w:rPr>
          <w:lang w:val="fr-FR"/>
        </w:rPr>
        <w:t>reconstruire et à remettre en état ses infrastructures de télécommunications/TIC endommagées. Elle appelle l'UIT-D et ses partenaires à fournir une assistance technique ciblée, à renforcer les capacités et à mobiliser des ressources pour contribuer au rétablissement de la connectivité et à la réduction de la fracture numérique. Aux termes de cette Résolution, les télécommunications et les TIC sont définies comme des moteurs essentiels du rétablissement, de la résilience et du développement socio-économique à</w:t>
      </w:r>
      <w:r w:rsidR="00FD3B61" w:rsidRPr="00FF6C63">
        <w:rPr>
          <w:lang w:val="fr-FR"/>
        </w:rPr>
        <w:t> </w:t>
      </w:r>
      <w:r w:rsidR="00FF5CBE" w:rsidRPr="00FF6C63">
        <w:rPr>
          <w:lang w:val="fr-FR"/>
        </w:rPr>
        <w:t>long terme.</w:t>
      </w:r>
    </w:p>
    <w:p w14:paraId="68235107" w14:textId="66CCFE71" w:rsidR="00FF5CBE" w:rsidRPr="00FF6C63" w:rsidRDefault="007B4FC5" w:rsidP="007B4FC5">
      <w:pPr>
        <w:pStyle w:val="enumlev1"/>
        <w:rPr>
          <w:rFonts w:eastAsia="Calibri" w:cstheme="minorHAnsi"/>
          <w:szCs w:val="24"/>
          <w:lang w:val="fr-FR"/>
        </w:rPr>
      </w:pPr>
      <w:r w:rsidRPr="00FF6C63">
        <w:rPr>
          <w:lang w:val="fr-FR"/>
        </w:rPr>
        <w:t>–</w:t>
      </w:r>
      <w:r w:rsidRPr="00FF6C63">
        <w:rPr>
          <w:lang w:val="fr-FR"/>
        </w:rPr>
        <w:tab/>
      </w:r>
      <w:r w:rsidR="00FF5CBE" w:rsidRPr="00FF6C63">
        <w:rPr>
          <w:b/>
          <w:bCs/>
          <w:lang w:val="fr-FR"/>
        </w:rPr>
        <w:t>Résolution 94 (Bakou, 2025)</w:t>
      </w:r>
      <w:r w:rsidR="0004566E" w:rsidRPr="00FF6C63">
        <w:rPr>
          <w:b/>
          <w:bCs/>
          <w:lang w:val="fr-FR"/>
        </w:rPr>
        <w:t xml:space="preserve"> –</w:t>
      </w:r>
      <w:r w:rsidR="00FF5CBE" w:rsidRPr="00FF6C63">
        <w:rPr>
          <w:b/>
          <w:bCs/>
          <w:lang w:val="fr-FR"/>
        </w:rPr>
        <w:t xml:space="preserve"> Appuyer la transformation numérique des pays insulaires du Pacifique en vertu de la Déclaration de Lagatoi</w:t>
      </w:r>
      <w:r w:rsidR="00FF5CBE" w:rsidRPr="00FF6C63">
        <w:rPr>
          <w:lang w:val="fr-FR"/>
        </w:rPr>
        <w:t xml:space="preserve">: </w:t>
      </w:r>
      <w:r w:rsidR="0004566E" w:rsidRPr="00FF6C63">
        <w:rPr>
          <w:lang w:val="fr-FR"/>
        </w:rPr>
        <w:t>c</w:t>
      </w:r>
      <w:r w:rsidR="00FF5CBE" w:rsidRPr="00FF6C63">
        <w:rPr>
          <w:lang w:val="fr-FR"/>
        </w:rPr>
        <w:t>ette Résolution est axée sur la promotion de la transformation numérique dans les pays insulaires du Pacifique, conformément à la Déclaration de Lagatoi. Elle vise à reconnaître les vulnérabilités et les défis uniques de ces pays en matière de développement, notamment l'isolement géographique et l'exposition aux risques climatiques. La Résolution appelle à leur fournir un soutien personnalisé par le biais du renforcement des capacités, de la mise en place d'infrastructures résilientes, de l'établissement de partenariats et de la mise en œuvre de solutions innovantes pour renforcer la connectivité, l'inclusion numérique et le développement durable dans la région du Pacifique.</w:t>
      </w:r>
    </w:p>
    <w:p w14:paraId="2DE85C00" w14:textId="7ED4D02C" w:rsidR="00FF5CBE" w:rsidRPr="00FF6C63" w:rsidRDefault="00FF5CBE" w:rsidP="007B4FC5">
      <w:pPr>
        <w:pStyle w:val="Heading1"/>
        <w:rPr>
          <w:rFonts w:cstheme="minorHAnsi"/>
          <w:sz w:val="24"/>
          <w:szCs w:val="24"/>
          <w:lang w:val="fr-FR"/>
        </w:rPr>
      </w:pPr>
      <w:r w:rsidRPr="00FF6C63">
        <w:rPr>
          <w:lang w:val="fr-FR"/>
        </w:rPr>
        <w:t>7</w:t>
      </w:r>
      <w:r w:rsidRPr="00FF6C63">
        <w:rPr>
          <w:lang w:val="fr-FR"/>
        </w:rPr>
        <w:tab/>
        <w:t>Groupe consultatif pour le développement des télécommunications</w:t>
      </w:r>
    </w:p>
    <w:p w14:paraId="461E3967" w14:textId="0F04C0FA" w:rsidR="00FF5CBE" w:rsidRPr="00FF6C63" w:rsidRDefault="00FF5CBE" w:rsidP="00493E6C">
      <w:pPr>
        <w:rPr>
          <w:rFonts w:cstheme="minorHAnsi"/>
          <w:color w:val="000000"/>
          <w:szCs w:val="24"/>
          <w:lang w:val="fr-FR"/>
        </w:rPr>
      </w:pPr>
      <w:r w:rsidRPr="00FF6C63">
        <w:rPr>
          <w:lang w:val="fr-FR"/>
        </w:rPr>
        <w:t>Le bureau du GCDT comprend le président et les vice-présidents du GCDT, ainsi que les</w:t>
      </w:r>
      <w:r w:rsidR="00493E6C" w:rsidRPr="00FF6C63">
        <w:rPr>
          <w:lang w:val="fr-FR"/>
        </w:rPr>
        <w:t> </w:t>
      </w:r>
      <w:r w:rsidRPr="00FF6C63">
        <w:rPr>
          <w:lang w:val="fr-FR"/>
        </w:rPr>
        <w:t>présidents</w:t>
      </w:r>
      <w:r w:rsidR="00493E6C" w:rsidRPr="00FF6C63">
        <w:rPr>
          <w:lang w:val="fr-FR"/>
        </w:rPr>
        <w:t> </w:t>
      </w:r>
      <w:r w:rsidRPr="00FF6C63">
        <w:rPr>
          <w:lang w:val="fr-FR"/>
        </w:rPr>
        <w:t xml:space="preserve">des commissions d'études de l'UIT-D. La CMDT-25 a nommé la </w:t>
      </w:r>
      <w:r w:rsidR="0004566E" w:rsidRPr="00FF6C63">
        <w:rPr>
          <w:lang w:val="fr-FR"/>
        </w:rPr>
        <w:t>p</w:t>
      </w:r>
      <w:r w:rsidRPr="00FF6C63">
        <w:rPr>
          <w:lang w:val="fr-FR"/>
        </w:rPr>
        <w:t>résidente et les</w:t>
      </w:r>
      <w:r w:rsidR="00493E6C" w:rsidRPr="00FF6C63">
        <w:rPr>
          <w:lang w:val="fr-FR"/>
        </w:rPr>
        <w:t> </w:t>
      </w:r>
      <w:r w:rsidR="0004566E" w:rsidRPr="00FF6C63">
        <w:rPr>
          <w:lang w:val="fr-FR"/>
        </w:rPr>
        <w:t>v</w:t>
      </w:r>
      <w:r w:rsidRPr="00FF6C63">
        <w:rPr>
          <w:lang w:val="fr-FR"/>
        </w:rPr>
        <w:t>ice</w:t>
      </w:r>
      <w:r w:rsidR="00493E6C" w:rsidRPr="00FF6C63">
        <w:rPr>
          <w:lang w:val="fr-FR"/>
        </w:rPr>
        <w:noBreakHyphen/>
      </w:r>
      <w:r w:rsidR="0004566E" w:rsidRPr="00FF6C63">
        <w:rPr>
          <w:lang w:val="fr-FR"/>
        </w:rPr>
        <w:t>p</w:t>
      </w:r>
      <w:r w:rsidRPr="00FF6C63">
        <w:rPr>
          <w:lang w:val="fr-FR"/>
        </w:rPr>
        <w:t>résidents du GCDT, comme suit:</w:t>
      </w:r>
    </w:p>
    <w:p w14:paraId="108CF040" w14:textId="5F95AD42" w:rsidR="00FF5CBE" w:rsidRPr="00FF6C63" w:rsidRDefault="00FF5CBE" w:rsidP="00493E6C">
      <w:pPr>
        <w:tabs>
          <w:tab w:val="clear" w:pos="794"/>
          <w:tab w:val="clear" w:pos="1191"/>
          <w:tab w:val="clear" w:pos="1588"/>
        </w:tabs>
        <w:rPr>
          <w:rFonts w:cstheme="minorHAnsi"/>
          <w:szCs w:val="24"/>
          <w:lang w:val="fr-FR"/>
        </w:rPr>
      </w:pPr>
      <w:r w:rsidRPr="00FF6C63">
        <w:rPr>
          <w:lang w:val="fr-FR"/>
        </w:rPr>
        <w:t>Présidente:</w:t>
      </w:r>
      <w:r w:rsidRPr="00FF6C63">
        <w:rPr>
          <w:lang w:val="fr-FR"/>
        </w:rPr>
        <w:tab/>
        <w:t>Mme Fleur Regina Assoumou Bessou (Côte d'Ivoire)</w:t>
      </w:r>
    </w:p>
    <w:p w14:paraId="09E973D6" w14:textId="28FB696B" w:rsidR="00FF5CBE" w:rsidRPr="00FF6C63" w:rsidRDefault="00FF5CBE" w:rsidP="00493E6C">
      <w:pPr>
        <w:tabs>
          <w:tab w:val="clear" w:pos="794"/>
          <w:tab w:val="clear" w:pos="1191"/>
          <w:tab w:val="clear" w:pos="1588"/>
        </w:tabs>
        <w:rPr>
          <w:rFonts w:cstheme="minorHAnsi"/>
          <w:szCs w:val="24"/>
          <w:lang w:val="fr-FR"/>
        </w:rPr>
      </w:pPr>
      <w:r w:rsidRPr="00FF6C63">
        <w:rPr>
          <w:lang w:val="fr-FR"/>
        </w:rPr>
        <w:t>Vice-Présidents:</w:t>
      </w:r>
      <w:r w:rsidR="007B4FC5" w:rsidRPr="00FF6C63">
        <w:rPr>
          <w:lang w:val="fr-FR"/>
        </w:rPr>
        <w:tab/>
      </w:r>
      <w:r w:rsidRPr="00FF6C63">
        <w:rPr>
          <w:lang w:val="fr-FR"/>
        </w:rPr>
        <w:t>Mme Caecilia Nyamutswa (Zimbabwe)</w:t>
      </w:r>
    </w:p>
    <w:p w14:paraId="5C0D8F24" w14:textId="5007FC2C" w:rsidR="00FF5CBE" w:rsidRPr="00FF6C63" w:rsidRDefault="00FF5CBE" w:rsidP="00493E6C">
      <w:pPr>
        <w:tabs>
          <w:tab w:val="clear" w:pos="794"/>
          <w:tab w:val="clear" w:pos="1191"/>
          <w:tab w:val="clear" w:pos="1588"/>
        </w:tabs>
        <w:rPr>
          <w:rFonts w:cstheme="minorHAnsi"/>
          <w:szCs w:val="24"/>
          <w:lang w:val="fr-FR"/>
        </w:rPr>
      </w:pPr>
      <w:r w:rsidRPr="00FF6C63">
        <w:rPr>
          <w:lang w:val="fr-FR"/>
        </w:rPr>
        <w:tab/>
        <w:t>M. Fred Ongaro (Kenya)</w:t>
      </w:r>
    </w:p>
    <w:p w14:paraId="0F392CFA" w14:textId="19FCF106" w:rsidR="00FF5CBE" w:rsidRPr="00FF6C63" w:rsidRDefault="00FF5CBE" w:rsidP="00493E6C">
      <w:pPr>
        <w:tabs>
          <w:tab w:val="clear" w:pos="794"/>
          <w:tab w:val="clear" w:pos="1191"/>
          <w:tab w:val="clear" w:pos="1588"/>
        </w:tabs>
        <w:rPr>
          <w:rFonts w:cstheme="minorHAnsi"/>
          <w:szCs w:val="24"/>
          <w:lang w:val="fr-FR"/>
        </w:rPr>
      </w:pPr>
      <w:r w:rsidRPr="00FF6C63">
        <w:rPr>
          <w:lang w:val="fr-FR"/>
        </w:rPr>
        <w:tab/>
        <w:t>M. Ahmed Abd El-Aziz Gad (Égypte)</w:t>
      </w:r>
    </w:p>
    <w:p w14:paraId="1F7F1E95" w14:textId="17B73E56" w:rsidR="00FF5CBE" w:rsidRPr="00FF6C63" w:rsidRDefault="00FF5CBE" w:rsidP="00493E6C">
      <w:pPr>
        <w:tabs>
          <w:tab w:val="clear" w:pos="794"/>
          <w:tab w:val="clear" w:pos="1191"/>
          <w:tab w:val="clear" w:pos="1588"/>
        </w:tabs>
        <w:rPr>
          <w:rFonts w:cstheme="minorHAnsi"/>
          <w:szCs w:val="24"/>
          <w:lang w:val="fr-FR"/>
        </w:rPr>
      </w:pPr>
      <w:r w:rsidRPr="00FF6C63">
        <w:rPr>
          <w:lang w:val="fr-FR"/>
        </w:rPr>
        <w:tab/>
        <w:t>Mme Shahad Albalawi (Arabie saoudite)</w:t>
      </w:r>
    </w:p>
    <w:p w14:paraId="6AC4F099" w14:textId="6BDF23D5" w:rsidR="00FF5CBE" w:rsidRPr="00FF6C63" w:rsidRDefault="00FF5CBE" w:rsidP="00493E6C">
      <w:pPr>
        <w:tabs>
          <w:tab w:val="clear" w:pos="794"/>
          <w:tab w:val="clear" w:pos="1191"/>
          <w:tab w:val="clear" w:pos="1588"/>
        </w:tabs>
        <w:rPr>
          <w:rFonts w:cstheme="minorHAnsi"/>
          <w:szCs w:val="24"/>
          <w:lang w:val="fr-FR"/>
        </w:rPr>
      </w:pPr>
      <w:r w:rsidRPr="00FF6C63">
        <w:rPr>
          <w:lang w:val="fr-FR"/>
        </w:rPr>
        <w:tab/>
        <w:t>Mme Andrea Mamprim Grippa (Brésil)</w:t>
      </w:r>
    </w:p>
    <w:p w14:paraId="204F1FCF" w14:textId="6A6EA43A" w:rsidR="00FF5CBE" w:rsidRPr="00FF6C63" w:rsidRDefault="00FF5CBE" w:rsidP="00493E6C">
      <w:pPr>
        <w:tabs>
          <w:tab w:val="clear" w:pos="794"/>
          <w:tab w:val="clear" w:pos="1191"/>
          <w:tab w:val="clear" w:pos="1588"/>
        </w:tabs>
        <w:rPr>
          <w:rFonts w:cstheme="minorHAnsi"/>
          <w:szCs w:val="24"/>
          <w:lang w:val="fr-FR"/>
        </w:rPr>
      </w:pPr>
      <w:r w:rsidRPr="00FF6C63">
        <w:rPr>
          <w:lang w:val="fr-FR"/>
        </w:rPr>
        <w:tab/>
        <w:t>M. Jordan Brewer (États-Unis)</w:t>
      </w:r>
    </w:p>
    <w:p w14:paraId="1684165A" w14:textId="319F3D08" w:rsidR="00FF5CBE" w:rsidRPr="00FF6C63" w:rsidRDefault="00FF5CBE" w:rsidP="00493E6C">
      <w:pPr>
        <w:tabs>
          <w:tab w:val="clear" w:pos="794"/>
          <w:tab w:val="clear" w:pos="1191"/>
          <w:tab w:val="clear" w:pos="1588"/>
        </w:tabs>
        <w:rPr>
          <w:rFonts w:cstheme="minorHAnsi"/>
          <w:szCs w:val="24"/>
          <w:lang w:val="fr-FR"/>
        </w:rPr>
      </w:pPr>
      <w:r w:rsidRPr="00FF6C63">
        <w:rPr>
          <w:lang w:val="fr-FR"/>
        </w:rPr>
        <w:tab/>
        <w:t>Mme Ke Wang (Chine)</w:t>
      </w:r>
    </w:p>
    <w:p w14:paraId="645A3F7A" w14:textId="44F52E54" w:rsidR="00FF5CBE" w:rsidRPr="00FF6C63" w:rsidRDefault="00FF5CBE" w:rsidP="00493E6C">
      <w:pPr>
        <w:tabs>
          <w:tab w:val="clear" w:pos="794"/>
          <w:tab w:val="clear" w:pos="1191"/>
          <w:tab w:val="clear" w:pos="1588"/>
        </w:tabs>
        <w:rPr>
          <w:rFonts w:cstheme="minorHAnsi"/>
          <w:szCs w:val="24"/>
          <w:lang w:val="fr-FR"/>
        </w:rPr>
      </w:pPr>
      <w:r w:rsidRPr="00FF6C63">
        <w:rPr>
          <w:lang w:val="fr-FR"/>
        </w:rPr>
        <w:tab/>
        <w:t>M. Ahmad R. Sharafat (Iran (République islamique d'))</w:t>
      </w:r>
    </w:p>
    <w:p w14:paraId="754221C7" w14:textId="0CFF1EDE" w:rsidR="00FF5CBE" w:rsidRPr="00FF6C63" w:rsidRDefault="00FF5CBE" w:rsidP="00493E6C">
      <w:pPr>
        <w:tabs>
          <w:tab w:val="clear" w:pos="794"/>
          <w:tab w:val="clear" w:pos="1191"/>
          <w:tab w:val="clear" w:pos="1588"/>
        </w:tabs>
        <w:rPr>
          <w:rFonts w:cstheme="minorHAnsi"/>
          <w:szCs w:val="24"/>
          <w:lang w:val="fr-FR"/>
        </w:rPr>
      </w:pPr>
      <w:r w:rsidRPr="00FF6C63">
        <w:rPr>
          <w:lang w:val="fr-FR"/>
        </w:rPr>
        <w:tab/>
        <w:t>Mme Mina Seonmin Jun (Corée (Rép. de))</w:t>
      </w:r>
    </w:p>
    <w:p w14:paraId="0516D62B" w14:textId="324FCFAA" w:rsidR="00FF5CBE" w:rsidRPr="00FF6C63" w:rsidRDefault="00FF5CBE" w:rsidP="00493E6C">
      <w:pPr>
        <w:tabs>
          <w:tab w:val="clear" w:pos="794"/>
          <w:tab w:val="clear" w:pos="1191"/>
          <w:tab w:val="clear" w:pos="1588"/>
        </w:tabs>
        <w:rPr>
          <w:rFonts w:cstheme="minorHAnsi"/>
          <w:szCs w:val="24"/>
          <w:lang w:val="fr-FR"/>
        </w:rPr>
      </w:pPr>
      <w:r w:rsidRPr="00FF6C63">
        <w:rPr>
          <w:lang w:val="fr-FR"/>
        </w:rPr>
        <w:tab/>
        <w:t>M. Arseny Plossky (Fédération de Russie)</w:t>
      </w:r>
    </w:p>
    <w:p w14:paraId="5822E14C" w14:textId="3ADE7C42" w:rsidR="00FF5CBE" w:rsidRPr="00FF6C63" w:rsidRDefault="00FF5CBE" w:rsidP="00493E6C">
      <w:pPr>
        <w:tabs>
          <w:tab w:val="clear" w:pos="794"/>
          <w:tab w:val="clear" w:pos="1191"/>
          <w:tab w:val="clear" w:pos="1588"/>
        </w:tabs>
        <w:rPr>
          <w:rFonts w:cstheme="minorHAnsi"/>
          <w:szCs w:val="24"/>
          <w:lang w:val="fr-FR"/>
        </w:rPr>
      </w:pPr>
      <w:r w:rsidRPr="00FF6C63">
        <w:rPr>
          <w:lang w:val="fr-FR"/>
        </w:rPr>
        <w:tab/>
        <w:t>Mme Aichurok Maralbek Kyzy (Kirghizistan)</w:t>
      </w:r>
    </w:p>
    <w:p w14:paraId="4D2A0ADB" w14:textId="0451BF1B" w:rsidR="00FF5CBE" w:rsidRPr="00FF6C63" w:rsidRDefault="00FF5CBE" w:rsidP="00493E6C">
      <w:pPr>
        <w:tabs>
          <w:tab w:val="clear" w:pos="794"/>
          <w:tab w:val="clear" w:pos="1191"/>
          <w:tab w:val="clear" w:pos="1588"/>
        </w:tabs>
        <w:rPr>
          <w:rFonts w:cstheme="minorHAnsi"/>
          <w:szCs w:val="24"/>
          <w:lang w:val="fr-FR"/>
        </w:rPr>
      </w:pPr>
      <w:r w:rsidRPr="00FF6C63">
        <w:rPr>
          <w:lang w:val="fr-FR"/>
        </w:rPr>
        <w:tab/>
        <w:t>Mme Eva Minarikova (République tchèque)</w:t>
      </w:r>
    </w:p>
    <w:p w14:paraId="60EF6320" w14:textId="4F1D1B17" w:rsidR="00FF5CBE" w:rsidRPr="00FF6C63" w:rsidRDefault="00FF5CBE" w:rsidP="00493E6C">
      <w:pPr>
        <w:tabs>
          <w:tab w:val="clear" w:pos="794"/>
          <w:tab w:val="clear" w:pos="1191"/>
          <w:tab w:val="clear" w:pos="1588"/>
        </w:tabs>
        <w:rPr>
          <w:rFonts w:cstheme="minorHAnsi"/>
          <w:szCs w:val="24"/>
          <w:lang w:val="fr-FR"/>
        </w:rPr>
      </w:pPr>
      <w:r w:rsidRPr="00FF6C63">
        <w:rPr>
          <w:lang w:val="fr-FR"/>
        </w:rPr>
        <w:tab/>
        <w:t>Mme Inga Rimkevičienė (Lituanie)</w:t>
      </w:r>
    </w:p>
    <w:p w14:paraId="5ABAAE39" w14:textId="2D176717" w:rsidR="00FF5CBE" w:rsidRPr="00FF6C63" w:rsidRDefault="00FF5CBE" w:rsidP="007B4FC5">
      <w:pPr>
        <w:pStyle w:val="Heading1"/>
        <w:rPr>
          <w:rFonts w:cstheme="minorHAnsi"/>
          <w:color w:val="000000"/>
          <w:lang w:val="fr-FR"/>
        </w:rPr>
      </w:pPr>
      <w:r w:rsidRPr="00FF6C63">
        <w:rPr>
          <w:lang w:val="fr-FR"/>
        </w:rPr>
        <w:t>8</w:t>
      </w:r>
      <w:r w:rsidRPr="00FF6C63">
        <w:rPr>
          <w:lang w:val="fr-FR"/>
        </w:rPr>
        <w:tab/>
        <w:t>Commissions d'études de l'UIT-D</w:t>
      </w:r>
    </w:p>
    <w:p w14:paraId="46BA9441" w14:textId="359016CA" w:rsidR="00FF5CBE" w:rsidRPr="00FF6C63" w:rsidRDefault="00FF5CBE" w:rsidP="007B4FC5">
      <w:pPr>
        <w:rPr>
          <w:rFonts w:cstheme="minorHAnsi"/>
          <w:szCs w:val="24"/>
          <w:lang w:val="fr-FR"/>
        </w:rPr>
      </w:pPr>
      <w:r w:rsidRPr="00FF6C63">
        <w:rPr>
          <w:lang w:val="fr-FR"/>
        </w:rPr>
        <w:t xml:space="preserve">La CMDT-25 a nommé les </w:t>
      </w:r>
      <w:r w:rsidR="0004566E" w:rsidRPr="00FF6C63">
        <w:rPr>
          <w:lang w:val="fr-FR"/>
        </w:rPr>
        <w:t>p</w:t>
      </w:r>
      <w:r w:rsidRPr="00FF6C63">
        <w:rPr>
          <w:lang w:val="fr-FR"/>
        </w:rPr>
        <w:t xml:space="preserve">résidents et </w:t>
      </w:r>
      <w:r w:rsidR="0004566E" w:rsidRPr="00FF6C63">
        <w:rPr>
          <w:lang w:val="fr-FR"/>
        </w:rPr>
        <w:t>v</w:t>
      </w:r>
      <w:r w:rsidRPr="00FF6C63">
        <w:rPr>
          <w:lang w:val="fr-FR"/>
        </w:rPr>
        <w:t>ice-</w:t>
      </w:r>
      <w:r w:rsidR="0004566E" w:rsidRPr="00FF6C63">
        <w:rPr>
          <w:lang w:val="fr-FR"/>
        </w:rPr>
        <w:t>p</w:t>
      </w:r>
      <w:r w:rsidRPr="00FF6C63">
        <w:rPr>
          <w:lang w:val="fr-FR"/>
        </w:rPr>
        <w:t>résidents des Commissions d'études 1 et 2 de l'UIT</w:t>
      </w:r>
      <w:r w:rsidR="007B4FC5" w:rsidRPr="00FF6C63">
        <w:rPr>
          <w:lang w:val="fr-FR"/>
        </w:rPr>
        <w:noBreakHyphen/>
      </w:r>
      <w:r w:rsidRPr="00FF6C63">
        <w:rPr>
          <w:lang w:val="fr-FR"/>
        </w:rPr>
        <w:t>D, comme suit:</w:t>
      </w:r>
    </w:p>
    <w:p w14:paraId="7ED64964" w14:textId="77777777" w:rsidR="00FF5CBE" w:rsidRPr="00FF6C63" w:rsidRDefault="00FF5CBE" w:rsidP="007B4FC5">
      <w:pPr>
        <w:pStyle w:val="Headingb"/>
        <w:rPr>
          <w:rFonts w:cstheme="minorHAnsi"/>
          <w:szCs w:val="24"/>
          <w:lang w:val="fr-FR"/>
        </w:rPr>
      </w:pPr>
      <w:r w:rsidRPr="00FF6C63">
        <w:rPr>
          <w:lang w:val="fr-FR"/>
        </w:rPr>
        <w:t>Commission d'études 1</w:t>
      </w:r>
    </w:p>
    <w:p w14:paraId="7DCA81FA" w14:textId="584013EA" w:rsidR="00FF5CBE" w:rsidRPr="00FF6C63" w:rsidRDefault="00FF5CBE" w:rsidP="00493E6C">
      <w:pPr>
        <w:tabs>
          <w:tab w:val="clear" w:pos="794"/>
          <w:tab w:val="clear" w:pos="1191"/>
          <w:tab w:val="clear" w:pos="1588"/>
        </w:tabs>
        <w:rPr>
          <w:rFonts w:cstheme="minorHAnsi"/>
          <w:szCs w:val="24"/>
          <w:lang w:val="fr-FR"/>
        </w:rPr>
      </w:pPr>
      <w:r w:rsidRPr="00FF6C63">
        <w:rPr>
          <w:lang w:val="fr-FR"/>
        </w:rPr>
        <w:t>Président:</w:t>
      </w:r>
      <w:r w:rsidRPr="00FF6C63">
        <w:rPr>
          <w:lang w:val="fr-FR"/>
        </w:rPr>
        <w:tab/>
        <w:t>M. Roberto Mitsuake Hirayama (Brésil)</w:t>
      </w:r>
    </w:p>
    <w:p w14:paraId="5CE94F60" w14:textId="2D48DEBC" w:rsidR="00FF5CBE" w:rsidRPr="00FF6C63" w:rsidRDefault="00FF5CBE" w:rsidP="00493E6C">
      <w:pPr>
        <w:tabs>
          <w:tab w:val="clear" w:pos="794"/>
          <w:tab w:val="clear" w:pos="1191"/>
          <w:tab w:val="clear" w:pos="1588"/>
        </w:tabs>
        <w:rPr>
          <w:rFonts w:cstheme="minorHAnsi"/>
          <w:szCs w:val="24"/>
          <w:lang w:val="fr-FR"/>
        </w:rPr>
      </w:pPr>
      <w:r w:rsidRPr="00FF6C63">
        <w:rPr>
          <w:lang w:val="fr-FR"/>
        </w:rPr>
        <w:t>Vice-Présidents:</w:t>
      </w:r>
      <w:r w:rsidR="007B4FC5" w:rsidRPr="00FF6C63">
        <w:rPr>
          <w:lang w:val="fr-FR"/>
        </w:rPr>
        <w:tab/>
      </w:r>
      <w:r w:rsidRPr="00FF6C63">
        <w:rPr>
          <w:lang w:val="fr-FR"/>
        </w:rPr>
        <w:t>Mme Hadiza Kachallah (Nigéria)</w:t>
      </w:r>
    </w:p>
    <w:p w14:paraId="7D9703F1" w14:textId="428B41DA" w:rsidR="00FF5CBE" w:rsidRPr="00FF6C63" w:rsidRDefault="00FF5CBE" w:rsidP="00493E6C">
      <w:pPr>
        <w:tabs>
          <w:tab w:val="clear" w:pos="794"/>
          <w:tab w:val="clear" w:pos="1191"/>
          <w:tab w:val="clear" w:pos="1588"/>
        </w:tabs>
        <w:rPr>
          <w:rFonts w:cstheme="minorHAnsi"/>
          <w:szCs w:val="24"/>
          <w:lang w:val="fr-FR"/>
        </w:rPr>
      </w:pPr>
      <w:r w:rsidRPr="00FF6C63">
        <w:rPr>
          <w:lang w:val="fr-FR"/>
        </w:rPr>
        <w:tab/>
        <w:t>M. Malick Ndiaye (Sénégal)</w:t>
      </w:r>
    </w:p>
    <w:p w14:paraId="257F2E3C" w14:textId="736A19A4" w:rsidR="00FF5CBE" w:rsidRPr="00FF6C63" w:rsidRDefault="00FF5CBE" w:rsidP="00493E6C">
      <w:pPr>
        <w:tabs>
          <w:tab w:val="clear" w:pos="794"/>
          <w:tab w:val="clear" w:pos="1191"/>
          <w:tab w:val="clear" w:pos="1588"/>
        </w:tabs>
        <w:rPr>
          <w:rFonts w:cstheme="minorHAnsi"/>
          <w:szCs w:val="24"/>
          <w:lang w:val="fr-FR"/>
        </w:rPr>
      </w:pPr>
      <w:r w:rsidRPr="00FF6C63">
        <w:rPr>
          <w:lang w:val="fr-FR"/>
        </w:rPr>
        <w:tab/>
        <w:t>M. Francisco Antonio Casaccia Torres (Paraguay)</w:t>
      </w:r>
    </w:p>
    <w:p w14:paraId="1B1D8D0A" w14:textId="4866936D" w:rsidR="00FF5CBE" w:rsidRPr="00FF6C63" w:rsidRDefault="00FF5CBE" w:rsidP="00493E6C">
      <w:pPr>
        <w:tabs>
          <w:tab w:val="clear" w:pos="794"/>
          <w:tab w:val="clear" w:pos="1191"/>
          <w:tab w:val="clear" w:pos="1588"/>
        </w:tabs>
        <w:rPr>
          <w:rFonts w:cstheme="minorHAnsi"/>
          <w:szCs w:val="24"/>
          <w:lang w:val="fr-FR"/>
        </w:rPr>
      </w:pPr>
      <w:r w:rsidRPr="00FF6C63">
        <w:rPr>
          <w:lang w:val="fr-FR"/>
        </w:rPr>
        <w:tab/>
        <w:t>M. Abdelwaheb Galizra (Algérie)</w:t>
      </w:r>
    </w:p>
    <w:p w14:paraId="57B878EC" w14:textId="22329757" w:rsidR="00FF5CBE" w:rsidRPr="00FF6C63" w:rsidRDefault="00FF5CBE" w:rsidP="00493E6C">
      <w:pPr>
        <w:tabs>
          <w:tab w:val="clear" w:pos="794"/>
          <w:tab w:val="clear" w:pos="1191"/>
          <w:tab w:val="clear" w:pos="1588"/>
        </w:tabs>
        <w:rPr>
          <w:rFonts w:cstheme="minorHAnsi"/>
          <w:szCs w:val="24"/>
          <w:lang w:val="fr-FR"/>
        </w:rPr>
      </w:pPr>
      <w:r w:rsidRPr="00FF6C63">
        <w:rPr>
          <w:lang w:val="fr-FR"/>
        </w:rPr>
        <w:tab/>
        <w:t>M. Ali Rasheed Hamad Al-Hamad (Koweït)</w:t>
      </w:r>
    </w:p>
    <w:p w14:paraId="5B03C9BA" w14:textId="09E496D0" w:rsidR="00FF5CBE" w:rsidRPr="00FF6C63" w:rsidRDefault="00FF5CBE" w:rsidP="00493E6C">
      <w:pPr>
        <w:tabs>
          <w:tab w:val="clear" w:pos="794"/>
          <w:tab w:val="clear" w:pos="1191"/>
          <w:tab w:val="clear" w:pos="1588"/>
        </w:tabs>
        <w:rPr>
          <w:rFonts w:cstheme="minorHAnsi"/>
          <w:szCs w:val="24"/>
          <w:lang w:val="fr-FR"/>
        </w:rPr>
      </w:pPr>
      <w:r w:rsidRPr="00FF6C63">
        <w:rPr>
          <w:lang w:val="fr-FR"/>
        </w:rPr>
        <w:tab/>
        <w:t>M. Wesam Sedik (Égypte)</w:t>
      </w:r>
    </w:p>
    <w:p w14:paraId="3B5ED62A" w14:textId="217A5180" w:rsidR="00FF5CBE" w:rsidRPr="00FF6C63" w:rsidRDefault="00FF5CBE" w:rsidP="00493E6C">
      <w:pPr>
        <w:tabs>
          <w:tab w:val="clear" w:pos="794"/>
          <w:tab w:val="clear" w:pos="1191"/>
          <w:tab w:val="clear" w:pos="1588"/>
        </w:tabs>
        <w:rPr>
          <w:rFonts w:cstheme="minorHAnsi"/>
          <w:szCs w:val="24"/>
          <w:lang w:val="fr-FR"/>
        </w:rPr>
      </w:pPr>
      <w:r w:rsidRPr="00FF6C63">
        <w:rPr>
          <w:lang w:val="fr-FR"/>
        </w:rPr>
        <w:tab/>
        <w:t>Mme Memiko Otsuki (Japon)</w:t>
      </w:r>
    </w:p>
    <w:p w14:paraId="404ACAD2" w14:textId="6C956E38" w:rsidR="00FF5CBE" w:rsidRPr="00FF6C63" w:rsidRDefault="00FF5CBE" w:rsidP="00493E6C">
      <w:pPr>
        <w:tabs>
          <w:tab w:val="clear" w:pos="794"/>
          <w:tab w:val="clear" w:pos="1191"/>
          <w:tab w:val="clear" w:pos="1588"/>
        </w:tabs>
        <w:rPr>
          <w:rFonts w:cstheme="minorHAnsi"/>
          <w:szCs w:val="24"/>
          <w:lang w:val="fr-FR"/>
        </w:rPr>
      </w:pPr>
      <w:r w:rsidRPr="00FF6C63">
        <w:rPr>
          <w:lang w:val="fr-FR"/>
        </w:rPr>
        <w:tab/>
        <w:t>M. Dao Ngoc Tuyen (Viet Nam)</w:t>
      </w:r>
    </w:p>
    <w:p w14:paraId="1053B1A9" w14:textId="3BB24890" w:rsidR="00FF5CBE" w:rsidRPr="00FF6C63" w:rsidRDefault="00FF5CBE" w:rsidP="00493E6C">
      <w:pPr>
        <w:tabs>
          <w:tab w:val="clear" w:pos="794"/>
          <w:tab w:val="clear" w:pos="1191"/>
          <w:tab w:val="clear" w:pos="1588"/>
        </w:tabs>
        <w:rPr>
          <w:rFonts w:cstheme="minorHAnsi"/>
          <w:szCs w:val="24"/>
          <w:lang w:val="fr-FR"/>
        </w:rPr>
      </w:pPr>
      <w:r w:rsidRPr="00FF6C63">
        <w:rPr>
          <w:lang w:val="fr-FR"/>
        </w:rPr>
        <w:tab/>
        <w:t>Mme Sha Wei (Chine)</w:t>
      </w:r>
    </w:p>
    <w:p w14:paraId="75D34BED" w14:textId="41969DA5" w:rsidR="00FF5CBE" w:rsidRPr="00FF6C63" w:rsidRDefault="00FF5CBE" w:rsidP="00493E6C">
      <w:pPr>
        <w:tabs>
          <w:tab w:val="clear" w:pos="794"/>
          <w:tab w:val="clear" w:pos="1191"/>
          <w:tab w:val="clear" w:pos="1588"/>
        </w:tabs>
        <w:rPr>
          <w:rFonts w:cstheme="minorHAnsi"/>
          <w:szCs w:val="24"/>
          <w:lang w:val="fr-FR"/>
        </w:rPr>
      </w:pPr>
      <w:r w:rsidRPr="00FF6C63">
        <w:rPr>
          <w:lang w:val="fr-FR"/>
        </w:rPr>
        <w:tab/>
        <w:t>M. Sunil Kumar Singhal (Inde)</w:t>
      </w:r>
    </w:p>
    <w:p w14:paraId="4614B164" w14:textId="4A2A9AE8" w:rsidR="00FF5CBE" w:rsidRPr="00FF6C63" w:rsidRDefault="00FF5CBE" w:rsidP="00493E6C">
      <w:pPr>
        <w:tabs>
          <w:tab w:val="clear" w:pos="794"/>
          <w:tab w:val="clear" w:pos="1191"/>
          <w:tab w:val="clear" w:pos="1588"/>
        </w:tabs>
        <w:rPr>
          <w:rFonts w:cstheme="minorHAnsi"/>
          <w:szCs w:val="24"/>
          <w:lang w:val="fr-FR"/>
        </w:rPr>
      </w:pPr>
      <w:r w:rsidRPr="00FF6C63">
        <w:rPr>
          <w:lang w:val="fr-FR"/>
        </w:rPr>
        <w:tab/>
        <w:t>M. Ilgar Abdullayev (Azerbaïdjan)</w:t>
      </w:r>
    </w:p>
    <w:p w14:paraId="22E6318E" w14:textId="5F85998F" w:rsidR="00FF5CBE" w:rsidRPr="00FF6C63" w:rsidRDefault="00FF5CBE" w:rsidP="00493E6C">
      <w:pPr>
        <w:tabs>
          <w:tab w:val="clear" w:pos="794"/>
          <w:tab w:val="clear" w:pos="1191"/>
          <w:tab w:val="clear" w:pos="1588"/>
        </w:tabs>
        <w:rPr>
          <w:rFonts w:cstheme="minorHAnsi"/>
          <w:szCs w:val="24"/>
          <w:lang w:val="fr-FR"/>
        </w:rPr>
      </w:pPr>
      <w:r w:rsidRPr="00FF6C63">
        <w:rPr>
          <w:lang w:val="fr-FR"/>
        </w:rPr>
        <w:tab/>
        <w:t>Mme Anastasia Konukhova (Fédération de Russie)</w:t>
      </w:r>
    </w:p>
    <w:p w14:paraId="7407E176" w14:textId="2360F6A4" w:rsidR="00FF5CBE" w:rsidRPr="00FF6C63" w:rsidRDefault="00FF5CBE" w:rsidP="00493E6C">
      <w:pPr>
        <w:tabs>
          <w:tab w:val="clear" w:pos="794"/>
          <w:tab w:val="clear" w:pos="1191"/>
          <w:tab w:val="clear" w:pos="1588"/>
        </w:tabs>
        <w:rPr>
          <w:rFonts w:cstheme="minorHAnsi"/>
          <w:szCs w:val="24"/>
          <w:lang w:val="fr-FR"/>
        </w:rPr>
      </w:pPr>
      <w:r w:rsidRPr="00FF6C63">
        <w:rPr>
          <w:lang w:val="fr-FR"/>
        </w:rPr>
        <w:tab/>
        <w:t>Mme Umida Musayeva (Ouzbékistan)</w:t>
      </w:r>
    </w:p>
    <w:p w14:paraId="6D6153A4" w14:textId="59E2B670" w:rsidR="00FF5CBE" w:rsidRPr="00FF6C63" w:rsidRDefault="00FF5CBE" w:rsidP="00493E6C">
      <w:pPr>
        <w:tabs>
          <w:tab w:val="clear" w:pos="794"/>
          <w:tab w:val="clear" w:pos="1191"/>
          <w:tab w:val="clear" w:pos="1588"/>
        </w:tabs>
        <w:rPr>
          <w:rFonts w:cstheme="minorHAnsi"/>
          <w:szCs w:val="24"/>
          <w:lang w:val="fr-FR"/>
        </w:rPr>
      </w:pPr>
      <w:r w:rsidRPr="00FF6C63">
        <w:rPr>
          <w:lang w:val="fr-FR"/>
        </w:rPr>
        <w:tab/>
        <w:t>Mme Cristina Aguiar (Portugal)</w:t>
      </w:r>
    </w:p>
    <w:p w14:paraId="49D2AA72" w14:textId="697DBDC1" w:rsidR="00FF5CBE" w:rsidRPr="00FF6C63" w:rsidRDefault="00FF5CBE" w:rsidP="00493E6C">
      <w:pPr>
        <w:tabs>
          <w:tab w:val="clear" w:pos="794"/>
          <w:tab w:val="clear" w:pos="1191"/>
          <w:tab w:val="clear" w:pos="1588"/>
        </w:tabs>
        <w:rPr>
          <w:rFonts w:cstheme="minorHAnsi"/>
          <w:szCs w:val="24"/>
          <w:lang w:val="fr-FR"/>
        </w:rPr>
      </w:pPr>
      <w:r w:rsidRPr="00FF6C63">
        <w:rPr>
          <w:lang w:val="fr-FR"/>
        </w:rPr>
        <w:tab/>
        <w:t>M. Mehmet Alper Tekin (Türkiye)</w:t>
      </w:r>
    </w:p>
    <w:p w14:paraId="31E1B899" w14:textId="17E57181" w:rsidR="00FF5CBE" w:rsidRPr="00FF6C63" w:rsidRDefault="00FF5CBE" w:rsidP="00493E6C">
      <w:pPr>
        <w:tabs>
          <w:tab w:val="clear" w:pos="794"/>
          <w:tab w:val="clear" w:pos="1191"/>
          <w:tab w:val="clear" w:pos="1588"/>
        </w:tabs>
        <w:rPr>
          <w:lang w:val="fr-FR"/>
        </w:rPr>
      </w:pPr>
      <w:r w:rsidRPr="00FF6C63">
        <w:rPr>
          <w:lang w:val="fr-FR"/>
        </w:rPr>
        <w:tab/>
        <w:t>M. Teddy Woodhouse (Royaume-Uni)</w:t>
      </w:r>
    </w:p>
    <w:p w14:paraId="2993CE92" w14:textId="12DBBA73" w:rsidR="0004566E" w:rsidRPr="00FF6C63" w:rsidRDefault="0004566E" w:rsidP="00493E6C">
      <w:pPr>
        <w:tabs>
          <w:tab w:val="clear" w:pos="794"/>
          <w:tab w:val="clear" w:pos="1191"/>
          <w:tab w:val="clear" w:pos="1588"/>
        </w:tabs>
        <w:rPr>
          <w:lang w:val="fr-FR"/>
        </w:rPr>
      </w:pPr>
      <w:r w:rsidRPr="00FF6C63">
        <w:rPr>
          <w:lang w:val="fr-FR"/>
        </w:rPr>
        <w:br w:type="page"/>
      </w:r>
    </w:p>
    <w:p w14:paraId="3B738F9D" w14:textId="77777777" w:rsidR="00FF5CBE" w:rsidRPr="00FF6C63" w:rsidRDefault="00FF5CBE" w:rsidP="00FF5CBE">
      <w:pPr>
        <w:pStyle w:val="Headingb"/>
        <w:rPr>
          <w:rFonts w:cstheme="minorHAnsi"/>
          <w:szCs w:val="24"/>
          <w:lang w:val="fr-FR"/>
        </w:rPr>
      </w:pPr>
      <w:r w:rsidRPr="00FF6C63">
        <w:rPr>
          <w:bCs/>
          <w:lang w:val="fr-FR"/>
        </w:rPr>
        <w:t>Commission d'études 2</w:t>
      </w:r>
    </w:p>
    <w:p w14:paraId="5B593F31" w14:textId="08F68D9C" w:rsidR="00FF5CBE" w:rsidRPr="00FF6C63" w:rsidRDefault="00FF5CBE" w:rsidP="00493E6C">
      <w:pPr>
        <w:tabs>
          <w:tab w:val="clear" w:pos="794"/>
          <w:tab w:val="clear" w:pos="1191"/>
          <w:tab w:val="clear" w:pos="1588"/>
        </w:tabs>
        <w:rPr>
          <w:rFonts w:cstheme="minorHAnsi"/>
          <w:szCs w:val="24"/>
          <w:lang w:val="fr-FR"/>
        </w:rPr>
      </w:pPr>
      <w:r w:rsidRPr="00FF6C63">
        <w:rPr>
          <w:lang w:val="fr-FR"/>
        </w:rPr>
        <w:t>Président:</w:t>
      </w:r>
      <w:r w:rsidRPr="00FF6C63">
        <w:rPr>
          <w:lang w:val="fr-FR"/>
        </w:rPr>
        <w:tab/>
        <w:t>M. Fadel Digham (Égypte)</w:t>
      </w:r>
    </w:p>
    <w:p w14:paraId="09DA2DBF" w14:textId="1715427C" w:rsidR="00FF5CBE" w:rsidRPr="00FF6C63" w:rsidRDefault="00FF5CBE" w:rsidP="00493E6C">
      <w:pPr>
        <w:tabs>
          <w:tab w:val="clear" w:pos="794"/>
          <w:tab w:val="clear" w:pos="1191"/>
          <w:tab w:val="clear" w:pos="1588"/>
        </w:tabs>
        <w:rPr>
          <w:rFonts w:cstheme="minorHAnsi"/>
          <w:szCs w:val="24"/>
          <w:lang w:val="fr-FR"/>
        </w:rPr>
      </w:pPr>
      <w:r w:rsidRPr="00FF6C63">
        <w:rPr>
          <w:lang w:val="fr-FR"/>
        </w:rPr>
        <w:t>Vice-Présidents:</w:t>
      </w:r>
      <w:r w:rsidR="007B4FC5" w:rsidRPr="00FF6C63">
        <w:rPr>
          <w:lang w:val="fr-FR"/>
        </w:rPr>
        <w:tab/>
      </w:r>
      <w:r w:rsidRPr="00FF6C63">
        <w:rPr>
          <w:lang w:val="fr-FR"/>
        </w:rPr>
        <w:t>Mme Imelda Salum Banali (Tanzanie)</w:t>
      </w:r>
    </w:p>
    <w:p w14:paraId="12199DEE" w14:textId="25A451CF" w:rsidR="00FF5CBE" w:rsidRPr="00FF6C63" w:rsidRDefault="00FF5CBE" w:rsidP="00493E6C">
      <w:pPr>
        <w:tabs>
          <w:tab w:val="clear" w:pos="794"/>
          <w:tab w:val="clear" w:pos="1191"/>
          <w:tab w:val="clear" w:pos="1588"/>
        </w:tabs>
        <w:rPr>
          <w:rFonts w:cstheme="minorHAnsi"/>
          <w:szCs w:val="24"/>
          <w:lang w:val="fr-FR"/>
        </w:rPr>
      </w:pPr>
      <w:r w:rsidRPr="00FF6C63">
        <w:rPr>
          <w:lang w:val="fr-FR"/>
        </w:rPr>
        <w:tab/>
        <w:t>M. Mohamed Lamine Minthe (Guinée)</w:t>
      </w:r>
    </w:p>
    <w:p w14:paraId="7BCC6702" w14:textId="2BE345F8" w:rsidR="00FF5CBE" w:rsidRPr="00FF6C63" w:rsidRDefault="00FF5CBE" w:rsidP="00493E6C">
      <w:pPr>
        <w:tabs>
          <w:tab w:val="clear" w:pos="794"/>
          <w:tab w:val="clear" w:pos="1191"/>
          <w:tab w:val="clear" w:pos="1588"/>
        </w:tabs>
        <w:rPr>
          <w:rFonts w:cstheme="minorHAnsi"/>
          <w:szCs w:val="24"/>
          <w:lang w:val="fr-FR"/>
        </w:rPr>
      </w:pPr>
      <w:r w:rsidRPr="00FF6C63">
        <w:rPr>
          <w:lang w:val="fr-FR"/>
        </w:rPr>
        <w:tab/>
        <w:t>Mme Fifatin Carrelle Lucrèce Toho (Bénin)</w:t>
      </w:r>
    </w:p>
    <w:p w14:paraId="6B98B6BA" w14:textId="490017C8" w:rsidR="00FF5CBE" w:rsidRPr="00FF6C63" w:rsidRDefault="00FF5CBE" w:rsidP="00493E6C">
      <w:pPr>
        <w:tabs>
          <w:tab w:val="clear" w:pos="794"/>
          <w:tab w:val="clear" w:pos="1191"/>
          <w:tab w:val="clear" w:pos="1588"/>
        </w:tabs>
        <w:rPr>
          <w:rFonts w:cstheme="minorHAnsi"/>
          <w:szCs w:val="24"/>
          <w:lang w:val="fr-FR"/>
        </w:rPr>
      </w:pPr>
      <w:r w:rsidRPr="00FF6C63">
        <w:rPr>
          <w:lang w:val="fr-FR"/>
        </w:rPr>
        <w:tab/>
        <w:t>M. Víctor Antonio Martínez Sánchez (Paraguay)</w:t>
      </w:r>
    </w:p>
    <w:p w14:paraId="5CA6F947" w14:textId="239D2195" w:rsidR="00FF5CBE" w:rsidRPr="00FF6C63" w:rsidRDefault="00FF5CBE" w:rsidP="00493E6C">
      <w:pPr>
        <w:tabs>
          <w:tab w:val="clear" w:pos="794"/>
          <w:tab w:val="clear" w:pos="1191"/>
          <w:tab w:val="clear" w:pos="1588"/>
        </w:tabs>
        <w:rPr>
          <w:rFonts w:cstheme="minorHAnsi"/>
          <w:szCs w:val="24"/>
          <w:lang w:val="fr-FR"/>
        </w:rPr>
      </w:pPr>
      <w:r w:rsidRPr="00FF6C63">
        <w:rPr>
          <w:lang w:val="fr-FR"/>
        </w:rPr>
        <w:tab/>
        <w:t>Mme Aisha Al Marzooqi (Émirats arabes unis)</w:t>
      </w:r>
    </w:p>
    <w:p w14:paraId="0CB5EE71" w14:textId="5E1E275F" w:rsidR="00FF5CBE" w:rsidRPr="00FF6C63" w:rsidRDefault="00FF5CBE" w:rsidP="00493E6C">
      <w:pPr>
        <w:tabs>
          <w:tab w:val="clear" w:pos="794"/>
          <w:tab w:val="clear" w:pos="1191"/>
          <w:tab w:val="clear" w:pos="1588"/>
        </w:tabs>
        <w:rPr>
          <w:rFonts w:cstheme="minorHAnsi"/>
          <w:szCs w:val="24"/>
          <w:lang w:val="fr-FR"/>
        </w:rPr>
      </w:pPr>
      <w:r w:rsidRPr="00FF6C63">
        <w:rPr>
          <w:lang w:val="fr-FR"/>
        </w:rPr>
        <w:tab/>
        <w:t>Mme Maha Ziad Yousef Mouasher (Jordanie)</w:t>
      </w:r>
    </w:p>
    <w:p w14:paraId="3A8909C4" w14:textId="45D943F9" w:rsidR="00FF5CBE" w:rsidRPr="00FF6C63" w:rsidRDefault="00FF5CBE" w:rsidP="00493E6C">
      <w:pPr>
        <w:tabs>
          <w:tab w:val="clear" w:pos="794"/>
          <w:tab w:val="clear" w:pos="1191"/>
          <w:tab w:val="clear" w:pos="1588"/>
        </w:tabs>
        <w:rPr>
          <w:rFonts w:cstheme="minorHAnsi"/>
          <w:szCs w:val="24"/>
          <w:lang w:val="fr-FR"/>
        </w:rPr>
      </w:pPr>
      <w:r w:rsidRPr="00FF6C63">
        <w:rPr>
          <w:lang w:val="fr-FR"/>
        </w:rPr>
        <w:tab/>
        <w:t>M. Hideo Imanaka (Japon)</w:t>
      </w:r>
    </w:p>
    <w:p w14:paraId="36487E31" w14:textId="3B1186D7" w:rsidR="00FF5CBE" w:rsidRPr="00FF6C63" w:rsidRDefault="00FF5CBE" w:rsidP="00493E6C">
      <w:pPr>
        <w:tabs>
          <w:tab w:val="clear" w:pos="794"/>
          <w:tab w:val="clear" w:pos="1191"/>
          <w:tab w:val="clear" w:pos="1588"/>
        </w:tabs>
        <w:rPr>
          <w:rFonts w:cstheme="minorHAnsi"/>
          <w:szCs w:val="24"/>
          <w:lang w:val="fr-FR"/>
        </w:rPr>
      </w:pPr>
      <w:r w:rsidRPr="00FF6C63">
        <w:rPr>
          <w:lang w:val="fr-FR"/>
        </w:rPr>
        <w:tab/>
        <w:t>M. Sandeep Kumar Gupta (Inde)</w:t>
      </w:r>
    </w:p>
    <w:p w14:paraId="161DFD6A" w14:textId="2A6EC8B6" w:rsidR="00FF5CBE" w:rsidRPr="00FF6C63" w:rsidRDefault="00FF5CBE" w:rsidP="00493E6C">
      <w:pPr>
        <w:tabs>
          <w:tab w:val="clear" w:pos="794"/>
          <w:tab w:val="clear" w:pos="1191"/>
          <w:tab w:val="clear" w:pos="1588"/>
        </w:tabs>
        <w:rPr>
          <w:rFonts w:cstheme="minorHAnsi"/>
          <w:szCs w:val="24"/>
          <w:lang w:val="fr-FR"/>
        </w:rPr>
      </w:pPr>
      <w:r w:rsidRPr="00FF6C63">
        <w:rPr>
          <w:lang w:val="fr-FR"/>
        </w:rPr>
        <w:tab/>
        <w:t>M. Tongning Wu (Chine)</w:t>
      </w:r>
    </w:p>
    <w:p w14:paraId="178F764B" w14:textId="7716C974" w:rsidR="00FF5CBE" w:rsidRPr="00FF6C63" w:rsidRDefault="00FF5CBE" w:rsidP="00493E6C">
      <w:pPr>
        <w:tabs>
          <w:tab w:val="clear" w:pos="794"/>
          <w:tab w:val="clear" w:pos="1191"/>
          <w:tab w:val="clear" w:pos="1588"/>
        </w:tabs>
        <w:rPr>
          <w:rFonts w:cstheme="minorHAnsi"/>
          <w:szCs w:val="24"/>
          <w:lang w:val="fr-FR"/>
        </w:rPr>
      </w:pPr>
      <w:r w:rsidRPr="00FF6C63">
        <w:rPr>
          <w:lang w:val="fr-FR"/>
        </w:rPr>
        <w:tab/>
        <w:t>M. Javokhir Aripov (Ouzbékistan)</w:t>
      </w:r>
    </w:p>
    <w:p w14:paraId="75B9EA38" w14:textId="403B5117" w:rsidR="00FF5CBE" w:rsidRPr="00FF6C63" w:rsidRDefault="00FF5CBE" w:rsidP="00493E6C">
      <w:pPr>
        <w:tabs>
          <w:tab w:val="clear" w:pos="794"/>
          <w:tab w:val="clear" w:pos="1191"/>
          <w:tab w:val="clear" w:pos="1588"/>
        </w:tabs>
        <w:rPr>
          <w:rFonts w:cstheme="minorHAnsi"/>
          <w:szCs w:val="24"/>
          <w:lang w:val="fr-FR"/>
        </w:rPr>
      </w:pPr>
      <w:r w:rsidRPr="00FF6C63">
        <w:rPr>
          <w:lang w:val="fr-FR"/>
        </w:rPr>
        <w:tab/>
        <w:t>Mme Uliana Stoliarova (Fédération de Russie)</w:t>
      </w:r>
    </w:p>
    <w:p w14:paraId="785B516A" w14:textId="3EA2B333" w:rsidR="00FF5CBE" w:rsidRPr="00FF6C63" w:rsidRDefault="00FF5CBE" w:rsidP="00493E6C">
      <w:pPr>
        <w:tabs>
          <w:tab w:val="clear" w:pos="794"/>
          <w:tab w:val="clear" w:pos="1191"/>
          <w:tab w:val="clear" w:pos="1588"/>
        </w:tabs>
        <w:rPr>
          <w:rFonts w:cstheme="minorHAnsi"/>
          <w:szCs w:val="24"/>
          <w:lang w:val="fr-FR"/>
        </w:rPr>
      </w:pPr>
      <w:r w:rsidRPr="00FF6C63">
        <w:rPr>
          <w:lang w:val="fr-FR"/>
        </w:rPr>
        <w:tab/>
        <w:t>Mme Lidia Stepinska-Ustasiak (Pologne)</w:t>
      </w:r>
    </w:p>
    <w:p w14:paraId="624F3F13" w14:textId="02C18F30" w:rsidR="00FF5CBE" w:rsidRPr="00FF6C63" w:rsidRDefault="00FF5CBE" w:rsidP="00493E6C">
      <w:pPr>
        <w:tabs>
          <w:tab w:val="clear" w:pos="794"/>
          <w:tab w:val="clear" w:pos="1191"/>
          <w:tab w:val="clear" w:pos="1588"/>
        </w:tabs>
        <w:rPr>
          <w:rFonts w:cstheme="minorHAnsi"/>
          <w:szCs w:val="24"/>
          <w:lang w:val="fr-FR"/>
        </w:rPr>
      </w:pPr>
      <w:r w:rsidRPr="00FF6C63">
        <w:rPr>
          <w:lang w:val="fr-FR"/>
        </w:rPr>
        <w:tab/>
        <w:t>Mme Carmen-Madalina Clapon (Roumanie)</w:t>
      </w:r>
    </w:p>
    <w:p w14:paraId="2EC2844A" w14:textId="5A236F01" w:rsidR="00821996" w:rsidRPr="00FF6C63" w:rsidRDefault="00FF5CBE" w:rsidP="00FF5CBE">
      <w:pPr>
        <w:tabs>
          <w:tab w:val="clear" w:pos="794"/>
          <w:tab w:val="clear" w:pos="1191"/>
          <w:tab w:val="clear" w:pos="1588"/>
          <w:tab w:val="clear" w:pos="1985"/>
        </w:tabs>
        <w:spacing w:before="240" w:after="120"/>
        <w:ind w:left="567" w:hanging="567"/>
        <w:jc w:val="center"/>
        <w:rPr>
          <w:rFonts w:eastAsia="Calibri" w:cs="Calibri"/>
          <w:szCs w:val="24"/>
          <w:lang w:val="fr-FR"/>
        </w:rPr>
      </w:pPr>
      <w:r w:rsidRPr="00FF6C63">
        <w:rPr>
          <w:lang w:val="fr-FR"/>
        </w:rPr>
        <w:t>_______________</w:t>
      </w:r>
    </w:p>
    <w:sectPr w:rsidR="00821996" w:rsidRPr="00FF6C63" w:rsidSect="00473791">
      <w:headerReference w:type="default" r:id="rId30"/>
      <w:footerReference w:type="first" r:id="rId31"/>
      <w:pgSz w:w="11907" w:h="16834" w:code="9"/>
      <w:pgMar w:top="1418" w:right="1134" w:bottom="1418" w:left="1134" w:header="720" w:footer="720" w:gutter="0"/>
      <w:paperSrc w:first="7" w:other="7"/>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800093" w14:textId="77777777" w:rsidR="001B6324" w:rsidRDefault="001B6324">
      <w:r>
        <w:separator/>
      </w:r>
    </w:p>
  </w:endnote>
  <w:endnote w:type="continuationSeparator" w:id="0">
    <w:p w14:paraId="22399920" w14:textId="77777777" w:rsidR="001B6324" w:rsidRDefault="001B63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New Roman Bold">
    <w:altName w:val="Times New Roman"/>
    <w:panose1 w:val="02020803070505020304"/>
    <w:charset w:val="00"/>
    <w:family w:val="roman"/>
    <w:pitch w:val="variable"/>
    <w:sig w:usb0="00003A87" w:usb1="00000000" w:usb2="00000000" w:usb3="00000000" w:csb0="000000FF" w:csb1="00000000"/>
  </w:font>
  <w:font w:name="SimHei">
    <w:altName w:val="黑体"/>
    <w:panose1 w:val="02010600030101010101"/>
    <w:charset w:val="86"/>
    <w:family w:val="modern"/>
    <w:pitch w:val="fixed"/>
    <w:sig w:usb0="800002BF" w:usb1="38CF7CFA" w:usb2="00000016" w:usb3="00000000" w:csb0="00040001" w:csb1="00000000"/>
  </w:font>
  <w:font w:name="Simplified Arabic">
    <w:charset w:val="B2"/>
    <w:family w:val="roman"/>
    <w:pitch w:val="variable"/>
    <w:sig w:usb0="00002003" w:usb1="80000000" w:usb2="00000008" w:usb3="00000000" w:csb0="00000041" w:csb1="00000000"/>
  </w:font>
  <w:font w:name="Calibri Light">
    <w:panose1 w:val="020F0302020204030204"/>
    <w:charset w:val="CC"/>
    <w:family w:val="swiss"/>
    <w:pitch w:val="variable"/>
    <w:sig w:usb0="E4002EFF" w:usb1="C2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98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Caption w:val="Name and contact details of the contact person for the document"/>
      <w:tblDescription w:val="Name and contact details of the contact person for the document"/>
    </w:tblPr>
    <w:tblGrid>
      <w:gridCol w:w="1526"/>
      <w:gridCol w:w="2410"/>
      <w:gridCol w:w="5919"/>
    </w:tblGrid>
    <w:tr w:rsidR="001B030A" w:rsidRPr="00E8622D" w14:paraId="5C2B0E2D" w14:textId="77777777" w:rsidTr="005539C3">
      <w:tc>
        <w:tcPr>
          <w:tcW w:w="1526" w:type="dxa"/>
          <w:tcBorders>
            <w:top w:val="single" w:sz="4" w:space="0" w:color="000000" w:themeColor="text1"/>
          </w:tcBorders>
        </w:tcPr>
        <w:p w14:paraId="176205BE" w14:textId="77777777" w:rsidR="001B030A" w:rsidRPr="00BA0009" w:rsidRDefault="001B030A" w:rsidP="001B030A">
          <w:pPr>
            <w:pStyle w:val="FirstFooter"/>
            <w:tabs>
              <w:tab w:val="left" w:pos="1559"/>
              <w:tab w:val="left" w:pos="3828"/>
            </w:tabs>
            <w:rPr>
              <w:sz w:val="18"/>
              <w:szCs w:val="18"/>
            </w:rPr>
          </w:pPr>
          <w:bookmarkStart w:id="6" w:name="Email"/>
          <w:bookmarkEnd w:id="6"/>
          <w:r w:rsidRPr="00E62753">
            <w:rPr>
              <w:sz w:val="18"/>
              <w:szCs w:val="18"/>
            </w:rPr>
            <w:t>Contact:</w:t>
          </w:r>
        </w:p>
      </w:tc>
      <w:tc>
        <w:tcPr>
          <w:tcW w:w="2410" w:type="dxa"/>
          <w:tcBorders>
            <w:top w:val="single" w:sz="4" w:space="0" w:color="000000" w:themeColor="text1"/>
          </w:tcBorders>
        </w:tcPr>
        <w:p w14:paraId="26830CB6" w14:textId="77777777" w:rsidR="001B030A" w:rsidRPr="00CB110F" w:rsidRDefault="001B030A" w:rsidP="001B030A">
          <w:pPr>
            <w:pStyle w:val="FirstFooter"/>
            <w:tabs>
              <w:tab w:val="left" w:pos="2302"/>
            </w:tabs>
            <w:ind w:left="2302" w:hanging="2302"/>
            <w:rPr>
              <w:sz w:val="18"/>
              <w:szCs w:val="18"/>
              <w:lang w:val="en-US"/>
            </w:rPr>
          </w:pPr>
          <w:r w:rsidRPr="00E62753">
            <w:rPr>
              <w:sz w:val="18"/>
              <w:szCs w:val="18"/>
              <w:lang w:val="fr-CH"/>
            </w:rPr>
            <w:t>Nom/Organisation/Entité:</w:t>
          </w:r>
        </w:p>
      </w:tc>
      <w:tc>
        <w:tcPr>
          <w:tcW w:w="5919" w:type="dxa"/>
          <w:tcBorders>
            <w:top w:val="single" w:sz="4" w:space="0" w:color="000000" w:themeColor="text1"/>
          </w:tcBorders>
        </w:tcPr>
        <w:p w14:paraId="0C8B6EEC" w14:textId="3B6D36C8" w:rsidR="001B030A" w:rsidRPr="00FF5CBE" w:rsidRDefault="00FF5CBE" w:rsidP="001B030A">
          <w:pPr>
            <w:pStyle w:val="FirstFooter"/>
            <w:rPr>
              <w:sz w:val="18"/>
              <w:szCs w:val="18"/>
              <w:highlight w:val="yellow"/>
            </w:rPr>
          </w:pPr>
          <w:r w:rsidRPr="00FF5CBE">
            <w:rPr>
              <w:sz w:val="18"/>
              <w:szCs w:val="18"/>
            </w:rPr>
            <w:t>Mme Archana Gulati, Adjointe au Directeur du Bureau de développement des télécommunications</w:t>
          </w:r>
        </w:p>
      </w:tc>
    </w:tr>
    <w:tr w:rsidR="001B030A" w:rsidRPr="00CB110F" w14:paraId="298FE8EB" w14:textId="77777777" w:rsidTr="005539C3">
      <w:tc>
        <w:tcPr>
          <w:tcW w:w="1526" w:type="dxa"/>
        </w:tcPr>
        <w:p w14:paraId="7ACBC842" w14:textId="77777777" w:rsidR="001B030A" w:rsidRPr="009C2903" w:rsidRDefault="001B030A" w:rsidP="001B030A">
          <w:pPr>
            <w:pStyle w:val="FirstFooter"/>
            <w:tabs>
              <w:tab w:val="left" w:pos="1559"/>
              <w:tab w:val="left" w:pos="3828"/>
            </w:tabs>
            <w:rPr>
              <w:sz w:val="20"/>
            </w:rPr>
          </w:pPr>
        </w:p>
      </w:tc>
      <w:tc>
        <w:tcPr>
          <w:tcW w:w="2410" w:type="dxa"/>
        </w:tcPr>
        <w:p w14:paraId="76CE8C1A" w14:textId="77777777" w:rsidR="001B030A" w:rsidRPr="00CB110F" w:rsidRDefault="001B030A" w:rsidP="001B030A">
          <w:pPr>
            <w:pStyle w:val="FirstFooter"/>
            <w:tabs>
              <w:tab w:val="left" w:pos="2302"/>
            </w:tabs>
            <w:rPr>
              <w:sz w:val="18"/>
              <w:szCs w:val="18"/>
              <w:lang w:val="en-US"/>
            </w:rPr>
          </w:pPr>
          <w:r w:rsidRPr="00E62753">
            <w:rPr>
              <w:sz w:val="18"/>
              <w:szCs w:val="18"/>
              <w:lang w:val="fr-CH"/>
            </w:rPr>
            <w:t>Numéro de téléphone:</w:t>
          </w:r>
        </w:p>
      </w:tc>
      <w:tc>
        <w:tcPr>
          <w:tcW w:w="5919" w:type="dxa"/>
        </w:tcPr>
        <w:p w14:paraId="6CE1B2A9" w14:textId="78B9196C" w:rsidR="001B030A" w:rsidRPr="009359B8" w:rsidRDefault="00FF5CBE" w:rsidP="001B030A">
          <w:pPr>
            <w:pStyle w:val="FirstFooter"/>
            <w:tabs>
              <w:tab w:val="left" w:pos="2302"/>
            </w:tabs>
            <w:rPr>
              <w:sz w:val="18"/>
              <w:szCs w:val="18"/>
              <w:highlight w:val="yellow"/>
              <w:lang w:val="en-US"/>
            </w:rPr>
          </w:pPr>
          <w:r w:rsidRPr="00FF5CBE">
            <w:rPr>
              <w:sz w:val="18"/>
              <w:szCs w:val="18"/>
              <w:lang w:val="en-US"/>
            </w:rPr>
            <w:t>+41 22 730 6475</w:t>
          </w:r>
        </w:p>
      </w:tc>
    </w:tr>
    <w:tr w:rsidR="001B030A" w:rsidRPr="00CB110F" w14:paraId="336F05F8" w14:textId="77777777" w:rsidTr="005539C3">
      <w:tc>
        <w:tcPr>
          <w:tcW w:w="1526" w:type="dxa"/>
        </w:tcPr>
        <w:p w14:paraId="10E74C07" w14:textId="77777777" w:rsidR="001B030A" w:rsidRPr="00CB110F" w:rsidRDefault="001B030A" w:rsidP="001B030A">
          <w:pPr>
            <w:pStyle w:val="FirstFooter"/>
            <w:tabs>
              <w:tab w:val="left" w:pos="1559"/>
              <w:tab w:val="left" w:pos="3828"/>
            </w:tabs>
            <w:rPr>
              <w:sz w:val="20"/>
              <w:lang w:val="en-US"/>
            </w:rPr>
          </w:pPr>
        </w:p>
      </w:tc>
      <w:tc>
        <w:tcPr>
          <w:tcW w:w="2410" w:type="dxa"/>
        </w:tcPr>
        <w:p w14:paraId="145C550E" w14:textId="77777777" w:rsidR="001B030A" w:rsidRPr="00CB110F" w:rsidRDefault="001B030A" w:rsidP="001B030A">
          <w:pPr>
            <w:pStyle w:val="FirstFooter"/>
            <w:tabs>
              <w:tab w:val="left" w:pos="2302"/>
            </w:tabs>
            <w:rPr>
              <w:sz w:val="18"/>
              <w:szCs w:val="18"/>
              <w:lang w:val="en-US"/>
            </w:rPr>
          </w:pPr>
          <w:r w:rsidRPr="00E62753">
            <w:rPr>
              <w:sz w:val="18"/>
              <w:szCs w:val="18"/>
              <w:lang w:val="fr-CH"/>
            </w:rPr>
            <w:t>Courriel</w:t>
          </w:r>
          <w:r w:rsidRPr="00E62753">
            <w:rPr>
              <w:sz w:val="18"/>
              <w:szCs w:val="18"/>
              <w:lang w:val="en-US"/>
            </w:rPr>
            <w:t>:</w:t>
          </w:r>
        </w:p>
      </w:tc>
      <w:tc>
        <w:tcPr>
          <w:tcW w:w="5919" w:type="dxa"/>
        </w:tcPr>
        <w:p w14:paraId="3537A984" w14:textId="684860F6" w:rsidR="00FF5CBE" w:rsidRPr="00B80715" w:rsidRDefault="00FF5CBE" w:rsidP="00FF5CBE">
          <w:pPr>
            <w:pStyle w:val="FirstFooter"/>
            <w:tabs>
              <w:tab w:val="left" w:pos="2302"/>
            </w:tabs>
            <w:rPr>
              <w:sz w:val="18"/>
              <w:szCs w:val="18"/>
              <w:lang w:val="en-US"/>
            </w:rPr>
          </w:pPr>
          <w:hyperlink r:id="rId1" w:history="1">
            <w:r w:rsidRPr="001D3791">
              <w:rPr>
                <w:rStyle w:val="Hyperlink"/>
                <w:sz w:val="18"/>
                <w:szCs w:val="18"/>
                <w:lang w:val="en-US"/>
              </w:rPr>
              <w:t>archana.gulati@itu.int</w:t>
            </w:r>
          </w:hyperlink>
        </w:p>
      </w:tc>
    </w:tr>
  </w:tbl>
  <w:p w14:paraId="4830D301" w14:textId="77777777" w:rsidR="00C80022" w:rsidRPr="001B030A" w:rsidRDefault="00C80022" w:rsidP="001B030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9D53B6" w14:textId="77777777" w:rsidR="001B6324" w:rsidRDefault="001B6324">
      <w:r>
        <w:t>____________________</w:t>
      </w:r>
    </w:p>
  </w:footnote>
  <w:footnote w:type="continuationSeparator" w:id="0">
    <w:p w14:paraId="5FA5E1D0" w14:textId="77777777" w:rsidR="001B6324" w:rsidRDefault="001B63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F4FE77" w14:textId="39BFBBB9" w:rsidR="00721657" w:rsidRPr="00A525CC" w:rsidRDefault="00A525CC" w:rsidP="00307769">
    <w:pPr>
      <w:tabs>
        <w:tab w:val="clear" w:pos="794"/>
        <w:tab w:val="clear" w:pos="1191"/>
        <w:tab w:val="clear" w:pos="1588"/>
        <w:tab w:val="clear" w:pos="1985"/>
        <w:tab w:val="center" w:pos="4820"/>
        <w:tab w:val="right" w:pos="9639"/>
      </w:tabs>
      <w:ind w:right="1"/>
      <w:rPr>
        <w:rStyle w:val="PageNumber"/>
      </w:rPr>
    </w:pPr>
    <w:r w:rsidRPr="00972BCD">
      <w:rPr>
        <w:sz w:val="22"/>
        <w:szCs w:val="22"/>
      </w:rPr>
      <w:tab/>
    </w:r>
    <w:r w:rsidRPr="00A54E72">
      <w:rPr>
        <w:sz w:val="22"/>
        <w:szCs w:val="22"/>
        <w:lang w:val="de-CH"/>
      </w:rPr>
      <w:t>TDAG</w:t>
    </w:r>
    <w:r w:rsidR="003242AB">
      <w:rPr>
        <w:sz w:val="22"/>
        <w:szCs w:val="22"/>
        <w:lang w:val="de-CH"/>
      </w:rPr>
      <w:t>-</w:t>
    </w:r>
    <w:r w:rsidR="00923CF1">
      <w:rPr>
        <w:sz w:val="22"/>
        <w:szCs w:val="22"/>
        <w:lang w:val="de-CH"/>
      </w:rPr>
      <w:t>2</w:t>
    </w:r>
    <w:r w:rsidR="00F7434A">
      <w:rPr>
        <w:sz w:val="22"/>
        <w:szCs w:val="22"/>
        <w:lang w:val="de-CH"/>
      </w:rPr>
      <w:t>6</w:t>
    </w:r>
    <w:r w:rsidRPr="00A54E72">
      <w:rPr>
        <w:sz w:val="22"/>
        <w:szCs w:val="22"/>
        <w:lang w:val="de-CH"/>
      </w:rPr>
      <w:t>/</w:t>
    </w:r>
    <w:r w:rsidR="00F86B83">
      <w:rPr>
        <w:sz w:val="22"/>
        <w:szCs w:val="22"/>
        <w:lang w:val="de-CH"/>
      </w:rPr>
      <w:t>3</w:t>
    </w:r>
    <w:r w:rsidR="00296A91">
      <w:rPr>
        <w:sz w:val="22"/>
        <w:szCs w:val="22"/>
        <w:lang w:val="de-CH"/>
      </w:rPr>
      <w:t>(Rév.</w:t>
    </w:r>
    <w:r w:rsidR="00581358">
      <w:rPr>
        <w:sz w:val="22"/>
        <w:szCs w:val="22"/>
        <w:lang w:val="de-CH"/>
      </w:rPr>
      <w:t>2</w:t>
    </w:r>
    <w:r w:rsidR="00296A91">
      <w:rPr>
        <w:sz w:val="22"/>
        <w:szCs w:val="22"/>
        <w:lang w:val="de-CH"/>
      </w:rPr>
      <w:t>)</w:t>
    </w:r>
    <w:r w:rsidRPr="006D271A">
      <w:rPr>
        <w:sz w:val="22"/>
        <w:szCs w:val="22"/>
        <w:lang w:val="de-CH"/>
      </w:rPr>
      <w:t>-</w:t>
    </w:r>
    <w:r w:rsidR="00700F2B">
      <w:rPr>
        <w:sz w:val="22"/>
        <w:szCs w:val="22"/>
        <w:lang w:val="de-CH"/>
      </w:rPr>
      <w:t>F</w:t>
    </w:r>
    <w:r w:rsidRPr="006D271A">
      <w:rPr>
        <w:sz w:val="22"/>
        <w:szCs w:val="22"/>
        <w:lang w:val="de-CH"/>
      </w:rPr>
      <w:tab/>
      <w:t xml:space="preserve">Page </w:t>
    </w:r>
    <w:r w:rsidRPr="00972BCD">
      <w:rPr>
        <w:sz w:val="22"/>
        <w:szCs w:val="22"/>
      </w:rPr>
      <w:fldChar w:fldCharType="begin"/>
    </w:r>
    <w:r w:rsidRPr="006D271A">
      <w:rPr>
        <w:sz w:val="22"/>
        <w:szCs w:val="22"/>
        <w:lang w:val="de-CH"/>
      </w:rPr>
      <w:instrText xml:space="preserve"> PAGE </w:instrText>
    </w:r>
    <w:r w:rsidRPr="00972BCD">
      <w:rPr>
        <w:sz w:val="22"/>
        <w:szCs w:val="22"/>
      </w:rPr>
      <w:fldChar w:fldCharType="separate"/>
    </w:r>
    <w:r w:rsidR="00E25345">
      <w:rPr>
        <w:noProof/>
        <w:sz w:val="22"/>
        <w:szCs w:val="22"/>
        <w:lang w:val="de-CH"/>
      </w:rPr>
      <w:t>2</w:t>
    </w:r>
    <w:r w:rsidRPr="00972BCD">
      <w:rPr>
        <w:sz w:val="22"/>
        <w:szCs w:val="22"/>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BA2951"/>
    <w:multiLevelType w:val="hybridMultilevel"/>
    <w:tmpl w:val="7744E06E"/>
    <w:lvl w:ilvl="0" w:tplc="D8AA70EE">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36133BF0"/>
    <w:multiLevelType w:val="hybridMultilevel"/>
    <w:tmpl w:val="6F4669B4"/>
    <w:lvl w:ilvl="0" w:tplc="D8AA70EE">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1C652A7"/>
    <w:multiLevelType w:val="hybridMultilevel"/>
    <w:tmpl w:val="5308B1F0"/>
    <w:lvl w:ilvl="0" w:tplc="D8AA70EE">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5B1A2B23"/>
    <w:multiLevelType w:val="hybridMultilevel"/>
    <w:tmpl w:val="60B4628C"/>
    <w:lvl w:ilvl="0" w:tplc="81FE6A5A">
      <w:start w:val="1"/>
      <w:numFmt w:val="bullet"/>
      <w:lvlText w:val="-"/>
      <w:lvlJc w:val="left"/>
      <w:pPr>
        <w:ind w:left="2340" w:hanging="360"/>
      </w:pPr>
      <w:rPr>
        <w:rFonts w:ascii="Calibri" w:eastAsia="Times New Roman" w:hAnsi="Calibri" w:cs="Times New Roman" w:hint="default"/>
      </w:rPr>
    </w:lvl>
    <w:lvl w:ilvl="1" w:tplc="08090003" w:tentative="1">
      <w:start w:val="1"/>
      <w:numFmt w:val="bullet"/>
      <w:lvlText w:val="o"/>
      <w:lvlJc w:val="left"/>
      <w:pPr>
        <w:ind w:left="3060" w:hanging="360"/>
      </w:pPr>
      <w:rPr>
        <w:rFonts w:ascii="Courier New" w:hAnsi="Courier New" w:cs="Courier New" w:hint="default"/>
      </w:rPr>
    </w:lvl>
    <w:lvl w:ilvl="2" w:tplc="08090005" w:tentative="1">
      <w:start w:val="1"/>
      <w:numFmt w:val="bullet"/>
      <w:lvlText w:val=""/>
      <w:lvlJc w:val="left"/>
      <w:pPr>
        <w:ind w:left="3780" w:hanging="360"/>
      </w:pPr>
      <w:rPr>
        <w:rFonts w:ascii="Wingdings" w:hAnsi="Wingdings" w:hint="default"/>
      </w:rPr>
    </w:lvl>
    <w:lvl w:ilvl="3" w:tplc="08090001" w:tentative="1">
      <w:start w:val="1"/>
      <w:numFmt w:val="bullet"/>
      <w:lvlText w:val=""/>
      <w:lvlJc w:val="left"/>
      <w:pPr>
        <w:ind w:left="4500" w:hanging="360"/>
      </w:pPr>
      <w:rPr>
        <w:rFonts w:ascii="Symbol" w:hAnsi="Symbol" w:hint="default"/>
      </w:rPr>
    </w:lvl>
    <w:lvl w:ilvl="4" w:tplc="08090003" w:tentative="1">
      <w:start w:val="1"/>
      <w:numFmt w:val="bullet"/>
      <w:lvlText w:val="o"/>
      <w:lvlJc w:val="left"/>
      <w:pPr>
        <w:ind w:left="5220" w:hanging="360"/>
      </w:pPr>
      <w:rPr>
        <w:rFonts w:ascii="Courier New" w:hAnsi="Courier New" w:cs="Courier New" w:hint="default"/>
      </w:rPr>
    </w:lvl>
    <w:lvl w:ilvl="5" w:tplc="08090005" w:tentative="1">
      <w:start w:val="1"/>
      <w:numFmt w:val="bullet"/>
      <w:lvlText w:val=""/>
      <w:lvlJc w:val="left"/>
      <w:pPr>
        <w:ind w:left="5940" w:hanging="360"/>
      </w:pPr>
      <w:rPr>
        <w:rFonts w:ascii="Wingdings" w:hAnsi="Wingdings" w:hint="default"/>
      </w:rPr>
    </w:lvl>
    <w:lvl w:ilvl="6" w:tplc="08090001" w:tentative="1">
      <w:start w:val="1"/>
      <w:numFmt w:val="bullet"/>
      <w:lvlText w:val=""/>
      <w:lvlJc w:val="left"/>
      <w:pPr>
        <w:ind w:left="6660" w:hanging="360"/>
      </w:pPr>
      <w:rPr>
        <w:rFonts w:ascii="Symbol" w:hAnsi="Symbol" w:hint="default"/>
      </w:rPr>
    </w:lvl>
    <w:lvl w:ilvl="7" w:tplc="08090003" w:tentative="1">
      <w:start w:val="1"/>
      <w:numFmt w:val="bullet"/>
      <w:lvlText w:val="o"/>
      <w:lvlJc w:val="left"/>
      <w:pPr>
        <w:ind w:left="7380" w:hanging="360"/>
      </w:pPr>
      <w:rPr>
        <w:rFonts w:ascii="Courier New" w:hAnsi="Courier New" w:cs="Courier New" w:hint="default"/>
      </w:rPr>
    </w:lvl>
    <w:lvl w:ilvl="8" w:tplc="08090005" w:tentative="1">
      <w:start w:val="1"/>
      <w:numFmt w:val="bullet"/>
      <w:lvlText w:val=""/>
      <w:lvlJc w:val="left"/>
      <w:pPr>
        <w:ind w:left="8100" w:hanging="360"/>
      </w:pPr>
      <w:rPr>
        <w:rFonts w:ascii="Wingdings" w:hAnsi="Wingdings" w:hint="default"/>
      </w:rPr>
    </w:lvl>
  </w:abstractNum>
  <w:num w:numId="1" w16cid:durableId="1813593225">
    <w:abstractNumId w:val="3"/>
  </w:num>
  <w:num w:numId="2" w16cid:durableId="1230654417">
    <w:abstractNumId w:val="1"/>
  </w:num>
  <w:num w:numId="3" w16cid:durableId="1001355076">
    <w:abstractNumId w:val="0"/>
  </w:num>
  <w:num w:numId="4" w16cid:durableId="60661614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proofState w:spelling="clean" w:grammar="clean"/>
  <w:stylePaneFormatFilter w:val="3C01" w:allStyles="1" w:customStyles="0" w:latentStyles="0" w:stylesInUse="0" w:headingStyles="0" w:numberingStyles="0" w:tableStyles="0" w:directFormattingOnRuns="0" w:directFormattingOnParagraphs="0"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3C43"/>
    <w:rsid w:val="00002716"/>
    <w:rsid w:val="00003C43"/>
    <w:rsid w:val="00005791"/>
    <w:rsid w:val="00010827"/>
    <w:rsid w:val="00015089"/>
    <w:rsid w:val="0002520B"/>
    <w:rsid w:val="000325DF"/>
    <w:rsid w:val="00037A9E"/>
    <w:rsid w:val="00037F91"/>
    <w:rsid w:val="0004566E"/>
    <w:rsid w:val="000539F1"/>
    <w:rsid w:val="00054747"/>
    <w:rsid w:val="00055A2A"/>
    <w:rsid w:val="000615C1"/>
    <w:rsid w:val="00061675"/>
    <w:rsid w:val="000743AA"/>
    <w:rsid w:val="0007632A"/>
    <w:rsid w:val="0009076F"/>
    <w:rsid w:val="0009225C"/>
    <w:rsid w:val="000A17C4"/>
    <w:rsid w:val="000A36A4"/>
    <w:rsid w:val="000B2352"/>
    <w:rsid w:val="000C7B84"/>
    <w:rsid w:val="000D261B"/>
    <w:rsid w:val="000D58A3"/>
    <w:rsid w:val="000E3ED4"/>
    <w:rsid w:val="000E3F9C"/>
    <w:rsid w:val="000F1550"/>
    <w:rsid w:val="000F251B"/>
    <w:rsid w:val="000F5FE8"/>
    <w:rsid w:val="000F6644"/>
    <w:rsid w:val="00100833"/>
    <w:rsid w:val="001011EB"/>
    <w:rsid w:val="00102F72"/>
    <w:rsid w:val="00107E85"/>
    <w:rsid w:val="00113BC0"/>
    <w:rsid w:val="00113EE8"/>
    <w:rsid w:val="0011455A"/>
    <w:rsid w:val="00114A65"/>
    <w:rsid w:val="00133061"/>
    <w:rsid w:val="00141699"/>
    <w:rsid w:val="00147000"/>
    <w:rsid w:val="00163091"/>
    <w:rsid w:val="001645CB"/>
    <w:rsid w:val="00166305"/>
    <w:rsid w:val="00167545"/>
    <w:rsid w:val="001703C6"/>
    <w:rsid w:val="00173781"/>
    <w:rsid w:val="00173CA1"/>
    <w:rsid w:val="00175ADF"/>
    <w:rsid w:val="00175CAE"/>
    <w:rsid w:val="001828DB"/>
    <w:rsid w:val="00184147"/>
    <w:rsid w:val="001850FE"/>
    <w:rsid w:val="00185135"/>
    <w:rsid w:val="0019037C"/>
    <w:rsid w:val="001905A9"/>
    <w:rsid w:val="00191273"/>
    <w:rsid w:val="001942A7"/>
    <w:rsid w:val="0019587B"/>
    <w:rsid w:val="001A163D"/>
    <w:rsid w:val="001A441E"/>
    <w:rsid w:val="001A6733"/>
    <w:rsid w:val="001B030A"/>
    <w:rsid w:val="001B357F"/>
    <w:rsid w:val="001B6324"/>
    <w:rsid w:val="001C3444"/>
    <w:rsid w:val="001C3702"/>
    <w:rsid w:val="001C4656"/>
    <w:rsid w:val="001C46BC"/>
    <w:rsid w:val="001C48D3"/>
    <w:rsid w:val="001D1E06"/>
    <w:rsid w:val="001D5E71"/>
    <w:rsid w:val="001E5219"/>
    <w:rsid w:val="001F23E6"/>
    <w:rsid w:val="001F4238"/>
    <w:rsid w:val="00200A38"/>
    <w:rsid w:val="00200A46"/>
    <w:rsid w:val="00204380"/>
    <w:rsid w:val="00211B6F"/>
    <w:rsid w:val="00217CC3"/>
    <w:rsid w:val="00220AB6"/>
    <w:rsid w:val="0022120F"/>
    <w:rsid w:val="0022754A"/>
    <w:rsid w:val="00230684"/>
    <w:rsid w:val="00236560"/>
    <w:rsid w:val="0023662E"/>
    <w:rsid w:val="00245D0F"/>
    <w:rsid w:val="002548C3"/>
    <w:rsid w:val="00257ACD"/>
    <w:rsid w:val="00262908"/>
    <w:rsid w:val="002650F4"/>
    <w:rsid w:val="002715FD"/>
    <w:rsid w:val="002770B1"/>
    <w:rsid w:val="00285B33"/>
    <w:rsid w:val="00287A3C"/>
    <w:rsid w:val="00296A91"/>
    <w:rsid w:val="002A2FC6"/>
    <w:rsid w:val="002C1EC7"/>
    <w:rsid w:val="002C3015"/>
    <w:rsid w:val="002C4342"/>
    <w:rsid w:val="002C7EA3"/>
    <w:rsid w:val="002D20AE"/>
    <w:rsid w:val="002D6C61"/>
    <w:rsid w:val="002E2104"/>
    <w:rsid w:val="002E2DAC"/>
    <w:rsid w:val="002E6963"/>
    <w:rsid w:val="002E6F8F"/>
    <w:rsid w:val="002F05D8"/>
    <w:rsid w:val="002F2DE0"/>
    <w:rsid w:val="002F5E25"/>
    <w:rsid w:val="0030353C"/>
    <w:rsid w:val="00307769"/>
    <w:rsid w:val="00312147"/>
    <w:rsid w:val="003125C3"/>
    <w:rsid w:val="00312AE6"/>
    <w:rsid w:val="00317D1A"/>
    <w:rsid w:val="003211FF"/>
    <w:rsid w:val="003242AB"/>
    <w:rsid w:val="00327247"/>
    <w:rsid w:val="00327A9D"/>
    <w:rsid w:val="0033130E"/>
    <w:rsid w:val="0033269C"/>
    <w:rsid w:val="00351C79"/>
    <w:rsid w:val="0035516C"/>
    <w:rsid w:val="00355A4C"/>
    <w:rsid w:val="003604FB"/>
    <w:rsid w:val="00360B73"/>
    <w:rsid w:val="003665FF"/>
    <w:rsid w:val="00380B71"/>
    <w:rsid w:val="0038365A"/>
    <w:rsid w:val="00386A89"/>
    <w:rsid w:val="0039648E"/>
    <w:rsid w:val="003A5AFE"/>
    <w:rsid w:val="003A5D5F"/>
    <w:rsid w:val="003A7FFE"/>
    <w:rsid w:val="003B0A63"/>
    <w:rsid w:val="003B50E1"/>
    <w:rsid w:val="003C1746"/>
    <w:rsid w:val="003C2AA9"/>
    <w:rsid w:val="003C58BF"/>
    <w:rsid w:val="003D451D"/>
    <w:rsid w:val="003F2DD8"/>
    <w:rsid w:val="003F3F2D"/>
    <w:rsid w:val="003F50B2"/>
    <w:rsid w:val="00400CCF"/>
    <w:rsid w:val="00401BFF"/>
    <w:rsid w:val="004037AF"/>
    <w:rsid w:val="00404424"/>
    <w:rsid w:val="0041156B"/>
    <w:rsid w:val="004122C5"/>
    <w:rsid w:val="00413B78"/>
    <w:rsid w:val="00416DDE"/>
    <w:rsid w:val="0044411E"/>
    <w:rsid w:val="00453435"/>
    <w:rsid w:val="00460089"/>
    <w:rsid w:val="00466398"/>
    <w:rsid w:val="0047306D"/>
    <w:rsid w:val="00473791"/>
    <w:rsid w:val="00476E48"/>
    <w:rsid w:val="00481DE9"/>
    <w:rsid w:val="0049128B"/>
    <w:rsid w:val="00493B49"/>
    <w:rsid w:val="00493E6C"/>
    <w:rsid w:val="00495501"/>
    <w:rsid w:val="004A070A"/>
    <w:rsid w:val="004A320E"/>
    <w:rsid w:val="004A4E9C"/>
    <w:rsid w:val="004B1A3C"/>
    <w:rsid w:val="004D2CC3"/>
    <w:rsid w:val="004D35CB"/>
    <w:rsid w:val="004D7DAB"/>
    <w:rsid w:val="004E20E5"/>
    <w:rsid w:val="004E64EA"/>
    <w:rsid w:val="004E7828"/>
    <w:rsid w:val="004E785D"/>
    <w:rsid w:val="004F46AA"/>
    <w:rsid w:val="004F6A70"/>
    <w:rsid w:val="00500AD7"/>
    <w:rsid w:val="00502ABF"/>
    <w:rsid w:val="00504DB0"/>
    <w:rsid w:val="00507C35"/>
    <w:rsid w:val="00510735"/>
    <w:rsid w:val="005125E5"/>
    <w:rsid w:val="00514D2F"/>
    <w:rsid w:val="00541E8A"/>
    <w:rsid w:val="0054420E"/>
    <w:rsid w:val="00544D1B"/>
    <w:rsid w:val="00545DC0"/>
    <w:rsid w:val="00545F6C"/>
    <w:rsid w:val="005477D9"/>
    <w:rsid w:val="0055720C"/>
    <w:rsid w:val="00561796"/>
    <w:rsid w:val="005632DD"/>
    <w:rsid w:val="0056423B"/>
    <w:rsid w:val="0056455F"/>
    <w:rsid w:val="0057294B"/>
    <w:rsid w:val="00573424"/>
    <w:rsid w:val="0057402F"/>
    <w:rsid w:val="00581358"/>
    <w:rsid w:val="00581653"/>
    <w:rsid w:val="005849D6"/>
    <w:rsid w:val="00585367"/>
    <w:rsid w:val="005871A1"/>
    <w:rsid w:val="0058737E"/>
    <w:rsid w:val="00592518"/>
    <w:rsid w:val="00592E87"/>
    <w:rsid w:val="0059420B"/>
    <w:rsid w:val="00594C4D"/>
    <w:rsid w:val="005A33B0"/>
    <w:rsid w:val="005A6FAA"/>
    <w:rsid w:val="005C2DC2"/>
    <w:rsid w:val="005C304A"/>
    <w:rsid w:val="005C3D69"/>
    <w:rsid w:val="005C7C98"/>
    <w:rsid w:val="005D2C3A"/>
    <w:rsid w:val="005D40D8"/>
    <w:rsid w:val="005D55A4"/>
    <w:rsid w:val="005D57C8"/>
    <w:rsid w:val="005D7761"/>
    <w:rsid w:val="005E0278"/>
    <w:rsid w:val="005E090D"/>
    <w:rsid w:val="005E3CA0"/>
    <w:rsid w:val="005E44B1"/>
    <w:rsid w:val="005E646E"/>
    <w:rsid w:val="005E67B0"/>
    <w:rsid w:val="005E7047"/>
    <w:rsid w:val="005E777F"/>
    <w:rsid w:val="005F1CA7"/>
    <w:rsid w:val="005F43DD"/>
    <w:rsid w:val="005F51A9"/>
    <w:rsid w:val="005F6BE1"/>
    <w:rsid w:val="005F7416"/>
    <w:rsid w:val="00600C11"/>
    <w:rsid w:val="006055C6"/>
    <w:rsid w:val="00606B89"/>
    <w:rsid w:val="00611EAF"/>
    <w:rsid w:val="00623F30"/>
    <w:rsid w:val="00625FB8"/>
    <w:rsid w:val="006261BD"/>
    <w:rsid w:val="00635EDB"/>
    <w:rsid w:val="00640D5D"/>
    <w:rsid w:val="0064734E"/>
    <w:rsid w:val="00650137"/>
    <w:rsid w:val="006509D7"/>
    <w:rsid w:val="00651CE8"/>
    <w:rsid w:val="0065521B"/>
    <w:rsid w:val="0066288F"/>
    <w:rsid w:val="00671EF6"/>
    <w:rsid w:val="0067205B"/>
    <w:rsid w:val="006748F8"/>
    <w:rsid w:val="00680489"/>
    <w:rsid w:val="00683C32"/>
    <w:rsid w:val="00690BB2"/>
    <w:rsid w:val="006923D8"/>
    <w:rsid w:val="00693D09"/>
    <w:rsid w:val="006A6549"/>
    <w:rsid w:val="006A7710"/>
    <w:rsid w:val="006A7A61"/>
    <w:rsid w:val="006B1E59"/>
    <w:rsid w:val="006B2FFB"/>
    <w:rsid w:val="006B5AA9"/>
    <w:rsid w:val="006C10A2"/>
    <w:rsid w:val="006C1F18"/>
    <w:rsid w:val="006C4F79"/>
    <w:rsid w:val="006D40D5"/>
    <w:rsid w:val="006F009A"/>
    <w:rsid w:val="006F3D93"/>
    <w:rsid w:val="00700F2B"/>
    <w:rsid w:val="007019B1"/>
    <w:rsid w:val="00721657"/>
    <w:rsid w:val="007279A8"/>
    <w:rsid w:val="00727B1A"/>
    <w:rsid w:val="00741337"/>
    <w:rsid w:val="00752258"/>
    <w:rsid w:val="007529E1"/>
    <w:rsid w:val="00762880"/>
    <w:rsid w:val="00762AD6"/>
    <w:rsid w:val="00762E02"/>
    <w:rsid w:val="00772290"/>
    <w:rsid w:val="00777265"/>
    <w:rsid w:val="007805E7"/>
    <w:rsid w:val="0078222A"/>
    <w:rsid w:val="00787D48"/>
    <w:rsid w:val="0079068B"/>
    <w:rsid w:val="00793C6C"/>
    <w:rsid w:val="00795294"/>
    <w:rsid w:val="007A4E50"/>
    <w:rsid w:val="007A7D3C"/>
    <w:rsid w:val="007B18A7"/>
    <w:rsid w:val="007B250E"/>
    <w:rsid w:val="007B4FC5"/>
    <w:rsid w:val="007C27FC"/>
    <w:rsid w:val="007C51FF"/>
    <w:rsid w:val="007C7EF5"/>
    <w:rsid w:val="007D50E4"/>
    <w:rsid w:val="007E2DC5"/>
    <w:rsid w:val="007E3DB4"/>
    <w:rsid w:val="007F1CC7"/>
    <w:rsid w:val="008027AC"/>
    <w:rsid w:val="008028CE"/>
    <w:rsid w:val="0080332E"/>
    <w:rsid w:val="008141E0"/>
    <w:rsid w:val="00816EE1"/>
    <w:rsid w:val="00816F88"/>
    <w:rsid w:val="00821996"/>
    <w:rsid w:val="00822323"/>
    <w:rsid w:val="00827BC6"/>
    <w:rsid w:val="008300AD"/>
    <w:rsid w:val="00833024"/>
    <w:rsid w:val="008419B1"/>
    <w:rsid w:val="00844A56"/>
    <w:rsid w:val="00845B11"/>
    <w:rsid w:val="00852081"/>
    <w:rsid w:val="00872B6E"/>
    <w:rsid w:val="00874DFD"/>
    <w:rsid w:val="008802F9"/>
    <w:rsid w:val="00883086"/>
    <w:rsid w:val="008879FD"/>
    <w:rsid w:val="00894C37"/>
    <w:rsid w:val="008A00EA"/>
    <w:rsid w:val="008A3F93"/>
    <w:rsid w:val="008A6236"/>
    <w:rsid w:val="008A6E1C"/>
    <w:rsid w:val="008A72FD"/>
    <w:rsid w:val="008B2EDF"/>
    <w:rsid w:val="008B47C7"/>
    <w:rsid w:val="008B54CB"/>
    <w:rsid w:val="008B5A3D"/>
    <w:rsid w:val="008C0AD9"/>
    <w:rsid w:val="008C4010"/>
    <w:rsid w:val="008C4FDF"/>
    <w:rsid w:val="008C6B1F"/>
    <w:rsid w:val="008D5E4F"/>
    <w:rsid w:val="008E34F0"/>
    <w:rsid w:val="008F14F5"/>
    <w:rsid w:val="008F71C1"/>
    <w:rsid w:val="00902D41"/>
    <w:rsid w:val="00902F49"/>
    <w:rsid w:val="00904230"/>
    <w:rsid w:val="00913DD7"/>
    <w:rsid w:val="00914004"/>
    <w:rsid w:val="00921A30"/>
    <w:rsid w:val="00922EC1"/>
    <w:rsid w:val="00923CF1"/>
    <w:rsid w:val="009301F1"/>
    <w:rsid w:val="009307DF"/>
    <w:rsid w:val="009359B8"/>
    <w:rsid w:val="00935FF0"/>
    <w:rsid w:val="009431F8"/>
    <w:rsid w:val="00946023"/>
    <w:rsid w:val="00947A35"/>
    <w:rsid w:val="00952667"/>
    <w:rsid w:val="0096201B"/>
    <w:rsid w:val="00962081"/>
    <w:rsid w:val="00962A96"/>
    <w:rsid w:val="00966CB5"/>
    <w:rsid w:val="00975786"/>
    <w:rsid w:val="00981CB7"/>
    <w:rsid w:val="00983E1F"/>
    <w:rsid w:val="00993F46"/>
    <w:rsid w:val="00997358"/>
    <w:rsid w:val="009A452B"/>
    <w:rsid w:val="009B050C"/>
    <w:rsid w:val="009B087F"/>
    <w:rsid w:val="009B2AF4"/>
    <w:rsid w:val="009C110B"/>
    <w:rsid w:val="009C5441"/>
    <w:rsid w:val="009D119F"/>
    <w:rsid w:val="009D49A2"/>
    <w:rsid w:val="009D6733"/>
    <w:rsid w:val="009E553E"/>
    <w:rsid w:val="009F3940"/>
    <w:rsid w:val="009F3EB2"/>
    <w:rsid w:val="009F6EB1"/>
    <w:rsid w:val="00A11D05"/>
    <w:rsid w:val="00A13162"/>
    <w:rsid w:val="00A20267"/>
    <w:rsid w:val="00A3158C"/>
    <w:rsid w:val="00A32DF3"/>
    <w:rsid w:val="00A33E32"/>
    <w:rsid w:val="00A35E20"/>
    <w:rsid w:val="00A36F6D"/>
    <w:rsid w:val="00A42E8B"/>
    <w:rsid w:val="00A50CA0"/>
    <w:rsid w:val="00A525CC"/>
    <w:rsid w:val="00A53E7C"/>
    <w:rsid w:val="00A60087"/>
    <w:rsid w:val="00A66C4C"/>
    <w:rsid w:val="00A67E68"/>
    <w:rsid w:val="00A705E8"/>
    <w:rsid w:val="00A721F4"/>
    <w:rsid w:val="00A9392C"/>
    <w:rsid w:val="00A9462B"/>
    <w:rsid w:val="00A97D59"/>
    <w:rsid w:val="00AA3E09"/>
    <w:rsid w:val="00AA4BEF"/>
    <w:rsid w:val="00AB1659"/>
    <w:rsid w:val="00AB4962"/>
    <w:rsid w:val="00AB734E"/>
    <w:rsid w:val="00AB740F"/>
    <w:rsid w:val="00AC2BF7"/>
    <w:rsid w:val="00AC6F14"/>
    <w:rsid w:val="00AC7221"/>
    <w:rsid w:val="00AD4677"/>
    <w:rsid w:val="00AD6CBD"/>
    <w:rsid w:val="00AE5961"/>
    <w:rsid w:val="00AF0745"/>
    <w:rsid w:val="00AF4971"/>
    <w:rsid w:val="00AF5276"/>
    <w:rsid w:val="00AF7C86"/>
    <w:rsid w:val="00B01046"/>
    <w:rsid w:val="00B310F9"/>
    <w:rsid w:val="00B37866"/>
    <w:rsid w:val="00B412FB"/>
    <w:rsid w:val="00B4576B"/>
    <w:rsid w:val="00B46350"/>
    <w:rsid w:val="00B46DF3"/>
    <w:rsid w:val="00B53A29"/>
    <w:rsid w:val="00B648C7"/>
    <w:rsid w:val="00B66E8F"/>
    <w:rsid w:val="00B80157"/>
    <w:rsid w:val="00B83D5E"/>
    <w:rsid w:val="00B8460A"/>
    <w:rsid w:val="00B8650D"/>
    <w:rsid w:val="00B879B4"/>
    <w:rsid w:val="00B90F07"/>
    <w:rsid w:val="00B97BB9"/>
    <w:rsid w:val="00BA0009"/>
    <w:rsid w:val="00BB02B5"/>
    <w:rsid w:val="00BB1863"/>
    <w:rsid w:val="00BB25EE"/>
    <w:rsid w:val="00BB363A"/>
    <w:rsid w:val="00BC10A0"/>
    <w:rsid w:val="00BC7BA2"/>
    <w:rsid w:val="00BD426B"/>
    <w:rsid w:val="00BD79F0"/>
    <w:rsid w:val="00BE2B4D"/>
    <w:rsid w:val="00BF798B"/>
    <w:rsid w:val="00C015F8"/>
    <w:rsid w:val="00C02C2A"/>
    <w:rsid w:val="00C07E26"/>
    <w:rsid w:val="00C1011C"/>
    <w:rsid w:val="00C12F94"/>
    <w:rsid w:val="00C177C5"/>
    <w:rsid w:val="00C34EC3"/>
    <w:rsid w:val="00C4038C"/>
    <w:rsid w:val="00C42BA2"/>
    <w:rsid w:val="00C44066"/>
    <w:rsid w:val="00C44E13"/>
    <w:rsid w:val="00C60A41"/>
    <w:rsid w:val="00C62DE8"/>
    <w:rsid w:val="00C62DFB"/>
    <w:rsid w:val="00C630E6"/>
    <w:rsid w:val="00C63812"/>
    <w:rsid w:val="00C64AF3"/>
    <w:rsid w:val="00C66F4D"/>
    <w:rsid w:val="00C67BB5"/>
    <w:rsid w:val="00C72713"/>
    <w:rsid w:val="00C80022"/>
    <w:rsid w:val="00C83230"/>
    <w:rsid w:val="00C848EF"/>
    <w:rsid w:val="00C8511C"/>
    <w:rsid w:val="00C86600"/>
    <w:rsid w:val="00C87BCA"/>
    <w:rsid w:val="00C87EED"/>
    <w:rsid w:val="00C94506"/>
    <w:rsid w:val="00C954BC"/>
    <w:rsid w:val="00CA1F0B"/>
    <w:rsid w:val="00CA3BF2"/>
    <w:rsid w:val="00CB110F"/>
    <w:rsid w:val="00CB2A2E"/>
    <w:rsid w:val="00CB338A"/>
    <w:rsid w:val="00CB79C5"/>
    <w:rsid w:val="00CC411F"/>
    <w:rsid w:val="00CC4B75"/>
    <w:rsid w:val="00CC732E"/>
    <w:rsid w:val="00CD2FCD"/>
    <w:rsid w:val="00CD7207"/>
    <w:rsid w:val="00CE0422"/>
    <w:rsid w:val="00CE0DBE"/>
    <w:rsid w:val="00CE5E4D"/>
    <w:rsid w:val="00CF02C4"/>
    <w:rsid w:val="00CF167F"/>
    <w:rsid w:val="00CF72E5"/>
    <w:rsid w:val="00D013EE"/>
    <w:rsid w:val="00D01F54"/>
    <w:rsid w:val="00D040F7"/>
    <w:rsid w:val="00D04A76"/>
    <w:rsid w:val="00D10FC7"/>
    <w:rsid w:val="00D1519F"/>
    <w:rsid w:val="00D20E99"/>
    <w:rsid w:val="00D21C83"/>
    <w:rsid w:val="00D25ABA"/>
    <w:rsid w:val="00D32282"/>
    <w:rsid w:val="00D35BDD"/>
    <w:rsid w:val="00D63006"/>
    <w:rsid w:val="00D66BDA"/>
    <w:rsid w:val="00D72301"/>
    <w:rsid w:val="00D84258"/>
    <w:rsid w:val="00D911DE"/>
    <w:rsid w:val="00D91B97"/>
    <w:rsid w:val="00D93ACC"/>
    <w:rsid w:val="00D93C08"/>
    <w:rsid w:val="00D95DAC"/>
    <w:rsid w:val="00DA0B53"/>
    <w:rsid w:val="00DB1171"/>
    <w:rsid w:val="00DB1519"/>
    <w:rsid w:val="00DB2840"/>
    <w:rsid w:val="00DB5A08"/>
    <w:rsid w:val="00DC1BD3"/>
    <w:rsid w:val="00DC2C1A"/>
    <w:rsid w:val="00DD0038"/>
    <w:rsid w:val="00DD66B4"/>
    <w:rsid w:val="00DE1972"/>
    <w:rsid w:val="00DE27AB"/>
    <w:rsid w:val="00DF2AB3"/>
    <w:rsid w:val="00DF7250"/>
    <w:rsid w:val="00DF7C1F"/>
    <w:rsid w:val="00E00CAA"/>
    <w:rsid w:val="00E03EBF"/>
    <w:rsid w:val="00E05209"/>
    <w:rsid w:val="00E05AC1"/>
    <w:rsid w:val="00E11BCF"/>
    <w:rsid w:val="00E133A7"/>
    <w:rsid w:val="00E2258E"/>
    <w:rsid w:val="00E24DE9"/>
    <w:rsid w:val="00E25345"/>
    <w:rsid w:val="00E260C2"/>
    <w:rsid w:val="00E32596"/>
    <w:rsid w:val="00E368F7"/>
    <w:rsid w:val="00E36EB8"/>
    <w:rsid w:val="00E37FB8"/>
    <w:rsid w:val="00E40B07"/>
    <w:rsid w:val="00E42326"/>
    <w:rsid w:val="00E43544"/>
    <w:rsid w:val="00E44D89"/>
    <w:rsid w:val="00E477EA"/>
    <w:rsid w:val="00E5432F"/>
    <w:rsid w:val="00E55807"/>
    <w:rsid w:val="00E63B14"/>
    <w:rsid w:val="00E65CA0"/>
    <w:rsid w:val="00E70D9F"/>
    <w:rsid w:val="00E83810"/>
    <w:rsid w:val="00E857A8"/>
    <w:rsid w:val="00E8622D"/>
    <w:rsid w:val="00E86933"/>
    <w:rsid w:val="00E950F8"/>
    <w:rsid w:val="00E9605B"/>
    <w:rsid w:val="00E97298"/>
    <w:rsid w:val="00E97753"/>
    <w:rsid w:val="00EA0C51"/>
    <w:rsid w:val="00EA7DE7"/>
    <w:rsid w:val="00EB7A8A"/>
    <w:rsid w:val="00EC6FED"/>
    <w:rsid w:val="00EC7F3B"/>
    <w:rsid w:val="00ED5299"/>
    <w:rsid w:val="00EE3A64"/>
    <w:rsid w:val="00EE50E5"/>
    <w:rsid w:val="00EF01CF"/>
    <w:rsid w:val="00F03590"/>
    <w:rsid w:val="00F03622"/>
    <w:rsid w:val="00F077FD"/>
    <w:rsid w:val="00F204F3"/>
    <w:rsid w:val="00F218AB"/>
    <w:rsid w:val="00F21D10"/>
    <w:rsid w:val="00F238B3"/>
    <w:rsid w:val="00F24FED"/>
    <w:rsid w:val="00F25586"/>
    <w:rsid w:val="00F2651D"/>
    <w:rsid w:val="00F27362"/>
    <w:rsid w:val="00F31498"/>
    <w:rsid w:val="00F32FEF"/>
    <w:rsid w:val="00F3719C"/>
    <w:rsid w:val="00F41B1C"/>
    <w:rsid w:val="00F42E13"/>
    <w:rsid w:val="00F42F1C"/>
    <w:rsid w:val="00F43B44"/>
    <w:rsid w:val="00F440E5"/>
    <w:rsid w:val="00F448F6"/>
    <w:rsid w:val="00F52741"/>
    <w:rsid w:val="00F53D8A"/>
    <w:rsid w:val="00F626F7"/>
    <w:rsid w:val="00F736F9"/>
    <w:rsid w:val="00F73833"/>
    <w:rsid w:val="00F7434A"/>
    <w:rsid w:val="00F86B83"/>
    <w:rsid w:val="00F9211C"/>
    <w:rsid w:val="00FA095D"/>
    <w:rsid w:val="00FA5759"/>
    <w:rsid w:val="00FA6C8B"/>
    <w:rsid w:val="00FA6CDA"/>
    <w:rsid w:val="00FA7C89"/>
    <w:rsid w:val="00FB4139"/>
    <w:rsid w:val="00FB476E"/>
    <w:rsid w:val="00FC0D90"/>
    <w:rsid w:val="00FC7D8C"/>
    <w:rsid w:val="00FD3980"/>
    <w:rsid w:val="00FD3B61"/>
    <w:rsid w:val="00FD431E"/>
    <w:rsid w:val="00FD5A2C"/>
    <w:rsid w:val="00FE0D47"/>
    <w:rsid w:val="00FE1D5C"/>
    <w:rsid w:val="00FE2F8B"/>
    <w:rsid w:val="00FE3669"/>
    <w:rsid w:val="00FE5204"/>
    <w:rsid w:val="00FF0ED0"/>
    <w:rsid w:val="00FF287F"/>
    <w:rsid w:val="00FF5CBE"/>
    <w:rsid w:val="00FF6C63"/>
    <w:rsid w:val="00FF74A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9FAF29E"/>
  <w15:docId w15:val="{DDEE480D-52BF-4038-9942-1B7C16C257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F7C86"/>
    <w:pPr>
      <w:tabs>
        <w:tab w:val="left" w:pos="794"/>
        <w:tab w:val="left" w:pos="1191"/>
        <w:tab w:val="left" w:pos="1588"/>
        <w:tab w:val="left" w:pos="1985"/>
      </w:tabs>
      <w:overflowPunct w:val="0"/>
      <w:autoSpaceDE w:val="0"/>
      <w:autoSpaceDN w:val="0"/>
      <w:adjustRightInd w:val="0"/>
      <w:spacing w:before="120"/>
      <w:textAlignment w:val="baseline"/>
    </w:pPr>
    <w:rPr>
      <w:rFonts w:asciiTheme="minorHAnsi" w:hAnsiTheme="minorHAnsi"/>
      <w:sz w:val="24"/>
      <w:lang w:val="en-GB" w:eastAsia="en-US"/>
    </w:rPr>
  </w:style>
  <w:style w:type="paragraph" w:styleId="Heading1">
    <w:name w:val="heading 1"/>
    <w:basedOn w:val="Normal"/>
    <w:next w:val="Normal"/>
    <w:qFormat/>
    <w:rsid w:val="00B37866"/>
    <w:pPr>
      <w:keepNext/>
      <w:keepLines/>
      <w:spacing w:before="280"/>
      <w:ind w:left="794" w:hanging="794"/>
      <w:outlineLvl w:val="0"/>
    </w:pPr>
    <w:rPr>
      <w:b/>
      <w:sz w:val="28"/>
    </w:rPr>
  </w:style>
  <w:style w:type="paragraph" w:styleId="Heading2">
    <w:name w:val="heading 2"/>
    <w:basedOn w:val="Heading1"/>
    <w:next w:val="Normal"/>
    <w:qFormat/>
    <w:rsid w:val="00B37866"/>
    <w:pPr>
      <w:spacing w:before="200"/>
      <w:outlineLvl w:val="1"/>
    </w:pPr>
    <w:rPr>
      <w:sz w:val="24"/>
    </w:rPr>
  </w:style>
  <w:style w:type="paragraph" w:styleId="Heading3">
    <w:name w:val="heading 3"/>
    <w:basedOn w:val="Heading1"/>
    <w:next w:val="Normal"/>
    <w:qFormat/>
    <w:rsid w:val="00B37866"/>
    <w:pPr>
      <w:spacing w:before="200"/>
      <w:outlineLvl w:val="2"/>
    </w:pPr>
    <w:rPr>
      <w:sz w:val="24"/>
    </w:rPr>
  </w:style>
  <w:style w:type="paragraph" w:styleId="Heading4">
    <w:name w:val="heading 4"/>
    <w:basedOn w:val="Heading3"/>
    <w:next w:val="Normal"/>
    <w:qFormat/>
    <w:rsid w:val="00B37866"/>
    <w:pPr>
      <w:tabs>
        <w:tab w:val="clear" w:pos="794"/>
        <w:tab w:val="left" w:pos="992"/>
      </w:tabs>
      <w:ind w:left="992" w:hanging="992"/>
      <w:outlineLvl w:val="3"/>
    </w:pPr>
  </w:style>
  <w:style w:type="paragraph" w:styleId="Heading5">
    <w:name w:val="heading 5"/>
    <w:basedOn w:val="Heading4"/>
    <w:next w:val="Normal"/>
    <w:qFormat/>
    <w:rsid w:val="00B37866"/>
    <w:pPr>
      <w:outlineLvl w:val="4"/>
    </w:pPr>
  </w:style>
  <w:style w:type="paragraph" w:styleId="Heading6">
    <w:name w:val="heading 6"/>
    <w:basedOn w:val="Heading4"/>
    <w:next w:val="Normal"/>
    <w:qFormat/>
    <w:rsid w:val="00B37866"/>
    <w:pPr>
      <w:tabs>
        <w:tab w:val="clear" w:pos="992"/>
        <w:tab w:val="clear" w:pos="1191"/>
      </w:tabs>
      <w:ind w:left="1588" w:hanging="1588"/>
      <w:outlineLvl w:val="5"/>
    </w:pPr>
  </w:style>
  <w:style w:type="paragraph" w:styleId="Heading7">
    <w:name w:val="heading 7"/>
    <w:basedOn w:val="Heading6"/>
    <w:next w:val="Normal"/>
    <w:qFormat/>
    <w:rsid w:val="00B37866"/>
    <w:pPr>
      <w:outlineLvl w:val="6"/>
    </w:pPr>
  </w:style>
  <w:style w:type="paragraph" w:styleId="Heading8">
    <w:name w:val="heading 8"/>
    <w:basedOn w:val="Heading6"/>
    <w:next w:val="Normal"/>
    <w:qFormat/>
    <w:rsid w:val="00B37866"/>
    <w:pPr>
      <w:outlineLvl w:val="7"/>
    </w:pPr>
  </w:style>
  <w:style w:type="paragraph" w:styleId="Heading9">
    <w:name w:val="heading 9"/>
    <w:basedOn w:val="Heading6"/>
    <w:next w:val="Normal"/>
    <w:qFormat/>
    <w:rsid w:val="00B37866"/>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TOC4"/>
    <w:semiHidden/>
    <w:rsid w:val="00B37866"/>
  </w:style>
  <w:style w:type="paragraph" w:styleId="TOC4">
    <w:name w:val="toc 4"/>
    <w:basedOn w:val="TOC3"/>
    <w:semiHidden/>
    <w:rsid w:val="00B37866"/>
  </w:style>
  <w:style w:type="paragraph" w:styleId="TOC3">
    <w:name w:val="toc 3"/>
    <w:basedOn w:val="TOC2"/>
    <w:rsid w:val="00B37866"/>
  </w:style>
  <w:style w:type="paragraph" w:styleId="TOC2">
    <w:name w:val="toc 2"/>
    <w:basedOn w:val="TOC1"/>
    <w:rsid w:val="00B37866"/>
    <w:pPr>
      <w:spacing w:before="120"/>
    </w:pPr>
  </w:style>
  <w:style w:type="paragraph" w:styleId="TOC1">
    <w:name w:val="toc 1"/>
    <w:basedOn w:val="Normal"/>
    <w:rsid w:val="00B37866"/>
    <w:pPr>
      <w:keepLines/>
      <w:tabs>
        <w:tab w:val="clear" w:pos="794"/>
        <w:tab w:val="clear" w:pos="1191"/>
        <w:tab w:val="clear" w:pos="1588"/>
        <w:tab w:val="clear" w:pos="1985"/>
        <w:tab w:val="left" w:pos="964"/>
        <w:tab w:val="left" w:leader="dot" w:pos="8647"/>
        <w:tab w:val="center" w:pos="9526"/>
      </w:tabs>
      <w:spacing w:before="240"/>
      <w:ind w:left="964" w:hanging="964"/>
    </w:pPr>
  </w:style>
  <w:style w:type="paragraph" w:styleId="TOC7">
    <w:name w:val="toc 7"/>
    <w:basedOn w:val="TOC4"/>
    <w:semiHidden/>
    <w:rsid w:val="00B37866"/>
  </w:style>
  <w:style w:type="paragraph" w:styleId="TOC6">
    <w:name w:val="toc 6"/>
    <w:basedOn w:val="TOC4"/>
    <w:semiHidden/>
    <w:rsid w:val="00B37866"/>
  </w:style>
  <w:style w:type="paragraph" w:styleId="TOC5">
    <w:name w:val="toc 5"/>
    <w:basedOn w:val="TOC4"/>
    <w:semiHidden/>
    <w:rsid w:val="00B37866"/>
  </w:style>
  <w:style w:type="paragraph" w:styleId="Index7">
    <w:name w:val="index 7"/>
    <w:basedOn w:val="Normal"/>
    <w:next w:val="Normal"/>
    <w:semiHidden/>
    <w:rsid w:val="00B37866"/>
    <w:pPr>
      <w:ind w:left="1698"/>
    </w:pPr>
  </w:style>
  <w:style w:type="paragraph" w:styleId="Index6">
    <w:name w:val="index 6"/>
    <w:basedOn w:val="Normal"/>
    <w:next w:val="Normal"/>
    <w:semiHidden/>
    <w:rsid w:val="00B37866"/>
    <w:pPr>
      <w:ind w:left="1415"/>
    </w:pPr>
  </w:style>
  <w:style w:type="paragraph" w:styleId="Index5">
    <w:name w:val="index 5"/>
    <w:basedOn w:val="Normal"/>
    <w:next w:val="Normal"/>
    <w:semiHidden/>
    <w:rsid w:val="00B37866"/>
    <w:pPr>
      <w:ind w:left="1132"/>
    </w:pPr>
  </w:style>
  <w:style w:type="paragraph" w:styleId="Index4">
    <w:name w:val="index 4"/>
    <w:basedOn w:val="Normal"/>
    <w:next w:val="Normal"/>
    <w:semiHidden/>
    <w:rsid w:val="00B37866"/>
    <w:pPr>
      <w:ind w:left="849"/>
    </w:pPr>
  </w:style>
  <w:style w:type="paragraph" w:styleId="Index3">
    <w:name w:val="index 3"/>
    <w:basedOn w:val="Normal"/>
    <w:next w:val="Normal"/>
    <w:semiHidden/>
    <w:rsid w:val="00B37866"/>
    <w:pPr>
      <w:ind w:left="566"/>
    </w:pPr>
  </w:style>
  <w:style w:type="paragraph" w:styleId="Index2">
    <w:name w:val="index 2"/>
    <w:basedOn w:val="Normal"/>
    <w:next w:val="Normal"/>
    <w:semiHidden/>
    <w:rsid w:val="00B37866"/>
    <w:pPr>
      <w:ind w:left="283"/>
    </w:pPr>
  </w:style>
  <w:style w:type="paragraph" w:styleId="Index1">
    <w:name w:val="index 1"/>
    <w:basedOn w:val="Normal"/>
    <w:next w:val="Normal"/>
    <w:semiHidden/>
    <w:rsid w:val="00B37866"/>
  </w:style>
  <w:style w:type="character" w:styleId="LineNumber">
    <w:name w:val="line number"/>
    <w:basedOn w:val="DefaultParagraphFont"/>
    <w:rsid w:val="00B37866"/>
  </w:style>
  <w:style w:type="paragraph" w:styleId="IndexHeading">
    <w:name w:val="index heading"/>
    <w:basedOn w:val="Normal"/>
    <w:next w:val="Index1"/>
    <w:semiHidden/>
    <w:rsid w:val="00B37866"/>
  </w:style>
  <w:style w:type="paragraph" w:styleId="Footer">
    <w:name w:val="footer"/>
    <w:basedOn w:val="Normal"/>
    <w:link w:val="FooterChar"/>
    <w:rsid w:val="00B37866"/>
    <w:pPr>
      <w:tabs>
        <w:tab w:val="clear" w:pos="794"/>
        <w:tab w:val="clear" w:pos="1191"/>
        <w:tab w:val="clear" w:pos="1588"/>
        <w:tab w:val="clear" w:pos="1985"/>
        <w:tab w:val="left" w:pos="5954"/>
        <w:tab w:val="right" w:pos="9639"/>
      </w:tabs>
      <w:spacing w:before="0"/>
    </w:pPr>
    <w:rPr>
      <w:caps/>
      <w:noProof/>
      <w:sz w:val="16"/>
      <w:lang w:val="fr-FR"/>
    </w:rPr>
  </w:style>
  <w:style w:type="paragraph" w:styleId="Header">
    <w:name w:val="header"/>
    <w:basedOn w:val="Normal"/>
    <w:link w:val="HeaderChar"/>
    <w:uiPriority w:val="99"/>
    <w:rsid w:val="00B37866"/>
    <w:pPr>
      <w:tabs>
        <w:tab w:val="clear" w:pos="794"/>
        <w:tab w:val="clear" w:pos="1191"/>
        <w:tab w:val="clear" w:pos="1588"/>
        <w:tab w:val="clear" w:pos="1985"/>
      </w:tabs>
      <w:spacing w:before="0"/>
      <w:jc w:val="center"/>
    </w:pPr>
    <w:rPr>
      <w:sz w:val="18"/>
      <w:lang w:val="fr-FR"/>
    </w:rPr>
  </w:style>
  <w:style w:type="character" w:styleId="FootnoteReference">
    <w:name w:val="footnote reference"/>
    <w:basedOn w:val="DefaultParagraphFont"/>
    <w:rsid w:val="00F52741"/>
    <w:rPr>
      <w:rFonts w:asciiTheme="minorHAnsi" w:hAnsiTheme="minorHAnsi"/>
      <w:position w:val="6"/>
      <w:sz w:val="18"/>
    </w:rPr>
  </w:style>
  <w:style w:type="paragraph" w:styleId="FootnoteText">
    <w:name w:val="footnote text"/>
    <w:basedOn w:val="Normal"/>
    <w:rsid w:val="00B37866"/>
    <w:pPr>
      <w:keepLines/>
      <w:tabs>
        <w:tab w:val="left" w:pos="255"/>
      </w:tabs>
      <w:ind w:left="255" w:hanging="255"/>
    </w:pPr>
  </w:style>
  <w:style w:type="paragraph" w:styleId="NormalIndent">
    <w:name w:val="Normal Indent"/>
    <w:basedOn w:val="Normal"/>
    <w:rsid w:val="00B37866"/>
    <w:pPr>
      <w:ind w:left="794"/>
    </w:pPr>
  </w:style>
  <w:style w:type="paragraph" w:customStyle="1" w:styleId="enumlev1">
    <w:name w:val="enumlev1"/>
    <w:basedOn w:val="Normal"/>
    <w:rsid w:val="00B37866"/>
    <w:pPr>
      <w:spacing w:before="80"/>
      <w:ind w:left="794" w:hanging="794"/>
    </w:pPr>
  </w:style>
  <w:style w:type="paragraph" w:customStyle="1" w:styleId="enumlev2">
    <w:name w:val="enumlev2"/>
    <w:basedOn w:val="enumlev1"/>
    <w:rsid w:val="00B37866"/>
    <w:pPr>
      <w:ind w:left="1191" w:hanging="397"/>
    </w:pPr>
  </w:style>
  <w:style w:type="paragraph" w:customStyle="1" w:styleId="enumlev3">
    <w:name w:val="enumlev3"/>
    <w:basedOn w:val="enumlev2"/>
    <w:rsid w:val="00B37866"/>
    <w:pPr>
      <w:ind w:left="1588"/>
    </w:pPr>
  </w:style>
  <w:style w:type="paragraph" w:customStyle="1" w:styleId="Normalaftertitle">
    <w:name w:val="Normal after title"/>
    <w:basedOn w:val="Normal"/>
    <w:next w:val="Normal"/>
    <w:rsid w:val="00B37866"/>
    <w:pPr>
      <w:spacing w:before="280"/>
    </w:pPr>
  </w:style>
  <w:style w:type="paragraph" w:customStyle="1" w:styleId="Equation">
    <w:name w:val="Equation"/>
    <w:basedOn w:val="Normal"/>
    <w:rsid w:val="00B37866"/>
    <w:pPr>
      <w:tabs>
        <w:tab w:val="clear" w:pos="1191"/>
        <w:tab w:val="clear" w:pos="1588"/>
        <w:tab w:val="clear" w:pos="1985"/>
        <w:tab w:val="center" w:pos="4820"/>
        <w:tab w:val="right" w:pos="9639"/>
      </w:tabs>
    </w:pPr>
  </w:style>
  <w:style w:type="paragraph" w:customStyle="1" w:styleId="toc0">
    <w:name w:val="toc 0"/>
    <w:basedOn w:val="Normal"/>
    <w:next w:val="TOC1"/>
    <w:rsid w:val="00B37866"/>
    <w:pPr>
      <w:tabs>
        <w:tab w:val="clear" w:pos="794"/>
        <w:tab w:val="clear" w:pos="1191"/>
        <w:tab w:val="clear" w:pos="1588"/>
        <w:tab w:val="clear" w:pos="1985"/>
        <w:tab w:val="right" w:pos="9781"/>
      </w:tabs>
    </w:pPr>
    <w:rPr>
      <w:b/>
    </w:rPr>
  </w:style>
  <w:style w:type="paragraph" w:customStyle="1" w:styleId="AnnexNo">
    <w:name w:val="Annex_No"/>
    <w:basedOn w:val="Normal"/>
    <w:next w:val="Annexref"/>
    <w:rsid w:val="00B37866"/>
    <w:pPr>
      <w:keepNext/>
      <w:keepLines/>
      <w:spacing w:before="480" w:after="80"/>
      <w:jc w:val="center"/>
    </w:pPr>
    <w:rPr>
      <w:caps/>
      <w:sz w:val="28"/>
    </w:rPr>
  </w:style>
  <w:style w:type="paragraph" w:customStyle="1" w:styleId="ASN1">
    <w:name w:val="ASN.1"/>
    <w:basedOn w:val="Normal"/>
    <w:rsid w:val="00B37866"/>
    <w:pPr>
      <w:tabs>
        <w:tab w:val="clear" w:pos="794"/>
        <w:tab w:val="clear" w:pos="1191"/>
        <w:tab w:val="clear" w:pos="1588"/>
        <w:tab w:val="clear" w:pos="1985"/>
        <w:tab w:val="left" w:pos="567"/>
        <w:tab w:val="left" w:pos="1134"/>
        <w:tab w:val="left" w:pos="1701"/>
        <w:tab w:val="left" w:pos="2268"/>
        <w:tab w:val="left" w:pos="2835"/>
        <w:tab w:val="left" w:pos="3402"/>
        <w:tab w:val="left" w:pos="3969"/>
        <w:tab w:val="left" w:pos="4536"/>
        <w:tab w:val="left" w:pos="5103"/>
        <w:tab w:val="left" w:pos="5670"/>
      </w:tabs>
      <w:spacing w:before="0"/>
    </w:pPr>
    <w:rPr>
      <w:rFonts w:ascii="Times New Roman Bold" w:hAnsi="Times New Roman Bold"/>
      <w:b/>
      <w:noProof/>
      <w:sz w:val="20"/>
    </w:rPr>
  </w:style>
  <w:style w:type="paragraph" w:customStyle="1" w:styleId="Note">
    <w:name w:val="Note"/>
    <w:basedOn w:val="Normal"/>
    <w:rsid w:val="00B37866"/>
    <w:pPr>
      <w:spacing w:before="80"/>
    </w:pPr>
  </w:style>
  <w:style w:type="paragraph" w:styleId="TOC9">
    <w:name w:val="toc 9"/>
    <w:basedOn w:val="TOC3"/>
    <w:next w:val="Normal"/>
    <w:semiHidden/>
    <w:rsid w:val="00B37866"/>
  </w:style>
  <w:style w:type="paragraph" w:customStyle="1" w:styleId="Source">
    <w:name w:val="Source"/>
    <w:basedOn w:val="Normal"/>
    <w:next w:val="Normalaftertitle"/>
    <w:rsid w:val="00EC6FED"/>
    <w:pPr>
      <w:spacing w:before="240" w:after="240"/>
      <w:jc w:val="center"/>
    </w:pPr>
    <w:rPr>
      <w:b/>
      <w:sz w:val="28"/>
    </w:rPr>
  </w:style>
  <w:style w:type="paragraph" w:customStyle="1" w:styleId="Title1">
    <w:name w:val="Title 1"/>
    <w:basedOn w:val="Source"/>
    <w:next w:val="Title2"/>
    <w:rsid w:val="00EC6FED"/>
    <w:pPr>
      <w:tabs>
        <w:tab w:val="clear" w:pos="794"/>
        <w:tab w:val="clear" w:pos="1191"/>
        <w:tab w:val="clear" w:pos="1588"/>
        <w:tab w:val="clear" w:pos="1985"/>
        <w:tab w:val="left" w:pos="567"/>
        <w:tab w:val="left" w:pos="1134"/>
        <w:tab w:val="left" w:pos="1701"/>
        <w:tab w:val="left" w:pos="2268"/>
        <w:tab w:val="left" w:pos="2835"/>
      </w:tabs>
      <w:spacing w:before="120" w:after="120"/>
    </w:pPr>
    <w:rPr>
      <w:rFonts w:cs="Times New Roman Bold"/>
      <w:b w:val="0"/>
    </w:rPr>
  </w:style>
  <w:style w:type="paragraph" w:customStyle="1" w:styleId="Title2">
    <w:name w:val="Title 2"/>
    <w:basedOn w:val="Title1"/>
    <w:next w:val="Title3"/>
    <w:rsid w:val="00B37866"/>
  </w:style>
  <w:style w:type="paragraph" w:customStyle="1" w:styleId="Title3">
    <w:name w:val="Title 3"/>
    <w:basedOn w:val="Title2"/>
    <w:next w:val="Title4"/>
    <w:rsid w:val="00B37866"/>
  </w:style>
  <w:style w:type="paragraph" w:customStyle="1" w:styleId="Title4">
    <w:name w:val="Title 4"/>
    <w:basedOn w:val="Title3"/>
    <w:next w:val="Heading1"/>
    <w:rsid w:val="00B37866"/>
  </w:style>
  <w:style w:type="paragraph" w:customStyle="1" w:styleId="FirstFooter">
    <w:name w:val="FirstFooter"/>
    <w:basedOn w:val="Footer"/>
    <w:rsid w:val="00B37866"/>
    <w:pPr>
      <w:tabs>
        <w:tab w:val="clear" w:pos="5954"/>
        <w:tab w:val="clear" w:pos="9639"/>
      </w:tabs>
      <w:overflowPunct/>
      <w:autoSpaceDE/>
      <w:autoSpaceDN/>
      <w:adjustRightInd/>
      <w:spacing w:before="40"/>
      <w:textAlignment w:val="auto"/>
    </w:pPr>
    <w:rPr>
      <w:caps w:val="0"/>
      <w:noProof w:val="0"/>
    </w:rPr>
  </w:style>
  <w:style w:type="paragraph" w:customStyle="1" w:styleId="Annexref">
    <w:name w:val="Annex_ref"/>
    <w:basedOn w:val="Normal"/>
    <w:next w:val="Annextitle"/>
    <w:rsid w:val="00B37866"/>
    <w:pPr>
      <w:keepNext/>
      <w:keepLines/>
      <w:spacing w:after="280"/>
      <w:jc w:val="center"/>
    </w:pPr>
  </w:style>
  <w:style w:type="paragraph" w:customStyle="1" w:styleId="Annextitle">
    <w:name w:val="Annex_title"/>
    <w:basedOn w:val="Normal"/>
    <w:next w:val="Normalaftertitle"/>
    <w:rsid w:val="00F52741"/>
    <w:pPr>
      <w:keepNext/>
      <w:keepLines/>
      <w:spacing w:before="240" w:after="280"/>
      <w:jc w:val="center"/>
    </w:pPr>
    <w:rPr>
      <w:b/>
      <w:sz w:val="28"/>
    </w:rPr>
  </w:style>
  <w:style w:type="character" w:customStyle="1" w:styleId="Appdef">
    <w:name w:val="App_def"/>
    <w:basedOn w:val="DefaultParagraphFont"/>
    <w:rsid w:val="00F52741"/>
    <w:rPr>
      <w:rFonts w:asciiTheme="minorHAnsi" w:hAnsiTheme="minorHAnsi"/>
      <w:b/>
    </w:rPr>
  </w:style>
  <w:style w:type="character" w:customStyle="1" w:styleId="Appref">
    <w:name w:val="App_ref"/>
    <w:basedOn w:val="DefaultParagraphFont"/>
    <w:rsid w:val="00F52741"/>
    <w:rPr>
      <w:rFonts w:asciiTheme="minorHAnsi" w:hAnsiTheme="minorHAnsi"/>
    </w:rPr>
  </w:style>
  <w:style w:type="paragraph" w:customStyle="1" w:styleId="AppendixNo">
    <w:name w:val="Appendix_No"/>
    <w:basedOn w:val="AnnexNo"/>
    <w:next w:val="Annexref"/>
    <w:rsid w:val="00B37866"/>
  </w:style>
  <w:style w:type="paragraph" w:customStyle="1" w:styleId="Appendixref">
    <w:name w:val="Appendix_ref"/>
    <w:basedOn w:val="Annexref"/>
    <w:next w:val="Annextitle"/>
    <w:rsid w:val="00B37866"/>
  </w:style>
  <w:style w:type="paragraph" w:customStyle="1" w:styleId="Appendixtitle">
    <w:name w:val="Appendix_title"/>
    <w:basedOn w:val="Annextitle"/>
    <w:next w:val="Normalaftertitle"/>
    <w:rsid w:val="00B37866"/>
  </w:style>
  <w:style w:type="character" w:customStyle="1" w:styleId="Artdef">
    <w:name w:val="Art_def"/>
    <w:basedOn w:val="DefaultParagraphFont"/>
    <w:rsid w:val="00F52741"/>
    <w:rPr>
      <w:rFonts w:asciiTheme="minorHAnsi" w:hAnsiTheme="minorHAnsi"/>
      <w:b/>
    </w:rPr>
  </w:style>
  <w:style w:type="paragraph" w:customStyle="1" w:styleId="Artheading">
    <w:name w:val="Art_heading"/>
    <w:basedOn w:val="Normal"/>
    <w:next w:val="Normalaftertitle"/>
    <w:rsid w:val="00F52741"/>
    <w:pPr>
      <w:spacing w:before="480"/>
      <w:jc w:val="center"/>
    </w:pPr>
    <w:rPr>
      <w:b/>
      <w:sz w:val="28"/>
    </w:rPr>
  </w:style>
  <w:style w:type="paragraph" w:customStyle="1" w:styleId="ArtNo">
    <w:name w:val="Art_No"/>
    <w:basedOn w:val="Normal"/>
    <w:next w:val="Arttitle"/>
    <w:rsid w:val="00B37866"/>
    <w:pPr>
      <w:keepNext/>
      <w:keepLines/>
      <w:spacing w:before="480"/>
      <w:jc w:val="center"/>
    </w:pPr>
    <w:rPr>
      <w:caps/>
      <w:sz w:val="28"/>
    </w:rPr>
  </w:style>
  <w:style w:type="paragraph" w:customStyle="1" w:styleId="Arttitle">
    <w:name w:val="Art_title"/>
    <w:basedOn w:val="Normal"/>
    <w:next w:val="Normalaftertitle"/>
    <w:rsid w:val="00B37866"/>
    <w:pPr>
      <w:keepNext/>
      <w:keepLines/>
      <w:spacing w:before="240"/>
      <w:jc w:val="center"/>
    </w:pPr>
    <w:rPr>
      <w:b/>
      <w:sz w:val="28"/>
    </w:rPr>
  </w:style>
  <w:style w:type="character" w:customStyle="1" w:styleId="Artref">
    <w:name w:val="Art_ref"/>
    <w:basedOn w:val="DefaultParagraphFont"/>
    <w:rsid w:val="00B37866"/>
  </w:style>
  <w:style w:type="paragraph" w:customStyle="1" w:styleId="Call">
    <w:name w:val="Call"/>
    <w:basedOn w:val="Normal"/>
    <w:next w:val="Normal"/>
    <w:rsid w:val="00B37866"/>
    <w:pPr>
      <w:keepNext/>
      <w:keepLines/>
      <w:spacing w:before="160"/>
      <w:ind w:left="794"/>
    </w:pPr>
    <w:rPr>
      <w:i/>
    </w:rPr>
  </w:style>
  <w:style w:type="paragraph" w:customStyle="1" w:styleId="ChapNo">
    <w:name w:val="Chap_No"/>
    <w:basedOn w:val="ArtNo"/>
    <w:next w:val="Chaptitle"/>
    <w:rsid w:val="00F52741"/>
    <w:rPr>
      <w:b/>
    </w:rPr>
  </w:style>
  <w:style w:type="paragraph" w:customStyle="1" w:styleId="Chaptitle">
    <w:name w:val="Chap_title"/>
    <w:basedOn w:val="Arttitle"/>
    <w:next w:val="Normalaftertitle"/>
    <w:rsid w:val="00B37866"/>
  </w:style>
  <w:style w:type="paragraph" w:customStyle="1" w:styleId="ddate">
    <w:name w:val="ddate"/>
    <w:basedOn w:val="Normal"/>
    <w:rsid w:val="00B37866"/>
    <w:pPr>
      <w:framePr w:hSpace="181" w:wrap="around" w:vAnchor="page" w:hAnchor="margin" w:y="852"/>
      <w:shd w:val="solid" w:color="FFFFFF" w:fill="FFFFFF"/>
      <w:tabs>
        <w:tab w:val="clear" w:pos="794"/>
        <w:tab w:val="clear" w:pos="1191"/>
        <w:tab w:val="clear" w:pos="1588"/>
        <w:tab w:val="clear" w:pos="1985"/>
        <w:tab w:val="left" w:pos="1134"/>
        <w:tab w:val="left" w:pos="1871"/>
        <w:tab w:val="left" w:pos="2268"/>
      </w:tabs>
      <w:spacing w:before="0"/>
    </w:pPr>
    <w:rPr>
      <w:b/>
      <w:bCs/>
    </w:rPr>
  </w:style>
  <w:style w:type="paragraph" w:customStyle="1" w:styleId="dnum">
    <w:name w:val="dnum"/>
    <w:basedOn w:val="Normal"/>
    <w:rsid w:val="00B37866"/>
    <w:pPr>
      <w:framePr w:hSpace="181" w:wrap="around" w:vAnchor="page" w:hAnchor="margin" w:y="852"/>
      <w:shd w:val="solid" w:color="FFFFFF" w:fill="FFFFFF"/>
      <w:tabs>
        <w:tab w:val="clear" w:pos="794"/>
        <w:tab w:val="clear" w:pos="1191"/>
        <w:tab w:val="clear" w:pos="1588"/>
        <w:tab w:val="clear" w:pos="1985"/>
        <w:tab w:val="left" w:pos="1134"/>
        <w:tab w:val="left" w:pos="1871"/>
        <w:tab w:val="left" w:pos="2268"/>
      </w:tabs>
    </w:pPr>
    <w:rPr>
      <w:b/>
      <w:bCs/>
    </w:rPr>
  </w:style>
  <w:style w:type="paragraph" w:customStyle="1" w:styleId="dorlang">
    <w:name w:val="dorlang"/>
    <w:basedOn w:val="Normal"/>
    <w:rsid w:val="00B37866"/>
    <w:pPr>
      <w:framePr w:hSpace="181" w:wrap="around" w:vAnchor="page" w:hAnchor="margin" w:y="852"/>
      <w:shd w:val="solid" w:color="FFFFFF" w:fill="FFFFFF"/>
      <w:tabs>
        <w:tab w:val="clear" w:pos="794"/>
        <w:tab w:val="clear" w:pos="1191"/>
        <w:tab w:val="clear" w:pos="1588"/>
        <w:tab w:val="clear" w:pos="1985"/>
        <w:tab w:val="left" w:pos="1134"/>
        <w:tab w:val="left" w:pos="1871"/>
        <w:tab w:val="left" w:pos="2268"/>
      </w:tabs>
      <w:spacing w:before="0"/>
    </w:pPr>
    <w:rPr>
      <w:b/>
      <w:bCs/>
    </w:rPr>
  </w:style>
  <w:style w:type="character" w:styleId="EndnoteReference">
    <w:name w:val="endnote reference"/>
    <w:basedOn w:val="DefaultParagraphFont"/>
    <w:semiHidden/>
    <w:rsid w:val="00B37866"/>
    <w:rPr>
      <w:vertAlign w:val="superscript"/>
    </w:rPr>
  </w:style>
  <w:style w:type="paragraph" w:customStyle="1" w:styleId="Equationlegend">
    <w:name w:val="Equation_legend"/>
    <w:basedOn w:val="Normal"/>
    <w:rsid w:val="00B37866"/>
    <w:pPr>
      <w:tabs>
        <w:tab w:val="clear" w:pos="794"/>
        <w:tab w:val="clear" w:pos="1191"/>
        <w:tab w:val="clear" w:pos="1588"/>
        <w:tab w:val="clear" w:pos="1985"/>
        <w:tab w:val="right" w:pos="1531"/>
        <w:tab w:val="left" w:pos="1701"/>
      </w:tabs>
      <w:spacing w:before="80"/>
      <w:ind w:left="1701" w:hanging="1701"/>
    </w:pPr>
  </w:style>
  <w:style w:type="paragraph" w:customStyle="1" w:styleId="Figurelegend">
    <w:name w:val="Figure_legend"/>
    <w:basedOn w:val="Normal"/>
    <w:rsid w:val="00B37866"/>
    <w:pPr>
      <w:keepNext/>
      <w:keepLines/>
      <w:tabs>
        <w:tab w:val="clear" w:pos="794"/>
        <w:tab w:val="clear" w:pos="1191"/>
        <w:tab w:val="clear" w:pos="1588"/>
        <w:tab w:val="clear" w:pos="1985"/>
      </w:tabs>
      <w:spacing w:before="20" w:after="20"/>
    </w:pPr>
    <w:rPr>
      <w:sz w:val="18"/>
    </w:rPr>
  </w:style>
  <w:style w:type="paragraph" w:customStyle="1" w:styleId="FigureNo">
    <w:name w:val="Figure_No"/>
    <w:basedOn w:val="Normal"/>
    <w:next w:val="Figuretitle"/>
    <w:rsid w:val="00B37866"/>
    <w:pPr>
      <w:keepNext/>
      <w:keepLines/>
      <w:spacing w:before="480" w:after="120"/>
      <w:jc w:val="center"/>
    </w:pPr>
    <w:rPr>
      <w:caps/>
    </w:rPr>
  </w:style>
  <w:style w:type="paragraph" w:customStyle="1" w:styleId="Figuretitle">
    <w:name w:val="Figure_title"/>
    <w:basedOn w:val="Tabletitle"/>
    <w:next w:val="Normal"/>
    <w:rsid w:val="00F52741"/>
    <w:pPr>
      <w:keepNext w:val="0"/>
      <w:spacing w:after="480"/>
    </w:pPr>
  </w:style>
  <w:style w:type="paragraph" w:customStyle="1" w:styleId="Tabletitle">
    <w:name w:val="Table_title"/>
    <w:basedOn w:val="Normal"/>
    <w:next w:val="Tabletext"/>
    <w:rsid w:val="00F52741"/>
    <w:pPr>
      <w:keepNext/>
      <w:keepLines/>
      <w:spacing w:before="0" w:after="120"/>
      <w:jc w:val="center"/>
    </w:pPr>
    <w:rPr>
      <w:b/>
    </w:rPr>
  </w:style>
  <w:style w:type="paragraph" w:customStyle="1" w:styleId="Tabletext">
    <w:name w:val="Table_text"/>
    <w:basedOn w:val="Normal"/>
    <w:rsid w:val="00B37866"/>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pPr>
    <w:rPr>
      <w:sz w:val="22"/>
    </w:rPr>
  </w:style>
  <w:style w:type="paragraph" w:customStyle="1" w:styleId="Figurewithouttitle">
    <w:name w:val="Figure_without_title"/>
    <w:basedOn w:val="FigureNo"/>
    <w:next w:val="Normal"/>
    <w:rsid w:val="00B37866"/>
    <w:pPr>
      <w:keepNext w:val="0"/>
    </w:pPr>
  </w:style>
  <w:style w:type="paragraph" w:customStyle="1" w:styleId="Headingb">
    <w:name w:val="Heading_b"/>
    <w:basedOn w:val="Normal"/>
    <w:next w:val="Normal"/>
    <w:link w:val="HeadingbChar"/>
    <w:qFormat/>
    <w:rsid w:val="00F52741"/>
    <w:pPr>
      <w:keepNext/>
      <w:spacing w:before="160"/>
    </w:pPr>
    <w:rPr>
      <w:b/>
    </w:rPr>
  </w:style>
  <w:style w:type="paragraph" w:customStyle="1" w:styleId="Headingi">
    <w:name w:val="Heading_i"/>
    <w:basedOn w:val="Normal"/>
    <w:next w:val="Normal"/>
    <w:rsid w:val="00F52741"/>
    <w:pPr>
      <w:keepNext/>
      <w:spacing w:before="160"/>
    </w:pPr>
    <w:rPr>
      <w:i/>
    </w:rPr>
  </w:style>
  <w:style w:type="paragraph" w:customStyle="1" w:styleId="PartNo">
    <w:name w:val="Part_No"/>
    <w:basedOn w:val="AnnexNo"/>
    <w:next w:val="Partref"/>
    <w:rsid w:val="00B37866"/>
  </w:style>
  <w:style w:type="paragraph" w:customStyle="1" w:styleId="Partref">
    <w:name w:val="Part_ref"/>
    <w:basedOn w:val="Annexref"/>
    <w:next w:val="Parttitle"/>
    <w:rsid w:val="00B37866"/>
  </w:style>
  <w:style w:type="paragraph" w:customStyle="1" w:styleId="Parttitle">
    <w:name w:val="Part_title"/>
    <w:basedOn w:val="Annextitle"/>
    <w:next w:val="Normalaftertitle"/>
    <w:rsid w:val="00B37866"/>
  </w:style>
  <w:style w:type="paragraph" w:customStyle="1" w:styleId="RecNo">
    <w:name w:val="Rec_No"/>
    <w:basedOn w:val="Normal"/>
    <w:next w:val="Rectitle"/>
    <w:rsid w:val="00B37866"/>
    <w:pPr>
      <w:keepNext/>
      <w:keepLines/>
      <w:spacing w:before="480"/>
      <w:jc w:val="center"/>
    </w:pPr>
    <w:rPr>
      <w:caps/>
      <w:sz w:val="28"/>
    </w:rPr>
  </w:style>
  <w:style w:type="paragraph" w:customStyle="1" w:styleId="Rectitle">
    <w:name w:val="Rec_title"/>
    <w:basedOn w:val="RecNo"/>
    <w:next w:val="Recref"/>
    <w:rsid w:val="00F52741"/>
    <w:pPr>
      <w:spacing w:before="240"/>
    </w:pPr>
    <w:rPr>
      <w:b/>
      <w:caps w:val="0"/>
    </w:rPr>
  </w:style>
  <w:style w:type="paragraph" w:customStyle="1" w:styleId="Recref">
    <w:name w:val="Rec_ref"/>
    <w:basedOn w:val="Rectitle"/>
    <w:next w:val="Recdate"/>
    <w:rsid w:val="00F52741"/>
    <w:pPr>
      <w:tabs>
        <w:tab w:val="clear" w:pos="794"/>
        <w:tab w:val="clear" w:pos="1191"/>
        <w:tab w:val="clear" w:pos="1588"/>
        <w:tab w:val="clear" w:pos="1985"/>
      </w:tabs>
      <w:spacing w:before="120"/>
    </w:pPr>
    <w:rPr>
      <w:b w:val="0"/>
      <w:i/>
      <w:sz w:val="24"/>
    </w:rPr>
  </w:style>
  <w:style w:type="paragraph" w:customStyle="1" w:styleId="Recdate">
    <w:name w:val="Rec_date"/>
    <w:basedOn w:val="Recref"/>
    <w:next w:val="Normalaftertitle"/>
    <w:rsid w:val="00B37866"/>
    <w:pPr>
      <w:jc w:val="right"/>
    </w:pPr>
    <w:rPr>
      <w:sz w:val="22"/>
    </w:rPr>
  </w:style>
  <w:style w:type="paragraph" w:customStyle="1" w:styleId="Questiondate">
    <w:name w:val="Question_date"/>
    <w:basedOn w:val="Recdate"/>
    <w:next w:val="Normalaftertitle"/>
    <w:rsid w:val="00F52741"/>
  </w:style>
  <w:style w:type="paragraph" w:customStyle="1" w:styleId="QuestionNo">
    <w:name w:val="Question_No"/>
    <w:basedOn w:val="RecNo"/>
    <w:next w:val="Questiontitle"/>
    <w:rsid w:val="00B37866"/>
  </w:style>
  <w:style w:type="paragraph" w:customStyle="1" w:styleId="Questiontitle">
    <w:name w:val="Question_title"/>
    <w:basedOn w:val="Rectitle"/>
    <w:next w:val="Questionref"/>
    <w:rsid w:val="00F52741"/>
  </w:style>
  <w:style w:type="paragraph" w:customStyle="1" w:styleId="Questionref">
    <w:name w:val="Question_ref"/>
    <w:basedOn w:val="Recref"/>
    <w:next w:val="Questiondate"/>
    <w:rsid w:val="00F52741"/>
  </w:style>
  <w:style w:type="character" w:customStyle="1" w:styleId="Recdef">
    <w:name w:val="Rec_def"/>
    <w:basedOn w:val="DefaultParagraphFont"/>
    <w:rsid w:val="00F52741"/>
    <w:rPr>
      <w:rFonts w:asciiTheme="minorHAnsi" w:hAnsiTheme="minorHAnsi"/>
      <w:b/>
    </w:rPr>
  </w:style>
  <w:style w:type="paragraph" w:customStyle="1" w:styleId="Reftext">
    <w:name w:val="Ref_text"/>
    <w:basedOn w:val="Normal"/>
    <w:rsid w:val="00B37866"/>
    <w:pPr>
      <w:ind w:left="794" w:hanging="794"/>
    </w:pPr>
  </w:style>
  <w:style w:type="paragraph" w:customStyle="1" w:styleId="Reftitle">
    <w:name w:val="Ref_title"/>
    <w:basedOn w:val="Normal"/>
    <w:next w:val="Reftext"/>
    <w:rsid w:val="00B37866"/>
    <w:pPr>
      <w:spacing w:before="480"/>
      <w:jc w:val="center"/>
    </w:pPr>
    <w:rPr>
      <w:caps/>
    </w:rPr>
  </w:style>
  <w:style w:type="paragraph" w:customStyle="1" w:styleId="Repdate">
    <w:name w:val="Rep_date"/>
    <w:basedOn w:val="Recdate"/>
    <w:next w:val="Normalaftertitle"/>
    <w:rsid w:val="00B37866"/>
  </w:style>
  <w:style w:type="paragraph" w:customStyle="1" w:styleId="RepNo">
    <w:name w:val="Rep_No"/>
    <w:basedOn w:val="RecNo"/>
    <w:next w:val="Reptitle"/>
    <w:rsid w:val="00B37866"/>
  </w:style>
  <w:style w:type="paragraph" w:customStyle="1" w:styleId="Reptitle">
    <w:name w:val="Rep_title"/>
    <w:basedOn w:val="Rectitle"/>
    <w:next w:val="Repref"/>
    <w:rsid w:val="00B37866"/>
  </w:style>
  <w:style w:type="paragraph" w:customStyle="1" w:styleId="Repref">
    <w:name w:val="Rep_ref"/>
    <w:basedOn w:val="Recref"/>
    <w:next w:val="Repdate"/>
    <w:rsid w:val="00B37866"/>
  </w:style>
  <w:style w:type="paragraph" w:customStyle="1" w:styleId="Resdate">
    <w:name w:val="Res_date"/>
    <w:basedOn w:val="Recdate"/>
    <w:next w:val="Normalaftertitle"/>
    <w:rsid w:val="00B37866"/>
  </w:style>
  <w:style w:type="character" w:customStyle="1" w:styleId="Resdef">
    <w:name w:val="Res_def"/>
    <w:basedOn w:val="DefaultParagraphFont"/>
    <w:rsid w:val="00F52741"/>
    <w:rPr>
      <w:rFonts w:asciiTheme="minorHAnsi" w:hAnsiTheme="minorHAnsi"/>
      <w:b/>
    </w:rPr>
  </w:style>
  <w:style w:type="paragraph" w:customStyle="1" w:styleId="ResNo">
    <w:name w:val="Res_No"/>
    <w:basedOn w:val="RecNo"/>
    <w:next w:val="Restitle"/>
    <w:rsid w:val="00B37866"/>
  </w:style>
  <w:style w:type="paragraph" w:customStyle="1" w:styleId="Restitle">
    <w:name w:val="Res_title"/>
    <w:basedOn w:val="Rectitle"/>
    <w:next w:val="Resref"/>
    <w:rsid w:val="00B37866"/>
  </w:style>
  <w:style w:type="paragraph" w:customStyle="1" w:styleId="Resref">
    <w:name w:val="Res_ref"/>
    <w:basedOn w:val="Recref"/>
    <w:next w:val="Resdate"/>
    <w:rsid w:val="00B37866"/>
  </w:style>
  <w:style w:type="paragraph" w:customStyle="1" w:styleId="SectionNo">
    <w:name w:val="Section_No"/>
    <w:basedOn w:val="AnnexNo"/>
    <w:next w:val="Sectiontitle"/>
    <w:rsid w:val="00B37866"/>
  </w:style>
  <w:style w:type="paragraph" w:customStyle="1" w:styleId="Sectiontitle">
    <w:name w:val="Section_title"/>
    <w:basedOn w:val="Annextitle"/>
    <w:next w:val="Normalaftertitle"/>
    <w:rsid w:val="00B37866"/>
  </w:style>
  <w:style w:type="paragraph" w:customStyle="1" w:styleId="SpecialFooter">
    <w:name w:val="Special Footer"/>
    <w:basedOn w:val="Footer"/>
    <w:rsid w:val="00B37866"/>
    <w:pPr>
      <w:tabs>
        <w:tab w:val="left" w:pos="567"/>
        <w:tab w:val="left" w:pos="1134"/>
        <w:tab w:val="left" w:pos="1701"/>
        <w:tab w:val="left" w:pos="2268"/>
        <w:tab w:val="left" w:pos="2835"/>
      </w:tabs>
      <w:jc w:val="both"/>
    </w:pPr>
    <w:rPr>
      <w:caps w:val="0"/>
      <w:noProof w:val="0"/>
    </w:rPr>
  </w:style>
  <w:style w:type="character" w:customStyle="1" w:styleId="Tablefreq">
    <w:name w:val="Table_freq"/>
    <w:basedOn w:val="DefaultParagraphFont"/>
    <w:rsid w:val="00F52741"/>
    <w:rPr>
      <w:rFonts w:asciiTheme="minorHAnsi" w:hAnsiTheme="minorHAnsi"/>
      <w:b/>
      <w:color w:val="auto"/>
    </w:rPr>
  </w:style>
  <w:style w:type="paragraph" w:customStyle="1" w:styleId="Tablehead">
    <w:name w:val="Table_head"/>
    <w:basedOn w:val="Tabletext"/>
    <w:next w:val="Tabletext"/>
    <w:rsid w:val="00B37866"/>
    <w:pPr>
      <w:keepNext/>
      <w:spacing w:before="80" w:after="80"/>
      <w:jc w:val="center"/>
    </w:pPr>
    <w:rPr>
      <w:b/>
    </w:rPr>
  </w:style>
  <w:style w:type="paragraph" w:customStyle="1" w:styleId="Tablelegend">
    <w:name w:val="Table_legend"/>
    <w:basedOn w:val="Tabletext"/>
    <w:rsid w:val="00B37866"/>
    <w:pPr>
      <w:spacing w:before="120"/>
    </w:pPr>
  </w:style>
  <w:style w:type="paragraph" w:customStyle="1" w:styleId="TableNo">
    <w:name w:val="Table_No"/>
    <w:basedOn w:val="Normal"/>
    <w:next w:val="Tabletitle"/>
    <w:rsid w:val="00B37866"/>
    <w:pPr>
      <w:keepNext/>
      <w:spacing w:before="560" w:after="120"/>
      <w:jc w:val="center"/>
    </w:pPr>
    <w:rPr>
      <w:caps/>
    </w:rPr>
  </w:style>
  <w:style w:type="paragraph" w:customStyle="1" w:styleId="Tableref">
    <w:name w:val="Table_ref"/>
    <w:basedOn w:val="Normal"/>
    <w:next w:val="Tabletitle"/>
    <w:rsid w:val="00B37866"/>
    <w:pPr>
      <w:keepNext/>
      <w:spacing w:before="0" w:after="120"/>
      <w:jc w:val="center"/>
    </w:pPr>
  </w:style>
  <w:style w:type="character" w:styleId="PageNumber">
    <w:name w:val="page number"/>
    <w:basedOn w:val="DefaultParagraphFont"/>
    <w:rsid w:val="00F52741"/>
    <w:rPr>
      <w:rFonts w:asciiTheme="minorHAnsi" w:hAnsiTheme="minorHAnsi"/>
    </w:rPr>
  </w:style>
  <w:style w:type="character" w:customStyle="1" w:styleId="HeaderChar">
    <w:name w:val="Header Char"/>
    <w:basedOn w:val="DefaultParagraphFont"/>
    <w:link w:val="Header"/>
    <w:uiPriority w:val="99"/>
    <w:rsid w:val="00005791"/>
    <w:rPr>
      <w:rFonts w:ascii="Times New Roman" w:hAnsi="Times New Roman"/>
      <w:sz w:val="18"/>
      <w:lang w:val="fr-FR" w:eastAsia="en-US"/>
    </w:rPr>
  </w:style>
  <w:style w:type="character" w:customStyle="1" w:styleId="FooterChar">
    <w:name w:val="Footer Char"/>
    <w:basedOn w:val="DefaultParagraphFont"/>
    <w:link w:val="Footer"/>
    <w:rsid w:val="0056423B"/>
    <w:rPr>
      <w:rFonts w:ascii="Times New Roman" w:hAnsi="Times New Roman"/>
      <w:caps/>
      <w:noProof/>
      <w:sz w:val="16"/>
      <w:lang w:val="fr-FR" w:eastAsia="en-US"/>
    </w:rPr>
  </w:style>
  <w:style w:type="table" w:styleId="TableGrid">
    <w:name w:val="Table Grid"/>
    <w:basedOn w:val="TableNormal"/>
    <w:uiPriority w:val="59"/>
    <w:rsid w:val="00147000"/>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Committee">
    <w:name w:val="Committee"/>
    <w:basedOn w:val="Normal"/>
    <w:qFormat/>
    <w:rsid w:val="001A163D"/>
    <w:rPr>
      <w:rFonts w:cs="Times New Roman Bold"/>
      <w:b/>
      <w:caps/>
    </w:rPr>
  </w:style>
  <w:style w:type="character" w:styleId="Hyperlink">
    <w:name w:val="Hyperlink"/>
    <w:aliases w:val="CEO_Hyperlink"/>
    <w:basedOn w:val="DefaultParagraphFont"/>
    <w:uiPriority w:val="99"/>
    <w:rsid w:val="00BA0009"/>
    <w:rPr>
      <w:color w:val="0000FF" w:themeColor="hyperlink"/>
      <w:u w:val="single"/>
    </w:rPr>
  </w:style>
  <w:style w:type="paragraph" w:customStyle="1" w:styleId="BDTLogo">
    <w:name w:val="BDT_Logo"/>
    <w:uiPriority w:val="99"/>
    <w:rsid w:val="00C72713"/>
    <w:pPr>
      <w:jc w:val="center"/>
    </w:pPr>
    <w:rPr>
      <w:rFonts w:ascii="Calibri" w:eastAsia="SimHei" w:hAnsi="Calibri" w:cs="Simplified Arabic"/>
      <w:sz w:val="22"/>
      <w:szCs w:val="28"/>
      <w:lang w:val="en-GB" w:eastAsia="en-US"/>
    </w:rPr>
  </w:style>
  <w:style w:type="paragraph" w:styleId="ListParagraph">
    <w:name w:val="List Paragraph"/>
    <w:aliases w:val="NUMBERED PARAGRAPH,List Paragraph 1,List Paragraph (numbered (a)),Use Case List Paragraph,References,ReferencesCxSpLast,lp1,List Paragraph1,Recommendation,List Paragraph11"/>
    <w:basedOn w:val="Normal"/>
    <w:link w:val="ListParagraphChar"/>
    <w:uiPriority w:val="34"/>
    <w:qFormat/>
    <w:rsid w:val="00A721F4"/>
    <w:pPr>
      <w:tabs>
        <w:tab w:val="clear" w:pos="794"/>
        <w:tab w:val="clear" w:pos="1191"/>
        <w:tab w:val="clear" w:pos="1588"/>
        <w:tab w:val="clear" w:pos="1985"/>
        <w:tab w:val="left" w:pos="1134"/>
        <w:tab w:val="left" w:pos="1871"/>
        <w:tab w:val="left" w:pos="2268"/>
      </w:tabs>
      <w:ind w:left="720"/>
      <w:contextualSpacing/>
    </w:pPr>
  </w:style>
  <w:style w:type="paragraph" w:customStyle="1" w:styleId="AppArtNo">
    <w:name w:val="App_Art_No"/>
    <w:basedOn w:val="ArtNo"/>
    <w:qFormat/>
    <w:rsid w:val="00A50CA0"/>
    <w:pPr>
      <w:tabs>
        <w:tab w:val="clear" w:pos="794"/>
        <w:tab w:val="clear" w:pos="1191"/>
        <w:tab w:val="clear" w:pos="1588"/>
        <w:tab w:val="clear" w:pos="1985"/>
        <w:tab w:val="left" w:pos="1134"/>
        <w:tab w:val="left" w:pos="1871"/>
        <w:tab w:val="left" w:pos="2268"/>
      </w:tabs>
    </w:pPr>
  </w:style>
  <w:style w:type="paragraph" w:customStyle="1" w:styleId="AppArttitle">
    <w:name w:val="App_Art_title"/>
    <w:basedOn w:val="Arttitle"/>
    <w:qFormat/>
    <w:rsid w:val="00A50CA0"/>
    <w:pPr>
      <w:tabs>
        <w:tab w:val="clear" w:pos="794"/>
        <w:tab w:val="clear" w:pos="1191"/>
        <w:tab w:val="clear" w:pos="1588"/>
        <w:tab w:val="clear" w:pos="1985"/>
        <w:tab w:val="left" w:pos="1134"/>
        <w:tab w:val="left" w:pos="1871"/>
        <w:tab w:val="left" w:pos="2268"/>
      </w:tabs>
    </w:pPr>
  </w:style>
  <w:style w:type="paragraph" w:customStyle="1" w:styleId="ApptoAnnex">
    <w:name w:val="App_to_Annex"/>
    <w:basedOn w:val="AppendixNo"/>
    <w:next w:val="Normal"/>
    <w:qFormat/>
    <w:rsid w:val="00A50CA0"/>
    <w:pPr>
      <w:tabs>
        <w:tab w:val="clear" w:pos="794"/>
        <w:tab w:val="clear" w:pos="1191"/>
        <w:tab w:val="clear" w:pos="1588"/>
        <w:tab w:val="clear" w:pos="1985"/>
        <w:tab w:val="left" w:pos="1134"/>
        <w:tab w:val="left" w:pos="1871"/>
        <w:tab w:val="left" w:pos="2268"/>
      </w:tabs>
    </w:pPr>
  </w:style>
  <w:style w:type="paragraph" w:customStyle="1" w:styleId="Volumetitle">
    <w:name w:val="Volume_title"/>
    <w:basedOn w:val="Normal"/>
    <w:qFormat/>
    <w:rsid w:val="00A50CA0"/>
    <w:pPr>
      <w:tabs>
        <w:tab w:val="clear" w:pos="794"/>
        <w:tab w:val="clear" w:pos="1191"/>
        <w:tab w:val="clear" w:pos="1588"/>
        <w:tab w:val="clear" w:pos="1985"/>
        <w:tab w:val="left" w:pos="1871"/>
      </w:tabs>
      <w:overflowPunct/>
      <w:autoSpaceDE/>
      <w:autoSpaceDN/>
      <w:adjustRightInd/>
      <w:spacing w:before="0"/>
      <w:textAlignment w:val="auto"/>
    </w:pPr>
    <w:rPr>
      <w:b/>
      <w:sz w:val="28"/>
      <w:lang w:val="en-US"/>
    </w:rPr>
  </w:style>
  <w:style w:type="paragraph" w:customStyle="1" w:styleId="Proposal">
    <w:name w:val="Proposal"/>
    <w:basedOn w:val="Normal"/>
    <w:next w:val="Normal"/>
    <w:rsid w:val="00904230"/>
    <w:pPr>
      <w:keepNext/>
      <w:tabs>
        <w:tab w:val="clear" w:pos="794"/>
        <w:tab w:val="clear" w:pos="1191"/>
        <w:tab w:val="clear" w:pos="1588"/>
        <w:tab w:val="clear" w:pos="1985"/>
        <w:tab w:val="left" w:pos="1134"/>
        <w:tab w:val="left" w:pos="1871"/>
        <w:tab w:val="left" w:pos="2268"/>
      </w:tabs>
      <w:spacing w:before="240"/>
    </w:pPr>
    <w:rPr>
      <w:rFonts w:hAnsi="Times New Roman Bold"/>
    </w:rPr>
  </w:style>
  <w:style w:type="paragraph" w:customStyle="1" w:styleId="Reasons">
    <w:name w:val="Reasons"/>
    <w:basedOn w:val="Normal"/>
    <w:rsid w:val="005D2C3A"/>
    <w:pPr>
      <w:tabs>
        <w:tab w:val="clear" w:pos="794"/>
        <w:tab w:val="clear" w:pos="1191"/>
        <w:tab w:val="left" w:pos="1134"/>
        <w:tab w:val="left" w:pos="1871"/>
      </w:tabs>
    </w:pPr>
  </w:style>
  <w:style w:type="character" w:styleId="FollowedHyperlink">
    <w:name w:val="FollowedHyperlink"/>
    <w:basedOn w:val="DefaultParagraphFont"/>
    <w:semiHidden/>
    <w:unhideWhenUsed/>
    <w:rsid w:val="00AD4677"/>
    <w:rPr>
      <w:color w:val="800080" w:themeColor="followedHyperlink"/>
      <w:u w:val="single"/>
    </w:rPr>
  </w:style>
  <w:style w:type="character" w:styleId="UnresolvedMention">
    <w:name w:val="Unresolved Mention"/>
    <w:basedOn w:val="DefaultParagraphFont"/>
    <w:uiPriority w:val="99"/>
    <w:semiHidden/>
    <w:unhideWhenUsed/>
    <w:rsid w:val="00FF5CBE"/>
    <w:rPr>
      <w:color w:val="605E5C"/>
      <w:shd w:val="clear" w:color="auto" w:fill="E1DFDD"/>
    </w:rPr>
  </w:style>
  <w:style w:type="paragraph" w:customStyle="1" w:styleId="Pa10">
    <w:name w:val="Pa10"/>
    <w:basedOn w:val="Normal"/>
    <w:next w:val="Normal"/>
    <w:uiPriority w:val="99"/>
    <w:rsid w:val="00FF5CBE"/>
    <w:pPr>
      <w:tabs>
        <w:tab w:val="clear" w:pos="794"/>
        <w:tab w:val="clear" w:pos="1191"/>
        <w:tab w:val="clear" w:pos="1588"/>
        <w:tab w:val="clear" w:pos="1985"/>
      </w:tabs>
      <w:overflowPunct/>
      <w:spacing w:before="0" w:line="201" w:lineRule="atLeast"/>
      <w:textAlignment w:val="auto"/>
    </w:pPr>
    <w:rPr>
      <w:rFonts w:ascii="Calibri Light" w:hAnsi="Calibri Light" w:cs="Calibri Light"/>
      <w:szCs w:val="24"/>
      <w:lang w:eastAsia="zh-CN"/>
    </w:rPr>
  </w:style>
  <w:style w:type="character" w:customStyle="1" w:styleId="ListParagraphChar">
    <w:name w:val="List Paragraph Char"/>
    <w:aliases w:val="NUMBERED PARAGRAPH Char,List Paragraph 1 Char,List Paragraph (numbered (a)) Char,Use Case List Paragraph Char,References Char,ReferencesCxSpLast Char,lp1 Char,List Paragraph1 Char,Recommendation Char,List Paragraph11 Char"/>
    <w:basedOn w:val="DefaultParagraphFont"/>
    <w:link w:val="ListParagraph"/>
    <w:uiPriority w:val="34"/>
    <w:locked/>
    <w:rsid w:val="00FF5CBE"/>
    <w:rPr>
      <w:rFonts w:asciiTheme="minorHAnsi" w:hAnsiTheme="minorHAnsi"/>
      <w:sz w:val="24"/>
      <w:lang w:val="en-GB" w:eastAsia="en-US"/>
    </w:rPr>
  </w:style>
  <w:style w:type="paragraph" w:customStyle="1" w:styleId="Pa12">
    <w:name w:val="Pa12"/>
    <w:basedOn w:val="Normal"/>
    <w:next w:val="Normal"/>
    <w:uiPriority w:val="99"/>
    <w:rsid w:val="00FF5CBE"/>
    <w:pPr>
      <w:tabs>
        <w:tab w:val="clear" w:pos="794"/>
        <w:tab w:val="clear" w:pos="1191"/>
        <w:tab w:val="clear" w:pos="1588"/>
        <w:tab w:val="clear" w:pos="1985"/>
      </w:tabs>
      <w:overflowPunct/>
      <w:spacing w:before="0" w:line="251" w:lineRule="atLeast"/>
      <w:textAlignment w:val="auto"/>
    </w:pPr>
    <w:rPr>
      <w:rFonts w:ascii="Calibri" w:hAnsi="Calibri" w:cs="Calibri"/>
      <w:szCs w:val="24"/>
      <w:lang w:eastAsia="zh-CN"/>
    </w:rPr>
  </w:style>
  <w:style w:type="paragraph" w:customStyle="1" w:styleId="Pa39">
    <w:name w:val="Pa39"/>
    <w:basedOn w:val="Normal"/>
    <w:next w:val="Normal"/>
    <w:uiPriority w:val="99"/>
    <w:rsid w:val="00FF5CBE"/>
    <w:pPr>
      <w:tabs>
        <w:tab w:val="clear" w:pos="794"/>
        <w:tab w:val="clear" w:pos="1191"/>
        <w:tab w:val="clear" w:pos="1588"/>
        <w:tab w:val="clear" w:pos="1985"/>
      </w:tabs>
      <w:overflowPunct/>
      <w:spacing w:before="0" w:line="221" w:lineRule="atLeast"/>
      <w:textAlignment w:val="auto"/>
    </w:pPr>
    <w:rPr>
      <w:rFonts w:ascii="Calibri" w:hAnsi="Calibri" w:cs="Calibri"/>
      <w:szCs w:val="24"/>
      <w:lang w:eastAsia="zh-CN"/>
    </w:rPr>
  </w:style>
  <w:style w:type="paragraph" w:customStyle="1" w:styleId="Tabletextcentred">
    <w:name w:val="Table text centred"/>
    <w:basedOn w:val="Tabletext"/>
    <w:rsid w:val="00FF5CBE"/>
    <w:pPr>
      <w:keepNext/>
      <w:tabs>
        <w:tab w:val="clear" w:pos="567"/>
        <w:tab w:val="clear" w:pos="1701"/>
        <w:tab w:val="clear" w:pos="2835"/>
        <w:tab w:val="left" w:pos="1871"/>
      </w:tabs>
      <w:jc w:val="center"/>
    </w:pPr>
    <w:rPr>
      <w:sz w:val="20"/>
    </w:rPr>
  </w:style>
  <w:style w:type="character" w:customStyle="1" w:styleId="HeadingbChar">
    <w:name w:val="Heading_b Char"/>
    <w:basedOn w:val="DefaultParagraphFont"/>
    <w:link w:val="Headingb"/>
    <w:locked/>
    <w:rsid w:val="00FF5CBE"/>
    <w:rPr>
      <w:rFonts w:asciiTheme="minorHAnsi" w:hAnsiTheme="minorHAnsi"/>
      <w:b/>
      <w:sz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www.itu.int/itu-d/meetings/wtdc25/" TargetMode="External"/><Relationship Id="rId18" Type="http://schemas.openxmlformats.org/officeDocument/2006/relationships/hyperlink" Target="https://www.itu.int/itu-d/meetings/wtdc25/the-conference/high-level-segment/speakers/" TargetMode="External"/><Relationship Id="rId26" Type="http://schemas.openxmlformats.org/officeDocument/2006/relationships/hyperlink" Target="https://www.itu.int/itu-d/sites/studygroups/" TargetMode="External"/><Relationship Id="rId3" Type="http://schemas.openxmlformats.org/officeDocument/2006/relationships/customXml" Target="../customXml/item3.xml"/><Relationship Id="rId21" Type="http://schemas.openxmlformats.org/officeDocument/2006/relationships/hyperlink" Target="https://www.itu.int/en/ITU-D/Documents/BAP/D22-WTDC25-C-0090%21%21PDF-F.pdf" TargetMode="External"/><Relationship Id="rId7" Type="http://schemas.openxmlformats.org/officeDocument/2006/relationships/settings" Target="settings.xml"/><Relationship Id="rId12" Type="http://schemas.openxmlformats.org/officeDocument/2006/relationships/hyperlink" Target="https://www.itu.int/en/ITU-D/Documents/BAP/D22-WTDC25-C-0090%21%21PDF-F.pdf" TargetMode="External"/><Relationship Id="rId17" Type="http://schemas.openxmlformats.org/officeDocument/2006/relationships/hyperlink" Target="https://www.itu.int/itu-d/meetings/wtdc25/the-conference/high-level-segment/speakers/" TargetMode="External"/><Relationship Id="rId25" Type="http://schemas.openxmlformats.org/officeDocument/2006/relationships/hyperlink" Target="https://www.itu.int/itu-d/meetings/wtdc25/wp-content/uploads/sites/29/2025/12/Study-Group-Questions-2026-2029.pdf"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itu.int/itu-d/meetings/wtdc25/the-conference/high-level-segment/speakers/" TargetMode="External"/><Relationship Id="rId20" Type="http://schemas.openxmlformats.org/officeDocument/2006/relationships/hyperlink" Target="https://www.itu.int/itu-d/meetings/wtdc25/wp-content/uploads/sites/29/2025/11/WTDC-25-Declaration.pdf" TargetMode="External"/><Relationship Id="rId29" Type="http://schemas.openxmlformats.org/officeDocument/2006/relationships/hyperlink" Target="https://www.itu.int/en/ITU-D/Conferences/TDAG/Pages/2026/TDAG-Bureau.aspx"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https://www.itu.int/itu-d/meetings/wtdc25/wp-content/uploads/sites/29/2025/12/Study-Group-Questions-2026-2029.pdf" TargetMode="Externa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itu.int/itu-d/meetings/wtdc25/the-conference/high-level-segment/speakers/" TargetMode="External"/><Relationship Id="rId23" Type="http://schemas.openxmlformats.org/officeDocument/2006/relationships/hyperlink" Target="https://www.itu.int/en/ITU-D/Pages/regional-initiatives-2026-2029.aspx" TargetMode="External"/><Relationship Id="rId28" Type="http://schemas.openxmlformats.org/officeDocument/2006/relationships/hyperlink" Target="https://www.itu.int/itu-d/meetings/tdag/tdag/bureau/" TargetMode="External"/><Relationship Id="rId10" Type="http://schemas.openxmlformats.org/officeDocument/2006/relationships/endnotes" Target="endnotes.xml"/><Relationship Id="rId19" Type="http://schemas.openxmlformats.org/officeDocument/2006/relationships/hyperlink" Target="https://www.itu.int/itu-d/meetings/wtdc25/wp-content/uploads/sites/29/2025/11/WTDC-25-Declaration.pdf" TargetMode="External"/><Relationship Id="rId31"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itu.int/itu-d/meetings/wtdc25/" TargetMode="External"/><Relationship Id="rId22" Type="http://schemas.openxmlformats.org/officeDocument/2006/relationships/hyperlink" Target="https://www.itu.int/itu-d/meetings/wtdc25/wp-content/uploads/sites/29/2025/11/090-E.pdf" TargetMode="External"/><Relationship Id="rId27" Type="http://schemas.openxmlformats.org/officeDocument/2006/relationships/hyperlink" Target="https://www.itu.int/itu-d/sites/studygroups/" TargetMode="External"/><Relationship Id="rId30" Type="http://schemas.openxmlformats.org/officeDocument/2006/relationships/header" Target="header1.xml"/><Relationship Id="rId8" Type="http://schemas.openxmlformats.org/officeDocument/2006/relationships/webSettings" Target="webSettings.xml"/></Relationships>
</file>

<file path=word/_rels/footer1.xml.rels><?xml version="1.0" encoding="UTF-8" standalone="yes"?>
<Relationships xmlns="http://schemas.openxmlformats.org/package/2006/relationships"><Relationship Id="rId1" Type="http://schemas.openxmlformats.org/officeDocument/2006/relationships/hyperlink" Target="mailto:archana.gulati@itu.i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421F7F6C5263B4B928A068E40912AB8" ma:contentTypeVersion="17" ma:contentTypeDescription="Create a new document." ma:contentTypeScope="" ma:versionID="08de21dd3d53535c2968f418991843b1">
  <xsd:schema xmlns:xsd="http://www.w3.org/2001/XMLSchema" xmlns:xs="http://www.w3.org/2001/XMLSchema" xmlns:p="http://schemas.microsoft.com/office/2006/metadata/properties" xmlns:ns2="d4ea696a-cca3-460b-a983-57ac2621983a" xmlns:ns3="29399490-13b9-4c73-b71e-403b715b75a7" targetNamespace="http://schemas.microsoft.com/office/2006/metadata/properties" ma:root="true" ma:fieldsID="61722b74c011d0d4baa2c88cba3894f1" ns2:_="" ns3:_="">
    <xsd:import namespace="d4ea696a-cca3-460b-a983-57ac2621983a"/>
    <xsd:import namespace="29399490-13b9-4c73-b71e-403b715b75a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ea696a-cca3-460b-a983-57ac2621983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9399490-13b9-4c73-b71e-403b715b75a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2d36094f-0688-4081-a569-0c74b76e7ddf}" ma:internalName="TaxCatchAll" ma:showField="CatchAllData" ma:web="29399490-13b9-4c73-b71e-403b715b75a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d4ea696a-cca3-460b-a983-57ac2621983a">
      <Terms xmlns="http://schemas.microsoft.com/office/infopath/2007/PartnerControls"/>
    </lcf76f155ced4ddcb4097134ff3c332f>
    <TaxCatchAll xmlns="29399490-13b9-4c73-b71e-403b715b75a7" xsi:nil="true"/>
  </documentManagement>
</p:properties>
</file>

<file path=customXml/itemProps1.xml><?xml version="1.0" encoding="utf-8"?>
<ds:datastoreItem xmlns:ds="http://schemas.openxmlformats.org/officeDocument/2006/customXml" ds:itemID="{A2000670-633D-4F9E-9C1D-E70D7D1C056E}">
  <ds:schemaRefs>
    <ds:schemaRef ds:uri="http://schemas.microsoft.com/sharepoint/v3/contenttype/forms"/>
  </ds:schemaRefs>
</ds:datastoreItem>
</file>

<file path=customXml/itemProps2.xml><?xml version="1.0" encoding="utf-8"?>
<ds:datastoreItem xmlns:ds="http://schemas.openxmlformats.org/officeDocument/2006/customXml" ds:itemID="{4B1C224A-AFEA-47AE-B11B-7AC68BF8C14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4ea696a-cca3-460b-a983-57ac2621983a"/>
    <ds:schemaRef ds:uri="29399490-13b9-4c73-b71e-403b715b75a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F2BB1AA-1BE5-470E-9C9E-C1004C2937AF}">
  <ds:schemaRefs>
    <ds:schemaRef ds:uri="http://schemas.openxmlformats.org/officeDocument/2006/bibliography"/>
  </ds:schemaRefs>
</ds:datastoreItem>
</file>

<file path=customXml/itemProps4.xml><?xml version="1.0" encoding="utf-8"?>
<ds:datastoreItem xmlns:ds="http://schemas.openxmlformats.org/officeDocument/2006/customXml" ds:itemID="{04AFF22B-E34E-4D13-BF0E-743F259223BD}">
  <ds:schemaRefs>
    <ds:schemaRef ds:uri="http://purl.org/dc/dcmitype/"/>
    <ds:schemaRef ds:uri="http://purl.org/dc/elements/1.1/"/>
    <ds:schemaRef ds:uri="http://schemas.microsoft.com/office/2006/metadata/properties"/>
    <ds:schemaRef ds:uri="http://schemas.openxmlformats.org/package/2006/metadata/core-properties"/>
    <ds:schemaRef ds:uri="http://schemas.microsoft.com/office/2006/documentManagement/types"/>
    <ds:schemaRef ds:uri="http://www.w3.org/XML/1998/namespace"/>
    <ds:schemaRef ds:uri="http://schemas.microsoft.com/office/infopath/2007/PartnerControls"/>
    <ds:schemaRef ds:uri="d4ea696a-cca3-460b-a983-57ac2621983a"/>
    <ds:schemaRef ds:uri="29399490-13b9-4c73-b71e-403b715b75a7"/>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11</Pages>
  <Words>4001</Words>
  <Characters>25706</Characters>
  <Application>Microsoft Office Word</Application>
  <DocSecurity>0</DocSecurity>
  <Lines>214</Lines>
  <Paragraphs>59</Paragraphs>
  <ScaleCrop>false</ScaleCrop>
  <HeadingPairs>
    <vt:vector size="2" baseType="variant">
      <vt:variant>
        <vt:lpstr>Title</vt:lpstr>
      </vt:variant>
      <vt:variant>
        <vt:i4>1</vt:i4>
      </vt:variant>
    </vt:vector>
  </HeadingPairs>
  <TitlesOfParts>
    <vt:vector size="1" baseType="lpstr">
      <vt:lpstr>TDAG19</vt:lpstr>
    </vt:vector>
  </TitlesOfParts>
  <Manager>General Secretariat - Pool</Manager>
  <Company>International Telecommunication Union (ITU)</Company>
  <LinksUpToDate>false</LinksUpToDate>
  <CharactersWithSpaces>29648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TDAG19</dc:title>
  <dc:creator>BDT-nd</dc:creator>
  <cp:lastModifiedBy>French</cp:lastModifiedBy>
  <cp:revision>4</cp:revision>
  <cp:lastPrinted>2014-11-04T09:22:00Z</cp:lastPrinted>
  <dcterms:created xsi:type="dcterms:W3CDTF">2026-04-02T07:20:00Z</dcterms:created>
  <dcterms:modified xsi:type="dcterms:W3CDTF">2026-04-02T07:25:00Z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num">
    <vt:lpwstr>Document 1/001-E</vt:lpwstr>
  </property>
  <property fmtid="{D5CDD505-2E9C-101B-9397-08002B2CF9AE}" pid="3" name="Docdate">
    <vt:lpwstr>[Date]</vt:lpwstr>
  </property>
  <property fmtid="{D5CDD505-2E9C-101B-9397-08002B2CF9AE}" pid="4" name="Docorlang">
    <vt:lpwstr>For action</vt:lpwstr>
  </property>
  <property fmtid="{D5CDD505-2E9C-101B-9397-08002B2CF9AE}" pid="5" name="Docdest">
    <vt:lpwstr/>
  </property>
  <property fmtid="{D5CDD505-2E9C-101B-9397-08002B2CF9AE}" pid="6" name="Docauthor">
    <vt:lpwstr>[Insert here]</vt:lpwstr>
  </property>
  <property fmtid="{D5CDD505-2E9C-101B-9397-08002B2CF9AE}" pid="7" name="Docbluepink">
    <vt:lpwstr/>
  </property>
  <property fmtid="{D5CDD505-2E9C-101B-9397-08002B2CF9AE}" pid="8" name="ContentTypeId">
    <vt:lpwstr>0x0101000421F7F6C5263B4B928A068E40912AB8</vt:lpwstr>
  </property>
</Properties>
</file>