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9923" w:type="dxa"/>
        <w:tblLayout w:type="fixed"/>
        <w:tblLook w:val="0000" w:firstRow="0" w:lastRow="0" w:firstColumn="0" w:lastColumn="0" w:noHBand="0" w:noVBand="0"/>
      </w:tblPr>
      <w:tblGrid>
        <w:gridCol w:w="6663"/>
        <w:gridCol w:w="3260"/>
      </w:tblGrid>
      <w:tr w:rsidR="004B2111" w:rsidRPr="0095296E" w14:paraId="22AC1876" w14:textId="77777777" w:rsidTr="00FC1EC2">
        <w:trPr>
          <w:cantSplit/>
          <w:trHeight w:val="1425"/>
        </w:trPr>
        <w:tc>
          <w:tcPr>
            <w:tcW w:w="6663" w:type="dxa"/>
          </w:tcPr>
          <w:p w14:paraId="5840652F" w14:textId="77777777" w:rsidR="004B2111" w:rsidRPr="0095296E" w:rsidRDefault="004B2111" w:rsidP="00FC1EC2">
            <w:pPr>
              <w:tabs>
                <w:tab w:val="clear" w:pos="1134"/>
              </w:tabs>
              <w:spacing w:before="240"/>
              <w:ind w:left="34"/>
              <w:rPr>
                <w:b/>
                <w:bCs/>
                <w:sz w:val="30"/>
                <w:szCs w:val="30"/>
              </w:rPr>
            </w:pPr>
            <w:r w:rsidRPr="0095296E">
              <w:rPr>
                <w:b/>
                <w:bCs/>
                <w:sz w:val="30"/>
                <w:szCs w:val="30"/>
              </w:rPr>
              <w:t xml:space="preserve">Консультативная группа </w:t>
            </w:r>
            <w:r w:rsidRPr="0095296E">
              <w:rPr>
                <w:b/>
                <w:bCs/>
                <w:sz w:val="30"/>
                <w:szCs w:val="30"/>
              </w:rPr>
              <w:br/>
              <w:t>по развитию электросвязи (КГРЭ)</w:t>
            </w:r>
          </w:p>
          <w:p w14:paraId="3976B0BD" w14:textId="77777777" w:rsidR="004B2111" w:rsidRPr="0095296E" w:rsidRDefault="004B2111" w:rsidP="00FC1EC2">
            <w:pPr>
              <w:tabs>
                <w:tab w:val="clear" w:pos="1134"/>
              </w:tabs>
              <w:spacing w:before="160" w:after="48" w:line="240" w:lineRule="atLeast"/>
              <w:ind w:left="34"/>
              <w:rPr>
                <w:b/>
                <w:bCs/>
                <w:szCs w:val="22"/>
              </w:rPr>
            </w:pPr>
            <w:r w:rsidRPr="0095296E">
              <w:rPr>
                <w:rFonts w:cstheme="minorHAnsi"/>
                <w:b/>
                <w:bCs/>
                <w:szCs w:val="22"/>
                <w:lang w:eastAsia="zh-CN"/>
              </w:rPr>
              <w:t xml:space="preserve">33-е собрание, Женева, Швейцария, </w:t>
            </w:r>
            <w:r w:rsidR="000674FE" w:rsidRPr="0095296E">
              <w:rPr>
                <w:rFonts w:cstheme="minorHAnsi"/>
                <w:b/>
                <w:bCs/>
                <w:szCs w:val="22"/>
                <w:lang w:eastAsia="zh-CN"/>
              </w:rPr>
              <w:t>7</w:t>
            </w:r>
            <w:r w:rsidRPr="0095296E">
              <w:rPr>
                <w:rFonts w:cstheme="minorHAnsi"/>
                <w:b/>
                <w:bCs/>
                <w:szCs w:val="22"/>
                <w:lang w:eastAsia="zh-CN"/>
              </w:rPr>
              <w:t>–1</w:t>
            </w:r>
            <w:r w:rsidR="000674FE" w:rsidRPr="0095296E">
              <w:rPr>
                <w:rFonts w:cstheme="minorHAnsi"/>
                <w:b/>
                <w:bCs/>
                <w:szCs w:val="22"/>
                <w:lang w:eastAsia="zh-CN"/>
              </w:rPr>
              <w:t>0</w:t>
            </w:r>
            <w:r w:rsidRPr="0095296E">
              <w:rPr>
                <w:rFonts w:cstheme="minorHAnsi"/>
                <w:b/>
                <w:bCs/>
                <w:szCs w:val="22"/>
                <w:lang w:eastAsia="zh-CN"/>
              </w:rPr>
              <w:t xml:space="preserve"> </w:t>
            </w:r>
            <w:r w:rsidR="000674FE" w:rsidRPr="0095296E">
              <w:rPr>
                <w:rFonts w:cstheme="minorHAnsi"/>
                <w:b/>
                <w:bCs/>
                <w:szCs w:val="22"/>
                <w:lang w:eastAsia="zh-CN"/>
              </w:rPr>
              <w:t xml:space="preserve">апреля </w:t>
            </w:r>
            <w:r w:rsidRPr="0095296E">
              <w:rPr>
                <w:rFonts w:cstheme="minorHAnsi"/>
                <w:b/>
                <w:bCs/>
                <w:szCs w:val="22"/>
                <w:lang w:eastAsia="zh-CN"/>
              </w:rPr>
              <w:t>202</w:t>
            </w:r>
            <w:r w:rsidR="000674FE" w:rsidRPr="0095296E">
              <w:rPr>
                <w:rFonts w:cstheme="minorHAnsi"/>
                <w:b/>
                <w:bCs/>
                <w:szCs w:val="22"/>
                <w:lang w:eastAsia="zh-CN"/>
              </w:rPr>
              <w:t>6</w:t>
            </w:r>
            <w:r w:rsidRPr="0095296E">
              <w:rPr>
                <w:rFonts w:cstheme="minorHAnsi"/>
                <w:b/>
                <w:bCs/>
                <w:szCs w:val="22"/>
                <w:lang w:eastAsia="zh-CN"/>
              </w:rPr>
              <w:t xml:space="preserve"> года</w:t>
            </w:r>
          </w:p>
        </w:tc>
        <w:tc>
          <w:tcPr>
            <w:tcW w:w="3260" w:type="dxa"/>
          </w:tcPr>
          <w:p w14:paraId="19671562" w14:textId="77777777" w:rsidR="004B2111" w:rsidRPr="0095296E" w:rsidRDefault="004B2111" w:rsidP="00FC1EC2">
            <w:pPr>
              <w:jc w:val="right"/>
              <w:rPr>
                <w:rFonts w:cstheme="minorHAnsi"/>
              </w:rPr>
            </w:pPr>
            <w:bookmarkStart w:id="0" w:name="ditulogo"/>
            <w:bookmarkEnd w:id="0"/>
            <w:r w:rsidRPr="0095296E">
              <w:rPr>
                <w:lang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95296E" w14:paraId="344A2725" w14:textId="77777777" w:rsidTr="00FC1EC2">
        <w:trPr>
          <w:cantSplit/>
        </w:trPr>
        <w:tc>
          <w:tcPr>
            <w:tcW w:w="6663" w:type="dxa"/>
            <w:tcBorders>
              <w:top w:val="single" w:sz="12" w:space="0" w:color="auto"/>
            </w:tcBorders>
          </w:tcPr>
          <w:p w14:paraId="3F3321C3" w14:textId="77777777" w:rsidR="00D83BF5" w:rsidRPr="0095296E" w:rsidRDefault="00D83BF5" w:rsidP="00CE66E4">
            <w:pPr>
              <w:spacing w:before="0"/>
              <w:rPr>
                <w:rFonts w:cstheme="minorHAnsi"/>
                <w:b/>
                <w:smallCaps/>
                <w:sz w:val="20"/>
              </w:rPr>
            </w:pPr>
            <w:bookmarkStart w:id="1" w:name="dhead"/>
          </w:p>
        </w:tc>
        <w:tc>
          <w:tcPr>
            <w:tcW w:w="3260" w:type="dxa"/>
            <w:tcBorders>
              <w:top w:val="single" w:sz="12" w:space="0" w:color="auto"/>
            </w:tcBorders>
          </w:tcPr>
          <w:p w14:paraId="27A306D7" w14:textId="77777777" w:rsidR="00D83BF5" w:rsidRPr="0095296E" w:rsidRDefault="00D83BF5" w:rsidP="00CE66E4">
            <w:pPr>
              <w:spacing w:before="0"/>
              <w:rPr>
                <w:rFonts w:cstheme="minorHAnsi"/>
                <w:sz w:val="20"/>
              </w:rPr>
            </w:pPr>
          </w:p>
        </w:tc>
      </w:tr>
      <w:tr w:rsidR="000318C5" w:rsidRPr="0095296E" w14:paraId="265FD837" w14:textId="77777777" w:rsidTr="00FC1EC2">
        <w:trPr>
          <w:cantSplit/>
          <w:trHeight w:val="23"/>
        </w:trPr>
        <w:tc>
          <w:tcPr>
            <w:tcW w:w="6663" w:type="dxa"/>
          </w:tcPr>
          <w:p w14:paraId="1BCC8365" w14:textId="77777777" w:rsidR="000318C5" w:rsidRPr="0095296E" w:rsidRDefault="000318C5" w:rsidP="000318C5">
            <w:pPr>
              <w:pStyle w:val="Committee"/>
              <w:framePr w:hSpace="0" w:wrap="auto" w:hAnchor="text" w:yAlign="inline"/>
              <w:spacing w:line="240" w:lineRule="auto"/>
            </w:pPr>
            <w:bookmarkStart w:id="2" w:name="dnum" w:colFirst="1" w:colLast="1"/>
            <w:bookmarkStart w:id="3" w:name="dmeeting" w:colFirst="0" w:colLast="0"/>
            <w:bookmarkEnd w:id="1"/>
          </w:p>
        </w:tc>
        <w:tc>
          <w:tcPr>
            <w:tcW w:w="3260" w:type="dxa"/>
          </w:tcPr>
          <w:p w14:paraId="0FD98213" w14:textId="280DC1CA" w:rsidR="000318C5" w:rsidRPr="0095296E" w:rsidRDefault="00C231B4" w:rsidP="000318C5">
            <w:pPr>
              <w:tabs>
                <w:tab w:val="left" w:pos="851"/>
              </w:tabs>
              <w:spacing w:before="0"/>
              <w:rPr>
                <w:rFonts w:cstheme="minorHAnsi"/>
                <w:szCs w:val="22"/>
              </w:rPr>
            </w:pPr>
            <w:r w:rsidRPr="0095296E">
              <w:rPr>
                <w:b/>
                <w:bCs/>
                <w:color w:val="000000"/>
              </w:rPr>
              <w:t>Пересмотр 1</w:t>
            </w:r>
            <w:r w:rsidRPr="0095296E">
              <w:rPr>
                <w:b/>
                <w:bCs/>
                <w:color w:val="000000"/>
              </w:rPr>
              <w:br/>
            </w:r>
            <w:r w:rsidR="000318C5" w:rsidRPr="0095296E">
              <w:rPr>
                <w:b/>
                <w:bCs/>
                <w:color w:val="000000"/>
              </w:rPr>
              <w:t>Документ</w:t>
            </w:r>
            <w:r w:rsidRPr="0095296E">
              <w:rPr>
                <w:b/>
                <w:bCs/>
                <w:color w:val="000000"/>
              </w:rPr>
              <w:t>а</w:t>
            </w:r>
            <w:r w:rsidR="000318C5" w:rsidRPr="0095296E">
              <w:rPr>
                <w:b/>
                <w:bCs/>
                <w:color w:val="000000"/>
              </w:rPr>
              <w:t xml:space="preserve"> TDAG-26/2(Add.2)-R</w:t>
            </w:r>
          </w:p>
        </w:tc>
      </w:tr>
      <w:tr w:rsidR="000318C5" w:rsidRPr="0095296E" w14:paraId="07ED73C2" w14:textId="77777777" w:rsidTr="00FC1EC2">
        <w:trPr>
          <w:cantSplit/>
          <w:trHeight w:val="23"/>
        </w:trPr>
        <w:tc>
          <w:tcPr>
            <w:tcW w:w="6663" w:type="dxa"/>
          </w:tcPr>
          <w:p w14:paraId="45F66A21" w14:textId="77777777" w:rsidR="000318C5" w:rsidRPr="0095296E" w:rsidRDefault="000318C5" w:rsidP="000318C5">
            <w:pPr>
              <w:tabs>
                <w:tab w:val="left" w:pos="851"/>
              </w:tabs>
              <w:spacing w:before="0"/>
              <w:rPr>
                <w:rFonts w:cstheme="minorHAnsi"/>
                <w:b/>
                <w:szCs w:val="24"/>
              </w:rPr>
            </w:pPr>
            <w:bookmarkStart w:id="4" w:name="ddate" w:colFirst="1" w:colLast="1"/>
            <w:bookmarkStart w:id="5" w:name="dblank" w:colFirst="0" w:colLast="0"/>
            <w:bookmarkEnd w:id="2"/>
            <w:bookmarkEnd w:id="3"/>
          </w:p>
        </w:tc>
        <w:tc>
          <w:tcPr>
            <w:tcW w:w="3260" w:type="dxa"/>
          </w:tcPr>
          <w:p w14:paraId="19525E04" w14:textId="12886BB3" w:rsidR="000318C5" w:rsidRPr="0095296E" w:rsidRDefault="004A5666" w:rsidP="000318C5">
            <w:pPr>
              <w:spacing w:before="0"/>
              <w:rPr>
                <w:rFonts w:cstheme="minorHAnsi"/>
                <w:szCs w:val="22"/>
              </w:rPr>
            </w:pPr>
            <w:r w:rsidRPr="0095296E">
              <w:rPr>
                <w:b/>
                <w:bCs/>
                <w:color w:val="000000"/>
              </w:rPr>
              <w:t>2</w:t>
            </w:r>
            <w:r w:rsidR="000318C5" w:rsidRPr="0095296E">
              <w:rPr>
                <w:b/>
                <w:bCs/>
                <w:color w:val="000000"/>
              </w:rPr>
              <w:t xml:space="preserve"> </w:t>
            </w:r>
            <w:r w:rsidRPr="0095296E">
              <w:rPr>
                <w:b/>
                <w:bCs/>
                <w:color w:val="000000"/>
              </w:rPr>
              <w:t>апреля</w:t>
            </w:r>
            <w:r w:rsidR="000318C5" w:rsidRPr="0095296E">
              <w:rPr>
                <w:b/>
                <w:bCs/>
                <w:color w:val="000000"/>
              </w:rPr>
              <w:t xml:space="preserve"> 2026 года</w:t>
            </w:r>
          </w:p>
        </w:tc>
      </w:tr>
      <w:bookmarkEnd w:id="4"/>
      <w:bookmarkEnd w:id="5"/>
      <w:tr w:rsidR="000318C5" w:rsidRPr="0095296E" w14:paraId="060BDC7C" w14:textId="77777777" w:rsidTr="00FC1EC2">
        <w:trPr>
          <w:cantSplit/>
          <w:trHeight w:val="23"/>
        </w:trPr>
        <w:tc>
          <w:tcPr>
            <w:tcW w:w="6663" w:type="dxa"/>
          </w:tcPr>
          <w:p w14:paraId="3B7E84B6" w14:textId="77777777" w:rsidR="000318C5" w:rsidRPr="0095296E" w:rsidRDefault="000318C5" w:rsidP="000318C5">
            <w:pPr>
              <w:tabs>
                <w:tab w:val="left" w:pos="851"/>
              </w:tabs>
              <w:spacing w:before="0"/>
              <w:rPr>
                <w:rFonts w:cstheme="minorHAnsi"/>
                <w:szCs w:val="24"/>
              </w:rPr>
            </w:pPr>
          </w:p>
        </w:tc>
        <w:tc>
          <w:tcPr>
            <w:tcW w:w="3260" w:type="dxa"/>
          </w:tcPr>
          <w:p w14:paraId="7FB60C89" w14:textId="13304E21" w:rsidR="000318C5" w:rsidRPr="0095296E" w:rsidRDefault="000318C5" w:rsidP="000318C5">
            <w:pPr>
              <w:tabs>
                <w:tab w:val="left" w:pos="993"/>
              </w:tabs>
              <w:spacing w:before="0"/>
              <w:rPr>
                <w:rFonts w:cstheme="minorHAnsi"/>
                <w:b/>
                <w:szCs w:val="22"/>
              </w:rPr>
            </w:pPr>
            <w:r w:rsidRPr="0095296E">
              <w:rPr>
                <w:b/>
                <w:bCs/>
                <w:color w:val="000000"/>
              </w:rPr>
              <w:t>Оригинал: английский</w:t>
            </w:r>
          </w:p>
        </w:tc>
      </w:tr>
      <w:tr w:rsidR="000318C5" w:rsidRPr="0095296E" w14:paraId="3CC1E32F" w14:textId="77777777" w:rsidTr="00FC1EC2">
        <w:trPr>
          <w:cantSplit/>
          <w:trHeight w:val="23"/>
        </w:trPr>
        <w:tc>
          <w:tcPr>
            <w:tcW w:w="9923" w:type="dxa"/>
            <w:gridSpan w:val="2"/>
          </w:tcPr>
          <w:p w14:paraId="10162624" w14:textId="01F6826F" w:rsidR="000318C5" w:rsidRPr="0095296E" w:rsidRDefault="000318C5" w:rsidP="000318C5">
            <w:pPr>
              <w:pStyle w:val="Source"/>
            </w:pPr>
            <w:bookmarkStart w:id="6" w:name="dbluepink" w:colFirst="0" w:colLast="0"/>
            <w:bookmarkStart w:id="7" w:name="dorlang" w:colFirst="1" w:colLast="1"/>
            <w:r w:rsidRPr="0095296E">
              <w:rPr>
                <w:bCs/>
                <w:color w:val="000000"/>
              </w:rPr>
              <w:t>Директор Бюро развития электросвязи</w:t>
            </w:r>
          </w:p>
        </w:tc>
      </w:tr>
      <w:tr w:rsidR="000318C5" w:rsidRPr="0095296E" w14:paraId="18DACB4A" w14:textId="77777777" w:rsidTr="0086794A">
        <w:trPr>
          <w:cantSplit/>
          <w:trHeight w:val="23"/>
        </w:trPr>
        <w:tc>
          <w:tcPr>
            <w:tcW w:w="9923" w:type="dxa"/>
            <w:gridSpan w:val="2"/>
          </w:tcPr>
          <w:p w14:paraId="75354D13" w14:textId="53D83597" w:rsidR="000318C5" w:rsidRPr="0095296E" w:rsidRDefault="000318C5" w:rsidP="000318C5">
            <w:pPr>
              <w:pStyle w:val="Title1"/>
              <w:rPr>
                <w:caps/>
              </w:rPr>
            </w:pPr>
            <w:r w:rsidRPr="0095296E">
              <w:rPr>
                <w:color w:val="000000"/>
              </w:rPr>
              <w:t>Система воздействия для выполнения Бакинского плана действий (БПД)</w:t>
            </w:r>
          </w:p>
        </w:tc>
      </w:tr>
      <w:tr w:rsidR="00D83BF5" w:rsidRPr="0095296E" w14:paraId="7CDECF05" w14:textId="77777777" w:rsidTr="00FC1EC2">
        <w:trPr>
          <w:cantSplit/>
          <w:trHeight w:val="23"/>
        </w:trPr>
        <w:tc>
          <w:tcPr>
            <w:tcW w:w="9923" w:type="dxa"/>
            <w:gridSpan w:val="2"/>
            <w:tcBorders>
              <w:bottom w:val="single" w:sz="4" w:space="0" w:color="auto"/>
            </w:tcBorders>
          </w:tcPr>
          <w:p w14:paraId="1CB59340" w14:textId="77777777" w:rsidR="00D83BF5" w:rsidRPr="0095296E" w:rsidRDefault="00D83BF5" w:rsidP="00403C69">
            <w:pPr>
              <w:pStyle w:val="Title1"/>
              <w:spacing w:before="120" w:after="120"/>
              <w:jc w:val="left"/>
              <w:rPr>
                <w:rFonts w:cs="Times New Roman Bold"/>
                <w:caps/>
                <w:szCs w:val="28"/>
              </w:rPr>
            </w:pPr>
          </w:p>
        </w:tc>
      </w:tr>
      <w:tr w:rsidR="001E252D" w:rsidRPr="0095296E" w14:paraId="53AAF165" w14:textId="77777777" w:rsidTr="00FC1EC2">
        <w:trPr>
          <w:cantSplit/>
          <w:trHeight w:val="23"/>
        </w:trPr>
        <w:tc>
          <w:tcPr>
            <w:tcW w:w="9923" w:type="dxa"/>
            <w:gridSpan w:val="2"/>
            <w:tcBorders>
              <w:top w:val="single" w:sz="4" w:space="0" w:color="auto"/>
              <w:left w:val="single" w:sz="4" w:space="0" w:color="auto"/>
              <w:bottom w:val="single" w:sz="4" w:space="0" w:color="auto"/>
              <w:right w:val="single" w:sz="4" w:space="0" w:color="auto"/>
            </w:tcBorders>
          </w:tcPr>
          <w:p w14:paraId="0AB8EBAE" w14:textId="77777777" w:rsidR="005E032D" w:rsidRPr="0095296E" w:rsidRDefault="005E032D" w:rsidP="00EB4AE6">
            <w:pPr>
              <w:pStyle w:val="Headingb"/>
              <w:rPr>
                <w:szCs w:val="22"/>
                <w:lang w:val="ru-RU"/>
              </w:rPr>
            </w:pPr>
            <w:r w:rsidRPr="0095296E">
              <w:rPr>
                <w:szCs w:val="22"/>
                <w:lang w:val="ru-RU"/>
              </w:rPr>
              <w:t>Резюме</w:t>
            </w:r>
          </w:p>
          <w:p w14:paraId="7336253C" w14:textId="4BBF9A2B" w:rsidR="001E252D" w:rsidRPr="0095296E" w:rsidRDefault="000318C5" w:rsidP="00EB4AE6">
            <w:pPr>
              <w:rPr>
                <w:szCs w:val="22"/>
              </w:rPr>
            </w:pPr>
            <w:r w:rsidRPr="0095296E">
              <w:rPr>
                <w:szCs w:val="22"/>
              </w:rPr>
              <w:t>В документе представлена система воздействия для выполнения Бакинского плана действий (БПД)</w:t>
            </w:r>
            <w:r w:rsidR="00C231B4" w:rsidRPr="0095296E">
              <w:rPr>
                <w:szCs w:val="22"/>
              </w:rPr>
              <w:t>.</w:t>
            </w:r>
            <w:r w:rsidRPr="0095296E">
              <w:rPr>
                <w:szCs w:val="22"/>
              </w:rPr>
              <w:t xml:space="preserve"> </w:t>
            </w:r>
            <w:r w:rsidR="00C231B4" w:rsidRPr="0095296E">
              <w:rPr>
                <w:szCs w:val="22"/>
              </w:rPr>
              <w:t>В </w:t>
            </w:r>
            <w:r w:rsidRPr="0095296E">
              <w:rPr>
                <w:szCs w:val="22"/>
              </w:rPr>
              <w:t>нее включены приоритеты МСЭ-D и соответствующие ожидаемые конечные результаты, средств</w:t>
            </w:r>
            <w:r w:rsidR="005E5E29" w:rsidRPr="0095296E">
              <w:rPr>
                <w:szCs w:val="22"/>
              </w:rPr>
              <w:t>о</w:t>
            </w:r>
            <w:r w:rsidRPr="0095296E">
              <w:rPr>
                <w:szCs w:val="22"/>
              </w:rPr>
              <w:t xml:space="preserve"> достижения целей, продукты и услуги, которые должны быть предоставлены, а также набор конечных результатов и показателей. </w:t>
            </w:r>
            <w:r w:rsidR="00C231B4" w:rsidRPr="0095296E">
              <w:rPr>
                <w:szCs w:val="22"/>
              </w:rPr>
              <w:t>Кроме того, в</w:t>
            </w:r>
            <w:r w:rsidRPr="0095296E">
              <w:rPr>
                <w:szCs w:val="22"/>
              </w:rPr>
              <w:t xml:space="preserve"> нем представлен Оперативный план МСЭ-D на 2026 год (ОП</w:t>
            </w:r>
            <w:r w:rsidR="00A252B0" w:rsidRPr="0095296E">
              <w:rPr>
                <w:szCs w:val="22"/>
              </w:rPr>
              <w:noBreakHyphen/>
            </w:r>
            <w:r w:rsidRPr="0095296E">
              <w:rPr>
                <w:szCs w:val="22"/>
              </w:rPr>
              <w:t xml:space="preserve">26) и распределение средств по каждому приоритету </w:t>
            </w:r>
            <w:r w:rsidR="005E5E29" w:rsidRPr="0095296E">
              <w:rPr>
                <w:szCs w:val="22"/>
              </w:rPr>
              <w:t xml:space="preserve">МСЭ-D </w:t>
            </w:r>
            <w:r w:rsidRPr="0095296E">
              <w:rPr>
                <w:szCs w:val="22"/>
              </w:rPr>
              <w:t xml:space="preserve">и </w:t>
            </w:r>
            <w:r w:rsidR="005E5E29" w:rsidRPr="0095296E">
              <w:rPr>
                <w:szCs w:val="22"/>
              </w:rPr>
              <w:t xml:space="preserve">по </w:t>
            </w:r>
            <w:r w:rsidRPr="0095296E">
              <w:rPr>
                <w:szCs w:val="22"/>
              </w:rPr>
              <w:t>средству достижения целей</w:t>
            </w:r>
            <w:r w:rsidR="00C231B4" w:rsidRPr="0095296E">
              <w:rPr>
                <w:szCs w:val="22"/>
              </w:rPr>
              <w:t>, а</w:t>
            </w:r>
            <w:r w:rsidR="00E4019D" w:rsidRPr="0095296E">
              <w:rPr>
                <w:szCs w:val="22"/>
              </w:rPr>
              <w:t> </w:t>
            </w:r>
            <w:r w:rsidR="00C231B4" w:rsidRPr="0095296E">
              <w:rPr>
                <w:szCs w:val="22"/>
              </w:rPr>
              <w:t xml:space="preserve">также основные </w:t>
            </w:r>
            <w:r w:rsidR="00B839FE" w:rsidRPr="0095296E">
              <w:rPr>
                <w:szCs w:val="22"/>
              </w:rPr>
              <w:t xml:space="preserve">результаты, достигнутые при </w:t>
            </w:r>
            <w:r w:rsidR="00C231B4" w:rsidRPr="0095296E">
              <w:rPr>
                <w:szCs w:val="22"/>
              </w:rPr>
              <w:t>выполнени</w:t>
            </w:r>
            <w:r w:rsidR="004A5666" w:rsidRPr="0095296E">
              <w:rPr>
                <w:szCs w:val="22"/>
              </w:rPr>
              <w:t>и</w:t>
            </w:r>
            <w:r w:rsidR="00C231B4" w:rsidRPr="0095296E">
              <w:rPr>
                <w:szCs w:val="22"/>
              </w:rPr>
              <w:t xml:space="preserve"> БПД в период с января по март 2026</w:t>
            </w:r>
            <w:r w:rsidR="00E4019D" w:rsidRPr="0095296E">
              <w:rPr>
                <w:szCs w:val="22"/>
              </w:rPr>
              <w:t> </w:t>
            </w:r>
            <w:r w:rsidR="00C231B4" w:rsidRPr="0095296E">
              <w:rPr>
                <w:szCs w:val="22"/>
              </w:rPr>
              <w:t>года</w:t>
            </w:r>
            <w:r w:rsidRPr="0095296E">
              <w:rPr>
                <w:szCs w:val="22"/>
              </w:rPr>
              <w:t>.</w:t>
            </w:r>
          </w:p>
          <w:p w14:paraId="7F3F6362" w14:textId="77777777" w:rsidR="005E032D" w:rsidRPr="0095296E" w:rsidRDefault="005E032D" w:rsidP="00EB4AE6">
            <w:pPr>
              <w:pStyle w:val="Headingb"/>
              <w:rPr>
                <w:szCs w:val="22"/>
                <w:lang w:val="ru-RU"/>
              </w:rPr>
            </w:pPr>
            <w:r w:rsidRPr="0095296E">
              <w:rPr>
                <w:szCs w:val="22"/>
                <w:lang w:val="ru-RU"/>
              </w:rPr>
              <w:t>Необходимые действия</w:t>
            </w:r>
          </w:p>
          <w:p w14:paraId="3DD498B8" w14:textId="77777777" w:rsidR="001E252D" w:rsidRPr="0095296E" w:rsidRDefault="004D3C01" w:rsidP="00EB4AE6">
            <w:pPr>
              <w:rPr>
                <w:szCs w:val="22"/>
              </w:rPr>
            </w:pPr>
            <w:r w:rsidRPr="0095296E">
              <w:rPr>
                <w:szCs w:val="22"/>
              </w:rPr>
              <w:t>КГРЭ предлагается принять настоящий документ к сведению и дать руководящие указания</w:t>
            </w:r>
            <w:r w:rsidR="006B7CC5" w:rsidRPr="0095296E">
              <w:rPr>
                <w:szCs w:val="22"/>
              </w:rPr>
              <w:t>, если это будет сочтено целесообразным</w:t>
            </w:r>
            <w:r w:rsidR="003F1363" w:rsidRPr="0095296E">
              <w:rPr>
                <w:szCs w:val="22"/>
              </w:rPr>
              <w:t>.</w:t>
            </w:r>
          </w:p>
          <w:p w14:paraId="1FF396E6" w14:textId="77777777" w:rsidR="001E252D" w:rsidRPr="0095296E" w:rsidRDefault="004A3CDF" w:rsidP="00EB4AE6">
            <w:pPr>
              <w:rPr>
                <w:b/>
                <w:bCs/>
                <w:szCs w:val="22"/>
              </w:rPr>
            </w:pPr>
            <w:r w:rsidRPr="0095296E">
              <w:rPr>
                <w:b/>
                <w:bCs/>
                <w:szCs w:val="22"/>
              </w:rPr>
              <w:t>Справочные материалы</w:t>
            </w:r>
          </w:p>
          <w:p w14:paraId="2924FD96" w14:textId="77777777" w:rsidR="000318C5" w:rsidRPr="0095296E" w:rsidRDefault="000318C5" w:rsidP="000318C5">
            <w:pPr>
              <w:spacing w:after="120"/>
            </w:pPr>
            <w:hyperlink r:id="rId12" w:history="1">
              <w:r w:rsidRPr="0095296E">
                <w:rPr>
                  <w:rStyle w:val="Hyperlink"/>
                </w:rPr>
                <w:t>Документ 2 КГРЭ-26</w:t>
              </w:r>
            </w:hyperlink>
          </w:p>
          <w:p w14:paraId="5EF0B70A" w14:textId="0B211FF6" w:rsidR="001E252D" w:rsidRPr="0095296E" w:rsidRDefault="000318C5" w:rsidP="000318C5">
            <w:pPr>
              <w:spacing w:after="120"/>
            </w:pPr>
            <w:hyperlink r:id="rId13" w:history="1">
              <w:r w:rsidRPr="0095296E">
                <w:rPr>
                  <w:rStyle w:val="Hyperlink"/>
                </w:rPr>
                <w:t>Бакинский план действий ВКРЭ-25</w:t>
              </w:r>
            </w:hyperlink>
          </w:p>
        </w:tc>
      </w:tr>
      <w:bookmarkEnd w:id="6"/>
      <w:bookmarkEnd w:id="7"/>
    </w:tbl>
    <w:p w14:paraId="4F455EAC" w14:textId="77777777" w:rsidR="00075C63" w:rsidRPr="0095296E" w:rsidRDefault="00075C63" w:rsidP="00E64779">
      <w:pPr>
        <w:rPr>
          <w:szCs w:val="24"/>
        </w:rPr>
      </w:pPr>
      <w:r w:rsidRPr="0095296E">
        <w:rPr>
          <w:szCs w:val="24"/>
        </w:rPr>
        <w:br w:type="page"/>
      </w:r>
    </w:p>
    <w:p w14:paraId="0404FDD1" w14:textId="1017D5EF" w:rsidR="000318C5" w:rsidRPr="0095296E" w:rsidRDefault="00990801" w:rsidP="00990801">
      <w:pPr>
        <w:pStyle w:val="Heading1"/>
        <w:rPr>
          <w:rFonts w:eastAsia="Calibri"/>
          <w:szCs w:val="24"/>
        </w:rPr>
      </w:pPr>
      <w:r w:rsidRPr="0095296E">
        <w:lastRenderedPageBreak/>
        <w:t>1</w:t>
      </w:r>
      <w:r w:rsidRPr="0095296E">
        <w:tab/>
      </w:r>
      <w:r w:rsidR="000318C5" w:rsidRPr="0095296E">
        <w:t>Новый подход к разработке Оперативного плана МСЭ-D и</w:t>
      </w:r>
      <w:r w:rsidR="00341092" w:rsidRPr="0095296E">
        <w:t> </w:t>
      </w:r>
      <w:r w:rsidR="000318C5" w:rsidRPr="0095296E">
        <w:t>выполнению</w:t>
      </w:r>
      <w:r w:rsidR="00341092" w:rsidRPr="0095296E">
        <w:t> </w:t>
      </w:r>
      <w:r w:rsidR="000318C5" w:rsidRPr="0095296E">
        <w:t>БПД</w:t>
      </w:r>
    </w:p>
    <w:p w14:paraId="1E9C9F4C" w14:textId="1449F049" w:rsidR="000318C5" w:rsidRPr="0095296E" w:rsidRDefault="000318C5" w:rsidP="00990801">
      <w:pPr>
        <w:rPr>
          <w:rFonts w:eastAsia="Calibri"/>
          <w:szCs w:val="24"/>
        </w:rPr>
      </w:pPr>
      <w:r w:rsidRPr="0095296E">
        <w:t xml:space="preserve">Всемирная конференция по развитию электросвязи, прошедшая в Баку, Азербайджан, в 2025 году (ВКРЭ-25), приняла </w:t>
      </w:r>
      <w:hyperlink r:id="rId14" w:history="1">
        <w:r w:rsidRPr="0095296E">
          <w:rPr>
            <w:rStyle w:val="Hyperlink"/>
          </w:rPr>
          <w:t>Бакинский план действий</w:t>
        </w:r>
      </w:hyperlink>
      <w:r w:rsidRPr="0095296E">
        <w:t xml:space="preserve"> (</w:t>
      </w:r>
      <w:r w:rsidR="003F1E66" w:rsidRPr="0095296E">
        <w:t>Б</w:t>
      </w:r>
      <w:r w:rsidRPr="0095296E">
        <w:t>ПД), определяющий направление работы Сектора развития МСЭ (МСЭ-D) до следующей ВКРЭ и намечающий путь цифрового развития, тесно увязанный с Планом действий Всемирной встречи на высшем уровне по вопросам информационного общества (ВВУИО), а также с Целями в области устойчивого развития (ЦУР), установленными Организацией Объединенных Наций на период до 2030 года.</w:t>
      </w:r>
      <w:hyperlink r:id="rId15" w:history="1"/>
    </w:p>
    <w:p w14:paraId="7997E2A0" w14:textId="1BC1DF53" w:rsidR="000318C5" w:rsidRPr="0095296E" w:rsidRDefault="000318C5" w:rsidP="00990801">
      <w:pPr>
        <w:rPr>
          <w:rFonts w:eastAsia="Calibri"/>
          <w:szCs w:val="24"/>
        </w:rPr>
      </w:pPr>
      <w:r w:rsidRPr="0095296E">
        <w:t>Общая стратегия выполнения БПД основана на следующих аспектах:</w:t>
      </w:r>
    </w:p>
    <w:p w14:paraId="52DE00EC" w14:textId="1FBF6F01" w:rsidR="000318C5" w:rsidRPr="0095296E" w:rsidRDefault="00990801" w:rsidP="00990801">
      <w:pPr>
        <w:pStyle w:val="enumlev1"/>
        <w:rPr>
          <w:rFonts w:eastAsia="Calibri"/>
          <w:szCs w:val="24"/>
        </w:rPr>
      </w:pPr>
      <w:r w:rsidRPr="0095296E">
        <w:t>−</w:t>
      </w:r>
      <w:r w:rsidRPr="0095296E">
        <w:tab/>
      </w:r>
      <w:r w:rsidR="000318C5" w:rsidRPr="0095296E">
        <w:t>согласованность и интеграция предусмотренных в Оперативном плане действий и намеченных результатов деятельности, конечных результатов по приоритетам МСЭ-D, проектов и региональных инициатив, Резолюций МСЭ-D, а также стратегических целей</w:t>
      </w:r>
      <w:r w:rsidRPr="0095296E">
        <w:t> </w:t>
      </w:r>
      <w:r w:rsidR="000318C5" w:rsidRPr="0095296E">
        <w:t>МСЭ;</w:t>
      </w:r>
    </w:p>
    <w:p w14:paraId="29D62DAF" w14:textId="47408CDE" w:rsidR="000318C5" w:rsidRPr="0095296E" w:rsidRDefault="00990801" w:rsidP="00990801">
      <w:pPr>
        <w:pStyle w:val="enumlev1"/>
        <w:rPr>
          <w:rFonts w:eastAsia="Calibri"/>
          <w:szCs w:val="24"/>
        </w:rPr>
      </w:pPr>
      <w:r w:rsidRPr="0095296E">
        <w:t>−</w:t>
      </w:r>
      <w:r w:rsidRPr="0095296E">
        <w:tab/>
      </w:r>
      <w:r w:rsidR="000318C5" w:rsidRPr="0095296E">
        <w:t>укрепление межфункционального и ориентированного на результаты сотрудничества между группами, включая региональные и зональные отделения, в целях повышения эффективности продуктов и услуг МСЭ-D и их воздействия для стран-бенефициаров, правительственных органов, национальных заинтересованных сторон и сообществ;</w:t>
      </w:r>
    </w:p>
    <w:p w14:paraId="18A36526" w14:textId="1268F8EB" w:rsidR="000318C5" w:rsidRPr="0095296E" w:rsidRDefault="00990801" w:rsidP="00990801">
      <w:pPr>
        <w:pStyle w:val="enumlev1"/>
        <w:rPr>
          <w:rFonts w:eastAsia="Calibri"/>
          <w:szCs w:val="24"/>
        </w:rPr>
      </w:pPr>
      <w:r w:rsidRPr="0095296E">
        <w:t>−</w:t>
      </w:r>
      <w:r w:rsidRPr="0095296E">
        <w:tab/>
      </w:r>
      <w:r w:rsidR="000318C5" w:rsidRPr="0095296E">
        <w:t>тесная синергия в процессе выполнения с Бюро радиосвязи (БР) МСЭ, Бюро стандартизации электросвязи (БСЭ) МСЭ и Генеральным секретариатом;</w:t>
      </w:r>
    </w:p>
    <w:p w14:paraId="4F6C1CB9" w14:textId="602201CC" w:rsidR="000318C5" w:rsidRPr="0095296E" w:rsidRDefault="00990801" w:rsidP="00990801">
      <w:pPr>
        <w:pStyle w:val="enumlev1"/>
        <w:rPr>
          <w:rFonts w:eastAsia="Calibri"/>
        </w:rPr>
      </w:pPr>
      <w:r w:rsidRPr="0095296E">
        <w:t>−</w:t>
      </w:r>
      <w:r w:rsidRPr="0095296E">
        <w:tab/>
      </w:r>
      <w:r w:rsidR="000318C5" w:rsidRPr="0095296E">
        <w:t>обеспечение в текущем цикле выполнения более тесной интеграции между реализацией проектов, мероприятиями в рамках ОП, региональными инициативами и усилиями партнеров, с тем чтобы обеспечить своевременное и эффективное достижение качественных намеченных результатов деятельности.</w:t>
      </w:r>
    </w:p>
    <w:p w14:paraId="0196CEB6" w14:textId="41A13997" w:rsidR="000318C5" w:rsidRPr="0095296E" w:rsidRDefault="000318C5" w:rsidP="00990801">
      <w:pPr>
        <w:pStyle w:val="Heading2"/>
        <w:rPr>
          <w:rFonts w:eastAsia="Calibri"/>
          <w:szCs w:val="24"/>
        </w:rPr>
      </w:pPr>
      <w:r w:rsidRPr="0095296E">
        <w:t>1.</w:t>
      </w:r>
      <w:r w:rsidR="004A5666" w:rsidRPr="0095296E">
        <w:t>1</w:t>
      </w:r>
      <w:r w:rsidR="00990801" w:rsidRPr="0095296E">
        <w:tab/>
      </w:r>
      <w:r w:rsidRPr="0095296E">
        <w:t>Разработка основы для Оперативного плана МСЭ-D на 2026 год (ОП-26)</w:t>
      </w:r>
    </w:p>
    <w:p w14:paraId="1184C601" w14:textId="2EB18D5C" w:rsidR="000318C5" w:rsidRPr="0095296E" w:rsidRDefault="000318C5" w:rsidP="00990801">
      <w:pPr>
        <w:rPr>
          <w:rFonts w:eastAsia="Calibri"/>
        </w:rPr>
      </w:pPr>
      <w:r w:rsidRPr="0095296E">
        <w:t xml:space="preserve">Оперативный план МСЭ-D на 2026 год соответствует структуре БПД и Стратегического плана Союза на </w:t>
      </w:r>
      <w:proofErr w:type="gramStart"/>
      <w:r w:rsidRPr="0095296E">
        <w:t>2024−2027</w:t>
      </w:r>
      <w:proofErr w:type="gramEnd"/>
      <w:r w:rsidRPr="0095296E">
        <w:t xml:space="preserve"> годы. В структуре БПД изложены приоритеты МСЭ-D</w:t>
      </w:r>
      <w:r w:rsidR="00C231B4" w:rsidRPr="0095296E">
        <w:t xml:space="preserve"> и</w:t>
      </w:r>
      <w:r w:rsidRPr="0095296E">
        <w:t xml:space="preserve"> соответствующие </w:t>
      </w:r>
      <w:r w:rsidR="00C231B4" w:rsidRPr="0095296E">
        <w:t xml:space="preserve">им </w:t>
      </w:r>
      <w:r w:rsidRPr="0095296E">
        <w:t xml:space="preserve">конечные результаты, </w:t>
      </w:r>
      <w:r w:rsidR="00C231B4" w:rsidRPr="0095296E">
        <w:t>средств</w:t>
      </w:r>
      <w:r w:rsidR="005E5E29" w:rsidRPr="0095296E">
        <w:t>о</w:t>
      </w:r>
      <w:r w:rsidR="00C231B4" w:rsidRPr="0095296E">
        <w:t xml:space="preserve"> достижения целей, </w:t>
      </w:r>
      <w:r w:rsidRPr="0095296E">
        <w:t xml:space="preserve">продукты и услуги МСЭ-D, а также показатели для измерения прогресса. После утверждения Советом бюджета МСЭ на </w:t>
      </w:r>
      <w:proofErr w:type="gramStart"/>
      <w:r w:rsidRPr="0095296E">
        <w:t>2027−2030</w:t>
      </w:r>
      <w:proofErr w:type="gramEnd"/>
      <w:r w:rsidRPr="0095296E">
        <w:t xml:space="preserve"> годы система воздействия для выполнения БПД и ОП-26 послужит основой для Оперативного плана МСЭ-D на </w:t>
      </w:r>
      <w:proofErr w:type="gramStart"/>
      <w:r w:rsidRPr="0095296E">
        <w:t>2026−2029</w:t>
      </w:r>
      <w:proofErr w:type="gramEnd"/>
      <w:r w:rsidRPr="0095296E">
        <w:t xml:space="preserve"> годы.</w:t>
      </w:r>
    </w:p>
    <w:p w14:paraId="2DACDC72" w14:textId="108A3EE3" w:rsidR="000318C5" w:rsidRPr="0095296E" w:rsidRDefault="000318C5" w:rsidP="00990801">
      <w:pPr>
        <w:rPr>
          <w:rFonts w:eastAsia="Calibri"/>
        </w:rPr>
      </w:pPr>
      <w:r w:rsidRPr="0095296E">
        <w:t>Процесс планирования ОП-26 заключался в определении рамочных принципов для начала действий, обеспечении согласованности с БПД и общей внутренней согласованности (</w:t>
      </w:r>
      <w:r w:rsidR="00E45F67" w:rsidRPr="0095296E">
        <w:t xml:space="preserve">Рисунок </w:t>
      </w:r>
      <w:r w:rsidRPr="0095296E">
        <w:t>1). По</w:t>
      </w:r>
      <w:r w:rsidR="00E45F67" w:rsidRPr="0095296E">
        <w:t> </w:t>
      </w:r>
      <w:r w:rsidRPr="0095296E">
        <w:t>предложенным действиям были проведены подробные консультации с Государствами-Членами, и они согласованы с приоритетами каждого региона.</w:t>
      </w:r>
    </w:p>
    <w:p w14:paraId="2F7713A3" w14:textId="77777777" w:rsidR="00E45F67" w:rsidRPr="0095296E" w:rsidRDefault="000318C5" w:rsidP="00E45F67">
      <w:pPr>
        <w:pStyle w:val="FigureNo"/>
      </w:pPr>
      <w:r w:rsidRPr="0095296E">
        <w:lastRenderedPageBreak/>
        <w:t>Рисунок 1</w:t>
      </w:r>
      <w:bookmarkStart w:id="8" w:name="_Hlk225774996"/>
    </w:p>
    <w:p w14:paraId="5B91DCB6" w14:textId="0D9530A0" w:rsidR="000318C5" w:rsidRPr="0095296E" w:rsidRDefault="000318C5" w:rsidP="00E45F67">
      <w:pPr>
        <w:pStyle w:val="Figuretitle"/>
        <w:rPr>
          <w:szCs w:val="24"/>
        </w:rPr>
      </w:pPr>
      <w:r w:rsidRPr="0095296E">
        <w:t xml:space="preserve">Составление оперативного плана на 2026 год: конечные результаты, </w:t>
      </w:r>
      <w:r w:rsidR="00E45F67" w:rsidRPr="0095296E">
        <w:br/>
      </w:r>
      <w:r w:rsidRPr="0095296E">
        <w:t>намеченные результаты деятельности и действия</w:t>
      </w:r>
      <w:bookmarkEnd w:id="8"/>
    </w:p>
    <w:p w14:paraId="490E9649" w14:textId="6D8E53C6" w:rsidR="00E039C7" w:rsidRPr="0095296E" w:rsidRDefault="00341092" w:rsidP="00341092">
      <w:pPr>
        <w:pStyle w:val="Figure"/>
      </w:pPr>
      <w:r w:rsidRPr="0095296E">
        <w:drawing>
          <wp:inline distT="0" distB="0" distL="0" distR="0" wp14:anchorId="5A02AC0E" wp14:editId="26D8DD48">
            <wp:extent cx="5066030" cy="1871345"/>
            <wp:effectExtent l="0" t="0" r="1270" b="0"/>
            <wp:docPr id="14061516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6030" cy="1871345"/>
                    </a:xfrm>
                    <a:prstGeom prst="rect">
                      <a:avLst/>
                    </a:prstGeom>
                    <a:noFill/>
                  </pic:spPr>
                </pic:pic>
              </a:graphicData>
            </a:graphic>
          </wp:inline>
        </w:drawing>
      </w:r>
    </w:p>
    <w:p w14:paraId="2B14C0BE" w14:textId="7B527F4A" w:rsidR="000318C5" w:rsidRPr="0095296E" w:rsidRDefault="000318C5" w:rsidP="00341092">
      <w:pPr>
        <w:spacing w:before="240"/>
        <w:rPr>
          <w:rFonts w:eastAsia="Calibri"/>
        </w:rPr>
      </w:pPr>
      <w:r w:rsidRPr="0095296E">
        <w:t>Согласно БПД, с учетом опыта выполнения Кигалийского плана действий и для обеспечения непрерывности предоставления услуг членам МСЭ, в рамках ОП-26 разрабатываются действия для достижения намеченных результатов деятельности и соответствующие поддающиеся измерению показатели, согласованные с конечными результатами по приоритетам МСЭ-D. Новые рамки выполнения, основанные на принципах управления, ориентированного на результаты (УОР), позволят осуществлять надлежащий мониторинг и оценку достижения конечных результатов по приоритетам МСЭ-D.</w:t>
      </w:r>
    </w:p>
    <w:p w14:paraId="5632F7E3" w14:textId="5D933D41" w:rsidR="000318C5" w:rsidRPr="0095296E" w:rsidRDefault="00E45F67" w:rsidP="00E45F67">
      <w:pPr>
        <w:pStyle w:val="Heading1"/>
        <w:rPr>
          <w:rFonts w:eastAsia="Calibri"/>
          <w:szCs w:val="24"/>
        </w:rPr>
      </w:pPr>
      <w:r w:rsidRPr="0095296E">
        <w:t>2</w:t>
      </w:r>
      <w:r w:rsidRPr="0095296E">
        <w:tab/>
      </w:r>
      <w:r w:rsidR="000318C5" w:rsidRPr="0095296E">
        <w:t xml:space="preserve">Цикл выполнения </w:t>
      </w:r>
      <w:proofErr w:type="gramStart"/>
      <w:r w:rsidR="000318C5" w:rsidRPr="0095296E">
        <w:t>2026−2029</w:t>
      </w:r>
      <w:proofErr w:type="gramEnd"/>
      <w:r w:rsidR="000318C5" w:rsidRPr="0095296E">
        <w:t xml:space="preserve"> годов: распределение ресурсов в</w:t>
      </w:r>
      <w:r w:rsidR="00341092" w:rsidRPr="0095296E">
        <w:t> </w:t>
      </w:r>
      <w:r w:rsidR="000318C5" w:rsidRPr="0095296E">
        <w:t>рамках</w:t>
      </w:r>
      <w:r w:rsidR="00341092" w:rsidRPr="0095296E">
        <w:t> </w:t>
      </w:r>
      <w:r w:rsidR="000318C5" w:rsidRPr="0095296E">
        <w:t>ОП-26</w:t>
      </w:r>
    </w:p>
    <w:p w14:paraId="7C5CA883" w14:textId="6DD5A045" w:rsidR="000318C5" w:rsidRPr="0095296E" w:rsidRDefault="000318C5" w:rsidP="00E45F67">
      <w:pPr>
        <w:pStyle w:val="Heading2"/>
        <w:rPr>
          <w:rFonts w:eastAsia="Calibri"/>
          <w:szCs w:val="24"/>
        </w:rPr>
      </w:pPr>
      <w:r w:rsidRPr="0095296E">
        <w:t>2.1</w:t>
      </w:r>
      <w:r w:rsidRPr="0095296E">
        <w:tab/>
        <w:t>Общее распределение средств для выполнения ОП-26</w:t>
      </w:r>
    </w:p>
    <w:p w14:paraId="09B99CC2" w14:textId="06941616" w:rsidR="000318C5" w:rsidRPr="0095296E" w:rsidRDefault="000318C5" w:rsidP="00E45F67">
      <w:r w:rsidRPr="0095296E">
        <w:t>С учетом новой структуры БПД и уроков, извлеченных из выполнения Кигалийского плана действий, распределение средств в рамках ОП-26 (</w:t>
      </w:r>
      <w:r w:rsidR="005500A6" w:rsidRPr="0095296E">
        <w:t xml:space="preserve">Таблица </w:t>
      </w:r>
      <w:r w:rsidRPr="0095296E">
        <w:t>1) было определено в ходе внутренних консультаций между штаб-квартирой и региональными и зональными отделениями и консультаций с</w:t>
      </w:r>
      <w:r w:rsidR="00341092" w:rsidRPr="0095296E">
        <w:t> </w:t>
      </w:r>
      <w:r w:rsidRPr="0095296E">
        <w:t>Государствами-Членами, а также согласовано с приоритетами каждого региона.</w:t>
      </w:r>
    </w:p>
    <w:p w14:paraId="30BF78FF" w14:textId="579FA8D0" w:rsidR="000318C5" w:rsidRPr="0095296E" w:rsidRDefault="000318C5" w:rsidP="00E45F67">
      <w:pPr>
        <w:rPr>
          <w:rFonts w:eastAsia="Calibri"/>
        </w:rPr>
      </w:pPr>
      <w:r w:rsidRPr="0095296E">
        <w:t xml:space="preserve">Важно отметить, что приведенные ниже цифры представляют собой исключительно средства, имеющиеся в распоряжении для действий в рамках ОП-26 и внешних услуг. Некоторые продукты и услуги МСЭ-D предоставляются внутренним персоналом без дополнительных затрат и поэтому не отражены в </w:t>
      </w:r>
      <w:r w:rsidR="005500A6" w:rsidRPr="0095296E">
        <w:t xml:space="preserve">Таблице </w:t>
      </w:r>
      <w:r w:rsidRPr="0095296E">
        <w:t>1.</w:t>
      </w:r>
    </w:p>
    <w:p w14:paraId="678C6F8F" w14:textId="77777777" w:rsidR="002B3A4F" w:rsidRPr="0095296E" w:rsidRDefault="002B3A4F">
      <w:pPr>
        <w:tabs>
          <w:tab w:val="clear" w:pos="1134"/>
          <w:tab w:val="clear" w:pos="1871"/>
          <w:tab w:val="clear" w:pos="2268"/>
        </w:tabs>
        <w:overflowPunct/>
        <w:autoSpaceDE/>
        <w:autoSpaceDN/>
        <w:adjustRightInd/>
        <w:spacing w:before="0"/>
        <w:textAlignment w:val="auto"/>
        <w:rPr>
          <w:caps/>
          <w:sz w:val="20"/>
        </w:rPr>
      </w:pPr>
      <w:r w:rsidRPr="0095296E">
        <w:br w:type="page"/>
      </w:r>
    </w:p>
    <w:p w14:paraId="36E202DE" w14:textId="2C983DED" w:rsidR="00E45F67" w:rsidRPr="0095296E" w:rsidRDefault="000318C5" w:rsidP="00E45F67">
      <w:pPr>
        <w:pStyle w:val="TableNo"/>
      </w:pPr>
      <w:r w:rsidRPr="0095296E">
        <w:lastRenderedPageBreak/>
        <w:t>Таблица 1</w:t>
      </w:r>
    </w:p>
    <w:p w14:paraId="3C91A328" w14:textId="4D043E97" w:rsidR="000318C5" w:rsidRPr="0095296E" w:rsidRDefault="000318C5" w:rsidP="00E45F67">
      <w:pPr>
        <w:pStyle w:val="Tabletitle"/>
        <w:rPr>
          <w:rFonts w:eastAsia="Calibri"/>
          <w:szCs w:val="24"/>
        </w:rPr>
      </w:pPr>
      <w:r w:rsidRPr="0095296E">
        <w:t>Распределение средств, выделенных в рамках ОП-26, по приоритетам МСЭ-D</w:t>
      </w:r>
    </w:p>
    <w:tbl>
      <w:tblPr>
        <w:tblW w:w="5008" w:type="pct"/>
        <w:tblInd w:w="-3" w:type="dxa"/>
        <w:tblLayout w:type="fixed"/>
        <w:tblLook w:val="04A0" w:firstRow="1" w:lastRow="0" w:firstColumn="1" w:lastColumn="0" w:noHBand="0" w:noVBand="1"/>
      </w:tblPr>
      <w:tblGrid>
        <w:gridCol w:w="6717"/>
        <w:gridCol w:w="1666"/>
        <w:gridCol w:w="1260"/>
      </w:tblGrid>
      <w:tr w:rsidR="00341092" w:rsidRPr="0095296E" w14:paraId="224BDEE5" w14:textId="77777777" w:rsidTr="002B3A4F">
        <w:tc>
          <w:tcPr>
            <w:tcW w:w="6717" w:type="dxa"/>
            <w:tcBorders>
              <w:top w:val="single" w:sz="4" w:space="0" w:color="4D93D9"/>
              <w:left w:val="single" w:sz="4" w:space="0" w:color="4D93D9"/>
              <w:bottom w:val="single" w:sz="4" w:space="0" w:color="4D93D9"/>
              <w:right w:val="single" w:sz="4" w:space="0" w:color="4D93D9"/>
            </w:tcBorders>
            <w:shd w:val="clear" w:color="auto" w:fill="156082"/>
            <w:noWrap/>
            <w:vAlign w:val="center"/>
            <w:hideMark/>
          </w:tcPr>
          <w:p w14:paraId="5E304826" w14:textId="3237465B" w:rsidR="00341092" w:rsidRPr="0095296E" w:rsidRDefault="00341092" w:rsidP="00341092">
            <w:pPr>
              <w:pStyle w:val="Tablehead"/>
              <w:rPr>
                <w:color w:val="FFFFFF" w:themeColor="background1"/>
                <w:sz w:val="18"/>
                <w:szCs w:val="18"/>
              </w:rPr>
            </w:pPr>
            <w:r w:rsidRPr="0095296E">
              <w:rPr>
                <w:color w:val="FFFFFF" w:themeColor="background1"/>
                <w:sz w:val="18"/>
                <w:szCs w:val="18"/>
              </w:rPr>
              <w:t xml:space="preserve">Приоритеты </w:t>
            </w:r>
            <w:r w:rsidR="00C231B4" w:rsidRPr="0095296E">
              <w:rPr>
                <w:color w:val="FFFFFF" w:themeColor="background1"/>
                <w:sz w:val="18"/>
                <w:szCs w:val="18"/>
              </w:rPr>
              <w:t xml:space="preserve">МСЭ-D </w:t>
            </w:r>
            <w:r w:rsidRPr="0095296E">
              <w:rPr>
                <w:color w:val="FFFFFF" w:themeColor="background1"/>
                <w:sz w:val="18"/>
                <w:szCs w:val="18"/>
              </w:rPr>
              <w:t>и средств</w:t>
            </w:r>
            <w:r w:rsidR="00C231B4" w:rsidRPr="0095296E">
              <w:rPr>
                <w:color w:val="FFFFFF" w:themeColor="background1"/>
                <w:sz w:val="18"/>
                <w:szCs w:val="18"/>
              </w:rPr>
              <w:t>о</w:t>
            </w:r>
            <w:r w:rsidRPr="0095296E">
              <w:rPr>
                <w:color w:val="FFFFFF" w:themeColor="background1"/>
                <w:sz w:val="18"/>
                <w:szCs w:val="18"/>
              </w:rPr>
              <w:t xml:space="preserve"> достижения целей</w:t>
            </w:r>
          </w:p>
        </w:tc>
        <w:tc>
          <w:tcPr>
            <w:tcW w:w="1666" w:type="dxa"/>
            <w:tcBorders>
              <w:top w:val="single" w:sz="4" w:space="0" w:color="4D93D9"/>
              <w:left w:val="single" w:sz="4" w:space="0" w:color="4D93D9"/>
              <w:bottom w:val="single" w:sz="4" w:space="0" w:color="4D93D9"/>
              <w:right w:val="single" w:sz="4" w:space="0" w:color="4D93D9"/>
            </w:tcBorders>
            <w:shd w:val="clear" w:color="auto" w:fill="156082"/>
            <w:noWrap/>
            <w:vAlign w:val="center"/>
            <w:hideMark/>
          </w:tcPr>
          <w:p w14:paraId="7D4CC121" w14:textId="77777777" w:rsidR="00341092" w:rsidRPr="0095296E" w:rsidRDefault="00341092" w:rsidP="00341092">
            <w:pPr>
              <w:pStyle w:val="Tablehead"/>
              <w:rPr>
                <w:color w:val="FFFFFF" w:themeColor="background1"/>
                <w:sz w:val="18"/>
                <w:szCs w:val="18"/>
              </w:rPr>
            </w:pPr>
            <w:r w:rsidRPr="0095296E">
              <w:rPr>
                <w:color w:val="FFFFFF" w:themeColor="background1"/>
                <w:sz w:val="18"/>
                <w:szCs w:val="18"/>
              </w:rPr>
              <w:t>Бюджет на 2026 г. (шв. фр.)</w:t>
            </w:r>
          </w:p>
        </w:tc>
        <w:tc>
          <w:tcPr>
            <w:tcW w:w="1260" w:type="dxa"/>
            <w:tcBorders>
              <w:top w:val="single" w:sz="4" w:space="0" w:color="4D93D9"/>
              <w:left w:val="single" w:sz="4" w:space="0" w:color="4D93D9"/>
              <w:bottom w:val="single" w:sz="4" w:space="0" w:color="4D93D9"/>
              <w:right w:val="single" w:sz="4" w:space="0" w:color="4D93D9"/>
            </w:tcBorders>
            <w:shd w:val="clear" w:color="auto" w:fill="156082"/>
            <w:noWrap/>
            <w:vAlign w:val="center"/>
            <w:hideMark/>
          </w:tcPr>
          <w:p w14:paraId="0499FB57" w14:textId="7D76E093" w:rsidR="00341092" w:rsidRPr="0095296E" w:rsidRDefault="00341092" w:rsidP="00341092">
            <w:pPr>
              <w:pStyle w:val="Tablehead"/>
              <w:rPr>
                <w:color w:val="FFFFFF" w:themeColor="background1"/>
                <w:sz w:val="18"/>
                <w:szCs w:val="18"/>
              </w:rPr>
            </w:pPr>
            <w:r w:rsidRPr="0095296E">
              <w:rPr>
                <w:color w:val="FFFFFF" w:themeColor="background1"/>
                <w:sz w:val="18"/>
                <w:szCs w:val="18"/>
              </w:rPr>
              <w:t xml:space="preserve">Процент </w:t>
            </w:r>
            <w:r w:rsidRPr="0095296E">
              <w:rPr>
                <w:color w:val="FFFFFF" w:themeColor="background1"/>
                <w:sz w:val="18"/>
                <w:szCs w:val="18"/>
              </w:rPr>
              <w:br/>
              <w:t>от бюджета</w:t>
            </w:r>
          </w:p>
        </w:tc>
      </w:tr>
      <w:tr w:rsidR="00C231B4" w:rsidRPr="0095296E" w14:paraId="22D86DE7" w14:textId="77777777" w:rsidTr="002B3A4F">
        <w:tc>
          <w:tcPr>
            <w:tcW w:w="6717" w:type="dxa"/>
            <w:tcBorders>
              <w:top w:val="single" w:sz="4" w:space="0" w:color="4D93D9"/>
              <w:left w:val="single" w:sz="4" w:space="0" w:color="4D93D9"/>
              <w:bottom w:val="single" w:sz="4" w:space="0" w:color="4D93D9"/>
              <w:right w:val="single" w:sz="4" w:space="0" w:color="4D93D9"/>
            </w:tcBorders>
            <w:shd w:val="clear" w:color="auto" w:fill="C0E6F5"/>
            <w:vAlign w:val="center"/>
            <w:hideMark/>
          </w:tcPr>
          <w:p w14:paraId="53B2CA10" w14:textId="3DC41B51" w:rsidR="00C231B4" w:rsidRPr="0095296E" w:rsidRDefault="00C231B4" w:rsidP="00C231B4">
            <w:pPr>
              <w:pStyle w:val="Tabletext"/>
              <w:rPr>
                <w:sz w:val="18"/>
                <w:szCs w:val="18"/>
              </w:rPr>
            </w:pPr>
            <w:r w:rsidRPr="0095296E">
              <w:rPr>
                <w:b/>
                <w:bCs/>
                <w:sz w:val="18"/>
                <w:szCs w:val="18"/>
                <w:lang w:eastAsia="en-GB"/>
              </w:rPr>
              <w:t xml:space="preserve">P1 − Возможность установления приемлемых в ценовом отношении соединений </w:t>
            </w:r>
            <w:r w:rsidRPr="0095296E">
              <w:rPr>
                <w:sz w:val="18"/>
                <w:szCs w:val="18"/>
                <w:lang w:eastAsia="en-GB"/>
              </w:rPr>
              <w:br/>
            </w:r>
            <w:r w:rsidR="005E5E29" w:rsidRPr="0095296E">
              <w:rPr>
                <w:sz w:val="18"/>
                <w:szCs w:val="18"/>
                <w:lang w:eastAsia="en-GB"/>
              </w:rPr>
              <w:t xml:space="preserve">(в </w:t>
            </w:r>
            <w:r w:rsidR="00566FF6" w:rsidRPr="0095296E">
              <w:rPr>
                <w:sz w:val="18"/>
                <w:szCs w:val="18"/>
                <w:lang w:eastAsia="en-GB"/>
              </w:rPr>
              <w:t xml:space="preserve">т. ч. </w:t>
            </w:r>
            <w:r w:rsidR="005E5E29" w:rsidRPr="0095296E">
              <w:rPr>
                <w:sz w:val="18"/>
                <w:szCs w:val="18"/>
                <w:lang w:eastAsia="en-GB"/>
              </w:rPr>
              <w:t>сети и цифровая инфраструктура, электросвязь в чрезвычайных ситуациях)</w:t>
            </w:r>
          </w:p>
        </w:tc>
        <w:tc>
          <w:tcPr>
            <w:tcW w:w="1666"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0CFE9D9C" w14:textId="3407BD5E" w:rsidR="00C231B4" w:rsidRPr="0095296E" w:rsidRDefault="00C231B4" w:rsidP="00C231B4">
            <w:pPr>
              <w:pStyle w:val="Tabletext"/>
              <w:ind w:right="170"/>
              <w:jc w:val="right"/>
              <w:rPr>
                <w:sz w:val="18"/>
                <w:szCs w:val="18"/>
              </w:rPr>
            </w:pPr>
            <w:r w:rsidRPr="0095296E">
              <w:rPr>
                <w:sz w:val="18"/>
                <w:szCs w:val="18"/>
              </w:rPr>
              <w:t>552 000</w:t>
            </w:r>
          </w:p>
        </w:tc>
        <w:tc>
          <w:tcPr>
            <w:tcW w:w="126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1EF11C53" w14:textId="06DE35EA" w:rsidR="00C231B4" w:rsidRPr="0095296E" w:rsidRDefault="00C231B4" w:rsidP="00C231B4">
            <w:pPr>
              <w:pStyle w:val="Tabletext"/>
              <w:ind w:right="170"/>
              <w:jc w:val="right"/>
              <w:rPr>
                <w:sz w:val="18"/>
                <w:szCs w:val="18"/>
              </w:rPr>
            </w:pPr>
            <w:r w:rsidRPr="0095296E">
              <w:rPr>
                <w:sz w:val="18"/>
                <w:szCs w:val="18"/>
              </w:rPr>
              <w:t>14,48%</w:t>
            </w:r>
          </w:p>
        </w:tc>
      </w:tr>
      <w:tr w:rsidR="00C231B4" w:rsidRPr="0095296E" w14:paraId="6D6AF936" w14:textId="77777777" w:rsidTr="002B3A4F">
        <w:tc>
          <w:tcPr>
            <w:tcW w:w="6717" w:type="dxa"/>
            <w:tcBorders>
              <w:top w:val="single" w:sz="4" w:space="0" w:color="4D93D9"/>
              <w:left w:val="single" w:sz="4" w:space="0" w:color="4D93D9"/>
              <w:bottom w:val="single" w:sz="4" w:space="0" w:color="4D93D9"/>
              <w:right w:val="single" w:sz="4" w:space="0" w:color="4D93D9"/>
            </w:tcBorders>
            <w:vAlign w:val="bottom"/>
            <w:hideMark/>
          </w:tcPr>
          <w:p w14:paraId="63FCF0E9" w14:textId="1DCAB1AA" w:rsidR="00C231B4" w:rsidRPr="0095296E" w:rsidRDefault="00C231B4" w:rsidP="00C231B4">
            <w:pPr>
              <w:pStyle w:val="Tabletext"/>
              <w:rPr>
                <w:sz w:val="18"/>
                <w:szCs w:val="18"/>
              </w:rPr>
            </w:pPr>
            <w:r w:rsidRPr="0095296E">
              <w:rPr>
                <w:b/>
                <w:bCs/>
                <w:sz w:val="18"/>
                <w:szCs w:val="18"/>
                <w:lang w:eastAsia="en-GB"/>
              </w:rPr>
              <w:t>P2 – Цифровая трансформация</w:t>
            </w:r>
            <w:r w:rsidRPr="0095296E">
              <w:rPr>
                <w:sz w:val="18"/>
                <w:szCs w:val="18"/>
                <w:lang w:eastAsia="en-GB"/>
              </w:rPr>
              <w:br/>
            </w:r>
            <w:r w:rsidR="005E5E29" w:rsidRPr="0095296E">
              <w:rPr>
                <w:sz w:val="18"/>
                <w:szCs w:val="18"/>
                <w:lang w:eastAsia="en-GB"/>
              </w:rPr>
              <w:t xml:space="preserve">(в </w:t>
            </w:r>
            <w:r w:rsidR="00566FF6" w:rsidRPr="0095296E">
              <w:rPr>
                <w:sz w:val="18"/>
                <w:szCs w:val="18"/>
                <w:lang w:eastAsia="en-GB"/>
              </w:rPr>
              <w:t xml:space="preserve">т. ч. </w:t>
            </w:r>
            <w:r w:rsidR="005E5E29" w:rsidRPr="0095296E">
              <w:rPr>
                <w:sz w:val="18"/>
                <w:szCs w:val="18"/>
                <w:lang w:eastAsia="en-GB"/>
              </w:rPr>
              <w:t>цифровые услуги и приложения, экосистема цифровых инноваций, приверженность экологической устойчивости)</w:t>
            </w:r>
          </w:p>
        </w:tc>
        <w:tc>
          <w:tcPr>
            <w:tcW w:w="1666" w:type="dxa"/>
            <w:tcBorders>
              <w:top w:val="single" w:sz="4" w:space="0" w:color="44B3E1"/>
              <w:left w:val="nil"/>
              <w:bottom w:val="single" w:sz="4" w:space="0" w:color="44B3E1"/>
              <w:right w:val="nil"/>
            </w:tcBorders>
            <w:noWrap/>
            <w:hideMark/>
          </w:tcPr>
          <w:p w14:paraId="79B30B1C" w14:textId="0EB73CE5" w:rsidR="00C231B4" w:rsidRPr="0095296E" w:rsidRDefault="00C231B4" w:rsidP="00C231B4">
            <w:pPr>
              <w:pStyle w:val="Tabletext"/>
              <w:ind w:right="170"/>
              <w:jc w:val="right"/>
              <w:rPr>
                <w:sz w:val="18"/>
                <w:szCs w:val="18"/>
              </w:rPr>
            </w:pPr>
            <w:r w:rsidRPr="0095296E">
              <w:rPr>
                <w:sz w:val="18"/>
                <w:szCs w:val="18"/>
              </w:rPr>
              <w:t>899 500</w:t>
            </w:r>
          </w:p>
        </w:tc>
        <w:tc>
          <w:tcPr>
            <w:tcW w:w="1260" w:type="dxa"/>
            <w:tcBorders>
              <w:top w:val="single" w:sz="4" w:space="0" w:color="4D93D9"/>
              <w:left w:val="single" w:sz="4" w:space="0" w:color="4D93D9"/>
              <w:bottom w:val="single" w:sz="4" w:space="0" w:color="4D93D9"/>
              <w:right w:val="single" w:sz="4" w:space="0" w:color="4D93D9"/>
            </w:tcBorders>
            <w:noWrap/>
            <w:hideMark/>
          </w:tcPr>
          <w:p w14:paraId="64BE23A9" w14:textId="10A0AEEA" w:rsidR="00C231B4" w:rsidRPr="0095296E" w:rsidRDefault="00C231B4" w:rsidP="00C231B4">
            <w:pPr>
              <w:pStyle w:val="Tabletext"/>
              <w:ind w:right="170"/>
              <w:jc w:val="right"/>
              <w:rPr>
                <w:sz w:val="18"/>
                <w:szCs w:val="18"/>
              </w:rPr>
            </w:pPr>
            <w:r w:rsidRPr="0095296E">
              <w:rPr>
                <w:sz w:val="18"/>
                <w:szCs w:val="18"/>
              </w:rPr>
              <w:t>23,59%</w:t>
            </w:r>
          </w:p>
        </w:tc>
      </w:tr>
      <w:tr w:rsidR="00C231B4" w:rsidRPr="0095296E" w14:paraId="58652AC8" w14:textId="77777777" w:rsidTr="002B3A4F">
        <w:tc>
          <w:tcPr>
            <w:tcW w:w="6717" w:type="dxa"/>
            <w:tcBorders>
              <w:top w:val="single" w:sz="4" w:space="0" w:color="4D93D9"/>
              <w:left w:val="single" w:sz="4" w:space="0" w:color="4D93D9"/>
              <w:bottom w:val="single" w:sz="4" w:space="0" w:color="4D93D9"/>
              <w:right w:val="single" w:sz="4" w:space="0" w:color="4D93D9"/>
            </w:tcBorders>
            <w:shd w:val="clear" w:color="auto" w:fill="C0E6F5"/>
            <w:vAlign w:val="bottom"/>
            <w:hideMark/>
          </w:tcPr>
          <w:p w14:paraId="3BE77F42" w14:textId="47A958D7" w:rsidR="00C231B4" w:rsidRPr="0095296E" w:rsidRDefault="00C231B4" w:rsidP="00C231B4">
            <w:pPr>
              <w:pStyle w:val="Tabletext"/>
              <w:rPr>
                <w:sz w:val="18"/>
                <w:szCs w:val="18"/>
              </w:rPr>
            </w:pPr>
            <w:r w:rsidRPr="0095296E">
              <w:rPr>
                <w:b/>
                <w:bCs/>
                <w:sz w:val="18"/>
                <w:szCs w:val="18"/>
                <w:lang w:eastAsia="en-GB"/>
              </w:rPr>
              <w:t xml:space="preserve">P3 − Благоприятная политическая и регуляторная среда </w:t>
            </w:r>
            <w:r w:rsidRPr="0095296E">
              <w:rPr>
                <w:sz w:val="18"/>
                <w:szCs w:val="18"/>
                <w:lang w:eastAsia="en-GB"/>
              </w:rPr>
              <w:br/>
            </w:r>
            <w:r w:rsidR="005E5E29" w:rsidRPr="0095296E">
              <w:rPr>
                <w:sz w:val="18"/>
                <w:szCs w:val="18"/>
                <w:lang w:eastAsia="en-GB"/>
              </w:rPr>
              <w:t xml:space="preserve">(в </w:t>
            </w:r>
            <w:r w:rsidR="00566FF6" w:rsidRPr="0095296E">
              <w:rPr>
                <w:sz w:val="18"/>
                <w:szCs w:val="18"/>
                <w:lang w:eastAsia="en-GB"/>
              </w:rPr>
              <w:t xml:space="preserve">т. ч. </w:t>
            </w:r>
            <w:r w:rsidR="005E5E29" w:rsidRPr="0095296E">
              <w:rPr>
                <w:sz w:val="18"/>
                <w:szCs w:val="18"/>
                <w:lang w:eastAsia="en-GB"/>
              </w:rPr>
              <w:t>развитие потенциала, предоставление данных и статистических показателей, политика и регулирование)</w:t>
            </w:r>
          </w:p>
        </w:tc>
        <w:tc>
          <w:tcPr>
            <w:tcW w:w="1666" w:type="dxa"/>
            <w:tcBorders>
              <w:top w:val="single" w:sz="4" w:space="0" w:color="44B3E1"/>
              <w:left w:val="nil"/>
              <w:bottom w:val="single" w:sz="4" w:space="0" w:color="44B3E1"/>
              <w:right w:val="nil"/>
            </w:tcBorders>
            <w:shd w:val="clear" w:color="auto" w:fill="C0E6F5"/>
            <w:noWrap/>
            <w:hideMark/>
          </w:tcPr>
          <w:p w14:paraId="3B09DD85" w14:textId="14F0A48C" w:rsidR="00C231B4" w:rsidRPr="0095296E" w:rsidRDefault="00C231B4" w:rsidP="00C231B4">
            <w:pPr>
              <w:pStyle w:val="Tabletext"/>
              <w:ind w:right="170"/>
              <w:jc w:val="right"/>
              <w:rPr>
                <w:sz w:val="18"/>
                <w:szCs w:val="18"/>
              </w:rPr>
            </w:pPr>
            <w:r w:rsidRPr="0095296E">
              <w:rPr>
                <w:sz w:val="18"/>
                <w:szCs w:val="18"/>
              </w:rPr>
              <w:t>725 000</w:t>
            </w:r>
          </w:p>
        </w:tc>
        <w:tc>
          <w:tcPr>
            <w:tcW w:w="126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0484094B" w14:textId="6D879F64" w:rsidR="00C231B4" w:rsidRPr="0095296E" w:rsidRDefault="00C231B4" w:rsidP="00C231B4">
            <w:pPr>
              <w:pStyle w:val="Tabletext"/>
              <w:ind w:right="170"/>
              <w:jc w:val="right"/>
              <w:rPr>
                <w:sz w:val="18"/>
                <w:szCs w:val="18"/>
              </w:rPr>
            </w:pPr>
            <w:r w:rsidRPr="0095296E">
              <w:rPr>
                <w:sz w:val="18"/>
                <w:szCs w:val="18"/>
              </w:rPr>
              <w:t>19,01%</w:t>
            </w:r>
          </w:p>
        </w:tc>
      </w:tr>
      <w:tr w:rsidR="00C231B4" w:rsidRPr="0095296E" w14:paraId="2777C5DD" w14:textId="77777777" w:rsidTr="002B3A4F">
        <w:tc>
          <w:tcPr>
            <w:tcW w:w="6717" w:type="dxa"/>
            <w:tcBorders>
              <w:top w:val="single" w:sz="4" w:space="0" w:color="4D93D9"/>
              <w:left w:val="single" w:sz="4" w:space="0" w:color="4D93D9"/>
              <w:bottom w:val="single" w:sz="4" w:space="0" w:color="4D93D9"/>
              <w:right w:val="single" w:sz="4" w:space="0" w:color="4D93D9"/>
            </w:tcBorders>
            <w:vAlign w:val="bottom"/>
            <w:hideMark/>
          </w:tcPr>
          <w:p w14:paraId="3C271EC3" w14:textId="2A7F0E53" w:rsidR="00C231B4" w:rsidRPr="0095296E" w:rsidRDefault="00C231B4" w:rsidP="00C231B4">
            <w:pPr>
              <w:pStyle w:val="Tabletext"/>
              <w:rPr>
                <w:sz w:val="18"/>
                <w:szCs w:val="18"/>
              </w:rPr>
            </w:pPr>
            <w:r w:rsidRPr="0095296E">
              <w:rPr>
                <w:b/>
                <w:bCs/>
                <w:sz w:val="18"/>
                <w:szCs w:val="18"/>
                <w:lang w:eastAsia="en-GB"/>
              </w:rPr>
              <w:t xml:space="preserve">P4 − Мобилизация ресурсов, партнерские отношения и международное сотрудничество </w:t>
            </w:r>
            <w:r w:rsidRPr="0095296E">
              <w:rPr>
                <w:sz w:val="18"/>
                <w:szCs w:val="18"/>
                <w:lang w:eastAsia="en-GB"/>
              </w:rPr>
              <w:br/>
              <w:t>(сквозной)</w:t>
            </w:r>
          </w:p>
        </w:tc>
        <w:tc>
          <w:tcPr>
            <w:tcW w:w="1666" w:type="dxa"/>
            <w:tcBorders>
              <w:top w:val="single" w:sz="4" w:space="0" w:color="4D93D9"/>
              <w:left w:val="single" w:sz="4" w:space="0" w:color="4D93D9"/>
              <w:bottom w:val="single" w:sz="4" w:space="0" w:color="4D93D9"/>
              <w:right w:val="single" w:sz="4" w:space="0" w:color="4D93D9"/>
            </w:tcBorders>
            <w:noWrap/>
            <w:hideMark/>
          </w:tcPr>
          <w:p w14:paraId="43D3EC17" w14:textId="5D280F6D" w:rsidR="00C231B4" w:rsidRPr="0095296E" w:rsidRDefault="00C231B4" w:rsidP="00C231B4">
            <w:pPr>
              <w:pStyle w:val="Tabletext"/>
              <w:ind w:right="170"/>
              <w:jc w:val="right"/>
              <w:rPr>
                <w:sz w:val="18"/>
                <w:szCs w:val="18"/>
              </w:rPr>
            </w:pPr>
            <w:r w:rsidRPr="0095296E">
              <w:rPr>
                <w:sz w:val="18"/>
                <w:szCs w:val="18"/>
              </w:rPr>
              <w:t>319 385</w:t>
            </w:r>
          </w:p>
        </w:tc>
        <w:tc>
          <w:tcPr>
            <w:tcW w:w="1260" w:type="dxa"/>
            <w:tcBorders>
              <w:top w:val="single" w:sz="4" w:space="0" w:color="4D93D9"/>
              <w:left w:val="single" w:sz="4" w:space="0" w:color="4D93D9"/>
              <w:bottom w:val="single" w:sz="4" w:space="0" w:color="4D93D9"/>
              <w:right w:val="single" w:sz="4" w:space="0" w:color="4D93D9"/>
            </w:tcBorders>
            <w:noWrap/>
            <w:hideMark/>
          </w:tcPr>
          <w:p w14:paraId="3415129C" w14:textId="3593EDB1" w:rsidR="00C231B4" w:rsidRPr="0095296E" w:rsidRDefault="00C231B4" w:rsidP="00C231B4">
            <w:pPr>
              <w:pStyle w:val="Tabletext"/>
              <w:ind w:right="170"/>
              <w:jc w:val="right"/>
              <w:rPr>
                <w:sz w:val="18"/>
                <w:szCs w:val="18"/>
              </w:rPr>
            </w:pPr>
            <w:r w:rsidRPr="0095296E">
              <w:rPr>
                <w:sz w:val="18"/>
                <w:szCs w:val="18"/>
              </w:rPr>
              <w:t>8,38%</w:t>
            </w:r>
          </w:p>
        </w:tc>
      </w:tr>
      <w:tr w:rsidR="00C231B4" w:rsidRPr="0095296E" w14:paraId="1A5B974B" w14:textId="77777777" w:rsidTr="002B3A4F">
        <w:tc>
          <w:tcPr>
            <w:tcW w:w="6717" w:type="dxa"/>
            <w:tcBorders>
              <w:top w:val="single" w:sz="4" w:space="0" w:color="4D93D9"/>
              <w:left w:val="single" w:sz="4" w:space="0" w:color="4D93D9"/>
              <w:bottom w:val="single" w:sz="4" w:space="0" w:color="4D93D9"/>
              <w:right w:val="single" w:sz="4" w:space="0" w:color="4D93D9"/>
            </w:tcBorders>
            <w:shd w:val="clear" w:color="auto" w:fill="C0E6F5"/>
            <w:vAlign w:val="bottom"/>
            <w:hideMark/>
          </w:tcPr>
          <w:p w14:paraId="38EE64EF" w14:textId="1EE0ECBE" w:rsidR="00C231B4" w:rsidRPr="0095296E" w:rsidRDefault="00C231B4" w:rsidP="00C231B4">
            <w:pPr>
              <w:pStyle w:val="Tabletext"/>
              <w:rPr>
                <w:sz w:val="18"/>
                <w:szCs w:val="18"/>
              </w:rPr>
            </w:pPr>
            <w:r w:rsidRPr="0095296E">
              <w:rPr>
                <w:b/>
                <w:bCs/>
                <w:sz w:val="18"/>
                <w:szCs w:val="18"/>
                <w:lang w:eastAsia="en-GB"/>
              </w:rPr>
              <w:t xml:space="preserve">P5 − Инклюзивная, безопасная и защищенная электросвязь/ИКТ для устойчивого развития </w:t>
            </w:r>
            <w:r w:rsidRPr="0095296E">
              <w:rPr>
                <w:sz w:val="18"/>
                <w:szCs w:val="18"/>
                <w:lang w:eastAsia="en-GB"/>
              </w:rPr>
              <w:br/>
            </w:r>
            <w:r w:rsidR="005E5E29" w:rsidRPr="0095296E">
              <w:rPr>
                <w:sz w:val="18"/>
                <w:szCs w:val="18"/>
                <w:lang w:eastAsia="en-GB"/>
              </w:rPr>
              <w:t>(в том числе кибербезопасность, охват цифровыми технологиями)</w:t>
            </w:r>
          </w:p>
        </w:tc>
        <w:tc>
          <w:tcPr>
            <w:tcW w:w="1666" w:type="dxa"/>
            <w:tcBorders>
              <w:top w:val="single" w:sz="4" w:space="0" w:color="44B3E1"/>
              <w:left w:val="nil"/>
              <w:bottom w:val="single" w:sz="4" w:space="0" w:color="44B3E1"/>
              <w:right w:val="nil"/>
            </w:tcBorders>
            <w:shd w:val="clear" w:color="auto" w:fill="C0E6F5"/>
            <w:noWrap/>
            <w:hideMark/>
          </w:tcPr>
          <w:p w14:paraId="2CA300C3" w14:textId="69FD946A" w:rsidR="00C231B4" w:rsidRPr="0095296E" w:rsidRDefault="00C231B4" w:rsidP="00C231B4">
            <w:pPr>
              <w:pStyle w:val="Tabletext"/>
              <w:ind w:right="170"/>
              <w:jc w:val="right"/>
              <w:rPr>
                <w:sz w:val="18"/>
                <w:szCs w:val="18"/>
              </w:rPr>
            </w:pPr>
            <w:r w:rsidRPr="0095296E">
              <w:rPr>
                <w:sz w:val="18"/>
                <w:szCs w:val="18"/>
              </w:rPr>
              <w:t>736 500</w:t>
            </w:r>
          </w:p>
        </w:tc>
        <w:tc>
          <w:tcPr>
            <w:tcW w:w="126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04610DD0" w14:textId="13E0BBB9" w:rsidR="00C231B4" w:rsidRPr="0095296E" w:rsidRDefault="00C231B4" w:rsidP="00C231B4">
            <w:pPr>
              <w:pStyle w:val="Tabletext"/>
              <w:ind w:right="170"/>
              <w:jc w:val="right"/>
              <w:rPr>
                <w:sz w:val="18"/>
                <w:szCs w:val="18"/>
              </w:rPr>
            </w:pPr>
            <w:r w:rsidRPr="0095296E">
              <w:rPr>
                <w:sz w:val="18"/>
                <w:szCs w:val="18"/>
              </w:rPr>
              <w:t>19,32%</w:t>
            </w:r>
          </w:p>
        </w:tc>
      </w:tr>
      <w:tr w:rsidR="00C231B4" w:rsidRPr="0095296E" w14:paraId="333F0B53" w14:textId="77777777" w:rsidTr="002B3A4F">
        <w:tc>
          <w:tcPr>
            <w:tcW w:w="6717" w:type="dxa"/>
            <w:tcBorders>
              <w:top w:val="single" w:sz="4" w:space="0" w:color="4D93D9"/>
              <w:left w:val="single" w:sz="4" w:space="0" w:color="4D93D9"/>
              <w:bottom w:val="single" w:sz="4" w:space="0" w:color="4D93D9"/>
              <w:right w:val="single" w:sz="4" w:space="0" w:color="4D93D9"/>
            </w:tcBorders>
            <w:vAlign w:val="bottom"/>
            <w:hideMark/>
          </w:tcPr>
          <w:p w14:paraId="46C7CA99" w14:textId="08CDE335" w:rsidR="00C231B4" w:rsidRPr="0095296E" w:rsidRDefault="00C231B4" w:rsidP="00C231B4">
            <w:pPr>
              <w:pStyle w:val="Tabletext"/>
              <w:rPr>
                <w:sz w:val="18"/>
                <w:szCs w:val="18"/>
              </w:rPr>
            </w:pPr>
            <w:r w:rsidRPr="0095296E">
              <w:rPr>
                <w:b/>
                <w:bCs/>
                <w:sz w:val="18"/>
                <w:szCs w:val="18"/>
                <w:lang w:eastAsia="en-GB"/>
              </w:rPr>
              <w:t xml:space="preserve">E − Организационная эффективность </w:t>
            </w:r>
            <w:r w:rsidRPr="0095296E">
              <w:rPr>
                <w:sz w:val="18"/>
                <w:szCs w:val="18"/>
                <w:lang w:eastAsia="en-GB"/>
              </w:rPr>
              <w:br/>
              <w:t xml:space="preserve">(сквозной, в </w:t>
            </w:r>
            <w:r w:rsidR="00566FF6" w:rsidRPr="0095296E">
              <w:rPr>
                <w:sz w:val="18"/>
                <w:szCs w:val="18"/>
                <w:lang w:eastAsia="en-GB"/>
              </w:rPr>
              <w:t xml:space="preserve">т. ч. </w:t>
            </w:r>
            <w:r w:rsidRPr="0095296E">
              <w:rPr>
                <w:sz w:val="18"/>
                <w:szCs w:val="18"/>
                <w:lang w:eastAsia="en-GB"/>
              </w:rPr>
              <w:t>ориентация на интересы членов, региональное присутствие, вспомогательные услуги)</w:t>
            </w:r>
          </w:p>
        </w:tc>
        <w:tc>
          <w:tcPr>
            <w:tcW w:w="1666" w:type="dxa"/>
            <w:tcBorders>
              <w:top w:val="single" w:sz="4" w:space="0" w:color="44B3E1"/>
              <w:left w:val="nil"/>
              <w:bottom w:val="single" w:sz="4" w:space="0" w:color="44B3E1"/>
              <w:right w:val="nil"/>
            </w:tcBorders>
            <w:noWrap/>
            <w:hideMark/>
          </w:tcPr>
          <w:p w14:paraId="79B42BD1" w14:textId="0221089B" w:rsidR="00C231B4" w:rsidRPr="0095296E" w:rsidRDefault="00C231B4" w:rsidP="00C231B4">
            <w:pPr>
              <w:pStyle w:val="Tabletext"/>
              <w:ind w:right="170"/>
              <w:jc w:val="right"/>
              <w:rPr>
                <w:sz w:val="18"/>
                <w:szCs w:val="18"/>
              </w:rPr>
            </w:pPr>
            <w:r w:rsidRPr="0095296E">
              <w:rPr>
                <w:sz w:val="18"/>
                <w:szCs w:val="18"/>
              </w:rPr>
              <w:t>580 615</w:t>
            </w:r>
          </w:p>
        </w:tc>
        <w:tc>
          <w:tcPr>
            <w:tcW w:w="1260" w:type="dxa"/>
            <w:tcBorders>
              <w:top w:val="single" w:sz="4" w:space="0" w:color="4D93D9"/>
              <w:left w:val="single" w:sz="4" w:space="0" w:color="4D93D9"/>
              <w:bottom w:val="single" w:sz="4" w:space="0" w:color="4D93D9"/>
              <w:right w:val="single" w:sz="4" w:space="0" w:color="4D93D9"/>
            </w:tcBorders>
            <w:noWrap/>
            <w:hideMark/>
          </w:tcPr>
          <w:p w14:paraId="1001E1C5" w14:textId="52BBF783" w:rsidR="00C231B4" w:rsidRPr="0095296E" w:rsidRDefault="00C231B4" w:rsidP="00C231B4">
            <w:pPr>
              <w:pStyle w:val="Tabletext"/>
              <w:ind w:right="170"/>
              <w:jc w:val="right"/>
              <w:rPr>
                <w:sz w:val="18"/>
                <w:szCs w:val="18"/>
              </w:rPr>
            </w:pPr>
            <w:r w:rsidRPr="0095296E">
              <w:rPr>
                <w:sz w:val="18"/>
                <w:szCs w:val="18"/>
              </w:rPr>
              <w:t>15,23%</w:t>
            </w:r>
          </w:p>
        </w:tc>
      </w:tr>
      <w:tr w:rsidR="00341092" w:rsidRPr="0095296E" w14:paraId="75088778" w14:textId="77777777" w:rsidTr="002B3A4F">
        <w:tc>
          <w:tcPr>
            <w:tcW w:w="6717" w:type="dxa"/>
            <w:tcBorders>
              <w:top w:val="single" w:sz="4" w:space="0" w:color="4D93D9"/>
              <w:left w:val="single" w:sz="4" w:space="0" w:color="4D93D9"/>
              <w:bottom w:val="single" w:sz="4" w:space="0" w:color="4D93D9"/>
              <w:right w:val="single" w:sz="4" w:space="0" w:color="4D93D9"/>
            </w:tcBorders>
            <w:shd w:val="clear" w:color="auto" w:fill="C0E6F5"/>
            <w:hideMark/>
          </w:tcPr>
          <w:p w14:paraId="14A230F1" w14:textId="2B6982ED" w:rsidR="00341092" w:rsidRPr="0095296E" w:rsidRDefault="002B3A4F" w:rsidP="00341092">
            <w:pPr>
              <w:pStyle w:val="Tabletext"/>
              <w:rPr>
                <w:b/>
                <w:bCs/>
                <w:sz w:val="18"/>
                <w:szCs w:val="18"/>
              </w:rPr>
            </w:pPr>
            <w:r w:rsidRPr="0095296E">
              <w:rPr>
                <w:b/>
                <w:bCs/>
                <w:sz w:val="18"/>
                <w:szCs w:val="18"/>
              </w:rPr>
              <w:t>Общий итог</w:t>
            </w:r>
          </w:p>
        </w:tc>
        <w:tc>
          <w:tcPr>
            <w:tcW w:w="1666"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2D3C5376" w14:textId="77777777" w:rsidR="00341092" w:rsidRPr="0095296E" w:rsidRDefault="00341092" w:rsidP="00341092">
            <w:pPr>
              <w:pStyle w:val="Tabletext"/>
              <w:ind w:right="170"/>
              <w:jc w:val="right"/>
              <w:rPr>
                <w:b/>
                <w:bCs/>
                <w:sz w:val="18"/>
                <w:szCs w:val="18"/>
              </w:rPr>
            </w:pPr>
            <w:r w:rsidRPr="0095296E">
              <w:rPr>
                <w:b/>
                <w:bCs/>
                <w:sz w:val="18"/>
                <w:szCs w:val="18"/>
              </w:rPr>
              <w:t>3 813 000</w:t>
            </w:r>
          </w:p>
        </w:tc>
        <w:tc>
          <w:tcPr>
            <w:tcW w:w="126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7E5A9B66" w14:textId="2B6817A9" w:rsidR="00341092" w:rsidRPr="0095296E" w:rsidRDefault="00341092" w:rsidP="00341092">
            <w:pPr>
              <w:pStyle w:val="Tabletext"/>
              <w:ind w:right="170"/>
              <w:jc w:val="right"/>
              <w:rPr>
                <w:sz w:val="18"/>
                <w:szCs w:val="18"/>
              </w:rPr>
            </w:pPr>
          </w:p>
        </w:tc>
      </w:tr>
    </w:tbl>
    <w:p w14:paraId="6D12886C" w14:textId="116877A1" w:rsidR="000318C5" w:rsidRPr="0095296E" w:rsidRDefault="000318C5" w:rsidP="00DD71E5">
      <w:pPr>
        <w:pStyle w:val="Tablelegend"/>
        <w:rPr>
          <w:rFonts w:eastAsia="Calibri"/>
          <w:szCs w:val="18"/>
        </w:rPr>
      </w:pPr>
      <w:r w:rsidRPr="0095296E">
        <w:t xml:space="preserve">Примечание. </w:t>
      </w:r>
      <w:r w:rsidR="00E4019D" w:rsidRPr="0095296E">
        <w:t xml:space="preserve">− </w:t>
      </w:r>
      <w:r w:rsidRPr="0095296E">
        <w:t>"Р" означает приоритет МСЭ-D; "E" означает средство достижения целей</w:t>
      </w:r>
      <w:r w:rsidR="00E4019D" w:rsidRPr="0095296E">
        <w:t>.</w:t>
      </w:r>
    </w:p>
    <w:p w14:paraId="7B089795" w14:textId="6FC209CB" w:rsidR="000318C5" w:rsidRPr="0095296E" w:rsidRDefault="000318C5" w:rsidP="00E45F67">
      <w:pPr>
        <w:pStyle w:val="Heading2"/>
        <w:rPr>
          <w:rFonts w:eastAsia="Calibri"/>
          <w:szCs w:val="24"/>
        </w:rPr>
      </w:pPr>
      <w:r w:rsidRPr="0095296E">
        <w:t>2.2</w:t>
      </w:r>
      <w:r w:rsidRPr="0095296E">
        <w:tab/>
        <w:t>Распределение средств в рамках ОП-26 по регионам-бенефициарам</w:t>
      </w:r>
    </w:p>
    <w:p w14:paraId="13AC352E" w14:textId="77777777" w:rsidR="000318C5" w:rsidRPr="0095296E" w:rsidRDefault="000318C5" w:rsidP="00E45F67">
      <w:pPr>
        <w:rPr>
          <w:rFonts w:eastAsia="Calibri"/>
        </w:rPr>
      </w:pPr>
      <w:r w:rsidRPr="0095296E">
        <w:t xml:space="preserve">На основании опыта выполнения Кигалийского плана действий и потребностей, выявленных в ходе консультаций с Государствами-Членами, чуть более половины бюджета ОП-26 (56 процентов) было выделено на достижение намеченных результатов деятельности, имеющих глобальную направленность, и межрегиональные действия, что, как ожидается, окажет широкое воздействие и позволит повысить оперативную эффективность. </w:t>
      </w:r>
    </w:p>
    <w:p w14:paraId="5080D78A" w14:textId="77777777" w:rsidR="000318C5" w:rsidRPr="0095296E" w:rsidRDefault="000318C5" w:rsidP="00E45F67">
      <w:pPr>
        <w:rPr>
          <w:rFonts w:eastAsia="Calibri"/>
        </w:rPr>
      </w:pPr>
      <w:r w:rsidRPr="0095296E">
        <w:t xml:space="preserve">Приблизительно 7 процентов финансирования было выделено каждому региону для поддержки достижения намеченных результатов деятельности в соответствии с региональными приоритетами; таким образом, обеспечивается справедливое распределение ресурсов. Будут прилагаться усилия по укреплению эффекта синергии между региональными намеченными результатами деятельности, между региональными и глобальными намеченными результатами деятельности, а также с намеченными результатами деятельности других Бюро МСЭ и Генерального секретариата. Дальнейшему усилению воздействия выполнения БПД в регионах и на глобальном уровне будут способствовать партнерские отношения с национальными, региональными и глобальными организациями и проектами, реализуемыми БРЭ. </w:t>
      </w:r>
    </w:p>
    <w:p w14:paraId="3BBDA920" w14:textId="77777777" w:rsidR="00E45F67" w:rsidRPr="0095296E" w:rsidRDefault="000318C5" w:rsidP="00E45F67">
      <w:pPr>
        <w:pStyle w:val="FigureNo"/>
      </w:pPr>
      <w:r w:rsidRPr="0095296E">
        <w:lastRenderedPageBreak/>
        <w:t>Рисунок 2</w:t>
      </w:r>
    </w:p>
    <w:p w14:paraId="79D99AF4" w14:textId="64BD0351" w:rsidR="000318C5" w:rsidRPr="0095296E" w:rsidRDefault="000318C5" w:rsidP="00E45F67">
      <w:pPr>
        <w:pStyle w:val="Figuretitle"/>
        <w:rPr>
          <w:rFonts w:eastAsia="Calibri"/>
          <w:szCs w:val="24"/>
        </w:rPr>
      </w:pPr>
      <w:r w:rsidRPr="0095296E">
        <w:t>Намеченные результаты деятельности ОП-26 в разбивке</w:t>
      </w:r>
      <w:r w:rsidR="00566FF6" w:rsidRPr="0095296E">
        <w:t>*</w:t>
      </w:r>
      <w:r w:rsidRPr="0095296E">
        <w:t xml:space="preserve"> по регионам-бенефициарам </w:t>
      </w:r>
      <w:r w:rsidR="002117B1" w:rsidRPr="0095296E">
        <w:br/>
      </w:r>
      <w:r w:rsidRPr="0095296E">
        <w:t xml:space="preserve">(совокупно по всем приоритетам </w:t>
      </w:r>
      <w:r w:rsidR="005E5E29" w:rsidRPr="0095296E">
        <w:t xml:space="preserve">МСЭ-D </w:t>
      </w:r>
      <w:r w:rsidRPr="0095296E">
        <w:t xml:space="preserve">и </w:t>
      </w:r>
      <w:r w:rsidR="005E5E29" w:rsidRPr="0095296E">
        <w:t xml:space="preserve">по </w:t>
      </w:r>
      <w:r w:rsidRPr="0095296E">
        <w:t>средств</w:t>
      </w:r>
      <w:r w:rsidR="005E5E29" w:rsidRPr="0095296E">
        <w:t>у</w:t>
      </w:r>
      <w:r w:rsidRPr="0095296E">
        <w:t xml:space="preserve"> достижения целей)</w:t>
      </w:r>
    </w:p>
    <w:p w14:paraId="0023471A" w14:textId="0DC0B57C" w:rsidR="002117B1" w:rsidRPr="0095296E" w:rsidRDefault="002117B1" w:rsidP="000318C5">
      <w:pPr>
        <w:overflowPunct/>
        <w:autoSpaceDE/>
        <w:autoSpaceDN/>
        <w:adjustRightInd/>
        <w:spacing w:after="120"/>
        <w:ind w:left="720"/>
        <w:textAlignment w:val="auto"/>
        <w:rPr>
          <w:rFonts w:eastAsia="Calibri"/>
          <w:b/>
          <w:bCs/>
          <w:szCs w:val="24"/>
        </w:rPr>
      </w:pPr>
      <w:r w:rsidRPr="0095296E">
        <w:drawing>
          <wp:inline distT="0" distB="0" distL="0" distR="0" wp14:anchorId="34FF10A4" wp14:editId="10F18666">
            <wp:extent cx="4919931" cy="3151163"/>
            <wp:effectExtent l="0" t="0" r="14605" b="11430"/>
            <wp:docPr id="1906222131" name="Chart 1">
              <a:extLst xmlns:a="http://schemas.openxmlformats.org/drawingml/2006/main">
                <a:ext uri="{FF2B5EF4-FFF2-40B4-BE49-F238E27FC236}">
                  <a16:creationId xmlns:a16="http://schemas.microsoft.com/office/drawing/2014/main" id="{8402A987-F18C-9D08-61CE-DF214CD61F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601528" w14:textId="77777777" w:rsidR="000318C5" w:rsidRPr="0095296E" w:rsidRDefault="000318C5" w:rsidP="00DD71E5">
      <w:pPr>
        <w:pStyle w:val="Figurelegend"/>
        <w:rPr>
          <w:rFonts w:eastAsia="Calibri"/>
        </w:rPr>
      </w:pPr>
      <w:r w:rsidRPr="0095296E">
        <w:t>* в процентах от бюджета ОП-26</w:t>
      </w:r>
    </w:p>
    <w:p w14:paraId="5D184CA3" w14:textId="77777777" w:rsidR="000318C5" w:rsidRPr="0095296E" w:rsidRDefault="000318C5" w:rsidP="00E45F67">
      <w:pPr>
        <w:pStyle w:val="Heading2"/>
        <w:rPr>
          <w:rFonts w:eastAsia="Calibri"/>
          <w:szCs w:val="24"/>
        </w:rPr>
      </w:pPr>
      <w:r w:rsidRPr="0095296E">
        <w:t>2.3</w:t>
      </w:r>
      <w:r w:rsidRPr="0095296E">
        <w:tab/>
        <w:t xml:space="preserve">Взаимосвязь между приоритетами МСЭ-D и тематическими приоритетами МСЭ </w:t>
      </w:r>
    </w:p>
    <w:p w14:paraId="0840F065" w14:textId="77777777" w:rsidR="000318C5" w:rsidRPr="0095296E" w:rsidRDefault="000318C5" w:rsidP="00E45F67">
      <w:pPr>
        <w:rPr>
          <w:rFonts w:eastAsia="Calibri"/>
          <w:b/>
          <w:bCs/>
        </w:rPr>
      </w:pPr>
      <w:r w:rsidRPr="0095296E">
        <w:t xml:space="preserve">БПД составляет основу для разработки Оперативного плана МСЭ-D в целях мониторинга и достижения приоритетов, определенных Государствами-Членами на ВКРЭ-25, в течение цикла выполнения </w:t>
      </w:r>
      <w:proofErr w:type="gramStart"/>
      <w:r w:rsidRPr="0095296E">
        <w:t>2026−2029</w:t>
      </w:r>
      <w:proofErr w:type="gramEnd"/>
      <w:r w:rsidRPr="0095296E">
        <w:t xml:space="preserve"> годов. Он ориентирован на результаты и определяет направление реализации этих приоритетов в соответствии с тематическими приоритетами, предлагаемыми продуктами и услугами и средствами достижения целей, определенными в Стратегическом плане МСЭ на </w:t>
      </w:r>
      <w:proofErr w:type="gramStart"/>
      <w:r w:rsidRPr="0095296E">
        <w:t>2024−2027</w:t>
      </w:r>
      <w:proofErr w:type="gramEnd"/>
      <w:r w:rsidRPr="0095296E">
        <w:t xml:space="preserve"> годы, в пределах, установленных в финансовых планах на соответствующие сроки. </w:t>
      </w:r>
    </w:p>
    <w:p w14:paraId="3E530ABD" w14:textId="77777777" w:rsidR="000318C5" w:rsidRPr="0095296E" w:rsidRDefault="000318C5" w:rsidP="00E45F67">
      <w:pPr>
        <w:rPr>
          <w:rFonts w:eastAsia="Calibri"/>
        </w:rPr>
      </w:pPr>
      <w:r w:rsidRPr="0095296E">
        <w:t xml:space="preserve">Существует тесная взаимосвязь между приоритетами МСЭ-D, определенными в БПД, и тематическими приоритетами, установленными в Стратегическом плане МСЭ на </w:t>
      </w:r>
      <w:proofErr w:type="gramStart"/>
      <w:r w:rsidRPr="0095296E">
        <w:t>2024−2027</w:t>
      </w:r>
      <w:proofErr w:type="gramEnd"/>
      <w:r w:rsidRPr="0095296E">
        <w:t xml:space="preserve"> годы; сопоставление приведено в таблице ниже.</w:t>
      </w:r>
    </w:p>
    <w:p w14:paraId="2DD474FA" w14:textId="77777777" w:rsidR="00CA145D" w:rsidRPr="0095296E" w:rsidRDefault="00CA145D">
      <w:pPr>
        <w:tabs>
          <w:tab w:val="clear" w:pos="1134"/>
          <w:tab w:val="clear" w:pos="1871"/>
          <w:tab w:val="clear" w:pos="2268"/>
        </w:tabs>
        <w:overflowPunct/>
        <w:autoSpaceDE/>
        <w:autoSpaceDN/>
        <w:adjustRightInd/>
        <w:spacing w:before="0"/>
        <w:textAlignment w:val="auto"/>
        <w:rPr>
          <w:caps/>
          <w:sz w:val="20"/>
        </w:rPr>
      </w:pPr>
      <w:r w:rsidRPr="0095296E">
        <w:br w:type="page"/>
      </w:r>
    </w:p>
    <w:p w14:paraId="20DA2774" w14:textId="3654ACE6" w:rsidR="00E45F67" w:rsidRPr="0095296E" w:rsidRDefault="000318C5" w:rsidP="00E45F67">
      <w:pPr>
        <w:pStyle w:val="TableNo"/>
      </w:pPr>
      <w:r w:rsidRPr="0095296E">
        <w:lastRenderedPageBreak/>
        <w:t xml:space="preserve">Таблица </w:t>
      </w:r>
      <w:r w:rsidR="005500A6" w:rsidRPr="0095296E">
        <w:t>2</w:t>
      </w:r>
    </w:p>
    <w:p w14:paraId="12CFC968" w14:textId="660346A5" w:rsidR="000318C5" w:rsidRPr="0095296E" w:rsidRDefault="000318C5" w:rsidP="00E45F67">
      <w:pPr>
        <w:pStyle w:val="Tabletitle"/>
      </w:pPr>
      <w:r w:rsidRPr="0095296E">
        <w:t xml:space="preserve">Взаимосвязь между приоритетами </w:t>
      </w:r>
      <w:r w:rsidR="005E5E29" w:rsidRPr="0095296E">
        <w:t xml:space="preserve">МСЭ-D </w:t>
      </w:r>
      <w:r w:rsidRPr="0095296E">
        <w:t>и средств</w:t>
      </w:r>
      <w:r w:rsidR="005E5E29" w:rsidRPr="0095296E">
        <w:t xml:space="preserve">ом </w:t>
      </w:r>
      <w:r w:rsidRPr="0095296E">
        <w:t>достижения целей</w:t>
      </w:r>
      <w:r w:rsidR="005E5E29" w:rsidRPr="0095296E">
        <w:t>, а также</w:t>
      </w:r>
      <w:r w:rsidRPr="0095296E">
        <w:t xml:space="preserve"> </w:t>
      </w:r>
      <w:r w:rsidR="00CA145D" w:rsidRPr="0095296E">
        <w:br/>
      </w:r>
      <w:r w:rsidRPr="0095296E">
        <w:t>тематическими приоритетами МСЭ</w:t>
      </w:r>
    </w:p>
    <w:tbl>
      <w:tblPr>
        <w:tblW w:w="5000" w:type="pct"/>
        <w:tblLayout w:type="fixed"/>
        <w:tblLook w:val="04A0" w:firstRow="1" w:lastRow="0" w:firstColumn="1" w:lastColumn="0" w:noHBand="0" w:noVBand="1"/>
      </w:tblPr>
      <w:tblGrid>
        <w:gridCol w:w="4957"/>
        <w:gridCol w:w="921"/>
        <w:gridCol w:w="921"/>
        <w:gridCol w:w="1134"/>
        <w:gridCol w:w="847"/>
        <w:gridCol w:w="848"/>
      </w:tblGrid>
      <w:tr w:rsidR="004C4D1F" w:rsidRPr="0095296E" w14:paraId="19C815E3" w14:textId="77777777" w:rsidTr="00CA145D">
        <w:trPr>
          <w:trHeight w:val="2227"/>
        </w:trPr>
        <w:tc>
          <w:tcPr>
            <w:tcW w:w="4957" w:type="dxa"/>
            <w:tcBorders>
              <w:top w:val="single" w:sz="4" w:space="0" w:color="4D93D9"/>
              <w:left w:val="single" w:sz="4" w:space="0" w:color="4D93D9"/>
              <w:bottom w:val="single" w:sz="4" w:space="0" w:color="4D93D9"/>
              <w:right w:val="single" w:sz="4" w:space="0" w:color="4D93D9"/>
              <w:tl2br w:val="single" w:sz="4" w:space="0" w:color="auto"/>
            </w:tcBorders>
            <w:shd w:val="clear" w:color="CAEDFB" w:fill="CAEDFB"/>
            <w:vAlign w:val="center"/>
          </w:tcPr>
          <w:p w14:paraId="40492D44" w14:textId="77777777" w:rsidR="004C4D1F" w:rsidRPr="0095296E" w:rsidRDefault="00CA145D" w:rsidP="00CA145D">
            <w:pPr>
              <w:pStyle w:val="Tablehead"/>
              <w:spacing w:before="240"/>
              <w:ind w:right="170"/>
              <w:jc w:val="right"/>
              <w:rPr>
                <w:sz w:val="18"/>
                <w:szCs w:val="18"/>
                <w:lang w:eastAsia="en-GB"/>
              </w:rPr>
            </w:pPr>
            <w:r w:rsidRPr="0095296E">
              <w:rPr>
                <w:sz w:val="18"/>
                <w:szCs w:val="18"/>
                <w:lang w:eastAsia="en-GB"/>
              </w:rPr>
              <w:t>Тематические приоритеты МСЭ</w:t>
            </w:r>
          </w:p>
          <w:p w14:paraId="7D366C35" w14:textId="620F63C1" w:rsidR="00CA145D" w:rsidRPr="0095296E" w:rsidRDefault="00CA145D" w:rsidP="00CA145D">
            <w:pPr>
              <w:pStyle w:val="Tablehead"/>
              <w:ind w:right="1164"/>
              <w:jc w:val="right"/>
              <w:rPr>
                <w:sz w:val="18"/>
                <w:szCs w:val="18"/>
                <w:lang w:eastAsia="en-GB"/>
              </w:rPr>
            </w:pPr>
            <w:r w:rsidRPr="0095296E">
              <w:rPr>
                <w:rFonts w:cs="Calibri"/>
                <w:sz w:val="22"/>
                <w:szCs w:val="22"/>
                <w:lang w:eastAsia="en-GB"/>
              </w:rPr>
              <w:t>→</w:t>
            </w:r>
          </w:p>
          <w:p w14:paraId="0C8F9690" w14:textId="135E9B03" w:rsidR="00CA145D" w:rsidRPr="0095296E" w:rsidRDefault="00CA145D" w:rsidP="00CA145D">
            <w:pPr>
              <w:pStyle w:val="Tablehead"/>
              <w:ind w:left="175"/>
              <w:jc w:val="left"/>
              <w:rPr>
                <w:sz w:val="18"/>
                <w:szCs w:val="18"/>
                <w:lang w:eastAsia="en-GB"/>
              </w:rPr>
            </w:pPr>
            <w:r w:rsidRPr="0095296E">
              <w:rPr>
                <w:sz w:val="18"/>
                <w:szCs w:val="18"/>
                <w:lang w:eastAsia="en-GB"/>
              </w:rPr>
              <w:t xml:space="preserve">Приоритеты </w:t>
            </w:r>
            <w:r w:rsidR="005E5E29" w:rsidRPr="0095296E">
              <w:rPr>
                <w:sz w:val="18"/>
                <w:szCs w:val="18"/>
                <w:lang w:eastAsia="en-GB"/>
              </w:rPr>
              <w:t>МСЭ-D</w:t>
            </w:r>
            <w:r w:rsidRPr="0095296E">
              <w:rPr>
                <w:sz w:val="18"/>
                <w:szCs w:val="18"/>
                <w:lang w:eastAsia="en-GB"/>
              </w:rPr>
              <w:t xml:space="preserve"> </w:t>
            </w:r>
            <w:r w:rsidRPr="0095296E">
              <w:rPr>
                <w:sz w:val="18"/>
                <w:szCs w:val="18"/>
                <w:lang w:eastAsia="en-GB"/>
              </w:rPr>
              <w:br/>
            </w:r>
            <w:r w:rsidR="005E5E29" w:rsidRPr="0095296E">
              <w:rPr>
                <w:sz w:val="18"/>
                <w:szCs w:val="18"/>
                <w:lang w:eastAsia="en-GB"/>
              </w:rPr>
              <w:t xml:space="preserve">и средство </w:t>
            </w:r>
            <w:r w:rsidRPr="0095296E">
              <w:rPr>
                <w:sz w:val="18"/>
                <w:szCs w:val="18"/>
                <w:lang w:eastAsia="en-GB"/>
              </w:rPr>
              <w:t>достижения целей</w:t>
            </w:r>
          </w:p>
          <w:p w14:paraId="3725CB1A" w14:textId="5F4E8349" w:rsidR="00CA145D" w:rsidRPr="0095296E" w:rsidRDefault="00CA145D" w:rsidP="00CA145D">
            <w:pPr>
              <w:pStyle w:val="Tablehead"/>
              <w:ind w:left="1167"/>
              <w:jc w:val="left"/>
              <w:rPr>
                <w:sz w:val="22"/>
                <w:szCs w:val="22"/>
                <w:lang w:eastAsia="en-GB"/>
              </w:rPr>
            </w:pPr>
            <w:r w:rsidRPr="0095296E">
              <w:rPr>
                <w:rFonts w:cs="Calibri"/>
                <w:sz w:val="22"/>
                <w:szCs w:val="22"/>
                <w:lang w:eastAsia="en-GB"/>
              </w:rPr>
              <w:t>↓</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textDirection w:val="btLr"/>
            <w:vAlign w:val="center"/>
          </w:tcPr>
          <w:p w14:paraId="3FED62F0" w14:textId="4F97AEA2" w:rsidR="004C4D1F" w:rsidRPr="0095296E" w:rsidRDefault="004C4D1F" w:rsidP="004C4D1F">
            <w:pPr>
              <w:pStyle w:val="Tablehead"/>
              <w:spacing w:before="0" w:after="0"/>
              <w:rPr>
                <w:rFonts w:ascii="Wingdings" w:hAnsi="Wingdings"/>
                <w:color w:val="000000"/>
                <w:sz w:val="18"/>
                <w:szCs w:val="18"/>
                <w:lang w:eastAsia="en-GB"/>
              </w:rPr>
            </w:pPr>
            <w:r w:rsidRPr="0095296E">
              <w:rPr>
                <w:color w:val="000000"/>
                <w:sz w:val="18"/>
                <w:szCs w:val="18"/>
                <w:lang w:eastAsia="en-GB"/>
              </w:rPr>
              <w:t xml:space="preserve">TP1 − Использование </w:t>
            </w:r>
            <w:r w:rsidRPr="0095296E">
              <w:rPr>
                <w:color w:val="000000"/>
                <w:sz w:val="18"/>
                <w:szCs w:val="18"/>
                <w:lang w:eastAsia="en-GB"/>
              </w:rPr>
              <w:br/>
              <w:t xml:space="preserve">спектра для космических </w:t>
            </w:r>
            <w:r w:rsidRPr="0095296E">
              <w:rPr>
                <w:color w:val="000000"/>
                <w:sz w:val="18"/>
                <w:szCs w:val="18"/>
                <w:lang w:eastAsia="en-GB"/>
              </w:rPr>
              <w:br/>
              <w:t>и наземных служб</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textDirection w:val="btLr"/>
            <w:vAlign w:val="center"/>
          </w:tcPr>
          <w:p w14:paraId="10F95766" w14:textId="3C31AE46" w:rsidR="004C4D1F" w:rsidRPr="0095296E" w:rsidRDefault="004C4D1F" w:rsidP="004C4D1F">
            <w:pPr>
              <w:pStyle w:val="Tablehead"/>
              <w:spacing w:before="0" w:after="0"/>
              <w:rPr>
                <w:rFonts w:ascii="Wingdings" w:hAnsi="Wingdings"/>
                <w:color w:val="000000"/>
                <w:sz w:val="18"/>
                <w:szCs w:val="18"/>
                <w:lang w:eastAsia="en-GB"/>
              </w:rPr>
            </w:pPr>
            <w:r w:rsidRPr="0095296E">
              <w:rPr>
                <w:rFonts w:ascii="Aptos Narrow" w:hAnsi="Aptos Narrow" w:cs="Times New Roman"/>
                <w:color w:val="000000"/>
                <w:sz w:val="18"/>
                <w:szCs w:val="18"/>
                <w:lang w:eastAsia="en-GB"/>
              </w:rPr>
              <w:t xml:space="preserve">TP2 − Ресурсы нумерации международной </w:t>
            </w:r>
            <w:r w:rsidRPr="0095296E">
              <w:rPr>
                <w:rFonts w:ascii="Aptos Narrow" w:hAnsi="Aptos Narrow" w:cs="Times New Roman"/>
                <w:color w:val="000000"/>
                <w:sz w:val="18"/>
                <w:szCs w:val="18"/>
                <w:lang w:eastAsia="en-GB"/>
              </w:rPr>
              <w:br/>
              <w:t>электросвязи</w:t>
            </w:r>
          </w:p>
        </w:tc>
        <w:tc>
          <w:tcPr>
            <w:tcW w:w="1134" w:type="dxa"/>
            <w:tcBorders>
              <w:top w:val="single" w:sz="4" w:space="0" w:color="4D93D9"/>
              <w:left w:val="single" w:sz="4" w:space="0" w:color="4D93D9"/>
              <w:bottom w:val="single" w:sz="4" w:space="0" w:color="4D93D9"/>
              <w:right w:val="single" w:sz="4" w:space="0" w:color="4D93D9"/>
            </w:tcBorders>
            <w:shd w:val="clear" w:color="CAEDFB" w:fill="CAEDFB"/>
            <w:noWrap/>
            <w:textDirection w:val="btLr"/>
            <w:vAlign w:val="center"/>
          </w:tcPr>
          <w:p w14:paraId="489A9F19" w14:textId="4D0A4D0B" w:rsidR="004C4D1F" w:rsidRPr="0095296E" w:rsidRDefault="004C4D1F" w:rsidP="004C4D1F">
            <w:pPr>
              <w:pStyle w:val="Tablehead"/>
              <w:spacing w:before="0" w:after="0"/>
              <w:rPr>
                <w:rFonts w:ascii="Wingdings" w:hAnsi="Wingdings"/>
                <w:color w:val="000000"/>
                <w:sz w:val="18"/>
                <w:szCs w:val="18"/>
                <w:lang w:eastAsia="en-GB"/>
              </w:rPr>
            </w:pPr>
            <w:r w:rsidRPr="0095296E">
              <w:rPr>
                <w:rFonts w:ascii="Aptos Narrow" w:hAnsi="Aptos Narrow" w:cs="Times New Roman"/>
                <w:color w:val="000000"/>
                <w:sz w:val="18"/>
                <w:szCs w:val="18"/>
                <w:lang w:eastAsia="en-GB"/>
              </w:rPr>
              <w:t xml:space="preserve">TP3 − Инклюзивные и защищенные </w:t>
            </w:r>
            <w:r w:rsidRPr="0095296E">
              <w:rPr>
                <w:rFonts w:ascii="Aptos Narrow" w:hAnsi="Aptos Narrow" w:cs="Times New Roman"/>
                <w:color w:val="000000"/>
                <w:sz w:val="18"/>
                <w:szCs w:val="18"/>
                <w:lang w:eastAsia="en-GB"/>
              </w:rPr>
              <w:br/>
              <w:t xml:space="preserve">инфраструктура </w:t>
            </w:r>
            <w:r w:rsidRPr="0095296E">
              <w:rPr>
                <w:rFonts w:ascii="Aptos Narrow" w:hAnsi="Aptos Narrow" w:cs="Times New Roman"/>
                <w:color w:val="000000"/>
                <w:sz w:val="18"/>
                <w:szCs w:val="18"/>
                <w:lang w:eastAsia="en-GB"/>
              </w:rPr>
              <w:br/>
              <w:t>и услуги электросвязи/ИКТ</w:t>
            </w:r>
          </w:p>
        </w:tc>
        <w:tc>
          <w:tcPr>
            <w:tcW w:w="847" w:type="dxa"/>
            <w:tcBorders>
              <w:top w:val="single" w:sz="4" w:space="0" w:color="4D93D9"/>
              <w:left w:val="single" w:sz="4" w:space="0" w:color="4D93D9"/>
              <w:bottom w:val="single" w:sz="4" w:space="0" w:color="4D93D9"/>
              <w:right w:val="single" w:sz="4" w:space="0" w:color="4D93D9"/>
            </w:tcBorders>
            <w:shd w:val="clear" w:color="CAEDFB" w:fill="CAEDFB"/>
            <w:noWrap/>
            <w:textDirection w:val="btLr"/>
            <w:vAlign w:val="center"/>
          </w:tcPr>
          <w:p w14:paraId="6ED66103" w14:textId="2CDA13FE" w:rsidR="004C4D1F" w:rsidRPr="0095296E" w:rsidRDefault="004C4D1F" w:rsidP="004C4D1F">
            <w:pPr>
              <w:pStyle w:val="Tablehead"/>
              <w:spacing w:before="0" w:after="0"/>
              <w:rPr>
                <w:rFonts w:ascii="Wingdings" w:hAnsi="Wingdings"/>
                <w:color w:val="000000"/>
                <w:sz w:val="18"/>
                <w:szCs w:val="18"/>
                <w:lang w:eastAsia="en-GB"/>
              </w:rPr>
            </w:pPr>
            <w:r w:rsidRPr="0095296E">
              <w:rPr>
                <w:rFonts w:ascii="Aptos Narrow" w:hAnsi="Aptos Narrow" w:cs="Times New Roman"/>
                <w:color w:val="000000"/>
                <w:sz w:val="18"/>
                <w:szCs w:val="18"/>
                <w:lang w:eastAsia="en-GB"/>
              </w:rPr>
              <w:t xml:space="preserve">TP4 − Цифровые </w:t>
            </w:r>
            <w:r w:rsidRPr="0095296E">
              <w:rPr>
                <w:rFonts w:ascii="Aptos Narrow" w:hAnsi="Aptos Narrow" w:cs="Times New Roman"/>
                <w:color w:val="000000"/>
                <w:sz w:val="18"/>
                <w:szCs w:val="18"/>
                <w:lang w:eastAsia="en-GB"/>
              </w:rPr>
              <w:br/>
              <w:t>приложения</w:t>
            </w:r>
          </w:p>
        </w:tc>
        <w:tc>
          <w:tcPr>
            <w:tcW w:w="848" w:type="dxa"/>
            <w:tcBorders>
              <w:top w:val="single" w:sz="4" w:space="0" w:color="4D93D9"/>
              <w:left w:val="single" w:sz="4" w:space="0" w:color="4D93D9"/>
              <w:bottom w:val="single" w:sz="4" w:space="0" w:color="4D93D9"/>
              <w:right w:val="single" w:sz="4" w:space="0" w:color="4D93D9"/>
            </w:tcBorders>
            <w:shd w:val="clear" w:color="CAEDFB" w:fill="CAEDFB"/>
            <w:noWrap/>
            <w:textDirection w:val="btLr"/>
            <w:vAlign w:val="center"/>
          </w:tcPr>
          <w:p w14:paraId="3154B59D" w14:textId="245A0763" w:rsidR="004C4D1F" w:rsidRPr="0095296E" w:rsidRDefault="004C4D1F" w:rsidP="004C4D1F">
            <w:pPr>
              <w:pStyle w:val="Tablehead"/>
              <w:spacing w:before="0" w:after="0"/>
              <w:rPr>
                <w:rFonts w:ascii="Wingdings" w:hAnsi="Wingdings"/>
                <w:color w:val="000000"/>
                <w:sz w:val="18"/>
                <w:szCs w:val="18"/>
                <w:lang w:eastAsia="en-GB"/>
              </w:rPr>
            </w:pPr>
            <w:r w:rsidRPr="0095296E">
              <w:rPr>
                <w:rFonts w:ascii="Aptos Narrow" w:hAnsi="Aptos Narrow" w:cs="Times New Roman"/>
                <w:color w:val="000000"/>
                <w:sz w:val="18"/>
                <w:szCs w:val="18"/>
                <w:lang w:eastAsia="en-GB"/>
              </w:rPr>
              <w:t>TP5 −</w:t>
            </w:r>
            <w:r w:rsidRPr="0095296E">
              <w:rPr>
                <w:sz w:val="18"/>
                <w:szCs w:val="18"/>
              </w:rPr>
              <w:t xml:space="preserve"> </w:t>
            </w:r>
            <w:r w:rsidRPr="0095296E">
              <w:rPr>
                <w:rFonts w:ascii="Aptos Narrow" w:hAnsi="Aptos Narrow" w:cs="Times New Roman"/>
                <w:color w:val="000000"/>
                <w:sz w:val="18"/>
                <w:szCs w:val="18"/>
                <w:lang w:eastAsia="en-GB"/>
              </w:rPr>
              <w:t xml:space="preserve">Благоприятная </w:t>
            </w:r>
            <w:r w:rsidRPr="0095296E">
              <w:rPr>
                <w:rFonts w:ascii="Aptos Narrow" w:hAnsi="Aptos Narrow" w:cs="Times New Roman"/>
                <w:color w:val="000000"/>
                <w:sz w:val="18"/>
                <w:szCs w:val="18"/>
                <w:lang w:eastAsia="en-GB"/>
              </w:rPr>
              <w:br/>
              <w:t>среда</w:t>
            </w:r>
          </w:p>
        </w:tc>
      </w:tr>
      <w:tr w:rsidR="004C4D1F" w:rsidRPr="0095296E" w14:paraId="0668E0D4" w14:textId="77777777" w:rsidTr="003F1E66">
        <w:tc>
          <w:tcPr>
            <w:tcW w:w="4957" w:type="dxa"/>
            <w:tcBorders>
              <w:top w:val="single" w:sz="4" w:space="0" w:color="4D93D9"/>
              <w:left w:val="single" w:sz="4" w:space="0" w:color="4D93D9"/>
              <w:bottom w:val="single" w:sz="4" w:space="0" w:color="4D93D9"/>
              <w:right w:val="single" w:sz="4" w:space="0" w:color="4D93D9"/>
            </w:tcBorders>
            <w:shd w:val="clear" w:color="CAEDFB" w:fill="CAEDFB"/>
            <w:vAlign w:val="center"/>
            <w:hideMark/>
          </w:tcPr>
          <w:p w14:paraId="32822B96" w14:textId="2B0F41B3" w:rsidR="004C4D1F" w:rsidRPr="0095296E" w:rsidRDefault="004C4D1F" w:rsidP="004C4D1F">
            <w:pPr>
              <w:pStyle w:val="Tabletext"/>
              <w:rPr>
                <w:color w:val="000000"/>
                <w:sz w:val="18"/>
                <w:szCs w:val="18"/>
                <w:lang w:eastAsia="en-GB"/>
              </w:rPr>
            </w:pPr>
            <w:r w:rsidRPr="0095296E">
              <w:rPr>
                <w:b/>
                <w:bCs/>
                <w:sz w:val="18"/>
                <w:szCs w:val="18"/>
                <w:lang w:eastAsia="en-GB"/>
              </w:rPr>
              <w:t>P1 − Возможность установления приемлемых в</w:t>
            </w:r>
            <w:r w:rsidR="00D164A6" w:rsidRPr="0095296E">
              <w:rPr>
                <w:b/>
                <w:bCs/>
                <w:sz w:val="18"/>
                <w:szCs w:val="18"/>
                <w:lang w:eastAsia="en-GB"/>
              </w:rPr>
              <w:t> </w:t>
            </w:r>
            <w:r w:rsidRPr="0095296E">
              <w:rPr>
                <w:b/>
                <w:bCs/>
                <w:sz w:val="18"/>
                <w:szCs w:val="18"/>
                <w:lang w:eastAsia="en-GB"/>
              </w:rPr>
              <w:t xml:space="preserve">ценовом отношении соединений </w:t>
            </w:r>
            <w:r w:rsidRPr="0095296E">
              <w:rPr>
                <w:sz w:val="18"/>
                <w:szCs w:val="18"/>
                <w:lang w:eastAsia="en-GB"/>
              </w:rPr>
              <w:br/>
              <w:t>(в т. ч. сети и цифровая инфраструктура, электросвязь в</w:t>
            </w:r>
            <w:r w:rsidR="00D164A6" w:rsidRPr="0095296E">
              <w:rPr>
                <w:sz w:val="18"/>
                <w:szCs w:val="18"/>
                <w:lang w:eastAsia="en-GB"/>
              </w:rPr>
              <w:t> </w:t>
            </w:r>
            <w:r w:rsidRPr="0095296E">
              <w:rPr>
                <w:sz w:val="18"/>
                <w:szCs w:val="18"/>
                <w:lang w:eastAsia="en-GB"/>
              </w:rPr>
              <w:t>чрезвычайных ситуациях)</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46CEF4D4"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0C9352F8"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1134"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0AE2A16E"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3357A851"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44E0FD79"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r>
      <w:tr w:rsidR="004C4D1F" w:rsidRPr="0095296E" w14:paraId="4A05FB65" w14:textId="77777777" w:rsidTr="003F1E66">
        <w:tc>
          <w:tcPr>
            <w:tcW w:w="4957" w:type="dxa"/>
            <w:tcBorders>
              <w:top w:val="single" w:sz="4" w:space="0" w:color="4D93D9"/>
              <w:left w:val="single" w:sz="4" w:space="0" w:color="4D93D9"/>
              <w:bottom w:val="single" w:sz="4" w:space="0" w:color="4D93D9"/>
              <w:right w:val="single" w:sz="4" w:space="0" w:color="4D93D9"/>
            </w:tcBorders>
            <w:vAlign w:val="bottom"/>
            <w:hideMark/>
          </w:tcPr>
          <w:p w14:paraId="0085DEA4" w14:textId="77777777" w:rsidR="004C4D1F" w:rsidRPr="0095296E" w:rsidRDefault="004C4D1F" w:rsidP="004C4D1F">
            <w:pPr>
              <w:pStyle w:val="Tabletext"/>
              <w:rPr>
                <w:color w:val="000000"/>
                <w:sz w:val="18"/>
                <w:szCs w:val="18"/>
                <w:lang w:eastAsia="en-GB"/>
              </w:rPr>
            </w:pPr>
            <w:r w:rsidRPr="0095296E">
              <w:rPr>
                <w:b/>
                <w:bCs/>
                <w:sz w:val="18"/>
                <w:szCs w:val="18"/>
                <w:lang w:eastAsia="en-GB"/>
              </w:rPr>
              <w:t>P2 – Цифровая трансформация</w:t>
            </w:r>
            <w:r w:rsidRPr="0095296E">
              <w:rPr>
                <w:sz w:val="18"/>
                <w:szCs w:val="18"/>
                <w:lang w:eastAsia="en-GB"/>
              </w:rPr>
              <w:br/>
              <w:t>(в т. ч. цифровые услуги и приложения, экосистема цифровых инноваций, развитие потенциала, приверженность экологической устойчивости)</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2ABAE0D8"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5E5078D6" w14:textId="00C79A79" w:rsidR="004C4D1F" w:rsidRPr="0095296E" w:rsidRDefault="004C4D1F" w:rsidP="003F1E66">
            <w:pPr>
              <w:pStyle w:val="Tabletext"/>
              <w:jc w:val="center"/>
              <w:rPr>
                <w:rFonts w:ascii="Aptos Narrow" w:hAnsi="Aptos Narrow"/>
                <w:color w:val="000000"/>
                <w:sz w:val="18"/>
                <w:szCs w:val="18"/>
                <w:lang w:eastAsia="en-GB"/>
              </w:rPr>
            </w:pPr>
          </w:p>
        </w:tc>
        <w:tc>
          <w:tcPr>
            <w:tcW w:w="1134" w:type="dxa"/>
            <w:tcBorders>
              <w:top w:val="single" w:sz="4" w:space="0" w:color="4D93D9"/>
              <w:left w:val="single" w:sz="4" w:space="0" w:color="4D93D9"/>
              <w:bottom w:val="single" w:sz="4" w:space="0" w:color="4D93D9"/>
              <w:right w:val="single" w:sz="4" w:space="0" w:color="4D93D9"/>
            </w:tcBorders>
            <w:noWrap/>
            <w:vAlign w:val="center"/>
            <w:hideMark/>
          </w:tcPr>
          <w:p w14:paraId="5038A230"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noWrap/>
            <w:vAlign w:val="center"/>
            <w:hideMark/>
          </w:tcPr>
          <w:p w14:paraId="27B2F7EF"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noWrap/>
            <w:vAlign w:val="center"/>
            <w:hideMark/>
          </w:tcPr>
          <w:p w14:paraId="17DE6644"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r>
      <w:tr w:rsidR="004C4D1F" w:rsidRPr="0095296E" w14:paraId="47B152B9" w14:textId="77777777" w:rsidTr="003F1E66">
        <w:tc>
          <w:tcPr>
            <w:tcW w:w="4957" w:type="dxa"/>
            <w:tcBorders>
              <w:top w:val="single" w:sz="4" w:space="0" w:color="4D93D9"/>
              <w:left w:val="single" w:sz="4" w:space="0" w:color="4D93D9"/>
              <w:bottom w:val="single" w:sz="4" w:space="0" w:color="4D93D9"/>
              <w:right w:val="single" w:sz="4" w:space="0" w:color="4D93D9"/>
            </w:tcBorders>
            <w:shd w:val="clear" w:color="CAEDFB" w:fill="CAEDFB"/>
            <w:vAlign w:val="bottom"/>
            <w:hideMark/>
          </w:tcPr>
          <w:p w14:paraId="628A3079" w14:textId="5E44DF82" w:rsidR="004C4D1F" w:rsidRPr="0095296E" w:rsidRDefault="004C4D1F" w:rsidP="004C4D1F">
            <w:pPr>
              <w:pStyle w:val="Tabletext"/>
              <w:rPr>
                <w:color w:val="000000"/>
                <w:sz w:val="18"/>
                <w:szCs w:val="18"/>
                <w:lang w:eastAsia="en-GB"/>
              </w:rPr>
            </w:pPr>
            <w:r w:rsidRPr="0095296E">
              <w:rPr>
                <w:b/>
                <w:bCs/>
                <w:sz w:val="18"/>
                <w:szCs w:val="18"/>
                <w:lang w:eastAsia="en-GB"/>
              </w:rPr>
              <w:t xml:space="preserve">P3 − Благоприятная политическая и регуляторная среда </w:t>
            </w:r>
            <w:r w:rsidRPr="0095296E">
              <w:rPr>
                <w:sz w:val="18"/>
                <w:szCs w:val="18"/>
                <w:lang w:eastAsia="en-GB"/>
              </w:rPr>
              <w:br/>
              <w:t>(в т. ч. политика и регулирование, предоставление информации и статистических данных)</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6A72898A"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47136F70"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1134"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4FA702A3"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551D1715"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580B61BC"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r>
      <w:tr w:rsidR="004C4D1F" w:rsidRPr="0095296E" w14:paraId="1F0FD3A7" w14:textId="77777777" w:rsidTr="003F1E66">
        <w:tc>
          <w:tcPr>
            <w:tcW w:w="4957" w:type="dxa"/>
            <w:tcBorders>
              <w:top w:val="single" w:sz="4" w:space="0" w:color="4D93D9"/>
              <w:left w:val="single" w:sz="4" w:space="0" w:color="4D93D9"/>
              <w:bottom w:val="single" w:sz="4" w:space="0" w:color="4D93D9"/>
              <w:right w:val="single" w:sz="4" w:space="0" w:color="4D93D9"/>
            </w:tcBorders>
            <w:vAlign w:val="bottom"/>
            <w:hideMark/>
          </w:tcPr>
          <w:p w14:paraId="78BF4C7C" w14:textId="52F095CB" w:rsidR="004C4D1F" w:rsidRPr="0095296E" w:rsidRDefault="004C4D1F" w:rsidP="004C4D1F">
            <w:pPr>
              <w:pStyle w:val="Tabletext"/>
              <w:rPr>
                <w:color w:val="000000"/>
                <w:sz w:val="18"/>
                <w:szCs w:val="18"/>
                <w:lang w:eastAsia="en-GB"/>
              </w:rPr>
            </w:pPr>
            <w:r w:rsidRPr="0095296E">
              <w:rPr>
                <w:b/>
                <w:bCs/>
                <w:sz w:val="18"/>
                <w:szCs w:val="18"/>
                <w:lang w:eastAsia="en-GB"/>
              </w:rPr>
              <w:t>P4 − Мобилизация ресурсов, партнерские отношения и</w:t>
            </w:r>
            <w:r w:rsidR="00D164A6" w:rsidRPr="0095296E">
              <w:rPr>
                <w:b/>
                <w:bCs/>
                <w:sz w:val="18"/>
                <w:szCs w:val="18"/>
                <w:lang w:eastAsia="en-GB"/>
              </w:rPr>
              <w:t> </w:t>
            </w:r>
            <w:r w:rsidRPr="0095296E">
              <w:rPr>
                <w:b/>
                <w:bCs/>
                <w:sz w:val="18"/>
                <w:szCs w:val="18"/>
                <w:lang w:eastAsia="en-GB"/>
              </w:rPr>
              <w:t xml:space="preserve">международное сотрудничество </w:t>
            </w:r>
            <w:r w:rsidRPr="0095296E">
              <w:rPr>
                <w:sz w:val="18"/>
                <w:szCs w:val="18"/>
                <w:lang w:eastAsia="en-GB"/>
              </w:rPr>
              <w:br/>
              <w:t>(сквозной)</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5DE6239C"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60F10D88"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1134" w:type="dxa"/>
            <w:tcBorders>
              <w:top w:val="single" w:sz="4" w:space="0" w:color="4D93D9"/>
              <w:left w:val="single" w:sz="4" w:space="0" w:color="4D93D9"/>
              <w:bottom w:val="single" w:sz="4" w:space="0" w:color="4D93D9"/>
              <w:right w:val="single" w:sz="4" w:space="0" w:color="4D93D9"/>
            </w:tcBorders>
            <w:noWrap/>
            <w:vAlign w:val="center"/>
            <w:hideMark/>
          </w:tcPr>
          <w:p w14:paraId="1AA10FE5"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noWrap/>
            <w:vAlign w:val="center"/>
            <w:hideMark/>
          </w:tcPr>
          <w:p w14:paraId="2FEB96D7"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noWrap/>
            <w:vAlign w:val="center"/>
            <w:hideMark/>
          </w:tcPr>
          <w:p w14:paraId="7C0676FD"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r>
      <w:tr w:rsidR="004C4D1F" w:rsidRPr="0095296E" w14:paraId="778C24E0" w14:textId="77777777" w:rsidTr="003F1E66">
        <w:tc>
          <w:tcPr>
            <w:tcW w:w="4957" w:type="dxa"/>
            <w:tcBorders>
              <w:top w:val="single" w:sz="4" w:space="0" w:color="4D93D9"/>
              <w:left w:val="single" w:sz="4" w:space="0" w:color="4D93D9"/>
              <w:bottom w:val="single" w:sz="4" w:space="0" w:color="4D93D9"/>
              <w:right w:val="single" w:sz="4" w:space="0" w:color="4D93D9"/>
            </w:tcBorders>
            <w:shd w:val="clear" w:color="CAEDFB" w:fill="CAEDFB"/>
            <w:vAlign w:val="bottom"/>
            <w:hideMark/>
          </w:tcPr>
          <w:p w14:paraId="3D377E5E" w14:textId="31F26486" w:rsidR="004C4D1F" w:rsidRPr="0095296E" w:rsidRDefault="004C4D1F" w:rsidP="004C4D1F">
            <w:pPr>
              <w:pStyle w:val="Tabletext"/>
              <w:rPr>
                <w:color w:val="000000"/>
                <w:sz w:val="18"/>
                <w:szCs w:val="18"/>
                <w:lang w:eastAsia="en-GB"/>
              </w:rPr>
            </w:pPr>
            <w:r w:rsidRPr="0095296E">
              <w:rPr>
                <w:b/>
                <w:bCs/>
                <w:sz w:val="18"/>
                <w:szCs w:val="18"/>
                <w:lang w:eastAsia="en-GB"/>
              </w:rPr>
              <w:t xml:space="preserve">P5 − Инклюзивная, безопасная и защищенная электросвязь/ИКТ для устойчивого развития </w:t>
            </w:r>
            <w:r w:rsidRPr="0095296E">
              <w:rPr>
                <w:sz w:val="18"/>
                <w:szCs w:val="18"/>
                <w:lang w:eastAsia="en-GB"/>
              </w:rPr>
              <w:br/>
              <w:t>(в т. ч. кибербезопасность, охват цифровыми технологиями)</w:t>
            </w: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14F7A7AE" w14:textId="3A5418AD" w:rsidR="004C4D1F" w:rsidRPr="0095296E" w:rsidRDefault="004C4D1F" w:rsidP="003F1E66">
            <w:pPr>
              <w:pStyle w:val="Tabletext"/>
              <w:jc w:val="center"/>
              <w:rPr>
                <w:rFonts w:ascii="Aptos Narrow" w:hAnsi="Aptos Narrow"/>
                <w:color w:val="000000"/>
                <w:sz w:val="18"/>
                <w:szCs w:val="18"/>
                <w:lang w:eastAsia="en-GB"/>
              </w:rPr>
            </w:pPr>
          </w:p>
        </w:tc>
        <w:tc>
          <w:tcPr>
            <w:tcW w:w="921"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7BE87548" w14:textId="4CF6FCFB" w:rsidR="004C4D1F" w:rsidRPr="0095296E" w:rsidRDefault="004C4D1F" w:rsidP="003F1E66">
            <w:pPr>
              <w:pStyle w:val="Tabletext"/>
              <w:jc w:val="center"/>
              <w:rPr>
                <w:rFonts w:ascii="Aptos Narrow" w:hAnsi="Aptos Narrow"/>
                <w:color w:val="000000"/>
                <w:sz w:val="18"/>
                <w:szCs w:val="18"/>
                <w:lang w:eastAsia="en-GB"/>
              </w:rPr>
            </w:pPr>
          </w:p>
        </w:tc>
        <w:tc>
          <w:tcPr>
            <w:tcW w:w="1134"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1FE83867"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2AC89AF7"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shd w:val="clear" w:color="CAEDFB" w:fill="CAEDFB"/>
            <w:noWrap/>
            <w:vAlign w:val="center"/>
            <w:hideMark/>
          </w:tcPr>
          <w:p w14:paraId="6CEDBD82"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r>
      <w:tr w:rsidR="004C4D1F" w:rsidRPr="0095296E" w14:paraId="42862D07" w14:textId="77777777" w:rsidTr="003F1E66">
        <w:tc>
          <w:tcPr>
            <w:tcW w:w="4957" w:type="dxa"/>
            <w:tcBorders>
              <w:top w:val="single" w:sz="4" w:space="0" w:color="4D93D9"/>
              <w:left w:val="single" w:sz="4" w:space="0" w:color="4D93D9"/>
              <w:bottom w:val="single" w:sz="4" w:space="0" w:color="4D93D9"/>
              <w:right w:val="single" w:sz="4" w:space="0" w:color="4D93D9"/>
            </w:tcBorders>
            <w:vAlign w:val="bottom"/>
            <w:hideMark/>
          </w:tcPr>
          <w:p w14:paraId="566FA0EE" w14:textId="1F4248FE" w:rsidR="004C4D1F" w:rsidRPr="0095296E" w:rsidRDefault="004C4D1F" w:rsidP="004C4D1F">
            <w:pPr>
              <w:pStyle w:val="Tabletext"/>
              <w:rPr>
                <w:color w:val="000000"/>
                <w:sz w:val="18"/>
                <w:szCs w:val="18"/>
                <w:lang w:eastAsia="en-GB"/>
              </w:rPr>
            </w:pPr>
            <w:r w:rsidRPr="0095296E">
              <w:rPr>
                <w:b/>
                <w:bCs/>
                <w:sz w:val="18"/>
                <w:szCs w:val="18"/>
                <w:lang w:eastAsia="en-GB"/>
              </w:rPr>
              <w:t xml:space="preserve">E − Организационная эффективность </w:t>
            </w:r>
            <w:r w:rsidRPr="0095296E">
              <w:rPr>
                <w:sz w:val="18"/>
                <w:szCs w:val="18"/>
                <w:lang w:eastAsia="en-GB"/>
              </w:rPr>
              <w:br/>
              <w:t>(сквозной, в т. ч. ориентация на интересы членов, региональное присутствие, управление проектами, вспомогательные услуги)</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137DB889"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921" w:type="dxa"/>
            <w:tcBorders>
              <w:top w:val="single" w:sz="4" w:space="0" w:color="4D93D9"/>
              <w:left w:val="single" w:sz="4" w:space="0" w:color="4D93D9"/>
              <w:bottom w:val="single" w:sz="4" w:space="0" w:color="4D93D9"/>
              <w:right w:val="single" w:sz="4" w:space="0" w:color="4D93D9"/>
            </w:tcBorders>
            <w:noWrap/>
            <w:vAlign w:val="center"/>
            <w:hideMark/>
          </w:tcPr>
          <w:p w14:paraId="591D0CBA"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1134" w:type="dxa"/>
            <w:tcBorders>
              <w:top w:val="single" w:sz="4" w:space="0" w:color="4D93D9"/>
              <w:left w:val="single" w:sz="4" w:space="0" w:color="4D93D9"/>
              <w:bottom w:val="single" w:sz="4" w:space="0" w:color="4D93D9"/>
              <w:right w:val="single" w:sz="4" w:space="0" w:color="4D93D9"/>
            </w:tcBorders>
            <w:noWrap/>
            <w:vAlign w:val="center"/>
            <w:hideMark/>
          </w:tcPr>
          <w:p w14:paraId="4A7E14CF"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7" w:type="dxa"/>
            <w:tcBorders>
              <w:top w:val="single" w:sz="4" w:space="0" w:color="4D93D9"/>
              <w:left w:val="single" w:sz="4" w:space="0" w:color="4D93D9"/>
              <w:bottom w:val="single" w:sz="4" w:space="0" w:color="4D93D9"/>
              <w:right w:val="single" w:sz="4" w:space="0" w:color="4D93D9"/>
            </w:tcBorders>
            <w:noWrap/>
            <w:vAlign w:val="center"/>
            <w:hideMark/>
          </w:tcPr>
          <w:p w14:paraId="61F12FD9"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c>
          <w:tcPr>
            <w:tcW w:w="848" w:type="dxa"/>
            <w:tcBorders>
              <w:top w:val="single" w:sz="4" w:space="0" w:color="4D93D9"/>
              <w:left w:val="single" w:sz="4" w:space="0" w:color="4D93D9"/>
              <w:bottom w:val="single" w:sz="4" w:space="0" w:color="4D93D9"/>
              <w:right w:val="single" w:sz="4" w:space="0" w:color="4D93D9"/>
            </w:tcBorders>
            <w:noWrap/>
            <w:vAlign w:val="center"/>
            <w:hideMark/>
          </w:tcPr>
          <w:p w14:paraId="7CC59230" w14:textId="77777777" w:rsidR="004C4D1F" w:rsidRPr="0095296E" w:rsidRDefault="004C4D1F" w:rsidP="003F1E66">
            <w:pPr>
              <w:pStyle w:val="Tabletext"/>
              <w:jc w:val="center"/>
              <w:rPr>
                <w:rFonts w:ascii="Wingdings" w:hAnsi="Wingdings"/>
                <w:color w:val="000000"/>
                <w:sz w:val="18"/>
                <w:szCs w:val="18"/>
                <w:lang w:eastAsia="en-GB"/>
              </w:rPr>
            </w:pPr>
            <w:r w:rsidRPr="0095296E">
              <w:rPr>
                <w:rFonts w:ascii="Wingdings" w:hAnsi="Wingdings"/>
                <w:color w:val="000000"/>
                <w:sz w:val="18"/>
                <w:szCs w:val="18"/>
                <w:lang w:eastAsia="en-GB"/>
              </w:rPr>
              <w:t>ü</w:t>
            </w:r>
          </w:p>
        </w:tc>
      </w:tr>
    </w:tbl>
    <w:p w14:paraId="4D3E0ECF" w14:textId="0BD5FE85" w:rsidR="000318C5" w:rsidRPr="0095296E" w:rsidRDefault="000318C5" w:rsidP="00DD71E5">
      <w:pPr>
        <w:pStyle w:val="Tablelegend"/>
        <w:rPr>
          <w:rFonts w:eastAsia="Calibri"/>
          <w:sz w:val="18"/>
          <w:szCs w:val="18"/>
        </w:rPr>
      </w:pPr>
      <w:r w:rsidRPr="0095296E">
        <w:rPr>
          <w:sz w:val="18"/>
          <w:szCs w:val="18"/>
        </w:rPr>
        <w:t>Примечание. − В скобках рядом с каждым приоритетом</w:t>
      </w:r>
      <w:r w:rsidR="005E5E29" w:rsidRPr="0095296E">
        <w:rPr>
          <w:sz w:val="18"/>
          <w:szCs w:val="18"/>
        </w:rPr>
        <w:t xml:space="preserve"> МСЭ-D</w:t>
      </w:r>
      <w:r w:rsidRPr="0095296E">
        <w:rPr>
          <w:sz w:val="18"/>
          <w:szCs w:val="18"/>
        </w:rPr>
        <w:t xml:space="preserve">/средством достижения целей перечислены соответствующие темы/программы, в рамках которых предпринимаются действия и достигаются </w:t>
      </w:r>
      <w:r w:rsidR="00804FCF" w:rsidRPr="0095296E">
        <w:rPr>
          <w:sz w:val="18"/>
          <w:szCs w:val="18"/>
        </w:rPr>
        <w:t xml:space="preserve">намеченные </w:t>
      </w:r>
      <w:r w:rsidRPr="0095296E">
        <w:rPr>
          <w:sz w:val="18"/>
          <w:szCs w:val="18"/>
        </w:rPr>
        <w:t>результаты</w:t>
      </w:r>
      <w:r w:rsidR="00804FCF" w:rsidRPr="0095296E">
        <w:rPr>
          <w:sz w:val="18"/>
          <w:szCs w:val="18"/>
        </w:rPr>
        <w:t xml:space="preserve"> деятельности</w:t>
      </w:r>
      <w:r w:rsidRPr="0095296E">
        <w:rPr>
          <w:sz w:val="18"/>
          <w:szCs w:val="18"/>
        </w:rPr>
        <w:t>.</w:t>
      </w:r>
    </w:p>
    <w:p w14:paraId="60CAF64F" w14:textId="77777777" w:rsidR="000318C5" w:rsidRPr="0095296E" w:rsidRDefault="000318C5" w:rsidP="00E45F67">
      <w:pPr>
        <w:pStyle w:val="Heading2"/>
        <w:rPr>
          <w:rFonts w:eastAsia="Calibri"/>
          <w:szCs w:val="24"/>
        </w:rPr>
      </w:pPr>
      <w:r w:rsidRPr="0095296E">
        <w:t>2.4</w:t>
      </w:r>
      <w:r w:rsidRPr="0095296E">
        <w:tab/>
        <w:t xml:space="preserve">Выполнение ОП-26: разделение обязанностей и отчетность </w:t>
      </w:r>
    </w:p>
    <w:p w14:paraId="6558301B" w14:textId="51280497" w:rsidR="000318C5" w:rsidRPr="0095296E" w:rsidRDefault="000318C5" w:rsidP="00E45F67">
      <w:pPr>
        <w:rPr>
          <w:rFonts w:eastAsia="Calibri"/>
          <w:szCs w:val="24"/>
        </w:rPr>
      </w:pPr>
      <w:r w:rsidRPr="0095296E">
        <w:t>Достижение намеченных результатов деятельности, определенных в Оперативном плане на 2026</w:t>
      </w:r>
      <w:r w:rsidR="00E45F67" w:rsidRPr="0095296E">
        <w:t> </w:t>
      </w:r>
      <w:r w:rsidRPr="0095296E">
        <w:t xml:space="preserve">год, будет осуществляться ответственными департаментами Бюро развития электросвязи (БРЭ) и региональными отделениями. Вспомогательные услуги предоставляются БРЭ и Генеральным секретариатом в соответствии с согласованными ежегодными соглашениями об уровне обслуживания (для предоставления внутренних услуг). Описание вспомогательных услуг, предоставляемых Генеральным секретариатом, содержится в Оперативном плане Генерального секретариата. </w:t>
      </w:r>
    </w:p>
    <w:p w14:paraId="033A5BDF" w14:textId="3AA8076E" w:rsidR="000318C5" w:rsidRPr="0095296E" w:rsidRDefault="000318C5" w:rsidP="00E45F67">
      <w:pPr>
        <w:rPr>
          <w:rFonts w:eastAsia="Calibri"/>
          <w:szCs w:val="24"/>
        </w:rPr>
      </w:pPr>
      <w:r w:rsidRPr="0095296E">
        <w:t xml:space="preserve">Достижение намеченных результатов деятельности (продуктов и услуг МСЭ-D) и предоставление соответствующих вспомогательных услуг планирует, контролирует и оценивает руководство МСЭ на основе конечных результатов по приоритетам </w:t>
      </w:r>
      <w:r w:rsidR="005E5E29" w:rsidRPr="0095296E">
        <w:t xml:space="preserve">МСЭ-D </w:t>
      </w:r>
      <w:r w:rsidRPr="0095296E">
        <w:t>и средств</w:t>
      </w:r>
      <w:r w:rsidR="005E5E29" w:rsidRPr="0095296E">
        <w:t>у</w:t>
      </w:r>
      <w:r w:rsidRPr="0095296E">
        <w:t xml:space="preserve"> достижения целей, определенных в БПД и согласованных с задачами Стратегического плана МСЭ. Помимо этого:</w:t>
      </w:r>
    </w:p>
    <w:p w14:paraId="70E3283D" w14:textId="190B8E73" w:rsidR="000318C5" w:rsidRPr="0095296E" w:rsidRDefault="00E45F67" w:rsidP="00E45F67">
      <w:pPr>
        <w:pStyle w:val="enumlev1"/>
        <w:rPr>
          <w:rFonts w:eastAsia="Calibri"/>
          <w:szCs w:val="24"/>
        </w:rPr>
      </w:pPr>
      <w:r w:rsidRPr="0095296E">
        <w:t>−</w:t>
      </w:r>
      <w:r w:rsidRPr="0095296E">
        <w:tab/>
      </w:r>
      <w:r w:rsidR="000318C5" w:rsidRPr="0095296E">
        <w:t>в ежегодном отчете КГРЭ о выполнении БПД будет содержаться информация о продуктах и услугах, предоставленных БРЭ</w:t>
      </w:r>
      <w:r w:rsidR="00EB7679" w:rsidRPr="0095296E">
        <w:t xml:space="preserve"> в виде вклада </w:t>
      </w:r>
      <w:r w:rsidR="000318C5" w:rsidRPr="0095296E">
        <w:t>в достижени</w:t>
      </w:r>
      <w:r w:rsidR="00EB7679" w:rsidRPr="0095296E">
        <w:t>е</w:t>
      </w:r>
      <w:r w:rsidR="000318C5" w:rsidRPr="0095296E">
        <w:t xml:space="preserve"> конечных результатов, установленных в БПД Государствами-Членами; </w:t>
      </w:r>
    </w:p>
    <w:p w14:paraId="558BAF23" w14:textId="638BD73C" w:rsidR="000318C5" w:rsidRPr="0095296E" w:rsidRDefault="00E45F67" w:rsidP="00E45F67">
      <w:pPr>
        <w:pStyle w:val="enumlev1"/>
        <w:rPr>
          <w:rFonts w:eastAsia="Calibri"/>
          <w:szCs w:val="24"/>
        </w:rPr>
      </w:pPr>
      <w:r w:rsidRPr="0095296E">
        <w:lastRenderedPageBreak/>
        <w:t>−</w:t>
      </w:r>
      <w:r w:rsidRPr="0095296E">
        <w:tab/>
      </w:r>
      <w:r w:rsidR="000318C5" w:rsidRPr="0095296E">
        <w:t xml:space="preserve">в ежегодном отчете Совету о выполнении Стратегического плана МСЭ будет содержаться отчет о прогрессе, достигнутом по тематическим приоритетным областям и по стратегическим целям МСЭ; </w:t>
      </w:r>
    </w:p>
    <w:p w14:paraId="6ACAAFBF" w14:textId="16D24FCB" w:rsidR="000318C5" w:rsidRPr="0095296E" w:rsidRDefault="00E45F67" w:rsidP="00E45F67">
      <w:pPr>
        <w:pStyle w:val="enumlev1"/>
        <w:rPr>
          <w:rFonts w:eastAsia="Calibri"/>
          <w:szCs w:val="24"/>
        </w:rPr>
      </w:pPr>
      <w:r w:rsidRPr="0095296E">
        <w:t>−</w:t>
      </w:r>
      <w:r w:rsidRPr="0095296E">
        <w:tab/>
      </w:r>
      <w:r w:rsidR="000318C5" w:rsidRPr="0095296E">
        <w:t>выполнение БПД было начато в январе 2026 года и продолжится до конца 2029</w:t>
      </w:r>
      <w:r w:rsidR="0024149C" w:rsidRPr="0095296E">
        <w:t> </w:t>
      </w:r>
      <w:r w:rsidR="000318C5" w:rsidRPr="0095296E">
        <w:t>года. Отчет о выполнении текущей работы будет представлен КГРЭ-27.</w:t>
      </w:r>
    </w:p>
    <w:p w14:paraId="7CC53103" w14:textId="77777777" w:rsidR="000318C5" w:rsidRPr="0095296E" w:rsidRDefault="000318C5" w:rsidP="00E45F67">
      <w:pPr>
        <w:pStyle w:val="Heading2"/>
        <w:rPr>
          <w:rFonts w:eastAsia="Calibri"/>
          <w:szCs w:val="24"/>
        </w:rPr>
      </w:pPr>
      <w:r w:rsidRPr="0095296E">
        <w:t>2.5</w:t>
      </w:r>
      <w:r w:rsidRPr="0095296E">
        <w:tab/>
        <w:t>Анализ рисков</w:t>
      </w:r>
    </w:p>
    <w:p w14:paraId="33F63F65" w14:textId="249B497C" w:rsidR="000318C5" w:rsidRPr="0095296E" w:rsidRDefault="000318C5" w:rsidP="00E45F67">
      <w:pPr>
        <w:rPr>
          <w:rFonts w:eastAsia="Calibri"/>
        </w:rPr>
      </w:pPr>
      <w:r w:rsidRPr="0095296E">
        <w:t>Что касается управления рисками, помимо включенных в Оперативный план на 2026</w:t>
      </w:r>
      <w:r w:rsidR="004436FC" w:rsidRPr="0095296E">
        <w:t> </w:t>
      </w:r>
      <w:r w:rsidRPr="0095296E">
        <w:t>год операционных рисков, которые будут периодически пересматриваться высшим руководством, все департаменты и региональные отделения будут выявлять и оценивать риски, связанные с достижением соответствующих намеченных результатов деятельности и предоставлением вспомогательных услуг, а также управлять такими рисками, используя подход на основе многоуровневого управления рисками.</w:t>
      </w:r>
    </w:p>
    <w:p w14:paraId="08EAD08C" w14:textId="05D26E37" w:rsidR="000318C5" w:rsidRPr="0095296E" w:rsidRDefault="000318C5" w:rsidP="00E45F67">
      <w:pPr>
        <w:spacing w:after="120"/>
      </w:pPr>
      <w:r w:rsidRPr="0095296E">
        <w:t xml:space="preserve">В приведенной ниже таблице отображены основные операционные риски на период </w:t>
      </w:r>
      <w:proofErr w:type="gramStart"/>
      <w:r w:rsidRPr="0095296E">
        <w:t>2026</w:t>
      </w:r>
      <w:r w:rsidR="00E45F67" w:rsidRPr="0095296E">
        <w:t>−</w:t>
      </w:r>
      <w:r w:rsidRPr="0095296E">
        <w:t>2029</w:t>
      </w:r>
      <w:proofErr w:type="gramEnd"/>
      <w:r w:rsidR="00E45F67" w:rsidRPr="0095296E">
        <w:t> </w:t>
      </w:r>
      <w:r w:rsidRPr="0095296E">
        <w:t>годов. Эти риски будут пересматриваться на регулярной основе для учета изменений во</w:t>
      </w:r>
      <w:r w:rsidR="00E45F67" w:rsidRPr="0095296E">
        <w:t> </w:t>
      </w:r>
      <w:r w:rsidRPr="0095296E">
        <w:t>внутренней и внешней среде, которые могут оказать влияние на выполнение оперативных планов МСЭ-D.</w:t>
      </w:r>
    </w:p>
    <w:tbl>
      <w:tblPr>
        <w:tblStyle w:val="GridTable4-Accent11"/>
        <w:tblW w:w="9640" w:type="dxa"/>
        <w:tblLayout w:type="fixed"/>
        <w:tblLook w:val="06A0" w:firstRow="1" w:lastRow="0" w:firstColumn="1" w:lastColumn="0" w:noHBand="1" w:noVBand="1"/>
      </w:tblPr>
      <w:tblGrid>
        <w:gridCol w:w="1871"/>
        <w:gridCol w:w="1952"/>
        <w:gridCol w:w="1228"/>
        <w:gridCol w:w="1229"/>
        <w:gridCol w:w="3360"/>
      </w:tblGrid>
      <w:tr w:rsidR="00792CB2" w:rsidRPr="0095296E" w14:paraId="39D33DA3" w14:textId="77777777" w:rsidTr="00792CB2">
        <w:trPr>
          <w:cnfStyle w:val="100000000000" w:firstRow="1" w:lastRow="0" w:firstColumn="0" w:lastColumn="0" w:oddVBand="0" w:evenVBand="0" w:oddHBand="0" w:evenHBand="0" w:firstRowFirstColumn="0" w:firstRowLastColumn="0" w:lastRowFirstColumn="0" w:lastRowLastColumn="0"/>
          <w:trHeight w:val="799"/>
          <w:tblHeader/>
        </w:trPr>
        <w:tc>
          <w:tcPr>
            <w:cnfStyle w:val="001000000000" w:firstRow="0" w:lastRow="0" w:firstColumn="1" w:lastColumn="0" w:oddVBand="0" w:evenVBand="0" w:oddHBand="0" w:evenHBand="0" w:firstRowFirstColumn="0" w:firstRowLastColumn="0" w:lastRowFirstColumn="0" w:lastRowLastColumn="0"/>
            <w:tcW w:w="1871" w:type="dxa"/>
            <w:vAlign w:val="center"/>
          </w:tcPr>
          <w:p w14:paraId="334F4FF2" w14:textId="77777777" w:rsidR="000318C5" w:rsidRPr="0095296E" w:rsidRDefault="000318C5" w:rsidP="00E45F67">
            <w:pPr>
              <w:pStyle w:val="Tablehead"/>
              <w:rPr>
                <w:b/>
                <w:bCs w:val="0"/>
                <w:color w:val="FFFFFF" w:themeColor="background1"/>
                <w:sz w:val="18"/>
                <w:szCs w:val="18"/>
              </w:rPr>
            </w:pPr>
            <w:r w:rsidRPr="0095296E">
              <w:rPr>
                <w:b/>
                <w:bCs w:val="0"/>
                <w:color w:val="FFFFFF" w:themeColor="background1"/>
                <w:sz w:val="18"/>
                <w:szCs w:val="18"/>
              </w:rPr>
              <w:t>Перспектива</w:t>
            </w:r>
          </w:p>
        </w:tc>
        <w:tc>
          <w:tcPr>
            <w:tcW w:w="1952" w:type="dxa"/>
            <w:vAlign w:val="center"/>
          </w:tcPr>
          <w:p w14:paraId="04BABC87" w14:textId="77777777" w:rsidR="000318C5" w:rsidRPr="0095296E" w:rsidRDefault="000318C5" w:rsidP="00E45F67">
            <w:pPr>
              <w:pStyle w:val="Table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5296E">
              <w:rPr>
                <w:b/>
                <w:bCs w:val="0"/>
                <w:color w:val="FFFFFF" w:themeColor="background1"/>
                <w:sz w:val="18"/>
                <w:szCs w:val="18"/>
              </w:rPr>
              <w:t>Описание риска</w:t>
            </w:r>
          </w:p>
        </w:tc>
        <w:tc>
          <w:tcPr>
            <w:tcW w:w="1228" w:type="dxa"/>
            <w:vAlign w:val="center"/>
          </w:tcPr>
          <w:p w14:paraId="0ADF30B5" w14:textId="77777777" w:rsidR="000318C5" w:rsidRPr="0095296E" w:rsidRDefault="000318C5" w:rsidP="009E0FDF">
            <w:pPr>
              <w:pStyle w:val="Table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5296E">
              <w:rPr>
                <w:b/>
                <w:bCs w:val="0"/>
                <w:color w:val="FFFFFF" w:themeColor="background1"/>
                <w:sz w:val="18"/>
                <w:szCs w:val="18"/>
              </w:rPr>
              <w:t>Вероятность</w:t>
            </w:r>
          </w:p>
        </w:tc>
        <w:tc>
          <w:tcPr>
            <w:tcW w:w="1229" w:type="dxa"/>
            <w:vAlign w:val="center"/>
          </w:tcPr>
          <w:p w14:paraId="2F5C42EE" w14:textId="77777777" w:rsidR="000318C5" w:rsidRPr="0095296E" w:rsidRDefault="000318C5" w:rsidP="009E0FDF">
            <w:pPr>
              <w:pStyle w:val="Table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5296E">
              <w:rPr>
                <w:b/>
                <w:bCs w:val="0"/>
                <w:color w:val="FFFFFF" w:themeColor="background1"/>
                <w:sz w:val="18"/>
                <w:szCs w:val="18"/>
              </w:rPr>
              <w:t>Уровень воздействия</w:t>
            </w:r>
          </w:p>
        </w:tc>
        <w:tc>
          <w:tcPr>
            <w:tcW w:w="3360" w:type="dxa"/>
            <w:vAlign w:val="center"/>
          </w:tcPr>
          <w:p w14:paraId="018080A0" w14:textId="77777777" w:rsidR="000318C5" w:rsidRPr="0095296E" w:rsidRDefault="000318C5" w:rsidP="009E0FDF">
            <w:pPr>
              <w:pStyle w:val="Tablehead"/>
              <w:tabs>
                <w:tab w:val="clear" w:pos="1134"/>
                <w:tab w:val="clear" w:pos="1871"/>
                <w:tab w:val="clear" w:pos="2268"/>
                <w:tab w:val="left" w:pos="284"/>
              </w:tabs>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5296E">
              <w:rPr>
                <w:b/>
                <w:bCs w:val="0"/>
                <w:color w:val="FFFFFF" w:themeColor="background1"/>
                <w:sz w:val="18"/>
                <w:szCs w:val="18"/>
              </w:rPr>
              <w:t>Меры смягчения</w:t>
            </w:r>
          </w:p>
        </w:tc>
      </w:tr>
      <w:tr w:rsidR="009E0FDF" w:rsidRPr="0095296E" w14:paraId="16884FD9" w14:textId="77777777" w:rsidTr="009E0FDF">
        <w:tc>
          <w:tcPr>
            <w:cnfStyle w:val="001000000000" w:firstRow="0" w:lastRow="0" w:firstColumn="1" w:lastColumn="0" w:oddVBand="0" w:evenVBand="0" w:oddHBand="0" w:evenHBand="0" w:firstRowFirstColumn="0" w:firstRowLastColumn="0" w:lastRowFirstColumn="0" w:lastRowLastColumn="0"/>
            <w:tcW w:w="1871" w:type="dxa"/>
          </w:tcPr>
          <w:p w14:paraId="77F062F1" w14:textId="77777777" w:rsidR="000318C5" w:rsidRPr="0095296E" w:rsidRDefault="000318C5" w:rsidP="00E45F67">
            <w:pPr>
              <w:pStyle w:val="Tabletext"/>
              <w:rPr>
                <w:rFonts w:cs="Calibri"/>
                <w:sz w:val="18"/>
                <w:szCs w:val="18"/>
              </w:rPr>
            </w:pPr>
            <w:r w:rsidRPr="0095296E">
              <w:rPr>
                <w:sz w:val="18"/>
                <w:szCs w:val="18"/>
              </w:rPr>
              <w:t>Финансирование</w:t>
            </w:r>
          </w:p>
        </w:tc>
        <w:tc>
          <w:tcPr>
            <w:tcW w:w="1952" w:type="dxa"/>
          </w:tcPr>
          <w:p w14:paraId="5C109CDA" w14:textId="298CB835" w:rsidR="000318C5" w:rsidRPr="0095296E" w:rsidRDefault="000318C5" w:rsidP="00E45F67">
            <w:pPr>
              <w:pStyle w:val="Tabletext"/>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Нехватка ресурсов/</w:t>
            </w:r>
            <w:r w:rsidR="00E45F67" w:rsidRPr="0095296E">
              <w:rPr>
                <w:sz w:val="18"/>
                <w:szCs w:val="18"/>
              </w:rPr>
              <w:br/>
            </w:r>
            <w:r w:rsidRPr="0095296E">
              <w:rPr>
                <w:sz w:val="18"/>
                <w:szCs w:val="18"/>
              </w:rPr>
              <w:t>недостаточное финансирование</w:t>
            </w:r>
          </w:p>
        </w:tc>
        <w:tc>
          <w:tcPr>
            <w:tcW w:w="1228" w:type="dxa"/>
          </w:tcPr>
          <w:p w14:paraId="045E4738" w14:textId="5F2E4668"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Средняя</w:t>
            </w:r>
          </w:p>
        </w:tc>
        <w:tc>
          <w:tcPr>
            <w:tcW w:w="1229" w:type="dxa"/>
          </w:tcPr>
          <w:p w14:paraId="2FDED1AA"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Высокий</w:t>
            </w:r>
          </w:p>
        </w:tc>
        <w:tc>
          <w:tcPr>
            <w:tcW w:w="3360" w:type="dxa"/>
          </w:tcPr>
          <w:p w14:paraId="121E2194" w14:textId="478DFA42"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sz w:val="18"/>
                <w:szCs w:val="18"/>
              </w:rPr>
              <w:t>Подготовка соответствующего бюджетного прогноза</w:t>
            </w:r>
          </w:p>
          <w:p w14:paraId="28FAF4CC" w14:textId="5CF0D711"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sz w:val="18"/>
                <w:szCs w:val="18"/>
              </w:rPr>
              <w:t>Разработка соответствующих стратегий реализации для сокращения затрат и повышения эффективности</w:t>
            </w:r>
          </w:p>
          <w:p w14:paraId="3E8DFB45" w14:textId="6C0FEBEE"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sz w:val="18"/>
                <w:szCs w:val="18"/>
              </w:rPr>
              <w:t>Мобилизация дополнительных/</w:t>
            </w:r>
            <w:r w:rsidRPr="0095296E">
              <w:rPr>
                <w:sz w:val="18"/>
                <w:szCs w:val="18"/>
              </w:rPr>
              <w:br/>
            </w:r>
            <w:r w:rsidR="000318C5" w:rsidRPr="0095296E">
              <w:rPr>
                <w:sz w:val="18"/>
                <w:szCs w:val="18"/>
              </w:rPr>
              <w:t>внебюджетных ресурсов по мере необходимости</w:t>
            </w:r>
          </w:p>
          <w:p w14:paraId="67ED52A4" w14:textId="39DAF92E"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sz w:val="18"/>
                <w:szCs w:val="18"/>
              </w:rPr>
              <w:t>Развитие новых партнерских отношений</w:t>
            </w:r>
          </w:p>
        </w:tc>
      </w:tr>
      <w:tr w:rsidR="009E0FDF" w:rsidRPr="0095296E" w14:paraId="31C60B54" w14:textId="77777777" w:rsidTr="009E0FDF">
        <w:tc>
          <w:tcPr>
            <w:cnfStyle w:val="001000000000" w:firstRow="0" w:lastRow="0" w:firstColumn="1" w:lastColumn="0" w:oddVBand="0" w:evenVBand="0" w:oddHBand="0" w:evenHBand="0" w:firstRowFirstColumn="0" w:firstRowLastColumn="0" w:lastRowFirstColumn="0" w:lastRowLastColumn="0"/>
            <w:tcW w:w="1871" w:type="dxa"/>
          </w:tcPr>
          <w:p w14:paraId="066BEB63" w14:textId="77777777" w:rsidR="000318C5" w:rsidRPr="0095296E" w:rsidRDefault="000318C5" w:rsidP="00E45F67">
            <w:pPr>
              <w:pStyle w:val="Tabletext"/>
              <w:rPr>
                <w:rFonts w:cs="Calibri"/>
                <w:sz w:val="18"/>
                <w:szCs w:val="18"/>
              </w:rPr>
            </w:pPr>
            <w:r w:rsidRPr="0095296E">
              <w:rPr>
                <w:sz w:val="18"/>
                <w:szCs w:val="18"/>
              </w:rPr>
              <w:t>Людские ресурсы</w:t>
            </w:r>
          </w:p>
        </w:tc>
        <w:tc>
          <w:tcPr>
            <w:tcW w:w="1952" w:type="dxa"/>
          </w:tcPr>
          <w:p w14:paraId="7531E73D" w14:textId="77777777" w:rsidR="000318C5" w:rsidRPr="0095296E" w:rsidRDefault="000318C5" w:rsidP="00E45F67">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Нехватка квалифицированных специалистов в конкретной области деятельности</w:t>
            </w:r>
          </w:p>
        </w:tc>
        <w:tc>
          <w:tcPr>
            <w:tcW w:w="1228" w:type="dxa"/>
          </w:tcPr>
          <w:p w14:paraId="16810ACB"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Высокая</w:t>
            </w:r>
          </w:p>
        </w:tc>
        <w:tc>
          <w:tcPr>
            <w:tcW w:w="1229" w:type="dxa"/>
          </w:tcPr>
          <w:p w14:paraId="6F87DC7E"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Высокий</w:t>
            </w:r>
          </w:p>
        </w:tc>
        <w:tc>
          <w:tcPr>
            <w:tcW w:w="3360" w:type="dxa"/>
          </w:tcPr>
          <w:p w14:paraId="4A22CA4E" w14:textId="253B2394"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Прогнозирование потребностей в ресурсах и своевременное начало набора персонала и закупок</w:t>
            </w:r>
          </w:p>
          <w:p w14:paraId="33B7E7FB" w14:textId="68D0BDC7"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Создание, постоянное обновление и дальнейшая разработка реестра специалистов</w:t>
            </w:r>
          </w:p>
          <w:p w14:paraId="314B5343" w14:textId="2B0D7368"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 xml:space="preserve">Укрепление внутренней компетенции в важнейших областях </w:t>
            </w:r>
          </w:p>
        </w:tc>
      </w:tr>
      <w:tr w:rsidR="009E0FDF" w:rsidRPr="0095296E" w14:paraId="7E0AB826" w14:textId="77777777" w:rsidTr="009E0FDF">
        <w:tc>
          <w:tcPr>
            <w:cnfStyle w:val="001000000000" w:firstRow="0" w:lastRow="0" w:firstColumn="1" w:lastColumn="0" w:oddVBand="0" w:evenVBand="0" w:oddHBand="0" w:evenHBand="0" w:firstRowFirstColumn="0" w:firstRowLastColumn="0" w:lastRowFirstColumn="0" w:lastRowLastColumn="0"/>
            <w:tcW w:w="1871" w:type="dxa"/>
          </w:tcPr>
          <w:p w14:paraId="15AD7521" w14:textId="77777777" w:rsidR="000318C5" w:rsidRPr="0095296E" w:rsidRDefault="000318C5" w:rsidP="00E45F67">
            <w:pPr>
              <w:pStyle w:val="Tabletext"/>
              <w:rPr>
                <w:rFonts w:cs="Calibri"/>
                <w:sz w:val="18"/>
                <w:szCs w:val="18"/>
              </w:rPr>
            </w:pPr>
            <w:r w:rsidRPr="0095296E">
              <w:rPr>
                <w:sz w:val="18"/>
                <w:szCs w:val="18"/>
              </w:rPr>
              <w:t>Заинтересованные стороны/партнеры</w:t>
            </w:r>
          </w:p>
        </w:tc>
        <w:tc>
          <w:tcPr>
            <w:tcW w:w="1952" w:type="dxa"/>
          </w:tcPr>
          <w:p w14:paraId="3A731DC6" w14:textId="4DFE3706" w:rsidR="000318C5" w:rsidRPr="0095296E" w:rsidRDefault="000318C5" w:rsidP="00E45F67">
            <w:pPr>
              <w:pStyle w:val="Tabletext"/>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Недостаточная поддержка/</w:t>
            </w:r>
            <w:r w:rsidR="009E0FDF" w:rsidRPr="0095296E">
              <w:rPr>
                <w:sz w:val="18"/>
                <w:szCs w:val="18"/>
              </w:rPr>
              <w:br/>
            </w:r>
            <w:r w:rsidRPr="0095296E">
              <w:rPr>
                <w:sz w:val="18"/>
                <w:szCs w:val="18"/>
              </w:rPr>
              <w:t>приверженность со</w:t>
            </w:r>
            <w:r w:rsidR="009E0FDF" w:rsidRPr="0095296E">
              <w:rPr>
                <w:sz w:val="18"/>
                <w:szCs w:val="18"/>
              </w:rPr>
              <w:t> </w:t>
            </w:r>
            <w:r w:rsidRPr="0095296E">
              <w:rPr>
                <w:sz w:val="18"/>
                <w:szCs w:val="18"/>
              </w:rPr>
              <w:t>стороны партнеров и стран</w:t>
            </w:r>
          </w:p>
        </w:tc>
        <w:tc>
          <w:tcPr>
            <w:tcW w:w="1228" w:type="dxa"/>
          </w:tcPr>
          <w:p w14:paraId="6D4A03E7"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Средняя</w:t>
            </w:r>
          </w:p>
        </w:tc>
        <w:tc>
          <w:tcPr>
            <w:tcW w:w="1229" w:type="dxa"/>
          </w:tcPr>
          <w:p w14:paraId="4B849FFD"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Средний</w:t>
            </w:r>
          </w:p>
        </w:tc>
        <w:tc>
          <w:tcPr>
            <w:tcW w:w="3360" w:type="dxa"/>
          </w:tcPr>
          <w:p w14:paraId="39FA9C7B" w14:textId="3E1116C7"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Обеспечение и укрепление сотрудничества с Государствами-Членами с целью гарантировать соответствующий уровень участия стран</w:t>
            </w:r>
          </w:p>
          <w:p w14:paraId="5E51DFEA" w14:textId="30A39A66"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Координация с канцеляриями координаторов-резидентов ООН и ДОБ ООН для оценки и анализа рисков, характерных для конкретной страны</w:t>
            </w:r>
          </w:p>
          <w:p w14:paraId="06080DEC" w14:textId="0F67072F"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Разработка новых механизмов реализации и развития потенциала для усиления ответственности стран и устойчивости принимаемых мер</w:t>
            </w:r>
          </w:p>
        </w:tc>
      </w:tr>
      <w:tr w:rsidR="009E0FDF" w:rsidRPr="0095296E" w14:paraId="79F5FA61" w14:textId="77777777" w:rsidTr="009E0FDF">
        <w:tc>
          <w:tcPr>
            <w:cnfStyle w:val="001000000000" w:firstRow="0" w:lastRow="0" w:firstColumn="1" w:lastColumn="0" w:oddVBand="0" w:evenVBand="0" w:oddHBand="0" w:evenHBand="0" w:firstRowFirstColumn="0" w:firstRowLastColumn="0" w:lastRowFirstColumn="0" w:lastRowLastColumn="0"/>
            <w:tcW w:w="1871" w:type="dxa"/>
          </w:tcPr>
          <w:p w14:paraId="7C478A74" w14:textId="77777777" w:rsidR="000318C5" w:rsidRPr="0095296E" w:rsidRDefault="000318C5" w:rsidP="00E45F67">
            <w:pPr>
              <w:pStyle w:val="Tabletext"/>
              <w:rPr>
                <w:rFonts w:cs="Calibri"/>
                <w:sz w:val="18"/>
                <w:szCs w:val="18"/>
              </w:rPr>
            </w:pPr>
            <w:r w:rsidRPr="0095296E">
              <w:rPr>
                <w:sz w:val="18"/>
                <w:szCs w:val="18"/>
              </w:rPr>
              <w:lastRenderedPageBreak/>
              <w:t>Окружающая среда</w:t>
            </w:r>
          </w:p>
        </w:tc>
        <w:tc>
          <w:tcPr>
            <w:tcW w:w="1952" w:type="dxa"/>
          </w:tcPr>
          <w:p w14:paraId="5F977FB2" w14:textId="77777777" w:rsidR="000318C5" w:rsidRPr="0095296E" w:rsidRDefault="000318C5" w:rsidP="00E45F67">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Задержки в осуществлении странами деятельности в связи с непредвиденными местными событиями</w:t>
            </w:r>
          </w:p>
        </w:tc>
        <w:tc>
          <w:tcPr>
            <w:tcW w:w="1228" w:type="dxa"/>
          </w:tcPr>
          <w:p w14:paraId="520ABDBC"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Средняя</w:t>
            </w:r>
          </w:p>
        </w:tc>
        <w:tc>
          <w:tcPr>
            <w:tcW w:w="1229" w:type="dxa"/>
          </w:tcPr>
          <w:p w14:paraId="011DA89F" w14:textId="77777777" w:rsidR="000318C5" w:rsidRPr="0095296E" w:rsidRDefault="000318C5" w:rsidP="009E0FDF">
            <w:pPr>
              <w:pStyle w:val="Tabletext"/>
              <w:jc w:val="center"/>
              <w:cnfStyle w:val="000000000000" w:firstRow="0" w:lastRow="0" w:firstColumn="0" w:lastColumn="0" w:oddVBand="0" w:evenVBand="0" w:oddHBand="0" w:evenHBand="0" w:firstRowFirstColumn="0" w:firstRowLastColumn="0" w:lastRowFirstColumn="0" w:lastRowLastColumn="0"/>
              <w:rPr>
                <w:sz w:val="18"/>
                <w:szCs w:val="18"/>
              </w:rPr>
            </w:pPr>
            <w:r w:rsidRPr="0095296E">
              <w:rPr>
                <w:sz w:val="18"/>
                <w:szCs w:val="18"/>
              </w:rPr>
              <w:t>Высокий</w:t>
            </w:r>
          </w:p>
        </w:tc>
        <w:tc>
          <w:tcPr>
            <w:tcW w:w="3360" w:type="dxa"/>
          </w:tcPr>
          <w:p w14:paraId="69DA8EA3" w14:textId="7E8B5E87"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 xml:space="preserve">Эффективное общение с партнерами и донорами </w:t>
            </w:r>
          </w:p>
          <w:p w14:paraId="009EE9DF" w14:textId="43B653AF"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 xml:space="preserve">Разработка адаптивных и оперативных механизмов реализации </w:t>
            </w:r>
          </w:p>
          <w:p w14:paraId="6B7EC91B" w14:textId="44B5371E" w:rsidR="000318C5" w:rsidRPr="0095296E" w:rsidRDefault="009E0FDF" w:rsidP="009E0FDF">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84" w:hanging="284"/>
              <w:cnfStyle w:val="000000000000" w:firstRow="0" w:lastRow="0" w:firstColumn="0" w:lastColumn="0" w:oddVBand="0" w:evenVBand="0" w:oddHBand="0" w:evenHBand="0" w:firstRowFirstColumn="0" w:firstRowLastColumn="0" w:lastRowFirstColumn="0" w:lastRowLastColumn="0"/>
              <w:rPr>
                <w:rFonts w:cs="Calibri"/>
                <w:sz w:val="18"/>
                <w:szCs w:val="18"/>
              </w:rPr>
            </w:pPr>
            <w:r w:rsidRPr="0095296E">
              <w:rPr>
                <w:sz w:val="18"/>
                <w:szCs w:val="18"/>
              </w:rPr>
              <w:t>•</w:t>
            </w:r>
            <w:r w:rsidRPr="0095296E">
              <w:rPr>
                <w:sz w:val="18"/>
                <w:szCs w:val="18"/>
              </w:rPr>
              <w:tab/>
            </w:r>
            <w:r w:rsidR="000318C5" w:rsidRPr="0095296E">
              <w:rPr>
                <w:rFonts w:cs="Calibri"/>
                <w:sz w:val="18"/>
                <w:szCs w:val="18"/>
              </w:rPr>
              <w:t>Включение управления рисками в планирование проектов и мероприятий</w:t>
            </w:r>
          </w:p>
        </w:tc>
      </w:tr>
    </w:tbl>
    <w:p w14:paraId="6C93646E" w14:textId="700865A4" w:rsidR="000318C5" w:rsidRPr="0095296E" w:rsidRDefault="00674482" w:rsidP="00CA145D">
      <w:pPr>
        <w:pStyle w:val="Heading1"/>
        <w:rPr>
          <w:rFonts w:eastAsia="Calibri"/>
          <w:szCs w:val="24"/>
        </w:rPr>
      </w:pPr>
      <w:r w:rsidRPr="0095296E">
        <w:t>3</w:t>
      </w:r>
      <w:r w:rsidRPr="0095296E">
        <w:tab/>
      </w:r>
      <w:r w:rsidR="000318C5" w:rsidRPr="0095296E">
        <w:t xml:space="preserve">Система воздействия для выполнения БПД в </w:t>
      </w:r>
      <w:proofErr w:type="gramStart"/>
      <w:r w:rsidR="000318C5" w:rsidRPr="0095296E">
        <w:t>2026−2029</w:t>
      </w:r>
      <w:proofErr w:type="gramEnd"/>
      <w:r w:rsidR="000318C5" w:rsidRPr="0095296E">
        <w:t xml:space="preserve"> годах</w:t>
      </w:r>
    </w:p>
    <w:p w14:paraId="6D80C047" w14:textId="77777777" w:rsidR="000318C5" w:rsidRPr="0095296E" w:rsidRDefault="000318C5" w:rsidP="00674482">
      <w:r w:rsidRPr="0095296E">
        <w:t>Система воздействия для выполнения БПД следует цепочке результатов, как показано в нижеследующих таблицах, увязывая приоритеты МСЭ-D с конечными результатами и соответствующими показателями и намеченными результатами деятельности. Действия в рамках ОП-26 были запланированы на основе уточненных конечных результатов и показателей, принятых на ВКРЭ-25, что обеспечивает согласованность между оперативным планированием, мониторингом и отчетностью.</w:t>
      </w:r>
    </w:p>
    <w:p w14:paraId="7F5D486B" w14:textId="1701994E" w:rsidR="000318C5" w:rsidRPr="0095296E" w:rsidRDefault="000318C5" w:rsidP="00674482">
      <w:r w:rsidRPr="0095296E">
        <w:t>Отчет о прогрессе по показателям конечных результатов, по которым отслеживаются изменения и воздействие на уровне стран, в которые вносит вклад БРЭ, будет представлен в конце периода БПД в 2029</w:t>
      </w:r>
      <w:r w:rsidR="00AC2318" w:rsidRPr="0095296E">
        <w:t> </w:t>
      </w:r>
      <w:r w:rsidRPr="0095296E">
        <w:t xml:space="preserve">году. Отчет о прогрессе в отношении показателей </w:t>
      </w:r>
      <w:r w:rsidR="00C53395" w:rsidRPr="0095296E">
        <w:t xml:space="preserve">намеченных </w:t>
      </w:r>
      <w:r w:rsidRPr="0095296E">
        <w:t xml:space="preserve">результатов деятельности, с помощью которых измеряются достижения, связанные с разработкой продуктов или услуг, разработанных БРЭ, будет ежегодно представляться КГРЭ. Базовые и целевые значения для показателей конечных результатов доступны на соответствующих </w:t>
      </w:r>
      <w:hyperlink r:id="rId18" w:history="1">
        <w:r w:rsidRPr="0095296E">
          <w:rPr>
            <w:rStyle w:val="Hyperlink"/>
          </w:rPr>
          <w:t>информационных панелях</w:t>
        </w:r>
      </w:hyperlink>
      <w:r w:rsidR="00EB7679" w:rsidRPr="0095296E">
        <w:t>, содержащихся в Приложении 2 к настоящему документу</w:t>
      </w:r>
      <w:r w:rsidRPr="0095296E">
        <w:t>.</w:t>
      </w:r>
    </w:p>
    <w:p w14:paraId="06F57124" w14:textId="77777777" w:rsidR="000318C5" w:rsidRPr="0095296E" w:rsidRDefault="000318C5" w:rsidP="000318C5">
      <w:pPr>
        <w:overflowPunct/>
        <w:autoSpaceDE/>
        <w:autoSpaceDN/>
        <w:adjustRightInd/>
        <w:spacing w:after="120"/>
        <w:textAlignment w:val="auto"/>
      </w:pPr>
    </w:p>
    <w:p w14:paraId="38B02EFA" w14:textId="77777777" w:rsidR="000318C5" w:rsidRPr="0095296E" w:rsidRDefault="000318C5" w:rsidP="000318C5">
      <w:pPr>
        <w:overflowPunct/>
        <w:autoSpaceDE/>
        <w:autoSpaceDN/>
        <w:adjustRightInd/>
        <w:spacing w:after="120"/>
        <w:ind w:left="360"/>
        <w:textAlignment w:val="auto"/>
        <w:sectPr w:rsidR="000318C5" w:rsidRPr="0095296E" w:rsidSect="000318C5">
          <w:headerReference w:type="default" r:id="rId19"/>
          <w:pgSz w:w="11906" w:h="16838" w:code="9"/>
          <w:pgMar w:top="1418" w:right="1134" w:bottom="1418" w:left="1134" w:header="720" w:footer="720" w:gutter="0"/>
          <w:cols w:space="720"/>
          <w:titlePg/>
          <w:docGrid w:linePitch="326"/>
        </w:sectPr>
      </w:pPr>
    </w:p>
    <w:p w14:paraId="0056A9B2" w14:textId="5D6AF453" w:rsidR="000318C5" w:rsidRPr="0095296E" w:rsidRDefault="000318C5" w:rsidP="00CE4397">
      <w:pPr>
        <w:pStyle w:val="Heading2"/>
        <w:spacing w:before="0" w:after="120"/>
      </w:pPr>
      <w:r w:rsidRPr="0095296E">
        <w:lastRenderedPageBreak/>
        <w:t>3.1</w:t>
      </w:r>
      <w:r w:rsidRPr="0095296E">
        <w:tab/>
        <w:t>Приоритет 1 МСЭ-D: Возможность установления приемлемых в ценовом отношении соединений</w:t>
      </w:r>
    </w:p>
    <w:tbl>
      <w:tblPr>
        <w:tblW w:w="14596" w:type="dxa"/>
        <w:tblLayout w:type="fixed"/>
        <w:tblLook w:val="04A0" w:firstRow="1" w:lastRow="0" w:firstColumn="1" w:lastColumn="0" w:noHBand="0" w:noVBand="1"/>
      </w:tblPr>
      <w:tblGrid>
        <w:gridCol w:w="1787"/>
        <w:gridCol w:w="3122"/>
        <w:gridCol w:w="3166"/>
        <w:gridCol w:w="2447"/>
        <w:gridCol w:w="1161"/>
        <w:gridCol w:w="1778"/>
        <w:gridCol w:w="1135"/>
      </w:tblGrid>
      <w:tr w:rsidR="00AB0D14" w:rsidRPr="0095296E" w14:paraId="740AAC87" w14:textId="77777777" w:rsidTr="008C6C59">
        <w:trPr>
          <w:tblHeader/>
        </w:trPr>
        <w:tc>
          <w:tcPr>
            <w:tcW w:w="1787" w:type="dxa"/>
            <w:tcBorders>
              <w:top w:val="single" w:sz="4" w:space="0" w:color="44B3E1"/>
              <w:left w:val="single" w:sz="4" w:space="0" w:color="44B3E1"/>
              <w:bottom w:val="single" w:sz="4" w:space="0" w:color="44B3E1"/>
              <w:right w:val="nil"/>
            </w:tcBorders>
            <w:shd w:val="clear" w:color="auto" w:fill="156082"/>
            <w:vAlign w:val="center"/>
            <w:hideMark/>
          </w:tcPr>
          <w:p w14:paraId="708062FF" w14:textId="77777777" w:rsidR="000318C5" w:rsidRPr="0095296E" w:rsidRDefault="000318C5" w:rsidP="00CE4397">
            <w:pPr>
              <w:pStyle w:val="Tablehead"/>
              <w:rPr>
                <w:rFonts w:cs="Calibri"/>
                <w:color w:val="FFFFFF" w:themeColor="background1"/>
                <w:sz w:val="18"/>
                <w:szCs w:val="18"/>
              </w:rPr>
            </w:pPr>
            <w:r w:rsidRPr="0095296E">
              <w:rPr>
                <w:color w:val="FFFFFF" w:themeColor="background1"/>
                <w:sz w:val="18"/>
                <w:szCs w:val="18"/>
              </w:rPr>
              <w:t>Приоритет/Тема</w:t>
            </w:r>
          </w:p>
        </w:tc>
        <w:tc>
          <w:tcPr>
            <w:tcW w:w="3122" w:type="dxa"/>
            <w:tcBorders>
              <w:top w:val="single" w:sz="4" w:space="0" w:color="44B3E1"/>
              <w:left w:val="nil"/>
              <w:bottom w:val="single" w:sz="4" w:space="0" w:color="44B3E1"/>
              <w:right w:val="nil"/>
            </w:tcBorders>
            <w:shd w:val="clear" w:color="auto" w:fill="156082"/>
            <w:vAlign w:val="center"/>
            <w:hideMark/>
          </w:tcPr>
          <w:p w14:paraId="0862B665" w14:textId="77777777" w:rsidR="000318C5" w:rsidRPr="0095296E" w:rsidRDefault="000318C5" w:rsidP="00AB0D14">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Конечные результаты</w:t>
            </w:r>
          </w:p>
        </w:tc>
        <w:tc>
          <w:tcPr>
            <w:tcW w:w="3166" w:type="dxa"/>
            <w:tcBorders>
              <w:top w:val="single" w:sz="4" w:space="0" w:color="44B3E1"/>
              <w:left w:val="nil"/>
              <w:bottom w:val="single" w:sz="4" w:space="0" w:color="44B3E1"/>
              <w:right w:val="nil"/>
            </w:tcBorders>
            <w:shd w:val="clear" w:color="auto" w:fill="156082"/>
            <w:vAlign w:val="center"/>
            <w:hideMark/>
          </w:tcPr>
          <w:p w14:paraId="4DFBE794" w14:textId="77777777" w:rsidR="000318C5" w:rsidRPr="0095296E" w:rsidRDefault="000318C5" w:rsidP="00AB0D14">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Показатели конечных результатов</w:t>
            </w:r>
          </w:p>
        </w:tc>
        <w:tc>
          <w:tcPr>
            <w:tcW w:w="2447" w:type="dxa"/>
            <w:tcBorders>
              <w:top w:val="single" w:sz="4" w:space="0" w:color="44B3E1"/>
              <w:left w:val="nil"/>
              <w:bottom w:val="single" w:sz="4" w:space="0" w:color="44B3E1"/>
              <w:right w:val="nil"/>
            </w:tcBorders>
            <w:shd w:val="clear" w:color="auto" w:fill="156082"/>
            <w:vAlign w:val="center"/>
            <w:hideMark/>
          </w:tcPr>
          <w:p w14:paraId="53EFFD05" w14:textId="56980CEA" w:rsidR="000318C5" w:rsidRPr="0095296E" w:rsidRDefault="000318C5" w:rsidP="00AB0D14">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Намеченные результаты деятельности (продукты и</w:t>
            </w:r>
            <w:r w:rsidR="006963D6" w:rsidRPr="0095296E">
              <w:rPr>
                <w:color w:val="FFFFFF" w:themeColor="background1"/>
                <w:sz w:val="18"/>
                <w:szCs w:val="18"/>
              </w:rPr>
              <w:t> </w:t>
            </w:r>
            <w:r w:rsidRPr="0095296E">
              <w:rPr>
                <w:color w:val="FFFFFF" w:themeColor="background1"/>
                <w:sz w:val="18"/>
                <w:szCs w:val="18"/>
              </w:rPr>
              <w:t>услуги МСЭ-D)</w:t>
            </w:r>
            <w:r w:rsidRPr="0095296E">
              <w:rPr>
                <w:rStyle w:val="FootnoteReference"/>
                <w:rFonts w:cs="Calibri"/>
                <w:b w:val="0"/>
                <w:color w:val="FFFFFF" w:themeColor="background1"/>
                <w:sz w:val="18"/>
                <w:szCs w:val="18"/>
                <w:lang w:eastAsia="en-GB"/>
              </w:rPr>
              <w:footnoteReference w:id="2"/>
            </w:r>
          </w:p>
        </w:tc>
        <w:tc>
          <w:tcPr>
            <w:tcW w:w="1161" w:type="dxa"/>
            <w:tcBorders>
              <w:top w:val="single" w:sz="4" w:space="0" w:color="44B3E1"/>
              <w:left w:val="nil"/>
              <w:bottom w:val="single" w:sz="4" w:space="0" w:color="44B3E1"/>
              <w:right w:val="nil"/>
            </w:tcBorders>
            <w:shd w:val="clear" w:color="auto" w:fill="156082"/>
            <w:vAlign w:val="center"/>
            <w:hideMark/>
          </w:tcPr>
          <w:p w14:paraId="38CA8401" w14:textId="6425BD93" w:rsidR="000318C5" w:rsidRPr="0095296E" w:rsidRDefault="000318C5" w:rsidP="00AB0D14">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 xml:space="preserve">Бюджет </w:t>
            </w:r>
            <w:r w:rsidR="00AB0D14" w:rsidRPr="0095296E">
              <w:rPr>
                <w:color w:val="FFFFFF" w:themeColor="background1"/>
                <w:sz w:val="18"/>
                <w:szCs w:val="18"/>
              </w:rPr>
              <w:br/>
            </w:r>
            <w:r w:rsidRPr="0095296E">
              <w:rPr>
                <w:color w:val="FFFFFF" w:themeColor="background1"/>
                <w:sz w:val="18"/>
                <w:szCs w:val="18"/>
              </w:rPr>
              <w:t xml:space="preserve">на 2026 г. </w:t>
            </w:r>
            <w:r w:rsidR="00AB0D14" w:rsidRPr="0095296E">
              <w:rPr>
                <w:color w:val="FFFFFF" w:themeColor="background1"/>
                <w:sz w:val="18"/>
                <w:szCs w:val="18"/>
              </w:rPr>
              <w:br/>
            </w:r>
            <w:r w:rsidRPr="0095296E">
              <w:rPr>
                <w:color w:val="FFFFFF" w:themeColor="background1"/>
                <w:sz w:val="18"/>
                <w:szCs w:val="18"/>
              </w:rPr>
              <w:t>(шв. фр.)</w:t>
            </w:r>
          </w:p>
        </w:tc>
        <w:tc>
          <w:tcPr>
            <w:tcW w:w="1778" w:type="dxa"/>
            <w:tcBorders>
              <w:top w:val="single" w:sz="4" w:space="0" w:color="44B3E1"/>
              <w:left w:val="nil"/>
              <w:bottom w:val="single" w:sz="4" w:space="0" w:color="44B3E1"/>
              <w:right w:val="nil"/>
            </w:tcBorders>
            <w:shd w:val="clear" w:color="auto" w:fill="156082"/>
            <w:vAlign w:val="center"/>
            <w:hideMark/>
          </w:tcPr>
          <w:p w14:paraId="4C36F660" w14:textId="1259FEA2" w:rsidR="000318C5" w:rsidRPr="0095296E" w:rsidRDefault="000318C5" w:rsidP="00AB0D14">
            <w:pPr>
              <w:pStyle w:val="Tablehead"/>
              <w:tabs>
                <w:tab w:val="clear" w:pos="1134"/>
                <w:tab w:val="clear" w:pos="1871"/>
                <w:tab w:val="clear" w:pos="2268"/>
                <w:tab w:val="left" w:pos="284"/>
              </w:tabs>
              <w:ind w:left="-57" w:right="-57"/>
              <w:rPr>
                <w:rFonts w:cs="Calibri"/>
                <w:color w:val="FFFFFF" w:themeColor="background1"/>
                <w:sz w:val="18"/>
                <w:szCs w:val="18"/>
              </w:rPr>
            </w:pPr>
            <w:r w:rsidRPr="0095296E">
              <w:rPr>
                <w:color w:val="FFFFFF" w:themeColor="background1"/>
                <w:sz w:val="18"/>
                <w:szCs w:val="18"/>
              </w:rPr>
              <w:t xml:space="preserve">Процент </w:t>
            </w:r>
            <w:r w:rsidR="00AB0D14" w:rsidRPr="0095296E">
              <w:rPr>
                <w:color w:val="FFFFFF" w:themeColor="background1"/>
                <w:sz w:val="18"/>
                <w:szCs w:val="18"/>
              </w:rPr>
              <w:br/>
            </w:r>
            <w:r w:rsidRPr="0095296E">
              <w:rPr>
                <w:color w:val="FFFFFF" w:themeColor="background1"/>
                <w:sz w:val="18"/>
                <w:szCs w:val="18"/>
              </w:rPr>
              <w:t>от общего объема приоритетов/</w:t>
            </w:r>
            <w:r w:rsidR="00AB0D14" w:rsidRPr="0095296E">
              <w:rPr>
                <w:color w:val="FFFFFF" w:themeColor="background1"/>
                <w:sz w:val="18"/>
                <w:szCs w:val="18"/>
              </w:rPr>
              <w:br/>
            </w:r>
            <w:r w:rsidRPr="0095296E">
              <w:rPr>
                <w:color w:val="FFFFFF" w:themeColor="background1"/>
                <w:sz w:val="18"/>
                <w:szCs w:val="18"/>
              </w:rPr>
              <w:t>средств достижения целей</w:t>
            </w:r>
          </w:p>
        </w:tc>
        <w:tc>
          <w:tcPr>
            <w:tcW w:w="1135" w:type="dxa"/>
            <w:tcBorders>
              <w:top w:val="single" w:sz="4" w:space="0" w:color="44B3E1"/>
              <w:left w:val="nil"/>
              <w:bottom w:val="single" w:sz="4" w:space="0" w:color="44B3E1"/>
              <w:right w:val="single" w:sz="4" w:space="0" w:color="44B3E1"/>
            </w:tcBorders>
            <w:shd w:val="clear" w:color="auto" w:fill="156082"/>
            <w:vAlign w:val="center"/>
            <w:hideMark/>
          </w:tcPr>
          <w:p w14:paraId="73969CCF" w14:textId="02AE897D" w:rsidR="000318C5" w:rsidRPr="0095296E" w:rsidRDefault="000318C5" w:rsidP="00AB0D14">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 xml:space="preserve">Процент </w:t>
            </w:r>
            <w:r w:rsidR="00AB0D14" w:rsidRPr="0095296E">
              <w:rPr>
                <w:color w:val="FFFFFF" w:themeColor="background1"/>
                <w:sz w:val="18"/>
                <w:szCs w:val="18"/>
              </w:rPr>
              <w:br/>
            </w:r>
            <w:r w:rsidRPr="0095296E">
              <w:rPr>
                <w:color w:val="FFFFFF" w:themeColor="background1"/>
                <w:sz w:val="18"/>
                <w:szCs w:val="18"/>
              </w:rPr>
              <w:t>от общего бюджета</w:t>
            </w:r>
          </w:p>
        </w:tc>
      </w:tr>
      <w:tr w:rsidR="00AB0D14" w:rsidRPr="0095296E" w14:paraId="0DA45F12" w14:textId="77777777" w:rsidTr="00F50333">
        <w:tc>
          <w:tcPr>
            <w:tcW w:w="10522" w:type="dxa"/>
            <w:gridSpan w:val="4"/>
            <w:tcBorders>
              <w:top w:val="single" w:sz="4" w:space="0" w:color="44B3E1"/>
              <w:left w:val="single" w:sz="4" w:space="0" w:color="44B3E1"/>
              <w:bottom w:val="single" w:sz="4" w:space="0" w:color="44B3E1"/>
              <w:right w:val="nil"/>
            </w:tcBorders>
            <w:shd w:val="clear" w:color="auto" w:fill="C0E6F5"/>
            <w:noWrap/>
            <w:hideMark/>
          </w:tcPr>
          <w:p w14:paraId="070F8116" w14:textId="76A34308" w:rsidR="00AB0D14" w:rsidRPr="0095296E" w:rsidRDefault="00AB0D14"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ascii="Times New Roman" w:hAnsi="Times New Roman"/>
                <w:b/>
                <w:bCs/>
                <w:sz w:val="18"/>
                <w:szCs w:val="18"/>
                <w:lang w:eastAsia="en-GB"/>
              </w:rPr>
            </w:pPr>
            <w:r w:rsidRPr="0095296E">
              <w:rPr>
                <w:b/>
                <w:bCs/>
                <w:sz w:val="18"/>
                <w:szCs w:val="18"/>
              </w:rPr>
              <w:t>Возможность установления приемлемых в ценовом отношении соединений в целом</w:t>
            </w:r>
          </w:p>
        </w:tc>
        <w:tc>
          <w:tcPr>
            <w:tcW w:w="1161" w:type="dxa"/>
            <w:tcBorders>
              <w:top w:val="single" w:sz="4" w:space="0" w:color="44B3E1"/>
              <w:left w:val="nil"/>
              <w:bottom w:val="single" w:sz="4" w:space="0" w:color="44B3E1"/>
              <w:right w:val="nil"/>
            </w:tcBorders>
            <w:shd w:val="clear" w:color="auto" w:fill="C0E6F5"/>
            <w:noWrap/>
            <w:hideMark/>
          </w:tcPr>
          <w:p w14:paraId="78D7F019" w14:textId="2FBB227A" w:rsidR="00AB0D14" w:rsidRPr="0095296E" w:rsidRDefault="00AB0D14"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b/>
                <w:bCs/>
                <w:sz w:val="18"/>
                <w:szCs w:val="18"/>
              </w:rPr>
            </w:pPr>
            <w:r w:rsidRPr="0095296E">
              <w:rPr>
                <w:b/>
                <w:bCs/>
                <w:sz w:val="18"/>
                <w:szCs w:val="18"/>
              </w:rPr>
              <w:t>5</w:t>
            </w:r>
            <w:r w:rsidR="00EB7679" w:rsidRPr="0095296E">
              <w:rPr>
                <w:b/>
                <w:bCs/>
                <w:sz w:val="18"/>
                <w:szCs w:val="18"/>
              </w:rPr>
              <w:t>52</w:t>
            </w:r>
            <w:r w:rsidRPr="0095296E">
              <w:rPr>
                <w:b/>
                <w:bCs/>
                <w:sz w:val="18"/>
                <w:szCs w:val="18"/>
              </w:rPr>
              <w:t> 000</w:t>
            </w:r>
          </w:p>
        </w:tc>
        <w:tc>
          <w:tcPr>
            <w:tcW w:w="1778" w:type="dxa"/>
            <w:tcBorders>
              <w:top w:val="single" w:sz="4" w:space="0" w:color="44B3E1"/>
              <w:left w:val="nil"/>
              <w:bottom w:val="single" w:sz="4" w:space="0" w:color="44B3E1"/>
              <w:right w:val="nil"/>
            </w:tcBorders>
            <w:shd w:val="clear" w:color="auto" w:fill="C0E6F5"/>
            <w:noWrap/>
            <w:hideMark/>
          </w:tcPr>
          <w:p w14:paraId="0F22D763" w14:textId="77777777" w:rsidR="00AB0D14" w:rsidRPr="0095296E" w:rsidRDefault="00AB0D14"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b/>
                <w:bCs/>
                <w:sz w:val="18"/>
                <w:szCs w:val="18"/>
                <w:lang w:eastAsia="en-GB"/>
              </w:rPr>
            </w:pPr>
          </w:p>
        </w:tc>
        <w:tc>
          <w:tcPr>
            <w:tcW w:w="1135" w:type="dxa"/>
            <w:tcBorders>
              <w:top w:val="single" w:sz="4" w:space="0" w:color="44B3E1"/>
              <w:left w:val="nil"/>
              <w:bottom w:val="single" w:sz="4" w:space="0" w:color="44B3E1"/>
              <w:right w:val="single" w:sz="4" w:space="0" w:color="44B3E1"/>
            </w:tcBorders>
            <w:shd w:val="clear" w:color="auto" w:fill="C0E6F5"/>
            <w:noWrap/>
            <w:hideMark/>
          </w:tcPr>
          <w:p w14:paraId="46AD9E72" w14:textId="189AA328" w:rsidR="00AB0D14" w:rsidRPr="0095296E" w:rsidRDefault="00AB0D14"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b/>
                <w:bCs/>
                <w:sz w:val="18"/>
                <w:szCs w:val="18"/>
              </w:rPr>
            </w:pPr>
            <w:r w:rsidRPr="0095296E">
              <w:rPr>
                <w:b/>
                <w:bCs/>
                <w:sz w:val="18"/>
                <w:szCs w:val="18"/>
              </w:rPr>
              <w:t>1</w:t>
            </w:r>
            <w:r w:rsidR="00EB7679" w:rsidRPr="0095296E">
              <w:rPr>
                <w:b/>
                <w:bCs/>
                <w:sz w:val="18"/>
                <w:szCs w:val="18"/>
              </w:rPr>
              <w:t>4</w:t>
            </w:r>
            <w:r w:rsidRPr="0095296E">
              <w:rPr>
                <w:b/>
                <w:bCs/>
                <w:sz w:val="18"/>
                <w:szCs w:val="18"/>
              </w:rPr>
              <w:t>,</w:t>
            </w:r>
            <w:r w:rsidR="00EB7679" w:rsidRPr="0095296E">
              <w:rPr>
                <w:b/>
                <w:bCs/>
                <w:sz w:val="18"/>
                <w:szCs w:val="18"/>
              </w:rPr>
              <w:t>48</w:t>
            </w:r>
          </w:p>
        </w:tc>
      </w:tr>
      <w:tr w:rsidR="00AB0D14" w:rsidRPr="0095296E" w14:paraId="2B0E723A" w14:textId="77777777" w:rsidTr="008C6C59">
        <w:tc>
          <w:tcPr>
            <w:tcW w:w="1787" w:type="dxa"/>
            <w:tcBorders>
              <w:top w:val="single" w:sz="4" w:space="0" w:color="44B3E1"/>
              <w:left w:val="single" w:sz="4" w:space="0" w:color="44B3E1"/>
              <w:bottom w:val="single" w:sz="4" w:space="0" w:color="44B3E1"/>
              <w:right w:val="nil"/>
            </w:tcBorders>
            <w:hideMark/>
          </w:tcPr>
          <w:p w14:paraId="75DFFF57" w14:textId="0F5E9A90" w:rsidR="000318C5" w:rsidRPr="0095296E" w:rsidRDefault="000318C5" w:rsidP="00CE4397">
            <w:pPr>
              <w:pStyle w:val="Tabletext"/>
              <w:rPr>
                <w:rFonts w:cs="Calibri"/>
                <w:b/>
                <w:bCs/>
                <w:sz w:val="18"/>
                <w:szCs w:val="18"/>
              </w:rPr>
            </w:pPr>
            <w:r w:rsidRPr="0095296E">
              <w:rPr>
                <w:b/>
                <w:bCs/>
                <w:sz w:val="18"/>
                <w:szCs w:val="18"/>
              </w:rPr>
              <w:t>Электросвязь в</w:t>
            </w:r>
            <w:r w:rsidR="00AB0D14" w:rsidRPr="0095296E">
              <w:rPr>
                <w:b/>
                <w:bCs/>
                <w:sz w:val="18"/>
                <w:szCs w:val="18"/>
              </w:rPr>
              <w:t> </w:t>
            </w:r>
            <w:r w:rsidRPr="0095296E">
              <w:rPr>
                <w:b/>
                <w:bCs/>
                <w:sz w:val="18"/>
                <w:szCs w:val="18"/>
              </w:rPr>
              <w:t>чрезвычайных ситуациях</w:t>
            </w:r>
          </w:p>
        </w:tc>
        <w:tc>
          <w:tcPr>
            <w:tcW w:w="3122" w:type="dxa"/>
            <w:tcBorders>
              <w:top w:val="single" w:sz="4" w:space="0" w:color="44B3E1"/>
              <w:left w:val="nil"/>
              <w:bottom w:val="single" w:sz="4" w:space="0" w:color="44B3E1"/>
              <w:right w:val="nil"/>
            </w:tcBorders>
            <w:hideMark/>
          </w:tcPr>
          <w:p w14:paraId="2D53A996" w14:textId="5B9B2693" w:rsidR="000318C5"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потенциала Государств-Членов для использования электросвязи/ИКТ с целью снижения рисков бедствий и управления операциями при бедствиях, для обеспечения наличия электросвязи в чрезвычайных ситуациях</w:t>
            </w:r>
          </w:p>
        </w:tc>
        <w:tc>
          <w:tcPr>
            <w:tcW w:w="3166" w:type="dxa"/>
            <w:tcBorders>
              <w:top w:val="single" w:sz="4" w:space="0" w:color="44B3E1"/>
              <w:left w:val="nil"/>
              <w:bottom w:val="single" w:sz="4" w:space="0" w:color="44B3E1"/>
              <w:right w:val="nil"/>
            </w:tcBorders>
            <w:hideMark/>
          </w:tcPr>
          <w:p w14:paraId="7D9DB86E" w14:textId="77D29A80" w:rsidR="000318C5"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color w:val="000000" w:themeColor="text1"/>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имеющих национальный план электросвязи в чрезвычайных ситуациях в рамках своей национальной стратегии снижения риска бедствий</w:t>
            </w:r>
          </w:p>
        </w:tc>
        <w:tc>
          <w:tcPr>
            <w:tcW w:w="2447" w:type="dxa"/>
            <w:tcBorders>
              <w:top w:val="single" w:sz="4" w:space="0" w:color="44B3E1"/>
              <w:left w:val="nil"/>
              <w:bottom w:val="single" w:sz="4" w:space="0" w:color="44B3E1"/>
              <w:right w:val="nil"/>
            </w:tcBorders>
            <w:hideMark/>
          </w:tcPr>
          <w:p w14:paraId="12F7B7CF" w14:textId="099AA0DC"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Типовая политика и стратегия, комплекты материалов</w:t>
            </w:r>
          </w:p>
          <w:p w14:paraId="7AB5E7D0" w14:textId="279F1AB0"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sz w:val="18"/>
                <w:szCs w:val="18"/>
              </w:rPr>
              <w:t>•</w:t>
            </w:r>
            <w:r w:rsidRPr="0095296E">
              <w:rPr>
                <w:sz w:val="18"/>
                <w:szCs w:val="18"/>
              </w:rPr>
              <w:tab/>
              <w:t xml:space="preserve">Технические </w:t>
            </w:r>
            <w:r w:rsidR="000318C5" w:rsidRPr="0095296E">
              <w:rPr>
                <w:sz w:val="18"/>
                <w:szCs w:val="18"/>
              </w:rPr>
              <w:t>меры</w:t>
            </w:r>
          </w:p>
          <w:p w14:paraId="5F3257C3" w14:textId="376A436F"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sz w:val="18"/>
                <w:szCs w:val="18"/>
              </w:rPr>
              <w:t>•</w:t>
            </w:r>
            <w:r w:rsidRPr="0095296E">
              <w:rPr>
                <w:sz w:val="18"/>
                <w:szCs w:val="18"/>
              </w:rPr>
              <w:tab/>
              <w:t xml:space="preserve">Платформы </w:t>
            </w:r>
            <w:r w:rsidR="000318C5" w:rsidRPr="0095296E">
              <w:rPr>
                <w:sz w:val="18"/>
                <w:szCs w:val="18"/>
              </w:rPr>
              <w:t>для созыва мероприя</w:t>
            </w:r>
            <w:r w:rsidR="00CE6C61" w:rsidRPr="0095296E">
              <w:rPr>
                <w:sz w:val="18"/>
                <w:szCs w:val="18"/>
              </w:rPr>
              <w:t>т</w:t>
            </w:r>
            <w:r w:rsidR="000318C5" w:rsidRPr="0095296E">
              <w:rPr>
                <w:sz w:val="18"/>
                <w:szCs w:val="18"/>
              </w:rPr>
              <w:t>ий</w:t>
            </w:r>
          </w:p>
          <w:p w14:paraId="26B9451B" w14:textId="3B9EB210" w:rsidR="000318C5"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sz w:val="18"/>
                <w:szCs w:val="18"/>
              </w:rPr>
              <w:t>•</w:t>
            </w:r>
            <w:r w:rsidRPr="0095296E">
              <w:rPr>
                <w:sz w:val="18"/>
                <w:szCs w:val="18"/>
              </w:rPr>
              <w:tab/>
              <w:t xml:space="preserve">Системы </w:t>
            </w:r>
            <w:r w:rsidR="000318C5" w:rsidRPr="0095296E">
              <w:rPr>
                <w:sz w:val="18"/>
                <w:szCs w:val="18"/>
              </w:rPr>
              <w:t xml:space="preserve">обучения </w:t>
            </w:r>
          </w:p>
        </w:tc>
        <w:tc>
          <w:tcPr>
            <w:tcW w:w="1161" w:type="dxa"/>
            <w:tcBorders>
              <w:top w:val="single" w:sz="4" w:space="0" w:color="44B3E1"/>
              <w:left w:val="nil"/>
              <w:bottom w:val="single" w:sz="4" w:space="0" w:color="44B3E1"/>
              <w:right w:val="nil"/>
            </w:tcBorders>
            <w:noWrap/>
            <w:hideMark/>
          </w:tcPr>
          <w:p w14:paraId="2C9CDB13" w14:textId="77777777" w:rsidR="000318C5" w:rsidRPr="0095296E" w:rsidRDefault="000318C5"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205 000</w:t>
            </w:r>
          </w:p>
        </w:tc>
        <w:tc>
          <w:tcPr>
            <w:tcW w:w="1778" w:type="dxa"/>
            <w:tcBorders>
              <w:top w:val="single" w:sz="4" w:space="0" w:color="44B3E1"/>
              <w:left w:val="nil"/>
              <w:bottom w:val="single" w:sz="4" w:space="0" w:color="44B3E1"/>
              <w:right w:val="nil"/>
            </w:tcBorders>
            <w:noWrap/>
            <w:hideMark/>
          </w:tcPr>
          <w:p w14:paraId="188D3F92" w14:textId="0FB04990" w:rsidR="000318C5" w:rsidRPr="0095296E" w:rsidRDefault="000318C5"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w:t>
            </w:r>
            <w:r w:rsidR="00EB7679" w:rsidRPr="0095296E">
              <w:rPr>
                <w:sz w:val="18"/>
                <w:szCs w:val="18"/>
              </w:rPr>
              <w:t>7</w:t>
            </w:r>
            <w:r w:rsidRPr="0095296E">
              <w:rPr>
                <w:sz w:val="18"/>
                <w:szCs w:val="18"/>
              </w:rPr>
              <w:t>,</w:t>
            </w:r>
            <w:r w:rsidR="00EB7679" w:rsidRPr="0095296E">
              <w:rPr>
                <w:sz w:val="18"/>
                <w:szCs w:val="18"/>
              </w:rPr>
              <w:t>1</w:t>
            </w:r>
          </w:p>
        </w:tc>
        <w:tc>
          <w:tcPr>
            <w:tcW w:w="1135" w:type="dxa"/>
            <w:tcBorders>
              <w:top w:val="single" w:sz="4" w:space="0" w:color="44B3E1"/>
              <w:left w:val="nil"/>
              <w:bottom w:val="single" w:sz="4" w:space="0" w:color="44B3E1"/>
              <w:right w:val="single" w:sz="4" w:space="0" w:color="44B3E1"/>
            </w:tcBorders>
            <w:noWrap/>
            <w:hideMark/>
          </w:tcPr>
          <w:p w14:paraId="7DCC8B71" w14:textId="7EB30DCE" w:rsidR="000318C5" w:rsidRPr="0095296E" w:rsidRDefault="000318C5"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5,</w:t>
            </w:r>
            <w:r w:rsidR="00EB7679" w:rsidRPr="0095296E">
              <w:rPr>
                <w:sz w:val="18"/>
                <w:szCs w:val="18"/>
              </w:rPr>
              <w:t>4</w:t>
            </w:r>
          </w:p>
        </w:tc>
      </w:tr>
      <w:tr w:rsidR="00AB0D14" w:rsidRPr="0095296E" w14:paraId="1BF967D1" w14:textId="77777777" w:rsidTr="008C6C59">
        <w:tc>
          <w:tcPr>
            <w:tcW w:w="1787" w:type="dxa"/>
            <w:tcBorders>
              <w:top w:val="single" w:sz="4" w:space="0" w:color="44B3E1"/>
              <w:left w:val="single" w:sz="4" w:space="0" w:color="44B3E1"/>
              <w:bottom w:val="single" w:sz="4" w:space="0" w:color="44B3E1"/>
              <w:right w:val="nil"/>
            </w:tcBorders>
            <w:shd w:val="clear" w:color="auto" w:fill="C0E6F5"/>
            <w:hideMark/>
          </w:tcPr>
          <w:p w14:paraId="6440DE6E" w14:textId="77777777" w:rsidR="000318C5" w:rsidRPr="0095296E" w:rsidRDefault="000318C5" w:rsidP="00CE4397">
            <w:pPr>
              <w:pStyle w:val="Tabletext"/>
              <w:rPr>
                <w:rFonts w:cs="Calibri"/>
                <w:b/>
                <w:bCs/>
                <w:sz w:val="18"/>
                <w:szCs w:val="18"/>
              </w:rPr>
            </w:pPr>
            <w:r w:rsidRPr="0095296E">
              <w:rPr>
                <w:b/>
                <w:bCs/>
                <w:sz w:val="18"/>
                <w:szCs w:val="18"/>
              </w:rPr>
              <w:t>Сети и цифровая инфраструктура</w:t>
            </w:r>
          </w:p>
        </w:tc>
        <w:tc>
          <w:tcPr>
            <w:tcW w:w="3122" w:type="dxa"/>
            <w:tcBorders>
              <w:top w:val="single" w:sz="4" w:space="0" w:color="44B3E1"/>
              <w:left w:val="nil"/>
              <w:bottom w:val="single" w:sz="4" w:space="0" w:color="44B3E1"/>
              <w:right w:val="nil"/>
            </w:tcBorders>
            <w:shd w:val="clear" w:color="auto" w:fill="C0E6F5"/>
            <w:hideMark/>
          </w:tcPr>
          <w:p w14:paraId="443C62B8"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Расширение возможности установления широкополосных соединений в развивающихся странах, в том числе наименее развитых странах (НРС), малых островных развивающихся государствах (СИДС) и развивающихся странах, не имеющих выхода к морю (ЛЛДС), странах с переходной экономикой и странах, находящихся в особо трудном положении</w:t>
            </w:r>
          </w:p>
          <w:p w14:paraId="27A2071E" w14:textId="578D58D4" w:rsidR="000318C5"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Совершенствование </w:t>
            </w:r>
            <w:r w:rsidR="000318C5" w:rsidRPr="0095296E">
              <w:rPr>
                <w:sz w:val="18"/>
                <w:szCs w:val="18"/>
              </w:rPr>
              <w:t xml:space="preserve">инфраструктуры и услуг электросвязи/ИКТ, в частности охвата широкополосной связью, повышение качества обслуживания и приемлемости устройств и услуг в ценовом отношении применительно к </w:t>
            </w:r>
            <w:r w:rsidR="000318C5" w:rsidRPr="0095296E">
              <w:rPr>
                <w:sz w:val="18"/>
                <w:szCs w:val="18"/>
              </w:rPr>
              <w:lastRenderedPageBreak/>
              <w:t>сельским и обслуживаемым в недостаточной степени районам</w:t>
            </w:r>
          </w:p>
        </w:tc>
        <w:tc>
          <w:tcPr>
            <w:tcW w:w="3166" w:type="dxa"/>
            <w:tcBorders>
              <w:top w:val="single" w:sz="4" w:space="0" w:color="44B3E1"/>
              <w:left w:val="nil"/>
              <w:bottom w:val="single" w:sz="4" w:space="0" w:color="44B3E1"/>
              <w:right w:val="nil"/>
            </w:tcBorders>
            <w:shd w:val="clear" w:color="auto" w:fill="C0E6F5"/>
            <w:hideMark/>
          </w:tcPr>
          <w:p w14:paraId="0409DE7C"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lastRenderedPageBreak/>
              <w:t>•</w:t>
            </w:r>
            <w:r w:rsidRPr="0095296E">
              <w:rPr>
                <w:rFonts w:cs="Calibri"/>
                <w:color w:val="000000" w:themeColor="text1"/>
                <w:sz w:val="18"/>
                <w:szCs w:val="18"/>
                <w:lang w:eastAsia="en-GB"/>
              </w:rPr>
              <w:tab/>
            </w:r>
            <w:r w:rsidR="000318C5" w:rsidRPr="0095296E">
              <w:rPr>
                <w:sz w:val="18"/>
                <w:szCs w:val="18"/>
              </w:rPr>
              <w:t>Количество Государств-Членов, имеющих план развития широкополосной связи</w:t>
            </w:r>
          </w:p>
          <w:p w14:paraId="306C0C13" w14:textId="372D6AC4"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лиц, пользующихся интернетом</w:t>
            </w:r>
          </w:p>
          <w:p w14:paraId="0E1894E0"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лиц, имеющих мобильный телефон</w:t>
            </w:r>
          </w:p>
          <w:p w14:paraId="3470FD97"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сельского населения в НРС, ЛЛДС и СИДС, охваченного сетями IMT-2000 (3G) или последующих поколений</w:t>
            </w:r>
          </w:p>
          <w:p w14:paraId="5624E016"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Государств-Членов с доступными данными, в которых не менее 90 процентов населения в сельских районах охвачено сетями IMT-Advanced (4G) или последующих поколений</w:t>
            </w:r>
          </w:p>
          <w:p w14:paraId="12414C65" w14:textId="77777777" w:rsidR="00AB0D14"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 xml:space="preserve">доля Государств-Членов, в которых стоимость </w:t>
            </w:r>
            <w:r w:rsidR="000318C5" w:rsidRPr="0095296E">
              <w:rPr>
                <w:sz w:val="18"/>
                <w:szCs w:val="18"/>
              </w:rPr>
              <w:lastRenderedPageBreak/>
              <w:t>базового набора услуг подвижного широкополосного доступа не превышает двух процентов ВНД на душу населения</w:t>
            </w:r>
          </w:p>
          <w:p w14:paraId="0DF7C59F" w14:textId="0E57438B" w:rsidR="000318C5" w:rsidRPr="0095296E" w:rsidRDefault="00AB0D1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Государств-Членов, в которых стоимость базового набора услуг фиксированного широкополосного доступа не превышает двух процентов ВНД на душу населения</w:t>
            </w:r>
          </w:p>
        </w:tc>
        <w:tc>
          <w:tcPr>
            <w:tcW w:w="2447" w:type="dxa"/>
            <w:tcBorders>
              <w:top w:val="single" w:sz="4" w:space="0" w:color="44B3E1"/>
              <w:left w:val="nil"/>
              <w:bottom w:val="single" w:sz="4" w:space="0" w:color="44B3E1"/>
              <w:right w:val="nil"/>
            </w:tcBorders>
            <w:shd w:val="clear" w:color="auto" w:fill="C0E6F5"/>
            <w:hideMark/>
          </w:tcPr>
          <w:p w14:paraId="44F9394F" w14:textId="77777777"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lastRenderedPageBreak/>
              <w:t>•</w:t>
            </w:r>
            <w:r w:rsidRPr="0095296E">
              <w:rPr>
                <w:rFonts w:cs="Calibri"/>
                <w:color w:val="000000" w:themeColor="text1"/>
                <w:sz w:val="18"/>
                <w:szCs w:val="18"/>
                <w:lang w:eastAsia="en-GB"/>
              </w:rPr>
              <w:tab/>
            </w:r>
            <w:r w:rsidR="000318C5" w:rsidRPr="0095296E">
              <w:rPr>
                <w:sz w:val="18"/>
                <w:szCs w:val="18"/>
              </w:rPr>
              <w:t>Технические меры</w:t>
            </w:r>
          </w:p>
          <w:p w14:paraId="39593C38" w14:textId="61F8FD3B"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sz w:val="18"/>
                <w:szCs w:val="18"/>
              </w:rPr>
              <w:t>•</w:t>
            </w:r>
            <w:r w:rsidRPr="0095296E">
              <w:rPr>
                <w:sz w:val="18"/>
                <w:szCs w:val="18"/>
              </w:rPr>
              <w:tab/>
              <w:t xml:space="preserve">Платформы </w:t>
            </w:r>
            <w:r w:rsidR="000318C5" w:rsidRPr="0095296E">
              <w:rPr>
                <w:sz w:val="18"/>
                <w:szCs w:val="18"/>
              </w:rPr>
              <w:t>для созыва мероприятий</w:t>
            </w:r>
          </w:p>
          <w:p w14:paraId="19A4BFE0" w14:textId="77777777" w:rsidR="00AB0D14"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sz w:val="18"/>
                <w:szCs w:val="18"/>
              </w:rPr>
              <w:t>•</w:t>
            </w:r>
            <w:r w:rsidRPr="0095296E">
              <w:rPr>
                <w:sz w:val="18"/>
                <w:szCs w:val="18"/>
              </w:rPr>
              <w:tab/>
              <w:t xml:space="preserve">Системы </w:t>
            </w:r>
            <w:r w:rsidR="000318C5" w:rsidRPr="0095296E">
              <w:rPr>
                <w:sz w:val="18"/>
                <w:szCs w:val="18"/>
              </w:rPr>
              <w:t>обучения</w:t>
            </w:r>
          </w:p>
          <w:p w14:paraId="75650F51" w14:textId="63AD8FA1" w:rsidR="000318C5" w:rsidRPr="0095296E" w:rsidRDefault="00AB0D14"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sz w:val="18"/>
                <w:szCs w:val="18"/>
              </w:rPr>
              <w:t>•</w:t>
            </w:r>
            <w:r w:rsidRPr="0095296E">
              <w:rPr>
                <w:sz w:val="18"/>
                <w:szCs w:val="18"/>
              </w:rPr>
              <w:tab/>
              <w:t xml:space="preserve">Платформы </w:t>
            </w:r>
            <w:r w:rsidR="000318C5" w:rsidRPr="0095296E">
              <w:rPr>
                <w:sz w:val="18"/>
                <w:szCs w:val="18"/>
              </w:rPr>
              <w:t>для созыва мероприятий</w:t>
            </w:r>
          </w:p>
          <w:p w14:paraId="41099D39" w14:textId="143CBA18" w:rsidR="000318C5" w:rsidRPr="0095296E" w:rsidRDefault="000318C5" w:rsidP="00DD71E5">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sz w:val="18"/>
                <w:szCs w:val="18"/>
              </w:rPr>
              <w:t>•</w:t>
            </w:r>
            <w:r w:rsidR="00AB0D14" w:rsidRPr="0095296E">
              <w:rPr>
                <w:sz w:val="18"/>
                <w:szCs w:val="18"/>
              </w:rPr>
              <w:tab/>
            </w:r>
            <w:r w:rsidRPr="0095296E">
              <w:rPr>
                <w:sz w:val="18"/>
                <w:szCs w:val="18"/>
              </w:rPr>
              <w:t xml:space="preserve">Типовые направления политики и стратегии, комплекты материалов </w:t>
            </w:r>
          </w:p>
        </w:tc>
        <w:tc>
          <w:tcPr>
            <w:tcW w:w="1161" w:type="dxa"/>
            <w:tcBorders>
              <w:top w:val="single" w:sz="4" w:space="0" w:color="44B3E1"/>
              <w:left w:val="nil"/>
              <w:bottom w:val="single" w:sz="4" w:space="0" w:color="44B3E1"/>
              <w:right w:val="nil"/>
            </w:tcBorders>
            <w:shd w:val="clear" w:color="auto" w:fill="C0E6F5"/>
            <w:noWrap/>
            <w:hideMark/>
          </w:tcPr>
          <w:p w14:paraId="28E164DB" w14:textId="03CDFA23" w:rsidR="000318C5" w:rsidRPr="0095296E" w:rsidRDefault="000318C5"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w:t>
            </w:r>
            <w:r w:rsidR="00EB7679" w:rsidRPr="0095296E">
              <w:rPr>
                <w:sz w:val="18"/>
                <w:szCs w:val="18"/>
              </w:rPr>
              <w:t>47</w:t>
            </w:r>
            <w:r w:rsidRPr="0095296E">
              <w:rPr>
                <w:sz w:val="18"/>
                <w:szCs w:val="18"/>
              </w:rPr>
              <w:t> 000</w:t>
            </w:r>
          </w:p>
        </w:tc>
        <w:tc>
          <w:tcPr>
            <w:tcW w:w="1778" w:type="dxa"/>
            <w:tcBorders>
              <w:top w:val="single" w:sz="4" w:space="0" w:color="44B3E1"/>
              <w:left w:val="nil"/>
              <w:bottom w:val="single" w:sz="4" w:space="0" w:color="44B3E1"/>
              <w:right w:val="nil"/>
            </w:tcBorders>
            <w:shd w:val="clear" w:color="auto" w:fill="C0E6F5"/>
            <w:noWrap/>
            <w:hideMark/>
          </w:tcPr>
          <w:p w14:paraId="69E6F488" w14:textId="7FA74BC8" w:rsidR="000318C5" w:rsidRPr="0095296E" w:rsidRDefault="00EB7679"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62,9</w:t>
            </w:r>
          </w:p>
        </w:tc>
        <w:tc>
          <w:tcPr>
            <w:tcW w:w="1135" w:type="dxa"/>
            <w:tcBorders>
              <w:top w:val="single" w:sz="4" w:space="0" w:color="44B3E1"/>
              <w:left w:val="nil"/>
              <w:bottom w:val="single" w:sz="4" w:space="0" w:color="44B3E1"/>
              <w:right w:val="single" w:sz="4" w:space="0" w:color="44B3E1"/>
            </w:tcBorders>
            <w:shd w:val="clear" w:color="auto" w:fill="C0E6F5"/>
            <w:noWrap/>
            <w:hideMark/>
          </w:tcPr>
          <w:p w14:paraId="5C3FF07A" w14:textId="6089D4E6" w:rsidR="000318C5" w:rsidRPr="0095296E" w:rsidRDefault="00EB7679" w:rsidP="00AB0D14">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9</w:t>
            </w:r>
            <w:r w:rsidR="000318C5" w:rsidRPr="0095296E">
              <w:rPr>
                <w:sz w:val="18"/>
                <w:szCs w:val="18"/>
              </w:rPr>
              <w:t>,1</w:t>
            </w:r>
          </w:p>
        </w:tc>
      </w:tr>
    </w:tbl>
    <w:p w14:paraId="7F980045" w14:textId="77777777" w:rsidR="00A96D81" w:rsidRPr="0095296E" w:rsidRDefault="00A96D81">
      <w:pPr>
        <w:tabs>
          <w:tab w:val="clear" w:pos="1134"/>
          <w:tab w:val="clear" w:pos="1871"/>
          <w:tab w:val="clear" w:pos="2268"/>
        </w:tabs>
        <w:overflowPunct/>
        <w:autoSpaceDE/>
        <w:autoSpaceDN/>
        <w:adjustRightInd/>
        <w:spacing w:before="0"/>
        <w:textAlignment w:val="auto"/>
        <w:sectPr w:rsidR="00A96D81" w:rsidRPr="0095296E" w:rsidSect="000318C5">
          <w:headerReference w:type="default" r:id="rId20"/>
          <w:headerReference w:type="first" r:id="rId21"/>
          <w:footerReference w:type="first" r:id="rId22"/>
          <w:pgSz w:w="16840" w:h="11907" w:orient="landscape" w:code="9"/>
          <w:pgMar w:top="1418" w:right="1134" w:bottom="1134" w:left="1134" w:header="567" w:footer="567" w:gutter="0"/>
          <w:cols w:space="720"/>
          <w:titlePg/>
          <w:docGrid w:linePitch="326"/>
        </w:sectPr>
      </w:pPr>
    </w:p>
    <w:p w14:paraId="5D1D6EDE" w14:textId="77777777" w:rsidR="00A96D81" w:rsidRPr="0095296E" w:rsidRDefault="00A96D81" w:rsidP="001070FB">
      <w:pPr>
        <w:pStyle w:val="Headingb"/>
        <w:rPr>
          <w:i/>
          <w:iCs/>
          <w:lang w:val="ru-RU"/>
        </w:rPr>
      </w:pPr>
      <w:r w:rsidRPr="0095296E">
        <w:rPr>
          <w:i/>
          <w:iCs/>
          <w:lang w:val="ru-RU"/>
        </w:rPr>
        <w:lastRenderedPageBreak/>
        <w:t>Основные достигнутые результаты 2026 года: Приоритет 1 МСЭ-D – Возможность установления приемлемых в ценовом отношении соединений</w:t>
      </w:r>
    </w:p>
    <w:p w14:paraId="4D331F5A" w14:textId="77777777" w:rsidR="00A96D81" w:rsidRPr="0095296E" w:rsidRDefault="00A96D81" w:rsidP="001070FB">
      <w:pPr>
        <w:pStyle w:val="Headingb"/>
        <w:rPr>
          <w:lang w:val="ru-RU"/>
        </w:rPr>
      </w:pPr>
      <w:r w:rsidRPr="0095296E">
        <w:rPr>
          <w:lang w:val="ru-RU"/>
        </w:rPr>
        <w:t>Электросвязь в чрезвычайных ситуациях</w:t>
      </w:r>
    </w:p>
    <w:p w14:paraId="3D469E55" w14:textId="77777777" w:rsidR="00A96D81" w:rsidRPr="0095296E" w:rsidRDefault="00A96D81" w:rsidP="001070FB">
      <w:pPr>
        <w:rPr>
          <w:b/>
        </w:rPr>
      </w:pPr>
      <w:r w:rsidRPr="0095296E">
        <w:t xml:space="preserve">В </w:t>
      </w:r>
      <w:r w:rsidRPr="0095296E">
        <w:rPr>
          <w:b/>
          <w:bCs/>
        </w:rPr>
        <w:t>Африке</w:t>
      </w:r>
      <w:r w:rsidRPr="0095296E">
        <w:t xml:space="preserve"> Руанда приняла новый национальный план электросвязи в чрезвычайных ситуациях для содействия укреплению систем раннего предупреждения, повышения готовности к бедствиям и устойчивости на национальном уровне. В Сенегале 10–11 февраля состоялся национальный семинар-практикум по проверке электросвязи в чрезвычайных ситуациях, собравший представителей заинтересованных сторон национального уровня из государственного и частного секторов, занимающихся вопросами снижения риска бедствий и электросвязи в чрезвычайных ситуациях. Семинар-практикум был организован совместно БРЭ и Регуляторным органом электросвязи и почт Сенегала; он способствовал укреплению коллективных усилий по использованию ИКТ для снижения рисков бедствий и обеспечению того, чтобы никто не был забыт в случае возникновения чрезвычайной ситуации. Это мероприятие также предоставило участникам платформу для рассмотрения нормативно-правовых баз, обеспечивающих возможность использования технологий для управления операциями в случае бедствий, уточнения институциональных ролей и механизмов координации, формирования общего понимания того, каким образом цифровые решения используются для поддержки каждого этапа управления операциями в случае бедствий, а также согласования дорожной карты для совершенствования электросвязи в чрезвычайных ситуациях в стране.</w:t>
      </w:r>
    </w:p>
    <w:p w14:paraId="5934E62A" w14:textId="77777777" w:rsidR="00A96D81" w:rsidRPr="0095296E" w:rsidRDefault="00A96D81" w:rsidP="001070FB">
      <w:r w:rsidRPr="0095296E">
        <w:t>В Демократической Республике Конго 28–29 января состоялся национальный консультационный семинар-практикум "Раннее предупреждение для всех" (EW4All), проведенный в рамках задачи официального развертывания этой инициативы в стране. Семинар-практикум проводился БРЭ в сотрудничестве с ведущими учреждениями инициативы "EW4All", Управлением ООН по снижению риска бедствий (УСРБ ООН), Всемирной метеорологической организацией (ВМО) и Международной федерацией Красного Креста (МФКК) и при поддержке Министерства внутренних дел, Регуляторного органа почты и электросвязи Конго, Национального агентства метеорологии и спутникового зондирования, а также Управления водных путей. Работа БРЭ с правительством, партнерами из системы ООН и национальными учреждениями способствовала выявлению пробелов по четырем основным направлениям инициативы EW4All и совместной разработке национальной дорожной карты для получения знаний о рисках, прогнозирования, распространения предупреждений и связи в случае бедствий, а также обеспечения готовности, что способствовало укреплению усилий страны в области обеспечения раннего предупреждения для всех.</w:t>
      </w:r>
    </w:p>
    <w:p w14:paraId="5D6EB771" w14:textId="77777777" w:rsidR="00A96D81" w:rsidRPr="0095296E" w:rsidRDefault="00A96D81" w:rsidP="001070FB">
      <w:r w:rsidRPr="0095296E">
        <w:t>В Малави 11–12 февраля в рамках Координационного собрания партнеров по услугам раннего предупреждения для Малави, организованного в рамках инициативы "Климатические риски и системы раннего предупреждения", состоялся национальный консультативный семинар-практикум "Раннее предупреждение для всех" (EW4All). Семинар-практикум, организованный совместно с ведущими учреждениями инициативы EW4All и национальными партнерами, предоставил платформу для правительства, партнеров системы ООН и учреждений для совместной работы и анализа задач EW4All, определения ключевых заинтересованных сторон и согласования приоритетных действий и последующих шагов по укреплению ориентированных на людей систем раннего предупреждения в Малави. Регуляторный орган связи Малави подчеркнул необходимость внедрения сотового вещания в рамках укрепления национальной системы раннего предупреждения, а также отметил поддержку, которую Бюро развития электросвязи МСЭ оказывает стране в вопросе электросвязи в чрезвычайных ситуациях.</w:t>
      </w:r>
    </w:p>
    <w:p w14:paraId="7B805040" w14:textId="77777777" w:rsidR="00A96D81" w:rsidRPr="0095296E" w:rsidRDefault="00A96D81" w:rsidP="001070FB">
      <w:r w:rsidRPr="0095296E">
        <w:t xml:space="preserve">В </w:t>
      </w:r>
      <w:r w:rsidRPr="0095296E">
        <w:rPr>
          <w:b/>
          <w:bCs/>
        </w:rPr>
        <w:t>регионе Северной и Южной Америки</w:t>
      </w:r>
      <w:r w:rsidRPr="0095296E">
        <w:t xml:space="preserve"> БРЭ передало национальный план электросвязи в чрезвычайных ситуациях (NETP) Национальному совету по электросвязи (CONATEL) Гаити. Этот этап укрепляет готовность Гаити к бедствиям и координацию на национальном уровне, обеспечивая целевое назначение важнейших систем электросвязи до, во время и после бедствий, что помогает защитить жизни и средства к существованию, чтобы никто не был забыт.</w:t>
      </w:r>
    </w:p>
    <w:p w14:paraId="04939E2A" w14:textId="77777777" w:rsidR="00A96D81" w:rsidRPr="0095296E" w:rsidRDefault="00A96D81" w:rsidP="001070FB">
      <w:r w:rsidRPr="0095296E">
        <w:lastRenderedPageBreak/>
        <w:t>В соответствии с региональными приоритетами БРЭ представило информацию о ходе работы по направлению 3 инициативы "Раннее предупреждение для всех" (EW4ALL) на восьмом Региональном форуме в Панаме (17–19 марта), что подчеркивает приверженность БРЭ снижению риска бедствий и комплексному управлению операциями в Центральной Америке.</w:t>
      </w:r>
    </w:p>
    <w:p w14:paraId="2E276EED" w14:textId="77777777" w:rsidR="00A96D81" w:rsidRPr="0095296E" w:rsidRDefault="00A96D81" w:rsidP="001070FB">
      <w:pPr>
        <w:rPr>
          <w:b/>
          <w:bCs/>
        </w:rPr>
      </w:pPr>
      <w:r w:rsidRPr="0095296E">
        <w:t xml:space="preserve">В </w:t>
      </w:r>
      <w:r w:rsidRPr="0095296E">
        <w:rPr>
          <w:b/>
          <w:bCs/>
        </w:rPr>
        <w:t>Азиатско-Тихоокеанском регионе</w:t>
      </w:r>
      <w:r w:rsidRPr="0095296E">
        <w:t xml:space="preserve"> БРЭ провело сессию по разработке национального плана электросвязи в чрезвычайных ситуациях (NETP) для Министерства транспорта, связи и информационных технологий Республики Маршалловы Острова. На собрании обсуждались структура NETP, вопросы его внедрения и интеграции с национальным тематическим блоком по вопросам электросвязи в чрезвычайных ситуациях и системами раннего предупреждения.</w:t>
      </w:r>
    </w:p>
    <w:p w14:paraId="39D74062" w14:textId="77777777" w:rsidR="00A96D81" w:rsidRPr="0095296E" w:rsidRDefault="00A96D81" w:rsidP="001070FB">
      <w:r w:rsidRPr="0095296E">
        <w:t>Помимо этого, БРЭ в сотрудничестве с Экономической и социальной комиссией ООН для Азии и Тихого океана (ЭСКАТО) и ведущими учреждениями инициативы EW4All организовало 29 января вебинар по вопросам финансирования деятельности в рамках инициативы EW4All в рамках цикла вебинаров EW4All для Азиатско-Тихоокеанского региона. На этом мероприятии, в работе которого приняли участие более 100 человек, освещались стратегии и важность устойчивого внедрения систем раннего предупреждения.</w:t>
      </w:r>
    </w:p>
    <w:p w14:paraId="11CDB19E" w14:textId="1FB4E196" w:rsidR="00A96D81" w:rsidRPr="0095296E" w:rsidRDefault="00A96D81" w:rsidP="001070FB">
      <w:r w:rsidRPr="0095296E">
        <w:t xml:space="preserve">В </w:t>
      </w:r>
      <w:r w:rsidR="0024149C" w:rsidRPr="0095296E">
        <w:rPr>
          <w:b/>
          <w:bCs/>
        </w:rPr>
        <w:t>регионе</w:t>
      </w:r>
      <w:r w:rsidR="0024149C" w:rsidRPr="0095296E">
        <w:t xml:space="preserve"> </w:t>
      </w:r>
      <w:r w:rsidRPr="0095296E">
        <w:rPr>
          <w:b/>
          <w:bCs/>
        </w:rPr>
        <w:t>СНГ</w:t>
      </w:r>
      <w:r w:rsidRPr="0095296E">
        <w:t xml:space="preserve"> Армения провела семинар-практикум по проверке национальной дорожной карты EW4All для обеспечения защиты всех людей, где бы они ни находились, с помощью важнейших систем раннего предупреждения. Инициатива укрепила национальный потенциал в области знаний о</w:t>
      </w:r>
      <w:r w:rsidR="0024149C" w:rsidRPr="0095296E">
        <w:t> </w:t>
      </w:r>
      <w:r w:rsidRPr="0095296E">
        <w:t>рисках, прогнозирования, передачи предупреждений и реагирования; таким образом она поддержала разработку комплексной системы раннего предупреждения, согласованной с глобальными стандартами, для повышения устойчивости к изменению климата и обеспечения защиты сообществ от бедствий.</w:t>
      </w:r>
    </w:p>
    <w:p w14:paraId="1B23AEDA" w14:textId="77777777" w:rsidR="00A96D81" w:rsidRPr="0095296E" w:rsidRDefault="00A96D81" w:rsidP="001070FB">
      <w:r w:rsidRPr="0095296E">
        <w:t xml:space="preserve">В </w:t>
      </w:r>
      <w:r w:rsidRPr="0095296E">
        <w:rPr>
          <w:b/>
          <w:bCs/>
        </w:rPr>
        <w:t>Европе</w:t>
      </w:r>
      <w:r w:rsidRPr="0095296E">
        <w:t xml:space="preserve"> в январе в Подгорице, Черногория, прошел национальный семинар-практикум по проверке систем предупреждения о чрезвычайных ситуациях. На нем более 40 представителей соответствующих учреждений получили возможность представить окончательные отзывы по техническому отчету и технико-экономическому обоснованию внедрения систем предупреждения населения на основе сотового вещания и других каналов связи для передачи предупреждающих сообщений в Черногории. После семинара-практикума и представления непосредственных отзывов национальных компетентных органов документация была завершена и передана EKIP по случаю проведения Регионального форума МСЭ по вопросам развития для Европы в марте 2026 года.</w:t>
      </w:r>
    </w:p>
    <w:p w14:paraId="2FE9D254" w14:textId="77777777" w:rsidR="00A96D81" w:rsidRPr="0095296E" w:rsidRDefault="00A96D81" w:rsidP="001070FB">
      <w:pPr>
        <w:pStyle w:val="Headingb"/>
        <w:rPr>
          <w:lang w:val="ru-RU"/>
        </w:rPr>
      </w:pPr>
      <w:r w:rsidRPr="0095296E">
        <w:rPr>
          <w:lang w:val="ru-RU"/>
        </w:rPr>
        <w:t>Сети и инфраструктура</w:t>
      </w:r>
    </w:p>
    <w:p w14:paraId="3836B39D" w14:textId="77777777" w:rsidR="00A96D81" w:rsidRPr="0095296E" w:rsidRDefault="00A96D81" w:rsidP="001070FB">
      <w:r w:rsidRPr="0095296E">
        <w:t xml:space="preserve">В </w:t>
      </w:r>
      <w:r w:rsidRPr="0095296E">
        <w:rPr>
          <w:b/>
          <w:bCs/>
        </w:rPr>
        <w:t>Африке</w:t>
      </w:r>
      <w:r w:rsidRPr="0095296E">
        <w:t xml:space="preserve"> в рамках проекта картирования сетей широкополосной связи в Африке БРЭ оказало содействие в проведении 11 аналитических исследований национальной политики и регулирования, которые были положены в основу систем картирования широкополосной связи. Были подготовлены страновые сводки по Нигерии, Ботсване, Кот-д'Ивуару и Кении, при этом работа продолжается в Бенине, Бурунди, Эфиопии, Малави, Уганде, Замбии и Зимбабве.</w:t>
      </w:r>
    </w:p>
    <w:p w14:paraId="2595525F" w14:textId="7DBD7E48" w:rsidR="00A96D81" w:rsidRPr="0095296E" w:rsidRDefault="00A96D81" w:rsidP="001070FB">
      <w:r w:rsidRPr="0095296E">
        <w:t>В целях реализации региональных инициатив БРЭ совместно с ICANN и АСЭ организовало 25</w:t>
      </w:r>
      <w:r w:rsidR="0024149C" w:rsidRPr="0095296E">
        <w:t> </w:t>
      </w:r>
      <w:r w:rsidRPr="0095296E">
        <w:t>февраля техническую информационную сессию по укреплению цифровой инфраструктуры в Африке. Государствам-Членам было направлено предложение выражать заинтересованность в идеях проектов по обсуждавшимся техническим темам.</w:t>
      </w:r>
    </w:p>
    <w:p w14:paraId="6C85D329" w14:textId="77777777" w:rsidR="00A96D81" w:rsidRPr="0095296E" w:rsidRDefault="00A96D81" w:rsidP="001070FB">
      <w:r w:rsidRPr="0095296E">
        <w:t xml:space="preserve">В </w:t>
      </w:r>
      <w:r w:rsidRPr="0095296E">
        <w:rPr>
          <w:b/>
          <w:bCs/>
        </w:rPr>
        <w:t>Северной и Южной Америке</w:t>
      </w:r>
      <w:r w:rsidRPr="0095296E">
        <w:t xml:space="preserve"> важнейшим этапом в расширении возможностей установления соединений стала организация базового учебного курса по управлению сетями ИКТ для сообществ сельских и отдаленных районов, а также сообществ коренных народов; мероприятие прошло в Пуэбле, Мексика, 18–25 марта. Очный компонент основывался на успешном завершении онлайнового этапа; участники получили возможность укрепить технические и практические навыки в области развертывания коллективных сетей, радиовещания и устойчивых решений в области обеспечения возможности установления соединений. Базовый учебный курс также способствовал плодотворному обмену опытом между лидерами сообществ, представителями регуляторных </w:t>
      </w:r>
      <w:r w:rsidRPr="0095296E">
        <w:lastRenderedPageBreak/>
        <w:t>органов, академических организаций и партнерами в области развития, в том числе взаимодействию с национальными органами власти, такими как Комиссия по регулированию электросвязи (CRT) Мексики, CONATEL Парагвая и INDOTEL Доминиканской Республики. Эта инициатива содействовала расширению возможностей 50 заинтересованных сторон посредством проведения практических занятий и взаимного обучения, и таким образом подтвердила приверженность БРЭ обеспечению универсальной возможности установления соединений в Северной и Южной Америке, реализуемой при участии местных сообществ.</w:t>
      </w:r>
    </w:p>
    <w:p w14:paraId="6502C520" w14:textId="5C31C54C" w:rsidR="00A96D81" w:rsidRPr="0095296E" w:rsidRDefault="00A96D81" w:rsidP="001070FB">
      <w:r w:rsidRPr="0095296E">
        <w:t>Помимо этого, в рамках соглашения о техническом сотрудничестве с администрацией Колумбии (MinTIC) БРЭ приступило к разработке стратегической дорожной карты по универсальному доступу к</w:t>
      </w:r>
      <w:r w:rsidR="001070FB" w:rsidRPr="0095296E">
        <w:t> </w:t>
      </w:r>
      <w:r w:rsidRPr="0095296E">
        <w:t>услугам телевидения.</w:t>
      </w:r>
    </w:p>
    <w:p w14:paraId="365158EF" w14:textId="77777777" w:rsidR="00A96D81" w:rsidRPr="0095296E" w:rsidRDefault="00A96D81" w:rsidP="001070FB">
      <w:r w:rsidRPr="0095296E">
        <w:t xml:space="preserve">В </w:t>
      </w:r>
      <w:r w:rsidRPr="0095296E">
        <w:rPr>
          <w:b/>
          <w:bCs/>
        </w:rPr>
        <w:t>Азиатско-Тихоокеанском регионе</w:t>
      </w:r>
      <w:r w:rsidRPr="0095296E">
        <w:t xml:space="preserve"> с 10 по 11 февраля БРЭ провело сессии с техническим, юридическим и финансовым департаментами Национального управления связи Тимора-Лешти (АНК) в целях согласования национальной политики в области распределения спектра с действующим Регламентом радиосвязи МСЭ. В ходе работы этих сессий, проведенных в рамках прямой помощи Тимору-Лешти, основное внимание уделялось контролю за использованием радиочастот (РЧ), обеспечению соблюдения политики, управлению использованием спектра и разъяснению проекта национальной таблицы распределения частот.</w:t>
      </w:r>
    </w:p>
    <w:p w14:paraId="69CD8969" w14:textId="77777777" w:rsidR="00A96D81" w:rsidRPr="0095296E" w:rsidRDefault="00A96D81" w:rsidP="001070FB">
      <w:r w:rsidRPr="0095296E">
        <w:t>Форум "Искусственный интеллект для цифрового роста", прошедший в Армении, объединил представителей правительства, отрасли и международных экспертов в целях активизации национального диалога по вопросу о выработке политики и регулирования в сфере ИИ, отраслевых применений, содействия многостороннему сотрудничеству в интересах цифровой трансформации. Мероприятие помогло укрепить потенциал заинтересованных сторон за счет обмена знаниями об управлении ИИ, появляющихся технологиях и примерах использования в области электросвязи и кибербезопасности, что способствовало внедрению инновационных и надежных решений на базе ИИ для содействия устойчивому цифровому развитию.</w:t>
      </w:r>
    </w:p>
    <w:p w14:paraId="1C6E0FF9" w14:textId="77777777" w:rsidR="00A96D81" w:rsidRPr="0095296E" w:rsidRDefault="00A96D81">
      <w:pPr>
        <w:tabs>
          <w:tab w:val="clear" w:pos="1134"/>
          <w:tab w:val="clear" w:pos="1871"/>
          <w:tab w:val="clear" w:pos="2268"/>
        </w:tabs>
        <w:overflowPunct/>
        <w:autoSpaceDE/>
        <w:autoSpaceDN/>
        <w:adjustRightInd/>
        <w:spacing w:before="0"/>
        <w:textAlignment w:val="auto"/>
      </w:pPr>
    </w:p>
    <w:p w14:paraId="054F5673" w14:textId="77777777" w:rsidR="00A96D81" w:rsidRPr="0095296E" w:rsidRDefault="00A96D81">
      <w:pPr>
        <w:tabs>
          <w:tab w:val="clear" w:pos="1134"/>
          <w:tab w:val="clear" w:pos="1871"/>
          <w:tab w:val="clear" w:pos="2268"/>
        </w:tabs>
        <w:overflowPunct/>
        <w:autoSpaceDE/>
        <w:autoSpaceDN/>
        <w:adjustRightInd/>
        <w:spacing w:before="0"/>
        <w:textAlignment w:val="auto"/>
        <w:sectPr w:rsidR="00A96D81" w:rsidRPr="0095296E" w:rsidSect="00A96D81">
          <w:headerReference w:type="default" r:id="rId23"/>
          <w:headerReference w:type="first" r:id="rId24"/>
          <w:pgSz w:w="11907" w:h="16840" w:code="9"/>
          <w:pgMar w:top="1418" w:right="1134" w:bottom="1418" w:left="1134" w:header="567" w:footer="567" w:gutter="0"/>
          <w:cols w:space="720"/>
          <w:titlePg/>
          <w:docGrid w:linePitch="326"/>
        </w:sectPr>
      </w:pPr>
    </w:p>
    <w:p w14:paraId="4E60EE12" w14:textId="6D6E390C" w:rsidR="000318C5" w:rsidRPr="0095296E" w:rsidRDefault="000318C5" w:rsidP="00AB0D14">
      <w:pPr>
        <w:pStyle w:val="Heading2"/>
        <w:spacing w:before="0" w:after="120"/>
      </w:pPr>
      <w:r w:rsidRPr="0095296E">
        <w:lastRenderedPageBreak/>
        <w:t>3.2</w:t>
      </w:r>
      <w:r w:rsidRPr="0095296E">
        <w:tab/>
        <w:t>Приоритет 2 МСЭ-D: Цифровая трансформация</w:t>
      </w:r>
    </w:p>
    <w:tbl>
      <w:tblPr>
        <w:tblW w:w="14595" w:type="dxa"/>
        <w:tblLayout w:type="fixed"/>
        <w:tblLook w:val="04A0" w:firstRow="1" w:lastRow="0" w:firstColumn="1" w:lastColumn="0" w:noHBand="0" w:noVBand="1"/>
      </w:tblPr>
      <w:tblGrid>
        <w:gridCol w:w="1787"/>
        <w:gridCol w:w="3122"/>
        <w:gridCol w:w="3177"/>
        <w:gridCol w:w="2436"/>
        <w:gridCol w:w="1161"/>
        <w:gridCol w:w="1778"/>
        <w:gridCol w:w="1134"/>
      </w:tblGrid>
      <w:tr w:rsidR="007C42DD" w:rsidRPr="0095296E" w14:paraId="1E8B5671" w14:textId="77777777" w:rsidTr="008C6C59">
        <w:trPr>
          <w:tblHeader/>
        </w:trPr>
        <w:tc>
          <w:tcPr>
            <w:tcW w:w="1787" w:type="dxa"/>
            <w:tcBorders>
              <w:top w:val="single" w:sz="4" w:space="0" w:color="44B3E1"/>
              <w:left w:val="single" w:sz="4" w:space="0" w:color="44B3E1"/>
              <w:bottom w:val="single" w:sz="4" w:space="0" w:color="44B3E1"/>
              <w:right w:val="nil"/>
            </w:tcBorders>
            <w:shd w:val="clear" w:color="auto" w:fill="156082"/>
            <w:noWrap/>
            <w:vAlign w:val="center"/>
            <w:hideMark/>
          </w:tcPr>
          <w:p w14:paraId="319F3561" w14:textId="77777777" w:rsidR="000318C5" w:rsidRPr="0095296E" w:rsidRDefault="000318C5" w:rsidP="007C42DD">
            <w:pPr>
              <w:pStyle w:val="Tablehead"/>
              <w:rPr>
                <w:rFonts w:cs="Calibri"/>
                <w:color w:val="FFFFFF" w:themeColor="background1"/>
                <w:sz w:val="18"/>
                <w:szCs w:val="18"/>
              </w:rPr>
            </w:pPr>
            <w:r w:rsidRPr="0095296E">
              <w:rPr>
                <w:color w:val="FFFFFF" w:themeColor="background1"/>
                <w:sz w:val="18"/>
                <w:szCs w:val="18"/>
              </w:rPr>
              <w:t>Приоритет/Тема</w:t>
            </w:r>
          </w:p>
        </w:tc>
        <w:tc>
          <w:tcPr>
            <w:tcW w:w="3122" w:type="dxa"/>
            <w:tcBorders>
              <w:top w:val="single" w:sz="4" w:space="0" w:color="44B3E1"/>
              <w:left w:val="nil"/>
              <w:bottom w:val="single" w:sz="4" w:space="0" w:color="44B3E1"/>
              <w:right w:val="nil"/>
            </w:tcBorders>
            <w:shd w:val="clear" w:color="auto" w:fill="156082"/>
            <w:noWrap/>
            <w:vAlign w:val="center"/>
            <w:hideMark/>
          </w:tcPr>
          <w:p w14:paraId="43CF8907" w14:textId="77777777" w:rsidR="000318C5" w:rsidRPr="0095296E" w:rsidRDefault="000318C5" w:rsidP="006963D6">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Конечные результаты</w:t>
            </w:r>
          </w:p>
        </w:tc>
        <w:tc>
          <w:tcPr>
            <w:tcW w:w="3177" w:type="dxa"/>
            <w:tcBorders>
              <w:top w:val="single" w:sz="4" w:space="0" w:color="44B3E1"/>
              <w:left w:val="nil"/>
              <w:bottom w:val="single" w:sz="4" w:space="0" w:color="44B3E1"/>
              <w:right w:val="nil"/>
            </w:tcBorders>
            <w:shd w:val="clear" w:color="auto" w:fill="156082"/>
            <w:noWrap/>
            <w:vAlign w:val="center"/>
            <w:hideMark/>
          </w:tcPr>
          <w:p w14:paraId="0BC8B3A1" w14:textId="77777777" w:rsidR="000318C5" w:rsidRPr="0095296E" w:rsidRDefault="000318C5" w:rsidP="006963D6">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Показатели конечных результатов</w:t>
            </w:r>
            <w:r w:rsidRPr="0095296E">
              <w:rPr>
                <w:rStyle w:val="FootnoteReference"/>
                <w:rFonts w:cs="Calibri"/>
                <w:b w:val="0"/>
                <w:color w:val="FFFFFF" w:themeColor="background1"/>
                <w:sz w:val="18"/>
                <w:szCs w:val="18"/>
                <w:lang w:eastAsia="en-GB"/>
              </w:rPr>
              <w:footnoteReference w:id="3"/>
            </w:r>
          </w:p>
        </w:tc>
        <w:tc>
          <w:tcPr>
            <w:tcW w:w="2436" w:type="dxa"/>
            <w:tcBorders>
              <w:top w:val="single" w:sz="4" w:space="0" w:color="44B3E1"/>
              <w:left w:val="nil"/>
              <w:bottom w:val="single" w:sz="4" w:space="0" w:color="44B3E1"/>
              <w:right w:val="nil"/>
            </w:tcBorders>
            <w:shd w:val="clear" w:color="auto" w:fill="156082"/>
            <w:vAlign w:val="center"/>
            <w:hideMark/>
          </w:tcPr>
          <w:p w14:paraId="2D9FD20D" w14:textId="24E98C8A" w:rsidR="000318C5" w:rsidRPr="0095296E" w:rsidRDefault="000318C5" w:rsidP="006963D6">
            <w:pPr>
              <w:pStyle w:val="Tablehead"/>
              <w:tabs>
                <w:tab w:val="clear" w:pos="1134"/>
                <w:tab w:val="clear" w:pos="1871"/>
                <w:tab w:val="clear" w:pos="2268"/>
                <w:tab w:val="left" w:pos="284"/>
              </w:tabs>
              <w:ind w:left="-57" w:right="-57"/>
              <w:rPr>
                <w:rFonts w:cs="Calibri"/>
                <w:color w:val="FFFFFF" w:themeColor="background1"/>
                <w:sz w:val="18"/>
                <w:szCs w:val="18"/>
              </w:rPr>
            </w:pPr>
            <w:r w:rsidRPr="0095296E">
              <w:rPr>
                <w:color w:val="FFFFFF" w:themeColor="background1"/>
                <w:sz w:val="18"/>
                <w:szCs w:val="18"/>
              </w:rPr>
              <w:t>Намеченные результаты деятельности (продукты и</w:t>
            </w:r>
            <w:r w:rsidR="006963D6" w:rsidRPr="0095296E">
              <w:rPr>
                <w:color w:val="FFFFFF" w:themeColor="background1"/>
                <w:sz w:val="18"/>
                <w:szCs w:val="18"/>
              </w:rPr>
              <w:t> </w:t>
            </w:r>
            <w:r w:rsidRPr="0095296E">
              <w:rPr>
                <w:color w:val="FFFFFF" w:themeColor="background1"/>
                <w:sz w:val="18"/>
                <w:szCs w:val="18"/>
              </w:rPr>
              <w:t>услуги МСЭ-D)</w:t>
            </w:r>
          </w:p>
        </w:tc>
        <w:tc>
          <w:tcPr>
            <w:tcW w:w="1161" w:type="dxa"/>
            <w:tcBorders>
              <w:top w:val="single" w:sz="4" w:space="0" w:color="44B3E1"/>
              <w:left w:val="nil"/>
              <w:bottom w:val="single" w:sz="4" w:space="0" w:color="44B3E1"/>
              <w:right w:val="nil"/>
            </w:tcBorders>
            <w:shd w:val="clear" w:color="auto" w:fill="156082"/>
            <w:vAlign w:val="center"/>
            <w:hideMark/>
          </w:tcPr>
          <w:p w14:paraId="6749F6CA" w14:textId="66BCAA17" w:rsidR="000318C5" w:rsidRPr="0095296E" w:rsidRDefault="000318C5" w:rsidP="006963D6">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 xml:space="preserve">Бюджет </w:t>
            </w:r>
            <w:r w:rsidR="006963D6" w:rsidRPr="0095296E">
              <w:rPr>
                <w:color w:val="FFFFFF" w:themeColor="background1"/>
                <w:sz w:val="18"/>
                <w:szCs w:val="18"/>
              </w:rPr>
              <w:br/>
            </w:r>
            <w:r w:rsidRPr="0095296E">
              <w:rPr>
                <w:color w:val="FFFFFF" w:themeColor="background1"/>
                <w:sz w:val="18"/>
                <w:szCs w:val="18"/>
              </w:rPr>
              <w:t>на 2026 г. (шв. фр.)</w:t>
            </w:r>
          </w:p>
        </w:tc>
        <w:tc>
          <w:tcPr>
            <w:tcW w:w="1778" w:type="dxa"/>
            <w:tcBorders>
              <w:top w:val="single" w:sz="4" w:space="0" w:color="44B3E1"/>
              <w:left w:val="nil"/>
              <w:bottom w:val="single" w:sz="4" w:space="0" w:color="44B3E1"/>
              <w:right w:val="nil"/>
            </w:tcBorders>
            <w:shd w:val="clear" w:color="auto" w:fill="156082"/>
            <w:vAlign w:val="center"/>
            <w:hideMark/>
          </w:tcPr>
          <w:p w14:paraId="1B8D9AD2" w14:textId="49B24166" w:rsidR="000318C5" w:rsidRPr="0095296E" w:rsidRDefault="000318C5" w:rsidP="006963D6">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 xml:space="preserve">Процент </w:t>
            </w:r>
            <w:r w:rsidR="006963D6" w:rsidRPr="0095296E">
              <w:rPr>
                <w:color w:val="FFFFFF" w:themeColor="background1"/>
                <w:sz w:val="18"/>
                <w:szCs w:val="18"/>
              </w:rPr>
              <w:br/>
            </w:r>
            <w:r w:rsidRPr="0095296E">
              <w:rPr>
                <w:color w:val="FFFFFF" w:themeColor="background1"/>
                <w:sz w:val="18"/>
                <w:szCs w:val="18"/>
              </w:rPr>
              <w:t>от общего объема приоритетов/</w:t>
            </w:r>
            <w:r w:rsidR="006963D6" w:rsidRPr="0095296E">
              <w:rPr>
                <w:color w:val="FFFFFF" w:themeColor="background1"/>
                <w:sz w:val="18"/>
                <w:szCs w:val="18"/>
              </w:rPr>
              <w:br/>
            </w:r>
            <w:r w:rsidRPr="0095296E">
              <w:rPr>
                <w:color w:val="FFFFFF" w:themeColor="background1"/>
                <w:sz w:val="18"/>
                <w:szCs w:val="18"/>
              </w:rPr>
              <w:t>средств достижения целей</w:t>
            </w:r>
          </w:p>
        </w:tc>
        <w:tc>
          <w:tcPr>
            <w:tcW w:w="1134" w:type="dxa"/>
            <w:tcBorders>
              <w:top w:val="single" w:sz="4" w:space="0" w:color="44B3E1"/>
              <w:left w:val="nil"/>
              <w:bottom w:val="single" w:sz="4" w:space="0" w:color="44B3E1"/>
              <w:right w:val="single" w:sz="4" w:space="0" w:color="44B3E1"/>
            </w:tcBorders>
            <w:shd w:val="clear" w:color="auto" w:fill="156082"/>
            <w:vAlign w:val="center"/>
            <w:hideMark/>
          </w:tcPr>
          <w:p w14:paraId="2279324C" w14:textId="7C19DD9C" w:rsidR="000318C5" w:rsidRPr="0095296E" w:rsidRDefault="000318C5" w:rsidP="006963D6">
            <w:pPr>
              <w:pStyle w:val="Tablehead"/>
              <w:tabs>
                <w:tab w:val="clear" w:pos="1134"/>
                <w:tab w:val="clear" w:pos="1871"/>
                <w:tab w:val="clear" w:pos="2268"/>
                <w:tab w:val="left" w:pos="284"/>
              </w:tabs>
              <w:rPr>
                <w:rFonts w:cs="Calibri"/>
                <w:color w:val="FFFFFF" w:themeColor="background1"/>
                <w:sz w:val="18"/>
                <w:szCs w:val="18"/>
              </w:rPr>
            </w:pPr>
            <w:r w:rsidRPr="0095296E">
              <w:rPr>
                <w:color w:val="FFFFFF" w:themeColor="background1"/>
                <w:sz w:val="18"/>
                <w:szCs w:val="18"/>
              </w:rPr>
              <w:t xml:space="preserve">Процент </w:t>
            </w:r>
            <w:r w:rsidR="006963D6" w:rsidRPr="0095296E">
              <w:rPr>
                <w:color w:val="FFFFFF" w:themeColor="background1"/>
                <w:sz w:val="18"/>
                <w:szCs w:val="18"/>
              </w:rPr>
              <w:br/>
            </w:r>
            <w:r w:rsidRPr="0095296E">
              <w:rPr>
                <w:color w:val="FFFFFF" w:themeColor="background1"/>
                <w:sz w:val="18"/>
                <w:szCs w:val="18"/>
              </w:rPr>
              <w:t>от общего бюджета</w:t>
            </w:r>
          </w:p>
        </w:tc>
      </w:tr>
      <w:tr w:rsidR="006963D6" w:rsidRPr="0095296E" w14:paraId="0C9B17A5" w14:textId="77777777" w:rsidTr="006963D6">
        <w:tc>
          <w:tcPr>
            <w:tcW w:w="10522" w:type="dxa"/>
            <w:gridSpan w:val="4"/>
            <w:tcBorders>
              <w:top w:val="single" w:sz="4" w:space="0" w:color="44B3E1"/>
              <w:left w:val="single" w:sz="4" w:space="0" w:color="44B3E1"/>
              <w:bottom w:val="single" w:sz="4" w:space="0" w:color="44B3E1"/>
              <w:right w:val="nil"/>
            </w:tcBorders>
            <w:shd w:val="clear" w:color="auto" w:fill="C0E6F5"/>
            <w:vAlign w:val="bottom"/>
            <w:hideMark/>
          </w:tcPr>
          <w:p w14:paraId="36040FD3" w14:textId="094AF272" w:rsidR="006963D6" w:rsidRPr="0095296E" w:rsidRDefault="006963D6"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ascii="Times New Roman" w:hAnsi="Times New Roman"/>
                <w:b/>
                <w:sz w:val="18"/>
                <w:szCs w:val="18"/>
                <w:lang w:eastAsia="en-GB"/>
              </w:rPr>
            </w:pPr>
            <w:r w:rsidRPr="0095296E">
              <w:rPr>
                <w:b/>
                <w:sz w:val="18"/>
                <w:szCs w:val="18"/>
              </w:rPr>
              <w:t>Цифровая трансформация в целом</w:t>
            </w:r>
          </w:p>
        </w:tc>
        <w:tc>
          <w:tcPr>
            <w:tcW w:w="1161" w:type="dxa"/>
            <w:tcBorders>
              <w:top w:val="single" w:sz="4" w:space="0" w:color="44B3E1"/>
              <w:left w:val="nil"/>
              <w:bottom w:val="single" w:sz="4" w:space="0" w:color="44B3E1"/>
              <w:right w:val="nil"/>
            </w:tcBorders>
            <w:shd w:val="clear" w:color="auto" w:fill="C0E6F5"/>
            <w:noWrap/>
            <w:vAlign w:val="center"/>
            <w:hideMark/>
          </w:tcPr>
          <w:p w14:paraId="54DFDAB5" w14:textId="68BA93E2" w:rsidR="006963D6"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Calibri"/>
                <w:b/>
                <w:sz w:val="18"/>
                <w:szCs w:val="18"/>
              </w:rPr>
            </w:pPr>
            <w:r w:rsidRPr="0095296E">
              <w:rPr>
                <w:b/>
                <w:sz w:val="18"/>
                <w:szCs w:val="18"/>
              </w:rPr>
              <w:t>899</w:t>
            </w:r>
            <w:r w:rsidR="006963D6" w:rsidRPr="0095296E">
              <w:rPr>
                <w:b/>
                <w:sz w:val="18"/>
                <w:szCs w:val="18"/>
              </w:rPr>
              <w:t> </w:t>
            </w:r>
            <w:r w:rsidRPr="0095296E">
              <w:rPr>
                <w:b/>
                <w:sz w:val="18"/>
                <w:szCs w:val="18"/>
              </w:rPr>
              <w:t>500</w:t>
            </w:r>
          </w:p>
        </w:tc>
        <w:tc>
          <w:tcPr>
            <w:tcW w:w="1778" w:type="dxa"/>
            <w:tcBorders>
              <w:top w:val="single" w:sz="4" w:space="0" w:color="44B3E1"/>
              <w:left w:val="nil"/>
              <w:bottom w:val="single" w:sz="4" w:space="0" w:color="44B3E1"/>
              <w:right w:val="nil"/>
            </w:tcBorders>
            <w:shd w:val="clear" w:color="auto" w:fill="C0E6F5"/>
            <w:vAlign w:val="center"/>
            <w:hideMark/>
          </w:tcPr>
          <w:p w14:paraId="2AD62F6A" w14:textId="77777777" w:rsidR="006963D6" w:rsidRPr="0095296E" w:rsidRDefault="006963D6"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Calibri"/>
                <w:b/>
                <w:sz w:val="18"/>
                <w:szCs w:val="18"/>
                <w:lang w:eastAsia="en-GB"/>
              </w:rPr>
            </w:pPr>
          </w:p>
        </w:tc>
        <w:tc>
          <w:tcPr>
            <w:tcW w:w="1134" w:type="dxa"/>
            <w:tcBorders>
              <w:top w:val="single" w:sz="4" w:space="0" w:color="44B3E1"/>
              <w:left w:val="nil"/>
              <w:bottom w:val="single" w:sz="4" w:space="0" w:color="44B3E1"/>
              <w:right w:val="single" w:sz="4" w:space="0" w:color="44B3E1"/>
            </w:tcBorders>
            <w:shd w:val="clear" w:color="auto" w:fill="C0E6F5"/>
            <w:noWrap/>
            <w:vAlign w:val="center"/>
            <w:hideMark/>
          </w:tcPr>
          <w:p w14:paraId="75E5D14B" w14:textId="6E51F63A" w:rsidR="006963D6" w:rsidRPr="0095296E" w:rsidRDefault="006963D6"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Calibri"/>
                <w:b/>
                <w:sz w:val="18"/>
                <w:szCs w:val="18"/>
              </w:rPr>
            </w:pPr>
            <w:r w:rsidRPr="0095296E">
              <w:rPr>
                <w:b/>
                <w:sz w:val="18"/>
                <w:szCs w:val="18"/>
              </w:rPr>
              <w:t>2</w:t>
            </w:r>
            <w:r w:rsidR="00EB7679" w:rsidRPr="0095296E">
              <w:rPr>
                <w:b/>
                <w:sz w:val="18"/>
                <w:szCs w:val="18"/>
              </w:rPr>
              <w:t>3</w:t>
            </w:r>
            <w:r w:rsidRPr="0095296E">
              <w:rPr>
                <w:b/>
                <w:sz w:val="18"/>
                <w:szCs w:val="18"/>
              </w:rPr>
              <w:t>,</w:t>
            </w:r>
            <w:r w:rsidR="00EB7679" w:rsidRPr="0095296E">
              <w:rPr>
                <w:b/>
                <w:sz w:val="18"/>
                <w:szCs w:val="18"/>
              </w:rPr>
              <w:t>59</w:t>
            </w:r>
          </w:p>
        </w:tc>
      </w:tr>
      <w:tr w:rsidR="008C6C59" w:rsidRPr="0095296E" w14:paraId="13572F92" w14:textId="77777777" w:rsidTr="008C6C59">
        <w:tc>
          <w:tcPr>
            <w:tcW w:w="1787" w:type="dxa"/>
            <w:tcBorders>
              <w:top w:val="single" w:sz="4" w:space="0" w:color="44B3E1"/>
              <w:left w:val="single" w:sz="4" w:space="0" w:color="44B3E1"/>
              <w:bottom w:val="single" w:sz="4" w:space="0" w:color="44B3E1"/>
              <w:right w:val="nil"/>
            </w:tcBorders>
            <w:hideMark/>
          </w:tcPr>
          <w:p w14:paraId="34E6CFE9" w14:textId="77777777" w:rsidR="000318C5" w:rsidRPr="0095296E" w:rsidRDefault="000318C5" w:rsidP="007C42DD">
            <w:pPr>
              <w:pStyle w:val="Tabletext"/>
              <w:rPr>
                <w:rFonts w:cs="Calibri"/>
                <w:b/>
                <w:sz w:val="18"/>
                <w:szCs w:val="18"/>
              </w:rPr>
            </w:pPr>
            <w:r w:rsidRPr="0095296E">
              <w:rPr>
                <w:b/>
                <w:sz w:val="18"/>
                <w:szCs w:val="18"/>
              </w:rPr>
              <w:t>Экосистема цифровых инноваций</w:t>
            </w:r>
          </w:p>
        </w:tc>
        <w:tc>
          <w:tcPr>
            <w:tcW w:w="3122" w:type="dxa"/>
            <w:tcBorders>
              <w:top w:val="single" w:sz="4" w:space="0" w:color="44B3E1"/>
              <w:left w:val="nil"/>
              <w:bottom w:val="single" w:sz="4" w:space="0" w:color="44B3E1"/>
              <w:right w:val="nil"/>
            </w:tcBorders>
            <w:hideMark/>
          </w:tcPr>
          <w:p w14:paraId="44CD0BC7"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национального потенциала в области разработки и внедрения электросвязи/ИКТ на местном уровне</w:t>
            </w:r>
          </w:p>
          <w:p w14:paraId="15C2F59D" w14:textId="0949A418"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 xml:space="preserve">Укрепление потенциала для разработки и интеграции инноваций в области электросвязи/ИКТ и цифровизации в национальные повестки дня в сфере развития </w:t>
            </w:r>
          </w:p>
        </w:tc>
        <w:tc>
          <w:tcPr>
            <w:tcW w:w="3177" w:type="dxa"/>
            <w:tcBorders>
              <w:top w:val="single" w:sz="4" w:space="0" w:color="44B3E1"/>
              <w:left w:val="nil"/>
              <w:bottom w:val="single" w:sz="4" w:space="0" w:color="44B3E1"/>
              <w:right w:val="nil"/>
            </w:tcBorders>
            <w:hideMark/>
          </w:tcPr>
          <w:p w14:paraId="6DCBCA46"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принявших стратегии и инициативы по внедрению инноваций в области электросвязи/ИКТ</w:t>
            </w:r>
          </w:p>
          <w:p w14:paraId="735544F3" w14:textId="37B681D6"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Государств-Членов, принявших на национальном уровне межсекторальную политику в области цифровой трансформации/развития</w:t>
            </w:r>
          </w:p>
        </w:tc>
        <w:tc>
          <w:tcPr>
            <w:tcW w:w="2436" w:type="dxa"/>
            <w:tcBorders>
              <w:top w:val="single" w:sz="4" w:space="0" w:color="44B3E1"/>
              <w:left w:val="nil"/>
              <w:bottom w:val="single" w:sz="4" w:space="0" w:color="44B3E1"/>
              <w:right w:val="nil"/>
            </w:tcBorders>
            <w:hideMark/>
          </w:tcPr>
          <w:p w14:paraId="4D05539E"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Системы обучения</w:t>
            </w:r>
          </w:p>
          <w:p w14:paraId="20F6CB31"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Типовые </w:t>
            </w:r>
            <w:r w:rsidR="000318C5" w:rsidRPr="0095296E">
              <w:rPr>
                <w:sz w:val="18"/>
                <w:szCs w:val="18"/>
              </w:rPr>
              <w:t>направления политики и стратегии, комплекты материалов</w:t>
            </w:r>
          </w:p>
          <w:p w14:paraId="294311F8" w14:textId="46533F0E"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tc>
        <w:tc>
          <w:tcPr>
            <w:tcW w:w="1161" w:type="dxa"/>
            <w:tcBorders>
              <w:top w:val="single" w:sz="4" w:space="0" w:color="44B3E1"/>
              <w:left w:val="nil"/>
              <w:bottom w:val="single" w:sz="4" w:space="0" w:color="44B3E1"/>
              <w:right w:val="nil"/>
            </w:tcBorders>
            <w:noWrap/>
            <w:hideMark/>
          </w:tcPr>
          <w:p w14:paraId="0D151BF5" w14:textId="34CC115B"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339</w:t>
            </w:r>
            <w:r w:rsidR="000318C5" w:rsidRPr="0095296E">
              <w:rPr>
                <w:sz w:val="18"/>
                <w:szCs w:val="18"/>
              </w:rPr>
              <w:t> 500</w:t>
            </w:r>
          </w:p>
        </w:tc>
        <w:tc>
          <w:tcPr>
            <w:tcW w:w="1778" w:type="dxa"/>
            <w:tcBorders>
              <w:top w:val="single" w:sz="4" w:space="0" w:color="44B3E1"/>
              <w:left w:val="nil"/>
              <w:bottom w:val="single" w:sz="4" w:space="0" w:color="44B3E1"/>
              <w:right w:val="nil"/>
            </w:tcBorders>
            <w:hideMark/>
          </w:tcPr>
          <w:p w14:paraId="7DDE36B4" w14:textId="7D14BB6F"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37</w:t>
            </w:r>
            <w:r w:rsidR="000318C5" w:rsidRPr="0095296E">
              <w:rPr>
                <w:sz w:val="18"/>
                <w:szCs w:val="18"/>
              </w:rPr>
              <w:t>,</w:t>
            </w:r>
            <w:r w:rsidRPr="0095296E">
              <w:rPr>
                <w:sz w:val="18"/>
                <w:szCs w:val="18"/>
              </w:rPr>
              <w:t>7</w:t>
            </w:r>
          </w:p>
        </w:tc>
        <w:tc>
          <w:tcPr>
            <w:tcW w:w="1134" w:type="dxa"/>
            <w:tcBorders>
              <w:top w:val="single" w:sz="4" w:space="0" w:color="44B3E1"/>
              <w:left w:val="nil"/>
              <w:bottom w:val="single" w:sz="4" w:space="0" w:color="44B3E1"/>
              <w:right w:val="single" w:sz="4" w:space="0" w:color="44B3E1"/>
            </w:tcBorders>
            <w:noWrap/>
            <w:hideMark/>
          </w:tcPr>
          <w:p w14:paraId="50E59A24" w14:textId="2F04B0DD"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8</w:t>
            </w:r>
            <w:r w:rsidR="000318C5" w:rsidRPr="0095296E">
              <w:rPr>
                <w:sz w:val="18"/>
                <w:szCs w:val="18"/>
              </w:rPr>
              <w:t>,</w:t>
            </w:r>
            <w:r w:rsidRPr="0095296E">
              <w:rPr>
                <w:sz w:val="18"/>
                <w:szCs w:val="18"/>
              </w:rPr>
              <w:t>9</w:t>
            </w:r>
          </w:p>
        </w:tc>
      </w:tr>
      <w:tr w:rsidR="008C6C59" w:rsidRPr="0095296E" w14:paraId="0C6DD710" w14:textId="77777777" w:rsidTr="008C6C59">
        <w:tc>
          <w:tcPr>
            <w:tcW w:w="1787" w:type="dxa"/>
            <w:tcBorders>
              <w:top w:val="single" w:sz="4" w:space="0" w:color="44B3E1"/>
              <w:left w:val="single" w:sz="4" w:space="0" w:color="44B3E1"/>
              <w:bottom w:val="single" w:sz="4" w:space="0" w:color="44B3E1"/>
              <w:right w:val="nil"/>
            </w:tcBorders>
            <w:shd w:val="clear" w:color="auto" w:fill="C0E6F5"/>
            <w:hideMark/>
          </w:tcPr>
          <w:p w14:paraId="12C8BB60" w14:textId="6EEE7EE0" w:rsidR="000318C5" w:rsidRPr="0095296E" w:rsidRDefault="000318C5" w:rsidP="007C42DD">
            <w:pPr>
              <w:pStyle w:val="Tabletext"/>
              <w:rPr>
                <w:rFonts w:cs="Calibri"/>
                <w:b/>
                <w:sz w:val="18"/>
                <w:szCs w:val="18"/>
              </w:rPr>
            </w:pPr>
            <w:r w:rsidRPr="0095296E">
              <w:rPr>
                <w:b/>
                <w:sz w:val="18"/>
                <w:szCs w:val="18"/>
              </w:rPr>
              <w:t>Цифровые услуги и</w:t>
            </w:r>
            <w:r w:rsidR="008C6C59" w:rsidRPr="0095296E">
              <w:rPr>
                <w:b/>
                <w:sz w:val="18"/>
                <w:szCs w:val="18"/>
              </w:rPr>
              <w:t> </w:t>
            </w:r>
            <w:r w:rsidRPr="0095296E">
              <w:rPr>
                <w:b/>
                <w:sz w:val="18"/>
                <w:szCs w:val="18"/>
              </w:rPr>
              <w:t>приложения</w:t>
            </w:r>
          </w:p>
        </w:tc>
        <w:tc>
          <w:tcPr>
            <w:tcW w:w="3122" w:type="dxa"/>
            <w:tcBorders>
              <w:top w:val="single" w:sz="4" w:space="0" w:color="44B3E1"/>
              <w:left w:val="nil"/>
              <w:bottom w:val="single" w:sz="4" w:space="0" w:color="44B3E1"/>
              <w:right w:val="nil"/>
            </w:tcBorders>
            <w:shd w:val="clear" w:color="auto" w:fill="C0E6F5"/>
            <w:hideMark/>
          </w:tcPr>
          <w:p w14:paraId="39C9025B" w14:textId="02A6E238"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Повышение способности ускорять цифровую трансформацию и устойчивое развитие путем использования и применения новых и появляющихся технологий и услуг электросвязи/ИКТ</w:t>
            </w:r>
          </w:p>
        </w:tc>
        <w:tc>
          <w:tcPr>
            <w:tcW w:w="3177" w:type="dxa"/>
            <w:tcBorders>
              <w:top w:val="single" w:sz="4" w:space="0" w:color="44B3E1"/>
              <w:left w:val="nil"/>
              <w:bottom w:val="single" w:sz="4" w:space="0" w:color="44B3E1"/>
              <w:right w:val="nil"/>
            </w:tcBorders>
            <w:shd w:val="clear" w:color="auto" w:fill="C0E6F5"/>
            <w:hideMark/>
          </w:tcPr>
          <w:p w14:paraId="208A1E53" w14:textId="5741218F"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color w:val="000000" w:themeColor="text1"/>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принявших стратегию для цифровой отрасли на национальном уровне</w:t>
            </w:r>
          </w:p>
        </w:tc>
        <w:tc>
          <w:tcPr>
            <w:tcW w:w="2436" w:type="dxa"/>
            <w:tcBorders>
              <w:top w:val="single" w:sz="4" w:space="0" w:color="44B3E1"/>
              <w:left w:val="nil"/>
              <w:bottom w:val="single" w:sz="4" w:space="0" w:color="44B3E1"/>
              <w:right w:val="nil"/>
            </w:tcBorders>
            <w:shd w:val="clear" w:color="auto" w:fill="C0E6F5"/>
            <w:hideMark/>
          </w:tcPr>
          <w:p w14:paraId="0AF6C661"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Системы обучения</w:t>
            </w:r>
          </w:p>
          <w:p w14:paraId="683D8630"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Платформы </w:t>
            </w:r>
            <w:r w:rsidR="000318C5" w:rsidRPr="0095296E">
              <w:rPr>
                <w:sz w:val="18"/>
                <w:szCs w:val="18"/>
              </w:rPr>
              <w:t>для созыва мероприятий</w:t>
            </w:r>
          </w:p>
          <w:p w14:paraId="17F1ED56"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Типовые </w:t>
            </w:r>
            <w:r w:rsidR="000318C5" w:rsidRPr="0095296E">
              <w:rPr>
                <w:sz w:val="18"/>
                <w:szCs w:val="18"/>
              </w:rPr>
              <w:t>направления политики и стратегии, комплекты материалов</w:t>
            </w:r>
          </w:p>
          <w:p w14:paraId="6DBA1C48" w14:textId="054A1694"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tc>
        <w:tc>
          <w:tcPr>
            <w:tcW w:w="1161" w:type="dxa"/>
            <w:tcBorders>
              <w:top w:val="single" w:sz="4" w:space="0" w:color="44B3E1"/>
              <w:left w:val="nil"/>
              <w:bottom w:val="single" w:sz="4" w:space="0" w:color="44B3E1"/>
              <w:right w:val="nil"/>
            </w:tcBorders>
            <w:shd w:val="clear" w:color="auto" w:fill="C0E6F5"/>
            <w:noWrap/>
            <w:hideMark/>
          </w:tcPr>
          <w:p w14:paraId="17DBF6F6" w14:textId="7A7A3F10"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99</w:t>
            </w:r>
            <w:r w:rsidR="000318C5" w:rsidRPr="0095296E">
              <w:rPr>
                <w:sz w:val="18"/>
                <w:szCs w:val="18"/>
              </w:rPr>
              <w:t> </w:t>
            </w:r>
            <w:r w:rsidRPr="0095296E">
              <w:rPr>
                <w:sz w:val="18"/>
                <w:szCs w:val="18"/>
              </w:rPr>
              <w:t>000</w:t>
            </w:r>
          </w:p>
        </w:tc>
        <w:tc>
          <w:tcPr>
            <w:tcW w:w="1778" w:type="dxa"/>
            <w:tcBorders>
              <w:top w:val="single" w:sz="4" w:space="0" w:color="44B3E1"/>
              <w:left w:val="nil"/>
              <w:bottom w:val="single" w:sz="4" w:space="0" w:color="44B3E1"/>
              <w:right w:val="nil"/>
            </w:tcBorders>
            <w:shd w:val="clear" w:color="auto" w:fill="C0E6F5"/>
            <w:hideMark/>
          </w:tcPr>
          <w:p w14:paraId="6C9DF822" w14:textId="3037BDA7" w:rsidR="000318C5" w:rsidRPr="0095296E" w:rsidRDefault="000318C5"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1</w:t>
            </w:r>
            <w:r w:rsidR="00EB7679" w:rsidRPr="0095296E">
              <w:rPr>
                <w:sz w:val="18"/>
                <w:szCs w:val="18"/>
              </w:rPr>
              <w:t>1</w:t>
            </w:r>
            <w:r w:rsidRPr="0095296E">
              <w:rPr>
                <w:sz w:val="18"/>
                <w:szCs w:val="18"/>
              </w:rPr>
              <w:t>,</w:t>
            </w:r>
            <w:r w:rsidR="00EB7679" w:rsidRPr="0095296E">
              <w:rPr>
                <w:sz w:val="18"/>
                <w:szCs w:val="18"/>
              </w:rPr>
              <w:t>0</w:t>
            </w:r>
          </w:p>
        </w:tc>
        <w:tc>
          <w:tcPr>
            <w:tcW w:w="1134" w:type="dxa"/>
            <w:tcBorders>
              <w:top w:val="single" w:sz="4" w:space="0" w:color="44B3E1"/>
              <w:left w:val="nil"/>
              <w:bottom w:val="single" w:sz="4" w:space="0" w:color="44B3E1"/>
              <w:right w:val="single" w:sz="4" w:space="0" w:color="44B3E1"/>
            </w:tcBorders>
            <w:shd w:val="clear" w:color="auto" w:fill="C0E6F5"/>
            <w:noWrap/>
            <w:hideMark/>
          </w:tcPr>
          <w:p w14:paraId="0345161C" w14:textId="2473CCAC"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2</w:t>
            </w:r>
            <w:r w:rsidR="000318C5" w:rsidRPr="0095296E">
              <w:rPr>
                <w:sz w:val="18"/>
                <w:szCs w:val="18"/>
              </w:rPr>
              <w:t>,</w:t>
            </w:r>
            <w:r w:rsidRPr="0095296E">
              <w:rPr>
                <w:sz w:val="18"/>
                <w:szCs w:val="18"/>
              </w:rPr>
              <w:t>6</w:t>
            </w:r>
          </w:p>
        </w:tc>
      </w:tr>
      <w:tr w:rsidR="008C6C59" w:rsidRPr="0095296E" w14:paraId="1FC10D48" w14:textId="77777777" w:rsidTr="008C6C59">
        <w:tc>
          <w:tcPr>
            <w:tcW w:w="1787" w:type="dxa"/>
            <w:tcBorders>
              <w:top w:val="single" w:sz="4" w:space="0" w:color="44B3E1"/>
              <w:left w:val="single" w:sz="4" w:space="0" w:color="44B3E1"/>
              <w:bottom w:val="single" w:sz="4" w:space="0" w:color="44B3E1"/>
              <w:right w:val="nil"/>
            </w:tcBorders>
            <w:hideMark/>
          </w:tcPr>
          <w:p w14:paraId="6CE03EB4" w14:textId="77777777" w:rsidR="000318C5" w:rsidRPr="0095296E" w:rsidRDefault="000318C5" w:rsidP="007C42DD">
            <w:pPr>
              <w:pStyle w:val="Tabletext"/>
              <w:rPr>
                <w:rFonts w:cs="Calibri"/>
                <w:b/>
                <w:sz w:val="18"/>
                <w:szCs w:val="18"/>
              </w:rPr>
            </w:pPr>
            <w:r w:rsidRPr="0095296E">
              <w:rPr>
                <w:b/>
                <w:sz w:val="18"/>
                <w:szCs w:val="18"/>
              </w:rPr>
              <w:t xml:space="preserve">Развитие потенциала </w:t>
            </w:r>
          </w:p>
        </w:tc>
        <w:tc>
          <w:tcPr>
            <w:tcW w:w="3122" w:type="dxa"/>
            <w:tcBorders>
              <w:top w:val="single" w:sz="4" w:space="0" w:color="44B3E1"/>
              <w:left w:val="nil"/>
              <w:bottom w:val="single" w:sz="4" w:space="0" w:color="44B3E1"/>
              <w:right w:val="nil"/>
            </w:tcBorders>
            <w:hideMark/>
          </w:tcPr>
          <w:p w14:paraId="5D776D10"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человеческого и институционального потенциала Членов МСЭ в области электросвязи/ИКТ для содействия цифровой трансформации</w:t>
            </w:r>
          </w:p>
          <w:p w14:paraId="71D27192" w14:textId="598422C5"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Укрепление </w:t>
            </w:r>
            <w:r w:rsidR="000318C5" w:rsidRPr="0095296E">
              <w:rPr>
                <w:sz w:val="18"/>
                <w:szCs w:val="18"/>
              </w:rPr>
              <w:t>цифровых навыков и расширение возможностей для обеспечения цифровой трансформации</w:t>
            </w:r>
          </w:p>
        </w:tc>
        <w:tc>
          <w:tcPr>
            <w:tcW w:w="3177" w:type="dxa"/>
            <w:tcBorders>
              <w:top w:val="single" w:sz="4" w:space="0" w:color="44B3E1"/>
              <w:left w:val="nil"/>
              <w:bottom w:val="single" w:sz="4" w:space="0" w:color="44B3E1"/>
              <w:right w:val="nil"/>
            </w:tcBorders>
            <w:hideMark/>
          </w:tcPr>
          <w:p w14:paraId="025699A5"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имеющих стратегии развития цифровых навыков на национальном уровне</w:t>
            </w:r>
          </w:p>
          <w:p w14:paraId="315BD837" w14:textId="18BBA849"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 xml:space="preserve">доля лиц, владеющих базовыми цифровыми навыками </w:t>
            </w:r>
          </w:p>
        </w:tc>
        <w:tc>
          <w:tcPr>
            <w:tcW w:w="2436" w:type="dxa"/>
            <w:tcBorders>
              <w:top w:val="single" w:sz="4" w:space="0" w:color="44B3E1"/>
              <w:left w:val="nil"/>
              <w:bottom w:val="single" w:sz="4" w:space="0" w:color="44B3E1"/>
              <w:right w:val="nil"/>
            </w:tcBorders>
            <w:hideMark/>
          </w:tcPr>
          <w:p w14:paraId="7E07FE5E"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Типовая политика и стратегия, комплекты материалов</w:t>
            </w:r>
          </w:p>
          <w:p w14:paraId="509EE6B8"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p w14:paraId="2B82784B" w14:textId="7621BC6F"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Системы </w:t>
            </w:r>
            <w:r w:rsidR="000318C5" w:rsidRPr="0095296E">
              <w:rPr>
                <w:sz w:val="18"/>
                <w:szCs w:val="18"/>
              </w:rPr>
              <w:t>обучения</w:t>
            </w:r>
          </w:p>
        </w:tc>
        <w:tc>
          <w:tcPr>
            <w:tcW w:w="1161" w:type="dxa"/>
            <w:tcBorders>
              <w:top w:val="single" w:sz="4" w:space="0" w:color="44B3E1"/>
              <w:left w:val="nil"/>
              <w:bottom w:val="single" w:sz="4" w:space="0" w:color="44B3E1"/>
              <w:right w:val="nil"/>
            </w:tcBorders>
            <w:noWrap/>
            <w:hideMark/>
          </w:tcPr>
          <w:p w14:paraId="474DA592" w14:textId="1EA3138E" w:rsidR="000318C5" w:rsidRPr="0095296E" w:rsidRDefault="000318C5"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w:t>
            </w:r>
            <w:r w:rsidR="00EB7679" w:rsidRPr="0095296E">
              <w:rPr>
                <w:sz w:val="18"/>
                <w:szCs w:val="18"/>
              </w:rPr>
              <w:t>39</w:t>
            </w:r>
            <w:r w:rsidRPr="0095296E">
              <w:rPr>
                <w:sz w:val="18"/>
                <w:szCs w:val="18"/>
              </w:rPr>
              <w:t> </w:t>
            </w:r>
            <w:r w:rsidR="00EB7679" w:rsidRPr="0095296E">
              <w:rPr>
                <w:sz w:val="18"/>
                <w:szCs w:val="18"/>
              </w:rPr>
              <w:t>5</w:t>
            </w:r>
            <w:r w:rsidRPr="0095296E">
              <w:rPr>
                <w:sz w:val="18"/>
                <w:szCs w:val="18"/>
              </w:rPr>
              <w:t>00</w:t>
            </w:r>
          </w:p>
        </w:tc>
        <w:tc>
          <w:tcPr>
            <w:tcW w:w="1778" w:type="dxa"/>
            <w:tcBorders>
              <w:top w:val="single" w:sz="4" w:space="0" w:color="44B3E1"/>
              <w:left w:val="nil"/>
              <w:bottom w:val="single" w:sz="4" w:space="0" w:color="44B3E1"/>
              <w:right w:val="nil"/>
            </w:tcBorders>
            <w:hideMark/>
          </w:tcPr>
          <w:p w14:paraId="08D5A118" w14:textId="0E1364CC" w:rsidR="000318C5" w:rsidRPr="0095296E" w:rsidRDefault="000318C5"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37,</w:t>
            </w:r>
            <w:r w:rsidR="00EB7679" w:rsidRPr="0095296E">
              <w:rPr>
                <w:sz w:val="18"/>
                <w:szCs w:val="18"/>
              </w:rPr>
              <w:t>7</w:t>
            </w:r>
          </w:p>
        </w:tc>
        <w:tc>
          <w:tcPr>
            <w:tcW w:w="1134" w:type="dxa"/>
            <w:tcBorders>
              <w:top w:val="single" w:sz="4" w:space="0" w:color="44B3E1"/>
              <w:left w:val="nil"/>
              <w:bottom w:val="single" w:sz="4" w:space="0" w:color="44B3E1"/>
              <w:right w:val="single" w:sz="4" w:space="0" w:color="44B3E1"/>
            </w:tcBorders>
            <w:noWrap/>
            <w:hideMark/>
          </w:tcPr>
          <w:p w14:paraId="0691BB09" w14:textId="284BCA06"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8</w:t>
            </w:r>
            <w:r w:rsidR="000318C5" w:rsidRPr="0095296E">
              <w:rPr>
                <w:sz w:val="18"/>
                <w:szCs w:val="18"/>
              </w:rPr>
              <w:t>,</w:t>
            </w:r>
            <w:r w:rsidRPr="0095296E">
              <w:rPr>
                <w:sz w:val="18"/>
                <w:szCs w:val="18"/>
              </w:rPr>
              <w:t>9</w:t>
            </w:r>
          </w:p>
        </w:tc>
      </w:tr>
      <w:tr w:rsidR="008C6C59" w:rsidRPr="0095296E" w14:paraId="27DB1874" w14:textId="77777777" w:rsidTr="008C6C59">
        <w:tc>
          <w:tcPr>
            <w:tcW w:w="1787" w:type="dxa"/>
            <w:tcBorders>
              <w:top w:val="single" w:sz="4" w:space="0" w:color="44B3E1"/>
              <w:left w:val="single" w:sz="4" w:space="0" w:color="44B3E1"/>
              <w:bottom w:val="single" w:sz="4" w:space="0" w:color="44B3E1"/>
              <w:right w:val="nil"/>
            </w:tcBorders>
            <w:shd w:val="clear" w:color="auto" w:fill="C0E6F5"/>
            <w:hideMark/>
          </w:tcPr>
          <w:p w14:paraId="4C2741CC" w14:textId="77777777" w:rsidR="000318C5" w:rsidRPr="0095296E" w:rsidRDefault="000318C5" w:rsidP="007C42DD">
            <w:pPr>
              <w:pStyle w:val="Tabletext"/>
              <w:rPr>
                <w:rFonts w:cs="Calibri"/>
                <w:b/>
                <w:sz w:val="18"/>
                <w:szCs w:val="18"/>
              </w:rPr>
            </w:pPr>
            <w:r w:rsidRPr="0095296E">
              <w:rPr>
                <w:b/>
                <w:sz w:val="18"/>
                <w:szCs w:val="18"/>
              </w:rPr>
              <w:lastRenderedPageBreak/>
              <w:t>Приверженность экологической устойчивости</w:t>
            </w:r>
          </w:p>
        </w:tc>
        <w:tc>
          <w:tcPr>
            <w:tcW w:w="3122" w:type="dxa"/>
            <w:tcBorders>
              <w:top w:val="single" w:sz="4" w:space="0" w:color="44B3E1"/>
              <w:left w:val="nil"/>
              <w:bottom w:val="single" w:sz="4" w:space="0" w:color="44B3E1"/>
              <w:right w:val="nil"/>
            </w:tcBorders>
            <w:shd w:val="clear" w:color="auto" w:fill="C0E6F5"/>
            <w:hideMark/>
          </w:tcPr>
          <w:p w14:paraId="19140342" w14:textId="119268B3"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 xml:space="preserve">Укрепление потенциала для разработки стратегий и решений в области электросвязи/ИКТ, обеспечивающих экологическую устойчивость </w:t>
            </w:r>
          </w:p>
        </w:tc>
        <w:tc>
          <w:tcPr>
            <w:tcW w:w="3177" w:type="dxa"/>
            <w:tcBorders>
              <w:top w:val="single" w:sz="4" w:space="0" w:color="44B3E1"/>
              <w:left w:val="nil"/>
              <w:bottom w:val="single" w:sz="4" w:space="0" w:color="44B3E1"/>
              <w:right w:val="nil"/>
            </w:tcBorders>
            <w:shd w:val="clear" w:color="auto" w:fill="C0E6F5"/>
            <w:hideMark/>
          </w:tcPr>
          <w:p w14:paraId="4AD2CFDF"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принявших на национальном уровне политику, законодательство или регламент в области электронных отходов</w:t>
            </w:r>
          </w:p>
          <w:p w14:paraId="108574F1"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Государств-Членов, осуществляющих сбор данных по мониторингу и образованию электронных отходов</w:t>
            </w:r>
          </w:p>
          <w:p w14:paraId="2FCDADC7" w14:textId="5257E747"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Государств-Членов, принявших стратегии и решения в области электросвязи/ИКТ, обеспечивающие экологическую устойчивость</w:t>
            </w:r>
          </w:p>
        </w:tc>
        <w:tc>
          <w:tcPr>
            <w:tcW w:w="2436" w:type="dxa"/>
            <w:tcBorders>
              <w:top w:val="single" w:sz="4" w:space="0" w:color="44B3E1"/>
              <w:left w:val="nil"/>
              <w:bottom w:val="single" w:sz="4" w:space="0" w:color="44B3E1"/>
              <w:right w:val="nil"/>
            </w:tcBorders>
            <w:shd w:val="clear" w:color="auto" w:fill="C0E6F5"/>
            <w:hideMark/>
          </w:tcPr>
          <w:p w14:paraId="5F546FDA"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Системы обучения</w:t>
            </w:r>
          </w:p>
          <w:p w14:paraId="402AB3EA"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Платформы </w:t>
            </w:r>
            <w:r w:rsidR="000318C5" w:rsidRPr="0095296E">
              <w:rPr>
                <w:sz w:val="18"/>
                <w:szCs w:val="18"/>
              </w:rPr>
              <w:t>для созыва мероприятий</w:t>
            </w:r>
          </w:p>
          <w:p w14:paraId="5C54FFDA" w14:textId="77777777" w:rsidR="006963D6"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Типовые </w:t>
            </w:r>
            <w:r w:rsidR="000318C5" w:rsidRPr="0095296E">
              <w:rPr>
                <w:sz w:val="18"/>
                <w:szCs w:val="18"/>
              </w:rPr>
              <w:t>направления политики и стратегии, комплекты материалов</w:t>
            </w:r>
          </w:p>
          <w:p w14:paraId="00908AFB" w14:textId="0746DA26" w:rsidR="000318C5" w:rsidRPr="0095296E" w:rsidRDefault="006963D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Статистические </w:t>
            </w:r>
            <w:r w:rsidR="000318C5" w:rsidRPr="0095296E">
              <w:rPr>
                <w:sz w:val="18"/>
                <w:szCs w:val="18"/>
              </w:rPr>
              <w:t>данные</w:t>
            </w:r>
          </w:p>
        </w:tc>
        <w:tc>
          <w:tcPr>
            <w:tcW w:w="1161" w:type="dxa"/>
            <w:tcBorders>
              <w:top w:val="single" w:sz="4" w:space="0" w:color="44B3E1"/>
              <w:left w:val="nil"/>
              <w:bottom w:val="single" w:sz="4" w:space="0" w:color="44B3E1"/>
              <w:right w:val="nil"/>
            </w:tcBorders>
            <w:shd w:val="clear" w:color="auto" w:fill="C0E6F5"/>
            <w:noWrap/>
            <w:hideMark/>
          </w:tcPr>
          <w:p w14:paraId="443070F0" w14:textId="5A47B44A" w:rsidR="000318C5" w:rsidRPr="0095296E" w:rsidRDefault="000318C5"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1</w:t>
            </w:r>
            <w:r w:rsidR="00EB7679" w:rsidRPr="0095296E">
              <w:rPr>
                <w:sz w:val="18"/>
                <w:szCs w:val="18"/>
              </w:rPr>
              <w:t>39</w:t>
            </w:r>
            <w:r w:rsidRPr="0095296E">
              <w:rPr>
                <w:sz w:val="18"/>
                <w:szCs w:val="18"/>
              </w:rPr>
              <w:t> 000</w:t>
            </w:r>
          </w:p>
        </w:tc>
        <w:tc>
          <w:tcPr>
            <w:tcW w:w="1778" w:type="dxa"/>
            <w:tcBorders>
              <w:top w:val="single" w:sz="4" w:space="0" w:color="44B3E1"/>
              <w:left w:val="nil"/>
              <w:bottom w:val="single" w:sz="4" w:space="0" w:color="44B3E1"/>
              <w:right w:val="nil"/>
            </w:tcBorders>
            <w:shd w:val="clear" w:color="auto" w:fill="C0E6F5"/>
            <w:hideMark/>
          </w:tcPr>
          <w:p w14:paraId="1169720C" w14:textId="0DFB288E" w:rsidR="000318C5" w:rsidRPr="0095296E" w:rsidRDefault="000318C5"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1</w:t>
            </w:r>
            <w:r w:rsidR="00EB7679" w:rsidRPr="0095296E">
              <w:rPr>
                <w:sz w:val="18"/>
                <w:szCs w:val="18"/>
              </w:rPr>
              <w:t>5</w:t>
            </w:r>
            <w:r w:rsidRPr="0095296E">
              <w:rPr>
                <w:sz w:val="18"/>
                <w:szCs w:val="18"/>
              </w:rPr>
              <w:t>,</w:t>
            </w:r>
            <w:r w:rsidR="00EB7679" w:rsidRPr="0095296E">
              <w:rPr>
                <w:sz w:val="18"/>
                <w:szCs w:val="18"/>
              </w:rPr>
              <w:t>5</w:t>
            </w:r>
          </w:p>
        </w:tc>
        <w:tc>
          <w:tcPr>
            <w:tcW w:w="1134" w:type="dxa"/>
            <w:tcBorders>
              <w:top w:val="single" w:sz="4" w:space="0" w:color="44B3E1"/>
              <w:left w:val="nil"/>
              <w:bottom w:val="single" w:sz="4" w:space="0" w:color="44B3E1"/>
              <w:right w:val="single" w:sz="4" w:space="0" w:color="44B3E1"/>
            </w:tcBorders>
            <w:shd w:val="clear" w:color="auto" w:fill="C0E6F5"/>
            <w:noWrap/>
            <w:hideMark/>
          </w:tcPr>
          <w:p w14:paraId="1548E08C" w14:textId="5A890F61" w:rsidR="000318C5" w:rsidRPr="0095296E" w:rsidRDefault="00EB7679" w:rsidP="006963D6">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Calibri"/>
                <w:sz w:val="18"/>
                <w:szCs w:val="18"/>
              </w:rPr>
            </w:pPr>
            <w:r w:rsidRPr="0095296E">
              <w:rPr>
                <w:sz w:val="18"/>
                <w:szCs w:val="18"/>
              </w:rPr>
              <w:t>3</w:t>
            </w:r>
            <w:r w:rsidR="000318C5" w:rsidRPr="0095296E">
              <w:rPr>
                <w:sz w:val="18"/>
                <w:szCs w:val="18"/>
              </w:rPr>
              <w:t>,</w:t>
            </w:r>
            <w:r w:rsidRPr="0095296E">
              <w:rPr>
                <w:sz w:val="18"/>
                <w:szCs w:val="18"/>
              </w:rPr>
              <w:t>6</w:t>
            </w:r>
          </w:p>
        </w:tc>
      </w:tr>
    </w:tbl>
    <w:p w14:paraId="77797A94" w14:textId="77777777" w:rsidR="001070FB" w:rsidRPr="0095296E" w:rsidRDefault="001070FB">
      <w:pPr>
        <w:tabs>
          <w:tab w:val="clear" w:pos="1134"/>
          <w:tab w:val="clear" w:pos="1871"/>
          <w:tab w:val="clear" w:pos="2268"/>
        </w:tabs>
        <w:overflowPunct/>
        <w:autoSpaceDE/>
        <w:autoSpaceDN/>
        <w:adjustRightInd/>
        <w:spacing w:before="0"/>
        <w:textAlignment w:val="auto"/>
        <w:sectPr w:rsidR="001070FB" w:rsidRPr="0095296E" w:rsidSect="000318C5">
          <w:headerReference w:type="default" r:id="rId25"/>
          <w:headerReference w:type="first" r:id="rId26"/>
          <w:pgSz w:w="16840" w:h="11907" w:orient="landscape" w:code="9"/>
          <w:pgMar w:top="1418" w:right="1134" w:bottom="1134" w:left="1134" w:header="567" w:footer="567" w:gutter="0"/>
          <w:cols w:space="720"/>
          <w:titlePg/>
          <w:docGrid w:linePitch="326"/>
        </w:sectPr>
      </w:pPr>
    </w:p>
    <w:p w14:paraId="575B7C28" w14:textId="77777777" w:rsidR="004168E7" w:rsidRPr="0095296E" w:rsidRDefault="004168E7" w:rsidP="003E5BD6">
      <w:pPr>
        <w:pStyle w:val="Headingb"/>
        <w:rPr>
          <w:i/>
          <w:iCs/>
          <w:lang w:val="ru-RU"/>
        </w:rPr>
      </w:pPr>
      <w:r w:rsidRPr="0095296E">
        <w:rPr>
          <w:i/>
          <w:iCs/>
          <w:lang w:val="ru-RU"/>
        </w:rPr>
        <w:lastRenderedPageBreak/>
        <w:t>Основные достигнутые результаты 2026 года: Приоритет 2 МСЭ-D – Цифровая трансформация</w:t>
      </w:r>
    </w:p>
    <w:p w14:paraId="6BB70171" w14:textId="77777777" w:rsidR="004168E7" w:rsidRPr="0095296E" w:rsidRDefault="004168E7" w:rsidP="00F52EC1">
      <w:pPr>
        <w:pStyle w:val="Headingb"/>
        <w:rPr>
          <w:lang w:val="ru-RU" w:eastAsia="en-GB"/>
        </w:rPr>
      </w:pPr>
      <w:r w:rsidRPr="0095296E">
        <w:rPr>
          <w:lang w:val="ru-RU" w:eastAsia="en-GB"/>
        </w:rPr>
        <w:t>Экосистема цифровых инноваций</w:t>
      </w:r>
    </w:p>
    <w:p w14:paraId="66BF3001" w14:textId="63A6BCAB" w:rsidR="004168E7" w:rsidRPr="0095296E" w:rsidRDefault="004168E7" w:rsidP="003E5BD6">
      <w:r w:rsidRPr="0095296E">
        <w:rPr>
          <w:bCs/>
        </w:rPr>
        <w:t xml:space="preserve">В </w:t>
      </w:r>
      <w:r w:rsidRPr="0095296E">
        <w:rPr>
          <w:b/>
        </w:rPr>
        <w:t xml:space="preserve">Африке </w:t>
      </w:r>
      <w:r w:rsidRPr="0095296E">
        <w:t>начал работу Африканский центр цифровой трансформации, созданный в Южно</w:t>
      </w:r>
      <w:r w:rsidR="000238CB" w:rsidRPr="0095296E">
        <w:rPr>
          <w:rFonts w:ascii="Cambria Math" w:hAnsi="Cambria Math"/>
        </w:rPr>
        <w:t>‑</w:t>
      </w:r>
      <w:r w:rsidRPr="0095296E">
        <w:t>Африканской Республике. Принадлежащий государству центр входит в глобальную сеть центров ускорения МСЭ в рамках Альянса инноваций и предпринимательства для целей цифрового развития.</w:t>
      </w:r>
    </w:p>
    <w:p w14:paraId="4FA17C31" w14:textId="77777777" w:rsidR="004168E7" w:rsidRPr="0095296E" w:rsidRDefault="004168E7" w:rsidP="003E5BD6">
      <w:r w:rsidRPr="0095296E">
        <w:t>После завершения работы над профилем цифровых инноваций Мозамбика при содействии проекта "Создание основы для VaMoz Digital" в марте 2026 года были проведены технические собеседования, с тем чтобы помочь в продвижении целенаправленных мер по укреплению институционального потенциала в области инноваций. Эта работа призвана поддержать нынешний процесс цифровой трансформации в Мозамбике.</w:t>
      </w:r>
    </w:p>
    <w:p w14:paraId="012637E0" w14:textId="77777777" w:rsidR="004168E7" w:rsidRPr="0095296E" w:rsidRDefault="004168E7" w:rsidP="003E5BD6">
      <w:r w:rsidRPr="0095296E">
        <w:rPr>
          <w:bCs/>
        </w:rPr>
        <w:t xml:space="preserve">В </w:t>
      </w:r>
      <w:r w:rsidRPr="0095296E">
        <w:rPr>
          <w:b/>
        </w:rPr>
        <w:t xml:space="preserve">регионе арабских государств </w:t>
      </w:r>
      <w:r w:rsidRPr="0095296E">
        <w:t xml:space="preserve">БРЭ в партнерстве с Центром науки и техники им. короля Абдель Азиза провело </w:t>
      </w:r>
      <w:proofErr w:type="gramStart"/>
      <w:r w:rsidRPr="0095296E">
        <w:t>9−12</w:t>
      </w:r>
      <w:proofErr w:type="gramEnd"/>
      <w:r w:rsidRPr="0095296E">
        <w:t xml:space="preserve"> февраля учебный курс в Эр-Рияде, Саудовская Аравия, в целях поддержки коммерциализации научно-технических разработок в стране. В мероприятии приняли участие 16 исследовательских команд и в общей сложности 60 ученых, причем 49% присутствующих составляли женщины-исследователи. Для участников был проведен обзор более десятка практических инструментов из комплекта материалов МСЭ по ускорению научных исследований в целях инноваций и коммерциализации. В ходе серии специализированных рабочих семинаров-практикумов исследователи вышли за рамки теории и применили эти инструменты непосредственно к своим собственным идеям и результатам исследований. Инициатива была призвана способствовать преодолению разрыва между научными исследованиями и готовыми к реализации решениями, открывая перед учеными возможность преобразовать инновационные идеи в востребованные продукты и услуги. Результаты мероприятия напрямую способствуют реализации национальных приоритетов в области инноваций и достижению целей Концепции Саудовской Аравии-2030, поскольку поощряют коммерциализацию научных исследований и развитие инклюзивных инновационных экосистем.</w:t>
      </w:r>
    </w:p>
    <w:p w14:paraId="323A3836" w14:textId="77777777" w:rsidR="004168E7" w:rsidRPr="0095296E" w:rsidRDefault="004168E7" w:rsidP="003E5BD6">
      <w:r w:rsidRPr="0095296E">
        <w:rPr>
          <w:bCs/>
        </w:rPr>
        <w:t xml:space="preserve">В </w:t>
      </w:r>
      <w:r w:rsidRPr="0095296E">
        <w:rPr>
          <w:b/>
        </w:rPr>
        <w:t xml:space="preserve">регионе СНГ </w:t>
      </w:r>
      <w:r w:rsidRPr="0095296E">
        <w:t>совместно с Белорусским государственным университетом информатики и радиоэлектроники (БГУИР) был организован хакатон 2026 года по разработке решений на базе ИИ, который прошел в Минске, Беларусь. В нем приняли участие более 50 молодых людей из различных технических вузов Беларуси; разбившись на 17 команд, они разрабатывали решения на основе ИИ для отрасли электросвязи.</w:t>
      </w:r>
    </w:p>
    <w:p w14:paraId="7E8B2D0E" w14:textId="77777777" w:rsidR="004168E7" w:rsidRPr="0095296E" w:rsidRDefault="004168E7" w:rsidP="003E5BD6">
      <w:r w:rsidRPr="0095296E">
        <w:rPr>
          <w:bCs/>
        </w:rPr>
        <w:t xml:space="preserve">В </w:t>
      </w:r>
      <w:r w:rsidRPr="0095296E">
        <w:rPr>
          <w:b/>
        </w:rPr>
        <w:t xml:space="preserve">Европе </w:t>
      </w:r>
      <w:r w:rsidRPr="0095296E">
        <w:t>в марте 2026 года был опубликован отчет под названием "</w:t>
      </w:r>
      <w:hyperlink r:id="rId27" w:history="1">
        <w:r w:rsidRPr="0095296E">
          <w:rPr>
            <w:rStyle w:val="Hyperlink"/>
          </w:rPr>
          <w:t>Обзор развития инноваций Мальты: отчет о передовом опыте и перспективных направлениях</w:t>
        </w:r>
      </w:hyperlink>
      <w:r w:rsidRPr="0095296E">
        <w:t>", который размещен на веб</w:t>
      </w:r>
      <w:r w:rsidRPr="0095296E">
        <w:rPr>
          <w:rFonts w:ascii="Cambria Math" w:hAnsi="Cambria Math"/>
        </w:rPr>
        <w:t>‑</w:t>
      </w:r>
      <w:r w:rsidRPr="0095296E">
        <w:t>странице, посвященной инновациям.</w:t>
      </w:r>
    </w:p>
    <w:p w14:paraId="3C4C7BB1" w14:textId="77777777" w:rsidR="004168E7" w:rsidRPr="0095296E" w:rsidRDefault="004168E7" w:rsidP="00F52EC1">
      <w:pPr>
        <w:pStyle w:val="Headingb"/>
        <w:rPr>
          <w:lang w:val="ru-RU" w:eastAsia="en-GB"/>
        </w:rPr>
      </w:pPr>
      <w:r w:rsidRPr="0095296E">
        <w:rPr>
          <w:lang w:val="ru-RU" w:eastAsia="en-GB"/>
        </w:rPr>
        <w:t>Цифровые услуги и приложения</w:t>
      </w:r>
    </w:p>
    <w:p w14:paraId="5D32126F" w14:textId="77777777" w:rsidR="004168E7" w:rsidRPr="0095296E" w:rsidRDefault="004168E7" w:rsidP="003E5BD6">
      <w:r w:rsidRPr="0095296E">
        <w:rPr>
          <w:bCs/>
        </w:rPr>
        <w:t xml:space="preserve">В </w:t>
      </w:r>
      <w:r w:rsidRPr="0095296E">
        <w:rPr>
          <w:b/>
        </w:rPr>
        <w:t xml:space="preserve">Африке </w:t>
      </w:r>
      <w:r w:rsidRPr="0095296E">
        <w:t>утверждена Национальная дорожная карта по архитектуре предприятий и цифровой трансформации Гамбии, которая была разработана при участии различных министерств (финансов, здравоохранения, ИКТ, налогового управления). Первый семинар-практикум с углубленным изучением проекта GovStack, посвященный определению функционально совместимых модульных цифровых государственных услуг, состоялся в Гвинее-Бисау. На завершающей стадии находится проект GovStack для Африканского Рога; окончена работа над заключительным отчетом по проекту GovStack в Эсватини, который был дополнен серией углубленных семинаров-практикумов.</w:t>
      </w:r>
    </w:p>
    <w:p w14:paraId="64FA240F" w14:textId="77777777" w:rsidR="004168E7" w:rsidRPr="0095296E" w:rsidRDefault="004168E7" w:rsidP="003E5BD6">
      <w:r w:rsidRPr="0095296E">
        <w:rPr>
          <w:bCs/>
        </w:rPr>
        <w:t xml:space="preserve">В </w:t>
      </w:r>
      <w:r w:rsidRPr="0095296E">
        <w:rPr>
          <w:b/>
        </w:rPr>
        <w:t xml:space="preserve">регионе арабских государств </w:t>
      </w:r>
      <w:r w:rsidRPr="0095296E">
        <w:t>семинар-практикум по совместной разработке иммерсивных технологий был проведен в Иордании.</w:t>
      </w:r>
    </w:p>
    <w:p w14:paraId="6B463754" w14:textId="77777777" w:rsidR="004168E7" w:rsidRPr="0095296E" w:rsidRDefault="004168E7" w:rsidP="003E5BD6">
      <w:r w:rsidRPr="0095296E">
        <w:rPr>
          <w:bCs/>
        </w:rPr>
        <w:lastRenderedPageBreak/>
        <w:t xml:space="preserve">В </w:t>
      </w:r>
      <w:r w:rsidRPr="0095296E">
        <w:rPr>
          <w:b/>
        </w:rPr>
        <w:t>Азиатско-Тихоокеанском регионе</w:t>
      </w:r>
      <w:r w:rsidRPr="0095296E">
        <w:t xml:space="preserve"> обсуждения на высоком уровне по вопросам укрепления межведомственной координации в целях содействия внедрению системы GovStack в стране были проведены в Монголии. Cеминар-практикум GovStack в настоящее время проходит в Тувалу.</w:t>
      </w:r>
    </w:p>
    <w:p w14:paraId="7FC57039" w14:textId="77777777" w:rsidR="004168E7" w:rsidRPr="0095296E" w:rsidRDefault="004168E7" w:rsidP="003E5BD6">
      <w:r w:rsidRPr="0095296E">
        <w:t>В феврале 2026 года БРЭ организовало общеправительственный семинар-практикум GovStack в Папуа-Новой Гвинее, который был посвящен обсуждению следующего этапа проекта ЕС STREIT, реализуемого совместно с ФАО, ПРООН и другими учреждениями ООН в странах АТР в целях поддержки цифрового сельского хозяйства, установления соединений в сельских районах, развития потенциала и повышения цифровой грамотности.</w:t>
      </w:r>
    </w:p>
    <w:p w14:paraId="546F2B53" w14:textId="77777777" w:rsidR="004168E7" w:rsidRPr="0095296E" w:rsidRDefault="004168E7" w:rsidP="003E5BD6">
      <w:pPr>
        <w:rPr>
          <w:bCs/>
        </w:rPr>
      </w:pPr>
      <w:r w:rsidRPr="0095296E">
        <w:t xml:space="preserve">В </w:t>
      </w:r>
      <w:r w:rsidRPr="0095296E">
        <w:rPr>
          <w:b/>
          <w:bCs/>
        </w:rPr>
        <w:t>регионе СНГ</w:t>
      </w:r>
      <w:r w:rsidRPr="0095296E">
        <w:rPr>
          <w:bCs/>
        </w:rPr>
        <w:t xml:space="preserve"> </w:t>
      </w:r>
      <w:proofErr w:type="gramStart"/>
      <w:r w:rsidRPr="0095296E">
        <w:rPr>
          <w:bCs/>
        </w:rPr>
        <w:t>11−12</w:t>
      </w:r>
      <w:proofErr w:type="gramEnd"/>
      <w:r w:rsidRPr="0095296E">
        <w:rPr>
          <w:bCs/>
        </w:rPr>
        <w:t xml:space="preserve"> марта прошли национальные учебные занятия, которые были организованы БРЭ совместно с Национальным центром электронных услуг Беларуси. Эксперты из Казахстана, Азербайджана и Узбекистана поделились опытом своих стран в ключевых областях, включая реорганизацию государственных услуг с учетом событий цифровой жизни, предоставление проактивных цифровых государственных услуг, управление данными и принятие решений на основе анализа данных из "озера данных".</w:t>
      </w:r>
    </w:p>
    <w:p w14:paraId="47DDE94A" w14:textId="77777777" w:rsidR="004168E7" w:rsidRPr="0095296E" w:rsidRDefault="004168E7" w:rsidP="003E5BD6">
      <w:pPr>
        <w:rPr>
          <w:bCs/>
        </w:rPr>
      </w:pPr>
      <w:r w:rsidRPr="0095296E">
        <w:t xml:space="preserve">В </w:t>
      </w:r>
      <w:r w:rsidRPr="0095296E">
        <w:rPr>
          <w:b/>
          <w:bCs/>
        </w:rPr>
        <w:t xml:space="preserve">Европе </w:t>
      </w:r>
      <w:r w:rsidRPr="0095296E">
        <w:rPr>
          <w:bCs/>
        </w:rPr>
        <w:t xml:space="preserve">в рамках проекта Совместного фонда ЦУР ПРООН и </w:t>
      </w:r>
      <w:r w:rsidRPr="0095296E">
        <w:t>GovStack</w:t>
      </w:r>
      <w:r w:rsidRPr="0095296E">
        <w:rPr>
          <w:bCs/>
        </w:rPr>
        <w:t>, БРЭ будет заниматься наращиванием потенциала, созданием прототипов и песочниц и внедрением GovSpecs 2.0 в Сербии.</w:t>
      </w:r>
    </w:p>
    <w:p w14:paraId="274BA96E" w14:textId="77777777" w:rsidR="004168E7" w:rsidRPr="0095296E" w:rsidRDefault="004168E7" w:rsidP="003E5BD6">
      <w:pPr>
        <w:rPr>
          <w:lang w:eastAsia="en-GB"/>
        </w:rPr>
      </w:pPr>
      <w:r w:rsidRPr="0095296E">
        <w:rPr>
          <w:lang w:eastAsia="en-GB"/>
        </w:rPr>
        <w:t>В целом, БРЭ продолжило работу по содействию развитию цифровой инфраструктуры общего пользования (DPI) с открытым исходным кодом. За первый квартал 2026 года Бюро провело два специализированных учебных занятия для правительства Кении и оказало стране содействие в текущей разработке плана действий по DPI в рамках проекта OSEE, способствуя укреплению национального потенциала по вопросам открытого исходного кода, кибербезопасности и системного администрирования как основы для внедрения DPI. БРЭ продолжало укреплять сотрудничество с пилотными странами и странами-партнерами в Африке, Азиатско-Тихоокеанском регионе и регионе Ближнего Востока и Северной Африки в целях поддержки внедрения OSPO и устойчивого развития экосистемы.</w:t>
      </w:r>
    </w:p>
    <w:p w14:paraId="1CAFA9DE" w14:textId="77777777" w:rsidR="004168E7" w:rsidRPr="0095296E" w:rsidRDefault="004168E7" w:rsidP="003E5BD6">
      <w:pPr>
        <w:rPr>
          <w:lang w:eastAsia="en-GB"/>
        </w:rPr>
      </w:pPr>
      <w:r w:rsidRPr="0095296E">
        <w:rPr>
          <w:lang w:eastAsia="en-GB"/>
        </w:rPr>
        <w:t>Кроме того, БРЭ работало над повышением согласованности работы системы ООН в рамках инициативы ООН "Open Source United", активно участвуя в ее реализации, в том числе выступая в роли заместителя председателя Сообщества специалистов-практиков и поощряя внедрение в МСЭ хранилища данных с открытым исходным кодом, размещенного на платформе МВЦ ООН, что способствует дальнейшему развитию открытых, основанных на сотрудничестве и суверенных цифровых практических методов в рамках всей системы ООН.</w:t>
      </w:r>
    </w:p>
    <w:p w14:paraId="1A147960" w14:textId="77777777" w:rsidR="004168E7" w:rsidRPr="0095296E" w:rsidRDefault="004168E7" w:rsidP="003E5BD6">
      <w:pPr>
        <w:rPr>
          <w:lang w:eastAsia="en-GB"/>
        </w:rPr>
      </w:pPr>
      <w:r w:rsidRPr="0095296E">
        <w:rPr>
          <w:lang w:eastAsia="en-GB"/>
        </w:rPr>
        <w:t>Помимо этого, Бюро продолжает поощрять внедрение инноваций, ориентированных на достижение ЦУР, в рамках инициативы GenAIforGood (осуществляемой в нескольких регионах). Удалось добиться прогресса в проведении конкурса "Генеративный ИИ во благо", в ходе которого были представлены практические примеры использования инноваций в конкретных странах, согласующиеся с ЦУР:</w:t>
      </w:r>
    </w:p>
    <w:p w14:paraId="1E81158B" w14:textId="0B28C8A6" w:rsidR="004168E7" w:rsidRPr="0095296E" w:rsidRDefault="00FC62AD" w:rsidP="003E5BD6">
      <w:pPr>
        <w:pStyle w:val="enumlev1"/>
        <w:rPr>
          <w:lang w:eastAsia="en-GB"/>
        </w:rPr>
      </w:pPr>
      <w:r w:rsidRPr="0095296E">
        <w:t>−</w:t>
      </w:r>
      <w:r w:rsidR="004168E7" w:rsidRPr="0095296E">
        <w:rPr>
          <w:rFonts w:ascii="Cambria Math" w:hAnsi="Cambria Math"/>
          <w:lang w:eastAsia="en-GB"/>
        </w:rPr>
        <w:tab/>
      </w:r>
      <w:r w:rsidR="004168E7" w:rsidRPr="0095296E">
        <w:rPr>
          <w:lang w:eastAsia="en-GB"/>
        </w:rPr>
        <w:t>Гамбия (здравоохранение) – помощь в профилактике неинфекционных заболеваний;</w:t>
      </w:r>
    </w:p>
    <w:p w14:paraId="59243BC7" w14:textId="20143311" w:rsidR="004168E7" w:rsidRPr="0095296E" w:rsidRDefault="00FC62AD" w:rsidP="003E5BD6">
      <w:pPr>
        <w:pStyle w:val="enumlev1"/>
        <w:rPr>
          <w:lang w:eastAsia="en-GB"/>
        </w:rPr>
      </w:pPr>
      <w:r w:rsidRPr="0095296E">
        <w:t>−</w:t>
      </w:r>
      <w:r w:rsidR="004168E7" w:rsidRPr="0095296E">
        <w:rPr>
          <w:lang w:eastAsia="en-GB"/>
        </w:rPr>
        <w:tab/>
        <w:t>Бангладеш (климат) – повышение устойчивости к изменению климата и укрепление потенциала в области раннего предупреждения;</w:t>
      </w:r>
    </w:p>
    <w:p w14:paraId="5E1629AB" w14:textId="5BA64E28" w:rsidR="004168E7" w:rsidRPr="0095296E" w:rsidRDefault="00FC62AD" w:rsidP="003E5BD6">
      <w:pPr>
        <w:pStyle w:val="enumlev1"/>
        <w:rPr>
          <w:lang w:eastAsia="en-GB"/>
        </w:rPr>
      </w:pPr>
      <w:r w:rsidRPr="0095296E">
        <w:t>−</w:t>
      </w:r>
      <w:r w:rsidR="004168E7" w:rsidRPr="0095296E">
        <w:rPr>
          <w:lang w:eastAsia="en-GB"/>
        </w:rPr>
        <w:tab/>
        <w:t>Лесото (сельское хозяйство) – предоставление консультационных услуг мелким фермерам.</w:t>
      </w:r>
    </w:p>
    <w:p w14:paraId="13495FF0" w14:textId="77777777" w:rsidR="004168E7" w:rsidRPr="0095296E" w:rsidRDefault="004168E7" w:rsidP="003E5BD6">
      <w:pPr>
        <w:rPr>
          <w:lang w:eastAsia="en-GB"/>
        </w:rPr>
      </w:pPr>
      <w:r w:rsidRPr="0095296E">
        <w:rPr>
          <w:lang w:eastAsia="en-GB"/>
        </w:rPr>
        <w:t>Данная инициатива направлена на мобилизацию глобальных инноваций для создания реализуемых инклюзивных решений в области DPI.</w:t>
      </w:r>
    </w:p>
    <w:p w14:paraId="00F2335D" w14:textId="77777777" w:rsidR="004168E7" w:rsidRPr="0095296E" w:rsidRDefault="004168E7" w:rsidP="003E5BD6">
      <w:pPr>
        <w:rPr>
          <w:lang w:eastAsia="en-GB"/>
        </w:rPr>
      </w:pPr>
      <w:r w:rsidRPr="0095296E">
        <w:rPr>
          <w:lang w:eastAsia="en-GB"/>
        </w:rPr>
        <w:t>БРЭ выпустило GENIE.AI – первый компонент DPI c генеративным ИИ в экосистеме GovStack, что позволило странам внедрять суверенные ответственные решения на основе ИИ для госуслуг. Первые прототипы внедряются в Кении, Лесото и Сальвадоре, демонстрируя реальные возможности использования приложений для инклюзивных и надежных систем государственных услуг.</w:t>
      </w:r>
    </w:p>
    <w:p w14:paraId="66A91A99" w14:textId="0EA0D3AD" w:rsidR="004168E7" w:rsidRPr="0095296E" w:rsidRDefault="004168E7" w:rsidP="003E5BD6">
      <w:pPr>
        <w:rPr>
          <w:lang w:eastAsia="en-GB"/>
        </w:rPr>
      </w:pPr>
      <w:r w:rsidRPr="0095296E">
        <w:rPr>
          <w:lang w:eastAsia="en-GB"/>
        </w:rPr>
        <w:lastRenderedPageBreak/>
        <w:t>Среди других направлений деятельности — совершенствование программного подхода к цифровой трансформации, что предусматривает комплексное осуществление мер в таких областях как политика, укрепление потенциала и внедрение технологий; это позволит МСЭ стать главным проводником создания открытых, функционально совместимых и масштабируемых экосистем DPI, а также внести непосредственный вклад в обеспечение охвата цифровыми технологиями, повышение ответственности стран и достижение долгосрочной устойчивости.</w:t>
      </w:r>
    </w:p>
    <w:p w14:paraId="006E590C" w14:textId="77777777" w:rsidR="004168E7" w:rsidRPr="0095296E" w:rsidRDefault="004168E7" w:rsidP="00F52EC1">
      <w:pPr>
        <w:pStyle w:val="Headingb"/>
        <w:rPr>
          <w:lang w:val="ru-RU" w:eastAsia="en-GB"/>
        </w:rPr>
      </w:pPr>
      <w:r w:rsidRPr="0095296E">
        <w:rPr>
          <w:lang w:val="ru-RU" w:eastAsia="en-GB"/>
        </w:rPr>
        <w:t>Развитие потенциала</w:t>
      </w:r>
    </w:p>
    <w:p w14:paraId="245ACACC" w14:textId="77777777" w:rsidR="004168E7" w:rsidRPr="0095296E" w:rsidRDefault="004168E7" w:rsidP="003E5BD6">
      <w:r w:rsidRPr="0095296E">
        <w:t>После появления комплекта материалов 2024 года по цифровым навыкам 19 марта, в Международный день образования, был запущен курс электронного обучения, призванный помочь участникам применять рекомендации комплекта материалов на практике.</w:t>
      </w:r>
    </w:p>
    <w:p w14:paraId="4A22B8BF" w14:textId="77777777" w:rsidR="004168E7" w:rsidRPr="0095296E" w:rsidRDefault="004168E7" w:rsidP="003E5BD6">
      <w:pPr>
        <w:rPr>
          <w:bCs/>
        </w:rPr>
      </w:pPr>
      <w:r w:rsidRPr="0095296E">
        <w:t xml:space="preserve">В </w:t>
      </w:r>
      <w:r w:rsidRPr="0095296E">
        <w:rPr>
          <w:b/>
          <w:bCs/>
        </w:rPr>
        <w:t xml:space="preserve">Африке </w:t>
      </w:r>
      <w:r w:rsidRPr="0095296E">
        <w:rPr>
          <w:bCs/>
        </w:rPr>
        <w:t>в феврале БРЭ совместно с организациями APC и Rhizomatica организовало в Кении учебный курс для начинающих администраторов сетей ИКТ. В программе приняли участие и успешно ее завершили 44 участника из 18 стран Африки к югу от Сахары. Учебный курс позволил усовершенствовать практические навыки участников в области управления сетями, обеспечения связи в чрезвычайных ситуациях и внедрения устойчивых решений на базе ИКТ, а также повысить их компетенции в планировании проектов для сообществ и укреплении устойчивости.</w:t>
      </w:r>
    </w:p>
    <w:p w14:paraId="3116450D" w14:textId="77777777" w:rsidR="004168E7" w:rsidRPr="0095296E" w:rsidRDefault="004168E7" w:rsidP="003E5BD6">
      <w:r w:rsidRPr="0095296E">
        <w:t>В феврале 2026 года БРЭ совместно с Европейским союзом провело в Эфиопии смешанный учебный курс для директивных и регуляторных органов, лидеров гражданского общества и специалистов. Курс сочетал в себе онлайн-занятия, посвященные концепциям искусственного интеллекта, вопросам этики, кибербезопасности и нормативно-правовой базы, с практическим обучением. В рамках этого же проекта в марте 2026 года был проведен дополнительный учебный курс по содействию развитию циркуляционной экономики, в ходе которого особое внимание уделялось политике в области электронных отходов и ответственности производителей за управление электронными отходами.</w:t>
      </w:r>
    </w:p>
    <w:p w14:paraId="3E63D4CC" w14:textId="77777777" w:rsidR="004168E7" w:rsidRPr="0095296E" w:rsidRDefault="004168E7" w:rsidP="003E5BD6">
      <w:pPr>
        <w:rPr>
          <w:bCs/>
        </w:rPr>
      </w:pPr>
      <w:r w:rsidRPr="0095296E">
        <w:t xml:space="preserve">В </w:t>
      </w:r>
      <w:r w:rsidRPr="0095296E">
        <w:rPr>
          <w:b/>
          <w:bCs/>
        </w:rPr>
        <w:t xml:space="preserve">регионе СНГ </w:t>
      </w:r>
      <w:r w:rsidRPr="0095296E">
        <w:rPr>
          <w:bCs/>
        </w:rPr>
        <w:t>24 марта в Кыргызской Республике был проведен национальный консультативный круглый стол, посвященный подробному обсуждению результатов исследования по оценке цифровых навыков государственных и муниципальных служащих в рамках системы "Sanarip kyzmatker". Это мероприятие стало продолжением проекта по оценке цифровых навыков, реализованного совместно с МСЭ для Государственного агентства по делам государственной службы и местного самоуправления, которое выступает в качестве его бенефициара. За круглым столом собрались 55 участников – руководители государственных органов и органов местного самоуправления, государственные и муниципальные служащие, представители научно-педагогического сообщества в сфере цифровых технологий, представители ИТ-бизнеса и ИТ</w:t>
      </w:r>
      <w:r w:rsidRPr="0095296E">
        <w:rPr>
          <w:rFonts w:ascii="Cambria Math" w:hAnsi="Cambria Math"/>
          <w:bCs/>
        </w:rPr>
        <w:t>‑</w:t>
      </w:r>
      <w:r w:rsidRPr="0095296E">
        <w:rPr>
          <w:bCs/>
        </w:rPr>
        <w:t>специалисты. Мероприятие включало три взаимосвязанных раздела. В первом разделе были представлены результаты исследования текущего уровня цифровых компетенций, что позволило определить исходный уровень для дальнейшего развития. Во втором разделе участникам был представлен проект методологии оценки, разработанный на основе Национальной системы цифровых компетенций. Третий раздел включал обсуждение институциональных условий для развития цифровых навыков и практических механизмов реализации предлагаемых решений.</w:t>
      </w:r>
    </w:p>
    <w:p w14:paraId="16E75E1E" w14:textId="77777777" w:rsidR="004168E7" w:rsidRPr="0095296E" w:rsidRDefault="004168E7" w:rsidP="003E5BD6">
      <w:pPr>
        <w:rPr>
          <w:bCs/>
        </w:rPr>
      </w:pPr>
      <w:r w:rsidRPr="0095296E">
        <w:t xml:space="preserve">В </w:t>
      </w:r>
      <w:r w:rsidRPr="0095296E">
        <w:rPr>
          <w:b/>
          <w:bCs/>
        </w:rPr>
        <w:t xml:space="preserve">Европе </w:t>
      </w:r>
      <w:r w:rsidRPr="0095296E">
        <w:rPr>
          <w:bCs/>
        </w:rPr>
        <w:t>в феврале началась подготовка к проведению оценки цифровых навыков работников государственного сектора Албании в рамках проекта Совместного фонда ЦУР и DART, реализуемого в Албании в сотрудничестве с ФАО и МОТ.</w:t>
      </w:r>
    </w:p>
    <w:p w14:paraId="45126DBB" w14:textId="77777777" w:rsidR="004168E7" w:rsidRPr="0095296E" w:rsidRDefault="004168E7" w:rsidP="00F52EC1">
      <w:pPr>
        <w:pStyle w:val="Headingb"/>
        <w:rPr>
          <w:lang w:val="ru-RU" w:eastAsia="en-GB"/>
        </w:rPr>
      </w:pPr>
      <w:r w:rsidRPr="0095296E">
        <w:rPr>
          <w:lang w:val="ru-RU" w:eastAsia="en-GB"/>
        </w:rPr>
        <w:t>Приверженность экологической устойчивости</w:t>
      </w:r>
    </w:p>
    <w:p w14:paraId="6F0867B0" w14:textId="77777777" w:rsidR="004168E7" w:rsidRPr="0095296E" w:rsidRDefault="004168E7" w:rsidP="003E5BD6">
      <w:r w:rsidRPr="0095296E">
        <w:t xml:space="preserve">В рамках проекта "Международная инициатива по обмену опытом в области регулирования электронных отходов и привлечения технологических компаний", реализуемого совместно с правительством Колумбии, БРЭ организовало ознакомительную поездку в Индию в рамках международного проекта по обмену опытом в области регулирования электронных отходов и привлечения технологических компаний, осуществляемого при финансовой поддержке APC в Колумбии и МСЭ. В ознакомительной поездке, проходившей в Дели с 9 по 13 февраля, приняли </w:t>
      </w:r>
      <w:r w:rsidRPr="0095296E">
        <w:lastRenderedPageBreak/>
        <w:t xml:space="preserve">участие представители стран </w:t>
      </w:r>
      <w:r w:rsidRPr="0095296E">
        <w:rPr>
          <w:b/>
        </w:rPr>
        <w:t>Африки</w:t>
      </w:r>
      <w:r w:rsidRPr="0095296E">
        <w:rPr>
          <w:bCs/>
        </w:rPr>
        <w:t xml:space="preserve">, </w:t>
      </w:r>
      <w:r w:rsidRPr="0095296E">
        <w:rPr>
          <w:b/>
        </w:rPr>
        <w:t>Северной и Южной Америки</w:t>
      </w:r>
      <w:r w:rsidRPr="0095296E">
        <w:rPr>
          <w:bCs/>
        </w:rPr>
        <w:t xml:space="preserve">, </w:t>
      </w:r>
      <w:r w:rsidRPr="0095296E">
        <w:rPr>
          <w:b/>
        </w:rPr>
        <w:t>а также Азиатско-Тихоокеанского региона</w:t>
      </w:r>
      <w:r w:rsidRPr="0095296E">
        <w:t xml:space="preserve">. Среди представленных стран были Индия, Малайзия, </w:t>
      </w:r>
      <w:r w:rsidRPr="0095296E">
        <w:rPr>
          <w:color w:val="000000"/>
        </w:rPr>
        <w:t>Южно-Африканская Республика</w:t>
      </w:r>
      <w:r w:rsidRPr="0095296E">
        <w:t>, Нигерия, Доминиканская Республика и Колумбия. Основными темами обсуждения стали нормативно-правовая база, управление и системная архитектура; циркуляционность в секторе электросвязи и интеграция неформального сектора в управление электронными отходами, а также стандартизация и внедрение практических методов управления электронными отходами.</w:t>
      </w:r>
    </w:p>
    <w:p w14:paraId="307EB317" w14:textId="77777777" w:rsidR="004168E7" w:rsidRPr="0095296E" w:rsidRDefault="004168E7" w:rsidP="003E5BD6">
      <w:r w:rsidRPr="0095296E">
        <w:t>В феврале БРЭ также возобновило работу подгруппы EGTI по национальным показателям мониторинга выбросов парниковых газов, которая продемонстрировала высокую активность (более 30 участников на каждом заседании). Национальное управление связи Португалии (ANACOM) и Малайзийская комиссия по связи и мультимедиа (MCMC) выразили заинтересованность в участии в пилотных проектах. В настоящее время пилотные проекты реализуются в Бразилии и Южной Африке. В Бразилии 11 февраля состоялся вебинар на тему "Показатели выбросов и энергопотребления в секторе ИКТ", в котором приняли участие 36 компаний; в рамках мероприятия было проведено 17 двусторонних встреч, и к настоящему моменту получены заполненные анкеты от шести компаний.</w:t>
      </w:r>
    </w:p>
    <w:p w14:paraId="7DE766E1" w14:textId="77777777" w:rsidR="001070FB" w:rsidRPr="0095296E" w:rsidRDefault="001070FB" w:rsidP="008912EB"/>
    <w:p w14:paraId="3162C2B8" w14:textId="77777777" w:rsidR="001070FB" w:rsidRPr="0095296E" w:rsidRDefault="001070FB" w:rsidP="008912EB">
      <w:pPr>
        <w:sectPr w:rsidR="001070FB" w:rsidRPr="0095296E" w:rsidSect="001070FB">
          <w:headerReference w:type="default" r:id="rId28"/>
          <w:headerReference w:type="first" r:id="rId29"/>
          <w:pgSz w:w="11907" w:h="16840" w:code="9"/>
          <w:pgMar w:top="1418" w:right="1134" w:bottom="1418" w:left="1134" w:header="567" w:footer="567" w:gutter="0"/>
          <w:cols w:space="720"/>
          <w:titlePg/>
          <w:docGrid w:linePitch="326"/>
        </w:sectPr>
      </w:pPr>
    </w:p>
    <w:p w14:paraId="1977D0D3" w14:textId="239FC669" w:rsidR="000318C5" w:rsidRPr="0095296E" w:rsidRDefault="000318C5" w:rsidP="006963D6">
      <w:pPr>
        <w:pStyle w:val="Heading2"/>
        <w:spacing w:before="0" w:after="120"/>
      </w:pPr>
      <w:r w:rsidRPr="0095296E">
        <w:lastRenderedPageBreak/>
        <w:t>3.3</w:t>
      </w:r>
      <w:r w:rsidRPr="0095296E">
        <w:tab/>
        <w:t>Приоритет 3 МСЭ-D: Благоприятная политическая и регуляторная среда</w:t>
      </w:r>
    </w:p>
    <w:tbl>
      <w:tblPr>
        <w:tblW w:w="14609" w:type="dxa"/>
        <w:tblLayout w:type="fixed"/>
        <w:tblLook w:val="04A0" w:firstRow="1" w:lastRow="0" w:firstColumn="1" w:lastColumn="0" w:noHBand="0" w:noVBand="1"/>
      </w:tblPr>
      <w:tblGrid>
        <w:gridCol w:w="1787"/>
        <w:gridCol w:w="3122"/>
        <w:gridCol w:w="3177"/>
        <w:gridCol w:w="2436"/>
        <w:gridCol w:w="1175"/>
        <w:gridCol w:w="1764"/>
        <w:gridCol w:w="1148"/>
      </w:tblGrid>
      <w:tr w:rsidR="006963D6" w:rsidRPr="0095296E" w14:paraId="1D652A4C" w14:textId="77777777" w:rsidTr="008C6C59">
        <w:trPr>
          <w:tblHeader/>
        </w:trPr>
        <w:tc>
          <w:tcPr>
            <w:tcW w:w="1787" w:type="dxa"/>
            <w:tcBorders>
              <w:top w:val="single" w:sz="4" w:space="0" w:color="44B3E1"/>
              <w:left w:val="single" w:sz="4" w:space="0" w:color="44B3E1"/>
              <w:bottom w:val="single" w:sz="4" w:space="0" w:color="44B3E1"/>
              <w:right w:val="nil"/>
            </w:tcBorders>
            <w:shd w:val="clear" w:color="156082" w:fill="156082"/>
            <w:noWrap/>
            <w:vAlign w:val="center"/>
            <w:hideMark/>
          </w:tcPr>
          <w:p w14:paraId="4D09D0F3" w14:textId="77777777" w:rsidR="000318C5" w:rsidRPr="0095296E" w:rsidRDefault="000318C5" w:rsidP="006963D6">
            <w:pPr>
              <w:pStyle w:val="Tablehead"/>
              <w:rPr>
                <w:rFonts w:cstheme="minorHAnsi"/>
                <w:color w:val="FFFFFF" w:themeColor="background1"/>
                <w:sz w:val="18"/>
                <w:szCs w:val="18"/>
              </w:rPr>
            </w:pPr>
            <w:r w:rsidRPr="0095296E">
              <w:rPr>
                <w:color w:val="FFFFFF" w:themeColor="background1"/>
                <w:sz w:val="18"/>
                <w:szCs w:val="18"/>
              </w:rPr>
              <w:t>Приоритет/Тема</w:t>
            </w:r>
          </w:p>
        </w:tc>
        <w:tc>
          <w:tcPr>
            <w:tcW w:w="3122" w:type="dxa"/>
            <w:tcBorders>
              <w:top w:val="single" w:sz="4" w:space="0" w:color="44B3E1"/>
              <w:left w:val="nil"/>
              <w:bottom w:val="single" w:sz="4" w:space="0" w:color="44B3E1"/>
              <w:right w:val="nil"/>
            </w:tcBorders>
            <w:shd w:val="clear" w:color="156082" w:fill="156082"/>
            <w:vAlign w:val="center"/>
            <w:hideMark/>
          </w:tcPr>
          <w:p w14:paraId="0CA1D984"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Итоговый документ</w:t>
            </w:r>
          </w:p>
        </w:tc>
        <w:tc>
          <w:tcPr>
            <w:tcW w:w="3177" w:type="dxa"/>
            <w:tcBorders>
              <w:top w:val="single" w:sz="4" w:space="0" w:color="44B3E1"/>
              <w:left w:val="nil"/>
              <w:bottom w:val="single" w:sz="4" w:space="0" w:color="44B3E1"/>
              <w:right w:val="nil"/>
            </w:tcBorders>
            <w:shd w:val="clear" w:color="156082" w:fill="156082"/>
            <w:vAlign w:val="center"/>
            <w:hideMark/>
          </w:tcPr>
          <w:p w14:paraId="38224B42"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Показатели конечных результатов </w:t>
            </w:r>
          </w:p>
        </w:tc>
        <w:tc>
          <w:tcPr>
            <w:tcW w:w="2436" w:type="dxa"/>
            <w:tcBorders>
              <w:top w:val="single" w:sz="4" w:space="0" w:color="44B3E1"/>
              <w:left w:val="nil"/>
              <w:bottom w:val="single" w:sz="4" w:space="0" w:color="44B3E1"/>
              <w:right w:val="nil"/>
            </w:tcBorders>
            <w:shd w:val="clear" w:color="156082" w:fill="156082"/>
            <w:vAlign w:val="center"/>
            <w:hideMark/>
          </w:tcPr>
          <w:p w14:paraId="16AE068F" w14:textId="77777777" w:rsidR="000318C5" w:rsidRPr="0095296E" w:rsidRDefault="000318C5" w:rsidP="008C6C59">
            <w:pPr>
              <w:pStyle w:val="Tablehead"/>
              <w:tabs>
                <w:tab w:val="clear" w:pos="1134"/>
                <w:tab w:val="clear" w:pos="1871"/>
                <w:tab w:val="clear" w:pos="2268"/>
                <w:tab w:val="left" w:pos="284"/>
              </w:tabs>
              <w:ind w:left="-57" w:right="-57"/>
              <w:rPr>
                <w:rFonts w:cstheme="minorHAnsi"/>
                <w:color w:val="FFFFFF" w:themeColor="background1"/>
                <w:sz w:val="18"/>
                <w:szCs w:val="18"/>
              </w:rPr>
            </w:pPr>
            <w:r w:rsidRPr="0095296E">
              <w:rPr>
                <w:color w:val="FFFFFF" w:themeColor="background1"/>
                <w:sz w:val="18"/>
                <w:szCs w:val="18"/>
              </w:rPr>
              <w:t>Намеченные результаты деятельности (продукты и услуги МСЭ-D)</w:t>
            </w:r>
          </w:p>
        </w:tc>
        <w:tc>
          <w:tcPr>
            <w:tcW w:w="1175" w:type="dxa"/>
            <w:tcBorders>
              <w:top w:val="single" w:sz="4" w:space="0" w:color="44B3E1"/>
              <w:left w:val="nil"/>
              <w:bottom w:val="single" w:sz="4" w:space="0" w:color="44B3E1"/>
              <w:right w:val="nil"/>
            </w:tcBorders>
            <w:shd w:val="clear" w:color="156082" w:fill="156082"/>
            <w:vAlign w:val="center"/>
            <w:hideMark/>
          </w:tcPr>
          <w:p w14:paraId="2D3E5EC9" w14:textId="555F8BFA"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Бюджет </w:t>
            </w:r>
            <w:r w:rsidR="006963D6" w:rsidRPr="0095296E">
              <w:rPr>
                <w:color w:val="FFFFFF" w:themeColor="background1"/>
                <w:sz w:val="18"/>
                <w:szCs w:val="18"/>
              </w:rPr>
              <w:br/>
            </w:r>
            <w:r w:rsidRPr="0095296E">
              <w:rPr>
                <w:color w:val="FFFFFF" w:themeColor="background1"/>
                <w:sz w:val="18"/>
                <w:szCs w:val="18"/>
              </w:rPr>
              <w:t>на 2026 г. (шв. фр.)</w:t>
            </w:r>
          </w:p>
        </w:tc>
        <w:tc>
          <w:tcPr>
            <w:tcW w:w="1764" w:type="dxa"/>
            <w:tcBorders>
              <w:top w:val="single" w:sz="4" w:space="0" w:color="44B3E1"/>
              <w:left w:val="nil"/>
              <w:bottom w:val="single" w:sz="4" w:space="0" w:color="44B3E1"/>
              <w:right w:val="nil"/>
            </w:tcBorders>
            <w:shd w:val="clear" w:color="156082" w:fill="156082"/>
            <w:vAlign w:val="center"/>
            <w:hideMark/>
          </w:tcPr>
          <w:p w14:paraId="4CC71FC2" w14:textId="52E0AB50"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6963D6" w:rsidRPr="0095296E">
              <w:rPr>
                <w:color w:val="FFFFFF" w:themeColor="background1"/>
                <w:sz w:val="18"/>
                <w:szCs w:val="18"/>
              </w:rPr>
              <w:br/>
            </w:r>
            <w:r w:rsidRPr="0095296E">
              <w:rPr>
                <w:color w:val="FFFFFF" w:themeColor="background1"/>
                <w:sz w:val="18"/>
                <w:szCs w:val="18"/>
              </w:rPr>
              <w:t>от общего объема приоритетов/</w:t>
            </w:r>
            <w:r w:rsidR="006963D6" w:rsidRPr="0095296E">
              <w:rPr>
                <w:color w:val="FFFFFF" w:themeColor="background1"/>
                <w:sz w:val="18"/>
                <w:szCs w:val="18"/>
              </w:rPr>
              <w:br/>
            </w:r>
            <w:r w:rsidRPr="0095296E">
              <w:rPr>
                <w:color w:val="FFFFFF" w:themeColor="background1"/>
                <w:sz w:val="18"/>
                <w:szCs w:val="18"/>
              </w:rPr>
              <w:t>средств достижения целей</w:t>
            </w:r>
          </w:p>
        </w:tc>
        <w:tc>
          <w:tcPr>
            <w:tcW w:w="1148" w:type="dxa"/>
            <w:tcBorders>
              <w:top w:val="single" w:sz="4" w:space="0" w:color="44B3E1"/>
              <w:left w:val="nil"/>
              <w:bottom w:val="single" w:sz="4" w:space="0" w:color="44B3E1"/>
              <w:right w:val="single" w:sz="4" w:space="0" w:color="44B3E1"/>
            </w:tcBorders>
            <w:shd w:val="clear" w:color="156082" w:fill="156082"/>
            <w:vAlign w:val="center"/>
            <w:hideMark/>
          </w:tcPr>
          <w:p w14:paraId="0E1A2E0C" w14:textId="07E205FF"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6963D6" w:rsidRPr="0095296E">
              <w:rPr>
                <w:color w:val="FFFFFF" w:themeColor="background1"/>
                <w:sz w:val="18"/>
                <w:szCs w:val="18"/>
              </w:rPr>
              <w:br/>
            </w:r>
            <w:r w:rsidRPr="0095296E">
              <w:rPr>
                <w:color w:val="FFFFFF" w:themeColor="background1"/>
                <w:sz w:val="18"/>
                <w:szCs w:val="18"/>
              </w:rPr>
              <w:t>от общего бюджета</w:t>
            </w:r>
          </w:p>
        </w:tc>
      </w:tr>
      <w:tr w:rsidR="008C6C59" w:rsidRPr="0095296E" w14:paraId="086C9BCE" w14:textId="77777777" w:rsidTr="008F127D">
        <w:tc>
          <w:tcPr>
            <w:tcW w:w="8086" w:type="dxa"/>
            <w:gridSpan w:val="3"/>
            <w:tcBorders>
              <w:top w:val="single" w:sz="4" w:space="0" w:color="44B3E1"/>
              <w:left w:val="single" w:sz="4" w:space="0" w:color="44B3E1"/>
              <w:bottom w:val="single" w:sz="4" w:space="0" w:color="44B3E1"/>
              <w:right w:val="nil"/>
            </w:tcBorders>
            <w:shd w:val="clear" w:color="C0E6F5" w:fill="C0E6F5"/>
            <w:noWrap/>
            <w:hideMark/>
          </w:tcPr>
          <w:p w14:paraId="25591CBD" w14:textId="06B8CC1A" w:rsidR="008C6C59" w:rsidRPr="0095296E" w:rsidRDefault="008C6C59"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bCs/>
                <w:sz w:val="18"/>
                <w:szCs w:val="18"/>
                <w:lang w:eastAsia="en-GB"/>
              </w:rPr>
            </w:pPr>
            <w:r w:rsidRPr="0095296E">
              <w:rPr>
                <w:b/>
                <w:sz w:val="18"/>
                <w:szCs w:val="18"/>
              </w:rPr>
              <w:t>Благоприятная политическая и регуляторная среда в целом</w:t>
            </w:r>
          </w:p>
        </w:tc>
        <w:tc>
          <w:tcPr>
            <w:tcW w:w="2436" w:type="dxa"/>
            <w:tcBorders>
              <w:top w:val="single" w:sz="4" w:space="0" w:color="44B3E1"/>
              <w:left w:val="nil"/>
              <w:bottom w:val="single" w:sz="4" w:space="0" w:color="44B3E1"/>
              <w:right w:val="nil"/>
            </w:tcBorders>
            <w:shd w:val="clear" w:color="C0E6F5" w:fill="C0E6F5"/>
            <w:noWrap/>
            <w:hideMark/>
          </w:tcPr>
          <w:p w14:paraId="66B0398D" w14:textId="77777777" w:rsidR="008C6C59" w:rsidRPr="0095296E" w:rsidRDefault="008C6C59"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bCs/>
                <w:sz w:val="18"/>
                <w:szCs w:val="18"/>
                <w:lang w:eastAsia="en-GB"/>
              </w:rPr>
            </w:pPr>
          </w:p>
        </w:tc>
        <w:tc>
          <w:tcPr>
            <w:tcW w:w="1175" w:type="dxa"/>
            <w:tcBorders>
              <w:top w:val="single" w:sz="4" w:space="0" w:color="44B3E1"/>
              <w:left w:val="nil"/>
              <w:bottom w:val="single" w:sz="4" w:space="0" w:color="44B3E1"/>
              <w:right w:val="nil"/>
            </w:tcBorders>
            <w:shd w:val="clear" w:color="C0E6F5" w:fill="C0E6F5"/>
            <w:noWrap/>
            <w:hideMark/>
          </w:tcPr>
          <w:p w14:paraId="119CCD96" w14:textId="53528556" w:rsidR="008C6C59" w:rsidRPr="0095296E" w:rsidRDefault="00C5339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bCs/>
                <w:sz w:val="18"/>
                <w:szCs w:val="18"/>
              </w:rPr>
            </w:pPr>
            <w:r w:rsidRPr="0095296E">
              <w:rPr>
                <w:b/>
                <w:bCs/>
                <w:sz w:val="18"/>
                <w:szCs w:val="18"/>
              </w:rPr>
              <w:t>725</w:t>
            </w:r>
            <w:r w:rsidR="008C6C59" w:rsidRPr="0095296E">
              <w:rPr>
                <w:b/>
                <w:bCs/>
                <w:sz w:val="18"/>
                <w:szCs w:val="18"/>
              </w:rPr>
              <w:t> </w:t>
            </w:r>
            <w:r w:rsidRPr="0095296E">
              <w:rPr>
                <w:b/>
                <w:bCs/>
                <w:sz w:val="18"/>
                <w:szCs w:val="18"/>
              </w:rPr>
              <w:t>0</w:t>
            </w:r>
            <w:r w:rsidR="008C6C59" w:rsidRPr="0095296E">
              <w:rPr>
                <w:b/>
                <w:bCs/>
                <w:sz w:val="18"/>
                <w:szCs w:val="18"/>
              </w:rPr>
              <w:t>00</w:t>
            </w:r>
          </w:p>
        </w:tc>
        <w:tc>
          <w:tcPr>
            <w:tcW w:w="1764" w:type="dxa"/>
            <w:tcBorders>
              <w:top w:val="single" w:sz="4" w:space="0" w:color="44B3E1"/>
              <w:left w:val="nil"/>
              <w:bottom w:val="single" w:sz="4" w:space="0" w:color="44B3E1"/>
              <w:right w:val="nil"/>
            </w:tcBorders>
            <w:shd w:val="clear" w:color="C0E6F5" w:fill="C0E6F5"/>
            <w:noWrap/>
            <w:hideMark/>
          </w:tcPr>
          <w:p w14:paraId="4787B488" w14:textId="77777777" w:rsidR="008C6C59" w:rsidRPr="0095296E" w:rsidRDefault="008C6C59"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bCs/>
                <w:sz w:val="18"/>
                <w:szCs w:val="18"/>
                <w:lang w:eastAsia="en-GB"/>
              </w:rPr>
            </w:pPr>
          </w:p>
        </w:tc>
        <w:tc>
          <w:tcPr>
            <w:tcW w:w="1148" w:type="dxa"/>
            <w:tcBorders>
              <w:top w:val="single" w:sz="4" w:space="0" w:color="44B3E1"/>
              <w:left w:val="nil"/>
              <w:bottom w:val="single" w:sz="4" w:space="0" w:color="44B3E1"/>
              <w:right w:val="single" w:sz="4" w:space="0" w:color="44B3E1"/>
            </w:tcBorders>
            <w:shd w:val="clear" w:color="C0E6F5" w:fill="C0E6F5"/>
            <w:noWrap/>
            <w:hideMark/>
          </w:tcPr>
          <w:p w14:paraId="3C25925C" w14:textId="1EDD48F9" w:rsidR="008C6C59" w:rsidRPr="0095296E" w:rsidRDefault="008C6C59"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bCs/>
                <w:sz w:val="18"/>
                <w:szCs w:val="18"/>
              </w:rPr>
            </w:pPr>
            <w:r w:rsidRPr="0095296E">
              <w:rPr>
                <w:b/>
                <w:bCs/>
                <w:sz w:val="18"/>
                <w:szCs w:val="18"/>
              </w:rPr>
              <w:t>1</w:t>
            </w:r>
            <w:r w:rsidR="00C53395" w:rsidRPr="0095296E">
              <w:rPr>
                <w:b/>
                <w:bCs/>
                <w:sz w:val="18"/>
                <w:szCs w:val="18"/>
              </w:rPr>
              <w:t>9</w:t>
            </w:r>
            <w:r w:rsidRPr="0095296E">
              <w:rPr>
                <w:b/>
                <w:bCs/>
                <w:sz w:val="18"/>
                <w:szCs w:val="18"/>
              </w:rPr>
              <w:t>,</w:t>
            </w:r>
            <w:r w:rsidR="00C53395" w:rsidRPr="0095296E">
              <w:rPr>
                <w:b/>
                <w:bCs/>
                <w:sz w:val="18"/>
                <w:szCs w:val="18"/>
              </w:rPr>
              <w:t>0</w:t>
            </w:r>
            <w:r w:rsidRPr="0095296E">
              <w:rPr>
                <w:b/>
                <w:bCs/>
                <w:sz w:val="18"/>
                <w:szCs w:val="18"/>
              </w:rPr>
              <w:t>1</w:t>
            </w:r>
          </w:p>
        </w:tc>
      </w:tr>
      <w:tr w:rsidR="000318C5" w:rsidRPr="0095296E" w14:paraId="19521CAB" w14:textId="77777777" w:rsidTr="008C6C59">
        <w:tc>
          <w:tcPr>
            <w:tcW w:w="1787" w:type="dxa"/>
            <w:tcBorders>
              <w:top w:val="single" w:sz="4" w:space="0" w:color="44B3E1"/>
              <w:left w:val="single" w:sz="4" w:space="0" w:color="44B3E1"/>
              <w:bottom w:val="single" w:sz="4" w:space="0" w:color="44B3E1"/>
              <w:right w:val="nil"/>
            </w:tcBorders>
            <w:noWrap/>
            <w:hideMark/>
          </w:tcPr>
          <w:p w14:paraId="49A1F325" w14:textId="77777777" w:rsidR="000318C5" w:rsidRPr="0095296E" w:rsidRDefault="000318C5" w:rsidP="006963D6">
            <w:pPr>
              <w:pStyle w:val="Tabletext"/>
              <w:rPr>
                <w:rFonts w:cstheme="minorHAnsi"/>
                <w:b/>
                <w:sz w:val="18"/>
                <w:szCs w:val="18"/>
              </w:rPr>
            </w:pPr>
            <w:r w:rsidRPr="0095296E">
              <w:rPr>
                <w:b/>
                <w:sz w:val="18"/>
                <w:szCs w:val="18"/>
              </w:rPr>
              <w:t>Политика и регулирование</w:t>
            </w:r>
          </w:p>
        </w:tc>
        <w:tc>
          <w:tcPr>
            <w:tcW w:w="3122" w:type="dxa"/>
            <w:tcBorders>
              <w:top w:val="single" w:sz="4" w:space="0" w:color="44B3E1"/>
              <w:left w:val="nil"/>
              <w:bottom w:val="single" w:sz="4" w:space="0" w:color="44B3E1"/>
              <w:right w:val="nil"/>
            </w:tcBorders>
            <w:hideMark/>
          </w:tcPr>
          <w:p w14:paraId="6A4FC0A2"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потенциала Государств-Членов для совершенствования своей политической, нормативно-правовой и регуляторной основы в области электросвязи/ИКТ, способствующих устойчивому развитию и цифровой трансформации</w:t>
            </w:r>
          </w:p>
          <w:p w14:paraId="64F9ACF4" w14:textId="4FA9146E"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Укрепление </w:t>
            </w:r>
            <w:r w:rsidR="000318C5" w:rsidRPr="0095296E">
              <w:rPr>
                <w:sz w:val="18"/>
                <w:szCs w:val="18"/>
              </w:rPr>
              <w:t>потенциала Государств-Членов для обновления нормативно-правовой базы в области космических технологий электросвязи/ИКТ</w:t>
            </w:r>
          </w:p>
        </w:tc>
        <w:tc>
          <w:tcPr>
            <w:tcW w:w="3177" w:type="dxa"/>
            <w:tcBorders>
              <w:top w:val="single" w:sz="4" w:space="0" w:color="44B3E1"/>
              <w:left w:val="nil"/>
              <w:bottom w:val="single" w:sz="4" w:space="0" w:color="44B3E1"/>
              <w:right w:val="nil"/>
            </w:tcBorders>
            <w:hideMark/>
          </w:tcPr>
          <w:p w14:paraId="6C52C73F"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стран, переходящих на систему регулирования нового поколения (G1–G4) и/или на более высокий уровень готовности к цифровой трансформации (G5)</w:t>
            </w:r>
          </w:p>
          <w:p w14:paraId="596CF6AA" w14:textId="3EB29B6C"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создавших нормативно-правовую базу для космических технологий электросвязи/ИКТ</w:t>
            </w:r>
          </w:p>
        </w:tc>
        <w:tc>
          <w:tcPr>
            <w:tcW w:w="2436" w:type="dxa"/>
            <w:tcBorders>
              <w:top w:val="single" w:sz="4" w:space="0" w:color="44B3E1"/>
              <w:left w:val="nil"/>
              <w:bottom w:val="single" w:sz="4" w:space="0" w:color="44B3E1"/>
              <w:right w:val="nil"/>
            </w:tcBorders>
            <w:hideMark/>
          </w:tcPr>
          <w:p w14:paraId="29AAA1DF"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Системы обучения</w:t>
            </w:r>
          </w:p>
          <w:p w14:paraId="10447AC7"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Платформы </w:t>
            </w:r>
            <w:r w:rsidR="000318C5" w:rsidRPr="0095296E">
              <w:rPr>
                <w:sz w:val="18"/>
                <w:szCs w:val="18"/>
              </w:rPr>
              <w:t>для созыва мероприятий</w:t>
            </w:r>
          </w:p>
          <w:p w14:paraId="56FF29A7"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color w:val="000000" w:themeColor="text1"/>
                <w:sz w:val="18"/>
                <w:szCs w:val="18"/>
                <w:lang w:eastAsia="en-GB"/>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Типовые </w:t>
            </w:r>
            <w:r w:rsidR="000318C5" w:rsidRPr="0095296E">
              <w:rPr>
                <w:sz w:val="18"/>
                <w:szCs w:val="18"/>
              </w:rPr>
              <w:t>направления политики и стратегии, комплекты материалов</w:t>
            </w:r>
          </w:p>
          <w:p w14:paraId="443FB26C" w14:textId="19BE5A2F"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tc>
        <w:tc>
          <w:tcPr>
            <w:tcW w:w="1175" w:type="dxa"/>
            <w:tcBorders>
              <w:top w:val="single" w:sz="4" w:space="0" w:color="44B3E1"/>
              <w:left w:val="nil"/>
              <w:bottom w:val="single" w:sz="4" w:space="0" w:color="44B3E1"/>
              <w:right w:val="nil"/>
            </w:tcBorders>
            <w:noWrap/>
            <w:hideMark/>
          </w:tcPr>
          <w:p w14:paraId="5AACAAD4" w14:textId="068F1041"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3</w:t>
            </w:r>
            <w:r w:rsidR="00C53395" w:rsidRPr="0095296E">
              <w:rPr>
                <w:sz w:val="18"/>
                <w:szCs w:val="18"/>
              </w:rPr>
              <w:t>70</w:t>
            </w:r>
            <w:r w:rsidRPr="0095296E">
              <w:rPr>
                <w:sz w:val="18"/>
                <w:szCs w:val="18"/>
              </w:rPr>
              <w:t> 000</w:t>
            </w:r>
          </w:p>
        </w:tc>
        <w:tc>
          <w:tcPr>
            <w:tcW w:w="1764" w:type="dxa"/>
            <w:tcBorders>
              <w:top w:val="single" w:sz="4" w:space="0" w:color="44B3E1"/>
              <w:left w:val="nil"/>
              <w:bottom w:val="single" w:sz="4" w:space="0" w:color="44B3E1"/>
              <w:right w:val="nil"/>
            </w:tcBorders>
            <w:noWrap/>
            <w:hideMark/>
          </w:tcPr>
          <w:p w14:paraId="2D227FCD" w14:textId="1D9E17EB"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5</w:t>
            </w:r>
            <w:r w:rsidR="00C53395" w:rsidRPr="0095296E">
              <w:rPr>
                <w:sz w:val="18"/>
                <w:szCs w:val="18"/>
              </w:rPr>
              <w:t>1</w:t>
            </w:r>
            <w:r w:rsidRPr="0095296E">
              <w:rPr>
                <w:sz w:val="18"/>
                <w:szCs w:val="18"/>
              </w:rPr>
              <w:t>,</w:t>
            </w:r>
            <w:r w:rsidR="00C53395" w:rsidRPr="0095296E">
              <w:rPr>
                <w:sz w:val="18"/>
                <w:szCs w:val="18"/>
              </w:rPr>
              <w:t>0</w:t>
            </w:r>
          </w:p>
        </w:tc>
        <w:tc>
          <w:tcPr>
            <w:tcW w:w="1148" w:type="dxa"/>
            <w:tcBorders>
              <w:top w:val="single" w:sz="4" w:space="0" w:color="44B3E1"/>
              <w:left w:val="nil"/>
              <w:bottom w:val="single" w:sz="4" w:space="0" w:color="44B3E1"/>
              <w:right w:val="single" w:sz="4" w:space="0" w:color="44B3E1"/>
            </w:tcBorders>
            <w:noWrap/>
            <w:hideMark/>
          </w:tcPr>
          <w:p w14:paraId="1F8DADD2" w14:textId="6B22C81F" w:rsidR="000318C5" w:rsidRPr="0095296E" w:rsidRDefault="00C5339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9</w:t>
            </w:r>
            <w:r w:rsidR="000318C5" w:rsidRPr="0095296E">
              <w:rPr>
                <w:sz w:val="18"/>
                <w:szCs w:val="18"/>
              </w:rPr>
              <w:t>,</w:t>
            </w:r>
            <w:r w:rsidRPr="0095296E">
              <w:rPr>
                <w:sz w:val="18"/>
                <w:szCs w:val="18"/>
              </w:rPr>
              <w:t>7</w:t>
            </w:r>
          </w:p>
        </w:tc>
      </w:tr>
      <w:tr w:rsidR="000318C5" w:rsidRPr="0095296E" w14:paraId="4E8B7D32" w14:textId="77777777" w:rsidTr="008C6C59">
        <w:tc>
          <w:tcPr>
            <w:tcW w:w="1787" w:type="dxa"/>
            <w:tcBorders>
              <w:top w:val="single" w:sz="4" w:space="0" w:color="44B3E1"/>
              <w:left w:val="single" w:sz="4" w:space="0" w:color="44B3E1"/>
              <w:bottom w:val="single" w:sz="4" w:space="0" w:color="44B3E1"/>
              <w:right w:val="nil"/>
            </w:tcBorders>
            <w:shd w:val="clear" w:color="C0E6F5" w:fill="C0E6F5"/>
            <w:noWrap/>
            <w:hideMark/>
          </w:tcPr>
          <w:p w14:paraId="7E229B9E" w14:textId="77777777" w:rsidR="000318C5" w:rsidRPr="0095296E" w:rsidRDefault="000318C5" w:rsidP="006963D6">
            <w:pPr>
              <w:pStyle w:val="Tabletext"/>
              <w:rPr>
                <w:rFonts w:cstheme="minorHAnsi"/>
                <w:b/>
                <w:sz w:val="18"/>
                <w:szCs w:val="18"/>
              </w:rPr>
            </w:pPr>
            <w:r w:rsidRPr="0095296E">
              <w:rPr>
                <w:b/>
                <w:sz w:val="18"/>
                <w:szCs w:val="18"/>
              </w:rPr>
              <w:t>Предоставление данных и статистических показателей</w:t>
            </w:r>
          </w:p>
        </w:tc>
        <w:tc>
          <w:tcPr>
            <w:tcW w:w="3122" w:type="dxa"/>
            <w:tcBorders>
              <w:top w:val="single" w:sz="4" w:space="0" w:color="44B3E1"/>
              <w:left w:val="nil"/>
              <w:bottom w:val="single" w:sz="4" w:space="0" w:color="44B3E1"/>
              <w:right w:val="nil"/>
            </w:tcBorders>
            <w:shd w:val="clear" w:color="C0E6F5" w:fill="C0E6F5"/>
            <w:hideMark/>
          </w:tcPr>
          <w:p w14:paraId="10B8F1E4" w14:textId="36967A71"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потенциала Государств-Членов для создания и сбора высококачественных и сопоставимых на международном уровне статистических данных, в которых отражены достижения и тенденции в области электросвязи/ИКТ, возможные благодаря новым и появляющимся технологиям и услугам, на основе согласованных стандартов и методик</w:t>
            </w:r>
          </w:p>
        </w:tc>
        <w:tc>
          <w:tcPr>
            <w:tcW w:w="3177" w:type="dxa"/>
            <w:tcBorders>
              <w:top w:val="single" w:sz="4" w:space="0" w:color="44B3E1"/>
              <w:left w:val="nil"/>
              <w:bottom w:val="single" w:sz="4" w:space="0" w:color="44B3E1"/>
              <w:right w:val="nil"/>
            </w:tcBorders>
            <w:shd w:val="clear" w:color="C0E6F5" w:fill="C0E6F5"/>
            <w:hideMark/>
          </w:tcPr>
          <w:p w14:paraId="1DB8CF62" w14:textId="30643A49"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 xml:space="preserve">Процентная доля Государств-Членов, представивших достоверные данные не старше двух лет по крайней мере по 80 процентам </w:t>
            </w:r>
            <w:r w:rsidR="00E37F4D" w:rsidRPr="0095296E">
              <w:rPr>
                <w:sz w:val="18"/>
                <w:szCs w:val="18"/>
              </w:rPr>
              <w:t xml:space="preserve">основных </w:t>
            </w:r>
            <w:r w:rsidR="000318C5" w:rsidRPr="0095296E">
              <w:rPr>
                <w:sz w:val="18"/>
                <w:szCs w:val="18"/>
              </w:rPr>
              <w:t>показателей вопросника МСЭ по всемирным показателям в области электросвязи</w:t>
            </w:r>
          </w:p>
          <w:p w14:paraId="299B493B" w14:textId="177C2BC5"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 xml:space="preserve">доля Государств-Членов, представивших достоверные данные не старше трех лет по крайней мере по 80 процентам показателей вопросника МСЭ </w:t>
            </w:r>
            <w:r w:rsidR="00E37F4D" w:rsidRPr="0095296E">
              <w:rPr>
                <w:sz w:val="18"/>
                <w:szCs w:val="18"/>
              </w:rPr>
              <w:t xml:space="preserve">по показателям </w:t>
            </w:r>
            <w:r w:rsidR="000318C5" w:rsidRPr="0095296E">
              <w:rPr>
                <w:sz w:val="18"/>
                <w:szCs w:val="18"/>
              </w:rPr>
              <w:t>для домашних хозяйств</w:t>
            </w:r>
          </w:p>
          <w:p w14:paraId="206CED81"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 xml:space="preserve">доля Государств-Членов, представивших </w:t>
            </w:r>
            <w:r w:rsidR="000318C5" w:rsidRPr="0095296E">
              <w:rPr>
                <w:sz w:val="18"/>
                <w:szCs w:val="18"/>
              </w:rPr>
              <w:lastRenderedPageBreak/>
              <w:t>достоверные данные с разбивкой по полу не старше трех лет по показателю "Доля лиц, использующих интернет"</w:t>
            </w:r>
          </w:p>
          <w:p w14:paraId="43303DEA"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Государств-Членов, представивших достоверные данные с разбивкой по местоположению (сельские/городские районы) не старше трех лет по показателю "Доля лиц, использующих интернет"</w:t>
            </w:r>
          </w:p>
          <w:p w14:paraId="2224641D" w14:textId="4F07DAB9"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Процентная </w:t>
            </w:r>
            <w:r w:rsidR="000318C5" w:rsidRPr="0095296E">
              <w:rPr>
                <w:sz w:val="18"/>
                <w:szCs w:val="18"/>
              </w:rPr>
              <w:t>доля Государств-Членов, представивших достоверные данные не старше трех лет не менее чем по пяти навыкам в области информационно-коммуникационных технологий (ИКТ), перечисленным в вопроснике</w:t>
            </w:r>
            <w:r w:rsidR="00E37F4D" w:rsidRPr="0095296E">
              <w:rPr>
                <w:sz w:val="18"/>
                <w:szCs w:val="18"/>
              </w:rPr>
              <w:t xml:space="preserve"> МСЭ по показателям для домашних хозяйств</w:t>
            </w:r>
          </w:p>
        </w:tc>
        <w:tc>
          <w:tcPr>
            <w:tcW w:w="2436" w:type="dxa"/>
            <w:tcBorders>
              <w:top w:val="single" w:sz="4" w:space="0" w:color="44B3E1"/>
              <w:left w:val="nil"/>
              <w:bottom w:val="single" w:sz="4" w:space="0" w:color="44B3E1"/>
              <w:right w:val="nil"/>
            </w:tcBorders>
            <w:shd w:val="clear" w:color="C0E6F5" w:fill="C0E6F5"/>
            <w:hideMark/>
          </w:tcPr>
          <w:p w14:paraId="02DA3332"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lastRenderedPageBreak/>
              <w:t>•</w:t>
            </w:r>
            <w:r w:rsidRPr="0095296E">
              <w:rPr>
                <w:rFonts w:cs="Calibri"/>
                <w:color w:val="000000" w:themeColor="text1"/>
                <w:sz w:val="18"/>
                <w:szCs w:val="18"/>
                <w:lang w:eastAsia="en-GB"/>
              </w:rPr>
              <w:tab/>
            </w:r>
            <w:r w:rsidR="000318C5" w:rsidRPr="0095296E">
              <w:rPr>
                <w:sz w:val="18"/>
                <w:szCs w:val="18"/>
              </w:rPr>
              <w:t>Системы обучения</w:t>
            </w:r>
          </w:p>
          <w:p w14:paraId="5A6F1A03"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Платформы </w:t>
            </w:r>
            <w:r w:rsidR="000318C5" w:rsidRPr="0095296E">
              <w:rPr>
                <w:sz w:val="18"/>
                <w:szCs w:val="18"/>
              </w:rPr>
              <w:t>для созыва мероприятий</w:t>
            </w:r>
          </w:p>
          <w:p w14:paraId="69216D6C" w14:textId="593A7655"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Статистические </w:t>
            </w:r>
            <w:r w:rsidR="000318C5" w:rsidRPr="0095296E">
              <w:rPr>
                <w:sz w:val="18"/>
                <w:szCs w:val="18"/>
              </w:rPr>
              <w:t xml:space="preserve">данные </w:t>
            </w:r>
          </w:p>
        </w:tc>
        <w:tc>
          <w:tcPr>
            <w:tcW w:w="1175" w:type="dxa"/>
            <w:tcBorders>
              <w:top w:val="single" w:sz="4" w:space="0" w:color="44B3E1"/>
              <w:left w:val="nil"/>
              <w:bottom w:val="single" w:sz="4" w:space="0" w:color="44B3E1"/>
              <w:right w:val="nil"/>
            </w:tcBorders>
            <w:shd w:val="clear" w:color="C0E6F5" w:fill="C0E6F5"/>
            <w:noWrap/>
            <w:hideMark/>
          </w:tcPr>
          <w:p w14:paraId="426FAD9D" w14:textId="67FB828A"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3</w:t>
            </w:r>
            <w:r w:rsidR="00C53395" w:rsidRPr="0095296E">
              <w:rPr>
                <w:sz w:val="18"/>
                <w:szCs w:val="18"/>
              </w:rPr>
              <w:t>55</w:t>
            </w:r>
            <w:r w:rsidRPr="0095296E">
              <w:rPr>
                <w:sz w:val="18"/>
                <w:szCs w:val="18"/>
              </w:rPr>
              <w:t> </w:t>
            </w:r>
            <w:r w:rsidR="00C53395" w:rsidRPr="0095296E">
              <w:rPr>
                <w:sz w:val="18"/>
                <w:szCs w:val="18"/>
              </w:rPr>
              <w:t>0</w:t>
            </w:r>
            <w:r w:rsidRPr="0095296E">
              <w:rPr>
                <w:sz w:val="18"/>
                <w:szCs w:val="18"/>
              </w:rPr>
              <w:t>00</w:t>
            </w:r>
          </w:p>
        </w:tc>
        <w:tc>
          <w:tcPr>
            <w:tcW w:w="1764" w:type="dxa"/>
            <w:tcBorders>
              <w:top w:val="single" w:sz="4" w:space="0" w:color="44B3E1"/>
              <w:left w:val="nil"/>
              <w:bottom w:val="single" w:sz="4" w:space="0" w:color="44B3E1"/>
              <w:right w:val="nil"/>
            </w:tcBorders>
            <w:shd w:val="clear" w:color="C0E6F5" w:fill="C0E6F5"/>
            <w:noWrap/>
            <w:hideMark/>
          </w:tcPr>
          <w:p w14:paraId="516430A8" w14:textId="1C505213" w:rsidR="000318C5" w:rsidRPr="0095296E" w:rsidRDefault="00C5339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49</w:t>
            </w:r>
            <w:r w:rsidR="000318C5" w:rsidRPr="0095296E">
              <w:rPr>
                <w:sz w:val="18"/>
                <w:szCs w:val="18"/>
              </w:rPr>
              <w:t>,</w:t>
            </w:r>
            <w:r w:rsidRPr="0095296E">
              <w:rPr>
                <w:sz w:val="18"/>
                <w:szCs w:val="18"/>
              </w:rPr>
              <w:t>0</w:t>
            </w:r>
          </w:p>
        </w:tc>
        <w:tc>
          <w:tcPr>
            <w:tcW w:w="1148" w:type="dxa"/>
            <w:tcBorders>
              <w:top w:val="single" w:sz="4" w:space="0" w:color="44B3E1"/>
              <w:left w:val="nil"/>
              <w:bottom w:val="single" w:sz="4" w:space="0" w:color="44B3E1"/>
              <w:right w:val="single" w:sz="4" w:space="0" w:color="44B3E1"/>
            </w:tcBorders>
            <w:shd w:val="clear" w:color="C0E6F5" w:fill="C0E6F5"/>
            <w:noWrap/>
            <w:hideMark/>
          </w:tcPr>
          <w:p w14:paraId="0BAB87F5" w14:textId="78A83A90" w:rsidR="000318C5" w:rsidRPr="0095296E" w:rsidRDefault="00C5339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9</w:t>
            </w:r>
            <w:r w:rsidR="000318C5" w:rsidRPr="0095296E">
              <w:rPr>
                <w:sz w:val="18"/>
                <w:szCs w:val="18"/>
              </w:rPr>
              <w:t>,</w:t>
            </w:r>
            <w:r w:rsidRPr="0095296E">
              <w:rPr>
                <w:sz w:val="18"/>
                <w:szCs w:val="18"/>
              </w:rPr>
              <w:t>3</w:t>
            </w:r>
          </w:p>
        </w:tc>
      </w:tr>
    </w:tbl>
    <w:p w14:paraId="2CA95379" w14:textId="77777777" w:rsidR="001070FB" w:rsidRPr="0095296E" w:rsidRDefault="001070FB">
      <w:pPr>
        <w:tabs>
          <w:tab w:val="clear" w:pos="1134"/>
          <w:tab w:val="clear" w:pos="1871"/>
          <w:tab w:val="clear" w:pos="2268"/>
        </w:tabs>
        <w:overflowPunct/>
        <w:autoSpaceDE/>
        <w:autoSpaceDN/>
        <w:adjustRightInd/>
        <w:spacing w:before="0"/>
        <w:textAlignment w:val="auto"/>
        <w:sectPr w:rsidR="001070FB" w:rsidRPr="0095296E" w:rsidSect="000318C5">
          <w:headerReference w:type="default" r:id="rId30"/>
          <w:headerReference w:type="first" r:id="rId31"/>
          <w:pgSz w:w="16840" w:h="11907" w:orient="landscape" w:code="9"/>
          <w:pgMar w:top="1418" w:right="1134" w:bottom="1134" w:left="1134" w:header="567" w:footer="567" w:gutter="0"/>
          <w:cols w:space="720"/>
          <w:titlePg/>
          <w:docGrid w:linePitch="326"/>
        </w:sectPr>
      </w:pPr>
    </w:p>
    <w:p w14:paraId="5B43EB00" w14:textId="77777777" w:rsidR="000238CB" w:rsidRPr="0095296E" w:rsidRDefault="000238CB" w:rsidP="000238CB">
      <w:pPr>
        <w:pStyle w:val="Headingb"/>
        <w:rPr>
          <w:i/>
          <w:iCs/>
          <w:lang w:val="ru-RU"/>
        </w:rPr>
      </w:pPr>
      <w:r w:rsidRPr="0095296E">
        <w:rPr>
          <w:i/>
          <w:iCs/>
          <w:lang w:val="ru-RU"/>
        </w:rPr>
        <w:lastRenderedPageBreak/>
        <w:t>Основные достигнутые результаты 2026 года: Приоритет 3 МСЭ-D – Благоприятная политическая и регуляторная среда</w:t>
      </w:r>
    </w:p>
    <w:p w14:paraId="579B3877" w14:textId="77777777" w:rsidR="000238CB" w:rsidRPr="0095296E" w:rsidRDefault="000238CB" w:rsidP="000238CB">
      <w:pPr>
        <w:pStyle w:val="Headingb"/>
        <w:rPr>
          <w:lang w:val="ru-RU"/>
        </w:rPr>
      </w:pPr>
      <w:r w:rsidRPr="0095296E">
        <w:rPr>
          <w:lang w:val="ru-RU"/>
        </w:rPr>
        <w:t>Политика и регулирование</w:t>
      </w:r>
    </w:p>
    <w:p w14:paraId="78D2026C" w14:textId="77777777" w:rsidR="000238CB" w:rsidRPr="0095296E" w:rsidRDefault="000238CB" w:rsidP="000238CB">
      <w:r w:rsidRPr="0095296E">
        <w:t xml:space="preserve">С 12 по 15 мая 2026 года в штаб-квартире Управления информационно-коммуникационных технологий (BTK) в Анкаре, Турция пройдет </w:t>
      </w:r>
      <w:hyperlink r:id="rId32" w:history="1">
        <w:r w:rsidRPr="0095296E">
          <w:rPr>
            <w:rStyle w:val="Hyperlink"/>
          </w:rPr>
          <w:t>24-й Глобальный симпозиум для регуляторных органов (ГСР-26)</w:t>
        </w:r>
      </w:hyperlink>
      <w:r w:rsidRPr="0095296E">
        <w:t xml:space="preserve"> под председательством г-на Омера Абдуллы Карагёзоглу, Председателя Управления информационно-коммуникационных технологий (BTK). Общая тема мероприятия в этом году – "Переход к цифровым рубежам". В рамках подготовки к флагманскому мероприятию были проведены консультации ГСР-26 по теме "Основы управления в регуляторной среде: какой новый базовый комплект необходим регуляторным органам для обеспечения работы цифровых рынков?" Вклады регуляторных органов, ассоциаций регуляторных органов и частного сектора послужат материалом для Руководящих указаний ГСР-26 на основе примеров передового опыта, которые будут приняты на круглом столе для исполнительных руководителей регуляторных органов, запланированном на 13 мая. В преддверии ГСР-26 пройдут и другие специальные мероприятия, в том числе семинар-практикум "Измерение прогресса в обеспечении универсальной и реальной возможности установления соединений: проблемы и передовой опыт в области статистики в секторе ИКТ", мастер-класс для руководителей "За рамками установления соединений: моделирование социально-экономического будущего с помощью исследования глобальных экономических моделей (GEMS) и Платформы планирования подключений (CPP) МСЭ", собрание региональных ассоциаций регуляторных органов (АР)/Сети цифрового регулирования (DRN), а также собрание Отраслевой консультативной группы по вопросам развития и старших сотрудников по регуляторным вопросам из частного сектора (IAGDI-CRO).</w:t>
      </w:r>
      <w:hyperlink r:id="rId33" w:tgtFrame="_blank" w:tooltip="https://www.itu.int/itu-d/meetings/gsr-26/" w:history="1"/>
    </w:p>
    <w:p w14:paraId="2BB3D73B" w14:textId="77777777" w:rsidR="000238CB" w:rsidRPr="0095296E" w:rsidRDefault="000238CB" w:rsidP="000238CB">
      <w:r w:rsidRPr="0095296E">
        <w:t xml:space="preserve">Был представлен обзор совместного цифрового регулирования для Омана как часть </w:t>
      </w:r>
      <w:hyperlink r:id="rId34" w:history="1">
        <w:r w:rsidRPr="0095296E">
          <w:rPr>
            <w:rStyle w:val="Hyperlink"/>
          </w:rPr>
          <w:t>серии национальных обзоров такого регулирования</w:t>
        </w:r>
      </w:hyperlink>
      <w:r w:rsidRPr="0095296E">
        <w:t>, в рамках которых проводится целевая оценка нормативно-правовой базы, политики и практики управления в секторах ИКТ и цифровых технологий. Обзор Омана, проведенный с участием органов государственного управления, заинтересованных сторон в разных странах и признанных экспертов, опирается на научно обоснованные инструменты МСЭ и контрольные показатели в области регуляторной деятельности. В нем представлен углубленный анализ национальной регуляторной среды и основанные на фактических данных рекомендации по содействию межотраслевой цифровой трансформации.</w:t>
      </w:r>
      <w:hyperlink r:id="rId35" w:tgtFrame="_blank" w:tooltip="https://www.itu.int/en/itu-d/regulatory-market/pages/collaborative-regulation-country-reviews/default.aspx" w:history="1"/>
    </w:p>
    <w:p w14:paraId="2D54BEC9" w14:textId="3F3EE18B" w:rsidR="000238CB" w:rsidRPr="0095296E" w:rsidRDefault="000238CB" w:rsidP="000238CB">
      <w:r w:rsidRPr="0095296E">
        <w:t>Одновременно с этим в феврале в Сенегале был проведен курс профессиональной подготовки по вопросам регулирования спутниковой связи. На основе этого опыта запланированы сессии в Джакарте, Индонезия, с 18 по 21 мая 2026 года и в Аддис-Абебе, Эфиопия, с 29 июня по 2</w:t>
      </w:r>
      <w:r w:rsidR="00896543" w:rsidRPr="0095296E">
        <w:t> </w:t>
      </w:r>
      <w:r w:rsidRPr="0095296E">
        <w:t>июля 2026 года.</w:t>
      </w:r>
    </w:p>
    <w:p w14:paraId="27280262" w14:textId="77777777" w:rsidR="000238CB" w:rsidRPr="0095296E" w:rsidRDefault="000238CB" w:rsidP="000238CB">
      <w:r w:rsidRPr="0095296E">
        <w:t>В то же время в феврале началось проводимое раз в два года Обследование МСЭ по вопросам регулирования в области всемирной электросвязи/ИКТ 2026 года. Был обновлен вопросник с учетом новых вызовов, связанных, в частности с ИИ, космической экономикой, регуляторными инновациями и экспериментальной средой. Новая онлайновая платформа для сбора данных доступна на английском языке, а офлайновые версии вопросника доступны на шести официальных языках МСЭ по запросу.</w:t>
      </w:r>
    </w:p>
    <w:p w14:paraId="44F02984" w14:textId="77777777" w:rsidR="000238CB" w:rsidRPr="0095296E" w:rsidRDefault="000238CB" w:rsidP="000238CB">
      <w:r w:rsidRPr="0095296E">
        <w:t xml:space="preserve">В целях дальнейшего укрепления регуляторных инструментов МСЭ к платформе "Ускоритель G5" была добавлена </w:t>
      </w:r>
      <w:hyperlink r:id="rId36" w:history="1">
        <w:r w:rsidRPr="0095296E">
          <w:rPr>
            <w:rStyle w:val="Hyperlink"/>
          </w:rPr>
          <w:t>Система оценки готовности политики в области цифровых технологий</w:t>
        </w:r>
      </w:hyperlink>
      <w:r w:rsidRPr="0095296E">
        <w:t>, первоначально разработанная как Единая система оценки. Этот инструмент на основе опорных показателей позволяет регуляторным и директивным органам оценить готовность национальных правовых, директивных и управленческих структур к цифровой трансформации. На посвященных этим инструментам веб-страницах представлены справочная информация по странам, интерактивная аналитика и карты.</w:t>
      </w:r>
      <w:hyperlink r:id="rId37" w:tgtFrame="_blank" w:tooltip="https://app.gen5.digital/unified-framework/about" w:history="1"/>
    </w:p>
    <w:p w14:paraId="4C758478" w14:textId="77777777" w:rsidR="000238CB" w:rsidRPr="0095296E" w:rsidRDefault="000238CB" w:rsidP="000238CB">
      <w:r w:rsidRPr="0095296E">
        <w:t xml:space="preserve">В феврале состоялось весеннее собрание Сети цифрового регулирования (DRN). Совет предоставил рекомендации по теме Руководящих указаний на основе примеров передового опыта ГСР-26 и </w:t>
      </w:r>
      <w:r w:rsidRPr="0095296E">
        <w:lastRenderedPageBreak/>
        <w:t>развертыванию новых регуляторных инструментов, таких как Исследование глобальной экономической модели (GEMS) МСЭ, которое будет запущено позднее в 2026 году.</w:t>
      </w:r>
    </w:p>
    <w:p w14:paraId="5367CF6D" w14:textId="11208113" w:rsidR="000238CB" w:rsidRPr="0095296E" w:rsidRDefault="000238CB" w:rsidP="000238CB">
      <w:r w:rsidRPr="0095296E">
        <w:t xml:space="preserve">В </w:t>
      </w:r>
      <w:r w:rsidRPr="0095296E">
        <w:rPr>
          <w:b/>
          <w:bCs/>
        </w:rPr>
        <w:t>Африке</w:t>
      </w:r>
      <w:r w:rsidRPr="0095296E">
        <w:t xml:space="preserve"> БРЭ оказало поддержку правительству Мозамбика в подготовке, организации и проведении общенациональных консультаций и разработке Национальной стратегии цифровой трансформации. После того, как 12 февраля она была развернута на национальном уровне, БРЭ оказывало содействие в проведении региональных консультаций в провинциях Замбезия, Кабу</w:t>
      </w:r>
      <w:r w:rsidRPr="0095296E">
        <w:rPr>
          <w:rFonts w:ascii="Cambria Math" w:hAnsi="Cambria Math"/>
        </w:rPr>
        <w:t>‑</w:t>
      </w:r>
      <w:r w:rsidRPr="0095296E">
        <w:t>Делгаду и Мапуту и в организации национальных консультаций и сессий по разработке проектов и созданию потенциала, а также в реализации связанных с ними мероприятий, помогая обеспечить, чтобы совместно разработанная стратегия была инклюзивной, основанной на фактических данных и увязанной с международным передовым опытом. Эта работа была выполнена в рамках проекта "Формирование основы для программы VaMoz Digital!".</w:t>
      </w:r>
    </w:p>
    <w:p w14:paraId="508D6EA6" w14:textId="77777777" w:rsidR="000238CB" w:rsidRPr="0095296E" w:rsidRDefault="000238CB" w:rsidP="000238CB">
      <w:r w:rsidRPr="0095296E">
        <w:t xml:space="preserve">В </w:t>
      </w:r>
      <w:r w:rsidRPr="0095296E">
        <w:rPr>
          <w:b/>
          <w:bCs/>
        </w:rPr>
        <w:t>регионе</w:t>
      </w:r>
      <w:r w:rsidRPr="0095296E">
        <w:t xml:space="preserve"> </w:t>
      </w:r>
      <w:r w:rsidRPr="0095296E">
        <w:rPr>
          <w:b/>
          <w:bCs/>
        </w:rPr>
        <w:t>Северной и Южной Америки</w:t>
      </w:r>
      <w:r w:rsidRPr="0095296E">
        <w:t xml:space="preserve"> прогресс был достигнут благодаря проекту технической помощи по внедрению инноваций в области регулирования. В Белизе, Панаме и Сальвадоре были проведены три национальных учебных курса по инновациям в области регулирования.</w:t>
      </w:r>
    </w:p>
    <w:p w14:paraId="5CDABF47" w14:textId="6EB326C3" w:rsidR="000238CB" w:rsidRPr="0095296E" w:rsidRDefault="000238CB" w:rsidP="000238CB">
      <w:r w:rsidRPr="0095296E">
        <w:t xml:space="preserve">В </w:t>
      </w:r>
      <w:r w:rsidRPr="0095296E">
        <w:rPr>
          <w:b/>
          <w:bCs/>
        </w:rPr>
        <w:t>регионе СНГ</w:t>
      </w:r>
      <w:r w:rsidRPr="0095296E">
        <w:t xml:space="preserve"> БРЭ организовало семинар-практикум по регулированию в области ИКТ в Армении. На мероприятии собрались представители национальных регуляторных органов, отраслевые эксперты и международные заинтересованные стороны для укрепления диалога по ключевым проблемам регулирования, включая оценку спектра, совместное использование инфраструктуры и отход от традиционных сетей подвижной связи. Семинар-практикум укрепил потенциал участников благодаря обмену знаниями о современных регуляторных подходах и международном передовом опыте, поддержке принятия решений на основе фактических данных и созданию более эффективной и перспективной нормативно-правовой базы ИКТ.</w:t>
      </w:r>
    </w:p>
    <w:p w14:paraId="59BEB8D6" w14:textId="77777777" w:rsidR="000238CB" w:rsidRPr="0095296E" w:rsidRDefault="000238CB" w:rsidP="000238CB">
      <w:pPr>
        <w:pStyle w:val="Headingb"/>
        <w:rPr>
          <w:lang w:val="ru-RU" w:eastAsia="en-GB"/>
        </w:rPr>
      </w:pPr>
      <w:r w:rsidRPr="0095296E">
        <w:rPr>
          <w:lang w:val="ru-RU" w:eastAsia="en-GB"/>
        </w:rPr>
        <w:t>Предоставление данных и статистической информации</w:t>
      </w:r>
    </w:p>
    <w:p w14:paraId="04C5DD49" w14:textId="7AE67122" w:rsidR="000238CB" w:rsidRPr="0095296E" w:rsidRDefault="000238CB" w:rsidP="000238CB">
      <w:pPr>
        <w:rPr>
          <w:lang w:eastAsia="en-GB"/>
        </w:rPr>
      </w:pPr>
      <w:r w:rsidRPr="0095296E">
        <w:rPr>
          <w:lang w:eastAsia="en-GB"/>
        </w:rPr>
        <w:t>Пятого марта в ходе 57-й сессии Статистической комиссии ООН БРЭ организовало сопутствующее мероприятие "Измерение реальной возможности установления соединений", на котором выступили представители национальных статистических управлений Испании, Аргентины и UNDOC (</w:t>
      </w:r>
      <w:hyperlink r:id="rId38" w:history="1">
        <w:r w:rsidRPr="0095296E">
          <w:rPr>
            <w:rStyle w:val="Hyperlink"/>
            <w:lang w:eastAsia="en-GB"/>
          </w:rPr>
          <w:t>Универсальная и реальная возможность установления соединений: укрепление национальных систем статистических данных по ИКТ</w:t>
        </w:r>
      </w:hyperlink>
      <w:r w:rsidRPr="0095296E">
        <w:rPr>
          <w:lang w:eastAsia="en-GB"/>
        </w:rPr>
        <w:t>). Участники мероприятия изучали вопрос о том, почему качественные данные имеют решающее значение для ускорения прогресса в обеспечении универсальной и реальной возможности установления соединений (UMC), а также обсуждали то, каким образом страны и партнеры могут повысить качество статистических данных в области ИКТ для разработки эффективной цифровой политики.</w:t>
      </w:r>
    </w:p>
    <w:p w14:paraId="35C6F071" w14:textId="0E98163C" w:rsidR="000238CB" w:rsidRPr="0095296E" w:rsidRDefault="000238CB" w:rsidP="000238CB">
      <w:pPr>
        <w:rPr>
          <w:lang w:eastAsia="en-GB"/>
        </w:rPr>
      </w:pPr>
      <w:r w:rsidRPr="0095296E">
        <w:rPr>
          <w:lang w:eastAsia="en-GB"/>
        </w:rPr>
        <w:t>Что касается создания потенциала, 19 февраля состоялся онлайновый вебинар по измерению цен на услуги ИКТ (</w:t>
      </w:r>
      <w:hyperlink r:id="rId39" w:history="1">
        <w:r w:rsidRPr="0095296E">
          <w:rPr>
            <w:rStyle w:val="Hyperlink"/>
            <w:lang w:eastAsia="en-GB"/>
          </w:rPr>
          <w:t xml:space="preserve">Измерение цифрового развития: cбор данных о ценах на услуги </w:t>
        </w:r>
        <w:proofErr w:type="spellStart"/>
        <w:r w:rsidRPr="0095296E">
          <w:rPr>
            <w:rStyle w:val="Hyperlink"/>
            <w:lang w:eastAsia="en-GB"/>
          </w:rPr>
          <w:t>ИКТ|Академия</w:t>
        </w:r>
        <w:proofErr w:type="spellEnd"/>
        <w:r w:rsidRPr="0095296E">
          <w:rPr>
            <w:rStyle w:val="Hyperlink"/>
            <w:lang w:eastAsia="en-GB"/>
          </w:rPr>
          <w:t xml:space="preserve"> МСЭ</w:t>
        </w:r>
      </w:hyperlink>
      <w:r w:rsidRPr="0095296E">
        <w:rPr>
          <w:lang w:eastAsia="en-GB"/>
        </w:rPr>
        <w:t>).</w:t>
      </w:r>
    </w:p>
    <w:p w14:paraId="2C02FE5C" w14:textId="52365E7B" w:rsidR="000238CB" w:rsidRPr="0095296E" w:rsidRDefault="000238CB" w:rsidP="000238CB">
      <w:r w:rsidRPr="0095296E">
        <w:t xml:space="preserve">В </w:t>
      </w:r>
      <w:r w:rsidRPr="0095296E">
        <w:rPr>
          <w:b/>
          <w:bCs/>
        </w:rPr>
        <w:t>Африке</w:t>
      </w:r>
      <w:r w:rsidRPr="0095296E">
        <w:t xml:space="preserve"> в марте МСЭ совместно с Регуляторным органом связи Танзании (TCRA) при финансовой поддержке Европейского союза организовал в Танзании региональный семинар-практикум по содействию измерению </w:t>
      </w:r>
      <w:hyperlink r:id="rId40" w:history="1">
        <w:r w:rsidRPr="0095296E">
          <w:rPr>
            <w:rStyle w:val="Hyperlink"/>
          </w:rPr>
          <w:t>универсальной и реальной возможности установления соединений (UMC)</w:t>
        </w:r>
      </w:hyperlink>
      <w:r w:rsidRPr="0095296E">
        <w:t>. В ходе семинара-практикума была представлена работа МСЭ в области статистических данных, в том числе в области разработки методик, а также сбора, оценки, распространения и анализа данных, и изучена доступность данных об UMC, достижение целевых показателей и цифровой разрыв в регионе.</w:t>
      </w:r>
    </w:p>
    <w:p w14:paraId="09E4EB10" w14:textId="77777777" w:rsidR="000238CB" w:rsidRPr="0095296E" w:rsidRDefault="000238CB" w:rsidP="000238CB">
      <w:r w:rsidRPr="0095296E">
        <w:t xml:space="preserve">В </w:t>
      </w:r>
      <w:r w:rsidRPr="0095296E">
        <w:rPr>
          <w:b/>
          <w:bCs/>
        </w:rPr>
        <w:t>регионе СНГ</w:t>
      </w:r>
      <w:r w:rsidRPr="0095296E">
        <w:t xml:space="preserve"> БРЭ и Агентство инноваций и цифрового развития Азербайджана в настоящее время обсуждают проектный документ, направленный на оценку цифровых навыков населения и работников государственного сектора и на официальную интеграцию методики МСЭ на национальном уровне.</w:t>
      </w:r>
    </w:p>
    <w:p w14:paraId="7082CFF6" w14:textId="77777777" w:rsidR="001070FB" w:rsidRPr="0095296E" w:rsidRDefault="001070FB" w:rsidP="000238CB"/>
    <w:p w14:paraId="6570F226" w14:textId="77777777" w:rsidR="001070FB" w:rsidRPr="0095296E" w:rsidRDefault="001070FB" w:rsidP="000238CB">
      <w:pPr>
        <w:sectPr w:rsidR="001070FB" w:rsidRPr="0095296E" w:rsidSect="001070FB">
          <w:headerReference w:type="default" r:id="rId41"/>
          <w:headerReference w:type="first" r:id="rId42"/>
          <w:pgSz w:w="11907" w:h="16840" w:code="9"/>
          <w:pgMar w:top="1418" w:right="1134" w:bottom="1134" w:left="1134" w:header="567" w:footer="567" w:gutter="0"/>
          <w:cols w:space="720"/>
          <w:titlePg/>
          <w:docGrid w:linePitch="326"/>
        </w:sectPr>
      </w:pPr>
    </w:p>
    <w:p w14:paraId="43B15AE2" w14:textId="77777777" w:rsidR="000318C5" w:rsidRPr="0095296E" w:rsidRDefault="000318C5" w:rsidP="00087944">
      <w:pPr>
        <w:pStyle w:val="Heading2"/>
        <w:spacing w:before="0" w:after="120"/>
      </w:pPr>
      <w:r w:rsidRPr="0095296E">
        <w:lastRenderedPageBreak/>
        <w:t>3.4</w:t>
      </w:r>
      <w:r w:rsidRPr="0095296E">
        <w:tab/>
        <w:t>Приоритет 4 МСЭ-D: Мобилизация ресурсов, партнерские отношения и международное сотрудничество</w:t>
      </w:r>
    </w:p>
    <w:tbl>
      <w:tblPr>
        <w:tblW w:w="14623" w:type="dxa"/>
        <w:tblLayout w:type="fixed"/>
        <w:tblLook w:val="04A0" w:firstRow="1" w:lastRow="0" w:firstColumn="1" w:lastColumn="0" w:noHBand="0" w:noVBand="1"/>
      </w:tblPr>
      <w:tblGrid>
        <w:gridCol w:w="1787"/>
        <w:gridCol w:w="3122"/>
        <w:gridCol w:w="3177"/>
        <w:gridCol w:w="2436"/>
        <w:gridCol w:w="1175"/>
        <w:gridCol w:w="1764"/>
        <w:gridCol w:w="1162"/>
      </w:tblGrid>
      <w:tr w:rsidR="006963D6" w:rsidRPr="0095296E" w14:paraId="62B20339" w14:textId="77777777" w:rsidTr="008C6C59">
        <w:tc>
          <w:tcPr>
            <w:tcW w:w="1787" w:type="dxa"/>
            <w:tcBorders>
              <w:top w:val="single" w:sz="4" w:space="0" w:color="44B3E1"/>
              <w:left w:val="single" w:sz="4" w:space="0" w:color="44B3E1"/>
              <w:bottom w:val="single" w:sz="4" w:space="0" w:color="44B3E1"/>
              <w:right w:val="nil"/>
            </w:tcBorders>
            <w:shd w:val="clear" w:color="auto" w:fill="156082"/>
            <w:vAlign w:val="center"/>
            <w:hideMark/>
          </w:tcPr>
          <w:p w14:paraId="0808639A" w14:textId="77777777" w:rsidR="000318C5" w:rsidRPr="0095296E" w:rsidRDefault="000318C5" w:rsidP="006963D6">
            <w:pPr>
              <w:pStyle w:val="Tablehead"/>
              <w:rPr>
                <w:rFonts w:cstheme="minorHAnsi"/>
                <w:color w:val="FFFFFF" w:themeColor="background1"/>
                <w:sz w:val="18"/>
                <w:szCs w:val="18"/>
              </w:rPr>
            </w:pPr>
            <w:r w:rsidRPr="0095296E">
              <w:rPr>
                <w:color w:val="FFFFFF" w:themeColor="background1"/>
                <w:sz w:val="18"/>
                <w:szCs w:val="18"/>
              </w:rPr>
              <w:t>Приоритет/Тема</w:t>
            </w:r>
          </w:p>
        </w:tc>
        <w:tc>
          <w:tcPr>
            <w:tcW w:w="3122" w:type="dxa"/>
            <w:tcBorders>
              <w:top w:val="single" w:sz="4" w:space="0" w:color="44B3E1"/>
              <w:left w:val="nil"/>
              <w:bottom w:val="single" w:sz="4" w:space="0" w:color="44B3E1"/>
              <w:right w:val="nil"/>
            </w:tcBorders>
            <w:shd w:val="clear" w:color="auto" w:fill="156082"/>
            <w:vAlign w:val="center"/>
            <w:hideMark/>
          </w:tcPr>
          <w:p w14:paraId="44E1C3F7"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Конечный результат</w:t>
            </w:r>
          </w:p>
        </w:tc>
        <w:tc>
          <w:tcPr>
            <w:tcW w:w="3177" w:type="dxa"/>
            <w:tcBorders>
              <w:top w:val="single" w:sz="4" w:space="0" w:color="44B3E1"/>
              <w:left w:val="nil"/>
              <w:bottom w:val="single" w:sz="4" w:space="0" w:color="44B3E1"/>
              <w:right w:val="nil"/>
            </w:tcBorders>
            <w:shd w:val="clear" w:color="auto" w:fill="156082"/>
            <w:vAlign w:val="center"/>
            <w:hideMark/>
          </w:tcPr>
          <w:p w14:paraId="2427BD57"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Показатели намеченных результатов деятельности</w:t>
            </w:r>
            <w:r w:rsidRPr="0095296E">
              <w:rPr>
                <w:rStyle w:val="FootnoteReference"/>
                <w:rFonts w:cstheme="minorHAnsi"/>
                <w:color w:val="FFFFFF" w:themeColor="background1"/>
                <w:sz w:val="18"/>
                <w:szCs w:val="18"/>
                <w:lang w:eastAsia="en-GB"/>
              </w:rPr>
              <w:footnoteReference w:id="4"/>
            </w:r>
          </w:p>
        </w:tc>
        <w:tc>
          <w:tcPr>
            <w:tcW w:w="2436" w:type="dxa"/>
            <w:tcBorders>
              <w:top w:val="single" w:sz="4" w:space="0" w:color="44B3E1"/>
              <w:left w:val="nil"/>
              <w:bottom w:val="single" w:sz="4" w:space="0" w:color="44B3E1"/>
              <w:right w:val="nil"/>
            </w:tcBorders>
            <w:shd w:val="clear" w:color="auto" w:fill="156082"/>
            <w:vAlign w:val="center"/>
            <w:hideMark/>
          </w:tcPr>
          <w:p w14:paraId="23976795" w14:textId="77777777" w:rsidR="000318C5" w:rsidRPr="0095296E" w:rsidRDefault="000318C5" w:rsidP="008C6C59">
            <w:pPr>
              <w:pStyle w:val="Tablehead"/>
              <w:tabs>
                <w:tab w:val="clear" w:pos="1134"/>
                <w:tab w:val="clear" w:pos="1871"/>
                <w:tab w:val="clear" w:pos="2268"/>
                <w:tab w:val="left" w:pos="284"/>
              </w:tabs>
              <w:ind w:left="-57" w:right="-57"/>
              <w:rPr>
                <w:rFonts w:cstheme="minorHAnsi"/>
                <w:color w:val="FFFFFF" w:themeColor="background1"/>
                <w:sz w:val="18"/>
                <w:szCs w:val="18"/>
              </w:rPr>
            </w:pPr>
            <w:r w:rsidRPr="0095296E">
              <w:rPr>
                <w:color w:val="FFFFFF" w:themeColor="background1"/>
                <w:sz w:val="18"/>
                <w:szCs w:val="18"/>
              </w:rPr>
              <w:t>Намеченные результаты деятельности (продукты и услуги МСЭ-D)</w:t>
            </w:r>
          </w:p>
        </w:tc>
        <w:tc>
          <w:tcPr>
            <w:tcW w:w="1175" w:type="dxa"/>
            <w:tcBorders>
              <w:top w:val="single" w:sz="4" w:space="0" w:color="44B3E1"/>
              <w:left w:val="nil"/>
              <w:bottom w:val="single" w:sz="4" w:space="0" w:color="44B3E1"/>
              <w:right w:val="nil"/>
            </w:tcBorders>
            <w:shd w:val="clear" w:color="auto" w:fill="156082"/>
            <w:vAlign w:val="center"/>
            <w:hideMark/>
          </w:tcPr>
          <w:p w14:paraId="026D82B8" w14:textId="120BA89B"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Бюджет </w:t>
            </w:r>
            <w:r w:rsidR="008C6C59" w:rsidRPr="0095296E">
              <w:rPr>
                <w:color w:val="FFFFFF" w:themeColor="background1"/>
                <w:sz w:val="18"/>
                <w:szCs w:val="18"/>
              </w:rPr>
              <w:br/>
            </w:r>
            <w:r w:rsidRPr="0095296E">
              <w:rPr>
                <w:color w:val="FFFFFF" w:themeColor="background1"/>
                <w:sz w:val="18"/>
                <w:szCs w:val="18"/>
              </w:rPr>
              <w:t>на 2026 г. (шв. фр.)</w:t>
            </w:r>
          </w:p>
        </w:tc>
        <w:tc>
          <w:tcPr>
            <w:tcW w:w="1764" w:type="dxa"/>
            <w:tcBorders>
              <w:top w:val="single" w:sz="4" w:space="0" w:color="44B3E1"/>
              <w:left w:val="nil"/>
              <w:bottom w:val="single" w:sz="4" w:space="0" w:color="44B3E1"/>
              <w:right w:val="nil"/>
            </w:tcBorders>
            <w:shd w:val="clear" w:color="auto" w:fill="156082"/>
            <w:vAlign w:val="center"/>
            <w:hideMark/>
          </w:tcPr>
          <w:p w14:paraId="3E3C7A2D" w14:textId="6C721C39"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8C6C59" w:rsidRPr="0095296E">
              <w:rPr>
                <w:color w:val="FFFFFF" w:themeColor="background1"/>
                <w:sz w:val="18"/>
                <w:szCs w:val="18"/>
              </w:rPr>
              <w:br/>
            </w:r>
            <w:r w:rsidRPr="0095296E">
              <w:rPr>
                <w:color w:val="FFFFFF" w:themeColor="background1"/>
                <w:sz w:val="18"/>
                <w:szCs w:val="18"/>
              </w:rPr>
              <w:t>от общего объема приоритетов/</w:t>
            </w:r>
            <w:r w:rsidR="008C6C59" w:rsidRPr="0095296E">
              <w:rPr>
                <w:color w:val="FFFFFF" w:themeColor="background1"/>
                <w:sz w:val="18"/>
                <w:szCs w:val="18"/>
              </w:rPr>
              <w:br/>
            </w:r>
            <w:r w:rsidRPr="0095296E">
              <w:rPr>
                <w:color w:val="FFFFFF" w:themeColor="background1"/>
                <w:sz w:val="18"/>
                <w:szCs w:val="18"/>
              </w:rPr>
              <w:t>средств достижения целей</w:t>
            </w:r>
          </w:p>
        </w:tc>
        <w:tc>
          <w:tcPr>
            <w:tcW w:w="1162" w:type="dxa"/>
            <w:tcBorders>
              <w:top w:val="single" w:sz="4" w:space="0" w:color="44B3E1"/>
              <w:left w:val="nil"/>
              <w:bottom w:val="single" w:sz="4" w:space="0" w:color="44B3E1"/>
              <w:right w:val="single" w:sz="4" w:space="0" w:color="44B3E1"/>
            </w:tcBorders>
            <w:shd w:val="clear" w:color="auto" w:fill="156082"/>
            <w:vAlign w:val="center"/>
            <w:hideMark/>
          </w:tcPr>
          <w:p w14:paraId="3127E612" w14:textId="70B1968A"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8C6C59" w:rsidRPr="0095296E">
              <w:rPr>
                <w:color w:val="FFFFFF" w:themeColor="background1"/>
                <w:sz w:val="18"/>
                <w:szCs w:val="18"/>
              </w:rPr>
              <w:br/>
            </w:r>
            <w:r w:rsidRPr="0095296E">
              <w:rPr>
                <w:color w:val="FFFFFF" w:themeColor="background1"/>
                <w:sz w:val="18"/>
                <w:szCs w:val="18"/>
              </w:rPr>
              <w:t>от общего бюджета</w:t>
            </w:r>
          </w:p>
        </w:tc>
      </w:tr>
      <w:tr w:rsidR="000318C5" w:rsidRPr="0095296E" w14:paraId="74FF7C10" w14:textId="77777777" w:rsidTr="006963D6">
        <w:tc>
          <w:tcPr>
            <w:tcW w:w="8086" w:type="dxa"/>
            <w:gridSpan w:val="3"/>
            <w:tcBorders>
              <w:top w:val="single" w:sz="4" w:space="0" w:color="44B3E1"/>
              <w:left w:val="single" w:sz="4" w:space="0" w:color="44B3E1"/>
              <w:bottom w:val="single" w:sz="4" w:space="0" w:color="44B3E1"/>
              <w:right w:val="nil"/>
            </w:tcBorders>
            <w:shd w:val="clear" w:color="auto" w:fill="C0E6F5"/>
            <w:noWrap/>
            <w:vAlign w:val="bottom"/>
            <w:hideMark/>
          </w:tcPr>
          <w:p w14:paraId="623294DF"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sz w:val="18"/>
                <w:szCs w:val="18"/>
              </w:rPr>
            </w:pPr>
            <w:r w:rsidRPr="0095296E">
              <w:rPr>
                <w:b/>
                <w:sz w:val="18"/>
                <w:szCs w:val="18"/>
              </w:rPr>
              <w:t>Мобилизация ресурсов, партнерские отношения и международное сотрудничество в целом</w:t>
            </w:r>
          </w:p>
        </w:tc>
        <w:tc>
          <w:tcPr>
            <w:tcW w:w="2436" w:type="dxa"/>
            <w:tcBorders>
              <w:top w:val="single" w:sz="4" w:space="0" w:color="44B3E1"/>
              <w:left w:val="nil"/>
              <w:bottom w:val="single" w:sz="4" w:space="0" w:color="44B3E1"/>
              <w:right w:val="nil"/>
            </w:tcBorders>
            <w:shd w:val="clear" w:color="auto" w:fill="C0E6F5"/>
            <w:noWrap/>
            <w:vAlign w:val="bottom"/>
            <w:hideMark/>
          </w:tcPr>
          <w:p w14:paraId="49860FD2"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sz w:val="18"/>
                <w:szCs w:val="18"/>
                <w:lang w:eastAsia="en-GB"/>
              </w:rPr>
            </w:pPr>
          </w:p>
        </w:tc>
        <w:tc>
          <w:tcPr>
            <w:tcW w:w="1175" w:type="dxa"/>
            <w:tcBorders>
              <w:top w:val="single" w:sz="4" w:space="0" w:color="44B3E1"/>
              <w:left w:val="nil"/>
              <w:bottom w:val="single" w:sz="4" w:space="0" w:color="44B3E1"/>
              <w:right w:val="nil"/>
            </w:tcBorders>
            <w:shd w:val="clear" w:color="auto" w:fill="C0E6F5"/>
            <w:noWrap/>
            <w:vAlign w:val="center"/>
            <w:hideMark/>
          </w:tcPr>
          <w:p w14:paraId="3719B8D7" w14:textId="787A4ACF" w:rsidR="000318C5" w:rsidRPr="0095296E" w:rsidRDefault="00E37F4D"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rPr>
            </w:pPr>
            <w:r w:rsidRPr="0095296E">
              <w:rPr>
                <w:b/>
                <w:sz w:val="18"/>
                <w:szCs w:val="18"/>
              </w:rPr>
              <w:t>319</w:t>
            </w:r>
            <w:r w:rsidR="000318C5" w:rsidRPr="0095296E">
              <w:rPr>
                <w:b/>
                <w:sz w:val="18"/>
                <w:szCs w:val="18"/>
              </w:rPr>
              <w:t> </w:t>
            </w:r>
            <w:r w:rsidRPr="0095296E">
              <w:rPr>
                <w:b/>
                <w:sz w:val="18"/>
                <w:szCs w:val="18"/>
              </w:rPr>
              <w:t>385</w:t>
            </w:r>
          </w:p>
        </w:tc>
        <w:tc>
          <w:tcPr>
            <w:tcW w:w="1764" w:type="dxa"/>
            <w:tcBorders>
              <w:top w:val="single" w:sz="4" w:space="0" w:color="44B3E1"/>
              <w:left w:val="nil"/>
              <w:bottom w:val="single" w:sz="4" w:space="0" w:color="44B3E1"/>
              <w:right w:val="nil"/>
            </w:tcBorders>
            <w:shd w:val="clear" w:color="auto" w:fill="C0E6F5"/>
            <w:noWrap/>
            <w:vAlign w:val="bottom"/>
            <w:hideMark/>
          </w:tcPr>
          <w:p w14:paraId="70D4E9DE"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lang w:eastAsia="en-GB"/>
              </w:rPr>
            </w:pPr>
          </w:p>
        </w:tc>
        <w:tc>
          <w:tcPr>
            <w:tcW w:w="1162" w:type="dxa"/>
            <w:tcBorders>
              <w:top w:val="single" w:sz="4" w:space="0" w:color="44B3E1"/>
              <w:left w:val="nil"/>
              <w:bottom w:val="single" w:sz="4" w:space="0" w:color="44B3E1"/>
              <w:right w:val="single" w:sz="4" w:space="0" w:color="44B3E1"/>
            </w:tcBorders>
            <w:shd w:val="clear" w:color="auto" w:fill="C0E6F5"/>
            <w:noWrap/>
            <w:vAlign w:val="center"/>
            <w:hideMark/>
          </w:tcPr>
          <w:p w14:paraId="331CDAB7" w14:textId="0A8935AD" w:rsidR="000318C5" w:rsidRPr="0095296E" w:rsidRDefault="00E37F4D"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rPr>
            </w:pPr>
            <w:r w:rsidRPr="0095296E">
              <w:rPr>
                <w:b/>
                <w:sz w:val="18"/>
                <w:szCs w:val="18"/>
              </w:rPr>
              <w:t>8</w:t>
            </w:r>
            <w:r w:rsidR="000318C5" w:rsidRPr="0095296E">
              <w:rPr>
                <w:b/>
                <w:sz w:val="18"/>
                <w:szCs w:val="18"/>
              </w:rPr>
              <w:t>,</w:t>
            </w:r>
            <w:r w:rsidRPr="0095296E">
              <w:rPr>
                <w:b/>
                <w:sz w:val="18"/>
                <w:szCs w:val="18"/>
              </w:rPr>
              <w:t>38</w:t>
            </w:r>
          </w:p>
        </w:tc>
      </w:tr>
      <w:tr w:rsidR="008C6C59" w:rsidRPr="0095296E" w14:paraId="14E181E4" w14:textId="77777777" w:rsidTr="008C6C59">
        <w:tc>
          <w:tcPr>
            <w:tcW w:w="1787" w:type="dxa"/>
            <w:tcBorders>
              <w:top w:val="single" w:sz="4" w:space="0" w:color="44B3E1"/>
              <w:left w:val="single" w:sz="4" w:space="0" w:color="44B3E1"/>
              <w:bottom w:val="single" w:sz="4" w:space="0" w:color="44B3E1"/>
              <w:right w:val="nil"/>
            </w:tcBorders>
            <w:noWrap/>
            <w:hideMark/>
          </w:tcPr>
          <w:p w14:paraId="08476D00" w14:textId="77777777" w:rsidR="000318C5" w:rsidRPr="0095296E" w:rsidRDefault="000318C5" w:rsidP="006963D6">
            <w:pPr>
              <w:pStyle w:val="Tabletext"/>
              <w:rPr>
                <w:rFonts w:cstheme="minorHAnsi"/>
                <w:b/>
                <w:sz w:val="18"/>
                <w:szCs w:val="18"/>
              </w:rPr>
            </w:pPr>
            <w:r w:rsidRPr="0095296E">
              <w:rPr>
                <w:b/>
                <w:sz w:val="18"/>
                <w:szCs w:val="18"/>
              </w:rPr>
              <w:t>Сквозные вопросы</w:t>
            </w:r>
          </w:p>
        </w:tc>
        <w:tc>
          <w:tcPr>
            <w:tcW w:w="3122" w:type="dxa"/>
            <w:tcBorders>
              <w:top w:val="single" w:sz="4" w:space="0" w:color="44B3E1"/>
              <w:left w:val="nil"/>
              <w:bottom w:val="single" w:sz="4" w:space="0" w:color="44B3E1"/>
              <w:right w:val="nil"/>
            </w:tcBorders>
            <w:hideMark/>
          </w:tcPr>
          <w:p w14:paraId="411215D0"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стратегии мобилизации ресурсов благодаря сотрудничеству, в том числе с международными и региональными институтами, занимающимися вопросами финансирования и развития</w:t>
            </w:r>
          </w:p>
          <w:p w14:paraId="268F11D3"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Укрепление </w:t>
            </w:r>
            <w:r w:rsidR="000318C5" w:rsidRPr="0095296E">
              <w:rPr>
                <w:sz w:val="18"/>
                <w:szCs w:val="18"/>
              </w:rPr>
              <w:t>совместного планирования, сотрудничества и взаимодействия на уровне системы Организации Объединенных Наций и с институтами, занимающимися вопросами финансирования и развития, на международном и региональном уровнях</w:t>
            </w:r>
          </w:p>
          <w:p w14:paraId="372D3DCA" w14:textId="58986376"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Увеличение </w:t>
            </w:r>
            <w:r w:rsidR="000318C5" w:rsidRPr="0095296E">
              <w:rPr>
                <w:sz w:val="18"/>
                <w:szCs w:val="18"/>
              </w:rPr>
              <w:t>объемов поддержки НРС, ЛЛДС и СИДС</w:t>
            </w:r>
          </w:p>
        </w:tc>
        <w:tc>
          <w:tcPr>
            <w:tcW w:w="3177" w:type="dxa"/>
            <w:tcBorders>
              <w:top w:val="single" w:sz="4" w:space="0" w:color="44B3E1"/>
              <w:left w:val="nil"/>
              <w:bottom w:val="single" w:sz="4" w:space="0" w:color="44B3E1"/>
              <w:right w:val="nil"/>
            </w:tcBorders>
            <w:hideMark/>
          </w:tcPr>
          <w:p w14:paraId="5DD0A0A9"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Общий объем средств по проектам, привлеченных БРЭ</w:t>
            </w:r>
          </w:p>
          <w:p w14:paraId="75322306" w14:textId="264CEB8B"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5500A6" w:rsidRPr="0095296E">
              <w:rPr>
                <w:sz w:val="18"/>
                <w:szCs w:val="18"/>
              </w:rPr>
              <w:t>С</w:t>
            </w:r>
            <w:r w:rsidRPr="0095296E">
              <w:rPr>
                <w:sz w:val="18"/>
                <w:szCs w:val="18"/>
              </w:rPr>
              <w:t xml:space="preserve">оотношение </w:t>
            </w:r>
            <w:r w:rsidR="000318C5" w:rsidRPr="0095296E">
              <w:rPr>
                <w:sz w:val="18"/>
                <w:szCs w:val="18"/>
              </w:rPr>
              <w:t>внутренних и внешних источников финансирования проектов</w:t>
            </w:r>
          </w:p>
          <w:p w14:paraId="1BDC35F7"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Calibri"/>
                <w:color w:val="000000" w:themeColor="text1"/>
                <w:sz w:val="18"/>
                <w:szCs w:val="18"/>
                <w:lang w:eastAsia="en-GB"/>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Общее </w:t>
            </w:r>
            <w:r w:rsidR="000318C5" w:rsidRPr="0095296E">
              <w:rPr>
                <w:sz w:val="18"/>
                <w:szCs w:val="18"/>
              </w:rPr>
              <w:t>количество партнеров, участвующих в проектах МСЭ-D</w:t>
            </w:r>
          </w:p>
          <w:p w14:paraId="51848DDA" w14:textId="4C44B00F"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соглашений о</w:t>
            </w:r>
            <w:r w:rsidRPr="0095296E">
              <w:rPr>
                <w:sz w:val="18"/>
                <w:szCs w:val="18"/>
              </w:rPr>
              <w:t> </w:t>
            </w:r>
            <w:r w:rsidR="000318C5" w:rsidRPr="0095296E">
              <w:rPr>
                <w:sz w:val="18"/>
                <w:szCs w:val="18"/>
              </w:rPr>
              <w:t>развитии ИКТ, подписанных между МСЭ и партнерами для поддержки выполнения Плана действий МСЭ</w:t>
            </w:r>
            <w:r w:rsidR="0040323A" w:rsidRPr="0095296E">
              <w:rPr>
                <w:sz w:val="18"/>
                <w:szCs w:val="18"/>
              </w:rPr>
              <w:noBreakHyphen/>
            </w:r>
            <w:r w:rsidR="000318C5" w:rsidRPr="0095296E">
              <w:rPr>
                <w:sz w:val="18"/>
                <w:szCs w:val="18"/>
              </w:rPr>
              <w:t>D</w:t>
            </w:r>
          </w:p>
          <w:p w14:paraId="63A934B2"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отчетов об оценке воздействия, подготовленных БРЭ</w:t>
            </w:r>
          </w:p>
          <w:p w14:paraId="135E2759" w14:textId="60A28B41"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проектов в НРС, ЛЛДС и СИДС, осуществленных при финансовой поддержке МСЭ-D</w:t>
            </w:r>
          </w:p>
          <w:p w14:paraId="5DA84F57" w14:textId="35416D1E"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Bid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Объем </w:t>
            </w:r>
            <w:r w:rsidR="000318C5" w:rsidRPr="0095296E">
              <w:rPr>
                <w:sz w:val="18"/>
                <w:szCs w:val="18"/>
              </w:rPr>
              <w:t>финансирования проектов для НРС, ЛЛДС и СИДС</w:t>
            </w:r>
          </w:p>
        </w:tc>
        <w:tc>
          <w:tcPr>
            <w:tcW w:w="2436" w:type="dxa"/>
            <w:tcBorders>
              <w:top w:val="single" w:sz="4" w:space="0" w:color="44B3E1"/>
              <w:left w:val="nil"/>
              <w:bottom w:val="single" w:sz="4" w:space="0" w:color="44B3E1"/>
              <w:right w:val="nil"/>
            </w:tcBorders>
            <w:hideMark/>
          </w:tcPr>
          <w:p w14:paraId="1CF89818" w14:textId="2A03FABB"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 xml:space="preserve">Платформы для созыва мероприятий </w:t>
            </w:r>
          </w:p>
        </w:tc>
        <w:tc>
          <w:tcPr>
            <w:tcW w:w="1175" w:type="dxa"/>
            <w:tcBorders>
              <w:top w:val="single" w:sz="4" w:space="0" w:color="44B3E1"/>
              <w:left w:val="nil"/>
              <w:bottom w:val="single" w:sz="4" w:space="0" w:color="44B3E1"/>
              <w:right w:val="nil"/>
            </w:tcBorders>
            <w:noWrap/>
            <w:hideMark/>
          </w:tcPr>
          <w:p w14:paraId="07EFA23F" w14:textId="4A889592" w:rsidR="000318C5" w:rsidRPr="0095296E" w:rsidRDefault="00E37F4D"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319</w:t>
            </w:r>
            <w:r w:rsidR="000318C5" w:rsidRPr="0095296E">
              <w:rPr>
                <w:sz w:val="18"/>
                <w:szCs w:val="18"/>
              </w:rPr>
              <w:t> </w:t>
            </w:r>
            <w:r w:rsidRPr="0095296E">
              <w:rPr>
                <w:sz w:val="18"/>
                <w:szCs w:val="18"/>
              </w:rPr>
              <w:t>385</w:t>
            </w:r>
          </w:p>
        </w:tc>
        <w:tc>
          <w:tcPr>
            <w:tcW w:w="1764" w:type="dxa"/>
            <w:tcBorders>
              <w:top w:val="single" w:sz="4" w:space="0" w:color="44B3E1"/>
              <w:left w:val="nil"/>
              <w:bottom w:val="single" w:sz="4" w:space="0" w:color="44B3E1"/>
              <w:right w:val="nil"/>
            </w:tcBorders>
            <w:noWrap/>
            <w:hideMark/>
          </w:tcPr>
          <w:p w14:paraId="0F2FEFFB"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100</w:t>
            </w:r>
          </w:p>
        </w:tc>
        <w:tc>
          <w:tcPr>
            <w:tcW w:w="1162" w:type="dxa"/>
            <w:tcBorders>
              <w:top w:val="single" w:sz="4" w:space="0" w:color="44B3E1"/>
              <w:left w:val="nil"/>
              <w:bottom w:val="single" w:sz="4" w:space="0" w:color="44B3E1"/>
              <w:right w:val="single" w:sz="4" w:space="0" w:color="44B3E1"/>
            </w:tcBorders>
            <w:noWrap/>
            <w:hideMark/>
          </w:tcPr>
          <w:p w14:paraId="3D16204A" w14:textId="31B9E962" w:rsidR="000318C5" w:rsidRPr="0095296E" w:rsidRDefault="00E37F4D"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8</w:t>
            </w:r>
            <w:r w:rsidR="000318C5" w:rsidRPr="0095296E">
              <w:rPr>
                <w:sz w:val="18"/>
                <w:szCs w:val="18"/>
              </w:rPr>
              <w:t>,</w:t>
            </w:r>
            <w:r w:rsidRPr="0095296E">
              <w:rPr>
                <w:sz w:val="18"/>
                <w:szCs w:val="18"/>
              </w:rPr>
              <w:t>4</w:t>
            </w:r>
          </w:p>
        </w:tc>
      </w:tr>
    </w:tbl>
    <w:p w14:paraId="72A7685E" w14:textId="77777777" w:rsidR="00AC2318" w:rsidRPr="0095296E" w:rsidRDefault="00AC2318">
      <w:pPr>
        <w:tabs>
          <w:tab w:val="clear" w:pos="1134"/>
          <w:tab w:val="clear" w:pos="1871"/>
          <w:tab w:val="clear" w:pos="2268"/>
        </w:tabs>
        <w:overflowPunct/>
        <w:autoSpaceDE/>
        <w:autoSpaceDN/>
        <w:adjustRightInd/>
        <w:spacing w:before="0"/>
        <w:textAlignment w:val="auto"/>
        <w:sectPr w:rsidR="00AC2318" w:rsidRPr="0095296E" w:rsidSect="000318C5">
          <w:headerReference w:type="default" r:id="rId43"/>
          <w:headerReference w:type="first" r:id="rId44"/>
          <w:pgSz w:w="16840" w:h="11907" w:orient="landscape" w:code="9"/>
          <w:pgMar w:top="1418" w:right="1134" w:bottom="1134" w:left="1134" w:header="567" w:footer="567" w:gutter="0"/>
          <w:cols w:space="720"/>
          <w:titlePg/>
          <w:docGrid w:linePitch="326"/>
        </w:sectPr>
      </w:pPr>
    </w:p>
    <w:p w14:paraId="682141A9" w14:textId="7CD85005" w:rsidR="00896543" w:rsidRPr="0095296E" w:rsidRDefault="00896543" w:rsidP="00896543">
      <w:pPr>
        <w:pStyle w:val="Headingb"/>
        <w:rPr>
          <w:i/>
          <w:iCs/>
          <w:lang w:val="ru-RU"/>
        </w:rPr>
      </w:pPr>
      <w:r w:rsidRPr="0095296E">
        <w:rPr>
          <w:i/>
          <w:iCs/>
          <w:lang w:val="ru-RU"/>
        </w:rPr>
        <w:lastRenderedPageBreak/>
        <w:t>Основные достигнутые результаты 2026 года: Приоритет 4 МСЭ-D – Мобилизация ресурсов, партнерские отношения и международное сотрудничество</w:t>
      </w:r>
    </w:p>
    <w:p w14:paraId="5EE0EE59" w14:textId="2A041801" w:rsidR="00896543" w:rsidRPr="0095296E" w:rsidRDefault="00896543" w:rsidP="00896543">
      <w:pPr>
        <w:pStyle w:val="Headingb"/>
        <w:rPr>
          <w:lang w:val="ru-RU" w:eastAsia="en-GB"/>
        </w:rPr>
      </w:pPr>
      <w:r w:rsidRPr="0095296E">
        <w:rPr>
          <w:lang w:val="ru-RU" w:eastAsia="en-GB"/>
        </w:rPr>
        <w:t>Партнерские отношения и международное сотрудничество</w:t>
      </w:r>
    </w:p>
    <w:p w14:paraId="7624B321" w14:textId="01707F03" w:rsidR="00896543" w:rsidRPr="0095296E" w:rsidRDefault="00896543" w:rsidP="00896543">
      <w:pPr>
        <w:rPr>
          <w:lang w:eastAsia="en-GB"/>
        </w:rPr>
      </w:pPr>
      <w:r w:rsidRPr="0095296E">
        <w:rPr>
          <w:lang w:eastAsia="en-GB"/>
        </w:rPr>
        <w:t xml:space="preserve">С января 2026 года подписано 14 новых соглашений о партнерстве с широким кругом партнеров на общую сумму приблизительно 1,5 </w:t>
      </w:r>
      <w:proofErr w:type="gramStart"/>
      <w:r w:rsidRPr="0095296E">
        <w:rPr>
          <w:lang w:eastAsia="en-GB"/>
        </w:rPr>
        <w:t>млн.</w:t>
      </w:r>
      <w:proofErr w:type="gramEnd"/>
      <w:r w:rsidRPr="0095296E">
        <w:rPr>
          <w:lang w:eastAsia="en-GB"/>
        </w:rPr>
        <w:t xml:space="preserve"> долларов США. Более подробная информация размещена на</w:t>
      </w:r>
      <w:r w:rsidR="0024149C" w:rsidRPr="0095296E">
        <w:rPr>
          <w:lang w:eastAsia="en-GB"/>
        </w:rPr>
        <w:t> </w:t>
      </w:r>
      <w:r w:rsidRPr="0095296E">
        <w:rPr>
          <w:lang w:eastAsia="en-GB"/>
        </w:rPr>
        <w:t xml:space="preserve">веб-странице </w:t>
      </w:r>
      <w:hyperlink r:id="rId45" w:history="1">
        <w:r w:rsidRPr="0095296E">
          <w:rPr>
            <w:rStyle w:val="Hyperlink"/>
            <w:lang w:eastAsia="en-GB"/>
          </w:rPr>
          <w:t>Партнерства МСЭ-D</w:t>
        </w:r>
      </w:hyperlink>
      <w:r w:rsidRPr="0095296E">
        <w:rPr>
          <w:lang w:eastAsia="en-GB"/>
        </w:rPr>
        <w:t>.</w:t>
      </w:r>
    </w:p>
    <w:p w14:paraId="78F90148" w14:textId="645BD8C9" w:rsidR="00896543" w:rsidRPr="0095296E" w:rsidRDefault="00896543" w:rsidP="00896543">
      <w:pPr>
        <w:rPr>
          <w:lang w:eastAsia="en-GB"/>
        </w:rPr>
      </w:pPr>
      <w:r w:rsidRPr="0095296E">
        <w:rPr>
          <w:lang w:eastAsia="en-GB"/>
        </w:rPr>
        <w:t xml:space="preserve">В </w:t>
      </w:r>
      <w:r w:rsidRPr="0095296E">
        <w:rPr>
          <w:b/>
          <w:bCs/>
          <w:lang w:eastAsia="en-GB"/>
        </w:rPr>
        <w:t xml:space="preserve">Африке </w:t>
      </w:r>
      <w:r w:rsidRPr="0095296E">
        <w:rPr>
          <w:lang w:eastAsia="en-GB"/>
        </w:rPr>
        <w:t xml:space="preserve">ведется подготовка к </w:t>
      </w:r>
      <w:hyperlink r:id="rId46" w:history="1">
        <w:r w:rsidRPr="0095296E">
          <w:rPr>
            <w:rStyle w:val="Hyperlink"/>
            <w:lang w:eastAsia="en-GB"/>
          </w:rPr>
          <w:t>Региональному форуму по вопросам развития для Африки (РФР-АФР) 2026 года</w:t>
        </w:r>
      </w:hyperlink>
      <w:r w:rsidRPr="0095296E">
        <w:rPr>
          <w:lang w:eastAsia="en-GB"/>
        </w:rPr>
        <w:t xml:space="preserve">. </w:t>
      </w:r>
      <w:r w:rsidRPr="0095296E">
        <w:t xml:space="preserve">Форум, который пройдет в г. Виктория-Фоллз, Зимбабве, </w:t>
      </w:r>
      <w:proofErr w:type="gramStart"/>
      <w:r w:rsidRPr="0095296E">
        <w:t>25−26</w:t>
      </w:r>
      <w:proofErr w:type="gramEnd"/>
      <w:r w:rsidRPr="0095296E">
        <w:t xml:space="preserve"> мая, призван стать площадкой для дискуссий и обмена мнениями по уже осуществляемым и планируемым инициативам в масштабах континента в целях реализации региональных инициатив, создания реальной и универсальной возможности установления соединений, а также поощрения устойчивой цифровой трансформации в поддержку социально-экономического развития. В рамках инициативы P2C состоятся сессии по подбору партнеров по странам, региональным потребностям и потенциальным партнерам. В </w:t>
      </w:r>
      <w:r w:rsidRPr="0095296E">
        <w:rPr>
          <w:b/>
          <w:bCs/>
        </w:rPr>
        <w:t>Азиатско-Тихоокеанском регионе</w:t>
      </w:r>
      <w:r w:rsidRPr="0095296E">
        <w:t xml:space="preserve"> БРЭ приняло участие в 13</w:t>
      </w:r>
      <w:r w:rsidRPr="0095296E">
        <w:rPr>
          <w:rFonts w:ascii="Cambria Math" w:hAnsi="Cambria Math"/>
        </w:rPr>
        <w:t>‑</w:t>
      </w:r>
      <w:r w:rsidRPr="0095296E">
        <w:t xml:space="preserve">м Азиатско-Тихоокеанском форуме по устойчивому развитию (APFSD) на тему "Преобразующие, справедливые, инновационные и скоординированные меры по осуществлению Повестки на период до 2030 года и ее ЦУР ради устойчивого будущего для всех", который состоялся 24−27 февраля в Центре конференций Объединенных Наций в Бангкоке, Таиланд. APFSD как ежегодный межправительственный форум оказывает содействие в принятии последующих мер и анализе хода осуществления Повестки в области устойчивого развития на период до 2030 года и ЦУР на региональном уровне; он призван расширять возможности, информировать и поддерживать страны АТР в усилиях по достижению ЦУР, выявляя региональные тенденции и способствуя распространению передового опыта. </w:t>
      </w:r>
      <w:r w:rsidRPr="0095296E">
        <w:rPr>
          <w:lang w:eastAsia="en-GB"/>
        </w:rPr>
        <w:t>В соответствии с приоритетами Политического форума высокого уровня по устойчивому развитию (ПФВУ) 2026 года 13-й APFSD оценил прогресс в деле достижения ЦУР в рамках обзора 2026 года, рассмотрев Цели 6, 7, 9, 11 и 17. Наряду с другими учреждениями ООН БРЭ способствовало проведению круглого стола по ЦУР 9 (Промышленность, инновации и инфраструктура), выступив модератором обсуждения в секционной группе на тему "Содействие инновациям", и внесло вклад в составление профиля ЦУР</w:t>
      </w:r>
      <w:r w:rsidR="00A36E40" w:rsidRPr="0095296E">
        <w:rPr>
          <w:lang w:eastAsia="en-GB"/>
        </w:rPr>
        <w:t> </w:t>
      </w:r>
      <w:r w:rsidRPr="0095296E">
        <w:rPr>
          <w:lang w:eastAsia="en-GB"/>
        </w:rPr>
        <w:t>9.</w:t>
      </w:r>
    </w:p>
    <w:p w14:paraId="03B31096" w14:textId="3B8EA40D" w:rsidR="00896543" w:rsidRPr="0095296E" w:rsidRDefault="00896543" w:rsidP="00896543">
      <w:pPr>
        <w:rPr>
          <w:lang w:eastAsia="en-GB"/>
        </w:rPr>
      </w:pPr>
      <w:r w:rsidRPr="0095296E">
        <w:rPr>
          <w:lang w:eastAsia="en-GB"/>
        </w:rPr>
        <w:t xml:space="preserve">Кроме того, БРЭ приняло участие в 30-м собрании региональной Межучрежденческой рабочей группы по информационно-коммуникационным технологиям (ИКТ), состоявшемся в Бангкоке, Таиланд, 16 февраля 2026 года. В мероприятии, организованном Азиатско-Тихоокеанским сообществом электросвязи (АТСЭ), приняли участие семь международных организаций (МСЭ, АТСЭ, ЭСКАТО ООН, ИКАО, ВМО, ВПП и УООН); были обсуждены инициативы в области ИКТ и возможности сотрудничества. В ходе собрания каждая из организаций представила обновленную информацию и рассказала о запланированных на 2026 год мерах, а также обозначила потенциальные области для сотрудничества. БРЭ представило обзор итогов ВКРЭ-25, особенно отметив Бакинский план действий и региональные инициативы для Азиатско-Тихоокеанского региона на </w:t>
      </w:r>
      <w:proofErr w:type="gramStart"/>
      <w:r w:rsidRPr="0095296E">
        <w:rPr>
          <w:lang w:eastAsia="en-GB"/>
        </w:rPr>
        <w:t>2026−2029</w:t>
      </w:r>
      <w:proofErr w:type="gramEnd"/>
      <w:r w:rsidRPr="0095296E">
        <w:rPr>
          <w:lang w:eastAsia="en-GB"/>
        </w:rPr>
        <w:t xml:space="preserve"> годы, и рассказало об основных направлениях деятельности регионального отделения МСЭ для Азиатско-Тихоокеанского региона.</w:t>
      </w:r>
    </w:p>
    <w:p w14:paraId="078FED7D" w14:textId="77777777" w:rsidR="00896543" w:rsidRPr="0095296E" w:rsidRDefault="00896543" w:rsidP="00896543">
      <w:pPr>
        <w:rPr>
          <w:lang w:eastAsia="en-GB"/>
        </w:rPr>
      </w:pPr>
      <w:r w:rsidRPr="0095296E">
        <w:rPr>
          <w:lang w:eastAsia="en-GB"/>
        </w:rPr>
        <w:t>Кроме того, БРЭ приняло участие в Совещании старших должностных лиц АСЕАН по цифровым вопросам и Совещании министров, которые прошли в Ханое (Вьетнам) 12–18 января, и внесло свой вклад в их работу. Участники встреч отметили широкую поддержку, оказываемую БРЭ странам АСЕАН и секретариату в таких ключевых областях, как инфраструктура, электросвязь в чрезвычайных ситуациях, кибербезопасность, охват цифровыми технологиями, развитие потенциала, а также политика и регулирование. В ходе совещаний также были согласованы новые приоритетные направления сотрудничества на ближайшие годы.</w:t>
      </w:r>
    </w:p>
    <w:p w14:paraId="37968138" w14:textId="77777777" w:rsidR="00896543" w:rsidRPr="0095296E" w:rsidRDefault="00896543" w:rsidP="00896543">
      <w:pPr>
        <w:rPr>
          <w:lang w:eastAsia="en-GB"/>
        </w:rPr>
      </w:pPr>
      <w:r w:rsidRPr="0095296E">
        <w:rPr>
          <w:lang w:eastAsia="en-GB"/>
        </w:rPr>
        <w:t xml:space="preserve">В </w:t>
      </w:r>
      <w:r w:rsidRPr="0095296E">
        <w:rPr>
          <w:b/>
          <w:bCs/>
          <w:lang w:eastAsia="en-GB"/>
        </w:rPr>
        <w:t xml:space="preserve">регионе </w:t>
      </w:r>
      <w:r w:rsidRPr="0095296E">
        <w:rPr>
          <w:b/>
          <w:lang w:eastAsia="en-GB"/>
        </w:rPr>
        <w:t>СНГ</w:t>
      </w:r>
      <w:r w:rsidRPr="0095296E">
        <w:rPr>
          <w:lang w:eastAsia="en-GB"/>
        </w:rPr>
        <w:t xml:space="preserve"> планируется провести Региональный форум по вопросам развития для региона СНГ (РФР-СНГ) 2026 года, который должен пройти 29–30 сентября в Душанбе (Таджикистан).</w:t>
      </w:r>
    </w:p>
    <w:p w14:paraId="23E80CA6" w14:textId="2A8DF01E" w:rsidR="00896543" w:rsidRPr="0095296E" w:rsidRDefault="00896543" w:rsidP="00896543">
      <w:pPr>
        <w:rPr>
          <w:rFonts w:eastAsia="Calibri" w:cs="Calibri"/>
          <w:szCs w:val="24"/>
        </w:rPr>
      </w:pPr>
      <w:r w:rsidRPr="0095296E">
        <w:rPr>
          <w:bCs/>
          <w:lang w:eastAsia="en-GB"/>
        </w:rPr>
        <w:lastRenderedPageBreak/>
        <w:t xml:space="preserve">В </w:t>
      </w:r>
      <w:r w:rsidRPr="0095296E">
        <w:rPr>
          <w:b/>
          <w:lang w:eastAsia="en-GB"/>
        </w:rPr>
        <w:t>Европе</w:t>
      </w:r>
      <w:r w:rsidRPr="0095296E">
        <w:rPr>
          <w:lang w:eastAsia="en-GB"/>
        </w:rPr>
        <w:t xml:space="preserve"> БРЭ в тесном сотрудничестве с Европейской конференцией администраций почты и электросвязи (СЕПТ) и при поддержке Министерства промышленности и торговли Чешской Республики</w:t>
      </w:r>
      <w:r w:rsidRPr="0095296E">
        <w:t xml:space="preserve"> организовало </w:t>
      </w:r>
      <w:hyperlink r:id="rId47">
        <w:r w:rsidRPr="0095296E">
          <w:rPr>
            <w:rStyle w:val="Hyperlink"/>
          </w:rPr>
          <w:t>Региональный форум по вопросам развития для Европы (РФР-ЕВР)</w:t>
        </w:r>
      </w:hyperlink>
      <w:r w:rsidRPr="0095296E">
        <w:rPr>
          <w:lang w:eastAsia="en-GB"/>
        </w:rPr>
        <w:t xml:space="preserve">. Форум был проведен в смешанном формате 24 марта в Праге, Чешская Республика, параллельно с собранием Комитета CEПT по политике МСЭ (Ком-МСЭ). В ежегодном Региональном форуме МСЭ по вопросам развития для Европы (РФР-ЕВР), состоявшемся 24 марта 2026 года в Праге, Чешская Республика, приняли участие более 80 представителей из 26 Государств-Членов, региональных организаций, специализированных учреждений системы ООН, Членов Секторов, Академических организаций и других заинтересованных сторон; участники обсудили приоритетные вопросы развития региона и вопросы осуществления новых региональных инициатив, принятых на Всемирной конференции по развитию электросвязи 2025 года (ВКРЭ-25). </w:t>
      </w:r>
      <w:r w:rsidRPr="0095296E">
        <w:rPr>
          <w:rFonts w:eastAsia="Calibri" w:cs="Calibri"/>
          <w:szCs w:val="24"/>
        </w:rPr>
        <w:t>Региональный форум по вопросам развития завершился принятием Региональной дорожной карты по осуществлению региональных инициатив МСЭ для Европы. Эта дорожная карта послужит ориентиром в работе по осуществлению региональных инициатив, утвержденных в Бакинском плане действий ВКРЭ-25. Основное внимание в рамках региональных инициатив для Европы уделяется таким вопросам, как цифровая инфраструктура, цифровая трансформация, охват цифровыми технологиями и развитие навыков, кибербезопасность и цифровые инновации. Было представлено и рассмотрено свыше 60 письменных вкладов, что способствовало формированию ряда партнерств с участием многих заинтересованных сторон. Эти материалы были представлены на региональных круглых столах в рамках инициативы "Партнерства для подключения" и включены в Региональную дорожную карту для Европы.</w:t>
      </w:r>
    </w:p>
    <w:p w14:paraId="183A04D7" w14:textId="2BCEDA22" w:rsidR="00896543" w:rsidRPr="0095296E" w:rsidRDefault="00896543" w:rsidP="00896543">
      <w:pPr>
        <w:pStyle w:val="Headingb"/>
        <w:rPr>
          <w:lang w:val="ru-RU" w:eastAsia="en-GB"/>
        </w:rPr>
      </w:pPr>
      <w:r w:rsidRPr="0095296E">
        <w:rPr>
          <w:lang w:val="ru-RU" w:eastAsia="en-GB"/>
        </w:rPr>
        <w:t>Проекты МСЭ-D</w:t>
      </w:r>
    </w:p>
    <w:p w14:paraId="04D858FE" w14:textId="329874FB" w:rsidR="00896543" w:rsidRPr="0095296E" w:rsidRDefault="00896543" w:rsidP="00896543">
      <w:pPr>
        <w:rPr>
          <w:lang w:eastAsia="en-GB"/>
        </w:rPr>
      </w:pPr>
      <w:r w:rsidRPr="0095296E">
        <w:rPr>
          <w:lang w:eastAsia="en-GB"/>
        </w:rPr>
        <w:t xml:space="preserve">С января 2026 года было подписано четыре новых проекта общей стоимостью 622 409 швейцарских франков, а также 12 дополнительных документов на общую сумму 612 012 швейцарских франков. К настоящему моменту общий объем финансирования, который удалось привлечь в рамках проектов, составляет 1,23 </w:t>
      </w:r>
      <w:proofErr w:type="gramStart"/>
      <w:r w:rsidRPr="0095296E">
        <w:rPr>
          <w:lang w:eastAsia="en-GB"/>
        </w:rPr>
        <w:t>млн.</w:t>
      </w:r>
      <w:proofErr w:type="gramEnd"/>
      <w:r w:rsidRPr="0095296E">
        <w:rPr>
          <w:lang w:eastAsia="en-GB"/>
        </w:rPr>
        <w:t xml:space="preserve"> швейцарских франков. Таким образом, уже сейчас проекты оказывают содействие выполнению решений ВКРЭ-25, в частности в таких тематических областях, как охват цифровыми технологиями, кибербезопасность, политика и регулирование. Среди партнеров, принимающих участие в проектах, можно отметить ARTP (Сенегал), TRC (Иордания) и FCDO.</w:t>
      </w:r>
    </w:p>
    <w:p w14:paraId="7ADAB42E" w14:textId="6B709D35" w:rsidR="00896543" w:rsidRPr="0095296E" w:rsidRDefault="00896543" w:rsidP="00896543">
      <w:pPr>
        <w:pStyle w:val="Headingb"/>
        <w:rPr>
          <w:lang w:val="ru-RU" w:eastAsia="en-GB"/>
        </w:rPr>
      </w:pPr>
      <w:r w:rsidRPr="0095296E">
        <w:rPr>
          <w:lang w:val="ru-RU" w:eastAsia="en-GB"/>
        </w:rPr>
        <w:t>Исследовательские комиссии МСЭ-D</w:t>
      </w:r>
    </w:p>
    <w:p w14:paraId="333F337C" w14:textId="51DDBA46" w:rsidR="00896543" w:rsidRPr="0095296E" w:rsidRDefault="00896543" w:rsidP="00896543">
      <w:pPr>
        <w:rPr>
          <w:lang w:eastAsia="en-GB"/>
        </w:rPr>
      </w:pPr>
      <w:r w:rsidRPr="0095296E">
        <w:rPr>
          <w:lang w:eastAsia="en-GB"/>
        </w:rPr>
        <w:t xml:space="preserve">Первые собрания ИК1 МСЭ-D (Универсальная и реальная возможность установления соединений для преодоления цифрового разрыва) и ИК2 МСЭ-D (Цифровая трансформация) пройдут </w:t>
      </w:r>
      <w:proofErr w:type="gramStart"/>
      <w:r w:rsidRPr="0095296E">
        <w:rPr>
          <w:lang w:eastAsia="en-GB"/>
        </w:rPr>
        <w:t>13−24</w:t>
      </w:r>
      <w:proofErr w:type="gramEnd"/>
      <w:r w:rsidR="0024149C" w:rsidRPr="0095296E">
        <w:rPr>
          <w:lang w:eastAsia="en-GB"/>
        </w:rPr>
        <w:t> </w:t>
      </w:r>
      <w:r w:rsidRPr="0095296E">
        <w:rPr>
          <w:lang w:eastAsia="en-GB"/>
        </w:rPr>
        <w:t>апреля 2026</w:t>
      </w:r>
      <w:r w:rsidR="00A36E40" w:rsidRPr="0095296E">
        <w:rPr>
          <w:lang w:eastAsia="en-GB"/>
        </w:rPr>
        <w:t> </w:t>
      </w:r>
      <w:r w:rsidRPr="0095296E">
        <w:rPr>
          <w:lang w:eastAsia="en-GB"/>
        </w:rPr>
        <w:t>года в штаб-квартире МСЭ в Женеве.</w:t>
      </w:r>
    </w:p>
    <w:p w14:paraId="1AA6EFBF" w14:textId="77777777" w:rsidR="00896543" w:rsidRPr="0095296E" w:rsidRDefault="00896543" w:rsidP="00896543">
      <w:pPr>
        <w:rPr>
          <w:lang w:eastAsia="en-GB"/>
        </w:rPr>
      </w:pPr>
      <w:r w:rsidRPr="0095296E">
        <w:rPr>
          <w:lang w:eastAsia="en-GB"/>
        </w:rPr>
        <w:t>Ключевыми вопросами для обсуждения на собраниях ИК1 и ИК2 МСЭ-D являются:</w:t>
      </w:r>
    </w:p>
    <w:p w14:paraId="114821BF" w14:textId="37A31B5A" w:rsidR="00896543" w:rsidRPr="0095296E" w:rsidRDefault="00896543" w:rsidP="00896543">
      <w:pPr>
        <w:pStyle w:val="enumlev1"/>
        <w:rPr>
          <w:lang w:eastAsia="en-GB"/>
        </w:rPr>
      </w:pPr>
      <w:r w:rsidRPr="0095296E">
        <w:rPr>
          <w:lang w:eastAsia="en-GB"/>
        </w:rPr>
        <w:t>−</w:t>
      </w:r>
      <w:r w:rsidRPr="0095296E">
        <w:rPr>
          <w:lang w:eastAsia="en-GB"/>
        </w:rPr>
        <w:tab/>
        <w:t>назначение Докладчиков и заместителей Докладчиков по всем исследуемым Вопросам, утвержденным на ВКРЭ-25;</w:t>
      </w:r>
    </w:p>
    <w:p w14:paraId="17434813" w14:textId="1B700AB4" w:rsidR="00896543" w:rsidRPr="0095296E" w:rsidRDefault="00896543" w:rsidP="00896543">
      <w:pPr>
        <w:pStyle w:val="enumlev1"/>
        <w:rPr>
          <w:lang w:eastAsia="en-GB"/>
        </w:rPr>
      </w:pPr>
      <w:r w:rsidRPr="0095296E">
        <w:rPr>
          <w:lang w:eastAsia="en-GB"/>
        </w:rPr>
        <w:t>−</w:t>
      </w:r>
      <w:r w:rsidRPr="0095296E">
        <w:rPr>
          <w:lang w:eastAsia="en-GB"/>
        </w:rPr>
        <w:tab/>
        <w:t>ознакомительная сессия для всех делегатов, которая должна состояться во второй половине дня 13 апреля;</w:t>
      </w:r>
    </w:p>
    <w:p w14:paraId="0B30B069" w14:textId="345756A9" w:rsidR="00896543" w:rsidRPr="0095296E" w:rsidRDefault="00896543" w:rsidP="00896543">
      <w:pPr>
        <w:pStyle w:val="enumlev1"/>
        <w:rPr>
          <w:lang w:eastAsia="en-GB"/>
        </w:rPr>
      </w:pPr>
      <w:r w:rsidRPr="0095296E">
        <w:rPr>
          <w:lang w:eastAsia="en-GB"/>
        </w:rPr>
        <w:t>−</w:t>
      </w:r>
      <w:r w:rsidRPr="0095296E">
        <w:rPr>
          <w:lang w:eastAsia="en-GB"/>
        </w:rPr>
        <w:tab/>
        <w:t>разработка и утверждение планов работы по каждому исследуемому Вопросу в соответствии с кругом ведения, утвержденным на ВКРЭ-25;</w:t>
      </w:r>
    </w:p>
    <w:p w14:paraId="65EC65C3" w14:textId="760C8B0C" w:rsidR="00896543" w:rsidRPr="0095296E" w:rsidRDefault="00896543" w:rsidP="00896543">
      <w:pPr>
        <w:pStyle w:val="enumlev1"/>
        <w:rPr>
          <w:lang w:eastAsia="en-GB"/>
        </w:rPr>
      </w:pPr>
      <w:r w:rsidRPr="0095296E">
        <w:rPr>
          <w:lang w:eastAsia="en-GB"/>
        </w:rPr>
        <w:t>−</w:t>
      </w:r>
      <w:r w:rsidRPr="0095296E">
        <w:rPr>
          <w:lang w:eastAsia="en-GB"/>
        </w:rPr>
        <w:tab/>
        <w:t>анализ полученных вкладов;</w:t>
      </w:r>
    </w:p>
    <w:p w14:paraId="3908DDD4" w14:textId="5A3F3B9A" w:rsidR="00896543" w:rsidRPr="0095296E" w:rsidRDefault="00896543" w:rsidP="00896543">
      <w:pPr>
        <w:pStyle w:val="enumlev1"/>
        <w:rPr>
          <w:lang w:eastAsia="en-GB"/>
        </w:rPr>
      </w:pPr>
      <w:r w:rsidRPr="0095296E">
        <w:rPr>
          <w:lang w:eastAsia="en-GB"/>
        </w:rPr>
        <w:t>−</w:t>
      </w:r>
      <w:r w:rsidRPr="0095296E">
        <w:rPr>
          <w:lang w:eastAsia="en-GB"/>
        </w:rPr>
        <w:tab/>
        <w:t>подготовка исходящих заявлений о взаимодействии и отчетов о собраниях по исследуемым Вопросам;</w:t>
      </w:r>
    </w:p>
    <w:p w14:paraId="2432EEC0" w14:textId="5179CB06" w:rsidR="00896543" w:rsidRPr="0095296E" w:rsidRDefault="00896543" w:rsidP="00896543">
      <w:pPr>
        <w:pStyle w:val="enumlev1"/>
        <w:rPr>
          <w:lang w:eastAsia="en-GB"/>
        </w:rPr>
      </w:pPr>
      <w:r w:rsidRPr="0095296E">
        <w:rPr>
          <w:lang w:eastAsia="en-GB"/>
        </w:rPr>
        <w:t>−</w:t>
      </w:r>
      <w:r w:rsidRPr="0095296E">
        <w:rPr>
          <w:lang w:eastAsia="en-GB"/>
        </w:rPr>
        <w:tab/>
        <w:t>планирование будущих промежуточных итоговых документов и семинаров-практикумов/вебинаров.</w:t>
      </w:r>
    </w:p>
    <w:p w14:paraId="50FE0255" w14:textId="3E4B57B5" w:rsidR="00896543" w:rsidRPr="0095296E" w:rsidRDefault="00896543" w:rsidP="00896543">
      <w:pPr>
        <w:rPr>
          <w:lang w:eastAsia="en-GB"/>
        </w:rPr>
      </w:pPr>
      <w:r w:rsidRPr="0095296E">
        <w:rPr>
          <w:lang w:eastAsia="en-GB"/>
        </w:rPr>
        <w:t>По состоянию на 27 марта на собрание ИК1 зарегистрировались 206 делегатов и было обработано 70 вкладов, а на собрание ИК2 зарегистрировался 181 делегат и было обработано 36 вкладов.</w:t>
      </w:r>
    </w:p>
    <w:p w14:paraId="3BAC54C4" w14:textId="291615E5" w:rsidR="00896543" w:rsidRPr="0095296E" w:rsidRDefault="00896543" w:rsidP="00896543">
      <w:pPr>
        <w:rPr>
          <w:lang w:eastAsia="en-GB"/>
        </w:rPr>
      </w:pPr>
      <w:r w:rsidRPr="0095296E">
        <w:rPr>
          <w:lang w:eastAsia="en-GB"/>
        </w:rPr>
        <w:lastRenderedPageBreak/>
        <w:t xml:space="preserve">Информация о собраниях исследовательских комиссий (включая регистрацию, план распределения времени, повестку дня и вклады) размещена на веб-сайтах соответствующих собраний: </w:t>
      </w:r>
      <w:hyperlink r:id="rId48" w:history="1">
        <w:r w:rsidRPr="0095296E">
          <w:rPr>
            <w:rStyle w:val="Hyperlink"/>
            <w:lang w:eastAsia="en-GB"/>
          </w:rPr>
          <w:t>1</w:t>
        </w:r>
        <w:r w:rsidRPr="0095296E">
          <w:rPr>
            <w:rStyle w:val="Hyperlink"/>
            <w:rFonts w:ascii="Cambria Math" w:hAnsi="Cambria Math"/>
            <w:lang w:eastAsia="en-GB"/>
          </w:rPr>
          <w:t>‑</w:t>
        </w:r>
        <w:r w:rsidRPr="0095296E">
          <w:rPr>
            <w:rStyle w:val="Hyperlink"/>
            <w:lang w:eastAsia="en-GB"/>
          </w:rPr>
          <w:t>я Исследовательская комиссия</w:t>
        </w:r>
      </w:hyperlink>
      <w:r w:rsidRPr="0095296E">
        <w:rPr>
          <w:lang w:eastAsia="en-GB"/>
        </w:rPr>
        <w:t xml:space="preserve"> и </w:t>
      </w:r>
      <w:hyperlink r:id="rId49" w:history="1">
        <w:r w:rsidRPr="0095296E">
          <w:rPr>
            <w:rStyle w:val="Hyperlink"/>
            <w:lang w:eastAsia="en-GB"/>
          </w:rPr>
          <w:t>2-я Исследовательская комиссия</w:t>
        </w:r>
      </w:hyperlink>
      <w:r w:rsidRPr="0095296E">
        <w:rPr>
          <w:lang w:eastAsia="en-GB"/>
        </w:rPr>
        <w:t>.</w:t>
      </w:r>
    </w:p>
    <w:p w14:paraId="5D3CAD88" w14:textId="6932827A" w:rsidR="00896543" w:rsidRPr="0095296E" w:rsidRDefault="00896543" w:rsidP="00896543">
      <w:pPr>
        <w:rPr>
          <w:lang w:eastAsia="en-GB"/>
        </w:rPr>
      </w:pPr>
      <w:r w:rsidRPr="0095296E">
        <w:rPr>
          <w:lang w:eastAsia="en-GB"/>
        </w:rPr>
        <w:t>Команды руководителей каждой исследовательской комиссии проведут очн</w:t>
      </w:r>
      <w:r w:rsidR="00A36E40" w:rsidRPr="0095296E">
        <w:rPr>
          <w:lang w:eastAsia="en-GB"/>
        </w:rPr>
        <w:t>ы</w:t>
      </w:r>
      <w:r w:rsidRPr="0095296E">
        <w:rPr>
          <w:lang w:eastAsia="en-GB"/>
        </w:rPr>
        <w:t>е собрания 13</w:t>
      </w:r>
      <w:r w:rsidR="00A36E40" w:rsidRPr="0095296E">
        <w:rPr>
          <w:lang w:eastAsia="en-GB"/>
        </w:rPr>
        <w:t> </w:t>
      </w:r>
      <w:r w:rsidRPr="0095296E">
        <w:rPr>
          <w:lang w:eastAsia="en-GB"/>
        </w:rPr>
        <w:t>и</w:t>
      </w:r>
      <w:r w:rsidR="00A36E40" w:rsidRPr="0095296E">
        <w:rPr>
          <w:lang w:eastAsia="en-GB"/>
        </w:rPr>
        <w:t> </w:t>
      </w:r>
      <w:r w:rsidRPr="0095296E">
        <w:rPr>
          <w:lang w:eastAsia="en-GB"/>
        </w:rPr>
        <w:t>16 апреля (ИК1) и 20 и 22 апреля (ИК2).</w:t>
      </w:r>
    </w:p>
    <w:p w14:paraId="7BDA1B6F" w14:textId="1B6E66DF" w:rsidR="00896543" w:rsidRPr="0095296E" w:rsidRDefault="00896543" w:rsidP="00896543">
      <w:pPr>
        <w:rPr>
          <w:lang w:eastAsia="en-GB"/>
        </w:rPr>
      </w:pPr>
      <w:r w:rsidRPr="0095296E">
        <w:rPr>
          <w:lang w:eastAsia="en-GB"/>
        </w:rPr>
        <w:t>Совместное собрание руководства ИК1 и ИК2 под председательством Директора БРЭ пройдет 17 апреля 2026 года.</w:t>
      </w:r>
    </w:p>
    <w:p w14:paraId="795B7A24" w14:textId="1D4DEECC" w:rsidR="00896543" w:rsidRPr="0095296E" w:rsidRDefault="00896543" w:rsidP="00896543">
      <w:pPr>
        <w:rPr>
          <w:lang w:eastAsia="en-GB"/>
        </w:rPr>
      </w:pPr>
      <w:r w:rsidRPr="0095296E">
        <w:rPr>
          <w:lang w:eastAsia="en-GB"/>
        </w:rPr>
        <w:t>Более подробную информацию можно найти на</w:t>
      </w:r>
      <w:r w:rsidR="0024149C" w:rsidRPr="0095296E">
        <w:rPr>
          <w:lang w:eastAsia="en-GB"/>
        </w:rPr>
        <w:t xml:space="preserve"> веб-странице </w:t>
      </w:r>
      <w:hyperlink r:id="rId50" w:history="1">
        <w:r w:rsidR="0024149C" w:rsidRPr="0095296E">
          <w:rPr>
            <w:rStyle w:val="Hyperlink"/>
            <w:lang w:eastAsia="en-GB"/>
          </w:rPr>
          <w:t>исследовательского периода 2023−2029 годов</w:t>
        </w:r>
      </w:hyperlink>
      <w:r w:rsidRPr="0095296E">
        <w:rPr>
          <w:lang w:eastAsia="en-GB"/>
        </w:rPr>
        <w:t>.</w:t>
      </w:r>
    </w:p>
    <w:p w14:paraId="4569AAFE" w14:textId="77777777" w:rsidR="00896543" w:rsidRPr="0095296E" w:rsidRDefault="00896543" w:rsidP="00896543">
      <w:pPr>
        <w:pStyle w:val="Headingb"/>
        <w:rPr>
          <w:color w:val="000000"/>
          <w:lang w:val="ru-RU" w:eastAsia="en-GB"/>
        </w:rPr>
      </w:pPr>
      <w:r w:rsidRPr="0095296E">
        <w:rPr>
          <w:lang w:val="ru-RU" w:eastAsia="en-GB"/>
        </w:rPr>
        <w:t xml:space="preserve">Цифровая коалиция </w:t>
      </w:r>
      <w:r w:rsidRPr="0095296E">
        <w:rPr>
          <w:b w:val="0"/>
          <w:bCs/>
          <w:lang w:val="ru-RU" w:eastAsia="en-GB"/>
        </w:rPr>
        <w:t>"</w:t>
      </w:r>
      <w:r w:rsidRPr="0095296E">
        <w:rPr>
          <w:lang w:val="ru-RU" w:eastAsia="en-GB"/>
        </w:rPr>
        <w:t>Партнерства для подключения</w:t>
      </w:r>
      <w:r w:rsidRPr="0095296E">
        <w:rPr>
          <w:b w:val="0"/>
          <w:bCs/>
          <w:lang w:val="ru-RU" w:eastAsia="en-GB"/>
        </w:rPr>
        <w:t>"</w:t>
      </w:r>
      <w:r w:rsidRPr="0095296E">
        <w:rPr>
          <w:lang w:val="ru-RU" w:eastAsia="en-GB"/>
        </w:rPr>
        <w:t xml:space="preserve"> (P2C)</w:t>
      </w:r>
    </w:p>
    <w:p w14:paraId="01D1AC1E" w14:textId="48C36D61" w:rsidR="00896543" w:rsidRPr="0095296E" w:rsidRDefault="00896543" w:rsidP="00896543">
      <w:r w:rsidRPr="0095296E">
        <w:t>В ходе состоявшегося в марте в Праге (Чешская Республика) РФР для Европы было проведено два круглых стола подбору партнеров P2C, в основу которых легли обсуждения на собрании и более 60 вкладов, полученных от заинтересованных сторон по итогам региональных консультаций, что дало возможность внести вклад в деятельность МСЭ на региональном уровне и отразить стратегические потребности региона в период реализации (2026−2029 гг.). Результатом мероприятий по поиску партнеров стала региональная дорожная карта по реализации региональных инициатив МСЭ для Европы.</w:t>
      </w:r>
    </w:p>
    <w:p w14:paraId="63C4A635" w14:textId="77777777" w:rsidR="00896543" w:rsidRPr="0095296E" w:rsidRDefault="00896543" w:rsidP="00896543">
      <w:pPr>
        <w:rPr>
          <w:b/>
          <w:bCs/>
        </w:rPr>
      </w:pPr>
      <w:r w:rsidRPr="0095296E">
        <w:t>На предстоящих региональных форумах по вопросам развития 2026 года в различных регионах будут проведены дополнительные сессии по поиску партнеров P2C в поддержку реализации региональных инициатив, принятых на ВКРЭ-25.</w:t>
      </w:r>
    </w:p>
    <w:p w14:paraId="2EDDFF76" w14:textId="77777777" w:rsidR="00AC2318" w:rsidRPr="0095296E" w:rsidRDefault="00AC2318" w:rsidP="008912EB"/>
    <w:p w14:paraId="159E274A" w14:textId="77777777" w:rsidR="00AC2318" w:rsidRPr="0095296E" w:rsidRDefault="00AC2318" w:rsidP="008912EB">
      <w:pPr>
        <w:sectPr w:rsidR="00AC2318" w:rsidRPr="0095296E" w:rsidSect="00AC2318">
          <w:headerReference w:type="first" r:id="rId51"/>
          <w:pgSz w:w="11907" w:h="16840" w:code="9"/>
          <w:pgMar w:top="1418" w:right="1134" w:bottom="1418" w:left="1134" w:header="567" w:footer="567" w:gutter="0"/>
          <w:cols w:space="720"/>
          <w:titlePg/>
          <w:docGrid w:linePitch="326"/>
        </w:sectPr>
      </w:pPr>
    </w:p>
    <w:p w14:paraId="553CC91D" w14:textId="2A66D0D8" w:rsidR="000318C5" w:rsidRPr="0095296E" w:rsidRDefault="000318C5" w:rsidP="00087944">
      <w:pPr>
        <w:pStyle w:val="Heading2"/>
        <w:spacing w:before="0" w:after="120"/>
      </w:pPr>
      <w:r w:rsidRPr="0095296E">
        <w:lastRenderedPageBreak/>
        <w:t>3.5</w:t>
      </w:r>
      <w:r w:rsidRPr="0095296E">
        <w:tab/>
        <w:t>Приоритет 5 МСЭ-D: Инклюзивная</w:t>
      </w:r>
      <w:r w:rsidR="000238CB" w:rsidRPr="0095296E">
        <w:t>, безопасная</w:t>
      </w:r>
      <w:r w:rsidRPr="0095296E">
        <w:t xml:space="preserve"> и защищенная электросвязь/ИКТ для устойчивого развития</w:t>
      </w:r>
    </w:p>
    <w:tbl>
      <w:tblPr>
        <w:tblW w:w="14623" w:type="dxa"/>
        <w:tblLayout w:type="fixed"/>
        <w:tblLook w:val="04A0" w:firstRow="1" w:lastRow="0" w:firstColumn="1" w:lastColumn="0" w:noHBand="0" w:noVBand="1"/>
      </w:tblPr>
      <w:tblGrid>
        <w:gridCol w:w="1787"/>
        <w:gridCol w:w="3122"/>
        <w:gridCol w:w="3177"/>
        <w:gridCol w:w="2436"/>
        <w:gridCol w:w="1175"/>
        <w:gridCol w:w="1764"/>
        <w:gridCol w:w="1162"/>
      </w:tblGrid>
      <w:tr w:rsidR="006963D6" w:rsidRPr="0095296E" w14:paraId="689FF861" w14:textId="77777777" w:rsidTr="008C6C59">
        <w:trPr>
          <w:tblHeader/>
        </w:trPr>
        <w:tc>
          <w:tcPr>
            <w:tcW w:w="1787" w:type="dxa"/>
            <w:tcBorders>
              <w:top w:val="single" w:sz="4" w:space="0" w:color="44B3E1"/>
              <w:left w:val="single" w:sz="4" w:space="0" w:color="44B3E1"/>
              <w:bottom w:val="single" w:sz="4" w:space="0" w:color="44B3E1"/>
              <w:right w:val="nil"/>
            </w:tcBorders>
            <w:shd w:val="clear" w:color="auto" w:fill="156082"/>
            <w:vAlign w:val="center"/>
            <w:hideMark/>
          </w:tcPr>
          <w:p w14:paraId="28330B6A" w14:textId="77777777" w:rsidR="000318C5" w:rsidRPr="0095296E" w:rsidRDefault="000318C5" w:rsidP="006963D6">
            <w:pPr>
              <w:pStyle w:val="Tablehead"/>
              <w:rPr>
                <w:rFonts w:cstheme="minorHAnsi"/>
                <w:color w:val="FFFFFF" w:themeColor="background1"/>
                <w:sz w:val="18"/>
                <w:szCs w:val="18"/>
              </w:rPr>
            </w:pPr>
            <w:r w:rsidRPr="0095296E">
              <w:rPr>
                <w:color w:val="FFFFFF" w:themeColor="background1"/>
                <w:sz w:val="18"/>
                <w:szCs w:val="18"/>
              </w:rPr>
              <w:t>Приоритет/Тема</w:t>
            </w:r>
          </w:p>
        </w:tc>
        <w:tc>
          <w:tcPr>
            <w:tcW w:w="3122" w:type="dxa"/>
            <w:tcBorders>
              <w:top w:val="single" w:sz="4" w:space="0" w:color="44B3E1"/>
              <w:left w:val="nil"/>
              <w:bottom w:val="single" w:sz="4" w:space="0" w:color="44B3E1"/>
              <w:right w:val="nil"/>
            </w:tcBorders>
            <w:shd w:val="clear" w:color="auto" w:fill="156082"/>
            <w:vAlign w:val="center"/>
            <w:hideMark/>
          </w:tcPr>
          <w:p w14:paraId="4949A638"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Конечный результат</w:t>
            </w:r>
          </w:p>
        </w:tc>
        <w:tc>
          <w:tcPr>
            <w:tcW w:w="3177" w:type="dxa"/>
            <w:tcBorders>
              <w:top w:val="single" w:sz="4" w:space="0" w:color="44B3E1"/>
              <w:left w:val="nil"/>
              <w:bottom w:val="single" w:sz="4" w:space="0" w:color="44B3E1"/>
              <w:right w:val="nil"/>
            </w:tcBorders>
            <w:shd w:val="clear" w:color="auto" w:fill="156082"/>
            <w:vAlign w:val="center"/>
            <w:hideMark/>
          </w:tcPr>
          <w:p w14:paraId="297A7B7A" w14:textId="77777777"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Показатели конечных результатов</w:t>
            </w:r>
          </w:p>
        </w:tc>
        <w:tc>
          <w:tcPr>
            <w:tcW w:w="2436" w:type="dxa"/>
            <w:tcBorders>
              <w:top w:val="single" w:sz="4" w:space="0" w:color="44B3E1"/>
              <w:left w:val="nil"/>
              <w:bottom w:val="single" w:sz="4" w:space="0" w:color="44B3E1"/>
              <w:right w:val="nil"/>
            </w:tcBorders>
            <w:shd w:val="clear" w:color="auto" w:fill="156082"/>
            <w:vAlign w:val="center"/>
            <w:hideMark/>
          </w:tcPr>
          <w:p w14:paraId="5ADFB596" w14:textId="77777777" w:rsidR="000318C5" w:rsidRPr="0095296E" w:rsidRDefault="000318C5" w:rsidP="008C6C59">
            <w:pPr>
              <w:pStyle w:val="Tablehead"/>
              <w:tabs>
                <w:tab w:val="clear" w:pos="1134"/>
                <w:tab w:val="clear" w:pos="1871"/>
                <w:tab w:val="clear" w:pos="2268"/>
                <w:tab w:val="left" w:pos="284"/>
              </w:tabs>
              <w:ind w:left="-57" w:right="-57"/>
              <w:rPr>
                <w:rFonts w:cstheme="minorHAnsi"/>
                <w:color w:val="FFFFFF" w:themeColor="background1"/>
                <w:sz w:val="18"/>
                <w:szCs w:val="18"/>
              </w:rPr>
            </w:pPr>
            <w:r w:rsidRPr="0095296E">
              <w:rPr>
                <w:color w:val="FFFFFF" w:themeColor="background1"/>
                <w:sz w:val="18"/>
                <w:szCs w:val="18"/>
              </w:rPr>
              <w:t>Намеченные результаты деятельности (продукты и услуги МСЭ-D)</w:t>
            </w:r>
          </w:p>
        </w:tc>
        <w:tc>
          <w:tcPr>
            <w:tcW w:w="1175" w:type="dxa"/>
            <w:tcBorders>
              <w:top w:val="single" w:sz="4" w:space="0" w:color="44B3E1"/>
              <w:left w:val="nil"/>
              <w:bottom w:val="single" w:sz="4" w:space="0" w:color="44B3E1"/>
              <w:right w:val="nil"/>
            </w:tcBorders>
            <w:shd w:val="clear" w:color="auto" w:fill="156082"/>
            <w:vAlign w:val="center"/>
            <w:hideMark/>
          </w:tcPr>
          <w:p w14:paraId="53461328" w14:textId="386E089D"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Бюджет </w:t>
            </w:r>
            <w:r w:rsidR="008C6C59" w:rsidRPr="0095296E">
              <w:rPr>
                <w:color w:val="FFFFFF" w:themeColor="background1"/>
                <w:sz w:val="18"/>
                <w:szCs w:val="18"/>
              </w:rPr>
              <w:br/>
            </w:r>
            <w:r w:rsidRPr="0095296E">
              <w:rPr>
                <w:color w:val="FFFFFF" w:themeColor="background1"/>
                <w:sz w:val="18"/>
                <w:szCs w:val="18"/>
              </w:rPr>
              <w:t>на 2026 г. (шв. фр.)</w:t>
            </w:r>
          </w:p>
        </w:tc>
        <w:tc>
          <w:tcPr>
            <w:tcW w:w="1764" w:type="dxa"/>
            <w:tcBorders>
              <w:top w:val="single" w:sz="4" w:space="0" w:color="44B3E1"/>
              <w:left w:val="nil"/>
              <w:bottom w:val="single" w:sz="4" w:space="0" w:color="44B3E1"/>
              <w:right w:val="nil"/>
            </w:tcBorders>
            <w:shd w:val="clear" w:color="auto" w:fill="156082"/>
            <w:vAlign w:val="center"/>
            <w:hideMark/>
          </w:tcPr>
          <w:p w14:paraId="4259D34D" w14:textId="6DFA129E"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8C6C59" w:rsidRPr="0095296E">
              <w:rPr>
                <w:color w:val="FFFFFF" w:themeColor="background1"/>
                <w:sz w:val="18"/>
                <w:szCs w:val="18"/>
              </w:rPr>
              <w:br/>
            </w:r>
            <w:r w:rsidRPr="0095296E">
              <w:rPr>
                <w:color w:val="FFFFFF" w:themeColor="background1"/>
                <w:sz w:val="18"/>
                <w:szCs w:val="18"/>
              </w:rPr>
              <w:t>от общего объема приоритетов/</w:t>
            </w:r>
            <w:r w:rsidR="008C6C59" w:rsidRPr="0095296E">
              <w:rPr>
                <w:color w:val="FFFFFF" w:themeColor="background1"/>
                <w:sz w:val="18"/>
                <w:szCs w:val="18"/>
              </w:rPr>
              <w:br/>
            </w:r>
            <w:r w:rsidRPr="0095296E">
              <w:rPr>
                <w:color w:val="FFFFFF" w:themeColor="background1"/>
                <w:sz w:val="18"/>
                <w:szCs w:val="18"/>
              </w:rPr>
              <w:t>средств достижения целей</w:t>
            </w:r>
          </w:p>
        </w:tc>
        <w:tc>
          <w:tcPr>
            <w:tcW w:w="1162" w:type="dxa"/>
            <w:tcBorders>
              <w:top w:val="single" w:sz="4" w:space="0" w:color="44B3E1"/>
              <w:left w:val="nil"/>
              <w:bottom w:val="single" w:sz="4" w:space="0" w:color="44B3E1"/>
              <w:right w:val="single" w:sz="4" w:space="0" w:color="44B3E1"/>
            </w:tcBorders>
            <w:shd w:val="clear" w:color="auto" w:fill="156082"/>
            <w:vAlign w:val="center"/>
            <w:hideMark/>
          </w:tcPr>
          <w:p w14:paraId="0B0C0EC9" w14:textId="629824FE" w:rsidR="000318C5" w:rsidRPr="0095296E" w:rsidRDefault="000318C5" w:rsidP="008C6C59">
            <w:pPr>
              <w:pStyle w:val="Tablehead"/>
              <w:tabs>
                <w:tab w:val="clear" w:pos="1134"/>
                <w:tab w:val="clear" w:pos="1871"/>
                <w:tab w:val="clear" w:pos="2268"/>
                <w:tab w:val="left" w:pos="284"/>
              </w:tabs>
              <w:rPr>
                <w:rFonts w:cstheme="minorHAnsi"/>
                <w:color w:val="FFFFFF" w:themeColor="background1"/>
                <w:sz w:val="18"/>
                <w:szCs w:val="18"/>
              </w:rPr>
            </w:pPr>
            <w:r w:rsidRPr="0095296E">
              <w:rPr>
                <w:color w:val="FFFFFF" w:themeColor="background1"/>
                <w:sz w:val="18"/>
                <w:szCs w:val="18"/>
              </w:rPr>
              <w:t xml:space="preserve">Процент </w:t>
            </w:r>
            <w:r w:rsidR="008C6C59" w:rsidRPr="0095296E">
              <w:rPr>
                <w:color w:val="FFFFFF" w:themeColor="background1"/>
                <w:sz w:val="18"/>
                <w:szCs w:val="18"/>
              </w:rPr>
              <w:br/>
            </w:r>
            <w:r w:rsidRPr="0095296E">
              <w:rPr>
                <w:color w:val="FFFFFF" w:themeColor="background1"/>
                <w:sz w:val="18"/>
                <w:szCs w:val="18"/>
              </w:rPr>
              <w:t>от общего бюджета</w:t>
            </w:r>
          </w:p>
        </w:tc>
      </w:tr>
      <w:tr w:rsidR="000318C5" w:rsidRPr="0095296E" w14:paraId="3B820D65" w14:textId="77777777" w:rsidTr="008C6C59">
        <w:tc>
          <w:tcPr>
            <w:tcW w:w="8086" w:type="dxa"/>
            <w:gridSpan w:val="3"/>
            <w:tcBorders>
              <w:top w:val="single" w:sz="4" w:space="0" w:color="44B3E1"/>
              <w:left w:val="single" w:sz="4" w:space="0" w:color="44B3E1"/>
              <w:bottom w:val="single" w:sz="4" w:space="0" w:color="44B3E1"/>
              <w:right w:val="nil"/>
            </w:tcBorders>
            <w:shd w:val="clear" w:color="auto" w:fill="C0E6F5"/>
            <w:noWrap/>
            <w:hideMark/>
          </w:tcPr>
          <w:p w14:paraId="5C088664" w14:textId="2CCE5EC5"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sz w:val="18"/>
                <w:szCs w:val="18"/>
              </w:rPr>
            </w:pPr>
            <w:r w:rsidRPr="0095296E">
              <w:rPr>
                <w:b/>
                <w:sz w:val="18"/>
                <w:szCs w:val="18"/>
              </w:rPr>
              <w:t>Инклюзивная</w:t>
            </w:r>
            <w:r w:rsidR="000238CB" w:rsidRPr="0095296E">
              <w:rPr>
                <w:b/>
                <w:sz w:val="18"/>
                <w:szCs w:val="18"/>
              </w:rPr>
              <w:t>, безопасная</w:t>
            </w:r>
            <w:r w:rsidRPr="0095296E">
              <w:rPr>
                <w:b/>
                <w:sz w:val="18"/>
                <w:szCs w:val="18"/>
              </w:rPr>
              <w:t xml:space="preserve"> и защищенная электросвязь/ИКТ для устойчивого развития в целом</w:t>
            </w:r>
          </w:p>
        </w:tc>
        <w:tc>
          <w:tcPr>
            <w:tcW w:w="2436" w:type="dxa"/>
            <w:tcBorders>
              <w:top w:val="single" w:sz="4" w:space="0" w:color="44B3E1"/>
              <w:left w:val="nil"/>
              <w:bottom w:val="single" w:sz="4" w:space="0" w:color="44B3E1"/>
              <w:right w:val="nil"/>
            </w:tcBorders>
            <w:shd w:val="clear" w:color="auto" w:fill="C0E6F5"/>
            <w:noWrap/>
            <w:hideMark/>
          </w:tcPr>
          <w:p w14:paraId="4E188C69"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rPr>
                <w:rFonts w:cstheme="minorHAnsi"/>
                <w:b/>
                <w:sz w:val="18"/>
                <w:szCs w:val="18"/>
                <w:lang w:eastAsia="en-GB"/>
              </w:rPr>
            </w:pPr>
          </w:p>
        </w:tc>
        <w:tc>
          <w:tcPr>
            <w:tcW w:w="1175" w:type="dxa"/>
            <w:tcBorders>
              <w:top w:val="single" w:sz="4" w:space="0" w:color="44B3E1"/>
              <w:left w:val="nil"/>
              <w:bottom w:val="single" w:sz="4" w:space="0" w:color="44B3E1"/>
              <w:right w:val="nil"/>
            </w:tcBorders>
            <w:shd w:val="clear" w:color="auto" w:fill="C0E6F5"/>
            <w:noWrap/>
            <w:hideMark/>
          </w:tcPr>
          <w:p w14:paraId="1ECF6912"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rPr>
            </w:pPr>
            <w:r w:rsidRPr="0095296E">
              <w:rPr>
                <w:b/>
                <w:sz w:val="18"/>
                <w:szCs w:val="18"/>
              </w:rPr>
              <w:t>736 500</w:t>
            </w:r>
          </w:p>
        </w:tc>
        <w:tc>
          <w:tcPr>
            <w:tcW w:w="1764" w:type="dxa"/>
            <w:tcBorders>
              <w:top w:val="single" w:sz="4" w:space="0" w:color="44B3E1"/>
              <w:left w:val="nil"/>
              <w:bottom w:val="single" w:sz="4" w:space="0" w:color="44B3E1"/>
              <w:right w:val="nil"/>
            </w:tcBorders>
            <w:shd w:val="clear" w:color="auto" w:fill="C0E6F5"/>
            <w:noWrap/>
            <w:hideMark/>
          </w:tcPr>
          <w:p w14:paraId="15FE919D"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lang w:eastAsia="en-GB"/>
              </w:rPr>
            </w:pPr>
          </w:p>
        </w:tc>
        <w:tc>
          <w:tcPr>
            <w:tcW w:w="1162" w:type="dxa"/>
            <w:tcBorders>
              <w:top w:val="single" w:sz="4" w:space="0" w:color="44B3E1"/>
              <w:left w:val="nil"/>
              <w:bottom w:val="single" w:sz="4" w:space="0" w:color="44B3E1"/>
              <w:right w:val="single" w:sz="4" w:space="0" w:color="44B3E1"/>
            </w:tcBorders>
            <w:shd w:val="clear" w:color="auto" w:fill="C0E6F5"/>
            <w:noWrap/>
            <w:hideMark/>
          </w:tcPr>
          <w:p w14:paraId="6224DEBE"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80" w:after="80"/>
              <w:jc w:val="center"/>
              <w:rPr>
                <w:rFonts w:cstheme="minorHAnsi"/>
                <w:b/>
                <w:sz w:val="18"/>
                <w:szCs w:val="18"/>
              </w:rPr>
            </w:pPr>
            <w:r w:rsidRPr="0095296E">
              <w:rPr>
                <w:b/>
                <w:sz w:val="18"/>
                <w:szCs w:val="18"/>
              </w:rPr>
              <w:t>19,32</w:t>
            </w:r>
          </w:p>
        </w:tc>
      </w:tr>
      <w:tr w:rsidR="008C6C59" w:rsidRPr="0095296E" w14:paraId="55D7EADA" w14:textId="77777777" w:rsidTr="008C6C59">
        <w:tc>
          <w:tcPr>
            <w:tcW w:w="1787" w:type="dxa"/>
            <w:tcBorders>
              <w:top w:val="single" w:sz="4" w:space="0" w:color="44B3E1"/>
              <w:left w:val="single" w:sz="4" w:space="0" w:color="44B3E1"/>
              <w:bottom w:val="single" w:sz="4" w:space="0" w:color="44B3E1"/>
              <w:right w:val="nil"/>
            </w:tcBorders>
            <w:noWrap/>
            <w:hideMark/>
          </w:tcPr>
          <w:p w14:paraId="0748A487" w14:textId="77777777" w:rsidR="000318C5" w:rsidRPr="0095296E" w:rsidRDefault="000318C5" w:rsidP="0040323A">
            <w:pPr>
              <w:pStyle w:val="Tabletext"/>
              <w:spacing w:before="20" w:after="20" w:line="200" w:lineRule="exact"/>
              <w:ind w:right="-57"/>
              <w:rPr>
                <w:rFonts w:cstheme="minorHAnsi"/>
                <w:b/>
                <w:sz w:val="18"/>
                <w:szCs w:val="18"/>
              </w:rPr>
            </w:pPr>
            <w:r w:rsidRPr="0095296E">
              <w:rPr>
                <w:b/>
                <w:sz w:val="18"/>
                <w:szCs w:val="18"/>
              </w:rPr>
              <w:t>Кибербезопасность</w:t>
            </w:r>
          </w:p>
        </w:tc>
        <w:tc>
          <w:tcPr>
            <w:tcW w:w="3122" w:type="dxa"/>
            <w:tcBorders>
              <w:top w:val="single" w:sz="4" w:space="0" w:color="44B3E1"/>
              <w:left w:val="nil"/>
              <w:bottom w:val="single" w:sz="4" w:space="0" w:color="44B3E1"/>
              <w:right w:val="nil"/>
            </w:tcBorders>
            <w:hideMark/>
          </w:tcPr>
          <w:p w14:paraId="1E82A0AA"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Повышение уровня грамотности и осведомленности по вопросам кибербезопасности</w:t>
            </w:r>
          </w:p>
          <w:p w14:paraId="60D1A5AC"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Укрепление </w:t>
            </w:r>
            <w:r w:rsidR="000318C5" w:rsidRPr="0095296E">
              <w:rPr>
                <w:sz w:val="18"/>
                <w:szCs w:val="18"/>
              </w:rPr>
              <w:t>потенциала для реагирования на киберинциденты и кибератаки</w:t>
            </w:r>
          </w:p>
          <w:p w14:paraId="08DC7170" w14:textId="684C2B9A"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Повышение </w:t>
            </w:r>
            <w:r w:rsidR="000318C5" w:rsidRPr="0095296E">
              <w:rPr>
                <w:sz w:val="18"/>
                <w:szCs w:val="18"/>
              </w:rPr>
              <w:t>уровня защиты ребенка в онлайновой среде</w:t>
            </w:r>
          </w:p>
        </w:tc>
        <w:tc>
          <w:tcPr>
            <w:tcW w:w="3177" w:type="dxa"/>
            <w:tcBorders>
              <w:top w:val="single" w:sz="4" w:space="0" w:color="44B3E1"/>
              <w:left w:val="nil"/>
              <w:bottom w:val="single" w:sz="4" w:space="0" w:color="44B3E1"/>
              <w:right w:val="nil"/>
            </w:tcBorders>
            <w:hideMark/>
          </w:tcPr>
          <w:p w14:paraId="073E9AF6" w14:textId="77777777" w:rsidR="009B3DD1"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включивших стратегии кибербезопасности в свои национальные программы развития</w:t>
            </w:r>
          </w:p>
          <w:p w14:paraId="28F05FCB" w14:textId="77777777" w:rsidR="00990801" w:rsidRPr="0095296E" w:rsidRDefault="009B3DD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Государств-Членов, в которых созданы и усилены группы реагирования на компьютерные инциденты (CIRT)</w:t>
            </w:r>
          </w:p>
          <w:p w14:paraId="4FB04B23" w14:textId="77777777" w:rsidR="00990801"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Процентная доля Государств-Членов, национальные CIRT которых (или их эквиваленты) являются членами или участниками соответствующих региональных или глобальных совместных инициатив</w:t>
            </w:r>
          </w:p>
          <w:p w14:paraId="0BF8977A" w14:textId="0F3C6207" w:rsidR="000318C5"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color w:val="000000" w:themeColor="text1"/>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Количество </w:t>
            </w:r>
            <w:r w:rsidR="000318C5" w:rsidRPr="0095296E">
              <w:rPr>
                <w:sz w:val="18"/>
                <w:szCs w:val="18"/>
              </w:rPr>
              <w:t>Государств-Членов, имеющих политику/стратегию защиты ребенка в онлайновой среде</w:t>
            </w:r>
          </w:p>
          <w:p w14:paraId="5AD7E93A" w14:textId="1A89682F" w:rsidR="000318C5"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в которых имеются системы поддержки ребенка в онлайновой среде (например, телефоны доверия, системы направлений к специалистам)</w:t>
            </w:r>
          </w:p>
        </w:tc>
        <w:tc>
          <w:tcPr>
            <w:tcW w:w="2436" w:type="dxa"/>
            <w:tcBorders>
              <w:top w:val="single" w:sz="4" w:space="0" w:color="44B3E1"/>
              <w:left w:val="nil"/>
              <w:bottom w:val="single" w:sz="4" w:space="0" w:color="44B3E1"/>
              <w:right w:val="nil"/>
            </w:tcBorders>
            <w:hideMark/>
          </w:tcPr>
          <w:p w14:paraId="7C45F325"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Платформы для созыва мероприятий</w:t>
            </w:r>
          </w:p>
          <w:p w14:paraId="1E86CE60" w14:textId="77777777" w:rsidR="003F1E66"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Системы </w:t>
            </w:r>
            <w:r w:rsidR="000318C5" w:rsidRPr="0095296E">
              <w:rPr>
                <w:sz w:val="18"/>
                <w:szCs w:val="18"/>
              </w:rPr>
              <w:t>обучения</w:t>
            </w:r>
          </w:p>
          <w:p w14:paraId="1F4CB23D" w14:textId="1BE01577" w:rsidR="00087944" w:rsidRPr="0095296E" w:rsidRDefault="003F1E66"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t>Т</w:t>
            </w:r>
            <w:r w:rsidR="000318C5" w:rsidRPr="0095296E">
              <w:rPr>
                <w:sz w:val="18"/>
                <w:szCs w:val="18"/>
              </w:rPr>
              <w:t>иповые направления политики и стратегии, комплекты материалов</w:t>
            </w:r>
          </w:p>
          <w:p w14:paraId="46B75CAF" w14:textId="77777777" w:rsidR="00087944"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p w14:paraId="281B41F8" w14:textId="016B1A85" w:rsidR="000318C5" w:rsidRPr="0095296E" w:rsidRDefault="00087944"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Статистические </w:t>
            </w:r>
            <w:r w:rsidR="000318C5" w:rsidRPr="0095296E">
              <w:rPr>
                <w:sz w:val="18"/>
                <w:szCs w:val="18"/>
              </w:rPr>
              <w:t xml:space="preserve">данные </w:t>
            </w:r>
          </w:p>
        </w:tc>
        <w:tc>
          <w:tcPr>
            <w:tcW w:w="1175" w:type="dxa"/>
            <w:tcBorders>
              <w:top w:val="single" w:sz="4" w:space="0" w:color="44B3E1"/>
              <w:left w:val="nil"/>
              <w:bottom w:val="single" w:sz="4" w:space="0" w:color="44B3E1"/>
              <w:right w:val="nil"/>
            </w:tcBorders>
            <w:noWrap/>
            <w:hideMark/>
          </w:tcPr>
          <w:p w14:paraId="38BE9026"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465 000</w:t>
            </w:r>
          </w:p>
        </w:tc>
        <w:tc>
          <w:tcPr>
            <w:tcW w:w="1764" w:type="dxa"/>
            <w:tcBorders>
              <w:top w:val="single" w:sz="4" w:space="0" w:color="44B3E1"/>
              <w:left w:val="nil"/>
              <w:bottom w:val="single" w:sz="4" w:space="0" w:color="44B3E1"/>
              <w:right w:val="nil"/>
            </w:tcBorders>
            <w:noWrap/>
            <w:hideMark/>
          </w:tcPr>
          <w:p w14:paraId="01ACDF78"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63,1</w:t>
            </w:r>
          </w:p>
        </w:tc>
        <w:tc>
          <w:tcPr>
            <w:tcW w:w="1162" w:type="dxa"/>
            <w:tcBorders>
              <w:top w:val="single" w:sz="4" w:space="0" w:color="44B3E1"/>
              <w:left w:val="nil"/>
              <w:bottom w:val="single" w:sz="4" w:space="0" w:color="44B3E1"/>
              <w:right w:val="single" w:sz="4" w:space="0" w:color="44B3E1"/>
            </w:tcBorders>
            <w:noWrap/>
            <w:hideMark/>
          </w:tcPr>
          <w:p w14:paraId="6005B404"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12,2</w:t>
            </w:r>
          </w:p>
        </w:tc>
      </w:tr>
      <w:tr w:rsidR="008C6C59" w:rsidRPr="0095296E" w14:paraId="5108FB17" w14:textId="77777777" w:rsidTr="008C6C59">
        <w:tc>
          <w:tcPr>
            <w:tcW w:w="1787" w:type="dxa"/>
            <w:tcBorders>
              <w:top w:val="single" w:sz="4" w:space="0" w:color="44B3E1"/>
              <w:left w:val="single" w:sz="4" w:space="0" w:color="44B3E1"/>
              <w:bottom w:val="single" w:sz="4" w:space="0" w:color="44B3E1"/>
              <w:right w:val="nil"/>
            </w:tcBorders>
            <w:shd w:val="clear" w:color="auto" w:fill="C0E6F5"/>
            <w:noWrap/>
            <w:hideMark/>
          </w:tcPr>
          <w:p w14:paraId="57597F2A" w14:textId="77777777" w:rsidR="000318C5" w:rsidRPr="0095296E" w:rsidRDefault="000318C5" w:rsidP="0040323A">
            <w:pPr>
              <w:pStyle w:val="Tabletext"/>
              <w:spacing w:before="20" w:after="20" w:line="200" w:lineRule="exact"/>
              <w:rPr>
                <w:rFonts w:cstheme="minorHAnsi"/>
                <w:b/>
                <w:sz w:val="18"/>
                <w:szCs w:val="18"/>
              </w:rPr>
            </w:pPr>
            <w:r w:rsidRPr="0095296E">
              <w:rPr>
                <w:b/>
                <w:sz w:val="18"/>
                <w:szCs w:val="18"/>
              </w:rPr>
              <w:t>Охват цифровыми технологиями</w:t>
            </w:r>
          </w:p>
        </w:tc>
        <w:tc>
          <w:tcPr>
            <w:tcW w:w="3122" w:type="dxa"/>
            <w:tcBorders>
              <w:top w:val="single" w:sz="4" w:space="0" w:color="44B3E1"/>
              <w:left w:val="nil"/>
              <w:bottom w:val="single" w:sz="4" w:space="0" w:color="44B3E1"/>
              <w:right w:val="nil"/>
            </w:tcBorders>
            <w:shd w:val="clear" w:color="auto" w:fill="C0E6F5"/>
            <w:hideMark/>
          </w:tcPr>
          <w:p w14:paraId="1F706386" w14:textId="28E216D8" w:rsidR="000318C5"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Укрепление потенциала Членов МСЭ для разработки стратегий, политики и практики охвата цифровыми технологиями и равенства, в частности с целью расширения прав и возможностей женщин и девушек, лиц с ограниченными возможностями</w:t>
            </w:r>
          </w:p>
        </w:tc>
        <w:tc>
          <w:tcPr>
            <w:tcW w:w="3177" w:type="dxa"/>
            <w:tcBorders>
              <w:top w:val="single" w:sz="4" w:space="0" w:color="44B3E1"/>
              <w:left w:val="nil"/>
              <w:bottom w:val="single" w:sz="4" w:space="0" w:color="44B3E1"/>
              <w:right w:val="nil"/>
            </w:tcBorders>
            <w:shd w:val="clear" w:color="auto" w:fill="C0E6F5"/>
            <w:hideMark/>
          </w:tcPr>
          <w:p w14:paraId="4151FECA" w14:textId="77777777" w:rsidR="00990801"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Количество Государств-Членов, разработавших политику и стратегию охвата цифровыми технологиями на национальном уровне</w:t>
            </w:r>
          </w:p>
          <w:p w14:paraId="35A6C96C" w14:textId="21AAEDEC" w:rsidR="000318C5"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Bid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5500A6" w:rsidRPr="0095296E">
              <w:rPr>
                <w:rFonts w:cs="Calibri"/>
                <w:color w:val="000000" w:themeColor="text1"/>
                <w:sz w:val="18"/>
                <w:szCs w:val="18"/>
                <w:lang w:eastAsia="en-GB"/>
              </w:rPr>
              <w:t>К</w:t>
            </w:r>
            <w:r w:rsidRPr="0095296E">
              <w:rPr>
                <w:sz w:val="18"/>
                <w:szCs w:val="18"/>
              </w:rPr>
              <w:t xml:space="preserve">оличество </w:t>
            </w:r>
            <w:r w:rsidR="000318C5" w:rsidRPr="0095296E">
              <w:rPr>
                <w:sz w:val="18"/>
                <w:szCs w:val="18"/>
              </w:rPr>
              <w:t>Государств-Членов, осуществивших инициативы по охвату цифровыми технологиями за последние два года</w:t>
            </w:r>
          </w:p>
        </w:tc>
        <w:tc>
          <w:tcPr>
            <w:tcW w:w="2436" w:type="dxa"/>
            <w:tcBorders>
              <w:top w:val="single" w:sz="4" w:space="0" w:color="44B3E1"/>
              <w:left w:val="nil"/>
              <w:bottom w:val="single" w:sz="4" w:space="0" w:color="44B3E1"/>
              <w:right w:val="nil"/>
            </w:tcBorders>
            <w:shd w:val="clear" w:color="auto" w:fill="C0E6F5"/>
            <w:hideMark/>
          </w:tcPr>
          <w:p w14:paraId="36FB4688" w14:textId="77777777" w:rsidR="00990801"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Calibri"/>
                <w:color w:val="000000" w:themeColor="text1"/>
                <w:sz w:val="18"/>
                <w:szCs w:val="18"/>
                <w:lang w:eastAsia="en-GB"/>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000318C5" w:rsidRPr="0095296E">
              <w:rPr>
                <w:sz w:val="18"/>
                <w:szCs w:val="18"/>
              </w:rPr>
              <w:t>Системы обучения</w:t>
            </w:r>
          </w:p>
          <w:p w14:paraId="09BF8CEC" w14:textId="77777777" w:rsidR="00990801"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Платформы </w:t>
            </w:r>
            <w:r w:rsidR="000318C5" w:rsidRPr="0095296E">
              <w:rPr>
                <w:sz w:val="18"/>
                <w:szCs w:val="18"/>
              </w:rPr>
              <w:t>для созыва мероприятий</w:t>
            </w:r>
          </w:p>
          <w:p w14:paraId="6A497D34" w14:textId="77777777" w:rsidR="00990801"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Типовые </w:t>
            </w:r>
            <w:r w:rsidR="000318C5" w:rsidRPr="0095296E">
              <w:rPr>
                <w:sz w:val="18"/>
                <w:szCs w:val="18"/>
              </w:rPr>
              <w:t>направления политики и стратегии, комплекты материалов</w:t>
            </w:r>
          </w:p>
          <w:p w14:paraId="5A8A017C" w14:textId="4798FE70" w:rsidR="000318C5" w:rsidRPr="0095296E" w:rsidRDefault="00990801" w:rsidP="0040323A">
            <w:pPr>
              <w:pStyle w:val="Tabletext"/>
              <w:tabs>
                <w:tab w:val="clear" w:pos="284"/>
                <w:tab w:val="clear" w:pos="851"/>
                <w:tab w:val="clear" w:pos="1134"/>
                <w:tab w:val="clear" w:pos="1418"/>
                <w:tab w:val="clear" w:pos="1871"/>
                <w:tab w:val="clear" w:pos="1985"/>
                <w:tab w:val="clear" w:pos="2268"/>
                <w:tab w:val="clear" w:pos="2552"/>
                <w:tab w:val="clear" w:pos="3119"/>
                <w:tab w:val="clear" w:pos="3402"/>
                <w:tab w:val="clear" w:pos="3686"/>
                <w:tab w:val="clear" w:pos="3969"/>
              </w:tabs>
              <w:spacing w:before="20" w:after="20" w:line="200" w:lineRule="exact"/>
              <w:ind w:left="222" w:hanging="222"/>
              <w:rPr>
                <w:rFonts w:cstheme="minorHAnsi"/>
                <w:sz w:val="18"/>
                <w:szCs w:val="18"/>
              </w:rPr>
            </w:pPr>
            <w:r w:rsidRPr="0095296E">
              <w:rPr>
                <w:rFonts w:cs="Calibri"/>
                <w:color w:val="000000" w:themeColor="text1"/>
                <w:sz w:val="18"/>
                <w:szCs w:val="18"/>
                <w:lang w:eastAsia="en-GB"/>
              </w:rPr>
              <w:t>•</w:t>
            </w:r>
            <w:r w:rsidRPr="0095296E">
              <w:rPr>
                <w:rFonts w:cs="Calibri"/>
                <w:color w:val="000000" w:themeColor="text1"/>
                <w:sz w:val="18"/>
                <w:szCs w:val="18"/>
                <w:lang w:eastAsia="en-GB"/>
              </w:rPr>
              <w:tab/>
            </w:r>
            <w:r w:rsidRPr="0095296E">
              <w:rPr>
                <w:sz w:val="18"/>
                <w:szCs w:val="18"/>
              </w:rPr>
              <w:t xml:space="preserve">Технические </w:t>
            </w:r>
            <w:r w:rsidR="000318C5" w:rsidRPr="0095296E">
              <w:rPr>
                <w:sz w:val="18"/>
                <w:szCs w:val="18"/>
              </w:rPr>
              <w:t>меры</w:t>
            </w:r>
          </w:p>
        </w:tc>
        <w:tc>
          <w:tcPr>
            <w:tcW w:w="1175" w:type="dxa"/>
            <w:tcBorders>
              <w:top w:val="single" w:sz="4" w:space="0" w:color="44B3E1"/>
              <w:left w:val="nil"/>
              <w:bottom w:val="single" w:sz="4" w:space="0" w:color="44B3E1"/>
              <w:right w:val="nil"/>
            </w:tcBorders>
            <w:shd w:val="clear" w:color="auto" w:fill="C0E6F5"/>
            <w:noWrap/>
            <w:hideMark/>
          </w:tcPr>
          <w:p w14:paraId="7B67D64C"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271 500</w:t>
            </w:r>
          </w:p>
        </w:tc>
        <w:tc>
          <w:tcPr>
            <w:tcW w:w="1764" w:type="dxa"/>
            <w:tcBorders>
              <w:top w:val="single" w:sz="4" w:space="0" w:color="44B3E1"/>
              <w:left w:val="nil"/>
              <w:bottom w:val="single" w:sz="4" w:space="0" w:color="44B3E1"/>
              <w:right w:val="nil"/>
            </w:tcBorders>
            <w:shd w:val="clear" w:color="auto" w:fill="C0E6F5"/>
            <w:noWrap/>
            <w:hideMark/>
          </w:tcPr>
          <w:p w14:paraId="59952329"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36,9</w:t>
            </w:r>
          </w:p>
        </w:tc>
        <w:tc>
          <w:tcPr>
            <w:tcW w:w="1162" w:type="dxa"/>
            <w:tcBorders>
              <w:top w:val="single" w:sz="4" w:space="0" w:color="44B3E1"/>
              <w:left w:val="nil"/>
              <w:bottom w:val="single" w:sz="4" w:space="0" w:color="44B3E1"/>
              <w:right w:val="single" w:sz="4" w:space="0" w:color="44B3E1"/>
            </w:tcBorders>
            <w:shd w:val="clear" w:color="auto" w:fill="C0E6F5"/>
            <w:noWrap/>
            <w:hideMark/>
          </w:tcPr>
          <w:p w14:paraId="4972B7FB" w14:textId="77777777" w:rsidR="000318C5" w:rsidRPr="0095296E" w:rsidRDefault="000318C5" w:rsidP="008C6C59">
            <w:pPr>
              <w:pStyle w:val="Tabletext"/>
              <w:tabs>
                <w:tab w:val="clear" w:pos="851"/>
                <w:tab w:val="clear" w:pos="1134"/>
                <w:tab w:val="clear" w:pos="1418"/>
                <w:tab w:val="clear" w:pos="1871"/>
                <w:tab w:val="clear" w:pos="1985"/>
                <w:tab w:val="clear" w:pos="2268"/>
                <w:tab w:val="clear" w:pos="2552"/>
                <w:tab w:val="clear" w:pos="3119"/>
                <w:tab w:val="clear" w:pos="3402"/>
                <w:tab w:val="clear" w:pos="3686"/>
                <w:tab w:val="clear" w:pos="3969"/>
              </w:tabs>
              <w:jc w:val="center"/>
              <w:rPr>
                <w:rFonts w:cstheme="minorHAnsi"/>
                <w:sz w:val="18"/>
                <w:szCs w:val="18"/>
              </w:rPr>
            </w:pPr>
            <w:r w:rsidRPr="0095296E">
              <w:rPr>
                <w:sz w:val="18"/>
                <w:szCs w:val="18"/>
              </w:rPr>
              <w:t>7,1</w:t>
            </w:r>
          </w:p>
        </w:tc>
      </w:tr>
    </w:tbl>
    <w:p w14:paraId="7F8A8E7F" w14:textId="77777777" w:rsidR="000318C5" w:rsidRPr="0095296E" w:rsidRDefault="000318C5" w:rsidP="00AC2318">
      <w:pPr>
        <w:spacing w:before="0"/>
        <w:sectPr w:rsidR="000318C5" w:rsidRPr="0095296E" w:rsidSect="000318C5">
          <w:headerReference w:type="default" r:id="rId52"/>
          <w:headerReference w:type="first" r:id="rId53"/>
          <w:pgSz w:w="16840" w:h="11907" w:orient="landscape" w:code="9"/>
          <w:pgMar w:top="1418" w:right="1134" w:bottom="1134" w:left="1134" w:header="567" w:footer="567" w:gutter="0"/>
          <w:cols w:space="720"/>
          <w:titlePg/>
          <w:docGrid w:linePitch="326"/>
        </w:sectPr>
      </w:pPr>
    </w:p>
    <w:p w14:paraId="68BEFC9B" w14:textId="77777777" w:rsidR="00A127E8" w:rsidRPr="0095296E" w:rsidRDefault="00A127E8" w:rsidP="00A127E8">
      <w:pPr>
        <w:pStyle w:val="Headingb"/>
        <w:rPr>
          <w:i/>
          <w:iCs/>
          <w:lang w:val="ru-RU"/>
        </w:rPr>
      </w:pPr>
      <w:r w:rsidRPr="0095296E">
        <w:rPr>
          <w:bCs/>
          <w:i/>
          <w:iCs/>
          <w:lang w:val="ru-RU"/>
        </w:rPr>
        <w:lastRenderedPageBreak/>
        <w:t xml:space="preserve">Основные достигнутые результаты 2026 года: Приоритет 5 МСЭ-D – </w:t>
      </w:r>
      <w:r w:rsidRPr="0095296E">
        <w:rPr>
          <w:i/>
          <w:iCs/>
          <w:lang w:val="ru-RU"/>
        </w:rPr>
        <w:t>Инклюзивная, безопасная и защищенная электросвязь</w:t>
      </w:r>
      <w:r w:rsidRPr="0095296E">
        <w:rPr>
          <w:lang w:val="ru-RU"/>
        </w:rPr>
        <w:t>/</w:t>
      </w:r>
      <w:r w:rsidRPr="0095296E">
        <w:rPr>
          <w:i/>
          <w:iCs/>
          <w:lang w:val="ru-RU"/>
        </w:rPr>
        <w:t>ИКТ для устойчивого развития</w:t>
      </w:r>
    </w:p>
    <w:p w14:paraId="01EDA433" w14:textId="77777777" w:rsidR="00A127E8" w:rsidRPr="0095296E" w:rsidRDefault="00A127E8" w:rsidP="00A127E8">
      <w:r w:rsidRPr="0095296E">
        <w:t>Четвертый раунд реализации инициативы "Ее киберследы", начавшийся в марте, включает страны Азиатско-Тихоокеанского региона и предусматривает новое направление по киберпространству и ИИ, отражающее меняющуюся среду кибербезопасности.</w:t>
      </w:r>
    </w:p>
    <w:p w14:paraId="14C0DC7F" w14:textId="77777777" w:rsidR="00A127E8" w:rsidRPr="0095296E" w:rsidRDefault="00A127E8" w:rsidP="00A127E8">
      <w:r w:rsidRPr="0095296E">
        <w:t>МСЭ совместно с другими учреждениями системы ООН и различными заинтересованными сторонами подписал Совместное заявление по ИИ и правам ребенка.</w:t>
      </w:r>
    </w:p>
    <w:p w14:paraId="45D7AECF" w14:textId="73BECF54" w:rsidR="00A127E8" w:rsidRPr="0095296E" w:rsidRDefault="00A127E8" w:rsidP="00A127E8">
      <w:r w:rsidRPr="0095296E">
        <w:t xml:space="preserve">В </w:t>
      </w:r>
      <w:r w:rsidRPr="0095296E">
        <w:rPr>
          <w:b/>
          <w:bCs/>
        </w:rPr>
        <w:t>Африке</w:t>
      </w:r>
      <w:r w:rsidRPr="0095296E">
        <w:t xml:space="preserve"> в январе в Демократической Республике Конго был организован семинар-практикум в поддержку укрепления национального согласования применительно к созданию отраслевых CIRT. В феврале техническая поддержка в развитии отраслевых CIRT была оказана в Мозамбике, где 60 заинтересованных сторон прошли профессиональную подготовку, а также были приняты меры по укреплению межучрежденческой координации. Ведется подготовка к проведению в Зимбабве с 30 июня по 3 июля Регионального учебного занятия по кибербезопасности для стран Африки.</w:t>
      </w:r>
    </w:p>
    <w:p w14:paraId="7E5A0E4B" w14:textId="77777777" w:rsidR="00A127E8" w:rsidRPr="0095296E" w:rsidRDefault="00A127E8" w:rsidP="00A127E8">
      <w:r w:rsidRPr="0095296E">
        <w:t xml:space="preserve">В </w:t>
      </w:r>
      <w:r w:rsidRPr="0095296E">
        <w:rPr>
          <w:b/>
          <w:bCs/>
        </w:rPr>
        <w:t>регионе Северной и Южной Америки</w:t>
      </w:r>
      <w:r w:rsidRPr="0095296E">
        <w:t xml:space="preserve"> в рамках заключительного этапа проекта создания CIRT на Багамских Островах БРЭ развернуло цифровые инструменты судебной экспертизы и провело обучение на месте с 16 по 24 марта. Мероприятия по реализации завершатся в апреле заключительными сессиями программы онлайновой профессиональной подготовки.</w:t>
      </w:r>
    </w:p>
    <w:p w14:paraId="5FE33DF1" w14:textId="77777777" w:rsidR="00A127E8" w:rsidRPr="0095296E" w:rsidRDefault="00A127E8" w:rsidP="00A127E8">
      <w:r w:rsidRPr="0095296E">
        <w:t xml:space="preserve">В </w:t>
      </w:r>
      <w:r w:rsidRPr="0095296E">
        <w:rPr>
          <w:b/>
          <w:bCs/>
        </w:rPr>
        <w:t>Азиатско-Тихоокеанском регионе</w:t>
      </w:r>
      <w:r w:rsidRPr="0095296E">
        <w:t xml:space="preserve"> БРЭ провело учебные занятия с 13 по 16 января в рамках курса по созданию потенциала и политике в области кибербезопасности, организованного Пакистаном и Институтом Организации Объединенных Наций по исследованию проблем разоружения (ЮНИДИР) в Исламабаде. Эти занятия, организованные в сотрудничестве с ЮНИДИР и министерством иностранных дел Пакистана при поддержке Канады, были посвящены укреплению национальных групп реагирования на компьютерные инциденты и защиты важнейшей информационной инфраструктуры, национальным стратегиям кибербезопасности, а также технической подготовке специалистов по реагированию на инциденты.</w:t>
      </w:r>
    </w:p>
    <w:p w14:paraId="2BCC3991" w14:textId="04E7E52F" w:rsidR="00A127E8" w:rsidRPr="0095296E" w:rsidRDefault="00A127E8" w:rsidP="00A127E8">
      <w:r w:rsidRPr="0095296E">
        <w:t>Кроме того, БРЭ в сотрудничестве с Республикой Корея организовало межрегиональное учебное мероприятие по стандартам МСЭ-Т в области кибербезопасности для экспертов в области кибербезопасности из Азиатско-Тихоокеанского региона и региона СНГ. Основываясь на Рекомендациях МСЭ-Т по защите данных (X.1220/X.nspam) и беспарольной аутентификации (X.1280), Ассоциация технологий электросвязи (TTA) и Альянс "Без пароля" Республики Корея в партнерстве с БРЭ провели этот важный курс профессиональной подготовки в Бангкоке 11–13 февраля 2026</w:t>
      </w:r>
      <w:r w:rsidR="0024149C" w:rsidRPr="0095296E">
        <w:t> </w:t>
      </w:r>
      <w:r w:rsidRPr="0095296E">
        <w:t>года.</w:t>
      </w:r>
    </w:p>
    <w:p w14:paraId="54C9428C" w14:textId="09D4731A" w:rsidR="00A127E8" w:rsidRPr="0095296E" w:rsidRDefault="00A127E8" w:rsidP="00A127E8">
      <w:r w:rsidRPr="0095296E">
        <w:t xml:space="preserve">В </w:t>
      </w:r>
      <w:r w:rsidRPr="0095296E">
        <w:rPr>
          <w:b/>
          <w:bCs/>
        </w:rPr>
        <w:t>регионе СНГ</w:t>
      </w:r>
      <w:r w:rsidRPr="0095296E">
        <w:t xml:space="preserve"> совместный проект МСЭ и Всемирного банка помог создать в Кыргызской Республике национальную группу реагирования на компьютерные инциденты (CIRT), укрепив институциональный потенциал для обнаружения угроз в сфере кибербезопасности, реагирования на них и смягчения их последствий. Благодаря предоставлению технической инфраструктуры, профессиональной подготовке и оперативному руководству эта инициатива повысила киберустойчивость страны и способствовала созданию более безопасной и надежной цифровой среды в соответствии с передовым международным опытом. Официальное мероприятие, посвященное началу деятельности CIRT, состоялось в Бишкеке 12 марта 2026 года.</w:t>
      </w:r>
    </w:p>
    <w:p w14:paraId="480ACAA7" w14:textId="32E6006F" w:rsidR="00A127E8" w:rsidRPr="0095296E" w:rsidRDefault="00A127E8" w:rsidP="00A127E8">
      <w:r w:rsidRPr="0095296E">
        <w:t>В подготовленном БРЭ отчете об оценке создания в Таджикистане отраслевой группы реагирования на компьютерные инциденты (CIRT) содержится углубленный анализ готовности страны в плане кибербезопасности, а также освещаются ключевые пробелы, институциональные потребности и стратегические приоритеты для реализации. В отчете выражается поддержка принятия решений на основе фактических данных путем разработки дорожной карты для создания эффективной CIRT, что способствует укреплению национальной киберустойчивости и усилению защиты критической цифровой инфраструктуры в соответствии с передовым международным опытом.</w:t>
      </w:r>
    </w:p>
    <w:p w14:paraId="610D41AE" w14:textId="47135800" w:rsidR="00A127E8" w:rsidRPr="0095296E" w:rsidRDefault="00A127E8" w:rsidP="00A127E8">
      <w:r w:rsidRPr="0095296E">
        <w:lastRenderedPageBreak/>
        <w:t>12 марта БРЭ, Министерство высокотехнологической промышленности Республики Армени</w:t>
      </w:r>
      <w:r w:rsidR="0024149C" w:rsidRPr="0095296E">
        <w:t>и</w:t>
      </w:r>
      <w:r w:rsidRPr="0095296E">
        <w:t>, Агентство информационных систем Армении (ISAA), Союз операторов Армении и ассоциация для женщин For Ladies Club организовали собрание под названием "Безопасность детей в онлайновой среде – наша общая ответственность". В ходе обсуждения, в котором приняли участие педагоги, матери и другие заинтересованные стороны, рассматривались текущие проблемы, связанные с безопасностью детей в онлайновой среде, и возможные пути их решения.</w:t>
      </w:r>
    </w:p>
    <w:p w14:paraId="549DA852" w14:textId="6EE942E6" w:rsidR="00A127E8" w:rsidRPr="0095296E" w:rsidRDefault="00A127E8" w:rsidP="00A127E8">
      <w:pPr>
        <w:pStyle w:val="Headingb"/>
        <w:rPr>
          <w:rFonts w:cs="Calibri"/>
          <w:color w:val="000000"/>
          <w:szCs w:val="24"/>
          <w:lang w:val="ru-RU"/>
        </w:rPr>
      </w:pPr>
      <w:r w:rsidRPr="0095296E">
        <w:rPr>
          <w:lang w:val="ru-RU"/>
        </w:rPr>
        <w:t>Охват цифровыми технологиями</w:t>
      </w:r>
    </w:p>
    <w:p w14:paraId="3F4F3226" w14:textId="14AA9EE6" w:rsidR="00A127E8" w:rsidRPr="0095296E" w:rsidRDefault="00A127E8" w:rsidP="00A127E8">
      <w:r w:rsidRPr="0095296E">
        <w:t xml:space="preserve">БРЭ опубликовало </w:t>
      </w:r>
      <w:hyperlink r:id="rId54" w:history="1">
        <w:r w:rsidRPr="0095296E">
          <w:rPr>
            <w:rStyle w:val="Hyperlink"/>
          </w:rPr>
          <w:t>отчет о стратегической интеграции вопросов обеспечения доступности информационно-коммуникационных технологий (ИКТ)</w:t>
        </w:r>
      </w:hyperlink>
      <w:r w:rsidRPr="0095296E">
        <w:t>, который был разработан для оказания поддержки Государствам – Членам МСЭ в продвижении цифрового мира без барьеров. В публикации содержатся практические руководящие указания, стратегии реализации и основанные на стандартах инструменты для обеспечения соответствия ИКТ требованиям доступности. В отчете содержится призыв предусматривать обеспечение доступности во всех продуктах и услугах ИКТ на самых ранних этапах, а также учитывать соответствующие требования во всех сферах политики и регулирования, развития технологий, проектирования оборудования и цифровых услуг.</w:t>
      </w:r>
    </w:p>
    <w:p w14:paraId="5C43A5E8" w14:textId="5BBA2BDF" w:rsidR="00A127E8" w:rsidRPr="0095296E" w:rsidRDefault="00A127E8" w:rsidP="00A127E8">
      <w:r w:rsidRPr="0095296E">
        <w:t xml:space="preserve">В рамках </w:t>
      </w:r>
      <w:r w:rsidRPr="0095296E">
        <w:rPr>
          <w:b/>
          <w:bCs/>
        </w:rPr>
        <w:t xml:space="preserve">программы молодых лидеров </w:t>
      </w:r>
      <w:r w:rsidRPr="0095296E">
        <w:t>"</w:t>
      </w:r>
      <w:r w:rsidRPr="0095296E">
        <w:rPr>
          <w:b/>
          <w:bCs/>
        </w:rPr>
        <w:t>Поколение подключений</w:t>
      </w:r>
      <w:r w:rsidRPr="0095296E">
        <w:t>"</w:t>
      </w:r>
      <w:r w:rsidRPr="0095296E">
        <w:rPr>
          <w:b/>
          <w:bCs/>
        </w:rPr>
        <w:t xml:space="preserve"> (GCYLP)</w:t>
      </w:r>
      <w:r w:rsidRPr="0095296E">
        <w:t xml:space="preserve"> объявлен набор в третью группу на 2026–2027 годы, и по состоянию на 30 марта было получено около 6500 заявок со всего мира. Программа по-прежнему ежегодно предоставляет поддержку 30 молодым новаторам, которые участвуют в мероприятиях по наставничеству и профессиональной подготовке, а также получают гранты первоначально на сумму 5000 долларов США с возможностью получения дополнительного финансирования в зависимости от воздействия реализуемого проекта. Отобранные стипендиаты примут участие в мероприятиях Недели глобального развития в Женеве в сентябре 2026 года, способствуя дальнейшему укреплению потенциала в области лидерства и развития инноваций. </w:t>
      </w:r>
    </w:p>
    <w:p w14:paraId="2A40A7C6" w14:textId="688B4AFF" w:rsidR="00A127E8" w:rsidRPr="0095296E" w:rsidRDefault="00A127E8" w:rsidP="00A127E8">
      <w:r w:rsidRPr="0095296E">
        <w:t xml:space="preserve">Параллельно с этим 9 марта был объявлен новый набор в группу </w:t>
      </w:r>
      <w:r w:rsidRPr="0095296E">
        <w:rPr>
          <w:b/>
          <w:bCs/>
        </w:rPr>
        <w:t xml:space="preserve">посланников молодежи в рамках инициативы </w:t>
      </w:r>
      <w:r w:rsidRPr="0095296E">
        <w:t>"</w:t>
      </w:r>
      <w:r w:rsidRPr="0095296E">
        <w:rPr>
          <w:b/>
          <w:bCs/>
        </w:rPr>
        <w:t>Поколения подключений</w:t>
      </w:r>
      <w:r w:rsidRPr="0095296E">
        <w:t xml:space="preserve">" </w:t>
      </w:r>
      <w:r w:rsidRPr="0095296E">
        <w:rPr>
          <w:b/>
          <w:bCs/>
        </w:rPr>
        <w:t>(GCYE)</w:t>
      </w:r>
      <w:r w:rsidRPr="0095296E">
        <w:t>; выдвижение кандидатур открыто до 30 апреля.</w:t>
      </w:r>
    </w:p>
    <w:p w14:paraId="0D711F64" w14:textId="4C23D2E3" w:rsidR="00A127E8" w:rsidRPr="0095296E" w:rsidRDefault="00A127E8" w:rsidP="00A127E8">
      <w:r w:rsidRPr="0095296E">
        <w:t xml:space="preserve">В </w:t>
      </w:r>
      <w:r w:rsidRPr="0095296E">
        <w:rPr>
          <w:b/>
          <w:bCs/>
        </w:rPr>
        <w:t>Африке</w:t>
      </w:r>
      <w:r w:rsidRPr="0095296E">
        <w:t xml:space="preserve"> по итогам проведенной БРЭ оценки охвата цифровыми технологиями с упором на лиц с ограниченными возможностями и уязвимые слои населения в Мозамбике, стартовала серия информационно-просветительских вебинаров. В феврале и марте, соответственно, прошли два вебинара, в которых приняли участие заинтересованные стороны из государственного и частного секторов в целях содействия всеобъемлющей цифровой трансформации. </w:t>
      </w:r>
    </w:p>
    <w:p w14:paraId="47CDE53E" w14:textId="77777777" w:rsidR="00A127E8" w:rsidRPr="0095296E" w:rsidRDefault="00A127E8" w:rsidP="00A127E8">
      <w:r w:rsidRPr="0095296E">
        <w:t xml:space="preserve">В </w:t>
      </w:r>
      <w:r w:rsidRPr="0095296E">
        <w:rPr>
          <w:b/>
          <w:bCs/>
        </w:rPr>
        <w:t>Азиатско-Тихоокеанском регионе</w:t>
      </w:r>
      <w:r w:rsidRPr="0095296E">
        <w:t xml:space="preserve"> 16 февраля БРЭ в партнерстве с Национальной комиссией по делам женщин (NCW) и Учебным и научно-исследовательским институтом Организации Объединенных Наций (ЮНИТАР) провело совместную сессию на тему "ИИ и экономическая сила – дорожная карта по обеспечению процветания под руководством женщин", которая состоялась в рамках Саммита по вопросам воздействия ИИ, проходившего в конгресс-центре Bharat Mandapam в Нью-Дели, Индия. В ходе обсуждений подчеркивалась важность расширения прав и возможностей женщин как создателей, новаторов и владельцев активов в экосистеме ИИ с акцентом на формирование потенциала, развития грамотности в области ИИ, цифровую этику и повышение осведомленности о кибербезопасности, а также необходимость устранения цифровых рисков, связанных, в частности, с дипфейками, укрепления подотчетности платформ и обеспечения благоприятной политики, защищающей женщин в онлайновой среде.</w:t>
      </w:r>
    </w:p>
    <w:p w14:paraId="40E051EB" w14:textId="5B72B5CF" w:rsidR="00A127E8" w:rsidRPr="0095296E" w:rsidRDefault="00A127E8" w:rsidP="00A127E8">
      <w:r w:rsidRPr="0095296E">
        <w:t xml:space="preserve">В </w:t>
      </w:r>
      <w:r w:rsidR="0024149C" w:rsidRPr="0095296E">
        <w:rPr>
          <w:b/>
          <w:bCs/>
        </w:rPr>
        <w:t>регионе</w:t>
      </w:r>
      <w:r w:rsidR="0024149C" w:rsidRPr="0095296E">
        <w:t xml:space="preserve"> </w:t>
      </w:r>
      <w:r w:rsidRPr="0095296E">
        <w:rPr>
          <w:b/>
          <w:bCs/>
        </w:rPr>
        <w:t>СНГ</w:t>
      </w:r>
      <w:r w:rsidRPr="0095296E">
        <w:t xml:space="preserve"> с 3 по 4 февраля в Кыргызстане на базе Кыргызского государственного технического университета им. И. Раззакова прошел хакатон "ICT4ALL: цифровые решения без границ", посвященный вопросам инклюзивного проектирования. Данное мероприятие послужило платформой для практического применения ассистивных технологий, направленных на улучшение качества жизни лиц с нарушениями зрения. Эта деятельность способствовала эффективной передаче знаний: студенты делились специальными знаниями в области современных микроконтроллеров и </w:t>
      </w:r>
      <w:r w:rsidRPr="0095296E">
        <w:lastRenderedPageBreak/>
        <w:t>программирования, специалисты старшего возраста – знаниями в области инженерного дела, а бенефициары – жизненным опытом и проблемами, с которыми сталкиваются люди с особыми потребностями в повседневной жизни.</w:t>
      </w:r>
    </w:p>
    <w:p w14:paraId="78B36867" w14:textId="77777777" w:rsidR="00A127E8" w:rsidRPr="0095296E" w:rsidRDefault="00A127E8" w:rsidP="00A127E8">
      <w:r w:rsidRPr="0095296E">
        <w:t xml:space="preserve">В </w:t>
      </w:r>
      <w:r w:rsidRPr="0095296E">
        <w:rPr>
          <w:b/>
          <w:bCs/>
        </w:rPr>
        <w:t>Европе</w:t>
      </w:r>
      <w:r w:rsidRPr="0095296E">
        <w:t xml:space="preserve"> БРЭ передало Молдове результаты национальной оценки действующей в стране политики и регулирования с акцентом на доступность цифровых технологий.</w:t>
      </w:r>
    </w:p>
    <w:p w14:paraId="01899068" w14:textId="4DD74C70" w:rsidR="000318C5" w:rsidRPr="0095296E" w:rsidRDefault="00CE6C61" w:rsidP="00A127E8">
      <w:pPr>
        <w:pStyle w:val="Heading1"/>
      </w:pPr>
      <w:r w:rsidRPr="0095296E">
        <w:t>4</w:t>
      </w:r>
      <w:r w:rsidRPr="0095296E">
        <w:tab/>
      </w:r>
      <w:r w:rsidR="000318C5" w:rsidRPr="0095296E">
        <w:t>Намеченные результаты деятельности</w:t>
      </w:r>
    </w:p>
    <w:p w14:paraId="15759969" w14:textId="5AB5A150" w:rsidR="000318C5" w:rsidRPr="0095296E" w:rsidRDefault="000318C5" w:rsidP="00CE6C61">
      <w:r w:rsidRPr="0095296E">
        <w:t xml:space="preserve">Для достижения конечных результатов, установленных ВКРЭ-25 по каждому приоритетному направлению МСЭ-D, БРЭ продолжит разрабатывать продукты и услуги для поддержки выполнения на национальном, региональном и международном уровнях. Эти продукты и услуги (намеченные результаты деятельности) носят </w:t>
      </w:r>
      <w:r w:rsidR="00C53395" w:rsidRPr="0095296E">
        <w:t>сквозной</w:t>
      </w:r>
      <w:r w:rsidRPr="0095296E">
        <w:t xml:space="preserve"> характер и в совокупности способствуют достижению всех приоритетов.</w:t>
      </w:r>
    </w:p>
    <w:p w14:paraId="5B8B0A64" w14:textId="6732D247" w:rsidR="000318C5" w:rsidRPr="0095296E" w:rsidRDefault="000318C5" w:rsidP="00CE6C61">
      <w:r w:rsidRPr="0095296E">
        <w:t xml:space="preserve">Основные категории </w:t>
      </w:r>
      <w:r w:rsidR="00804FCF" w:rsidRPr="0095296E">
        <w:t xml:space="preserve">намеченных </w:t>
      </w:r>
      <w:r w:rsidRPr="0095296E">
        <w:t>результатов деятельности МСЭ-D включают:</w:t>
      </w:r>
    </w:p>
    <w:p w14:paraId="001A7AFB" w14:textId="6F82B657" w:rsidR="000318C5" w:rsidRPr="0095296E" w:rsidRDefault="00CE6C61" w:rsidP="00CE6C61">
      <w:pPr>
        <w:pStyle w:val="enumlev1"/>
      </w:pPr>
      <w:r w:rsidRPr="0095296E">
        <w:t>−</w:t>
      </w:r>
      <w:r w:rsidRPr="0095296E">
        <w:tab/>
      </w:r>
      <w:r w:rsidR="000318C5" w:rsidRPr="0095296E">
        <w:rPr>
          <w:b/>
          <w:bCs/>
        </w:rPr>
        <w:t>Типовые направления политики и стратегии</w:t>
      </w:r>
      <w:r w:rsidR="004436FC" w:rsidRPr="0095296E">
        <w:br/>
      </w:r>
      <w:r w:rsidR="000318C5" w:rsidRPr="0095296E">
        <w:t xml:space="preserve">БРЭ разрабатывает руководящие указания и политические основы для оказания поддержки Государствам-Членам в разработке адаптированных национальных структур и стратегических планов в области электросвязи/ИКТ. Примеры включают, среди прочего, национальные планы электросвязи в чрезвычайных ситуациях (NETP), инновационные сценарии, руководящие указания и стратегии в области радиовещания, национальные стратегии кибербезопасности, руководящие указания и национальные стратегии по политике охвата цифровыми технологиями, руководящие указания по политике регулирования, рекомендации по вопросам политики, поддерживающие цифровую трансформацию и цифровые инвестиции, </w:t>
      </w:r>
      <w:r w:rsidR="007A45F0" w:rsidRPr="0095296E">
        <w:t>и т. д.</w:t>
      </w:r>
    </w:p>
    <w:p w14:paraId="12ECA67C" w14:textId="49EF810A" w:rsidR="000318C5" w:rsidRPr="0095296E" w:rsidRDefault="00CE6C61" w:rsidP="00CE6C61">
      <w:pPr>
        <w:pStyle w:val="enumlev1"/>
      </w:pPr>
      <w:r w:rsidRPr="0095296E">
        <w:t>−</w:t>
      </w:r>
      <w:r w:rsidRPr="0095296E">
        <w:tab/>
      </w:r>
      <w:r w:rsidR="000318C5" w:rsidRPr="0095296E">
        <w:rPr>
          <w:b/>
          <w:bCs/>
        </w:rPr>
        <w:t>Комплекты материалов и аналитические инструменты</w:t>
      </w:r>
      <w:r w:rsidR="004436FC" w:rsidRPr="0095296E">
        <w:rPr>
          <w:b/>
          <w:bCs/>
        </w:rPr>
        <w:br/>
      </w:r>
      <w:r w:rsidR="000318C5" w:rsidRPr="0095296E">
        <w:t>БРЭ предоставляет практические инструменты и цифровые платформы для поддержки планирования, развертывания инфраструктуры, оценки политики и принятия решений. Примеры включают платформу планирования подключений (CPP)</w:t>
      </w:r>
      <w:r w:rsidR="00E37F4D" w:rsidRPr="0095296E">
        <w:t>, которая должна быть представлена на ГСР-26, подход к цифровой трансформации</w:t>
      </w:r>
      <w:r w:rsidR="000318C5" w:rsidRPr="0095296E">
        <w:t xml:space="preserve"> и карты широкополосной связи, которые предоставляют геопространственные данные, комплекты материалов по инновациям, визуализацию инфраструктуры, моделирование соединений и статистические данные для планирования инфраструктуры и принятия инвестиционных решений, комплекты материалов по цифровой доступности для содействия инклюзивному охвату цифровыми технологиями, а также другие комплекты материалов по планированию и регулированию цифровой экосистемы.</w:t>
      </w:r>
    </w:p>
    <w:p w14:paraId="1BBB987A" w14:textId="18B89B07" w:rsidR="000318C5" w:rsidRPr="0095296E" w:rsidRDefault="00CE6C61" w:rsidP="00CE6C61">
      <w:pPr>
        <w:pStyle w:val="enumlev1"/>
      </w:pPr>
      <w:r w:rsidRPr="0095296E">
        <w:t>−</w:t>
      </w:r>
      <w:r w:rsidRPr="0095296E">
        <w:tab/>
      </w:r>
      <w:r w:rsidR="000318C5" w:rsidRPr="0095296E">
        <w:rPr>
          <w:b/>
          <w:bCs/>
        </w:rPr>
        <w:t>Платформы для созыва мероприятий</w:t>
      </w:r>
      <w:r w:rsidR="004436FC" w:rsidRPr="0095296E">
        <w:rPr>
          <w:b/>
          <w:bCs/>
        </w:rPr>
        <w:br/>
      </w:r>
      <w:r w:rsidR="000318C5" w:rsidRPr="0095296E">
        <w:t>БРЭ организует глобальные и региональные форумы, в том числе с участием многих заинтересованных сторон, а также диалоги, которые способствуют обмену знаниями, развитию партнерств и координации между правительственными органами, компаниями отрасли и партнерами в области развития. Примеры включают Глобальный симпозиум для регуляторных органов (ГСР), Всемирный форум по инновациям (GIF), Форум по цифровым навыкам (DSF), Региональные форумы по вопросам развития (РФР), Симпозиум по всемирным показателям в области электросвязи/ИКТ (WTIS), мероприятия "Доступны</w:t>
      </w:r>
      <w:r w:rsidR="007A45F0" w:rsidRPr="0095296E">
        <w:t>й мир</w:t>
      </w:r>
      <w:r w:rsidR="000318C5" w:rsidRPr="0095296E">
        <w:t>" и</w:t>
      </w:r>
      <w:r w:rsidR="008912EB" w:rsidRPr="0095296E">
        <w:t> </w:t>
      </w:r>
      <w:r w:rsidR="007A45F0" w:rsidRPr="0095296E">
        <w:t>т.</w:t>
      </w:r>
      <w:r w:rsidR="008912EB" w:rsidRPr="0095296E">
        <w:t> </w:t>
      </w:r>
      <w:r w:rsidR="007A45F0" w:rsidRPr="0095296E">
        <w:t>д.</w:t>
      </w:r>
    </w:p>
    <w:p w14:paraId="06D52F5C" w14:textId="628B6543" w:rsidR="000318C5" w:rsidRPr="0095296E" w:rsidRDefault="00CE6C61" w:rsidP="00CE6C61">
      <w:pPr>
        <w:pStyle w:val="enumlev1"/>
      </w:pPr>
      <w:r w:rsidRPr="0095296E">
        <w:t>−</w:t>
      </w:r>
      <w:r w:rsidRPr="0095296E">
        <w:tab/>
      </w:r>
      <w:r w:rsidR="000318C5" w:rsidRPr="0095296E">
        <w:rPr>
          <w:b/>
          <w:bCs/>
        </w:rPr>
        <w:t>Системы обучения и ресурсы для развития потенциала</w:t>
      </w:r>
      <w:r w:rsidR="004436FC" w:rsidRPr="0095296E">
        <w:br/>
      </w:r>
      <w:r w:rsidR="000318C5" w:rsidRPr="0095296E">
        <w:t xml:space="preserve">БРЭ в рамках своих инициатив по созданию потенциала организует очные мероприятия по профессиональной подготовке, онлайновые структурированные программы и курсы для самостоятельного изучения или под руководством преподавателя, а также разрабатывает ресурсы знаний, включая тематические отчеты и комплекты материалов, помогая директивным и регуляторным органам и специалистам-практикам укреплять </w:t>
      </w:r>
      <w:r w:rsidR="000318C5" w:rsidRPr="0095296E">
        <w:lastRenderedPageBreak/>
        <w:t xml:space="preserve">индивидуальные и институциональные навыки. К ним относятся системы обучения, разработанные Лабораторией цифровой трансформации, курсы Академии МСЭ и другие механизмы обучения, семинары-практикумы, подготовительные курсы для старших должностных лиц </w:t>
      </w:r>
      <w:r w:rsidR="007A45F0" w:rsidRPr="0095296E">
        <w:t>и</w:t>
      </w:r>
      <w:r w:rsidR="008912EB" w:rsidRPr="0095296E">
        <w:t> </w:t>
      </w:r>
      <w:r w:rsidR="007A45F0" w:rsidRPr="0095296E">
        <w:t>т.</w:t>
      </w:r>
      <w:r w:rsidR="008912EB" w:rsidRPr="0095296E">
        <w:t> </w:t>
      </w:r>
      <w:r w:rsidR="007A45F0" w:rsidRPr="0095296E">
        <w:t>д.</w:t>
      </w:r>
    </w:p>
    <w:p w14:paraId="3B869A77" w14:textId="3A13F6EA" w:rsidR="000318C5" w:rsidRPr="0095296E" w:rsidRDefault="00CE6C61" w:rsidP="00CE6C61">
      <w:pPr>
        <w:pStyle w:val="enumlev1"/>
      </w:pPr>
      <w:r w:rsidRPr="0095296E">
        <w:t>−</w:t>
      </w:r>
      <w:r w:rsidRPr="0095296E">
        <w:tab/>
      </w:r>
      <w:r w:rsidR="000318C5" w:rsidRPr="0095296E">
        <w:rPr>
          <w:b/>
          <w:bCs/>
        </w:rPr>
        <w:t>Статистические данные, исследования и информационные продукты</w:t>
      </w:r>
      <w:r w:rsidR="004436FC" w:rsidRPr="0095296E">
        <w:rPr>
          <w:b/>
          <w:bCs/>
        </w:rPr>
        <w:br/>
      </w:r>
      <w:r w:rsidR="000318C5" w:rsidRPr="0095296E">
        <w:t>БРЭ выпускает данные, показатели и аналитические публикации, которые поддерживают принятие решений на основе фактических данных. Примеры включают показатели ИКТ, профили цифровых инноваций, отчеты о стратегическом прогнозировании, страновые обзоры по совместному регулированию, платформу цифрового регулирования, глобальный мониторинг электронных отходов</w:t>
      </w:r>
      <w:r w:rsidR="007A45F0" w:rsidRPr="0095296E">
        <w:t>, отчет "Экологизация цифровых компаний"</w:t>
      </w:r>
      <w:r w:rsidR="000318C5" w:rsidRPr="0095296E">
        <w:t xml:space="preserve"> и другие различные тематические исследования, в которых оцениваются национальные цифровые экосистемы и инновационный потенциал.</w:t>
      </w:r>
    </w:p>
    <w:p w14:paraId="35E089FE" w14:textId="5EBEA199" w:rsidR="000318C5" w:rsidRPr="0095296E" w:rsidRDefault="00CE6C61" w:rsidP="00CE6C61">
      <w:pPr>
        <w:pStyle w:val="enumlev1"/>
      </w:pPr>
      <w:r w:rsidRPr="0095296E">
        <w:t>−</w:t>
      </w:r>
      <w:r w:rsidRPr="0095296E">
        <w:tab/>
      </w:r>
      <w:r w:rsidR="000318C5" w:rsidRPr="0095296E">
        <w:rPr>
          <w:b/>
          <w:bCs/>
        </w:rPr>
        <w:t>Технические меры и поддержка реализации</w:t>
      </w:r>
      <w:r w:rsidR="004436FC" w:rsidRPr="0095296E">
        <w:rPr>
          <w:b/>
          <w:bCs/>
        </w:rPr>
        <w:br/>
      </w:r>
      <w:r w:rsidR="000318C5" w:rsidRPr="0095296E">
        <w:t xml:space="preserve">БРЭ предоставляет прямую техническую помощь, консультативные услуги и осуществляет пилотные инициативы для поддержки стран в реализации национальной политики и стратегий в области ИКТ. Эти мероприятия помогают Государствам-Членам развертывать инфраструктуру, расширять охват цифровыми технологиями, формировать среду цифровых инноваций, </w:t>
      </w:r>
      <w:r w:rsidR="007A45F0" w:rsidRPr="0095296E">
        <w:t xml:space="preserve">способствовать обеспечению экологической устойчивости, </w:t>
      </w:r>
      <w:r w:rsidR="000318C5" w:rsidRPr="0095296E">
        <w:t>укреплять кибербезопасность и предоставлять цифровые услуги для продвижения открытой для всех цифровой трансформации.</w:t>
      </w:r>
    </w:p>
    <w:p w14:paraId="021AA90C" w14:textId="6CA4C24F" w:rsidR="000318C5" w:rsidRPr="0095296E" w:rsidRDefault="000318C5" w:rsidP="000318C5">
      <w:pPr>
        <w:spacing w:after="120"/>
      </w:pPr>
      <w:r w:rsidRPr="0095296E">
        <w:t xml:space="preserve">БРЭ будет осуществлять мониторинг достижения намеченных результатов деятельности и их вклада в достижение конечных результатов по приоритетам МСЭ-D с помощью </w:t>
      </w:r>
      <w:r w:rsidR="00C53395" w:rsidRPr="0095296E">
        <w:t xml:space="preserve">сквозных </w:t>
      </w:r>
      <w:r w:rsidRPr="0095296E">
        <w:t xml:space="preserve">показателей </w:t>
      </w:r>
      <w:r w:rsidR="00C53395" w:rsidRPr="0095296E">
        <w:t xml:space="preserve">намеченных </w:t>
      </w:r>
      <w:r w:rsidRPr="0095296E">
        <w:t>результатов деятельности, включая:</w:t>
      </w:r>
    </w:p>
    <w:tbl>
      <w:tblPr>
        <w:tblW w:w="5003" w:type="pct"/>
        <w:tblLayout w:type="fixed"/>
        <w:tblLook w:val="04A0" w:firstRow="1" w:lastRow="0" w:firstColumn="1" w:lastColumn="0" w:noHBand="0" w:noVBand="1"/>
      </w:tblPr>
      <w:tblGrid>
        <w:gridCol w:w="2694"/>
        <w:gridCol w:w="6951"/>
      </w:tblGrid>
      <w:tr w:rsidR="000318C5" w:rsidRPr="0095296E" w14:paraId="5F4305BE" w14:textId="77777777" w:rsidTr="00CE6C61">
        <w:trPr>
          <w:tblHeader/>
        </w:trPr>
        <w:tc>
          <w:tcPr>
            <w:tcW w:w="2694" w:type="dxa"/>
            <w:tcBorders>
              <w:top w:val="nil"/>
              <w:left w:val="nil"/>
              <w:bottom w:val="single" w:sz="4" w:space="0" w:color="C0E6F5"/>
              <w:right w:val="nil"/>
            </w:tcBorders>
            <w:shd w:val="clear" w:color="104861" w:fill="104861"/>
            <w:noWrap/>
            <w:hideMark/>
          </w:tcPr>
          <w:p w14:paraId="53D3E7AE" w14:textId="77777777" w:rsidR="000318C5" w:rsidRPr="0095296E" w:rsidRDefault="000318C5" w:rsidP="00CE6C61">
            <w:pPr>
              <w:pStyle w:val="Tablehead"/>
              <w:rPr>
                <w:rFonts w:cs="Calibri"/>
                <w:color w:val="FFFFFF" w:themeColor="background1"/>
              </w:rPr>
            </w:pPr>
            <w:r w:rsidRPr="0095296E">
              <w:rPr>
                <w:color w:val="FFFFFF" w:themeColor="background1"/>
              </w:rPr>
              <w:t>Продукты/услуги МСЭ-D</w:t>
            </w:r>
          </w:p>
        </w:tc>
        <w:tc>
          <w:tcPr>
            <w:tcW w:w="6951" w:type="dxa"/>
            <w:tcBorders>
              <w:top w:val="nil"/>
              <w:left w:val="nil"/>
              <w:bottom w:val="single" w:sz="4" w:space="0" w:color="C0E6F5"/>
              <w:right w:val="nil"/>
            </w:tcBorders>
            <w:shd w:val="clear" w:color="104861" w:fill="104861"/>
            <w:noWrap/>
            <w:hideMark/>
          </w:tcPr>
          <w:p w14:paraId="036BF282" w14:textId="77777777" w:rsidR="000318C5" w:rsidRPr="0095296E" w:rsidRDefault="000318C5" w:rsidP="00CE6C61">
            <w:pPr>
              <w:pStyle w:val="Tablehead"/>
              <w:rPr>
                <w:rFonts w:cs="Calibri"/>
                <w:color w:val="FFFFFF"/>
              </w:rPr>
            </w:pPr>
            <w:r w:rsidRPr="0095296E">
              <w:t>Показатели</w:t>
            </w:r>
            <w:r w:rsidRPr="0095296E">
              <w:rPr>
                <w:rStyle w:val="FootnoteReference"/>
                <w:rFonts w:cs="Calibri"/>
                <w:b w:val="0"/>
                <w:color w:val="FFFFFF" w:themeColor="background1"/>
                <w:lang w:eastAsia="en-GB"/>
              </w:rPr>
              <w:footnoteReference w:id="5"/>
            </w:r>
          </w:p>
        </w:tc>
      </w:tr>
      <w:tr w:rsidR="000318C5" w:rsidRPr="0095296E" w14:paraId="27BA13D1" w14:textId="77777777" w:rsidTr="00CE6C61">
        <w:tc>
          <w:tcPr>
            <w:tcW w:w="2694" w:type="dxa"/>
            <w:vMerge w:val="restart"/>
            <w:tcBorders>
              <w:top w:val="single" w:sz="4" w:space="0" w:color="C0E6F5"/>
              <w:left w:val="nil"/>
              <w:right w:val="nil"/>
            </w:tcBorders>
            <w:shd w:val="clear" w:color="44B3E1" w:fill="44B3E1"/>
            <w:noWrap/>
            <w:hideMark/>
          </w:tcPr>
          <w:p w14:paraId="294043C9" w14:textId="77777777" w:rsidR="000318C5" w:rsidRPr="0095296E" w:rsidRDefault="000318C5" w:rsidP="00CE6C61">
            <w:pPr>
              <w:pStyle w:val="Tabletext"/>
              <w:rPr>
                <w:rFonts w:cs="Calibri"/>
                <w:b/>
                <w:color w:val="FFFFFF" w:themeColor="background1"/>
              </w:rPr>
            </w:pPr>
            <w:r w:rsidRPr="0095296E">
              <w:rPr>
                <w:b/>
                <w:color w:val="FFFFFF" w:themeColor="background1"/>
              </w:rPr>
              <w:t>Технические меры</w:t>
            </w:r>
          </w:p>
        </w:tc>
        <w:tc>
          <w:tcPr>
            <w:tcW w:w="6951" w:type="dxa"/>
            <w:tcBorders>
              <w:top w:val="single" w:sz="4" w:space="0" w:color="C0E6F5"/>
              <w:left w:val="nil"/>
              <w:bottom w:val="single" w:sz="4" w:space="0" w:color="C0E6F5"/>
              <w:right w:val="nil"/>
            </w:tcBorders>
            <w:noWrap/>
            <w:hideMark/>
          </w:tcPr>
          <w:p w14:paraId="21752FDE" w14:textId="77777777" w:rsidR="000318C5" w:rsidRPr="0095296E" w:rsidRDefault="000318C5" w:rsidP="00CE6C61">
            <w:pPr>
              <w:pStyle w:val="Tabletext"/>
              <w:rPr>
                <w:rFonts w:cs="Calibri"/>
              </w:rPr>
            </w:pPr>
            <w:r w:rsidRPr="0095296E">
              <w:t>Количество подписанных проектов МСЭ-D</w:t>
            </w:r>
          </w:p>
        </w:tc>
      </w:tr>
      <w:tr w:rsidR="000318C5" w:rsidRPr="0095296E" w14:paraId="1F74CAC0" w14:textId="77777777" w:rsidTr="00CE6C61">
        <w:tc>
          <w:tcPr>
            <w:tcW w:w="2694" w:type="dxa"/>
            <w:vMerge/>
            <w:tcBorders>
              <w:left w:val="nil"/>
              <w:right w:val="nil"/>
            </w:tcBorders>
            <w:shd w:val="clear" w:color="44B3E1" w:fill="44B3E1"/>
            <w:noWrap/>
            <w:hideMark/>
          </w:tcPr>
          <w:p w14:paraId="28970D4C"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45E5E451" w14:textId="77777777" w:rsidR="000318C5" w:rsidRPr="0095296E" w:rsidRDefault="000318C5" w:rsidP="00CE6C61">
            <w:pPr>
              <w:pStyle w:val="Tabletext"/>
              <w:rPr>
                <w:rFonts w:cs="Calibri"/>
              </w:rPr>
            </w:pPr>
            <w:r w:rsidRPr="0095296E">
              <w:t>Количество Государств-Членов, получивших техническую помощь</w:t>
            </w:r>
          </w:p>
        </w:tc>
      </w:tr>
      <w:tr w:rsidR="000318C5" w:rsidRPr="0095296E" w14:paraId="430F304A" w14:textId="77777777" w:rsidTr="00CE6C61">
        <w:tc>
          <w:tcPr>
            <w:tcW w:w="2694" w:type="dxa"/>
            <w:vMerge/>
            <w:tcBorders>
              <w:left w:val="nil"/>
              <w:right w:val="nil"/>
            </w:tcBorders>
            <w:shd w:val="clear" w:color="44B3E1" w:fill="44B3E1"/>
            <w:noWrap/>
            <w:hideMark/>
          </w:tcPr>
          <w:p w14:paraId="5E92DAA0"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42DA12C7" w14:textId="77777777" w:rsidR="000318C5" w:rsidRPr="0095296E" w:rsidRDefault="000318C5" w:rsidP="00CE6C61">
            <w:pPr>
              <w:pStyle w:val="Tabletext"/>
              <w:rPr>
                <w:rFonts w:cs="Calibri"/>
              </w:rPr>
            </w:pPr>
            <w:r w:rsidRPr="0095296E">
              <w:t xml:space="preserve">Количество выполненных резолюций/рекомендаций/решений </w:t>
            </w:r>
          </w:p>
        </w:tc>
      </w:tr>
      <w:tr w:rsidR="000318C5" w:rsidRPr="0095296E" w14:paraId="3C896A73" w14:textId="77777777" w:rsidTr="00CE6C61">
        <w:tc>
          <w:tcPr>
            <w:tcW w:w="2694" w:type="dxa"/>
            <w:vMerge/>
            <w:tcBorders>
              <w:left w:val="nil"/>
              <w:bottom w:val="single" w:sz="4" w:space="0" w:color="C0E6F5"/>
              <w:right w:val="nil"/>
            </w:tcBorders>
            <w:shd w:val="clear" w:color="44B3E1" w:fill="44B3E1"/>
            <w:noWrap/>
            <w:hideMark/>
          </w:tcPr>
          <w:p w14:paraId="38BC521D"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2BA6E419" w14:textId="77777777" w:rsidR="000318C5" w:rsidRPr="0095296E" w:rsidRDefault="000318C5" w:rsidP="00CE6C61">
            <w:pPr>
              <w:pStyle w:val="Tabletext"/>
              <w:rPr>
                <w:rFonts w:cs="Calibri"/>
              </w:rPr>
            </w:pPr>
            <w:r w:rsidRPr="0095296E">
              <w:t xml:space="preserve">Количество внедренных программных средств </w:t>
            </w:r>
          </w:p>
        </w:tc>
      </w:tr>
      <w:tr w:rsidR="000318C5" w:rsidRPr="0095296E" w14:paraId="4BA26585" w14:textId="77777777" w:rsidTr="00CE6C61">
        <w:tc>
          <w:tcPr>
            <w:tcW w:w="2694" w:type="dxa"/>
            <w:vMerge w:val="restart"/>
            <w:tcBorders>
              <w:top w:val="single" w:sz="4" w:space="0" w:color="C0E6F5"/>
              <w:left w:val="nil"/>
              <w:right w:val="nil"/>
            </w:tcBorders>
            <w:shd w:val="clear" w:color="44B3E1" w:fill="44B3E1"/>
            <w:noWrap/>
            <w:hideMark/>
          </w:tcPr>
          <w:p w14:paraId="7EC58FAC" w14:textId="77777777" w:rsidR="000318C5" w:rsidRPr="0095296E" w:rsidRDefault="000318C5" w:rsidP="00CE6C61">
            <w:pPr>
              <w:pStyle w:val="Tabletext"/>
              <w:rPr>
                <w:rFonts w:cs="Calibri"/>
                <w:b/>
                <w:color w:val="FFFFFF" w:themeColor="background1"/>
              </w:rPr>
            </w:pPr>
            <w:r w:rsidRPr="0095296E">
              <w:rPr>
                <w:b/>
                <w:color w:val="FFFFFF" w:themeColor="background1"/>
              </w:rPr>
              <w:t>Статистические данные</w:t>
            </w:r>
          </w:p>
        </w:tc>
        <w:tc>
          <w:tcPr>
            <w:tcW w:w="6951" w:type="dxa"/>
            <w:tcBorders>
              <w:top w:val="single" w:sz="4" w:space="0" w:color="C0E6F5"/>
              <w:left w:val="nil"/>
              <w:bottom w:val="single" w:sz="4" w:space="0" w:color="C0E6F5"/>
              <w:right w:val="nil"/>
            </w:tcBorders>
            <w:noWrap/>
            <w:hideMark/>
          </w:tcPr>
          <w:p w14:paraId="7C25A7C7" w14:textId="77777777" w:rsidR="000318C5" w:rsidRPr="0095296E" w:rsidRDefault="000318C5" w:rsidP="00CE6C61">
            <w:pPr>
              <w:pStyle w:val="Tabletext"/>
              <w:rPr>
                <w:rFonts w:cs="Calibri"/>
              </w:rPr>
            </w:pPr>
            <w:r w:rsidRPr="0095296E">
              <w:t>Количество элементов данных в опубликованных наборах данных</w:t>
            </w:r>
          </w:p>
        </w:tc>
      </w:tr>
      <w:tr w:rsidR="000318C5" w:rsidRPr="0095296E" w14:paraId="74F41015" w14:textId="77777777" w:rsidTr="00CE6C61">
        <w:tc>
          <w:tcPr>
            <w:tcW w:w="2694" w:type="dxa"/>
            <w:vMerge/>
            <w:tcBorders>
              <w:left w:val="nil"/>
              <w:right w:val="nil"/>
            </w:tcBorders>
            <w:shd w:val="clear" w:color="44B3E1" w:fill="44B3E1"/>
            <w:noWrap/>
            <w:hideMark/>
          </w:tcPr>
          <w:p w14:paraId="301D6C45"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73CF5B72" w14:textId="77777777" w:rsidR="000318C5" w:rsidRPr="0095296E" w:rsidRDefault="000318C5" w:rsidP="00CE6C61">
            <w:pPr>
              <w:pStyle w:val="Tabletext"/>
              <w:rPr>
                <w:rFonts w:cs="Calibri"/>
              </w:rPr>
            </w:pPr>
            <w:r w:rsidRPr="0095296E">
              <w:t>Количество цифровых компаний, отслеживающих выбросы, энергопользование и обязательства в области климата</w:t>
            </w:r>
          </w:p>
        </w:tc>
      </w:tr>
      <w:tr w:rsidR="000318C5" w:rsidRPr="0095296E" w14:paraId="5862D4E3" w14:textId="77777777" w:rsidTr="00CE6C61">
        <w:tc>
          <w:tcPr>
            <w:tcW w:w="2694" w:type="dxa"/>
            <w:vMerge/>
            <w:tcBorders>
              <w:left w:val="nil"/>
              <w:right w:val="nil"/>
            </w:tcBorders>
            <w:shd w:val="clear" w:color="44B3E1" w:fill="44B3E1"/>
            <w:noWrap/>
            <w:hideMark/>
          </w:tcPr>
          <w:p w14:paraId="5219F694"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49157CD5" w14:textId="77777777" w:rsidR="000318C5" w:rsidRPr="0095296E" w:rsidRDefault="000318C5" w:rsidP="00CE6C61">
            <w:pPr>
              <w:pStyle w:val="Tabletext"/>
              <w:rPr>
                <w:rFonts w:cs="Calibri"/>
              </w:rPr>
            </w:pPr>
            <w:r w:rsidRPr="0095296E">
              <w:t>Количество лиц, участвующих в мероприятиях по развитию потенциала под руководством БРЭ</w:t>
            </w:r>
          </w:p>
        </w:tc>
      </w:tr>
      <w:tr w:rsidR="000318C5" w:rsidRPr="0095296E" w14:paraId="76526BA0" w14:textId="77777777" w:rsidTr="00CE6C61">
        <w:tc>
          <w:tcPr>
            <w:tcW w:w="2694" w:type="dxa"/>
            <w:vMerge/>
            <w:tcBorders>
              <w:left w:val="nil"/>
              <w:right w:val="nil"/>
            </w:tcBorders>
            <w:shd w:val="clear" w:color="44B3E1" w:fill="44B3E1"/>
            <w:noWrap/>
            <w:hideMark/>
          </w:tcPr>
          <w:p w14:paraId="628DFCAD"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7C236E7B" w14:textId="77777777" w:rsidR="000318C5" w:rsidRPr="0095296E" w:rsidRDefault="000318C5" w:rsidP="00CE6C61">
            <w:pPr>
              <w:pStyle w:val="Tabletext"/>
              <w:rPr>
                <w:rFonts w:cs="Calibri"/>
              </w:rPr>
            </w:pPr>
            <w:r w:rsidRPr="0095296E">
              <w:t>Количество участвующих Государств-Членов</w:t>
            </w:r>
          </w:p>
        </w:tc>
      </w:tr>
      <w:tr w:rsidR="000318C5" w:rsidRPr="0095296E" w14:paraId="66D1080B" w14:textId="77777777" w:rsidTr="00CE6C61">
        <w:tc>
          <w:tcPr>
            <w:tcW w:w="2694" w:type="dxa"/>
            <w:vMerge/>
            <w:tcBorders>
              <w:left w:val="nil"/>
              <w:right w:val="nil"/>
            </w:tcBorders>
            <w:shd w:val="clear" w:color="44B3E1" w:fill="44B3E1"/>
            <w:noWrap/>
            <w:hideMark/>
          </w:tcPr>
          <w:p w14:paraId="52F7DE92"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0A227437" w14:textId="5BC29E42" w:rsidR="000318C5" w:rsidRPr="0095296E" w:rsidRDefault="000318C5" w:rsidP="00CE6C61">
            <w:pPr>
              <w:pStyle w:val="Tabletext"/>
              <w:rPr>
                <w:rFonts w:cs="Calibri"/>
              </w:rPr>
            </w:pPr>
            <w:r w:rsidRPr="0095296E">
              <w:t xml:space="preserve">Количество участников мероприятий, проводимых под руководством БРЭ (включая РФР, ГСР, GIF, DSF, WTIS, EGTI, День "Девушки в ИКТ", Глобальный молодежный форум </w:t>
            </w:r>
            <w:r w:rsidR="007A45F0" w:rsidRPr="0095296E">
              <w:t>и т. д.</w:t>
            </w:r>
            <w:r w:rsidRPr="0095296E">
              <w:t xml:space="preserve">) </w:t>
            </w:r>
          </w:p>
        </w:tc>
      </w:tr>
      <w:tr w:rsidR="000318C5" w:rsidRPr="0095296E" w14:paraId="0E18FABE" w14:textId="77777777" w:rsidTr="00CE6C61">
        <w:tc>
          <w:tcPr>
            <w:tcW w:w="2694" w:type="dxa"/>
            <w:vMerge/>
            <w:tcBorders>
              <w:left w:val="nil"/>
              <w:bottom w:val="single" w:sz="4" w:space="0" w:color="C0E6F5"/>
              <w:right w:val="nil"/>
            </w:tcBorders>
            <w:shd w:val="clear" w:color="44B3E1" w:fill="44B3E1"/>
            <w:noWrap/>
            <w:hideMark/>
          </w:tcPr>
          <w:p w14:paraId="7C2E7252"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CE4BC50" w14:textId="0B722B15" w:rsidR="000318C5" w:rsidRPr="0095296E" w:rsidRDefault="000318C5" w:rsidP="00CE6C61">
            <w:pPr>
              <w:pStyle w:val="Tabletext"/>
              <w:rPr>
                <w:rFonts w:cs="Calibri"/>
              </w:rPr>
            </w:pPr>
            <w:r w:rsidRPr="0095296E">
              <w:t>Количество еженедельных пользователей портала "Центр данных МСЭ"</w:t>
            </w:r>
          </w:p>
        </w:tc>
      </w:tr>
      <w:tr w:rsidR="000318C5" w:rsidRPr="0095296E" w14:paraId="708C7580" w14:textId="77777777" w:rsidTr="00CE6C61">
        <w:tc>
          <w:tcPr>
            <w:tcW w:w="2694" w:type="dxa"/>
            <w:vMerge w:val="restart"/>
            <w:tcBorders>
              <w:top w:val="single" w:sz="4" w:space="0" w:color="C0E6F5"/>
              <w:left w:val="nil"/>
              <w:right w:val="nil"/>
            </w:tcBorders>
            <w:shd w:val="clear" w:color="44B3E1" w:fill="44B3E1"/>
            <w:noWrap/>
            <w:hideMark/>
          </w:tcPr>
          <w:p w14:paraId="6F580EE8" w14:textId="77777777" w:rsidR="000318C5" w:rsidRPr="0095296E" w:rsidRDefault="000318C5" w:rsidP="00CE6C61">
            <w:pPr>
              <w:pStyle w:val="Tabletext"/>
              <w:rPr>
                <w:rFonts w:cs="Calibri"/>
                <w:b/>
                <w:color w:val="FFFFFF" w:themeColor="background1"/>
              </w:rPr>
            </w:pPr>
            <w:r w:rsidRPr="0095296E">
              <w:rPr>
                <w:b/>
                <w:color w:val="FFFFFF" w:themeColor="background1"/>
              </w:rPr>
              <w:t>Типовые направления политики и стратегии, комплекты материалов</w:t>
            </w:r>
          </w:p>
        </w:tc>
        <w:tc>
          <w:tcPr>
            <w:tcW w:w="6951" w:type="dxa"/>
            <w:tcBorders>
              <w:top w:val="single" w:sz="4" w:space="0" w:color="C0E6F5"/>
              <w:left w:val="nil"/>
              <w:bottom w:val="single" w:sz="4" w:space="0" w:color="C0E6F5"/>
              <w:right w:val="nil"/>
            </w:tcBorders>
            <w:noWrap/>
            <w:hideMark/>
          </w:tcPr>
          <w:p w14:paraId="2040C9DA" w14:textId="77777777" w:rsidR="000318C5" w:rsidRPr="0095296E" w:rsidRDefault="000318C5" w:rsidP="00CE6C61">
            <w:pPr>
              <w:pStyle w:val="Tabletext"/>
              <w:rPr>
                <w:rFonts w:cs="Calibri"/>
              </w:rPr>
            </w:pPr>
            <w:r w:rsidRPr="0095296E">
              <w:t xml:space="preserve">Количество Государств-Членов, получивших помощь </w:t>
            </w:r>
          </w:p>
        </w:tc>
      </w:tr>
      <w:tr w:rsidR="000318C5" w:rsidRPr="0095296E" w14:paraId="7E801E37" w14:textId="77777777" w:rsidTr="00CE6C61">
        <w:tc>
          <w:tcPr>
            <w:tcW w:w="2694" w:type="dxa"/>
            <w:vMerge/>
            <w:tcBorders>
              <w:left w:val="nil"/>
              <w:bottom w:val="single" w:sz="4" w:space="0" w:color="C0E6F5"/>
              <w:right w:val="nil"/>
            </w:tcBorders>
            <w:shd w:val="clear" w:color="44B3E1" w:fill="44B3E1"/>
            <w:noWrap/>
            <w:hideMark/>
          </w:tcPr>
          <w:p w14:paraId="5784B060"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86F3CE7" w14:textId="7AE954B7" w:rsidR="000318C5" w:rsidRPr="0095296E" w:rsidRDefault="000318C5" w:rsidP="00CE6C61">
            <w:pPr>
              <w:pStyle w:val="Tabletext"/>
              <w:rPr>
                <w:rFonts w:cs="Calibri"/>
              </w:rPr>
            </w:pPr>
            <w:r w:rsidRPr="0095296E">
              <w:t xml:space="preserve">Количество разработанных инструментов/систем/ресурсов (включая политику, стратегии, страновые профили, карты, руководящие принципы, комплекты материалов, публикации </w:t>
            </w:r>
            <w:r w:rsidR="007A45F0" w:rsidRPr="0095296E">
              <w:t>и</w:t>
            </w:r>
            <w:r w:rsidR="00FC62AD" w:rsidRPr="0095296E">
              <w:t> </w:t>
            </w:r>
            <w:r w:rsidR="007A45F0" w:rsidRPr="0095296E">
              <w:t>т.</w:t>
            </w:r>
            <w:r w:rsidR="00FC62AD" w:rsidRPr="0095296E">
              <w:t> </w:t>
            </w:r>
            <w:r w:rsidR="007A45F0" w:rsidRPr="0095296E">
              <w:t>д.</w:t>
            </w:r>
            <w:r w:rsidRPr="0095296E">
              <w:t>)</w:t>
            </w:r>
          </w:p>
        </w:tc>
      </w:tr>
      <w:tr w:rsidR="000318C5" w:rsidRPr="0095296E" w14:paraId="002E08AE" w14:textId="77777777" w:rsidTr="00CE6C61">
        <w:tc>
          <w:tcPr>
            <w:tcW w:w="2694" w:type="dxa"/>
            <w:vMerge w:val="restart"/>
            <w:tcBorders>
              <w:top w:val="single" w:sz="4" w:space="0" w:color="C0E6F5"/>
              <w:left w:val="nil"/>
              <w:right w:val="nil"/>
            </w:tcBorders>
            <w:shd w:val="clear" w:color="44B3E1" w:fill="44B3E1"/>
            <w:noWrap/>
            <w:hideMark/>
          </w:tcPr>
          <w:p w14:paraId="14141BF2" w14:textId="77777777" w:rsidR="000318C5" w:rsidRPr="0095296E" w:rsidRDefault="000318C5" w:rsidP="00CE6C61">
            <w:pPr>
              <w:pStyle w:val="Tabletext"/>
              <w:rPr>
                <w:rFonts w:cs="Calibri"/>
                <w:b/>
                <w:color w:val="FFFFFF" w:themeColor="background1"/>
              </w:rPr>
            </w:pPr>
            <w:r w:rsidRPr="0095296E">
              <w:rPr>
                <w:b/>
                <w:color w:val="FFFFFF" w:themeColor="background1"/>
              </w:rPr>
              <w:t>Системы обучения</w:t>
            </w:r>
          </w:p>
        </w:tc>
        <w:tc>
          <w:tcPr>
            <w:tcW w:w="6951" w:type="dxa"/>
            <w:tcBorders>
              <w:top w:val="single" w:sz="4" w:space="0" w:color="C0E6F5"/>
              <w:left w:val="nil"/>
              <w:bottom w:val="single" w:sz="4" w:space="0" w:color="C0E6F5"/>
              <w:right w:val="nil"/>
            </w:tcBorders>
            <w:noWrap/>
            <w:hideMark/>
          </w:tcPr>
          <w:p w14:paraId="6280BF0C" w14:textId="77777777" w:rsidR="000318C5" w:rsidRPr="0095296E" w:rsidRDefault="000318C5" w:rsidP="00CE6C61">
            <w:pPr>
              <w:pStyle w:val="Tabletext"/>
              <w:rPr>
                <w:rFonts w:cs="Calibri"/>
              </w:rPr>
            </w:pPr>
            <w:r w:rsidRPr="0095296E">
              <w:t>Количество лиц, участвующих в мероприятиях по развитию потенциала под руководством БРЭ</w:t>
            </w:r>
          </w:p>
        </w:tc>
      </w:tr>
      <w:tr w:rsidR="000318C5" w:rsidRPr="0095296E" w14:paraId="30361E8D" w14:textId="77777777" w:rsidTr="00CE6C61">
        <w:tc>
          <w:tcPr>
            <w:tcW w:w="2694" w:type="dxa"/>
            <w:vMerge/>
            <w:tcBorders>
              <w:left w:val="nil"/>
              <w:right w:val="nil"/>
            </w:tcBorders>
            <w:shd w:val="clear" w:color="44B3E1" w:fill="44B3E1"/>
            <w:noWrap/>
            <w:hideMark/>
          </w:tcPr>
          <w:p w14:paraId="010F9C1C"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4EE487AF" w14:textId="77777777" w:rsidR="000318C5" w:rsidRPr="0095296E" w:rsidRDefault="000318C5" w:rsidP="00CE6C61">
            <w:pPr>
              <w:pStyle w:val="Tabletext"/>
              <w:rPr>
                <w:rFonts w:cs="Calibri"/>
              </w:rPr>
            </w:pPr>
            <w:r w:rsidRPr="0095296E">
              <w:t>Количество лиц, прошедших обучение цифровым навыкам базового и среднего уровней</w:t>
            </w:r>
          </w:p>
        </w:tc>
      </w:tr>
      <w:tr w:rsidR="000318C5" w:rsidRPr="0095296E" w14:paraId="7EAB0CA2" w14:textId="77777777" w:rsidTr="00CE6C61">
        <w:tc>
          <w:tcPr>
            <w:tcW w:w="2694" w:type="dxa"/>
            <w:vMerge/>
            <w:tcBorders>
              <w:left w:val="nil"/>
              <w:right w:val="nil"/>
            </w:tcBorders>
            <w:shd w:val="clear" w:color="44B3E1" w:fill="44B3E1"/>
            <w:noWrap/>
            <w:hideMark/>
          </w:tcPr>
          <w:p w14:paraId="273EDB72"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31755E2F" w14:textId="77777777" w:rsidR="000318C5" w:rsidRPr="0095296E" w:rsidRDefault="000318C5" w:rsidP="00CE6C61">
            <w:pPr>
              <w:pStyle w:val="Tabletext"/>
              <w:rPr>
                <w:rFonts w:cs="Calibri"/>
              </w:rPr>
            </w:pPr>
            <w:r w:rsidRPr="0095296E">
              <w:t>Количество пользователей Академии МСЭ</w:t>
            </w:r>
          </w:p>
        </w:tc>
      </w:tr>
      <w:tr w:rsidR="000318C5" w:rsidRPr="0095296E" w14:paraId="32C756B5" w14:textId="77777777" w:rsidTr="00CE6C61">
        <w:tc>
          <w:tcPr>
            <w:tcW w:w="2694" w:type="dxa"/>
            <w:vMerge/>
            <w:tcBorders>
              <w:left w:val="nil"/>
              <w:bottom w:val="single" w:sz="4" w:space="0" w:color="C0E6F5"/>
              <w:right w:val="nil"/>
            </w:tcBorders>
            <w:shd w:val="clear" w:color="44B3E1" w:fill="44B3E1"/>
            <w:noWrap/>
            <w:hideMark/>
          </w:tcPr>
          <w:p w14:paraId="0310A1B6"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30186429" w14:textId="78DE83C6" w:rsidR="000318C5" w:rsidRPr="0095296E" w:rsidRDefault="000318C5" w:rsidP="00CE6C61">
            <w:pPr>
              <w:pStyle w:val="Tabletext"/>
              <w:rPr>
                <w:rFonts w:cs="Calibri"/>
              </w:rPr>
            </w:pPr>
            <w:r w:rsidRPr="0095296E">
              <w:t>Количество специалистов, прошедших обучение и получивших сертификат по</w:t>
            </w:r>
            <w:r w:rsidR="00CE6C61" w:rsidRPr="0095296E">
              <w:t> </w:t>
            </w:r>
            <w:r w:rsidRPr="0095296E">
              <w:t>темам, связанным с электросвязью/информационно-коммуникационными технологиями (ИКТ)</w:t>
            </w:r>
          </w:p>
        </w:tc>
      </w:tr>
      <w:tr w:rsidR="000318C5" w:rsidRPr="0095296E" w14:paraId="7AE65073" w14:textId="77777777" w:rsidTr="00CE6C61">
        <w:tc>
          <w:tcPr>
            <w:tcW w:w="2694" w:type="dxa"/>
            <w:vMerge w:val="restart"/>
            <w:tcBorders>
              <w:top w:val="single" w:sz="4" w:space="0" w:color="C0E6F5"/>
              <w:left w:val="nil"/>
              <w:right w:val="nil"/>
            </w:tcBorders>
            <w:shd w:val="clear" w:color="44B3E1" w:fill="44B3E1"/>
            <w:noWrap/>
            <w:hideMark/>
          </w:tcPr>
          <w:p w14:paraId="2456381F" w14:textId="77777777" w:rsidR="000318C5" w:rsidRPr="0095296E" w:rsidRDefault="000318C5" w:rsidP="00CE6C61">
            <w:pPr>
              <w:pStyle w:val="Tabletext"/>
              <w:rPr>
                <w:rFonts w:cs="Calibri"/>
                <w:b/>
                <w:color w:val="FFFFFF" w:themeColor="background1"/>
              </w:rPr>
            </w:pPr>
            <w:r w:rsidRPr="0095296E">
              <w:rPr>
                <w:b/>
                <w:color w:val="FFFFFF" w:themeColor="background1"/>
              </w:rPr>
              <w:t>Платформы для созыва мероприятий</w:t>
            </w:r>
          </w:p>
        </w:tc>
        <w:tc>
          <w:tcPr>
            <w:tcW w:w="6951" w:type="dxa"/>
            <w:tcBorders>
              <w:top w:val="single" w:sz="4" w:space="0" w:color="C0E6F5"/>
              <w:left w:val="nil"/>
              <w:bottom w:val="single" w:sz="4" w:space="0" w:color="C0E6F5"/>
              <w:right w:val="nil"/>
            </w:tcBorders>
            <w:noWrap/>
            <w:hideMark/>
          </w:tcPr>
          <w:p w14:paraId="1AB3B2FD" w14:textId="77777777" w:rsidR="000318C5" w:rsidRPr="0095296E" w:rsidRDefault="000318C5" w:rsidP="00CE6C61">
            <w:pPr>
              <w:pStyle w:val="Tabletext"/>
              <w:rPr>
                <w:rFonts w:cs="Calibri"/>
              </w:rPr>
            </w:pPr>
            <w:r w:rsidRPr="0095296E">
              <w:t>Объем финансирования проектов для НРС, ЛЛДС и СИДС</w:t>
            </w:r>
          </w:p>
        </w:tc>
      </w:tr>
      <w:tr w:rsidR="000318C5" w:rsidRPr="0095296E" w14:paraId="2E1FC104" w14:textId="77777777" w:rsidTr="00CE6C61">
        <w:tc>
          <w:tcPr>
            <w:tcW w:w="2694" w:type="dxa"/>
            <w:vMerge/>
            <w:tcBorders>
              <w:left w:val="nil"/>
              <w:right w:val="nil"/>
            </w:tcBorders>
            <w:shd w:val="clear" w:color="44B3E1" w:fill="44B3E1"/>
            <w:noWrap/>
            <w:hideMark/>
          </w:tcPr>
          <w:p w14:paraId="70A942FC"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287BBD74" w14:textId="77777777" w:rsidR="000318C5" w:rsidRPr="0095296E" w:rsidRDefault="000318C5" w:rsidP="00CE6C61">
            <w:pPr>
              <w:pStyle w:val="Tabletext"/>
              <w:rPr>
                <w:rFonts w:cs="Calibri"/>
              </w:rPr>
            </w:pPr>
            <w:r w:rsidRPr="0095296E">
              <w:t>Количество разработанных примеров передового опыта/руководящих указаний</w:t>
            </w:r>
          </w:p>
        </w:tc>
      </w:tr>
      <w:tr w:rsidR="000318C5" w:rsidRPr="0095296E" w14:paraId="777B6B2C" w14:textId="77777777" w:rsidTr="00CE6C61">
        <w:tc>
          <w:tcPr>
            <w:tcW w:w="2694" w:type="dxa"/>
            <w:vMerge/>
            <w:tcBorders>
              <w:left w:val="nil"/>
              <w:right w:val="nil"/>
            </w:tcBorders>
            <w:shd w:val="clear" w:color="44B3E1" w:fill="44B3E1"/>
            <w:noWrap/>
            <w:hideMark/>
          </w:tcPr>
          <w:p w14:paraId="133C80EF"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32B196F" w14:textId="77777777" w:rsidR="000318C5" w:rsidRPr="0095296E" w:rsidRDefault="000318C5" w:rsidP="00CE6C61">
            <w:pPr>
              <w:pStyle w:val="Tabletext"/>
              <w:rPr>
                <w:rFonts w:cs="Calibri"/>
              </w:rPr>
            </w:pPr>
            <w:r w:rsidRPr="0095296E">
              <w:t>Количество проектов в НРС, ЛЛДС и СИДС, осуществленных при финансовой поддержке МСЭ-D</w:t>
            </w:r>
          </w:p>
        </w:tc>
      </w:tr>
      <w:tr w:rsidR="000318C5" w:rsidRPr="0095296E" w14:paraId="4A7DEA7D" w14:textId="77777777" w:rsidTr="00CE6C61">
        <w:tc>
          <w:tcPr>
            <w:tcW w:w="2694" w:type="dxa"/>
            <w:vMerge/>
            <w:tcBorders>
              <w:left w:val="nil"/>
              <w:right w:val="nil"/>
            </w:tcBorders>
            <w:shd w:val="clear" w:color="44B3E1" w:fill="44B3E1"/>
            <w:noWrap/>
            <w:hideMark/>
          </w:tcPr>
          <w:p w14:paraId="54CB6B7F"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AE7D25D" w14:textId="77777777" w:rsidR="000318C5" w:rsidRPr="0095296E" w:rsidRDefault="000318C5" w:rsidP="00CE6C61">
            <w:pPr>
              <w:pStyle w:val="Tabletext"/>
              <w:rPr>
                <w:rFonts w:cs="Calibri"/>
              </w:rPr>
            </w:pPr>
            <w:r w:rsidRPr="0095296E">
              <w:t>Количество соглашений о развитии ИКТ, подписанных между МСЭ и партнерами для поддержки выполнения Плана действий МСЭ-D</w:t>
            </w:r>
          </w:p>
        </w:tc>
      </w:tr>
      <w:tr w:rsidR="000318C5" w:rsidRPr="0095296E" w14:paraId="64309E68" w14:textId="77777777" w:rsidTr="00CE6C61">
        <w:tc>
          <w:tcPr>
            <w:tcW w:w="2694" w:type="dxa"/>
            <w:vMerge/>
            <w:tcBorders>
              <w:left w:val="nil"/>
              <w:right w:val="nil"/>
            </w:tcBorders>
            <w:shd w:val="clear" w:color="44B3E1" w:fill="44B3E1"/>
            <w:noWrap/>
            <w:hideMark/>
          </w:tcPr>
          <w:p w14:paraId="5B9999CC"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tcPr>
          <w:p w14:paraId="2EADFF87" w14:textId="77777777" w:rsidR="000318C5" w:rsidRPr="0095296E" w:rsidRDefault="000318C5" w:rsidP="00CE6C61">
            <w:pPr>
              <w:pStyle w:val="Tabletext"/>
              <w:rPr>
                <w:rFonts w:cs="Calibri"/>
              </w:rPr>
            </w:pPr>
            <w:r w:rsidRPr="0095296E">
              <w:t>Количество отчетов об оценке воздействия, подготовленных БРЭ</w:t>
            </w:r>
          </w:p>
        </w:tc>
      </w:tr>
      <w:tr w:rsidR="000318C5" w:rsidRPr="0095296E" w14:paraId="20B4DE13" w14:textId="77777777" w:rsidTr="00CE6C61">
        <w:tc>
          <w:tcPr>
            <w:tcW w:w="2694" w:type="dxa"/>
            <w:vMerge/>
            <w:tcBorders>
              <w:left w:val="nil"/>
              <w:right w:val="nil"/>
            </w:tcBorders>
            <w:shd w:val="clear" w:color="44B3E1" w:fill="44B3E1"/>
            <w:noWrap/>
            <w:hideMark/>
          </w:tcPr>
          <w:p w14:paraId="3839D6BF"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DF0247F" w14:textId="77777777" w:rsidR="000318C5" w:rsidRPr="0095296E" w:rsidRDefault="000318C5" w:rsidP="00CE6C61">
            <w:pPr>
              <w:pStyle w:val="Tabletext"/>
              <w:rPr>
                <w:rFonts w:cs="Calibri"/>
              </w:rPr>
            </w:pPr>
            <w:r w:rsidRPr="0095296E">
              <w:t xml:space="preserve">Количество участвующих Государств-Членов </w:t>
            </w:r>
          </w:p>
        </w:tc>
      </w:tr>
      <w:tr w:rsidR="000318C5" w:rsidRPr="0095296E" w14:paraId="32D768CD" w14:textId="77777777" w:rsidTr="00CE6C61">
        <w:tc>
          <w:tcPr>
            <w:tcW w:w="2694" w:type="dxa"/>
            <w:vMerge/>
            <w:tcBorders>
              <w:left w:val="nil"/>
              <w:right w:val="nil"/>
            </w:tcBorders>
            <w:shd w:val="clear" w:color="44B3E1" w:fill="44B3E1"/>
            <w:noWrap/>
            <w:hideMark/>
          </w:tcPr>
          <w:p w14:paraId="55B852BF"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B4B4D0B" w14:textId="77777777" w:rsidR="000318C5" w:rsidRPr="0095296E" w:rsidRDefault="000318C5" w:rsidP="00CE6C61">
            <w:pPr>
              <w:pStyle w:val="Tabletext"/>
              <w:rPr>
                <w:rFonts w:cs="Calibri"/>
              </w:rPr>
            </w:pPr>
            <w:r w:rsidRPr="0095296E">
              <w:t>Количество новых Членов МСЭ-D</w:t>
            </w:r>
          </w:p>
        </w:tc>
      </w:tr>
      <w:tr w:rsidR="000318C5" w:rsidRPr="0095296E" w14:paraId="0960BC64" w14:textId="77777777" w:rsidTr="00CE6C61">
        <w:tc>
          <w:tcPr>
            <w:tcW w:w="2694" w:type="dxa"/>
            <w:vMerge/>
            <w:tcBorders>
              <w:left w:val="nil"/>
              <w:right w:val="nil"/>
            </w:tcBorders>
            <w:shd w:val="clear" w:color="44B3E1" w:fill="44B3E1"/>
            <w:noWrap/>
            <w:hideMark/>
          </w:tcPr>
          <w:p w14:paraId="0CDC5718"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7C05E64B" w14:textId="01528BF9" w:rsidR="000318C5" w:rsidRPr="0095296E" w:rsidRDefault="000318C5" w:rsidP="00CE6C61">
            <w:pPr>
              <w:pStyle w:val="Tabletext"/>
              <w:rPr>
                <w:rFonts w:cs="Calibri"/>
              </w:rPr>
            </w:pPr>
            <w:r w:rsidRPr="0095296E">
              <w:t xml:space="preserve">Количество участников мероприятий, проводимых под руководством БРЭ (включая РФР, ГСР, GIF, DSF, WTIS, EGTI, День "Девушки в ИКТ", Глобальный молодежный форум </w:t>
            </w:r>
            <w:r w:rsidR="007A45F0" w:rsidRPr="0095296E">
              <w:t>и</w:t>
            </w:r>
            <w:r w:rsidR="00FC62AD" w:rsidRPr="0095296E">
              <w:t> </w:t>
            </w:r>
            <w:r w:rsidR="007A45F0" w:rsidRPr="0095296E">
              <w:t>т.</w:t>
            </w:r>
            <w:r w:rsidR="00FC62AD" w:rsidRPr="0095296E">
              <w:t> </w:t>
            </w:r>
            <w:r w:rsidR="007A45F0" w:rsidRPr="0095296E">
              <w:t>д.</w:t>
            </w:r>
            <w:r w:rsidRPr="0095296E">
              <w:t xml:space="preserve">) </w:t>
            </w:r>
          </w:p>
        </w:tc>
      </w:tr>
      <w:tr w:rsidR="000318C5" w:rsidRPr="0095296E" w14:paraId="7D6DE7DE" w14:textId="77777777" w:rsidTr="00CE6C61">
        <w:tc>
          <w:tcPr>
            <w:tcW w:w="2694" w:type="dxa"/>
            <w:vMerge/>
            <w:tcBorders>
              <w:left w:val="nil"/>
              <w:right w:val="nil"/>
            </w:tcBorders>
            <w:shd w:val="clear" w:color="44B3E1" w:fill="44B3E1"/>
            <w:noWrap/>
            <w:hideMark/>
          </w:tcPr>
          <w:p w14:paraId="5F280698"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1D91CCE3" w14:textId="77777777" w:rsidR="000318C5" w:rsidRPr="0095296E" w:rsidRDefault="000318C5" w:rsidP="00CE6C61">
            <w:pPr>
              <w:pStyle w:val="Tabletext"/>
              <w:rPr>
                <w:rFonts w:cs="Calibri"/>
              </w:rPr>
            </w:pPr>
            <w:r w:rsidRPr="0095296E">
              <w:t>Количество заключенных соглашений о партнерстве</w:t>
            </w:r>
          </w:p>
        </w:tc>
      </w:tr>
      <w:tr w:rsidR="000318C5" w:rsidRPr="0095296E" w14:paraId="7FD4FD50" w14:textId="77777777" w:rsidTr="00CE6C61">
        <w:tc>
          <w:tcPr>
            <w:tcW w:w="2694" w:type="dxa"/>
            <w:vMerge/>
            <w:tcBorders>
              <w:left w:val="nil"/>
              <w:right w:val="nil"/>
            </w:tcBorders>
            <w:shd w:val="clear" w:color="44B3E1" w:fill="44B3E1"/>
            <w:noWrap/>
            <w:hideMark/>
          </w:tcPr>
          <w:p w14:paraId="7C6533D2"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5181E903" w14:textId="77777777" w:rsidR="000318C5" w:rsidRPr="0095296E" w:rsidRDefault="000318C5" w:rsidP="00CE6C61">
            <w:pPr>
              <w:pStyle w:val="Tabletext"/>
              <w:rPr>
                <w:rFonts w:cs="Calibri"/>
              </w:rPr>
            </w:pPr>
            <w:r w:rsidRPr="0095296E">
              <w:t>Соотношение внутренних и внешних источников финансирования проектов</w:t>
            </w:r>
          </w:p>
        </w:tc>
      </w:tr>
      <w:tr w:rsidR="000318C5" w:rsidRPr="0095296E" w14:paraId="36D743D0" w14:textId="77777777" w:rsidTr="00CE6C61">
        <w:tc>
          <w:tcPr>
            <w:tcW w:w="2694" w:type="dxa"/>
            <w:vMerge/>
            <w:tcBorders>
              <w:left w:val="nil"/>
              <w:right w:val="nil"/>
            </w:tcBorders>
            <w:shd w:val="clear" w:color="44B3E1" w:fill="44B3E1"/>
            <w:noWrap/>
            <w:hideMark/>
          </w:tcPr>
          <w:p w14:paraId="2906F57A"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0B041646" w14:textId="77777777" w:rsidR="000318C5" w:rsidRPr="0095296E" w:rsidRDefault="000318C5" w:rsidP="00CE6C61">
            <w:pPr>
              <w:pStyle w:val="Tabletext"/>
              <w:rPr>
                <w:rFonts w:cs="Calibri"/>
              </w:rPr>
            </w:pPr>
            <w:r w:rsidRPr="0095296E">
              <w:t>Общее количество партнеров, участвующих в проектах МСЭ-D</w:t>
            </w:r>
          </w:p>
        </w:tc>
      </w:tr>
      <w:tr w:rsidR="000318C5" w:rsidRPr="0095296E" w14:paraId="2669CEB5" w14:textId="77777777" w:rsidTr="00CE6C61">
        <w:tc>
          <w:tcPr>
            <w:tcW w:w="2694" w:type="dxa"/>
            <w:vMerge/>
            <w:tcBorders>
              <w:left w:val="nil"/>
              <w:bottom w:val="single" w:sz="4" w:space="0" w:color="C0E6F5"/>
              <w:right w:val="nil"/>
            </w:tcBorders>
            <w:shd w:val="clear" w:color="44B3E1" w:fill="44B3E1"/>
            <w:noWrap/>
            <w:hideMark/>
          </w:tcPr>
          <w:p w14:paraId="7B5147DE" w14:textId="77777777" w:rsidR="000318C5" w:rsidRPr="0095296E" w:rsidRDefault="000318C5" w:rsidP="00CE6C61">
            <w:pPr>
              <w:pStyle w:val="Tabletext"/>
              <w:rPr>
                <w:rFonts w:cs="Calibri"/>
                <w:b/>
                <w:color w:val="FFFFFF" w:themeColor="background1"/>
                <w:lang w:eastAsia="en-GB"/>
              </w:rPr>
            </w:pPr>
          </w:p>
        </w:tc>
        <w:tc>
          <w:tcPr>
            <w:tcW w:w="6951" w:type="dxa"/>
            <w:tcBorders>
              <w:top w:val="single" w:sz="4" w:space="0" w:color="C0E6F5"/>
              <w:left w:val="nil"/>
              <w:bottom w:val="single" w:sz="4" w:space="0" w:color="C0E6F5"/>
              <w:right w:val="nil"/>
            </w:tcBorders>
            <w:noWrap/>
            <w:hideMark/>
          </w:tcPr>
          <w:p w14:paraId="783F1086" w14:textId="77777777" w:rsidR="000318C5" w:rsidRPr="0095296E" w:rsidRDefault="000318C5" w:rsidP="00CE6C61">
            <w:pPr>
              <w:pStyle w:val="Tabletext"/>
              <w:rPr>
                <w:rFonts w:cs="Calibri"/>
              </w:rPr>
            </w:pPr>
            <w:r w:rsidRPr="0095296E">
              <w:t>Общий объем средств по проектам, привлеченных БРЭ</w:t>
            </w:r>
          </w:p>
        </w:tc>
      </w:tr>
    </w:tbl>
    <w:p w14:paraId="442BAA21" w14:textId="3B8B2A46" w:rsidR="000318C5" w:rsidRPr="0095296E" w:rsidRDefault="00CE6C61" w:rsidP="00CE6C61">
      <w:pPr>
        <w:pStyle w:val="Heading1"/>
        <w:rPr>
          <w:rFonts w:eastAsia="Calibri"/>
          <w:szCs w:val="24"/>
        </w:rPr>
      </w:pPr>
      <w:r w:rsidRPr="0095296E">
        <w:t>5</w:t>
      </w:r>
      <w:r w:rsidRPr="0095296E">
        <w:tab/>
      </w:r>
      <w:r w:rsidR="000318C5" w:rsidRPr="0095296E">
        <w:t>Средство достижения целей: организационная эффективность</w:t>
      </w:r>
    </w:p>
    <w:p w14:paraId="5A2A8C8D" w14:textId="77777777" w:rsidR="000318C5" w:rsidRPr="0095296E" w:rsidRDefault="000318C5" w:rsidP="00CE6C61">
      <w:r w:rsidRPr="0095296E">
        <w:t>ВКРЭ-25 определила "организационную эффективность" как механизм, способствующий реализации и поддержке достижения конечных результатов по приоритетам МСЭ-D. Основное внимание в нем уделяется оптимизации и повышению оперативной эффективности и результативности, с тем чтобы БРЭ могло оперативно реагировать на изменения в среде электросвязи/ИКТ и лучше удовлетворять потребности стран и членов. Это включает укрепление внутренних процессов, ускорение принятия решений, содействие межфункциональному сотрудничеству, поощрение инноваций, а также повышение производительности и управление перспективными кадрами с помощью плана трансформации культуры и навыков. Основные сферы применения:</w:t>
      </w:r>
    </w:p>
    <w:p w14:paraId="2D5EF1E3" w14:textId="17672612" w:rsidR="000318C5" w:rsidRPr="0095296E" w:rsidRDefault="00FC62AD" w:rsidP="00CE6C61">
      <w:pPr>
        <w:pStyle w:val="enumlev1"/>
      </w:pPr>
      <w:r w:rsidRPr="0095296E">
        <w:t>−</w:t>
      </w:r>
      <w:r w:rsidR="00CE6C61" w:rsidRPr="0095296E">
        <w:tab/>
      </w:r>
      <w:r w:rsidR="000318C5" w:rsidRPr="0095296E">
        <w:rPr>
          <w:b/>
          <w:bCs/>
        </w:rPr>
        <w:t>Подход, ориентированный на членов:</w:t>
      </w:r>
      <w:r w:rsidR="000318C5" w:rsidRPr="0095296E">
        <w:t xml:space="preserve"> установление приоритетности потребностей всех членов, в особенности развивающихся стран, и укрепление взаимодействия с отраслью и новыми членами.</w:t>
      </w:r>
    </w:p>
    <w:p w14:paraId="2E726430" w14:textId="1B301F7B" w:rsidR="000318C5" w:rsidRPr="0095296E" w:rsidRDefault="00FC62AD" w:rsidP="00CE6C61">
      <w:pPr>
        <w:pStyle w:val="enumlev1"/>
      </w:pPr>
      <w:r w:rsidRPr="0095296E">
        <w:t>−</w:t>
      </w:r>
      <w:r w:rsidR="00CE6C61" w:rsidRPr="0095296E">
        <w:tab/>
      </w:r>
      <w:r w:rsidR="000318C5" w:rsidRPr="0095296E">
        <w:rPr>
          <w:b/>
          <w:bCs/>
        </w:rPr>
        <w:t>Региональное присутствие</w:t>
      </w:r>
      <w:r w:rsidR="000318C5" w:rsidRPr="0095296E">
        <w:t>: расширение возможностей региональных и зональных отделений для повышения оперативности реагирования на местном уровне, реализации программ, партнерских отношений и отчетности о достигнутом прогрессе, использовании ресурсов и результативности.</w:t>
      </w:r>
    </w:p>
    <w:p w14:paraId="757A4D4A" w14:textId="150E2816" w:rsidR="000318C5" w:rsidRPr="0095296E" w:rsidRDefault="00FC62AD" w:rsidP="00CE6C61">
      <w:pPr>
        <w:pStyle w:val="enumlev1"/>
      </w:pPr>
      <w:r w:rsidRPr="0095296E">
        <w:t>−</w:t>
      </w:r>
      <w:r w:rsidR="00CE6C61" w:rsidRPr="0095296E">
        <w:tab/>
      </w:r>
      <w:r w:rsidR="000318C5" w:rsidRPr="0095296E">
        <w:rPr>
          <w:b/>
          <w:bCs/>
        </w:rPr>
        <w:t>Управление проектами</w:t>
      </w:r>
      <w:r w:rsidR="000318C5" w:rsidRPr="0095296E">
        <w:t>: наращивание потенциала, инструментов и практики для обеспечения эффективного, подотчетного планирования, исполнения, мониторинга и своевременного завершения проектов в области развития.</w:t>
      </w:r>
    </w:p>
    <w:p w14:paraId="6FF41780" w14:textId="25D4FC97" w:rsidR="000318C5" w:rsidRPr="0095296E" w:rsidRDefault="00FC62AD" w:rsidP="00CE6C61">
      <w:pPr>
        <w:pStyle w:val="enumlev1"/>
      </w:pPr>
      <w:r w:rsidRPr="0095296E">
        <w:t>−</w:t>
      </w:r>
      <w:r w:rsidR="00CE6C61" w:rsidRPr="0095296E">
        <w:tab/>
      </w:r>
      <w:r w:rsidR="000318C5" w:rsidRPr="0095296E">
        <w:rPr>
          <w:b/>
          <w:bCs/>
        </w:rPr>
        <w:t>Вспомогательные услуги</w:t>
      </w:r>
      <w:r w:rsidR="000318C5" w:rsidRPr="0095296E">
        <w:t xml:space="preserve">: укрепление административных и оперативных функций, таких как связь, предоставление стипендий, проведение мероприятий, ведение документации, </w:t>
      </w:r>
      <w:r w:rsidR="000318C5" w:rsidRPr="0095296E">
        <w:lastRenderedPageBreak/>
        <w:t>мониторинг показателей деятельности, людские ресурсы, бюджетная поддержка и координация между Секторами МСЭ.</w:t>
      </w:r>
    </w:p>
    <w:p w14:paraId="02368104" w14:textId="77777777" w:rsidR="000318C5" w:rsidRPr="0095296E" w:rsidRDefault="000318C5" w:rsidP="000318C5">
      <w:pPr>
        <w:keepNext/>
        <w:overflowPunct/>
        <w:autoSpaceDE/>
        <w:autoSpaceDN/>
        <w:adjustRightInd/>
        <w:spacing w:after="120"/>
        <w:textAlignment w:val="auto"/>
      </w:pPr>
      <w:r w:rsidRPr="0095296E">
        <w:t>Для этих областей был выделен специальный бюджет для обеспечения результативного выполнения программ и стратегических результатов МСЭ-D.</w:t>
      </w:r>
    </w:p>
    <w:tbl>
      <w:tblPr>
        <w:tblW w:w="5000" w:type="pct"/>
        <w:tblLayout w:type="fixed"/>
        <w:tblLook w:val="04A0" w:firstRow="1" w:lastRow="0" w:firstColumn="1" w:lastColumn="0" w:noHBand="0" w:noVBand="1"/>
      </w:tblPr>
      <w:tblGrid>
        <w:gridCol w:w="3256"/>
        <w:gridCol w:w="1793"/>
        <w:gridCol w:w="2743"/>
        <w:gridCol w:w="1837"/>
      </w:tblGrid>
      <w:tr w:rsidR="00CE6C61" w:rsidRPr="0095296E" w14:paraId="31C81296" w14:textId="77777777" w:rsidTr="00CE6C61">
        <w:trPr>
          <w:trHeight w:val="300"/>
        </w:trPr>
        <w:tc>
          <w:tcPr>
            <w:tcW w:w="3256" w:type="dxa"/>
            <w:tcBorders>
              <w:top w:val="single" w:sz="4" w:space="0" w:color="44B3E1"/>
              <w:left w:val="single" w:sz="4" w:space="0" w:color="44B3E1"/>
              <w:bottom w:val="single" w:sz="4" w:space="0" w:color="44B3E1"/>
              <w:right w:val="nil"/>
            </w:tcBorders>
            <w:shd w:val="clear" w:color="156082" w:fill="156082"/>
            <w:vAlign w:val="center"/>
            <w:hideMark/>
          </w:tcPr>
          <w:p w14:paraId="00001F25" w14:textId="5B09927F" w:rsidR="000318C5" w:rsidRPr="0095296E" w:rsidRDefault="000318C5" w:rsidP="00CE6C61">
            <w:pPr>
              <w:pStyle w:val="Tablehead"/>
              <w:ind w:left="-57" w:right="-57"/>
              <w:rPr>
                <w:rFonts w:cs="Calibri"/>
                <w:color w:val="FFFFFF" w:themeColor="background1"/>
              </w:rPr>
            </w:pPr>
            <w:r w:rsidRPr="0095296E">
              <w:rPr>
                <w:color w:val="FFFFFF" w:themeColor="background1"/>
              </w:rPr>
              <w:t>Средство достижения целей</w:t>
            </w:r>
          </w:p>
        </w:tc>
        <w:tc>
          <w:tcPr>
            <w:tcW w:w="1793" w:type="dxa"/>
            <w:tcBorders>
              <w:top w:val="single" w:sz="4" w:space="0" w:color="44B3E1"/>
              <w:left w:val="nil"/>
              <w:bottom w:val="single" w:sz="4" w:space="0" w:color="44B3E1"/>
              <w:right w:val="nil"/>
            </w:tcBorders>
            <w:shd w:val="clear" w:color="156082" w:fill="156082"/>
            <w:noWrap/>
            <w:vAlign w:val="center"/>
            <w:hideMark/>
          </w:tcPr>
          <w:p w14:paraId="1FB773C3" w14:textId="0829BB1E" w:rsidR="000318C5" w:rsidRPr="0095296E" w:rsidRDefault="000318C5" w:rsidP="00CE6C61">
            <w:pPr>
              <w:pStyle w:val="Tablehead"/>
              <w:ind w:left="-57" w:right="-57"/>
              <w:rPr>
                <w:rFonts w:cs="Calibri"/>
                <w:color w:val="FFFFFF" w:themeColor="background1"/>
              </w:rPr>
            </w:pPr>
            <w:r w:rsidRPr="0095296E">
              <w:rPr>
                <w:color w:val="FFFFFF" w:themeColor="background1"/>
              </w:rPr>
              <w:t>Бюджет на 2026 г.</w:t>
            </w:r>
            <w:r w:rsidR="00CE6C61" w:rsidRPr="0095296E">
              <w:rPr>
                <w:color w:val="FFFFFF" w:themeColor="background1"/>
              </w:rPr>
              <w:br/>
            </w:r>
            <w:r w:rsidRPr="0095296E">
              <w:rPr>
                <w:color w:val="FFFFFF" w:themeColor="background1"/>
              </w:rPr>
              <w:t>(шв. фр.)</w:t>
            </w:r>
          </w:p>
        </w:tc>
        <w:tc>
          <w:tcPr>
            <w:tcW w:w="2743" w:type="dxa"/>
            <w:tcBorders>
              <w:top w:val="single" w:sz="4" w:space="0" w:color="44B3E1"/>
              <w:left w:val="nil"/>
              <w:bottom w:val="single" w:sz="4" w:space="0" w:color="44B3E1"/>
              <w:right w:val="nil"/>
            </w:tcBorders>
            <w:shd w:val="clear" w:color="156082" w:fill="156082"/>
            <w:noWrap/>
            <w:vAlign w:val="center"/>
            <w:hideMark/>
          </w:tcPr>
          <w:p w14:paraId="5BE0B57B" w14:textId="462330D2" w:rsidR="000318C5" w:rsidRPr="0095296E" w:rsidRDefault="007A45F0" w:rsidP="007A45F0">
            <w:pPr>
              <w:pStyle w:val="Tablehead"/>
              <w:ind w:left="-57" w:right="-57"/>
              <w:rPr>
                <w:rFonts w:cs="Calibri"/>
                <w:color w:val="FFFFFF" w:themeColor="background1"/>
              </w:rPr>
            </w:pPr>
            <w:r w:rsidRPr="0095296E">
              <w:rPr>
                <w:color w:val="FFFFFF" w:themeColor="background1"/>
              </w:rPr>
              <w:t>Процент от общего объема приоритетов/средств достижения целей</w:t>
            </w:r>
          </w:p>
        </w:tc>
        <w:tc>
          <w:tcPr>
            <w:tcW w:w="1837" w:type="dxa"/>
            <w:tcBorders>
              <w:top w:val="single" w:sz="4" w:space="0" w:color="44B3E1"/>
              <w:left w:val="nil"/>
              <w:bottom w:val="single" w:sz="4" w:space="0" w:color="44B3E1"/>
              <w:right w:val="single" w:sz="4" w:space="0" w:color="44B3E1"/>
            </w:tcBorders>
            <w:shd w:val="clear" w:color="156082" w:fill="156082"/>
            <w:noWrap/>
            <w:vAlign w:val="center"/>
            <w:hideMark/>
          </w:tcPr>
          <w:p w14:paraId="569F2129" w14:textId="0E3954E1" w:rsidR="000318C5" w:rsidRPr="0095296E" w:rsidRDefault="000318C5" w:rsidP="00CE6C61">
            <w:pPr>
              <w:pStyle w:val="Tablehead"/>
              <w:ind w:left="-57" w:right="-57"/>
              <w:rPr>
                <w:rFonts w:cs="Calibri"/>
                <w:color w:val="FFFFFF" w:themeColor="background1"/>
              </w:rPr>
            </w:pPr>
            <w:r w:rsidRPr="0095296E">
              <w:rPr>
                <w:color w:val="FFFFFF" w:themeColor="background1"/>
              </w:rPr>
              <w:t xml:space="preserve">Процент от общего </w:t>
            </w:r>
            <w:r w:rsidR="007A45F0" w:rsidRPr="0095296E">
              <w:rPr>
                <w:color w:val="FFFFFF" w:themeColor="background1"/>
              </w:rPr>
              <w:t>итога</w:t>
            </w:r>
          </w:p>
        </w:tc>
      </w:tr>
      <w:tr w:rsidR="000318C5" w:rsidRPr="0095296E" w14:paraId="67FEA862" w14:textId="77777777" w:rsidTr="00CE6C61">
        <w:trPr>
          <w:trHeight w:val="300"/>
        </w:trPr>
        <w:tc>
          <w:tcPr>
            <w:tcW w:w="3256" w:type="dxa"/>
            <w:tcBorders>
              <w:top w:val="single" w:sz="4" w:space="0" w:color="44B3E1"/>
              <w:left w:val="single" w:sz="4" w:space="0" w:color="44B3E1"/>
              <w:bottom w:val="single" w:sz="4" w:space="0" w:color="44B3E1"/>
              <w:right w:val="nil"/>
            </w:tcBorders>
            <w:shd w:val="clear" w:color="C0E6F5" w:fill="C0E6F5"/>
            <w:hideMark/>
          </w:tcPr>
          <w:p w14:paraId="637DE586" w14:textId="77777777" w:rsidR="000318C5" w:rsidRPr="0095296E" w:rsidRDefault="000318C5" w:rsidP="00CE6C61">
            <w:pPr>
              <w:pStyle w:val="Tabletext"/>
              <w:rPr>
                <w:rFonts w:cs="Calibri"/>
                <w:b/>
                <w:bCs/>
              </w:rPr>
            </w:pPr>
            <w:r w:rsidRPr="0095296E">
              <w:rPr>
                <w:b/>
                <w:bCs/>
              </w:rPr>
              <w:t>Организационная эффективность</w:t>
            </w:r>
          </w:p>
        </w:tc>
        <w:tc>
          <w:tcPr>
            <w:tcW w:w="1793" w:type="dxa"/>
            <w:tcBorders>
              <w:top w:val="single" w:sz="4" w:space="0" w:color="44B3E1"/>
              <w:left w:val="nil"/>
              <w:bottom w:val="single" w:sz="4" w:space="0" w:color="44B3E1"/>
              <w:right w:val="nil"/>
            </w:tcBorders>
            <w:shd w:val="clear" w:color="C0E6F5" w:fill="C0E6F5"/>
            <w:noWrap/>
            <w:hideMark/>
          </w:tcPr>
          <w:p w14:paraId="6FDB2822" w14:textId="3B4BEDB6" w:rsidR="000318C5" w:rsidRPr="0095296E" w:rsidRDefault="007A45F0" w:rsidP="004436FC">
            <w:pPr>
              <w:pStyle w:val="Tabletext"/>
              <w:ind w:right="170"/>
              <w:jc w:val="right"/>
              <w:rPr>
                <w:rFonts w:ascii="Aptos Narrow" w:hAnsi="Aptos Narrow"/>
                <w:b/>
                <w:bCs/>
              </w:rPr>
            </w:pPr>
            <w:r w:rsidRPr="0095296E">
              <w:rPr>
                <w:b/>
                <w:bCs/>
              </w:rPr>
              <w:t>580</w:t>
            </w:r>
            <w:r w:rsidR="000318C5" w:rsidRPr="0095296E">
              <w:rPr>
                <w:b/>
                <w:bCs/>
              </w:rPr>
              <w:t> </w:t>
            </w:r>
            <w:r w:rsidRPr="0095296E">
              <w:rPr>
                <w:b/>
                <w:bCs/>
              </w:rPr>
              <w:t>61</w:t>
            </w:r>
            <w:r w:rsidR="000318C5" w:rsidRPr="0095296E">
              <w:rPr>
                <w:b/>
                <w:bCs/>
              </w:rPr>
              <w:t>5</w:t>
            </w:r>
          </w:p>
        </w:tc>
        <w:tc>
          <w:tcPr>
            <w:tcW w:w="2743" w:type="dxa"/>
            <w:tcBorders>
              <w:top w:val="single" w:sz="4" w:space="0" w:color="44B3E1"/>
              <w:left w:val="nil"/>
              <w:bottom w:val="single" w:sz="4" w:space="0" w:color="44B3E1"/>
              <w:right w:val="nil"/>
            </w:tcBorders>
            <w:shd w:val="clear" w:color="C0E6F5" w:fill="C0E6F5"/>
            <w:noWrap/>
            <w:hideMark/>
          </w:tcPr>
          <w:p w14:paraId="459F941E" w14:textId="77777777" w:rsidR="000318C5" w:rsidRPr="0095296E" w:rsidRDefault="000318C5" w:rsidP="00CE6C61">
            <w:pPr>
              <w:pStyle w:val="Tabletext"/>
              <w:jc w:val="center"/>
              <w:rPr>
                <w:rFonts w:ascii="Aptos Narrow" w:hAnsi="Aptos Narrow"/>
                <w:b/>
                <w:bCs/>
                <w:lang w:eastAsia="en-GB"/>
              </w:rPr>
            </w:pPr>
          </w:p>
        </w:tc>
        <w:tc>
          <w:tcPr>
            <w:tcW w:w="1837" w:type="dxa"/>
            <w:tcBorders>
              <w:top w:val="single" w:sz="4" w:space="0" w:color="44B3E1"/>
              <w:left w:val="nil"/>
              <w:bottom w:val="single" w:sz="4" w:space="0" w:color="44B3E1"/>
              <w:right w:val="single" w:sz="4" w:space="0" w:color="44B3E1"/>
            </w:tcBorders>
            <w:shd w:val="clear" w:color="C0E6F5" w:fill="C0E6F5"/>
            <w:noWrap/>
            <w:hideMark/>
          </w:tcPr>
          <w:p w14:paraId="16020ECE" w14:textId="76FEE961" w:rsidR="000318C5" w:rsidRPr="0095296E" w:rsidRDefault="000318C5" w:rsidP="00CE6C61">
            <w:pPr>
              <w:pStyle w:val="Tabletext"/>
              <w:jc w:val="center"/>
              <w:rPr>
                <w:rFonts w:ascii="Aptos Narrow" w:hAnsi="Aptos Narrow"/>
                <w:b/>
                <w:bCs/>
              </w:rPr>
            </w:pPr>
            <w:r w:rsidRPr="0095296E">
              <w:rPr>
                <w:b/>
                <w:bCs/>
              </w:rPr>
              <w:t>1</w:t>
            </w:r>
            <w:r w:rsidR="007A45F0" w:rsidRPr="0095296E">
              <w:rPr>
                <w:b/>
                <w:bCs/>
              </w:rPr>
              <w:t>5</w:t>
            </w:r>
            <w:r w:rsidRPr="0095296E">
              <w:rPr>
                <w:b/>
                <w:bCs/>
              </w:rPr>
              <w:t>,2</w:t>
            </w:r>
            <w:r w:rsidR="007A45F0" w:rsidRPr="0095296E">
              <w:rPr>
                <w:b/>
                <w:bCs/>
              </w:rPr>
              <w:t>3</w:t>
            </w:r>
            <w:r w:rsidR="00FC62AD" w:rsidRPr="0095296E">
              <w:rPr>
                <w:b/>
                <w:bCs/>
              </w:rPr>
              <w:t>%</w:t>
            </w:r>
          </w:p>
        </w:tc>
      </w:tr>
      <w:tr w:rsidR="000318C5" w:rsidRPr="0095296E" w14:paraId="267EC9FA" w14:textId="77777777" w:rsidTr="00CE6C61">
        <w:trPr>
          <w:trHeight w:val="300"/>
        </w:trPr>
        <w:tc>
          <w:tcPr>
            <w:tcW w:w="3256" w:type="dxa"/>
            <w:tcBorders>
              <w:top w:val="single" w:sz="4" w:space="0" w:color="44B3E1"/>
              <w:left w:val="single" w:sz="4" w:space="0" w:color="44B3E1"/>
              <w:bottom w:val="single" w:sz="4" w:space="0" w:color="44B3E1"/>
              <w:right w:val="nil"/>
            </w:tcBorders>
            <w:hideMark/>
          </w:tcPr>
          <w:p w14:paraId="2F8EB69B" w14:textId="77777777" w:rsidR="000318C5" w:rsidRPr="0095296E" w:rsidRDefault="000318C5" w:rsidP="00CE6C61">
            <w:pPr>
              <w:pStyle w:val="Tabletext"/>
              <w:rPr>
                <w:rFonts w:cs="Calibri"/>
              </w:rPr>
            </w:pPr>
            <w:r w:rsidRPr="0095296E">
              <w:t>Ориентация на интересы членов</w:t>
            </w:r>
          </w:p>
        </w:tc>
        <w:tc>
          <w:tcPr>
            <w:tcW w:w="1793" w:type="dxa"/>
            <w:tcBorders>
              <w:top w:val="single" w:sz="4" w:space="0" w:color="44B3E1"/>
              <w:left w:val="nil"/>
              <w:bottom w:val="single" w:sz="4" w:space="0" w:color="44B3E1"/>
              <w:right w:val="nil"/>
            </w:tcBorders>
            <w:noWrap/>
            <w:hideMark/>
          </w:tcPr>
          <w:p w14:paraId="11002D95" w14:textId="61843C25" w:rsidR="000318C5" w:rsidRPr="0095296E" w:rsidRDefault="000318C5" w:rsidP="004436FC">
            <w:pPr>
              <w:pStyle w:val="Tabletext"/>
              <w:ind w:right="170"/>
              <w:jc w:val="right"/>
              <w:rPr>
                <w:rFonts w:ascii="Aptos Narrow" w:hAnsi="Aptos Narrow"/>
              </w:rPr>
            </w:pPr>
            <w:r w:rsidRPr="0095296E">
              <w:t>1</w:t>
            </w:r>
            <w:r w:rsidR="007A45F0" w:rsidRPr="0095296E">
              <w:t>8</w:t>
            </w:r>
            <w:r w:rsidRPr="0095296E">
              <w:t>5 000</w:t>
            </w:r>
          </w:p>
        </w:tc>
        <w:tc>
          <w:tcPr>
            <w:tcW w:w="2743" w:type="dxa"/>
            <w:tcBorders>
              <w:top w:val="single" w:sz="4" w:space="0" w:color="44B3E1"/>
              <w:left w:val="nil"/>
              <w:bottom w:val="single" w:sz="4" w:space="0" w:color="44B3E1"/>
              <w:right w:val="nil"/>
            </w:tcBorders>
            <w:noWrap/>
            <w:hideMark/>
          </w:tcPr>
          <w:p w14:paraId="4EE1555D" w14:textId="76EB06B1" w:rsidR="000318C5" w:rsidRPr="0095296E" w:rsidRDefault="007A45F0" w:rsidP="00CE6C61">
            <w:pPr>
              <w:pStyle w:val="Tabletext"/>
              <w:jc w:val="center"/>
              <w:rPr>
                <w:rFonts w:ascii="Aptos Narrow" w:hAnsi="Aptos Narrow"/>
              </w:rPr>
            </w:pPr>
            <w:r w:rsidRPr="0095296E">
              <w:t>31</w:t>
            </w:r>
            <w:r w:rsidR="000318C5" w:rsidRPr="0095296E">
              <w:t>,</w:t>
            </w:r>
            <w:r w:rsidRPr="0095296E">
              <w:t>9</w:t>
            </w:r>
            <w:r w:rsidR="00FC62AD" w:rsidRPr="0095296E">
              <w:t>%</w:t>
            </w:r>
          </w:p>
        </w:tc>
        <w:tc>
          <w:tcPr>
            <w:tcW w:w="1837" w:type="dxa"/>
            <w:tcBorders>
              <w:top w:val="single" w:sz="4" w:space="0" w:color="44B3E1"/>
              <w:left w:val="nil"/>
              <w:bottom w:val="single" w:sz="4" w:space="0" w:color="44B3E1"/>
              <w:right w:val="single" w:sz="4" w:space="0" w:color="44B3E1"/>
            </w:tcBorders>
            <w:noWrap/>
            <w:hideMark/>
          </w:tcPr>
          <w:p w14:paraId="3594BF61" w14:textId="394E072C" w:rsidR="000318C5" w:rsidRPr="0095296E" w:rsidRDefault="007A45F0" w:rsidP="00CE6C61">
            <w:pPr>
              <w:pStyle w:val="Tabletext"/>
              <w:jc w:val="center"/>
              <w:rPr>
                <w:rFonts w:ascii="Aptos Narrow" w:hAnsi="Aptos Narrow"/>
              </w:rPr>
            </w:pPr>
            <w:r w:rsidRPr="0095296E">
              <w:t>4</w:t>
            </w:r>
            <w:r w:rsidR="000318C5" w:rsidRPr="0095296E">
              <w:t>,</w:t>
            </w:r>
            <w:r w:rsidRPr="0095296E">
              <w:t>9</w:t>
            </w:r>
            <w:r w:rsidR="00FC62AD" w:rsidRPr="0095296E">
              <w:t>%</w:t>
            </w:r>
          </w:p>
        </w:tc>
      </w:tr>
      <w:tr w:rsidR="000318C5" w:rsidRPr="0095296E" w14:paraId="235BDC44" w14:textId="77777777" w:rsidTr="00CE6C61">
        <w:trPr>
          <w:trHeight w:val="300"/>
        </w:trPr>
        <w:tc>
          <w:tcPr>
            <w:tcW w:w="3256" w:type="dxa"/>
            <w:tcBorders>
              <w:top w:val="single" w:sz="4" w:space="0" w:color="44B3E1"/>
              <w:left w:val="single" w:sz="4" w:space="0" w:color="44B3E1"/>
              <w:bottom w:val="single" w:sz="4" w:space="0" w:color="44B3E1"/>
              <w:right w:val="nil"/>
            </w:tcBorders>
            <w:hideMark/>
          </w:tcPr>
          <w:p w14:paraId="47C2881A" w14:textId="77777777" w:rsidR="000318C5" w:rsidRPr="0095296E" w:rsidRDefault="000318C5" w:rsidP="00CE6C61">
            <w:pPr>
              <w:pStyle w:val="Tabletext"/>
              <w:rPr>
                <w:rFonts w:cs="Calibri"/>
              </w:rPr>
            </w:pPr>
            <w:r w:rsidRPr="0095296E">
              <w:t>Вспомогательные услуги</w:t>
            </w:r>
          </w:p>
        </w:tc>
        <w:tc>
          <w:tcPr>
            <w:tcW w:w="1793" w:type="dxa"/>
            <w:tcBorders>
              <w:top w:val="single" w:sz="4" w:space="0" w:color="44B3E1"/>
              <w:left w:val="nil"/>
              <w:bottom w:val="single" w:sz="4" w:space="0" w:color="44B3E1"/>
              <w:right w:val="nil"/>
            </w:tcBorders>
            <w:noWrap/>
            <w:hideMark/>
          </w:tcPr>
          <w:p w14:paraId="0CEC22F1" w14:textId="60CC720D" w:rsidR="000318C5" w:rsidRPr="0095296E" w:rsidRDefault="000318C5" w:rsidP="004436FC">
            <w:pPr>
              <w:pStyle w:val="Tabletext"/>
              <w:ind w:right="170"/>
              <w:jc w:val="right"/>
              <w:rPr>
                <w:rFonts w:ascii="Aptos Narrow" w:hAnsi="Aptos Narrow"/>
              </w:rPr>
            </w:pPr>
            <w:r w:rsidRPr="0095296E">
              <w:t>3</w:t>
            </w:r>
            <w:r w:rsidR="007A45F0" w:rsidRPr="0095296E">
              <w:t>6</w:t>
            </w:r>
            <w:r w:rsidRPr="0095296E">
              <w:t>5 615</w:t>
            </w:r>
          </w:p>
        </w:tc>
        <w:tc>
          <w:tcPr>
            <w:tcW w:w="2743" w:type="dxa"/>
            <w:tcBorders>
              <w:top w:val="single" w:sz="4" w:space="0" w:color="44B3E1"/>
              <w:left w:val="nil"/>
              <w:bottom w:val="single" w:sz="4" w:space="0" w:color="44B3E1"/>
              <w:right w:val="nil"/>
            </w:tcBorders>
            <w:noWrap/>
            <w:hideMark/>
          </w:tcPr>
          <w:p w14:paraId="5A0534B1" w14:textId="1751F9B1" w:rsidR="000318C5" w:rsidRPr="0095296E" w:rsidRDefault="000D46EF" w:rsidP="00CE6C61">
            <w:pPr>
              <w:pStyle w:val="Tabletext"/>
              <w:jc w:val="center"/>
              <w:rPr>
                <w:rFonts w:cs="Calibri"/>
              </w:rPr>
            </w:pPr>
            <w:r w:rsidRPr="0095296E">
              <w:t>63</w:t>
            </w:r>
            <w:r w:rsidR="000318C5" w:rsidRPr="0095296E">
              <w:t>,</w:t>
            </w:r>
            <w:r w:rsidRPr="0095296E">
              <w:t>0</w:t>
            </w:r>
            <w:r w:rsidR="00FC62AD" w:rsidRPr="0095296E">
              <w:t>%</w:t>
            </w:r>
          </w:p>
        </w:tc>
        <w:tc>
          <w:tcPr>
            <w:tcW w:w="1837" w:type="dxa"/>
            <w:tcBorders>
              <w:top w:val="single" w:sz="4" w:space="0" w:color="44B3E1"/>
              <w:left w:val="nil"/>
              <w:bottom w:val="single" w:sz="4" w:space="0" w:color="44B3E1"/>
              <w:right w:val="single" w:sz="4" w:space="0" w:color="44B3E1"/>
            </w:tcBorders>
            <w:noWrap/>
            <w:hideMark/>
          </w:tcPr>
          <w:p w14:paraId="14C34C89" w14:textId="6B1AAD9E" w:rsidR="000318C5" w:rsidRPr="0095296E" w:rsidRDefault="007A45F0" w:rsidP="00CE6C61">
            <w:pPr>
              <w:pStyle w:val="Tabletext"/>
              <w:jc w:val="center"/>
              <w:rPr>
                <w:rFonts w:cs="Calibri"/>
              </w:rPr>
            </w:pPr>
            <w:r w:rsidRPr="0095296E">
              <w:t>9</w:t>
            </w:r>
            <w:r w:rsidR="000318C5" w:rsidRPr="0095296E">
              <w:t>,</w:t>
            </w:r>
            <w:r w:rsidRPr="0095296E">
              <w:t>6</w:t>
            </w:r>
            <w:r w:rsidR="00FC62AD" w:rsidRPr="0095296E">
              <w:t>%</w:t>
            </w:r>
          </w:p>
        </w:tc>
      </w:tr>
      <w:tr w:rsidR="000318C5" w:rsidRPr="0095296E" w14:paraId="4A0A0110" w14:textId="77777777" w:rsidTr="00CE6C61">
        <w:trPr>
          <w:trHeight w:val="300"/>
        </w:trPr>
        <w:tc>
          <w:tcPr>
            <w:tcW w:w="3256" w:type="dxa"/>
            <w:tcBorders>
              <w:top w:val="single" w:sz="4" w:space="0" w:color="44B3E1"/>
              <w:left w:val="single" w:sz="4" w:space="0" w:color="44B3E1"/>
              <w:bottom w:val="single" w:sz="4" w:space="0" w:color="44B3E1"/>
              <w:right w:val="nil"/>
            </w:tcBorders>
            <w:shd w:val="clear" w:color="C0E6F5" w:fill="C0E6F5"/>
            <w:hideMark/>
          </w:tcPr>
          <w:p w14:paraId="161DF4E6" w14:textId="45860A83" w:rsidR="000318C5" w:rsidRPr="0095296E" w:rsidRDefault="000318C5" w:rsidP="00CE6C61">
            <w:pPr>
              <w:pStyle w:val="Tabletext"/>
              <w:rPr>
                <w:rFonts w:cs="Calibri"/>
              </w:rPr>
            </w:pPr>
            <w:r w:rsidRPr="0095296E">
              <w:t>Управление проектами</w:t>
            </w:r>
          </w:p>
        </w:tc>
        <w:tc>
          <w:tcPr>
            <w:tcW w:w="1793" w:type="dxa"/>
            <w:tcBorders>
              <w:top w:val="single" w:sz="4" w:space="0" w:color="44B3E1"/>
              <w:left w:val="nil"/>
              <w:bottom w:val="single" w:sz="4" w:space="0" w:color="44B3E1"/>
              <w:right w:val="nil"/>
            </w:tcBorders>
            <w:shd w:val="clear" w:color="C0E6F5" w:fill="C0E6F5"/>
            <w:noWrap/>
            <w:hideMark/>
          </w:tcPr>
          <w:p w14:paraId="1648C704" w14:textId="63F27122" w:rsidR="000318C5" w:rsidRPr="0095296E" w:rsidRDefault="007A45F0" w:rsidP="004436FC">
            <w:pPr>
              <w:pStyle w:val="Tabletext"/>
              <w:ind w:right="170"/>
              <w:jc w:val="right"/>
              <w:rPr>
                <w:rFonts w:cs="Calibri"/>
              </w:rPr>
            </w:pPr>
            <w:r w:rsidRPr="0095296E">
              <w:t>3</w:t>
            </w:r>
            <w:r w:rsidR="000318C5" w:rsidRPr="0095296E">
              <w:t>0 000</w:t>
            </w:r>
          </w:p>
        </w:tc>
        <w:tc>
          <w:tcPr>
            <w:tcW w:w="2743" w:type="dxa"/>
            <w:tcBorders>
              <w:top w:val="single" w:sz="4" w:space="0" w:color="44B3E1"/>
              <w:left w:val="nil"/>
              <w:bottom w:val="single" w:sz="4" w:space="0" w:color="44B3E1"/>
              <w:right w:val="nil"/>
            </w:tcBorders>
            <w:shd w:val="clear" w:color="C0E6F5" w:fill="C0E6F5"/>
            <w:noWrap/>
            <w:hideMark/>
          </w:tcPr>
          <w:p w14:paraId="0107A56C" w14:textId="5943C6B4" w:rsidR="000318C5" w:rsidRPr="0095296E" w:rsidRDefault="007A45F0" w:rsidP="00CE6C61">
            <w:pPr>
              <w:pStyle w:val="Tabletext"/>
              <w:jc w:val="center"/>
              <w:rPr>
                <w:rFonts w:cs="Calibri"/>
              </w:rPr>
            </w:pPr>
            <w:r w:rsidRPr="0095296E">
              <w:t>5</w:t>
            </w:r>
            <w:r w:rsidR="000318C5" w:rsidRPr="0095296E">
              <w:t>,</w:t>
            </w:r>
            <w:r w:rsidRPr="0095296E">
              <w:t>2</w:t>
            </w:r>
            <w:r w:rsidR="00FC62AD" w:rsidRPr="0095296E">
              <w:t>%</w:t>
            </w:r>
          </w:p>
        </w:tc>
        <w:tc>
          <w:tcPr>
            <w:tcW w:w="1837" w:type="dxa"/>
            <w:tcBorders>
              <w:top w:val="single" w:sz="4" w:space="0" w:color="44B3E1"/>
              <w:left w:val="nil"/>
              <w:bottom w:val="single" w:sz="4" w:space="0" w:color="44B3E1"/>
              <w:right w:val="single" w:sz="4" w:space="0" w:color="44B3E1"/>
            </w:tcBorders>
            <w:shd w:val="clear" w:color="C0E6F5" w:fill="C0E6F5"/>
            <w:noWrap/>
            <w:hideMark/>
          </w:tcPr>
          <w:p w14:paraId="1D61BFDB" w14:textId="323075DF" w:rsidR="000318C5" w:rsidRPr="0095296E" w:rsidRDefault="007A45F0" w:rsidP="00CE6C61">
            <w:pPr>
              <w:pStyle w:val="Tabletext"/>
              <w:jc w:val="center"/>
              <w:rPr>
                <w:rFonts w:cs="Calibri"/>
              </w:rPr>
            </w:pPr>
            <w:r w:rsidRPr="0095296E">
              <w:t>0</w:t>
            </w:r>
            <w:r w:rsidR="000318C5" w:rsidRPr="0095296E">
              <w:t>,</w:t>
            </w:r>
            <w:r w:rsidRPr="0095296E">
              <w:t>8</w:t>
            </w:r>
            <w:r w:rsidR="00FC62AD" w:rsidRPr="0095296E">
              <w:t>%</w:t>
            </w:r>
          </w:p>
        </w:tc>
      </w:tr>
    </w:tbl>
    <w:p w14:paraId="3793BD7C" w14:textId="06DCF7E9" w:rsidR="0070547C" w:rsidRPr="0095296E" w:rsidRDefault="0070547C" w:rsidP="0070547C">
      <w:pPr>
        <w:pStyle w:val="Headingb"/>
        <w:rPr>
          <w:rFonts w:cs="Calibri"/>
          <w:color w:val="000000" w:themeColor="text1"/>
          <w:szCs w:val="24"/>
          <w:lang w:val="ru-RU"/>
        </w:rPr>
      </w:pPr>
      <w:r w:rsidRPr="0095296E">
        <w:rPr>
          <w:lang w:val="ru-RU"/>
        </w:rPr>
        <w:t>Ориентация на интересы членов</w:t>
      </w:r>
    </w:p>
    <w:p w14:paraId="39D91F28" w14:textId="5AD53292" w:rsidR="0070547C" w:rsidRPr="0095296E" w:rsidRDefault="0070547C" w:rsidP="0070547C">
      <w:r w:rsidRPr="0095296E">
        <w:t xml:space="preserve">В целях расширения охвата и участия Членов Сектора, Ассоциированных членов и Академических организаций – Членов Сектора БРЭ организовало первую сессию из </w:t>
      </w:r>
      <w:r w:rsidRPr="0095296E">
        <w:rPr>
          <w:b/>
          <w:bCs/>
        </w:rPr>
        <w:t xml:space="preserve">серии </w:t>
      </w:r>
      <w:r w:rsidRPr="0095296E">
        <w:t>"</w:t>
      </w:r>
      <w:r w:rsidRPr="0095296E">
        <w:rPr>
          <w:b/>
          <w:bCs/>
        </w:rPr>
        <w:t>Познакомьтесь с</w:t>
      </w:r>
      <w:r w:rsidR="00D7463B" w:rsidRPr="0095296E">
        <w:rPr>
          <w:b/>
          <w:bCs/>
        </w:rPr>
        <w:t> </w:t>
      </w:r>
      <w:r w:rsidRPr="0095296E">
        <w:rPr>
          <w:b/>
          <w:bCs/>
        </w:rPr>
        <w:t>членами</w:t>
      </w:r>
      <w:r w:rsidRPr="0095296E">
        <w:t>" в сотрудничестве с признанными эксплуатационными организациями (ПЭО), научными или промышленными организациями (НПО) и другими объединениями Членов Сектора МСЭ-D. На</w:t>
      </w:r>
      <w:r w:rsidR="00FC62AD" w:rsidRPr="0095296E">
        <w:t> </w:t>
      </w:r>
      <w:r w:rsidRPr="0095296E">
        <w:t>этой сессии присутствовали свыше 50 участников от 30 Членов Сектора МСЭ-D, которые обсудили текущую работу БРЭ и возможности, представляющие интерес для Членов Сектора МСЭ-D.</w:t>
      </w:r>
    </w:p>
    <w:p w14:paraId="598D0497" w14:textId="77777777" w:rsidR="0070547C" w:rsidRPr="0095296E" w:rsidRDefault="0070547C" w:rsidP="0070547C">
      <w:r w:rsidRPr="0095296E">
        <w:t>К Сектору МСЭ-D присоединился новый Член (IAICT, Ирак) и две новые Академические организации – Члены МСЭ (Университет Сидиан, Китай; Факультет электротехники и компьютерной инженерии Университета Патр, Греция).</w:t>
      </w:r>
    </w:p>
    <w:p w14:paraId="11F60480" w14:textId="77777777" w:rsidR="0070547C" w:rsidRPr="0095296E" w:rsidRDefault="0070547C" w:rsidP="0070547C">
      <w:pPr>
        <w:pStyle w:val="Headingb"/>
        <w:rPr>
          <w:rFonts w:cs="Calibri"/>
          <w:color w:val="000000" w:themeColor="text1"/>
          <w:szCs w:val="24"/>
          <w:lang w:val="ru-RU"/>
        </w:rPr>
      </w:pPr>
      <w:r w:rsidRPr="0095296E">
        <w:rPr>
          <w:lang w:val="ru-RU"/>
        </w:rPr>
        <w:t>Региональное присутствие</w:t>
      </w:r>
    </w:p>
    <w:p w14:paraId="26176EB4" w14:textId="77777777" w:rsidR="0070547C" w:rsidRPr="0095296E" w:rsidRDefault="0070547C" w:rsidP="0070547C">
      <w:pPr>
        <w:rPr>
          <w:szCs w:val="24"/>
        </w:rPr>
      </w:pPr>
      <w:r w:rsidRPr="0095296E">
        <w:t>БРЭ продолжает тесно сотрудничать с Бюро радиосвязи (БР), Бюро стандартизации электросвязи (БСЭ) МСЭ и Генеральным секретариатом МСЭ в целях укрепления регионального присутствия для повышения эффективности оказания услуг Государствам-Членам, включая своевременное, эффективное и результативное осуществление проектов и проведение других мероприятий, предусмотренных оперативным планом. Первоочередное внимание по-прежнему уделяется обучению и развитию сотрудников региональных отделений в целях получения ими навыков, необходимых для более эффективного обслуживания Членов МСЭ. В марте 2026 года в Женеве было организовано учебное мероприятие, в котором приняли участие сотрудники всех шести региональных отделений. В течение года будут организованы и другие целевые мероприятия по профессиональной подготовке.</w:t>
      </w:r>
    </w:p>
    <w:p w14:paraId="6BFEBED0" w14:textId="666E8D20" w:rsidR="0070547C" w:rsidRPr="0095296E" w:rsidRDefault="0070547C" w:rsidP="0070547C">
      <w:pPr>
        <w:pStyle w:val="Headingb"/>
        <w:rPr>
          <w:lang w:val="ru-RU"/>
        </w:rPr>
      </w:pPr>
      <w:r w:rsidRPr="0095296E">
        <w:rPr>
          <w:lang w:val="ru-RU"/>
        </w:rPr>
        <w:t>Вспомогательные услуги и управление проектами</w:t>
      </w:r>
    </w:p>
    <w:p w14:paraId="308147C4" w14:textId="46119305" w:rsidR="00AC2318" w:rsidRPr="0095296E" w:rsidRDefault="000318C5" w:rsidP="00AC2318">
      <w:r w:rsidRPr="0095296E">
        <w:t xml:space="preserve">В рамках текущих усилий БРЭ по повышению оперативной эффективности, прозрачности и подотчетности осуществляется инициатива по </w:t>
      </w:r>
      <w:r w:rsidRPr="0095296E">
        <w:rPr>
          <w:b/>
          <w:bCs/>
        </w:rPr>
        <w:t xml:space="preserve">структурированному картированию внутренних процессов </w:t>
      </w:r>
      <w:r w:rsidRPr="0095296E">
        <w:t>по основным функциям Бюро. Инициатива осуществляется на основе поэтапного и основанного на фактических данных подхода и гарантирует, что предлагаемые усовершенствования основаны на глубоком понимании существующей практики. Ожидается, что в дополнение к</w:t>
      </w:r>
      <w:r w:rsidR="00CC0C85" w:rsidRPr="0095296E">
        <w:t> </w:t>
      </w:r>
      <w:r w:rsidRPr="0095296E">
        <w:t>реорганизации 2024 года эта работа повысит качество, укрепит координацию и приведет оперативную деятельность в соответствие со стратегическими целями БРЭ.</w:t>
      </w:r>
    </w:p>
    <w:p w14:paraId="4C6D30EA" w14:textId="77777777" w:rsidR="00CE66E4" w:rsidRPr="0095296E" w:rsidRDefault="00CE66E4" w:rsidP="00CE6C61">
      <w:pPr>
        <w:spacing w:before="720"/>
        <w:jc w:val="center"/>
      </w:pPr>
      <w:r w:rsidRPr="0095296E">
        <w:t>______________</w:t>
      </w:r>
    </w:p>
    <w:sectPr w:rsidR="00CE66E4" w:rsidRPr="0095296E" w:rsidSect="000318C5">
      <w:headerReference w:type="default" r:id="rId55"/>
      <w:headerReference w:type="first" r:id="rId56"/>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5C3D" w14:textId="77777777" w:rsidR="00FC34FC" w:rsidRDefault="00FC34FC">
      <w:r>
        <w:separator/>
      </w:r>
    </w:p>
    <w:p w14:paraId="360B51B9" w14:textId="77777777" w:rsidR="00FC34FC" w:rsidRDefault="00FC34FC"/>
  </w:endnote>
  <w:endnote w:type="continuationSeparator" w:id="0">
    <w:p w14:paraId="36EEC24D" w14:textId="77777777" w:rsidR="00FC34FC" w:rsidRDefault="00FC34FC">
      <w:r>
        <w:continuationSeparator/>
      </w:r>
    </w:p>
    <w:p w14:paraId="00A0CBFC" w14:textId="77777777" w:rsidR="00FC34FC" w:rsidRDefault="00FC34FC"/>
  </w:endnote>
  <w:endnote w:type="continuationNotice" w:id="1">
    <w:p w14:paraId="209ED336" w14:textId="77777777" w:rsidR="00FC34FC" w:rsidRDefault="00FC34FC">
      <w:pPr>
        <w:spacing w:before="0"/>
      </w:pPr>
    </w:p>
    <w:p w14:paraId="08198BE9" w14:textId="77777777" w:rsidR="00FC34FC" w:rsidRDefault="00FC3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9C23" w14:textId="77777777" w:rsidR="00F723AC" w:rsidRPr="00F723AC" w:rsidRDefault="00F723A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65FD" w14:textId="77777777" w:rsidR="00FC34FC" w:rsidRPr="0054377E" w:rsidRDefault="00FC34FC" w:rsidP="0054377E">
      <w:pPr>
        <w:spacing w:before="0"/>
      </w:pPr>
      <w:r w:rsidRPr="0054377E">
        <w:rPr>
          <w:b/>
        </w:rPr>
        <w:t>_______________</w:t>
      </w:r>
    </w:p>
  </w:footnote>
  <w:footnote w:type="continuationSeparator" w:id="0">
    <w:p w14:paraId="20022C6C" w14:textId="77777777" w:rsidR="00FC34FC" w:rsidRDefault="00FC34FC" w:rsidP="0054377E">
      <w:pPr>
        <w:spacing w:before="0"/>
      </w:pPr>
      <w:r>
        <w:continuationSeparator/>
      </w:r>
    </w:p>
    <w:p w14:paraId="0E6EF2F2" w14:textId="77777777" w:rsidR="00FC34FC" w:rsidRDefault="00FC34FC"/>
  </w:footnote>
  <w:footnote w:type="continuationNotice" w:id="1">
    <w:p w14:paraId="0B5B7641" w14:textId="77777777" w:rsidR="00FC34FC" w:rsidRDefault="00FC34FC">
      <w:pPr>
        <w:spacing w:before="0"/>
      </w:pPr>
    </w:p>
    <w:p w14:paraId="4ED45BE7" w14:textId="77777777" w:rsidR="00FC34FC" w:rsidRDefault="00FC34FC"/>
  </w:footnote>
  <w:footnote w:id="2">
    <w:p w14:paraId="4A107B31" w14:textId="5F0EC41F" w:rsidR="000318C5" w:rsidRPr="003F1E66" w:rsidRDefault="000318C5" w:rsidP="00AB0D14">
      <w:pPr>
        <w:pStyle w:val="FootnoteText"/>
      </w:pPr>
      <w:r w:rsidRPr="001A371B">
        <w:rPr>
          <w:rStyle w:val="FootnoteReference"/>
        </w:rPr>
        <w:footnoteRef/>
      </w:r>
      <w:r w:rsidR="00AB0D14" w:rsidRPr="003F1E66">
        <w:tab/>
      </w:r>
      <w:r>
        <w:t xml:space="preserve">См. показатели </w:t>
      </w:r>
      <w:r w:rsidR="00C53395">
        <w:t xml:space="preserve">намеченных </w:t>
      </w:r>
      <w:r>
        <w:t xml:space="preserve">результатов деятельности на стр. </w:t>
      </w:r>
      <w:r w:rsidR="00C53395">
        <w:t>30</w:t>
      </w:r>
      <w:r>
        <w:t xml:space="preserve"> настоящего документа.</w:t>
      </w:r>
    </w:p>
  </w:footnote>
  <w:footnote w:id="3">
    <w:p w14:paraId="61B423A3" w14:textId="4379466A" w:rsidR="000318C5" w:rsidRPr="003F1E66" w:rsidRDefault="000318C5" w:rsidP="006963D6">
      <w:pPr>
        <w:pStyle w:val="FootnoteText"/>
        <w:rPr>
          <w:rStyle w:val="FootnoteTextChar"/>
        </w:rPr>
      </w:pPr>
      <w:r w:rsidRPr="001A371B">
        <w:rPr>
          <w:rStyle w:val="FootnoteReference"/>
        </w:rPr>
        <w:footnoteRef/>
      </w:r>
      <w:r w:rsidR="007C42DD" w:rsidRPr="003F1E66">
        <w:tab/>
      </w:r>
      <w:r w:rsidRPr="007C42DD">
        <w:rPr>
          <w:rStyle w:val="FootnoteTextChar"/>
        </w:rPr>
        <w:t xml:space="preserve">В </w:t>
      </w:r>
      <w:r w:rsidRPr="006963D6">
        <w:t>настоящее</w:t>
      </w:r>
      <w:r w:rsidRPr="007C42DD">
        <w:rPr>
          <w:rStyle w:val="FootnoteTextChar"/>
        </w:rPr>
        <w:t xml:space="preserve"> время показатели конечных результатов совершенствуются в соответствии со стратегическим планом МСЭ, с тем чтобы лучше отражать результаты, которые должны быть достигнуты </w:t>
      </w:r>
    </w:p>
  </w:footnote>
  <w:footnote w:id="4">
    <w:p w14:paraId="2A40B47D" w14:textId="2364B6FF" w:rsidR="000318C5" w:rsidRPr="008C6C59" w:rsidRDefault="000318C5" w:rsidP="008C6C59">
      <w:pPr>
        <w:pStyle w:val="FootnoteText"/>
      </w:pPr>
      <w:r w:rsidRPr="001A371B">
        <w:rPr>
          <w:rStyle w:val="FootnoteReference"/>
        </w:rPr>
        <w:footnoteRef/>
      </w:r>
      <w:r w:rsidR="008C6C59" w:rsidRPr="003F1E66">
        <w:tab/>
      </w:r>
      <w:r w:rsidRPr="008C6C59">
        <w:t xml:space="preserve">Этот приоритет достигается благодаря усилиям БРЭ по мобилизации ресурсов, привлечению новых партнеров и поддержанию существующих партнерств. Таким образом, прогресс измеряется с помощью показателей намеченных результатов деятельности. </w:t>
      </w:r>
    </w:p>
  </w:footnote>
  <w:footnote w:id="5">
    <w:p w14:paraId="7538C488" w14:textId="17391993" w:rsidR="000318C5" w:rsidRPr="003F1E66" w:rsidRDefault="000318C5" w:rsidP="00CE6C61">
      <w:pPr>
        <w:pStyle w:val="FootnoteText"/>
      </w:pPr>
      <w:r w:rsidRPr="001A371B">
        <w:rPr>
          <w:rStyle w:val="FootnoteReference"/>
        </w:rPr>
        <w:footnoteRef/>
      </w:r>
      <w:r w:rsidR="00CE6C61" w:rsidRPr="003F1E66">
        <w:tab/>
      </w:r>
      <w:r w:rsidR="007A45F0">
        <w:t>Ц</w:t>
      </w:r>
      <w:r w:rsidRPr="00CE6C61">
        <w:t xml:space="preserve">елевые </w:t>
      </w:r>
      <w:r w:rsidR="000D46EF">
        <w:t>значения</w:t>
      </w:r>
      <w:r w:rsidRPr="00CE6C61">
        <w:t xml:space="preserve"> показателей </w:t>
      </w:r>
      <w:r w:rsidR="007A45F0">
        <w:t>приведены</w:t>
      </w:r>
      <w:r w:rsidRPr="00CE6C61">
        <w:t xml:space="preserve"> на интерактивных информационных панелях Оперативного плана (ОП) МСЭ-D</w:t>
      </w:r>
      <w:r w:rsidR="007A45F0">
        <w:t xml:space="preserve"> в Приложении 2 к настоящему документу</w:t>
      </w:r>
      <w:r w:rsidRPr="00CE6C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A281" w14:textId="485835DD" w:rsidR="000318C5" w:rsidRPr="000318C5" w:rsidRDefault="000318C5" w:rsidP="000318C5">
    <w:pPr>
      <w:tabs>
        <w:tab w:val="clear" w:pos="1134"/>
        <w:tab w:val="clear" w:pos="1871"/>
        <w:tab w:val="clear" w:pos="2268"/>
        <w:tab w:val="center" w:pos="4820"/>
        <w:tab w:val="right" w:pos="15309"/>
      </w:tabs>
      <w:spacing w:before="0"/>
      <w:jc w:val="right"/>
      <w:rPr>
        <w:rStyle w:val="PageNumber"/>
        <w:rFonts w:ascii="Calibri" w:hAnsi="Calibri"/>
        <w:smallCaps/>
        <w:spacing w:val="24"/>
        <w:sz w:val="20"/>
        <w:lang w:val="en-US"/>
      </w:rPr>
    </w:pPr>
    <w:r w:rsidRPr="00A11EF2">
      <w:rPr>
        <w:sz w:val="20"/>
      </w:rPr>
      <w:tab/>
      <w:t>TDAG-26/2(Add.</w:t>
    </w:r>
    <w:proofErr w:type="gramStart"/>
    <w:r>
      <w:rPr>
        <w:sz w:val="20"/>
        <w:lang w:val="en-US"/>
      </w:rPr>
      <w:t>2</w:t>
    </w:r>
    <w:r w:rsidRPr="00A11EF2">
      <w:rPr>
        <w:sz w:val="20"/>
      </w:rPr>
      <w:t>)</w:t>
    </w:r>
    <w:r w:rsidR="00E4019D">
      <w:rPr>
        <w:sz w:val="20"/>
        <w:lang w:val="en-US"/>
      </w:rPr>
      <w:t>(</w:t>
    </w:r>
    <w:proofErr w:type="gramEnd"/>
    <w:r w:rsidR="00E4019D">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w:t>
    </w:r>
    <w:r w:rsidRPr="00A11EF2">
      <w:rPr>
        <w:sz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FF5F" w14:textId="77777777" w:rsidR="001070FB" w:rsidRPr="000318C5" w:rsidRDefault="001070FB"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7</w:t>
    </w:r>
    <w:r w:rsidRPr="00A11EF2">
      <w:rPr>
        <w:sz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2727" w14:textId="77777777" w:rsidR="001070FB" w:rsidRPr="000318C5" w:rsidRDefault="001070FB"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15</w:t>
    </w:r>
    <w:r w:rsidRPr="00A11EF2">
      <w:rPr>
        <w:sz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91BD" w14:textId="6FA0E764" w:rsidR="001070FB" w:rsidRPr="001070FB" w:rsidRDefault="001070FB" w:rsidP="001070FB">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16</w:t>
    </w:r>
    <w:r w:rsidRPr="00A11EF2">
      <w:rPr>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864C" w14:textId="0188A578" w:rsidR="001070FB" w:rsidRPr="001070FB" w:rsidRDefault="001070FB" w:rsidP="001070FB">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16</w:t>
    </w:r>
    <w:r w:rsidRPr="00A11EF2">
      <w:rPr>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E21D" w14:textId="105F9E79" w:rsidR="00AC2318" w:rsidRPr="00AC2318" w:rsidRDefault="00AC2318" w:rsidP="00AC2318">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21</w:t>
    </w:r>
    <w:r w:rsidRPr="00A11EF2">
      <w:rPr>
        <w:sz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BDA4" w14:textId="1CC697FA" w:rsidR="00AC2318" w:rsidRPr="00AC2318" w:rsidRDefault="00AC2318" w:rsidP="00AC2318">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18</w:t>
    </w:r>
    <w:r w:rsidRPr="00A11EF2">
      <w:rPr>
        <w:sz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341E" w14:textId="2F8EDE9D" w:rsidR="00AC2318" w:rsidRPr="00AC2318" w:rsidRDefault="00AC2318" w:rsidP="00AC2318">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21</w:t>
    </w:r>
    <w:r w:rsidRPr="00A11EF2">
      <w:rPr>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670C" w14:textId="0F305979" w:rsidR="00AC2318" w:rsidRPr="00AC2318" w:rsidRDefault="00AC2318" w:rsidP="00AC2318">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22</w:t>
    </w:r>
    <w:r w:rsidRPr="00A11EF2">
      <w:rPr>
        <w:sz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A7A8" w14:textId="123614B3" w:rsidR="00AC2318" w:rsidRPr="00AC2318" w:rsidRDefault="00AC2318" w:rsidP="00AC2318">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22</w:t>
    </w:r>
    <w:r w:rsidRPr="00A11EF2">
      <w:rPr>
        <w:sz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D56" w14:textId="3D97E3FC" w:rsidR="000318C5" w:rsidRPr="000318C5" w:rsidRDefault="000318C5" w:rsidP="000318C5">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r w:rsidR="001070FB" w:rsidRPr="00A11EF2">
      <w:rPr>
        <w:sz w:val="20"/>
      </w:rPr>
      <w:t>TDAG-26/2(Add.</w:t>
    </w:r>
    <w:proofErr w:type="gramStart"/>
    <w:r w:rsidR="001070FB">
      <w:rPr>
        <w:sz w:val="20"/>
        <w:lang w:val="en-US"/>
      </w:rPr>
      <w:t>2</w:t>
    </w:r>
    <w:r w:rsidR="001070FB" w:rsidRPr="00A11EF2">
      <w:rPr>
        <w:sz w:val="20"/>
      </w:rPr>
      <w:t>)</w:t>
    </w:r>
    <w:r w:rsidR="001070FB">
      <w:rPr>
        <w:sz w:val="20"/>
        <w:lang w:val="en-US"/>
      </w:rPr>
      <w:t>(</w:t>
    </w:r>
    <w:proofErr w:type="gramEnd"/>
    <w:r w:rsidR="001070FB">
      <w:rPr>
        <w:sz w:val="20"/>
        <w:lang w:val="en-US"/>
      </w:rPr>
      <w:t>Rev.1)</w:t>
    </w:r>
    <w:r w:rsidR="001070FB"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7</w:t>
    </w:r>
    <w:r w:rsidRPr="00A11EF2">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EC07" w14:textId="672F64B2" w:rsidR="00636181" w:rsidRPr="000318C5" w:rsidRDefault="000318C5"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sidR="00A96D81">
      <w:rPr>
        <w:sz w:val="20"/>
        <w:lang w:val="en-US"/>
      </w:rPr>
      <w:t>(</w:t>
    </w:r>
    <w:proofErr w:type="gramEnd"/>
    <w:r w:rsidR="00A96D81">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7</w:t>
    </w:r>
    <w:r w:rsidRPr="00A11EF2">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2C62" w14:textId="2BCEB674" w:rsidR="000318C5" w:rsidRPr="000318C5" w:rsidRDefault="000318C5" w:rsidP="000318C5">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r>
    <w:r w:rsidR="001070FB" w:rsidRPr="00A11EF2">
      <w:rPr>
        <w:sz w:val="20"/>
      </w:rPr>
      <w:t>TDAG-26/2(Add.</w:t>
    </w:r>
    <w:proofErr w:type="gramStart"/>
    <w:r w:rsidR="001070FB">
      <w:rPr>
        <w:sz w:val="20"/>
        <w:lang w:val="en-US"/>
      </w:rPr>
      <w:t>2</w:t>
    </w:r>
    <w:r w:rsidR="001070FB" w:rsidRPr="00A11EF2">
      <w:rPr>
        <w:sz w:val="20"/>
      </w:rPr>
      <w:t>)</w:t>
    </w:r>
    <w:r w:rsidR="001070FB">
      <w:rPr>
        <w:sz w:val="20"/>
        <w:lang w:val="en-US"/>
      </w:rPr>
      <w:t>(</w:t>
    </w:r>
    <w:proofErr w:type="gramEnd"/>
    <w:r w:rsidR="001070FB">
      <w:rPr>
        <w:sz w:val="20"/>
        <w:lang w:val="en-US"/>
      </w:rPr>
      <w:t>Rev.1)</w:t>
    </w:r>
    <w:r w:rsidR="001070FB"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7</w:t>
    </w:r>
    <w:r w:rsidRPr="00A11EF2">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1861" w14:textId="3CE4EFD2" w:rsidR="000318C5" w:rsidRPr="000318C5" w:rsidRDefault="000318C5"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sidR="00A96D81">
      <w:rPr>
        <w:sz w:val="20"/>
        <w:lang w:val="en-US"/>
      </w:rPr>
      <w:t>(</w:t>
    </w:r>
    <w:proofErr w:type="gramEnd"/>
    <w:r w:rsidR="00A96D81">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15</w:t>
    </w:r>
    <w:r w:rsidRPr="00A11EF2">
      <w:rPr>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5599" w14:textId="7084ADDF" w:rsidR="00A96D81" w:rsidRPr="00A96D81" w:rsidRDefault="00A96D81" w:rsidP="00A96D81">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11</w:t>
    </w:r>
    <w:r w:rsidRPr="00A11EF2">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5EE3" w14:textId="50CDEE54" w:rsidR="00A96D81" w:rsidRPr="00A96D81" w:rsidRDefault="00A96D81" w:rsidP="00A96D81">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8</w:t>
    </w:r>
    <w:r w:rsidRPr="00A11EF2">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4EBF" w14:textId="77777777" w:rsidR="00A96D81" w:rsidRPr="000318C5" w:rsidRDefault="00A96D81"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7</w:t>
    </w:r>
    <w:r w:rsidRPr="00A11EF2">
      <w:rPr>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31A7" w14:textId="77777777" w:rsidR="00A96D81" w:rsidRPr="000318C5" w:rsidRDefault="00A96D81" w:rsidP="000318C5">
    <w:pPr>
      <w:tabs>
        <w:tab w:val="clear" w:pos="1134"/>
        <w:tab w:val="clear" w:pos="1871"/>
        <w:tab w:val="clear" w:pos="2268"/>
        <w:tab w:val="center" w:pos="723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15</w:t>
    </w:r>
    <w:r w:rsidRPr="00A11EF2">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39F6" w14:textId="01C9934B" w:rsidR="001070FB" w:rsidRPr="001070FB" w:rsidRDefault="001070FB" w:rsidP="001070FB">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16</w:t>
    </w:r>
    <w:r w:rsidRPr="00A11EF2">
      <w:rPr>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9E48" w14:textId="68B60653" w:rsidR="001070FB" w:rsidRPr="001070FB" w:rsidRDefault="001070FB" w:rsidP="001070FB">
    <w:pPr>
      <w:tabs>
        <w:tab w:val="clear" w:pos="1134"/>
        <w:tab w:val="clear" w:pos="1871"/>
        <w:tab w:val="clear" w:pos="2268"/>
        <w:tab w:val="center" w:pos="4820"/>
        <w:tab w:val="right" w:pos="15309"/>
      </w:tabs>
      <w:spacing w:before="0"/>
      <w:jc w:val="right"/>
      <w:rPr>
        <w:smallCaps/>
        <w:spacing w:val="24"/>
        <w:sz w:val="20"/>
        <w:lang w:val="en-US"/>
      </w:rPr>
    </w:pPr>
    <w:r w:rsidRPr="00A11EF2">
      <w:rPr>
        <w:sz w:val="20"/>
      </w:rPr>
      <w:tab/>
      <w:t>TDAG-26/2(Add.</w:t>
    </w:r>
    <w:proofErr w:type="gramStart"/>
    <w:r>
      <w:rPr>
        <w:sz w:val="20"/>
        <w:lang w:val="en-US"/>
      </w:rPr>
      <w:t>2</w:t>
    </w:r>
    <w:r w:rsidRPr="00A11EF2">
      <w:rPr>
        <w:sz w:val="20"/>
      </w:rPr>
      <w:t>)</w:t>
    </w:r>
    <w:r>
      <w:rPr>
        <w:sz w:val="20"/>
        <w:lang w:val="en-US"/>
      </w:rPr>
      <w:t>(</w:t>
    </w:r>
    <w:proofErr w:type="gramEnd"/>
    <w:r>
      <w:rPr>
        <w:sz w:val="20"/>
        <w:lang w:val="en-US"/>
      </w:rPr>
      <w:t>Rev.1)</w:t>
    </w:r>
    <w:r w:rsidRPr="00A11EF2">
      <w:rPr>
        <w:sz w:val="20"/>
      </w:rPr>
      <w:t>-R</w:t>
    </w:r>
    <w:r w:rsidRPr="00A11EF2">
      <w:rPr>
        <w:sz w:val="20"/>
      </w:rPr>
      <w:tab/>
      <w:t xml:space="preserve">Страница </w:t>
    </w:r>
    <w:r w:rsidRPr="00A11EF2">
      <w:rPr>
        <w:sz w:val="20"/>
      </w:rPr>
      <w:fldChar w:fldCharType="begin"/>
    </w:r>
    <w:r w:rsidRPr="00A11EF2">
      <w:rPr>
        <w:sz w:val="20"/>
      </w:rPr>
      <w:instrText xml:space="preserve"> PAGE </w:instrText>
    </w:r>
    <w:r w:rsidRPr="00A11EF2">
      <w:rPr>
        <w:sz w:val="20"/>
      </w:rPr>
      <w:fldChar w:fldCharType="separate"/>
    </w:r>
    <w:r>
      <w:rPr>
        <w:sz w:val="20"/>
      </w:rPr>
      <w:t>23</w:t>
    </w:r>
    <w:r w:rsidRPr="00A11EF2">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AC5"/>
    <w:multiLevelType w:val="hybridMultilevel"/>
    <w:tmpl w:val="543CE99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0850BAA"/>
    <w:multiLevelType w:val="hybridMultilevel"/>
    <w:tmpl w:val="650CE1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151450E1"/>
    <w:multiLevelType w:val="multilevel"/>
    <w:tmpl w:val="DFFA2170"/>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63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8E28FC"/>
    <w:multiLevelType w:val="multilevel"/>
    <w:tmpl w:val="116A9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B2A62"/>
    <w:multiLevelType w:val="hybridMultilevel"/>
    <w:tmpl w:val="98BE57D0"/>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1D26344"/>
    <w:multiLevelType w:val="hybridMultilevel"/>
    <w:tmpl w:val="D5A0DEAC"/>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70679B"/>
    <w:multiLevelType w:val="hybridMultilevel"/>
    <w:tmpl w:val="E898CC1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6EC66A72"/>
    <w:multiLevelType w:val="hybridMultilevel"/>
    <w:tmpl w:val="E77291FC"/>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5D4764"/>
    <w:multiLevelType w:val="hybridMultilevel"/>
    <w:tmpl w:val="161217E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16cid:durableId="1574855945">
    <w:abstractNumId w:val="0"/>
  </w:num>
  <w:num w:numId="2" w16cid:durableId="1210453116">
    <w:abstractNumId w:val="1"/>
  </w:num>
  <w:num w:numId="3" w16cid:durableId="1096906747">
    <w:abstractNumId w:val="7"/>
  </w:num>
  <w:num w:numId="4" w16cid:durableId="934247651">
    <w:abstractNumId w:val="9"/>
  </w:num>
  <w:num w:numId="5" w16cid:durableId="1502042642">
    <w:abstractNumId w:val="6"/>
  </w:num>
  <w:num w:numId="6" w16cid:durableId="233862093">
    <w:abstractNumId w:val="8"/>
  </w:num>
  <w:num w:numId="7" w16cid:durableId="2097940400">
    <w:abstractNumId w:val="3"/>
  </w:num>
  <w:num w:numId="8" w16cid:durableId="2142503414">
    <w:abstractNumId w:val="2"/>
  </w:num>
  <w:num w:numId="9" w16cid:durableId="1983463481">
    <w:abstractNumId w:val="4"/>
  </w:num>
  <w:num w:numId="10" w16cid:durableId="202640309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39F4"/>
    <w:rsid w:val="000150B0"/>
    <w:rsid w:val="00015E52"/>
    <w:rsid w:val="00021004"/>
    <w:rsid w:val="00022A29"/>
    <w:rsid w:val="000238CB"/>
    <w:rsid w:val="00025926"/>
    <w:rsid w:val="00025965"/>
    <w:rsid w:val="000318C5"/>
    <w:rsid w:val="000355FD"/>
    <w:rsid w:val="0003589F"/>
    <w:rsid w:val="0005184F"/>
    <w:rsid w:val="00051E39"/>
    <w:rsid w:val="00052A7A"/>
    <w:rsid w:val="00053725"/>
    <w:rsid w:val="00054B72"/>
    <w:rsid w:val="0005581A"/>
    <w:rsid w:val="0005619C"/>
    <w:rsid w:val="0005747E"/>
    <w:rsid w:val="000604E5"/>
    <w:rsid w:val="000617DF"/>
    <w:rsid w:val="0006550B"/>
    <w:rsid w:val="000674FE"/>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87944"/>
    <w:rsid w:val="000904F9"/>
    <w:rsid w:val="000909ED"/>
    <w:rsid w:val="00091346"/>
    <w:rsid w:val="00091C80"/>
    <w:rsid w:val="0009581F"/>
    <w:rsid w:val="00095901"/>
    <w:rsid w:val="00097074"/>
    <w:rsid w:val="000A3B54"/>
    <w:rsid w:val="000A59AE"/>
    <w:rsid w:val="000B738A"/>
    <w:rsid w:val="000C03F4"/>
    <w:rsid w:val="000C17EA"/>
    <w:rsid w:val="000C2108"/>
    <w:rsid w:val="000C2592"/>
    <w:rsid w:val="000C42BA"/>
    <w:rsid w:val="000C4FD1"/>
    <w:rsid w:val="000D1759"/>
    <w:rsid w:val="000D38EB"/>
    <w:rsid w:val="000D46EF"/>
    <w:rsid w:val="000D4875"/>
    <w:rsid w:val="000D5571"/>
    <w:rsid w:val="000D6891"/>
    <w:rsid w:val="000D6E8D"/>
    <w:rsid w:val="000D6EAB"/>
    <w:rsid w:val="000E1F4F"/>
    <w:rsid w:val="000E71F8"/>
    <w:rsid w:val="000F29EC"/>
    <w:rsid w:val="000F38EA"/>
    <w:rsid w:val="000F542E"/>
    <w:rsid w:val="000F641B"/>
    <w:rsid w:val="000F73FF"/>
    <w:rsid w:val="000F7F1C"/>
    <w:rsid w:val="00102175"/>
    <w:rsid w:val="00102343"/>
    <w:rsid w:val="001029B3"/>
    <w:rsid w:val="00105DCD"/>
    <w:rsid w:val="001066B3"/>
    <w:rsid w:val="001070FB"/>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6F6F"/>
    <w:rsid w:val="0014714E"/>
    <w:rsid w:val="00147DA1"/>
    <w:rsid w:val="00152957"/>
    <w:rsid w:val="00166196"/>
    <w:rsid w:val="001664A7"/>
    <w:rsid w:val="00167327"/>
    <w:rsid w:val="00167A9D"/>
    <w:rsid w:val="00170C5A"/>
    <w:rsid w:val="00171758"/>
    <w:rsid w:val="00174C26"/>
    <w:rsid w:val="0017500F"/>
    <w:rsid w:val="00176991"/>
    <w:rsid w:val="00180444"/>
    <w:rsid w:val="001832B9"/>
    <w:rsid w:val="001833E1"/>
    <w:rsid w:val="00185737"/>
    <w:rsid w:val="00187BD9"/>
    <w:rsid w:val="0019060A"/>
    <w:rsid w:val="00190B55"/>
    <w:rsid w:val="00191F5C"/>
    <w:rsid w:val="00192FA9"/>
    <w:rsid w:val="00194CFB"/>
    <w:rsid w:val="001A1FFD"/>
    <w:rsid w:val="001A3858"/>
    <w:rsid w:val="001A4BD2"/>
    <w:rsid w:val="001B2ED3"/>
    <w:rsid w:val="001B643A"/>
    <w:rsid w:val="001B6675"/>
    <w:rsid w:val="001B7EA3"/>
    <w:rsid w:val="001C3B5F"/>
    <w:rsid w:val="001C61EA"/>
    <w:rsid w:val="001D058F"/>
    <w:rsid w:val="001D2025"/>
    <w:rsid w:val="001D520B"/>
    <w:rsid w:val="001E0384"/>
    <w:rsid w:val="001E24AF"/>
    <w:rsid w:val="001E252D"/>
    <w:rsid w:val="001E43DC"/>
    <w:rsid w:val="001F2F69"/>
    <w:rsid w:val="002009EA"/>
    <w:rsid w:val="00202CA0"/>
    <w:rsid w:val="00207A5D"/>
    <w:rsid w:val="002117B1"/>
    <w:rsid w:val="002154A6"/>
    <w:rsid w:val="002162CD"/>
    <w:rsid w:val="00216478"/>
    <w:rsid w:val="00220634"/>
    <w:rsid w:val="00221C1D"/>
    <w:rsid w:val="002226B9"/>
    <w:rsid w:val="00224B7C"/>
    <w:rsid w:val="00224CDD"/>
    <w:rsid w:val="002255B3"/>
    <w:rsid w:val="0023164A"/>
    <w:rsid w:val="002319F6"/>
    <w:rsid w:val="0023409C"/>
    <w:rsid w:val="002346C7"/>
    <w:rsid w:val="002351D4"/>
    <w:rsid w:val="00236E8A"/>
    <w:rsid w:val="00240BC8"/>
    <w:rsid w:val="0024149C"/>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978E6"/>
    <w:rsid w:val="002A0A7A"/>
    <w:rsid w:val="002A0D8C"/>
    <w:rsid w:val="002A27F8"/>
    <w:rsid w:val="002A51DF"/>
    <w:rsid w:val="002A684E"/>
    <w:rsid w:val="002A6C06"/>
    <w:rsid w:val="002B074A"/>
    <w:rsid w:val="002B10D5"/>
    <w:rsid w:val="002B3296"/>
    <w:rsid w:val="002B3A4F"/>
    <w:rsid w:val="002B3C84"/>
    <w:rsid w:val="002B5490"/>
    <w:rsid w:val="002C12ED"/>
    <w:rsid w:val="002C49BA"/>
    <w:rsid w:val="002C4B75"/>
    <w:rsid w:val="002C73F6"/>
    <w:rsid w:val="002C7D5E"/>
    <w:rsid w:val="002D58BE"/>
    <w:rsid w:val="002E4D1D"/>
    <w:rsid w:val="002E51E0"/>
    <w:rsid w:val="002E5411"/>
    <w:rsid w:val="002E7A84"/>
    <w:rsid w:val="002F1BD0"/>
    <w:rsid w:val="003013EE"/>
    <w:rsid w:val="00303F7C"/>
    <w:rsid w:val="00304031"/>
    <w:rsid w:val="00311808"/>
    <w:rsid w:val="00311851"/>
    <w:rsid w:val="00311CD5"/>
    <w:rsid w:val="00316725"/>
    <w:rsid w:val="00316A69"/>
    <w:rsid w:val="003231C6"/>
    <w:rsid w:val="00323E49"/>
    <w:rsid w:val="003247A5"/>
    <w:rsid w:val="00325939"/>
    <w:rsid w:val="003273BC"/>
    <w:rsid w:val="00331F05"/>
    <w:rsid w:val="00335759"/>
    <w:rsid w:val="00337750"/>
    <w:rsid w:val="00341092"/>
    <w:rsid w:val="0034384D"/>
    <w:rsid w:val="00345D42"/>
    <w:rsid w:val="00346224"/>
    <w:rsid w:val="0034636C"/>
    <w:rsid w:val="0035089A"/>
    <w:rsid w:val="003511BC"/>
    <w:rsid w:val="00356083"/>
    <w:rsid w:val="00361609"/>
    <w:rsid w:val="00364098"/>
    <w:rsid w:val="00366978"/>
    <w:rsid w:val="0037003F"/>
    <w:rsid w:val="00372BCF"/>
    <w:rsid w:val="00373365"/>
    <w:rsid w:val="00377BD3"/>
    <w:rsid w:val="003807EA"/>
    <w:rsid w:val="003829D8"/>
    <w:rsid w:val="0038304D"/>
    <w:rsid w:val="00384088"/>
    <w:rsid w:val="0038489B"/>
    <w:rsid w:val="00385BE9"/>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5DD6"/>
    <w:rsid w:val="003C6136"/>
    <w:rsid w:val="003D0F8B"/>
    <w:rsid w:val="003D39F2"/>
    <w:rsid w:val="003D5A63"/>
    <w:rsid w:val="003D6425"/>
    <w:rsid w:val="003D66A7"/>
    <w:rsid w:val="003D7EE8"/>
    <w:rsid w:val="003E3B14"/>
    <w:rsid w:val="003F0A6C"/>
    <w:rsid w:val="003F0F49"/>
    <w:rsid w:val="003F1363"/>
    <w:rsid w:val="003F1E66"/>
    <w:rsid w:val="0040323A"/>
    <w:rsid w:val="00403C69"/>
    <w:rsid w:val="00405EC2"/>
    <w:rsid w:val="00406278"/>
    <w:rsid w:val="00406297"/>
    <w:rsid w:val="00412C81"/>
    <w:rsid w:val="004131D4"/>
    <w:rsid w:val="0041348E"/>
    <w:rsid w:val="00414895"/>
    <w:rsid w:val="004168E7"/>
    <w:rsid w:val="004208C6"/>
    <w:rsid w:val="00420B7C"/>
    <w:rsid w:val="00421605"/>
    <w:rsid w:val="004269E6"/>
    <w:rsid w:val="00433357"/>
    <w:rsid w:val="00435762"/>
    <w:rsid w:val="00435E45"/>
    <w:rsid w:val="004364D9"/>
    <w:rsid w:val="00437819"/>
    <w:rsid w:val="00437A8D"/>
    <w:rsid w:val="00440C4F"/>
    <w:rsid w:val="00441E8B"/>
    <w:rsid w:val="004436FC"/>
    <w:rsid w:val="004445FD"/>
    <w:rsid w:val="00446FBA"/>
    <w:rsid w:val="00447308"/>
    <w:rsid w:val="00447990"/>
    <w:rsid w:val="004500BC"/>
    <w:rsid w:val="00451B1B"/>
    <w:rsid w:val="004552B4"/>
    <w:rsid w:val="00460CF8"/>
    <w:rsid w:val="00462253"/>
    <w:rsid w:val="00462CB2"/>
    <w:rsid w:val="004631CC"/>
    <w:rsid w:val="00467DB2"/>
    <w:rsid w:val="00472FC1"/>
    <w:rsid w:val="004755BA"/>
    <w:rsid w:val="004765FF"/>
    <w:rsid w:val="00481E58"/>
    <w:rsid w:val="0048520E"/>
    <w:rsid w:val="00486163"/>
    <w:rsid w:val="00492075"/>
    <w:rsid w:val="0049304E"/>
    <w:rsid w:val="00495290"/>
    <w:rsid w:val="004969AD"/>
    <w:rsid w:val="00496E2A"/>
    <w:rsid w:val="004A0244"/>
    <w:rsid w:val="004A3CDF"/>
    <w:rsid w:val="004A3FF4"/>
    <w:rsid w:val="004A5666"/>
    <w:rsid w:val="004A7674"/>
    <w:rsid w:val="004A783D"/>
    <w:rsid w:val="004B13CB"/>
    <w:rsid w:val="004B2111"/>
    <w:rsid w:val="004B2466"/>
    <w:rsid w:val="004B3C6F"/>
    <w:rsid w:val="004B4FDF"/>
    <w:rsid w:val="004B4FF2"/>
    <w:rsid w:val="004B716F"/>
    <w:rsid w:val="004B7C16"/>
    <w:rsid w:val="004B7E77"/>
    <w:rsid w:val="004C3355"/>
    <w:rsid w:val="004C4D1F"/>
    <w:rsid w:val="004D04E2"/>
    <w:rsid w:val="004D3C01"/>
    <w:rsid w:val="004D4243"/>
    <w:rsid w:val="004D5D5C"/>
    <w:rsid w:val="004D752D"/>
    <w:rsid w:val="004D7763"/>
    <w:rsid w:val="004E27DE"/>
    <w:rsid w:val="004E2F10"/>
    <w:rsid w:val="004E3276"/>
    <w:rsid w:val="004E4F74"/>
    <w:rsid w:val="004E5959"/>
    <w:rsid w:val="004E704A"/>
    <w:rsid w:val="004F051F"/>
    <w:rsid w:val="004F0C20"/>
    <w:rsid w:val="004F3D95"/>
    <w:rsid w:val="004F660E"/>
    <w:rsid w:val="004F7270"/>
    <w:rsid w:val="005004A4"/>
    <w:rsid w:val="0050139F"/>
    <w:rsid w:val="0050712D"/>
    <w:rsid w:val="00510692"/>
    <w:rsid w:val="00510F4D"/>
    <w:rsid w:val="00516722"/>
    <w:rsid w:val="00517624"/>
    <w:rsid w:val="00520565"/>
    <w:rsid w:val="00521223"/>
    <w:rsid w:val="00523934"/>
    <w:rsid w:val="00523D3E"/>
    <w:rsid w:val="00524DF1"/>
    <w:rsid w:val="005252E6"/>
    <w:rsid w:val="0052716E"/>
    <w:rsid w:val="00531317"/>
    <w:rsid w:val="00532A8A"/>
    <w:rsid w:val="00533CBA"/>
    <w:rsid w:val="00536513"/>
    <w:rsid w:val="00536DB4"/>
    <w:rsid w:val="00541D24"/>
    <w:rsid w:val="00543159"/>
    <w:rsid w:val="0054377E"/>
    <w:rsid w:val="0054450F"/>
    <w:rsid w:val="0054473A"/>
    <w:rsid w:val="005500A6"/>
    <w:rsid w:val="0055140B"/>
    <w:rsid w:val="00552F9E"/>
    <w:rsid w:val="00554C4F"/>
    <w:rsid w:val="00561D72"/>
    <w:rsid w:val="00564F36"/>
    <w:rsid w:val="00566EEB"/>
    <w:rsid w:val="00566FF6"/>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B0278"/>
    <w:rsid w:val="005B25C3"/>
    <w:rsid w:val="005B2DD6"/>
    <w:rsid w:val="005B41B7"/>
    <w:rsid w:val="005B44F5"/>
    <w:rsid w:val="005B6D88"/>
    <w:rsid w:val="005C099A"/>
    <w:rsid w:val="005C116F"/>
    <w:rsid w:val="005C13B5"/>
    <w:rsid w:val="005C26D1"/>
    <w:rsid w:val="005C3173"/>
    <w:rsid w:val="005C31A5"/>
    <w:rsid w:val="005C3248"/>
    <w:rsid w:val="005C3F17"/>
    <w:rsid w:val="005C4740"/>
    <w:rsid w:val="005D0BEA"/>
    <w:rsid w:val="005D4916"/>
    <w:rsid w:val="005E032D"/>
    <w:rsid w:val="005E0641"/>
    <w:rsid w:val="005E0D2B"/>
    <w:rsid w:val="005E10C9"/>
    <w:rsid w:val="005E228E"/>
    <w:rsid w:val="005E5E29"/>
    <w:rsid w:val="005E61DD"/>
    <w:rsid w:val="005E6321"/>
    <w:rsid w:val="005F5413"/>
    <w:rsid w:val="005F7D38"/>
    <w:rsid w:val="00600B9C"/>
    <w:rsid w:val="006023DF"/>
    <w:rsid w:val="0060693B"/>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5B75"/>
    <w:rsid w:val="00667F38"/>
    <w:rsid w:val="0067199F"/>
    <w:rsid w:val="00674482"/>
    <w:rsid w:val="006747D8"/>
    <w:rsid w:val="00674AEF"/>
    <w:rsid w:val="00675DB5"/>
    <w:rsid w:val="00676ED7"/>
    <w:rsid w:val="00677048"/>
    <w:rsid w:val="006774C6"/>
    <w:rsid w:val="00680225"/>
    <w:rsid w:val="00685313"/>
    <w:rsid w:val="006863A4"/>
    <w:rsid w:val="00690B44"/>
    <w:rsid w:val="006912F3"/>
    <w:rsid w:val="006963D6"/>
    <w:rsid w:val="00696E7A"/>
    <w:rsid w:val="006A0D14"/>
    <w:rsid w:val="006A47E5"/>
    <w:rsid w:val="006A6E9B"/>
    <w:rsid w:val="006A747C"/>
    <w:rsid w:val="006B1038"/>
    <w:rsid w:val="006B502E"/>
    <w:rsid w:val="006B5AA9"/>
    <w:rsid w:val="006B73C2"/>
    <w:rsid w:val="006B7C2A"/>
    <w:rsid w:val="006B7CC5"/>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47C"/>
    <w:rsid w:val="00705932"/>
    <w:rsid w:val="00710CB4"/>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C3D"/>
    <w:rsid w:val="00750F10"/>
    <w:rsid w:val="0075242F"/>
    <w:rsid w:val="00756ADC"/>
    <w:rsid w:val="007606A7"/>
    <w:rsid w:val="00761CEF"/>
    <w:rsid w:val="007654FE"/>
    <w:rsid w:val="00765BA5"/>
    <w:rsid w:val="007664D4"/>
    <w:rsid w:val="00770D7E"/>
    <w:rsid w:val="007742CA"/>
    <w:rsid w:val="0077509B"/>
    <w:rsid w:val="00776DB1"/>
    <w:rsid w:val="0077768B"/>
    <w:rsid w:val="0077794B"/>
    <w:rsid w:val="00792CB2"/>
    <w:rsid w:val="00792DB8"/>
    <w:rsid w:val="00793BB0"/>
    <w:rsid w:val="00794ABD"/>
    <w:rsid w:val="00795C00"/>
    <w:rsid w:val="0079605E"/>
    <w:rsid w:val="007977BD"/>
    <w:rsid w:val="007A45F0"/>
    <w:rsid w:val="007A7FAF"/>
    <w:rsid w:val="007B12EB"/>
    <w:rsid w:val="007B2EB6"/>
    <w:rsid w:val="007B3BF6"/>
    <w:rsid w:val="007B4578"/>
    <w:rsid w:val="007C0A4D"/>
    <w:rsid w:val="007C180F"/>
    <w:rsid w:val="007C2360"/>
    <w:rsid w:val="007C42DD"/>
    <w:rsid w:val="007C5A7B"/>
    <w:rsid w:val="007D06F0"/>
    <w:rsid w:val="007D35D0"/>
    <w:rsid w:val="007D3C25"/>
    <w:rsid w:val="007D45E3"/>
    <w:rsid w:val="007D5320"/>
    <w:rsid w:val="007D714B"/>
    <w:rsid w:val="007E065B"/>
    <w:rsid w:val="007E0A1D"/>
    <w:rsid w:val="007E28A9"/>
    <w:rsid w:val="007E4F6C"/>
    <w:rsid w:val="007E713F"/>
    <w:rsid w:val="007E7819"/>
    <w:rsid w:val="007E799D"/>
    <w:rsid w:val="007F236E"/>
    <w:rsid w:val="007F2668"/>
    <w:rsid w:val="007F26E3"/>
    <w:rsid w:val="007F535C"/>
    <w:rsid w:val="007F54EB"/>
    <w:rsid w:val="007F735C"/>
    <w:rsid w:val="00800972"/>
    <w:rsid w:val="00804475"/>
    <w:rsid w:val="00804FCF"/>
    <w:rsid w:val="0081159E"/>
    <w:rsid w:val="00811633"/>
    <w:rsid w:val="00814C00"/>
    <w:rsid w:val="00821CEF"/>
    <w:rsid w:val="00823BD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578"/>
    <w:rsid w:val="00863FC4"/>
    <w:rsid w:val="00867B8E"/>
    <w:rsid w:val="008711AE"/>
    <w:rsid w:val="00872FC8"/>
    <w:rsid w:val="00874817"/>
    <w:rsid w:val="00877397"/>
    <w:rsid w:val="00877D80"/>
    <w:rsid w:val="008801D3"/>
    <w:rsid w:val="00880325"/>
    <w:rsid w:val="008806F3"/>
    <w:rsid w:val="00881DBB"/>
    <w:rsid w:val="00882996"/>
    <w:rsid w:val="00883866"/>
    <w:rsid w:val="008845D0"/>
    <w:rsid w:val="008912EB"/>
    <w:rsid w:val="0089151A"/>
    <w:rsid w:val="00893B2C"/>
    <w:rsid w:val="00894F96"/>
    <w:rsid w:val="00896543"/>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C6C59"/>
    <w:rsid w:val="008D06CB"/>
    <w:rsid w:val="008D279B"/>
    <w:rsid w:val="008D2B46"/>
    <w:rsid w:val="008D678E"/>
    <w:rsid w:val="008E1A73"/>
    <w:rsid w:val="008E33DA"/>
    <w:rsid w:val="008E6B36"/>
    <w:rsid w:val="008E7DF8"/>
    <w:rsid w:val="008F04EE"/>
    <w:rsid w:val="008F238A"/>
    <w:rsid w:val="008F3284"/>
    <w:rsid w:val="008F36FB"/>
    <w:rsid w:val="009006A0"/>
    <w:rsid w:val="00900E22"/>
    <w:rsid w:val="009023DF"/>
    <w:rsid w:val="0090293E"/>
    <w:rsid w:val="0091016B"/>
    <w:rsid w:val="00910408"/>
    <w:rsid w:val="00910B26"/>
    <w:rsid w:val="00912004"/>
    <w:rsid w:val="009238B9"/>
    <w:rsid w:val="009274B4"/>
    <w:rsid w:val="00934743"/>
    <w:rsid w:val="00934EA2"/>
    <w:rsid w:val="009373C9"/>
    <w:rsid w:val="00941B98"/>
    <w:rsid w:val="00942FC1"/>
    <w:rsid w:val="00943545"/>
    <w:rsid w:val="00944A5C"/>
    <w:rsid w:val="00944A99"/>
    <w:rsid w:val="00951816"/>
    <w:rsid w:val="0095296E"/>
    <w:rsid w:val="00952A66"/>
    <w:rsid w:val="00953C32"/>
    <w:rsid w:val="00964C68"/>
    <w:rsid w:val="00980AD1"/>
    <w:rsid w:val="00980AD6"/>
    <w:rsid w:val="009828A4"/>
    <w:rsid w:val="00985001"/>
    <w:rsid w:val="00986EBB"/>
    <w:rsid w:val="009907F3"/>
    <w:rsid w:val="00990801"/>
    <w:rsid w:val="00990A55"/>
    <w:rsid w:val="00992F9A"/>
    <w:rsid w:val="009944BE"/>
    <w:rsid w:val="00996913"/>
    <w:rsid w:val="00996ACA"/>
    <w:rsid w:val="00997678"/>
    <w:rsid w:val="009A04EC"/>
    <w:rsid w:val="009A234F"/>
    <w:rsid w:val="009A291A"/>
    <w:rsid w:val="009B28F2"/>
    <w:rsid w:val="009B3DD1"/>
    <w:rsid w:val="009B5126"/>
    <w:rsid w:val="009B71C3"/>
    <w:rsid w:val="009B75FF"/>
    <w:rsid w:val="009C39A2"/>
    <w:rsid w:val="009C4D44"/>
    <w:rsid w:val="009C56E5"/>
    <w:rsid w:val="009C6F7B"/>
    <w:rsid w:val="009D3343"/>
    <w:rsid w:val="009D3429"/>
    <w:rsid w:val="009E0FDF"/>
    <w:rsid w:val="009E3F7C"/>
    <w:rsid w:val="009E5FC8"/>
    <w:rsid w:val="009E687A"/>
    <w:rsid w:val="009E72E7"/>
    <w:rsid w:val="009F1203"/>
    <w:rsid w:val="009F1542"/>
    <w:rsid w:val="00A00AC6"/>
    <w:rsid w:val="00A03C5C"/>
    <w:rsid w:val="00A04FB0"/>
    <w:rsid w:val="00A066F1"/>
    <w:rsid w:val="00A127E8"/>
    <w:rsid w:val="00A1280A"/>
    <w:rsid w:val="00A141AF"/>
    <w:rsid w:val="00A15958"/>
    <w:rsid w:val="00A16D29"/>
    <w:rsid w:val="00A20E5E"/>
    <w:rsid w:val="00A2101B"/>
    <w:rsid w:val="00A21E18"/>
    <w:rsid w:val="00A235FD"/>
    <w:rsid w:val="00A252B0"/>
    <w:rsid w:val="00A259A2"/>
    <w:rsid w:val="00A2618D"/>
    <w:rsid w:val="00A27146"/>
    <w:rsid w:val="00A30305"/>
    <w:rsid w:val="00A31315"/>
    <w:rsid w:val="00A31D2D"/>
    <w:rsid w:val="00A32267"/>
    <w:rsid w:val="00A32291"/>
    <w:rsid w:val="00A33D45"/>
    <w:rsid w:val="00A34772"/>
    <w:rsid w:val="00A35D6D"/>
    <w:rsid w:val="00A36E40"/>
    <w:rsid w:val="00A4049B"/>
    <w:rsid w:val="00A43642"/>
    <w:rsid w:val="00A44D51"/>
    <w:rsid w:val="00A4600A"/>
    <w:rsid w:val="00A524E6"/>
    <w:rsid w:val="00A53605"/>
    <w:rsid w:val="00A538A6"/>
    <w:rsid w:val="00A54C25"/>
    <w:rsid w:val="00A56C71"/>
    <w:rsid w:val="00A612BB"/>
    <w:rsid w:val="00A62F73"/>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D81"/>
    <w:rsid w:val="00A96F7D"/>
    <w:rsid w:val="00AA05FD"/>
    <w:rsid w:val="00AA0B18"/>
    <w:rsid w:val="00AA4774"/>
    <w:rsid w:val="00AA666F"/>
    <w:rsid w:val="00AA7A11"/>
    <w:rsid w:val="00AB0D14"/>
    <w:rsid w:val="00AB15BE"/>
    <w:rsid w:val="00AB4006"/>
    <w:rsid w:val="00AB4927"/>
    <w:rsid w:val="00AB4EF9"/>
    <w:rsid w:val="00AB59A0"/>
    <w:rsid w:val="00AC007A"/>
    <w:rsid w:val="00AC034F"/>
    <w:rsid w:val="00AC1A8E"/>
    <w:rsid w:val="00AC2318"/>
    <w:rsid w:val="00AC4C17"/>
    <w:rsid w:val="00AC4DB5"/>
    <w:rsid w:val="00AD0AEB"/>
    <w:rsid w:val="00AD4C7B"/>
    <w:rsid w:val="00AE1244"/>
    <w:rsid w:val="00AE7CD5"/>
    <w:rsid w:val="00AF17A2"/>
    <w:rsid w:val="00AF2081"/>
    <w:rsid w:val="00AF2664"/>
    <w:rsid w:val="00AF45E8"/>
    <w:rsid w:val="00AF57EF"/>
    <w:rsid w:val="00B004E5"/>
    <w:rsid w:val="00B053F3"/>
    <w:rsid w:val="00B10A09"/>
    <w:rsid w:val="00B124F9"/>
    <w:rsid w:val="00B13FFC"/>
    <w:rsid w:val="00B15200"/>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008D"/>
    <w:rsid w:val="00B817CD"/>
    <w:rsid w:val="00B81D00"/>
    <w:rsid w:val="00B825BC"/>
    <w:rsid w:val="00B830CC"/>
    <w:rsid w:val="00B839FE"/>
    <w:rsid w:val="00B850F8"/>
    <w:rsid w:val="00B86916"/>
    <w:rsid w:val="00B87DA1"/>
    <w:rsid w:val="00B9105F"/>
    <w:rsid w:val="00B911B2"/>
    <w:rsid w:val="00B917E9"/>
    <w:rsid w:val="00B92195"/>
    <w:rsid w:val="00B92520"/>
    <w:rsid w:val="00B944BD"/>
    <w:rsid w:val="00B951D0"/>
    <w:rsid w:val="00B95DA2"/>
    <w:rsid w:val="00B97C6E"/>
    <w:rsid w:val="00BA231A"/>
    <w:rsid w:val="00BA2D00"/>
    <w:rsid w:val="00BA2FE8"/>
    <w:rsid w:val="00BA48E4"/>
    <w:rsid w:val="00BB1F53"/>
    <w:rsid w:val="00BB29C8"/>
    <w:rsid w:val="00BB3A95"/>
    <w:rsid w:val="00BB42AD"/>
    <w:rsid w:val="00BB4491"/>
    <w:rsid w:val="00BB66DD"/>
    <w:rsid w:val="00BB6DD0"/>
    <w:rsid w:val="00BC00FB"/>
    <w:rsid w:val="00BC0382"/>
    <w:rsid w:val="00BC1DBF"/>
    <w:rsid w:val="00BC31AC"/>
    <w:rsid w:val="00BC401E"/>
    <w:rsid w:val="00BC6488"/>
    <w:rsid w:val="00BD11D6"/>
    <w:rsid w:val="00BD239D"/>
    <w:rsid w:val="00BD31E7"/>
    <w:rsid w:val="00BD50BD"/>
    <w:rsid w:val="00BD618D"/>
    <w:rsid w:val="00BD62C6"/>
    <w:rsid w:val="00BE34A3"/>
    <w:rsid w:val="00BE7042"/>
    <w:rsid w:val="00BE7870"/>
    <w:rsid w:val="00BF095D"/>
    <w:rsid w:val="00BF3618"/>
    <w:rsid w:val="00BF4F16"/>
    <w:rsid w:val="00BF65C9"/>
    <w:rsid w:val="00C0018F"/>
    <w:rsid w:val="00C02828"/>
    <w:rsid w:val="00C03779"/>
    <w:rsid w:val="00C05634"/>
    <w:rsid w:val="00C07B4E"/>
    <w:rsid w:val="00C10393"/>
    <w:rsid w:val="00C14872"/>
    <w:rsid w:val="00C14874"/>
    <w:rsid w:val="00C166D0"/>
    <w:rsid w:val="00C16D39"/>
    <w:rsid w:val="00C20466"/>
    <w:rsid w:val="00C214ED"/>
    <w:rsid w:val="00C227EF"/>
    <w:rsid w:val="00C231B4"/>
    <w:rsid w:val="00C234E6"/>
    <w:rsid w:val="00C24E20"/>
    <w:rsid w:val="00C324A8"/>
    <w:rsid w:val="00C349B4"/>
    <w:rsid w:val="00C35C13"/>
    <w:rsid w:val="00C36662"/>
    <w:rsid w:val="00C40DF2"/>
    <w:rsid w:val="00C53395"/>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76EE"/>
    <w:rsid w:val="00C97C68"/>
    <w:rsid w:val="00CA145D"/>
    <w:rsid w:val="00CA18A2"/>
    <w:rsid w:val="00CA1A47"/>
    <w:rsid w:val="00CA36C5"/>
    <w:rsid w:val="00CA48CF"/>
    <w:rsid w:val="00CB1404"/>
    <w:rsid w:val="00CB1D84"/>
    <w:rsid w:val="00CB28AB"/>
    <w:rsid w:val="00CB3537"/>
    <w:rsid w:val="00CB40E5"/>
    <w:rsid w:val="00CB615D"/>
    <w:rsid w:val="00CB6664"/>
    <w:rsid w:val="00CB76A2"/>
    <w:rsid w:val="00CC0C85"/>
    <w:rsid w:val="00CC247A"/>
    <w:rsid w:val="00CC41F6"/>
    <w:rsid w:val="00CD2733"/>
    <w:rsid w:val="00CD2A68"/>
    <w:rsid w:val="00CD2BC1"/>
    <w:rsid w:val="00CD3139"/>
    <w:rsid w:val="00CD4117"/>
    <w:rsid w:val="00CD7BC2"/>
    <w:rsid w:val="00CD7EC4"/>
    <w:rsid w:val="00CE4397"/>
    <w:rsid w:val="00CE5ACA"/>
    <w:rsid w:val="00CE5E47"/>
    <w:rsid w:val="00CE66E4"/>
    <w:rsid w:val="00CE6C61"/>
    <w:rsid w:val="00CE7A25"/>
    <w:rsid w:val="00CF020F"/>
    <w:rsid w:val="00CF269A"/>
    <w:rsid w:val="00CF2A29"/>
    <w:rsid w:val="00CF2B5B"/>
    <w:rsid w:val="00CF33C0"/>
    <w:rsid w:val="00CF4A84"/>
    <w:rsid w:val="00D00E2A"/>
    <w:rsid w:val="00D0723D"/>
    <w:rsid w:val="00D10D23"/>
    <w:rsid w:val="00D12A27"/>
    <w:rsid w:val="00D14CE0"/>
    <w:rsid w:val="00D164A6"/>
    <w:rsid w:val="00D217E0"/>
    <w:rsid w:val="00D233CB"/>
    <w:rsid w:val="00D27D0F"/>
    <w:rsid w:val="00D33DC1"/>
    <w:rsid w:val="00D36333"/>
    <w:rsid w:val="00D42CDE"/>
    <w:rsid w:val="00D42FEE"/>
    <w:rsid w:val="00D44DE2"/>
    <w:rsid w:val="00D45A9C"/>
    <w:rsid w:val="00D53EAE"/>
    <w:rsid w:val="00D541E4"/>
    <w:rsid w:val="00D5651D"/>
    <w:rsid w:val="00D56836"/>
    <w:rsid w:val="00D61378"/>
    <w:rsid w:val="00D62D8E"/>
    <w:rsid w:val="00D634E2"/>
    <w:rsid w:val="00D67A2E"/>
    <w:rsid w:val="00D70384"/>
    <w:rsid w:val="00D71278"/>
    <w:rsid w:val="00D724BE"/>
    <w:rsid w:val="00D73CFE"/>
    <w:rsid w:val="00D7463B"/>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D71E5"/>
    <w:rsid w:val="00DE2AC3"/>
    <w:rsid w:val="00DE434C"/>
    <w:rsid w:val="00DE5692"/>
    <w:rsid w:val="00DE5E67"/>
    <w:rsid w:val="00DE7766"/>
    <w:rsid w:val="00DE79F1"/>
    <w:rsid w:val="00DF02A0"/>
    <w:rsid w:val="00DF1E46"/>
    <w:rsid w:val="00DF21DF"/>
    <w:rsid w:val="00DF2347"/>
    <w:rsid w:val="00DF2D60"/>
    <w:rsid w:val="00DF6F8E"/>
    <w:rsid w:val="00E02014"/>
    <w:rsid w:val="00E039C7"/>
    <w:rsid w:val="00E03C94"/>
    <w:rsid w:val="00E03CF8"/>
    <w:rsid w:val="00E06AEA"/>
    <w:rsid w:val="00E07105"/>
    <w:rsid w:val="00E11115"/>
    <w:rsid w:val="00E12074"/>
    <w:rsid w:val="00E1307C"/>
    <w:rsid w:val="00E17BAD"/>
    <w:rsid w:val="00E21B22"/>
    <w:rsid w:val="00E236C9"/>
    <w:rsid w:val="00E239BD"/>
    <w:rsid w:val="00E241C9"/>
    <w:rsid w:val="00E26226"/>
    <w:rsid w:val="00E31B77"/>
    <w:rsid w:val="00E36E67"/>
    <w:rsid w:val="00E378D8"/>
    <w:rsid w:val="00E37F4D"/>
    <w:rsid w:val="00E4019D"/>
    <w:rsid w:val="00E4021C"/>
    <w:rsid w:val="00E4059F"/>
    <w:rsid w:val="00E4165C"/>
    <w:rsid w:val="00E422AC"/>
    <w:rsid w:val="00E425D0"/>
    <w:rsid w:val="00E45D05"/>
    <w:rsid w:val="00E45F67"/>
    <w:rsid w:val="00E528F8"/>
    <w:rsid w:val="00E5442B"/>
    <w:rsid w:val="00E55816"/>
    <w:rsid w:val="00E55AEF"/>
    <w:rsid w:val="00E61442"/>
    <w:rsid w:val="00E64779"/>
    <w:rsid w:val="00E64B4B"/>
    <w:rsid w:val="00E66A93"/>
    <w:rsid w:val="00E71B64"/>
    <w:rsid w:val="00E81961"/>
    <w:rsid w:val="00E82877"/>
    <w:rsid w:val="00E83BBB"/>
    <w:rsid w:val="00E84088"/>
    <w:rsid w:val="00E90BE9"/>
    <w:rsid w:val="00E976C1"/>
    <w:rsid w:val="00EA025D"/>
    <w:rsid w:val="00EA07F0"/>
    <w:rsid w:val="00EA12E5"/>
    <w:rsid w:val="00EA2136"/>
    <w:rsid w:val="00EA36A2"/>
    <w:rsid w:val="00EA3D99"/>
    <w:rsid w:val="00EA66A4"/>
    <w:rsid w:val="00EB00F7"/>
    <w:rsid w:val="00EB0E5E"/>
    <w:rsid w:val="00EB2238"/>
    <w:rsid w:val="00EB4AE6"/>
    <w:rsid w:val="00EB4C45"/>
    <w:rsid w:val="00EB7679"/>
    <w:rsid w:val="00EC00DF"/>
    <w:rsid w:val="00EC0FC2"/>
    <w:rsid w:val="00EC3585"/>
    <w:rsid w:val="00EC6B65"/>
    <w:rsid w:val="00ED29AB"/>
    <w:rsid w:val="00ED335C"/>
    <w:rsid w:val="00ED44A8"/>
    <w:rsid w:val="00ED5AAF"/>
    <w:rsid w:val="00EE3198"/>
    <w:rsid w:val="00EE4646"/>
    <w:rsid w:val="00EE67EC"/>
    <w:rsid w:val="00EF33D5"/>
    <w:rsid w:val="00EF481F"/>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1D10"/>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23AC"/>
    <w:rsid w:val="00F7338B"/>
    <w:rsid w:val="00F7440E"/>
    <w:rsid w:val="00F76603"/>
    <w:rsid w:val="00F772D4"/>
    <w:rsid w:val="00F808C6"/>
    <w:rsid w:val="00F83F60"/>
    <w:rsid w:val="00F8476E"/>
    <w:rsid w:val="00F848EE"/>
    <w:rsid w:val="00F84DF8"/>
    <w:rsid w:val="00F91898"/>
    <w:rsid w:val="00F9323D"/>
    <w:rsid w:val="00F94FEF"/>
    <w:rsid w:val="00F971FB"/>
    <w:rsid w:val="00FA4CD4"/>
    <w:rsid w:val="00FA579C"/>
    <w:rsid w:val="00FA668B"/>
    <w:rsid w:val="00FB20E0"/>
    <w:rsid w:val="00FB34B9"/>
    <w:rsid w:val="00FC0BEF"/>
    <w:rsid w:val="00FC1EC2"/>
    <w:rsid w:val="00FC24DA"/>
    <w:rsid w:val="00FC34FC"/>
    <w:rsid w:val="00FC4678"/>
    <w:rsid w:val="00FC62AD"/>
    <w:rsid w:val="00FC6545"/>
    <w:rsid w:val="00FD0183"/>
    <w:rsid w:val="00FD037B"/>
    <w:rsid w:val="00FD2546"/>
    <w:rsid w:val="00FD772E"/>
    <w:rsid w:val="00FE3346"/>
    <w:rsid w:val="00FE3926"/>
    <w:rsid w:val="00FE48BE"/>
    <w:rsid w:val="00FE4D2F"/>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D2622"/>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779"/>
    <w:pPr>
      <w:tabs>
        <w:tab w:val="left" w:pos="1134"/>
        <w:tab w:val="left" w:pos="1871"/>
        <w:tab w:val="left" w:pos="2268"/>
      </w:tabs>
      <w:overflowPunct w:val="0"/>
      <w:autoSpaceDE w:val="0"/>
      <w:autoSpaceDN w:val="0"/>
      <w:adjustRightInd w:val="0"/>
      <w:spacing w:before="120"/>
      <w:textAlignment w:val="baseline"/>
    </w:pPr>
    <w:rPr>
      <w:rFonts w:ascii="Calibri" w:hAnsi="Calibri"/>
      <w:sz w:val="22"/>
      <w:lang w:val="ru-RU" w:eastAsia="en-US"/>
    </w:rPr>
  </w:style>
  <w:style w:type="paragraph" w:styleId="Heading1">
    <w:name w:val="heading 1"/>
    <w:basedOn w:val="Normal"/>
    <w:next w:val="Normal"/>
    <w:qFormat/>
    <w:rsid w:val="00E64779"/>
    <w:pPr>
      <w:keepNext/>
      <w:keepLines/>
      <w:spacing w:before="360"/>
      <w:ind w:left="1134" w:hanging="1134"/>
      <w:outlineLvl w:val="0"/>
    </w:pPr>
    <w:rPr>
      <w:b/>
      <w:sz w:val="26"/>
    </w:rPr>
  </w:style>
  <w:style w:type="paragraph" w:styleId="Heading2">
    <w:name w:val="heading 2"/>
    <w:basedOn w:val="Heading1"/>
    <w:next w:val="Normal"/>
    <w:qFormat/>
    <w:rsid w:val="00E64779"/>
    <w:pPr>
      <w:spacing w:before="240"/>
      <w:outlineLvl w:val="1"/>
    </w:pPr>
    <w:rPr>
      <w:sz w:val="22"/>
    </w:rPr>
  </w:style>
  <w:style w:type="paragraph" w:styleId="Heading3">
    <w:name w:val="heading 3"/>
    <w:basedOn w:val="Heading1"/>
    <w:next w:val="Normal"/>
    <w:qFormat/>
    <w:rsid w:val="00EB4AE6"/>
    <w:pPr>
      <w:tabs>
        <w:tab w:val="clear" w:pos="1134"/>
      </w:tabs>
      <w:spacing w:before="200"/>
      <w:outlineLvl w:val="2"/>
    </w:pPr>
    <w:rPr>
      <w:sz w:val="22"/>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EB4AE6"/>
    <w:pPr>
      <w:overflowPunct/>
      <w:autoSpaceDE/>
      <w:autoSpaceDN/>
      <w:adjustRightInd/>
      <w:spacing w:before="240"/>
      <w:jc w:val="center"/>
      <w:textAlignment w:val="auto"/>
    </w:pPr>
    <w:rPr>
      <w:sz w:val="26"/>
      <w:lang w:val="es-ES_tradnl"/>
    </w:rPr>
  </w:style>
  <w:style w:type="paragraph" w:customStyle="1" w:styleId="AnnexNo">
    <w:name w:val="Annex_No"/>
    <w:basedOn w:val="Normal"/>
    <w:next w:val="Normal"/>
    <w:rsid w:val="00EB4AE6"/>
    <w:pPr>
      <w:keepNext/>
      <w:keepLines/>
      <w:spacing w:before="480" w:after="80"/>
      <w:jc w:val="center"/>
    </w:pPr>
    <w:rPr>
      <w:caps/>
      <w:sz w:val="26"/>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EB4AE6"/>
    <w:pPr>
      <w:keepNext/>
      <w:keepLines/>
      <w:spacing w:before="240" w:after="280"/>
      <w:jc w:val="center"/>
    </w:pPr>
    <w:rPr>
      <w:b/>
      <w:sz w:val="26"/>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EB4AE6"/>
    <w:pPr>
      <w:spacing w:before="480"/>
      <w:jc w:val="center"/>
    </w:pPr>
    <w:rPr>
      <w:b/>
      <w:sz w:val="26"/>
    </w:rPr>
  </w:style>
  <w:style w:type="paragraph" w:customStyle="1" w:styleId="ArtNo">
    <w:name w:val="Art_No"/>
    <w:basedOn w:val="Normal"/>
    <w:next w:val="Normal"/>
    <w:rsid w:val="00EB4AE6"/>
    <w:pPr>
      <w:keepNext/>
      <w:keepLines/>
      <w:spacing w:before="480"/>
      <w:jc w:val="center"/>
    </w:pPr>
    <w:rPr>
      <w:caps/>
      <w:sz w:val="26"/>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EB4AE6"/>
    <w:pPr>
      <w:keepNext/>
      <w:keepLines/>
      <w:spacing w:before="240"/>
      <w:jc w:val="center"/>
    </w:pPr>
    <w:rPr>
      <w:b/>
      <w:sz w:val="26"/>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341092"/>
    <w:pPr>
      <w:keepNext/>
      <w:keepLines/>
      <w:spacing w:before="0" w:after="12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sid w:val="00EB4AE6"/>
    <w:rPr>
      <w:rFonts w:asciiTheme="minorHAnsi" w:hAnsiTheme="minorHAnsi"/>
      <w:position w:val="6"/>
      <w:sz w:val="16"/>
    </w:rPr>
  </w:style>
  <w:style w:type="paragraph" w:styleId="FootnoteText">
    <w:name w:val="footnote text"/>
    <w:basedOn w:val="Normal"/>
    <w:link w:val="FootnoteTextChar"/>
    <w:uiPriority w:val="99"/>
    <w:qFormat/>
    <w:rsid w:val="00EB4AE6"/>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uiPriority w:val="99"/>
    <w:qFormat/>
    <w:rsid w:val="00EB4AE6"/>
    <w:rPr>
      <w:rFonts w:ascii="Calibri" w:hAnsi="Calibri"/>
      <w:lang w:val="ru-RU"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EB4AE6"/>
    <w:pPr>
      <w:spacing w:before="840"/>
      <w:jc w:val="center"/>
    </w:pPr>
    <w:rPr>
      <w:b/>
      <w:sz w:val="26"/>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EB4AE6"/>
    <w:pPr>
      <w:keepNext/>
      <w:keepLines/>
      <w:spacing w:before="480"/>
      <w:jc w:val="center"/>
    </w:pPr>
    <w:rPr>
      <w:caps/>
      <w:sz w:val="26"/>
    </w:rPr>
  </w:style>
  <w:style w:type="paragraph" w:customStyle="1" w:styleId="Questiontitle">
    <w:name w:val="Question_title"/>
    <w:basedOn w:val="Normal"/>
    <w:next w:val="Normal"/>
    <w:rsid w:val="00EB4AE6"/>
    <w:pPr>
      <w:keepNext/>
      <w:keepLines/>
      <w:spacing w:before="240"/>
      <w:jc w:val="center"/>
    </w:pPr>
    <w:rPr>
      <w:b/>
      <w:sz w:val="26"/>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CB76A2"/>
    <w:pPr>
      <w:spacing w:before="240"/>
    </w:pPr>
    <w:rPr>
      <w:b w:val="0"/>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0238CB"/>
    <w:pPr>
      <w:keepNext/>
      <w:keepLines/>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style>
  <w:style w:type="paragraph" w:customStyle="1" w:styleId="RecNo">
    <w:name w:val="Rec_No"/>
    <w:basedOn w:val="Normal"/>
    <w:next w:val="Normal"/>
    <w:rsid w:val="00EB4AE6"/>
    <w:pPr>
      <w:keepNext/>
      <w:keepLines/>
      <w:spacing w:before="480"/>
      <w:jc w:val="center"/>
    </w:pPr>
    <w:rPr>
      <w:caps/>
      <w:sz w:val="26"/>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EB4AE6"/>
  </w:style>
  <w:style w:type="paragraph" w:customStyle="1" w:styleId="AppArttitle">
    <w:name w:val="App_Art_title"/>
    <w:basedOn w:val="Arttitle"/>
    <w:qFormat/>
    <w:rsid w:val="00A066F1"/>
  </w:style>
  <w:style w:type="paragraph" w:customStyle="1" w:styleId="Opiniontitle">
    <w:name w:val="Opinion_title"/>
    <w:basedOn w:val="Rectitle"/>
    <w:next w:val="Normalaftertitle"/>
    <w:qFormat/>
    <w:rsid w:val="00EB4AE6"/>
  </w:style>
  <w:style w:type="paragraph" w:customStyle="1" w:styleId="OpinionNo">
    <w:name w:val="Opinion_No"/>
    <w:basedOn w:val="RecNo"/>
    <w:next w:val="Opiniontitle"/>
    <w:qFormat/>
    <w:rsid w:val="00EB4AE6"/>
  </w:style>
  <w:style w:type="paragraph" w:customStyle="1" w:styleId="Volumetitle">
    <w:name w:val="Volume_title"/>
    <w:basedOn w:val="Normal"/>
    <w:qFormat/>
    <w:rsid w:val="00EB4AE6"/>
    <w:pPr>
      <w:tabs>
        <w:tab w:val="clear" w:pos="1134"/>
        <w:tab w:val="clear" w:pos="2268"/>
      </w:tabs>
      <w:overflowPunct/>
      <w:autoSpaceDE/>
      <w:autoSpaceDN/>
      <w:adjustRightInd/>
      <w:spacing w:before="0"/>
      <w:textAlignment w:val="auto"/>
    </w:pPr>
    <w:rPr>
      <w:b/>
      <w:sz w:val="26"/>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character" w:styleId="UnresolvedMention">
    <w:name w:val="Unresolved Mention"/>
    <w:basedOn w:val="DefaultParagraphFont"/>
    <w:uiPriority w:val="99"/>
    <w:semiHidden/>
    <w:unhideWhenUsed/>
    <w:rsid w:val="00D10D23"/>
    <w:rPr>
      <w:color w:val="605E5C"/>
      <w:shd w:val="clear" w:color="auto" w:fill="E1DFDD"/>
    </w:rPr>
  </w:style>
  <w:style w:type="character" w:customStyle="1" w:styleId="HeadingbChar">
    <w:name w:val="Heading_b Char"/>
    <w:basedOn w:val="DefaultParagraphFont"/>
    <w:link w:val="Headingb"/>
    <w:locked/>
    <w:rsid w:val="000238CB"/>
    <w:rPr>
      <w:rFonts w:ascii="Calibri" w:hAnsi="Calibri" w:cs="Times New Roman Bold"/>
      <w:b/>
      <w:sz w:val="22"/>
      <w:lang w:val="fr-CH" w:eastAsia="en-US"/>
    </w:rPr>
  </w:style>
  <w:style w:type="character" w:styleId="PageNumber">
    <w:name w:val="page number"/>
    <w:basedOn w:val="DefaultParagraphFont"/>
    <w:rsid w:val="000318C5"/>
    <w:rPr>
      <w:rFonts w:asciiTheme="minorHAnsi" w:hAnsiTheme="minorHAnsi"/>
    </w:rPr>
  </w:style>
  <w:style w:type="table" w:customStyle="1" w:styleId="GridTable4-Accent11">
    <w:name w:val="Grid Table 4 - Accent 11"/>
    <w:basedOn w:val="TableNormal"/>
    <w:uiPriority w:val="49"/>
    <w:rsid w:val="000318C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go/wtdc25-final-report" TargetMode="External"/><Relationship Id="rId18" Type="http://schemas.openxmlformats.org/officeDocument/2006/relationships/hyperlink" Target="https://www.itu.int/en/ITU-D/Conferences/TDAG/Pages/dashboards/2026/Operational-Plan-Reporting-Dashboard.aspx" TargetMode="External"/><Relationship Id="rId26" Type="http://schemas.openxmlformats.org/officeDocument/2006/relationships/header" Target="header7.xml"/><Relationship Id="rId39" Type="http://schemas.openxmlformats.org/officeDocument/2006/relationships/hyperlink" Target="https://academy.itu.int/training-courses/full-catalogue/measuring-digital-development-ict-service-prices-data-collection" TargetMode="External"/><Relationship Id="rId21" Type="http://schemas.openxmlformats.org/officeDocument/2006/relationships/header" Target="header3.xml"/><Relationship Id="rId34" Type="http://schemas.openxmlformats.org/officeDocument/2006/relationships/hyperlink" Target="https://www.itu.int/en/ITU-D/Regulatory-Market/Pages/collaborative-regulation-country-reviews/default.aspx" TargetMode="External"/><Relationship Id="rId42" Type="http://schemas.openxmlformats.org/officeDocument/2006/relationships/header" Target="header13.xml"/><Relationship Id="rId47" Type="http://schemas.openxmlformats.org/officeDocument/2006/relationships/hyperlink" Target="https://www.itu.int/itu-d/meetings/rdf/home/rdf-2026/europe/home/" TargetMode="External"/><Relationship Id="rId50" Type="http://schemas.openxmlformats.org/officeDocument/2006/relationships/hyperlink" Target="https://www.itu.int/en/ITU-D/Study-Groups/2026-2029/Pages/default.aspx" TargetMode="External"/><Relationship Id="rId55" Type="http://schemas.openxmlformats.org/officeDocument/2006/relationships/header" Target="header1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9.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yperlink" Target="https://www.itu.int/itu-d/meetings/gsr-26/" TargetMode="External"/><Relationship Id="rId37" Type="http://schemas.openxmlformats.org/officeDocument/2006/relationships/hyperlink" Target="https://app.gen5.digital/unified-framework/about" TargetMode="External"/><Relationship Id="rId40" Type="http://schemas.openxmlformats.org/officeDocument/2006/relationships/hyperlink" Target="https://academy.itu.int/training-courses/full-catalogue/measuring-digital-development-ict-service-prices-data-collection" TargetMode="External"/><Relationship Id="rId45" Type="http://schemas.openxmlformats.org/officeDocument/2006/relationships/hyperlink" Target="https://www.itu.int/itu-d/sites/partnerships/home/partnerships/"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tu.int/go/wtdc25-final-report" TargetMode="External"/><Relationship Id="rId22" Type="http://schemas.openxmlformats.org/officeDocument/2006/relationships/footer" Target="footer1.xml"/><Relationship Id="rId27" Type="http://schemas.openxmlformats.org/officeDocument/2006/relationships/hyperlink" Target="https://www.itu.int/en/ITU-D/Innovation/Documents/Publications/D-INNO-MALTA-2025-PDF-E.pdf" TargetMode="External"/><Relationship Id="rId30" Type="http://schemas.openxmlformats.org/officeDocument/2006/relationships/header" Target="header10.xml"/><Relationship Id="rId35" Type="http://schemas.openxmlformats.org/officeDocument/2006/relationships/hyperlink" Target="https://www.itu.int/en/ITU-D/Regulatory-Market/Pages/collaborative-regulation-country-reviews/default.aspx" TargetMode="External"/><Relationship Id="rId43" Type="http://schemas.openxmlformats.org/officeDocument/2006/relationships/header" Target="header14.xml"/><Relationship Id="rId48" Type="http://schemas.openxmlformats.org/officeDocument/2006/relationships/hyperlink" Target="https://www.itu.int/net4/ITU-D/CDS/sg/blkmeetings.asp?lg=1&amp;stg=&amp;sp=2026&amp;blk=29194" TargetMode="External"/><Relationship Id="rId56"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hyperlink" Target="https://www.itu.int/md/D26-TDAG33-C-0002/en" TargetMode="External"/><Relationship Id="rId17" Type="http://schemas.openxmlformats.org/officeDocument/2006/relationships/chart" Target="charts/chart1.xml"/><Relationship Id="rId25" Type="http://schemas.openxmlformats.org/officeDocument/2006/relationships/header" Target="header6.xml"/><Relationship Id="rId33" Type="http://schemas.openxmlformats.org/officeDocument/2006/relationships/hyperlink" Target="https://www.itu.int/itu-d/meetings/gsr-26/" TargetMode="External"/><Relationship Id="rId38" Type="http://schemas.openxmlformats.org/officeDocument/2006/relationships/hyperlink" Target="https://www.itu.int/itu-d/sites/projectumc/2026/02/25/umc-event-unsc2026/" TargetMode="External"/><Relationship Id="rId46" Type="http://schemas.openxmlformats.org/officeDocument/2006/relationships/hyperlink" Target="http://itu.int/go/RDF-AFR-26" TargetMode="External"/><Relationship Id="rId20" Type="http://schemas.openxmlformats.org/officeDocument/2006/relationships/header" Target="header2.xml"/><Relationship Id="rId41" Type="http://schemas.openxmlformats.org/officeDocument/2006/relationships/header" Target="header12.xml"/><Relationship Id="rId54" Type="http://schemas.openxmlformats.org/officeDocument/2006/relationships/hyperlink" Target="chrome-extension://efaidnbmnnnibpcajpcglclefindmkaj/https:/www.itu.int/itu-d/sites/digital-inclusion-accessibility-for-all/wp-content/uploads/sites/67/2026/02/d-phcb-ict_access-2025-pdf-e-2.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itu.int/go/wtdc25-final-report"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yperlink" Target="https://app.gen5.digital/unified-framework/about" TargetMode="External"/><Relationship Id="rId49" Type="http://schemas.openxmlformats.org/officeDocument/2006/relationships/hyperlink" Target="https://www.itu.int/net4/ITU-D/CDS/sg/blkmeetings.asp?lg=1&amp;stg=&amp;sp=2026&amp;blk=29195"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header" Target="header15.xml"/><Relationship Id="rId52" Type="http://schemas.openxmlformats.org/officeDocument/2006/relationships/header" Target="header1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695992740558274"/>
          <c:y val="0.17468982164468508"/>
          <c:w val="0.45487287002814486"/>
          <c:h val="0.66464408441621536"/>
        </c:manualLayout>
      </c:layout>
      <c:pieChart>
        <c:varyColors val="1"/>
        <c:ser>
          <c:idx val="0"/>
          <c:order val="0"/>
          <c:tx>
            <c:strRef>
              <c:f>Sheet1!$A$2</c:f>
              <c:strCache>
                <c:ptCount val="1"/>
              </c:strCache>
            </c:strRef>
          </c:tx>
          <c:dPt>
            <c:idx val="0"/>
            <c:bubble3D val="0"/>
            <c:spPr>
              <a:solidFill>
                <a:schemeClr val="accent4">
                  <a:shade val="47000"/>
                </a:schemeClr>
              </a:solidFill>
              <a:ln w="19050">
                <a:solidFill>
                  <a:schemeClr val="lt1"/>
                </a:solidFill>
              </a:ln>
              <a:effectLst/>
            </c:spPr>
            <c:extLst>
              <c:ext xmlns:c16="http://schemas.microsoft.com/office/drawing/2014/chart" uri="{C3380CC4-5D6E-409C-BE32-E72D297353CC}">
                <c16:uniqueId val="{00000001-F00C-4257-972A-CA327FB43E8A}"/>
              </c:ext>
            </c:extLst>
          </c:dPt>
          <c:dPt>
            <c:idx val="1"/>
            <c:bubble3D val="0"/>
            <c:spPr>
              <a:solidFill>
                <a:schemeClr val="accent4">
                  <a:shade val="65000"/>
                </a:schemeClr>
              </a:solidFill>
              <a:ln w="19050">
                <a:solidFill>
                  <a:schemeClr val="lt1"/>
                </a:solidFill>
              </a:ln>
              <a:effectLst/>
            </c:spPr>
            <c:extLst>
              <c:ext xmlns:c16="http://schemas.microsoft.com/office/drawing/2014/chart" uri="{C3380CC4-5D6E-409C-BE32-E72D297353CC}">
                <c16:uniqueId val="{00000003-F00C-4257-972A-CA327FB43E8A}"/>
              </c:ext>
            </c:extLst>
          </c:dPt>
          <c:dPt>
            <c:idx val="2"/>
            <c:bubble3D val="0"/>
            <c:spPr>
              <a:solidFill>
                <a:schemeClr val="accent4">
                  <a:shade val="82000"/>
                </a:schemeClr>
              </a:solidFill>
              <a:ln w="19050">
                <a:solidFill>
                  <a:schemeClr val="lt1"/>
                </a:solidFill>
              </a:ln>
              <a:effectLst/>
            </c:spPr>
            <c:extLst>
              <c:ext xmlns:c16="http://schemas.microsoft.com/office/drawing/2014/chart" uri="{C3380CC4-5D6E-409C-BE32-E72D297353CC}">
                <c16:uniqueId val="{00000005-F00C-4257-972A-CA327FB43E8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00C-4257-972A-CA327FB43E8A}"/>
              </c:ext>
            </c:extLst>
          </c:dPt>
          <c:dPt>
            <c:idx val="4"/>
            <c:bubble3D val="0"/>
            <c:spPr>
              <a:solidFill>
                <a:schemeClr val="accent4">
                  <a:tint val="83000"/>
                </a:schemeClr>
              </a:solidFill>
              <a:ln w="19050">
                <a:solidFill>
                  <a:schemeClr val="lt1"/>
                </a:solidFill>
              </a:ln>
              <a:effectLst/>
            </c:spPr>
            <c:extLst>
              <c:ext xmlns:c16="http://schemas.microsoft.com/office/drawing/2014/chart" uri="{C3380CC4-5D6E-409C-BE32-E72D297353CC}">
                <c16:uniqueId val="{00000009-F00C-4257-972A-CA327FB43E8A}"/>
              </c:ext>
            </c:extLst>
          </c:dPt>
          <c:dPt>
            <c:idx val="5"/>
            <c:bubble3D val="0"/>
            <c:spPr>
              <a:solidFill>
                <a:schemeClr val="accent4">
                  <a:tint val="65000"/>
                </a:schemeClr>
              </a:solidFill>
              <a:ln w="19050">
                <a:solidFill>
                  <a:schemeClr val="lt1"/>
                </a:solidFill>
              </a:ln>
              <a:effectLst/>
            </c:spPr>
            <c:extLst>
              <c:ext xmlns:c16="http://schemas.microsoft.com/office/drawing/2014/chart" uri="{C3380CC4-5D6E-409C-BE32-E72D297353CC}">
                <c16:uniqueId val="{0000000B-F00C-4257-972A-CA327FB43E8A}"/>
              </c:ext>
            </c:extLst>
          </c:dPt>
          <c:dPt>
            <c:idx val="6"/>
            <c:bubble3D val="0"/>
            <c:spPr>
              <a:solidFill>
                <a:schemeClr val="accent4">
                  <a:tint val="48000"/>
                </a:schemeClr>
              </a:solidFill>
              <a:ln w="19050">
                <a:solidFill>
                  <a:schemeClr val="lt1"/>
                </a:solidFill>
              </a:ln>
              <a:effectLst/>
            </c:spPr>
            <c:extLst>
              <c:ext xmlns:c16="http://schemas.microsoft.com/office/drawing/2014/chart" uri="{C3380CC4-5D6E-409C-BE32-E72D297353CC}">
                <c16:uniqueId val="{0000000D-F00C-4257-972A-CA327FB43E8A}"/>
              </c:ext>
            </c:extLst>
          </c:dPt>
          <c:dLbls>
            <c:dLbl>
              <c:idx val="0"/>
              <c:tx>
                <c:rich>
                  <a:bodyPr/>
                  <a:lstStyle/>
                  <a:p>
                    <a:fld id="{5A9E2FDD-0776-45C5-889C-9349818A34AD}" type="CATEGORYNAME">
                      <a:rPr lang="ru-RU"/>
                      <a:pPr/>
                      <a:t>[CATEGORY NAME]</a:t>
                    </a:fld>
                    <a:br>
                      <a:rPr lang="ru-RU"/>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00C-4257-972A-CA327FB43E8A}"/>
                </c:ext>
              </c:extLst>
            </c:dLbl>
            <c:dLbl>
              <c:idx val="1"/>
              <c:tx>
                <c:rich>
                  <a:bodyPr/>
                  <a:lstStyle/>
                  <a:p>
                    <a:fld id="{D4AA53C7-4E39-403E-AFB4-1A8110E92BAD}" type="CATEGORYNAME">
                      <a:rPr lang="ru-RU"/>
                      <a:pPr/>
                      <a:t>[CATEGORY NAME]</a:t>
                    </a:fld>
                    <a:br>
                      <a:rPr lang="ru-RU"/>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00C-4257-972A-CA327FB43E8A}"/>
                </c:ext>
              </c:extLst>
            </c:dLbl>
            <c:dLbl>
              <c:idx val="2"/>
              <c:tx>
                <c:rich>
                  <a:bodyPr/>
                  <a:lstStyle/>
                  <a:p>
                    <a:fld id="{593EAE8E-D366-4EFE-9F60-B83C6234166E}" type="CATEGORYNAME">
                      <a:rPr lang="ru-RU"/>
                      <a:pPr/>
                      <a:t>[CATEGORY NAME]</a:t>
                    </a:fld>
                    <a:br>
                      <a:rPr lang="ru-RU" baseline="0"/>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00C-4257-972A-CA327FB43E8A}"/>
                </c:ext>
              </c:extLst>
            </c:dLbl>
            <c:dLbl>
              <c:idx val="3"/>
              <c:tx>
                <c:rich>
                  <a:bodyPr/>
                  <a:lstStyle/>
                  <a:p>
                    <a:fld id="{71A0AF82-F753-488E-9529-C583F91B7211}" type="CATEGORYNAME">
                      <a:rPr lang="ru-RU"/>
                      <a:pPr/>
                      <a:t>[CATEGORY NAME]</a:t>
                    </a:fld>
                    <a:br>
                      <a:rPr lang="ru-RU"/>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00C-4257-972A-CA327FB43E8A}"/>
                </c:ext>
              </c:extLst>
            </c:dLbl>
            <c:dLbl>
              <c:idx val="4"/>
              <c:tx>
                <c:rich>
                  <a:bodyPr/>
                  <a:lstStyle/>
                  <a:p>
                    <a:fld id="{87F0C8E4-7DCB-45E0-8278-46E228156FF4}" type="CATEGORYNAME">
                      <a:rPr lang="ru-RU"/>
                      <a:pPr/>
                      <a:t>[CATEGORY NAME]</a:t>
                    </a:fld>
                    <a:br>
                      <a:rPr lang="ru-RU" baseline="0"/>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00C-4257-972A-CA327FB43E8A}"/>
                </c:ext>
              </c:extLst>
            </c:dLbl>
            <c:dLbl>
              <c:idx val="5"/>
              <c:tx>
                <c:rich>
                  <a:bodyPr/>
                  <a:lstStyle/>
                  <a:p>
                    <a:fld id="{72B7DBC6-B05F-4A05-867F-20D730A14048}" type="CATEGORYNAME">
                      <a:rPr lang="ru-RU"/>
                      <a:pPr/>
                      <a:t>[CATEGORY NAME]</a:t>
                    </a:fld>
                    <a:br>
                      <a:rPr lang="ru-RU"/>
                    </a:br>
                    <a:r>
                      <a:rPr lang="ru-RU" baseline="0"/>
                      <a:t>7,4%</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00C-4257-972A-CA327FB43E8A}"/>
                </c:ext>
              </c:extLst>
            </c:dLbl>
            <c:dLbl>
              <c:idx val="6"/>
              <c:layout>
                <c:manualLayout>
                  <c:x val="-2.3994094807658992E-3"/>
                  <c:y val="-3.5059319263964742E-3"/>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fld id="{9B4A24EE-2453-4940-B2F9-7FA43581B62C}" type="CATEGORYNAME">
                      <a:rPr lang="ru-RU" sz="900"/>
                      <a:pPr>
                        <a:defRPr>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t>[CATEGORY NAME]</a:t>
                    </a:fld>
                    <a:br>
                      <a:rPr lang="ru-RU" sz="900"/>
                    </a:br>
                    <a:r>
                      <a:rPr lang="ru-RU" sz="900"/>
                      <a:t>55,6</a:t>
                    </a:r>
                    <a:r>
                      <a:rPr lang="ru-RU" sz="900" baseline="0"/>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23738567144451442"/>
                      <c:h val="0.21323077976342966"/>
                    </c:manualLayout>
                  </c15:layout>
                  <c15:dlblFieldTable/>
                  <c15:showDataLabelsRange val="0"/>
                </c:ext>
                <c:ext xmlns:c16="http://schemas.microsoft.com/office/drawing/2014/chart" uri="{C3380CC4-5D6E-409C-BE32-E72D297353CC}">
                  <c16:uniqueId val="{0000000D-F00C-4257-972A-CA327FB43E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Sheet1!$B$1:$H$1</c:f>
              <c:strCache>
                <c:ptCount val="7"/>
                <c:pt idx="0">
                  <c:v>Африка</c:v>
                </c:pt>
                <c:pt idx="1">
                  <c:v>Северная и Южная Америка</c:v>
                </c:pt>
                <c:pt idx="2">
                  <c:v>Арабские государства</c:v>
                </c:pt>
                <c:pt idx="3">
                  <c:v>Азиатско-Тихоокеанский регион</c:v>
                </c:pt>
                <c:pt idx="4">
                  <c:v>Страны СНГ</c:v>
                </c:pt>
                <c:pt idx="5">
                  <c:v>Европа</c:v>
                </c:pt>
                <c:pt idx="6">
                  <c:v>Весь мир или несколько регионов</c:v>
                </c:pt>
              </c:strCache>
            </c:strRef>
          </c:cat>
          <c:val>
            <c:numRef>
              <c:f>Sheet1!$B$2:$H$2</c:f>
              <c:numCache>
                <c:formatCode>General</c:formatCode>
                <c:ptCount val="7"/>
                <c:pt idx="0">
                  <c:v>7.4</c:v>
                </c:pt>
                <c:pt idx="1">
                  <c:v>7.4</c:v>
                </c:pt>
                <c:pt idx="2">
                  <c:v>7.4</c:v>
                </c:pt>
                <c:pt idx="3">
                  <c:v>7.4</c:v>
                </c:pt>
                <c:pt idx="4">
                  <c:v>7.4</c:v>
                </c:pt>
                <c:pt idx="5">
                  <c:v>7.4</c:v>
                </c:pt>
                <c:pt idx="6">
                  <c:v>55.6</c:v>
                </c:pt>
              </c:numCache>
            </c:numRef>
          </c:val>
          <c:extLst>
            <c:ext xmlns:c16="http://schemas.microsoft.com/office/drawing/2014/chart" uri="{C3380CC4-5D6E-409C-BE32-E72D297353CC}">
              <c16:uniqueId val="{0000000E-F00C-4257-972A-CA327FB43E8A}"/>
            </c:ext>
          </c:extLst>
        </c:ser>
        <c:dLbls>
          <c:showLegendKey val="0"/>
          <c:showVal val="1"/>
          <c:showCatName val="1"/>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4.xml><?xml version="1.0" encoding="utf-8"?>
<ds:datastoreItem xmlns:ds="http://schemas.openxmlformats.org/officeDocument/2006/customXml" ds:itemID="{501DE73B-BE86-46B1-A4A2-0955836D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34</Pages>
  <Words>10286</Words>
  <Characters>76821</Characters>
  <Application>Microsoft Office Word</Application>
  <DocSecurity>0</DocSecurity>
  <Lines>640</Lines>
  <Paragraphs>173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General Secretariat - Pool</Manager>
  <Company/>
  <LinksUpToDate>false</LinksUpToDate>
  <CharactersWithSpaces>86934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Russian</dc:creator>
  <cp:lastModifiedBy>NA</cp:lastModifiedBy>
  <cp:revision>19</cp:revision>
  <cp:lastPrinted>2019-01-16T07:57:00Z</cp:lastPrinted>
  <dcterms:created xsi:type="dcterms:W3CDTF">2026-04-02T13:43:00Z</dcterms:created>
  <dcterms:modified xsi:type="dcterms:W3CDTF">2026-04-07T08:48:00Z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