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Y="-492"/>
        <w:tblW w:w="9923" w:type="dxa"/>
        <w:tblLayout w:type="fixed"/>
        <w:tblLook w:val="0000" w:firstRow="0" w:lastRow="0" w:firstColumn="0" w:lastColumn="0" w:noHBand="0" w:noVBand="0"/>
      </w:tblPr>
      <w:tblGrid>
        <w:gridCol w:w="6521"/>
        <w:gridCol w:w="3402"/>
      </w:tblGrid>
      <w:tr w:rsidR="004B2111" w:rsidRPr="0002061B" w14:paraId="5736F9B6" w14:textId="77777777" w:rsidTr="00122FA3">
        <w:trPr>
          <w:cantSplit/>
          <w:trHeight w:val="1425"/>
        </w:trPr>
        <w:tc>
          <w:tcPr>
            <w:tcW w:w="6521" w:type="dxa"/>
          </w:tcPr>
          <w:p w14:paraId="0362F8A8" w14:textId="77777777" w:rsidR="004B2111" w:rsidRPr="0002061B" w:rsidRDefault="004B2111" w:rsidP="00FC1EC2">
            <w:pPr>
              <w:tabs>
                <w:tab w:val="clear" w:pos="1134"/>
              </w:tabs>
              <w:spacing w:before="240"/>
              <w:ind w:left="34"/>
              <w:rPr>
                <w:b/>
                <w:bCs/>
                <w:sz w:val="30"/>
                <w:szCs w:val="30"/>
              </w:rPr>
            </w:pPr>
            <w:r w:rsidRPr="0002061B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02061B">
              <w:rPr>
                <w:b/>
                <w:bCs/>
                <w:sz w:val="30"/>
                <w:szCs w:val="30"/>
              </w:rPr>
              <w:br/>
              <w:t>по развитию электросвязи (</w:t>
            </w:r>
            <w:proofErr w:type="spellStart"/>
            <w:r w:rsidRPr="0002061B">
              <w:rPr>
                <w:b/>
                <w:bCs/>
                <w:sz w:val="30"/>
                <w:szCs w:val="30"/>
              </w:rPr>
              <w:t>КГРЭ</w:t>
            </w:r>
            <w:proofErr w:type="spellEnd"/>
            <w:r w:rsidRPr="0002061B">
              <w:rPr>
                <w:b/>
                <w:bCs/>
                <w:sz w:val="30"/>
                <w:szCs w:val="30"/>
              </w:rPr>
              <w:t>)</w:t>
            </w:r>
          </w:p>
          <w:p w14:paraId="2DCF59CB" w14:textId="258A5B6A" w:rsidR="004B2111" w:rsidRPr="0002061B" w:rsidRDefault="004B2111" w:rsidP="00FC1EC2">
            <w:pPr>
              <w:tabs>
                <w:tab w:val="clear" w:pos="1134"/>
              </w:tabs>
              <w:spacing w:before="160" w:after="48" w:line="240" w:lineRule="atLeast"/>
              <w:ind w:left="34"/>
              <w:rPr>
                <w:b/>
                <w:bCs/>
                <w:szCs w:val="22"/>
              </w:rPr>
            </w:pPr>
            <w:r w:rsidRPr="0002061B">
              <w:rPr>
                <w:rFonts w:cstheme="minorHAnsi"/>
                <w:b/>
                <w:bCs/>
                <w:szCs w:val="22"/>
                <w:lang w:eastAsia="zh-CN"/>
              </w:rPr>
              <w:t xml:space="preserve">33-е собрание, Женева, Швейцария, </w:t>
            </w:r>
            <w:r w:rsidR="000674FE" w:rsidRPr="0002061B"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02061B">
              <w:rPr>
                <w:rFonts w:cstheme="minorHAnsi"/>
                <w:b/>
                <w:bCs/>
                <w:szCs w:val="22"/>
                <w:lang w:eastAsia="zh-CN"/>
              </w:rPr>
              <w:t>–1</w:t>
            </w:r>
            <w:r w:rsidR="000674FE" w:rsidRPr="0002061B">
              <w:rPr>
                <w:rFonts w:cstheme="minorHAnsi"/>
                <w:b/>
                <w:bCs/>
                <w:szCs w:val="22"/>
                <w:lang w:eastAsia="zh-CN"/>
              </w:rPr>
              <w:t>0</w:t>
            </w:r>
            <w:r w:rsidRPr="0002061B">
              <w:rPr>
                <w:rFonts w:cstheme="minorHAnsi"/>
                <w:b/>
                <w:bCs/>
                <w:szCs w:val="22"/>
                <w:lang w:eastAsia="zh-CN"/>
              </w:rPr>
              <w:t xml:space="preserve"> </w:t>
            </w:r>
            <w:r w:rsidR="000674FE" w:rsidRPr="0002061B">
              <w:rPr>
                <w:rFonts w:cstheme="minorHAnsi"/>
                <w:b/>
                <w:bCs/>
                <w:szCs w:val="22"/>
                <w:lang w:eastAsia="zh-CN"/>
              </w:rPr>
              <w:t xml:space="preserve">апреля </w:t>
            </w:r>
            <w:r w:rsidRPr="0002061B">
              <w:rPr>
                <w:rFonts w:cstheme="minorHAnsi"/>
                <w:b/>
                <w:bCs/>
                <w:szCs w:val="22"/>
                <w:lang w:eastAsia="zh-CN"/>
              </w:rPr>
              <w:t>202</w:t>
            </w:r>
            <w:r w:rsidR="000674FE" w:rsidRPr="0002061B">
              <w:rPr>
                <w:rFonts w:cstheme="minorHAnsi"/>
                <w:b/>
                <w:bCs/>
                <w:szCs w:val="22"/>
                <w:lang w:eastAsia="zh-CN"/>
              </w:rPr>
              <w:t>6</w:t>
            </w:r>
            <w:r w:rsidRPr="0002061B">
              <w:rPr>
                <w:rFonts w:cstheme="minorHAnsi"/>
                <w:b/>
                <w:bCs/>
                <w:szCs w:val="22"/>
                <w:lang w:eastAsia="zh-CN"/>
              </w:rPr>
              <w:t xml:space="preserve"> года</w:t>
            </w:r>
          </w:p>
        </w:tc>
        <w:tc>
          <w:tcPr>
            <w:tcW w:w="3402" w:type="dxa"/>
          </w:tcPr>
          <w:p w14:paraId="06B48AA1" w14:textId="516DD633" w:rsidR="004B2111" w:rsidRPr="0002061B" w:rsidRDefault="004B2111" w:rsidP="00FC1EC2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02061B">
              <w:rPr>
                <w:lang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02061B" w14:paraId="6DE5ABA3" w14:textId="77777777" w:rsidTr="00122FA3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73168FEF" w14:textId="77777777" w:rsidR="00D83BF5" w:rsidRPr="0002061B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39CB557" w14:textId="716EF333" w:rsidR="00D83BF5" w:rsidRPr="0002061B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02061B" w14:paraId="02BC550A" w14:textId="77777777" w:rsidTr="00122FA3">
        <w:trPr>
          <w:cantSplit/>
          <w:trHeight w:val="23"/>
        </w:trPr>
        <w:tc>
          <w:tcPr>
            <w:tcW w:w="6521" w:type="dxa"/>
          </w:tcPr>
          <w:p w14:paraId="1EF66EAC" w14:textId="77777777" w:rsidR="00D87035" w:rsidRPr="0002061B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402" w:type="dxa"/>
          </w:tcPr>
          <w:p w14:paraId="6F008A08" w14:textId="62B0169F" w:rsidR="00D87035" w:rsidRPr="0002061B" w:rsidRDefault="00122FA3" w:rsidP="00122FA3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02061B">
              <w:rPr>
                <w:b/>
                <w:bCs/>
                <w:szCs w:val="22"/>
              </w:rPr>
              <w:t>Приложение 1</w:t>
            </w:r>
            <w:r w:rsidRPr="0002061B">
              <w:rPr>
                <w:b/>
                <w:bCs/>
                <w:szCs w:val="22"/>
              </w:rPr>
              <w:br/>
            </w:r>
            <w:r w:rsidRPr="0002061B">
              <w:rPr>
                <w:b/>
                <w:bCs/>
                <w:szCs w:val="22"/>
              </w:rPr>
              <w:t xml:space="preserve">к Документу </w:t>
            </w:r>
            <w:proofErr w:type="spellStart"/>
            <w:r w:rsidRPr="0002061B">
              <w:rPr>
                <w:b/>
                <w:bCs/>
                <w:szCs w:val="22"/>
              </w:rPr>
              <w:t>TDAG</w:t>
            </w:r>
            <w:proofErr w:type="spellEnd"/>
            <w:r w:rsidRPr="0002061B">
              <w:rPr>
                <w:b/>
                <w:bCs/>
                <w:szCs w:val="22"/>
              </w:rPr>
              <w:t>-26/2(</w:t>
            </w:r>
            <w:proofErr w:type="spellStart"/>
            <w:r w:rsidRPr="0002061B">
              <w:rPr>
                <w:b/>
                <w:bCs/>
                <w:szCs w:val="22"/>
              </w:rPr>
              <w:t>Add.1</w:t>
            </w:r>
            <w:proofErr w:type="spellEnd"/>
            <w:r w:rsidRPr="0002061B">
              <w:rPr>
                <w:b/>
                <w:bCs/>
                <w:szCs w:val="22"/>
              </w:rPr>
              <w:t>)-R</w:t>
            </w:r>
          </w:p>
        </w:tc>
      </w:tr>
      <w:tr w:rsidR="00D87035" w:rsidRPr="0002061B" w14:paraId="55AD5FBA" w14:textId="77777777" w:rsidTr="00122FA3">
        <w:trPr>
          <w:cantSplit/>
          <w:trHeight w:val="23"/>
        </w:trPr>
        <w:tc>
          <w:tcPr>
            <w:tcW w:w="6521" w:type="dxa"/>
          </w:tcPr>
          <w:p w14:paraId="0E170520" w14:textId="77777777" w:rsidR="00D87035" w:rsidRPr="0002061B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402" w:type="dxa"/>
          </w:tcPr>
          <w:p w14:paraId="242C61B7" w14:textId="181B8870" w:rsidR="00D87035" w:rsidRPr="0002061B" w:rsidRDefault="00122FA3" w:rsidP="00CE66E4">
            <w:pPr>
              <w:spacing w:before="0"/>
              <w:rPr>
                <w:rFonts w:cstheme="minorHAnsi"/>
                <w:szCs w:val="22"/>
              </w:rPr>
            </w:pPr>
            <w:r w:rsidRPr="0002061B">
              <w:rPr>
                <w:b/>
                <w:bCs/>
                <w:szCs w:val="22"/>
              </w:rPr>
              <w:t xml:space="preserve">3 марта 2026 </w:t>
            </w:r>
            <w:r w:rsidR="005E032D" w:rsidRPr="0002061B">
              <w:rPr>
                <w:b/>
                <w:bCs/>
                <w:szCs w:val="22"/>
              </w:rPr>
              <w:t>года</w:t>
            </w:r>
          </w:p>
        </w:tc>
      </w:tr>
      <w:bookmarkEnd w:id="4"/>
      <w:bookmarkEnd w:id="5"/>
      <w:tr w:rsidR="00D87035" w:rsidRPr="0002061B" w14:paraId="07260C0B" w14:textId="77777777" w:rsidTr="00122FA3">
        <w:trPr>
          <w:cantSplit/>
          <w:trHeight w:val="23"/>
        </w:trPr>
        <w:tc>
          <w:tcPr>
            <w:tcW w:w="6521" w:type="dxa"/>
          </w:tcPr>
          <w:p w14:paraId="773E4FE3" w14:textId="77777777" w:rsidR="00D87035" w:rsidRPr="0002061B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14:paraId="2C8BB831" w14:textId="6BD75EC4" w:rsidR="00D87035" w:rsidRPr="0002061B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02061B">
              <w:rPr>
                <w:b/>
                <w:bCs/>
                <w:szCs w:val="22"/>
              </w:rPr>
              <w:t>Оригинал</w:t>
            </w:r>
            <w:r w:rsidR="00D87035" w:rsidRPr="0002061B">
              <w:rPr>
                <w:b/>
                <w:bCs/>
                <w:szCs w:val="22"/>
              </w:rPr>
              <w:t xml:space="preserve">: </w:t>
            </w:r>
            <w:r w:rsidRPr="0002061B">
              <w:rPr>
                <w:b/>
                <w:bCs/>
                <w:szCs w:val="22"/>
              </w:rPr>
              <w:t>английский</w:t>
            </w:r>
          </w:p>
        </w:tc>
      </w:tr>
      <w:tr w:rsidR="00D83BF5" w:rsidRPr="0002061B" w14:paraId="35F96F24" w14:textId="77777777" w:rsidTr="00FC1EC2">
        <w:trPr>
          <w:cantSplit/>
          <w:trHeight w:val="23"/>
        </w:trPr>
        <w:tc>
          <w:tcPr>
            <w:tcW w:w="9923" w:type="dxa"/>
            <w:gridSpan w:val="2"/>
          </w:tcPr>
          <w:p w14:paraId="59A8A61C" w14:textId="0960EE6E" w:rsidR="00D83BF5" w:rsidRPr="0002061B" w:rsidRDefault="00122FA3" w:rsidP="006774C6">
            <w:pPr>
              <w:pStyle w:val="Source"/>
            </w:pPr>
            <w:bookmarkStart w:id="6" w:name="dbluepink" w:colFirst="0" w:colLast="0"/>
            <w:bookmarkStart w:id="7" w:name="dorlang" w:colFirst="1" w:colLast="1"/>
            <w:r w:rsidRPr="0002061B">
              <w:t>Директор Бюро развития электросвязи</w:t>
            </w:r>
          </w:p>
        </w:tc>
      </w:tr>
      <w:tr w:rsidR="00D83BF5" w:rsidRPr="0002061B" w14:paraId="7EDE1565" w14:textId="77777777" w:rsidTr="00FC1EC2">
        <w:trPr>
          <w:cantSplit/>
          <w:trHeight w:val="23"/>
        </w:trPr>
        <w:tc>
          <w:tcPr>
            <w:tcW w:w="9923" w:type="dxa"/>
            <w:gridSpan w:val="2"/>
            <w:vAlign w:val="center"/>
          </w:tcPr>
          <w:p w14:paraId="3D29924B" w14:textId="2FA639DB" w:rsidR="00D83BF5" w:rsidRPr="0002061B" w:rsidRDefault="00122FA3" w:rsidP="006774C6">
            <w:pPr>
              <w:pStyle w:val="Title1"/>
              <w:rPr>
                <w:caps/>
              </w:rPr>
            </w:pPr>
            <w:r w:rsidRPr="0002061B">
              <w:t>Отчет о ситуационном анализе и оценке потребностей для малых островных развивающихся государств Тихого океана (</w:t>
            </w:r>
            <w:proofErr w:type="spellStart"/>
            <w:r w:rsidRPr="0002061B">
              <w:t>СИДС</w:t>
            </w:r>
            <w:proofErr w:type="spellEnd"/>
            <w:r w:rsidRPr="0002061B">
              <w:t xml:space="preserve"> Тихоокеанского региона)</w:t>
            </w:r>
          </w:p>
        </w:tc>
      </w:tr>
      <w:tr w:rsidR="00D83BF5" w:rsidRPr="0002061B" w14:paraId="5B2B3E5A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28E7AED7" w14:textId="77777777" w:rsidR="00D83BF5" w:rsidRPr="0002061B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  <w:tr w:rsidR="001E252D" w:rsidRPr="0002061B" w14:paraId="6C9BA039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473" w14:textId="77777777" w:rsidR="005E032D" w:rsidRPr="0002061B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02061B">
              <w:rPr>
                <w:szCs w:val="22"/>
                <w:lang w:val="ru-RU"/>
              </w:rPr>
              <w:t>Резюме</w:t>
            </w:r>
          </w:p>
          <w:p w14:paraId="1FB7DB3D" w14:textId="460A9DA1" w:rsidR="00122FA3" w:rsidRPr="00122FA3" w:rsidRDefault="00122FA3" w:rsidP="00122FA3">
            <w:pPr>
              <w:rPr>
                <w:szCs w:val="22"/>
              </w:rPr>
            </w:pPr>
            <w:r w:rsidRPr="00122FA3">
              <w:rPr>
                <w:szCs w:val="22"/>
              </w:rPr>
              <w:t xml:space="preserve">В настоящем документе </w:t>
            </w:r>
            <w:proofErr w:type="spellStart"/>
            <w:r w:rsidRPr="00122FA3">
              <w:rPr>
                <w:szCs w:val="22"/>
              </w:rPr>
              <w:t>КГРЭ</w:t>
            </w:r>
            <w:proofErr w:type="spellEnd"/>
            <w:r w:rsidRPr="00122FA3">
              <w:rPr>
                <w:szCs w:val="22"/>
              </w:rPr>
              <w:t xml:space="preserve"> представляется информация о выводах отчета под названием "</w:t>
            </w:r>
            <w:r w:rsidRPr="00122FA3">
              <w:rPr>
                <w:i/>
                <w:iCs/>
                <w:szCs w:val="22"/>
              </w:rPr>
              <w:t>Ситуационный анализ и оценка потребностей малых островных развивающихся стран Тихого океана (</w:t>
            </w:r>
            <w:proofErr w:type="spellStart"/>
            <w:r w:rsidRPr="00122FA3">
              <w:rPr>
                <w:i/>
                <w:iCs/>
                <w:szCs w:val="22"/>
              </w:rPr>
              <w:t>СИДС</w:t>
            </w:r>
            <w:proofErr w:type="spellEnd"/>
            <w:r w:rsidRPr="00122FA3">
              <w:rPr>
                <w:i/>
                <w:iCs/>
                <w:szCs w:val="22"/>
              </w:rPr>
              <w:t xml:space="preserve"> Тихоокеанского региона)</w:t>
            </w:r>
            <w:r w:rsidRPr="00122FA3">
              <w:rPr>
                <w:szCs w:val="22"/>
              </w:rPr>
              <w:t>", подготовленного в рамках проекта "</w:t>
            </w:r>
            <w:proofErr w:type="spellStart"/>
            <w:r w:rsidRPr="00122FA3">
              <w:rPr>
                <w:i/>
                <w:iCs/>
                <w:szCs w:val="22"/>
              </w:rPr>
              <w:t>Технико­экономическое</w:t>
            </w:r>
            <w:proofErr w:type="spellEnd"/>
            <w:r w:rsidRPr="00122FA3">
              <w:rPr>
                <w:i/>
                <w:iCs/>
                <w:szCs w:val="22"/>
              </w:rPr>
              <w:t xml:space="preserve"> обоснование </w:t>
            </w:r>
            <w:r w:rsidR="0002061B">
              <w:rPr>
                <w:i/>
                <w:iCs/>
                <w:szCs w:val="22"/>
                <w:lang w:val="en-US"/>
              </w:rPr>
              <w:t>−</w:t>
            </w:r>
            <w:r w:rsidRPr="00122FA3">
              <w:rPr>
                <w:i/>
                <w:iCs/>
                <w:szCs w:val="22"/>
              </w:rPr>
              <w:t xml:space="preserve"> удовлетворение особых потребностей в электросвязи/ИКТ малых островных развивающихся государств Тихого океана (</w:t>
            </w:r>
            <w:proofErr w:type="spellStart"/>
            <w:r w:rsidRPr="00122FA3">
              <w:rPr>
                <w:i/>
                <w:iCs/>
                <w:szCs w:val="22"/>
              </w:rPr>
              <w:t>СИДС</w:t>
            </w:r>
            <w:proofErr w:type="spellEnd"/>
            <w:r w:rsidRPr="00122FA3">
              <w:rPr>
                <w:i/>
                <w:iCs/>
                <w:szCs w:val="22"/>
              </w:rPr>
              <w:t xml:space="preserve"> Тихоокеанского региона)</w:t>
            </w:r>
            <w:r w:rsidRPr="00122FA3">
              <w:rPr>
                <w:szCs w:val="22"/>
              </w:rPr>
              <w:t>", финансируемого Министерством инфраструктуры, транспорта, регионального развития, связи, спорта и искусств (</w:t>
            </w:r>
            <w:proofErr w:type="spellStart"/>
            <w:r w:rsidRPr="00122FA3">
              <w:rPr>
                <w:szCs w:val="22"/>
              </w:rPr>
              <w:t>DITRDCSA</w:t>
            </w:r>
            <w:proofErr w:type="spellEnd"/>
            <w:r w:rsidRPr="00122FA3">
              <w:rPr>
                <w:szCs w:val="22"/>
              </w:rPr>
              <w:t xml:space="preserve">) Австралии и </w:t>
            </w:r>
            <w:proofErr w:type="spellStart"/>
            <w:r w:rsidRPr="00122FA3">
              <w:rPr>
                <w:szCs w:val="22"/>
              </w:rPr>
              <w:t>ФРИКТ</w:t>
            </w:r>
            <w:proofErr w:type="spellEnd"/>
            <w:r w:rsidRPr="00122FA3">
              <w:rPr>
                <w:szCs w:val="22"/>
              </w:rPr>
              <w:t xml:space="preserve"> МСЭ. Настоящий документ был подготовлен в рамках последующей деятельности в связи со вкладом на собрание </w:t>
            </w:r>
            <w:proofErr w:type="spellStart"/>
            <w:r w:rsidRPr="00122FA3">
              <w:rPr>
                <w:szCs w:val="22"/>
              </w:rPr>
              <w:t>КГРЭ</w:t>
            </w:r>
            <w:proofErr w:type="spellEnd"/>
            <w:r w:rsidRPr="00122FA3">
              <w:rPr>
                <w:szCs w:val="22"/>
              </w:rPr>
              <w:t xml:space="preserve"> 2025 года (</w:t>
            </w:r>
            <w:proofErr w:type="spellStart"/>
            <w:r w:rsidRPr="00122FA3">
              <w:rPr>
                <w:szCs w:val="22"/>
              </w:rPr>
              <w:fldChar w:fldCharType="begin"/>
            </w:r>
            <w:r w:rsidRPr="00122FA3">
              <w:rPr>
                <w:szCs w:val="22"/>
              </w:rPr>
              <w:instrText xml:space="preserve"> HYPERLINK "https://www.itu.int/md/D22-TDAG32-C-0046/" </w:instrText>
            </w:r>
            <w:r w:rsidRPr="00122FA3">
              <w:rPr>
                <w:szCs w:val="22"/>
              </w:rPr>
              <w:fldChar w:fldCharType="separate"/>
            </w:r>
            <w:r w:rsidRPr="00122FA3">
              <w:rPr>
                <w:rStyle w:val="Hyperlink"/>
                <w:szCs w:val="22"/>
              </w:rPr>
              <w:t>TDAG</w:t>
            </w:r>
            <w:proofErr w:type="spellEnd"/>
            <w:r w:rsidRPr="00122FA3">
              <w:rPr>
                <w:rStyle w:val="Hyperlink"/>
                <w:szCs w:val="22"/>
              </w:rPr>
              <w:t>-25/46(</w:t>
            </w:r>
            <w:proofErr w:type="spellStart"/>
            <w:r w:rsidRPr="00122FA3">
              <w:rPr>
                <w:rStyle w:val="Hyperlink"/>
                <w:szCs w:val="22"/>
              </w:rPr>
              <w:t>Rev.1</w:t>
            </w:r>
            <w:proofErr w:type="spellEnd"/>
            <w:r w:rsidRPr="00122FA3">
              <w:rPr>
                <w:rStyle w:val="Hyperlink"/>
                <w:szCs w:val="22"/>
              </w:rPr>
              <w:t>)</w:t>
            </w:r>
            <w:r w:rsidRPr="00122FA3">
              <w:rPr>
                <w:szCs w:val="22"/>
              </w:rPr>
              <w:fldChar w:fldCharType="end"/>
            </w:r>
            <w:r w:rsidRPr="00122FA3">
              <w:rPr>
                <w:szCs w:val="22"/>
              </w:rPr>
              <w:t>).</w:t>
            </w:r>
          </w:p>
          <w:p w14:paraId="404BE8A6" w14:textId="77777777" w:rsidR="005E032D" w:rsidRPr="0002061B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02061B">
              <w:rPr>
                <w:szCs w:val="22"/>
                <w:lang w:val="ru-RU"/>
              </w:rPr>
              <w:t>Необходимые действия</w:t>
            </w:r>
          </w:p>
          <w:p w14:paraId="6BDE7AFA" w14:textId="5EA2522B" w:rsidR="001E252D" w:rsidRPr="0002061B" w:rsidRDefault="00122FA3" w:rsidP="00EB4AE6">
            <w:pPr>
              <w:rPr>
                <w:szCs w:val="22"/>
              </w:rPr>
            </w:pPr>
            <w:proofErr w:type="spellStart"/>
            <w:r w:rsidRPr="0002061B">
              <w:rPr>
                <w:szCs w:val="22"/>
              </w:rPr>
              <w:t>КГРЭ</w:t>
            </w:r>
            <w:proofErr w:type="spellEnd"/>
            <w:r w:rsidRPr="0002061B">
              <w:rPr>
                <w:szCs w:val="22"/>
              </w:rPr>
              <w:t xml:space="preserve"> предлагается принять настоящий отчет к сведению и дать соответствующие руководящие указания.</w:t>
            </w:r>
          </w:p>
          <w:p w14:paraId="5120B5FD" w14:textId="41E15B9D" w:rsidR="001E252D" w:rsidRPr="0002061B" w:rsidRDefault="004A3CDF" w:rsidP="00EB4AE6">
            <w:pPr>
              <w:rPr>
                <w:b/>
                <w:bCs/>
                <w:szCs w:val="22"/>
              </w:rPr>
            </w:pPr>
            <w:r w:rsidRPr="0002061B">
              <w:rPr>
                <w:b/>
                <w:bCs/>
                <w:szCs w:val="22"/>
              </w:rPr>
              <w:t>Справочные материалы</w:t>
            </w:r>
          </w:p>
          <w:p w14:paraId="43FAD5E6" w14:textId="77777777" w:rsidR="00122FA3" w:rsidRPr="00122FA3" w:rsidRDefault="00122FA3" w:rsidP="00122FA3">
            <w:pPr>
              <w:rPr>
                <w:szCs w:val="22"/>
              </w:rPr>
            </w:pPr>
            <w:hyperlink r:id="rId12" w:history="1">
              <w:proofErr w:type="spellStart"/>
              <w:r w:rsidRPr="00122FA3">
                <w:rPr>
                  <w:rStyle w:val="Hyperlink"/>
                  <w:szCs w:val="22"/>
                </w:rPr>
                <w:t>TDAG</w:t>
              </w:r>
              <w:proofErr w:type="spellEnd"/>
              <w:r w:rsidRPr="00122FA3">
                <w:rPr>
                  <w:rStyle w:val="Hyperlink"/>
                  <w:szCs w:val="22"/>
                </w:rPr>
                <w:t>-26/2</w:t>
              </w:r>
            </w:hyperlink>
          </w:p>
          <w:p w14:paraId="08ECB7B8" w14:textId="77777777" w:rsidR="00122FA3" w:rsidRPr="00122FA3" w:rsidRDefault="00122FA3" w:rsidP="00122FA3">
            <w:pPr>
              <w:rPr>
                <w:szCs w:val="22"/>
              </w:rPr>
            </w:pPr>
            <w:hyperlink r:id="rId13" w:history="1">
              <w:proofErr w:type="spellStart"/>
              <w:r w:rsidRPr="00122FA3">
                <w:rPr>
                  <w:rStyle w:val="Hyperlink"/>
                  <w:szCs w:val="22"/>
                </w:rPr>
                <w:t>TDAG</w:t>
              </w:r>
              <w:proofErr w:type="spellEnd"/>
              <w:r w:rsidRPr="00122FA3">
                <w:rPr>
                  <w:rStyle w:val="Hyperlink"/>
                  <w:szCs w:val="22"/>
                </w:rPr>
                <w:t>-25/46(</w:t>
              </w:r>
              <w:proofErr w:type="spellStart"/>
              <w:r w:rsidRPr="00122FA3">
                <w:rPr>
                  <w:rStyle w:val="Hyperlink"/>
                  <w:szCs w:val="22"/>
                </w:rPr>
                <w:t>Rev.1</w:t>
              </w:r>
              <w:proofErr w:type="spellEnd"/>
              <w:r w:rsidRPr="00122FA3">
                <w:rPr>
                  <w:rStyle w:val="Hyperlink"/>
                  <w:szCs w:val="22"/>
                </w:rPr>
                <w:t>)</w:t>
              </w:r>
            </w:hyperlink>
          </w:p>
          <w:p w14:paraId="6EF29DC6" w14:textId="7C50B52E" w:rsidR="001E252D" w:rsidRPr="0002061B" w:rsidRDefault="00122FA3" w:rsidP="00122FA3">
            <w:pPr>
              <w:spacing w:after="120"/>
            </w:pPr>
            <w:r w:rsidRPr="0002061B">
              <w:rPr>
                <w:szCs w:val="22"/>
              </w:rPr>
              <w:t xml:space="preserve">Резолюция 94 (Баку, 2025 г.) "Поддержка цифровой трансформации островных государств Тихого океана в соответствии с </w:t>
            </w:r>
            <w:proofErr w:type="spellStart"/>
            <w:r w:rsidRPr="0002061B">
              <w:rPr>
                <w:szCs w:val="22"/>
              </w:rPr>
              <w:t>Лагатойской</w:t>
            </w:r>
            <w:proofErr w:type="spellEnd"/>
            <w:r w:rsidRPr="0002061B">
              <w:rPr>
                <w:szCs w:val="22"/>
              </w:rPr>
              <w:t xml:space="preserve"> декларацией"</w:t>
            </w:r>
          </w:p>
        </w:tc>
      </w:tr>
      <w:bookmarkEnd w:id="6"/>
      <w:bookmarkEnd w:id="7"/>
    </w:tbl>
    <w:p w14:paraId="30707726" w14:textId="04BED4D4" w:rsidR="00075C63" w:rsidRPr="0002061B" w:rsidRDefault="00075C63" w:rsidP="00E64779">
      <w:pPr>
        <w:rPr>
          <w:szCs w:val="24"/>
        </w:rPr>
      </w:pPr>
      <w:r w:rsidRPr="0002061B">
        <w:rPr>
          <w:szCs w:val="24"/>
        </w:rPr>
        <w:br w:type="page"/>
      </w:r>
    </w:p>
    <w:p w14:paraId="1A6C30B1" w14:textId="6E642233" w:rsidR="00122FA3" w:rsidRPr="0002061B" w:rsidRDefault="00122FA3" w:rsidP="00122FA3">
      <w:pPr>
        <w:pStyle w:val="Heading1"/>
      </w:pPr>
      <w:r w:rsidRPr="0002061B">
        <w:lastRenderedPageBreak/>
        <w:t>1</w:t>
      </w:r>
      <w:r w:rsidRPr="0002061B">
        <w:tab/>
      </w:r>
      <w:r w:rsidRPr="0002061B">
        <w:t>Базовая информация</w:t>
      </w:r>
    </w:p>
    <w:p w14:paraId="4394ABF3" w14:textId="37A37D43" w:rsidR="00122FA3" w:rsidRPr="00122FA3" w:rsidRDefault="00122FA3" w:rsidP="00122FA3">
      <w:r w:rsidRPr="00122FA3">
        <w:t>К субрегиону малых островных развивающихся государств Тихого океана (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региона), отличающемуся географической разобщенностью, относятся территории Азиатско-Тихоокеанского региона, совокупная площадь суши которых составляет порядка 500</w:t>
      </w:r>
      <w:r w:rsidR="0002061B">
        <w:rPr>
          <w:lang w:val="en-US"/>
        </w:rPr>
        <w:t> </w:t>
      </w:r>
      <w:r w:rsidRPr="00122FA3">
        <w:t>000</w:t>
      </w:r>
      <w:r w:rsidR="0002061B">
        <w:rPr>
          <w:lang w:val="en-US"/>
        </w:rPr>
        <w:t> </w:t>
      </w:r>
      <w:r w:rsidRPr="00122FA3">
        <w:t>кв.</w:t>
      </w:r>
      <w:r w:rsidR="0002061B">
        <w:rPr>
          <w:lang w:val="en-US"/>
        </w:rPr>
        <w:t> </w:t>
      </w:r>
      <w:r w:rsidRPr="00122FA3">
        <w:t xml:space="preserve">км, население </w:t>
      </w:r>
      <w:r w:rsidR="0002061B">
        <w:rPr>
          <w:lang w:val="en-US"/>
        </w:rPr>
        <w:t>−</w:t>
      </w:r>
      <w:r w:rsidRPr="00122FA3">
        <w:t xml:space="preserve"> свыше 12 млн. человек, а их акватория, простирающаяся на шесть часовых поясов, достигает примерно 30 млн кв. км. Небольшие размеры, удаленность и разбросанность этих островов создают уникальные проблемы для развития, особенно в сфере электросвязи и цифровой инфраструктуры. На сохранение разрыва в цифровых технологиях во всем Тихоокеанском субрегионе влияют высокие затраты на инфраструктуру и транспортные перевозки, ограниченная экономия за счет масштаба, подверженность стихийным бедствиям и изменению климата, а также уязвимость перед внешними экономическими потрясениями.</w:t>
      </w:r>
    </w:p>
    <w:p w14:paraId="39956537" w14:textId="77777777" w:rsidR="00122FA3" w:rsidRPr="00122FA3" w:rsidRDefault="00122FA3" w:rsidP="00122FA3">
      <w:r w:rsidRPr="00122FA3">
        <w:t xml:space="preserve">Эти структурные ограничения усугубляются недостаточным институциональным и кадровым потенциалом в органах государственного управления и более широкой местной экосистеме. Участию в региональных и глобальных дискуссиях по вопросам политики также часто мешают затраты, </w:t>
      </w:r>
      <w:proofErr w:type="spellStart"/>
      <w:r w:rsidRPr="00122FA3">
        <w:t>временны́е</w:t>
      </w:r>
      <w:proofErr w:type="spellEnd"/>
      <w:r w:rsidRPr="00122FA3">
        <w:t xml:space="preserve"> и логистические проблемы, связанные с поездками, что еще больше ограничивает доступ к обмену знаниями и знакомству с появляющимися технологическими разработками.</w:t>
      </w:r>
    </w:p>
    <w:p w14:paraId="3358C3F3" w14:textId="77777777" w:rsidR="00122FA3" w:rsidRPr="00122FA3" w:rsidRDefault="00122FA3" w:rsidP="00122FA3">
      <w:r w:rsidRPr="00122FA3">
        <w:t xml:space="preserve">В связи с этим в 2023 году министрами ИКТ стран Тихоокеанского региона была принята </w:t>
      </w:r>
      <w:proofErr w:type="spellStart"/>
      <w:r w:rsidRPr="00122FA3">
        <w:t>Лагатойская</w:t>
      </w:r>
      <w:proofErr w:type="spellEnd"/>
      <w:r w:rsidRPr="00122FA3">
        <w:t xml:space="preserve"> декларация, содержащая обращение "...</w:t>
      </w:r>
      <w:r w:rsidRPr="00122FA3">
        <w:rPr>
          <w:i/>
          <w:iCs/>
        </w:rPr>
        <w:t>к МСЭ и другим партнерам по развитию с призывом укрепить понимание особенностей Тихоокеанского региона, увеличить взаимодействие и присутствие в регионе, а также расширить сотрудничество в области мобилизации ресурсов для оказания поддержки тихоокеанским островным государствам и территориям</w:t>
      </w:r>
      <w:r w:rsidRPr="00122FA3">
        <w:t>"</w:t>
      </w:r>
      <w:r w:rsidRPr="00122FA3">
        <w:rPr>
          <w:i/>
          <w:iCs/>
        </w:rPr>
        <w:t xml:space="preserve">. </w:t>
      </w:r>
      <w:r w:rsidRPr="00122FA3">
        <w:t xml:space="preserve">Необходимость дальнейшей и расширенной поддержки 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 со стороны МСЭ также подчеркивается в новой Резолюции 94 (Баку, 2025 г.) </w:t>
      </w:r>
      <w:proofErr w:type="spellStart"/>
      <w:r w:rsidRPr="00122FA3">
        <w:t>ВКРЭ</w:t>
      </w:r>
      <w:proofErr w:type="spellEnd"/>
      <w:r w:rsidRPr="00122FA3">
        <w:t xml:space="preserve"> "Поддержка цифровой трансформации островных государств Тихого океана в соответствии с </w:t>
      </w:r>
      <w:proofErr w:type="spellStart"/>
      <w:r w:rsidRPr="00122FA3">
        <w:t>Лагатойской</w:t>
      </w:r>
      <w:proofErr w:type="spellEnd"/>
      <w:r w:rsidRPr="00122FA3">
        <w:t xml:space="preserve"> декларацией".</w:t>
      </w:r>
    </w:p>
    <w:p w14:paraId="6F621A5D" w14:textId="2634C92B" w:rsidR="00122FA3" w:rsidRPr="00122FA3" w:rsidRDefault="00122FA3" w:rsidP="00122FA3">
      <w:r w:rsidRPr="00122FA3">
        <w:t>Вышеупомянутый проект в настоящее время реализуется (с января 2024 г. по июнь 2026</w:t>
      </w:r>
      <w:r w:rsidR="0002061B">
        <w:rPr>
          <w:lang w:val="en-US"/>
        </w:rPr>
        <w:t> </w:t>
      </w:r>
      <w:r w:rsidRPr="00122FA3">
        <w:t>г.) в</w:t>
      </w:r>
      <w:r w:rsidR="0002061B">
        <w:rPr>
          <w:lang w:val="en-US"/>
        </w:rPr>
        <w:t> </w:t>
      </w:r>
      <w:r w:rsidRPr="00122FA3">
        <w:t>12</w:t>
      </w:r>
      <w:r w:rsidR="0002061B">
        <w:rPr>
          <w:lang w:val="en-US"/>
        </w:rPr>
        <w:t> </w:t>
      </w:r>
      <w:r w:rsidRPr="00122FA3">
        <w:t xml:space="preserve">Государствах – Членах МСЭ из числа 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 и направлен на обеспечение лучшего понимания их общих потребностей и потребностей конкретных стран в области электросвязи/ИКТ и цифровой трансформации, оценку адекватности существующих механизмов поддержки и реалистичных моделей расширенной и устойчивой поддержки в субрегионе.</w:t>
      </w:r>
    </w:p>
    <w:p w14:paraId="219A60DE" w14:textId="67C8661C" w:rsidR="00122FA3" w:rsidRPr="0002061B" w:rsidRDefault="00122FA3" w:rsidP="00122FA3">
      <w:pPr>
        <w:pStyle w:val="Heading1"/>
      </w:pPr>
      <w:r w:rsidRPr="0002061B">
        <w:t>2</w:t>
      </w:r>
      <w:r w:rsidRPr="0002061B">
        <w:tab/>
      </w:r>
      <w:r w:rsidRPr="0002061B">
        <w:t>Методика, использованная при подготовке отчета о ситуационном анализе и оценке потребностей</w:t>
      </w:r>
    </w:p>
    <w:p w14:paraId="3A82DA86" w14:textId="77777777" w:rsidR="00122FA3" w:rsidRPr="00122FA3" w:rsidRDefault="00122FA3" w:rsidP="00122FA3">
      <w:r w:rsidRPr="00122FA3">
        <w:t xml:space="preserve">Результатом проекта стал ситуационный анализ и оценка потребностей, призванные ответить на вопрос о том, каковы масштабы, степень и характер социально-экономических проблем и возможностей, с которыми сталкиваются 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 на пути к инклюзивной и устойчивой цифровой трансформации.</w:t>
      </w:r>
    </w:p>
    <w:p w14:paraId="49061128" w14:textId="7A5582FA" w:rsidR="00122FA3" w:rsidRPr="00122FA3" w:rsidRDefault="00122FA3" w:rsidP="00122FA3">
      <w:r w:rsidRPr="00122FA3">
        <w:t>Для того чтобы ответить на этот вопрос, были использованы качественные и количественные методы, а также сбор и анализ первичных и вторичных данных. Помимо кабинетного исследования, в 2024</w:t>
      </w:r>
      <w:r w:rsidR="0002061B">
        <w:rPr>
          <w:lang w:val="en-US"/>
        </w:rPr>
        <w:t> </w:t>
      </w:r>
      <w:r w:rsidRPr="00122FA3">
        <w:t xml:space="preserve">году были проведены анкетирование с помощью вопросников и последующие интервью с координаторами по вопросам 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региона. Результаты были представлены на субрегиональном семинаре-практикуме, состоявшемся в Суве, Фиджи, в феврале 2025 года. За этим последовали дополнительные консультации и раунды пересмотров, что привело к завершению работы над отчетом в первом квартале 2026 года.</w:t>
      </w:r>
    </w:p>
    <w:p w14:paraId="08CD1A81" w14:textId="6B7CB978" w:rsidR="00122FA3" w:rsidRPr="0002061B" w:rsidRDefault="00122FA3" w:rsidP="00122FA3">
      <w:pPr>
        <w:pStyle w:val="Heading1"/>
      </w:pPr>
      <w:r w:rsidRPr="0002061B">
        <w:lastRenderedPageBreak/>
        <w:t>3</w:t>
      </w:r>
      <w:r w:rsidRPr="0002061B">
        <w:tab/>
      </w:r>
      <w:r w:rsidRPr="0002061B">
        <w:t>Краткое изложение выводов</w:t>
      </w:r>
    </w:p>
    <w:p w14:paraId="3F7E7AB7" w14:textId="77777777" w:rsidR="00122FA3" w:rsidRPr="00122FA3" w:rsidRDefault="00122FA3" w:rsidP="0002061B">
      <w:pPr>
        <w:keepLines/>
      </w:pPr>
      <w:r w:rsidRPr="00122FA3">
        <w:t xml:space="preserve">Анализ ситуации указывает на обнадеживающий прогресс, достигнутый 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 в области цифрового развития, которое набирает устойчивые темпы. Ряд стран развивает национальные стратегии в области ИКТ, инициативы цифрового правительства и системы кибербезопасности, опираясь на растущее субрегиональное и международное сотрудничество.</w:t>
      </w:r>
    </w:p>
    <w:p w14:paraId="72368CA1" w14:textId="77777777" w:rsidR="00122FA3" w:rsidRPr="00122FA3" w:rsidRDefault="00122FA3" w:rsidP="00122FA3">
      <w:r w:rsidRPr="00122FA3">
        <w:t xml:space="preserve">Наряду с этим сохраняются глубоко укоренившиеся вызовы, обусловленные географической удаленностью, уязвимостью инфраструктуры, высокой стоимостью обслуживания, нехваткой квалифицированных кадров и фрагментарным характером регулирования. Эти проблемы препятствуют равноправному доступу к надежным и приемлемым в ценовом отношении услугам в области ИКТ, особенно в сельских и отдаленных сообществах. </w:t>
      </w:r>
    </w:p>
    <w:p w14:paraId="31BDE7A3" w14:textId="77777777" w:rsidR="00122FA3" w:rsidRPr="00122FA3" w:rsidRDefault="00122FA3" w:rsidP="00122FA3">
      <w:r w:rsidRPr="00122FA3">
        <w:t xml:space="preserve">Возможности подключения сдерживаются пробелами в базовой инфраструктуре, включая низкое и неравномерное распространение широкополосной связи, зависимость от одиночных подводных кабелей и ограниченный доступ в сельских районах. Низкий уровень приемлемости в ценовом отношении остается серьезным барьером, при этом стоимость интернета значительно превышает глобальные целевые показатели и поглощает непропорционально большую долю доходов домохозяйств в некоторых странах. Фрагментарное регулирование и ограниченная согласованность между юрисдикциями еще больше препятствуют частным инвестициям и осложняют региональное сотрудничество. </w:t>
      </w:r>
    </w:p>
    <w:p w14:paraId="5D6C2876" w14:textId="77777777" w:rsidR="00122FA3" w:rsidRPr="00122FA3" w:rsidRDefault="00122FA3" w:rsidP="00122FA3">
      <w:r w:rsidRPr="00122FA3">
        <w:t xml:space="preserve">Ограниченный потенциал усугубляет цифровой разрыв. Оценка показывает, что большинство </w:t>
      </w:r>
      <w:proofErr w:type="spellStart"/>
      <w:r w:rsidRPr="00122FA3">
        <w:t>СИДС</w:t>
      </w:r>
      <w:proofErr w:type="spellEnd"/>
      <w:r w:rsidRPr="00122FA3">
        <w:t xml:space="preserve"> в Тихоокеанском регионе сталкиваются с нехваткой квалифицированных специалистов в области ИКТ и ограниченным институциональным потенциалом, что сказывается на развитии и поддержании цифровых услуг. Готовность к кибербезопасности слабая, системы управления электронными отходами недостаточно развиты, а цифровая инфраструктура крайне уязвима к потрясениям, связанным с климатом. Эти проблемы усугубляются высокими капитальными затратами, финансовой зависимостью от внешней поддержки и неравномерным прогрессом в области услуг цифрового правительства, где при наличии человеческого капитала часто не хватает систем, способствующих эффективному предоставлению услуг.</w:t>
      </w:r>
    </w:p>
    <w:p w14:paraId="19592550" w14:textId="77777777" w:rsidR="00122FA3" w:rsidRPr="00122FA3" w:rsidRDefault="00122FA3" w:rsidP="00122FA3">
      <w:r w:rsidRPr="00122FA3">
        <w:t xml:space="preserve">В отчете отмечается, что несмотря на эти ограничения цифровая трансформация широко признается в качестве важнейшего фактора, способствующего устойчивому развитию, и отмечается обнадеживающий прогресс, достигнутый 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региона: неуклонно расширяется охват технологиями подвижной связи и использование интернета, и многие страны разрабатывают, среди прочего, стратегии цифровой трансформации, цифровые государственные услуги и системы кибербезопасности. </w:t>
      </w:r>
    </w:p>
    <w:p w14:paraId="0BF93DDD" w14:textId="77777777" w:rsidR="00122FA3" w:rsidRPr="00122FA3" w:rsidRDefault="00122FA3" w:rsidP="00122FA3">
      <w:r w:rsidRPr="00122FA3">
        <w:t xml:space="preserve">Для реализации открытого для всех и устойчивого цифрового будущего неизбежно потребуются устойчивые инвестиции и сотрудничество, согласованная политика и решения с учетом конкретных условий, которые отражают уникальные реалии 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региона. При целенаправленной поддержке и скоординированных действиях 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 могут трансформировать структурные ограничения в движущие силы инноваций и устойчивости. </w:t>
      </w:r>
    </w:p>
    <w:p w14:paraId="73C70BEB" w14:textId="77777777" w:rsidR="00122FA3" w:rsidRPr="00122FA3" w:rsidRDefault="00122FA3" w:rsidP="00122FA3">
      <w:r w:rsidRPr="00122FA3">
        <w:t xml:space="preserve">По мере того как цифровые потребности 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 становятся все более сложными, все чаще зависят от климатических рисков, стихийных бедствий, появляющихся технологий и растущих ожиданий общественности, заинтересованные стороны все шире признают ценность более интегрированной, адаптированной к субрегиональному и национальному уровню модели предоставления обслуживания для достижения большего эффекта с учетом разных часовых поясов.</w:t>
      </w:r>
    </w:p>
    <w:p w14:paraId="36211EE6" w14:textId="77777777" w:rsidR="00122FA3" w:rsidRPr="00122FA3" w:rsidRDefault="00122FA3" w:rsidP="00122FA3">
      <w:r w:rsidRPr="00122FA3">
        <w:lastRenderedPageBreak/>
        <w:t xml:space="preserve">Эта позиция отражает консенсус, достигнутый странами Тихоокеанского региона, и положения принятых ими итоговых документов, главным образом </w:t>
      </w:r>
      <w:proofErr w:type="spellStart"/>
      <w:r w:rsidRPr="00122FA3">
        <w:t>Лагатойской</w:t>
      </w:r>
      <w:proofErr w:type="spellEnd"/>
      <w:r w:rsidRPr="00122FA3">
        <w:t xml:space="preserve"> декларации</w:t>
      </w:r>
      <w:r w:rsidRPr="00122FA3">
        <w:rPr>
          <w:rStyle w:val="FootnoteReference"/>
        </w:rPr>
        <w:footnoteReference w:id="2"/>
      </w:r>
      <w:r w:rsidRPr="00122FA3">
        <w:t>, которая была принята в 2023 году министрами ИКТ стран Тихоокеанского региона и в которой содержится призыв к партнерам, включая МСЭ, усилить свое присутствие и углубить взаимодействие в Тихоокеанском регионе. Это дает четкое основание для изучения возможностей расширения и обеспечения устойчивости механизмов поддержки в субрегионе.</w:t>
      </w:r>
    </w:p>
    <w:p w14:paraId="2FAB2004" w14:textId="77777777" w:rsidR="00122FA3" w:rsidRPr="00122FA3" w:rsidRDefault="00122FA3" w:rsidP="00122FA3">
      <w:r w:rsidRPr="00122FA3">
        <w:t xml:space="preserve">Субрегиональный подход, координация и сотрудничество обеспечивают более жизнеспособный и экономически эффективный путь продвижения вперед к решению проблем и использованию возможностей, уникальных для Тихоокеанского региона. Применение комплексного подхода в Тихоокеанском регионе полностью согласуется с концепцией, изложенной в </w:t>
      </w:r>
      <w:proofErr w:type="spellStart"/>
      <w:r w:rsidRPr="00122FA3">
        <w:t>Лагатойской</w:t>
      </w:r>
      <w:proofErr w:type="spellEnd"/>
      <w:r w:rsidRPr="00122FA3">
        <w:t xml:space="preserve"> декларации. </w:t>
      </w:r>
    </w:p>
    <w:p w14:paraId="52F817B6" w14:textId="7059C311" w:rsidR="00122FA3" w:rsidRPr="00122FA3" w:rsidRDefault="00122FA3" w:rsidP="00122FA3">
      <w:r w:rsidRPr="00122FA3">
        <w:t>В таблице</w:t>
      </w:r>
      <w:r w:rsidR="000E7C58">
        <w:rPr>
          <w:lang w:val="en-US"/>
        </w:rPr>
        <w:t>,</w:t>
      </w:r>
      <w:r w:rsidRPr="00122FA3">
        <w:t xml:space="preserve"> ниже</w:t>
      </w:r>
      <w:r w:rsidR="000E7C58">
        <w:rPr>
          <w:lang w:val="en-US"/>
        </w:rPr>
        <w:t>,</w:t>
      </w:r>
      <w:r w:rsidRPr="00122FA3">
        <w:t xml:space="preserve"> приведена краткая информация о выявленных потребностях </w:t>
      </w:r>
      <w:proofErr w:type="spellStart"/>
      <w:r w:rsidRPr="00122FA3">
        <w:t>СИДС</w:t>
      </w:r>
      <w:proofErr w:type="spellEnd"/>
      <w:r w:rsidRPr="00122FA3">
        <w:t xml:space="preserve"> Тихоокеанского региона.</w:t>
      </w:r>
    </w:p>
    <w:p w14:paraId="2ECBA0AA" w14:textId="009DAD40" w:rsidR="00CE66E4" w:rsidRPr="0002061B" w:rsidRDefault="00122FA3" w:rsidP="00122FA3">
      <w:r w:rsidRPr="0002061B">
        <w:br w:type="page"/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20" w:firstRow="1" w:lastRow="0" w:firstColumn="0" w:lastColumn="0" w:noHBand="0" w:noVBand="1"/>
      </w:tblPr>
      <w:tblGrid>
        <w:gridCol w:w="2527"/>
        <w:gridCol w:w="2128"/>
        <w:gridCol w:w="2551"/>
        <w:gridCol w:w="2387"/>
      </w:tblGrid>
      <w:tr w:rsidR="000E7C58" w:rsidRPr="000E7C58" w14:paraId="000D9268" w14:textId="77777777" w:rsidTr="0021117C">
        <w:trPr>
          <w:trHeight w:val="975"/>
        </w:trPr>
        <w:tc>
          <w:tcPr>
            <w:tcW w:w="25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CD6"/>
            <w:tcMar>
              <w:top w:w="12" w:type="dxa"/>
              <w:left w:w="12" w:type="dxa"/>
              <w:right w:w="12" w:type="dxa"/>
            </w:tcMar>
            <w:vAlign w:val="center"/>
          </w:tcPr>
          <w:p w14:paraId="25BE6B6A" w14:textId="4BC8F888" w:rsidR="00CA6A49" w:rsidRPr="000E7C58" w:rsidRDefault="00CA6A49" w:rsidP="0002061B">
            <w:pPr>
              <w:pStyle w:val="Tablehead"/>
              <w:rPr>
                <w:color w:val="FFFFFF" w:themeColor="background1"/>
                <w:szCs w:val="24"/>
              </w:rPr>
            </w:pPr>
            <w:r w:rsidRPr="000E7C58">
              <w:rPr>
                <w:color w:val="FFFFFF" w:themeColor="background1"/>
              </w:rPr>
              <w:lastRenderedPageBreak/>
              <w:t>Обобщенная информация о</w:t>
            </w:r>
            <w:r w:rsidR="00A04516">
              <w:rPr>
                <w:color w:val="FFFFFF" w:themeColor="background1"/>
                <w:lang w:val="en-US"/>
              </w:rPr>
              <w:t> </w:t>
            </w:r>
            <w:r w:rsidRPr="000E7C58">
              <w:rPr>
                <w:color w:val="FFFFFF" w:themeColor="background1"/>
              </w:rPr>
              <w:t xml:space="preserve">потребностях </w:t>
            </w:r>
            <w:proofErr w:type="spellStart"/>
            <w:r w:rsidRPr="000E7C58">
              <w:rPr>
                <w:color w:val="FFFFFF" w:themeColor="background1"/>
              </w:rPr>
              <w:t>СИДС</w:t>
            </w:r>
            <w:proofErr w:type="spellEnd"/>
            <w:r w:rsidRPr="000E7C58">
              <w:rPr>
                <w:color w:val="FFFFFF" w:themeColor="background1"/>
              </w:rPr>
              <w:t xml:space="preserve"> Тихоокеанского региона в</w:t>
            </w:r>
            <w:r w:rsidR="00A04516">
              <w:rPr>
                <w:color w:val="FFFFFF" w:themeColor="background1"/>
                <w:lang w:val="en-US"/>
              </w:rPr>
              <w:t> </w:t>
            </w:r>
            <w:r w:rsidRPr="000E7C58">
              <w:rPr>
                <w:color w:val="FFFFFF" w:themeColor="background1"/>
              </w:rPr>
              <w:t>области ИКТ</w:t>
            </w:r>
          </w:p>
        </w:tc>
        <w:tc>
          <w:tcPr>
            <w:tcW w:w="21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CD6"/>
            <w:tcMar>
              <w:top w:w="12" w:type="dxa"/>
              <w:left w:w="12" w:type="dxa"/>
              <w:right w:w="12" w:type="dxa"/>
            </w:tcMar>
            <w:vAlign w:val="center"/>
          </w:tcPr>
          <w:p w14:paraId="152B7EBA" w14:textId="77F35F75" w:rsidR="00CA6A49" w:rsidRPr="000E7C58" w:rsidRDefault="00CA6A49" w:rsidP="0002061B">
            <w:pPr>
              <w:pStyle w:val="Tablehead"/>
              <w:rPr>
                <w:color w:val="FFFFFF" w:themeColor="background1"/>
                <w:szCs w:val="24"/>
              </w:rPr>
            </w:pPr>
            <w:r w:rsidRPr="000E7C58">
              <w:rPr>
                <w:color w:val="FFFFFF" w:themeColor="background1"/>
              </w:rPr>
              <w:t xml:space="preserve">Программные направления </w:t>
            </w:r>
            <w:r w:rsidR="00A04516">
              <w:rPr>
                <w:color w:val="FFFFFF" w:themeColor="background1"/>
              </w:rPr>
              <w:br/>
            </w:r>
            <w:r w:rsidRPr="000E7C58">
              <w:rPr>
                <w:color w:val="FFFFFF" w:themeColor="background1"/>
              </w:rPr>
              <w:t>работы</w:t>
            </w:r>
          </w:p>
        </w:tc>
        <w:tc>
          <w:tcPr>
            <w:tcW w:w="255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CD6"/>
            <w:tcMar>
              <w:top w:w="15" w:type="dxa"/>
              <w:left w:w="114" w:type="dxa"/>
              <w:right w:w="114" w:type="dxa"/>
            </w:tcMar>
            <w:vAlign w:val="center"/>
          </w:tcPr>
          <w:p w14:paraId="3E173885" w14:textId="03FE9842" w:rsidR="00CA6A49" w:rsidRPr="000E7C58" w:rsidRDefault="00CA6A49" w:rsidP="0002061B">
            <w:pPr>
              <w:pStyle w:val="Tablehead"/>
              <w:rPr>
                <w:color w:val="FFFFFF" w:themeColor="background1"/>
                <w:szCs w:val="24"/>
              </w:rPr>
            </w:pPr>
            <w:r w:rsidRPr="000E7C58">
              <w:rPr>
                <w:color w:val="FFFFFF" w:themeColor="background1"/>
              </w:rPr>
              <w:t>Тематические приоритеты/средства достижения целей МСЭ</w:t>
            </w:r>
            <w:r w:rsidR="0002061B" w:rsidRPr="000E7C58">
              <w:rPr>
                <w:color w:val="FFFFFF" w:themeColor="background1"/>
              </w:rPr>
              <w:br/>
            </w:r>
            <w:r w:rsidRPr="000E7C58">
              <w:rPr>
                <w:color w:val="FFFFFF" w:themeColor="background1"/>
              </w:rPr>
              <w:t>(Стратегический план МСЭ)</w:t>
            </w:r>
          </w:p>
        </w:tc>
        <w:tc>
          <w:tcPr>
            <w:tcW w:w="2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CD6"/>
            <w:tcMar>
              <w:top w:w="15" w:type="dxa"/>
              <w:left w:w="114" w:type="dxa"/>
              <w:right w:w="114" w:type="dxa"/>
            </w:tcMar>
            <w:vAlign w:val="center"/>
          </w:tcPr>
          <w:p w14:paraId="1BE01EE2" w14:textId="77777777" w:rsidR="00CA6A49" w:rsidRPr="000E7C58" w:rsidRDefault="00CA6A49" w:rsidP="0002061B">
            <w:pPr>
              <w:pStyle w:val="Tablehead"/>
              <w:rPr>
                <w:color w:val="FFFFFF" w:themeColor="background1"/>
                <w:szCs w:val="24"/>
              </w:rPr>
            </w:pPr>
            <w:r w:rsidRPr="000E7C58">
              <w:rPr>
                <w:color w:val="FFFFFF" w:themeColor="background1"/>
              </w:rPr>
              <w:t>Приоритеты МСЭ-D</w:t>
            </w:r>
          </w:p>
        </w:tc>
      </w:tr>
      <w:tr w:rsidR="0021117C" w:rsidRPr="00A04516" w14:paraId="4D4D31B4" w14:textId="77777777" w:rsidTr="0021117C">
        <w:trPr>
          <w:trHeight w:val="420"/>
        </w:trPr>
        <w:tc>
          <w:tcPr>
            <w:tcW w:w="2527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DEDEDE"/>
            <w:tcMar>
              <w:top w:w="12" w:type="dxa"/>
              <w:left w:w="12" w:type="dxa"/>
              <w:right w:w="12" w:type="dxa"/>
            </w:tcMar>
            <w:vAlign w:val="center"/>
          </w:tcPr>
          <w:p w14:paraId="23B64C24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Основополагающая инфраструктура</w:t>
            </w:r>
          </w:p>
        </w:tc>
        <w:tc>
          <w:tcPr>
            <w:tcW w:w="2128" w:type="dxa"/>
            <w:vMerge w:val="restart"/>
            <w:tcBorders>
              <w:top w:val="single" w:sz="18" w:space="0" w:color="FFFFFF" w:themeColor="background1"/>
            </w:tcBorders>
            <w:shd w:val="clear" w:color="auto" w:fill="DEDEDE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14:paraId="2393C8F0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Содействие обеспечению реальной возможности установления соединений</w:t>
            </w:r>
          </w:p>
        </w:tc>
        <w:tc>
          <w:tcPr>
            <w:tcW w:w="2551" w:type="dxa"/>
            <w:vMerge w:val="restart"/>
            <w:tcBorders>
              <w:top w:val="single" w:sz="18" w:space="0" w:color="FFFFFF" w:themeColor="background1"/>
            </w:tcBorders>
            <w:shd w:val="clear" w:color="auto" w:fill="DEDEDE"/>
            <w:tcMar>
              <w:top w:w="15" w:type="dxa"/>
              <w:left w:w="117" w:type="dxa"/>
              <w:right w:w="117" w:type="dxa"/>
            </w:tcMar>
            <w:vAlign w:val="center"/>
          </w:tcPr>
          <w:p w14:paraId="779067B7" w14:textId="41D7F04A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Инклюзивная и</w:t>
            </w:r>
            <w:r w:rsidR="00A04516">
              <w:rPr>
                <w:lang w:val="en-US"/>
              </w:rPr>
              <w:t> </w:t>
            </w:r>
            <w:r w:rsidRPr="00A04516">
              <w:t>защищенная инфраструктура и услуги в</w:t>
            </w:r>
            <w:r w:rsidR="00A04516">
              <w:rPr>
                <w:lang w:val="en-US"/>
              </w:rPr>
              <w:t> </w:t>
            </w:r>
            <w:r w:rsidRPr="00A04516">
              <w:t>области электросвязи/</w:t>
            </w:r>
            <w:r w:rsidR="00A04516">
              <w:br/>
            </w:r>
            <w:r w:rsidRPr="00A04516">
              <w:t>ИКТ</w:t>
            </w:r>
          </w:p>
        </w:tc>
        <w:tc>
          <w:tcPr>
            <w:tcW w:w="2387" w:type="dxa"/>
            <w:vMerge w:val="restart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DEDEDE"/>
            <w:tcMar>
              <w:top w:w="15" w:type="dxa"/>
              <w:left w:w="117" w:type="dxa"/>
              <w:right w:w="117" w:type="dxa"/>
            </w:tcMar>
            <w:vAlign w:val="center"/>
          </w:tcPr>
          <w:p w14:paraId="79E7D116" w14:textId="3DE23E81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Возможность установления приемлемых в</w:t>
            </w:r>
            <w:r w:rsidR="00A04516">
              <w:rPr>
                <w:lang w:val="en-US"/>
              </w:rPr>
              <w:t> </w:t>
            </w:r>
            <w:r w:rsidRPr="00A04516">
              <w:t>ценовом отношении соединений</w:t>
            </w:r>
          </w:p>
        </w:tc>
      </w:tr>
      <w:tr w:rsidR="0021117C" w:rsidRPr="00A04516" w14:paraId="74855504" w14:textId="77777777" w:rsidTr="0021117C">
        <w:trPr>
          <w:trHeight w:val="765"/>
        </w:trPr>
        <w:tc>
          <w:tcPr>
            <w:tcW w:w="2527" w:type="dxa"/>
            <w:tcBorders>
              <w:left w:val="single" w:sz="18" w:space="0" w:color="FFFFFF" w:themeColor="background1"/>
            </w:tcBorders>
            <w:shd w:val="clear" w:color="auto" w:fill="DEDEDE"/>
            <w:tcMar>
              <w:top w:w="12" w:type="dxa"/>
              <w:left w:w="12" w:type="dxa"/>
              <w:right w:w="12" w:type="dxa"/>
            </w:tcMar>
            <w:vAlign w:val="center"/>
          </w:tcPr>
          <w:p w14:paraId="257891D8" w14:textId="75FFC8C9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Приемлемость в ценовом отношении и потребности в</w:t>
            </w:r>
            <w:r w:rsidR="00A04516">
              <w:rPr>
                <w:lang w:val="en-US"/>
              </w:rPr>
              <w:t> </w:t>
            </w:r>
            <w:r w:rsidRPr="00A04516">
              <w:t>доступе к подключению</w:t>
            </w:r>
          </w:p>
        </w:tc>
        <w:tc>
          <w:tcPr>
            <w:tcW w:w="2128" w:type="dxa"/>
            <w:vMerge/>
            <w:vAlign w:val="center"/>
          </w:tcPr>
          <w:p w14:paraId="1D7FE1F0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551" w:type="dxa"/>
            <w:vMerge/>
            <w:vAlign w:val="center"/>
          </w:tcPr>
          <w:p w14:paraId="4E0B7F31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38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2A1B4DD3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</w:tr>
      <w:tr w:rsidR="0021117C" w:rsidRPr="00A04516" w14:paraId="31FED177" w14:textId="77777777" w:rsidTr="0021117C">
        <w:trPr>
          <w:trHeight w:val="765"/>
        </w:trPr>
        <w:tc>
          <w:tcPr>
            <w:tcW w:w="2527" w:type="dxa"/>
            <w:tcBorders>
              <w:left w:val="single" w:sz="18" w:space="0" w:color="FFFFFF" w:themeColor="background1"/>
            </w:tcBorders>
            <w:shd w:val="clear" w:color="auto" w:fill="DEDEDE"/>
            <w:tcMar>
              <w:top w:w="12" w:type="dxa"/>
              <w:left w:w="12" w:type="dxa"/>
              <w:right w:w="12" w:type="dxa"/>
            </w:tcMar>
            <w:vAlign w:val="center"/>
          </w:tcPr>
          <w:p w14:paraId="3A1B7197" w14:textId="6BC89A86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Вопросы политики, регулирования и</w:t>
            </w:r>
            <w:r w:rsidR="00A04516">
              <w:rPr>
                <w:lang w:val="en-US"/>
              </w:rPr>
              <w:t> </w:t>
            </w:r>
            <w:r w:rsidRPr="00A04516">
              <w:t>управления</w:t>
            </w:r>
          </w:p>
        </w:tc>
        <w:tc>
          <w:tcPr>
            <w:tcW w:w="2128" w:type="dxa"/>
            <w:vMerge/>
            <w:vAlign w:val="center"/>
          </w:tcPr>
          <w:p w14:paraId="49E18080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551" w:type="dxa"/>
            <w:shd w:val="clear" w:color="auto" w:fill="DEDEDE"/>
            <w:tcMar>
              <w:top w:w="15" w:type="dxa"/>
              <w:left w:w="114" w:type="dxa"/>
              <w:right w:w="114" w:type="dxa"/>
            </w:tcMar>
            <w:vAlign w:val="center"/>
          </w:tcPr>
          <w:p w14:paraId="6B0B95C0" w14:textId="2F82CCC9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Использование спектра для космических и</w:t>
            </w:r>
            <w:r w:rsidR="00A04516">
              <w:rPr>
                <w:lang w:val="en-US"/>
              </w:rPr>
              <w:t> </w:t>
            </w:r>
            <w:r w:rsidRPr="00A04516">
              <w:t>наземных служб</w:t>
            </w:r>
          </w:p>
        </w:tc>
        <w:tc>
          <w:tcPr>
            <w:tcW w:w="2387" w:type="dxa"/>
            <w:vMerge w:val="restart"/>
            <w:tcBorders>
              <w:right w:val="single" w:sz="18" w:space="0" w:color="FFFFFF" w:themeColor="background1"/>
            </w:tcBorders>
            <w:shd w:val="clear" w:color="auto" w:fill="DEDEDE"/>
            <w:tcMar>
              <w:top w:w="15" w:type="dxa"/>
              <w:left w:w="114" w:type="dxa"/>
              <w:right w:w="114" w:type="dxa"/>
            </w:tcMar>
            <w:vAlign w:val="center"/>
          </w:tcPr>
          <w:p w14:paraId="367CCC21" w14:textId="61CC01BD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Благоприятная политическая и</w:t>
            </w:r>
            <w:r w:rsidR="00A04516">
              <w:rPr>
                <w:lang w:val="en-US"/>
              </w:rPr>
              <w:t> </w:t>
            </w:r>
            <w:r w:rsidRPr="00A04516">
              <w:t xml:space="preserve">регуляторная среда </w:t>
            </w:r>
          </w:p>
          <w:p w14:paraId="6CAFDEAF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Цифровая трансформация (среда)</w:t>
            </w:r>
          </w:p>
        </w:tc>
      </w:tr>
      <w:tr w:rsidR="0021117C" w:rsidRPr="00A04516" w14:paraId="6E9D591A" w14:textId="77777777" w:rsidTr="0021117C">
        <w:trPr>
          <w:trHeight w:val="810"/>
        </w:trPr>
        <w:tc>
          <w:tcPr>
            <w:tcW w:w="2527" w:type="dxa"/>
            <w:vMerge w:val="restart"/>
            <w:tcBorders>
              <w:left w:val="single" w:sz="18" w:space="0" w:color="FFFFFF" w:themeColor="background1"/>
            </w:tcBorders>
            <w:shd w:val="clear" w:color="auto" w:fill="DEDEDE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14:paraId="17B69FAB" w14:textId="585F82AF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Устойчивость к</w:t>
            </w:r>
            <w:r w:rsidR="00A04516">
              <w:rPr>
                <w:lang w:val="en-US"/>
              </w:rPr>
              <w:t> </w:t>
            </w:r>
            <w:r w:rsidRPr="00A04516">
              <w:t>воздействию окружающей среды и</w:t>
            </w:r>
            <w:r w:rsidR="00A04516">
              <w:rPr>
                <w:lang w:val="en-US"/>
              </w:rPr>
              <w:t> </w:t>
            </w:r>
            <w:r w:rsidRPr="00A04516">
              <w:t>изменению климата</w:t>
            </w:r>
          </w:p>
        </w:tc>
        <w:tc>
          <w:tcPr>
            <w:tcW w:w="2128" w:type="dxa"/>
            <w:vMerge/>
            <w:vAlign w:val="center"/>
          </w:tcPr>
          <w:p w14:paraId="54182A01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551" w:type="dxa"/>
            <w:shd w:val="clear" w:color="auto" w:fill="DEDEDE"/>
            <w:tcMar>
              <w:top w:w="15" w:type="dxa"/>
              <w:left w:w="114" w:type="dxa"/>
              <w:right w:w="114" w:type="dxa"/>
            </w:tcMar>
            <w:vAlign w:val="center"/>
          </w:tcPr>
          <w:p w14:paraId="3E103BC2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Благоприятная окружающая среда</w:t>
            </w:r>
          </w:p>
        </w:tc>
        <w:tc>
          <w:tcPr>
            <w:tcW w:w="238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0FD161B0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</w:tr>
      <w:tr w:rsidR="0021117C" w:rsidRPr="00A04516" w14:paraId="330830B1" w14:textId="77777777" w:rsidTr="0021117C">
        <w:trPr>
          <w:trHeight w:val="405"/>
        </w:trPr>
        <w:tc>
          <w:tcPr>
            <w:tcW w:w="2527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2570352E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128" w:type="dxa"/>
            <w:vMerge/>
            <w:tcBorders>
              <w:bottom w:val="single" w:sz="18" w:space="0" w:color="FFFFFF" w:themeColor="background1"/>
            </w:tcBorders>
            <w:vAlign w:val="center"/>
          </w:tcPr>
          <w:p w14:paraId="5CB4ED91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551" w:type="dxa"/>
            <w:tcBorders>
              <w:bottom w:val="single" w:sz="18" w:space="0" w:color="FFFFFF" w:themeColor="background1"/>
            </w:tcBorders>
            <w:shd w:val="clear" w:color="auto" w:fill="DEDEDE"/>
            <w:tcMar>
              <w:top w:w="15" w:type="dxa"/>
              <w:left w:w="114" w:type="dxa"/>
              <w:right w:w="114" w:type="dxa"/>
            </w:tcMar>
            <w:vAlign w:val="center"/>
          </w:tcPr>
          <w:p w14:paraId="240AB4EF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Ресурс международной нумерации</w:t>
            </w:r>
          </w:p>
        </w:tc>
        <w:tc>
          <w:tcPr>
            <w:tcW w:w="2387" w:type="dxa"/>
            <w:vMerge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9CC05D2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</w:tr>
      <w:tr w:rsidR="0021117C" w:rsidRPr="00A04516" w14:paraId="076C04A0" w14:textId="77777777" w:rsidTr="0021117C">
        <w:trPr>
          <w:trHeight w:val="645"/>
        </w:trPr>
        <w:tc>
          <w:tcPr>
            <w:tcW w:w="2527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C9C9C9"/>
            <w:tcMar>
              <w:top w:w="12" w:type="dxa"/>
              <w:left w:w="12" w:type="dxa"/>
              <w:right w:w="12" w:type="dxa"/>
            </w:tcMar>
            <w:vAlign w:val="center"/>
          </w:tcPr>
          <w:p w14:paraId="5C40C340" w14:textId="2B7911C4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Кибербезопасность и</w:t>
            </w:r>
            <w:r w:rsidR="00A04516">
              <w:rPr>
                <w:lang w:val="en-US"/>
              </w:rPr>
              <w:t> </w:t>
            </w:r>
            <w:r w:rsidRPr="00A04516">
              <w:t>цифровая устойчивость</w:t>
            </w:r>
          </w:p>
        </w:tc>
        <w:tc>
          <w:tcPr>
            <w:tcW w:w="2128" w:type="dxa"/>
            <w:vMerge w:val="restart"/>
            <w:tcBorders>
              <w:top w:val="single" w:sz="18" w:space="0" w:color="FFFFFF" w:themeColor="background1"/>
            </w:tcBorders>
            <w:shd w:val="clear" w:color="auto" w:fill="C9C9C9"/>
            <w:tcMar>
              <w:top w:w="12" w:type="dxa"/>
              <w:left w:w="12" w:type="dxa"/>
              <w:right w:w="12" w:type="dxa"/>
            </w:tcMar>
            <w:vAlign w:val="center"/>
          </w:tcPr>
          <w:p w14:paraId="3B8F5CFF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Содействие цифровой трансформации</w:t>
            </w:r>
          </w:p>
        </w:tc>
        <w:tc>
          <w:tcPr>
            <w:tcW w:w="2551" w:type="dxa"/>
            <w:vMerge w:val="restart"/>
            <w:tcBorders>
              <w:top w:val="single" w:sz="18" w:space="0" w:color="FFFFFF" w:themeColor="background1"/>
            </w:tcBorders>
            <w:shd w:val="clear" w:color="auto" w:fill="C9C9C9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14:paraId="05EF67F3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Цифровые приложения</w:t>
            </w:r>
          </w:p>
        </w:tc>
        <w:tc>
          <w:tcPr>
            <w:tcW w:w="2387" w:type="dxa"/>
            <w:vMerge w:val="restart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C9C9C9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14:paraId="4C73896D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Цифровая трансформация</w:t>
            </w:r>
          </w:p>
        </w:tc>
      </w:tr>
      <w:tr w:rsidR="0021117C" w:rsidRPr="00A04516" w14:paraId="2E37F47C" w14:textId="77777777" w:rsidTr="0021117C">
        <w:trPr>
          <w:trHeight w:val="915"/>
        </w:trPr>
        <w:tc>
          <w:tcPr>
            <w:tcW w:w="2527" w:type="dxa"/>
            <w:tcBorders>
              <w:left w:val="single" w:sz="18" w:space="0" w:color="FFFFFF" w:themeColor="background1"/>
            </w:tcBorders>
            <w:shd w:val="clear" w:color="auto" w:fill="C9C9C9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14:paraId="55FA226D" w14:textId="6BF2F9A8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Цифровое правительство и</w:t>
            </w:r>
            <w:r w:rsidR="00A04516">
              <w:rPr>
                <w:lang w:val="en-US"/>
              </w:rPr>
              <w:t> </w:t>
            </w:r>
            <w:r w:rsidRPr="00A04516">
              <w:t>цифровые услуги</w:t>
            </w:r>
          </w:p>
        </w:tc>
        <w:tc>
          <w:tcPr>
            <w:tcW w:w="2128" w:type="dxa"/>
            <w:vMerge/>
            <w:vAlign w:val="center"/>
          </w:tcPr>
          <w:p w14:paraId="78078131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551" w:type="dxa"/>
            <w:vMerge/>
            <w:vAlign w:val="center"/>
          </w:tcPr>
          <w:p w14:paraId="52F42D96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38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7C85A5D6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</w:tr>
      <w:tr w:rsidR="0021117C" w:rsidRPr="00A04516" w14:paraId="3405A4D7" w14:textId="77777777" w:rsidTr="0021117C">
        <w:trPr>
          <w:trHeight w:val="1125"/>
        </w:trPr>
        <w:tc>
          <w:tcPr>
            <w:tcW w:w="2527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C9C9C9"/>
            <w:tcMar>
              <w:top w:w="12" w:type="dxa"/>
              <w:left w:w="12" w:type="dxa"/>
              <w:right w:w="12" w:type="dxa"/>
            </w:tcMar>
            <w:vAlign w:val="center"/>
          </w:tcPr>
          <w:p w14:paraId="33AB08B2" w14:textId="2E1F1AA4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Создание потенциала и</w:t>
            </w:r>
            <w:r w:rsidR="00A04516">
              <w:rPr>
                <w:lang w:val="en-US"/>
              </w:rPr>
              <w:t> </w:t>
            </w:r>
            <w:r w:rsidRPr="00A04516">
              <w:t>человеческий капитал</w:t>
            </w:r>
          </w:p>
        </w:tc>
        <w:tc>
          <w:tcPr>
            <w:tcW w:w="2128" w:type="dxa"/>
            <w:vMerge/>
            <w:tcBorders>
              <w:bottom w:val="single" w:sz="18" w:space="0" w:color="FFFFFF" w:themeColor="background1"/>
            </w:tcBorders>
            <w:vAlign w:val="center"/>
          </w:tcPr>
          <w:p w14:paraId="437971BA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551" w:type="dxa"/>
            <w:vMerge/>
            <w:tcBorders>
              <w:bottom w:val="single" w:sz="18" w:space="0" w:color="FFFFFF" w:themeColor="background1"/>
            </w:tcBorders>
            <w:vAlign w:val="center"/>
          </w:tcPr>
          <w:p w14:paraId="250CB6FA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387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9C9C9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14:paraId="73D45674" w14:textId="6B5CF646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Инклюзивная, безопасная и</w:t>
            </w:r>
            <w:r w:rsidR="00A04516">
              <w:rPr>
                <w:lang w:val="en-US"/>
              </w:rPr>
              <w:t> </w:t>
            </w:r>
            <w:r w:rsidRPr="00A04516">
              <w:t>защищенная электросвязь/ИКТ для</w:t>
            </w:r>
            <w:r w:rsidR="00A04516">
              <w:rPr>
                <w:lang w:val="en-US"/>
              </w:rPr>
              <w:t> </w:t>
            </w:r>
            <w:r w:rsidRPr="00A04516">
              <w:t>устойчивого развития</w:t>
            </w:r>
          </w:p>
        </w:tc>
      </w:tr>
      <w:tr w:rsidR="0021117C" w:rsidRPr="00A04516" w14:paraId="31A2C451" w14:textId="77777777" w:rsidTr="0021117C">
        <w:trPr>
          <w:trHeight w:val="810"/>
        </w:trPr>
        <w:tc>
          <w:tcPr>
            <w:tcW w:w="2527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" w:space="0" w:color="FFFFFF" w:themeColor="background1"/>
            </w:tcBorders>
            <w:shd w:val="clear" w:color="auto" w:fill="DEDEDE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14:paraId="579199F4" w14:textId="192A816B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Субрегиональное сотрудничество и</w:t>
            </w:r>
            <w:r w:rsidR="00A04516">
              <w:rPr>
                <w:lang w:val="en-US"/>
              </w:rPr>
              <w:t> </w:t>
            </w:r>
            <w:r w:rsidRPr="00A04516">
              <w:t>участие партнеров</w:t>
            </w:r>
          </w:p>
        </w:tc>
        <w:tc>
          <w:tcPr>
            <w:tcW w:w="2128" w:type="dxa"/>
            <w:vMerge w:val="restart"/>
            <w:tcBorders>
              <w:top w:val="single" w:sz="18" w:space="0" w:color="FFFFFF" w:themeColor="background1"/>
            </w:tcBorders>
            <w:shd w:val="clear" w:color="auto" w:fill="DEDEDE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14:paraId="07CC1B48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Укрепление субрегионального сотрудничества</w:t>
            </w:r>
          </w:p>
        </w:tc>
        <w:tc>
          <w:tcPr>
            <w:tcW w:w="2551" w:type="dxa"/>
            <w:tcBorders>
              <w:top w:val="single" w:sz="18" w:space="0" w:color="FFFFFF" w:themeColor="background1"/>
            </w:tcBorders>
            <w:shd w:val="clear" w:color="auto" w:fill="DEDEDE"/>
            <w:tcMar>
              <w:top w:w="15" w:type="dxa"/>
              <w:left w:w="114" w:type="dxa"/>
              <w:right w:w="114" w:type="dxa"/>
            </w:tcMar>
            <w:vAlign w:val="center"/>
          </w:tcPr>
          <w:p w14:paraId="3C3F5360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Региональное присутствие</w:t>
            </w:r>
          </w:p>
        </w:tc>
        <w:tc>
          <w:tcPr>
            <w:tcW w:w="2387" w:type="dxa"/>
            <w:vMerge w:val="restart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DEDEDE"/>
            <w:tcMar>
              <w:top w:w="15" w:type="dxa"/>
              <w:left w:w="114" w:type="dxa"/>
              <w:right w:w="114" w:type="dxa"/>
            </w:tcMar>
            <w:vAlign w:val="center"/>
          </w:tcPr>
          <w:p w14:paraId="646E68E2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Мобилизация ресурсов и международное сотрудничество</w:t>
            </w:r>
          </w:p>
          <w:p w14:paraId="61A27D03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 xml:space="preserve">Региональное присутствие </w:t>
            </w:r>
          </w:p>
        </w:tc>
      </w:tr>
      <w:tr w:rsidR="0021117C" w:rsidRPr="00A04516" w14:paraId="310F5861" w14:textId="77777777" w:rsidTr="0021117C">
        <w:trPr>
          <w:trHeight w:val="780"/>
        </w:trPr>
        <w:tc>
          <w:tcPr>
            <w:tcW w:w="2527" w:type="dxa"/>
            <w:vMerge/>
            <w:tcBorders>
              <w:left w:val="single" w:sz="18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C52244D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128" w:type="dxa"/>
            <w:vMerge/>
            <w:vAlign w:val="center"/>
          </w:tcPr>
          <w:p w14:paraId="064785C1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551" w:type="dxa"/>
            <w:vMerge w:val="restart"/>
            <w:shd w:val="clear" w:color="auto" w:fill="DEDEDE"/>
            <w:tcMar>
              <w:top w:w="15" w:type="dxa"/>
              <w:left w:w="114" w:type="dxa"/>
              <w:right w:w="114" w:type="dxa"/>
            </w:tcMar>
            <w:vAlign w:val="center"/>
          </w:tcPr>
          <w:p w14:paraId="00E2E02F" w14:textId="3FE431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Партнерства и</w:t>
            </w:r>
            <w:r w:rsidR="00A04516">
              <w:rPr>
                <w:lang w:val="en-US"/>
              </w:rPr>
              <w:t> </w:t>
            </w:r>
            <w:r w:rsidRPr="00A04516">
              <w:t>международное сотрудничество</w:t>
            </w:r>
          </w:p>
        </w:tc>
        <w:tc>
          <w:tcPr>
            <w:tcW w:w="238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1ABF1EDA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</w:tr>
      <w:tr w:rsidR="0021117C" w:rsidRPr="00A04516" w14:paraId="3254B7BD" w14:textId="77777777" w:rsidTr="0021117C">
        <w:trPr>
          <w:trHeight w:val="1071"/>
        </w:trPr>
        <w:tc>
          <w:tcPr>
            <w:tcW w:w="2527" w:type="dxa"/>
            <w:vMerge w:val="restart"/>
            <w:tcBorders>
              <w:top w:val="single" w:sz="2" w:space="0" w:color="FFFFFF" w:themeColor="background1"/>
              <w:left w:val="single" w:sz="18" w:space="0" w:color="FFFFFF" w:themeColor="background1"/>
              <w:bottom w:val="nil"/>
            </w:tcBorders>
            <w:shd w:val="clear" w:color="auto" w:fill="DEDEDE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14:paraId="34BE55A5" w14:textId="127643CE" w:rsidR="00CA6A49" w:rsidRPr="00A04516" w:rsidRDefault="00CA6A49" w:rsidP="00A04516">
            <w:pPr>
              <w:pStyle w:val="Tabletext"/>
              <w:ind w:left="57" w:right="57"/>
            </w:pPr>
            <w:r w:rsidRPr="00A04516">
              <w:t>Финансирование устойчивости и</w:t>
            </w:r>
            <w:r w:rsidR="00A04516">
              <w:rPr>
                <w:lang w:val="en-US"/>
              </w:rPr>
              <w:t> </w:t>
            </w:r>
            <w:r w:rsidRPr="00A04516">
              <w:t>мобилизация ресурсов для</w:t>
            </w:r>
            <w:r w:rsidR="00A04516">
              <w:rPr>
                <w:lang w:val="en-US"/>
              </w:rPr>
              <w:t> </w:t>
            </w:r>
            <w:r w:rsidRPr="00A04516">
              <w:t>удовлетворения потребностей в</w:t>
            </w:r>
            <w:r w:rsidR="00A04516">
              <w:rPr>
                <w:lang w:val="en-US"/>
              </w:rPr>
              <w:t> </w:t>
            </w:r>
            <w:r w:rsidRPr="00A04516">
              <w:t>устойчивом развитии</w:t>
            </w:r>
          </w:p>
        </w:tc>
        <w:tc>
          <w:tcPr>
            <w:tcW w:w="2128" w:type="dxa"/>
            <w:vMerge/>
            <w:vAlign w:val="center"/>
          </w:tcPr>
          <w:p w14:paraId="04E87951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551" w:type="dxa"/>
            <w:vMerge/>
            <w:vAlign w:val="center"/>
          </w:tcPr>
          <w:p w14:paraId="6582D680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38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676BEC4A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</w:tr>
      <w:tr w:rsidR="0021117C" w:rsidRPr="00A04516" w14:paraId="160E2386" w14:textId="77777777" w:rsidTr="0021117C">
        <w:trPr>
          <w:trHeight w:val="735"/>
        </w:trPr>
        <w:tc>
          <w:tcPr>
            <w:tcW w:w="2527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</w:tcBorders>
            <w:vAlign w:val="center"/>
          </w:tcPr>
          <w:p w14:paraId="771993DD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128" w:type="dxa"/>
            <w:vMerge/>
            <w:tcBorders>
              <w:bottom w:val="nil"/>
            </w:tcBorders>
            <w:vAlign w:val="center"/>
          </w:tcPr>
          <w:p w14:paraId="2B4A8D0F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DEDEDE"/>
            <w:tcMar>
              <w:top w:w="15" w:type="dxa"/>
              <w:left w:w="114" w:type="dxa"/>
              <w:right w:w="114" w:type="dxa"/>
            </w:tcMar>
            <w:vAlign w:val="center"/>
          </w:tcPr>
          <w:p w14:paraId="66123105" w14:textId="77777777" w:rsidR="00CA6A49" w:rsidRPr="00A04516" w:rsidRDefault="00CA6A49" w:rsidP="00A04516">
            <w:pPr>
              <w:pStyle w:val="Tabletext"/>
              <w:ind w:left="57" w:right="57"/>
            </w:pPr>
            <w:r w:rsidRPr="00A04516">
              <w:t>Мобилизация ресурсов</w:t>
            </w:r>
          </w:p>
        </w:tc>
        <w:tc>
          <w:tcPr>
            <w:tcW w:w="2387" w:type="dxa"/>
            <w:vMerge/>
            <w:tcBorders>
              <w:bottom w:val="nil"/>
              <w:right w:val="single" w:sz="18" w:space="0" w:color="FFFFFF" w:themeColor="background1"/>
            </w:tcBorders>
            <w:vAlign w:val="center"/>
          </w:tcPr>
          <w:p w14:paraId="62EF6BF9" w14:textId="77777777" w:rsidR="00CA6A49" w:rsidRPr="00A04516" w:rsidRDefault="00CA6A49" w:rsidP="00A04516">
            <w:pPr>
              <w:pStyle w:val="Tabletext"/>
              <w:ind w:left="57" w:right="57"/>
            </w:pPr>
          </w:p>
        </w:tc>
      </w:tr>
    </w:tbl>
    <w:p w14:paraId="5348E6D0" w14:textId="2DE2AB85" w:rsidR="00CE66E4" w:rsidRPr="0002061B" w:rsidRDefault="00CE66E4" w:rsidP="0021117C">
      <w:pPr>
        <w:spacing w:before="480"/>
        <w:jc w:val="center"/>
      </w:pPr>
      <w:r w:rsidRPr="0002061B">
        <w:t>______________</w:t>
      </w:r>
    </w:p>
    <w:sectPr w:rsidR="00CE66E4" w:rsidRPr="0002061B" w:rsidSect="00FC1EC2">
      <w:headerReference w:type="default" r:id="rId14"/>
      <w:footerReference w:type="first" r:id="rId15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23C6" w14:textId="77777777" w:rsidR="001833E1" w:rsidRDefault="001833E1">
      <w:r>
        <w:separator/>
      </w:r>
    </w:p>
    <w:p w14:paraId="7D9213EE" w14:textId="77777777" w:rsidR="001833E1" w:rsidRDefault="001833E1"/>
  </w:endnote>
  <w:endnote w:type="continuationSeparator" w:id="0">
    <w:p w14:paraId="50974636" w14:textId="77777777" w:rsidR="001833E1" w:rsidRDefault="001833E1">
      <w:r>
        <w:continuationSeparator/>
      </w:r>
    </w:p>
    <w:p w14:paraId="566D74CF" w14:textId="77777777" w:rsidR="001833E1" w:rsidRDefault="001833E1"/>
  </w:endnote>
  <w:endnote w:type="continuationNotice" w:id="1">
    <w:p w14:paraId="36DCC394" w14:textId="77777777" w:rsidR="001833E1" w:rsidRDefault="001833E1">
      <w:pPr>
        <w:spacing w:before="0"/>
      </w:pPr>
    </w:p>
    <w:p w14:paraId="4E47CAAC" w14:textId="77777777" w:rsidR="001833E1" w:rsidRDefault="00183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122FA3" w:rsidRPr="00122FA3" w14:paraId="1B414EE2" w14:textId="77777777" w:rsidTr="00122FA3">
      <w:tc>
        <w:tcPr>
          <w:tcW w:w="1526" w:type="dxa"/>
          <w:tcBorders>
            <w:top w:val="single" w:sz="4" w:space="0" w:color="000000" w:themeColor="text1"/>
          </w:tcBorders>
        </w:tcPr>
        <w:p w14:paraId="300F1366" w14:textId="77777777" w:rsidR="00122FA3" w:rsidRPr="00122FA3" w:rsidRDefault="00122FA3" w:rsidP="00122FA3">
          <w:pPr>
            <w:pStyle w:val="FirstFooter"/>
            <w:rPr>
              <w:sz w:val="18"/>
              <w:szCs w:val="18"/>
            </w:rPr>
          </w:pPr>
          <w:r w:rsidRPr="00122FA3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4D680DDD" w14:textId="77777777" w:rsidR="00122FA3" w:rsidRPr="00122FA3" w:rsidRDefault="00122FA3" w:rsidP="00122FA3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122FA3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07C95991" w14:textId="29CD4FA3" w:rsidR="00122FA3" w:rsidRPr="00122FA3" w:rsidRDefault="00122FA3" w:rsidP="00122FA3">
          <w:pPr>
            <w:pStyle w:val="FirstFooter"/>
            <w:rPr>
              <w:sz w:val="18"/>
              <w:szCs w:val="18"/>
              <w:lang w:val="en-US"/>
            </w:rPr>
          </w:pPr>
          <w:r w:rsidRPr="00122FA3">
            <w:rPr>
              <w:sz w:val="18"/>
              <w:szCs w:val="18"/>
            </w:rPr>
            <w:t xml:space="preserve">г-жа </w:t>
          </w:r>
          <w:proofErr w:type="spellStart"/>
          <w:r w:rsidRPr="00122FA3">
            <w:rPr>
              <w:sz w:val="18"/>
              <w:szCs w:val="18"/>
            </w:rPr>
            <w:t>Арчана</w:t>
          </w:r>
          <w:proofErr w:type="spellEnd"/>
          <w:r w:rsidRPr="00122FA3">
            <w:rPr>
              <w:sz w:val="18"/>
              <w:szCs w:val="18"/>
            </w:rPr>
            <w:t xml:space="preserve"> </w:t>
          </w:r>
          <w:proofErr w:type="spellStart"/>
          <w:r w:rsidRPr="00122FA3">
            <w:rPr>
              <w:sz w:val="18"/>
              <w:szCs w:val="18"/>
            </w:rPr>
            <w:t>Гулати</w:t>
          </w:r>
          <w:proofErr w:type="spellEnd"/>
          <w:r w:rsidRPr="00122FA3">
            <w:rPr>
              <w:sz w:val="18"/>
              <w:szCs w:val="18"/>
            </w:rPr>
            <w:t xml:space="preserve"> (</w:t>
          </w:r>
          <w:proofErr w:type="spellStart"/>
          <w:r w:rsidRPr="00122FA3">
            <w:rPr>
              <w:sz w:val="18"/>
              <w:szCs w:val="18"/>
            </w:rPr>
            <w:t>Ms</w:t>
          </w:r>
          <w:proofErr w:type="spellEnd"/>
          <w:r w:rsidRPr="00122FA3">
            <w:rPr>
              <w:sz w:val="18"/>
              <w:szCs w:val="18"/>
            </w:rPr>
            <w:t xml:space="preserve"> </w:t>
          </w:r>
          <w:proofErr w:type="spellStart"/>
          <w:r w:rsidRPr="00122FA3">
            <w:rPr>
              <w:sz w:val="18"/>
              <w:szCs w:val="18"/>
            </w:rPr>
            <w:t>Archana</w:t>
          </w:r>
          <w:proofErr w:type="spellEnd"/>
          <w:r w:rsidRPr="00122FA3">
            <w:rPr>
              <w:sz w:val="18"/>
              <w:szCs w:val="18"/>
            </w:rPr>
            <w:t xml:space="preserve"> </w:t>
          </w:r>
          <w:proofErr w:type="spellStart"/>
          <w:r w:rsidRPr="00122FA3">
            <w:rPr>
              <w:sz w:val="18"/>
              <w:szCs w:val="18"/>
            </w:rPr>
            <w:t>Gulati</w:t>
          </w:r>
          <w:proofErr w:type="spellEnd"/>
          <w:r w:rsidRPr="00122FA3">
            <w:rPr>
              <w:sz w:val="18"/>
              <w:szCs w:val="18"/>
            </w:rPr>
            <w:t>), заместитель Директора Бюро развития электросвязи</w:t>
          </w:r>
        </w:p>
      </w:tc>
      <w:bookmarkStart w:id="8" w:name="OrgName"/>
      <w:bookmarkEnd w:id="8"/>
    </w:tr>
    <w:tr w:rsidR="00122FA3" w:rsidRPr="00122FA3" w14:paraId="5E4AD7CB" w14:textId="77777777" w:rsidTr="00122FA3">
      <w:trPr>
        <w:trHeight w:val="165"/>
      </w:trPr>
      <w:tc>
        <w:tcPr>
          <w:tcW w:w="1526" w:type="dxa"/>
        </w:tcPr>
        <w:p w14:paraId="337BEFD2" w14:textId="77777777" w:rsidR="00122FA3" w:rsidRPr="00122FA3" w:rsidRDefault="00122FA3" w:rsidP="00122FA3">
          <w:pPr>
            <w:pStyle w:val="FirstFooter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34AC1C36" w14:textId="77777777" w:rsidR="00122FA3" w:rsidRPr="00122FA3" w:rsidRDefault="00122FA3" w:rsidP="00122FA3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122FA3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3C9ACD84" w14:textId="4474EA05" w:rsidR="00122FA3" w:rsidRPr="00122FA3" w:rsidRDefault="00122FA3" w:rsidP="00122FA3">
          <w:pPr>
            <w:pStyle w:val="FirstFooter"/>
            <w:rPr>
              <w:sz w:val="18"/>
              <w:szCs w:val="18"/>
              <w:lang w:val="en-US"/>
            </w:rPr>
          </w:pPr>
          <w:r w:rsidRPr="00122FA3">
            <w:rPr>
              <w:sz w:val="18"/>
              <w:szCs w:val="18"/>
            </w:rPr>
            <w:t>+41 22 730 6475</w:t>
          </w:r>
        </w:p>
      </w:tc>
      <w:bookmarkStart w:id="9" w:name="PhoneNo"/>
      <w:bookmarkEnd w:id="9"/>
    </w:tr>
    <w:tr w:rsidR="00122FA3" w:rsidRPr="00122FA3" w14:paraId="0E4D2617" w14:textId="77777777" w:rsidTr="00122FA3">
      <w:tc>
        <w:tcPr>
          <w:tcW w:w="1526" w:type="dxa"/>
        </w:tcPr>
        <w:p w14:paraId="7845751D" w14:textId="77777777" w:rsidR="00122FA3" w:rsidRPr="00122FA3" w:rsidRDefault="00122FA3" w:rsidP="00122FA3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1BAAC8BB" w14:textId="77777777" w:rsidR="00122FA3" w:rsidRPr="00122FA3" w:rsidRDefault="00122FA3" w:rsidP="00122FA3">
          <w:pPr>
            <w:pStyle w:val="FirstFooter"/>
            <w:ind w:left="3010" w:hanging="3010"/>
            <w:rPr>
              <w:sz w:val="18"/>
              <w:szCs w:val="18"/>
            </w:rPr>
          </w:pPr>
          <w:r w:rsidRPr="00122FA3">
            <w:rPr>
              <w:sz w:val="18"/>
              <w:szCs w:val="18"/>
            </w:rPr>
            <w:t>Эл.</w:t>
          </w:r>
          <w:r w:rsidRPr="00122FA3">
            <w:rPr>
              <w:sz w:val="18"/>
              <w:szCs w:val="18"/>
              <w:lang w:val="en-US"/>
            </w:rPr>
            <w:t> </w:t>
          </w:r>
          <w:r w:rsidRPr="00122FA3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1D06CF7E" w14:textId="5442986F" w:rsidR="00122FA3" w:rsidRPr="00122FA3" w:rsidRDefault="00122FA3" w:rsidP="00122FA3">
          <w:pPr>
            <w:pStyle w:val="FirstFooter"/>
            <w:rPr>
              <w:sz w:val="18"/>
              <w:szCs w:val="18"/>
              <w:lang w:val="en-US"/>
            </w:rPr>
          </w:pPr>
          <w:hyperlink r:id="rId1" w:history="1">
            <w:r w:rsidRPr="00122FA3">
              <w:rPr>
                <w:rStyle w:val="Hyperlink"/>
                <w:rFonts w:cstheme="minorHAnsi"/>
                <w:sz w:val="18"/>
                <w:szCs w:val="18"/>
              </w:rPr>
              <w:t>archana.gulati@itu.int</w:t>
            </w:r>
          </w:hyperlink>
        </w:p>
      </w:tc>
      <w:bookmarkStart w:id="10" w:name="Email"/>
      <w:bookmarkEnd w:id="10"/>
    </w:tr>
  </w:tbl>
  <w:p w14:paraId="7B8DD400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F6BA" w14:textId="4CCA3289" w:rsidR="001833E1" w:rsidRPr="0054377E" w:rsidRDefault="00A04516" w:rsidP="000E7C58">
      <w:r>
        <w:t>_______________</w:t>
      </w:r>
    </w:p>
  </w:footnote>
  <w:footnote w:type="continuationSeparator" w:id="0">
    <w:p w14:paraId="2C6DFC5D" w14:textId="77777777" w:rsidR="001833E1" w:rsidRDefault="001833E1" w:rsidP="0054377E">
      <w:pPr>
        <w:spacing w:before="0"/>
      </w:pPr>
      <w:r>
        <w:continuationSeparator/>
      </w:r>
    </w:p>
    <w:p w14:paraId="12773DF3" w14:textId="77777777" w:rsidR="001833E1" w:rsidRDefault="001833E1"/>
  </w:footnote>
  <w:footnote w:type="continuationNotice" w:id="1">
    <w:p w14:paraId="5333320C" w14:textId="77777777" w:rsidR="001833E1" w:rsidRDefault="001833E1">
      <w:pPr>
        <w:spacing w:before="0"/>
      </w:pPr>
    </w:p>
    <w:p w14:paraId="6E13E7A6" w14:textId="77777777" w:rsidR="001833E1" w:rsidRDefault="001833E1"/>
  </w:footnote>
  <w:footnote w:id="2">
    <w:p w14:paraId="717FB007" w14:textId="1180C269" w:rsidR="00122FA3" w:rsidRPr="00683BEF" w:rsidRDefault="00122FA3" w:rsidP="00122FA3">
      <w:pPr>
        <w:pStyle w:val="FootnoteText"/>
        <w:spacing w:before="0"/>
        <w:rPr>
          <w:lang w:val="en-US"/>
        </w:rPr>
      </w:pPr>
      <w:r w:rsidRPr="00122FA3">
        <w:rPr>
          <w:rStyle w:val="FootnoteReference"/>
        </w:rPr>
        <w:footnoteRef/>
      </w:r>
      <w:r>
        <w:tab/>
      </w:r>
      <w:hyperlink r:id="rId1" w:history="1">
        <w:r w:rsidR="00A04516" w:rsidRPr="0010412C">
          <w:rPr>
            <w:rStyle w:val="Hyperlink"/>
          </w:rPr>
          <w:t>https://www.ict.gov.pg/Press%20Statement/Pacific%20ICT%20Ministerial%20Declaration.</w:t>
        </w:r>
        <w:r w:rsidR="00A04516" w:rsidRPr="0010412C">
          <w:rPr>
            <w:rStyle w:val="Hyperlink"/>
          </w:rPr>
          <w:br/>
        </w:r>
        <w:r w:rsidR="00A04516" w:rsidRPr="0010412C">
          <w:rPr>
            <w:rStyle w:val="Hyperlink"/>
          </w:rPr>
          <w:t>%20Monday%2028%20August%202023.%20APEC%20Haus.pdf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1B53" w14:textId="203576F3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proofErr w:type="spellStart"/>
    <w:r w:rsidR="00122FA3" w:rsidRPr="00122FA3">
      <w:rPr>
        <w:sz w:val="20"/>
        <w:lang w:val="es-ES"/>
      </w:rPr>
      <w:t>TDAG</w:t>
    </w:r>
    <w:proofErr w:type="spellEnd"/>
    <w:r w:rsidR="00122FA3" w:rsidRPr="00122FA3">
      <w:rPr>
        <w:sz w:val="20"/>
        <w:lang w:val="es-ES"/>
      </w:rPr>
      <w:t>-2</w:t>
    </w:r>
    <w:r w:rsidR="00122FA3">
      <w:rPr>
        <w:sz w:val="20"/>
        <w:lang w:val="es-ES"/>
      </w:rPr>
      <w:t>6</w:t>
    </w:r>
    <w:r w:rsidR="00122FA3" w:rsidRPr="00122FA3">
      <w:rPr>
        <w:sz w:val="20"/>
        <w:lang w:val="es-ES"/>
      </w:rPr>
      <w:t>/2(</w:t>
    </w:r>
    <w:proofErr w:type="spellStart"/>
    <w:r w:rsidR="00122FA3" w:rsidRPr="00122FA3">
      <w:rPr>
        <w:sz w:val="20"/>
        <w:lang w:val="es-ES"/>
      </w:rPr>
      <w:t>Add.</w:t>
    </w:r>
    <w:proofErr w:type="gramStart"/>
    <w:r w:rsidR="00122FA3" w:rsidRPr="00122FA3">
      <w:rPr>
        <w:sz w:val="20"/>
        <w:lang w:val="es-ES"/>
      </w:rPr>
      <w:t>1</w:t>
    </w:r>
    <w:proofErr w:type="spellEnd"/>
    <w:r w:rsidR="00122FA3" w:rsidRPr="00122FA3">
      <w:rPr>
        <w:sz w:val="20"/>
        <w:lang w:val="es-ES"/>
      </w:rPr>
      <w:t>)(</w:t>
    </w:r>
    <w:proofErr w:type="spellStart"/>
    <w:proofErr w:type="gramEnd"/>
    <w:r w:rsidR="00122FA3" w:rsidRPr="00122FA3">
      <w:rPr>
        <w:sz w:val="20"/>
        <w:lang w:val="es-ES"/>
      </w:rPr>
      <w:t>Ann.1</w:t>
    </w:r>
    <w:proofErr w:type="spellEnd"/>
    <w:r w:rsidR="00122FA3" w:rsidRPr="00122FA3">
      <w:rPr>
        <w:sz w:val="20"/>
        <w:lang w:val="es-ES"/>
      </w:rPr>
      <w:t>)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5" w15:restartNumberingAfterBreak="0">
    <w:nsid w:val="3427AB79"/>
    <w:multiLevelType w:val="hybridMultilevel"/>
    <w:tmpl w:val="EA4269EC"/>
    <w:lvl w:ilvl="0" w:tplc="FEBADFE4">
      <w:start w:val="1"/>
      <w:numFmt w:val="decimal"/>
      <w:lvlText w:val="%1."/>
      <w:lvlJc w:val="left"/>
      <w:pPr>
        <w:ind w:left="720" w:hanging="360"/>
      </w:pPr>
    </w:lvl>
    <w:lvl w:ilvl="1" w:tplc="A7C6D740">
      <w:start w:val="1"/>
      <w:numFmt w:val="lowerLetter"/>
      <w:lvlText w:val="%2."/>
      <w:lvlJc w:val="left"/>
      <w:pPr>
        <w:ind w:left="1440" w:hanging="360"/>
      </w:pPr>
    </w:lvl>
    <w:lvl w:ilvl="2" w:tplc="2D687990">
      <w:start w:val="1"/>
      <w:numFmt w:val="lowerRoman"/>
      <w:lvlText w:val="%3."/>
      <w:lvlJc w:val="right"/>
      <w:pPr>
        <w:ind w:left="2160" w:hanging="180"/>
      </w:pPr>
    </w:lvl>
    <w:lvl w:ilvl="3" w:tplc="20247E34">
      <w:start w:val="1"/>
      <w:numFmt w:val="decimal"/>
      <w:lvlText w:val="%4."/>
      <w:lvlJc w:val="left"/>
      <w:pPr>
        <w:ind w:left="2880" w:hanging="360"/>
      </w:pPr>
    </w:lvl>
    <w:lvl w:ilvl="4" w:tplc="FB50CB6A">
      <w:start w:val="1"/>
      <w:numFmt w:val="lowerLetter"/>
      <w:lvlText w:val="%5."/>
      <w:lvlJc w:val="left"/>
      <w:pPr>
        <w:ind w:left="3600" w:hanging="360"/>
      </w:pPr>
    </w:lvl>
    <w:lvl w:ilvl="5" w:tplc="2E422104">
      <w:start w:val="1"/>
      <w:numFmt w:val="lowerRoman"/>
      <w:lvlText w:val="%6."/>
      <w:lvlJc w:val="right"/>
      <w:pPr>
        <w:ind w:left="4320" w:hanging="180"/>
      </w:pPr>
    </w:lvl>
    <w:lvl w:ilvl="6" w:tplc="E1E219D2">
      <w:start w:val="1"/>
      <w:numFmt w:val="decimal"/>
      <w:lvlText w:val="%7."/>
      <w:lvlJc w:val="left"/>
      <w:pPr>
        <w:ind w:left="5040" w:hanging="360"/>
      </w:pPr>
    </w:lvl>
    <w:lvl w:ilvl="7" w:tplc="D77E789E">
      <w:start w:val="1"/>
      <w:numFmt w:val="lowerLetter"/>
      <w:lvlText w:val="%8."/>
      <w:lvlJc w:val="left"/>
      <w:pPr>
        <w:ind w:left="5760" w:hanging="360"/>
      </w:pPr>
    </w:lvl>
    <w:lvl w:ilvl="8" w:tplc="CCA8EE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1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9"/>
  </w:num>
  <w:num w:numId="4" w16cid:durableId="1830174465">
    <w:abstractNumId w:val="3"/>
  </w:num>
  <w:num w:numId="5" w16cid:durableId="1479105461">
    <w:abstractNumId w:val="31"/>
  </w:num>
  <w:num w:numId="6" w16cid:durableId="869954702">
    <w:abstractNumId w:val="37"/>
  </w:num>
  <w:num w:numId="7" w16cid:durableId="444734477">
    <w:abstractNumId w:val="4"/>
  </w:num>
  <w:num w:numId="8" w16cid:durableId="362947223">
    <w:abstractNumId w:val="13"/>
  </w:num>
  <w:num w:numId="9" w16cid:durableId="458111764">
    <w:abstractNumId w:val="6"/>
  </w:num>
  <w:num w:numId="10" w16cid:durableId="1195534353">
    <w:abstractNumId w:val="12"/>
  </w:num>
  <w:num w:numId="11" w16cid:durableId="1826580952">
    <w:abstractNumId w:val="29"/>
  </w:num>
  <w:num w:numId="12" w16cid:durableId="1514690498">
    <w:abstractNumId w:val="36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1"/>
  </w:num>
  <w:num w:numId="16" w16cid:durableId="1227569663">
    <w:abstractNumId w:val="8"/>
  </w:num>
  <w:num w:numId="17" w16cid:durableId="810974550">
    <w:abstractNumId w:val="42"/>
  </w:num>
  <w:num w:numId="18" w16cid:durableId="1354573477">
    <w:abstractNumId w:val="34"/>
  </w:num>
  <w:num w:numId="19" w16cid:durableId="435754545">
    <w:abstractNumId w:val="18"/>
  </w:num>
  <w:num w:numId="20" w16cid:durableId="1066875134">
    <w:abstractNumId w:val="28"/>
  </w:num>
  <w:num w:numId="21" w16cid:durableId="1689939216">
    <w:abstractNumId w:val="27"/>
  </w:num>
  <w:num w:numId="22" w16cid:durableId="1257783837">
    <w:abstractNumId w:val="43"/>
  </w:num>
  <w:num w:numId="23" w16cid:durableId="970285242">
    <w:abstractNumId w:val="23"/>
  </w:num>
  <w:num w:numId="24" w16cid:durableId="1876889861">
    <w:abstractNumId w:val="17"/>
  </w:num>
  <w:num w:numId="25" w16cid:durableId="138228398">
    <w:abstractNumId w:val="20"/>
  </w:num>
  <w:num w:numId="26" w16cid:durableId="1871145006">
    <w:abstractNumId w:val="21"/>
  </w:num>
  <w:num w:numId="27" w16cid:durableId="1946108508">
    <w:abstractNumId w:val="24"/>
  </w:num>
  <w:num w:numId="28" w16cid:durableId="1629045729">
    <w:abstractNumId w:val="10"/>
  </w:num>
  <w:num w:numId="29" w16cid:durableId="2010906637">
    <w:abstractNumId w:val="25"/>
  </w:num>
  <w:num w:numId="30" w16cid:durableId="290525213">
    <w:abstractNumId w:val="41"/>
  </w:num>
  <w:num w:numId="31" w16cid:durableId="191966975">
    <w:abstractNumId w:val="26"/>
  </w:num>
  <w:num w:numId="32" w16cid:durableId="2014406757">
    <w:abstractNumId w:val="32"/>
  </w:num>
  <w:num w:numId="33" w16cid:durableId="648558829">
    <w:abstractNumId w:val="19"/>
  </w:num>
  <w:num w:numId="34" w16cid:durableId="2071807613">
    <w:abstractNumId w:val="9"/>
  </w:num>
  <w:num w:numId="35" w16cid:durableId="271744889">
    <w:abstractNumId w:val="35"/>
  </w:num>
  <w:num w:numId="36" w16cid:durableId="1457527817">
    <w:abstractNumId w:val="22"/>
  </w:num>
  <w:num w:numId="37" w16cid:durableId="10661010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3"/>
  </w:num>
  <w:num w:numId="39" w16cid:durableId="359361948">
    <w:abstractNumId w:val="38"/>
  </w:num>
  <w:num w:numId="40" w16cid:durableId="1037706265">
    <w:abstractNumId w:val="7"/>
  </w:num>
  <w:num w:numId="41" w16cid:durableId="447436251">
    <w:abstractNumId w:val="44"/>
  </w:num>
  <w:num w:numId="42" w16cid:durableId="655766109">
    <w:abstractNumId w:val="16"/>
  </w:num>
  <w:num w:numId="43" w16cid:durableId="577523632">
    <w:abstractNumId w:val="14"/>
  </w:num>
  <w:num w:numId="44" w16cid:durableId="1138063662">
    <w:abstractNumId w:val="40"/>
  </w:num>
  <w:num w:numId="45" w16cid:durableId="1069117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061B"/>
    <w:rsid w:val="00021004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674FE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E7C5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2FA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33E1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117C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111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228E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119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474BA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203"/>
    <w:rsid w:val="009F1542"/>
    <w:rsid w:val="00A00AC6"/>
    <w:rsid w:val="00A03C5C"/>
    <w:rsid w:val="00A04516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B59A0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A6A49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779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1EC2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7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64779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64779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122FA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22FA3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rFonts w:eastAsia="Times New Roman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122FA3"/>
    <w:rPr>
      <w:rFonts w:ascii="Calibri" w:eastAsia="Times New Roman" w:hAnsi="Calibri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2-TDAG32-C-0046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D26-TDAG33-C-0002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t.gov.pg/Press%20Statement/Pacific%20ICT%20Ministerial%20Declaration.%20Monday%2028%20August%202023.%20APEC%20Hau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7F256-8E0C-4481-B2AE-0FEC2DFB1FE5}"/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1254</Words>
  <Characters>9745</Characters>
  <Application>Microsoft Office Word</Application>
  <DocSecurity>0</DocSecurity>
  <Lines>81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10978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Manias, Michel</dc:creator>
  <cp:lastModifiedBy>Maloletkova, Svetlana</cp:lastModifiedBy>
  <cp:revision>4</cp:revision>
  <cp:lastPrinted>2019-01-16T07:57:00Z</cp:lastPrinted>
  <dcterms:created xsi:type="dcterms:W3CDTF">2026-03-25T17:07:00Z</dcterms:created>
  <dcterms:modified xsi:type="dcterms:W3CDTF">2026-03-25T17:40:00Z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