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6117E0" w14:paraId="5736F9B6" w14:textId="77777777" w:rsidTr="005C3173">
        <w:trPr>
          <w:cantSplit/>
          <w:trHeight w:val="1134"/>
        </w:trPr>
        <w:tc>
          <w:tcPr>
            <w:tcW w:w="6663" w:type="dxa"/>
          </w:tcPr>
          <w:p w14:paraId="34B2B704" w14:textId="27B75579" w:rsidR="00294BF6" w:rsidRPr="006117E0" w:rsidRDefault="00025801" w:rsidP="00294BF6">
            <w:pPr>
              <w:ind w:left="34"/>
              <w:rPr>
                <w:b/>
                <w:bCs/>
                <w:sz w:val="32"/>
                <w:szCs w:val="32"/>
                <w:lang w:val="es-ES"/>
              </w:rPr>
            </w:pPr>
            <w:r w:rsidRPr="006117E0">
              <w:rPr>
                <w:b/>
                <w:bCs/>
                <w:sz w:val="32"/>
                <w:szCs w:val="32"/>
                <w:lang w:val="es-ES"/>
              </w:rPr>
              <w:t>Grupo Asesor de Desarrollo de las</w:t>
            </w:r>
            <w:r w:rsidRPr="006117E0">
              <w:rPr>
                <w:b/>
                <w:bCs/>
                <w:sz w:val="32"/>
                <w:szCs w:val="32"/>
                <w:lang w:val="es-ES"/>
              </w:rPr>
              <w:br/>
              <w:t>Telecomunicaciones</w:t>
            </w:r>
            <w:r w:rsidR="00294BF6" w:rsidRPr="006117E0">
              <w:rPr>
                <w:b/>
                <w:bCs/>
                <w:sz w:val="32"/>
                <w:szCs w:val="32"/>
                <w:lang w:val="es-ES"/>
              </w:rPr>
              <w:t xml:space="preserve"> (</w:t>
            </w:r>
            <w:r w:rsidRPr="006117E0">
              <w:rPr>
                <w:b/>
                <w:bCs/>
                <w:sz w:val="32"/>
                <w:szCs w:val="32"/>
                <w:lang w:val="es-ES"/>
              </w:rPr>
              <w:t>GADT</w:t>
            </w:r>
            <w:r w:rsidR="00294BF6" w:rsidRPr="006117E0">
              <w:rPr>
                <w:b/>
                <w:bCs/>
                <w:sz w:val="32"/>
                <w:szCs w:val="32"/>
                <w:lang w:val="es-ES"/>
              </w:rPr>
              <w:t>)</w:t>
            </w:r>
          </w:p>
          <w:p w14:paraId="2DCF59CB" w14:textId="56D887B7" w:rsidR="00294BF6" w:rsidRPr="006117E0" w:rsidRDefault="006A7603" w:rsidP="00426222">
            <w:pPr>
              <w:tabs>
                <w:tab w:val="clear" w:pos="1134"/>
              </w:tabs>
              <w:spacing w:after="48" w:line="240" w:lineRule="atLeast"/>
              <w:ind w:left="34"/>
              <w:rPr>
                <w:b/>
                <w:bCs/>
                <w:sz w:val="26"/>
                <w:szCs w:val="26"/>
                <w:lang w:val="es-ES"/>
              </w:rPr>
            </w:pPr>
            <w:r w:rsidRPr="006117E0">
              <w:rPr>
                <w:b/>
                <w:bCs/>
                <w:sz w:val="26"/>
                <w:szCs w:val="26"/>
                <w:lang w:val="es-ES"/>
              </w:rPr>
              <w:t>33</w:t>
            </w:r>
            <w:r w:rsidR="00B06557" w:rsidRPr="006117E0">
              <w:rPr>
                <w:b/>
                <w:bCs/>
                <w:sz w:val="26"/>
                <w:szCs w:val="26"/>
                <w:lang w:val="es-ES"/>
              </w:rPr>
              <w:t>.</w:t>
            </w:r>
            <w:r w:rsidRPr="006117E0">
              <w:rPr>
                <w:b/>
                <w:bCs/>
                <w:sz w:val="26"/>
                <w:szCs w:val="26"/>
                <w:lang w:val="es-ES"/>
              </w:rPr>
              <w:t>ª reunión</w:t>
            </w:r>
            <w:r w:rsidR="00294BF6" w:rsidRPr="006117E0">
              <w:rPr>
                <w:b/>
                <w:bCs/>
                <w:sz w:val="26"/>
                <w:szCs w:val="26"/>
                <w:lang w:val="es-ES"/>
              </w:rPr>
              <w:t>, G</w:t>
            </w:r>
            <w:r w:rsidRPr="006117E0">
              <w:rPr>
                <w:b/>
                <w:bCs/>
                <w:sz w:val="26"/>
                <w:szCs w:val="26"/>
                <w:lang w:val="es-ES"/>
              </w:rPr>
              <w:t>inebra</w:t>
            </w:r>
            <w:r w:rsidR="00426222" w:rsidRPr="006117E0">
              <w:rPr>
                <w:b/>
                <w:bCs/>
                <w:sz w:val="26"/>
                <w:szCs w:val="26"/>
                <w:lang w:val="es-ES"/>
              </w:rPr>
              <w:t xml:space="preserve"> </w:t>
            </w:r>
            <w:r w:rsidR="00B06557" w:rsidRPr="006117E0">
              <w:rPr>
                <w:b/>
                <w:bCs/>
                <w:sz w:val="26"/>
                <w:szCs w:val="26"/>
                <w:lang w:val="es-ES"/>
              </w:rPr>
              <w:t>(</w:t>
            </w:r>
            <w:r w:rsidRPr="006117E0">
              <w:rPr>
                <w:b/>
                <w:bCs/>
                <w:sz w:val="26"/>
                <w:szCs w:val="26"/>
                <w:lang w:val="es-ES"/>
              </w:rPr>
              <w:t>Suiza</w:t>
            </w:r>
            <w:r w:rsidR="00B06557" w:rsidRPr="006117E0">
              <w:rPr>
                <w:b/>
                <w:bCs/>
                <w:sz w:val="26"/>
                <w:szCs w:val="26"/>
                <w:lang w:val="es-ES"/>
              </w:rPr>
              <w:t>)</w:t>
            </w:r>
            <w:r w:rsidR="00294BF6" w:rsidRPr="006117E0">
              <w:rPr>
                <w:b/>
                <w:bCs/>
                <w:sz w:val="26"/>
                <w:szCs w:val="26"/>
                <w:lang w:val="es-ES"/>
              </w:rPr>
              <w:t xml:space="preserve">, </w:t>
            </w:r>
            <w:r w:rsidR="00EF4D25" w:rsidRPr="006117E0">
              <w:rPr>
                <w:b/>
                <w:bCs/>
                <w:sz w:val="26"/>
                <w:szCs w:val="26"/>
                <w:lang w:val="es-ES"/>
              </w:rPr>
              <w:t>7</w:t>
            </w:r>
            <w:r w:rsidR="00294BF6" w:rsidRPr="006117E0">
              <w:rPr>
                <w:b/>
                <w:bCs/>
                <w:sz w:val="26"/>
                <w:szCs w:val="26"/>
                <w:lang w:val="es-ES"/>
              </w:rPr>
              <w:t>-</w:t>
            </w:r>
            <w:r w:rsidR="00EF4D25" w:rsidRPr="006117E0">
              <w:rPr>
                <w:b/>
                <w:bCs/>
                <w:sz w:val="26"/>
                <w:szCs w:val="26"/>
                <w:lang w:val="es-ES"/>
              </w:rPr>
              <w:t>10</w:t>
            </w:r>
            <w:r w:rsidR="00294BF6" w:rsidRPr="006117E0">
              <w:rPr>
                <w:b/>
                <w:bCs/>
                <w:sz w:val="26"/>
                <w:szCs w:val="26"/>
                <w:lang w:val="es-ES"/>
              </w:rPr>
              <w:t xml:space="preserve"> </w:t>
            </w:r>
            <w:r w:rsidRPr="006117E0">
              <w:rPr>
                <w:b/>
                <w:bCs/>
                <w:sz w:val="26"/>
                <w:szCs w:val="26"/>
                <w:lang w:val="es-ES"/>
              </w:rPr>
              <w:t>de abril de 2026</w:t>
            </w:r>
          </w:p>
        </w:tc>
        <w:tc>
          <w:tcPr>
            <w:tcW w:w="3368" w:type="dxa"/>
          </w:tcPr>
          <w:p w14:paraId="06B48AA1" w14:textId="516DD633" w:rsidR="00294BF6" w:rsidRPr="006117E0" w:rsidRDefault="00294BF6" w:rsidP="00294BF6">
            <w:pPr>
              <w:spacing w:line="240" w:lineRule="atLeast"/>
              <w:jc w:val="right"/>
              <w:rPr>
                <w:rFonts w:cstheme="minorHAnsi"/>
                <w:lang w:val="es-ES"/>
              </w:rPr>
            </w:pPr>
            <w:bookmarkStart w:id="0" w:name="ditulogo"/>
            <w:bookmarkEnd w:id="0"/>
            <w:r w:rsidRPr="006117E0">
              <w:rPr>
                <w:noProof/>
                <w:lang w:val="es-ES"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6117E0" w14:paraId="6DE5ABA3" w14:textId="77777777" w:rsidTr="005C3173">
        <w:trPr>
          <w:cantSplit/>
        </w:trPr>
        <w:tc>
          <w:tcPr>
            <w:tcW w:w="6663" w:type="dxa"/>
            <w:tcBorders>
              <w:top w:val="single" w:sz="12" w:space="0" w:color="auto"/>
            </w:tcBorders>
          </w:tcPr>
          <w:p w14:paraId="73168FEF" w14:textId="77777777" w:rsidR="00D83BF5" w:rsidRPr="006117E0" w:rsidRDefault="00D83BF5" w:rsidP="00B06557">
            <w:pPr>
              <w:spacing w:before="0"/>
              <w:rPr>
                <w:lang w:val="es-ES"/>
              </w:rPr>
            </w:pPr>
            <w:bookmarkStart w:id="1" w:name="dhead"/>
          </w:p>
        </w:tc>
        <w:tc>
          <w:tcPr>
            <w:tcW w:w="3368" w:type="dxa"/>
            <w:tcBorders>
              <w:top w:val="single" w:sz="12" w:space="0" w:color="auto"/>
            </w:tcBorders>
          </w:tcPr>
          <w:p w14:paraId="439CB557" w14:textId="716EF333" w:rsidR="00D83BF5" w:rsidRPr="006117E0" w:rsidRDefault="00D83BF5" w:rsidP="00B06557">
            <w:pPr>
              <w:spacing w:before="0"/>
              <w:rPr>
                <w:lang w:val="es-ES"/>
              </w:rPr>
            </w:pPr>
          </w:p>
        </w:tc>
      </w:tr>
      <w:tr w:rsidR="00D87035" w:rsidRPr="003D7913" w14:paraId="02BC550A" w14:textId="77777777" w:rsidTr="005C3173">
        <w:trPr>
          <w:cantSplit/>
          <w:trHeight w:val="23"/>
        </w:trPr>
        <w:tc>
          <w:tcPr>
            <w:tcW w:w="6663" w:type="dxa"/>
          </w:tcPr>
          <w:p w14:paraId="1EF66EAC" w14:textId="77777777" w:rsidR="00D87035" w:rsidRPr="006117E0" w:rsidRDefault="00D87035" w:rsidP="00403C69">
            <w:pPr>
              <w:pStyle w:val="Committee"/>
              <w:framePr w:hSpace="0" w:wrap="auto" w:hAnchor="text" w:yAlign="inline"/>
              <w:rPr>
                <w:lang w:val="es-ES"/>
              </w:rPr>
            </w:pPr>
            <w:bookmarkStart w:id="2" w:name="dnum" w:colFirst="1" w:colLast="1"/>
            <w:bookmarkStart w:id="3" w:name="dmeeting" w:colFirst="0" w:colLast="0"/>
            <w:bookmarkEnd w:id="1"/>
          </w:p>
        </w:tc>
        <w:tc>
          <w:tcPr>
            <w:tcW w:w="3368" w:type="dxa"/>
          </w:tcPr>
          <w:p w14:paraId="6F008A08" w14:textId="15DEF2F2" w:rsidR="00D87035" w:rsidRPr="006117E0" w:rsidRDefault="003F29D1" w:rsidP="00403C69">
            <w:pPr>
              <w:tabs>
                <w:tab w:val="left" w:pos="851"/>
              </w:tabs>
              <w:spacing w:before="0" w:line="240" w:lineRule="atLeast"/>
              <w:rPr>
                <w:rFonts w:cstheme="minorHAnsi"/>
                <w:szCs w:val="24"/>
                <w:lang w:val="es-ES"/>
              </w:rPr>
            </w:pPr>
            <w:r w:rsidRPr="006117E0">
              <w:rPr>
                <w:b/>
                <w:bCs/>
                <w:lang w:val="es-ES"/>
              </w:rPr>
              <w:t xml:space="preserve">Revisión </w:t>
            </w:r>
            <w:r w:rsidR="003D7913">
              <w:rPr>
                <w:b/>
                <w:bCs/>
                <w:lang w:val="es-ES"/>
              </w:rPr>
              <w:t>2</w:t>
            </w:r>
            <w:r w:rsidRPr="006117E0">
              <w:rPr>
                <w:b/>
                <w:bCs/>
                <w:lang w:val="es-ES"/>
              </w:rPr>
              <w:t xml:space="preserve"> del </w:t>
            </w:r>
            <w:r w:rsidR="00D87035" w:rsidRPr="006117E0">
              <w:rPr>
                <w:b/>
                <w:bCs/>
                <w:lang w:val="es-ES"/>
              </w:rPr>
              <w:t>Document</w:t>
            </w:r>
            <w:bookmarkStart w:id="4" w:name="DocRef1"/>
            <w:bookmarkEnd w:id="4"/>
            <w:r w:rsidR="006A7603" w:rsidRPr="006117E0">
              <w:rPr>
                <w:b/>
                <w:bCs/>
                <w:lang w:val="es-ES"/>
              </w:rPr>
              <w:t>o</w:t>
            </w:r>
            <w:r w:rsidR="001A2AB4" w:rsidRPr="006117E0">
              <w:rPr>
                <w:b/>
                <w:bCs/>
                <w:lang w:val="es-ES"/>
              </w:rPr>
              <w:t xml:space="preserve"> </w:t>
            </w:r>
            <w:r w:rsidR="00D87035" w:rsidRPr="006117E0">
              <w:rPr>
                <w:b/>
                <w:bCs/>
                <w:lang w:val="es-ES"/>
              </w:rPr>
              <w:t>TDAG-</w:t>
            </w:r>
            <w:r w:rsidR="00523934" w:rsidRPr="006117E0">
              <w:rPr>
                <w:b/>
                <w:bCs/>
                <w:lang w:val="es-ES"/>
              </w:rPr>
              <w:t>2</w:t>
            </w:r>
            <w:r w:rsidR="00EF4D25" w:rsidRPr="006117E0">
              <w:rPr>
                <w:b/>
                <w:bCs/>
                <w:lang w:val="es-ES"/>
              </w:rPr>
              <w:t>6</w:t>
            </w:r>
            <w:r w:rsidR="00D87035" w:rsidRPr="006117E0">
              <w:rPr>
                <w:b/>
                <w:bCs/>
                <w:lang w:val="es-ES"/>
              </w:rPr>
              <w:t>/</w:t>
            </w:r>
            <w:bookmarkStart w:id="5" w:name="DocNo1"/>
            <w:bookmarkEnd w:id="5"/>
            <w:r w:rsidRPr="006117E0">
              <w:rPr>
                <w:b/>
                <w:bCs/>
                <w:lang w:val="es-ES"/>
              </w:rPr>
              <w:t>2(Add.2)</w:t>
            </w:r>
            <w:r w:rsidR="00D87035" w:rsidRPr="006117E0">
              <w:rPr>
                <w:b/>
                <w:bCs/>
                <w:lang w:val="es-ES"/>
              </w:rPr>
              <w:t>-</w:t>
            </w:r>
            <w:r w:rsidR="001A2AB4" w:rsidRPr="006117E0">
              <w:rPr>
                <w:b/>
                <w:bCs/>
                <w:lang w:val="es-ES"/>
              </w:rPr>
              <w:t>S</w:t>
            </w:r>
          </w:p>
        </w:tc>
      </w:tr>
      <w:tr w:rsidR="00D87035" w:rsidRPr="006117E0" w14:paraId="55AD5FBA" w14:textId="77777777" w:rsidTr="005C3173">
        <w:trPr>
          <w:cantSplit/>
          <w:trHeight w:val="23"/>
        </w:trPr>
        <w:tc>
          <w:tcPr>
            <w:tcW w:w="6663" w:type="dxa"/>
          </w:tcPr>
          <w:p w14:paraId="0E170520" w14:textId="77777777" w:rsidR="00D87035" w:rsidRPr="006117E0" w:rsidRDefault="00D87035" w:rsidP="00B06557">
            <w:pPr>
              <w:spacing w:before="0"/>
              <w:rPr>
                <w:lang w:val="es-ES"/>
              </w:rPr>
            </w:pPr>
            <w:bookmarkStart w:id="6" w:name="ddate" w:colFirst="1" w:colLast="1"/>
            <w:bookmarkStart w:id="7" w:name="dblank" w:colFirst="0" w:colLast="0"/>
            <w:bookmarkEnd w:id="2"/>
            <w:bookmarkEnd w:id="3"/>
          </w:p>
        </w:tc>
        <w:tc>
          <w:tcPr>
            <w:tcW w:w="3368" w:type="dxa"/>
          </w:tcPr>
          <w:p w14:paraId="242C61B7" w14:textId="154813DB" w:rsidR="00D87035" w:rsidRPr="006117E0" w:rsidRDefault="003D7913" w:rsidP="00B06557">
            <w:pPr>
              <w:tabs>
                <w:tab w:val="left" w:pos="851"/>
              </w:tabs>
              <w:spacing w:before="0" w:line="240" w:lineRule="atLeast"/>
              <w:rPr>
                <w:rFonts w:cstheme="minorHAnsi"/>
                <w:szCs w:val="24"/>
                <w:lang w:val="es-ES"/>
              </w:rPr>
            </w:pPr>
            <w:r>
              <w:rPr>
                <w:b/>
                <w:bCs/>
                <w:lang w:val="es-ES"/>
              </w:rPr>
              <w:t>6</w:t>
            </w:r>
            <w:r w:rsidR="003F29D1" w:rsidRPr="006117E0">
              <w:rPr>
                <w:b/>
                <w:bCs/>
                <w:lang w:val="es-ES"/>
              </w:rPr>
              <w:t xml:space="preserve"> de abril </w:t>
            </w:r>
            <w:r w:rsidR="001A2AB4" w:rsidRPr="006117E0">
              <w:rPr>
                <w:b/>
                <w:bCs/>
                <w:lang w:val="es-ES"/>
              </w:rPr>
              <w:t xml:space="preserve">de </w:t>
            </w:r>
            <w:r w:rsidR="002955DA" w:rsidRPr="006117E0">
              <w:rPr>
                <w:b/>
                <w:bCs/>
                <w:lang w:val="es-ES"/>
              </w:rPr>
              <w:t>202</w:t>
            </w:r>
            <w:r w:rsidR="00EF4D25" w:rsidRPr="006117E0">
              <w:rPr>
                <w:b/>
                <w:bCs/>
                <w:lang w:val="es-ES"/>
              </w:rPr>
              <w:t>6</w:t>
            </w:r>
          </w:p>
        </w:tc>
      </w:tr>
      <w:bookmarkEnd w:id="6"/>
      <w:bookmarkEnd w:id="7"/>
      <w:tr w:rsidR="00D87035" w:rsidRPr="006117E0" w14:paraId="07260C0B" w14:textId="77777777" w:rsidTr="005C3173">
        <w:trPr>
          <w:cantSplit/>
          <w:trHeight w:val="23"/>
        </w:trPr>
        <w:tc>
          <w:tcPr>
            <w:tcW w:w="6663" w:type="dxa"/>
          </w:tcPr>
          <w:p w14:paraId="773E4FE3" w14:textId="77777777" w:rsidR="00D87035" w:rsidRPr="006117E0" w:rsidRDefault="00D87035" w:rsidP="00B06557">
            <w:pPr>
              <w:spacing w:before="0"/>
              <w:rPr>
                <w:lang w:val="es-ES"/>
              </w:rPr>
            </w:pPr>
          </w:p>
        </w:tc>
        <w:tc>
          <w:tcPr>
            <w:tcW w:w="3368" w:type="dxa"/>
          </w:tcPr>
          <w:p w14:paraId="2C8BB831" w14:textId="23C0B400" w:rsidR="00D87035" w:rsidRPr="006117E0" w:rsidRDefault="00D87035" w:rsidP="00B06557">
            <w:pPr>
              <w:tabs>
                <w:tab w:val="left" w:pos="851"/>
              </w:tabs>
              <w:spacing w:before="0" w:line="240" w:lineRule="atLeast"/>
              <w:rPr>
                <w:rFonts w:cstheme="minorHAnsi"/>
                <w:b/>
                <w:szCs w:val="24"/>
                <w:lang w:val="es-ES"/>
              </w:rPr>
            </w:pPr>
            <w:r w:rsidRPr="006117E0">
              <w:rPr>
                <w:b/>
                <w:bCs/>
                <w:lang w:val="es-ES"/>
              </w:rPr>
              <w:t xml:space="preserve">Original: </w:t>
            </w:r>
            <w:r w:rsidR="001A2AB4" w:rsidRPr="006117E0">
              <w:rPr>
                <w:b/>
                <w:bCs/>
                <w:lang w:val="es-ES"/>
              </w:rPr>
              <w:t>inglés</w:t>
            </w:r>
          </w:p>
        </w:tc>
      </w:tr>
      <w:tr w:rsidR="00D83BF5" w:rsidRPr="003D7913" w14:paraId="35F96F24" w14:textId="77777777" w:rsidTr="00D87035">
        <w:trPr>
          <w:cantSplit/>
          <w:trHeight w:val="23"/>
        </w:trPr>
        <w:tc>
          <w:tcPr>
            <w:tcW w:w="10031" w:type="dxa"/>
            <w:gridSpan w:val="2"/>
          </w:tcPr>
          <w:p w14:paraId="59A8A61C" w14:textId="65BC80B4" w:rsidR="00D83BF5" w:rsidRPr="006117E0" w:rsidRDefault="003F29D1" w:rsidP="00403C69">
            <w:pPr>
              <w:pStyle w:val="Source"/>
              <w:spacing w:before="240" w:after="240"/>
              <w:rPr>
                <w:lang w:val="es-ES"/>
              </w:rPr>
            </w:pPr>
            <w:bookmarkStart w:id="8" w:name="dbluepink" w:colFirst="0" w:colLast="0"/>
            <w:bookmarkStart w:id="9" w:name="dorlang" w:colFirst="1" w:colLast="1"/>
            <w:r w:rsidRPr="006117E0">
              <w:rPr>
                <w:lang w:val="es-ES"/>
              </w:rPr>
              <w:t>Director de la Oficina de Desarrollo de las Telecomunicaciones</w:t>
            </w:r>
          </w:p>
        </w:tc>
      </w:tr>
      <w:tr w:rsidR="00D83BF5" w:rsidRPr="003D7913" w14:paraId="7EDE1565" w14:textId="77777777" w:rsidTr="00D87035">
        <w:trPr>
          <w:cantSplit/>
          <w:trHeight w:val="23"/>
        </w:trPr>
        <w:tc>
          <w:tcPr>
            <w:tcW w:w="10031" w:type="dxa"/>
            <w:gridSpan w:val="2"/>
            <w:vAlign w:val="center"/>
          </w:tcPr>
          <w:p w14:paraId="3D29924B" w14:textId="41CF6389" w:rsidR="00D83BF5" w:rsidRPr="006117E0" w:rsidRDefault="003F29D1" w:rsidP="00B06557">
            <w:pPr>
              <w:pStyle w:val="Title1"/>
              <w:spacing w:before="120" w:after="120"/>
              <w:rPr>
                <w:lang w:val="es-ES"/>
              </w:rPr>
            </w:pPr>
            <w:r w:rsidRPr="006117E0">
              <w:rPr>
                <w:caps w:val="0"/>
                <w:lang w:val="es-ES"/>
              </w:rPr>
              <w:t>Marco de repercusiones para la aplicación del Plan de Acción de Bakú (PAB)</w:t>
            </w:r>
          </w:p>
        </w:tc>
      </w:tr>
      <w:tr w:rsidR="00D83BF5" w:rsidRPr="003D7913" w14:paraId="5B2B3E5A" w14:textId="77777777" w:rsidTr="00D87035">
        <w:trPr>
          <w:cantSplit/>
          <w:trHeight w:val="23"/>
        </w:trPr>
        <w:tc>
          <w:tcPr>
            <w:tcW w:w="10031" w:type="dxa"/>
            <w:gridSpan w:val="2"/>
            <w:tcBorders>
              <w:bottom w:val="single" w:sz="4" w:space="0" w:color="auto"/>
            </w:tcBorders>
          </w:tcPr>
          <w:p w14:paraId="28E7AED7" w14:textId="77777777" w:rsidR="00D83BF5" w:rsidRPr="006117E0" w:rsidRDefault="00D83BF5" w:rsidP="00B06557">
            <w:pPr>
              <w:pStyle w:val="Title1"/>
              <w:spacing w:before="120" w:after="120"/>
              <w:jc w:val="left"/>
              <w:rPr>
                <w:lang w:val="es-ES"/>
              </w:rPr>
            </w:pPr>
          </w:p>
        </w:tc>
      </w:tr>
      <w:tr w:rsidR="001E252D" w:rsidRPr="003D7913" w14:paraId="6C9BA039" w14:textId="77777777" w:rsidTr="00D87035">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0C929A88" w:rsidR="001E252D" w:rsidRPr="006117E0" w:rsidRDefault="001A2AB4" w:rsidP="00B41165">
            <w:pPr>
              <w:rPr>
                <w:b/>
                <w:bCs/>
                <w:lang w:val="es-ES"/>
              </w:rPr>
            </w:pPr>
            <w:r w:rsidRPr="006117E0">
              <w:rPr>
                <w:b/>
                <w:bCs/>
                <w:lang w:val="es-ES"/>
              </w:rPr>
              <w:t>Resumen</w:t>
            </w:r>
            <w:r w:rsidR="001E252D" w:rsidRPr="006117E0">
              <w:rPr>
                <w:b/>
                <w:bCs/>
                <w:lang w:val="es-ES"/>
              </w:rPr>
              <w:t>:</w:t>
            </w:r>
          </w:p>
          <w:p w14:paraId="4F70BA09" w14:textId="37E63A83" w:rsidR="001E252D" w:rsidRPr="006117E0" w:rsidRDefault="003F29D1" w:rsidP="00403C69">
            <w:pPr>
              <w:rPr>
                <w:lang w:val="es-ES"/>
              </w:rPr>
            </w:pPr>
            <w:r w:rsidRPr="006117E0">
              <w:rPr>
                <w:lang w:val="es-ES"/>
              </w:rPr>
              <w:t>En este documento se presenta un marco de repercusiones para la ejecución del Plan de Acción de Bakú (PAB), incluidas las prioridades del UIT-D y sus realizaciones previstas, los factores habilitadores, los productos y servicios previstos, así como un conjunto de indicadores de realizaciones. También se presentan el Plan Operacional del UIT-D para 2026 (OP-26) y la atribución de fondos en función de las prioridades y el factor habilitador del UIT-D, además de los hitos de aplicación del PAB entre enero y marzo de 2026.</w:t>
            </w:r>
          </w:p>
          <w:p w14:paraId="329DD418" w14:textId="1D7460A6" w:rsidR="001E252D" w:rsidRPr="006117E0" w:rsidRDefault="00CC5CD7" w:rsidP="00403C69">
            <w:pPr>
              <w:rPr>
                <w:b/>
                <w:bCs/>
                <w:szCs w:val="24"/>
                <w:lang w:val="es-ES"/>
              </w:rPr>
            </w:pPr>
            <w:r w:rsidRPr="006117E0">
              <w:rPr>
                <w:b/>
                <w:bCs/>
                <w:lang w:val="es-ES"/>
              </w:rPr>
              <w:t>Acción solicitada:</w:t>
            </w:r>
          </w:p>
          <w:p w14:paraId="2D855C8F" w14:textId="70083B9D" w:rsidR="005C33FB" w:rsidRPr="006117E0" w:rsidRDefault="005C33FB" w:rsidP="00403C69">
            <w:pPr>
              <w:rPr>
                <w:lang w:val="es-ES"/>
              </w:rPr>
            </w:pPr>
            <w:r w:rsidRPr="006117E0">
              <w:rPr>
                <w:lang w:val="es-ES"/>
              </w:rPr>
              <w:t>Se invita al</w:t>
            </w:r>
            <w:r w:rsidR="00B06557" w:rsidRPr="006117E0">
              <w:rPr>
                <w:lang w:val="es-ES"/>
              </w:rPr>
              <w:t> </w:t>
            </w:r>
            <w:r w:rsidRPr="006117E0">
              <w:rPr>
                <w:lang w:val="es-ES"/>
              </w:rPr>
              <w:t>GADT a tomar nota de este documento y formular las orientaciones que estime convenientes.</w:t>
            </w:r>
          </w:p>
          <w:p w14:paraId="5120B5FD" w14:textId="79AE5880" w:rsidR="001E252D" w:rsidRPr="006117E0" w:rsidRDefault="001E252D" w:rsidP="00B41165">
            <w:pPr>
              <w:rPr>
                <w:b/>
                <w:bCs/>
                <w:lang w:val="es-ES"/>
              </w:rPr>
            </w:pPr>
            <w:r w:rsidRPr="006117E0">
              <w:rPr>
                <w:b/>
                <w:bCs/>
                <w:lang w:val="es-ES"/>
              </w:rPr>
              <w:t>Referenc</w:t>
            </w:r>
            <w:r w:rsidR="005C33FB" w:rsidRPr="006117E0">
              <w:rPr>
                <w:b/>
                <w:bCs/>
                <w:lang w:val="es-ES"/>
              </w:rPr>
              <w:t>ia</w:t>
            </w:r>
            <w:r w:rsidRPr="006117E0">
              <w:rPr>
                <w:b/>
                <w:bCs/>
                <w:lang w:val="es-ES"/>
              </w:rPr>
              <w:t>s</w:t>
            </w:r>
            <w:r w:rsidR="008A3933" w:rsidRPr="006117E0">
              <w:rPr>
                <w:b/>
                <w:bCs/>
                <w:lang w:val="es-ES"/>
              </w:rPr>
              <w:t>:</w:t>
            </w:r>
          </w:p>
          <w:p w14:paraId="2269A661" w14:textId="77777777" w:rsidR="003F29D1" w:rsidRPr="006117E0" w:rsidRDefault="003D7913" w:rsidP="003F29D1">
            <w:pPr>
              <w:spacing w:after="120"/>
              <w:rPr>
                <w:lang w:val="es-ES"/>
              </w:rPr>
            </w:pPr>
            <w:hyperlink r:id="rId12" w:history="1">
              <w:r w:rsidR="003F29D1" w:rsidRPr="006117E0">
                <w:rPr>
                  <w:rStyle w:val="Hyperlink"/>
                  <w:lang w:val="es-ES"/>
                </w:rPr>
                <w:t>Documento 2 del GADT-26</w:t>
              </w:r>
            </w:hyperlink>
          </w:p>
          <w:p w14:paraId="6EF29DC6" w14:textId="4A20AEC1" w:rsidR="001E252D" w:rsidRPr="006117E0" w:rsidRDefault="003D7913" w:rsidP="003F29D1">
            <w:pPr>
              <w:spacing w:after="120"/>
              <w:rPr>
                <w:lang w:val="es-ES"/>
              </w:rPr>
            </w:pPr>
            <w:hyperlink r:id="rId13" w:history="1">
              <w:r w:rsidR="003F29D1" w:rsidRPr="006117E0">
                <w:rPr>
                  <w:rStyle w:val="Hyperlink"/>
                  <w:lang w:val="es-ES"/>
                </w:rPr>
                <w:t>Plan de Acción de Bakú de la CMDT-25</w:t>
              </w:r>
            </w:hyperlink>
          </w:p>
        </w:tc>
      </w:tr>
      <w:bookmarkEnd w:id="8"/>
      <w:bookmarkEnd w:id="9"/>
    </w:tbl>
    <w:p w14:paraId="30707726" w14:textId="5A6143DD" w:rsidR="00075C63" w:rsidRPr="006117E0" w:rsidRDefault="00075C63" w:rsidP="00B06557">
      <w:pPr>
        <w:rPr>
          <w:lang w:val="es-ES"/>
        </w:rPr>
      </w:pPr>
      <w:r w:rsidRPr="006117E0">
        <w:rPr>
          <w:lang w:val="es-ES"/>
        </w:rPr>
        <w:br w:type="page"/>
      </w:r>
    </w:p>
    <w:p w14:paraId="01A54D87" w14:textId="3F294EFE" w:rsidR="003F29D1" w:rsidRPr="006117E0" w:rsidRDefault="003F29D1" w:rsidP="003F29D1">
      <w:pPr>
        <w:pStyle w:val="Heading1"/>
        <w:rPr>
          <w:lang w:val="es-ES"/>
        </w:rPr>
      </w:pPr>
      <w:r w:rsidRPr="006117E0">
        <w:rPr>
          <w:lang w:val="es-ES"/>
        </w:rPr>
        <w:lastRenderedPageBreak/>
        <w:t>1</w:t>
      </w:r>
      <w:r w:rsidRPr="006117E0">
        <w:rPr>
          <w:lang w:val="es-ES"/>
        </w:rPr>
        <w:tab/>
      </w:r>
      <w:r w:rsidR="003D7913">
        <w:rPr>
          <w:lang w:val="es-ES"/>
        </w:rPr>
        <w:t xml:space="preserve">Perspectiva y estrategia para </w:t>
      </w:r>
      <w:r w:rsidR="003D7913" w:rsidRPr="009422FD">
        <w:rPr>
          <w:lang w:val="es-ES"/>
        </w:rPr>
        <w:t>la aplicación del PAB</w:t>
      </w:r>
      <w:r w:rsidR="003D7913">
        <w:rPr>
          <w:lang w:val="es-ES"/>
        </w:rPr>
        <w:t xml:space="preserve"> en 2026-2029</w:t>
      </w:r>
    </w:p>
    <w:p w14:paraId="3D9BE2E0" w14:textId="77777777" w:rsidR="003F29D1" w:rsidRPr="006117E0" w:rsidRDefault="003F29D1" w:rsidP="003F29D1">
      <w:pPr>
        <w:rPr>
          <w:lang w:val="es-ES"/>
        </w:rPr>
      </w:pPr>
      <w:r w:rsidRPr="006117E0">
        <w:rPr>
          <w:lang w:val="es-ES"/>
        </w:rPr>
        <w:t xml:space="preserve">La Conferencia Mundial de Desarrollo de las Telecomunicaciones celebrada en Bakú (Azerbaiyán) en 2025 (CMDT-25) adoptó el </w:t>
      </w:r>
      <w:hyperlink r:id="rId14" w:history="1">
        <w:r w:rsidRPr="006117E0">
          <w:rPr>
            <w:rStyle w:val="Hyperlink"/>
            <w:lang w:val="es-ES"/>
          </w:rPr>
          <w:t>Plan de Acción de Bakú</w:t>
        </w:r>
      </w:hyperlink>
      <w:r w:rsidRPr="006117E0">
        <w:rPr>
          <w:lang w:val="es-ES"/>
        </w:rPr>
        <w:t xml:space="preserve"> (PAB), en el que se define la dirección de los trabajos del Sector de Desarrollo de la UIT (UIT-D) hasta la próxima CMDT y se define un camino para el desarrollo digital que se armoniza estrechamente con el Plan de Acción de la Cumbre Mundial sobre la Sociedad de la Información (CMSI) y los Objetivos de Desarrollo Sostenible (ODS) establecidos por las Naciones Unidas para 2030.</w:t>
      </w:r>
    </w:p>
    <w:p w14:paraId="205B7303" w14:textId="77777777" w:rsidR="003F29D1" w:rsidRPr="006117E0" w:rsidRDefault="003F29D1" w:rsidP="003F29D1">
      <w:pPr>
        <w:rPr>
          <w:lang w:val="es-ES"/>
        </w:rPr>
      </w:pPr>
      <w:r w:rsidRPr="006117E0">
        <w:rPr>
          <w:lang w:val="es-ES"/>
        </w:rPr>
        <w:t>La estrategia global para la aplicación del PAB se basa en:</w:t>
      </w:r>
    </w:p>
    <w:p w14:paraId="6F57EB8A" w14:textId="63BE11F3" w:rsidR="003F29D1" w:rsidRPr="006117E0" w:rsidRDefault="003F29D1" w:rsidP="003F29D1">
      <w:pPr>
        <w:pStyle w:val="enumlev1"/>
        <w:rPr>
          <w:lang w:val="es-ES"/>
        </w:rPr>
      </w:pPr>
      <w:r w:rsidRPr="006117E0">
        <w:rPr>
          <w:lang w:val="es-ES"/>
        </w:rPr>
        <w:t>–</w:t>
      </w:r>
      <w:r w:rsidRPr="006117E0">
        <w:rPr>
          <w:lang w:val="es-ES"/>
        </w:rPr>
        <w:tab/>
        <w:t>La coherencia e integración de las acciones y realizaciones del Plan Operacional, los resultados de las Prioridades, proyectos e iniciativas regionales del UIT-D, las Resoluciones del UIT-D y las Metas Estratégicas de la UIT;</w:t>
      </w:r>
    </w:p>
    <w:p w14:paraId="1AF408D8" w14:textId="77777777" w:rsidR="003F29D1" w:rsidRPr="006117E0" w:rsidRDefault="003F29D1" w:rsidP="003F29D1">
      <w:pPr>
        <w:pStyle w:val="enumlev1"/>
        <w:rPr>
          <w:lang w:val="es-ES"/>
        </w:rPr>
      </w:pPr>
      <w:r w:rsidRPr="006117E0">
        <w:rPr>
          <w:lang w:val="es-ES"/>
        </w:rPr>
        <w:t>–</w:t>
      </w:r>
      <w:r w:rsidRPr="006117E0">
        <w:rPr>
          <w:lang w:val="es-ES"/>
        </w:rPr>
        <w:tab/>
        <w:t>Una colaboración mejorada, funcional y basada en los resultados entre todos los equipos, incluidos los de las Oficinas Regionales y Zonales, para aumentar la eficiencia de los productos y servicios del UIT-D y sus repercusiones en los países, agencias gubernamentales, partes interesadas y comunidades nacionales de beneficiarios;</w:t>
      </w:r>
    </w:p>
    <w:p w14:paraId="1F03F5C0" w14:textId="77777777" w:rsidR="003F29D1" w:rsidRPr="006117E0" w:rsidRDefault="003F29D1" w:rsidP="003F29D1">
      <w:pPr>
        <w:pStyle w:val="enumlev1"/>
        <w:rPr>
          <w:lang w:val="es-ES"/>
        </w:rPr>
      </w:pPr>
      <w:r w:rsidRPr="006117E0">
        <w:rPr>
          <w:lang w:val="es-ES"/>
        </w:rPr>
        <w:t>–</w:t>
      </w:r>
      <w:r w:rsidRPr="006117E0">
        <w:rPr>
          <w:lang w:val="es-ES"/>
        </w:rPr>
        <w:tab/>
        <w:t>sólidas sinergias de aplicación con la Oficina de Radiocomunicaciones (BR), la Oficina de Normalización de las Telecomunicaciones (TSB) y la Secretaría General de la UIT;</w:t>
      </w:r>
    </w:p>
    <w:p w14:paraId="75F791D3" w14:textId="77777777" w:rsidR="003F29D1" w:rsidRPr="006117E0" w:rsidRDefault="003F29D1" w:rsidP="003F29D1">
      <w:pPr>
        <w:pStyle w:val="enumlev1"/>
        <w:rPr>
          <w:lang w:val="es-ES"/>
        </w:rPr>
      </w:pPr>
      <w:r w:rsidRPr="006117E0">
        <w:rPr>
          <w:lang w:val="es-ES"/>
        </w:rPr>
        <w:t>–</w:t>
      </w:r>
      <w:r w:rsidRPr="006117E0">
        <w:rPr>
          <w:lang w:val="es-ES"/>
        </w:rPr>
        <w:tab/>
        <w:t>procurar una mayor integración de la ejecución de proyectos, las actividades del PO, las Iniciativas regionales y los esfuerzos de los socios a medida que avance el actual ciclo de ejecución a fin de garantizar la prestación efectiva y oportuna de productos de calidad.</w:t>
      </w:r>
    </w:p>
    <w:p w14:paraId="35A24C01" w14:textId="77777777" w:rsidR="003F29D1" w:rsidRPr="006117E0" w:rsidRDefault="003F29D1" w:rsidP="003F29D1">
      <w:pPr>
        <w:pStyle w:val="Heading2"/>
        <w:rPr>
          <w:lang w:val="es-ES"/>
        </w:rPr>
      </w:pPr>
      <w:r w:rsidRPr="006117E0">
        <w:rPr>
          <w:lang w:val="es-ES"/>
        </w:rPr>
        <w:t>1.1</w:t>
      </w:r>
      <w:r w:rsidRPr="006117E0">
        <w:rPr>
          <w:lang w:val="es-ES"/>
        </w:rPr>
        <w:tab/>
        <w:t>Elaboración del marco para el Plan Operacional del UIT-D para 2026 (PO-26)</w:t>
      </w:r>
    </w:p>
    <w:p w14:paraId="2E4AA20C" w14:textId="77777777" w:rsidR="003F29D1" w:rsidRPr="006117E0" w:rsidRDefault="003F29D1" w:rsidP="003F29D1">
      <w:pPr>
        <w:rPr>
          <w:lang w:val="es-ES"/>
        </w:rPr>
      </w:pPr>
      <w:r w:rsidRPr="006117E0">
        <w:rPr>
          <w:lang w:val="es-ES"/>
        </w:rPr>
        <w:t>El Plan Operacional del UIT-D para 2026 está armonizado con la estructura del PAB y del Plan Estratégico de la Unión para 2024-2027. La estructura del PAB describe las prioridades del UIT-D y sus correspondientes realizaciones, el factor habilitador, los productos y servicios del UIT-D y los indicadores para medir su nivel de consecución. El marco de repercusiones para la aplicación del PAB para el PO-26 servirá de base para el Plan Operacional del UIT-D para 2026-2029 una vez que el Consejo haya aprobado el presupuesto de la UIT para 2027-2030.</w:t>
      </w:r>
    </w:p>
    <w:p w14:paraId="00377E7B" w14:textId="77777777" w:rsidR="003F29D1" w:rsidRPr="006117E0" w:rsidRDefault="003F29D1" w:rsidP="003F29D1">
      <w:pPr>
        <w:rPr>
          <w:lang w:val="es-ES"/>
        </w:rPr>
      </w:pPr>
      <w:r w:rsidRPr="006117E0">
        <w:rPr>
          <w:lang w:val="es-ES"/>
        </w:rPr>
        <w:t>El proceso de preparación del PO-26 consistió en la definición de los principios básicos para iniciar las acciones, garantizando la armonización con el PAB y una coherencia global (Figura 1). Las actividades propuestas se consultaron detenidamente con los Estados Miembros y están armonizadas con las prioridades de cada región.</w:t>
      </w:r>
    </w:p>
    <w:p w14:paraId="6BFBD92C" w14:textId="77777777" w:rsidR="003F29D1" w:rsidRPr="006117E0" w:rsidRDefault="003F29D1" w:rsidP="008B0BD5">
      <w:pPr>
        <w:pStyle w:val="Figuretitle"/>
        <w:rPr>
          <w:lang w:val="es-ES"/>
        </w:rPr>
      </w:pPr>
      <w:r w:rsidRPr="006117E0">
        <w:rPr>
          <w:lang w:val="es-ES"/>
        </w:rPr>
        <w:lastRenderedPageBreak/>
        <w:t>Figura 1: Planificación operacional 2026: realizaciones, productos y actividades</w:t>
      </w:r>
    </w:p>
    <w:p w14:paraId="37C7586F" w14:textId="77777777" w:rsidR="003F29D1" w:rsidRPr="006117E0" w:rsidRDefault="003F29D1" w:rsidP="003F29D1">
      <w:pPr>
        <w:pStyle w:val="Figure"/>
        <w:rPr>
          <w:lang w:val="es-ES"/>
        </w:rPr>
      </w:pPr>
      <w:r w:rsidRPr="006117E0">
        <w:rPr>
          <w:noProof/>
          <w:lang w:val="es-ES"/>
        </w:rPr>
        <w:drawing>
          <wp:inline distT="0" distB="0" distL="0" distR="0" wp14:anchorId="2DCD973A" wp14:editId="432F4FF5">
            <wp:extent cx="5400000" cy="191520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1915200"/>
                    </a:xfrm>
                    <a:prstGeom prst="rect">
                      <a:avLst/>
                    </a:prstGeom>
                    <a:noFill/>
                  </pic:spPr>
                </pic:pic>
              </a:graphicData>
            </a:graphic>
          </wp:inline>
        </w:drawing>
      </w:r>
    </w:p>
    <w:p w14:paraId="75986E51" w14:textId="75B7F190" w:rsidR="003F29D1" w:rsidRPr="006117E0" w:rsidRDefault="003F29D1" w:rsidP="003F29D1">
      <w:pPr>
        <w:rPr>
          <w:lang w:val="es-ES"/>
        </w:rPr>
      </w:pPr>
      <w:r w:rsidRPr="006117E0">
        <w:rPr>
          <w:lang w:val="es-ES"/>
        </w:rPr>
        <w:t>De conformidad con el PAB, el PO-26 define actividades para ofrecer productos y sus correspondientes indicadores mensurables en función de los resultados de las Prioridades del UIT</w:t>
      </w:r>
      <w:r w:rsidRPr="006117E0">
        <w:rPr>
          <w:lang w:val="es-ES"/>
        </w:rPr>
        <w:noBreakHyphen/>
        <w:t>D, habida cuenta de la experiencia ganada al aplicar el Plan de Acción de Kigali (PAK) y garantizando la continuidad de la prestación de servicios a los Miembros de la UIT. El nuevo marco de ejecución, anclado en los principios de gestión basada en los resultados (GBR), permitirá el seguimiento y la evaluación adecuados de la aplicación de los resultados de las prioridades del</w:t>
      </w:r>
      <w:r w:rsidR="00A00BFA" w:rsidRPr="006117E0">
        <w:rPr>
          <w:lang w:val="es-ES"/>
        </w:rPr>
        <w:t> </w:t>
      </w:r>
      <w:r w:rsidRPr="006117E0">
        <w:rPr>
          <w:lang w:val="es-ES"/>
        </w:rPr>
        <w:t>UIT-D.</w:t>
      </w:r>
    </w:p>
    <w:p w14:paraId="73CD0B04" w14:textId="4C34FCA3" w:rsidR="003F29D1" w:rsidRPr="006117E0" w:rsidRDefault="003F29D1" w:rsidP="003F29D1">
      <w:pPr>
        <w:pStyle w:val="Heading1"/>
        <w:rPr>
          <w:lang w:val="es-ES"/>
        </w:rPr>
      </w:pPr>
      <w:r w:rsidRPr="006117E0">
        <w:rPr>
          <w:lang w:val="es-ES"/>
        </w:rPr>
        <w:t>2</w:t>
      </w:r>
      <w:r w:rsidRPr="006117E0">
        <w:rPr>
          <w:lang w:val="es-ES"/>
        </w:rPr>
        <w:tab/>
        <w:t>Ciclo de implementación 2026-2029: atribución de recursos del PO-26</w:t>
      </w:r>
    </w:p>
    <w:p w14:paraId="1C2C8062" w14:textId="77777777" w:rsidR="003F29D1" w:rsidRPr="006117E0" w:rsidRDefault="003F29D1" w:rsidP="003F29D1">
      <w:pPr>
        <w:pStyle w:val="Heading2"/>
        <w:rPr>
          <w:lang w:val="es-ES"/>
        </w:rPr>
      </w:pPr>
      <w:r w:rsidRPr="006117E0">
        <w:rPr>
          <w:lang w:val="es-ES"/>
        </w:rPr>
        <w:t>2.1</w:t>
      </w:r>
      <w:r w:rsidRPr="006117E0">
        <w:rPr>
          <w:lang w:val="es-ES"/>
        </w:rPr>
        <w:tab/>
        <w:t>Asignación general de fondos para la ejecución del PO-26</w:t>
      </w:r>
    </w:p>
    <w:p w14:paraId="7245E0AD" w14:textId="77777777" w:rsidR="003F29D1" w:rsidRPr="006117E0" w:rsidRDefault="003F29D1" w:rsidP="003F29D1">
      <w:pPr>
        <w:rPr>
          <w:lang w:val="es-ES"/>
        </w:rPr>
      </w:pPr>
      <w:r w:rsidRPr="006117E0">
        <w:rPr>
          <w:lang w:val="es-ES"/>
        </w:rPr>
        <w:t>Sobre la base de la nueva estructura del PAB y de la experiencia adquirida en la aplicación del PAK, los fondos disponibles en el marco del PO-26 (Cuadro 1) se asignaron mediante consultas internas entre la Sede y las Oficinas Regionales y Zonales, así como mediante consultas con los Estados Miembros, y en armonía con las prioridades de cada región.</w:t>
      </w:r>
    </w:p>
    <w:p w14:paraId="7DC94C13" w14:textId="77777777" w:rsidR="003F29D1" w:rsidRPr="006117E0" w:rsidRDefault="003F29D1" w:rsidP="003F29D1">
      <w:pPr>
        <w:rPr>
          <w:lang w:val="es-ES"/>
        </w:rPr>
      </w:pPr>
      <w:r w:rsidRPr="006117E0">
        <w:rPr>
          <w:lang w:val="es-ES"/>
        </w:rPr>
        <w:t>Cabe señalar que las cifras que presentan a continuación reflejan exclusivamente los fondos disponibles para actividades y servicios externos del PO-26. Varios productos y servicios del UIT-D son proporcionados por personal interno sin generar costos adicionales, por lo que no se han incluido en el Cuadro 1.</w:t>
      </w:r>
    </w:p>
    <w:p w14:paraId="2E785F3A" w14:textId="77777777" w:rsidR="003F29D1" w:rsidRPr="006117E0" w:rsidRDefault="003F29D1" w:rsidP="003F29D1">
      <w:pPr>
        <w:pStyle w:val="Tabletitle"/>
        <w:spacing w:before="120"/>
        <w:rPr>
          <w:lang w:val="es-ES"/>
        </w:rPr>
      </w:pPr>
      <w:r w:rsidRPr="006117E0">
        <w:rPr>
          <w:lang w:val="es-ES"/>
        </w:rPr>
        <w:t>Cuadro 1: desglose de los fondos atribuidos en el marco del PO-26, por Prioridad del UIT-D</w:t>
      </w:r>
    </w:p>
    <w:tbl>
      <w:tblPr>
        <w:tblW w:w="5002" w:type="pct"/>
        <w:tblInd w:w="-3" w:type="dxa"/>
        <w:tblCellMar>
          <w:left w:w="28" w:type="dxa"/>
          <w:right w:w="28" w:type="dxa"/>
        </w:tblCellMar>
        <w:tblLook w:val="04A0" w:firstRow="1" w:lastRow="0" w:firstColumn="1" w:lastColumn="0" w:noHBand="0" w:noVBand="1"/>
      </w:tblPr>
      <w:tblGrid>
        <w:gridCol w:w="6095"/>
        <w:gridCol w:w="2408"/>
        <w:gridCol w:w="1130"/>
      </w:tblGrid>
      <w:tr w:rsidR="003F29D1" w:rsidRPr="006117E0" w14:paraId="34806F33" w14:textId="77777777" w:rsidTr="006177B7">
        <w:trPr>
          <w:trHeight w:val="492"/>
          <w:tblHeader/>
        </w:trPr>
        <w:tc>
          <w:tcPr>
            <w:tcW w:w="6095" w:type="dxa"/>
            <w:tcBorders>
              <w:top w:val="single" w:sz="4" w:space="0" w:color="4D93D9"/>
              <w:left w:val="single" w:sz="4" w:space="0" w:color="4D93D9"/>
              <w:bottom w:val="single" w:sz="4" w:space="0" w:color="4D93D9"/>
              <w:right w:val="single" w:sz="4" w:space="0" w:color="4D93D9"/>
            </w:tcBorders>
            <w:shd w:val="clear" w:color="auto" w:fill="156082"/>
            <w:noWrap/>
            <w:hideMark/>
          </w:tcPr>
          <w:p w14:paraId="5AEA0451" w14:textId="77777777" w:rsidR="003F29D1" w:rsidRPr="006117E0" w:rsidRDefault="003F29D1" w:rsidP="006177B7">
            <w:pPr>
              <w:pStyle w:val="Tablehead"/>
              <w:rPr>
                <w:color w:val="FFFFFF" w:themeColor="background1"/>
                <w:lang w:val="es-ES"/>
              </w:rPr>
            </w:pPr>
            <w:r w:rsidRPr="006117E0">
              <w:rPr>
                <w:color w:val="FFFFFF" w:themeColor="background1"/>
                <w:lang w:val="es-ES"/>
              </w:rPr>
              <w:t>Prioridades y factor habilitador del UIT-D</w:t>
            </w:r>
          </w:p>
        </w:tc>
        <w:tc>
          <w:tcPr>
            <w:tcW w:w="2408" w:type="dxa"/>
            <w:tcBorders>
              <w:top w:val="single" w:sz="4" w:space="0" w:color="4D93D9"/>
              <w:left w:val="single" w:sz="4" w:space="0" w:color="4D93D9"/>
              <w:bottom w:val="single" w:sz="4" w:space="0" w:color="4D93D9"/>
              <w:right w:val="single" w:sz="4" w:space="0" w:color="4D93D9"/>
            </w:tcBorders>
            <w:shd w:val="clear" w:color="auto" w:fill="156082"/>
            <w:noWrap/>
            <w:hideMark/>
          </w:tcPr>
          <w:p w14:paraId="5EB485DE" w14:textId="77777777" w:rsidR="003F29D1" w:rsidRPr="006117E0" w:rsidRDefault="003F29D1" w:rsidP="006177B7">
            <w:pPr>
              <w:pStyle w:val="Tablehead"/>
              <w:rPr>
                <w:color w:val="FFFFFF" w:themeColor="background1"/>
                <w:lang w:val="es-ES"/>
              </w:rPr>
            </w:pPr>
            <w:r w:rsidRPr="006117E0">
              <w:rPr>
                <w:color w:val="FFFFFF" w:themeColor="background1"/>
                <w:lang w:val="es-ES"/>
              </w:rPr>
              <w:t>Presupuesto de 2026 (CHF)</w:t>
            </w:r>
          </w:p>
        </w:tc>
        <w:tc>
          <w:tcPr>
            <w:tcW w:w="1130" w:type="dxa"/>
            <w:tcBorders>
              <w:top w:val="single" w:sz="4" w:space="0" w:color="4D93D9"/>
              <w:left w:val="single" w:sz="4" w:space="0" w:color="4D93D9"/>
              <w:bottom w:val="single" w:sz="4" w:space="0" w:color="4D93D9"/>
              <w:right w:val="single" w:sz="4" w:space="0" w:color="4D93D9"/>
            </w:tcBorders>
            <w:shd w:val="clear" w:color="auto" w:fill="156082"/>
            <w:noWrap/>
            <w:hideMark/>
          </w:tcPr>
          <w:p w14:paraId="4E808BCF" w14:textId="77777777" w:rsidR="003F29D1" w:rsidRPr="006117E0" w:rsidRDefault="003F29D1" w:rsidP="006177B7">
            <w:pPr>
              <w:pStyle w:val="Tablehead"/>
              <w:rPr>
                <w:color w:val="FFFFFF" w:themeColor="background1"/>
                <w:lang w:val="es-ES"/>
              </w:rPr>
            </w:pPr>
            <w:r w:rsidRPr="006117E0">
              <w:rPr>
                <w:color w:val="FFFFFF" w:themeColor="background1"/>
                <w:lang w:val="es-ES"/>
              </w:rPr>
              <w:t>% del presupuesto</w:t>
            </w:r>
          </w:p>
        </w:tc>
      </w:tr>
      <w:tr w:rsidR="003F29D1" w:rsidRPr="006117E0" w14:paraId="4717C25D" w14:textId="77777777" w:rsidTr="006177B7">
        <w:trPr>
          <w:trHeight w:val="780"/>
        </w:trPr>
        <w:tc>
          <w:tcPr>
            <w:tcW w:w="6095" w:type="dxa"/>
            <w:tcBorders>
              <w:top w:val="single" w:sz="4" w:space="0" w:color="4D93D9"/>
              <w:left w:val="single" w:sz="4" w:space="0" w:color="4D93D9"/>
              <w:bottom w:val="single" w:sz="4" w:space="0" w:color="4D93D9"/>
              <w:right w:val="single" w:sz="4" w:space="0" w:color="4D93D9"/>
            </w:tcBorders>
            <w:shd w:val="clear" w:color="auto" w:fill="C0E6F5"/>
            <w:hideMark/>
          </w:tcPr>
          <w:p w14:paraId="3E36B9B1" w14:textId="1EEB5128" w:rsidR="003F29D1" w:rsidRPr="006117E0" w:rsidRDefault="003F29D1" w:rsidP="00BD0321">
            <w:pPr>
              <w:pStyle w:val="Tabletext"/>
              <w:rPr>
                <w:lang w:val="es-ES"/>
              </w:rPr>
            </w:pPr>
            <w:r w:rsidRPr="006117E0">
              <w:rPr>
                <w:b/>
                <w:bCs/>
                <w:lang w:val="es-ES"/>
              </w:rPr>
              <w:t xml:space="preserve">P1 </w:t>
            </w:r>
            <w:r w:rsidR="00BD0321" w:rsidRPr="006117E0">
              <w:rPr>
                <w:b/>
                <w:bCs/>
                <w:lang w:val="es-ES"/>
              </w:rPr>
              <w:t>–</w:t>
            </w:r>
            <w:r w:rsidRPr="006117E0">
              <w:rPr>
                <w:b/>
                <w:bCs/>
                <w:lang w:val="es-ES"/>
              </w:rPr>
              <w:t xml:space="preserve"> Conectividad asequible</w:t>
            </w:r>
            <w:r w:rsidRPr="006117E0">
              <w:rPr>
                <w:b/>
                <w:bCs/>
                <w:lang w:val="es-ES"/>
              </w:rPr>
              <w:br/>
            </w:r>
            <w:r w:rsidRPr="006117E0">
              <w:rPr>
                <w:lang w:val="es-ES"/>
              </w:rPr>
              <w:t>(incluidas infraestructuras digitales y de red, telecomunicaciones de emergencia)</w:t>
            </w:r>
          </w:p>
        </w:tc>
        <w:tc>
          <w:tcPr>
            <w:tcW w:w="2408"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547E7DB0" w14:textId="3CE45709" w:rsidR="003F29D1" w:rsidRPr="006117E0" w:rsidRDefault="00BD0321" w:rsidP="006177B7">
            <w:pPr>
              <w:pStyle w:val="Tabletext"/>
              <w:jc w:val="right"/>
              <w:rPr>
                <w:lang w:val="es-ES"/>
              </w:rPr>
            </w:pPr>
            <w:r w:rsidRPr="006117E0">
              <w:rPr>
                <w:lang w:val="es-ES"/>
              </w:rPr>
              <w:t>552</w:t>
            </w:r>
            <w:r w:rsidR="003F29D1" w:rsidRPr="006117E0">
              <w:rPr>
                <w:lang w:val="es-ES"/>
              </w:rPr>
              <w:t> 000</w:t>
            </w:r>
          </w:p>
        </w:tc>
        <w:tc>
          <w:tcPr>
            <w:tcW w:w="113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13A8A03B" w14:textId="1041C057" w:rsidR="003F29D1" w:rsidRPr="006117E0" w:rsidRDefault="00BD0321" w:rsidP="006177B7">
            <w:pPr>
              <w:pStyle w:val="Tabletext"/>
              <w:jc w:val="right"/>
              <w:rPr>
                <w:lang w:val="es-ES"/>
              </w:rPr>
            </w:pPr>
            <w:r w:rsidRPr="006117E0">
              <w:rPr>
                <w:lang w:val="es-ES"/>
              </w:rPr>
              <w:t xml:space="preserve">14,48 </w:t>
            </w:r>
            <w:r w:rsidR="003F29D1" w:rsidRPr="006117E0">
              <w:rPr>
                <w:lang w:val="es-ES"/>
              </w:rPr>
              <w:t>%</w:t>
            </w:r>
          </w:p>
        </w:tc>
      </w:tr>
      <w:tr w:rsidR="003F29D1" w:rsidRPr="006117E0" w14:paraId="74B7A828" w14:textId="77777777" w:rsidTr="006177B7">
        <w:trPr>
          <w:trHeight w:val="1200"/>
        </w:trPr>
        <w:tc>
          <w:tcPr>
            <w:tcW w:w="6095" w:type="dxa"/>
            <w:tcBorders>
              <w:top w:val="single" w:sz="4" w:space="0" w:color="4D93D9"/>
              <w:left w:val="single" w:sz="4" w:space="0" w:color="4D93D9"/>
              <w:bottom w:val="single" w:sz="4" w:space="0" w:color="4D93D9"/>
              <w:right w:val="single" w:sz="4" w:space="0" w:color="4D93D9"/>
            </w:tcBorders>
            <w:hideMark/>
          </w:tcPr>
          <w:p w14:paraId="758835D6" w14:textId="7E777D9C" w:rsidR="003F29D1" w:rsidRPr="006117E0" w:rsidRDefault="003F29D1" w:rsidP="00BD0321">
            <w:pPr>
              <w:pStyle w:val="Tabletext"/>
              <w:rPr>
                <w:b/>
                <w:bCs/>
                <w:lang w:val="es-ES"/>
              </w:rPr>
            </w:pPr>
            <w:r w:rsidRPr="006117E0">
              <w:rPr>
                <w:b/>
                <w:bCs/>
                <w:lang w:val="es-ES"/>
              </w:rPr>
              <w:t xml:space="preserve">P2 </w:t>
            </w:r>
            <w:r w:rsidR="00BD0321" w:rsidRPr="006117E0">
              <w:rPr>
                <w:b/>
                <w:bCs/>
                <w:lang w:val="es-ES"/>
              </w:rPr>
              <w:t>–</w:t>
            </w:r>
            <w:r w:rsidRPr="006117E0">
              <w:rPr>
                <w:b/>
                <w:bCs/>
                <w:lang w:val="es-ES"/>
              </w:rPr>
              <w:t xml:space="preserve"> Transformación digital</w:t>
            </w:r>
            <w:r w:rsidRPr="006117E0">
              <w:rPr>
                <w:b/>
                <w:bCs/>
                <w:lang w:val="es-ES"/>
              </w:rPr>
              <w:br/>
            </w:r>
            <w:r w:rsidRPr="006117E0">
              <w:rPr>
                <w:lang w:val="es-ES"/>
              </w:rPr>
              <w:t>(incluidos capacitación, ecosistemas de innovación digital, servicios y aplicaciones digitales, compromisos para con la sostenibilidad medioambiental)</w:t>
            </w:r>
          </w:p>
        </w:tc>
        <w:tc>
          <w:tcPr>
            <w:tcW w:w="2408" w:type="dxa"/>
            <w:tcBorders>
              <w:top w:val="single" w:sz="4" w:space="0" w:color="44B3E1"/>
              <w:left w:val="nil"/>
              <w:bottom w:val="single" w:sz="4" w:space="0" w:color="44B3E1"/>
              <w:right w:val="nil"/>
            </w:tcBorders>
            <w:noWrap/>
            <w:hideMark/>
          </w:tcPr>
          <w:p w14:paraId="05863A99" w14:textId="663EBF67" w:rsidR="003F29D1" w:rsidRPr="006117E0" w:rsidRDefault="00BD0321" w:rsidP="006177B7">
            <w:pPr>
              <w:pStyle w:val="Tabletext"/>
              <w:jc w:val="right"/>
              <w:rPr>
                <w:lang w:val="es-ES"/>
              </w:rPr>
            </w:pPr>
            <w:r w:rsidRPr="006117E0">
              <w:rPr>
                <w:lang w:val="es-ES"/>
              </w:rPr>
              <w:t xml:space="preserve">899 500 </w:t>
            </w:r>
          </w:p>
        </w:tc>
        <w:tc>
          <w:tcPr>
            <w:tcW w:w="1130" w:type="dxa"/>
            <w:tcBorders>
              <w:top w:val="single" w:sz="4" w:space="0" w:color="4D93D9"/>
              <w:left w:val="single" w:sz="4" w:space="0" w:color="4D93D9"/>
              <w:bottom w:val="single" w:sz="4" w:space="0" w:color="4D93D9"/>
              <w:right w:val="single" w:sz="4" w:space="0" w:color="4D93D9"/>
            </w:tcBorders>
            <w:noWrap/>
            <w:hideMark/>
          </w:tcPr>
          <w:p w14:paraId="0982A9C5" w14:textId="292B1E1B" w:rsidR="003F29D1" w:rsidRPr="006117E0" w:rsidRDefault="00BD0321" w:rsidP="006177B7">
            <w:pPr>
              <w:pStyle w:val="Tabletext"/>
              <w:jc w:val="right"/>
              <w:rPr>
                <w:lang w:val="es-ES"/>
              </w:rPr>
            </w:pPr>
            <w:r w:rsidRPr="006117E0">
              <w:rPr>
                <w:lang w:val="es-ES"/>
              </w:rPr>
              <w:t xml:space="preserve">23,59 </w:t>
            </w:r>
            <w:r w:rsidR="003F29D1" w:rsidRPr="006117E0">
              <w:rPr>
                <w:lang w:val="es-ES"/>
              </w:rPr>
              <w:t>%</w:t>
            </w:r>
          </w:p>
        </w:tc>
      </w:tr>
      <w:tr w:rsidR="003F29D1" w:rsidRPr="006117E0" w14:paraId="06CABF63" w14:textId="77777777" w:rsidTr="006177B7">
        <w:trPr>
          <w:trHeight w:val="762"/>
        </w:trPr>
        <w:tc>
          <w:tcPr>
            <w:tcW w:w="6095" w:type="dxa"/>
            <w:tcBorders>
              <w:top w:val="single" w:sz="4" w:space="0" w:color="4D93D9"/>
              <w:left w:val="single" w:sz="4" w:space="0" w:color="4D93D9"/>
              <w:bottom w:val="single" w:sz="4" w:space="0" w:color="4D93D9"/>
              <w:right w:val="single" w:sz="4" w:space="0" w:color="4D93D9"/>
            </w:tcBorders>
            <w:shd w:val="clear" w:color="auto" w:fill="C0E6F5"/>
            <w:hideMark/>
          </w:tcPr>
          <w:p w14:paraId="44BAEC36" w14:textId="45CC8AF5" w:rsidR="003F29D1" w:rsidRPr="006117E0" w:rsidRDefault="003F29D1" w:rsidP="00BD0321">
            <w:pPr>
              <w:pStyle w:val="Tabletext"/>
              <w:rPr>
                <w:lang w:val="es-ES"/>
              </w:rPr>
            </w:pPr>
            <w:r w:rsidRPr="006117E0">
              <w:rPr>
                <w:b/>
                <w:bCs/>
                <w:lang w:val="es-ES"/>
              </w:rPr>
              <w:t xml:space="preserve">P3 </w:t>
            </w:r>
            <w:r w:rsidR="00BD0321" w:rsidRPr="006117E0">
              <w:rPr>
                <w:b/>
                <w:bCs/>
                <w:lang w:val="es-ES"/>
              </w:rPr>
              <w:t xml:space="preserve">– </w:t>
            </w:r>
            <w:r w:rsidRPr="006117E0">
              <w:rPr>
                <w:b/>
                <w:bCs/>
                <w:lang w:val="es-ES"/>
              </w:rPr>
              <w:t>Entorno político y normativo propicio</w:t>
            </w:r>
            <w:r w:rsidRPr="006117E0">
              <w:rPr>
                <w:b/>
                <w:bCs/>
                <w:lang w:val="es-ES"/>
              </w:rPr>
              <w:br/>
            </w:r>
            <w:r w:rsidRPr="006117E0">
              <w:rPr>
                <w:lang w:val="es-ES"/>
              </w:rPr>
              <w:t>(incluidas presentación de datos y estadísticas, política y reglamentación)</w:t>
            </w:r>
          </w:p>
        </w:tc>
        <w:tc>
          <w:tcPr>
            <w:tcW w:w="2408" w:type="dxa"/>
            <w:tcBorders>
              <w:top w:val="single" w:sz="4" w:space="0" w:color="44B3E1"/>
              <w:left w:val="nil"/>
              <w:bottom w:val="single" w:sz="4" w:space="0" w:color="44B3E1"/>
              <w:right w:val="nil"/>
            </w:tcBorders>
            <w:shd w:val="clear" w:color="auto" w:fill="C0E6F5"/>
            <w:noWrap/>
            <w:hideMark/>
          </w:tcPr>
          <w:p w14:paraId="520499D3" w14:textId="25FE367B" w:rsidR="003F29D1" w:rsidRPr="006117E0" w:rsidRDefault="00BD0321" w:rsidP="006177B7">
            <w:pPr>
              <w:pStyle w:val="Tabletext"/>
              <w:jc w:val="right"/>
              <w:rPr>
                <w:lang w:val="es-ES"/>
              </w:rPr>
            </w:pPr>
            <w:r w:rsidRPr="006117E0">
              <w:rPr>
                <w:lang w:val="es-ES"/>
              </w:rPr>
              <w:t>725 000</w:t>
            </w:r>
          </w:p>
        </w:tc>
        <w:tc>
          <w:tcPr>
            <w:tcW w:w="113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158E1510" w14:textId="564E809D" w:rsidR="003F29D1" w:rsidRPr="006117E0" w:rsidRDefault="00BD0321" w:rsidP="006177B7">
            <w:pPr>
              <w:pStyle w:val="Tabletext"/>
              <w:jc w:val="right"/>
              <w:rPr>
                <w:lang w:val="es-ES"/>
              </w:rPr>
            </w:pPr>
            <w:r w:rsidRPr="006117E0">
              <w:rPr>
                <w:lang w:val="es-ES"/>
              </w:rPr>
              <w:t xml:space="preserve">19,01 </w:t>
            </w:r>
            <w:r w:rsidR="003F29D1" w:rsidRPr="006117E0">
              <w:rPr>
                <w:lang w:val="es-ES"/>
              </w:rPr>
              <w:t>%</w:t>
            </w:r>
          </w:p>
        </w:tc>
      </w:tr>
      <w:tr w:rsidR="003F29D1" w:rsidRPr="006117E0" w14:paraId="5DC36034" w14:textId="77777777" w:rsidTr="006177B7">
        <w:trPr>
          <w:trHeight w:val="720"/>
        </w:trPr>
        <w:tc>
          <w:tcPr>
            <w:tcW w:w="6095" w:type="dxa"/>
            <w:tcBorders>
              <w:top w:val="single" w:sz="4" w:space="0" w:color="4D93D9"/>
              <w:left w:val="single" w:sz="4" w:space="0" w:color="4D93D9"/>
              <w:bottom w:val="single" w:sz="4" w:space="0" w:color="4D93D9"/>
              <w:right w:val="single" w:sz="4" w:space="0" w:color="4D93D9"/>
            </w:tcBorders>
            <w:hideMark/>
          </w:tcPr>
          <w:p w14:paraId="2B1CF1C3" w14:textId="1D5F1643" w:rsidR="003F29D1" w:rsidRPr="006117E0" w:rsidRDefault="003F29D1" w:rsidP="00BD0321">
            <w:pPr>
              <w:pStyle w:val="Tabletext"/>
              <w:rPr>
                <w:lang w:val="es-ES"/>
              </w:rPr>
            </w:pPr>
            <w:r w:rsidRPr="006117E0">
              <w:rPr>
                <w:b/>
                <w:bCs/>
                <w:lang w:val="es-ES"/>
              </w:rPr>
              <w:lastRenderedPageBreak/>
              <w:t xml:space="preserve">P4 </w:t>
            </w:r>
            <w:r w:rsidR="00BD0321" w:rsidRPr="006117E0">
              <w:rPr>
                <w:b/>
                <w:bCs/>
                <w:lang w:val="es-ES"/>
              </w:rPr>
              <w:t>–</w:t>
            </w:r>
            <w:r w:rsidRPr="006117E0">
              <w:rPr>
                <w:b/>
                <w:bCs/>
                <w:lang w:val="es-ES"/>
              </w:rPr>
              <w:t xml:space="preserve"> Movilización de recursos, asociaciones y cooperación internacional</w:t>
            </w:r>
            <w:r w:rsidRPr="006117E0">
              <w:rPr>
                <w:b/>
                <w:bCs/>
                <w:lang w:val="es-ES"/>
              </w:rPr>
              <w:br/>
            </w:r>
            <w:r w:rsidRPr="006117E0">
              <w:rPr>
                <w:lang w:val="es-ES"/>
              </w:rPr>
              <w:t>(incluidas asociaciones transversales)</w:t>
            </w:r>
          </w:p>
        </w:tc>
        <w:tc>
          <w:tcPr>
            <w:tcW w:w="2408" w:type="dxa"/>
            <w:tcBorders>
              <w:top w:val="single" w:sz="4" w:space="0" w:color="4D93D9"/>
              <w:left w:val="single" w:sz="4" w:space="0" w:color="4D93D9"/>
              <w:bottom w:val="single" w:sz="4" w:space="0" w:color="4D93D9"/>
              <w:right w:val="single" w:sz="4" w:space="0" w:color="4D93D9"/>
            </w:tcBorders>
            <w:noWrap/>
            <w:hideMark/>
          </w:tcPr>
          <w:p w14:paraId="1073938B" w14:textId="0903BC25" w:rsidR="003F29D1" w:rsidRPr="006117E0" w:rsidRDefault="00BD0321" w:rsidP="006177B7">
            <w:pPr>
              <w:pStyle w:val="Tabletext"/>
              <w:jc w:val="right"/>
              <w:rPr>
                <w:lang w:val="es-ES"/>
              </w:rPr>
            </w:pPr>
            <w:r w:rsidRPr="006117E0">
              <w:rPr>
                <w:lang w:val="es-ES"/>
              </w:rPr>
              <w:t>319,385</w:t>
            </w:r>
          </w:p>
        </w:tc>
        <w:tc>
          <w:tcPr>
            <w:tcW w:w="1130" w:type="dxa"/>
            <w:tcBorders>
              <w:top w:val="single" w:sz="4" w:space="0" w:color="4D93D9"/>
              <w:left w:val="single" w:sz="4" w:space="0" w:color="4D93D9"/>
              <w:bottom w:val="single" w:sz="4" w:space="0" w:color="4D93D9"/>
              <w:right w:val="single" w:sz="4" w:space="0" w:color="4D93D9"/>
            </w:tcBorders>
            <w:noWrap/>
            <w:hideMark/>
          </w:tcPr>
          <w:p w14:paraId="3CEFFCD6" w14:textId="44DBE0B6" w:rsidR="003F29D1" w:rsidRPr="006117E0" w:rsidRDefault="00BD0321" w:rsidP="006177B7">
            <w:pPr>
              <w:pStyle w:val="Tabletext"/>
              <w:jc w:val="right"/>
              <w:rPr>
                <w:lang w:val="es-ES"/>
              </w:rPr>
            </w:pPr>
            <w:r w:rsidRPr="006117E0">
              <w:rPr>
                <w:lang w:val="es-ES"/>
              </w:rPr>
              <w:t xml:space="preserve">8,38 </w:t>
            </w:r>
            <w:r w:rsidR="003F29D1" w:rsidRPr="006117E0">
              <w:rPr>
                <w:lang w:val="es-ES"/>
              </w:rPr>
              <w:t>%</w:t>
            </w:r>
          </w:p>
        </w:tc>
      </w:tr>
      <w:tr w:rsidR="003F29D1" w:rsidRPr="006117E0" w14:paraId="16C78B24" w14:textId="77777777" w:rsidTr="006177B7">
        <w:trPr>
          <w:trHeight w:val="919"/>
        </w:trPr>
        <w:tc>
          <w:tcPr>
            <w:tcW w:w="6095" w:type="dxa"/>
            <w:tcBorders>
              <w:top w:val="single" w:sz="4" w:space="0" w:color="4D93D9"/>
              <w:left w:val="single" w:sz="4" w:space="0" w:color="4D93D9"/>
              <w:bottom w:val="single" w:sz="4" w:space="0" w:color="4D93D9"/>
              <w:right w:val="single" w:sz="4" w:space="0" w:color="4D93D9"/>
            </w:tcBorders>
            <w:shd w:val="clear" w:color="auto" w:fill="C0E6F5"/>
            <w:hideMark/>
          </w:tcPr>
          <w:p w14:paraId="2B4E8927" w14:textId="6A82FE2A" w:rsidR="003F29D1" w:rsidRPr="006117E0" w:rsidRDefault="003F29D1" w:rsidP="00BD0321">
            <w:pPr>
              <w:pStyle w:val="Tabletext"/>
              <w:rPr>
                <w:b/>
                <w:bCs/>
                <w:lang w:val="es-ES"/>
              </w:rPr>
            </w:pPr>
            <w:r w:rsidRPr="006117E0">
              <w:rPr>
                <w:b/>
                <w:bCs/>
                <w:lang w:val="es-ES"/>
              </w:rPr>
              <w:t xml:space="preserve">P5 </w:t>
            </w:r>
            <w:r w:rsidR="00BD0321" w:rsidRPr="006117E0">
              <w:rPr>
                <w:b/>
                <w:bCs/>
                <w:lang w:val="es-ES"/>
              </w:rPr>
              <w:t>–</w:t>
            </w:r>
            <w:r w:rsidRPr="006117E0">
              <w:rPr>
                <w:b/>
                <w:bCs/>
                <w:lang w:val="es-ES"/>
              </w:rPr>
              <w:t xml:space="preserve"> Telecomunicaciones/TIC inclusivas y seguras para el desarrollo sostenible</w:t>
            </w:r>
          </w:p>
          <w:p w14:paraId="7EF063F9" w14:textId="77777777" w:rsidR="003F29D1" w:rsidRPr="006117E0" w:rsidRDefault="003F29D1" w:rsidP="006177B7">
            <w:pPr>
              <w:pStyle w:val="Tabletext"/>
              <w:rPr>
                <w:lang w:val="es-ES"/>
              </w:rPr>
            </w:pPr>
            <w:r w:rsidRPr="006117E0">
              <w:rPr>
                <w:lang w:val="es-ES"/>
              </w:rPr>
              <w:t>(incluidas ciberseguridad, inclusión digital)</w:t>
            </w:r>
          </w:p>
        </w:tc>
        <w:tc>
          <w:tcPr>
            <w:tcW w:w="2408" w:type="dxa"/>
            <w:tcBorders>
              <w:top w:val="single" w:sz="4" w:space="0" w:color="44B3E1"/>
              <w:left w:val="nil"/>
              <w:bottom w:val="single" w:sz="4" w:space="0" w:color="44B3E1"/>
              <w:right w:val="nil"/>
            </w:tcBorders>
            <w:shd w:val="clear" w:color="auto" w:fill="C0E6F5"/>
            <w:noWrap/>
            <w:hideMark/>
          </w:tcPr>
          <w:p w14:paraId="67383A3F" w14:textId="77777777" w:rsidR="003F29D1" w:rsidRPr="006117E0" w:rsidRDefault="003F29D1" w:rsidP="006177B7">
            <w:pPr>
              <w:pStyle w:val="Tabletext"/>
              <w:jc w:val="right"/>
              <w:rPr>
                <w:lang w:val="es-ES"/>
              </w:rPr>
            </w:pPr>
            <w:r w:rsidRPr="006117E0">
              <w:rPr>
                <w:lang w:val="es-ES"/>
              </w:rPr>
              <w:t>736 500</w:t>
            </w:r>
          </w:p>
        </w:tc>
        <w:tc>
          <w:tcPr>
            <w:tcW w:w="113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731F6737" w14:textId="748F5295" w:rsidR="003F29D1" w:rsidRPr="006117E0" w:rsidRDefault="003F29D1" w:rsidP="006177B7">
            <w:pPr>
              <w:pStyle w:val="Tabletext"/>
              <w:jc w:val="right"/>
              <w:rPr>
                <w:lang w:val="es-ES"/>
              </w:rPr>
            </w:pPr>
            <w:r w:rsidRPr="006117E0">
              <w:rPr>
                <w:lang w:val="es-ES"/>
              </w:rPr>
              <w:t>19,3</w:t>
            </w:r>
            <w:r w:rsidR="00BD0321" w:rsidRPr="006117E0">
              <w:rPr>
                <w:lang w:val="es-ES"/>
              </w:rPr>
              <w:t xml:space="preserve">2 </w:t>
            </w:r>
            <w:r w:rsidRPr="006117E0">
              <w:rPr>
                <w:lang w:val="es-ES"/>
              </w:rPr>
              <w:t>%</w:t>
            </w:r>
          </w:p>
        </w:tc>
      </w:tr>
      <w:tr w:rsidR="003F29D1" w:rsidRPr="006117E0" w14:paraId="586EAAE2" w14:textId="77777777" w:rsidTr="006177B7">
        <w:trPr>
          <w:trHeight w:val="942"/>
        </w:trPr>
        <w:tc>
          <w:tcPr>
            <w:tcW w:w="6095" w:type="dxa"/>
            <w:tcBorders>
              <w:top w:val="single" w:sz="4" w:space="0" w:color="4D93D9"/>
              <w:left w:val="single" w:sz="4" w:space="0" w:color="4D93D9"/>
              <w:bottom w:val="single" w:sz="4" w:space="0" w:color="4D93D9"/>
              <w:right w:val="single" w:sz="4" w:space="0" w:color="4D93D9"/>
            </w:tcBorders>
            <w:hideMark/>
          </w:tcPr>
          <w:p w14:paraId="003195C3" w14:textId="423EDE68" w:rsidR="003F29D1" w:rsidRPr="006117E0" w:rsidRDefault="003F29D1" w:rsidP="00BD0321">
            <w:pPr>
              <w:pStyle w:val="Tabletext"/>
              <w:rPr>
                <w:b/>
                <w:bCs/>
                <w:lang w:val="es-ES"/>
              </w:rPr>
            </w:pPr>
            <w:r w:rsidRPr="006117E0">
              <w:rPr>
                <w:b/>
                <w:bCs/>
                <w:lang w:val="es-ES"/>
              </w:rPr>
              <w:t xml:space="preserve">E </w:t>
            </w:r>
            <w:r w:rsidR="00BD0321" w:rsidRPr="006117E0">
              <w:rPr>
                <w:b/>
                <w:bCs/>
                <w:lang w:val="es-ES"/>
              </w:rPr>
              <w:t>–</w:t>
            </w:r>
            <w:r w:rsidRPr="006117E0">
              <w:rPr>
                <w:b/>
                <w:bCs/>
                <w:lang w:val="es-ES"/>
              </w:rPr>
              <w:t xml:space="preserve"> Excelencia institucional</w:t>
            </w:r>
            <w:r w:rsidRPr="006117E0">
              <w:rPr>
                <w:b/>
                <w:bCs/>
                <w:lang w:val="es-ES"/>
              </w:rPr>
              <w:br/>
            </w:r>
            <w:r w:rsidRPr="006117E0">
              <w:rPr>
                <w:lang w:val="es-ES"/>
              </w:rPr>
              <w:t>(transversal, incluidos impulso de los Miembros, presencia regional, gestión de proyectos y servicios de apoyo)</w:t>
            </w:r>
          </w:p>
        </w:tc>
        <w:tc>
          <w:tcPr>
            <w:tcW w:w="2408" w:type="dxa"/>
            <w:tcBorders>
              <w:top w:val="single" w:sz="4" w:space="0" w:color="44B3E1"/>
              <w:left w:val="nil"/>
              <w:bottom w:val="single" w:sz="4" w:space="0" w:color="44B3E1"/>
              <w:right w:val="nil"/>
            </w:tcBorders>
            <w:noWrap/>
            <w:hideMark/>
          </w:tcPr>
          <w:p w14:paraId="094AF75E" w14:textId="7C14361B" w:rsidR="003F29D1" w:rsidRPr="006117E0" w:rsidRDefault="00BD0321" w:rsidP="006177B7">
            <w:pPr>
              <w:pStyle w:val="Tabletext"/>
              <w:jc w:val="right"/>
              <w:rPr>
                <w:lang w:val="es-ES"/>
              </w:rPr>
            </w:pPr>
            <w:r w:rsidRPr="006117E0">
              <w:rPr>
                <w:lang w:val="es-ES"/>
              </w:rPr>
              <w:t>580 615</w:t>
            </w:r>
          </w:p>
        </w:tc>
        <w:tc>
          <w:tcPr>
            <w:tcW w:w="1130" w:type="dxa"/>
            <w:tcBorders>
              <w:top w:val="single" w:sz="4" w:space="0" w:color="4D93D9"/>
              <w:left w:val="single" w:sz="4" w:space="0" w:color="4D93D9"/>
              <w:bottom w:val="single" w:sz="4" w:space="0" w:color="4D93D9"/>
              <w:right w:val="single" w:sz="4" w:space="0" w:color="4D93D9"/>
            </w:tcBorders>
            <w:noWrap/>
            <w:hideMark/>
          </w:tcPr>
          <w:p w14:paraId="1C0073FE" w14:textId="1BB84879" w:rsidR="003F29D1" w:rsidRPr="006117E0" w:rsidRDefault="00BD0321" w:rsidP="006177B7">
            <w:pPr>
              <w:pStyle w:val="Tabletext"/>
              <w:jc w:val="right"/>
              <w:rPr>
                <w:lang w:val="es-ES"/>
              </w:rPr>
            </w:pPr>
            <w:r w:rsidRPr="006117E0">
              <w:rPr>
                <w:lang w:val="es-ES"/>
              </w:rPr>
              <w:t xml:space="preserve">15,23 </w:t>
            </w:r>
            <w:r w:rsidR="003F29D1" w:rsidRPr="006117E0">
              <w:rPr>
                <w:lang w:val="es-ES"/>
              </w:rPr>
              <w:t>%</w:t>
            </w:r>
          </w:p>
        </w:tc>
      </w:tr>
      <w:tr w:rsidR="003F29D1" w:rsidRPr="006117E0" w14:paraId="5861F8E8" w14:textId="77777777" w:rsidTr="006177B7">
        <w:trPr>
          <w:trHeight w:val="300"/>
        </w:trPr>
        <w:tc>
          <w:tcPr>
            <w:tcW w:w="6095" w:type="dxa"/>
            <w:tcBorders>
              <w:top w:val="single" w:sz="4" w:space="0" w:color="4D93D9"/>
              <w:left w:val="single" w:sz="4" w:space="0" w:color="4D93D9"/>
              <w:bottom w:val="single" w:sz="4" w:space="0" w:color="4D93D9"/>
              <w:right w:val="single" w:sz="4" w:space="0" w:color="4D93D9"/>
            </w:tcBorders>
            <w:shd w:val="clear" w:color="auto" w:fill="C0E6F5"/>
            <w:hideMark/>
          </w:tcPr>
          <w:p w14:paraId="289E85F8" w14:textId="77777777" w:rsidR="003F29D1" w:rsidRPr="006117E0" w:rsidRDefault="003F29D1" w:rsidP="006177B7">
            <w:pPr>
              <w:pStyle w:val="Tabletext"/>
              <w:rPr>
                <w:b/>
                <w:bCs/>
                <w:lang w:val="es-ES"/>
              </w:rPr>
            </w:pPr>
            <w:r w:rsidRPr="006117E0">
              <w:rPr>
                <w:b/>
                <w:bCs/>
                <w:lang w:val="es-ES"/>
              </w:rPr>
              <w:t>Total global</w:t>
            </w:r>
          </w:p>
        </w:tc>
        <w:tc>
          <w:tcPr>
            <w:tcW w:w="2408"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64863F6D" w14:textId="77777777" w:rsidR="003F29D1" w:rsidRPr="006117E0" w:rsidRDefault="003F29D1" w:rsidP="006177B7">
            <w:pPr>
              <w:pStyle w:val="Tabletext"/>
              <w:jc w:val="right"/>
              <w:rPr>
                <w:b/>
                <w:bCs/>
                <w:lang w:val="es-ES"/>
              </w:rPr>
            </w:pPr>
            <w:r w:rsidRPr="006117E0">
              <w:rPr>
                <w:b/>
                <w:bCs/>
                <w:lang w:val="es-ES"/>
              </w:rPr>
              <w:t>3 813 000</w:t>
            </w:r>
          </w:p>
        </w:tc>
        <w:tc>
          <w:tcPr>
            <w:tcW w:w="1130" w:type="dxa"/>
            <w:tcBorders>
              <w:top w:val="single" w:sz="4" w:space="0" w:color="4D93D9"/>
              <w:left w:val="single" w:sz="4" w:space="0" w:color="4D93D9"/>
              <w:bottom w:val="single" w:sz="4" w:space="0" w:color="4D93D9"/>
              <w:right w:val="single" w:sz="4" w:space="0" w:color="4D93D9"/>
            </w:tcBorders>
            <w:shd w:val="clear" w:color="auto" w:fill="C0E6F5"/>
            <w:noWrap/>
            <w:hideMark/>
          </w:tcPr>
          <w:p w14:paraId="0D3C2B9E" w14:textId="77777777" w:rsidR="003F29D1" w:rsidRPr="006117E0" w:rsidRDefault="003F29D1" w:rsidP="006177B7">
            <w:pPr>
              <w:pStyle w:val="Tabletext"/>
              <w:jc w:val="right"/>
              <w:rPr>
                <w:lang w:val="es-ES"/>
              </w:rPr>
            </w:pPr>
            <w:r w:rsidRPr="006117E0">
              <w:rPr>
                <w:lang w:val="es-ES"/>
              </w:rPr>
              <w:t> </w:t>
            </w:r>
          </w:p>
        </w:tc>
      </w:tr>
    </w:tbl>
    <w:p w14:paraId="4D3A5BEB" w14:textId="04A84C81" w:rsidR="003F29D1" w:rsidRPr="006117E0" w:rsidRDefault="003F29D1" w:rsidP="00A00BFA">
      <w:pPr>
        <w:pStyle w:val="Tablelegend"/>
        <w:rPr>
          <w:lang w:val="es-ES"/>
        </w:rPr>
      </w:pPr>
      <w:r w:rsidRPr="006117E0">
        <w:rPr>
          <w:lang w:val="es-ES"/>
        </w:rPr>
        <w:t>Notas:</w:t>
      </w:r>
      <w:r w:rsidR="00A00BFA" w:rsidRPr="006117E0">
        <w:rPr>
          <w:lang w:val="es-ES"/>
        </w:rPr>
        <w:br/>
      </w:r>
      <w:r w:rsidRPr="006117E0">
        <w:rPr>
          <w:lang w:val="es-ES"/>
        </w:rPr>
        <w:t>"P" significa: Prioridad del UIT D;"E" significa: Factor habilitador</w:t>
      </w:r>
    </w:p>
    <w:p w14:paraId="52E5181E" w14:textId="77777777" w:rsidR="003F29D1" w:rsidRPr="006117E0" w:rsidRDefault="003F29D1" w:rsidP="003F29D1">
      <w:pPr>
        <w:pStyle w:val="Heading2"/>
        <w:rPr>
          <w:lang w:val="es-ES"/>
        </w:rPr>
      </w:pPr>
      <w:r w:rsidRPr="006117E0">
        <w:rPr>
          <w:lang w:val="es-ES"/>
        </w:rPr>
        <w:t>2.2</w:t>
      </w:r>
      <w:r w:rsidRPr="006117E0">
        <w:rPr>
          <w:lang w:val="es-ES"/>
        </w:rPr>
        <w:tab/>
        <w:t>Atribución de fondos del PO-26 por región beneficiaria</w:t>
      </w:r>
    </w:p>
    <w:p w14:paraId="39DB1742" w14:textId="77777777" w:rsidR="003F29D1" w:rsidRPr="006117E0" w:rsidRDefault="003F29D1" w:rsidP="003F29D1">
      <w:pPr>
        <w:rPr>
          <w:lang w:val="es-ES"/>
        </w:rPr>
      </w:pPr>
      <w:r w:rsidRPr="006117E0">
        <w:rPr>
          <w:lang w:val="es-ES"/>
        </w:rPr>
        <w:t xml:space="preserve">Sobre la base de la experiencia adquirida en la implementación del Plan de Acción de Kigali y de las necesidades identificadas en las consultas con los Estados Miembros, se ha atribuido ligeramente más de la mitad del presupuesto del PO-26 (56 %) a productos con un enfoque global y actividades multirregionales, que se espera generen un amplio impacto y aprovechen las eficiencias operacionales. </w:t>
      </w:r>
    </w:p>
    <w:p w14:paraId="25180915" w14:textId="77777777" w:rsidR="003F29D1" w:rsidRPr="006117E0" w:rsidRDefault="003F29D1" w:rsidP="003F29D1">
      <w:pPr>
        <w:rPr>
          <w:lang w:val="es-ES"/>
        </w:rPr>
      </w:pPr>
      <w:r w:rsidRPr="006117E0">
        <w:rPr>
          <w:lang w:val="es-ES"/>
        </w:rPr>
        <w:t>Se ha atribuido cerca del 7 % de la financiación a cada región a fin de ofrecer productos armonizados con las prioridades regionales, garantizando una distribución equitativa de los recursos. Se buscarán mayores sinergias de aplicación entre los productos regionales y entre los productos regionales y mundiales, así como con los productos de las demás Oficinas y la Secretaría General de la UIT. Las asociaciones con entidades y proyectos nacionales, regionales y mundiales ejecutados por la BDT seguirán amplificando la influencia de la aplicación del PAB en las regiones y a nivel mundial.</w:t>
      </w:r>
    </w:p>
    <w:p w14:paraId="262136C2" w14:textId="30CB38F8" w:rsidR="003F29D1" w:rsidRPr="006117E0" w:rsidRDefault="003F29D1" w:rsidP="008B0BD5">
      <w:pPr>
        <w:pStyle w:val="Figuretitle"/>
        <w:keepNext w:val="0"/>
        <w:keepLines w:val="0"/>
        <w:rPr>
          <w:lang w:val="es-ES"/>
        </w:rPr>
      </w:pPr>
      <w:r w:rsidRPr="006117E0">
        <w:rPr>
          <w:lang w:val="es-ES"/>
        </w:rPr>
        <w:t>Figura 2: Desglose* de los resultados del PO-26 por región beneficiaria</w:t>
      </w:r>
      <w:r w:rsidRPr="006117E0">
        <w:rPr>
          <w:lang w:val="es-ES"/>
        </w:rPr>
        <w:br/>
        <w:t>(acumulación de todas las Prioridades y el factor habilitador del UIT-D)</w:t>
      </w:r>
    </w:p>
    <w:p w14:paraId="633E78EE" w14:textId="77777777" w:rsidR="003F29D1" w:rsidRPr="006117E0" w:rsidRDefault="003F29D1" w:rsidP="008B0BD5">
      <w:pPr>
        <w:pStyle w:val="Figure"/>
        <w:keepNext w:val="0"/>
        <w:keepLines w:val="0"/>
        <w:rPr>
          <w:lang w:val="es-ES"/>
        </w:rPr>
      </w:pPr>
      <w:r w:rsidRPr="006117E0">
        <w:rPr>
          <w:noProof/>
          <w:lang w:val="es-ES"/>
        </w:rPr>
        <w:drawing>
          <wp:inline distT="0" distB="0" distL="0" distR="0" wp14:anchorId="091B3336" wp14:editId="583273F8">
            <wp:extent cx="3598752" cy="236728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3598752" cy="2367285"/>
                    </a:xfrm>
                    <a:prstGeom prst="rect">
                      <a:avLst/>
                    </a:prstGeom>
                    <a:noFill/>
                  </pic:spPr>
                </pic:pic>
              </a:graphicData>
            </a:graphic>
          </wp:inline>
        </w:drawing>
      </w:r>
    </w:p>
    <w:p w14:paraId="6EB23519" w14:textId="77777777" w:rsidR="003F29D1" w:rsidRPr="006117E0" w:rsidRDefault="003F29D1" w:rsidP="008B0BD5">
      <w:pPr>
        <w:pStyle w:val="Figurelegend"/>
        <w:keepNext w:val="0"/>
        <w:keepLines w:val="0"/>
        <w:rPr>
          <w:lang w:val="es-ES"/>
        </w:rPr>
      </w:pPr>
      <w:r w:rsidRPr="006117E0">
        <w:rPr>
          <w:lang w:val="es-ES"/>
        </w:rPr>
        <w:t>* en % del presupuesto del OP-26</w:t>
      </w:r>
    </w:p>
    <w:p w14:paraId="45ABFCD6" w14:textId="77777777" w:rsidR="003F29D1" w:rsidRPr="006117E0" w:rsidRDefault="003F29D1" w:rsidP="003F29D1">
      <w:pPr>
        <w:pStyle w:val="Heading2"/>
        <w:rPr>
          <w:lang w:val="es-ES"/>
        </w:rPr>
      </w:pPr>
      <w:r w:rsidRPr="006117E0">
        <w:rPr>
          <w:lang w:val="es-ES"/>
        </w:rPr>
        <w:lastRenderedPageBreak/>
        <w:t>2.3</w:t>
      </w:r>
      <w:r w:rsidRPr="006117E0">
        <w:rPr>
          <w:lang w:val="es-ES"/>
        </w:rPr>
        <w:tab/>
        <w:t>Vínculos entre las Prioridades del UIT-D y las Prioridades temáticas de la UIT</w:t>
      </w:r>
    </w:p>
    <w:p w14:paraId="720F8836" w14:textId="77777777" w:rsidR="003F29D1" w:rsidRPr="006117E0" w:rsidRDefault="003F29D1" w:rsidP="003F29D1">
      <w:pPr>
        <w:rPr>
          <w:lang w:val="es-ES"/>
        </w:rPr>
      </w:pPr>
      <w:r w:rsidRPr="006117E0">
        <w:rPr>
          <w:lang w:val="es-ES"/>
        </w:rPr>
        <w:t xml:space="preserve">El PAB se utiliza para elaborar el Plan Operacional del UIT-D a fin de supervisar y alcanzar las prioridades identificadas por los Estados Miembros en la CMDT-25 a lo largo del ciclo de ejecución 2026-2029. Se basa en los resultados y orienta la aplicación de estas prioridades en armonía con las prioridades temáticas, las ofertas de productos y servicios y los factores habilitadores definidos en el Plan Estratégico de la UIT para 2024-2027 dentro de los límites fijados en el Plan Financiero para el periodo en cuestión. </w:t>
      </w:r>
    </w:p>
    <w:p w14:paraId="58E98417" w14:textId="77777777" w:rsidR="003F29D1" w:rsidRPr="006117E0" w:rsidRDefault="003F29D1" w:rsidP="003F29D1">
      <w:pPr>
        <w:rPr>
          <w:lang w:val="es-ES"/>
        </w:rPr>
      </w:pPr>
      <w:r w:rsidRPr="006117E0">
        <w:rPr>
          <w:lang w:val="es-ES"/>
        </w:rPr>
        <w:t>Existen fuertes vínculos entre las Prioridades del UIT-D definidas en el PAB y las Prioridades temáticas estipuladas en el Plan Estratégico de la UIT para 2024-2027, como se muestra en el cuadro siguiente.</w:t>
      </w:r>
    </w:p>
    <w:p w14:paraId="117D4598" w14:textId="77777777" w:rsidR="003F29D1" w:rsidRPr="006117E0" w:rsidRDefault="003F29D1" w:rsidP="008B0BD5">
      <w:pPr>
        <w:pStyle w:val="Figuretitle"/>
        <w:keepNext w:val="0"/>
        <w:keepLines w:val="0"/>
        <w:spacing w:before="120"/>
        <w:rPr>
          <w:lang w:val="es-ES"/>
        </w:rPr>
      </w:pPr>
      <w:r w:rsidRPr="006117E0">
        <w:rPr>
          <w:lang w:val="es-ES"/>
        </w:rPr>
        <w:t>Cuadro 2: Vínculos entre las Prioridades y el factor habilitador del UIT-D y las Prioridades temáticas de la UIT</w:t>
      </w:r>
    </w:p>
    <w:p w14:paraId="0DE38687" w14:textId="77777777" w:rsidR="003F29D1" w:rsidRPr="006117E0" w:rsidRDefault="003F29D1" w:rsidP="008B0BD5">
      <w:pPr>
        <w:pStyle w:val="Figure"/>
        <w:keepNext w:val="0"/>
        <w:keepLines w:val="0"/>
        <w:rPr>
          <w:lang w:val="es-ES"/>
        </w:rPr>
      </w:pPr>
      <w:r w:rsidRPr="006117E0">
        <w:rPr>
          <w:noProof/>
          <w:lang w:val="es-ES"/>
        </w:rPr>
        <mc:AlternateContent>
          <mc:Choice Requires="wps">
            <w:drawing>
              <wp:anchor distT="0" distB="0" distL="114300" distR="114300" simplePos="0" relativeHeight="251659264" behindDoc="0" locked="0" layoutInCell="1" allowOverlap="1" wp14:anchorId="526B75BD" wp14:editId="7F90C1E0">
                <wp:simplePos x="0" y="0"/>
                <wp:positionH relativeFrom="column">
                  <wp:posOffset>47615</wp:posOffset>
                </wp:positionH>
                <wp:positionV relativeFrom="paragraph">
                  <wp:posOffset>4095</wp:posOffset>
                </wp:positionV>
                <wp:extent cx="3354430" cy="1589198"/>
                <wp:effectExtent l="0" t="0" r="36830" b="30480"/>
                <wp:wrapNone/>
                <wp:docPr id="15" name="Straight Connector 15"/>
                <wp:cNvGraphicFramePr/>
                <a:graphic xmlns:a="http://schemas.openxmlformats.org/drawingml/2006/main">
                  <a:graphicData uri="http://schemas.microsoft.com/office/word/2010/wordprocessingShape">
                    <wps:wsp>
                      <wps:cNvCnPr/>
                      <wps:spPr>
                        <a:xfrm>
                          <a:off x="0" y="0"/>
                          <a:ext cx="3354430" cy="1589198"/>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2988E4" id="Straight Connector 1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3pt" to="267.9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diyAEAANsDAAAOAAAAZHJzL2Uyb0RvYy54bWysU8tu2zAQvBfoPxC815LiOHAEyzk4aC9F&#10;azTtBzDU0iLAF5asZf99l7SiBGmBokUuFMndGe7MrjZ3J2vYETBq7zreLGrOwEnfa3fo+I/vHz+s&#10;OYtJuF4Y76DjZ4j8bvv+3WYMLVz5wZsekBGJi+0YOj6kFNqqinIAK+LCB3AUVB6tSHTEQ9WjGInd&#10;muqqrm+q0WMf0EuIkW7vL0G+LfxKgUxflYqQmOk41ZbKimV9zGu13Yj2gCIMWk5liP+owgrt6NGZ&#10;6l4kwX6i/o3Kaok+epUW0tvKK6UlFA2kpqlfqXkYRICihcyJYbYpvh2t/HLcI9M99W7FmROWevSQ&#10;UOjDkNjOO0cOemQUJKfGEFsC7Nwep1MMe8yyTwpt/pIgdirunmd34ZSYpMvlcnV9vaQmSIo1q/Vt&#10;c7vOrNUzPGBMn8BbljcdN9pl+aIVx88xXVKfUvK1cWzs+M1yVfpY5fIuBZVdOhu4ZH0DRRKphKaw&#10;leGCnUF2FDQWQkpwqZlKMY6yM0xpY2Zg/XfglJ+hUAbvX8AzorzsXZrBVjuPf3o9nZ5KVpd8cvKF&#10;7rx99P25tKoEaIKK2dO05xF9eS7w539y+wsAAP//AwBQSwMEFAAGAAgAAAAhAE4OIpPcAAAABgEA&#10;AA8AAABkcnMvZG93bnJldi54bWxMj8FOwzAQRO9I/IO1SNyoQ1EKhGyqqhISnFAD9OzGixOI15Ht&#10;pIGvx5zKcTSjmTflera9mMiHzjHC9SIDQdw43bFBeHt9vLoDEaJirXrHhPBNAdbV+VmpCu2OvKOp&#10;jkakEg6FQmhjHAopQ9OSVWHhBuLkfThvVUzSG6m9OqZy28tllq2kVR2nhVYNtG2p+apHiyCfxrk2&#10;+8kZ//LzGTa7Yf++fUa8vJg3DyAizfEUhj/8hA5VYjq4kXUQPcJtnoIIKxDJzG/y9OOAsMyze5BV&#10;Kf/jV78AAAD//wMAUEsBAi0AFAAGAAgAAAAhALaDOJL+AAAA4QEAABMAAAAAAAAAAAAAAAAAAAAA&#10;AFtDb250ZW50X1R5cGVzXS54bWxQSwECLQAUAAYACAAAACEAOP0h/9YAAACUAQAACwAAAAAAAAAA&#10;AAAAAAAvAQAAX3JlbHMvLnJlbHNQSwECLQAUAAYACAAAACEAZxYXYsgBAADbAwAADgAAAAAAAAAA&#10;AAAAAAAuAgAAZHJzL2Uyb0RvYy54bWxQSwECLQAUAAYACAAAACEATg4ik9wAAAAGAQAADwAAAAAA&#10;AAAAAAAAAAAiBAAAZHJzL2Rvd25yZXYueG1sUEsFBgAAAAAEAAQA8wAAACsFAAAAAA==&#10;" strokecolor="#4579b8 [3044]" strokeweight=".5pt"/>
            </w:pict>
          </mc:Fallback>
        </mc:AlternateContent>
      </w:r>
      <w:r w:rsidRPr="006117E0">
        <w:rPr>
          <w:noProof/>
          <w:lang w:val="es-ES"/>
        </w:rPr>
        <w:drawing>
          <wp:inline distT="0" distB="0" distL="0" distR="0" wp14:anchorId="6F6AB5FE" wp14:editId="6BD4C8C8">
            <wp:extent cx="6035727" cy="4937464"/>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678" t="16220" r="1973"/>
                    <a:stretch/>
                  </pic:blipFill>
                  <pic:spPr bwMode="auto">
                    <a:xfrm>
                      <a:off x="0" y="0"/>
                      <a:ext cx="6070899" cy="4966236"/>
                    </a:xfrm>
                    <a:prstGeom prst="rect">
                      <a:avLst/>
                    </a:prstGeom>
                    <a:noFill/>
                    <a:ln>
                      <a:noFill/>
                    </a:ln>
                    <a:extLst>
                      <a:ext uri="{53640926-AAD7-44D8-BBD7-CCE9431645EC}">
                        <a14:shadowObscured xmlns:a14="http://schemas.microsoft.com/office/drawing/2010/main"/>
                      </a:ext>
                    </a:extLst>
                  </pic:spPr>
                </pic:pic>
              </a:graphicData>
            </a:graphic>
          </wp:inline>
        </w:drawing>
      </w:r>
    </w:p>
    <w:p w14:paraId="6CACA642" w14:textId="77777777" w:rsidR="003F29D1" w:rsidRPr="006117E0" w:rsidRDefault="003F29D1" w:rsidP="008B0BD5">
      <w:pPr>
        <w:pStyle w:val="Figurelegend"/>
        <w:keepNext w:val="0"/>
        <w:keepLines w:val="0"/>
        <w:rPr>
          <w:lang w:val="es-ES"/>
        </w:rPr>
      </w:pPr>
      <w:r w:rsidRPr="006117E0">
        <w:rPr>
          <w:lang w:val="es-ES"/>
        </w:rPr>
        <w:t>Nota: después de cada Prioridad/factor habilitador del UIT-D) se enumeran los temas/programas respectivos dentro de los cuales se emprenden las actividades y se ofrecen productos.</w:t>
      </w:r>
    </w:p>
    <w:p w14:paraId="36731B2D" w14:textId="77777777" w:rsidR="003F29D1" w:rsidRPr="006117E0" w:rsidRDefault="003F29D1" w:rsidP="003F29D1">
      <w:pPr>
        <w:pStyle w:val="Heading2"/>
        <w:rPr>
          <w:lang w:val="es-ES"/>
        </w:rPr>
      </w:pPr>
      <w:r w:rsidRPr="006117E0">
        <w:rPr>
          <w:lang w:val="es-ES"/>
        </w:rPr>
        <w:t>2.4</w:t>
      </w:r>
      <w:r w:rsidRPr="006117E0">
        <w:rPr>
          <w:lang w:val="es-ES"/>
        </w:rPr>
        <w:tab/>
        <w:t>Aplicación del PO-26: División de responsabilidades y presentación de informes</w:t>
      </w:r>
    </w:p>
    <w:p w14:paraId="78E66815" w14:textId="77777777" w:rsidR="003F29D1" w:rsidRPr="006117E0" w:rsidRDefault="003F29D1" w:rsidP="003F29D1">
      <w:pPr>
        <w:rPr>
          <w:lang w:val="es-ES"/>
        </w:rPr>
      </w:pPr>
      <w:r w:rsidRPr="006117E0">
        <w:rPr>
          <w:lang w:val="es-ES"/>
        </w:rPr>
        <w:t xml:space="preserve">Los productos definidos en el Plan Operacional para 2026 serán provistos por los Departamentos competentes de la Oficina de Desarrollo de las Telecomunicaciones (BDT) y las Oficinas Regionales. La BDT y la Secretaría prestarán los servicios de apoyo de conformidad con los Acuerdos de Nivel de Servicio anuales acordados (para la prestación de servicios internos). Los servicios de apoyo </w:t>
      </w:r>
      <w:r w:rsidRPr="006117E0">
        <w:rPr>
          <w:lang w:val="es-ES"/>
        </w:rPr>
        <w:lastRenderedPageBreak/>
        <w:t xml:space="preserve">prestados por la Secretaría General vienen descritos en el Plan Operacional de la Secretaría General. </w:t>
      </w:r>
    </w:p>
    <w:p w14:paraId="3A33EC8F" w14:textId="77777777" w:rsidR="003F29D1" w:rsidRPr="006117E0" w:rsidRDefault="003F29D1" w:rsidP="003F29D1">
      <w:pPr>
        <w:keepNext/>
        <w:rPr>
          <w:lang w:val="es-ES"/>
        </w:rPr>
      </w:pPr>
      <w:r w:rsidRPr="006117E0">
        <w:rPr>
          <w:lang w:val="es-ES"/>
        </w:rPr>
        <w:t>La Dirección de la UIT planifica, supervisa y evalúa la entrega de productos (productos y servicios del UIT-D) y los servicios de apoyo conexos con arreglo a los resultados de las Prioridades y el factor habilitador del UIT-D definidos en el PAB y de acuerdo con los objetivos del Plan Estratégico de la UIT. Además:</w:t>
      </w:r>
    </w:p>
    <w:p w14:paraId="7506F865" w14:textId="478B9CD9" w:rsidR="003F29D1" w:rsidRPr="006117E0" w:rsidRDefault="003F29D1" w:rsidP="003F29D1">
      <w:pPr>
        <w:pStyle w:val="enumlev1"/>
        <w:keepNext/>
        <w:keepLines/>
        <w:rPr>
          <w:lang w:val="es-ES"/>
        </w:rPr>
      </w:pPr>
      <w:r w:rsidRPr="006117E0">
        <w:rPr>
          <w:lang w:val="es-ES"/>
        </w:rPr>
        <w:t>–</w:t>
      </w:r>
      <w:r w:rsidRPr="006117E0">
        <w:rPr>
          <w:lang w:val="es-ES"/>
        </w:rPr>
        <w:tab/>
        <w:t>El informe anual al GADT sobre la aplicación del PAB dará cuenta de los productos y servicios prestados por la BDT como contribución</w:t>
      </w:r>
      <w:r w:rsidR="00BD6A5F" w:rsidRPr="006117E0">
        <w:rPr>
          <w:lang w:val="es-ES"/>
        </w:rPr>
        <w:t xml:space="preserve"> </w:t>
      </w:r>
      <w:r w:rsidRPr="006117E0">
        <w:rPr>
          <w:lang w:val="es-ES"/>
        </w:rPr>
        <w:t xml:space="preserve">a las realizaciones definidas en el PAB por los Estados Miembros. </w:t>
      </w:r>
    </w:p>
    <w:p w14:paraId="277441B7" w14:textId="34616BCA" w:rsidR="003F29D1" w:rsidRPr="006117E0" w:rsidRDefault="003F29D1" w:rsidP="003F29D1">
      <w:pPr>
        <w:pStyle w:val="enumlev1"/>
        <w:rPr>
          <w:lang w:val="es-ES"/>
        </w:rPr>
      </w:pPr>
      <w:r w:rsidRPr="006117E0">
        <w:rPr>
          <w:lang w:val="es-ES"/>
        </w:rPr>
        <w:t>–</w:t>
      </w:r>
      <w:r w:rsidRPr="006117E0">
        <w:rPr>
          <w:lang w:val="es-ES"/>
        </w:rPr>
        <w:tab/>
      </w:r>
      <w:r w:rsidR="003112BD" w:rsidRPr="006117E0">
        <w:rPr>
          <w:lang w:val="es-ES"/>
        </w:rPr>
        <w:t>E</w:t>
      </w:r>
      <w:r w:rsidRPr="006117E0">
        <w:rPr>
          <w:lang w:val="es-ES"/>
        </w:rPr>
        <w:t xml:space="preserve">l Informe anual al Consejo sobre la aplicación del Plan Estratégico de la UIT informará sobre los progresos realizados en las prioridades temáticas y en la consecución de las metas estratégicas de la UIT. </w:t>
      </w:r>
    </w:p>
    <w:p w14:paraId="3209C93F" w14:textId="77777777" w:rsidR="003F29D1" w:rsidRPr="006117E0" w:rsidRDefault="003F29D1" w:rsidP="003F29D1">
      <w:pPr>
        <w:pStyle w:val="enumlev1"/>
        <w:rPr>
          <w:lang w:val="es-ES"/>
        </w:rPr>
      </w:pPr>
      <w:r w:rsidRPr="006117E0">
        <w:rPr>
          <w:lang w:val="es-ES"/>
        </w:rPr>
        <w:t>–</w:t>
      </w:r>
      <w:r w:rsidRPr="006117E0">
        <w:rPr>
          <w:lang w:val="es-ES"/>
        </w:rPr>
        <w:tab/>
        <w:t>La ejecución del PAB se inició en enero de 2026 y se prolongará hasta finales de 2029. Se rendirá informe sobre la aplicación de los trabajos en curso al GADT-27.</w:t>
      </w:r>
    </w:p>
    <w:p w14:paraId="3C7A3F78" w14:textId="77777777" w:rsidR="003F29D1" w:rsidRPr="006117E0" w:rsidRDefault="003F29D1" w:rsidP="003F29D1">
      <w:pPr>
        <w:pStyle w:val="Heading2"/>
        <w:spacing w:after="120"/>
        <w:rPr>
          <w:lang w:val="es-ES"/>
        </w:rPr>
      </w:pPr>
      <w:r w:rsidRPr="006117E0">
        <w:rPr>
          <w:lang w:val="es-ES"/>
        </w:rPr>
        <w:t>2.5</w:t>
      </w:r>
      <w:r w:rsidRPr="006117E0">
        <w:rPr>
          <w:lang w:val="es-ES"/>
        </w:rPr>
        <w:tab/>
        <w:t>Análisis de riesgos</w:t>
      </w:r>
    </w:p>
    <w:p w14:paraId="38E1A04E" w14:textId="77777777" w:rsidR="003F29D1" w:rsidRPr="006117E0" w:rsidRDefault="003F29D1" w:rsidP="003F29D1">
      <w:pPr>
        <w:rPr>
          <w:lang w:val="es-ES"/>
        </w:rPr>
      </w:pPr>
      <w:r w:rsidRPr="006117E0">
        <w:rPr>
          <w:lang w:val="es-ES"/>
        </w:rPr>
        <w:t>En el marco de la gestión de riesgos, aparte de los riesgos operacionales incluidos en el Plan Operacional para 2026, que la Dirección revisará periódicamente, cada Departamento y Oficina Regional identificará, evaluará y gestionará los riesgos asociados a la prestación de cada producto y servicio de apoyo adoptando un enfoque de gestión de riesgos multinivel.</w:t>
      </w:r>
    </w:p>
    <w:p w14:paraId="42CFB5A4" w14:textId="77777777" w:rsidR="003F29D1" w:rsidRPr="006117E0" w:rsidRDefault="003F29D1" w:rsidP="003F29D1">
      <w:pPr>
        <w:spacing w:after="120"/>
        <w:rPr>
          <w:lang w:val="es-ES"/>
        </w:rPr>
      </w:pPr>
      <w:r w:rsidRPr="006117E0">
        <w:rPr>
          <w:lang w:val="es-ES"/>
        </w:rPr>
        <w:t>En el siguiente cuadro se identifican los principales riesgos operacionales del periodo 2026-2029. Estos riesgos se reevaluarán periódicamente para tener en cuenta los cambios del entorno interno y externo que probablemente repercutirán en la ejecución de los Planes Operacionales del UIT-D.</w:t>
      </w:r>
    </w:p>
    <w:tbl>
      <w:tblPr>
        <w:tblStyle w:val="GridTable4-Accent11"/>
        <w:tblW w:w="10065" w:type="dxa"/>
        <w:tblInd w:w="-147" w:type="dxa"/>
        <w:tblLayout w:type="fixed"/>
        <w:tblCellMar>
          <w:left w:w="28" w:type="dxa"/>
          <w:right w:w="28" w:type="dxa"/>
        </w:tblCellMar>
        <w:tblLook w:val="06A0" w:firstRow="1" w:lastRow="0" w:firstColumn="1" w:lastColumn="0" w:noHBand="1" w:noVBand="1"/>
      </w:tblPr>
      <w:tblGrid>
        <w:gridCol w:w="1702"/>
        <w:gridCol w:w="1417"/>
        <w:gridCol w:w="1276"/>
        <w:gridCol w:w="1276"/>
        <w:gridCol w:w="4394"/>
      </w:tblGrid>
      <w:tr w:rsidR="003F29D1" w:rsidRPr="006117E0" w14:paraId="41270E46" w14:textId="77777777" w:rsidTr="008B0BD5">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702" w:type="dxa"/>
          </w:tcPr>
          <w:p w14:paraId="35781E3C" w14:textId="77777777" w:rsidR="003F29D1" w:rsidRPr="006117E0" w:rsidRDefault="003F29D1" w:rsidP="001A6DA7">
            <w:pPr>
              <w:pStyle w:val="Tablehead"/>
              <w:keepLines/>
              <w:rPr>
                <w:b/>
                <w:bCs w:val="0"/>
                <w:lang w:val="es-ES"/>
              </w:rPr>
            </w:pPr>
            <w:r w:rsidRPr="006117E0">
              <w:rPr>
                <w:b/>
                <w:bCs w:val="0"/>
                <w:lang w:val="es-ES"/>
              </w:rPr>
              <w:lastRenderedPageBreak/>
              <w:t>Perspectiva</w:t>
            </w:r>
          </w:p>
        </w:tc>
        <w:tc>
          <w:tcPr>
            <w:tcW w:w="1417" w:type="dxa"/>
          </w:tcPr>
          <w:p w14:paraId="5C2CAC7A" w14:textId="77777777" w:rsidR="003F29D1" w:rsidRPr="006117E0" w:rsidRDefault="003F29D1" w:rsidP="001A6DA7">
            <w:pPr>
              <w:pStyle w:val="Tablehead"/>
              <w:keepLines/>
              <w:cnfStyle w:val="100000000000" w:firstRow="1" w:lastRow="0" w:firstColumn="0" w:lastColumn="0" w:oddVBand="0" w:evenVBand="0" w:oddHBand="0" w:evenHBand="0" w:firstRowFirstColumn="0" w:firstRowLastColumn="0" w:lastRowFirstColumn="0" w:lastRowLastColumn="0"/>
              <w:rPr>
                <w:b/>
                <w:bCs w:val="0"/>
                <w:lang w:val="es-ES"/>
              </w:rPr>
            </w:pPr>
            <w:r w:rsidRPr="006117E0">
              <w:rPr>
                <w:b/>
                <w:bCs w:val="0"/>
                <w:lang w:val="es-ES"/>
              </w:rPr>
              <w:t>Descripción del riesgo</w:t>
            </w:r>
          </w:p>
        </w:tc>
        <w:tc>
          <w:tcPr>
            <w:tcW w:w="1276" w:type="dxa"/>
          </w:tcPr>
          <w:p w14:paraId="38E1A581" w14:textId="77777777" w:rsidR="003F29D1" w:rsidRPr="006117E0" w:rsidRDefault="003F29D1" w:rsidP="001A6DA7">
            <w:pPr>
              <w:pStyle w:val="Tablehead"/>
              <w:keepLines/>
              <w:cnfStyle w:val="100000000000" w:firstRow="1" w:lastRow="0" w:firstColumn="0" w:lastColumn="0" w:oddVBand="0" w:evenVBand="0" w:oddHBand="0" w:evenHBand="0" w:firstRowFirstColumn="0" w:firstRowLastColumn="0" w:lastRowFirstColumn="0" w:lastRowLastColumn="0"/>
              <w:rPr>
                <w:b/>
                <w:bCs w:val="0"/>
                <w:lang w:val="es-ES"/>
              </w:rPr>
            </w:pPr>
            <w:r w:rsidRPr="006117E0">
              <w:rPr>
                <w:b/>
                <w:bCs w:val="0"/>
                <w:lang w:val="es-ES"/>
              </w:rPr>
              <w:t>Probabilidad</w:t>
            </w:r>
          </w:p>
        </w:tc>
        <w:tc>
          <w:tcPr>
            <w:tcW w:w="1276" w:type="dxa"/>
          </w:tcPr>
          <w:p w14:paraId="43970FE4" w14:textId="77777777" w:rsidR="003F29D1" w:rsidRPr="006117E0" w:rsidRDefault="003F29D1" w:rsidP="001A6DA7">
            <w:pPr>
              <w:pStyle w:val="Tablehead"/>
              <w:keepLines/>
              <w:cnfStyle w:val="100000000000" w:firstRow="1" w:lastRow="0" w:firstColumn="0" w:lastColumn="0" w:oddVBand="0" w:evenVBand="0" w:oddHBand="0" w:evenHBand="0" w:firstRowFirstColumn="0" w:firstRowLastColumn="0" w:lastRowFirstColumn="0" w:lastRowLastColumn="0"/>
              <w:rPr>
                <w:b/>
                <w:bCs w:val="0"/>
                <w:lang w:val="es-ES"/>
              </w:rPr>
            </w:pPr>
            <w:r w:rsidRPr="006117E0">
              <w:rPr>
                <w:b/>
                <w:bCs w:val="0"/>
                <w:lang w:val="es-ES"/>
              </w:rPr>
              <w:t>Nivel de repercusión</w:t>
            </w:r>
          </w:p>
        </w:tc>
        <w:tc>
          <w:tcPr>
            <w:tcW w:w="4394" w:type="dxa"/>
          </w:tcPr>
          <w:p w14:paraId="1549895A" w14:textId="77777777" w:rsidR="003F29D1" w:rsidRPr="006117E0" w:rsidRDefault="003F29D1" w:rsidP="001A6DA7">
            <w:pPr>
              <w:pStyle w:val="Tablehead"/>
              <w:keepLines/>
              <w:cnfStyle w:val="100000000000" w:firstRow="1" w:lastRow="0" w:firstColumn="0" w:lastColumn="0" w:oddVBand="0" w:evenVBand="0" w:oddHBand="0" w:evenHBand="0" w:firstRowFirstColumn="0" w:firstRowLastColumn="0" w:lastRowFirstColumn="0" w:lastRowLastColumn="0"/>
              <w:rPr>
                <w:b/>
                <w:bCs w:val="0"/>
                <w:lang w:val="es-ES"/>
              </w:rPr>
            </w:pPr>
            <w:r w:rsidRPr="006117E0">
              <w:rPr>
                <w:b/>
                <w:bCs w:val="0"/>
                <w:lang w:val="es-ES"/>
              </w:rPr>
              <w:t>Mitigación</w:t>
            </w:r>
          </w:p>
        </w:tc>
      </w:tr>
      <w:tr w:rsidR="003F29D1" w:rsidRPr="006117E0" w14:paraId="4F7C6D29" w14:textId="77777777" w:rsidTr="008B0BD5">
        <w:tc>
          <w:tcPr>
            <w:cnfStyle w:val="001000000000" w:firstRow="0" w:lastRow="0" w:firstColumn="1" w:lastColumn="0" w:oddVBand="0" w:evenVBand="0" w:oddHBand="0" w:evenHBand="0" w:firstRowFirstColumn="0" w:firstRowLastColumn="0" w:lastRowFirstColumn="0" w:lastRowLastColumn="0"/>
            <w:tcW w:w="1702" w:type="dxa"/>
          </w:tcPr>
          <w:p w14:paraId="125B5F56" w14:textId="77777777" w:rsidR="003F29D1" w:rsidRPr="006117E0" w:rsidRDefault="003F29D1" w:rsidP="001A6DA7">
            <w:pPr>
              <w:pStyle w:val="Tabletext"/>
              <w:keepNext/>
              <w:keepLines/>
              <w:rPr>
                <w:szCs w:val="20"/>
                <w:lang w:val="es-ES" w:eastAsia="zh-CN"/>
              </w:rPr>
            </w:pPr>
            <w:r w:rsidRPr="006117E0">
              <w:rPr>
                <w:lang w:val="es-ES" w:eastAsia="zh-CN"/>
              </w:rPr>
              <w:t>Financiación</w:t>
            </w:r>
          </w:p>
        </w:tc>
        <w:tc>
          <w:tcPr>
            <w:tcW w:w="1417" w:type="dxa"/>
          </w:tcPr>
          <w:p w14:paraId="566519CB"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Carencia de recursos/</w:t>
            </w:r>
            <w:r w:rsidRPr="006117E0">
              <w:rPr>
                <w:lang w:val="es-ES"/>
              </w:rPr>
              <w:br/>
              <w:t>financiación insuficiente</w:t>
            </w:r>
          </w:p>
        </w:tc>
        <w:tc>
          <w:tcPr>
            <w:tcW w:w="1276" w:type="dxa"/>
          </w:tcPr>
          <w:p w14:paraId="7F9B5962"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Media</w:t>
            </w:r>
          </w:p>
        </w:tc>
        <w:tc>
          <w:tcPr>
            <w:tcW w:w="1276" w:type="dxa"/>
          </w:tcPr>
          <w:p w14:paraId="05C1003D"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Alta</w:t>
            </w:r>
          </w:p>
        </w:tc>
        <w:tc>
          <w:tcPr>
            <w:tcW w:w="4394" w:type="dxa"/>
          </w:tcPr>
          <w:p w14:paraId="5832CC8C"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Preparación de una previsión presupuestaria adecuada</w:t>
            </w:r>
          </w:p>
          <w:p w14:paraId="2FDDED07"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Elaboración de estrategias de implementación adecuadas para reducir costes y mejorar la eficiencia</w:t>
            </w:r>
          </w:p>
          <w:p w14:paraId="6FDAFB09"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Movilización de recursos adicionales/extrapresupuestarios, según las necesidades</w:t>
            </w:r>
          </w:p>
          <w:p w14:paraId="3EDD6BC6"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Creación de nuevas asociaciones</w:t>
            </w:r>
          </w:p>
        </w:tc>
      </w:tr>
      <w:tr w:rsidR="003F29D1" w:rsidRPr="003D7913" w14:paraId="231D7258" w14:textId="77777777" w:rsidTr="008B0BD5">
        <w:tc>
          <w:tcPr>
            <w:cnfStyle w:val="001000000000" w:firstRow="0" w:lastRow="0" w:firstColumn="1" w:lastColumn="0" w:oddVBand="0" w:evenVBand="0" w:oddHBand="0" w:evenHBand="0" w:firstRowFirstColumn="0" w:firstRowLastColumn="0" w:lastRowFirstColumn="0" w:lastRowLastColumn="0"/>
            <w:tcW w:w="1702" w:type="dxa"/>
          </w:tcPr>
          <w:p w14:paraId="73749CC0" w14:textId="77777777" w:rsidR="003F29D1" w:rsidRPr="006117E0" w:rsidRDefault="003F29D1" w:rsidP="001A6DA7">
            <w:pPr>
              <w:pStyle w:val="Tabletext"/>
              <w:keepNext/>
              <w:keepLines/>
              <w:rPr>
                <w:szCs w:val="20"/>
                <w:lang w:val="es-ES" w:eastAsia="zh-CN"/>
              </w:rPr>
            </w:pPr>
            <w:r w:rsidRPr="006117E0">
              <w:rPr>
                <w:lang w:val="es-ES"/>
              </w:rPr>
              <w:t>Recursos humanos</w:t>
            </w:r>
          </w:p>
        </w:tc>
        <w:tc>
          <w:tcPr>
            <w:tcW w:w="1417" w:type="dxa"/>
          </w:tcPr>
          <w:p w14:paraId="5BAE704D"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Falta de expertos cualificados en el ámbito de actividad</w:t>
            </w:r>
          </w:p>
        </w:tc>
        <w:tc>
          <w:tcPr>
            <w:tcW w:w="1276" w:type="dxa"/>
          </w:tcPr>
          <w:p w14:paraId="4E17323B"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Alta</w:t>
            </w:r>
          </w:p>
        </w:tc>
        <w:tc>
          <w:tcPr>
            <w:tcW w:w="1276" w:type="dxa"/>
          </w:tcPr>
          <w:p w14:paraId="6AEEEFBA"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Alta</w:t>
            </w:r>
          </w:p>
        </w:tc>
        <w:tc>
          <w:tcPr>
            <w:tcW w:w="4394" w:type="dxa"/>
          </w:tcPr>
          <w:p w14:paraId="6B6F9ACB"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Anticipar los recursos necesarios e iniciar oportunamente la contratación y la adquisición</w:t>
            </w:r>
          </w:p>
          <w:p w14:paraId="33925110"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Crear, mantener actualizada y ampliar una lista de expertos</w:t>
            </w:r>
          </w:p>
          <w:p w14:paraId="0F3C9B45"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Fortalecer los conocimientos internos en ámbitos clave</w:t>
            </w:r>
          </w:p>
        </w:tc>
      </w:tr>
      <w:tr w:rsidR="003F29D1" w:rsidRPr="003D7913" w14:paraId="3D7D7BED" w14:textId="77777777" w:rsidTr="008B0BD5">
        <w:tc>
          <w:tcPr>
            <w:cnfStyle w:val="001000000000" w:firstRow="0" w:lastRow="0" w:firstColumn="1" w:lastColumn="0" w:oddVBand="0" w:evenVBand="0" w:oddHBand="0" w:evenHBand="0" w:firstRowFirstColumn="0" w:firstRowLastColumn="0" w:lastRowFirstColumn="0" w:lastRowLastColumn="0"/>
            <w:tcW w:w="1702" w:type="dxa"/>
          </w:tcPr>
          <w:p w14:paraId="3BB8705D" w14:textId="77777777" w:rsidR="003F29D1" w:rsidRPr="006117E0" w:rsidRDefault="003F29D1" w:rsidP="001A6DA7">
            <w:pPr>
              <w:pStyle w:val="Tabletext"/>
              <w:keepNext/>
              <w:keepLines/>
              <w:rPr>
                <w:szCs w:val="20"/>
                <w:lang w:val="es-ES" w:eastAsia="zh-CN"/>
              </w:rPr>
            </w:pPr>
            <w:r w:rsidRPr="006117E0">
              <w:rPr>
                <w:lang w:val="es-ES"/>
              </w:rPr>
              <w:t>Partes interesadas/socios</w:t>
            </w:r>
          </w:p>
        </w:tc>
        <w:tc>
          <w:tcPr>
            <w:tcW w:w="1417" w:type="dxa"/>
          </w:tcPr>
          <w:p w14:paraId="2DBB63D2"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Falta de ayuda/</w:t>
            </w:r>
            <w:r w:rsidRPr="006117E0">
              <w:rPr>
                <w:lang w:val="es-ES"/>
              </w:rPr>
              <w:br/>
              <w:t>compromiso por parte de socios y países</w:t>
            </w:r>
          </w:p>
        </w:tc>
        <w:tc>
          <w:tcPr>
            <w:tcW w:w="1276" w:type="dxa"/>
          </w:tcPr>
          <w:p w14:paraId="08F1466F"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Media</w:t>
            </w:r>
          </w:p>
        </w:tc>
        <w:tc>
          <w:tcPr>
            <w:tcW w:w="1276" w:type="dxa"/>
          </w:tcPr>
          <w:p w14:paraId="2B27CD51"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Media</w:t>
            </w:r>
          </w:p>
        </w:tc>
        <w:tc>
          <w:tcPr>
            <w:tcW w:w="4394" w:type="dxa"/>
          </w:tcPr>
          <w:p w14:paraId="30FC70B9"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Garantizar y aumentar la cooperación con los Estados Miembros a fin de asegurar un nivel adecuado de participación de los países</w:t>
            </w:r>
          </w:p>
          <w:p w14:paraId="5F7D29F2"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Coordinación con UNRCO y UNDSS para evaluar y valorar los riesgos específicos de cada país</w:t>
            </w:r>
          </w:p>
          <w:p w14:paraId="5FBF005B"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Elaborar nuevos mecanismos de implementación y capacitación para reforzar la propiedad nacional y la sostenibilidad de las intervenciones</w:t>
            </w:r>
          </w:p>
        </w:tc>
      </w:tr>
      <w:tr w:rsidR="003F29D1" w:rsidRPr="003D7913" w14:paraId="0496B5B4" w14:textId="77777777" w:rsidTr="008B0BD5">
        <w:tc>
          <w:tcPr>
            <w:cnfStyle w:val="001000000000" w:firstRow="0" w:lastRow="0" w:firstColumn="1" w:lastColumn="0" w:oddVBand="0" w:evenVBand="0" w:oddHBand="0" w:evenHBand="0" w:firstRowFirstColumn="0" w:firstRowLastColumn="0" w:lastRowFirstColumn="0" w:lastRowLastColumn="0"/>
            <w:tcW w:w="1702" w:type="dxa"/>
          </w:tcPr>
          <w:p w14:paraId="1207F6E9" w14:textId="77777777" w:rsidR="003F29D1" w:rsidRPr="006117E0" w:rsidRDefault="003F29D1" w:rsidP="001A6DA7">
            <w:pPr>
              <w:pStyle w:val="Tabletext"/>
              <w:keepNext/>
              <w:keepLines/>
              <w:rPr>
                <w:szCs w:val="20"/>
                <w:lang w:val="es-ES" w:eastAsia="zh-CN"/>
              </w:rPr>
            </w:pPr>
            <w:r w:rsidRPr="006117E0">
              <w:rPr>
                <w:lang w:val="es-ES"/>
              </w:rPr>
              <w:t>Entorno</w:t>
            </w:r>
          </w:p>
        </w:tc>
        <w:tc>
          <w:tcPr>
            <w:tcW w:w="1417" w:type="dxa"/>
          </w:tcPr>
          <w:p w14:paraId="56980AE1"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Retrasos en las actividades nacionales debido a acontecimientos locales imprevistos</w:t>
            </w:r>
          </w:p>
        </w:tc>
        <w:tc>
          <w:tcPr>
            <w:tcW w:w="1276" w:type="dxa"/>
          </w:tcPr>
          <w:p w14:paraId="21E64975"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Media</w:t>
            </w:r>
          </w:p>
        </w:tc>
        <w:tc>
          <w:tcPr>
            <w:tcW w:w="1276" w:type="dxa"/>
          </w:tcPr>
          <w:p w14:paraId="1A9CE0AD"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szCs w:val="20"/>
                <w:lang w:val="es-ES" w:eastAsia="zh-CN"/>
              </w:rPr>
            </w:pPr>
            <w:r w:rsidRPr="006117E0">
              <w:rPr>
                <w:lang w:val="es-ES"/>
              </w:rPr>
              <w:t>Alta</w:t>
            </w:r>
          </w:p>
        </w:tc>
        <w:tc>
          <w:tcPr>
            <w:tcW w:w="4394" w:type="dxa"/>
          </w:tcPr>
          <w:p w14:paraId="0F641827"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Comunicar eficazmente con los socios y donantes</w:t>
            </w:r>
          </w:p>
          <w:p w14:paraId="0DFF58B4"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Elaborar mecanismos de aplicación adaptables y reactivos</w:t>
            </w:r>
          </w:p>
          <w:p w14:paraId="17FA9E47" w14:textId="77777777" w:rsidR="003F29D1" w:rsidRPr="006117E0" w:rsidRDefault="003F29D1" w:rsidP="001A6DA7">
            <w:pPr>
              <w:pStyle w:val="Tabletext"/>
              <w:keepNext/>
              <w:keepLines/>
              <w:cnfStyle w:val="000000000000" w:firstRow="0" w:lastRow="0" w:firstColumn="0" w:lastColumn="0" w:oddVBand="0" w:evenVBand="0" w:oddHBand="0" w:evenHBand="0" w:firstRowFirstColumn="0" w:firstRowLastColumn="0" w:lastRowFirstColumn="0" w:lastRowLastColumn="0"/>
              <w:rPr>
                <w:lang w:val="es-ES"/>
              </w:rPr>
            </w:pPr>
            <w:r w:rsidRPr="006117E0">
              <w:rPr>
                <w:lang w:val="es-ES"/>
              </w:rPr>
              <w:t>•</w:t>
            </w:r>
            <w:r w:rsidRPr="006117E0">
              <w:rPr>
                <w:lang w:val="es-ES"/>
              </w:rPr>
              <w:tab/>
              <w:t>Integrar la gestión de riesgos en la planificación de proyectos y actividades</w:t>
            </w:r>
          </w:p>
        </w:tc>
      </w:tr>
    </w:tbl>
    <w:p w14:paraId="24C57ECD" w14:textId="77777777" w:rsidR="003F29D1" w:rsidRPr="006117E0" w:rsidRDefault="003F29D1" w:rsidP="003F29D1">
      <w:pPr>
        <w:pStyle w:val="Heading1"/>
        <w:rPr>
          <w:lang w:val="es-ES"/>
        </w:rPr>
      </w:pPr>
      <w:r w:rsidRPr="006117E0">
        <w:rPr>
          <w:lang w:val="es-ES"/>
        </w:rPr>
        <w:t>3</w:t>
      </w:r>
      <w:r w:rsidRPr="006117E0">
        <w:rPr>
          <w:lang w:val="es-ES"/>
        </w:rPr>
        <w:tab/>
        <w:t>Marco de repercusiones para la aplicación del PAB en 2026-2029</w:t>
      </w:r>
    </w:p>
    <w:p w14:paraId="479E5218" w14:textId="77777777" w:rsidR="003F29D1" w:rsidRPr="006117E0" w:rsidRDefault="003F29D1" w:rsidP="003F29D1">
      <w:pPr>
        <w:rPr>
          <w:lang w:val="es-ES"/>
        </w:rPr>
      </w:pPr>
      <w:r w:rsidRPr="006117E0">
        <w:rPr>
          <w:lang w:val="es-ES"/>
        </w:rPr>
        <w:t>El marco de repercusiones para la aplicación del PAB sigue una cadena de resultados, como se muestra en los cuadros siguientes, que vincula las Prioridades del UIT-D con las realizaciones y los indicadores y productos conexos. Las actividades emprendidas en el marco del PO-26 se planificaron sobre la base de las realizaciones e indicadores adoptados por la CMDT-25, garantizando así la armonía entre la planificación operacional, la supervisión y la rendición de informes.</w:t>
      </w:r>
    </w:p>
    <w:p w14:paraId="1FC03178" w14:textId="24ED7260" w:rsidR="003F29D1" w:rsidRPr="006117E0" w:rsidRDefault="003F29D1" w:rsidP="003F29D1">
      <w:pPr>
        <w:rPr>
          <w:lang w:val="es-ES"/>
        </w:rPr>
      </w:pPr>
      <w:r w:rsidRPr="006117E0">
        <w:rPr>
          <w:lang w:val="es-ES"/>
        </w:rPr>
        <w:t xml:space="preserve">Al final del ciclo de ejecución del PAB en 2029 se dará cuenta de los progresos realizados en los indicadores de realizaciones, que supervisan los cambios y repercusiones a nivel de los países a los que contribuye la BDT. Se rendirá informe anualmente al GADT sobre los progresos realizados en los indicadores de productos, que miden los logros relacionados con el desarrollo de productos o servicios elaborados por la BDT. Las bases de referencia y los objetivos de los indicadores de realizaciones pueden encontrarse en los </w:t>
      </w:r>
      <w:hyperlink r:id="rId18" w:history="1">
        <w:r w:rsidRPr="006117E0">
          <w:rPr>
            <w:rStyle w:val="Hyperlink"/>
            <w:lang w:val="es-ES"/>
          </w:rPr>
          <w:t>tablones</w:t>
        </w:r>
      </w:hyperlink>
      <w:r w:rsidRPr="006117E0">
        <w:rPr>
          <w:lang w:val="es-ES"/>
        </w:rPr>
        <w:t xml:space="preserve"> correspondientes del Anexo 2 al presente documento.</w:t>
      </w:r>
    </w:p>
    <w:p w14:paraId="2B369EC3" w14:textId="77777777" w:rsidR="003F29D1" w:rsidRPr="006117E0" w:rsidRDefault="003F29D1" w:rsidP="003F29D1">
      <w:pPr>
        <w:rPr>
          <w:lang w:val="es-ES"/>
        </w:rPr>
        <w:sectPr w:rsidR="003F29D1" w:rsidRPr="006117E0" w:rsidSect="0081159E">
          <w:headerReference w:type="default" r:id="rId19"/>
          <w:pgSz w:w="11907" w:h="16840" w:code="9"/>
          <w:pgMar w:top="1418" w:right="1134" w:bottom="1134" w:left="1134" w:header="720" w:footer="720" w:gutter="0"/>
          <w:cols w:space="720"/>
          <w:titlePg/>
          <w:docGrid w:linePitch="326"/>
        </w:sectPr>
      </w:pPr>
    </w:p>
    <w:p w14:paraId="69757455" w14:textId="77777777" w:rsidR="003F29D1" w:rsidRPr="006117E0" w:rsidRDefault="003F29D1" w:rsidP="00BD6A5F">
      <w:pPr>
        <w:pStyle w:val="Heading2"/>
        <w:spacing w:after="120"/>
        <w:rPr>
          <w:lang w:val="es-ES"/>
        </w:rPr>
      </w:pPr>
      <w:r w:rsidRPr="006117E0">
        <w:rPr>
          <w:lang w:val="es-ES"/>
        </w:rPr>
        <w:lastRenderedPageBreak/>
        <w:t>3.1</w:t>
      </w:r>
      <w:r w:rsidRPr="006117E0">
        <w:rPr>
          <w:lang w:val="es-ES"/>
        </w:rPr>
        <w:tab/>
        <w:t>Prioridad 1 del UIT-D: Conectividad asequible</w:t>
      </w:r>
    </w:p>
    <w:tbl>
      <w:tblPr>
        <w:tblW w:w="14278" w:type="dxa"/>
        <w:tblCellMar>
          <w:left w:w="28" w:type="dxa"/>
          <w:right w:w="28" w:type="dxa"/>
        </w:tblCellMar>
        <w:tblLook w:val="04A0" w:firstRow="1" w:lastRow="0" w:firstColumn="1" w:lastColumn="0" w:noHBand="0" w:noVBand="1"/>
      </w:tblPr>
      <w:tblGrid>
        <w:gridCol w:w="1734"/>
        <w:gridCol w:w="2754"/>
        <w:gridCol w:w="2905"/>
        <w:gridCol w:w="2642"/>
        <w:gridCol w:w="1328"/>
        <w:gridCol w:w="1460"/>
        <w:gridCol w:w="1455"/>
      </w:tblGrid>
      <w:tr w:rsidR="003F29D1" w:rsidRPr="006117E0" w14:paraId="60306994" w14:textId="77777777" w:rsidTr="006177B7">
        <w:trPr>
          <w:trHeight w:val="942"/>
          <w:tblHeader/>
        </w:trPr>
        <w:tc>
          <w:tcPr>
            <w:tcW w:w="1617" w:type="dxa"/>
            <w:tcBorders>
              <w:top w:val="single" w:sz="4" w:space="0" w:color="44B3E1"/>
              <w:left w:val="single" w:sz="4" w:space="0" w:color="44B3E1"/>
              <w:bottom w:val="single" w:sz="4" w:space="0" w:color="44B3E1"/>
              <w:right w:val="nil"/>
            </w:tcBorders>
            <w:shd w:val="clear" w:color="auto" w:fill="156082"/>
            <w:vAlign w:val="center"/>
            <w:hideMark/>
          </w:tcPr>
          <w:p w14:paraId="59FCC462"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Prioridad/Tema</w:t>
            </w:r>
          </w:p>
        </w:tc>
        <w:tc>
          <w:tcPr>
            <w:tcW w:w="2871" w:type="dxa"/>
            <w:tcBorders>
              <w:top w:val="single" w:sz="4" w:space="0" w:color="44B3E1"/>
              <w:left w:val="nil"/>
              <w:bottom w:val="single" w:sz="4" w:space="0" w:color="44B3E1"/>
              <w:right w:val="nil"/>
            </w:tcBorders>
            <w:shd w:val="clear" w:color="auto" w:fill="156082"/>
            <w:vAlign w:val="center"/>
            <w:hideMark/>
          </w:tcPr>
          <w:p w14:paraId="5106C5D5"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Realización</w:t>
            </w:r>
          </w:p>
        </w:tc>
        <w:tc>
          <w:tcPr>
            <w:tcW w:w="2905" w:type="dxa"/>
            <w:tcBorders>
              <w:top w:val="single" w:sz="4" w:space="0" w:color="44B3E1"/>
              <w:left w:val="nil"/>
              <w:bottom w:val="single" w:sz="4" w:space="0" w:color="44B3E1"/>
              <w:right w:val="nil"/>
            </w:tcBorders>
            <w:shd w:val="clear" w:color="auto" w:fill="156082"/>
            <w:vAlign w:val="center"/>
            <w:hideMark/>
          </w:tcPr>
          <w:p w14:paraId="0BE05B3E"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Indicadores de realizaciones</w:t>
            </w:r>
          </w:p>
        </w:tc>
        <w:tc>
          <w:tcPr>
            <w:tcW w:w="2642" w:type="dxa"/>
            <w:tcBorders>
              <w:top w:val="single" w:sz="4" w:space="0" w:color="44B3E1"/>
              <w:left w:val="nil"/>
              <w:bottom w:val="single" w:sz="4" w:space="0" w:color="44B3E1"/>
              <w:right w:val="nil"/>
            </w:tcBorders>
            <w:shd w:val="clear" w:color="auto" w:fill="156082"/>
            <w:vAlign w:val="center"/>
            <w:hideMark/>
          </w:tcPr>
          <w:p w14:paraId="39190B5A"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Productos</w:t>
            </w:r>
            <w:r w:rsidRPr="006117E0">
              <w:rPr>
                <w:rStyle w:val="FootnoteReference"/>
                <w:rFonts w:cs="Calibri"/>
                <w:b w:val="0"/>
                <w:color w:val="FFFFFF" w:themeColor="background1"/>
                <w:lang w:val="es-ES" w:eastAsia="en-GB"/>
              </w:rPr>
              <w:footnoteReference w:id="2"/>
            </w:r>
            <w:r w:rsidRPr="006117E0">
              <w:rPr>
                <w:color w:val="FFFFFF" w:themeColor="background1"/>
                <w:lang w:val="es-ES" w:eastAsia="en-GB"/>
              </w:rPr>
              <w:br/>
              <w:t>(productos y servicio</w:t>
            </w:r>
            <w:r w:rsidRPr="006117E0">
              <w:rPr>
                <w:color w:val="FFFFFF" w:themeColor="background1"/>
                <w:lang w:val="es-ES" w:eastAsia="en-GB"/>
              </w:rPr>
              <w:br/>
              <w:t>del UIT-D)</w:t>
            </w:r>
          </w:p>
        </w:tc>
        <w:tc>
          <w:tcPr>
            <w:tcW w:w="1328" w:type="dxa"/>
            <w:tcBorders>
              <w:top w:val="single" w:sz="4" w:space="0" w:color="44B3E1"/>
              <w:left w:val="nil"/>
              <w:bottom w:val="single" w:sz="4" w:space="0" w:color="44B3E1"/>
              <w:right w:val="nil"/>
            </w:tcBorders>
            <w:shd w:val="clear" w:color="auto" w:fill="156082"/>
            <w:vAlign w:val="center"/>
            <w:hideMark/>
          </w:tcPr>
          <w:p w14:paraId="10D54D85"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Presupuesto de 2026 (en CHF)</w:t>
            </w:r>
          </w:p>
        </w:tc>
        <w:tc>
          <w:tcPr>
            <w:tcW w:w="1460" w:type="dxa"/>
            <w:tcBorders>
              <w:top w:val="single" w:sz="4" w:space="0" w:color="44B3E1"/>
              <w:left w:val="nil"/>
              <w:bottom w:val="single" w:sz="4" w:space="0" w:color="44B3E1"/>
              <w:right w:val="nil"/>
            </w:tcBorders>
            <w:shd w:val="clear" w:color="auto" w:fill="156082"/>
            <w:vAlign w:val="center"/>
            <w:hideMark/>
          </w:tcPr>
          <w:p w14:paraId="620BA847"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 de prioridad/factor habilitador total</w:t>
            </w:r>
          </w:p>
        </w:tc>
        <w:tc>
          <w:tcPr>
            <w:tcW w:w="1455" w:type="dxa"/>
            <w:tcBorders>
              <w:top w:val="single" w:sz="4" w:space="0" w:color="44B3E1"/>
              <w:left w:val="nil"/>
              <w:bottom w:val="single" w:sz="4" w:space="0" w:color="44B3E1"/>
              <w:right w:val="single" w:sz="4" w:space="0" w:color="44B3E1"/>
            </w:tcBorders>
            <w:shd w:val="clear" w:color="auto" w:fill="156082"/>
            <w:vAlign w:val="center"/>
            <w:hideMark/>
          </w:tcPr>
          <w:p w14:paraId="74439823"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 del presupuesto total</w:t>
            </w:r>
          </w:p>
        </w:tc>
      </w:tr>
      <w:tr w:rsidR="003F29D1" w:rsidRPr="006117E0" w14:paraId="154AF787" w14:textId="77777777" w:rsidTr="006177B7">
        <w:trPr>
          <w:trHeight w:val="300"/>
        </w:trPr>
        <w:tc>
          <w:tcPr>
            <w:tcW w:w="4488" w:type="dxa"/>
            <w:gridSpan w:val="2"/>
            <w:tcBorders>
              <w:top w:val="single" w:sz="4" w:space="0" w:color="44B3E1"/>
              <w:left w:val="single" w:sz="4" w:space="0" w:color="44B3E1"/>
              <w:bottom w:val="single" w:sz="4" w:space="0" w:color="44B3E1"/>
              <w:right w:val="nil"/>
            </w:tcBorders>
            <w:shd w:val="clear" w:color="auto" w:fill="C0E6F5"/>
            <w:noWrap/>
            <w:hideMark/>
          </w:tcPr>
          <w:p w14:paraId="3C4F3E23" w14:textId="77777777" w:rsidR="003F29D1" w:rsidRPr="006117E0" w:rsidRDefault="003F29D1" w:rsidP="006177B7">
            <w:pPr>
              <w:pStyle w:val="Tabletext"/>
              <w:rPr>
                <w:b/>
                <w:bCs/>
                <w:lang w:val="es-ES" w:eastAsia="en-GB"/>
              </w:rPr>
            </w:pPr>
            <w:r w:rsidRPr="006117E0">
              <w:rPr>
                <w:b/>
                <w:bCs/>
                <w:lang w:val="es-ES" w:eastAsia="en-GB"/>
              </w:rPr>
              <w:t>Conectividad asequible total</w:t>
            </w:r>
          </w:p>
        </w:tc>
        <w:tc>
          <w:tcPr>
            <w:tcW w:w="2905" w:type="dxa"/>
            <w:tcBorders>
              <w:top w:val="single" w:sz="4" w:space="0" w:color="44B3E1"/>
              <w:left w:val="nil"/>
              <w:bottom w:val="single" w:sz="4" w:space="0" w:color="44B3E1"/>
              <w:right w:val="nil"/>
            </w:tcBorders>
            <w:shd w:val="clear" w:color="auto" w:fill="C0E6F5"/>
            <w:noWrap/>
            <w:hideMark/>
          </w:tcPr>
          <w:p w14:paraId="470FA9B8" w14:textId="77777777" w:rsidR="003F29D1" w:rsidRPr="006117E0" w:rsidRDefault="003F29D1" w:rsidP="006177B7">
            <w:pPr>
              <w:pStyle w:val="Tabletext"/>
              <w:rPr>
                <w:b/>
                <w:bCs/>
                <w:lang w:val="es-ES" w:eastAsia="en-GB"/>
              </w:rPr>
            </w:pPr>
          </w:p>
        </w:tc>
        <w:tc>
          <w:tcPr>
            <w:tcW w:w="2642" w:type="dxa"/>
            <w:tcBorders>
              <w:top w:val="single" w:sz="4" w:space="0" w:color="44B3E1"/>
              <w:left w:val="nil"/>
              <w:bottom w:val="single" w:sz="4" w:space="0" w:color="44B3E1"/>
              <w:right w:val="nil"/>
            </w:tcBorders>
            <w:shd w:val="clear" w:color="auto" w:fill="C0E6F5"/>
            <w:noWrap/>
            <w:hideMark/>
          </w:tcPr>
          <w:p w14:paraId="3EEECBFD" w14:textId="77777777" w:rsidR="003F29D1" w:rsidRPr="006117E0" w:rsidRDefault="003F29D1" w:rsidP="006177B7">
            <w:pPr>
              <w:pStyle w:val="Tabletext"/>
              <w:rPr>
                <w:rFonts w:ascii="Times New Roman" w:hAnsi="Times New Roman"/>
                <w:b/>
                <w:bCs/>
                <w:lang w:val="es-ES" w:eastAsia="en-GB"/>
              </w:rPr>
            </w:pPr>
          </w:p>
        </w:tc>
        <w:tc>
          <w:tcPr>
            <w:tcW w:w="1328" w:type="dxa"/>
            <w:tcBorders>
              <w:top w:val="single" w:sz="4" w:space="0" w:color="44B3E1"/>
              <w:left w:val="nil"/>
              <w:bottom w:val="single" w:sz="4" w:space="0" w:color="44B3E1"/>
              <w:right w:val="nil"/>
            </w:tcBorders>
            <w:shd w:val="clear" w:color="auto" w:fill="C0E6F5"/>
            <w:noWrap/>
            <w:hideMark/>
          </w:tcPr>
          <w:p w14:paraId="6A148213" w14:textId="77777777" w:rsidR="003F29D1" w:rsidRPr="006117E0" w:rsidRDefault="003F29D1" w:rsidP="006177B7">
            <w:pPr>
              <w:pStyle w:val="Tabletext"/>
              <w:jc w:val="center"/>
              <w:rPr>
                <w:b/>
                <w:bCs/>
                <w:lang w:val="es-ES" w:eastAsia="en-GB"/>
              </w:rPr>
            </w:pPr>
            <w:r w:rsidRPr="006117E0">
              <w:rPr>
                <w:b/>
                <w:bCs/>
                <w:lang w:val="es-ES" w:eastAsia="en-GB"/>
              </w:rPr>
              <w:t>552 000</w:t>
            </w:r>
          </w:p>
        </w:tc>
        <w:tc>
          <w:tcPr>
            <w:tcW w:w="1460" w:type="dxa"/>
            <w:tcBorders>
              <w:top w:val="single" w:sz="4" w:space="0" w:color="44B3E1"/>
              <w:left w:val="nil"/>
              <w:bottom w:val="single" w:sz="4" w:space="0" w:color="44B3E1"/>
              <w:right w:val="nil"/>
            </w:tcBorders>
            <w:shd w:val="clear" w:color="auto" w:fill="C0E6F5"/>
            <w:noWrap/>
            <w:hideMark/>
          </w:tcPr>
          <w:p w14:paraId="2FCEF296" w14:textId="77777777" w:rsidR="003F29D1" w:rsidRPr="006117E0" w:rsidRDefault="003F29D1" w:rsidP="006177B7">
            <w:pPr>
              <w:pStyle w:val="Tabletext"/>
              <w:jc w:val="center"/>
              <w:rPr>
                <w:b/>
                <w:bCs/>
                <w:lang w:val="es-ES" w:eastAsia="en-GB"/>
              </w:rPr>
            </w:pPr>
          </w:p>
        </w:tc>
        <w:tc>
          <w:tcPr>
            <w:tcW w:w="1455" w:type="dxa"/>
            <w:tcBorders>
              <w:top w:val="single" w:sz="4" w:space="0" w:color="44B3E1"/>
              <w:left w:val="nil"/>
              <w:bottom w:val="single" w:sz="4" w:space="0" w:color="44B3E1"/>
              <w:right w:val="single" w:sz="4" w:space="0" w:color="44B3E1"/>
            </w:tcBorders>
            <w:shd w:val="clear" w:color="auto" w:fill="C0E6F5"/>
            <w:noWrap/>
            <w:hideMark/>
          </w:tcPr>
          <w:p w14:paraId="313D3C9C" w14:textId="3A85049A" w:rsidR="003F29D1" w:rsidRPr="006117E0" w:rsidRDefault="003F29D1" w:rsidP="006177B7">
            <w:pPr>
              <w:pStyle w:val="Tabletext"/>
              <w:jc w:val="center"/>
              <w:rPr>
                <w:b/>
                <w:bCs/>
                <w:lang w:val="es-ES" w:eastAsia="en-GB"/>
              </w:rPr>
            </w:pPr>
            <w:r w:rsidRPr="006117E0">
              <w:rPr>
                <w:b/>
                <w:bCs/>
                <w:lang w:val="es-ES" w:eastAsia="en-GB"/>
              </w:rPr>
              <w:t>14,48</w:t>
            </w:r>
            <w:r w:rsidR="003112BD" w:rsidRPr="006117E0">
              <w:rPr>
                <w:b/>
                <w:bCs/>
                <w:lang w:val="es-ES" w:eastAsia="en-GB"/>
              </w:rPr>
              <w:t xml:space="preserve"> </w:t>
            </w:r>
            <w:r w:rsidRPr="006117E0">
              <w:rPr>
                <w:b/>
                <w:bCs/>
                <w:lang w:val="es-ES" w:eastAsia="en-GB"/>
              </w:rPr>
              <w:t>%</w:t>
            </w:r>
          </w:p>
        </w:tc>
      </w:tr>
      <w:tr w:rsidR="003F29D1" w:rsidRPr="006117E0" w14:paraId="38BFB96B" w14:textId="77777777" w:rsidTr="006177B7">
        <w:trPr>
          <w:trHeight w:val="1800"/>
        </w:trPr>
        <w:tc>
          <w:tcPr>
            <w:tcW w:w="1617" w:type="dxa"/>
            <w:tcBorders>
              <w:top w:val="single" w:sz="4" w:space="0" w:color="44B3E1"/>
              <w:left w:val="single" w:sz="4" w:space="0" w:color="44B3E1"/>
              <w:bottom w:val="single" w:sz="4" w:space="0" w:color="44B3E1"/>
              <w:right w:val="nil"/>
            </w:tcBorders>
            <w:hideMark/>
          </w:tcPr>
          <w:p w14:paraId="7806BB20" w14:textId="77777777" w:rsidR="003F29D1" w:rsidRPr="006117E0" w:rsidRDefault="003F29D1" w:rsidP="006177B7">
            <w:pPr>
              <w:pStyle w:val="Tabletext"/>
              <w:rPr>
                <w:b/>
                <w:bCs/>
                <w:lang w:val="es-ES" w:eastAsia="en-GB"/>
              </w:rPr>
            </w:pPr>
            <w:r w:rsidRPr="006117E0">
              <w:rPr>
                <w:b/>
                <w:bCs/>
                <w:lang w:val="es-ES" w:eastAsia="en-GB"/>
              </w:rPr>
              <w:t>Telecomunicaciones de emergencia</w:t>
            </w:r>
          </w:p>
        </w:tc>
        <w:tc>
          <w:tcPr>
            <w:tcW w:w="2871" w:type="dxa"/>
            <w:tcBorders>
              <w:top w:val="single" w:sz="4" w:space="0" w:color="44B3E1"/>
              <w:left w:val="nil"/>
              <w:bottom w:val="single" w:sz="4" w:space="0" w:color="44B3E1"/>
              <w:right w:val="nil"/>
            </w:tcBorders>
            <w:hideMark/>
          </w:tcPr>
          <w:p w14:paraId="3545A699" w14:textId="77777777" w:rsidR="003F29D1" w:rsidRPr="006117E0" w:rsidRDefault="003F29D1" w:rsidP="006177B7">
            <w:pPr>
              <w:pStyle w:val="Tabletext"/>
              <w:ind w:left="284" w:hanging="284"/>
              <w:rPr>
                <w:lang w:val="es-ES" w:eastAsia="en-GB"/>
              </w:rPr>
            </w:pPr>
            <w:r w:rsidRPr="006117E0">
              <w:rPr>
                <w:color w:val="000000" w:themeColor="text1"/>
                <w:lang w:val="es-ES" w:eastAsia="en-GB"/>
              </w:rPr>
              <w:t>•</w:t>
            </w:r>
            <w:r w:rsidRPr="006117E0">
              <w:rPr>
                <w:color w:val="000000" w:themeColor="text1"/>
                <w:lang w:val="es-ES" w:eastAsia="en-GB"/>
              </w:rPr>
              <w:tab/>
            </w:r>
            <w:r w:rsidRPr="006117E0">
              <w:rPr>
                <w:sz w:val="18"/>
                <w:szCs w:val="18"/>
                <w:lang w:val="es-ES"/>
              </w:rPr>
              <w:t>Refuerzo de la capacidad de los Estados Miembros para utilizar las telecomunicaciones/TIC a efectos de la reducción y la gestión del riesgo de catástrofes, a fin de garantizar la disponibilidad de las telecomunicaciones de emergencia</w:t>
            </w:r>
          </w:p>
        </w:tc>
        <w:tc>
          <w:tcPr>
            <w:tcW w:w="2905" w:type="dxa"/>
            <w:tcBorders>
              <w:top w:val="single" w:sz="4" w:space="0" w:color="44B3E1"/>
              <w:left w:val="nil"/>
              <w:bottom w:val="single" w:sz="4" w:space="0" w:color="44B3E1"/>
              <w:right w:val="nil"/>
            </w:tcBorders>
            <w:hideMark/>
          </w:tcPr>
          <w:p w14:paraId="4C150BAE" w14:textId="77777777" w:rsidR="003F29D1" w:rsidRPr="006117E0" w:rsidRDefault="003F29D1" w:rsidP="006177B7">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r>
            <w:r w:rsidRPr="006117E0">
              <w:rPr>
                <w:sz w:val="18"/>
                <w:szCs w:val="18"/>
                <w:lang w:val="es-ES"/>
              </w:rPr>
              <w:t>Número de Estados Miembros con un plan nacional de telecomunicaciones de emergencia integrado en sus estrategias nacionales de reducción del riesgo de catástrofes</w:t>
            </w:r>
          </w:p>
        </w:tc>
        <w:tc>
          <w:tcPr>
            <w:tcW w:w="2642" w:type="dxa"/>
            <w:tcBorders>
              <w:top w:val="single" w:sz="4" w:space="0" w:color="44B3E1"/>
              <w:left w:val="nil"/>
              <w:bottom w:val="single" w:sz="4" w:space="0" w:color="44B3E1"/>
              <w:right w:val="nil"/>
            </w:tcBorders>
            <w:hideMark/>
          </w:tcPr>
          <w:p w14:paraId="5E6DF2B8" w14:textId="77777777" w:rsidR="003F29D1" w:rsidRPr="006117E0" w:rsidRDefault="003F29D1" w:rsidP="006177B7">
            <w:pPr>
              <w:pStyle w:val="Tabletext"/>
              <w:ind w:left="284" w:hanging="284"/>
              <w:rPr>
                <w:sz w:val="18"/>
                <w:szCs w:val="18"/>
                <w:lang w:val="es-ES"/>
              </w:rPr>
            </w:pPr>
            <w:r w:rsidRPr="006117E0">
              <w:rPr>
                <w:lang w:val="es-ES" w:eastAsia="en-GB"/>
              </w:rPr>
              <w:t>•</w:t>
            </w:r>
            <w:r w:rsidRPr="006117E0">
              <w:rPr>
                <w:lang w:val="es-ES" w:eastAsia="en-GB"/>
              </w:rPr>
              <w:tab/>
            </w:r>
            <w:r w:rsidRPr="006117E0">
              <w:rPr>
                <w:sz w:val="18"/>
                <w:szCs w:val="18"/>
                <w:lang w:val="es-ES"/>
              </w:rPr>
              <w:t>Políticas y estrategias modelo, conjuntos de herramientas</w:t>
            </w:r>
          </w:p>
          <w:p w14:paraId="3B0554E3" w14:textId="77777777" w:rsidR="003F29D1" w:rsidRPr="006117E0" w:rsidRDefault="003F29D1" w:rsidP="006177B7">
            <w:pPr>
              <w:pStyle w:val="Tabletext"/>
              <w:ind w:left="284" w:hanging="284"/>
              <w:rPr>
                <w:sz w:val="18"/>
                <w:szCs w:val="18"/>
                <w:lang w:val="es-ES"/>
              </w:rPr>
            </w:pPr>
            <w:r w:rsidRPr="006117E0">
              <w:rPr>
                <w:sz w:val="18"/>
                <w:szCs w:val="18"/>
                <w:lang w:val="es-ES"/>
              </w:rPr>
              <w:t>•</w:t>
            </w:r>
            <w:r w:rsidRPr="006117E0">
              <w:rPr>
                <w:sz w:val="18"/>
                <w:szCs w:val="18"/>
                <w:lang w:val="es-ES"/>
              </w:rPr>
              <w:tab/>
              <w:t xml:space="preserve">Intervenciones técnicas </w:t>
            </w:r>
          </w:p>
          <w:p w14:paraId="56964C59" w14:textId="77777777" w:rsidR="003F29D1" w:rsidRPr="006117E0" w:rsidRDefault="003F29D1" w:rsidP="006177B7">
            <w:pPr>
              <w:pStyle w:val="Tabletext"/>
              <w:ind w:left="284" w:hanging="284"/>
              <w:rPr>
                <w:sz w:val="18"/>
                <w:szCs w:val="18"/>
                <w:lang w:val="es-ES"/>
              </w:rPr>
            </w:pPr>
            <w:r w:rsidRPr="006117E0">
              <w:rPr>
                <w:sz w:val="18"/>
                <w:szCs w:val="18"/>
                <w:lang w:val="es-ES"/>
              </w:rPr>
              <w:t>•</w:t>
            </w:r>
            <w:r w:rsidRPr="006117E0">
              <w:rPr>
                <w:sz w:val="18"/>
                <w:szCs w:val="18"/>
                <w:lang w:val="es-ES"/>
              </w:rPr>
              <w:tab/>
              <w:t xml:space="preserve">Plataformas de reunión </w:t>
            </w:r>
          </w:p>
          <w:p w14:paraId="5EFBE1E6" w14:textId="77777777" w:rsidR="003F29D1" w:rsidRPr="006117E0" w:rsidRDefault="003F29D1" w:rsidP="006177B7">
            <w:pPr>
              <w:pStyle w:val="Tabletext"/>
              <w:ind w:left="284" w:hanging="284"/>
              <w:rPr>
                <w:lang w:val="es-ES" w:eastAsia="en-GB"/>
              </w:rPr>
            </w:pPr>
            <w:r w:rsidRPr="006117E0">
              <w:rPr>
                <w:sz w:val="18"/>
                <w:szCs w:val="18"/>
                <w:lang w:val="es-ES"/>
              </w:rPr>
              <w:t>•</w:t>
            </w:r>
            <w:r w:rsidRPr="006117E0">
              <w:rPr>
                <w:sz w:val="18"/>
                <w:szCs w:val="18"/>
                <w:lang w:val="es-ES"/>
              </w:rPr>
              <w:tab/>
              <w:t>Marco de aprendizaje</w:t>
            </w:r>
            <w:r w:rsidRPr="006117E0">
              <w:rPr>
                <w:lang w:val="es-ES" w:eastAsia="en-GB"/>
              </w:rPr>
              <w:t xml:space="preserve"> </w:t>
            </w:r>
          </w:p>
        </w:tc>
        <w:tc>
          <w:tcPr>
            <w:tcW w:w="1328" w:type="dxa"/>
            <w:tcBorders>
              <w:top w:val="single" w:sz="4" w:space="0" w:color="44B3E1"/>
              <w:left w:val="nil"/>
              <w:bottom w:val="single" w:sz="4" w:space="0" w:color="44B3E1"/>
              <w:right w:val="nil"/>
            </w:tcBorders>
            <w:noWrap/>
            <w:hideMark/>
          </w:tcPr>
          <w:p w14:paraId="00162028" w14:textId="77777777" w:rsidR="003F29D1" w:rsidRPr="006117E0" w:rsidRDefault="003F29D1" w:rsidP="006177B7">
            <w:pPr>
              <w:pStyle w:val="Tabletext"/>
              <w:jc w:val="center"/>
              <w:rPr>
                <w:lang w:val="es-ES" w:eastAsia="en-GB"/>
              </w:rPr>
            </w:pPr>
            <w:r w:rsidRPr="006117E0">
              <w:rPr>
                <w:lang w:val="es-ES" w:eastAsia="en-GB"/>
              </w:rPr>
              <w:t>205 000</w:t>
            </w:r>
          </w:p>
        </w:tc>
        <w:tc>
          <w:tcPr>
            <w:tcW w:w="1460" w:type="dxa"/>
            <w:tcBorders>
              <w:top w:val="single" w:sz="4" w:space="0" w:color="44B3E1"/>
              <w:left w:val="nil"/>
              <w:bottom w:val="single" w:sz="4" w:space="0" w:color="44B3E1"/>
              <w:right w:val="nil"/>
            </w:tcBorders>
            <w:noWrap/>
            <w:hideMark/>
          </w:tcPr>
          <w:p w14:paraId="6BDC4BB6" w14:textId="2B2B5626" w:rsidR="003F29D1" w:rsidRPr="006117E0" w:rsidRDefault="003F29D1" w:rsidP="006177B7">
            <w:pPr>
              <w:pStyle w:val="Tabletext"/>
              <w:jc w:val="center"/>
              <w:rPr>
                <w:lang w:val="es-ES" w:eastAsia="en-GB"/>
              </w:rPr>
            </w:pPr>
            <w:r w:rsidRPr="006117E0">
              <w:rPr>
                <w:lang w:val="es-ES" w:eastAsia="en-GB"/>
              </w:rPr>
              <w:t>37,1</w:t>
            </w:r>
            <w:r w:rsidR="003112BD" w:rsidRPr="006117E0">
              <w:rPr>
                <w:lang w:val="es-ES" w:eastAsia="en-GB"/>
              </w:rPr>
              <w:t xml:space="preserve"> </w:t>
            </w:r>
            <w:r w:rsidRPr="006117E0">
              <w:rPr>
                <w:lang w:val="es-ES" w:eastAsia="en-GB"/>
              </w:rPr>
              <w:t>%</w:t>
            </w:r>
          </w:p>
        </w:tc>
        <w:tc>
          <w:tcPr>
            <w:tcW w:w="1455" w:type="dxa"/>
            <w:tcBorders>
              <w:top w:val="single" w:sz="4" w:space="0" w:color="44B3E1"/>
              <w:left w:val="nil"/>
              <w:bottom w:val="single" w:sz="4" w:space="0" w:color="44B3E1"/>
              <w:right w:val="single" w:sz="4" w:space="0" w:color="44B3E1"/>
            </w:tcBorders>
            <w:noWrap/>
            <w:hideMark/>
          </w:tcPr>
          <w:p w14:paraId="7D517342" w14:textId="3894AB86" w:rsidR="003F29D1" w:rsidRPr="006117E0" w:rsidRDefault="003F29D1" w:rsidP="006177B7">
            <w:pPr>
              <w:pStyle w:val="Tabletext"/>
              <w:jc w:val="center"/>
              <w:rPr>
                <w:lang w:val="es-ES" w:eastAsia="en-GB"/>
              </w:rPr>
            </w:pPr>
            <w:r w:rsidRPr="006117E0">
              <w:rPr>
                <w:lang w:val="es-ES" w:eastAsia="en-GB"/>
              </w:rPr>
              <w:t>5,4</w:t>
            </w:r>
            <w:r w:rsidR="003112BD" w:rsidRPr="006117E0">
              <w:rPr>
                <w:lang w:val="es-ES" w:eastAsia="en-GB"/>
              </w:rPr>
              <w:t xml:space="preserve"> </w:t>
            </w:r>
            <w:r w:rsidRPr="006117E0">
              <w:rPr>
                <w:lang w:val="es-ES" w:eastAsia="en-GB"/>
              </w:rPr>
              <w:t>%</w:t>
            </w:r>
          </w:p>
        </w:tc>
      </w:tr>
      <w:tr w:rsidR="003F29D1" w:rsidRPr="006117E0" w14:paraId="0B93CB1B" w14:textId="77777777" w:rsidTr="001466A4">
        <w:trPr>
          <w:trHeight w:val="7427"/>
        </w:trPr>
        <w:tc>
          <w:tcPr>
            <w:tcW w:w="1617" w:type="dxa"/>
            <w:tcBorders>
              <w:top w:val="single" w:sz="4" w:space="0" w:color="44B3E1"/>
              <w:left w:val="single" w:sz="4" w:space="0" w:color="44B3E1"/>
              <w:bottom w:val="single" w:sz="4" w:space="0" w:color="44B3E1"/>
              <w:right w:val="nil"/>
            </w:tcBorders>
            <w:shd w:val="clear" w:color="auto" w:fill="C0E6F5"/>
            <w:hideMark/>
          </w:tcPr>
          <w:p w14:paraId="2E38FCE3" w14:textId="77777777" w:rsidR="003F29D1" w:rsidRPr="006117E0" w:rsidRDefault="003F29D1" w:rsidP="006177B7">
            <w:pPr>
              <w:pStyle w:val="Tabletext"/>
              <w:rPr>
                <w:b/>
                <w:bCs/>
                <w:lang w:val="es-ES" w:eastAsia="en-GB"/>
              </w:rPr>
            </w:pPr>
            <w:r w:rsidRPr="006117E0">
              <w:rPr>
                <w:b/>
                <w:bCs/>
                <w:lang w:val="es-ES" w:eastAsia="en-GB"/>
              </w:rPr>
              <w:lastRenderedPageBreak/>
              <w:t>Infraestructura digital y de red</w:t>
            </w:r>
          </w:p>
        </w:tc>
        <w:tc>
          <w:tcPr>
            <w:tcW w:w="2871" w:type="dxa"/>
            <w:tcBorders>
              <w:top w:val="single" w:sz="4" w:space="0" w:color="44B3E1"/>
              <w:left w:val="nil"/>
              <w:bottom w:val="single" w:sz="4" w:space="0" w:color="44B3E1"/>
              <w:right w:val="nil"/>
            </w:tcBorders>
            <w:shd w:val="clear" w:color="auto" w:fill="C0E6F5"/>
            <w:hideMark/>
          </w:tcPr>
          <w:p w14:paraId="5B4A6116"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Mejora de la conectividad de banda ancha en los países en desarrollo, los países menos adelantados (PMA), los pequeños Estados insulares en desarrollo (PEID), los países en desarrollo sin litoral (PDSL) y los países con necesidades específicas</w:t>
            </w:r>
          </w:p>
          <w:p w14:paraId="4F7B73EA"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Mejora de la infraestructura y los servicios de telecomunicaciones/TIC, en particular la cobertura de banda ancha, la calidad de servicio y la asequibilidad de servicios y dispositivos, y en relación las zonas rurales y subatendidas</w:t>
            </w:r>
          </w:p>
        </w:tc>
        <w:tc>
          <w:tcPr>
            <w:tcW w:w="2905" w:type="dxa"/>
            <w:tcBorders>
              <w:top w:val="single" w:sz="4" w:space="0" w:color="44B3E1"/>
              <w:left w:val="nil"/>
              <w:bottom w:val="single" w:sz="4" w:space="0" w:color="44B3E1"/>
              <w:right w:val="nil"/>
            </w:tcBorders>
            <w:shd w:val="clear" w:color="auto" w:fill="C0E6F5"/>
            <w:hideMark/>
          </w:tcPr>
          <w:p w14:paraId="4E1AB990"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 xml:space="preserve">Número de Estados Miembros con </w:t>
            </w:r>
          </w:p>
          <w:p w14:paraId="724DB62E"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Porcentaje de población que utiliza Internet</w:t>
            </w:r>
          </w:p>
          <w:p w14:paraId="2A52FFFE"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 xml:space="preserve">Porcentaje de personas propietarias de un teléfono móvil </w:t>
            </w:r>
          </w:p>
          <w:p w14:paraId="4D3381B9"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Porcentaje de la población rural en los PMA, PDSL, y PEID con cobertura de redes IMT</w:t>
            </w:r>
            <w:r w:rsidRPr="006117E0">
              <w:rPr>
                <w:lang w:val="es-ES" w:eastAsia="en-GB"/>
              </w:rPr>
              <w:noBreakHyphen/>
              <w:t xml:space="preserve">2000 ('3G') o ulteriores </w:t>
            </w:r>
          </w:p>
          <w:p w14:paraId="4C0476DD"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Porcentaje de Estados Miembros respecto de los cuales se dispone de datos en los que al menos el 90 % de la población de las zonas rurales dispone de cobertura de redes IMT</w:t>
            </w:r>
            <w:r w:rsidRPr="006117E0">
              <w:rPr>
                <w:lang w:val="es-ES" w:eastAsia="en-GB"/>
              </w:rPr>
              <w:noBreakHyphen/>
              <w:t>Avanzadas ('4G') o ulteriores</w:t>
            </w:r>
          </w:p>
          <w:p w14:paraId="6250E243"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Porcentaje de Estados Miembros con una cesta de datos de banda ancha móvil básica disponible a no más del 2 % del INB per cápita</w:t>
            </w:r>
          </w:p>
          <w:p w14:paraId="54050658"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Porcentaje de Estados Miembros con una cesta de datos de banda ancha fija básica disponible a no más del 2 % del INB per cápita</w:t>
            </w:r>
          </w:p>
        </w:tc>
        <w:tc>
          <w:tcPr>
            <w:tcW w:w="2642" w:type="dxa"/>
            <w:tcBorders>
              <w:top w:val="single" w:sz="4" w:space="0" w:color="44B3E1"/>
              <w:left w:val="nil"/>
              <w:bottom w:val="single" w:sz="4" w:space="0" w:color="44B3E1"/>
              <w:right w:val="nil"/>
            </w:tcBorders>
            <w:shd w:val="clear" w:color="auto" w:fill="C0E6F5"/>
            <w:hideMark/>
          </w:tcPr>
          <w:p w14:paraId="5FD14E49" w14:textId="77777777" w:rsidR="003F29D1" w:rsidRPr="006117E0" w:rsidRDefault="003F29D1" w:rsidP="006177B7">
            <w:pPr>
              <w:pStyle w:val="Tabletext"/>
              <w:ind w:left="284" w:hanging="284"/>
              <w:rPr>
                <w:lang w:val="es-ES"/>
              </w:rPr>
            </w:pPr>
            <w:r w:rsidRPr="006117E0">
              <w:rPr>
                <w:color w:val="000000" w:themeColor="text1"/>
                <w:lang w:val="es-ES" w:eastAsia="en-GB"/>
              </w:rPr>
              <w:t>•</w:t>
            </w:r>
            <w:r w:rsidRPr="006117E0">
              <w:rPr>
                <w:color w:val="000000" w:themeColor="text1"/>
                <w:lang w:val="es-ES" w:eastAsia="en-GB"/>
              </w:rPr>
              <w:tab/>
              <w:t>Intervenciones técnicas</w:t>
            </w:r>
            <w:r w:rsidRPr="006117E0">
              <w:rPr>
                <w:lang w:val="es-ES"/>
              </w:rPr>
              <w:t xml:space="preserve"> </w:t>
            </w:r>
          </w:p>
          <w:p w14:paraId="7BB52B12" w14:textId="77777777" w:rsidR="003F29D1" w:rsidRPr="006117E0" w:rsidRDefault="003F29D1" w:rsidP="006177B7">
            <w:pPr>
              <w:pStyle w:val="Tabletext"/>
              <w:ind w:left="284" w:hanging="284"/>
              <w:rPr>
                <w:lang w:val="es-ES"/>
              </w:rPr>
            </w:pPr>
            <w:r w:rsidRPr="006117E0">
              <w:rPr>
                <w:color w:val="000000" w:themeColor="text1"/>
                <w:lang w:val="es-ES" w:eastAsia="en-GB"/>
              </w:rPr>
              <w:t>•</w:t>
            </w:r>
            <w:r w:rsidRPr="006117E0">
              <w:rPr>
                <w:color w:val="000000" w:themeColor="text1"/>
                <w:lang w:val="es-ES" w:eastAsia="en-GB"/>
              </w:rPr>
              <w:tab/>
              <w:t>Plataformas de reunión</w:t>
            </w:r>
            <w:r w:rsidRPr="006117E0">
              <w:rPr>
                <w:lang w:val="es-ES"/>
              </w:rPr>
              <w:t xml:space="preserve"> </w:t>
            </w:r>
          </w:p>
          <w:p w14:paraId="70424899" w14:textId="77777777" w:rsidR="003F29D1" w:rsidRPr="006117E0" w:rsidRDefault="003F29D1" w:rsidP="006177B7">
            <w:pPr>
              <w:pStyle w:val="Tabletext"/>
              <w:ind w:left="284" w:hanging="284"/>
              <w:rPr>
                <w:color w:val="000000" w:themeColor="text1"/>
                <w:lang w:val="es-ES"/>
              </w:rPr>
            </w:pPr>
            <w:r w:rsidRPr="006117E0">
              <w:rPr>
                <w:color w:val="000000" w:themeColor="text1"/>
                <w:lang w:val="es-ES" w:eastAsia="en-GB"/>
              </w:rPr>
              <w:t>•</w:t>
            </w:r>
            <w:r w:rsidRPr="006117E0">
              <w:rPr>
                <w:color w:val="000000" w:themeColor="text1"/>
                <w:lang w:val="es-ES" w:eastAsia="en-GB"/>
              </w:rPr>
              <w:tab/>
              <w:t xml:space="preserve">Marcos de aprendizaje </w:t>
            </w:r>
          </w:p>
          <w:p w14:paraId="39E8078C" w14:textId="77777777" w:rsidR="003F29D1" w:rsidRPr="006117E0" w:rsidRDefault="003F29D1" w:rsidP="006177B7">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t>Plataformas de reunión</w:t>
            </w:r>
          </w:p>
          <w:p w14:paraId="15766A57" w14:textId="77777777" w:rsidR="003F29D1" w:rsidRPr="006117E0" w:rsidRDefault="003F29D1" w:rsidP="006177B7">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r>
            <w:r w:rsidRPr="006117E0">
              <w:rPr>
                <w:lang w:val="es-ES" w:eastAsia="en-GB"/>
              </w:rPr>
              <w:t xml:space="preserve">Políticas y estrategias modelo, conjuntos de herramientas </w:t>
            </w:r>
          </w:p>
        </w:tc>
        <w:tc>
          <w:tcPr>
            <w:tcW w:w="1328" w:type="dxa"/>
            <w:tcBorders>
              <w:top w:val="single" w:sz="4" w:space="0" w:color="44B3E1"/>
              <w:left w:val="nil"/>
              <w:bottom w:val="single" w:sz="4" w:space="0" w:color="44B3E1"/>
              <w:right w:val="nil"/>
            </w:tcBorders>
            <w:shd w:val="clear" w:color="auto" w:fill="C0E6F5"/>
            <w:noWrap/>
            <w:hideMark/>
          </w:tcPr>
          <w:p w14:paraId="7ADA5555" w14:textId="77777777" w:rsidR="003F29D1" w:rsidRPr="006117E0" w:rsidRDefault="003F29D1" w:rsidP="006177B7">
            <w:pPr>
              <w:pStyle w:val="Tabletext"/>
              <w:jc w:val="center"/>
              <w:rPr>
                <w:b/>
                <w:bCs/>
                <w:lang w:val="es-ES" w:eastAsia="en-GB"/>
              </w:rPr>
            </w:pPr>
            <w:r w:rsidRPr="006117E0">
              <w:rPr>
                <w:b/>
                <w:bCs/>
                <w:lang w:val="es-ES" w:eastAsia="en-GB"/>
              </w:rPr>
              <w:t>347 000</w:t>
            </w:r>
          </w:p>
        </w:tc>
        <w:tc>
          <w:tcPr>
            <w:tcW w:w="1460" w:type="dxa"/>
            <w:tcBorders>
              <w:top w:val="single" w:sz="4" w:space="0" w:color="44B3E1"/>
              <w:left w:val="nil"/>
              <w:bottom w:val="single" w:sz="4" w:space="0" w:color="44B3E1"/>
              <w:right w:val="nil"/>
            </w:tcBorders>
            <w:shd w:val="clear" w:color="auto" w:fill="C0E6F5"/>
            <w:noWrap/>
            <w:hideMark/>
          </w:tcPr>
          <w:p w14:paraId="250893E5" w14:textId="209D63B3" w:rsidR="003F29D1" w:rsidRPr="006117E0" w:rsidRDefault="003F29D1" w:rsidP="006177B7">
            <w:pPr>
              <w:pStyle w:val="Tabletext"/>
              <w:jc w:val="center"/>
              <w:rPr>
                <w:lang w:val="es-ES" w:eastAsia="en-GB"/>
              </w:rPr>
            </w:pPr>
            <w:r w:rsidRPr="006117E0">
              <w:rPr>
                <w:lang w:val="es-ES" w:eastAsia="en-GB"/>
              </w:rPr>
              <w:t>62,9</w:t>
            </w:r>
            <w:r w:rsidR="003112BD" w:rsidRPr="006117E0">
              <w:rPr>
                <w:lang w:val="es-ES" w:eastAsia="en-GB"/>
              </w:rPr>
              <w:t xml:space="preserve"> </w:t>
            </w:r>
            <w:r w:rsidRPr="006117E0">
              <w:rPr>
                <w:lang w:val="es-ES" w:eastAsia="en-GB"/>
              </w:rPr>
              <w:t>%</w:t>
            </w:r>
          </w:p>
        </w:tc>
        <w:tc>
          <w:tcPr>
            <w:tcW w:w="1455" w:type="dxa"/>
            <w:tcBorders>
              <w:top w:val="single" w:sz="4" w:space="0" w:color="44B3E1"/>
              <w:left w:val="nil"/>
              <w:bottom w:val="single" w:sz="4" w:space="0" w:color="44B3E1"/>
              <w:right w:val="single" w:sz="4" w:space="0" w:color="44B3E1"/>
            </w:tcBorders>
            <w:shd w:val="clear" w:color="auto" w:fill="C0E6F5"/>
            <w:noWrap/>
            <w:hideMark/>
          </w:tcPr>
          <w:p w14:paraId="551E6EF7" w14:textId="51068BF7" w:rsidR="003F29D1" w:rsidRPr="006117E0" w:rsidRDefault="003F29D1" w:rsidP="006177B7">
            <w:pPr>
              <w:pStyle w:val="Tabletext"/>
              <w:jc w:val="center"/>
              <w:rPr>
                <w:lang w:val="es-ES" w:eastAsia="en-GB"/>
              </w:rPr>
            </w:pPr>
            <w:r w:rsidRPr="006117E0">
              <w:rPr>
                <w:lang w:val="es-ES" w:eastAsia="en-GB"/>
              </w:rPr>
              <w:t>9,1</w:t>
            </w:r>
            <w:r w:rsidR="003112BD" w:rsidRPr="006117E0">
              <w:rPr>
                <w:lang w:val="es-ES" w:eastAsia="en-GB"/>
              </w:rPr>
              <w:t xml:space="preserve"> </w:t>
            </w:r>
            <w:r w:rsidRPr="006117E0">
              <w:rPr>
                <w:lang w:val="es-ES" w:eastAsia="en-GB"/>
              </w:rPr>
              <w:t>%</w:t>
            </w:r>
          </w:p>
        </w:tc>
      </w:tr>
    </w:tbl>
    <w:p w14:paraId="0E4B10EA" w14:textId="77777777" w:rsidR="003112BD" w:rsidRPr="006117E0" w:rsidRDefault="003112BD" w:rsidP="003112BD">
      <w:pPr>
        <w:pStyle w:val="Headingi"/>
        <w:keepNext/>
        <w:keepLines/>
        <w:rPr>
          <w:b/>
          <w:bCs/>
          <w:lang w:val="es-ES"/>
        </w:rPr>
        <w:sectPr w:rsidR="003112BD" w:rsidRPr="006117E0" w:rsidSect="006177B7">
          <w:headerReference w:type="default" r:id="rId20"/>
          <w:pgSz w:w="16838" w:h="11906" w:orient="landscape" w:code="9"/>
          <w:pgMar w:top="1138" w:right="1411" w:bottom="1138" w:left="1411" w:header="624" w:footer="624" w:gutter="0"/>
          <w:cols w:space="720"/>
          <w:docGrid w:linePitch="326"/>
        </w:sectPr>
      </w:pPr>
    </w:p>
    <w:p w14:paraId="3FE38853" w14:textId="698E2C6C" w:rsidR="003F29D1" w:rsidRPr="006117E0" w:rsidRDefault="003F29D1" w:rsidP="003112BD">
      <w:pPr>
        <w:pStyle w:val="Headingi"/>
        <w:keepNext/>
        <w:keepLines/>
        <w:rPr>
          <w:b/>
          <w:bCs/>
          <w:lang w:val="es-ES"/>
        </w:rPr>
      </w:pPr>
      <w:r w:rsidRPr="006117E0">
        <w:rPr>
          <w:b/>
          <w:bCs/>
          <w:lang w:val="es-ES"/>
        </w:rPr>
        <w:lastRenderedPageBreak/>
        <w:t>Hitos de la aplicación en 2026: Prioridad 1 del UIT-D – Conectividad asequible</w:t>
      </w:r>
    </w:p>
    <w:p w14:paraId="16F1B6DD" w14:textId="77777777" w:rsidR="003F29D1" w:rsidRPr="006117E0" w:rsidRDefault="003F29D1" w:rsidP="003112BD">
      <w:pPr>
        <w:pStyle w:val="Headingb"/>
        <w:rPr>
          <w:lang w:val="es-ES"/>
        </w:rPr>
      </w:pPr>
      <w:r w:rsidRPr="006117E0">
        <w:rPr>
          <w:lang w:val="es-ES"/>
        </w:rPr>
        <w:t>Telecomunicaciones de emergencia</w:t>
      </w:r>
    </w:p>
    <w:p w14:paraId="5201068A" w14:textId="77777777" w:rsidR="003F29D1" w:rsidRPr="006117E0" w:rsidRDefault="003F29D1" w:rsidP="009D366F">
      <w:pPr>
        <w:rPr>
          <w:b/>
          <w:lang w:val="es-ES"/>
        </w:rPr>
      </w:pPr>
      <w:r w:rsidRPr="006117E0">
        <w:rPr>
          <w:b/>
          <w:lang w:val="es-ES"/>
        </w:rPr>
        <w:t xml:space="preserve">En África, </w:t>
      </w:r>
      <w:r w:rsidRPr="006117E0">
        <w:rPr>
          <w:lang w:val="es-ES"/>
        </w:rPr>
        <w:t>Rwanda adoptó un nuevo Plan Nacional de Telecomunicaciones de Emergencia para ayudar a fortalecer los sistemas de alerta temprana, mejorar la preparación ante catástrofes y aumentar la resiliencia nacional.</w:t>
      </w:r>
      <w:r w:rsidRPr="006117E0">
        <w:rPr>
          <w:b/>
          <w:lang w:val="es-ES"/>
        </w:rPr>
        <w:t xml:space="preserve"> </w:t>
      </w:r>
      <w:r w:rsidRPr="006117E0">
        <w:rPr>
          <w:bCs/>
          <w:lang w:val="es-ES"/>
        </w:rPr>
        <w:t>En Senegal, el taller nacional de validación de telecomunicaciones de emergencia tuvo lugar los días 10 y 11 de febrero, y reunió a los actores nacionales en la reducción del riesgo de catástrofes y las telecomunicaciones de emergencia de los sectores público y privado</w:t>
      </w:r>
      <w:r w:rsidRPr="006117E0">
        <w:rPr>
          <w:lang w:val="es-ES"/>
        </w:rPr>
        <w:t>. Coorganizado por la BDT y la Autoridad de Reglamentación de Telecomunicaciones y Corros de Senegal, el taller reforzó los esfuerzos colectivos para aprovechar las TIC para la reducción del riesgo de catástrofes y garantizar que nadie se quede atrás cuando sobrevienen emergencias. El taller también proporcionó una plataforma para que los participantes revisaran los marcos jurídicos y reglamentarios que permiten el uso de la tecnología para la gestión de catástrofes, aclararan las funciones institucionales y los mecanismos de coordinación, construyeran un entendimiento común sobre cómo las soluciones digitales apoyan cada fase de la gestión de catástrofes y acordaran una hoja de ruta para mejorar las telecomunicaciones de emergencia en el país.</w:t>
      </w:r>
    </w:p>
    <w:p w14:paraId="0C64B633" w14:textId="77777777" w:rsidR="003F29D1" w:rsidRPr="006117E0" w:rsidRDefault="003F29D1" w:rsidP="009D366F">
      <w:pPr>
        <w:rPr>
          <w:lang w:val="es-ES"/>
        </w:rPr>
      </w:pPr>
      <w:r w:rsidRPr="006117E0">
        <w:rPr>
          <w:lang w:val="es-ES"/>
        </w:rPr>
        <w:t>En la República Democrática del Congo, los días 28 y 29 de enero se celebró el taller consultivo nacional de Alertas Tempranas para Todos (EW4All) para desplegar oficialmente la iniciativa en el país. El taller fue dirigido por la BDT en colaboración con los organismos rectores de los pilares de EW4All, la Oficina de las Naciones Unidas para la Reducción del Riesgo de Desastres (UNDRR), la Organización Meteorológica Mundial (OMM) y la Federación Internacional de la Cruz Roja (FICR), y contó con el apoyo del Ministerio del Interior, la Autoridad de Reglamentación de Correos y Telecomunicaciones del Congo, la Agencia Nacional de Meteorología y Teledetección por Satélite y la Autoridad Reguladora de las Vías Fluviales. El trabajo de la BDT con el Gobierno, los asociados de las Naciones Unidas y las instituciones nacionales contribuyó a identificar las carencias de los cuatro pilares de EW4All y a cocrear una hoja de ruta nacional para el conocimiento de los riesgos, la previsión, la difusión de alertas y la comunicación, y la preparación, reforzando el camino del país hacia las Alertas Tempranas para Todos.</w:t>
      </w:r>
    </w:p>
    <w:p w14:paraId="0EAE82BF" w14:textId="77777777" w:rsidR="003F29D1" w:rsidRPr="006117E0" w:rsidRDefault="003F29D1" w:rsidP="009D366F">
      <w:pPr>
        <w:rPr>
          <w:lang w:val="es-ES"/>
        </w:rPr>
      </w:pPr>
      <w:r w:rsidRPr="006117E0">
        <w:rPr>
          <w:lang w:val="es-ES"/>
        </w:rPr>
        <w:t>En Malawi, el taller consultivo nacional Alertas Tempranas para Todos (EW4All) se celebró los días 11 y 12 de febrero, en paralelo a la Reunión de Coordinación de Asociados sobre Servicios de Alerta Temprana para Malawi, organizada por la iniciativa Riesgos Climáticos y Sistemas de Alerta Temprana. Organizado en colaboración con los organismos rectores de los pilares EW4All y los socios nacionales, el taller sirvió de plataforma para que el Gobierno, los socios de las naciones Unidas y las instituciones colaboraran y revisaran los objetivos de EW4All, identificaran a las principales partes interesadas y acordaran las acciones prioritarias y los próximos pasos para fortalecer los sistemas de alerta temprana centrados en las personas en Malawi. Subrayando la necesidad de implementar la radiodifusión celular como parte del fortalecimiento del sistema nacional de alerta temprana, la Autoridad de Reglamentación de las Comunicaciones de Malawi destacó el apoyo que la Oficina de Desarrollo de las Telecomunicaciones de la UIT ha estado prestando al país en materia de telecomunicaciones de emergencia.</w:t>
      </w:r>
    </w:p>
    <w:p w14:paraId="57DA800C" w14:textId="77777777" w:rsidR="003F29D1" w:rsidRPr="006117E0" w:rsidRDefault="003F29D1" w:rsidP="009D366F">
      <w:pPr>
        <w:rPr>
          <w:lang w:val="es-ES"/>
        </w:rPr>
      </w:pPr>
      <w:r w:rsidRPr="006117E0">
        <w:rPr>
          <w:b/>
          <w:lang w:val="es-ES"/>
        </w:rPr>
        <w:t xml:space="preserve">En las Américas, </w:t>
      </w:r>
      <w:r w:rsidRPr="006117E0">
        <w:rPr>
          <w:bCs/>
          <w:lang w:val="es-ES"/>
        </w:rPr>
        <w:t>la BDT traspasó el Plan Nacional de Telecomunicaciones de Emergencia (PNTE) al Consejo Nacional de Telecomunicaciones (CONATEL) de Haití</w:t>
      </w:r>
      <w:r w:rsidRPr="006117E0">
        <w:rPr>
          <w:lang w:val="es-ES"/>
        </w:rPr>
        <w:t>. Este hito refuerza la preparación de Haití para las catástrofes y la coordinación nacional, garantizando que las telecomunicaciones que salvan vidas sean adecuadas para su propósito antes, durante y después de las catástrofes, ayudando a proteger vidas y medios de subsistencia y sin dejar a nadie atrás.</w:t>
      </w:r>
    </w:p>
    <w:p w14:paraId="746F4212" w14:textId="77777777" w:rsidR="003F29D1" w:rsidRPr="006117E0" w:rsidRDefault="003F29D1" w:rsidP="009D366F">
      <w:pPr>
        <w:rPr>
          <w:lang w:val="es-ES"/>
        </w:rPr>
      </w:pPr>
      <w:r w:rsidRPr="006117E0">
        <w:rPr>
          <w:lang w:val="es-ES"/>
        </w:rPr>
        <w:lastRenderedPageBreak/>
        <w:t>En consonancia con las prioridades regionales, la BDT presentó sus avances en el Pilar 3 de la iniciativa Alertas Tempranas para Todos (EW4ALL) durante el VIII Foro Regional en Ciudad de Panamá (17-19 de marzo), destacando el compromiso de la BDT con la reducción del riesgo de catástrofes y la gestión integral en toda América Central.</w:t>
      </w:r>
    </w:p>
    <w:p w14:paraId="6B469416" w14:textId="4FA636B0" w:rsidR="003F29D1" w:rsidRPr="006117E0" w:rsidRDefault="003F29D1" w:rsidP="009D366F">
      <w:pPr>
        <w:rPr>
          <w:b/>
          <w:bCs/>
          <w:lang w:val="es-ES"/>
        </w:rPr>
      </w:pPr>
      <w:r w:rsidRPr="006117E0">
        <w:rPr>
          <w:b/>
          <w:bCs/>
          <w:lang w:val="es-ES"/>
        </w:rPr>
        <w:t xml:space="preserve">En Asia-Pacífico, </w:t>
      </w:r>
      <w:r w:rsidRPr="006117E0">
        <w:rPr>
          <w:lang w:val="es-ES"/>
        </w:rPr>
        <w:t>la BDT organizó una sesión sobre la elaboración de un Plan Nacional de Telecomunicaciones de Emergencia (PNTE) para el Ministerio de Transportes, Comunicaciones y TI de la República de las Islas Marshall. La sesión abarcó el marco, la implementación y la integración del PNTE con el Grupo Nacional de Telecomunicaciones de Emergencia y los sistemas de alerta temprana.</w:t>
      </w:r>
    </w:p>
    <w:p w14:paraId="0DAC1166" w14:textId="368CE4F7" w:rsidR="003F29D1" w:rsidRPr="006117E0" w:rsidRDefault="003F29D1" w:rsidP="009D366F">
      <w:pPr>
        <w:rPr>
          <w:lang w:val="es-ES"/>
        </w:rPr>
      </w:pPr>
      <w:r w:rsidRPr="006117E0">
        <w:rPr>
          <w:lang w:val="es-ES"/>
        </w:rPr>
        <w:t>Además, la BDT, en colaboración con la Comisión Económica y Social de las Naciones Unidas para Asia y el Pacífico (CESPAP) y los rectores de los pilares de EW4All, organizó el 29 de enero un seminario web sobre avances en la financiación de EW4All como parte de la serie de seminarios web EW4All de Asia-Pacífico. Al evento, al que asistieron más de 100 participantes, se destacaron las estrategias y la importancia de la implantación sostenible de sistemas de alerta temprana.</w:t>
      </w:r>
    </w:p>
    <w:p w14:paraId="1D241DD8" w14:textId="5638A834" w:rsidR="003F29D1" w:rsidRPr="006117E0" w:rsidRDefault="003F29D1" w:rsidP="009D366F">
      <w:pPr>
        <w:rPr>
          <w:lang w:val="es-ES"/>
        </w:rPr>
      </w:pPr>
      <w:r w:rsidRPr="006117E0">
        <w:rPr>
          <w:b/>
          <w:lang w:val="es-ES"/>
        </w:rPr>
        <w:t xml:space="preserve">En la CEI, </w:t>
      </w:r>
      <w:r w:rsidRPr="006117E0">
        <w:rPr>
          <w:lang w:val="es-ES"/>
        </w:rPr>
        <w:t>Armenia celebró su taller de validación de la hoja de ruta nacional EW4All para garantizar la protección de todas las personas, en todas partes, mediante alertas tempranas que salvan vidas. La iniciativa mejoró las capacidades nacionales en materia de conocimiento de riesgos, predicción, difusión de alertas y respuesta, apoyando el desarrollo de un marco integrado de alerta temprana armonizado con las normas mundiales para mejorar la resiliencia climática y proteger a las comunidades de los catástrofes.</w:t>
      </w:r>
    </w:p>
    <w:p w14:paraId="0D99AC42" w14:textId="67159A1B" w:rsidR="003F29D1" w:rsidRPr="006117E0" w:rsidRDefault="003F29D1" w:rsidP="009D366F">
      <w:pPr>
        <w:rPr>
          <w:lang w:val="es-ES"/>
        </w:rPr>
      </w:pPr>
      <w:r w:rsidRPr="006117E0">
        <w:rPr>
          <w:b/>
          <w:bCs/>
          <w:lang w:val="es-ES"/>
        </w:rPr>
        <w:t>En Europa,</w:t>
      </w:r>
      <w:r w:rsidRPr="006117E0">
        <w:rPr>
          <w:lang w:val="es-ES"/>
        </w:rPr>
        <w:t xml:space="preserve"> en enero se celebró en Podgorica (Montenegro) un taller de validación nacional sobre sistemas de alerta de emergencia, en el que más de 40 representantes de instituciones pertinentes tuvieron la oportunidad de formular observaciones finales sobre el informe técnico y el estudio de viabilidad para la implantación de un sistema de alerta pública basado en la radiodifusión celular y otros canales de comunicación para el envío de mensajes de alerta en Montenegro. Tras el taller y los comentarios directos de las autoridades nacionales competentes, se finalizó la documentación y se entregó a EKIP con ocasión del Foro Regional de Desarrollo de la UIT p</w:t>
      </w:r>
      <w:r w:rsidR="00300000" w:rsidRPr="006117E0">
        <w:rPr>
          <w:lang w:val="es-ES"/>
        </w:rPr>
        <w:t>a</w:t>
      </w:r>
      <w:r w:rsidRPr="006117E0">
        <w:rPr>
          <w:lang w:val="es-ES"/>
        </w:rPr>
        <w:t>ra Europa, celebrado en marzo de 2026.</w:t>
      </w:r>
    </w:p>
    <w:p w14:paraId="5B7209B6" w14:textId="77777777" w:rsidR="003F29D1" w:rsidRPr="006117E0" w:rsidRDefault="003F29D1" w:rsidP="009D366F">
      <w:pPr>
        <w:pStyle w:val="Headingb"/>
        <w:rPr>
          <w:lang w:val="es-ES"/>
        </w:rPr>
      </w:pPr>
      <w:r w:rsidRPr="006117E0">
        <w:rPr>
          <w:lang w:val="es-ES"/>
        </w:rPr>
        <w:t>Redes e infraestructura</w:t>
      </w:r>
    </w:p>
    <w:p w14:paraId="40EB6BA0" w14:textId="77777777" w:rsidR="003F29D1" w:rsidRPr="006117E0" w:rsidRDefault="003F29D1" w:rsidP="009D366F">
      <w:pPr>
        <w:rPr>
          <w:lang w:val="es-ES"/>
        </w:rPr>
      </w:pPr>
      <w:r w:rsidRPr="006117E0">
        <w:rPr>
          <w:b/>
          <w:bCs/>
          <w:lang w:val="es-ES"/>
        </w:rPr>
        <w:t>En África,</w:t>
      </w:r>
      <w:r w:rsidRPr="006117E0">
        <w:rPr>
          <w:lang w:val="es-ES"/>
        </w:rPr>
        <w:t xml:space="preserve"> como parte del proyecto Africa-Broadband-Maps, la BDT apoyó 11 análisis de política y reglamentación nacionales que constituyen la base de los sistemas de cartografía de la banda ancha. Se completaron los informes nacionales de Nigeria, Botswana, Côte d'Ivoire y Kenya, y están en curso los de Benin, Burundi, Etiopía, Malawi, Uganda, Zambia y Zimbabwe.</w:t>
      </w:r>
    </w:p>
    <w:p w14:paraId="228CB12B" w14:textId="3314FFB2" w:rsidR="003F29D1" w:rsidRPr="006117E0" w:rsidRDefault="003F29D1" w:rsidP="009D366F">
      <w:pPr>
        <w:rPr>
          <w:lang w:val="es-ES"/>
        </w:rPr>
      </w:pPr>
      <w:r w:rsidRPr="006117E0">
        <w:rPr>
          <w:lang w:val="es-ES"/>
        </w:rPr>
        <w:t>Con miras a llevar a cabo iniciativas regionales, la BDT, junto con la ICANN y la UAT, organizó el 25</w:t>
      </w:r>
      <w:r w:rsidR="005A6FBA" w:rsidRPr="006117E0">
        <w:rPr>
          <w:lang w:val="es-ES"/>
        </w:rPr>
        <w:t> </w:t>
      </w:r>
      <w:r w:rsidRPr="006117E0">
        <w:rPr>
          <w:lang w:val="es-ES"/>
        </w:rPr>
        <w:t>de febrero una sesión de información técnica sobre el fortalecimiento de la infraestructura digital en África. Se lanzó una convocatoria de manifestaciones de interés para que los Estados Miembros presentaran ideas de proyectos sobre los temas técnicos debatidos.</w:t>
      </w:r>
    </w:p>
    <w:p w14:paraId="0A758282" w14:textId="77777777" w:rsidR="003F29D1" w:rsidRPr="006117E0" w:rsidRDefault="003F29D1" w:rsidP="009D366F">
      <w:pPr>
        <w:rPr>
          <w:lang w:val="es-ES"/>
        </w:rPr>
      </w:pPr>
      <w:r w:rsidRPr="006117E0">
        <w:rPr>
          <w:b/>
          <w:bCs/>
          <w:lang w:val="es-ES"/>
        </w:rPr>
        <w:t>En las Américas,</w:t>
      </w:r>
      <w:r w:rsidRPr="006117E0">
        <w:rPr>
          <w:lang w:val="es-ES"/>
        </w:rPr>
        <w:t xml:space="preserve"> el campamento sobre gestión de redes de TIC para comunidades rurales, remotas e indígenas, celebrado en Puebla (México) del 18 al 25 de marzo, representó un hito clave en el avance de la conectividad. Aprovechando el éxito de la fase en línea, el componente presencial reforzó las competencias técnicas y prácticas de los participantes en el despliegue de redes comunitarias, la radiodifusión y las soluciones de conectividad sostenible. El campamento también fomentó intercambios significativos entre líderes comunitarios, reguladores, instituciones académicas y asociados para el desarrollo, incluida la colaboración con autoridades nacionales </w:t>
      </w:r>
      <w:r w:rsidRPr="006117E0">
        <w:rPr>
          <w:lang w:val="es-ES"/>
        </w:rPr>
        <w:lastRenderedPageBreak/>
        <w:t>como la Comisión Reguladora de Telecomunicaciones (CRT) de México, CONATEL Paraguay e INDOTEL de la República Dominicana. Empoderando a 50 partes interesadas a través de sesiones prácticas y aprendizaje entre pares, la iniciativa reforzó el compromiso de la BDT con la conectividad universal impulsada por la comunidad en todo el continente americano.</w:t>
      </w:r>
    </w:p>
    <w:p w14:paraId="591C7E6E" w14:textId="77777777" w:rsidR="003F29D1" w:rsidRPr="006117E0" w:rsidRDefault="003F29D1" w:rsidP="003F29D1">
      <w:pPr>
        <w:spacing w:after="120"/>
        <w:rPr>
          <w:b/>
          <w:bCs/>
          <w:lang w:val="es-ES"/>
        </w:rPr>
      </w:pPr>
      <w:r w:rsidRPr="006117E0">
        <w:rPr>
          <w:lang w:val="es-ES"/>
        </w:rPr>
        <w:t>Además, mediante un acuerdo de cooperación técnica con la Administración de Colombia (MinTIC), la BDT inició los trabajos preparatorios de una hoja de ruta estratégica para el acceso universal a los servicios de televisión.</w:t>
      </w:r>
    </w:p>
    <w:p w14:paraId="352B2D8F" w14:textId="75539716" w:rsidR="003F29D1" w:rsidRPr="006117E0" w:rsidRDefault="003F29D1" w:rsidP="009D366F">
      <w:pPr>
        <w:rPr>
          <w:lang w:val="es-ES"/>
        </w:rPr>
      </w:pPr>
      <w:r w:rsidRPr="006117E0">
        <w:rPr>
          <w:b/>
          <w:bCs/>
          <w:lang w:val="es-ES"/>
        </w:rPr>
        <w:t>En Asia-Pacífico</w:t>
      </w:r>
      <w:r w:rsidRPr="006117E0">
        <w:rPr>
          <w:lang w:val="es-ES"/>
        </w:rPr>
        <w:t>, los días 10 y 11 de febrero, la BDT celebró reuniones con los departamentos técnico, jurídico y financiero de la Autoridad Nacional de Comunicaciones de Timor-Leste (ANC) para armonizar las políticas nacionales de atribución del espectro con el actual Reglamento de Radiocomunicaciones de la UIT. Las reuniones, que forman parte de la asistencia directa prestada a Timor-Leste, se centraron en la comprobación técnica de frecuencias radioeléctricas (RF), la aplicación de la normativa, la gestión del espectro y las explicaciones sob</w:t>
      </w:r>
      <w:r w:rsidR="009D366F" w:rsidRPr="006117E0">
        <w:rPr>
          <w:lang w:val="es-ES"/>
        </w:rPr>
        <w:t>r</w:t>
      </w:r>
      <w:r w:rsidRPr="006117E0">
        <w:rPr>
          <w:lang w:val="es-ES"/>
        </w:rPr>
        <w:t>e el proyecto de Cuadro nacional de atribución de frecuencias.</w:t>
      </w:r>
    </w:p>
    <w:p w14:paraId="547F9A7E" w14:textId="22D80A93" w:rsidR="003F29D1" w:rsidRPr="006117E0" w:rsidRDefault="003F29D1" w:rsidP="009D366F">
      <w:pPr>
        <w:rPr>
          <w:lang w:val="es-ES"/>
        </w:rPr>
      </w:pPr>
      <w:r w:rsidRPr="006117E0">
        <w:rPr>
          <w:lang w:val="es-ES"/>
        </w:rPr>
        <w:t>El Foro de la UIT sobre inteligencia artificial para el crecimiento digital, celebrado en Armenia, reunió a expertos gubernamentales e internacionales para intensificar el diálogo nacional sobre políticas, reglamentación y aplicaciones sectoriales de IA, fomentando así la colaboración multipartita para la transformación digital. El evento mejoró las capacidades de las partes interesadas mediante el intercambio de conocimientos sobre la gobernanza de la IA, las tecnologías emergentes y los casos de uso de las telecomunicaciones y la ciberseguridad, contribuyendo así a la adopción de soluciones de IA innovadoras y fiables para impulsar el desarrollo digital sostenible.</w:t>
      </w:r>
    </w:p>
    <w:p w14:paraId="0BA1CC04" w14:textId="77777777" w:rsidR="009D366F" w:rsidRPr="006117E0" w:rsidRDefault="009D366F" w:rsidP="009D366F">
      <w:pPr>
        <w:rPr>
          <w:lang w:val="es-ES"/>
        </w:rPr>
        <w:sectPr w:rsidR="009D366F" w:rsidRPr="006117E0" w:rsidSect="003112BD">
          <w:headerReference w:type="default" r:id="rId21"/>
          <w:pgSz w:w="11906" w:h="16838" w:code="9"/>
          <w:pgMar w:top="1411" w:right="1138" w:bottom="1411" w:left="1138" w:header="624" w:footer="624" w:gutter="0"/>
          <w:cols w:space="720"/>
          <w:docGrid w:linePitch="326"/>
        </w:sectPr>
      </w:pPr>
    </w:p>
    <w:p w14:paraId="3E56C1EB" w14:textId="505142A2" w:rsidR="003F29D1" w:rsidRPr="006117E0" w:rsidRDefault="003F29D1" w:rsidP="009D366F">
      <w:pPr>
        <w:pStyle w:val="Heading2"/>
        <w:spacing w:after="120"/>
        <w:rPr>
          <w:lang w:val="es-ES"/>
        </w:rPr>
      </w:pPr>
      <w:r w:rsidRPr="006117E0">
        <w:rPr>
          <w:lang w:val="es-ES"/>
        </w:rPr>
        <w:lastRenderedPageBreak/>
        <w:t>3.2</w:t>
      </w:r>
      <w:r w:rsidRPr="006117E0">
        <w:rPr>
          <w:lang w:val="es-ES"/>
        </w:rPr>
        <w:tab/>
        <w:t xml:space="preserve">Prioridad </w:t>
      </w:r>
      <w:r w:rsidR="001466A4" w:rsidRPr="006117E0">
        <w:rPr>
          <w:lang w:val="es-ES"/>
        </w:rPr>
        <w:t xml:space="preserve">2 </w:t>
      </w:r>
      <w:r w:rsidRPr="006117E0">
        <w:rPr>
          <w:lang w:val="es-ES"/>
        </w:rPr>
        <w:t>del UIT-D: Transformación digital</w:t>
      </w:r>
    </w:p>
    <w:tbl>
      <w:tblPr>
        <w:tblW w:w="14278" w:type="dxa"/>
        <w:tblCellMar>
          <w:left w:w="28" w:type="dxa"/>
          <w:right w:w="28" w:type="dxa"/>
        </w:tblCellMar>
        <w:tblLook w:val="04A0" w:firstRow="1" w:lastRow="0" w:firstColumn="1" w:lastColumn="0" w:noHBand="0" w:noVBand="1"/>
      </w:tblPr>
      <w:tblGrid>
        <w:gridCol w:w="1974"/>
        <w:gridCol w:w="3021"/>
        <w:gridCol w:w="2891"/>
        <w:gridCol w:w="1968"/>
        <w:gridCol w:w="1481"/>
        <w:gridCol w:w="1496"/>
        <w:gridCol w:w="1447"/>
      </w:tblGrid>
      <w:tr w:rsidR="003F29D1" w:rsidRPr="006117E0" w14:paraId="6DF6AF5F" w14:textId="77777777" w:rsidTr="006177B7">
        <w:trPr>
          <w:trHeight w:val="600"/>
          <w:tblHeader/>
        </w:trPr>
        <w:tc>
          <w:tcPr>
            <w:tcW w:w="1974" w:type="dxa"/>
            <w:tcBorders>
              <w:top w:val="single" w:sz="4" w:space="0" w:color="44B3E1"/>
              <w:left w:val="single" w:sz="4" w:space="0" w:color="44B3E1"/>
              <w:bottom w:val="single" w:sz="4" w:space="0" w:color="44B3E1"/>
              <w:right w:val="nil"/>
            </w:tcBorders>
            <w:shd w:val="clear" w:color="auto" w:fill="156082"/>
            <w:noWrap/>
            <w:vAlign w:val="center"/>
            <w:hideMark/>
          </w:tcPr>
          <w:p w14:paraId="215A2EA9"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Prioridad/Tema</w:t>
            </w:r>
          </w:p>
        </w:tc>
        <w:tc>
          <w:tcPr>
            <w:tcW w:w="3021" w:type="dxa"/>
            <w:tcBorders>
              <w:top w:val="single" w:sz="4" w:space="0" w:color="44B3E1"/>
              <w:left w:val="nil"/>
              <w:bottom w:val="single" w:sz="4" w:space="0" w:color="44B3E1"/>
              <w:right w:val="nil"/>
            </w:tcBorders>
            <w:shd w:val="clear" w:color="auto" w:fill="156082"/>
            <w:noWrap/>
            <w:vAlign w:val="center"/>
            <w:hideMark/>
          </w:tcPr>
          <w:p w14:paraId="1BBCDE84"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Realización</w:t>
            </w:r>
          </w:p>
        </w:tc>
        <w:tc>
          <w:tcPr>
            <w:tcW w:w="2891" w:type="dxa"/>
            <w:tcBorders>
              <w:top w:val="single" w:sz="4" w:space="0" w:color="44B3E1"/>
              <w:left w:val="nil"/>
              <w:bottom w:val="single" w:sz="4" w:space="0" w:color="44B3E1"/>
              <w:right w:val="nil"/>
            </w:tcBorders>
            <w:shd w:val="clear" w:color="auto" w:fill="156082"/>
            <w:noWrap/>
            <w:vAlign w:val="center"/>
            <w:hideMark/>
          </w:tcPr>
          <w:p w14:paraId="37B12E9E"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Indicadores de realizaciones</w:t>
            </w:r>
            <w:r w:rsidRPr="006117E0">
              <w:rPr>
                <w:rStyle w:val="FootnoteReference"/>
                <w:rFonts w:cs="Calibri"/>
                <w:b w:val="0"/>
                <w:color w:val="FFFFFF" w:themeColor="background1"/>
                <w:lang w:val="es-ES" w:eastAsia="en-GB"/>
              </w:rPr>
              <w:footnoteReference w:id="3"/>
            </w:r>
          </w:p>
        </w:tc>
        <w:tc>
          <w:tcPr>
            <w:tcW w:w="1968" w:type="dxa"/>
            <w:tcBorders>
              <w:top w:val="single" w:sz="4" w:space="0" w:color="44B3E1"/>
              <w:left w:val="nil"/>
              <w:bottom w:val="single" w:sz="4" w:space="0" w:color="44B3E1"/>
              <w:right w:val="nil"/>
            </w:tcBorders>
            <w:shd w:val="clear" w:color="auto" w:fill="156082"/>
            <w:vAlign w:val="center"/>
            <w:hideMark/>
          </w:tcPr>
          <w:p w14:paraId="235633E0"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Productos</w:t>
            </w:r>
            <w:r w:rsidRPr="006117E0">
              <w:rPr>
                <w:color w:val="FFFFFF" w:themeColor="background1"/>
                <w:lang w:val="es-ES" w:eastAsia="en-GB"/>
              </w:rPr>
              <w:br/>
              <w:t>(productos y servicios del UIT-D)</w:t>
            </w:r>
          </w:p>
        </w:tc>
        <w:tc>
          <w:tcPr>
            <w:tcW w:w="1481" w:type="dxa"/>
            <w:tcBorders>
              <w:top w:val="single" w:sz="4" w:space="0" w:color="44B3E1"/>
              <w:left w:val="nil"/>
              <w:bottom w:val="single" w:sz="4" w:space="0" w:color="44B3E1"/>
              <w:right w:val="nil"/>
            </w:tcBorders>
            <w:shd w:val="clear" w:color="auto" w:fill="156082"/>
            <w:vAlign w:val="center"/>
            <w:hideMark/>
          </w:tcPr>
          <w:p w14:paraId="3D10CF00"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Presupuesto de 2026 (en CHF)</w:t>
            </w:r>
          </w:p>
        </w:tc>
        <w:tc>
          <w:tcPr>
            <w:tcW w:w="1496" w:type="dxa"/>
            <w:tcBorders>
              <w:top w:val="single" w:sz="4" w:space="0" w:color="44B3E1"/>
              <w:left w:val="nil"/>
              <w:bottom w:val="single" w:sz="4" w:space="0" w:color="44B3E1"/>
              <w:right w:val="nil"/>
            </w:tcBorders>
            <w:shd w:val="clear" w:color="auto" w:fill="156082"/>
            <w:vAlign w:val="center"/>
            <w:hideMark/>
          </w:tcPr>
          <w:p w14:paraId="48E1F66F"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 de Prioridad/factor habilitador total</w:t>
            </w:r>
          </w:p>
        </w:tc>
        <w:tc>
          <w:tcPr>
            <w:tcW w:w="1447" w:type="dxa"/>
            <w:tcBorders>
              <w:top w:val="single" w:sz="4" w:space="0" w:color="44B3E1"/>
              <w:left w:val="nil"/>
              <w:bottom w:val="single" w:sz="4" w:space="0" w:color="44B3E1"/>
              <w:right w:val="single" w:sz="4" w:space="0" w:color="44B3E1"/>
            </w:tcBorders>
            <w:shd w:val="clear" w:color="auto" w:fill="156082"/>
            <w:vAlign w:val="center"/>
            <w:hideMark/>
          </w:tcPr>
          <w:p w14:paraId="1FB7EC73" w14:textId="77777777" w:rsidR="003F29D1" w:rsidRPr="006117E0" w:rsidRDefault="003F29D1" w:rsidP="006177B7">
            <w:pPr>
              <w:pStyle w:val="Tablehead"/>
              <w:rPr>
                <w:color w:val="FFFFFF" w:themeColor="background1"/>
                <w:lang w:val="es-ES" w:eastAsia="en-GB"/>
              </w:rPr>
            </w:pPr>
            <w:r w:rsidRPr="006117E0">
              <w:rPr>
                <w:color w:val="FFFFFF" w:themeColor="background1"/>
                <w:lang w:val="es-ES" w:eastAsia="en-GB"/>
              </w:rPr>
              <w:t xml:space="preserve">% del presupuesto total </w:t>
            </w:r>
          </w:p>
        </w:tc>
      </w:tr>
      <w:tr w:rsidR="003F29D1" w:rsidRPr="006117E0" w14:paraId="564E6F56" w14:textId="77777777" w:rsidTr="006177B7">
        <w:trPr>
          <w:trHeight w:val="300"/>
        </w:trPr>
        <w:tc>
          <w:tcPr>
            <w:tcW w:w="1974" w:type="dxa"/>
            <w:tcBorders>
              <w:top w:val="single" w:sz="4" w:space="0" w:color="44B3E1"/>
              <w:left w:val="single" w:sz="4" w:space="0" w:color="44B3E1"/>
              <w:bottom w:val="single" w:sz="4" w:space="0" w:color="44B3E1"/>
              <w:right w:val="nil"/>
            </w:tcBorders>
            <w:shd w:val="clear" w:color="auto" w:fill="C0E6F5"/>
            <w:vAlign w:val="bottom"/>
            <w:hideMark/>
          </w:tcPr>
          <w:p w14:paraId="2BB2C72C" w14:textId="77777777" w:rsidR="003F29D1" w:rsidRPr="006117E0" w:rsidRDefault="003F29D1" w:rsidP="006177B7">
            <w:pPr>
              <w:pStyle w:val="Tabletext"/>
              <w:rPr>
                <w:b/>
                <w:bCs/>
                <w:lang w:val="es-ES" w:eastAsia="en-GB"/>
              </w:rPr>
            </w:pPr>
            <w:r w:rsidRPr="006117E0">
              <w:rPr>
                <w:b/>
                <w:bCs/>
                <w:lang w:val="es-ES" w:eastAsia="en-GB"/>
              </w:rPr>
              <w:t>Transformación digital total</w:t>
            </w:r>
          </w:p>
        </w:tc>
        <w:tc>
          <w:tcPr>
            <w:tcW w:w="3021" w:type="dxa"/>
            <w:tcBorders>
              <w:top w:val="single" w:sz="4" w:space="0" w:color="44B3E1"/>
              <w:left w:val="nil"/>
              <w:bottom w:val="single" w:sz="4" w:space="0" w:color="44B3E1"/>
              <w:right w:val="nil"/>
            </w:tcBorders>
            <w:shd w:val="clear" w:color="auto" w:fill="C0E6F5"/>
            <w:noWrap/>
            <w:vAlign w:val="bottom"/>
            <w:hideMark/>
          </w:tcPr>
          <w:p w14:paraId="048FBFF9" w14:textId="77777777" w:rsidR="003F29D1" w:rsidRPr="006117E0" w:rsidRDefault="003F29D1" w:rsidP="006177B7">
            <w:pPr>
              <w:pStyle w:val="Tabletext"/>
              <w:rPr>
                <w:lang w:val="es-ES" w:eastAsia="en-GB"/>
              </w:rPr>
            </w:pPr>
          </w:p>
        </w:tc>
        <w:tc>
          <w:tcPr>
            <w:tcW w:w="2891" w:type="dxa"/>
            <w:tcBorders>
              <w:top w:val="single" w:sz="4" w:space="0" w:color="44B3E1"/>
              <w:left w:val="nil"/>
              <w:bottom w:val="single" w:sz="4" w:space="0" w:color="44B3E1"/>
              <w:right w:val="nil"/>
            </w:tcBorders>
            <w:shd w:val="clear" w:color="auto" w:fill="C0E6F5"/>
            <w:noWrap/>
            <w:vAlign w:val="bottom"/>
            <w:hideMark/>
          </w:tcPr>
          <w:p w14:paraId="19C476E5" w14:textId="77777777" w:rsidR="003F29D1" w:rsidRPr="006117E0" w:rsidRDefault="003F29D1" w:rsidP="006177B7">
            <w:pPr>
              <w:pStyle w:val="Tabletext"/>
              <w:rPr>
                <w:rFonts w:ascii="Times New Roman" w:hAnsi="Times New Roman"/>
                <w:lang w:val="es-ES" w:eastAsia="en-GB"/>
              </w:rPr>
            </w:pPr>
          </w:p>
        </w:tc>
        <w:tc>
          <w:tcPr>
            <w:tcW w:w="1968" w:type="dxa"/>
            <w:tcBorders>
              <w:top w:val="single" w:sz="4" w:space="0" w:color="44B3E1"/>
              <w:left w:val="nil"/>
              <w:bottom w:val="single" w:sz="4" w:space="0" w:color="44B3E1"/>
              <w:right w:val="nil"/>
            </w:tcBorders>
            <w:shd w:val="clear" w:color="auto" w:fill="C0E6F5"/>
            <w:noWrap/>
            <w:vAlign w:val="bottom"/>
            <w:hideMark/>
          </w:tcPr>
          <w:p w14:paraId="2111F4F4" w14:textId="77777777" w:rsidR="003F29D1" w:rsidRPr="006117E0" w:rsidRDefault="003F29D1" w:rsidP="006177B7">
            <w:pPr>
              <w:pStyle w:val="Tabletext"/>
              <w:rPr>
                <w:rFonts w:ascii="Times New Roman" w:hAnsi="Times New Roman"/>
                <w:lang w:val="es-ES" w:eastAsia="en-GB"/>
              </w:rPr>
            </w:pPr>
          </w:p>
        </w:tc>
        <w:tc>
          <w:tcPr>
            <w:tcW w:w="1481" w:type="dxa"/>
            <w:tcBorders>
              <w:top w:val="single" w:sz="4" w:space="0" w:color="44B3E1"/>
              <w:left w:val="nil"/>
              <w:bottom w:val="single" w:sz="4" w:space="0" w:color="44B3E1"/>
              <w:right w:val="nil"/>
            </w:tcBorders>
            <w:shd w:val="clear" w:color="auto" w:fill="C0E6F5"/>
            <w:noWrap/>
            <w:vAlign w:val="center"/>
            <w:hideMark/>
          </w:tcPr>
          <w:p w14:paraId="48EEEC3D" w14:textId="77777777" w:rsidR="003F29D1" w:rsidRPr="006117E0" w:rsidRDefault="003F29D1" w:rsidP="006177B7">
            <w:pPr>
              <w:pStyle w:val="Tabletext"/>
              <w:jc w:val="center"/>
              <w:rPr>
                <w:b/>
                <w:bCs/>
                <w:lang w:val="es-ES" w:eastAsia="en-GB"/>
              </w:rPr>
            </w:pPr>
            <w:r w:rsidRPr="006117E0">
              <w:rPr>
                <w:b/>
                <w:bCs/>
                <w:lang w:val="es-ES" w:eastAsia="en-GB"/>
              </w:rPr>
              <w:t>899 500</w:t>
            </w:r>
          </w:p>
        </w:tc>
        <w:tc>
          <w:tcPr>
            <w:tcW w:w="1496" w:type="dxa"/>
            <w:tcBorders>
              <w:top w:val="single" w:sz="4" w:space="0" w:color="44B3E1"/>
              <w:left w:val="nil"/>
              <w:bottom w:val="single" w:sz="4" w:space="0" w:color="44B3E1"/>
              <w:right w:val="nil"/>
            </w:tcBorders>
            <w:shd w:val="clear" w:color="auto" w:fill="C0E6F5"/>
            <w:vAlign w:val="center"/>
            <w:hideMark/>
          </w:tcPr>
          <w:p w14:paraId="10E9B176" w14:textId="77777777" w:rsidR="003F29D1" w:rsidRPr="006117E0" w:rsidRDefault="003F29D1" w:rsidP="006177B7">
            <w:pPr>
              <w:pStyle w:val="Tabletext"/>
              <w:jc w:val="center"/>
              <w:rPr>
                <w:b/>
                <w:bCs/>
                <w:lang w:val="es-ES" w:eastAsia="en-GB"/>
              </w:rPr>
            </w:pPr>
          </w:p>
        </w:tc>
        <w:tc>
          <w:tcPr>
            <w:tcW w:w="1447" w:type="dxa"/>
            <w:tcBorders>
              <w:top w:val="single" w:sz="4" w:space="0" w:color="44B3E1"/>
              <w:left w:val="nil"/>
              <w:bottom w:val="single" w:sz="4" w:space="0" w:color="44B3E1"/>
              <w:right w:val="single" w:sz="4" w:space="0" w:color="44B3E1"/>
            </w:tcBorders>
            <w:shd w:val="clear" w:color="auto" w:fill="C0E6F5"/>
            <w:noWrap/>
            <w:vAlign w:val="center"/>
            <w:hideMark/>
          </w:tcPr>
          <w:p w14:paraId="7049B26A" w14:textId="1DEC431F" w:rsidR="003F29D1" w:rsidRPr="006117E0" w:rsidRDefault="003F29D1" w:rsidP="006177B7">
            <w:pPr>
              <w:pStyle w:val="Tabletext"/>
              <w:jc w:val="center"/>
              <w:rPr>
                <w:b/>
                <w:bCs/>
                <w:lang w:val="es-ES" w:eastAsia="en-GB"/>
              </w:rPr>
            </w:pPr>
            <w:r w:rsidRPr="006117E0">
              <w:rPr>
                <w:b/>
                <w:bCs/>
                <w:lang w:val="es-ES" w:eastAsia="en-GB"/>
              </w:rPr>
              <w:t>23,59</w:t>
            </w:r>
            <w:r w:rsidR="00B77052" w:rsidRPr="006117E0">
              <w:rPr>
                <w:b/>
                <w:bCs/>
                <w:lang w:val="es-ES" w:eastAsia="en-GB"/>
              </w:rPr>
              <w:t xml:space="preserve"> </w:t>
            </w:r>
            <w:r w:rsidRPr="006117E0">
              <w:rPr>
                <w:b/>
                <w:bCs/>
                <w:lang w:val="es-ES" w:eastAsia="en-GB"/>
              </w:rPr>
              <w:t>%</w:t>
            </w:r>
          </w:p>
        </w:tc>
      </w:tr>
      <w:tr w:rsidR="003F29D1" w:rsidRPr="006117E0" w14:paraId="599AA045" w14:textId="77777777" w:rsidTr="006177B7">
        <w:trPr>
          <w:trHeight w:val="3000"/>
        </w:trPr>
        <w:tc>
          <w:tcPr>
            <w:tcW w:w="1974" w:type="dxa"/>
            <w:tcBorders>
              <w:top w:val="single" w:sz="4" w:space="0" w:color="44B3E1"/>
              <w:left w:val="single" w:sz="4" w:space="0" w:color="44B3E1"/>
              <w:bottom w:val="single" w:sz="4" w:space="0" w:color="44B3E1"/>
              <w:right w:val="nil"/>
            </w:tcBorders>
            <w:hideMark/>
          </w:tcPr>
          <w:p w14:paraId="1A122690" w14:textId="77777777" w:rsidR="003F29D1" w:rsidRPr="006117E0" w:rsidRDefault="003F29D1" w:rsidP="006177B7">
            <w:pPr>
              <w:pStyle w:val="Tabletext"/>
              <w:rPr>
                <w:b/>
                <w:bCs/>
                <w:lang w:val="es-ES" w:eastAsia="en-GB"/>
              </w:rPr>
            </w:pPr>
            <w:r w:rsidRPr="006117E0">
              <w:rPr>
                <w:b/>
                <w:bCs/>
                <w:lang w:val="es-ES" w:eastAsia="en-GB"/>
              </w:rPr>
              <w:t>Ecosistemas de innovación digital</w:t>
            </w:r>
          </w:p>
        </w:tc>
        <w:tc>
          <w:tcPr>
            <w:tcW w:w="3021" w:type="dxa"/>
            <w:tcBorders>
              <w:top w:val="single" w:sz="4" w:space="0" w:color="44B3E1"/>
              <w:left w:val="nil"/>
              <w:bottom w:val="single" w:sz="4" w:space="0" w:color="44B3E1"/>
              <w:right w:val="nil"/>
            </w:tcBorders>
            <w:hideMark/>
          </w:tcPr>
          <w:p w14:paraId="455E2081"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Mejora de la capacidad nacional para desarrollar y adoptar telecomunicaciones/TIC locales.</w:t>
            </w:r>
          </w:p>
          <w:p w14:paraId="4711C590"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 xml:space="preserve">Refuerzo de la capacidad para desarrollar e integrar la innovación y la digitalización de las telecomunicaciones/TIC en los programas nacionales de desarrollo </w:t>
            </w:r>
          </w:p>
        </w:tc>
        <w:tc>
          <w:tcPr>
            <w:tcW w:w="2891" w:type="dxa"/>
            <w:tcBorders>
              <w:top w:val="single" w:sz="4" w:space="0" w:color="44B3E1"/>
              <w:left w:val="nil"/>
              <w:bottom w:val="single" w:sz="4" w:space="0" w:color="44B3E1"/>
              <w:right w:val="nil"/>
            </w:tcBorders>
            <w:hideMark/>
          </w:tcPr>
          <w:p w14:paraId="0FD4F0D8"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Número de Estados Miembros que han adoptado estrategias e iniciativas de innovación relacionadas con las telecomunicaciones/TIC</w:t>
            </w:r>
          </w:p>
          <w:p w14:paraId="7728458A"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Número de Estados Miembros que han adoptado políticas multisectoriales a nivel nacional sobre la transformación/el desarrollo digital</w:t>
            </w:r>
          </w:p>
        </w:tc>
        <w:tc>
          <w:tcPr>
            <w:tcW w:w="1968" w:type="dxa"/>
            <w:tcBorders>
              <w:top w:val="single" w:sz="4" w:space="0" w:color="44B3E1"/>
              <w:left w:val="nil"/>
              <w:bottom w:val="single" w:sz="4" w:space="0" w:color="44B3E1"/>
              <w:right w:val="nil"/>
            </w:tcBorders>
            <w:hideMark/>
          </w:tcPr>
          <w:p w14:paraId="5F00AC60"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marcos de aprendizaje</w:t>
            </w:r>
          </w:p>
          <w:p w14:paraId="37E1D8C9"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Políticas y estrategias modelo, conjuntos de herramientas</w:t>
            </w:r>
          </w:p>
          <w:p w14:paraId="6E465ECC"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intervenciones técnicas</w:t>
            </w:r>
          </w:p>
        </w:tc>
        <w:tc>
          <w:tcPr>
            <w:tcW w:w="1481" w:type="dxa"/>
            <w:tcBorders>
              <w:top w:val="single" w:sz="4" w:space="0" w:color="44B3E1"/>
              <w:left w:val="nil"/>
              <w:bottom w:val="single" w:sz="4" w:space="0" w:color="44B3E1"/>
              <w:right w:val="nil"/>
            </w:tcBorders>
            <w:noWrap/>
            <w:hideMark/>
          </w:tcPr>
          <w:p w14:paraId="1CAFB8C4" w14:textId="77777777" w:rsidR="003F29D1" w:rsidRPr="006117E0" w:rsidRDefault="003F29D1" w:rsidP="006177B7">
            <w:pPr>
              <w:pStyle w:val="Tabletext"/>
              <w:jc w:val="center"/>
              <w:rPr>
                <w:lang w:val="es-ES" w:eastAsia="en-GB"/>
              </w:rPr>
            </w:pPr>
            <w:r w:rsidRPr="006117E0">
              <w:rPr>
                <w:lang w:val="es-ES" w:eastAsia="en-GB"/>
              </w:rPr>
              <w:t>339 500</w:t>
            </w:r>
          </w:p>
        </w:tc>
        <w:tc>
          <w:tcPr>
            <w:tcW w:w="1496" w:type="dxa"/>
            <w:tcBorders>
              <w:top w:val="single" w:sz="4" w:space="0" w:color="44B3E1"/>
              <w:left w:val="nil"/>
              <w:bottom w:val="single" w:sz="4" w:space="0" w:color="44B3E1"/>
              <w:right w:val="nil"/>
            </w:tcBorders>
            <w:hideMark/>
          </w:tcPr>
          <w:p w14:paraId="1C4FE609" w14:textId="1D59ED2B" w:rsidR="003F29D1" w:rsidRPr="006117E0" w:rsidRDefault="003F29D1" w:rsidP="006177B7">
            <w:pPr>
              <w:pStyle w:val="Tabletext"/>
              <w:jc w:val="center"/>
              <w:rPr>
                <w:lang w:val="es-ES" w:eastAsia="en-GB"/>
              </w:rPr>
            </w:pPr>
            <w:r w:rsidRPr="006117E0">
              <w:rPr>
                <w:lang w:val="es-ES" w:eastAsia="en-GB"/>
              </w:rPr>
              <w:t>37,7</w:t>
            </w:r>
            <w:r w:rsidR="00B77052" w:rsidRPr="006117E0">
              <w:rPr>
                <w:lang w:val="es-ES" w:eastAsia="en-GB"/>
              </w:rPr>
              <w:t xml:space="preserve"> </w:t>
            </w:r>
            <w:r w:rsidRPr="006117E0">
              <w:rPr>
                <w:lang w:val="es-ES" w:eastAsia="en-GB"/>
              </w:rPr>
              <w:t>%</w:t>
            </w:r>
          </w:p>
        </w:tc>
        <w:tc>
          <w:tcPr>
            <w:tcW w:w="1447" w:type="dxa"/>
            <w:tcBorders>
              <w:top w:val="single" w:sz="4" w:space="0" w:color="44B3E1"/>
              <w:left w:val="nil"/>
              <w:bottom w:val="single" w:sz="4" w:space="0" w:color="44B3E1"/>
              <w:right w:val="single" w:sz="4" w:space="0" w:color="44B3E1"/>
            </w:tcBorders>
            <w:noWrap/>
            <w:hideMark/>
          </w:tcPr>
          <w:p w14:paraId="4038AEE7" w14:textId="33E1F7AD" w:rsidR="003F29D1" w:rsidRPr="006117E0" w:rsidRDefault="003F29D1" w:rsidP="006177B7">
            <w:pPr>
              <w:pStyle w:val="Tabletext"/>
              <w:jc w:val="center"/>
              <w:rPr>
                <w:lang w:val="es-ES" w:eastAsia="en-GB"/>
              </w:rPr>
            </w:pPr>
            <w:r w:rsidRPr="006117E0">
              <w:rPr>
                <w:lang w:val="es-ES" w:eastAsia="en-GB"/>
              </w:rPr>
              <w:t>8,9</w:t>
            </w:r>
            <w:r w:rsidR="00B77052" w:rsidRPr="006117E0">
              <w:rPr>
                <w:lang w:val="es-ES" w:eastAsia="en-GB"/>
              </w:rPr>
              <w:t xml:space="preserve"> </w:t>
            </w:r>
            <w:r w:rsidRPr="006117E0">
              <w:rPr>
                <w:lang w:val="es-ES" w:eastAsia="en-GB"/>
              </w:rPr>
              <w:t>%</w:t>
            </w:r>
          </w:p>
        </w:tc>
      </w:tr>
      <w:tr w:rsidR="003F29D1" w:rsidRPr="006117E0" w14:paraId="125A19A4" w14:textId="77777777" w:rsidTr="006177B7">
        <w:trPr>
          <w:trHeight w:val="1800"/>
        </w:trPr>
        <w:tc>
          <w:tcPr>
            <w:tcW w:w="1974" w:type="dxa"/>
            <w:tcBorders>
              <w:top w:val="single" w:sz="4" w:space="0" w:color="44B3E1"/>
              <w:left w:val="single" w:sz="4" w:space="0" w:color="44B3E1"/>
              <w:bottom w:val="single" w:sz="4" w:space="0" w:color="44B3E1"/>
              <w:right w:val="nil"/>
            </w:tcBorders>
            <w:shd w:val="clear" w:color="auto" w:fill="C0E6F5"/>
            <w:hideMark/>
          </w:tcPr>
          <w:p w14:paraId="1C03546E" w14:textId="77777777" w:rsidR="003F29D1" w:rsidRPr="006117E0" w:rsidRDefault="003F29D1" w:rsidP="006177B7">
            <w:pPr>
              <w:pStyle w:val="Tabletext"/>
              <w:rPr>
                <w:b/>
                <w:bCs/>
                <w:lang w:val="es-ES" w:eastAsia="en-GB"/>
              </w:rPr>
            </w:pPr>
            <w:r w:rsidRPr="006117E0">
              <w:rPr>
                <w:b/>
                <w:bCs/>
                <w:lang w:val="es-ES" w:eastAsia="en-GB"/>
              </w:rPr>
              <w:t>Servicios y aplicaciones digitales</w:t>
            </w:r>
          </w:p>
        </w:tc>
        <w:tc>
          <w:tcPr>
            <w:tcW w:w="3021" w:type="dxa"/>
            <w:tcBorders>
              <w:top w:val="single" w:sz="4" w:space="0" w:color="44B3E1"/>
              <w:left w:val="nil"/>
              <w:bottom w:val="single" w:sz="4" w:space="0" w:color="44B3E1"/>
              <w:right w:val="nil"/>
            </w:tcBorders>
            <w:shd w:val="clear" w:color="auto" w:fill="C0E6F5"/>
            <w:hideMark/>
          </w:tcPr>
          <w:p w14:paraId="46CABFE0"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Mejora de la capacidad para acelerar la transformación digital y el desarrollo sostenible mediante el uso de servicios y telecomunicaciones/TIC nuevos e incipientes</w:t>
            </w:r>
          </w:p>
        </w:tc>
        <w:tc>
          <w:tcPr>
            <w:tcW w:w="2891" w:type="dxa"/>
            <w:tcBorders>
              <w:top w:val="single" w:sz="4" w:space="0" w:color="44B3E1"/>
              <w:left w:val="nil"/>
              <w:bottom w:val="single" w:sz="4" w:space="0" w:color="44B3E1"/>
              <w:right w:val="nil"/>
            </w:tcBorders>
            <w:shd w:val="clear" w:color="auto" w:fill="C0E6F5"/>
            <w:hideMark/>
          </w:tcPr>
          <w:p w14:paraId="6B2FCBE4" w14:textId="77777777" w:rsidR="003F29D1" w:rsidRPr="006117E0" w:rsidRDefault="003F29D1" w:rsidP="006177B7">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t>Número de Estados Miembros que han adoptado una estrategia sectorial digital a nivel nacional</w:t>
            </w:r>
          </w:p>
        </w:tc>
        <w:tc>
          <w:tcPr>
            <w:tcW w:w="1968" w:type="dxa"/>
            <w:tcBorders>
              <w:top w:val="single" w:sz="4" w:space="0" w:color="44B3E1"/>
              <w:left w:val="nil"/>
              <w:bottom w:val="single" w:sz="4" w:space="0" w:color="44B3E1"/>
              <w:right w:val="nil"/>
            </w:tcBorders>
            <w:shd w:val="clear" w:color="auto" w:fill="C0E6F5"/>
            <w:hideMark/>
          </w:tcPr>
          <w:p w14:paraId="23ADC9AA"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 xml:space="preserve">Marcos de aprendizaje </w:t>
            </w:r>
          </w:p>
          <w:p w14:paraId="5D1E3E85"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Plataformas de reunión</w:t>
            </w:r>
          </w:p>
          <w:p w14:paraId="6C516442"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Políticas y estrategias modelo, conjuntos de herramientas</w:t>
            </w:r>
          </w:p>
          <w:p w14:paraId="0980200E" w14:textId="77777777" w:rsidR="003F29D1" w:rsidRPr="006117E0" w:rsidRDefault="003F29D1" w:rsidP="006177B7">
            <w:pPr>
              <w:pStyle w:val="Tabletext"/>
              <w:ind w:left="284" w:hanging="284"/>
              <w:rPr>
                <w:lang w:val="es-ES" w:eastAsia="en-GB"/>
              </w:rPr>
            </w:pPr>
            <w:r w:rsidRPr="006117E0">
              <w:rPr>
                <w:lang w:val="es-ES" w:eastAsia="en-GB"/>
              </w:rPr>
              <w:t>•</w:t>
            </w:r>
            <w:r w:rsidRPr="006117E0">
              <w:rPr>
                <w:lang w:val="es-ES" w:eastAsia="en-GB"/>
              </w:rPr>
              <w:tab/>
              <w:t>intervenciones técnicas</w:t>
            </w:r>
          </w:p>
        </w:tc>
        <w:tc>
          <w:tcPr>
            <w:tcW w:w="1481" w:type="dxa"/>
            <w:tcBorders>
              <w:top w:val="single" w:sz="4" w:space="0" w:color="44B3E1"/>
              <w:left w:val="nil"/>
              <w:bottom w:val="single" w:sz="4" w:space="0" w:color="44B3E1"/>
              <w:right w:val="nil"/>
            </w:tcBorders>
            <w:shd w:val="clear" w:color="auto" w:fill="C0E6F5"/>
            <w:noWrap/>
            <w:hideMark/>
          </w:tcPr>
          <w:p w14:paraId="135A781B" w14:textId="77777777" w:rsidR="003F29D1" w:rsidRPr="006117E0" w:rsidRDefault="003F29D1" w:rsidP="006177B7">
            <w:pPr>
              <w:pStyle w:val="Tabletext"/>
              <w:jc w:val="center"/>
              <w:rPr>
                <w:lang w:val="es-ES" w:eastAsia="en-GB"/>
              </w:rPr>
            </w:pPr>
            <w:r w:rsidRPr="006117E0">
              <w:rPr>
                <w:lang w:val="es-ES" w:eastAsia="en-GB"/>
              </w:rPr>
              <w:t>99 000</w:t>
            </w:r>
          </w:p>
        </w:tc>
        <w:tc>
          <w:tcPr>
            <w:tcW w:w="1496" w:type="dxa"/>
            <w:tcBorders>
              <w:top w:val="single" w:sz="4" w:space="0" w:color="44B3E1"/>
              <w:left w:val="nil"/>
              <w:bottom w:val="single" w:sz="4" w:space="0" w:color="44B3E1"/>
              <w:right w:val="nil"/>
            </w:tcBorders>
            <w:shd w:val="clear" w:color="auto" w:fill="C0E6F5"/>
            <w:hideMark/>
          </w:tcPr>
          <w:p w14:paraId="10BE4E12" w14:textId="7EE76DE7" w:rsidR="003F29D1" w:rsidRPr="006117E0" w:rsidRDefault="003F29D1" w:rsidP="006177B7">
            <w:pPr>
              <w:pStyle w:val="Tabletext"/>
              <w:jc w:val="center"/>
              <w:rPr>
                <w:lang w:val="es-ES" w:eastAsia="en-GB"/>
              </w:rPr>
            </w:pPr>
            <w:r w:rsidRPr="006117E0">
              <w:rPr>
                <w:lang w:val="es-ES" w:eastAsia="en-GB"/>
              </w:rPr>
              <w:t>11,0</w:t>
            </w:r>
            <w:r w:rsidR="00B77052" w:rsidRPr="006117E0">
              <w:rPr>
                <w:lang w:val="es-ES" w:eastAsia="en-GB"/>
              </w:rPr>
              <w:t xml:space="preserve"> </w:t>
            </w:r>
            <w:r w:rsidRPr="006117E0">
              <w:rPr>
                <w:lang w:val="es-ES" w:eastAsia="en-GB"/>
              </w:rPr>
              <w:t>%</w:t>
            </w:r>
          </w:p>
        </w:tc>
        <w:tc>
          <w:tcPr>
            <w:tcW w:w="1447" w:type="dxa"/>
            <w:tcBorders>
              <w:top w:val="single" w:sz="4" w:space="0" w:color="44B3E1"/>
              <w:left w:val="nil"/>
              <w:bottom w:val="single" w:sz="4" w:space="0" w:color="44B3E1"/>
              <w:right w:val="single" w:sz="4" w:space="0" w:color="44B3E1"/>
            </w:tcBorders>
            <w:shd w:val="clear" w:color="auto" w:fill="C0E6F5"/>
            <w:noWrap/>
            <w:hideMark/>
          </w:tcPr>
          <w:p w14:paraId="6FC5CD19" w14:textId="0F7030C1" w:rsidR="003F29D1" w:rsidRPr="006117E0" w:rsidRDefault="003F29D1" w:rsidP="006177B7">
            <w:pPr>
              <w:pStyle w:val="Tabletext"/>
              <w:jc w:val="center"/>
              <w:rPr>
                <w:lang w:val="es-ES" w:eastAsia="en-GB"/>
              </w:rPr>
            </w:pPr>
            <w:r w:rsidRPr="006117E0">
              <w:rPr>
                <w:lang w:val="es-ES" w:eastAsia="en-GB"/>
              </w:rPr>
              <w:t>2,6</w:t>
            </w:r>
            <w:r w:rsidR="00B77052" w:rsidRPr="006117E0">
              <w:rPr>
                <w:lang w:val="es-ES" w:eastAsia="en-GB"/>
              </w:rPr>
              <w:t xml:space="preserve"> </w:t>
            </w:r>
            <w:r w:rsidRPr="006117E0">
              <w:rPr>
                <w:lang w:val="es-ES" w:eastAsia="en-GB"/>
              </w:rPr>
              <w:t>%</w:t>
            </w:r>
          </w:p>
        </w:tc>
      </w:tr>
      <w:tr w:rsidR="003F29D1" w:rsidRPr="006117E0" w14:paraId="249D5C57" w14:textId="77777777" w:rsidTr="001466A4">
        <w:trPr>
          <w:trHeight w:val="2522"/>
        </w:trPr>
        <w:tc>
          <w:tcPr>
            <w:tcW w:w="1974" w:type="dxa"/>
            <w:tcBorders>
              <w:top w:val="single" w:sz="4" w:space="0" w:color="44B3E1"/>
              <w:left w:val="single" w:sz="4" w:space="0" w:color="44B3E1"/>
              <w:bottom w:val="single" w:sz="4" w:space="0" w:color="44B3E1"/>
              <w:right w:val="nil"/>
            </w:tcBorders>
            <w:hideMark/>
          </w:tcPr>
          <w:p w14:paraId="25966F3D" w14:textId="77777777" w:rsidR="003F29D1" w:rsidRPr="006117E0" w:rsidRDefault="003F29D1" w:rsidP="006177B7">
            <w:pPr>
              <w:overflowPunct/>
              <w:autoSpaceDE/>
              <w:autoSpaceDN/>
              <w:adjustRightInd/>
              <w:spacing w:before="0"/>
              <w:textAlignment w:val="auto"/>
              <w:rPr>
                <w:rFonts w:ascii="Calibri" w:hAnsi="Calibri" w:cs="Calibri"/>
                <w:b/>
                <w:bCs/>
                <w:color w:val="000000"/>
                <w:sz w:val="20"/>
                <w:lang w:val="es-ES" w:eastAsia="en-GB"/>
              </w:rPr>
            </w:pPr>
            <w:r w:rsidRPr="006117E0">
              <w:rPr>
                <w:rFonts w:ascii="Calibri" w:hAnsi="Calibri" w:cs="Calibri"/>
                <w:b/>
                <w:bCs/>
                <w:color w:val="000000"/>
                <w:sz w:val="20"/>
                <w:lang w:val="es-ES" w:eastAsia="en-GB"/>
              </w:rPr>
              <w:lastRenderedPageBreak/>
              <w:t xml:space="preserve">Capacitación </w:t>
            </w:r>
          </w:p>
        </w:tc>
        <w:tc>
          <w:tcPr>
            <w:tcW w:w="3021" w:type="dxa"/>
            <w:tcBorders>
              <w:top w:val="single" w:sz="4" w:space="0" w:color="44B3E1"/>
              <w:left w:val="nil"/>
              <w:bottom w:val="single" w:sz="4" w:space="0" w:color="44B3E1"/>
              <w:right w:val="nil"/>
            </w:tcBorders>
            <w:hideMark/>
          </w:tcPr>
          <w:p w14:paraId="173635A7"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Mejora de la capacidad de los miembros de la UIT en los planos humano e institucional en las esferas de las telecomunicaciones/TIC para fomentar la transformación digital</w:t>
            </w:r>
          </w:p>
          <w:p w14:paraId="15B50DE1"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Mejora de las competencias y capacidades digitales para la transformación digital</w:t>
            </w:r>
          </w:p>
        </w:tc>
        <w:tc>
          <w:tcPr>
            <w:tcW w:w="2891" w:type="dxa"/>
            <w:tcBorders>
              <w:top w:val="single" w:sz="4" w:space="0" w:color="44B3E1"/>
              <w:left w:val="nil"/>
              <w:bottom w:val="single" w:sz="4" w:space="0" w:color="44B3E1"/>
              <w:right w:val="nil"/>
            </w:tcBorders>
            <w:hideMark/>
          </w:tcPr>
          <w:p w14:paraId="5DE22BC8" w14:textId="77777777" w:rsidR="003F29D1" w:rsidRPr="006117E0" w:rsidRDefault="003F29D1" w:rsidP="006177B7">
            <w:pPr>
              <w:overflowPunct/>
              <w:autoSpaceDE/>
              <w:autoSpaceDN/>
              <w:adjustRightInd/>
              <w:spacing w:before="0" w:after="40"/>
              <w:ind w:left="284" w:hanging="284"/>
              <w:textAlignment w:val="auto"/>
              <w:rPr>
                <w:rFonts w:ascii="Calibri" w:hAnsi="Calibri" w:cs="Calibri"/>
                <w:bCs/>
                <w:color w:val="000000" w:themeColor="text1"/>
                <w:sz w:val="20"/>
                <w:lang w:val="es-ES" w:eastAsia="en-GB"/>
              </w:rPr>
            </w:pPr>
            <w:r w:rsidRPr="006117E0">
              <w:rPr>
                <w:rFonts w:ascii="Calibri" w:hAnsi="Calibri" w:cs="Calibri"/>
                <w:color w:val="000000" w:themeColor="text1"/>
                <w:sz w:val="20"/>
                <w:lang w:val="es-ES" w:eastAsia="en-GB"/>
              </w:rPr>
              <w:t>•</w:t>
            </w:r>
            <w:r w:rsidRPr="006117E0">
              <w:rPr>
                <w:rFonts w:ascii="Calibri" w:hAnsi="Calibri" w:cs="Calibri"/>
                <w:color w:val="000000" w:themeColor="text1"/>
                <w:sz w:val="20"/>
                <w:lang w:val="es-ES" w:eastAsia="en-GB"/>
              </w:rPr>
              <w:tab/>
            </w:r>
            <w:r w:rsidRPr="006117E0">
              <w:rPr>
                <w:rFonts w:ascii="Calibri" w:hAnsi="Calibri" w:cs="Calibri"/>
                <w:bCs/>
                <w:color w:val="000000" w:themeColor="text1"/>
                <w:sz w:val="20"/>
                <w:lang w:val="es-ES" w:eastAsia="en-GB"/>
              </w:rPr>
              <w:t>Número de Estados Miembros que disponen de estrategias en materia de competencias digitales a escala nacional</w:t>
            </w:r>
          </w:p>
          <w:p w14:paraId="48B67697" w14:textId="77777777" w:rsidR="003F29D1" w:rsidRPr="006117E0" w:rsidRDefault="003F29D1" w:rsidP="006177B7">
            <w:pPr>
              <w:overflowPunct/>
              <w:autoSpaceDE/>
              <w:autoSpaceDN/>
              <w:adjustRightInd/>
              <w:spacing w:before="0" w:after="100" w:afterAutospacing="1"/>
              <w:ind w:left="284" w:hanging="284"/>
              <w:textAlignment w:val="auto"/>
              <w:rPr>
                <w:rFonts w:ascii="Calibri" w:hAnsi="Calibri" w:cs="Calibri"/>
                <w:color w:val="000000"/>
                <w:sz w:val="20"/>
                <w:lang w:val="es-ES" w:eastAsia="en-GB"/>
              </w:rPr>
            </w:pPr>
            <w:r w:rsidRPr="006117E0">
              <w:rPr>
                <w:rFonts w:ascii="Calibri" w:hAnsi="Calibri" w:cs="Calibri"/>
                <w:sz w:val="20"/>
                <w:lang w:val="es-ES" w:eastAsia="en-GB"/>
              </w:rPr>
              <w:t>•</w:t>
            </w:r>
            <w:r w:rsidRPr="006117E0">
              <w:rPr>
                <w:rFonts w:ascii="Calibri" w:hAnsi="Calibri" w:cs="Calibri"/>
                <w:sz w:val="20"/>
                <w:lang w:val="es-ES" w:eastAsia="en-GB"/>
              </w:rPr>
              <w:tab/>
            </w:r>
            <w:r w:rsidRPr="006117E0">
              <w:rPr>
                <w:rFonts w:ascii="Calibri" w:hAnsi="Calibri" w:cs="Calibri"/>
                <w:bCs/>
                <w:sz w:val="20"/>
                <w:lang w:val="es-ES" w:eastAsia="en-GB"/>
              </w:rPr>
              <w:t>Porcentaje de personas con competencias digitales básicas</w:t>
            </w:r>
          </w:p>
        </w:tc>
        <w:tc>
          <w:tcPr>
            <w:tcW w:w="1968" w:type="dxa"/>
            <w:tcBorders>
              <w:top w:val="single" w:sz="4" w:space="0" w:color="44B3E1"/>
              <w:left w:val="nil"/>
              <w:bottom w:val="single" w:sz="4" w:space="0" w:color="44B3E1"/>
              <w:right w:val="nil"/>
            </w:tcBorders>
            <w:hideMark/>
          </w:tcPr>
          <w:p w14:paraId="1AF05E04"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 xml:space="preserve">Políticas y estrategias modelo, conjuntos de herramientas </w:t>
            </w:r>
          </w:p>
          <w:p w14:paraId="12538D28"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intervenciones técnicas</w:t>
            </w:r>
          </w:p>
          <w:p w14:paraId="2A5AF8DF"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 xml:space="preserve">Marcos de aprendizaje </w:t>
            </w:r>
          </w:p>
        </w:tc>
        <w:tc>
          <w:tcPr>
            <w:tcW w:w="1481" w:type="dxa"/>
            <w:tcBorders>
              <w:top w:val="single" w:sz="4" w:space="0" w:color="44B3E1"/>
              <w:left w:val="nil"/>
              <w:bottom w:val="single" w:sz="4" w:space="0" w:color="44B3E1"/>
              <w:right w:val="nil"/>
            </w:tcBorders>
            <w:noWrap/>
            <w:hideMark/>
          </w:tcPr>
          <w:p w14:paraId="7F0A4578" w14:textId="77777777"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339 500</w:t>
            </w:r>
          </w:p>
        </w:tc>
        <w:tc>
          <w:tcPr>
            <w:tcW w:w="1496" w:type="dxa"/>
            <w:tcBorders>
              <w:top w:val="single" w:sz="4" w:space="0" w:color="44B3E1"/>
              <w:left w:val="nil"/>
              <w:bottom w:val="single" w:sz="4" w:space="0" w:color="44B3E1"/>
              <w:right w:val="nil"/>
            </w:tcBorders>
            <w:hideMark/>
          </w:tcPr>
          <w:p w14:paraId="48181137" w14:textId="5E0B1D13"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37,7</w:t>
            </w:r>
            <w:r w:rsidR="00B77052" w:rsidRPr="006117E0">
              <w:rPr>
                <w:rFonts w:ascii="Calibri" w:hAnsi="Calibri" w:cs="Calibri"/>
                <w:color w:val="000000"/>
                <w:sz w:val="20"/>
                <w:lang w:val="es-ES" w:eastAsia="en-GB"/>
              </w:rPr>
              <w:t xml:space="preserve"> </w:t>
            </w:r>
            <w:r w:rsidRPr="006117E0">
              <w:rPr>
                <w:rFonts w:ascii="Calibri" w:hAnsi="Calibri" w:cs="Calibri"/>
                <w:color w:val="000000"/>
                <w:sz w:val="20"/>
                <w:lang w:val="es-ES" w:eastAsia="en-GB"/>
              </w:rPr>
              <w:t>%</w:t>
            </w:r>
          </w:p>
        </w:tc>
        <w:tc>
          <w:tcPr>
            <w:tcW w:w="1447" w:type="dxa"/>
            <w:tcBorders>
              <w:top w:val="single" w:sz="4" w:space="0" w:color="44B3E1"/>
              <w:left w:val="nil"/>
              <w:bottom w:val="single" w:sz="4" w:space="0" w:color="44B3E1"/>
              <w:right w:val="single" w:sz="4" w:space="0" w:color="44B3E1"/>
            </w:tcBorders>
            <w:noWrap/>
            <w:hideMark/>
          </w:tcPr>
          <w:p w14:paraId="5E59584D" w14:textId="6B674E3F"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8,9</w:t>
            </w:r>
            <w:r w:rsidR="00B77052" w:rsidRPr="006117E0">
              <w:rPr>
                <w:rFonts w:ascii="Calibri" w:hAnsi="Calibri" w:cs="Calibri"/>
                <w:color w:val="000000"/>
                <w:sz w:val="20"/>
                <w:lang w:val="es-ES" w:eastAsia="en-GB"/>
              </w:rPr>
              <w:t xml:space="preserve"> </w:t>
            </w:r>
            <w:r w:rsidRPr="006117E0">
              <w:rPr>
                <w:rFonts w:ascii="Calibri" w:hAnsi="Calibri" w:cs="Calibri"/>
                <w:color w:val="000000"/>
                <w:sz w:val="20"/>
                <w:lang w:val="es-ES" w:eastAsia="en-GB"/>
              </w:rPr>
              <w:t>%</w:t>
            </w:r>
          </w:p>
        </w:tc>
      </w:tr>
      <w:tr w:rsidR="003F29D1" w:rsidRPr="006117E0" w14:paraId="7D4C2520" w14:textId="77777777" w:rsidTr="006177B7">
        <w:trPr>
          <w:trHeight w:val="3600"/>
        </w:trPr>
        <w:tc>
          <w:tcPr>
            <w:tcW w:w="1974" w:type="dxa"/>
            <w:tcBorders>
              <w:top w:val="single" w:sz="4" w:space="0" w:color="44B3E1"/>
              <w:left w:val="single" w:sz="4" w:space="0" w:color="44B3E1"/>
              <w:bottom w:val="single" w:sz="4" w:space="0" w:color="44B3E1"/>
              <w:right w:val="nil"/>
            </w:tcBorders>
            <w:shd w:val="clear" w:color="auto" w:fill="C0E6F5"/>
            <w:hideMark/>
          </w:tcPr>
          <w:p w14:paraId="43EC2B54" w14:textId="77777777" w:rsidR="003F29D1" w:rsidRPr="006117E0" w:rsidRDefault="003F29D1" w:rsidP="006177B7">
            <w:pPr>
              <w:overflowPunct/>
              <w:autoSpaceDE/>
              <w:autoSpaceDN/>
              <w:adjustRightInd/>
              <w:spacing w:before="0"/>
              <w:textAlignment w:val="auto"/>
              <w:rPr>
                <w:rFonts w:ascii="Calibri" w:hAnsi="Calibri" w:cs="Calibri"/>
                <w:b/>
                <w:bCs/>
                <w:color w:val="000000"/>
                <w:sz w:val="20"/>
                <w:lang w:val="es-ES" w:eastAsia="en-GB"/>
              </w:rPr>
            </w:pPr>
            <w:r w:rsidRPr="006117E0">
              <w:rPr>
                <w:rFonts w:ascii="Calibri" w:hAnsi="Calibri" w:cs="Calibri"/>
                <w:b/>
                <w:bCs/>
                <w:color w:val="000000"/>
                <w:sz w:val="20"/>
                <w:lang w:val="es-ES" w:eastAsia="en-GB"/>
              </w:rPr>
              <w:t>Compromiso para con la sostenibilidad medioambiental</w:t>
            </w:r>
          </w:p>
        </w:tc>
        <w:tc>
          <w:tcPr>
            <w:tcW w:w="3021" w:type="dxa"/>
            <w:tcBorders>
              <w:top w:val="single" w:sz="4" w:space="0" w:color="44B3E1"/>
              <w:left w:val="nil"/>
              <w:bottom w:val="single" w:sz="4" w:space="0" w:color="44B3E1"/>
              <w:right w:val="nil"/>
            </w:tcBorders>
            <w:shd w:val="clear" w:color="auto" w:fill="C0E6F5"/>
            <w:hideMark/>
          </w:tcPr>
          <w:p w14:paraId="5647186C" w14:textId="77777777" w:rsidR="003F29D1" w:rsidRPr="006117E0" w:rsidRDefault="003F29D1" w:rsidP="006177B7">
            <w:pPr>
              <w:overflowPunct/>
              <w:autoSpaceDE/>
              <w:autoSpaceDN/>
              <w:adjustRightInd/>
              <w:spacing w:before="0" w:after="24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 xml:space="preserve">Mejora de la capacidad para elaborar estrategias y soluciones de telecomunicaciones/TIC en materia de sostenibilidad ambiental </w:t>
            </w:r>
          </w:p>
        </w:tc>
        <w:tc>
          <w:tcPr>
            <w:tcW w:w="2891" w:type="dxa"/>
            <w:tcBorders>
              <w:top w:val="single" w:sz="4" w:space="0" w:color="44B3E1"/>
              <w:left w:val="nil"/>
              <w:bottom w:val="single" w:sz="4" w:space="0" w:color="44B3E1"/>
              <w:right w:val="nil"/>
            </w:tcBorders>
            <w:shd w:val="clear" w:color="auto" w:fill="C0E6F5"/>
            <w:hideMark/>
          </w:tcPr>
          <w:p w14:paraId="0080B816" w14:textId="77777777" w:rsidR="003F29D1" w:rsidRPr="006117E0" w:rsidRDefault="003F29D1" w:rsidP="006177B7">
            <w:pPr>
              <w:overflowPunct/>
              <w:autoSpaceDE/>
              <w:autoSpaceDN/>
              <w:adjustRightInd/>
              <w:spacing w:before="0"/>
              <w:ind w:left="284" w:hanging="284"/>
              <w:textAlignment w:val="auto"/>
              <w:rPr>
                <w:rFonts w:ascii="Calibri" w:hAnsi="Calibri" w:cs="Calibri"/>
                <w:bCs/>
                <w:color w:val="000000" w:themeColor="text1"/>
                <w:sz w:val="20"/>
                <w:lang w:val="es-ES" w:eastAsia="en-GB"/>
              </w:rPr>
            </w:pPr>
            <w:r w:rsidRPr="006117E0">
              <w:rPr>
                <w:rFonts w:ascii="Calibri" w:hAnsi="Calibri" w:cs="Calibri"/>
                <w:color w:val="000000" w:themeColor="text1"/>
                <w:sz w:val="20"/>
                <w:lang w:val="es-ES" w:eastAsia="en-GB"/>
              </w:rPr>
              <w:t>•</w:t>
            </w:r>
            <w:r w:rsidRPr="006117E0">
              <w:rPr>
                <w:rFonts w:ascii="Calibri" w:hAnsi="Calibri" w:cs="Calibri"/>
                <w:color w:val="000000" w:themeColor="text1"/>
                <w:sz w:val="20"/>
                <w:lang w:val="es-ES" w:eastAsia="en-GB"/>
              </w:rPr>
              <w:tab/>
            </w:r>
            <w:r w:rsidRPr="006117E0">
              <w:rPr>
                <w:rFonts w:ascii="Calibri" w:hAnsi="Calibri" w:cs="Calibri"/>
                <w:bCs/>
                <w:color w:val="000000" w:themeColor="text1"/>
                <w:sz w:val="20"/>
                <w:lang w:val="es-ES" w:eastAsia="en-GB"/>
              </w:rPr>
              <w:t>Número de Estados Miembros que han adoptado una política, legislación o reglamentación en materia de residuos electrónicos a nivel nacional</w:t>
            </w:r>
          </w:p>
          <w:p w14:paraId="6522D717" w14:textId="77777777" w:rsidR="003F29D1" w:rsidRPr="006117E0" w:rsidRDefault="003F29D1" w:rsidP="006177B7">
            <w:pPr>
              <w:overflowPunct/>
              <w:autoSpaceDE/>
              <w:autoSpaceDN/>
              <w:adjustRightInd/>
              <w:spacing w:before="0"/>
              <w:ind w:left="284" w:hanging="284"/>
              <w:textAlignment w:val="auto"/>
              <w:rPr>
                <w:rFonts w:ascii="Calibri" w:hAnsi="Calibri" w:cs="Calibri"/>
                <w:bCs/>
                <w:color w:val="000000" w:themeColor="text1"/>
                <w:sz w:val="20"/>
                <w:lang w:val="es-ES" w:eastAsia="en-GB"/>
              </w:rPr>
            </w:pPr>
            <w:r w:rsidRPr="006117E0">
              <w:rPr>
                <w:rFonts w:ascii="Calibri" w:hAnsi="Calibri" w:cs="Calibri"/>
                <w:color w:val="000000" w:themeColor="text1"/>
                <w:sz w:val="20"/>
                <w:lang w:val="es-ES" w:eastAsia="en-GB"/>
              </w:rPr>
              <w:t>•</w:t>
            </w:r>
            <w:r w:rsidRPr="006117E0">
              <w:rPr>
                <w:rFonts w:ascii="Calibri" w:hAnsi="Calibri" w:cs="Calibri"/>
                <w:color w:val="000000" w:themeColor="text1"/>
                <w:sz w:val="20"/>
                <w:lang w:val="es-ES" w:eastAsia="en-GB"/>
              </w:rPr>
              <w:tab/>
            </w:r>
            <w:r w:rsidRPr="006117E0">
              <w:rPr>
                <w:rFonts w:ascii="Calibri" w:hAnsi="Calibri" w:cs="Calibri"/>
                <w:bCs/>
                <w:color w:val="000000" w:themeColor="text1"/>
                <w:sz w:val="20"/>
                <w:lang w:val="es-ES" w:eastAsia="en-GB"/>
              </w:rPr>
              <w:t>Número de Estados Miembros que recopilan datos relativos a la supervisión y la generación de residuos electrónicos</w:t>
            </w:r>
          </w:p>
          <w:p w14:paraId="04A288EB"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themeColor="text1"/>
                <w:sz w:val="20"/>
                <w:lang w:val="es-ES" w:eastAsia="en-GB"/>
              </w:rPr>
              <w:t>•</w:t>
            </w:r>
            <w:r w:rsidRPr="006117E0">
              <w:rPr>
                <w:rFonts w:ascii="Calibri" w:hAnsi="Calibri" w:cs="Calibri"/>
                <w:color w:val="000000" w:themeColor="text1"/>
                <w:sz w:val="20"/>
                <w:lang w:val="es-ES" w:eastAsia="en-GB"/>
              </w:rPr>
              <w:tab/>
            </w:r>
            <w:r w:rsidRPr="006117E0">
              <w:rPr>
                <w:rFonts w:ascii="Calibri" w:hAnsi="Calibri" w:cs="Calibri"/>
                <w:bCs/>
                <w:color w:val="000000" w:themeColor="text1"/>
                <w:sz w:val="20"/>
                <w:lang w:val="es-ES" w:eastAsia="en-GB"/>
              </w:rPr>
              <w:t>Número de Estados Miembros que han adoptado estrategias y soluciones de telecomunicaciones/TIC sobre la sostenibilidad ambiental</w:t>
            </w:r>
          </w:p>
        </w:tc>
        <w:tc>
          <w:tcPr>
            <w:tcW w:w="1968" w:type="dxa"/>
            <w:tcBorders>
              <w:top w:val="single" w:sz="4" w:space="0" w:color="44B3E1"/>
              <w:left w:val="nil"/>
              <w:bottom w:val="single" w:sz="4" w:space="0" w:color="44B3E1"/>
              <w:right w:val="nil"/>
            </w:tcBorders>
            <w:shd w:val="clear" w:color="auto" w:fill="C0E6F5"/>
            <w:hideMark/>
          </w:tcPr>
          <w:p w14:paraId="6A6B4C1A"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marcos de aprendizaje</w:t>
            </w:r>
          </w:p>
          <w:p w14:paraId="31536C25"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Plataformas de reunión</w:t>
            </w:r>
          </w:p>
          <w:p w14:paraId="68689417"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Políticas y estrategias modelo, conjuntos de herramientas</w:t>
            </w:r>
          </w:p>
          <w:p w14:paraId="0F062F98" w14:textId="77777777" w:rsidR="003F29D1" w:rsidRPr="006117E0" w:rsidRDefault="003F29D1" w:rsidP="006177B7">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Estadísticas</w:t>
            </w:r>
          </w:p>
        </w:tc>
        <w:tc>
          <w:tcPr>
            <w:tcW w:w="1481" w:type="dxa"/>
            <w:tcBorders>
              <w:top w:val="single" w:sz="4" w:space="0" w:color="44B3E1"/>
              <w:left w:val="nil"/>
              <w:bottom w:val="single" w:sz="4" w:space="0" w:color="44B3E1"/>
              <w:right w:val="nil"/>
            </w:tcBorders>
            <w:shd w:val="clear" w:color="auto" w:fill="C0E6F5"/>
            <w:noWrap/>
            <w:hideMark/>
          </w:tcPr>
          <w:p w14:paraId="7B5C89A5" w14:textId="77777777"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139 000</w:t>
            </w:r>
          </w:p>
        </w:tc>
        <w:tc>
          <w:tcPr>
            <w:tcW w:w="1496" w:type="dxa"/>
            <w:tcBorders>
              <w:top w:val="single" w:sz="4" w:space="0" w:color="44B3E1"/>
              <w:left w:val="nil"/>
              <w:bottom w:val="single" w:sz="4" w:space="0" w:color="44B3E1"/>
              <w:right w:val="nil"/>
            </w:tcBorders>
            <w:shd w:val="clear" w:color="auto" w:fill="C0E6F5"/>
            <w:hideMark/>
          </w:tcPr>
          <w:p w14:paraId="28197E52" w14:textId="71CBAA23"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15,5</w:t>
            </w:r>
            <w:r w:rsidR="00B77052" w:rsidRPr="006117E0">
              <w:rPr>
                <w:rFonts w:ascii="Calibri" w:hAnsi="Calibri" w:cs="Calibri"/>
                <w:color w:val="000000"/>
                <w:sz w:val="20"/>
                <w:lang w:val="es-ES" w:eastAsia="en-GB"/>
              </w:rPr>
              <w:t xml:space="preserve"> </w:t>
            </w:r>
            <w:r w:rsidRPr="006117E0">
              <w:rPr>
                <w:rFonts w:ascii="Calibri" w:hAnsi="Calibri" w:cs="Calibri"/>
                <w:color w:val="000000"/>
                <w:sz w:val="20"/>
                <w:lang w:val="es-ES" w:eastAsia="en-GB"/>
              </w:rPr>
              <w:t>%</w:t>
            </w:r>
          </w:p>
        </w:tc>
        <w:tc>
          <w:tcPr>
            <w:tcW w:w="1447" w:type="dxa"/>
            <w:tcBorders>
              <w:top w:val="single" w:sz="4" w:space="0" w:color="44B3E1"/>
              <w:left w:val="nil"/>
              <w:bottom w:val="single" w:sz="4" w:space="0" w:color="44B3E1"/>
              <w:right w:val="single" w:sz="4" w:space="0" w:color="44B3E1"/>
            </w:tcBorders>
            <w:shd w:val="clear" w:color="auto" w:fill="C0E6F5"/>
            <w:noWrap/>
            <w:hideMark/>
          </w:tcPr>
          <w:p w14:paraId="750FE188" w14:textId="2D4AEEA3" w:rsidR="003F29D1" w:rsidRPr="006117E0" w:rsidRDefault="003F29D1" w:rsidP="006177B7">
            <w:pPr>
              <w:overflowPunct/>
              <w:autoSpaceDE/>
              <w:autoSpaceDN/>
              <w:adjustRightInd/>
              <w:spacing w:before="0"/>
              <w:jc w:val="center"/>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3,6</w:t>
            </w:r>
            <w:r w:rsidR="00B77052" w:rsidRPr="006117E0">
              <w:rPr>
                <w:rFonts w:ascii="Calibri" w:hAnsi="Calibri" w:cs="Calibri"/>
                <w:color w:val="000000"/>
                <w:sz w:val="20"/>
                <w:lang w:val="es-ES" w:eastAsia="en-GB"/>
              </w:rPr>
              <w:t xml:space="preserve"> </w:t>
            </w:r>
            <w:r w:rsidRPr="006117E0">
              <w:rPr>
                <w:rFonts w:ascii="Calibri" w:hAnsi="Calibri" w:cs="Calibri"/>
                <w:color w:val="000000"/>
                <w:sz w:val="20"/>
                <w:lang w:val="es-ES" w:eastAsia="en-GB"/>
              </w:rPr>
              <w:t>%</w:t>
            </w:r>
          </w:p>
        </w:tc>
      </w:tr>
    </w:tbl>
    <w:p w14:paraId="6D392D3D" w14:textId="77777777" w:rsidR="003F29D1" w:rsidRPr="006117E0" w:rsidRDefault="003F29D1" w:rsidP="003F29D1">
      <w:pPr>
        <w:tabs>
          <w:tab w:val="clear" w:pos="1134"/>
          <w:tab w:val="clear" w:pos="1871"/>
          <w:tab w:val="clear" w:pos="2268"/>
        </w:tabs>
        <w:overflowPunct/>
        <w:autoSpaceDE/>
        <w:autoSpaceDN/>
        <w:adjustRightInd/>
        <w:spacing w:before="0"/>
        <w:textAlignment w:val="auto"/>
        <w:rPr>
          <w:lang w:val="es-ES"/>
        </w:rPr>
      </w:pPr>
    </w:p>
    <w:p w14:paraId="3048D746" w14:textId="77777777" w:rsidR="009D366F" w:rsidRPr="006117E0" w:rsidRDefault="009D366F" w:rsidP="003F29D1">
      <w:pPr>
        <w:tabs>
          <w:tab w:val="clear" w:pos="1134"/>
          <w:tab w:val="clear" w:pos="1871"/>
          <w:tab w:val="clear" w:pos="2268"/>
        </w:tabs>
        <w:overflowPunct/>
        <w:autoSpaceDE/>
        <w:autoSpaceDN/>
        <w:adjustRightInd/>
        <w:spacing w:before="0"/>
        <w:textAlignment w:val="auto"/>
        <w:rPr>
          <w:lang w:val="es-ES"/>
        </w:rPr>
        <w:sectPr w:rsidR="009D366F" w:rsidRPr="006117E0" w:rsidSect="009D366F">
          <w:headerReference w:type="default" r:id="rId22"/>
          <w:pgSz w:w="16838" w:h="11906" w:orient="landscape" w:code="9"/>
          <w:pgMar w:top="1138" w:right="1411" w:bottom="1138" w:left="1411" w:header="624" w:footer="624" w:gutter="0"/>
          <w:cols w:space="720"/>
          <w:docGrid w:linePitch="326"/>
        </w:sectPr>
      </w:pPr>
    </w:p>
    <w:p w14:paraId="02D52B55" w14:textId="77777777" w:rsidR="003F29D1" w:rsidRPr="006117E0" w:rsidRDefault="003F29D1" w:rsidP="00B77052">
      <w:pPr>
        <w:pStyle w:val="Headingi"/>
        <w:rPr>
          <w:b/>
          <w:bCs/>
          <w:lang w:val="es-ES"/>
        </w:rPr>
      </w:pPr>
      <w:r w:rsidRPr="006117E0">
        <w:rPr>
          <w:b/>
          <w:bCs/>
          <w:lang w:val="es-ES"/>
        </w:rPr>
        <w:lastRenderedPageBreak/>
        <w:t>Hitos de la aplicación en 2026: Prioridad 2 del UIT-D – Transformación digital</w:t>
      </w:r>
    </w:p>
    <w:p w14:paraId="46EC011E" w14:textId="77777777" w:rsidR="003F29D1" w:rsidRPr="006117E0" w:rsidRDefault="003F29D1" w:rsidP="00B77052">
      <w:pPr>
        <w:pStyle w:val="Headingb"/>
        <w:rPr>
          <w:lang w:val="es-ES"/>
        </w:rPr>
      </w:pPr>
      <w:r w:rsidRPr="006117E0">
        <w:rPr>
          <w:lang w:val="es-ES"/>
        </w:rPr>
        <w:t>Ecosistema de innovación digital</w:t>
      </w:r>
    </w:p>
    <w:p w14:paraId="66F3C04D" w14:textId="77777777" w:rsidR="003F29D1" w:rsidRPr="006117E0" w:rsidRDefault="003F29D1" w:rsidP="00B77052">
      <w:pPr>
        <w:rPr>
          <w:lang w:val="es-ES"/>
        </w:rPr>
      </w:pPr>
      <w:r w:rsidRPr="006117E0">
        <w:rPr>
          <w:b/>
          <w:lang w:val="es-ES"/>
        </w:rPr>
        <w:t xml:space="preserve">En África </w:t>
      </w:r>
      <w:r w:rsidRPr="006117E0">
        <w:rPr>
          <w:bCs/>
          <w:lang w:val="es-ES"/>
        </w:rPr>
        <w:t>se puso en marcha el Centro Africano de Transformación Digital en Sudáfrica</w:t>
      </w:r>
      <w:r w:rsidRPr="006117E0">
        <w:rPr>
          <w:lang w:val="es-ES"/>
        </w:rPr>
        <w:t>. De propiedad nacional, el Centro se une a la red mundial de Centros de Aceleración de la UIT en el marco de la Alianza para la Innovación y el Emprendimiento para el Desarrollo Digital.</w:t>
      </w:r>
    </w:p>
    <w:p w14:paraId="30254A1A" w14:textId="77777777" w:rsidR="003F29D1" w:rsidRPr="006117E0" w:rsidRDefault="003F29D1" w:rsidP="00B77052">
      <w:pPr>
        <w:rPr>
          <w:lang w:val="es-ES"/>
        </w:rPr>
      </w:pPr>
      <w:r w:rsidRPr="006117E0">
        <w:rPr>
          <w:lang w:val="es-ES"/>
        </w:rPr>
        <w:t>Tras la elaboración del perfil de innovación digital para Mozambique, con el apoyo de la iniciativa Sentando las bases del proyecto VaMoz Digital!, en marzo de 2026 se celebraron entrevistas técnicas para avanzar en las intervenciones de capacidad institucional de innovación específicas. Estos esfuerzos tienen como objetivo apoyar la transformación digital en curso en Mozambique.</w:t>
      </w:r>
    </w:p>
    <w:p w14:paraId="21989227" w14:textId="145D929B" w:rsidR="003F29D1" w:rsidRPr="006117E0" w:rsidRDefault="003F29D1" w:rsidP="00B77052">
      <w:pPr>
        <w:rPr>
          <w:lang w:val="es-ES"/>
        </w:rPr>
      </w:pPr>
      <w:r w:rsidRPr="006117E0">
        <w:rPr>
          <w:b/>
          <w:bCs/>
          <w:lang w:val="es-ES"/>
        </w:rPr>
        <w:t xml:space="preserve">En los Estados Árabes, </w:t>
      </w:r>
      <w:r w:rsidRPr="006117E0">
        <w:rPr>
          <w:lang w:val="es-ES"/>
        </w:rPr>
        <w:t>la BDT, en asociación con la Ciudad Rey Abdulaziz para la Ciencia y la Tecnología, coorganizó un campamento de cuatro días de duración en Riad (Arabia Saudita) del 9</w:t>
      </w:r>
      <w:r w:rsidR="00403717" w:rsidRPr="006117E0">
        <w:rPr>
          <w:lang w:val="es-ES"/>
        </w:rPr>
        <w:t> </w:t>
      </w:r>
      <w:r w:rsidRPr="006117E0">
        <w:rPr>
          <w:lang w:val="es-ES"/>
        </w:rPr>
        <w:t>al 12 de febrero, para apoyar la comercialización de la investigación tecnológica en todo el país. El campamento reunió a 16 equipos de investigación, que representaban a 60 investigadores con un 49</w:t>
      </w:r>
      <w:r w:rsidR="00B77052" w:rsidRPr="006117E0">
        <w:rPr>
          <w:lang w:val="es-ES"/>
        </w:rPr>
        <w:t xml:space="preserve"> </w:t>
      </w:r>
      <w:r w:rsidRPr="006117E0">
        <w:rPr>
          <w:lang w:val="es-ES"/>
        </w:rPr>
        <w:t xml:space="preserve">% de mujeres científicas. Se </w:t>
      </w:r>
      <w:r w:rsidR="006117E0" w:rsidRPr="006117E0">
        <w:rPr>
          <w:lang w:val="es-ES"/>
        </w:rPr>
        <w:t>guio</w:t>
      </w:r>
      <w:r w:rsidRPr="006117E0">
        <w:rPr>
          <w:lang w:val="es-ES"/>
        </w:rPr>
        <w:t xml:space="preserve"> a los participantes a través de más de una docena de herramientas prácticas del conjunto de herramientas de la UIT para acelerar la investigación a la innovación y la comercialización. A través de una serie de talleres prácticos específicos, los investigadores fueron más allá de la teoría para aplicar directamente estas herramientas a sus propias ideas y resultados de investigación. El objetivo de la iniciativa era reducir la brecha entre la investigación y las soluciones listas para el mercado, permitiendo a los científicos transformar las innovaciones en productos y servicios viables. Los resultados contribuyen directamente a las prioridades nacionales de innovación y apoyan las ambiciones de la Visión 2030 de Arabia Saudita mediante el fortalecimiento de la investigación, la comercialización y los ecosistemas de innovación inclusivos.</w:t>
      </w:r>
    </w:p>
    <w:p w14:paraId="752B9950" w14:textId="11D6F965" w:rsidR="003F29D1" w:rsidRPr="006117E0" w:rsidRDefault="003F29D1" w:rsidP="00B77052">
      <w:pPr>
        <w:rPr>
          <w:lang w:val="es-ES"/>
        </w:rPr>
      </w:pPr>
      <w:r w:rsidRPr="006117E0">
        <w:rPr>
          <w:b/>
          <w:lang w:val="es-ES"/>
        </w:rPr>
        <w:t xml:space="preserve">En la CEI, </w:t>
      </w:r>
      <w:r w:rsidRPr="006117E0">
        <w:rPr>
          <w:bCs/>
          <w:lang w:val="es-ES"/>
        </w:rPr>
        <w:t xml:space="preserve">el Hackathon de IA BSUIR 2026 sobre desarrollo de soluciones de IA tuvo lugar en Minsk (Belarús) en </w:t>
      </w:r>
      <w:r w:rsidRPr="006117E0">
        <w:rPr>
          <w:lang w:val="es-ES"/>
        </w:rPr>
        <w:t>colaboración</w:t>
      </w:r>
      <w:r w:rsidRPr="006117E0">
        <w:rPr>
          <w:bCs/>
          <w:lang w:val="es-ES"/>
        </w:rPr>
        <w:t xml:space="preserve"> con la Universidad Estatal de Informática y Radioelectrónica de Belarús, y contó con la participación </w:t>
      </w:r>
      <w:r w:rsidRPr="006117E0">
        <w:rPr>
          <w:lang w:val="es-ES"/>
        </w:rPr>
        <w:t>de</w:t>
      </w:r>
      <w:r w:rsidRPr="006117E0">
        <w:rPr>
          <w:bCs/>
          <w:lang w:val="es-ES"/>
        </w:rPr>
        <w:t xml:space="preserve"> más de 50 jóvenes divididos en 17 equipos de diversas universidades técnicas de Belarús para desarrollar soluciones basadas en IA para la industria de las telecomunicaciones</w:t>
      </w:r>
      <w:r w:rsidRPr="006117E0">
        <w:rPr>
          <w:b/>
          <w:lang w:val="es-ES"/>
        </w:rPr>
        <w:t xml:space="preserve">. En Europa, </w:t>
      </w:r>
      <w:r w:rsidRPr="006117E0">
        <w:rPr>
          <w:bCs/>
          <w:lang w:val="es-ES"/>
        </w:rPr>
        <w:t xml:space="preserve">el informe </w:t>
      </w:r>
      <w:hyperlink r:id="rId23">
        <w:r w:rsidRPr="006117E0">
          <w:rPr>
            <w:rStyle w:val="Hyperlink"/>
            <w:rFonts w:cstheme="minorHAnsi"/>
            <w:lang w:val="es-ES"/>
          </w:rPr>
          <w:t>Innovation landscape of Malta: Best practices and future directions</w:t>
        </w:r>
        <w:r w:rsidRPr="006117E0">
          <w:rPr>
            <w:lang w:val="es-ES"/>
          </w:rPr>
          <w:t xml:space="preserve"> </w:t>
        </w:r>
      </w:hyperlink>
      <w:r w:rsidRPr="006117E0">
        <w:rPr>
          <w:bCs/>
          <w:lang w:val="es-ES"/>
        </w:rPr>
        <w:t>se publicó en marzo de 2026 y ya está disponible en la página web de innovación</w:t>
      </w:r>
      <w:r w:rsidRPr="006117E0">
        <w:rPr>
          <w:lang w:val="es-ES"/>
        </w:rPr>
        <w:t>.</w:t>
      </w:r>
    </w:p>
    <w:p w14:paraId="24A58647" w14:textId="77777777" w:rsidR="003F29D1" w:rsidRPr="006117E0" w:rsidRDefault="003F29D1" w:rsidP="00B77052">
      <w:pPr>
        <w:pStyle w:val="Headingb"/>
        <w:rPr>
          <w:lang w:val="es-ES"/>
        </w:rPr>
      </w:pPr>
      <w:r w:rsidRPr="006117E0">
        <w:rPr>
          <w:lang w:val="es-ES"/>
        </w:rPr>
        <w:t>Servicios y aplicaciones digitales</w:t>
      </w:r>
    </w:p>
    <w:p w14:paraId="7D1D2123" w14:textId="77777777" w:rsidR="003F29D1" w:rsidRPr="006117E0" w:rsidRDefault="003F29D1" w:rsidP="00B77052">
      <w:pPr>
        <w:rPr>
          <w:lang w:val="es-ES"/>
        </w:rPr>
      </w:pPr>
      <w:r w:rsidRPr="006117E0">
        <w:rPr>
          <w:b/>
          <w:bCs/>
          <w:lang w:val="es-ES"/>
        </w:rPr>
        <w:t xml:space="preserve">En África, </w:t>
      </w:r>
      <w:r w:rsidRPr="006117E0">
        <w:rPr>
          <w:lang w:val="es-ES"/>
        </w:rPr>
        <w:t>se validó en Gambia la Hoja de Ruta de Arquitectura Empresarial Nacional y Transformación Digital, con aportaciones interministeriales (Finanzas, Salud, TIC, Administración de Ingresos). En Guinea-</w:t>
      </w:r>
      <w:r w:rsidRPr="006117E0">
        <w:rPr>
          <w:bCs/>
          <w:lang w:val="es-ES"/>
        </w:rPr>
        <w:t>Bissau</w:t>
      </w:r>
      <w:r w:rsidRPr="006117E0">
        <w:rPr>
          <w:lang w:val="es-ES"/>
        </w:rPr>
        <w:t xml:space="preserve"> se celebró el primer taller de profundización de GovStack para definir servicios de gobierno digital modulares e interoperables. El proyecto GovStack del Cuerno de África se encuentra en su fase de clausura, mientras que el informe final del proyecto GovStack de Eswatini se ha completado y complementado con talleres de inmersión profunda.</w:t>
      </w:r>
    </w:p>
    <w:p w14:paraId="618D49A1" w14:textId="77777777" w:rsidR="003F29D1" w:rsidRPr="006117E0" w:rsidRDefault="003F29D1" w:rsidP="003F29D1">
      <w:pPr>
        <w:rPr>
          <w:lang w:val="es-ES" w:eastAsia="en-GB"/>
        </w:rPr>
      </w:pPr>
      <w:r w:rsidRPr="006117E0">
        <w:rPr>
          <w:b/>
          <w:bCs/>
          <w:lang w:val="es-ES" w:eastAsia="en-GB"/>
        </w:rPr>
        <w:t>En los Estados Árabes</w:t>
      </w:r>
      <w:r w:rsidRPr="006117E0">
        <w:rPr>
          <w:lang w:val="es-ES" w:eastAsia="en-GB"/>
        </w:rPr>
        <w:t xml:space="preserve">, la BDT </w:t>
      </w:r>
      <w:r w:rsidRPr="006117E0">
        <w:rPr>
          <w:bCs/>
          <w:lang w:val="es-ES"/>
        </w:rPr>
        <w:t>está</w:t>
      </w:r>
      <w:r w:rsidRPr="006117E0">
        <w:rPr>
          <w:lang w:val="es-ES" w:eastAsia="en-GB"/>
        </w:rPr>
        <w:t xml:space="preserve"> finalizando la estrategia nacional de tecnologías inmersivas de Jordania.</w:t>
      </w:r>
    </w:p>
    <w:p w14:paraId="044E8088" w14:textId="77777777" w:rsidR="003F29D1" w:rsidRPr="006117E0" w:rsidRDefault="003F29D1" w:rsidP="00B77052">
      <w:pPr>
        <w:rPr>
          <w:lang w:val="es-ES"/>
        </w:rPr>
      </w:pPr>
      <w:r w:rsidRPr="006117E0">
        <w:rPr>
          <w:b/>
          <w:bCs/>
          <w:lang w:val="es-ES"/>
        </w:rPr>
        <w:t xml:space="preserve">En Asia-Pacífico, </w:t>
      </w:r>
      <w:r w:rsidRPr="006117E0">
        <w:rPr>
          <w:lang w:val="es-ES"/>
        </w:rPr>
        <w:t xml:space="preserve">se celebraron debates de alto nivel en Mongolia sobre el fortalecimiento de la coordinación interinstitucional para </w:t>
      </w:r>
      <w:r w:rsidRPr="006117E0">
        <w:rPr>
          <w:bCs/>
          <w:lang w:val="es-ES"/>
        </w:rPr>
        <w:t>facilitar</w:t>
      </w:r>
      <w:r w:rsidRPr="006117E0">
        <w:rPr>
          <w:lang w:val="es-ES"/>
        </w:rPr>
        <w:t xml:space="preserve"> la adopción de GovStack en el país. En Tuvalu se está llevando a cabo un taller GovStack.</w:t>
      </w:r>
    </w:p>
    <w:p w14:paraId="52A5891E" w14:textId="77777777" w:rsidR="003F29D1" w:rsidRPr="006117E0" w:rsidRDefault="003F29D1" w:rsidP="00B77052">
      <w:pPr>
        <w:rPr>
          <w:bCs/>
          <w:lang w:val="es-ES"/>
        </w:rPr>
      </w:pPr>
      <w:r w:rsidRPr="006117E0">
        <w:rPr>
          <w:bCs/>
          <w:lang w:val="es-ES"/>
        </w:rPr>
        <w:lastRenderedPageBreak/>
        <w:t>La BDT organizó un taller GovStack de todo el gobierno en Papua Nueva Guinea en febrero de 2026, y debatió sobre la siguiente fase del proyecto EU STREIT, que se ha ejecutado conjuntamente con la FAO, el PNUD y otros organismos de las Naciones Unidas en los países en apoyo de la agricultura digital, la conectividad rural, la capacitación y la alfabetización digital.</w:t>
      </w:r>
    </w:p>
    <w:p w14:paraId="338A2814" w14:textId="43BCC968" w:rsidR="003F29D1" w:rsidRPr="006117E0" w:rsidRDefault="003F29D1" w:rsidP="00B77052">
      <w:pPr>
        <w:rPr>
          <w:lang w:val="es-ES"/>
        </w:rPr>
      </w:pPr>
      <w:r w:rsidRPr="006117E0">
        <w:rPr>
          <w:b/>
          <w:bCs/>
          <w:lang w:val="es-ES"/>
        </w:rPr>
        <w:t xml:space="preserve">En la CEI, </w:t>
      </w:r>
      <w:r w:rsidRPr="006117E0">
        <w:rPr>
          <w:lang w:val="es-ES"/>
        </w:rPr>
        <w:t xml:space="preserve">los días 11 y 12 de marzo, la BDT, en colaboración con el Centro Nacional de Ciberservicios de Belarús, organizó </w:t>
      </w:r>
      <w:r w:rsidRPr="006117E0">
        <w:rPr>
          <w:bCs/>
          <w:lang w:val="es-ES"/>
        </w:rPr>
        <w:t>una</w:t>
      </w:r>
      <w:r w:rsidRPr="006117E0">
        <w:rPr>
          <w:lang w:val="es-ES"/>
        </w:rPr>
        <w:t xml:space="preserve"> sesión de formación nacional. Expertos de Kazajstán, Azerbaiyán y Uzbekistán compartieron las experiencias de sus respectivos países en ámbitos clave, incluida la reestructuración de los servicios públicos para convertirlos en eventos de la vida digital, la prestación de servicios públicos digitales proactivos, la gestión de datos y la toma de decisiones basada en datos basada en el análisis de "lagos de datos".</w:t>
      </w:r>
    </w:p>
    <w:p w14:paraId="56305B7C" w14:textId="2C6EEFF2" w:rsidR="003F29D1" w:rsidRPr="006117E0" w:rsidRDefault="003F29D1" w:rsidP="00B77052">
      <w:pPr>
        <w:rPr>
          <w:lang w:val="es-ES"/>
        </w:rPr>
      </w:pPr>
      <w:r w:rsidRPr="006117E0">
        <w:rPr>
          <w:b/>
          <w:bCs/>
          <w:lang w:val="es-ES"/>
        </w:rPr>
        <w:t xml:space="preserve">En Europa, </w:t>
      </w:r>
      <w:r w:rsidRPr="006117E0">
        <w:rPr>
          <w:lang w:val="es-ES"/>
        </w:rPr>
        <w:t xml:space="preserve">la armonización de GovStack con el Proyecto Conjunto del Fondo ODS del PNUD, la BDT proporcionará creación de capacidad, </w:t>
      </w:r>
      <w:r w:rsidRPr="006117E0">
        <w:rPr>
          <w:bCs/>
          <w:lang w:val="es-ES"/>
        </w:rPr>
        <w:t>creación</w:t>
      </w:r>
      <w:r w:rsidRPr="006117E0">
        <w:rPr>
          <w:lang w:val="es-ES"/>
        </w:rPr>
        <w:t xml:space="preserve"> de prototipos, pruebas en entorno protegido y GovSpecs 2.0) en Serbia.</w:t>
      </w:r>
    </w:p>
    <w:p w14:paraId="1832842F" w14:textId="77777777" w:rsidR="003F29D1" w:rsidRPr="006117E0" w:rsidRDefault="003F29D1" w:rsidP="00B77052">
      <w:pPr>
        <w:rPr>
          <w:lang w:val="es-ES" w:eastAsia="en-GB"/>
        </w:rPr>
      </w:pPr>
      <w:r w:rsidRPr="006117E0">
        <w:rPr>
          <w:lang w:val="es-ES" w:eastAsia="en-GB"/>
        </w:rPr>
        <w:t xml:space="preserve">Globalmente, la BDT sigue avanzando en la infraestructura pública digital (IPD) y el código abierto. Durante el primer trimestre de 2026, la BDT impartió dos sesiones de formación específicas al Gobierno de Kenya y prestó apoyo en la definición de la hoja de ruta de la IPD en curso en Kenya en el marco de la OSEE, reforzando las </w:t>
      </w:r>
      <w:r w:rsidRPr="006117E0">
        <w:rPr>
          <w:bCs/>
          <w:lang w:val="es-ES"/>
        </w:rPr>
        <w:t>capacidades</w:t>
      </w:r>
      <w:r w:rsidRPr="006117E0">
        <w:rPr>
          <w:lang w:val="es-ES" w:eastAsia="en-GB"/>
        </w:rPr>
        <w:t xml:space="preserve"> nacionales en materia de código abierto, ciberseguridad y administración de sistemas como fundamentos de la IPD. Se prosigue la colaboración continua con países piloto y afiliados en África, Asia-Pacífico y Oriente Medio y Norte de África para apoyar el establecimiento de OSPO y el desarrollo sostenible del ecosistema.</w:t>
      </w:r>
    </w:p>
    <w:p w14:paraId="6505B445" w14:textId="77777777" w:rsidR="003F29D1" w:rsidRPr="006117E0" w:rsidRDefault="003F29D1" w:rsidP="00B77052">
      <w:pPr>
        <w:rPr>
          <w:lang w:val="es-ES" w:eastAsia="en-GB"/>
        </w:rPr>
      </w:pPr>
      <w:r w:rsidRPr="006117E0">
        <w:rPr>
          <w:lang w:val="es-ES" w:eastAsia="en-GB"/>
        </w:rPr>
        <w:t xml:space="preserve">La BDT también impulsó la coherencia del sistema de las Naciones Unidas a través de Open Source United, contribuyendo activamente a la iniciativa Open Source United de las Naciones Unidas, incluida la vicepresidencia de la Comunidad de Práctica y apoyando la puesta en marcha del repositorio de código abierto de </w:t>
      </w:r>
      <w:r w:rsidRPr="006117E0">
        <w:rPr>
          <w:bCs/>
          <w:lang w:val="es-ES"/>
        </w:rPr>
        <w:t>fuente</w:t>
      </w:r>
      <w:r w:rsidRPr="006117E0">
        <w:rPr>
          <w:lang w:val="es-ES" w:eastAsia="en-GB"/>
        </w:rPr>
        <w:t xml:space="preserve"> abierta alojado en la UNICC dentro de la UIT, reforzando las prácticas digitales abiertas, colaborativas y soberanas en todo el sistema de las Naciones Unidas.</w:t>
      </w:r>
    </w:p>
    <w:p w14:paraId="26E1B9EC" w14:textId="77777777" w:rsidR="003F29D1" w:rsidRPr="006117E0" w:rsidRDefault="003F29D1" w:rsidP="00B77052">
      <w:pPr>
        <w:rPr>
          <w:lang w:val="es-ES" w:eastAsia="en-GB"/>
        </w:rPr>
      </w:pPr>
      <w:r w:rsidRPr="006117E0">
        <w:rPr>
          <w:lang w:val="es-ES" w:eastAsia="en-GB"/>
        </w:rPr>
        <w:t>Además, la BDT sigue impulsando la innovación centrada en los ODS mediante GenAIforGood (repercusión multirregional). Se ha avanzado en la implementación del desafío Gen AI for Good, con casos de uso de países concretos armonizados con los ODS:</w:t>
      </w:r>
    </w:p>
    <w:p w14:paraId="3CA65A11" w14:textId="2A7054C1" w:rsidR="003F29D1" w:rsidRPr="006117E0" w:rsidRDefault="00B77052" w:rsidP="00B77052">
      <w:pPr>
        <w:pStyle w:val="enumlev1"/>
        <w:rPr>
          <w:lang w:val="es-ES" w:eastAsia="en-GB"/>
        </w:rPr>
      </w:pPr>
      <w:bookmarkStart w:id="10" w:name="_Hlk226446924"/>
      <w:r w:rsidRPr="006117E0">
        <w:rPr>
          <w:lang w:val="es-ES" w:eastAsia="en-GB"/>
        </w:rPr>
        <w:t>–</w:t>
      </w:r>
      <w:r w:rsidRPr="006117E0">
        <w:rPr>
          <w:lang w:val="es-ES" w:eastAsia="en-GB"/>
        </w:rPr>
        <w:tab/>
      </w:r>
      <w:bookmarkEnd w:id="10"/>
      <w:r w:rsidR="003F29D1" w:rsidRPr="006117E0">
        <w:rPr>
          <w:lang w:val="es-ES" w:eastAsia="en-GB"/>
        </w:rPr>
        <w:t>Gambia (Salud) – apoyo a la prevención de enfermedades no transmisibles</w:t>
      </w:r>
    </w:p>
    <w:p w14:paraId="54DA1504" w14:textId="45B396DA" w:rsidR="003F29D1" w:rsidRPr="006117E0" w:rsidRDefault="00B77052" w:rsidP="00B77052">
      <w:pPr>
        <w:pStyle w:val="enumlev1"/>
        <w:rPr>
          <w:lang w:val="es-ES" w:eastAsia="en-GB"/>
        </w:rPr>
      </w:pPr>
      <w:r w:rsidRPr="006117E0">
        <w:rPr>
          <w:lang w:val="es-ES" w:eastAsia="en-GB"/>
        </w:rPr>
        <w:t>–</w:t>
      </w:r>
      <w:r w:rsidRPr="006117E0">
        <w:rPr>
          <w:lang w:val="es-ES" w:eastAsia="en-GB"/>
        </w:rPr>
        <w:tab/>
      </w:r>
      <w:r w:rsidR="003F29D1" w:rsidRPr="006117E0">
        <w:rPr>
          <w:lang w:val="es-ES" w:eastAsia="en-GB"/>
        </w:rPr>
        <w:t>Bangladesh (Clima) – mejora de la resiliencia climática y las capacidades de alerta temprana</w:t>
      </w:r>
    </w:p>
    <w:p w14:paraId="3FD80010" w14:textId="77777777" w:rsidR="00403717" w:rsidRPr="006117E0" w:rsidRDefault="00B77052" w:rsidP="00B77052">
      <w:pPr>
        <w:pStyle w:val="enumlev1"/>
        <w:rPr>
          <w:lang w:val="es-ES" w:eastAsia="en-GB"/>
        </w:rPr>
      </w:pPr>
      <w:r w:rsidRPr="006117E0">
        <w:rPr>
          <w:lang w:val="es-ES" w:eastAsia="en-GB"/>
        </w:rPr>
        <w:t>–</w:t>
      </w:r>
      <w:r w:rsidRPr="006117E0">
        <w:rPr>
          <w:lang w:val="es-ES" w:eastAsia="en-GB"/>
        </w:rPr>
        <w:tab/>
      </w:r>
      <w:r w:rsidR="003F29D1" w:rsidRPr="006117E0">
        <w:rPr>
          <w:lang w:val="es-ES" w:eastAsia="en-GB"/>
        </w:rPr>
        <w:t>Lesotho (Agricultura) – prestación de servicios de asesoramiento a pequeños agricultores.</w:t>
      </w:r>
    </w:p>
    <w:p w14:paraId="4D65284C" w14:textId="5BDCC755" w:rsidR="003F29D1" w:rsidRPr="006117E0" w:rsidRDefault="003F29D1" w:rsidP="00403717">
      <w:pPr>
        <w:rPr>
          <w:lang w:val="es-ES" w:eastAsia="en-GB"/>
        </w:rPr>
      </w:pPr>
      <w:r w:rsidRPr="006117E0">
        <w:rPr>
          <w:lang w:val="es-ES" w:eastAsia="en-GB"/>
        </w:rPr>
        <w:t>Esta iniciativa moviliza la innovación mundial hacia soluciones de IPD desplegables e inclusivas.</w:t>
      </w:r>
    </w:p>
    <w:p w14:paraId="3CC7D063" w14:textId="77777777" w:rsidR="003F29D1" w:rsidRPr="006117E0" w:rsidRDefault="003F29D1" w:rsidP="00B77052">
      <w:pPr>
        <w:rPr>
          <w:lang w:val="es-ES" w:eastAsia="en-GB"/>
        </w:rPr>
      </w:pPr>
      <w:r w:rsidRPr="006117E0">
        <w:rPr>
          <w:lang w:val="es-ES" w:eastAsia="en-GB"/>
        </w:rPr>
        <w:t>La BDT publicó GENIE.AI como primer componente IPD de IA generativa de código abierto dentro del ecosistema GovStack, que permite a los países desplegar soluciones de IA soberanas y responsables para los servicios públicos. Se están implementando los primeros prototipos en Kenya, Lesotho y El Salvador, que muestran aplicaciones reales de servicios públicos digitales inclusivos y fiables.</w:t>
      </w:r>
    </w:p>
    <w:p w14:paraId="58924B91" w14:textId="77777777" w:rsidR="003F29D1" w:rsidRPr="006117E0" w:rsidRDefault="003F29D1" w:rsidP="00B77052">
      <w:pPr>
        <w:rPr>
          <w:lang w:val="es-ES" w:eastAsia="en-GB"/>
        </w:rPr>
      </w:pPr>
      <w:r w:rsidRPr="006117E0">
        <w:rPr>
          <w:lang w:val="es-ES" w:eastAsia="en-GB"/>
        </w:rPr>
        <w:t xml:space="preserve">Otras actividades incluyen el fortalecimiento de un enfoque programático de la transformación digital, con una ejecución integrada de las políticas, la capacitación y el despliegue tecnológico, posicionando a la UIT como un facilitador clave de ecosistemas de IPD abiertos, interoperables y </w:t>
      </w:r>
      <w:r w:rsidRPr="006117E0">
        <w:rPr>
          <w:lang w:val="es-ES" w:eastAsia="en-GB"/>
        </w:rPr>
        <w:lastRenderedPageBreak/>
        <w:t>escalables, con contribuciones directas a la inclusión digital, la apropiación nacional y la sostenibilidad a largo plazo.</w:t>
      </w:r>
    </w:p>
    <w:p w14:paraId="7F69DF33" w14:textId="1600A1DB" w:rsidR="003F29D1" w:rsidRPr="006117E0" w:rsidRDefault="003F29D1" w:rsidP="00B77052">
      <w:pPr>
        <w:pStyle w:val="Headingb"/>
        <w:rPr>
          <w:lang w:val="es-ES" w:eastAsia="en-GB"/>
        </w:rPr>
      </w:pPr>
      <w:r w:rsidRPr="006117E0">
        <w:rPr>
          <w:lang w:val="es-ES" w:eastAsia="en-GB"/>
        </w:rPr>
        <w:t>Capacitación</w:t>
      </w:r>
    </w:p>
    <w:p w14:paraId="1BA4AC74" w14:textId="77777777" w:rsidR="003F29D1" w:rsidRPr="006117E0" w:rsidRDefault="003F29D1" w:rsidP="00B77052">
      <w:pPr>
        <w:rPr>
          <w:lang w:val="es-ES"/>
        </w:rPr>
      </w:pPr>
      <w:r w:rsidRPr="006117E0">
        <w:rPr>
          <w:lang w:val="es-ES"/>
        </w:rPr>
        <w:t xml:space="preserve">Tras el lanzamiento en 2024 de la herramienta de competencias digitales, el 19 de marzo, Día Internacional de la Educación, se </w:t>
      </w:r>
      <w:r w:rsidRPr="006117E0">
        <w:rPr>
          <w:lang w:val="es-ES" w:eastAsia="en-GB"/>
        </w:rPr>
        <w:t>lanzó</w:t>
      </w:r>
      <w:r w:rsidRPr="006117E0">
        <w:rPr>
          <w:lang w:val="es-ES"/>
        </w:rPr>
        <w:t xml:space="preserve"> un curso de ciberaprendizaje para ayudar a los participantes a poner en práctica las recomendaciones de la herramienta.</w:t>
      </w:r>
    </w:p>
    <w:p w14:paraId="17789A9C" w14:textId="77777777" w:rsidR="003F29D1" w:rsidRPr="006117E0" w:rsidRDefault="003F29D1" w:rsidP="00B77052">
      <w:pPr>
        <w:rPr>
          <w:lang w:val="es-ES"/>
        </w:rPr>
      </w:pPr>
      <w:r w:rsidRPr="006117E0">
        <w:rPr>
          <w:b/>
          <w:bCs/>
          <w:lang w:val="es-ES"/>
        </w:rPr>
        <w:t xml:space="preserve">En África, </w:t>
      </w:r>
      <w:r w:rsidRPr="006117E0">
        <w:rPr>
          <w:lang w:val="es-ES"/>
        </w:rPr>
        <w:t xml:space="preserve">en febrero se celebró en Kenya un campamento para gestores de redes de TIC, organizado por la BDT, APC y Rhizomatica. </w:t>
      </w:r>
      <w:r w:rsidRPr="006117E0">
        <w:rPr>
          <w:lang w:val="es-ES" w:eastAsia="en-GB"/>
        </w:rPr>
        <w:t>Cuarenta</w:t>
      </w:r>
      <w:r w:rsidRPr="006117E0">
        <w:rPr>
          <w:lang w:val="es-ES"/>
        </w:rPr>
        <w:t xml:space="preserve"> y cuatro participantes de 18 países del África subsahariana participaron y completaron el programa. La formación reforzó las competencias prácticas de los participantes en gestión de redes, comunicaciones de emergencia y soluciones TIC sostenibles, y mejoró sus capacidades en la planificación de proyectos comunitarios y la creación de resiliencia. </w:t>
      </w:r>
    </w:p>
    <w:p w14:paraId="08D01C8E" w14:textId="77777777" w:rsidR="003F29D1" w:rsidRPr="006117E0" w:rsidRDefault="003F29D1" w:rsidP="00B77052">
      <w:pPr>
        <w:rPr>
          <w:lang w:val="es-ES"/>
        </w:rPr>
      </w:pPr>
      <w:r w:rsidRPr="006117E0">
        <w:rPr>
          <w:lang w:val="es-ES"/>
        </w:rPr>
        <w:t xml:space="preserve">La BDT organizó en febrero de 2026 un curso de formación mixto en Etiopía, en colaboración con la Unión Europea, para responsables políticos, reguladores, líderes de la sociedad civil y profesionales. El curso combinó sesiones en </w:t>
      </w:r>
      <w:r w:rsidRPr="006117E0">
        <w:rPr>
          <w:lang w:val="es-ES" w:eastAsia="en-GB"/>
        </w:rPr>
        <w:t>línea</w:t>
      </w:r>
      <w:r w:rsidRPr="006117E0">
        <w:rPr>
          <w:lang w:val="es-ES"/>
        </w:rPr>
        <w:t xml:space="preserve"> sobre conceptos de IA, ética, ciberseguridad y marcos jurídicos con aprendizaje práctico. En el marco del mismo proyecto, en marzo de 2026 se impartió un curso de formación adicional sobre fomento de la economía circular, centrado en la política de residuos electrónicos y la responsabilidad del productor en la gestión de los residuos electrónicos.</w:t>
      </w:r>
    </w:p>
    <w:p w14:paraId="32E42ACF" w14:textId="1800E08E" w:rsidR="003F29D1" w:rsidRPr="006117E0" w:rsidRDefault="003F29D1" w:rsidP="00B77052">
      <w:pPr>
        <w:rPr>
          <w:lang w:val="es-ES"/>
        </w:rPr>
      </w:pPr>
      <w:r w:rsidRPr="006117E0">
        <w:rPr>
          <w:b/>
          <w:bCs/>
          <w:lang w:val="es-ES"/>
        </w:rPr>
        <w:t xml:space="preserve">En la CEI, </w:t>
      </w:r>
      <w:r w:rsidRPr="006117E0">
        <w:rPr>
          <w:lang w:val="es-ES"/>
        </w:rPr>
        <w:t xml:space="preserve">el 24 de marzo se celebró una mesa redonda consultiva nacional para debatir en detalle los resultados del estudio sobre la evaluación de las competencias digitales de los empleados públicos y municipales de la República </w:t>
      </w:r>
      <w:r w:rsidRPr="006117E0">
        <w:rPr>
          <w:lang w:val="es-ES" w:eastAsia="en-GB"/>
        </w:rPr>
        <w:t>Kirguisa</w:t>
      </w:r>
      <w:r w:rsidRPr="006117E0">
        <w:rPr>
          <w:lang w:val="es-ES"/>
        </w:rPr>
        <w:t xml:space="preserve"> </w:t>
      </w:r>
      <w:r w:rsidR="006368DD" w:rsidRPr="006117E0">
        <w:rPr>
          <w:lang w:val="es-ES"/>
        </w:rPr>
        <w:t>"</w:t>
      </w:r>
      <w:r w:rsidRPr="006117E0">
        <w:rPr>
          <w:lang w:val="es-ES"/>
        </w:rPr>
        <w:t>Sanarip kyzmatker</w:t>
      </w:r>
      <w:r w:rsidR="006368DD" w:rsidRPr="006117E0">
        <w:rPr>
          <w:lang w:val="es-ES"/>
        </w:rPr>
        <w:t>"</w:t>
      </w:r>
      <w:r w:rsidRPr="006117E0">
        <w:rPr>
          <w:lang w:val="es-ES"/>
        </w:rPr>
        <w:t>. Este evento es un seguimiento de la evaluación de competencias digitales realizada conjuntamente con la UIT para el organismo estatal beneficiario para la administración pública y los asuntos de la autonomía local. La mesa redonda congregó a 55 participantes – jefes de organismos estatales y gobiernos locales, empleados estatales y municipales, representantes de la comunidad científica y pedagógica del sector de la tecnología digital, representantes del entorno empresarial de TI y especialistas en TI. El evento se estructuró en torno a tres secciones interconectadas. En la primera sección se presentan los resultados de un estudio sobre el nivel actual de competencias digitales, que ha servido de base para el desarrollo. En la segunda sección, se presentó a los participantes un proyecto de metodología de evaluación, desarrollada sobre la base del Marco Nacional de Competencias Digitales. En la tercera sección se examinan las condiciones institucionales para el desarrollo de competencias digitales y los mecanismos prácticos para aplicar las soluciones propuestas.</w:t>
      </w:r>
    </w:p>
    <w:p w14:paraId="764B1C04" w14:textId="77777777" w:rsidR="003F29D1" w:rsidRPr="006117E0" w:rsidRDefault="003F29D1" w:rsidP="00B77052">
      <w:pPr>
        <w:rPr>
          <w:lang w:val="es-ES"/>
        </w:rPr>
      </w:pPr>
      <w:r w:rsidRPr="006117E0">
        <w:rPr>
          <w:b/>
          <w:bCs/>
          <w:lang w:val="es-ES"/>
        </w:rPr>
        <w:t xml:space="preserve">En Europa, </w:t>
      </w:r>
      <w:r w:rsidRPr="006117E0">
        <w:rPr>
          <w:lang w:val="es-ES"/>
        </w:rPr>
        <w:t>los preparativos para la puesta en marcha de la evaluación de las competencias digitales de los trabajadores del sector público de Albania comenzaron en febrero, en el marco del proyecto DART Joint SDG Fund, ejecutado en Albania conjuntamente con la FAO y la OIT.</w:t>
      </w:r>
    </w:p>
    <w:p w14:paraId="3A7EB6F8" w14:textId="77777777" w:rsidR="003F29D1" w:rsidRPr="006117E0" w:rsidRDefault="003F29D1" w:rsidP="00B77052">
      <w:pPr>
        <w:pStyle w:val="Headingb"/>
        <w:rPr>
          <w:lang w:val="es-ES" w:eastAsia="en-GB"/>
        </w:rPr>
      </w:pPr>
      <w:r w:rsidRPr="006117E0">
        <w:rPr>
          <w:lang w:val="es-ES" w:eastAsia="en-GB"/>
        </w:rPr>
        <w:t>Compromiso para con la sostenibilidad medioambiental</w:t>
      </w:r>
    </w:p>
    <w:p w14:paraId="2A3E2921" w14:textId="77777777" w:rsidR="003F29D1" w:rsidRPr="006117E0" w:rsidRDefault="003F29D1" w:rsidP="00B77052">
      <w:pPr>
        <w:rPr>
          <w:lang w:val="es-ES"/>
        </w:rPr>
      </w:pPr>
      <w:r w:rsidRPr="006117E0">
        <w:rPr>
          <w:lang w:val="es-ES"/>
        </w:rPr>
        <w:t xml:space="preserve">En el marco del proyecto "Iniciativa de intercambio internacional sobre la reglamentación de los residuos electrónicos y la participación de empresas tecnológicas", ejecutado en colaboración con el Gobierno de Colombia, la BDT </w:t>
      </w:r>
      <w:r w:rsidRPr="006117E0">
        <w:rPr>
          <w:lang w:val="es-ES" w:eastAsia="en-GB"/>
        </w:rPr>
        <w:t>organizó</w:t>
      </w:r>
      <w:r w:rsidRPr="006117E0">
        <w:rPr>
          <w:lang w:val="es-ES"/>
        </w:rPr>
        <w:t xml:space="preserve"> un viaje de estudios a la India como parte de la iniciativa de intercambio internacional sobre la reglamentación de los residuos electrónicos y la participación de empresas tecnológicas, financiado por APC Colombia y la UIT. El viaje de estudios celebrado en Nueva Delhi del 9 al 13 de febrero congregó a representantes de las </w:t>
      </w:r>
      <w:r w:rsidRPr="006117E0">
        <w:rPr>
          <w:b/>
          <w:bCs/>
          <w:lang w:val="es-ES"/>
        </w:rPr>
        <w:t xml:space="preserve">Regiones de </w:t>
      </w:r>
      <w:r w:rsidRPr="006117E0">
        <w:rPr>
          <w:b/>
          <w:bCs/>
          <w:lang w:val="es-ES"/>
        </w:rPr>
        <w:lastRenderedPageBreak/>
        <w:t>África, las Américas y Asia-Pacífico</w:t>
      </w:r>
      <w:r w:rsidRPr="006117E0">
        <w:rPr>
          <w:lang w:val="es-ES"/>
        </w:rPr>
        <w:t>. Entre los países representados figuraban la India, Malasia, Sudáfrica, Nigeria, la República Dominicana y Colombia. Los temas principales del intercambio fueron: marcos reglamentarios, gobernanza y arquitectura de sistemas; circularidad en el sector de las telecomunicaciones e integración del sector informal en la gestión de residuos electrónicos, y normalización y puesta en práctica de la gestión de residuos electrónicos.</w:t>
      </w:r>
    </w:p>
    <w:p w14:paraId="2DBC9315" w14:textId="34B41C5F" w:rsidR="003F29D1" w:rsidRPr="006117E0" w:rsidRDefault="003F29D1" w:rsidP="00B77052">
      <w:pPr>
        <w:rPr>
          <w:lang w:val="es-ES"/>
        </w:rPr>
        <w:sectPr w:rsidR="003F29D1" w:rsidRPr="006117E0" w:rsidSect="009D366F">
          <w:headerReference w:type="default" r:id="rId24"/>
          <w:pgSz w:w="11906" w:h="16838" w:code="9"/>
          <w:pgMar w:top="1411" w:right="1138" w:bottom="1411" w:left="1138" w:header="624" w:footer="624" w:gutter="0"/>
          <w:cols w:space="720"/>
          <w:docGrid w:linePitch="326"/>
        </w:sectPr>
      </w:pPr>
      <w:r w:rsidRPr="006117E0">
        <w:rPr>
          <w:lang w:val="es-ES"/>
        </w:rPr>
        <w:t>La BDT también relanzó el Subgrupo del GEIT sobre Indicadores Nacionales de Supervisión de Emisiones de Gases de Efecto Invernadero en febrero, con un fuerte compromiso (30+</w:t>
      </w:r>
      <w:r w:rsidR="00EE3C08" w:rsidRPr="006117E0">
        <w:rPr>
          <w:lang w:val="es-ES"/>
        </w:rPr>
        <w:t> </w:t>
      </w:r>
      <w:r w:rsidRPr="006117E0">
        <w:rPr>
          <w:lang w:val="es-ES"/>
        </w:rPr>
        <w:t>participantes por sesión). Portugal (Anacom) y Malasia (MCMC) han expresado interés en probar el marco. Se están realizando pruebas piloto en Brasil y Sudáfrica. En Brasil, el 11 de febrero se celebró un seminario web en línea sobre "Indicadores de emisiones y energía en el sector de las TIC" con la participación de 36 empresas, se celebraron 17 reuniones bilaterales y hasta la fecha se han recibido cuestionarios completos de 6 empresas.</w:t>
      </w:r>
    </w:p>
    <w:p w14:paraId="1C81B0BC" w14:textId="77777777" w:rsidR="003F29D1" w:rsidRPr="006117E0" w:rsidRDefault="003F29D1" w:rsidP="0030222C">
      <w:pPr>
        <w:pStyle w:val="Heading2"/>
        <w:spacing w:after="120"/>
        <w:rPr>
          <w:lang w:val="es-ES"/>
        </w:rPr>
      </w:pPr>
      <w:r w:rsidRPr="006117E0">
        <w:rPr>
          <w:lang w:val="es-ES"/>
        </w:rPr>
        <w:lastRenderedPageBreak/>
        <w:t>3.3</w:t>
      </w:r>
      <w:r w:rsidRPr="006117E0">
        <w:rPr>
          <w:lang w:val="es-ES"/>
        </w:rPr>
        <w:tab/>
        <w:t>Prioridad 3 del UIT-D: Entorno político y normativo propicio</w:t>
      </w:r>
    </w:p>
    <w:tbl>
      <w:tblPr>
        <w:tblW w:w="14278" w:type="dxa"/>
        <w:tblCellMar>
          <w:left w:w="57" w:type="dxa"/>
          <w:right w:w="57" w:type="dxa"/>
        </w:tblCellMar>
        <w:tblLook w:val="04A0" w:firstRow="1" w:lastRow="0" w:firstColumn="1" w:lastColumn="0" w:noHBand="0" w:noVBand="1"/>
      </w:tblPr>
      <w:tblGrid>
        <w:gridCol w:w="1695"/>
        <w:gridCol w:w="2978"/>
        <w:gridCol w:w="2835"/>
        <w:gridCol w:w="2426"/>
        <w:gridCol w:w="1441"/>
        <w:gridCol w:w="1462"/>
        <w:gridCol w:w="1441"/>
      </w:tblGrid>
      <w:tr w:rsidR="003F29D1" w:rsidRPr="006117E0" w14:paraId="00C0DDB9" w14:textId="77777777" w:rsidTr="006177B7">
        <w:trPr>
          <w:trHeight w:val="600"/>
          <w:tblHeader/>
        </w:trPr>
        <w:tc>
          <w:tcPr>
            <w:tcW w:w="1695" w:type="dxa"/>
            <w:tcBorders>
              <w:top w:val="single" w:sz="4" w:space="0" w:color="44B3E1"/>
              <w:left w:val="single" w:sz="4" w:space="0" w:color="44B3E1"/>
              <w:bottom w:val="single" w:sz="4" w:space="0" w:color="44B3E1"/>
              <w:right w:val="nil"/>
            </w:tcBorders>
            <w:shd w:val="clear" w:color="156082" w:fill="156082"/>
            <w:noWrap/>
            <w:vAlign w:val="center"/>
            <w:hideMark/>
          </w:tcPr>
          <w:p w14:paraId="3665EF3E"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Prioridad/Tema</w:t>
            </w:r>
          </w:p>
        </w:tc>
        <w:tc>
          <w:tcPr>
            <w:tcW w:w="2978" w:type="dxa"/>
            <w:tcBorders>
              <w:top w:val="single" w:sz="4" w:space="0" w:color="44B3E1"/>
              <w:left w:val="nil"/>
              <w:bottom w:val="single" w:sz="4" w:space="0" w:color="44B3E1"/>
              <w:right w:val="nil"/>
            </w:tcBorders>
            <w:shd w:val="clear" w:color="156082" w:fill="156082"/>
            <w:vAlign w:val="center"/>
            <w:hideMark/>
          </w:tcPr>
          <w:p w14:paraId="7F97FA48"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Realización</w:t>
            </w:r>
          </w:p>
        </w:tc>
        <w:tc>
          <w:tcPr>
            <w:tcW w:w="2835" w:type="dxa"/>
            <w:tcBorders>
              <w:top w:val="single" w:sz="4" w:space="0" w:color="44B3E1"/>
              <w:left w:val="nil"/>
              <w:bottom w:val="single" w:sz="4" w:space="0" w:color="44B3E1"/>
              <w:right w:val="nil"/>
            </w:tcBorders>
            <w:shd w:val="clear" w:color="156082" w:fill="156082"/>
            <w:vAlign w:val="center"/>
            <w:hideMark/>
          </w:tcPr>
          <w:p w14:paraId="0469976B"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Indicadores de realizaciones</w:t>
            </w:r>
          </w:p>
        </w:tc>
        <w:tc>
          <w:tcPr>
            <w:tcW w:w="2426" w:type="dxa"/>
            <w:tcBorders>
              <w:top w:val="single" w:sz="4" w:space="0" w:color="44B3E1"/>
              <w:left w:val="nil"/>
              <w:bottom w:val="single" w:sz="4" w:space="0" w:color="44B3E1"/>
              <w:right w:val="nil"/>
            </w:tcBorders>
            <w:shd w:val="clear" w:color="156082" w:fill="156082"/>
            <w:vAlign w:val="center"/>
            <w:hideMark/>
          </w:tcPr>
          <w:p w14:paraId="61E28FB4"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Productos</w:t>
            </w:r>
            <w:r w:rsidRPr="006117E0">
              <w:rPr>
                <w:color w:val="FFFFFF" w:themeColor="background1"/>
                <w:lang w:val="es-ES" w:eastAsia="en-GB"/>
              </w:rPr>
              <w:br/>
              <w:t>(productos y servicios del UIT-D)</w:t>
            </w:r>
          </w:p>
        </w:tc>
        <w:tc>
          <w:tcPr>
            <w:tcW w:w="1441" w:type="dxa"/>
            <w:tcBorders>
              <w:top w:val="single" w:sz="4" w:space="0" w:color="44B3E1"/>
              <w:left w:val="nil"/>
              <w:bottom w:val="single" w:sz="4" w:space="0" w:color="44B3E1"/>
              <w:right w:val="nil"/>
            </w:tcBorders>
            <w:shd w:val="clear" w:color="156082" w:fill="156082"/>
            <w:vAlign w:val="center"/>
            <w:hideMark/>
          </w:tcPr>
          <w:p w14:paraId="4BAFD032"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Presupuesto de 2026 (en CHF)</w:t>
            </w:r>
          </w:p>
        </w:tc>
        <w:tc>
          <w:tcPr>
            <w:tcW w:w="1462" w:type="dxa"/>
            <w:tcBorders>
              <w:top w:val="single" w:sz="4" w:space="0" w:color="44B3E1"/>
              <w:left w:val="nil"/>
              <w:bottom w:val="single" w:sz="4" w:space="0" w:color="44B3E1"/>
              <w:right w:val="nil"/>
            </w:tcBorders>
            <w:shd w:val="clear" w:color="156082" w:fill="156082"/>
            <w:vAlign w:val="center"/>
            <w:hideMark/>
          </w:tcPr>
          <w:p w14:paraId="32D2E5E8"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 de Prioridad/factor habilitador total</w:t>
            </w:r>
          </w:p>
        </w:tc>
        <w:tc>
          <w:tcPr>
            <w:tcW w:w="1441" w:type="dxa"/>
            <w:tcBorders>
              <w:top w:val="single" w:sz="4" w:space="0" w:color="44B3E1"/>
              <w:left w:val="nil"/>
              <w:bottom w:val="single" w:sz="4" w:space="0" w:color="44B3E1"/>
              <w:right w:val="single" w:sz="4" w:space="0" w:color="44B3E1"/>
            </w:tcBorders>
            <w:shd w:val="clear" w:color="156082" w:fill="156082"/>
            <w:vAlign w:val="center"/>
            <w:hideMark/>
          </w:tcPr>
          <w:p w14:paraId="5FCAC3A8" w14:textId="77777777" w:rsidR="003F29D1" w:rsidRPr="006117E0" w:rsidRDefault="003F29D1" w:rsidP="0030222C">
            <w:pPr>
              <w:pStyle w:val="Tablehead"/>
              <w:keepNext w:val="0"/>
              <w:rPr>
                <w:rFonts w:cstheme="minorHAnsi"/>
                <w:color w:val="FFFFFF" w:themeColor="background1"/>
                <w:lang w:val="es-ES" w:eastAsia="en-GB"/>
              </w:rPr>
            </w:pPr>
            <w:r w:rsidRPr="006117E0">
              <w:rPr>
                <w:color w:val="FFFFFF" w:themeColor="background1"/>
                <w:lang w:val="es-ES" w:eastAsia="en-GB"/>
              </w:rPr>
              <w:t xml:space="preserve">% del presupuesto total </w:t>
            </w:r>
          </w:p>
        </w:tc>
      </w:tr>
      <w:tr w:rsidR="003F29D1" w:rsidRPr="006117E0" w14:paraId="452DF4D8" w14:textId="77777777" w:rsidTr="006177B7">
        <w:trPr>
          <w:trHeight w:val="300"/>
        </w:trPr>
        <w:tc>
          <w:tcPr>
            <w:tcW w:w="4673" w:type="dxa"/>
            <w:gridSpan w:val="2"/>
            <w:tcBorders>
              <w:top w:val="single" w:sz="4" w:space="0" w:color="44B3E1"/>
              <w:left w:val="single" w:sz="4" w:space="0" w:color="44B3E1"/>
              <w:bottom w:val="single" w:sz="4" w:space="0" w:color="44B3E1"/>
              <w:right w:val="nil"/>
            </w:tcBorders>
            <w:shd w:val="clear" w:color="C0E6F5" w:fill="C0E6F5"/>
            <w:noWrap/>
            <w:hideMark/>
          </w:tcPr>
          <w:p w14:paraId="0206C5F2" w14:textId="77777777" w:rsidR="003F29D1" w:rsidRPr="006117E0" w:rsidRDefault="003F29D1" w:rsidP="0030222C">
            <w:pPr>
              <w:overflowPunct/>
              <w:autoSpaceDE/>
              <w:autoSpaceDN/>
              <w:adjustRightInd/>
              <w:spacing w:before="0"/>
              <w:textAlignment w:val="auto"/>
              <w:rPr>
                <w:rFonts w:cstheme="minorHAnsi"/>
                <w:b/>
                <w:bCs/>
                <w:color w:val="000000"/>
                <w:sz w:val="20"/>
                <w:lang w:val="es-ES" w:eastAsia="en-GB"/>
              </w:rPr>
            </w:pPr>
            <w:r w:rsidRPr="006117E0">
              <w:rPr>
                <w:rFonts w:cstheme="minorHAnsi"/>
                <w:b/>
                <w:bCs/>
                <w:color w:val="000000"/>
                <w:sz w:val="20"/>
                <w:lang w:val="es-ES" w:eastAsia="en-GB"/>
              </w:rPr>
              <w:t>Entorno político y normativo propicio total</w:t>
            </w:r>
          </w:p>
        </w:tc>
        <w:tc>
          <w:tcPr>
            <w:tcW w:w="2835" w:type="dxa"/>
            <w:tcBorders>
              <w:top w:val="single" w:sz="4" w:space="0" w:color="44B3E1"/>
              <w:left w:val="nil"/>
              <w:bottom w:val="single" w:sz="4" w:space="0" w:color="44B3E1"/>
              <w:right w:val="nil"/>
            </w:tcBorders>
            <w:shd w:val="clear" w:color="C0E6F5" w:fill="C0E6F5"/>
            <w:noWrap/>
            <w:hideMark/>
          </w:tcPr>
          <w:p w14:paraId="58E4902F" w14:textId="77777777" w:rsidR="003F29D1" w:rsidRPr="006117E0" w:rsidRDefault="003F29D1" w:rsidP="0030222C">
            <w:pPr>
              <w:overflowPunct/>
              <w:autoSpaceDE/>
              <w:autoSpaceDN/>
              <w:adjustRightInd/>
              <w:spacing w:before="0"/>
              <w:textAlignment w:val="auto"/>
              <w:rPr>
                <w:rFonts w:cstheme="minorHAnsi"/>
                <w:b/>
                <w:bCs/>
                <w:color w:val="000000"/>
                <w:sz w:val="20"/>
                <w:lang w:val="es-ES" w:eastAsia="en-GB"/>
              </w:rPr>
            </w:pPr>
          </w:p>
        </w:tc>
        <w:tc>
          <w:tcPr>
            <w:tcW w:w="2426" w:type="dxa"/>
            <w:tcBorders>
              <w:top w:val="single" w:sz="4" w:space="0" w:color="44B3E1"/>
              <w:left w:val="nil"/>
              <w:bottom w:val="single" w:sz="4" w:space="0" w:color="44B3E1"/>
              <w:right w:val="nil"/>
            </w:tcBorders>
            <w:shd w:val="clear" w:color="C0E6F5" w:fill="C0E6F5"/>
            <w:noWrap/>
            <w:hideMark/>
          </w:tcPr>
          <w:p w14:paraId="537C340C" w14:textId="77777777" w:rsidR="003F29D1" w:rsidRPr="006117E0" w:rsidRDefault="003F29D1" w:rsidP="0030222C">
            <w:pPr>
              <w:overflowPunct/>
              <w:autoSpaceDE/>
              <w:autoSpaceDN/>
              <w:adjustRightInd/>
              <w:spacing w:before="0"/>
              <w:textAlignment w:val="auto"/>
              <w:rPr>
                <w:rFonts w:cstheme="minorHAnsi"/>
                <w:sz w:val="20"/>
                <w:lang w:val="es-ES" w:eastAsia="en-GB"/>
              </w:rPr>
            </w:pPr>
          </w:p>
        </w:tc>
        <w:tc>
          <w:tcPr>
            <w:tcW w:w="1441" w:type="dxa"/>
            <w:tcBorders>
              <w:top w:val="single" w:sz="4" w:space="0" w:color="44B3E1"/>
              <w:left w:val="nil"/>
              <w:bottom w:val="single" w:sz="4" w:space="0" w:color="44B3E1"/>
              <w:right w:val="nil"/>
            </w:tcBorders>
            <w:shd w:val="clear" w:color="C0E6F5" w:fill="C0E6F5"/>
            <w:noWrap/>
            <w:hideMark/>
          </w:tcPr>
          <w:p w14:paraId="5EE5A133" w14:textId="77777777" w:rsidR="003F29D1" w:rsidRPr="006117E0" w:rsidRDefault="003F29D1" w:rsidP="0030222C">
            <w:pPr>
              <w:overflowPunct/>
              <w:autoSpaceDE/>
              <w:autoSpaceDN/>
              <w:adjustRightInd/>
              <w:spacing w:before="0"/>
              <w:jc w:val="center"/>
              <w:textAlignment w:val="auto"/>
              <w:rPr>
                <w:rFonts w:cstheme="minorHAnsi"/>
                <w:b/>
                <w:bCs/>
                <w:color w:val="000000"/>
                <w:sz w:val="20"/>
                <w:lang w:val="es-ES" w:eastAsia="en-GB"/>
              </w:rPr>
            </w:pPr>
            <w:r w:rsidRPr="006117E0">
              <w:rPr>
                <w:rFonts w:cstheme="minorHAnsi"/>
                <w:b/>
                <w:bCs/>
                <w:color w:val="000000"/>
                <w:sz w:val="20"/>
                <w:lang w:val="es-ES" w:eastAsia="en-GB"/>
              </w:rPr>
              <w:t>725 000</w:t>
            </w:r>
          </w:p>
        </w:tc>
        <w:tc>
          <w:tcPr>
            <w:tcW w:w="1462" w:type="dxa"/>
            <w:tcBorders>
              <w:top w:val="single" w:sz="4" w:space="0" w:color="44B3E1"/>
              <w:left w:val="nil"/>
              <w:bottom w:val="single" w:sz="4" w:space="0" w:color="44B3E1"/>
              <w:right w:val="nil"/>
            </w:tcBorders>
            <w:shd w:val="clear" w:color="C0E6F5" w:fill="C0E6F5"/>
            <w:noWrap/>
            <w:hideMark/>
          </w:tcPr>
          <w:p w14:paraId="2A66107F" w14:textId="77777777" w:rsidR="003F29D1" w:rsidRPr="006117E0" w:rsidRDefault="003F29D1" w:rsidP="0030222C">
            <w:pPr>
              <w:overflowPunct/>
              <w:autoSpaceDE/>
              <w:autoSpaceDN/>
              <w:adjustRightInd/>
              <w:spacing w:before="0"/>
              <w:jc w:val="center"/>
              <w:textAlignment w:val="auto"/>
              <w:rPr>
                <w:rFonts w:cstheme="minorHAnsi"/>
                <w:b/>
                <w:bCs/>
                <w:color w:val="000000"/>
                <w:sz w:val="20"/>
                <w:lang w:val="es-ES" w:eastAsia="en-GB"/>
              </w:rPr>
            </w:pPr>
          </w:p>
        </w:tc>
        <w:tc>
          <w:tcPr>
            <w:tcW w:w="1441" w:type="dxa"/>
            <w:tcBorders>
              <w:top w:val="single" w:sz="4" w:space="0" w:color="44B3E1"/>
              <w:left w:val="nil"/>
              <w:bottom w:val="single" w:sz="4" w:space="0" w:color="44B3E1"/>
              <w:right w:val="single" w:sz="4" w:space="0" w:color="44B3E1"/>
            </w:tcBorders>
            <w:shd w:val="clear" w:color="C0E6F5" w:fill="C0E6F5"/>
            <w:noWrap/>
            <w:hideMark/>
          </w:tcPr>
          <w:p w14:paraId="2893B25A" w14:textId="38175F30" w:rsidR="003F29D1" w:rsidRPr="006117E0" w:rsidRDefault="003F29D1" w:rsidP="0030222C">
            <w:pPr>
              <w:overflowPunct/>
              <w:autoSpaceDE/>
              <w:autoSpaceDN/>
              <w:adjustRightInd/>
              <w:spacing w:before="0"/>
              <w:jc w:val="center"/>
              <w:textAlignment w:val="auto"/>
              <w:rPr>
                <w:rFonts w:cstheme="minorHAnsi"/>
                <w:b/>
                <w:bCs/>
                <w:color w:val="000000"/>
                <w:sz w:val="20"/>
                <w:lang w:val="es-ES" w:eastAsia="en-GB"/>
              </w:rPr>
            </w:pPr>
            <w:r w:rsidRPr="006117E0">
              <w:rPr>
                <w:rFonts w:cstheme="minorHAnsi"/>
                <w:b/>
                <w:bCs/>
                <w:color w:val="000000"/>
                <w:sz w:val="20"/>
                <w:lang w:val="es-ES" w:eastAsia="en-GB"/>
              </w:rPr>
              <w:t>19,01</w:t>
            </w:r>
            <w:r w:rsidR="00EE3C08" w:rsidRPr="006117E0">
              <w:rPr>
                <w:rFonts w:cstheme="minorHAnsi"/>
                <w:b/>
                <w:bCs/>
                <w:color w:val="000000"/>
                <w:sz w:val="20"/>
                <w:lang w:val="es-ES" w:eastAsia="en-GB"/>
              </w:rPr>
              <w:t xml:space="preserve"> </w:t>
            </w:r>
            <w:r w:rsidRPr="006117E0">
              <w:rPr>
                <w:rFonts w:cstheme="minorHAnsi"/>
                <w:b/>
                <w:bCs/>
                <w:color w:val="000000"/>
                <w:sz w:val="20"/>
                <w:lang w:val="es-ES" w:eastAsia="en-GB"/>
              </w:rPr>
              <w:t>%</w:t>
            </w:r>
          </w:p>
        </w:tc>
      </w:tr>
      <w:tr w:rsidR="003F29D1" w:rsidRPr="006117E0" w14:paraId="44B3CDB8" w14:textId="77777777" w:rsidTr="006177B7">
        <w:trPr>
          <w:trHeight w:val="3582"/>
        </w:trPr>
        <w:tc>
          <w:tcPr>
            <w:tcW w:w="1695" w:type="dxa"/>
            <w:tcBorders>
              <w:top w:val="single" w:sz="4" w:space="0" w:color="44B3E1"/>
              <w:left w:val="single" w:sz="4" w:space="0" w:color="44B3E1"/>
              <w:bottom w:val="single" w:sz="4" w:space="0" w:color="44B3E1"/>
              <w:right w:val="nil"/>
            </w:tcBorders>
            <w:noWrap/>
            <w:hideMark/>
          </w:tcPr>
          <w:p w14:paraId="0F16ED9F" w14:textId="77777777" w:rsidR="003F29D1" w:rsidRPr="006117E0" w:rsidRDefault="003F29D1" w:rsidP="0030222C">
            <w:pPr>
              <w:overflowPunct/>
              <w:autoSpaceDE/>
              <w:autoSpaceDN/>
              <w:adjustRightInd/>
              <w:spacing w:before="0"/>
              <w:textAlignment w:val="auto"/>
              <w:rPr>
                <w:rFonts w:cstheme="minorHAnsi"/>
                <w:b/>
                <w:bCs/>
                <w:color w:val="000000"/>
                <w:sz w:val="20"/>
                <w:lang w:val="es-ES" w:eastAsia="en-GB"/>
              </w:rPr>
            </w:pPr>
            <w:r w:rsidRPr="006117E0">
              <w:rPr>
                <w:rFonts w:cstheme="minorHAnsi"/>
                <w:b/>
                <w:bCs/>
                <w:color w:val="000000"/>
                <w:sz w:val="20"/>
                <w:lang w:val="es-ES" w:eastAsia="en-GB"/>
              </w:rPr>
              <w:t>Política y reglamentación</w:t>
            </w:r>
          </w:p>
        </w:tc>
        <w:tc>
          <w:tcPr>
            <w:tcW w:w="2978" w:type="dxa"/>
            <w:tcBorders>
              <w:top w:val="single" w:sz="4" w:space="0" w:color="44B3E1"/>
              <w:left w:val="nil"/>
              <w:bottom w:val="single" w:sz="4" w:space="0" w:color="44B3E1"/>
              <w:right w:val="nil"/>
            </w:tcBorders>
            <w:hideMark/>
          </w:tcPr>
          <w:p w14:paraId="7DA6967E" w14:textId="77777777" w:rsidR="003F29D1" w:rsidRPr="006117E0" w:rsidRDefault="003F29D1" w:rsidP="0030222C">
            <w:pPr>
              <w:overflowPunct/>
              <w:autoSpaceDE/>
              <w:autoSpaceDN/>
              <w:adjustRightInd/>
              <w:spacing w:before="0"/>
              <w:ind w:left="284" w:hanging="284"/>
              <w:textAlignment w:val="auto"/>
              <w:rPr>
                <w:rFonts w:cstheme="minorHAnsi"/>
                <w:color w:val="000000"/>
                <w:sz w:val="20"/>
                <w:lang w:val="es-ES" w:eastAsia="en-GB"/>
              </w:rPr>
            </w:pPr>
            <w:r w:rsidRPr="006117E0">
              <w:rPr>
                <w:rFonts w:cstheme="minorHAnsi"/>
                <w:color w:val="000000"/>
                <w:sz w:val="20"/>
                <w:lang w:val="es-ES" w:eastAsia="en-GB"/>
              </w:rPr>
              <w:t>•</w:t>
            </w:r>
            <w:r w:rsidRPr="006117E0">
              <w:rPr>
                <w:rFonts w:cstheme="minorHAnsi"/>
                <w:color w:val="000000"/>
                <w:sz w:val="20"/>
                <w:lang w:val="es-ES" w:eastAsia="en-GB"/>
              </w:rPr>
              <w:tab/>
              <w:t>Refuerzo de la capacidad de los Estados Miembros para mejorar sus marcos políticos, jurídicos y reglamentarios en materia de telecomunicaciones/TIC, de tal manera que favorezcan el desarrollo sostenible y la transformación digita</w:t>
            </w:r>
          </w:p>
          <w:p w14:paraId="7AE866A4" w14:textId="77777777" w:rsidR="003F29D1" w:rsidRPr="006117E0" w:rsidRDefault="003F29D1" w:rsidP="0030222C">
            <w:pPr>
              <w:overflowPunct/>
              <w:autoSpaceDE/>
              <w:autoSpaceDN/>
              <w:adjustRightInd/>
              <w:spacing w:before="0"/>
              <w:ind w:left="284" w:hanging="284"/>
              <w:textAlignment w:val="auto"/>
              <w:rPr>
                <w:rFonts w:cstheme="minorHAnsi"/>
                <w:color w:val="000000"/>
                <w:sz w:val="20"/>
                <w:lang w:val="es-ES" w:eastAsia="en-GB"/>
              </w:rPr>
            </w:pPr>
            <w:r w:rsidRPr="006117E0">
              <w:rPr>
                <w:rFonts w:cstheme="minorHAnsi"/>
                <w:color w:val="000000"/>
                <w:sz w:val="20"/>
                <w:lang w:val="es-ES" w:eastAsia="en-GB"/>
              </w:rPr>
              <w:t>•</w:t>
            </w:r>
            <w:r w:rsidRPr="006117E0">
              <w:rPr>
                <w:rFonts w:cstheme="minorHAnsi"/>
                <w:color w:val="000000"/>
                <w:sz w:val="20"/>
                <w:lang w:val="es-ES" w:eastAsia="en-GB"/>
              </w:rPr>
              <w:tab/>
              <w:t>Capacidad reforzada de los Estados Miembros para desarrollar y actualizar marcos reglamentarios sobre las telecomunicaciones/TIC espaciales</w:t>
            </w:r>
          </w:p>
        </w:tc>
        <w:tc>
          <w:tcPr>
            <w:tcW w:w="2835" w:type="dxa"/>
            <w:tcBorders>
              <w:top w:val="single" w:sz="4" w:space="0" w:color="44B3E1"/>
              <w:left w:val="nil"/>
              <w:bottom w:val="single" w:sz="4" w:space="0" w:color="44B3E1"/>
              <w:right w:val="nil"/>
            </w:tcBorders>
            <w:hideMark/>
          </w:tcPr>
          <w:p w14:paraId="40B69FFC" w14:textId="77777777" w:rsidR="003F29D1" w:rsidRPr="006117E0" w:rsidRDefault="003F29D1" w:rsidP="0030222C">
            <w:pPr>
              <w:overflowPunct/>
              <w:autoSpaceDE/>
              <w:autoSpaceDN/>
              <w:adjustRightInd/>
              <w:spacing w:before="0"/>
              <w:ind w:left="284" w:hanging="284"/>
              <w:textAlignment w:val="auto"/>
              <w:rPr>
                <w:rFonts w:cstheme="minorHAnsi"/>
                <w:color w:val="000000"/>
                <w:sz w:val="20"/>
                <w:lang w:val="es-ES" w:eastAsia="en-GB"/>
              </w:rPr>
            </w:pPr>
            <w:r w:rsidRPr="006117E0">
              <w:rPr>
                <w:rFonts w:cstheme="minorHAnsi"/>
                <w:color w:val="000000"/>
                <w:sz w:val="20"/>
                <w:lang w:val="es-ES" w:eastAsia="en-GB"/>
              </w:rPr>
              <w:t>•</w:t>
            </w:r>
            <w:r w:rsidRPr="006117E0">
              <w:rPr>
                <w:rFonts w:cstheme="minorHAnsi"/>
                <w:color w:val="000000"/>
                <w:sz w:val="20"/>
                <w:lang w:val="es-ES" w:eastAsia="en-GB"/>
              </w:rPr>
              <w:tab/>
              <w:t>Número de Estados Miembros que avanzan hacia la reglamentación de la próxima generación (G1 a G4) y/o hacia un mayor nivel de preparación para la transformación digital (G5).</w:t>
            </w:r>
          </w:p>
          <w:p w14:paraId="39244A82" w14:textId="77777777" w:rsidR="003F29D1" w:rsidRPr="006117E0" w:rsidRDefault="003F29D1" w:rsidP="0030222C">
            <w:pPr>
              <w:overflowPunct/>
              <w:autoSpaceDE/>
              <w:autoSpaceDN/>
              <w:adjustRightInd/>
              <w:spacing w:before="0"/>
              <w:ind w:left="284" w:hanging="284"/>
              <w:textAlignment w:val="auto"/>
              <w:rPr>
                <w:rFonts w:cstheme="minorHAnsi"/>
                <w:color w:val="000000"/>
                <w:sz w:val="20"/>
                <w:lang w:val="es-ES" w:eastAsia="en-GB"/>
              </w:rPr>
            </w:pPr>
            <w:r w:rsidRPr="006117E0">
              <w:rPr>
                <w:rFonts w:cstheme="minorHAnsi"/>
                <w:color w:val="000000"/>
                <w:sz w:val="20"/>
                <w:lang w:val="es-ES" w:eastAsia="en-GB"/>
              </w:rPr>
              <w:t>•</w:t>
            </w:r>
            <w:r w:rsidRPr="006117E0">
              <w:rPr>
                <w:rFonts w:cstheme="minorHAnsi"/>
                <w:color w:val="000000"/>
                <w:sz w:val="20"/>
                <w:lang w:val="es-ES" w:eastAsia="en-GB"/>
              </w:rPr>
              <w:tab/>
              <w:t>Número de Estados Miembros que han establecido marcos reglamentarios sobre las telecomunicaciones/TIC espaciales</w:t>
            </w:r>
          </w:p>
        </w:tc>
        <w:tc>
          <w:tcPr>
            <w:tcW w:w="2426" w:type="dxa"/>
            <w:tcBorders>
              <w:top w:val="single" w:sz="4" w:space="0" w:color="44B3E1"/>
              <w:left w:val="nil"/>
              <w:bottom w:val="single" w:sz="4" w:space="0" w:color="44B3E1"/>
              <w:right w:val="nil"/>
            </w:tcBorders>
            <w:hideMark/>
          </w:tcPr>
          <w:p w14:paraId="404B2D66" w14:textId="77777777" w:rsidR="003F29D1" w:rsidRPr="006117E0" w:rsidRDefault="003F29D1" w:rsidP="0030222C">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marcos de aprendizaje</w:t>
            </w:r>
          </w:p>
          <w:p w14:paraId="1F198988" w14:textId="77777777" w:rsidR="003F29D1" w:rsidRPr="006117E0" w:rsidRDefault="003F29D1" w:rsidP="0030222C">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Plataformas de reunión</w:t>
            </w:r>
          </w:p>
          <w:p w14:paraId="31BDFA54" w14:textId="77777777" w:rsidR="003F29D1" w:rsidRPr="006117E0" w:rsidRDefault="003F29D1" w:rsidP="0030222C">
            <w:pPr>
              <w:overflowPunct/>
              <w:autoSpaceDE/>
              <w:autoSpaceDN/>
              <w:adjustRightInd/>
              <w:spacing w:before="0"/>
              <w:ind w:left="284" w:hanging="284"/>
              <w:textAlignment w:val="auto"/>
              <w:rPr>
                <w:rFonts w:ascii="Calibri" w:hAnsi="Calibri" w:cs="Calibri"/>
                <w:color w:val="000000"/>
                <w:sz w:val="20"/>
                <w:lang w:val="es-ES" w:eastAsia="en-GB"/>
              </w:rPr>
            </w:pPr>
            <w:r w:rsidRPr="006117E0">
              <w:rPr>
                <w:rFonts w:ascii="Calibri" w:hAnsi="Calibri" w:cs="Calibri"/>
                <w:color w:val="000000"/>
                <w:sz w:val="20"/>
                <w:lang w:val="es-ES" w:eastAsia="en-GB"/>
              </w:rPr>
              <w:t>•</w:t>
            </w:r>
            <w:r w:rsidRPr="006117E0">
              <w:rPr>
                <w:rFonts w:ascii="Calibri" w:hAnsi="Calibri" w:cs="Calibri"/>
                <w:color w:val="000000"/>
                <w:sz w:val="20"/>
                <w:lang w:val="es-ES" w:eastAsia="en-GB"/>
              </w:rPr>
              <w:tab/>
              <w:t>Políticas y estrategias modelo, conjuntos de herramientas</w:t>
            </w:r>
          </w:p>
          <w:p w14:paraId="60392CC6" w14:textId="77777777" w:rsidR="003F29D1" w:rsidRPr="006117E0" w:rsidRDefault="003F29D1" w:rsidP="0030222C">
            <w:pPr>
              <w:overflowPunct/>
              <w:autoSpaceDE/>
              <w:autoSpaceDN/>
              <w:adjustRightInd/>
              <w:spacing w:before="0"/>
              <w:ind w:left="284" w:hanging="284"/>
              <w:textAlignment w:val="auto"/>
              <w:rPr>
                <w:rFonts w:cstheme="minorHAnsi"/>
                <w:color w:val="000000"/>
                <w:sz w:val="20"/>
                <w:lang w:val="es-ES" w:eastAsia="en-GB"/>
              </w:rPr>
            </w:pPr>
            <w:r w:rsidRPr="006117E0">
              <w:rPr>
                <w:rFonts w:cstheme="minorHAnsi"/>
                <w:color w:val="000000"/>
                <w:sz w:val="20"/>
                <w:lang w:val="es-ES" w:eastAsia="en-GB"/>
              </w:rPr>
              <w:t>•</w:t>
            </w:r>
            <w:r w:rsidRPr="006117E0">
              <w:rPr>
                <w:rFonts w:cstheme="minorHAnsi"/>
                <w:color w:val="000000"/>
                <w:sz w:val="20"/>
                <w:lang w:val="es-ES" w:eastAsia="en-GB"/>
              </w:rPr>
              <w:tab/>
              <w:t>Intervenciones técnicas</w:t>
            </w:r>
          </w:p>
        </w:tc>
        <w:tc>
          <w:tcPr>
            <w:tcW w:w="1441" w:type="dxa"/>
            <w:tcBorders>
              <w:top w:val="single" w:sz="4" w:space="0" w:color="44B3E1"/>
              <w:left w:val="nil"/>
              <w:bottom w:val="single" w:sz="4" w:space="0" w:color="44B3E1"/>
              <w:right w:val="nil"/>
            </w:tcBorders>
            <w:noWrap/>
            <w:hideMark/>
          </w:tcPr>
          <w:p w14:paraId="0C7793FB" w14:textId="77777777"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370 000</w:t>
            </w:r>
          </w:p>
        </w:tc>
        <w:tc>
          <w:tcPr>
            <w:tcW w:w="1462" w:type="dxa"/>
            <w:tcBorders>
              <w:top w:val="single" w:sz="4" w:space="0" w:color="44B3E1"/>
              <w:left w:val="nil"/>
              <w:bottom w:val="single" w:sz="4" w:space="0" w:color="44B3E1"/>
              <w:right w:val="nil"/>
            </w:tcBorders>
            <w:noWrap/>
            <w:hideMark/>
          </w:tcPr>
          <w:p w14:paraId="6274B4CF" w14:textId="7CB147AB"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51,0</w:t>
            </w:r>
            <w:r w:rsidR="00EE3C08" w:rsidRPr="006117E0">
              <w:rPr>
                <w:rFonts w:cstheme="minorHAnsi"/>
                <w:color w:val="000000"/>
                <w:sz w:val="20"/>
                <w:lang w:val="es-ES" w:eastAsia="en-GB"/>
              </w:rPr>
              <w:t xml:space="preserve"> </w:t>
            </w:r>
            <w:r w:rsidRPr="006117E0">
              <w:rPr>
                <w:rFonts w:cstheme="minorHAnsi"/>
                <w:color w:val="000000"/>
                <w:sz w:val="20"/>
                <w:lang w:val="es-ES" w:eastAsia="en-GB"/>
              </w:rPr>
              <w:t>%</w:t>
            </w:r>
          </w:p>
        </w:tc>
        <w:tc>
          <w:tcPr>
            <w:tcW w:w="1441" w:type="dxa"/>
            <w:tcBorders>
              <w:top w:val="single" w:sz="4" w:space="0" w:color="44B3E1"/>
              <w:left w:val="nil"/>
              <w:bottom w:val="single" w:sz="4" w:space="0" w:color="44B3E1"/>
              <w:right w:val="single" w:sz="4" w:space="0" w:color="44B3E1"/>
            </w:tcBorders>
            <w:noWrap/>
            <w:hideMark/>
          </w:tcPr>
          <w:p w14:paraId="324964FB" w14:textId="73AB75D9"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9,7</w:t>
            </w:r>
            <w:r w:rsidR="00EE3C08" w:rsidRPr="006117E0">
              <w:rPr>
                <w:rFonts w:cstheme="minorHAnsi"/>
                <w:color w:val="000000"/>
                <w:sz w:val="20"/>
                <w:lang w:val="es-ES" w:eastAsia="en-GB"/>
              </w:rPr>
              <w:t xml:space="preserve"> </w:t>
            </w:r>
            <w:r w:rsidRPr="006117E0">
              <w:rPr>
                <w:rFonts w:cstheme="minorHAnsi"/>
                <w:color w:val="000000"/>
                <w:sz w:val="20"/>
                <w:lang w:val="es-ES" w:eastAsia="en-GB"/>
              </w:rPr>
              <w:t>%</w:t>
            </w:r>
          </w:p>
        </w:tc>
      </w:tr>
      <w:tr w:rsidR="003F29D1" w:rsidRPr="006117E0" w14:paraId="63392680" w14:textId="77777777" w:rsidTr="001466A4">
        <w:trPr>
          <w:trHeight w:val="4019"/>
        </w:trPr>
        <w:tc>
          <w:tcPr>
            <w:tcW w:w="1695" w:type="dxa"/>
            <w:tcBorders>
              <w:top w:val="single" w:sz="4" w:space="0" w:color="44B3E1"/>
              <w:left w:val="single" w:sz="4" w:space="0" w:color="44B3E1"/>
              <w:bottom w:val="single" w:sz="4" w:space="0" w:color="44B3E1"/>
              <w:right w:val="nil"/>
            </w:tcBorders>
            <w:shd w:val="clear" w:color="C0E6F5" w:fill="C0E6F5"/>
            <w:noWrap/>
            <w:hideMark/>
          </w:tcPr>
          <w:p w14:paraId="40E7F232" w14:textId="77777777" w:rsidR="003F29D1" w:rsidRPr="006117E0" w:rsidRDefault="003F29D1" w:rsidP="0030222C">
            <w:pPr>
              <w:overflowPunct/>
              <w:autoSpaceDE/>
              <w:autoSpaceDN/>
              <w:adjustRightInd/>
              <w:spacing w:before="0"/>
              <w:textAlignment w:val="auto"/>
              <w:rPr>
                <w:rFonts w:cstheme="minorHAnsi"/>
                <w:b/>
                <w:bCs/>
                <w:color w:val="000000"/>
                <w:sz w:val="20"/>
                <w:lang w:val="es-ES" w:eastAsia="en-GB"/>
              </w:rPr>
            </w:pPr>
            <w:r w:rsidRPr="006117E0">
              <w:rPr>
                <w:rFonts w:cstheme="minorHAnsi"/>
                <w:b/>
                <w:bCs/>
                <w:color w:val="000000"/>
                <w:sz w:val="20"/>
                <w:lang w:val="es-ES" w:eastAsia="en-GB"/>
              </w:rPr>
              <w:lastRenderedPageBreak/>
              <w:t>Presentación de datos y estadísticas</w:t>
            </w:r>
          </w:p>
        </w:tc>
        <w:tc>
          <w:tcPr>
            <w:tcW w:w="2978" w:type="dxa"/>
            <w:tcBorders>
              <w:top w:val="single" w:sz="4" w:space="0" w:color="44B3E1"/>
              <w:left w:val="nil"/>
              <w:bottom w:val="single" w:sz="4" w:space="0" w:color="44B3E1"/>
              <w:right w:val="nil"/>
            </w:tcBorders>
            <w:shd w:val="clear" w:color="C0E6F5" w:fill="C0E6F5"/>
            <w:hideMark/>
          </w:tcPr>
          <w:p w14:paraId="1D4346A7"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Refuerzo de la capacidad de los Estados Miembros para producir y recopilar estadísticas que sean de alta calidad, puedan compararse a nivel internacional y reflejen la evolución y las tendencias de las telecomunicaciones/TIC, con ayuda de las tecnologías y los servicios nuevos e incipientes, conforme a las normas y metodologías acordadas</w:t>
            </w:r>
          </w:p>
        </w:tc>
        <w:tc>
          <w:tcPr>
            <w:tcW w:w="2835" w:type="dxa"/>
            <w:tcBorders>
              <w:top w:val="single" w:sz="4" w:space="0" w:color="44B3E1"/>
              <w:left w:val="nil"/>
              <w:bottom w:val="single" w:sz="4" w:space="0" w:color="44B3E1"/>
              <w:right w:val="nil"/>
            </w:tcBorders>
            <w:shd w:val="clear" w:color="C0E6F5" w:fill="C0E6F5"/>
            <w:hideMark/>
          </w:tcPr>
          <w:p w14:paraId="38FA2A05"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Porcentaje de Estados Miembros que presentaron datos válidos y cuya antigüedad no superaba los dos años para al menos el 80 % de los indicadores esenciales del cuestionario sobre indicadores de las telecomunicaciones mundiales de la UIT</w:t>
            </w:r>
          </w:p>
          <w:p w14:paraId="702AC1E1"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Porcentaje de Estados Miembros que presentaron datos válidos y cuya antigüedad no superaba los tres años para al menos el 80 % de los indicadores del cuestionario sobre indicadores relativos a los hogares de la UIT</w:t>
            </w:r>
          </w:p>
          <w:p w14:paraId="335CBA31"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Porcentaje de Estados Miembros que presentaron datos válidos desglosados por género de hace no más de tres años para el indicador "Proporción de personas que utilizan Internet"</w:t>
            </w:r>
          </w:p>
          <w:p w14:paraId="075FC18C"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Porcentaje de Estados Miembros que presentaron datos válidos desglosados por ubicación de hace no más de tres años para el indicador "Proporción de personas que utilizan Internet"</w:t>
            </w:r>
          </w:p>
          <w:p w14:paraId="7F90BFDE" w14:textId="77777777" w:rsidR="003F29D1" w:rsidRPr="006117E0" w:rsidRDefault="003F29D1" w:rsidP="0030222C">
            <w:pPr>
              <w:pStyle w:val="Tabletext"/>
              <w:ind w:left="284" w:hanging="284"/>
              <w:rPr>
                <w:lang w:val="es-ES" w:eastAsia="en-GB"/>
              </w:rPr>
            </w:pPr>
            <w:r w:rsidRPr="006117E0">
              <w:rPr>
                <w:lang w:val="es-ES" w:eastAsia="en-GB"/>
              </w:rPr>
              <w:lastRenderedPageBreak/>
              <w:t>•</w:t>
            </w:r>
            <w:r w:rsidRPr="006117E0">
              <w:rPr>
                <w:lang w:val="es-ES" w:eastAsia="en-GB"/>
              </w:rPr>
              <w:tab/>
              <w:t>Porcentaje de Estados Miembros que presentaron datos válidos y cuya antigüedad no superaba los tres años para al menos cinco de las competencias en TIC enumeradas en el cuestionario sobre indicadores relativos a los hogares de la UIT</w:t>
            </w:r>
          </w:p>
        </w:tc>
        <w:tc>
          <w:tcPr>
            <w:tcW w:w="2426" w:type="dxa"/>
            <w:tcBorders>
              <w:top w:val="single" w:sz="4" w:space="0" w:color="44B3E1"/>
              <w:left w:val="nil"/>
              <w:bottom w:val="single" w:sz="4" w:space="0" w:color="44B3E1"/>
              <w:right w:val="nil"/>
            </w:tcBorders>
            <w:shd w:val="clear" w:color="C0E6F5" w:fill="C0E6F5"/>
            <w:hideMark/>
          </w:tcPr>
          <w:p w14:paraId="6F1DA7B3" w14:textId="2A6349F0" w:rsidR="003F29D1" w:rsidRPr="006117E0" w:rsidRDefault="003F29D1" w:rsidP="0030222C">
            <w:pPr>
              <w:pStyle w:val="Tabletext"/>
              <w:ind w:left="284" w:hanging="284"/>
              <w:rPr>
                <w:lang w:val="es-ES" w:eastAsia="en-GB"/>
              </w:rPr>
            </w:pPr>
            <w:r w:rsidRPr="006117E0">
              <w:rPr>
                <w:lang w:val="es-ES" w:eastAsia="en-GB"/>
              </w:rPr>
              <w:lastRenderedPageBreak/>
              <w:t>•</w:t>
            </w:r>
            <w:r w:rsidRPr="006117E0">
              <w:rPr>
                <w:lang w:val="es-ES" w:eastAsia="en-GB"/>
              </w:rPr>
              <w:tab/>
            </w:r>
            <w:r w:rsidR="00955F13" w:rsidRPr="006117E0">
              <w:rPr>
                <w:lang w:val="es-ES" w:eastAsia="en-GB"/>
              </w:rPr>
              <w:t>M</w:t>
            </w:r>
            <w:r w:rsidRPr="006117E0">
              <w:rPr>
                <w:lang w:val="es-ES" w:eastAsia="en-GB"/>
              </w:rPr>
              <w:t>arcos de aprendizaje</w:t>
            </w:r>
          </w:p>
          <w:p w14:paraId="5FB76833"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Plataformas de reunión</w:t>
            </w:r>
          </w:p>
          <w:p w14:paraId="1A255534" w14:textId="77777777" w:rsidR="003F29D1" w:rsidRPr="006117E0" w:rsidRDefault="003F29D1" w:rsidP="0030222C">
            <w:pPr>
              <w:pStyle w:val="Tabletext"/>
              <w:ind w:left="284" w:hanging="284"/>
              <w:rPr>
                <w:lang w:val="es-ES" w:eastAsia="en-GB"/>
              </w:rPr>
            </w:pPr>
            <w:r w:rsidRPr="006117E0">
              <w:rPr>
                <w:lang w:val="es-ES" w:eastAsia="en-GB"/>
              </w:rPr>
              <w:t>•</w:t>
            </w:r>
            <w:r w:rsidRPr="006117E0">
              <w:rPr>
                <w:lang w:val="es-ES" w:eastAsia="en-GB"/>
              </w:rPr>
              <w:tab/>
              <w:t xml:space="preserve">Estadísticas </w:t>
            </w:r>
          </w:p>
        </w:tc>
        <w:tc>
          <w:tcPr>
            <w:tcW w:w="1441" w:type="dxa"/>
            <w:tcBorders>
              <w:top w:val="single" w:sz="4" w:space="0" w:color="44B3E1"/>
              <w:left w:val="nil"/>
              <w:bottom w:val="single" w:sz="4" w:space="0" w:color="44B3E1"/>
              <w:right w:val="nil"/>
            </w:tcBorders>
            <w:shd w:val="clear" w:color="C0E6F5" w:fill="C0E6F5"/>
            <w:noWrap/>
            <w:hideMark/>
          </w:tcPr>
          <w:p w14:paraId="25427C37" w14:textId="77777777"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355 000</w:t>
            </w:r>
          </w:p>
        </w:tc>
        <w:tc>
          <w:tcPr>
            <w:tcW w:w="1462" w:type="dxa"/>
            <w:tcBorders>
              <w:top w:val="single" w:sz="4" w:space="0" w:color="44B3E1"/>
              <w:left w:val="nil"/>
              <w:bottom w:val="single" w:sz="4" w:space="0" w:color="44B3E1"/>
              <w:right w:val="nil"/>
            </w:tcBorders>
            <w:shd w:val="clear" w:color="C0E6F5" w:fill="C0E6F5"/>
            <w:noWrap/>
            <w:hideMark/>
          </w:tcPr>
          <w:p w14:paraId="02A41909" w14:textId="13D4F5A1"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49,0</w:t>
            </w:r>
            <w:r w:rsidR="00EE3C08" w:rsidRPr="006117E0">
              <w:rPr>
                <w:rFonts w:cstheme="minorHAnsi"/>
                <w:color w:val="000000"/>
                <w:sz w:val="20"/>
                <w:lang w:val="es-ES" w:eastAsia="en-GB"/>
              </w:rPr>
              <w:t xml:space="preserve"> </w:t>
            </w:r>
            <w:r w:rsidRPr="006117E0">
              <w:rPr>
                <w:rFonts w:cstheme="minorHAnsi"/>
                <w:color w:val="000000"/>
                <w:sz w:val="20"/>
                <w:lang w:val="es-ES" w:eastAsia="en-GB"/>
              </w:rPr>
              <w:t>%</w:t>
            </w:r>
          </w:p>
        </w:tc>
        <w:tc>
          <w:tcPr>
            <w:tcW w:w="1441" w:type="dxa"/>
            <w:tcBorders>
              <w:top w:val="single" w:sz="4" w:space="0" w:color="44B3E1"/>
              <w:left w:val="nil"/>
              <w:bottom w:val="single" w:sz="4" w:space="0" w:color="44B3E1"/>
              <w:right w:val="single" w:sz="4" w:space="0" w:color="44B3E1"/>
            </w:tcBorders>
            <w:shd w:val="clear" w:color="C0E6F5" w:fill="C0E6F5"/>
            <w:noWrap/>
            <w:hideMark/>
          </w:tcPr>
          <w:p w14:paraId="6C611395" w14:textId="6BDFD543" w:rsidR="003F29D1" w:rsidRPr="006117E0" w:rsidRDefault="003F29D1" w:rsidP="0030222C">
            <w:pPr>
              <w:overflowPunct/>
              <w:autoSpaceDE/>
              <w:autoSpaceDN/>
              <w:adjustRightInd/>
              <w:spacing w:before="0"/>
              <w:jc w:val="center"/>
              <w:textAlignment w:val="auto"/>
              <w:rPr>
                <w:rFonts w:cstheme="minorHAnsi"/>
                <w:color w:val="000000"/>
                <w:sz w:val="20"/>
                <w:lang w:val="es-ES" w:eastAsia="en-GB"/>
              </w:rPr>
            </w:pPr>
            <w:r w:rsidRPr="006117E0">
              <w:rPr>
                <w:rFonts w:cstheme="minorHAnsi"/>
                <w:color w:val="000000"/>
                <w:sz w:val="20"/>
                <w:lang w:val="es-ES" w:eastAsia="en-GB"/>
              </w:rPr>
              <w:t>9,3</w:t>
            </w:r>
            <w:r w:rsidR="00EE3C08" w:rsidRPr="006117E0">
              <w:rPr>
                <w:rFonts w:cstheme="minorHAnsi"/>
                <w:color w:val="000000"/>
                <w:sz w:val="20"/>
                <w:lang w:val="es-ES" w:eastAsia="en-GB"/>
              </w:rPr>
              <w:t xml:space="preserve"> </w:t>
            </w:r>
            <w:r w:rsidRPr="006117E0">
              <w:rPr>
                <w:rFonts w:cstheme="minorHAnsi"/>
                <w:color w:val="000000"/>
                <w:sz w:val="20"/>
                <w:lang w:val="es-ES" w:eastAsia="en-GB"/>
              </w:rPr>
              <w:t>%</w:t>
            </w:r>
          </w:p>
        </w:tc>
      </w:tr>
    </w:tbl>
    <w:p w14:paraId="15A52078" w14:textId="77777777" w:rsidR="003F29D1" w:rsidRPr="006117E0" w:rsidRDefault="003F29D1" w:rsidP="003F29D1">
      <w:pPr>
        <w:pStyle w:val="Heading1"/>
        <w:rPr>
          <w:lang w:val="es-ES"/>
        </w:rPr>
        <w:sectPr w:rsidR="003F29D1" w:rsidRPr="006117E0" w:rsidSect="0050133B">
          <w:headerReference w:type="default" r:id="rId25"/>
          <w:footerReference w:type="default" r:id="rId26"/>
          <w:headerReference w:type="first" r:id="rId27"/>
          <w:footerReference w:type="first" r:id="rId28"/>
          <w:pgSz w:w="16840" w:h="11907" w:orient="landscape" w:code="9"/>
          <w:pgMar w:top="1134" w:right="1418" w:bottom="1134" w:left="1134" w:header="720" w:footer="720" w:gutter="0"/>
          <w:cols w:space="720"/>
          <w:titlePg/>
          <w:docGrid w:linePitch="326"/>
        </w:sectPr>
      </w:pPr>
    </w:p>
    <w:p w14:paraId="4816BE78" w14:textId="77777777" w:rsidR="00994606" w:rsidRPr="006117E0" w:rsidRDefault="00994606" w:rsidP="00994606">
      <w:pPr>
        <w:pStyle w:val="Headingi"/>
        <w:rPr>
          <w:b/>
          <w:bCs/>
          <w:lang w:val="es-ES"/>
        </w:rPr>
      </w:pPr>
      <w:r w:rsidRPr="006117E0">
        <w:rPr>
          <w:b/>
          <w:bCs/>
          <w:lang w:val="es-ES"/>
        </w:rPr>
        <w:lastRenderedPageBreak/>
        <w:t>Hitos de la aplicación en 2026: Prioridad 3 del UIT-D – Entorno político y normativo propicio</w:t>
      </w:r>
    </w:p>
    <w:p w14:paraId="2B95D537" w14:textId="77777777" w:rsidR="00994606" w:rsidRPr="006117E0" w:rsidRDefault="00994606" w:rsidP="00994606">
      <w:pPr>
        <w:pStyle w:val="Headingb"/>
        <w:rPr>
          <w:lang w:val="es-ES"/>
        </w:rPr>
      </w:pPr>
      <w:r w:rsidRPr="006117E0">
        <w:rPr>
          <w:lang w:val="es-ES"/>
        </w:rPr>
        <w:t>Política y reglamentación</w:t>
      </w:r>
    </w:p>
    <w:p w14:paraId="2E216DBB" w14:textId="59A0896F" w:rsidR="00994606" w:rsidRPr="006117E0" w:rsidRDefault="00994606" w:rsidP="00994606">
      <w:pPr>
        <w:rPr>
          <w:lang w:val="es-ES"/>
        </w:rPr>
      </w:pPr>
      <w:r w:rsidRPr="006117E0">
        <w:rPr>
          <w:lang w:val="es-ES"/>
        </w:rPr>
        <w:t xml:space="preserve">La </w:t>
      </w:r>
      <w:hyperlink r:id="rId29" w:anchor="/es" w:history="1">
        <w:r w:rsidRPr="006117E0">
          <w:rPr>
            <w:rStyle w:val="Hyperlink"/>
            <w:lang w:val="es-ES"/>
          </w:rPr>
          <w:t>24ª edición del Simposio Mundial para Organismos Reguladores (GSR-26)</w:t>
        </w:r>
      </w:hyperlink>
      <w:r w:rsidRPr="006117E0">
        <w:rPr>
          <w:lang w:val="es-ES"/>
        </w:rPr>
        <w:t xml:space="preserve"> se celebrará del 12 al 15 de mayo de 2026 en la sede de la Autoridad de Tecnologías de la Información y la Comunicación (BTK) en Ankara (Türkiye) y estará presidido por el Sr. Ómer Abdullah Karagözoğlu, Presidente de la Autoridad de Tecnologías de la Información y la Comunicación (BTK). El tema del evento de este año es </w:t>
      </w:r>
      <w:r w:rsidRPr="006117E0">
        <w:rPr>
          <w:i/>
          <w:iCs/>
          <w:lang w:val="es-ES"/>
        </w:rPr>
        <w:t>Navegando por la frontera digital</w:t>
      </w:r>
      <w:r w:rsidRPr="006117E0">
        <w:rPr>
          <w:lang w:val="es-ES"/>
        </w:rPr>
        <w:t xml:space="preserve">. De cara a este emblemático evento, se llevaron a cabo las consultas del GSR-26 sobre </w:t>
      </w:r>
      <w:r w:rsidRPr="006117E0">
        <w:rPr>
          <w:i/>
          <w:iCs/>
          <w:lang w:val="es-ES"/>
        </w:rPr>
        <w:t xml:space="preserve">Fundamentos de la gobernanza reglamentaria: ¿qué nuevos elementos básicos necesitan los reguladores para que los mercados digitales materialicen su potencial? </w:t>
      </w:r>
      <w:r w:rsidRPr="006117E0">
        <w:rPr>
          <w:lang w:val="es-ES"/>
        </w:rPr>
        <w:t xml:space="preserve">Las contribuciones de los reguladores, las asociaciones de reglamentación y el sector privado alimentarán las Directrices de prácticas idóneas del GSR-26 que se adoptarán en la Mesa redonda de Jefes Ejecutivos de Autoridades de Reglamentación el 13 de mayo. Antes del GSR-26 se celebrarán otros eventos especiales, incluido el taller sobre medición de los avances hacia la conectividad universal y significativa: retos y buenas prácticas de estadísticas de TIC, la clase magistral ejecutiva </w:t>
      </w:r>
      <w:r w:rsidRPr="006117E0">
        <w:rPr>
          <w:i/>
          <w:iCs/>
          <w:lang w:val="es-ES"/>
        </w:rPr>
        <w:t>Beyond connectivity:Modelling the Socio-Economic Future with the ITU Global Economic Model Study (GEMS) an the Connectivity Planning Platform (CPP)</w:t>
      </w:r>
      <w:r w:rsidRPr="006117E0">
        <w:rPr>
          <w:lang w:val="es-ES"/>
        </w:rPr>
        <w:t>, la reunión de las Asociaciones Regionales de Reglamentación (AR)/Red de Reglamentación Digital (DRN) y del Grupo Asesor de la Industria sobre Cuestiones de Desarrollo y los Directores de Reglamentación del Sector Privado (IAGDI-CRO).</w:t>
      </w:r>
    </w:p>
    <w:p w14:paraId="537B751A" w14:textId="51ACB354" w:rsidR="00994606" w:rsidRPr="006117E0" w:rsidRDefault="00994606" w:rsidP="00994606">
      <w:pPr>
        <w:rPr>
          <w:lang w:val="es-ES"/>
        </w:rPr>
      </w:pPr>
      <w:r w:rsidRPr="006117E0">
        <w:rPr>
          <w:lang w:val="es-ES"/>
        </w:rPr>
        <w:t xml:space="preserve">Se presentó un examen nacional de la reglamentación digital colaborativa de Omán, como parte de la serie de </w:t>
      </w:r>
      <w:hyperlink r:id="rId30" w:history="1">
        <w:r w:rsidRPr="006117E0">
          <w:rPr>
            <w:rStyle w:val="Hyperlink"/>
            <w:lang w:val="es-ES"/>
          </w:rPr>
          <w:t>exámenes nacionales de los países sobre la reglamentación digital colaborativa</w:t>
        </w:r>
      </w:hyperlink>
      <w:r w:rsidRPr="006117E0">
        <w:rPr>
          <w:lang w:val="es-ES"/>
        </w:rPr>
        <w:t xml:space="preserve"> que proporciona evaluaciones específicas de los marcos, las políticas y las prácticas de reglamentación y gobernanza en los sectores digital y de las TIC. El examen de Omán se realizó en colaboración con las autoridades gubernamentales, las partes interesadas nacionales y expertos reconocidos, apoyándose en herramientas con base empírica y en marcos de referencia normativos de la UIT. Este informe estratégico ofrece un análisis en profundidad del panorama normativo nacional y ofrece recomendaciones empíricas para avanzar en la transformación digital intersectorial.</w:t>
      </w:r>
    </w:p>
    <w:p w14:paraId="42483BF0" w14:textId="77777777" w:rsidR="00994606" w:rsidRPr="006117E0" w:rsidRDefault="00994606" w:rsidP="00994606">
      <w:pPr>
        <w:rPr>
          <w:lang w:val="es-ES"/>
        </w:rPr>
      </w:pPr>
      <w:r w:rsidRPr="006117E0">
        <w:rPr>
          <w:lang w:val="es-ES"/>
        </w:rPr>
        <w:t>Paralelamente, en febrero se impartió en Senegal una formación sobre reglamentación de satélites. Sobre esta base, está previsto que las próximas reuniones se celebren en Yakarta (Indonesia), del 18 al 21 de mayo de 2026, y en Addis Abeba (Etiopía), del 29 de junio al 2 de julio de 2026.</w:t>
      </w:r>
    </w:p>
    <w:p w14:paraId="683049B1" w14:textId="77777777" w:rsidR="00994606" w:rsidRPr="006117E0" w:rsidRDefault="00994606" w:rsidP="00994606">
      <w:pPr>
        <w:rPr>
          <w:lang w:val="es-ES"/>
        </w:rPr>
      </w:pPr>
      <w:r w:rsidRPr="006117E0">
        <w:rPr>
          <w:lang w:val="es-ES"/>
        </w:rPr>
        <w:t>Al mismo tiempo, en febrero se publicó la Encuesta bienal de la UIT sobre reglamentación mundial de las telecomunicaciones/TIC y las tecnologías digitales 2026. El cuestionario se actualizó para reflejar los nuevos retos, en particular los relacionados con la IA, la economía espacial y la innovación reglamentaria y el espacio aislado. La nueva plataforma de recopilación de datos en línea está disponible en inglés y las versiones fuera de línea del cuestionario están disponibles en los seis idiomas oficiales de la UIT, previa solicitud.</w:t>
      </w:r>
    </w:p>
    <w:p w14:paraId="1F87ED89" w14:textId="7561EE37" w:rsidR="00994606" w:rsidRPr="006117E0" w:rsidRDefault="00994606" w:rsidP="00994606">
      <w:pPr>
        <w:rPr>
          <w:lang w:val="es-ES"/>
        </w:rPr>
      </w:pPr>
      <w:r w:rsidRPr="006117E0">
        <w:rPr>
          <w:lang w:val="es-ES"/>
        </w:rPr>
        <w:t xml:space="preserve">Para reforzar aún más las herramientas reglamentarias de la UIT, se añadió a la plataforma G5 Accelerator el </w:t>
      </w:r>
      <w:hyperlink r:id="rId31" w:history="1">
        <w:r w:rsidRPr="006117E0">
          <w:rPr>
            <w:rStyle w:val="Hyperlink"/>
            <w:lang w:val="es-ES"/>
          </w:rPr>
          <w:t>Marco de preparación digital</w:t>
        </w:r>
      </w:hyperlink>
      <w:r w:rsidRPr="006117E0">
        <w:rPr>
          <w:lang w:val="es-ES"/>
        </w:rPr>
        <w:t>, originalmente presentado como Marco unificado. Esta herramienta de referencia comparativa permite a los reguladores y responsables políticos evaluar el nivel de preparación de los marcos jurídicos, políticos y de gobernanza nacionales para la transformación digital. El espacio en línea incluye los perfiles, los análisis interactivos y los mapas de los países.</w:t>
      </w:r>
    </w:p>
    <w:p w14:paraId="3CB05944" w14:textId="075D3367" w:rsidR="00994606" w:rsidRPr="006117E0" w:rsidRDefault="00994606" w:rsidP="00994606">
      <w:pPr>
        <w:rPr>
          <w:lang w:val="es-ES"/>
        </w:rPr>
      </w:pPr>
      <w:r w:rsidRPr="006117E0">
        <w:rPr>
          <w:lang w:val="es-ES"/>
        </w:rPr>
        <w:t>La Red de Reglamentación Digital (DRN) celebró su reunión de primavera en febrero. La Junta proporcionó orientación sobre el tema de las Directrices de prácticas óptimas del GSR</w:t>
      </w:r>
      <w:r w:rsidR="003D7913">
        <w:rPr>
          <w:lang w:val="es-ES"/>
        </w:rPr>
        <w:t>-</w:t>
      </w:r>
      <w:r w:rsidRPr="006117E0">
        <w:rPr>
          <w:lang w:val="es-ES"/>
        </w:rPr>
        <w:t xml:space="preserve">26 y el </w:t>
      </w:r>
      <w:r w:rsidRPr="006117E0">
        <w:rPr>
          <w:lang w:val="es-ES"/>
        </w:rPr>
        <w:lastRenderedPageBreak/>
        <w:t>despliegue de nuevas herramientas reglamentarias como el Estudio del Modelo Económico Mundial (GEMS) de la UIT, que se pondrá en marcha a finales de 2026.</w:t>
      </w:r>
    </w:p>
    <w:p w14:paraId="545D5DE5" w14:textId="77777777" w:rsidR="00994606" w:rsidRPr="006117E0" w:rsidRDefault="00994606" w:rsidP="00994606">
      <w:pPr>
        <w:rPr>
          <w:lang w:val="es-ES"/>
        </w:rPr>
      </w:pPr>
      <w:r w:rsidRPr="006117E0">
        <w:rPr>
          <w:b/>
          <w:bCs/>
          <w:lang w:val="es-ES"/>
        </w:rPr>
        <w:t xml:space="preserve">En África, </w:t>
      </w:r>
      <w:r w:rsidRPr="006117E0">
        <w:rPr>
          <w:lang w:val="es-ES"/>
        </w:rPr>
        <w:t>la BDT ayudó al Gobierno de Mozambique a diseñar, iniciar y ejecutar consultas a escala nacional y colaboró en el proceso de redacción de la Estrategia Nacional de Transformación Digital. Tras el lanzamiento nacional el 12 de febrero, la BDT prestó asistencia a las consultas regionales en las provincias de Zambézia, Cabo Delgado y Maputo, así como a las consultas nacionales, las sesiones de redacción y capacitación, y la organización de actividades conexas, contribuyendo a garantizar que la estrategia creada conjuntamente sea inclusiva, se base en pruebas y esté en consonancia con las prácticas idóneas internacionales. Este trabajo se llevó a cabo a través de la campaña Sentando las bases del proyecto VaMoz Digital!</w:t>
      </w:r>
    </w:p>
    <w:p w14:paraId="1CE7EC04" w14:textId="77777777" w:rsidR="00994606" w:rsidRPr="006117E0" w:rsidRDefault="00994606" w:rsidP="00994606">
      <w:pPr>
        <w:rPr>
          <w:b/>
          <w:bCs/>
          <w:lang w:val="es-ES"/>
        </w:rPr>
      </w:pPr>
      <w:r w:rsidRPr="006117E0">
        <w:rPr>
          <w:b/>
          <w:bCs/>
          <w:lang w:val="es-ES"/>
        </w:rPr>
        <w:t xml:space="preserve">En las Américas, </w:t>
      </w:r>
      <w:r w:rsidRPr="006117E0">
        <w:rPr>
          <w:lang w:val="es-ES"/>
        </w:rPr>
        <w:t>se avanzó en el proyecto de asistencia técnica sobre la implementación de innovaciones en materia de reglamentación. Se impartieron tres cursos nacionales de capacitación en innovación reglamentaria en Belice, El Salvador y Panamá.</w:t>
      </w:r>
    </w:p>
    <w:p w14:paraId="0856166B" w14:textId="77777777" w:rsidR="00994606" w:rsidRPr="006117E0" w:rsidRDefault="00994606" w:rsidP="00994606">
      <w:pPr>
        <w:rPr>
          <w:b/>
          <w:bCs/>
          <w:lang w:val="es-ES"/>
        </w:rPr>
      </w:pPr>
      <w:r w:rsidRPr="006117E0">
        <w:rPr>
          <w:b/>
          <w:bCs/>
          <w:lang w:val="es-ES"/>
        </w:rPr>
        <w:t xml:space="preserve">En la CEI, </w:t>
      </w:r>
      <w:r w:rsidRPr="006117E0">
        <w:rPr>
          <w:lang w:val="es-ES"/>
        </w:rPr>
        <w:t>la BDT organizó un taller sobre reglamentación de las TIC en Armenia. El evento reunió a reguladores nacionales, expertos de la industria y partes interesadas internacionales para intensificar el diálogo sobre los principales desafíos reglamentarios, incluida la valoración del espectro, la compartición de infraestructuras y la transición de las redes móviles heredadas. El taller mejoró las capacidades de los participantes mediante el intercambio de conocimientos sobre enfoques reglamentarios modernos y prácticas idóneas internacionales, apoyando la toma de decisiones basada en pruebas y habilitando marcos reglamentarios de las TIC más eficientes y preparados para el futuro.</w:t>
      </w:r>
    </w:p>
    <w:p w14:paraId="69A6CCDA" w14:textId="77777777" w:rsidR="00994606" w:rsidRPr="006117E0" w:rsidRDefault="00994606" w:rsidP="00994606">
      <w:pPr>
        <w:pStyle w:val="Headingb"/>
        <w:rPr>
          <w:lang w:val="es-ES" w:eastAsia="en-GB"/>
        </w:rPr>
      </w:pPr>
      <w:r w:rsidRPr="006117E0">
        <w:rPr>
          <w:lang w:val="es-ES" w:eastAsia="en-GB"/>
        </w:rPr>
        <w:t>Presentación de datos y estadísticas</w:t>
      </w:r>
    </w:p>
    <w:p w14:paraId="3F0DBA10" w14:textId="3BB00049" w:rsidR="00994606" w:rsidRPr="006117E0" w:rsidRDefault="00994606" w:rsidP="00994606">
      <w:pPr>
        <w:rPr>
          <w:lang w:val="es-ES" w:eastAsia="en-GB"/>
        </w:rPr>
      </w:pPr>
      <w:r w:rsidRPr="006117E0">
        <w:rPr>
          <w:lang w:val="es-ES" w:eastAsia="en-GB"/>
        </w:rPr>
        <w:t xml:space="preserve">La BDT organizó un evento paralelo en el 57º periodo de sesiones de la Comisión de Estadística de las Naciones Unidas sobre "Medición de la conectividad efectiva" el 5 de marzo, en el que participaron como oradores representantes de las Oficinas Nacionales de Estadística de España, Argentina y la UNDOC. </w:t>
      </w:r>
      <w:hyperlink r:id="rId32" w:anchor="/es" w:history="1">
        <w:r w:rsidRPr="006117E0">
          <w:rPr>
            <w:rStyle w:val="Hyperlink"/>
            <w:lang w:val="es-ES"/>
          </w:rPr>
          <w:t>Conectividad universal y efectiva: fortalecimiento de los sistemas nacionales de estadísticas de TIC</w:t>
        </w:r>
      </w:hyperlink>
      <w:r w:rsidRPr="006117E0">
        <w:rPr>
          <w:lang w:val="es-ES" w:eastAsia="en-GB"/>
        </w:rPr>
        <w:t>. En el evento se estudió por qué los datos de calidad son esenciales para acelerar el progreso hacia la conectividad universal y significativa (CUS) y se debatió cómo los países y los socios pueden mejorar las estadísticas de TIC para fundamentar políticas digitales eficaces.</w:t>
      </w:r>
    </w:p>
    <w:p w14:paraId="0CA7BCC0" w14:textId="0C5E7B2F" w:rsidR="00994606" w:rsidRPr="006117E0" w:rsidRDefault="00994606" w:rsidP="00994606">
      <w:pPr>
        <w:spacing w:after="120"/>
        <w:rPr>
          <w:lang w:val="es-ES" w:eastAsia="en-GB"/>
        </w:rPr>
      </w:pPr>
      <w:r w:rsidRPr="006117E0">
        <w:rPr>
          <w:lang w:val="es-ES" w:eastAsia="en-GB"/>
        </w:rPr>
        <w:t>En lo que respecta a la capacitación, el 19 de febrero se celebró un seminario web en línea sobre medición de los precios de los servicios de TIC. (</w:t>
      </w:r>
      <w:hyperlink r:id="rId33" w:anchor="/es" w:history="1">
        <w:r w:rsidRPr="006117E0">
          <w:rPr>
            <w:rStyle w:val="Hyperlink"/>
            <w:lang w:val="es-ES"/>
          </w:rPr>
          <w:t>Medición del desarrollo digital: recopilación de datos sobre los precios de los servicios de TIC | Academia de la UIT</w:t>
        </w:r>
      </w:hyperlink>
      <w:r w:rsidRPr="006117E0">
        <w:rPr>
          <w:lang w:val="es-ES" w:eastAsia="en-GB"/>
        </w:rPr>
        <w:t>).</w:t>
      </w:r>
    </w:p>
    <w:p w14:paraId="1A00C96D" w14:textId="5C22FE1E" w:rsidR="00994606" w:rsidRPr="006117E0" w:rsidRDefault="00994606" w:rsidP="00994606">
      <w:pPr>
        <w:rPr>
          <w:lang w:val="es-ES"/>
        </w:rPr>
      </w:pPr>
      <w:r w:rsidRPr="006117E0">
        <w:rPr>
          <w:b/>
          <w:bCs/>
          <w:lang w:val="es-ES"/>
        </w:rPr>
        <w:t xml:space="preserve">En África, </w:t>
      </w:r>
      <w:r w:rsidRPr="006117E0">
        <w:rPr>
          <w:lang w:val="es-ES"/>
        </w:rPr>
        <w:t xml:space="preserve">la UIT, junto con el Organismo Regulador de las Comunicaciones de Tanzanía (TCRA), y con el apoyo financiero de la Unión Europea, organizó en Tanzanía en marzo un taller regional sobre promoción y medición de la </w:t>
      </w:r>
      <w:hyperlink r:id="rId34" w:anchor="/es" w:history="1">
        <w:r w:rsidRPr="006117E0">
          <w:rPr>
            <w:rStyle w:val="Hyperlink"/>
            <w:lang w:val="es-ES"/>
          </w:rPr>
          <w:t>conectividad universal y significativa (CUS)</w:t>
        </w:r>
      </w:hyperlink>
      <w:r w:rsidRPr="006117E0">
        <w:rPr>
          <w:lang w:val="es-ES"/>
        </w:rPr>
        <w:t>. El taller ofreció una visión del trabajo de la UIT en materia de estadísticas, incluidos los desarrollos metodológicos, la recopilación y estimación de datos, la difusión y el análisis, y exploró la disponibilidad de datos de CUS, el logro de objetivos y las brechas digitales en la región.</w:t>
      </w:r>
    </w:p>
    <w:p w14:paraId="626AE77A" w14:textId="77777777" w:rsidR="00F969CC" w:rsidRPr="006117E0" w:rsidRDefault="00994606" w:rsidP="00994606">
      <w:pPr>
        <w:rPr>
          <w:lang w:val="es-ES"/>
        </w:rPr>
        <w:sectPr w:rsidR="00F969CC" w:rsidRPr="006117E0" w:rsidSect="0081159E">
          <w:headerReference w:type="default" r:id="rId35"/>
          <w:headerReference w:type="first" r:id="rId36"/>
          <w:pgSz w:w="11907" w:h="16840" w:code="9"/>
          <w:pgMar w:top="1418" w:right="1134" w:bottom="1134" w:left="1134" w:header="720" w:footer="720" w:gutter="0"/>
          <w:cols w:space="720"/>
          <w:titlePg/>
          <w:docGrid w:linePitch="326"/>
        </w:sectPr>
      </w:pPr>
      <w:r w:rsidRPr="006117E0">
        <w:rPr>
          <w:b/>
          <w:bCs/>
          <w:lang w:val="es-ES"/>
        </w:rPr>
        <w:t xml:space="preserve">En la CEI, </w:t>
      </w:r>
      <w:r w:rsidRPr="006117E0">
        <w:rPr>
          <w:lang w:val="es-ES"/>
        </w:rPr>
        <w:t>la BDT y la Agencia de Innovación y Desarrollo Digital de Azerbaiyán están examinando un documento de proyecto destinado a evaluar las competencias digitales de la población y los empleados del sector público e integrar oficialmente la metodología de la UIT a escala nacional.</w:t>
      </w:r>
    </w:p>
    <w:p w14:paraId="71C5F116" w14:textId="77777777" w:rsidR="00994606" w:rsidRPr="006117E0" w:rsidRDefault="00994606" w:rsidP="00F969CC">
      <w:pPr>
        <w:pStyle w:val="Heading2"/>
        <w:spacing w:after="120"/>
        <w:rPr>
          <w:lang w:val="es-ES"/>
        </w:rPr>
      </w:pPr>
      <w:r w:rsidRPr="006117E0">
        <w:rPr>
          <w:lang w:val="es-ES"/>
        </w:rPr>
        <w:lastRenderedPageBreak/>
        <w:t>3.4</w:t>
      </w:r>
      <w:r w:rsidRPr="006117E0">
        <w:rPr>
          <w:lang w:val="es-ES"/>
        </w:rPr>
        <w:tab/>
        <w:t>Prioridad 4 del UIT-D: Movilización de recursos, asociaciones y cooperación internacional</w:t>
      </w:r>
    </w:p>
    <w:tbl>
      <w:tblPr>
        <w:tblW w:w="14278" w:type="dxa"/>
        <w:tblCellMar>
          <w:left w:w="57" w:type="dxa"/>
          <w:right w:w="57" w:type="dxa"/>
        </w:tblCellMar>
        <w:tblLook w:val="04A0" w:firstRow="1" w:lastRow="0" w:firstColumn="1" w:lastColumn="0" w:noHBand="0" w:noVBand="1"/>
      </w:tblPr>
      <w:tblGrid>
        <w:gridCol w:w="1695"/>
        <w:gridCol w:w="2836"/>
        <w:gridCol w:w="3310"/>
        <w:gridCol w:w="2093"/>
        <w:gridCol w:w="1441"/>
        <w:gridCol w:w="1462"/>
        <w:gridCol w:w="1441"/>
      </w:tblGrid>
      <w:tr w:rsidR="00994606" w:rsidRPr="006117E0" w14:paraId="3F5A46C0" w14:textId="77777777" w:rsidTr="00215C1F">
        <w:trPr>
          <w:trHeight w:val="600"/>
        </w:trPr>
        <w:tc>
          <w:tcPr>
            <w:tcW w:w="1695" w:type="dxa"/>
            <w:tcBorders>
              <w:top w:val="single" w:sz="4" w:space="0" w:color="44B3E1"/>
              <w:left w:val="single" w:sz="4" w:space="0" w:color="44B3E1"/>
              <w:bottom w:val="single" w:sz="4" w:space="0" w:color="44B3E1"/>
              <w:right w:val="nil"/>
            </w:tcBorders>
            <w:shd w:val="clear" w:color="auto" w:fill="156082"/>
            <w:vAlign w:val="center"/>
            <w:hideMark/>
          </w:tcPr>
          <w:p w14:paraId="51BEC5B6"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Prioridad/Tema</w:t>
            </w:r>
          </w:p>
        </w:tc>
        <w:tc>
          <w:tcPr>
            <w:tcW w:w="2836" w:type="dxa"/>
            <w:tcBorders>
              <w:top w:val="single" w:sz="4" w:space="0" w:color="44B3E1"/>
              <w:left w:val="nil"/>
              <w:bottom w:val="single" w:sz="4" w:space="0" w:color="44B3E1"/>
              <w:right w:val="nil"/>
            </w:tcBorders>
            <w:shd w:val="clear" w:color="auto" w:fill="156082"/>
            <w:vAlign w:val="center"/>
            <w:hideMark/>
          </w:tcPr>
          <w:p w14:paraId="1EB3C68A"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Realización</w:t>
            </w:r>
          </w:p>
        </w:tc>
        <w:tc>
          <w:tcPr>
            <w:tcW w:w="3310" w:type="dxa"/>
            <w:tcBorders>
              <w:top w:val="single" w:sz="4" w:space="0" w:color="44B3E1"/>
              <w:left w:val="nil"/>
              <w:bottom w:val="single" w:sz="4" w:space="0" w:color="44B3E1"/>
              <w:right w:val="nil"/>
            </w:tcBorders>
            <w:shd w:val="clear" w:color="auto" w:fill="156082"/>
            <w:vAlign w:val="center"/>
            <w:hideMark/>
          </w:tcPr>
          <w:p w14:paraId="71D4536D"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Indicadores de realizaciones</w:t>
            </w:r>
            <w:r w:rsidRPr="006117E0">
              <w:rPr>
                <w:rStyle w:val="FootnoteReference"/>
                <w:rFonts w:cstheme="minorHAnsi"/>
                <w:b w:val="0"/>
                <w:bCs/>
                <w:color w:val="FFFFFF" w:themeColor="background1"/>
                <w:lang w:val="es-ES" w:eastAsia="en-GB"/>
              </w:rPr>
              <w:footnoteReference w:id="4"/>
            </w:r>
          </w:p>
        </w:tc>
        <w:tc>
          <w:tcPr>
            <w:tcW w:w="2093" w:type="dxa"/>
            <w:tcBorders>
              <w:top w:val="single" w:sz="4" w:space="0" w:color="44B3E1"/>
              <w:left w:val="nil"/>
              <w:bottom w:val="single" w:sz="4" w:space="0" w:color="44B3E1"/>
              <w:right w:val="nil"/>
            </w:tcBorders>
            <w:shd w:val="clear" w:color="auto" w:fill="156082"/>
            <w:vAlign w:val="center"/>
            <w:hideMark/>
          </w:tcPr>
          <w:p w14:paraId="79917EBF"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Productos</w:t>
            </w:r>
            <w:r w:rsidRPr="006117E0">
              <w:rPr>
                <w:color w:val="FFFFFF" w:themeColor="background1"/>
                <w:lang w:val="es-ES" w:eastAsia="en-GB"/>
              </w:rPr>
              <w:br/>
              <w:t>(productos y servicios del UIT-D)</w:t>
            </w:r>
          </w:p>
        </w:tc>
        <w:tc>
          <w:tcPr>
            <w:tcW w:w="1441" w:type="dxa"/>
            <w:tcBorders>
              <w:top w:val="single" w:sz="4" w:space="0" w:color="44B3E1"/>
              <w:left w:val="nil"/>
              <w:bottom w:val="single" w:sz="4" w:space="0" w:color="44B3E1"/>
              <w:right w:val="nil"/>
            </w:tcBorders>
            <w:shd w:val="clear" w:color="auto" w:fill="156082"/>
            <w:vAlign w:val="center"/>
            <w:hideMark/>
          </w:tcPr>
          <w:p w14:paraId="5DB852DB"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Presupuesto de 2026 (en CHF)</w:t>
            </w:r>
          </w:p>
        </w:tc>
        <w:tc>
          <w:tcPr>
            <w:tcW w:w="1462" w:type="dxa"/>
            <w:tcBorders>
              <w:top w:val="single" w:sz="4" w:space="0" w:color="44B3E1"/>
              <w:left w:val="nil"/>
              <w:bottom w:val="single" w:sz="4" w:space="0" w:color="44B3E1"/>
              <w:right w:val="nil"/>
            </w:tcBorders>
            <w:shd w:val="clear" w:color="auto" w:fill="156082"/>
            <w:vAlign w:val="center"/>
            <w:hideMark/>
          </w:tcPr>
          <w:p w14:paraId="034F83F0"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 de Prioridad/factor habilitador total</w:t>
            </w:r>
          </w:p>
        </w:tc>
        <w:tc>
          <w:tcPr>
            <w:tcW w:w="1441" w:type="dxa"/>
            <w:tcBorders>
              <w:top w:val="single" w:sz="4" w:space="0" w:color="44B3E1"/>
              <w:left w:val="nil"/>
              <w:bottom w:val="single" w:sz="4" w:space="0" w:color="44B3E1"/>
              <w:right w:val="single" w:sz="4" w:space="0" w:color="44B3E1"/>
            </w:tcBorders>
            <w:shd w:val="clear" w:color="auto" w:fill="156082"/>
            <w:vAlign w:val="center"/>
            <w:hideMark/>
          </w:tcPr>
          <w:p w14:paraId="1C8542A4" w14:textId="77777777" w:rsidR="00994606" w:rsidRPr="006117E0" w:rsidRDefault="00994606" w:rsidP="00215C1F">
            <w:pPr>
              <w:pStyle w:val="Tabletitle"/>
              <w:rPr>
                <w:color w:val="FFFFFF" w:themeColor="background1"/>
                <w:lang w:val="es-ES" w:eastAsia="en-GB"/>
              </w:rPr>
            </w:pPr>
            <w:r w:rsidRPr="006117E0">
              <w:rPr>
                <w:color w:val="FFFFFF" w:themeColor="background1"/>
                <w:lang w:val="es-ES" w:eastAsia="en-GB"/>
              </w:rPr>
              <w:t>% del presupuesto total</w:t>
            </w:r>
          </w:p>
        </w:tc>
      </w:tr>
      <w:tr w:rsidR="00994606" w:rsidRPr="006117E0" w14:paraId="01900AA2" w14:textId="77777777" w:rsidTr="00215C1F">
        <w:trPr>
          <w:trHeight w:val="300"/>
        </w:trPr>
        <w:tc>
          <w:tcPr>
            <w:tcW w:w="7841" w:type="dxa"/>
            <w:gridSpan w:val="3"/>
            <w:tcBorders>
              <w:top w:val="single" w:sz="4" w:space="0" w:color="44B3E1"/>
              <w:left w:val="single" w:sz="4" w:space="0" w:color="44B3E1"/>
              <w:bottom w:val="single" w:sz="4" w:space="0" w:color="44B3E1"/>
              <w:right w:val="nil"/>
            </w:tcBorders>
            <w:shd w:val="clear" w:color="auto" w:fill="C0E6F5"/>
            <w:noWrap/>
            <w:vAlign w:val="bottom"/>
            <w:hideMark/>
          </w:tcPr>
          <w:p w14:paraId="055914F0" w14:textId="77777777" w:rsidR="00994606" w:rsidRPr="006117E0" w:rsidRDefault="00994606" w:rsidP="00215C1F">
            <w:pPr>
              <w:pStyle w:val="Tabletext"/>
              <w:rPr>
                <w:b/>
                <w:bCs/>
                <w:lang w:val="es-ES" w:eastAsia="en-GB"/>
              </w:rPr>
            </w:pPr>
            <w:r w:rsidRPr="006117E0">
              <w:rPr>
                <w:b/>
                <w:bCs/>
                <w:lang w:val="es-ES" w:eastAsia="en-GB"/>
              </w:rPr>
              <w:t>Movilización de recursos, asociaciones y cooperación internacional total</w:t>
            </w:r>
          </w:p>
        </w:tc>
        <w:tc>
          <w:tcPr>
            <w:tcW w:w="2093" w:type="dxa"/>
            <w:tcBorders>
              <w:top w:val="single" w:sz="4" w:space="0" w:color="44B3E1"/>
              <w:left w:val="nil"/>
              <w:bottom w:val="single" w:sz="4" w:space="0" w:color="44B3E1"/>
              <w:right w:val="nil"/>
            </w:tcBorders>
            <w:shd w:val="clear" w:color="auto" w:fill="C0E6F5"/>
            <w:noWrap/>
            <w:vAlign w:val="bottom"/>
            <w:hideMark/>
          </w:tcPr>
          <w:p w14:paraId="4584DEDA" w14:textId="77777777" w:rsidR="00994606" w:rsidRPr="006117E0" w:rsidRDefault="00994606" w:rsidP="00215C1F">
            <w:pPr>
              <w:pStyle w:val="Tabletext"/>
              <w:rPr>
                <w:b/>
                <w:bCs/>
                <w:lang w:val="es-ES" w:eastAsia="en-GB"/>
              </w:rPr>
            </w:pPr>
          </w:p>
        </w:tc>
        <w:tc>
          <w:tcPr>
            <w:tcW w:w="1441" w:type="dxa"/>
            <w:tcBorders>
              <w:top w:val="single" w:sz="4" w:space="0" w:color="44B3E1"/>
              <w:left w:val="nil"/>
              <w:bottom w:val="single" w:sz="4" w:space="0" w:color="44B3E1"/>
              <w:right w:val="nil"/>
            </w:tcBorders>
            <w:shd w:val="clear" w:color="auto" w:fill="C0E6F5"/>
            <w:noWrap/>
            <w:vAlign w:val="center"/>
            <w:hideMark/>
          </w:tcPr>
          <w:p w14:paraId="15663CB8" w14:textId="77777777" w:rsidR="00994606" w:rsidRPr="006117E0" w:rsidRDefault="00994606" w:rsidP="00215C1F">
            <w:pPr>
              <w:pStyle w:val="Tabletext"/>
              <w:jc w:val="center"/>
              <w:rPr>
                <w:b/>
                <w:bCs/>
                <w:lang w:val="es-ES" w:eastAsia="en-GB"/>
              </w:rPr>
            </w:pPr>
            <w:r w:rsidRPr="006117E0">
              <w:rPr>
                <w:b/>
                <w:bCs/>
                <w:lang w:val="es-ES" w:eastAsia="en-GB"/>
              </w:rPr>
              <w:t>319 385</w:t>
            </w:r>
          </w:p>
        </w:tc>
        <w:tc>
          <w:tcPr>
            <w:tcW w:w="1462" w:type="dxa"/>
            <w:tcBorders>
              <w:top w:val="single" w:sz="4" w:space="0" w:color="44B3E1"/>
              <w:left w:val="nil"/>
              <w:bottom w:val="single" w:sz="4" w:space="0" w:color="44B3E1"/>
              <w:right w:val="nil"/>
            </w:tcBorders>
            <w:shd w:val="clear" w:color="auto" w:fill="C0E6F5"/>
            <w:noWrap/>
            <w:vAlign w:val="bottom"/>
            <w:hideMark/>
          </w:tcPr>
          <w:p w14:paraId="0E342B6D" w14:textId="77777777" w:rsidR="00994606" w:rsidRPr="006117E0" w:rsidRDefault="00994606" w:rsidP="00215C1F">
            <w:pPr>
              <w:pStyle w:val="Tabletext"/>
              <w:jc w:val="center"/>
              <w:rPr>
                <w:b/>
                <w:bCs/>
                <w:lang w:val="es-ES" w:eastAsia="en-GB"/>
              </w:rPr>
            </w:pPr>
          </w:p>
        </w:tc>
        <w:tc>
          <w:tcPr>
            <w:tcW w:w="1441" w:type="dxa"/>
            <w:tcBorders>
              <w:top w:val="single" w:sz="4" w:space="0" w:color="44B3E1"/>
              <w:left w:val="nil"/>
              <w:bottom w:val="single" w:sz="4" w:space="0" w:color="44B3E1"/>
              <w:right w:val="single" w:sz="4" w:space="0" w:color="44B3E1"/>
            </w:tcBorders>
            <w:shd w:val="clear" w:color="auto" w:fill="C0E6F5"/>
            <w:noWrap/>
            <w:vAlign w:val="center"/>
            <w:hideMark/>
          </w:tcPr>
          <w:p w14:paraId="02729A24" w14:textId="28B8C4AC" w:rsidR="00994606" w:rsidRPr="006117E0" w:rsidRDefault="00994606" w:rsidP="00215C1F">
            <w:pPr>
              <w:pStyle w:val="Tabletext"/>
              <w:jc w:val="center"/>
              <w:rPr>
                <w:b/>
                <w:bCs/>
                <w:lang w:val="es-ES" w:eastAsia="en-GB"/>
              </w:rPr>
            </w:pPr>
            <w:r w:rsidRPr="006117E0">
              <w:rPr>
                <w:b/>
                <w:bCs/>
                <w:lang w:val="es-ES" w:eastAsia="en-GB"/>
              </w:rPr>
              <w:t>8,38</w:t>
            </w:r>
            <w:r w:rsidR="00F969CC" w:rsidRPr="006117E0">
              <w:rPr>
                <w:b/>
                <w:bCs/>
                <w:lang w:val="es-ES" w:eastAsia="en-GB"/>
              </w:rPr>
              <w:t xml:space="preserve"> </w:t>
            </w:r>
            <w:r w:rsidRPr="006117E0">
              <w:rPr>
                <w:b/>
                <w:bCs/>
                <w:lang w:val="es-ES" w:eastAsia="en-GB"/>
              </w:rPr>
              <w:t>%</w:t>
            </w:r>
          </w:p>
        </w:tc>
      </w:tr>
      <w:tr w:rsidR="00994606" w:rsidRPr="006117E0" w14:paraId="2D48C847" w14:textId="77777777" w:rsidTr="00215C1F">
        <w:trPr>
          <w:trHeight w:val="4500"/>
        </w:trPr>
        <w:tc>
          <w:tcPr>
            <w:tcW w:w="1695" w:type="dxa"/>
            <w:tcBorders>
              <w:top w:val="single" w:sz="4" w:space="0" w:color="44B3E1"/>
              <w:left w:val="single" w:sz="4" w:space="0" w:color="44B3E1"/>
              <w:bottom w:val="single" w:sz="4" w:space="0" w:color="44B3E1"/>
              <w:right w:val="nil"/>
            </w:tcBorders>
            <w:noWrap/>
            <w:hideMark/>
          </w:tcPr>
          <w:p w14:paraId="0DF49B22" w14:textId="77777777" w:rsidR="00994606" w:rsidRPr="006117E0" w:rsidRDefault="00994606" w:rsidP="00215C1F">
            <w:pPr>
              <w:pStyle w:val="Tabletext"/>
              <w:rPr>
                <w:lang w:val="es-ES" w:eastAsia="en-GB"/>
              </w:rPr>
            </w:pPr>
            <w:r w:rsidRPr="006117E0">
              <w:rPr>
                <w:lang w:val="es-ES" w:eastAsia="en-GB"/>
              </w:rPr>
              <w:t>Transversal</w:t>
            </w:r>
          </w:p>
        </w:tc>
        <w:tc>
          <w:tcPr>
            <w:tcW w:w="2836" w:type="dxa"/>
            <w:tcBorders>
              <w:top w:val="single" w:sz="4" w:space="0" w:color="44B3E1"/>
              <w:left w:val="nil"/>
              <w:bottom w:val="single" w:sz="4" w:space="0" w:color="44B3E1"/>
              <w:right w:val="nil"/>
            </w:tcBorders>
            <w:hideMark/>
          </w:tcPr>
          <w:p w14:paraId="7BF02D40"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Refuerzo de la estrategia de movilización de recursos mediante la cooperación, en particular con instituciones financieras y de desarrollo internacionales y regionales</w:t>
            </w:r>
          </w:p>
          <w:p w14:paraId="4804EF62"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Refuerzo de la planificación, la colaboración y la cooperación conjuntas a escala de las Naciones Unidas a nivel internacional y regional</w:t>
            </w:r>
          </w:p>
          <w:p w14:paraId="00606DAE"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Mayor apoyo a los PMA, PDSL y PEID</w:t>
            </w:r>
          </w:p>
        </w:tc>
        <w:tc>
          <w:tcPr>
            <w:tcW w:w="3310" w:type="dxa"/>
            <w:tcBorders>
              <w:top w:val="single" w:sz="4" w:space="0" w:color="44B3E1"/>
              <w:left w:val="nil"/>
              <w:bottom w:val="single" w:sz="4" w:space="0" w:color="44B3E1"/>
              <w:right w:val="nil"/>
            </w:tcBorders>
            <w:hideMark/>
          </w:tcPr>
          <w:p w14:paraId="0E5C4EFB"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Fondos totales recaudados por la BDT para proyectos</w:t>
            </w:r>
          </w:p>
          <w:p w14:paraId="064EB174"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Relación de fuentes internas/externas para los fondos de proyectos</w:t>
            </w:r>
          </w:p>
          <w:p w14:paraId="13FA6ED0"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Número total de socios contribuyentes a los proyectos del UIT-D</w:t>
            </w:r>
          </w:p>
          <w:p w14:paraId="0979EC07"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Número de acuerdos de desarrollo de las TIC celebrados entre la UIT y sus asociados en favor de la aplicación del Plan de Acción del UIT-D</w:t>
            </w:r>
          </w:p>
          <w:p w14:paraId="256072A3"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Número de informes de evaluación del impacto elaborados por la BDT</w:t>
            </w:r>
          </w:p>
          <w:p w14:paraId="001A95B1" w14:textId="77777777" w:rsidR="00994606" w:rsidRPr="006117E0" w:rsidRDefault="00994606" w:rsidP="00215C1F">
            <w:pPr>
              <w:pStyle w:val="Tabletext"/>
              <w:ind w:left="284" w:hanging="284"/>
              <w:rPr>
                <w:rFonts w:cstheme="minorBidi"/>
                <w:color w:val="000000" w:themeColor="text1"/>
                <w:lang w:val="es-ES"/>
              </w:rPr>
            </w:pPr>
            <w:r w:rsidRPr="006117E0">
              <w:rPr>
                <w:rFonts w:cstheme="minorBidi"/>
                <w:color w:val="000000" w:themeColor="text1"/>
                <w:lang w:val="es-ES" w:eastAsia="en-GB"/>
              </w:rPr>
              <w:t>•</w:t>
            </w:r>
            <w:r w:rsidRPr="006117E0">
              <w:rPr>
                <w:rFonts w:cstheme="minorBidi"/>
                <w:color w:val="000000" w:themeColor="text1"/>
                <w:lang w:val="es-ES" w:eastAsia="en-GB"/>
              </w:rPr>
              <w:tab/>
              <w:t>Número de proyectos con apoyo financiero del UIT-D en PMA, PDSL y PEID</w:t>
            </w:r>
          </w:p>
          <w:p w14:paraId="16ED4F04" w14:textId="77777777" w:rsidR="00994606" w:rsidRPr="006117E0" w:rsidRDefault="00994606" w:rsidP="00215C1F">
            <w:pPr>
              <w:pStyle w:val="Tabletext"/>
              <w:ind w:left="284" w:hanging="284"/>
              <w:rPr>
                <w:rFonts w:cstheme="minorBidi"/>
                <w:lang w:val="es-ES" w:eastAsia="en-GB"/>
              </w:rPr>
            </w:pPr>
            <w:r w:rsidRPr="006117E0">
              <w:rPr>
                <w:rFonts w:cstheme="minorBidi"/>
                <w:color w:val="000000" w:themeColor="text1"/>
                <w:lang w:val="es-ES" w:eastAsia="en-GB"/>
              </w:rPr>
              <w:t>•</w:t>
            </w:r>
            <w:r w:rsidRPr="006117E0">
              <w:rPr>
                <w:rFonts w:cstheme="minorBidi"/>
                <w:color w:val="000000" w:themeColor="text1"/>
                <w:lang w:val="es-ES" w:eastAsia="en-GB"/>
              </w:rPr>
              <w:tab/>
              <w:t>Cantidad de fondos de proyectos destinados a los PMA, PDSL y PEID</w:t>
            </w:r>
          </w:p>
        </w:tc>
        <w:tc>
          <w:tcPr>
            <w:tcW w:w="2093" w:type="dxa"/>
            <w:tcBorders>
              <w:top w:val="single" w:sz="4" w:space="0" w:color="44B3E1"/>
              <w:left w:val="nil"/>
              <w:bottom w:val="single" w:sz="4" w:space="0" w:color="44B3E1"/>
              <w:right w:val="nil"/>
            </w:tcBorders>
            <w:hideMark/>
          </w:tcPr>
          <w:p w14:paraId="28FD0A46"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 xml:space="preserve">Plataformas de reunión </w:t>
            </w:r>
          </w:p>
        </w:tc>
        <w:tc>
          <w:tcPr>
            <w:tcW w:w="1441" w:type="dxa"/>
            <w:tcBorders>
              <w:top w:val="single" w:sz="4" w:space="0" w:color="44B3E1"/>
              <w:left w:val="nil"/>
              <w:bottom w:val="single" w:sz="4" w:space="0" w:color="44B3E1"/>
              <w:right w:val="nil"/>
            </w:tcBorders>
            <w:noWrap/>
            <w:hideMark/>
          </w:tcPr>
          <w:p w14:paraId="0E7FDBA8" w14:textId="77777777" w:rsidR="00994606" w:rsidRPr="006117E0" w:rsidRDefault="00994606" w:rsidP="00215C1F">
            <w:pPr>
              <w:pStyle w:val="Tabletext"/>
              <w:jc w:val="center"/>
              <w:rPr>
                <w:lang w:val="es-ES" w:eastAsia="en-GB"/>
              </w:rPr>
            </w:pPr>
            <w:r w:rsidRPr="006117E0">
              <w:rPr>
                <w:lang w:val="es-ES" w:eastAsia="en-GB"/>
              </w:rPr>
              <w:t>319 385</w:t>
            </w:r>
          </w:p>
        </w:tc>
        <w:tc>
          <w:tcPr>
            <w:tcW w:w="1462" w:type="dxa"/>
            <w:tcBorders>
              <w:top w:val="single" w:sz="4" w:space="0" w:color="44B3E1"/>
              <w:left w:val="nil"/>
              <w:bottom w:val="single" w:sz="4" w:space="0" w:color="44B3E1"/>
              <w:right w:val="nil"/>
            </w:tcBorders>
            <w:noWrap/>
            <w:hideMark/>
          </w:tcPr>
          <w:p w14:paraId="5A1A78DF" w14:textId="46899F80" w:rsidR="00994606" w:rsidRPr="006117E0" w:rsidRDefault="00994606" w:rsidP="00215C1F">
            <w:pPr>
              <w:pStyle w:val="Tabletext"/>
              <w:jc w:val="center"/>
              <w:rPr>
                <w:lang w:val="es-ES" w:eastAsia="en-GB"/>
              </w:rPr>
            </w:pPr>
            <w:r w:rsidRPr="006117E0">
              <w:rPr>
                <w:lang w:val="es-ES" w:eastAsia="en-GB"/>
              </w:rPr>
              <w:t>100</w:t>
            </w:r>
            <w:r w:rsidR="00F969CC" w:rsidRPr="006117E0">
              <w:rPr>
                <w:lang w:val="es-ES" w:eastAsia="en-GB"/>
              </w:rPr>
              <w:t xml:space="preserve"> </w:t>
            </w:r>
            <w:r w:rsidRPr="006117E0">
              <w:rPr>
                <w:lang w:val="es-ES" w:eastAsia="en-GB"/>
              </w:rPr>
              <w:t>%</w:t>
            </w:r>
          </w:p>
        </w:tc>
        <w:tc>
          <w:tcPr>
            <w:tcW w:w="1441" w:type="dxa"/>
            <w:tcBorders>
              <w:top w:val="single" w:sz="4" w:space="0" w:color="44B3E1"/>
              <w:left w:val="nil"/>
              <w:bottom w:val="single" w:sz="4" w:space="0" w:color="44B3E1"/>
              <w:right w:val="single" w:sz="4" w:space="0" w:color="44B3E1"/>
            </w:tcBorders>
            <w:noWrap/>
            <w:hideMark/>
          </w:tcPr>
          <w:p w14:paraId="449BEFBC" w14:textId="535DC5C9" w:rsidR="00994606" w:rsidRPr="006117E0" w:rsidRDefault="00994606" w:rsidP="00215C1F">
            <w:pPr>
              <w:pStyle w:val="Tabletext"/>
              <w:jc w:val="center"/>
              <w:rPr>
                <w:lang w:val="es-ES" w:eastAsia="en-GB"/>
              </w:rPr>
            </w:pPr>
            <w:r w:rsidRPr="006117E0">
              <w:rPr>
                <w:lang w:val="es-ES" w:eastAsia="en-GB"/>
              </w:rPr>
              <w:t>8,4</w:t>
            </w:r>
            <w:r w:rsidR="00F969CC" w:rsidRPr="006117E0">
              <w:rPr>
                <w:lang w:val="es-ES" w:eastAsia="en-GB"/>
              </w:rPr>
              <w:t xml:space="preserve"> </w:t>
            </w:r>
            <w:r w:rsidRPr="006117E0">
              <w:rPr>
                <w:lang w:val="es-ES" w:eastAsia="en-GB"/>
              </w:rPr>
              <w:t>%</w:t>
            </w:r>
          </w:p>
        </w:tc>
      </w:tr>
    </w:tbl>
    <w:p w14:paraId="2280B1B2" w14:textId="77777777" w:rsidR="00F969CC" w:rsidRPr="006117E0" w:rsidRDefault="00F969CC" w:rsidP="00994606">
      <w:pPr>
        <w:tabs>
          <w:tab w:val="clear" w:pos="1134"/>
          <w:tab w:val="clear" w:pos="1871"/>
          <w:tab w:val="clear" w:pos="2268"/>
        </w:tabs>
        <w:overflowPunct/>
        <w:autoSpaceDE/>
        <w:autoSpaceDN/>
        <w:adjustRightInd/>
        <w:spacing w:before="0"/>
        <w:textAlignment w:val="auto"/>
        <w:rPr>
          <w:lang w:val="es-ES"/>
        </w:rPr>
        <w:sectPr w:rsidR="00F969CC" w:rsidRPr="006117E0" w:rsidSect="00F969CC">
          <w:headerReference w:type="first" r:id="rId37"/>
          <w:pgSz w:w="16840" w:h="11907" w:orient="landscape" w:code="9"/>
          <w:pgMar w:top="1134" w:right="1418" w:bottom="1134" w:left="1134" w:header="720" w:footer="720" w:gutter="0"/>
          <w:cols w:space="720"/>
          <w:titlePg/>
          <w:docGrid w:linePitch="326"/>
        </w:sectPr>
      </w:pPr>
    </w:p>
    <w:p w14:paraId="708FCEF4" w14:textId="77777777" w:rsidR="00994606" w:rsidRPr="006117E0" w:rsidRDefault="00994606" w:rsidP="00F969CC">
      <w:pPr>
        <w:pStyle w:val="Headingi"/>
        <w:rPr>
          <w:b/>
          <w:bCs/>
          <w:lang w:val="es-ES"/>
        </w:rPr>
      </w:pPr>
      <w:r w:rsidRPr="006117E0">
        <w:rPr>
          <w:b/>
          <w:bCs/>
          <w:lang w:val="es-ES"/>
        </w:rPr>
        <w:lastRenderedPageBreak/>
        <w:t>Hitos de la aplicación en 2026: Prioridad 4 del UIT-D – Movilización de recursos, asociaciones y cooperación internacional</w:t>
      </w:r>
    </w:p>
    <w:p w14:paraId="580353A9" w14:textId="77777777" w:rsidR="00994606" w:rsidRPr="006117E0" w:rsidRDefault="00994606" w:rsidP="00F969CC">
      <w:pPr>
        <w:pStyle w:val="Headingb"/>
        <w:rPr>
          <w:lang w:val="es-ES" w:eastAsia="en-GB"/>
        </w:rPr>
      </w:pPr>
      <w:r w:rsidRPr="006117E0">
        <w:rPr>
          <w:lang w:val="es-ES" w:eastAsia="en-GB"/>
        </w:rPr>
        <w:t>Asociaciones y cooperación internacional</w:t>
      </w:r>
    </w:p>
    <w:p w14:paraId="12AD5F53" w14:textId="620BD938" w:rsidR="00994606" w:rsidRPr="006117E0" w:rsidRDefault="00994606" w:rsidP="00F969CC">
      <w:pPr>
        <w:rPr>
          <w:lang w:val="es-ES" w:eastAsia="en-GB"/>
        </w:rPr>
      </w:pPr>
      <w:r w:rsidRPr="006117E0">
        <w:rPr>
          <w:lang w:val="es-ES" w:eastAsia="en-GB"/>
        </w:rPr>
        <w:t xml:space="preserve">Desde enero de 2026, se han firmado 14 nuevos acuerdos de asociación con una amplia gama de socios por un valor total de aproximadamente 1,5 millones USD. Puede encontrarse más información al respecto en la página web de </w:t>
      </w:r>
      <w:hyperlink r:id="rId38" w:anchor="/es" w:history="1">
        <w:r w:rsidRPr="006117E0">
          <w:rPr>
            <w:rStyle w:val="Hyperlink"/>
            <w:lang w:val="es-ES" w:eastAsia="en-GB"/>
          </w:rPr>
          <w:t>Asociaciones del UIT-D</w:t>
        </w:r>
      </w:hyperlink>
      <w:r w:rsidRPr="006117E0">
        <w:rPr>
          <w:lang w:val="es-ES" w:eastAsia="en-GB"/>
        </w:rPr>
        <w:t>.</w:t>
      </w:r>
    </w:p>
    <w:p w14:paraId="09F424B9" w14:textId="049E151E" w:rsidR="00565449" w:rsidRPr="006117E0" w:rsidRDefault="00994606" w:rsidP="00F969CC">
      <w:pPr>
        <w:rPr>
          <w:lang w:val="es-ES"/>
        </w:rPr>
      </w:pPr>
      <w:r w:rsidRPr="006117E0">
        <w:rPr>
          <w:b/>
          <w:bCs/>
          <w:lang w:val="es-ES" w:eastAsia="en-GB"/>
        </w:rPr>
        <w:t xml:space="preserve">En África, </w:t>
      </w:r>
      <w:r w:rsidRPr="006117E0">
        <w:rPr>
          <w:lang w:val="es-ES" w:eastAsia="en-GB"/>
        </w:rPr>
        <w:t xml:space="preserve">están en curso los preparativos para el </w:t>
      </w:r>
      <w:hyperlink r:id="rId39" w:anchor="/es" w:history="1">
        <w:r w:rsidRPr="006117E0">
          <w:rPr>
            <w:rStyle w:val="Hyperlink"/>
            <w:lang w:val="es-ES" w:eastAsia="en-GB"/>
          </w:rPr>
          <w:t>Foro Regional de Desarrollo de 2026 (FDR-AFR)</w:t>
        </w:r>
      </w:hyperlink>
      <w:r w:rsidRPr="006117E0">
        <w:rPr>
          <w:lang w:val="es-ES"/>
        </w:rPr>
        <w:t>.</w:t>
      </w:r>
      <w:r w:rsidR="000216E0" w:rsidRPr="006117E0">
        <w:rPr>
          <w:b/>
          <w:bCs/>
          <w:lang w:val="es-ES"/>
        </w:rPr>
        <w:t xml:space="preserve"> </w:t>
      </w:r>
      <w:r w:rsidRPr="006117E0">
        <w:rPr>
          <w:lang w:val="es-ES"/>
        </w:rPr>
        <w:t xml:space="preserve">El foro, que se celebrará en Victoria Falls, Zimbabwe, los días 25 y 26 de mayo, tiene como objetivo proporcionar </w:t>
      </w:r>
      <w:r w:rsidRPr="006117E0">
        <w:rPr>
          <w:lang w:val="es-ES" w:eastAsia="en-GB"/>
        </w:rPr>
        <w:t>una</w:t>
      </w:r>
      <w:r w:rsidRPr="006117E0">
        <w:rPr>
          <w:lang w:val="es-ES"/>
        </w:rPr>
        <w:t xml:space="preserve"> plataforma para debatir e intercambiar sobre las iniciativas en curso y planificadas en todo el continente para implementar las Iniciativas Regionales y promover una conectividad efectiva y universal e impulsar una transformación digital sostenible en apoyo del desarrollo socioeconómico. Se celebrarán sesiones de coordinación P2C entre países y necesidades regionales con posibles socios.</w:t>
      </w:r>
    </w:p>
    <w:p w14:paraId="202EC055" w14:textId="6EAD5072" w:rsidR="00994606" w:rsidRPr="006117E0" w:rsidRDefault="00994606" w:rsidP="00F969CC">
      <w:pPr>
        <w:rPr>
          <w:lang w:val="es-ES" w:eastAsia="en-GB"/>
        </w:rPr>
      </w:pPr>
      <w:r w:rsidRPr="006117E0">
        <w:rPr>
          <w:b/>
          <w:bCs/>
          <w:lang w:val="es-ES" w:eastAsia="en-GB"/>
        </w:rPr>
        <w:t xml:space="preserve">En Asia-Pacífico, </w:t>
      </w:r>
      <w:r w:rsidRPr="006117E0">
        <w:rPr>
          <w:lang w:val="es-ES" w:eastAsia="en-GB"/>
        </w:rPr>
        <w:t>la BDT participó en el 13º Foro Asia-Pacífico sobre Desarrollo Sostenible (APFSD), celebrado del 24 al 27 de febrero en el Centro de Conferencias de las Naciones Unidas (UNCC) en Bangkok (Tailandia), bajo el lema "Acciones transformadoras, equitativas, innovadoras y coordinadas para la Agenda 2030 y sus ODS para un futuro sostenible para todos". Como foro intergubernamental anual, APFSD apoya el seguimiento y la revisión del progreso de la Agenda 2030 para el Desarrollo Sostenible y los ODS a nivel regional, con el objetivo de informar, empoderar y apoyar a los países de Asia-Pacífico en el logro de los ODS mediante la identificación de tendencias regionales y el intercambio de mejores prácticas. En consonancia con el enfoque del Foro Político de Alto Nivel (FPAN) de 2026, el 13º APFSD evaluó los avances en los ODS que se revisarán en 2026: Objetivos 6, 7, 9, 11 y 17. Junto con otros organismos de las Naciones Unidas, la BDT contribuyó a la Mesa Redonda sobre el ODS 9, Industria, innovación e infraestructura, moderando el debate del Grupo de Iniciación sobre el tema "Fomentar la innovación" y aportando contribuciones al Perfil de Metas del ODS 9.</w:t>
      </w:r>
    </w:p>
    <w:p w14:paraId="3C9533CD" w14:textId="77777777" w:rsidR="00994606" w:rsidRPr="006117E0" w:rsidRDefault="00994606" w:rsidP="00F969CC">
      <w:pPr>
        <w:rPr>
          <w:lang w:val="es-ES" w:eastAsia="en-GB"/>
        </w:rPr>
      </w:pPr>
      <w:r w:rsidRPr="006117E0">
        <w:rPr>
          <w:lang w:val="es-ES" w:eastAsia="en-GB"/>
        </w:rPr>
        <w:t>La BDT también participó en la 30ª reunión del Grupo de Trabajo Regional Interorganismos sobre tecnologías de la información y la comunicación (TIC), que se celebró el 16 de febrero de 2026 en Bangkok (Tailandia). Siete organizaciones internacionales (UIT, APT, CESPAP, OACI, OMM, PMA, UNU) participaron en la reunión, organizada por la Telecomunidad Asia-Pacífico (APT), para debatir sobre las iniciativas TIC y las oportunidades de colaboración. Durante la reunión, cada organización presentó las actualizaciones y las actividades planificadas para 2026 y debatió las posibles áreas de colaboración. La BDT destacó los resultados de la CMDT-25, en particular el Plan de Acción de Bakú y las Iniciativas Regionales para Asia y el Pacífico 2026-2029, y presentó las principales actividades de la Oficina Regional de la UIT para Asia y el Pacífico.</w:t>
      </w:r>
    </w:p>
    <w:p w14:paraId="42F11EC8" w14:textId="77777777" w:rsidR="00994606" w:rsidRPr="006117E0" w:rsidRDefault="00994606" w:rsidP="00F969CC">
      <w:pPr>
        <w:rPr>
          <w:lang w:val="es-ES" w:eastAsia="en-GB"/>
        </w:rPr>
      </w:pPr>
      <w:r w:rsidRPr="006117E0">
        <w:rPr>
          <w:lang w:val="es-ES" w:eastAsia="en-GB"/>
        </w:rPr>
        <w:t>Además, la BDT participó y contribuyó a la Reunión de Altos Funcionarios de Economía Digital de ASEAN y a la Reunión Ministerial que tuvo lugar en Hanoi, Viet Nam, del 12 al 18 de enero. En las reuniones se reconoció el amplio apoyo de la BDT a los países de la ASEAN y a la Secretaría en ámbitos fundamentales como la infraestructura, las telecomunicaciones de emergencia, la ciberseguridad, la inclusión digital, el desarrollo de capacidades y la política y reglamentación. En la reunión también se acordaron las nuevas esferas prioritarias de cooperación para los próximos años.</w:t>
      </w:r>
    </w:p>
    <w:p w14:paraId="3736BA4B" w14:textId="763171B2" w:rsidR="00994606" w:rsidRPr="006117E0" w:rsidRDefault="00994606" w:rsidP="00F969CC">
      <w:pPr>
        <w:rPr>
          <w:lang w:val="es-ES" w:eastAsia="en-GB"/>
        </w:rPr>
      </w:pPr>
      <w:r w:rsidRPr="006117E0">
        <w:rPr>
          <w:b/>
          <w:bCs/>
          <w:lang w:val="es-ES" w:eastAsia="en-GB"/>
        </w:rPr>
        <w:t xml:space="preserve">En la CEI, </w:t>
      </w:r>
      <w:r w:rsidRPr="006117E0">
        <w:rPr>
          <w:lang w:val="es-ES" w:eastAsia="en-GB"/>
        </w:rPr>
        <w:t>está previsto celebrar el Foro Regional de Desarrollo de la CEI de 2026 (FRD-CEI) los días 29 y 30 de septiembre en Dushanbe (Tayikistán).</w:t>
      </w:r>
    </w:p>
    <w:p w14:paraId="4995AEB4" w14:textId="7E3D9D5B" w:rsidR="00994606" w:rsidRPr="006117E0" w:rsidRDefault="00994606" w:rsidP="00F969CC">
      <w:pPr>
        <w:rPr>
          <w:b/>
          <w:bCs/>
          <w:lang w:val="es-ES"/>
        </w:rPr>
      </w:pPr>
      <w:r w:rsidRPr="006117E0">
        <w:rPr>
          <w:b/>
          <w:bCs/>
          <w:lang w:val="es-ES"/>
        </w:rPr>
        <w:lastRenderedPageBreak/>
        <w:t xml:space="preserve">En Europa, </w:t>
      </w:r>
      <w:r w:rsidRPr="006117E0">
        <w:rPr>
          <w:lang w:val="es-ES"/>
        </w:rPr>
        <w:t xml:space="preserve">el </w:t>
      </w:r>
      <w:hyperlink r:id="rId40" w:anchor="/es" w:history="1">
        <w:r w:rsidRPr="006117E0">
          <w:rPr>
            <w:rStyle w:val="Hyperlink"/>
            <w:lang w:val="es-ES"/>
          </w:rPr>
          <w:t>Foro Regional de Desarrollo para Europa (FDR-EUR)</w:t>
        </w:r>
      </w:hyperlink>
      <w:r w:rsidRPr="006117E0">
        <w:rPr>
          <w:lang w:val="es-ES"/>
        </w:rPr>
        <w:t xml:space="preserve"> fue organizado por la BDT en estrecha colaboración con la Conferencia Europea de Administraciones de Correos y Telecomunicaciones (CEPT), y acogido por el Ministerio de Industria y Comercio de la República Checa. El Foro se celebró en formato híbrido el 24 de marzo en Praga (República Checa), en paralelo a la reunión de la Comisión de Políticas de la UIT (Com-ITU) de la CEPT.</w:t>
      </w:r>
      <w:r w:rsidR="000216E0" w:rsidRPr="006117E0">
        <w:rPr>
          <w:lang w:val="es-ES"/>
        </w:rPr>
        <w:t xml:space="preserve"> </w:t>
      </w:r>
      <w:r w:rsidRPr="006117E0">
        <w:rPr>
          <w:rFonts w:ascii="Calibri" w:eastAsia="Calibri" w:hAnsi="Calibri" w:cs="Calibri"/>
          <w:szCs w:val="24"/>
          <w:lang w:val="es-ES"/>
        </w:rPr>
        <w:t xml:space="preserve">El Foro Regional de Desarrollo de la UIT para Europa (FDR-EUR), celebrado el 24 de marzo de 2026 en Praga (República Checa), acogió a más de 80 participantes en representación de 26 Estados Miembros, organizaciones regionales, organismos especializados de las Naciones Unidas, Miembros de Sector, instituciones académicas y otras partes interesadas para </w:t>
      </w:r>
      <w:r w:rsidRPr="006117E0">
        <w:rPr>
          <w:lang w:val="es-ES" w:eastAsia="en-GB"/>
        </w:rPr>
        <w:t>debatir</w:t>
      </w:r>
      <w:r w:rsidRPr="006117E0">
        <w:rPr>
          <w:rFonts w:ascii="Calibri" w:eastAsia="Calibri" w:hAnsi="Calibri" w:cs="Calibri"/>
          <w:szCs w:val="24"/>
          <w:lang w:val="es-ES"/>
        </w:rPr>
        <w:t xml:space="preserve"> cuestiones de desarrollo prioritarias para la región y la aplicación de las nuevas Iniciativas Regionales adoptadas en la Conferencia Mundial de Desarrollo de las Telecomunicaciones de 2025 (CMDT-25). El Foro Regional de Desarrollo concluyó con la hoja de ruta regional para la implementación de las Iniciativas Regionales de la UIT para Europa. La hoja de ruta orientará la ejecución general de las iniciativas regionales adoptadas en el Plan de Acción de Bakú de la CMDT-25. Las Iniciativas Regionales para Europa se centran en la infraestructura digital, la transformación digital, la inclusión digital y el desarrollo de competencias, la ciberseguridad y la innovación digital. Se examinaron y examinaron más de 60 contribuciones escritas, creando así varias asociaciones multipartitas. Se presentaron en las mesas redondas regionales de Partner2Connect y se incorporaron a la Hoja de ruta regional para Europa.</w:t>
      </w:r>
    </w:p>
    <w:p w14:paraId="0E5C18F8" w14:textId="1AF3417A" w:rsidR="00994606" w:rsidRPr="006117E0" w:rsidRDefault="00994606" w:rsidP="00F969CC">
      <w:pPr>
        <w:pStyle w:val="Headingb"/>
        <w:rPr>
          <w:b w:val="0"/>
          <w:lang w:val="es-ES" w:eastAsia="en-GB"/>
        </w:rPr>
      </w:pPr>
      <w:r w:rsidRPr="006117E0">
        <w:rPr>
          <w:lang w:val="es-ES" w:eastAsia="en-GB"/>
        </w:rPr>
        <w:t>Proyectos del UIT-D</w:t>
      </w:r>
    </w:p>
    <w:p w14:paraId="7E3692F2" w14:textId="69667950" w:rsidR="00994606" w:rsidRPr="006117E0" w:rsidRDefault="00994606" w:rsidP="00F969CC">
      <w:pPr>
        <w:rPr>
          <w:lang w:val="es-ES" w:eastAsia="en-GB"/>
        </w:rPr>
      </w:pPr>
      <w:r w:rsidRPr="006117E0">
        <w:rPr>
          <w:lang w:val="es-ES" w:eastAsia="en-GB"/>
        </w:rPr>
        <w:t>Desde enero de 2026, se han firmado 4 nuevos proyectos por un valor total de 622 409 CHF, mientras que se han firmado 12 addenda por un valor total de 612 012 CHF. El valor total recaudado en proyectos hasta la fecha corresponde a 1,23 millones de francos suizos. En general, los proyectos ya están contribuyendo a la aplicación de los resultados de la CMDT-25, en particular en las áreas temáticas de inclusión digital, ciberseguridad y política y reglamentación. Entre los socios contratados figuran la ARTP Senegal, la TRC Jordania y la FCDO.</w:t>
      </w:r>
    </w:p>
    <w:p w14:paraId="0EB0383E" w14:textId="0123AD2E" w:rsidR="00994606" w:rsidRPr="006117E0" w:rsidRDefault="00994606" w:rsidP="00F969CC">
      <w:pPr>
        <w:pStyle w:val="Headingb"/>
        <w:rPr>
          <w:lang w:val="es-ES" w:eastAsia="en-GB"/>
        </w:rPr>
      </w:pPr>
      <w:r w:rsidRPr="006117E0">
        <w:rPr>
          <w:lang w:val="es-ES" w:eastAsia="en-GB"/>
        </w:rPr>
        <w:t>Comisiones de Estudio del UIT-D</w:t>
      </w:r>
    </w:p>
    <w:p w14:paraId="196A4C69" w14:textId="7E9F46EB" w:rsidR="00994606" w:rsidRPr="006117E0" w:rsidRDefault="00994606" w:rsidP="00F969CC">
      <w:pPr>
        <w:rPr>
          <w:lang w:val="es-ES" w:eastAsia="en-GB"/>
        </w:rPr>
      </w:pPr>
      <w:r w:rsidRPr="006117E0">
        <w:rPr>
          <w:lang w:val="es-ES" w:eastAsia="en-GB"/>
        </w:rPr>
        <w:t>La primera reunión de la CE</w:t>
      </w:r>
      <w:r w:rsidR="008959D8" w:rsidRPr="006117E0">
        <w:rPr>
          <w:lang w:val="es-ES" w:eastAsia="en-GB"/>
        </w:rPr>
        <w:t> </w:t>
      </w:r>
      <w:r w:rsidRPr="006117E0">
        <w:rPr>
          <w:lang w:val="es-ES" w:eastAsia="en-GB"/>
        </w:rPr>
        <w:t>1 del UIT-D (Conectividad universal y significativa para reducir la brecha digital) y la CE</w:t>
      </w:r>
      <w:r w:rsidR="008959D8" w:rsidRPr="006117E0">
        <w:rPr>
          <w:lang w:val="es-ES" w:eastAsia="en-GB"/>
        </w:rPr>
        <w:t> </w:t>
      </w:r>
      <w:r w:rsidRPr="006117E0">
        <w:rPr>
          <w:lang w:val="es-ES" w:eastAsia="en-GB"/>
        </w:rPr>
        <w:t>2 del UIT-D (Transformación digital) se celebrará en la Sede de la UIT en Ginebra del 13 al 24 de abril de 2026.</w:t>
      </w:r>
    </w:p>
    <w:p w14:paraId="1E02203A" w14:textId="55963A08" w:rsidR="00994606" w:rsidRPr="006117E0" w:rsidRDefault="00994606" w:rsidP="00F969CC">
      <w:pPr>
        <w:rPr>
          <w:lang w:val="es-ES" w:eastAsia="en-GB"/>
        </w:rPr>
      </w:pPr>
      <w:r w:rsidRPr="006117E0">
        <w:rPr>
          <w:lang w:val="es-ES" w:eastAsia="en-GB"/>
        </w:rPr>
        <w:t>Los temas clave que se debatirán en las reuniones de la CE 1 y la CE 2 del UIT-D son:</w:t>
      </w:r>
    </w:p>
    <w:p w14:paraId="529B20DE" w14:textId="0919C5C7"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el nombramiento de los Relatores y Vicerrelatores para todas las Cuestiones de estudio aprobadas en la CMDT-25</w:t>
      </w:r>
      <w:r w:rsidR="008959D8" w:rsidRPr="006117E0">
        <w:rPr>
          <w:lang w:val="es-ES" w:eastAsia="en-GB"/>
        </w:rPr>
        <w:t>,</w:t>
      </w:r>
    </w:p>
    <w:p w14:paraId="2448CFA6" w14:textId="3CC52A2D"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la incorporación de todos los delegados mediante una sesión que tendrá lugar el 13 de abril por la tarde</w:t>
      </w:r>
      <w:r w:rsidR="008959D8" w:rsidRPr="006117E0">
        <w:rPr>
          <w:lang w:val="es-ES" w:eastAsia="en-GB"/>
        </w:rPr>
        <w:t>,</w:t>
      </w:r>
    </w:p>
    <w:p w14:paraId="1852D578" w14:textId="72EFD3BD"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la elaboración y aprobación de los planes de trabajo para cada Cuestión de estudio, de conformidad con el mandato aprobado en la CMDT-25</w:t>
      </w:r>
      <w:r w:rsidR="008959D8" w:rsidRPr="006117E0">
        <w:rPr>
          <w:lang w:val="es-ES" w:eastAsia="en-GB"/>
        </w:rPr>
        <w:t>,</w:t>
      </w:r>
    </w:p>
    <w:p w14:paraId="3CD41EFB" w14:textId="759B003A"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el análisis de las contribuciones recibidas</w:t>
      </w:r>
      <w:r w:rsidR="008959D8" w:rsidRPr="006117E0">
        <w:rPr>
          <w:lang w:val="es-ES" w:eastAsia="en-GB"/>
        </w:rPr>
        <w:t>,</w:t>
      </w:r>
    </w:p>
    <w:p w14:paraId="30B55A7A" w14:textId="5664B9F7"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la preparación de declaraciones de coordinación e informes de reuniones de las Cuestiones de estudio salientes</w:t>
      </w:r>
      <w:r w:rsidR="008959D8" w:rsidRPr="006117E0">
        <w:rPr>
          <w:lang w:val="es-ES" w:eastAsia="en-GB"/>
        </w:rPr>
        <w:t>,</w:t>
      </w:r>
    </w:p>
    <w:p w14:paraId="385CC540" w14:textId="713F0D2C" w:rsidR="00994606" w:rsidRPr="006117E0" w:rsidRDefault="00F969CC" w:rsidP="00F969CC">
      <w:pPr>
        <w:pStyle w:val="enumlev1"/>
        <w:rPr>
          <w:lang w:val="es-ES" w:eastAsia="en-GB"/>
        </w:rPr>
      </w:pPr>
      <w:r w:rsidRPr="006117E0">
        <w:rPr>
          <w:lang w:val="es-ES" w:eastAsia="en-GB"/>
        </w:rPr>
        <w:t>–</w:t>
      </w:r>
      <w:r w:rsidRPr="006117E0">
        <w:rPr>
          <w:lang w:val="es-ES" w:eastAsia="en-GB"/>
        </w:rPr>
        <w:tab/>
      </w:r>
      <w:r w:rsidR="00994606" w:rsidRPr="006117E0">
        <w:rPr>
          <w:lang w:val="es-ES" w:eastAsia="en-GB"/>
        </w:rPr>
        <w:t>la planificación de futuros productos intermedios y talleres/seminarios web</w:t>
      </w:r>
      <w:r w:rsidR="008959D8" w:rsidRPr="006117E0">
        <w:rPr>
          <w:lang w:val="es-ES" w:eastAsia="en-GB"/>
        </w:rPr>
        <w:t>.</w:t>
      </w:r>
    </w:p>
    <w:p w14:paraId="5A07F44D" w14:textId="77777777" w:rsidR="00994606" w:rsidRPr="006117E0" w:rsidRDefault="00994606" w:rsidP="00F969CC">
      <w:pPr>
        <w:rPr>
          <w:lang w:val="es-ES" w:eastAsia="en-GB"/>
        </w:rPr>
      </w:pPr>
      <w:r w:rsidRPr="006117E0">
        <w:rPr>
          <w:lang w:val="es-ES" w:eastAsia="en-GB"/>
        </w:rPr>
        <w:t>Al 27 de marzo, 206 delegados se habían inscrito para la CE 1 y se habían tramitado 70 contribuciones, mientras que para la CE 2 se habían inscrito 181 delegados para la CE 2 y se habían tramitado 36 contribuciones.</w:t>
      </w:r>
    </w:p>
    <w:p w14:paraId="7E3415D2" w14:textId="02302388" w:rsidR="00994606" w:rsidRPr="006117E0" w:rsidRDefault="00994606" w:rsidP="00F969CC">
      <w:pPr>
        <w:rPr>
          <w:lang w:val="es-ES" w:eastAsia="en-GB"/>
        </w:rPr>
      </w:pPr>
      <w:r w:rsidRPr="006117E0">
        <w:rPr>
          <w:lang w:val="es-ES" w:eastAsia="en-GB"/>
        </w:rPr>
        <w:lastRenderedPageBreak/>
        <w:t xml:space="preserve">La información sobre las reuniones de las Comisiones de Estudio (incluida la inscripción, el plan de gestión del tiempo, el orden del día y las contribuciones) está disponible en los sitios web de las respectivas reuniones; </w:t>
      </w:r>
      <w:hyperlink r:id="rId41" w:history="1">
        <w:r w:rsidRPr="006117E0">
          <w:rPr>
            <w:rStyle w:val="Hyperlink"/>
            <w:lang w:val="es-ES" w:eastAsia="en-GB"/>
          </w:rPr>
          <w:t>Comisión de Estudio 1</w:t>
        </w:r>
      </w:hyperlink>
      <w:r w:rsidRPr="006117E0">
        <w:rPr>
          <w:lang w:val="es-ES" w:eastAsia="en-GB"/>
        </w:rPr>
        <w:t xml:space="preserve"> y </w:t>
      </w:r>
      <w:hyperlink r:id="rId42" w:history="1">
        <w:r w:rsidRPr="006117E0">
          <w:rPr>
            <w:rStyle w:val="Hyperlink"/>
            <w:lang w:val="es-ES" w:eastAsia="en-GB"/>
          </w:rPr>
          <w:t>Comisión de Estudio 2</w:t>
        </w:r>
      </w:hyperlink>
      <w:r w:rsidR="008959D8" w:rsidRPr="006117E0">
        <w:rPr>
          <w:lang w:val="es-ES" w:eastAsia="en-GB"/>
        </w:rPr>
        <w:t>.</w:t>
      </w:r>
    </w:p>
    <w:p w14:paraId="2F36100D" w14:textId="25F5E3F3" w:rsidR="00994606" w:rsidRPr="006117E0" w:rsidRDefault="00994606" w:rsidP="008959D8">
      <w:pPr>
        <w:rPr>
          <w:lang w:val="es-ES" w:eastAsia="en-GB"/>
        </w:rPr>
      </w:pPr>
      <w:r w:rsidRPr="006117E0">
        <w:rPr>
          <w:lang w:val="es-ES" w:eastAsia="en-GB"/>
        </w:rPr>
        <w:t>Los equipos directivos de cada Comisión de Estudio se reunirán presencialmente los días 13 y 16 de abril para la CE</w:t>
      </w:r>
      <w:r w:rsidR="008959D8" w:rsidRPr="006117E0">
        <w:rPr>
          <w:lang w:val="es-ES" w:eastAsia="en-GB"/>
        </w:rPr>
        <w:t> </w:t>
      </w:r>
      <w:r w:rsidRPr="006117E0">
        <w:rPr>
          <w:lang w:val="es-ES" w:eastAsia="en-GB"/>
        </w:rPr>
        <w:t>1 y los días 20 y 22 de abril para la CE</w:t>
      </w:r>
      <w:r w:rsidR="008959D8" w:rsidRPr="006117E0">
        <w:rPr>
          <w:lang w:val="es-ES" w:eastAsia="en-GB"/>
        </w:rPr>
        <w:t> </w:t>
      </w:r>
      <w:r w:rsidRPr="006117E0">
        <w:rPr>
          <w:lang w:val="es-ES" w:eastAsia="en-GB"/>
        </w:rPr>
        <w:t>2.</w:t>
      </w:r>
    </w:p>
    <w:p w14:paraId="481298D1" w14:textId="74BDEB5F" w:rsidR="00994606" w:rsidRPr="006117E0" w:rsidRDefault="00994606" w:rsidP="008959D8">
      <w:pPr>
        <w:rPr>
          <w:lang w:val="es-ES" w:eastAsia="en-GB"/>
        </w:rPr>
      </w:pPr>
      <w:r w:rsidRPr="006117E0">
        <w:rPr>
          <w:lang w:val="es-ES" w:eastAsia="en-GB"/>
        </w:rPr>
        <w:t>El 17 de abril de 2026 se celebrará una reunión conjunta del equipo directivo de la CE</w:t>
      </w:r>
      <w:r w:rsidR="008959D8" w:rsidRPr="006117E0">
        <w:rPr>
          <w:lang w:val="es-ES" w:eastAsia="en-GB"/>
        </w:rPr>
        <w:t> </w:t>
      </w:r>
      <w:r w:rsidRPr="006117E0">
        <w:rPr>
          <w:lang w:val="es-ES" w:eastAsia="en-GB"/>
        </w:rPr>
        <w:t>1 y la CE</w:t>
      </w:r>
      <w:r w:rsidR="008959D8" w:rsidRPr="006117E0">
        <w:rPr>
          <w:lang w:val="es-ES" w:eastAsia="en-GB"/>
        </w:rPr>
        <w:t> </w:t>
      </w:r>
      <w:r w:rsidRPr="006117E0">
        <w:rPr>
          <w:lang w:val="es-ES" w:eastAsia="en-GB"/>
        </w:rPr>
        <w:t>2, presidida por el Director de la BDT.</w:t>
      </w:r>
    </w:p>
    <w:p w14:paraId="0C7D5874" w14:textId="7DDAE31F" w:rsidR="00994606" w:rsidRPr="006117E0" w:rsidRDefault="00994606" w:rsidP="008959D8">
      <w:pPr>
        <w:rPr>
          <w:lang w:val="es-ES" w:eastAsia="en-GB"/>
        </w:rPr>
      </w:pPr>
      <w:r w:rsidRPr="006117E0">
        <w:rPr>
          <w:lang w:val="es-ES" w:eastAsia="en-GB"/>
        </w:rPr>
        <w:t xml:space="preserve">Puede encontrarse más información en la </w:t>
      </w:r>
      <w:hyperlink r:id="rId43">
        <w:r w:rsidRPr="006117E0">
          <w:rPr>
            <w:rStyle w:val="Hyperlink"/>
            <w:lang w:val="es-ES" w:eastAsia="en-GB"/>
          </w:rPr>
          <w:t>página web del periodo de estudios 2023-2029</w:t>
        </w:r>
      </w:hyperlink>
      <w:r w:rsidRPr="006117E0">
        <w:rPr>
          <w:lang w:val="es-ES" w:eastAsia="en-GB"/>
        </w:rPr>
        <w:t>.</w:t>
      </w:r>
    </w:p>
    <w:p w14:paraId="3FB71B67" w14:textId="77777777" w:rsidR="00994606" w:rsidRPr="006117E0" w:rsidRDefault="00994606" w:rsidP="008959D8">
      <w:pPr>
        <w:pStyle w:val="Headingb"/>
        <w:rPr>
          <w:color w:val="000000"/>
          <w:lang w:val="es-ES" w:eastAsia="en-GB"/>
        </w:rPr>
      </w:pPr>
      <w:r w:rsidRPr="006117E0">
        <w:rPr>
          <w:lang w:val="es-ES" w:eastAsia="en-GB"/>
        </w:rPr>
        <w:t>Coalición Digital Partner2Connect (P2C)</w:t>
      </w:r>
    </w:p>
    <w:p w14:paraId="6EA32046" w14:textId="77777777" w:rsidR="00994606" w:rsidRPr="006117E0" w:rsidRDefault="00994606" w:rsidP="008959D8">
      <w:pPr>
        <w:rPr>
          <w:lang w:val="es-ES"/>
        </w:rPr>
      </w:pPr>
      <w:r w:rsidRPr="006117E0">
        <w:rPr>
          <w:lang w:val="es-ES"/>
        </w:rPr>
        <w:t xml:space="preserve">En el FDR Europa, celebrado en marzo en Praga (República Checa), se celebraron dos mesas redondas de emparejamiento P2C, basadas en los debates de la reunión y en las más de 60 contribuciones recibidas de las partes interesadas en respuesta a la Consulta Regional que brinda la oportunidad de contribuir a las actividades de la UIT a nivel regional y reflejar las necesidades estratégicas de la región durante el periodo de aplicación (2026-2029. El ejercicio de emparejamiento dio lugar a una hoja de ruta regional para la implementación de las Iniciativas Regionales de la UIT para Europa. </w:t>
      </w:r>
    </w:p>
    <w:p w14:paraId="0319FFD1" w14:textId="2D2B71DD" w:rsidR="00994606" w:rsidRPr="006117E0" w:rsidRDefault="00994606" w:rsidP="008959D8">
      <w:pPr>
        <w:rPr>
          <w:lang w:val="es-ES"/>
        </w:rPr>
      </w:pPr>
      <w:r w:rsidRPr="006117E0">
        <w:rPr>
          <w:lang w:val="es-ES"/>
        </w:rPr>
        <w:t>En los próximos Foros Regionales de Desarrollo de 2026 se celebrarán más sesiones de emparejamiento P2C en todas las regiones para apoyar la implementación de las iniciativas regionales adoptadas en la CMDT-25.</w:t>
      </w:r>
    </w:p>
    <w:p w14:paraId="135685A0" w14:textId="77777777" w:rsidR="008959D8" w:rsidRPr="006117E0" w:rsidRDefault="008959D8" w:rsidP="008959D8">
      <w:pPr>
        <w:rPr>
          <w:b/>
          <w:bCs/>
          <w:lang w:val="es-ES"/>
        </w:rPr>
        <w:sectPr w:rsidR="008959D8" w:rsidRPr="006117E0" w:rsidSect="0081159E">
          <w:headerReference w:type="first" r:id="rId44"/>
          <w:pgSz w:w="11907" w:h="16840" w:code="9"/>
          <w:pgMar w:top="1418" w:right="1134" w:bottom="1134" w:left="1134" w:header="720" w:footer="720" w:gutter="0"/>
          <w:cols w:space="720"/>
          <w:titlePg/>
          <w:docGrid w:linePitch="326"/>
        </w:sectPr>
      </w:pPr>
    </w:p>
    <w:p w14:paraId="619EAA75" w14:textId="77777777" w:rsidR="00994606" w:rsidRPr="006117E0" w:rsidRDefault="00994606" w:rsidP="008959D8">
      <w:pPr>
        <w:pStyle w:val="Heading2"/>
        <w:spacing w:after="120"/>
        <w:rPr>
          <w:lang w:val="es-ES"/>
        </w:rPr>
      </w:pPr>
      <w:r w:rsidRPr="006117E0">
        <w:rPr>
          <w:lang w:val="es-ES"/>
        </w:rPr>
        <w:lastRenderedPageBreak/>
        <w:t>3.5</w:t>
      </w:r>
      <w:r w:rsidRPr="006117E0">
        <w:rPr>
          <w:lang w:val="es-ES"/>
        </w:rPr>
        <w:tab/>
        <w:t>Prioridad 5 del UIT-D: Telecomunicaciones/TIC inclusivas para el desarrollo sostenible</w:t>
      </w:r>
    </w:p>
    <w:tbl>
      <w:tblPr>
        <w:tblW w:w="14278" w:type="dxa"/>
        <w:tblCellMar>
          <w:left w:w="28" w:type="dxa"/>
          <w:right w:w="28" w:type="dxa"/>
        </w:tblCellMar>
        <w:tblLook w:val="04A0" w:firstRow="1" w:lastRow="0" w:firstColumn="1" w:lastColumn="0" w:noHBand="0" w:noVBand="1"/>
      </w:tblPr>
      <w:tblGrid>
        <w:gridCol w:w="1966"/>
        <w:gridCol w:w="2849"/>
        <w:gridCol w:w="3041"/>
        <w:gridCol w:w="2096"/>
        <w:gridCol w:w="1442"/>
        <w:gridCol w:w="1442"/>
        <w:gridCol w:w="1442"/>
      </w:tblGrid>
      <w:tr w:rsidR="00994606" w:rsidRPr="006117E0" w14:paraId="087E03B6" w14:textId="77777777" w:rsidTr="00215C1F">
        <w:trPr>
          <w:trHeight w:val="600"/>
          <w:tblHeader/>
        </w:trPr>
        <w:tc>
          <w:tcPr>
            <w:tcW w:w="1966" w:type="dxa"/>
            <w:tcBorders>
              <w:top w:val="single" w:sz="4" w:space="0" w:color="44B3E1"/>
              <w:left w:val="single" w:sz="4" w:space="0" w:color="44B3E1"/>
              <w:bottom w:val="single" w:sz="4" w:space="0" w:color="44B3E1"/>
              <w:right w:val="nil"/>
            </w:tcBorders>
            <w:shd w:val="clear" w:color="auto" w:fill="156082"/>
            <w:vAlign w:val="center"/>
            <w:hideMark/>
          </w:tcPr>
          <w:p w14:paraId="1EFE2FF6"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Prioridad/Tema</w:t>
            </w:r>
          </w:p>
        </w:tc>
        <w:tc>
          <w:tcPr>
            <w:tcW w:w="2849" w:type="dxa"/>
            <w:tcBorders>
              <w:top w:val="single" w:sz="4" w:space="0" w:color="44B3E1"/>
              <w:left w:val="nil"/>
              <w:bottom w:val="single" w:sz="4" w:space="0" w:color="44B3E1"/>
              <w:right w:val="nil"/>
            </w:tcBorders>
            <w:shd w:val="clear" w:color="auto" w:fill="156082"/>
            <w:vAlign w:val="center"/>
            <w:hideMark/>
          </w:tcPr>
          <w:p w14:paraId="1882A199"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Realización</w:t>
            </w:r>
          </w:p>
        </w:tc>
        <w:tc>
          <w:tcPr>
            <w:tcW w:w="3041" w:type="dxa"/>
            <w:tcBorders>
              <w:top w:val="single" w:sz="4" w:space="0" w:color="44B3E1"/>
              <w:left w:val="nil"/>
              <w:bottom w:val="single" w:sz="4" w:space="0" w:color="44B3E1"/>
              <w:right w:val="nil"/>
            </w:tcBorders>
            <w:shd w:val="clear" w:color="auto" w:fill="156082"/>
            <w:vAlign w:val="center"/>
            <w:hideMark/>
          </w:tcPr>
          <w:p w14:paraId="667E2B05"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Indicadores de realizaciones</w:t>
            </w:r>
          </w:p>
        </w:tc>
        <w:tc>
          <w:tcPr>
            <w:tcW w:w="2096" w:type="dxa"/>
            <w:tcBorders>
              <w:top w:val="single" w:sz="4" w:space="0" w:color="44B3E1"/>
              <w:left w:val="nil"/>
              <w:bottom w:val="single" w:sz="4" w:space="0" w:color="44B3E1"/>
              <w:right w:val="nil"/>
            </w:tcBorders>
            <w:shd w:val="clear" w:color="auto" w:fill="156082"/>
            <w:vAlign w:val="center"/>
            <w:hideMark/>
          </w:tcPr>
          <w:p w14:paraId="114540C0"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Producto</w:t>
            </w:r>
            <w:r w:rsidRPr="006117E0">
              <w:rPr>
                <w:color w:val="FFFFFF" w:themeColor="background1"/>
                <w:lang w:val="es-ES" w:eastAsia="en-GB"/>
              </w:rPr>
              <w:br/>
              <w:t>(productos y servicios del UIT-D)</w:t>
            </w:r>
          </w:p>
        </w:tc>
        <w:tc>
          <w:tcPr>
            <w:tcW w:w="1442" w:type="dxa"/>
            <w:tcBorders>
              <w:top w:val="single" w:sz="4" w:space="0" w:color="44B3E1"/>
              <w:left w:val="nil"/>
              <w:bottom w:val="single" w:sz="4" w:space="0" w:color="44B3E1"/>
              <w:right w:val="nil"/>
            </w:tcBorders>
            <w:shd w:val="clear" w:color="auto" w:fill="156082"/>
            <w:vAlign w:val="center"/>
            <w:hideMark/>
          </w:tcPr>
          <w:p w14:paraId="28D1C8BD"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Presupuesto de 2026 (en CHF)</w:t>
            </w:r>
          </w:p>
        </w:tc>
        <w:tc>
          <w:tcPr>
            <w:tcW w:w="1442" w:type="dxa"/>
            <w:tcBorders>
              <w:top w:val="single" w:sz="4" w:space="0" w:color="44B3E1"/>
              <w:left w:val="nil"/>
              <w:bottom w:val="single" w:sz="4" w:space="0" w:color="44B3E1"/>
              <w:right w:val="nil"/>
            </w:tcBorders>
            <w:shd w:val="clear" w:color="auto" w:fill="156082"/>
            <w:vAlign w:val="center"/>
            <w:hideMark/>
          </w:tcPr>
          <w:p w14:paraId="130EBCFA"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 de Prioridad/factor habilitador total</w:t>
            </w:r>
          </w:p>
        </w:tc>
        <w:tc>
          <w:tcPr>
            <w:tcW w:w="1442" w:type="dxa"/>
            <w:tcBorders>
              <w:top w:val="single" w:sz="4" w:space="0" w:color="44B3E1"/>
              <w:left w:val="nil"/>
              <w:bottom w:val="single" w:sz="4" w:space="0" w:color="44B3E1"/>
              <w:right w:val="single" w:sz="4" w:space="0" w:color="44B3E1"/>
            </w:tcBorders>
            <w:shd w:val="clear" w:color="auto" w:fill="156082"/>
            <w:vAlign w:val="center"/>
            <w:hideMark/>
          </w:tcPr>
          <w:p w14:paraId="37746CC8" w14:textId="77777777" w:rsidR="00994606" w:rsidRPr="006117E0" w:rsidRDefault="00994606" w:rsidP="00215C1F">
            <w:pPr>
              <w:pStyle w:val="Tablehead"/>
              <w:rPr>
                <w:rFonts w:cstheme="minorHAnsi"/>
                <w:color w:val="FFFFFF" w:themeColor="background1"/>
                <w:lang w:val="es-ES" w:eastAsia="en-GB"/>
              </w:rPr>
            </w:pPr>
            <w:r w:rsidRPr="006117E0">
              <w:rPr>
                <w:color w:val="FFFFFF" w:themeColor="background1"/>
                <w:lang w:val="es-ES" w:eastAsia="en-GB"/>
              </w:rPr>
              <w:t xml:space="preserve">% del presupuesto total </w:t>
            </w:r>
          </w:p>
        </w:tc>
      </w:tr>
      <w:tr w:rsidR="00994606" w:rsidRPr="006117E0" w14:paraId="6C388C67" w14:textId="77777777" w:rsidTr="00215C1F">
        <w:trPr>
          <w:trHeight w:val="300"/>
        </w:trPr>
        <w:tc>
          <w:tcPr>
            <w:tcW w:w="7856" w:type="dxa"/>
            <w:gridSpan w:val="3"/>
            <w:tcBorders>
              <w:top w:val="single" w:sz="4" w:space="0" w:color="44B3E1"/>
              <w:left w:val="single" w:sz="4" w:space="0" w:color="44B3E1"/>
              <w:bottom w:val="single" w:sz="4" w:space="0" w:color="44B3E1"/>
              <w:right w:val="nil"/>
            </w:tcBorders>
            <w:shd w:val="clear" w:color="auto" w:fill="C0E6F5"/>
            <w:noWrap/>
            <w:hideMark/>
          </w:tcPr>
          <w:p w14:paraId="6561026E" w14:textId="77777777" w:rsidR="00994606" w:rsidRPr="006117E0" w:rsidRDefault="00994606" w:rsidP="00215C1F">
            <w:pPr>
              <w:pStyle w:val="Tabletext"/>
              <w:rPr>
                <w:b/>
                <w:bCs/>
                <w:lang w:val="es-ES" w:eastAsia="en-GB"/>
              </w:rPr>
            </w:pPr>
            <w:r w:rsidRPr="006117E0">
              <w:rPr>
                <w:b/>
                <w:bCs/>
                <w:lang w:val="es-ES" w:eastAsia="en-GB"/>
              </w:rPr>
              <w:t>Telecomunicaciones/TIC inclusivas y seguras para el desarrollo sostenible totales</w:t>
            </w:r>
          </w:p>
        </w:tc>
        <w:tc>
          <w:tcPr>
            <w:tcW w:w="2096" w:type="dxa"/>
            <w:tcBorders>
              <w:top w:val="single" w:sz="4" w:space="0" w:color="44B3E1"/>
              <w:left w:val="nil"/>
              <w:bottom w:val="single" w:sz="4" w:space="0" w:color="44B3E1"/>
              <w:right w:val="nil"/>
            </w:tcBorders>
            <w:shd w:val="clear" w:color="auto" w:fill="C0E6F5"/>
            <w:noWrap/>
            <w:hideMark/>
          </w:tcPr>
          <w:p w14:paraId="55A72155" w14:textId="77777777" w:rsidR="00994606" w:rsidRPr="006117E0" w:rsidRDefault="00994606" w:rsidP="00215C1F">
            <w:pPr>
              <w:pStyle w:val="Tabletext"/>
              <w:rPr>
                <w:b/>
                <w:bCs/>
                <w:lang w:val="es-ES" w:eastAsia="en-GB"/>
              </w:rPr>
            </w:pPr>
          </w:p>
        </w:tc>
        <w:tc>
          <w:tcPr>
            <w:tcW w:w="1442" w:type="dxa"/>
            <w:tcBorders>
              <w:top w:val="single" w:sz="4" w:space="0" w:color="44B3E1"/>
              <w:left w:val="nil"/>
              <w:bottom w:val="single" w:sz="4" w:space="0" w:color="44B3E1"/>
              <w:right w:val="nil"/>
            </w:tcBorders>
            <w:shd w:val="clear" w:color="auto" w:fill="C0E6F5"/>
            <w:noWrap/>
            <w:hideMark/>
          </w:tcPr>
          <w:p w14:paraId="07B69EE3" w14:textId="77777777" w:rsidR="00994606" w:rsidRPr="006117E0" w:rsidRDefault="00994606" w:rsidP="00215C1F">
            <w:pPr>
              <w:pStyle w:val="Tabletext"/>
              <w:jc w:val="center"/>
              <w:rPr>
                <w:b/>
                <w:bCs/>
                <w:lang w:val="es-ES" w:eastAsia="en-GB"/>
              </w:rPr>
            </w:pPr>
            <w:r w:rsidRPr="006117E0">
              <w:rPr>
                <w:b/>
                <w:bCs/>
                <w:lang w:val="es-ES" w:eastAsia="en-GB"/>
              </w:rPr>
              <w:t>736 500</w:t>
            </w:r>
          </w:p>
        </w:tc>
        <w:tc>
          <w:tcPr>
            <w:tcW w:w="1442" w:type="dxa"/>
            <w:tcBorders>
              <w:top w:val="single" w:sz="4" w:space="0" w:color="44B3E1"/>
              <w:left w:val="nil"/>
              <w:bottom w:val="single" w:sz="4" w:space="0" w:color="44B3E1"/>
              <w:right w:val="nil"/>
            </w:tcBorders>
            <w:shd w:val="clear" w:color="auto" w:fill="C0E6F5"/>
            <w:noWrap/>
            <w:hideMark/>
          </w:tcPr>
          <w:p w14:paraId="03FA1840" w14:textId="77777777" w:rsidR="00994606" w:rsidRPr="006117E0" w:rsidRDefault="00994606" w:rsidP="00215C1F">
            <w:pPr>
              <w:pStyle w:val="Tabletext"/>
              <w:jc w:val="center"/>
              <w:rPr>
                <w:b/>
                <w:bCs/>
                <w:lang w:val="es-ES" w:eastAsia="en-GB"/>
              </w:rPr>
            </w:pPr>
          </w:p>
        </w:tc>
        <w:tc>
          <w:tcPr>
            <w:tcW w:w="1442" w:type="dxa"/>
            <w:tcBorders>
              <w:top w:val="single" w:sz="4" w:space="0" w:color="44B3E1"/>
              <w:left w:val="nil"/>
              <w:bottom w:val="single" w:sz="4" w:space="0" w:color="44B3E1"/>
              <w:right w:val="single" w:sz="4" w:space="0" w:color="44B3E1"/>
            </w:tcBorders>
            <w:shd w:val="clear" w:color="auto" w:fill="C0E6F5"/>
            <w:noWrap/>
            <w:hideMark/>
          </w:tcPr>
          <w:p w14:paraId="2C81020E" w14:textId="795A0166" w:rsidR="00994606" w:rsidRPr="006117E0" w:rsidRDefault="00994606" w:rsidP="00215C1F">
            <w:pPr>
              <w:pStyle w:val="Tabletext"/>
              <w:jc w:val="center"/>
              <w:rPr>
                <w:b/>
                <w:bCs/>
                <w:lang w:val="es-ES" w:eastAsia="en-GB"/>
              </w:rPr>
            </w:pPr>
            <w:r w:rsidRPr="006117E0">
              <w:rPr>
                <w:b/>
                <w:bCs/>
                <w:lang w:val="es-ES" w:eastAsia="en-GB"/>
              </w:rPr>
              <w:t>19,32</w:t>
            </w:r>
            <w:r w:rsidR="008959D8" w:rsidRPr="006117E0">
              <w:rPr>
                <w:b/>
                <w:bCs/>
                <w:lang w:val="es-ES" w:eastAsia="en-GB"/>
              </w:rPr>
              <w:t xml:space="preserve"> </w:t>
            </w:r>
            <w:r w:rsidRPr="006117E0">
              <w:rPr>
                <w:b/>
                <w:bCs/>
                <w:lang w:val="es-ES" w:eastAsia="en-GB"/>
              </w:rPr>
              <w:t>%</w:t>
            </w:r>
          </w:p>
        </w:tc>
      </w:tr>
      <w:tr w:rsidR="00994606" w:rsidRPr="006117E0" w14:paraId="55A6636D" w14:textId="77777777" w:rsidTr="00215C1F">
        <w:trPr>
          <w:trHeight w:val="6000"/>
        </w:trPr>
        <w:tc>
          <w:tcPr>
            <w:tcW w:w="1966" w:type="dxa"/>
            <w:tcBorders>
              <w:top w:val="single" w:sz="4" w:space="0" w:color="44B3E1"/>
              <w:left w:val="single" w:sz="4" w:space="0" w:color="44B3E1"/>
              <w:bottom w:val="single" w:sz="4" w:space="0" w:color="44B3E1"/>
              <w:right w:val="nil"/>
            </w:tcBorders>
            <w:noWrap/>
            <w:hideMark/>
          </w:tcPr>
          <w:p w14:paraId="506F49E5" w14:textId="77777777" w:rsidR="00994606" w:rsidRPr="006117E0" w:rsidRDefault="00994606" w:rsidP="00215C1F">
            <w:pPr>
              <w:pStyle w:val="Tabletext"/>
              <w:rPr>
                <w:b/>
                <w:bCs/>
                <w:lang w:val="es-ES" w:eastAsia="en-GB"/>
              </w:rPr>
            </w:pPr>
            <w:r w:rsidRPr="006117E0">
              <w:rPr>
                <w:b/>
                <w:bCs/>
                <w:lang w:val="es-ES" w:eastAsia="en-GB"/>
              </w:rPr>
              <w:t>Ciberseguridad</w:t>
            </w:r>
          </w:p>
        </w:tc>
        <w:tc>
          <w:tcPr>
            <w:tcW w:w="2849" w:type="dxa"/>
            <w:tcBorders>
              <w:top w:val="single" w:sz="4" w:space="0" w:color="44B3E1"/>
              <w:left w:val="nil"/>
              <w:bottom w:val="single" w:sz="4" w:space="0" w:color="44B3E1"/>
              <w:right w:val="nil"/>
            </w:tcBorders>
            <w:hideMark/>
          </w:tcPr>
          <w:p w14:paraId="5872C768"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Mejora de la alfabetización y la conciencia sobre las cuestiones de ciberseguridad</w:t>
            </w:r>
          </w:p>
          <w:p w14:paraId="4658CC3A"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Refuerzo de la capacidad para responder a ciberincidentes y ciberataques</w:t>
            </w:r>
          </w:p>
          <w:p w14:paraId="579FB90A"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Mejora de la Protección de la Infancia en Línea</w:t>
            </w:r>
          </w:p>
        </w:tc>
        <w:tc>
          <w:tcPr>
            <w:tcW w:w="3041" w:type="dxa"/>
            <w:tcBorders>
              <w:top w:val="single" w:sz="4" w:space="0" w:color="44B3E1"/>
              <w:left w:val="nil"/>
              <w:bottom w:val="single" w:sz="4" w:space="0" w:color="44B3E1"/>
              <w:right w:val="nil"/>
            </w:tcBorders>
            <w:hideMark/>
          </w:tcPr>
          <w:p w14:paraId="258AAB05" w14:textId="77777777" w:rsidR="00994606" w:rsidRPr="006117E0" w:rsidRDefault="00994606" w:rsidP="00215C1F">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t>Número de Estados Miembros que han adoptado estrategias de ciberseguridad en su agenda nacional de desarrollo</w:t>
            </w:r>
          </w:p>
          <w:p w14:paraId="53CFB85B" w14:textId="77777777" w:rsidR="00994606" w:rsidRPr="006117E0" w:rsidRDefault="00994606" w:rsidP="00215C1F">
            <w:pPr>
              <w:pStyle w:val="Tabletext"/>
              <w:ind w:left="284" w:hanging="284"/>
              <w:rPr>
                <w:color w:val="000000" w:themeColor="text1"/>
                <w:lang w:val="es-ES" w:eastAsia="en-GB"/>
              </w:rPr>
            </w:pPr>
            <w:r w:rsidRPr="006117E0">
              <w:rPr>
                <w:color w:val="000000" w:themeColor="text1"/>
                <w:lang w:val="es-ES" w:eastAsia="en-GB"/>
              </w:rPr>
              <w:t>•</w:t>
            </w:r>
            <w:r w:rsidRPr="006117E0">
              <w:rPr>
                <w:color w:val="000000" w:themeColor="text1"/>
                <w:lang w:val="es-ES" w:eastAsia="en-GB"/>
              </w:rPr>
              <w:tab/>
              <w:t>Número de Estados Miembros con equipos de intervención en caso de incidentes informáticos (EIII) creados y mejorados</w:t>
            </w:r>
          </w:p>
          <w:p w14:paraId="62E05738"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Porcentaje de Estados Miembros cuyos EIII nacionales (o equivalentes) son miembros o participan en iniciativas de cooperación regional o mundial pertinentes</w:t>
            </w:r>
          </w:p>
          <w:p w14:paraId="537EE937" w14:textId="77777777" w:rsidR="00994606" w:rsidRPr="006117E0" w:rsidRDefault="00994606" w:rsidP="00215C1F">
            <w:pPr>
              <w:pStyle w:val="Tabletext"/>
              <w:ind w:left="284" w:hanging="284"/>
              <w:rPr>
                <w:color w:val="000000" w:themeColor="text1"/>
                <w:lang w:val="es-ES" w:eastAsia="en-GB"/>
              </w:rPr>
            </w:pPr>
            <w:r w:rsidRPr="006117E0">
              <w:rPr>
                <w:lang w:val="es-ES" w:eastAsia="en-GB"/>
              </w:rPr>
              <w:t>•</w:t>
            </w:r>
            <w:r w:rsidRPr="006117E0">
              <w:rPr>
                <w:lang w:val="es-ES" w:eastAsia="en-GB"/>
              </w:rPr>
              <w:tab/>
              <w:t>Número de Estados Miembros que cuentan con una política o estrategia de protección de la infancia en línea</w:t>
            </w:r>
          </w:p>
          <w:p w14:paraId="46C5D612"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Número de Estados Miembros con sistemas de apoyo a la infancia en línea identificados (por ejemplo, líneas de ayuda, sistemas de derivación)</w:t>
            </w:r>
          </w:p>
        </w:tc>
        <w:tc>
          <w:tcPr>
            <w:tcW w:w="2096" w:type="dxa"/>
            <w:tcBorders>
              <w:top w:val="single" w:sz="4" w:space="0" w:color="44B3E1"/>
              <w:left w:val="nil"/>
              <w:bottom w:val="single" w:sz="4" w:space="0" w:color="44B3E1"/>
              <w:right w:val="nil"/>
            </w:tcBorders>
            <w:hideMark/>
          </w:tcPr>
          <w:p w14:paraId="2EB24A61"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Plataformas de reunión</w:t>
            </w:r>
          </w:p>
          <w:p w14:paraId="08DC3CEA"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marcos de aprendizaje</w:t>
            </w:r>
          </w:p>
          <w:p w14:paraId="0419900A"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Políticas y estrategias modelo, conjuntos de herramientas</w:t>
            </w:r>
          </w:p>
          <w:p w14:paraId="63B7777E"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intervenciones técnicas</w:t>
            </w:r>
          </w:p>
          <w:p w14:paraId="10700EE4"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Estadísticas</w:t>
            </w:r>
          </w:p>
        </w:tc>
        <w:tc>
          <w:tcPr>
            <w:tcW w:w="1442" w:type="dxa"/>
            <w:tcBorders>
              <w:top w:val="single" w:sz="4" w:space="0" w:color="44B3E1"/>
              <w:left w:val="nil"/>
              <w:bottom w:val="single" w:sz="4" w:space="0" w:color="44B3E1"/>
              <w:right w:val="nil"/>
            </w:tcBorders>
            <w:noWrap/>
            <w:hideMark/>
          </w:tcPr>
          <w:p w14:paraId="35F80CCE" w14:textId="77777777" w:rsidR="00994606" w:rsidRPr="006117E0" w:rsidRDefault="00994606" w:rsidP="00215C1F">
            <w:pPr>
              <w:pStyle w:val="Tabletext"/>
              <w:jc w:val="center"/>
              <w:rPr>
                <w:lang w:val="es-ES" w:eastAsia="en-GB"/>
              </w:rPr>
            </w:pPr>
            <w:r w:rsidRPr="006117E0">
              <w:rPr>
                <w:lang w:val="es-ES" w:eastAsia="en-GB"/>
              </w:rPr>
              <w:t>465 000</w:t>
            </w:r>
          </w:p>
        </w:tc>
        <w:tc>
          <w:tcPr>
            <w:tcW w:w="1442" w:type="dxa"/>
            <w:tcBorders>
              <w:top w:val="single" w:sz="4" w:space="0" w:color="44B3E1"/>
              <w:left w:val="nil"/>
              <w:bottom w:val="single" w:sz="4" w:space="0" w:color="44B3E1"/>
              <w:right w:val="nil"/>
            </w:tcBorders>
            <w:noWrap/>
            <w:hideMark/>
          </w:tcPr>
          <w:p w14:paraId="08101BB9" w14:textId="079BA6C8" w:rsidR="00994606" w:rsidRPr="006117E0" w:rsidRDefault="00994606" w:rsidP="00215C1F">
            <w:pPr>
              <w:pStyle w:val="Tabletext"/>
              <w:jc w:val="center"/>
              <w:rPr>
                <w:lang w:val="es-ES" w:eastAsia="en-GB"/>
              </w:rPr>
            </w:pPr>
            <w:r w:rsidRPr="006117E0">
              <w:rPr>
                <w:lang w:val="es-ES" w:eastAsia="en-GB"/>
              </w:rPr>
              <w:t>63,1</w:t>
            </w:r>
            <w:r w:rsidR="008959D8" w:rsidRPr="006117E0">
              <w:rPr>
                <w:lang w:val="es-ES" w:eastAsia="en-GB"/>
              </w:rPr>
              <w:t xml:space="preserve"> </w:t>
            </w:r>
            <w:r w:rsidRPr="006117E0">
              <w:rPr>
                <w:lang w:val="es-ES" w:eastAsia="en-GB"/>
              </w:rPr>
              <w:t>%</w:t>
            </w:r>
          </w:p>
        </w:tc>
        <w:tc>
          <w:tcPr>
            <w:tcW w:w="1442" w:type="dxa"/>
            <w:tcBorders>
              <w:top w:val="single" w:sz="4" w:space="0" w:color="44B3E1"/>
              <w:left w:val="nil"/>
              <w:bottom w:val="single" w:sz="4" w:space="0" w:color="44B3E1"/>
              <w:right w:val="single" w:sz="4" w:space="0" w:color="44B3E1"/>
            </w:tcBorders>
            <w:noWrap/>
            <w:hideMark/>
          </w:tcPr>
          <w:p w14:paraId="6D04365C" w14:textId="0CF48F7B" w:rsidR="00994606" w:rsidRPr="006117E0" w:rsidRDefault="00994606" w:rsidP="00215C1F">
            <w:pPr>
              <w:pStyle w:val="Tabletext"/>
              <w:jc w:val="center"/>
              <w:rPr>
                <w:lang w:val="es-ES" w:eastAsia="en-GB"/>
              </w:rPr>
            </w:pPr>
            <w:r w:rsidRPr="006117E0">
              <w:rPr>
                <w:lang w:val="es-ES" w:eastAsia="en-GB"/>
              </w:rPr>
              <w:t>12,2</w:t>
            </w:r>
            <w:r w:rsidR="008959D8" w:rsidRPr="006117E0">
              <w:rPr>
                <w:lang w:val="es-ES" w:eastAsia="en-GB"/>
              </w:rPr>
              <w:t xml:space="preserve"> </w:t>
            </w:r>
            <w:r w:rsidRPr="006117E0">
              <w:rPr>
                <w:lang w:val="es-ES" w:eastAsia="en-GB"/>
              </w:rPr>
              <w:t>%</w:t>
            </w:r>
          </w:p>
        </w:tc>
      </w:tr>
      <w:tr w:rsidR="00994606" w:rsidRPr="006117E0" w14:paraId="0D10821E" w14:textId="77777777" w:rsidTr="00215C1F">
        <w:trPr>
          <w:trHeight w:val="2700"/>
        </w:trPr>
        <w:tc>
          <w:tcPr>
            <w:tcW w:w="1966" w:type="dxa"/>
            <w:tcBorders>
              <w:top w:val="single" w:sz="4" w:space="0" w:color="44B3E1"/>
              <w:left w:val="single" w:sz="4" w:space="0" w:color="44B3E1"/>
              <w:bottom w:val="single" w:sz="4" w:space="0" w:color="44B3E1"/>
              <w:right w:val="nil"/>
            </w:tcBorders>
            <w:shd w:val="clear" w:color="auto" w:fill="C0E6F5"/>
            <w:noWrap/>
            <w:hideMark/>
          </w:tcPr>
          <w:p w14:paraId="6B413E1D" w14:textId="77777777" w:rsidR="00994606" w:rsidRPr="006117E0" w:rsidRDefault="00994606" w:rsidP="00215C1F">
            <w:pPr>
              <w:pStyle w:val="Tabletext"/>
              <w:rPr>
                <w:b/>
                <w:bCs/>
                <w:lang w:val="es-ES" w:eastAsia="en-GB"/>
              </w:rPr>
            </w:pPr>
            <w:r w:rsidRPr="006117E0">
              <w:rPr>
                <w:b/>
                <w:bCs/>
                <w:lang w:val="es-ES" w:eastAsia="en-GB"/>
              </w:rPr>
              <w:lastRenderedPageBreak/>
              <w:t>Inclusión digital</w:t>
            </w:r>
          </w:p>
        </w:tc>
        <w:tc>
          <w:tcPr>
            <w:tcW w:w="2849" w:type="dxa"/>
            <w:tcBorders>
              <w:top w:val="single" w:sz="4" w:space="0" w:color="44B3E1"/>
              <w:left w:val="nil"/>
              <w:bottom w:val="single" w:sz="4" w:space="0" w:color="44B3E1"/>
              <w:right w:val="nil"/>
            </w:tcBorders>
            <w:shd w:val="clear" w:color="auto" w:fill="C0E6F5"/>
            <w:hideMark/>
          </w:tcPr>
          <w:p w14:paraId="40F8BF7E"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Refuerzo de la capacidad de los Miembros de la UIT para elaborar estrategias, políticas y prácticas que favorezcan la inclusión digital para todas las personas, en particular para las mujeres y las niñas, y las personas con discapacidad</w:t>
            </w:r>
          </w:p>
        </w:tc>
        <w:tc>
          <w:tcPr>
            <w:tcW w:w="3041" w:type="dxa"/>
            <w:tcBorders>
              <w:top w:val="single" w:sz="4" w:space="0" w:color="44B3E1"/>
              <w:left w:val="nil"/>
              <w:bottom w:val="single" w:sz="4" w:space="0" w:color="44B3E1"/>
              <w:right w:val="nil"/>
            </w:tcBorders>
            <w:shd w:val="clear" w:color="auto" w:fill="C0E6F5"/>
            <w:hideMark/>
          </w:tcPr>
          <w:p w14:paraId="21D7206A" w14:textId="77777777" w:rsidR="00994606" w:rsidRPr="006117E0" w:rsidRDefault="00994606" w:rsidP="00215C1F">
            <w:pPr>
              <w:pStyle w:val="Tabletext"/>
              <w:ind w:left="284" w:hanging="284"/>
              <w:rPr>
                <w:rFonts w:cstheme="minorBidi"/>
                <w:color w:val="000000" w:themeColor="text1"/>
                <w:lang w:val="es-ES" w:eastAsia="en-GB"/>
              </w:rPr>
            </w:pPr>
            <w:r w:rsidRPr="006117E0">
              <w:rPr>
                <w:rFonts w:cstheme="minorBidi"/>
                <w:color w:val="000000" w:themeColor="text1"/>
                <w:lang w:val="es-ES" w:eastAsia="en-GB"/>
              </w:rPr>
              <w:t>•</w:t>
            </w:r>
            <w:r w:rsidRPr="006117E0">
              <w:rPr>
                <w:rFonts w:cstheme="minorBidi"/>
                <w:color w:val="000000" w:themeColor="text1"/>
                <w:lang w:val="es-ES" w:eastAsia="en-GB"/>
              </w:rPr>
              <w:tab/>
              <w:t>Número de Estados Miembros que han elaborado una política y una estrategia de inclusión digital a nivel nacional</w:t>
            </w:r>
          </w:p>
          <w:p w14:paraId="55033B9A" w14:textId="77777777" w:rsidR="00994606" w:rsidRPr="006117E0" w:rsidRDefault="00994606" w:rsidP="00215C1F">
            <w:pPr>
              <w:pStyle w:val="Tabletext"/>
              <w:ind w:left="284" w:hanging="284"/>
              <w:rPr>
                <w:rFonts w:cstheme="minorBidi"/>
                <w:lang w:val="es-ES" w:eastAsia="en-GB"/>
              </w:rPr>
            </w:pPr>
            <w:r w:rsidRPr="006117E0">
              <w:rPr>
                <w:rFonts w:cstheme="minorBidi"/>
                <w:color w:val="000000" w:themeColor="text1"/>
                <w:lang w:val="es-ES" w:eastAsia="en-GB"/>
              </w:rPr>
              <w:t>•</w:t>
            </w:r>
            <w:r w:rsidRPr="006117E0">
              <w:rPr>
                <w:rFonts w:cstheme="minorBidi"/>
                <w:color w:val="000000" w:themeColor="text1"/>
                <w:lang w:val="es-ES" w:eastAsia="en-GB"/>
              </w:rPr>
              <w:tab/>
              <w:t>Número de Estados Miembros que han puesto en marcha iniciativas de inclusión digital en los últimos dos años.</w:t>
            </w:r>
          </w:p>
        </w:tc>
        <w:tc>
          <w:tcPr>
            <w:tcW w:w="2096" w:type="dxa"/>
            <w:tcBorders>
              <w:top w:val="single" w:sz="4" w:space="0" w:color="44B3E1"/>
              <w:left w:val="nil"/>
              <w:bottom w:val="single" w:sz="4" w:space="0" w:color="44B3E1"/>
              <w:right w:val="nil"/>
            </w:tcBorders>
            <w:shd w:val="clear" w:color="auto" w:fill="C0E6F5"/>
            <w:hideMark/>
          </w:tcPr>
          <w:p w14:paraId="78126C84"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Marcos de aprendizaje</w:t>
            </w:r>
          </w:p>
          <w:p w14:paraId="75DA0188"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Plataformas de reunión</w:t>
            </w:r>
          </w:p>
          <w:p w14:paraId="4779A8BB"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Políticas y estrategias modelo, conjuntos de herramientas</w:t>
            </w:r>
          </w:p>
          <w:p w14:paraId="214ADE2F" w14:textId="77777777" w:rsidR="00994606" w:rsidRPr="006117E0" w:rsidRDefault="00994606" w:rsidP="00215C1F">
            <w:pPr>
              <w:pStyle w:val="Tabletext"/>
              <w:ind w:left="284" w:hanging="284"/>
              <w:rPr>
                <w:lang w:val="es-ES" w:eastAsia="en-GB"/>
              </w:rPr>
            </w:pPr>
            <w:r w:rsidRPr="006117E0">
              <w:rPr>
                <w:lang w:val="es-ES" w:eastAsia="en-GB"/>
              </w:rPr>
              <w:t>•</w:t>
            </w:r>
            <w:r w:rsidRPr="006117E0">
              <w:rPr>
                <w:lang w:val="es-ES" w:eastAsia="en-GB"/>
              </w:rPr>
              <w:tab/>
              <w:t>intervenciones técnicas</w:t>
            </w:r>
          </w:p>
        </w:tc>
        <w:tc>
          <w:tcPr>
            <w:tcW w:w="1442" w:type="dxa"/>
            <w:tcBorders>
              <w:top w:val="single" w:sz="4" w:space="0" w:color="44B3E1"/>
              <w:left w:val="nil"/>
              <w:bottom w:val="single" w:sz="4" w:space="0" w:color="44B3E1"/>
              <w:right w:val="nil"/>
            </w:tcBorders>
            <w:shd w:val="clear" w:color="auto" w:fill="C0E6F5"/>
            <w:noWrap/>
            <w:hideMark/>
          </w:tcPr>
          <w:p w14:paraId="503A7928" w14:textId="77777777" w:rsidR="00994606" w:rsidRPr="006117E0" w:rsidRDefault="00994606" w:rsidP="00215C1F">
            <w:pPr>
              <w:pStyle w:val="Tabletext"/>
              <w:jc w:val="center"/>
              <w:rPr>
                <w:lang w:val="es-ES" w:eastAsia="en-GB"/>
              </w:rPr>
            </w:pPr>
            <w:r w:rsidRPr="006117E0">
              <w:rPr>
                <w:lang w:val="es-ES" w:eastAsia="en-GB"/>
              </w:rPr>
              <w:t>271 500</w:t>
            </w:r>
          </w:p>
        </w:tc>
        <w:tc>
          <w:tcPr>
            <w:tcW w:w="1442" w:type="dxa"/>
            <w:tcBorders>
              <w:top w:val="single" w:sz="4" w:space="0" w:color="44B3E1"/>
              <w:left w:val="nil"/>
              <w:bottom w:val="single" w:sz="4" w:space="0" w:color="44B3E1"/>
              <w:right w:val="nil"/>
            </w:tcBorders>
            <w:shd w:val="clear" w:color="auto" w:fill="C0E6F5"/>
            <w:noWrap/>
            <w:hideMark/>
          </w:tcPr>
          <w:p w14:paraId="6E46C354" w14:textId="1D312B0A" w:rsidR="00994606" w:rsidRPr="006117E0" w:rsidRDefault="00994606" w:rsidP="00215C1F">
            <w:pPr>
              <w:pStyle w:val="Tabletext"/>
              <w:jc w:val="center"/>
              <w:rPr>
                <w:lang w:val="es-ES" w:eastAsia="en-GB"/>
              </w:rPr>
            </w:pPr>
            <w:r w:rsidRPr="006117E0">
              <w:rPr>
                <w:lang w:val="es-ES" w:eastAsia="en-GB"/>
              </w:rPr>
              <w:t>36,9</w:t>
            </w:r>
            <w:r w:rsidR="008959D8" w:rsidRPr="006117E0">
              <w:rPr>
                <w:lang w:val="es-ES" w:eastAsia="en-GB"/>
              </w:rPr>
              <w:t xml:space="preserve"> </w:t>
            </w:r>
            <w:r w:rsidRPr="006117E0">
              <w:rPr>
                <w:lang w:val="es-ES" w:eastAsia="en-GB"/>
              </w:rPr>
              <w:t>%</w:t>
            </w:r>
          </w:p>
        </w:tc>
        <w:tc>
          <w:tcPr>
            <w:tcW w:w="1442" w:type="dxa"/>
            <w:tcBorders>
              <w:top w:val="single" w:sz="4" w:space="0" w:color="44B3E1"/>
              <w:left w:val="nil"/>
              <w:bottom w:val="single" w:sz="4" w:space="0" w:color="44B3E1"/>
              <w:right w:val="single" w:sz="4" w:space="0" w:color="44B3E1"/>
            </w:tcBorders>
            <w:shd w:val="clear" w:color="auto" w:fill="C0E6F5"/>
            <w:noWrap/>
            <w:hideMark/>
          </w:tcPr>
          <w:p w14:paraId="2BC05884" w14:textId="024CF1CF" w:rsidR="00994606" w:rsidRPr="006117E0" w:rsidRDefault="00994606" w:rsidP="00215C1F">
            <w:pPr>
              <w:pStyle w:val="Tabletext"/>
              <w:jc w:val="center"/>
              <w:rPr>
                <w:lang w:val="es-ES" w:eastAsia="en-GB"/>
              </w:rPr>
            </w:pPr>
            <w:r w:rsidRPr="006117E0">
              <w:rPr>
                <w:lang w:val="es-ES" w:eastAsia="en-GB"/>
              </w:rPr>
              <w:t>7,1</w:t>
            </w:r>
            <w:r w:rsidR="008959D8" w:rsidRPr="006117E0">
              <w:rPr>
                <w:lang w:val="es-ES" w:eastAsia="en-GB"/>
              </w:rPr>
              <w:t xml:space="preserve"> </w:t>
            </w:r>
            <w:r w:rsidRPr="006117E0">
              <w:rPr>
                <w:lang w:val="es-ES" w:eastAsia="en-GB"/>
              </w:rPr>
              <w:t>%</w:t>
            </w:r>
          </w:p>
        </w:tc>
      </w:tr>
    </w:tbl>
    <w:p w14:paraId="664531FD" w14:textId="77777777" w:rsidR="008959D8" w:rsidRPr="006117E0" w:rsidRDefault="008959D8" w:rsidP="008959D8">
      <w:pPr>
        <w:rPr>
          <w:lang w:val="es-ES"/>
        </w:rPr>
        <w:sectPr w:rsidR="008959D8" w:rsidRPr="006117E0" w:rsidSect="008959D8">
          <w:headerReference w:type="default" r:id="rId45"/>
          <w:headerReference w:type="first" r:id="rId46"/>
          <w:pgSz w:w="16840" w:h="11907" w:orient="landscape" w:code="9"/>
          <w:pgMar w:top="1134" w:right="1418" w:bottom="1134" w:left="1134" w:header="720" w:footer="720" w:gutter="0"/>
          <w:cols w:space="720"/>
          <w:titlePg/>
          <w:docGrid w:linePitch="326"/>
        </w:sectPr>
      </w:pPr>
    </w:p>
    <w:p w14:paraId="4D5C7B49" w14:textId="7951038B" w:rsidR="00994606" w:rsidRPr="006117E0" w:rsidRDefault="00994606" w:rsidP="008959D8">
      <w:pPr>
        <w:pStyle w:val="Headingi"/>
        <w:rPr>
          <w:b/>
          <w:bCs/>
          <w:lang w:val="es-ES"/>
        </w:rPr>
      </w:pPr>
      <w:r w:rsidRPr="006117E0">
        <w:rPr>
          <w:b/>
          <w:bCs/>
          <w:lang w:val="es-ES"/>
        </w:rPr>
        <w:lastRenderedPageBreak/>
        <w:t xml:space="preserve">Hitos de la aplicación en 2026: Prioridad 5 del UIT-D – Telecomunicaciones/TIC inclusivas y seguras para el desarrollo sostenible </w:t>
      </w:r>
    </w:p>
    <w:p w14:paraId="6FF276CF" w14:textId="77777777" w:rsidR="00994606" w:rsidRPr="006117E0" w:rsidRDefault="00994606" w:rsidP="00D14B56">
      <w:pPr>
        <w:rPr>
          <w:lang w:val="es-ES"/>
        </w:rPr>
      </w:pPr>
      <w:r w:rsidRPr="006117E0">
        <w:rPr>
          <w:lang w:val="es-ES"/>
        </w:rPr>
        <w:t>La 4ª edición de Her CyberTracks, lanzada en marzo, incluye a países de la región de Asia-Pacífico e introduce una nueva vía sobre ciberseguridad e IA, que refleja la evolución del panorama de la ciberseguridad.</w:t>
      </w:r>
    </w:p>
    <w:p w14:paraId="43C4D47E" w14:textId="77777777" w:rsidR="00994606" w:rsidRPr="006117E0" w:rsidRDefault="00994606" w:rsidP="00D14B56">
      <w:pPr>
        <w:rPr>
          <w:lang w:val="es-ES"/>
        </w:rPr>
      </w:pPr>
      <w:r w:rsidRPr="006117E0">
        <w:rPr>
          <w:lang w:val="es-ES"/>
        </w:rPr>
        <w:t>La UIT firmó junto con otras entidades de las Naciones Unidas y diversas partes interesadas la Declaración conjunta sobre la IA y los derechos del niño.</w:t>
      </w:r>
    </w:p>
    <w:p w14:paraId="7118B1D3" w14:textId="77777777" w:rsidR="00994606" w:rsidRPr="006117E0" w:rsidRDefault="00994606" w:rsidP="00D14B56">
      <w:pPr>
        <w:rPr>
          <w:lang w:val="es-ES"/>
        </w:rPr>
      </w:pPr>
      <w:r w:rsidRPr="006117E0">
        <w:rPr>
          <w:b/>
          <w:bCs/>
          <w:lang w:val="es-ES"/>
        </w:rPr>
        <w:t xml:space="preserve">En África, </w:t>
      </w:r>
      <w:r w:rsidRPr="006117E0">
        <w:rPr>
          <w:lang w:val="es-ES"/>
        </w:rPr>
        <w:t>en enero, se organizó un taller en la República Democrática del Congo para apoyar el fortalecimiento de la armonización nacional en la creación de EIII sectoriales. En febrero se prestó apoyo técnico a la creación de EIII sectoriales en Mozambique, al capacitar a 60 partes interesadas y fortalecer la coordinación interinstitucional. Están en marcha los preparativos para celebrar el Cibersimulacro Regional para África en Zimbabwe, del 30 de junio al 3 de julio.</w:t>
      </w:r>
    </w:p>
    <w:p w14:paraId="5B6AD380" w14:textId="7B8D0F3D" w:rsidR="00994606" w:rsidRPr="006117E0" w:rsidRDefault="00994606" w:rsidP="00D14B56">
      <w:pPr>
        <w:rPr>
          <w:lang w:val="es-ES"/>
        </w:rPr>
      </w:pPr>
      <w:r w:rsidRPr="006117E0">
        <w:rPr>
          <w:b/>
          <w:bCs/>
          <w:lang w:val="es-ES"/>
        </w:rPr>
        <w:t xml:space="preserve">En las Américas, </w:t>
      </w:r>
      <w:r w:rsidRPr="006117E0">
        <w:rPr>
          <w:lang w:val="es-ES"/>
        </w:rPr>
        <w:t>durante la fase final del proyecto de establecimiento del EIII en Bahamas, la BDT desplegó herramientas forenses digitales y llevó a cabo cursos de capacitación in situ del 16 al 24</w:t>
      </w:r>
      <w:r w:rsidR="008959D8" w:rsidRPr="006117E0">
        <w:rPr>
          <w:lang w:val="es-ES"/>
        </w:rPr>
        <w:t> </w:t>
      </w:r>
      <w:r w:rsidRPr="006117E0">
        <w:rPr>
          <w:lang w:val="es-ES"/>
        </w:rPr>
        <w:t>de marzo. La implementación concluirá en abril con las sesiones finales del programa de formación en línea.</w:t>
      </w:r>
    </w:p>
    <w:p w14:paraId="2C40CC6A" w14:textId="77777777" w:rsidR="00994606" w:rsidRPr="006117E0" w:rsidRDefault="00994606" w:rsidP="00D14B56">
      <w:pPr>
        <w:rPr>
          <w:lang w:val="es-ES"/>
        </w:rPr>
      </w:pPr>
      <w:r w:rsidRPr="006117E0">
        <w:rPr>
          <w:b/>
          <w:bCs/>
          <w:lang w:val="es-ES"/>
        </w:rPr>
        <w:t xml:space="preserve">En Asia-Pacífico, </w:t>
      </w:r>
      <w:r w:rsidRPr="006117E0">
        <w:rPr>
          <w:lang w:val="es-ES"/>
        </w:rPr>
        <w:t>la BDT impartió sesiones de formación del 13 al 16 de enero en el marco de la capacitación en materia de ciberseguridad y formación en políticas y creación de capacidades cibernéticas entre Pakistán y el Instituto de las Naciones Unidas para Investigación del Desarme (UNIDIR) en Islamabad. Las sesiones, organizadas en colaboración con el UNIDIR y el Ministerio de Relaciones Exteriores de Pakistán y con el apoyo de Canadá, se centraron en el fortalecimiento de los equipos nacionales de intervención en caso de incidente informático y la protección de la infraestructura de información esencial, las estrategias nacionales de ciberseguridad y la formación técnica de los equipos de respuesta a incidentes.</w:t>
      </w:r>
    </w:p>
    <w:p w14:paraId="4CEEBC19" w14:textId="77777777" w:rsidR="00994606" w:rsidRPr="006117E0" w:rsidRDefault="00994606" w:rsidP="00D14B56">
      <w:pPr>
        <w:rPr>
          <w:lang w:val="es-ES"/>
        </w:rPr>
      </w:pPr>
      <w:r w:rsidRPr="006117E0">
        <w:rPr>
          <w:lang w:val="es-ES"/>
        </w:rPr>
        <w:t xml:space="preserve">Además, la BDT, en colaboración con la República de Corea, organizó una sesión de formación interregional sobre normas del UIT-T en materia de ciberseguridad para expertos en ciberseguridad de las regiones de Asia y el Pacífico y de la CEI. Sobre la base de las Recomendaciones del UIT-T, Protección de datos (X.1220/X.nspam) y Autentificación sin contraseña (X.1280), la Asociación de Tecnología de las Telecomunicaciones (TTA) y la Alianza sin contraseña de la República de Corea se asociaron con la BDT para impartir esta formación esencial en Bangkok del 11 al 13 de febrero de 2026. </w:t>
      </w:r>
    </w:p>
    <w:p w14:paraId="7DB2F0C2" w14:textId="77777777" w:rsidR="00994606" w:rsidRPr="006117E0" w:rsidRDefault="00994606" w:rsidP="00D14B56">
      <w:pPr>
        <w:rPr>
          <w:lang w:val="es-ES"/>
        </w:rPr>
      </w:pPr>
      <w:r w:rsidRPr="006117E0">
        <w:rPr>
          <w:b/>
          <w:bCs/>
          <w:lang w:val="es-ES"/>
        </w:rPr>
        <w:t xml:space="preserve">En la CEI, </w:t>
      </w:r>
      <w:r w:rsidRPr="006117E0">
        <w:rPr>
          <w:lang w:val="es-ES"/>
        </w:rPr>
        <w:t>el proyecto conjunto de la UIT y el Banco Mundial apoyó la creación de un equipo de intervención en caso de incidente informático (EIII) nacional en la República Kirguisa, reforzando la capacidad institucional para detectar, responder y mitigar las amenazas de ciberseguridad. A través de la provisión de infraestructura técnica, formación y orientación operativa, la iniciativa mejoró la ciberresiliencia nacional y contribuyó a construir un entorno digital más seguro y fiable en consonancia con las prácticas idóneas internacionales. La inauguración oficial del EIII tuvo lugar en Bishkek el 12 de marzo.</w:t>
      </w:r>
    </w:p>
    <w:p w14:paraId="54CB2EF9" w14:textId="77777777" w:rsidR="00994606" w:rsidRPr="006117E0" w:rsidRDefault="00994606" w:rsidP="00D14B56">
      <w:pPr>
        <w:rPr>
          <w:lang w:val="es-ES"/>
        </w:rPr>
      </w:pPr>
      <w:r w:rsidRPr="006117E0">
        <w:rPr>
          <w:lang w:val="es-ES"/>
        </w:rPr>
        <w:t xml:space="preserve">El informe de evaluación realizado por la BDT sobre la creación de un Equipo de Intervención en caso de Incidentes Informáticos (EIII) sectorial en Tayikistán proporciona un análisis exhaustivo de la preparación nacional en materia de ciberseguridad, identificando las principales carencias, las necesidades institucionales y las prioridades estratégicas de implementación. El informe apoya la toma de decisiones basada en pruebas al esbozar una hoja de ruta para desarrollar un EIII eficaz, </w:t>
      </w:r>
      <w:r w:rsidRPr="006117E0">
        <w:rPr>
          <w:lang w:val="es-ES"/>
        </w:rPr>
        <w:lastRenderedPageBreak/>
        <w:t>que contribuya a reforzar la ciberresiliencia nacional y a mejorar la protección de las infraestructuras digitales esenciales, de conformidad con las prácticas idóneas internacionales.</w:t>
      </w:r>
    </w:p>
    <w:p w14:paraId="11D5E0E6" w14:textId="77777777" w:rsidR="00994606" w:rsidRPr="006117E0" w:rsidRDefault="00994606" w:rsidP="00D14B56">
      <w:pPr>
        <w:rPr>
          <w:lang w:val="es-ES"/>
        </w:rPr>
      </w:pPr>
      <w:r w:rsidRPr="006117E0">
        <w:rPr>
          <w:lang w:val="es-ES"/>
        </w:rPr>
        <w:t>El 12 de marzo, la BDT, el Ministerio de Industria de Alta Tecnología de la República de Armenia, la Agencia de Sistemas de Información de Armenia (ISAA), la Unión de Operadores de Armenia y el For Ladies Club organizaron conjuntamente una reunión titulada "La seguridad de los niños en línea es nuestra responsabilidad compartida". El debate congregó a educadores, madres y otros participantes interesados para explorar los desafíos actuales relacionados con la seguridad de los niños en línea y las posibles soluciones.</w:t>
      </w:r>
    </w:p>
    <w:p w14:paraId="5521943F" w14:textId="6C2B6797" w:rsidR="00994606" w:rsidRPr="006117E0" w:rsidRDefault="00994606" w:rsidP="00D14B56">
      <w:pPr>
        <w:pStyle w:val="Headingb"/>
        <w:rPr>
          <w:lang w:val="es-ES" w:eastAsia="en-GB"/>
        </w:rPr>
      </w:pPr>
      <w:r w:rsidRPr="006117E0">
        <w:rPr>
          <w:lang w:val="es-ES" w:eastAsia="en-GB"/>
        </w:rPr>
        <w:t>Inclusión digital</w:t>
      </w:r>
    </w:p>
    <w:p w14:paraId="044113AD" w14:textId="77777777" w:rsidR="00994606" w:rsidRPr="006117E0" w:rsidRDefault="00994606" w:rsidP="00D14B56">
      <w:pPr>
        <w:rPr>
          <w:lang w:val="es-ES"/>
        </w:rPr>
      </w:pPr>
      <w:r w:rsidRPr="006117E0">
        <w:rPr>
          <w:lang w:val="es-ES"/>
        </w:rPr>
        <w:t>La BDT publicó el informe sobre la integración estratégica de la accesibilidad de las tecnologías de la información y la comunicación (TIC), elaborado para ayudar a los Estados Miembros de la UIT a promover un mundo digital sin barreras. La publicación ofrece orientaciones prácticas, estrategias de implementación y herramientas normalizadas para garantizar el cumplimiento de la accesibilidad de las TIC. Exige que la accesibilidad se integre desde el principio en todos los productos y servicios de TIC y que sus requisitos se integren en las políticas y la reglamentación, el desarrollo tecnológico, el diseño de equipos y los servicios digitales.</w:t>
      </w:r>
    </w:p>
    <w:p w14:paraId="4F9C7EB5" w14:textId="77777777" w:rsidR="00994606" w:rsidRPr="006117E0" w:rsidRDefault="00994606" w:rsidP="00D14B56">
      <w:pPr>
        <w:rPr>
          <w:lang w:val="es-ES"/>
        </w:rPr>
      </w:pPr>
      <w:r w:rsidRPr="006117E0">
        <w:rPr>
          <w:lang w:val="es-ES"/>
        </w:rPr>
        <w:t>Se puso en marcha la 3ª edición del</w:t>
      </w:r>
      <w:r w:rsidRPr="006117E0">
        <w:rPr>
          <w:b/>
          <w:bCs/>
          <w:lang w:val="es-ES"/>
        </w:rPr>
        <w:t xml:space="preserve"> Programa de Jóvenes Líderes de</w:t>
      </w:r>
      <w:r w:rsidRPr="006117E0">
        <w:rPr>
          <w:lang w:val="es-ES"/>
        </w:rPr>
        <w:t xml:space="preserve"> </w:t>
      </w:r>
      <w:r w:rsidRPr="006117E0">
        <w:rPr>
          <w:b/>
          <w:bCs/>
          <w:lang w:val="es-ES"/>
        </w:rPr>
        <w:t>Generation Connect</w:t>
      </w:r>
      <w:r w:rsidRPr="006117E0">
        <w:rPr>
          <w:lang w:val="es-ES"/>
        </w:rPr>
        <w:t xml:space="preserve"> (GCYLP) del ciclo 2026–2027, para el que, al 30 de marzo de 2026, se habían recibido cerca de 6 500 solicitudes. El programa sigue apoyando anualmente a 30 jóvenes innovadores, ofreciendo tutoría, formación y una subvención inicial de 5 000 USD, con oportunidades de financiación adicionales en función del impacto del proyecto. Los becarios seleccionados participarán en una Semana Mundial del Desarrollo en Ginebra en septiembre de 2026, reforzando aún más las capacidades de liderazgo e innovación. </w:t>
      </w:r>
    </w:p>
    <w:p w14:paraId="41B5BBB2" w14:textId="77777777" w:rsidR="00994606" w:rsidRPr="006117E0" w:rsidRDefault="00994606" w:rsidP="00D14B56">
      <w:pPr>
        <w:rPr>
          <w:lang w:val="es-ES"/>
        </w:rPr>
      </w:pPr>
      <w:r w:rsidRPr="006117E0">
        <w:rPr>
          <w:lang w:val="es-ES"/>
        </w:rPr>
        <w:t xml:space="preserve">En paralelo, el 9 de marzo de 2026 se presentó un nuevo grupo de la iniciativa </w:t>
      </w:r>
      <w:r w:rsidRPr="006117E0">
        <w:rPr>
          <w:b/>
          <w:bCs/>
          <w:lang w:val="es-ES"/>
        </w:rPr>
        <w:t>Enviados de la Juventud de Generation Connect (GCYE)</w:t>
      </w:r>
      <w:r w:rsidRPr="006117E0">
        <w:rPr>
          <w:lang w:val="es-ES"/>
        </w:rPr>
        <w:t>, para el que pueden presentarse candidaturas hasta el 30 de abril.</w:t>
      </w:r>
    </w:p>
    <w:p w14:paraId="73EE829D" w14:textId="77777777" w:rsidR="00994606" w:rsidRPr="006117E0" w:rsidRDefault="00994606" w:rsidP="00D14B56">
      <w:pPr>
        <w:rPr>
          <w:lang w:val="es-ES"/>
        </w:rPr>
      </w:pPr>
      <w:r w:rsidRPr="006117E0">
        <w:rPr>
          <w:b/>
          <w:bCs/>
          <w:lang w:val="es-ES"/>
        </w:rPr>
        <w:t xml:space="preserve">En África, </w:t>
      </w:r>
      <w:r w:rsidRPr="006117E0">
        <w:rPr>
          <w:lang w:val="es-ES"/>
        </w:rPr>
        <w:t xml:space="preserve">tras la evaluación por la BDT de la inclusión digital, centrada en las personas con discapacidad y las poblaciones vulnerables de Mozambique, se organizó una serie de seminarios web de sensibilización. Se celebraron dos seminarios web, en febrero y marzo, respectivamente, que reunieron a partes interesadas de los sectores público y privado para avanzar en la transformación digital inclusiva. </w:t>
      </w:r>
    </w:p>
    <w:p w14:paraId="2015B0E8" w14:textId="77777777" w:rsidR="00994606" w:rsidRPr="006117E0" w:rsidRDefault="00994606" w:rsidP="00D14B56">
      <w:pPr>
        <w:rPr>
          <w:lang w:val="es-ES"/>
        </w:rPr>
      </w:pPr>
      <w:r w:rsidRPr="006117E0">
        <w:rPr>
          <w:b/>
          <w:bCs/>
          <w:lang w:val="es-ES"/>
        </w:rPr>
        <w:t xml:space="preserve">En Asia-Pacífico, </w:t>
      </w:r>
      <w:r w:rsidRPr="006117E0">
        <w:rPr>
          <w:lang w:val="es-ES"/>
        </w:rPr>
        <w:t>el 16 de febrero, la BDT, en asociación con la Comisión Nacional para la Mujer (NCW) y el Instituto de las Naciones Unidas para Formación Profesional e Investigaciones (UNITAR), organizó conjuntamente una sesión sobre "IA y poder económico – Una hoja de ruta para la prosperidad dirigida por las mujeres", que se celebró durante la Cumbre sobre el impacto de la IA en la India, celebrada en Bharat Mandapam en Nueva Delhi (India). En los debates se destacó la importancia de empoderar a las mujeres en tanto que creadoras, innovadoras</w:t>
      </w:r>
      <w:r w:rsidRPr="006117E0">
        <w:rPr>
          <w:color w:val="333333"/>
          <w:sz w:val="26"/>
          <w:szCs w:val="26"/>
          <w:shd w:val="clear" w:color="auto" w:fill="FFFFFF"/>
          <w:lang w:val="es-ES"/>
        </w:rPr>
        <w:t xml:space="preserve"> </w:t>
      </w:r>
      <w:r w:rsidRPr="006117E0">
        <w:rPr>
          <w:lang w:val="es-ES"/>
        </w:rPr>
        <w:t>y propietarias en el ecosistema de la IA, haciendo hincapié en la capacitación, la alfabetización en materia de IA, la ética digital y la sensibilización sobre la ciberseguridad, así como la necesidad de abordar riesgos digitales como los deepfakes, reforzar la responsabilidad de las plataformas y garantizar políticas de apoyo que protejan a las mujeres en línea</w:t>
      </w:r>
      <w:r w:rsidRPr="006117E0">
        <w:rPr>
          <w:i/>
          <w:iCs/>
          <w:lang w:val="es-ES"/>
        </w:rPr>
        <w:t>.</w:t>
      </w:r>
    </w:p>
    <w:p w14:paraId="7B306F19" w14:textId="70B4E614" w:rsidR="00994606" w:rsidRPr="006117E0" w:rsidRDefault="00994606" w:rsidP="00D14B56">
      <w:pPr>
        <w:rPr>
          <w:lang w:val="es-ES"/>
        </w:rPr>
      </w:pPr>
      <w:r w:rsidRPr="006117E0">
        <w:rPr>
          <w:b/>
          <w:bCs/>
          <w:lang w:val="es-ES"/>
        </w:rPr>
        <w:t xml:space="preserve">En la CEI, </w:t>
      </w:r>
      <w:r w:rsidRPr="006117E0">
        <w:rPr>
          <w:lang w:val="es-ES"/>
        </w:rPr>
        <w:t xml:space="preserve">los días 3 y 4 de febrero se celebró en la Universidad Técnica Estatal I. Razzakov de Kirguistán el hackathon inclusivo de ingeniería </w:t>
      </w:r>
      <w:r w:rsidR="000216E0" w:rsidRPr="006117E0">
        <w:rPr>
          <w:lang w:val="es-ES"/>
        </w:rPr>
        <w:t>"</w:t>
      </w:r>
      <w:r w:rsidRPr="006117E0">
        <w:rPr>
          <w:lang w:val="es-ES"/>
        </w:rPr>
        <w:t>ICT4ALL: Soluciones digitales sin fronteras</w:t>
      </w:r>
      <w:r w:rsidR="000216E0" w:rsidRPr="006117E0">
        <w:rPr>
          <w:lang w:val="es-ES"/>
        </w:rPr>
        <w:t>"</w:t>
      </w:r>
      <w:r w:rsidRPr="006117E0">
        <w:rPr>
          <w:lang w:val="es-ES"/>
        </w:rPr>
        <w:t xml:space="preserve">. Este evento sirvió de plataforma para la aplicación práctica de tecnologías asistenciales destinadas a mejorar la calidad de vida de las personas con discapacidad visual. Esta actividad facilitó la </w:t>
      </w:r>
      <w:r w:rsidRPr="006117E0">
        <w:rPr>
          <w:lang w:val="es-ES"/>
        </w:rPr>
        <w:lastRenderedPageBreak/>
        <w:t>transferencia efectiva de conocimientos: los estudiantes aportaron competencias en microcontroladores modernos y programación, mientras que los especialistas de mayor edad proporcionaron conocimientos técnicos y los beneficiarios contribuyeron con sus experiencias de vida y los desafíos que enfrentan las personas con necesidades especiales en la vida diaria. </w:t>
      </w:r>
    </w:p>
    <w:p w14:paraId="0C23027A" w14:textId="77777777" w:rsidR="00994606" w:rsidRPr="006117E0" w:rsidRDefault="00994606" w:rsidP="00D14B56">
      <w:pPr>
        <w:rPr>
          <w:b/>
          <w:bCs/>
          <w:lang w:val="es-ES"/>
        </w:rPr>
      </w:pPr>
      <w:r w:rsidRPr="006117E0">
        <w:rPr>
          <w:b/>
          <w:bCs/>
          <w:lang w:val="es-ES"/>
        </w:rPr>
        <w:t xml:space="preserve">En Europa, </w:t>
      </w:r>
      <w:r w:rsidRPr="006117E0">
        <w:rPr>
          <w:lang w:val="es-ES"/>
        </w:rPr>
        <w:t>la BDT entregó a Moldova la evaluación nacional de sus políticas y reglamentos, centrándose especialmente en la accesibilidad digital</w:t>
      </w:r>
      <w:r w:rsidRPr="006117E0">
        <w:rPr>
          <w:rFonts w:ascii="Calibri" w:eastAsia="Calibri" w:hAnsi="Calibri" w:cs="Calibri"/>
          <w:lang w:val="es-ES"/>
        </w:rPr>
        <w:t>.</w:t>
      </w:r>
    </w:p>
    <w:p w14:paraId="7ADB5B6E" w14:textId="77777777" w:rsidR="003F29D1" w:rsidRPr="006117E0" w:rsidRDefault="003F29D1" w:rsidP="00D14B56">
      <w:pPr>
        <w:pStyle w:val="Heading1"/>
        <w:rPr>
          <w:lang w:val="es-ES"/>
        </w:rPr>
      </w:pPr>
      <w:r w:rsidRPr="006117E0">
        <w:rPr>
          <w:lang w:val="es-ES"/>
        </w:rPr>
        <w:t>4</w:t>
      </w:r>
      <w:r w:rsidRPr="006117E0">
        <w:rPr>
          <w:lang w:val="es-ES"/>
        </w:rPr>
        <w:tab/>
        <w:t>Productos</w:t>
      </w:r>
    </w:p>
    <w:p w14:paraId="4C4F81DF" w14:textId="77777777" w:rsidR="003F29D1" w:rsidRPr="006117E0" w:rsidRDefault="003F29D1" w:rsidP="003F29D1">
      <w:pPr>
        <w:tabs>
          <w:tab w:val="clear" w:pos="1134"/>
          <w:tab w:val="clear" w:pos="1871"/>
          <w:tab w:val="clear" w:pos="2268"/>
          <w:tab w:val="left" w:pos="5339"/>
        </w:tabs>
        <w:rPr>
          <w:lang w:val="es-ES"/>
        </w:rPr>
      </w:pPr>
      <w:r w:rsidRPr="006117E0">
        <w:rPr>
          <w:lang w:val="es-ES"/>
        </w:rPr>
        <w:t xml:space="preserve">Para lograr las realizaciones definidas por la CMDT-25 para cada Prioridad del UIT-D, la BDT seguirá elaborando productos y servicios para soportar la aplicación a nivel nacional, regional e internacional. Estos productos y servicios (productos) son transversales y contribuyen colectivamente a la consecución de todas las prioridades. </w:t>
      </w:r>
    </w:p>
    <w:p w14:paraId="21362C0B" w14:textId="77777777" w:rsidR="003F29D1" w:rsidRPr="006117E0" w:rsidRDefault="003F29D1" w:rsidP="003F29D1">
      <w:pPr>
        <w:tabs>
          <w:tab w:val="clear" w:pos="1134"/>
          <w:tab w:val="clear" w:pos="1871"/>
          <w:tab w:val="clear" w:pos="2268"/>
          <w:tab w:val="left" w:pos="5339"/>
        </w:tabs>
        <w:rPr>
          <w:lang w:val="es-ES"/>
        </w:rPr>
      </w:pPr>
      <w:r w:rsidRPr="006117E0">
        <w:rPr>
          <w:lang w:val="es-ES"/>
        </w:rPr>
        <w:t>Las principales categorías de productos del UIT-D son las siguientes:</w:t>
      </w:r>
    </w:p>
    <w:p w14:paraId="36446848" w14:textId="77777777"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Políticas y estrategias modelo</w:t>
      </w:r>
      <w:r w:rsidRPr="006117E0">
        <w:rPr>
          <w:lang w:val="es-ES"/>
        </w:rPr>
        <w:br/>
        <w:t>La BDT prepara orientaciones y marcos políticos que ayuden a los Estados Miembros a diseñar planes estratégicos y marcos nacionales de telecomunicaciones/TIC personalizados. Como ejemplos pueden citarse, entre otros, los planes nacionales de telecomunicaciones de emergencia (PNTE), manuales de innovación, directrices y estrategias de radiodifusión, estrategias nacionales de ciberseguridad, directrices políticas y estrategias nacionales para la inclusión digital, orientaciones sobre política reglamentaria y recomendaciones políticas en pro de la transformación digital y la inversión.</w:t>
      </w:r>
    </w:p>
    <w:p w14:paraId="7961542A" w14:textId="77777777"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Conjuntos de herramientas y herramientas analíticas</w:t>
      </w:r>
      <w:r w:rsidRPr="006117E0">
        <w:rPr>
          <w:lang w:val="es-ES"/>
        </w:rPr>
        <w:br/>
        <w:t>La BDT ofrece herramientas prácticas y plataformas digitales para la planificación el despliegue infraestructural, la evaluación política y la toma de decisiones. Como ejemplos pueden citarse la plataforma de planificación de la conectividad (PPC), que se presentará en el GSR-26, el enfoque para la transformación digital y los mapas de banda ancha, que ofrecen herramientas geoespaciales y de innovación, visualización infraestructural, modelización de la conectividad e información estadística para la planificación de la infraestructura y la adopción de decisiones de inversión, las herramientas de accesibilidad digital en pro de la inclusión digital de todas las personas, y otras herramientas de planificación y reglamentación del ecosistema digital.</w:t>
      </w:r>
    </w:p>
    <w:p w14:paraId="25E6D070" w14:textId="3EF20349"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Plataformas de reunión</w:t>
      </w:r>
      <w:r w:rsidRPr="006117E0">
        <w:rPr>
          <w:lang w:val="es-ES"/>
        </w:rPr>
        <w:br/>
        <w:t>La BDT organiza foros mundiales y regionales, incluidos diálogos y debates multipartitos, que facilitan el intercambio de conocimientos, el establecimiento de asociaciones y la coordinación entre gobiernos, entidades industriales y socios para el desarrollo. Como ejemplos pueden citarse el Simposio Mundial para Organismos Reguladores (GSR), el Foro Mundial de Innovación (GIF), el Foro de Competencias Digitales (DSF), los Foros Regionales de Desarrollo (FRD), el Simposio Mundial sobre Indicadores de Telecomunicaciones/TIC (SMIT), los eventos Un Mundo Accesible, etc.</w:t>
      </w:r>
    </w:p>
    <w:p w14:paraId="22D711DC" w14:textId="5696FF56"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Marcos de aprendizaje y recursos de capacitación</w:t>
      </w:r>
      <w:r w:rsidRPr="006117E0">
        <w:rPr>
          <w:lang w:val="es-ES"/>
        </w:rPr>
        <w:br/>
        <w:t xml:space="preserve">La BDT lleva a cabo actividades de formación presenciales, cursos y programas de formación en línea autogestionados o con tutor a través de sus iniciativas de capacitación y prepara recursos de conocimiento, incluidos informes temáticos y herramientas que ayudan a los responsables políticos, reguladores y profesionales a </w:t>
      </w:r>
      <w:r w:rsidRPr="006117E0">
        <w:rPr>
          <w:lang w:val="es-ES"/>
        </w:rPr>
        <w:lastRenderedPageBreak/>
        <w:t>mejorar sus competencias individuales e institucionales. Se incluyen aquí los marcos de aprendizaje preparados por el Laboratorio de Transformación Digital, los cursos de la Academia de la UIT y otros mecanismos de aprendizaje, talleres, sesiones de formación, etc.</w:t>
      </w:r>
    </w:p>
    <w:p w14:paraId="2FD4EF1A" w14:textId="77777777"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Estadísticas, investigaciones y productos de conocimiento</w:t>
      </w:r>
      <w:r w:rsidRPr="006117E0">
        <w:rPr>
          <w:lang w:val="es-ES"/>
        </w:rPr>
        <w:br/>
        <w:t xml:space="preserve">La BDT produce datos, indicadores y publicaciones analíticas que facilitan la toma de decisiones con conocimiento de causa. Como ejemplos pueden citarse los indicadores de TIC, los perfiles de innovación digital, los informes de previsión estratégica, los Informes de país sobre regulación colaborativa, la Plataforma de reglamentación digital, el </w:t>
      </w:r>
      <w:r w:rsidRPr="006117E0">
        <w:rPr>
          <w:i/>
          <w:iCs/>
          <w:lang w:val="es-ES"/>
        </w:rPr>
        <w:t>Global E-waste Monitor</w:t>
      </w:r>
      <w:r w:rsidRPr="006117E0">
        <w:rPr>
          <w:lang w:val="es-ES"/>
        </w:rPr>
        <w:t xml:space="preserve">, el informe </w:t>
      </w:r>
      <w:r w:rsidRPr="006117E0">
        <w:rPr>
          <w:i/>
          <w:iCs/>
          <w:lang w:val="es-ES"/>
        </w:rPr>
        <w:t>Greening Digital Companies</w:t>
      </w:r>
      <w:r w:rsidRPr="006117E0">
        <w:rPr>
          <w:lang w:val="es-ES"/>
        </w:rPr>
        <w:t xml:space="preserve"> y demás estudios temáticos que permiten evaluar los ecosistemas digitales nacionales y la capacidad de innovación.</w:t>
      </w:r>
    </w:p>
    <w:p w14:paraId="16E58B8B" w14:textId="050558E4" w:rsidR="003F29D1" w:rsidRPr="006117E0" w:rsidRDefault="003F29D1" w:rsidP="003F29D1">
      <w:pPr>
        <w:pStyle w:val="enumlev1"/>
        <w:rPr>
          <w:lang w:val="es-ES"/>
        </w:rPr>
      </w:pPr>
      <w:r w:rsidRPr="006117E0">
        <w:rPr>
          <w:lang w:val="es-ES"/>
        </w:rPr>
        <w:t>–</w:t>
      </w:r>
      <w:r w:rsidRPr="006117E0">
        <w:rPr>
          <w:lang w:val="es-ES"/>
        </w:rPr>
        <w:tab/>
      </w:r>
      <w:r w:rsidRPr="006117E0">
        <w:rPr>
          <w:b/>
          <w:bCs/>
          <w:lang w:val="es-ES"/>
        </w:rPr>
        <w:t>Intervenciones técnicas y soporte a la implementación</w:t>
      </w:r>
      <w:r w:rsidRPr="006117E0">
        <w:rPr>
          <w:lang w:val="es-ES"/>
        </w:rPr>
        <w:t xml:space="preserve"> </w:t>
      </w:r>
      <w:r w:rsidRPr="006117E0">
        <w:rPr>
          <w:lang w:val="es-ES"/>
        </w:rPr>
        <w:br/>
        <w:t>La BDT presta asistencia técnica directa y servicios de asesoría y lleva a cabo iniciativas piloto para ayudar a los países a aplicar sus políticas y estrategias nacionales de TIC. Estas intervenciones ayudan a los Estados Miembros a desplegar infraestructuras, progresar en la inclusión digital, fomentar entornos de innovación digital, cont</w:t>
      </w:r>
      <w:r w:rsidR="00EE3C08" w:rsidRPr="006117E0">
        <w:rPr>
          <w:lang w:val="es-ES"/>
        </w:rPr>
        <w:t>r</w:t>
      </w:r>
      <w:r w:rsidRPr="006117E0">
        <w:rPr>
          <w:lang w:val="es-ES"/>
        </w:rPr>
        <w:t>ibuir a la sostenibilidad medioambiental, mejorar la ciberseguridad y la prestación de servicios digitales para avanzar hacia la transformación digital inclusiva.</w:t>
      </w:r>
    </w:p>
    <w:p w14:paraId="7F2717D4" w14:textId="77777777" w:rsidR="003F29D1" w:rsidRPr="006117E0" w:rsidRDefault="003F29D1" w:rsidP="00D14B56">
      <w:pPr>
        <w:spacing w:after="120"/>
        <w:rPr>
          <w:lang w:val="es-ES"/>
        </w:rPr>
      </w:pPr>
      <w:r w:rsidRPr="006117E0">
        <w:rPr>
          <w:lang w:val="es-ES"/>
        </w:rPr>
        <w:t>La BDT supervisará la prestación de productos y su contribución al logro de las realizaciones de las Prioridades del UIT-D mediante indicadores de productos transversales, entre los que se cuentan los siguientes:</w:t>
      </w:r>
    </w:p>
    <w:tbl>
      <w:tblPr>
        <w:tblW w:w="9639" w:type="dxa"/>
        <w:tblCellMar>
          <w:left w:w="57" w:type="dxa"/>
          <w:right w:w="57" w:type="dxa"/>
        </w:tblCellMar>
        <w:tblLook w:val="04A0" w:firstRow="1" w:lastRow="0" w:firstColumn="1" w:lastColumn="0" w:noHBand="0" w:noVBand="1"/>
      </w:tblPr>
      <w:tblGrid>
        <w:gridCol w:w="2664"/>
        <w:gridCol w:w="6975"/>
      </w:tblGrid>
      <w:tr w:rsidR="003F29D1" w:rsidRPr="006117E0" w14:paraId="20B343F5" w14:textId="77777777" w:rsidTr="00D14B56">
        <w:trPr>
          <w:trHeight w:val="315"/>
          <w:tblHeader/>
        </w:trPr>
        <w:tc>
          <w:tcPr>
            <w:tcW w:w="2664" w:type="dxa"/>
            <w:tcBorders>
              <w:top w:val="nil"/>
              <w:left w:val="nil"/>
              <w:bottom w:val="single" w:sz="4" w:space="0" w:color="C0E6F5"/>
              <w:right w:val="nil"/>
            </w:tcBorders>
            <w:shd w:val="clear" w:color="104861" w:fill="104861"/>
            <w:noWrap/>
            <w:hideMark/>
          </w:tcPr>
          <w:p w14:paraId="19CA1309" w14:textId="77777777" w:rsidR="003F29D1" w:rsidRPr="006117E0" w:rsidRDefault="003F29D1" w:rsidP="00CC0894">
            <w:pPr>
              <w:pStyle w:val="Tablehead"/>
              <w:keepLines/>
              <w:spacing w:before="120"/>
              <w:jc w:val="left"/>
              <w:rPr>
                <w:color w:val="FFFFFF" w:themeColor="background1"/>
                <w:lang w:val="es-ES" w:eastAsia="en-GB"/>
              </w:rPr>
            </w:pPr>
            <w:r w:rsidRPr="006117E0">
              <w:rPr>
                <w:color w:val="FFFFFF" w:themeColor="background1"/>
                <w:lang w:val="es-ES" w:eastAsia="en-GB"/>
              </w:rPr>
              <w:t>Productos/servicios del UIT-D</w:t>
            </w:r>
          </w:p>
        </w:tc>
        <w:tc>
          <w:tcPr>
            <w:tcW w:w="6975" w:type="dxa"/>
            <w:tcBorders>
              <w:top w:val="nil"/>
              <w:left w:val="nil"/>
              <w:bottom w:val="single" w:sz="4" w:space="0" w:color="C0E6F5"/>
              <w:right w:val="nil"/>
            </w:tcBorders>
            <w:shd w:val="clear" w:color="104861" w:fill="104861"/>
            <w:noWrap/>
            <w:hideMark/>
          </w:tcPr>
          <w:p w14:paraId="7848ECD9" w14:textId="77777777" w:rsidR="003F29D1" w:rsidRPr="006117E0" w:rsidRDefault="003F29D1" w:rsidP="00D14B56">
            <w:pPr>
              <w:pStyle w:val="Tablehead"/>
              <w:keepLines/>
              <w:jc w:val="left"/>
              <w:rPr>
                <w:lang w:val="es-ES" w:eastAsia="en-GB"/>
              </w:rPr>
            </w:pPr>
            <w:r w:rsidRPr="006117E0">
              <w:rPr>
                <w:color w:val="FFFFFF" w:themeColor="background1"/>
                <w:lang w:val="es-ES" w:eastAsia="en-GB"/>
              </w:rPr>
              <w:t>Indicadores</w:t>
            </w:r>
            <w:r w:rsidRPr="006117E0">
              <w:rPr>
                <w:rStyle w:val="FootnoteReference"/>
                <w:rFonts w:cs="Calibri"/>
                <w:b w:val="0"/>
                <w:color w:val="FFFFFF"/>
                <w:lang w:val="es-ES" w:eastAsia="en-GB"/>
              </w:rPr>
              <w:footnoteReference w:id="5"/>
            </w:r>
          </w:p>
        </w:tc>
      </w:tr>
      <w:tr w:rsidR="00D14B56" w:rsidRPr="003D7913" w14:paraId="68149477" w14:textId="77777777" w:rsidTr="00D14B56">
        <w:trPr>
          <w:trHeight w:val="76"/>
        </w:trPr>
        <w:tc>
          <w:tcPr>
            <w:tcW w:w="2664" w:type="dxa"/>
            <w:vMerge w:val="restart"/>
            <w:tcBorders>
              <w:top w:val="single" w:sz="4" w:space="0" w:color="C0E6F5"/>
              <w:left w:val="nil"/>
              <w:right w:val="nil"/>
            </w:tcBorders>
            <w:shd w:val="clear" w:color="44B3E1" w:fill="44B3E1"/>
            <w:noWrap/>
            <w:hideMark/>
          </w:tcPr>
          <w:p w14:paraId="1842E30D" w14:textId="77777777" w:rsidR="00D14B56" w:rsidRPr="006117E0" w:rsidRDefault="00D14B56" w:rsidP="006177B7">
            <w:pPr>
              <w:pStyle w:val="Tabletext"/>
              <w:keepNext/>
              <w:keepLines/>
              <w:rPr>
                <w:b/>
                <w:color w:val="FFFFFF" w:themeColor="background1"/>
                <w:lang w:val="es-ES" w:eastAsia="en-GB"/>
              </w:rPr>
            </w:pPr>
            <w:r w:rsidRPr="006117E0">
              <w:rPr>
                <w:b/>
                <w:color w:val="FFFFFF" w:themeColor="background1"/>
                <w:lang w:val="es-ES" w:eastAsia="en-GB"/>
              </w:rPr>
              <w:t>Intervenciones técnicas</w:t>
            </w:r>
          </w:p>
        </w:tc>
        <w:tc>
          <w:tcPr>
            <w:tcW w:w="6975" w:type="dxa"/>
            <w:tcBorders>
              <w:top w:val="single" w:sz="4" w:space="0" w:color="C0E6F5"/>
              <w:left w:val="nil"/>
              <w:bottom w:val="single" w:sz="4" w:space="0" w:color="C0E6F5"/>
              <w:right w:val="nil"/>
            </w:tcBorders>
            <w:noWrap/>
            <w:hideMark/>
          </w:tcPr>
          <w:p w14:paraId="590D236B" w14:textId="77777777" w:rsidR="00D14B56" w:rsidRPr="006117E0" w:rsidRDefault="00D14B56" w:rsidP="006177B7">
            <w:pPr>
              <w:pStyle w:val="Tabletext"/>
              <w:keepNext/>
              <w:keepLines/>
              <w:rPr>
                <w:color w:val="000000"/>
                <w:lang w:val="es-ES" w:eastAsia="en-GB"/>
              </w:rPr>
            </w:pPr>
            <w:r w:rsidRPr="006117E0">
              <w:rPr>
                <w:color w:val="000000"/>
                <w:lang w:val="es-ES" w:eastAsia="en-GB"/>
              </w:rPr>
              <w:t>Número de proyectos del UIT-D firmados</w:t>
            </w:r>
          </w:p>
        </w:tc>
      </w:tr>
      <w:tr w:rsidR="00D14B56" w:rsidRPr="003D7913" w14:paraId="48CE7E09" w14:textId="77777777" w:rsidTr="00D14B56">
        <w:trPr>
          <w:trHeight w:val="315"/>
        </w:trPr>
        <w:tc>
          <w:tcPr>
            <w:tcW w:w="2664" w:type="dxa"/>
            <w:vMerge/>
            <w:tcBorders>
              <w:left w:val="nil"/>
              <w:right w:val="nil"/>
            </w:tcBorders>
            <w:shd w:val="clear" w:color="44B3E1" w:fill="44B3E1"/>
            <w:noWrap/>
            <w:hideMark/>
          </w:tcPr>
          <w:p w14:paraId="789075D7" w14:textId="77777777" w:rsidR="00D14B56" w:rsidRPr="006117E0" w:rsidRDefault="00D14B56" w:rsidP="006177B7">
            <w:pPr>
              <w:pStyle w:val="Tabletext"/>
              <w:keepNext/>
              <w:keepLines/>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5905A66D" w14:textId="77777777" w:rsidR="00D14B56" w:rsidRPr="006117E0" w:rsidRDefault="00D14B56" w:rsidP="006177B7">
            <w:pPr>
              <w:pStyle w:val="Tabletext"/>
              <w:keepNext/>
              <w:keepLines/>
              <w:rPr>
                <w:color w:val="000000"/>
                <w:lang w:val="es-ES" w:eastAsia="en-GB"/>
              </w:rPr>
            </w:pPr>
            <w:r w:rsidRPr="006117E0">
              <w:rPr>
                <w:color w:val="000000"/>
                <w:lang w:val="es-ES" w:eastAsia="en-GB"/>
              </w:rPr>
              <w:t>Número de Estados Miembros que han recibido asistencia técnica</w:t>
            </w:r>
          </w:p>
        </w:tc>
      </w:tr>
      <w:tr w:rsidR="00D14B56" w:rsidRPr="003D7913" w14:paraId="51E7B069" w14:textId="77777777" w:rsidTr="00D14B56">
        <w:trPr>
          <w:trHeight w:val="315"/>
        </w:trPr>
        <w:tc>
          <w:tcPr>
            <w:tcW w:w="2664" w:type="dxa"/>
            <w:vMerge/>
            <w:tcBorders>
              <w:left w:val="nil"/>
              <w:right w:val="nil"/>
            </w:tcBorders>
            <w:shd w:val="clear" w:color="44B3E1" w:fill="44B3E1"/>
            <w:noWrap/>
            <w:hideMark/>
          </w:tcPr>
          <w:p w14:paraId="34C60253" w14:textId="77777777" w:rsidR="00D14B56" w:rsidRPr="006117E0" w:rsidRDefault="00D14B56" w:rsidP="006177B7">
            <w:pPr>
              <w:pStyle w:val="Tabletext"/>
              <w:keepNext/>
              <w:keepLines/>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2B5408F0" w14:textId="77777777" w:rsidR="00D14B56" w:rsidRPr="006117E0" w:rsidRDefault="00D14B56" w:rsidP="006177B7">
            <w:pPr>
              <w:pStyle w:val="Tabletext"/>
              <w:keepNext/>
              <w:keepLines/>
              <w:rPr>
                <w:color w:val="000000"/>
                <w:lang w:val="es-ES" w:eastAsia="en-GB"/>
              </w:rPr>
            </w:pPr>
            <w:r w:rsidRPr="006117E0">
              <w:rPr>
                <w:color w:val="000000"/>
                <w:lang w:val="es-ES" w:eastAsia="en-GB"/>
              </w:rPr>
              <w:t xml:space="preserve">Número de Resoluciones/Recomendaciones/Decisiones aplicadas </w:t>
            </w:r>
          </w:p>
        </w:tc>
      </w:tr>
      <w:tr w:rsidR="00D14B56" w:rsidRPr="003D7913" w14:paraId="51BE496B" w14:textId="77777777" w:rsidTr="00D14B56">
        <w:trPr>
          <w:trHeight w:val="315"/>
        </w:trPr>
        <w:tc>
          <w:tcPr>
            <w:tcW w:w="2664" w:type="dxa"/>
            <w:vMerge/>
            <w:tcBorders>
              <w:left w:val="nil"/>
              <w:bottom w:val="single" w:sz="4" w:space="0" w:color="C0E6F5"/>
              <w:right w:val="nil"/>
            </w:tcBorders>
            <w:shd w:val="clear" w:color="44B3E1" w:fill="44B3E1"/>
            <w:noWrap/>
            <w:hideMark/>
          </w:tcPr>
          <w:p w14:paraId="40678216"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5DF66CF1" w14:textId="77777777" w:rsidR="00D14B56" w:rsidRPr="006117E0" w:rsidRDefault="00D14B56" w:rsidP="006177B7">
            <w:pPr>
              <w:pStyle w:val="Tabletext"/>
              <w:rPr>
                <w:color w:val="000000"/>
                <w:lang w:val="es-ES" w:eastAsia="en-GB"/>
              </w:rPr>
            </w:pPr>
            <w:r w:rsidRPr="006117E0">
              <w:rPr>
                <w:color w:val="000000"/>
                <w:lang w:val="es-ES" w:eastAsia="en-GB"/>
              </w:rPr>
              <w:t xml:space="preserve">Número de herramientas de </w:t>
            </w:r>
            <w:r w:rsidRPr="006117E0">
              <w:rPr>
                <w:i/>
                <w:iCs/>
                <w:color w:val="000000"/>
                <w:lang w:val="es-ES" w:eastAsia="en-GB"/>
              </w:rPr>
              <w:t>software</w:t>
            </w:r>
            <w:r w:rsidRPr="006117E0">
              <w:rPr>
                <w:color w:val="000000"/>
                <w:lang w:val="es-ES" w:eastAsia="en-GB"/>
              </w:rPr>
              <w:t xml:space="preserve"> implementadas </w:t>
            </w:r>
          </w:p>
        </w:tc>
      </w:tr>
      <w:tr w:rsidR="00D14B56" w:rsidRPr="003D7913" w14:paraId="5C1A782A" w14:textId="77777777" w:rsidTr="00345E7D">
        <w:trPr>
          <w:trHeight w:val="315"/>
        </w:trPr>
        <w:tc>
          <w:tcPr>
            <w:tcW w:w="2664" w:type="dxa"/>
            <w:vMerge w:val="restart"/>
            <w:tcBorders>
              <w:top w:val="single" w:sz="4" w:space="0" w:color="C0E6F5"/>
              <w:left w:val="nil"/>
              <w:right w:val="nil"/>
            </w:tcBorders>
            <w:shd w:val="clear" w:color="44B3E1" w:fill="44B3E1"/>
            <w:noWrap/>
            <w:hideMark/>
          </w:tcPr>
          <w:p w14:paraId="0C136EFB" w14:textId="77777777" w:rsidR="00D14B56" w:rsidRPr="006117E0" w:rsidRDefault="00D14B56" w:rsidP="006177B7">
            <w:pPr>
              <w:pStyle w:val="Tabletext"/>
              <w:rPr>
                <w:b/>
                <w:color w:val="FFFFFF" w:themeColor="background1"/>
                <w:lang w:val="es-ES" w:eastAsia="en-GB"/>
              </w:rPr>
            </w:pPr>
            <w:r w:rsidRPr="006117E0">
              <w:rPr>
                <w:b/>
                <w:color w:val="FFFFFF" w:themeColor="background1"/>
                <w:lang w:val="es-ES" w:eastAsia="en-GB"/>
              </w:rPr>
              <w:t>Estadísticas</w:t>
            </w:r>
          </w:p>
        </w:tc>
        <w:tc>
          <w:tcPr>
            <w:tcW w:w="6975" w:type="dxa"/>
            <w:tcBorders>
              <w:top w:val="single" w:sz="4" w:space="0" w:color="C0E6F5"/>
              <w:left w:val="nil"/>
              <w:bottom w:val="single" w:sz="4" w:space="0" w:color="C0E6F5"/>
              <w:right w:val="nil"/>
            </w:tcBorders>
            <w:noWrap/>
            <w:hideMark/>
          </w:tcPr>
          <w:p w14:paraId="6095563E" w14:textId="77777777" w:rsidR="00D14B56" w:rsidRPr="006117E0" w:rsidRDefault="00D14B56" w:rsidP="006177B7">
            <w:pPr>
              <w:pStyle w:val="Tabletext"/>
              <w:rPr>
                <w:color w:val="000000"/>
                <w:lang w:val="es-ES" w:eastAsia="en-GB"/>
              </w:rPr>
            </w:pPr>
            <w:r w:rsidRPr="006117E0">
              <w:rPr>
                <w:color w:val="000000"/>
                <w:lang w:val="es-ES" w:eastAsia="en-GB"/>
              </w:rPr>
              <w:t>Número de datos puntuales disponibles en los conjuntos de datos publicados</w:t>
            </w:r>
          </w:p>
        </w:tc>
      </w:tr>
      <w:tr w:rsidR="00D14B56" w:rsidRPr="003D7913" w14:paraId="6DEFFA6B" w14:textId="77777777" w:rsidTr="00345E7D">
        <w:trPr>
          <w:trHeight w:val="315"/>
        </w:trPr>
        <w:tc>
          <w:tcPr>
            <w:tcW w:w="2664" w:type="dxa"/>
            <w:vMerge/>
            <w:tcBorders>
              <w:left w:val="nil"/>
              <w:right w:val="nil"/>
            </w:tcBorders>
            <w:shd w:val="clear" w:color="44B3E1" w:fill="44B3E1"/>
            <w:noWrap/>
            <w:hideMark/>
          </w:tcPr>
          <w:p w14:paraId="7E80D5D2"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2F97CF14" w14:textId="77777777" w:rsidR="00D14B56" w:rsidRPr="006117E0" w:rsidRDefault="00D14B56" w:rsidP="006177B7">
            <w:pPr>
              <w:pStyle w:val="Tabletext"/>
              <w:rPr>
                <w:color w:val="000000"/>
                <w:lang w:val="es-ES" w:eastAsia="en-GB"/>
              </w:rPr>
            </w:pPr>
            <w:r w:rsidRPr="006117E0">
              <w:rPr>
                <w:color w:val="000000"/>
                <w:lang w:val="es-ES" w:eastAsia="en-GB"/>
              </w:rPr>
              <w:t>Número de empresas digitales rastreadas para supervisar las emisiones, el consumo energético y los compromisos climáticos</w:t>
            </w:r>
          </w:p>
        </w:tc>
      </w:tr>
      <w:tr w:rsidR="00D14B56" w:rsidRPr="003D7913" w14:paraId="393F6004" w14:textId="77777777" w:rsidTr="00345E7D">
        <w:trPr>
          <w:trHeight w:val="315"/>
        </w:trPr>
        <w:tc>
          <w:tcPr>
            <w:tcW w:w="2664" w:type="dxa"/>
            <w:vMerge/>
            <w:tcBorders>
              <w:left w:val="nil"/>
              <w:right w:val="nil"/>
            </w:tcBorders>
            <w:shd w:val="clear" w:color="44B3E1" w:fill="44B3E1"/>
            <w:noWrap/>
            <w:hideMark/>
          </w:tcPr>
          <w:p w14:paraId="2A66D801"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46795F07" w14:textId="77777777" w:rsidR="00D14B56" w:rsidRPr="006117E0" w:rsidRDefault="00D14B56" w:rsidP="006177B7">
            <w:pPr>
              <w:pStyle w:val="Tabletext"/>
              <w:rPr>
                <w:color w:val="000000"/>
                <w:lang w:val="es-ES" w:eastAsia="en-GB"/>
              </w:rPr>
            </w:pPr>
            <w:r w:rsidRPr="006117E0">
              <w:rPr>
                <w:color w:val="000000"/>
                <w:lang w:val="es-ES" w:eastAsia="en-GB"/>
              </w:rPr>
              <w:t>Número de participantes en las actividades de capacitación de la BDT</w:t>
            </w:r>
          </w:p>
        </w:tc>
      </w:tr>
      <w:tr w:rsidR="00D14B56" w:rsidRPr="003D7913" w14:paraId="5641B12B" w14:textId="77777777" w:rsidTr="00345E7D">
        <w:trPr>
          <w:trHeight w:val="315"/>
        </w:trPr>
        <w:tc>
          <w:tcPr>
            <w:tcW w:w="2664" w:type="dxa"/>
            <w:vMerge/>
            <w:tcBorders>
              <w:left w:val="nil"/>
              <w:right w:val="nil"/>
            </w:tcBorders>
            <w:shd w:val="clear" w:color="44B3E1" w:fill="44B3E1"/>
            <w:noWrap/>
            <w:hideMark/>
          </w:tcPr>
          <w:p w14:paraId="4F535670"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4B27F07C" w14:textId="77777777" w:rsidR="00D14B56" w:rsidRPr="006117E0" w:rsidRDefault="00D14B56" w:rsidP="006177B7">
            <w:pPr>
              <w:pStyle w:val="Tabletext"/>
              <w:rPr>
                <w:color w:val="000000"/>
                <w:lang w:val="es-ES" w:eastAsia="en-GB"/>
              </w:rPr>
            </w:pPr>
            <w:r w:rsidRPr="006117E0">
              <w:rPr>
                <w:color w:val="000000"/>
                <w:lang w:val="es-ES" w:eastAsia="en-GB"/>
              </w:rPr>
              <w:t>Número de Estados Miembros participantes</w:t>
            </w:r>
          </w:p>
        </w:tc>
      </w:tr>
      <w:tr w:rsidR="00D14B56" w:rsidRPr="006117E0" w14:paraId="076C1F83" w14:textId="77777777" w:rsidTr="00345E7D">
        <w:trPr>
          <w:trHeight w:val="315"/>
        </w:trPr>
        <w:tc>
          <w:tcPr>
            <w:tcW w:w="2664" w:type="dxa"/>
            <w:vMerge/>
            <w:tcBorders>
              <w:left w:val="nil"/>
              <w:right w:val="nil"/>
            </w:tcBorders>
            <w:shd w:val="clear" w:color="44B3E1" w:fill="44B3E1"/>
            <w:noWrap/>
            <w:hideMark/>
          </w:tcPr>
          <w:p w14:paraId="31369C95"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1721D16E" w14:textId="77777777" w:rsidR="00D14B56" w:rsidRPr="003D7913" w:rsidRDefault="00D14B56" w:rsidP="006177B7">
            <w:pPr>
              <w:pStyle w:val="Tabletext"/>
              <w:rPr>
                <w:color w:val="000000"/>
                <w:lang w:val="en-US" w:eastAsia="en-GB"/>
              </w:rPr>
            </w:pPr>
            <w:r w:rsidRPr="006117E0">
              <w:rPr>
                <w:color w:val="000000"/>
                <w:lang w:val="es-ES" w:eastAsia="en-GB"/>
              </w:rPr>
              <w:t xml:space="preserve">Número de participantes en los eventos de la BDT </w:t>
            </w:r>
            <w:r w:rsidRPr="006117E0">
              <w:rPr>
                <w:color w:val="000000"/>
                <w:lang w:val="es-ES" w:eastAsia="en-GB"/>
              </w:rPr>
              <w:br/>
              <w:t xml:space="preserve">(incl. </w:t>
            </w:r>
            <w:r w:rsidRPr="003D7913">
              <w:rPr>
                <w:color w:val="000000"/>
                <w:lang w:val="en-US" w:eastAsia="en-GB"/>
              </w:rPr>
              <w:t xml:space="preserve">FRD, GSR, GIF, DSF, SMIT, GEIT, GIICT, FMJ, etc.) </w:t>
            </w:r>
          </w:p>
        </w:tc>
      </w:tr>
      <w:tr w:rsidR="00D14B56" w:rsidRPr="003D7913" w14:paraId="290A221A" w14:textId="77777777" w:rsidTr="00345E7D">
        <w:trPr>
          <w:trHeight w:val="315"/>
        </w:trPr>
        <w:tc>
          <w:tcPr>
            <w:tcW w:w="2664" w:type="dxa"/>
            <w:vMerge/>
            <w:tcBorders>
              <w:left w:val="nil"/>
              <w:bottom w:val="single" w:sz="4" w:space="0" w:color="C0E6F5"/>
              <w:right w:val="nil"/>
            </w:tcBorders>
            <w:shd w:val="clear" w:color="44B3E1" w:fill="44B3E1"/>
            <w:noWrap/>
            <w:hideMark/>
          </w:tcPr>
          <w:p w14:paraId="5A01A10E" w14:textId="77777777" w:rsidR="00D14B56" w:rsidRPr="003D7913" w:rsidRDefault="00D14B56" w:rsidP="006177B7">
            <w:pPr>
              <w:pStyle w:val="Tabletext"/>
              <w:rPr>
                <w:b/>
                <w:color w:val="FFFFFF" w:themeColor="background1"/>
                <w:lang w:val="en-US" w:eastAsia="en-GB"/>
              </w:rPr>
            </w:pPr>
          </w:p>
        </w:tc>
        <w:tc>
          <w:tcPr>
            <w:tcW w:w="6975" w:type="dxa"/>
            <w:tcBorders>
              <w:top w:val="single" w:sz="4" w:space="0" w:color="C0E6F5"/>
              <w:left w:val="nil"/>
              <w:bottom w:val="single" w:sz="4" w:space="0" w:color="C0E6F5"/>
              <w:right w:val="nil"/>
            </w:tcBorders>
            <w:noWrap/>
            <w:hideMark/>
          </w:tcPr>
          <w:p w14:paraId="0B8C8655" w14:textId="77777777" w:rsidR="00D14B56" w:rsidRPr="006117E0" w:rsidRDefault="00D14B56" w:rsidP="006177B7">
            <w:pPr>
              <w:pStyle w:val="Tabletext"/>
              <w:rPr>
                <w:color w:val="000000"/>
                <w:lang w:val="es-ES" w:eastAsia="en-GB"/>
              </w:rPr>
            </w:pPr>
            <w:r w:rsidRPr="006117E0">
              <w:rPr>
                <w:color w:val="000000"/>
                <w:lang w:val="es-ES" w:eastAsia="en-GB"/>
              </w:rPr>
              <w:t>Número de usuarios del Centro de Datos de la UIT por semana</w:t>
            </w:r>
          </w:p>
        </w:tc>
      </w:tr>
      <w:tr w:rsidR="00D14B56" w:rsidRPr="003D7913" w14:paraId="78FF9583" w14:textId="77777777" w:rsidTr="005B1229">
        <w:trPr>
          <w:trHeight w:val="315"/>
        </w:trPr>
        <w:tc>
          <w:tcPr>
            <w:tcW w:w="2664" w:type="dxa"/>
            <w:vMerge w:val="restart"/>
            <w:tcBorders>
              <w:top w:val="single" w:sz="4" w:space="0" w:color="C0E6F5"/>
              <w:left w:val="nil"/>
              <w:right w:val="nil"/>
            </w:tcBorders>
            <w:shd w:val="clear" w:color="44B3E1" w:fill="44B3E1"/>
            <w:noWrap/>
            <w:hideMark/>
          </w:tcPr>
          <w:p w14:paraId="04CB1445" w14:textId="77777777" w:rsidR="00D14B56" w:rsidRPr="006117E0" w:rsidRDefault="00D14B56" w:rsidP="006177B7">
            <w:pPr>
              <w:pStyle w:val="Tabletext"/>
              <w:rPr>
                <w:b/>
                <w:color w:val="FFFFFF" w:themeColor="background1"/>
                <w:lang w:val="es-ES" w:eastAsia="en-GB"/>
              </w:rPr>
            </w:pPr>
            <w:r w:rsidRPr="006117E0">
              <w:rPr>
                <w:b/>
                <w:color w:val="FFFFFF" w:themeColor="background1"/>
                <w:lang w:val="es-ES" w:eastAsia="en-GB"/>
              </w:rPr>
              <w:t>Políticas y estrategias modelo, conjuntos de herramientas</w:t>
            </w:r>
          </w:p>
        </w:tc>
        <w:tc>
          <w:tcPr>
            <w:tcW w:w="6975" w:type="dxa"/>
            <w:tcBorders>
              <w:top w:val="single" w:sz="4" w:space="0" w:color="C0E6F5"/>
              <w:left w:val="nil"/>
              <w:bottom w:val="single" w:sz="4" w:space="0" w:color="C0E6F5"/>
              <w:right w:val="nil"/>
            </w:tcBorders>
            <w:noWrap/>
            <w:hideMark/>
          </w:tcPr>
          <w:p w14:paraId="7DD53FDA" w14:textId="77777777" w:rsidR="00D14B56" w:rsidRPr="006117E0" w:rsidRDefault="00D14B56" w:rsidP="006177B7">
            <w:pPr>
              <w:pStyle w:val="Tabletext"/>
              <w:rPr>
                <w:color w:val="000000"/>
                <w:lang w:val="es-ES" w:eastAsia="en-GB"/>
              </w:rPr>
            </w:pPr>
            <w:r w:rsidRPr="006117E0">
              <w:rPr>
                <w:color w:val="000000"/>
                <w:lang w:val="es-ES" w:eastAsia="en-GB"/>
              </w:rPr>
              <w:t xml:space="preserve">Número de Estados Miembros asistidos </w:t>
            </w:r>
          </w:p>
        </w:tc>
      </w:tr>
      <w:tr w:rsidR="00D14B56" w:rsidRPr="003D7913" w14:paraId="165E2A83" w14:textId="77777777" w:rsidTr="005B1229">
        <w:trPr>
          <w:trHeight w:val="315"/>
        </w:trPr>
        <w:tc>
          <w:tcPr>
            <w:tcW w:w="2664" w:type="dxa"/>
            <w:vMerge/>
            <w:tcBorders>
              <w:left w:val="nil"/>
              <w:bottom w:val="single" w:sz="4" w:space="0" w:color="C0E6F5"/>
              <w:right w:val="nil"/>
            </w:tcBorders>
            <w:shd w:val="clear" w:color="44B3E1" w:fill="44B3E1"/>
            <w:noWrap/>
            <w:hideMark/>
          </w:tcPr>
          <w:p w14:paraId="0017C498"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2ADDB464" w14:textId="77777777" w:rsidR="00D14B56" w:rsidRPr="006117E0" w:rsidRDefault="00D14B56" w:rsidP="006177B7">
            <w:pPr>
              <w:pStyle w:val="Tabletext"/>
              <w:rPr>
                <w:color w:val="000000"/>
                <w:lang w:val="es-ES" w:eastAsia="en-GB"/>
              </w:rPr>
            </w:pPr>
            <w:r w:rsidRPr="006117E0">
              <w:rPr>
                <w:color w:val="000000"/>
                <w:lang w:val="es-ES" w:eastAsia="en-GB"/>
              </w:rPr>
              <w:t xml:space="preserve">Número de herramientas/marcos/recursos preparados </w:t>
            </w:r>
            <w:r w:rsidRPr="006117E0">
              <w:rPr>
                <w:color w:val="000000"/>
                <w:lang w:val="es-ES" w:eastAsia="en-GB"/>
              </w:rPr>
              <w:br/>
              <w:t>(Incl. Políticas, estrategias, perfiles de país, mapas, directrices, conjuntos de herramientas, publicaciones, etc.)</w:t>
            </w:r>
          </w:p>
        </w:tc>
      </w:tr>
      <w:tr w:rsidR="00D14B56" w:rsidRPr="003D7913" w14:paraId="0DA8C42A" w14:textId="77777777" w:rsidTr="00C878A6">
        <w:trPr>
          <w:trHeight w:val="315"/>
        </w:trPr>
        <w:tc>
          <w:tcPr>
            <w:tcW w:w="2664" w:type="dxa"/>
            <w:vMerge w:val="restart"/>
            <w:tcBorders>
              <w:top w:val="single" w:sz="4" w:space="0" w:color="C0E6F5"/>
              <w:left w:val="nil"/>
              <w:right w:val="nil"/>
            </w:tcBorders>
            <w:shd w:val="clear" w:color="44B3E1" w:fill="44B3E1"/>
            <w:noWrap/>
            <w:hideMark/>
          </w:tcPr>
          <w:p w14:paraId="35919DF6" w14:textId="77777777" w:rsidR="00D14B56" w:rsidRPr="006117E0" w:rsidRDefault="00D14B56" w:rsidP="006177B7">
            <w:pPr>
              <w:pStyle w:val="Tabletext"/>
              <w:rPr>
                <w:b/>
                <w:color w:val="FFFFFF" w:themeColor="background1"/>
                <w:lang w:val="es-ES" w:eastAsia="en-GB"/>
              </w:rPr>
            </w:pPr>
            <w:r w:rsidRPr="006117E0">
              <w:rPr>
                <w:b/>
                <w:color w:val="FFFFFF" w:themeColor="background1"/>
                <w:lang w:val="es-ES" w:eastAsia="en-GB"/>
              </w:rPr>
              <w:t>Marcos de aprendizaje</w:t>
            </w:r>
          </w:p>
        </w:tc>
        <w:tc>
          <w:tcPr>
            <w:tcW w:w="6975" w:type="dxa"/>
            <w:tcBorders>
              <w:top w:val="single" w:sz="4" w:space="0" w:color="C0E6F5"/>
              <w:left w:val="nil"/>
              <w:bottom w:val="single" w:sz="4" w:space="0" w:color="C0E6F5"/>
              <w:right w:val="nil"/>
            </w:tcBorders>
            <w:noWrap/>
            <w:hideMark/>
          </w:tcPr>
          <w:p w14:paraId="2E65ACF3" w14:textId="77777777" w:rsidR="00D14B56" w:rsidRPr="006117E0" w:rsidRDefault="00D14B56" w:rsidP="006177B7">
            <w:pPr>
              <w:pStyle w:val="Tabletext"/>
              <w:rPr>
                <w:color w:val="000000"/>
                <w:lang w:val="es-ES" w:eastAsia="en-GB"/>
              </w:rPr>
            </w:pPr>
            <w:r w:rsidRPr="006117E0">
              <w:rPr>
                <w:color w:val="000000"/>
                <w:lang w:val="es-ES" w:eastAsia="en-GB"/>
              </w:rPr>
              <w:t>Número de participantes en las actividades de capacitación de la BDT</w:t>
            </w:r>
          </w:p>
        </w:tc>
      </w:tr>
      <w:tr w:rsidR="00D14B56" w:rsidRPr="003D7913" w14:paraId="63635722" w14:textId="77777777" w:rsidTr="00C878A6">
        <w:trPr>
          <w:trHeight w:val="315"/>
        </w:trPr>
        <w:tc>
          <w:tcPr>
            <w:tcW w:w="2664" w:type="dxa"/>
            <w:vMerge/>
            <w:tcBorders>
              <w:left w:val="nil"/>
              <w:right w:val="nil"/>
            </w:tcBorders>
            <w:shd w:val="clear" w:color="44B3E1" w:fill="44B3E1"/>
            <w:noWrap/>
            <w:hideMark/>
          </w:tcPr>
          <w:p w14:paraId="1E7A4997"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5465E086" w14:textId="77777777" w:rsidR="00D14B56" w:rsidRPr="006117E0" w:rsidRDefault="00D14B56" w:rsidP="006177B7">
            <w:pPr>
              <w:pStyle w:val="Tabletext"/>
              <w:rPr>
                <w:color w:val="000000"/>
                <w:lang w:val="es-ES" w:eastAsia="en-GB"/>
              </w:rPr>
            </w:pPr>
            <w:r w:rsidRPr="006117E0">
              <w:rPr>
                <w:color w:val="000000"/>
                <w:lang w:val="es-ES" w:eastAsia="en-GB"/>
              </w:rPr>
              <w:t>Número de personas que han recibido formación en competencias digitales básicas e intermedias</w:t>
            </w:r>
          </w:p>
        </w:tc>
      </w:tr>
      <w:tr w:rsidR="00D14B56" w:rsidRPr="003D7913" w14:paraId="4B5CB384" w14:textId="77777777" w:rsidTr="00C878A6">
        <w:trPr>
          <w:trHeight w:val="315"/>
        </w:trPr>
        <w:tc>
          <w:tcPr>
            <w:tcW w:w="2664" w:type="dxa"/>
            <w:vMerge/>
            <w:tcBorders>
              <w:left w:val="nil"/>
              <w:right w:val="nil"/>
            </w:tcBorders>
            <w:shd w:val="clear" w:color="44B3E1" w:fill="44B3E1"/>
            <w:noWrap/>
            <w:hideMark/>
          </w:tcPr>
          <w:p w14:paraId="7512A71D"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67A1F5B9" w14:textId="77777777" w:rsidR="00D14B56" w:rsidRPr="006117E0" w:rsidRDefault="00D14B56" w:rsidP="006177B7">
            <w:pPr>
              <w:pStyle w:val="Tabletext"/>
              <w:rPr>
                <w:color w:val="000000"/>
                <w:lang w:val="es-ES" w:eastAsia="en-GB"/>
              </w:rPr>
            </w:pPr>
            <w:r w:rsidRPr="006117E0">
              <w:rPr>
                <w:color w:val="000000"/>
                <w:lang w:val="es-ES" w:eastAsia="en-GB"/>
              </w:rPr>
              <w:t>Número de usuarios de la Academia de la UIT</w:t>
            </w:r>
          </w:p>
        </w:tc>
      </w:tr>
      <w:tr w:rsidR="00D14B56" w:rsidRPr="003D7913" w14:paraId="21BD1500" w14:textId="77777777" w:rsidTr="00C878A6">
        <w:trPr>
          <w:trHeight w:val="315"/>
        </w:trPr>
        <w:tc>
          <w:tcPr>
            <w:tcW w:w="2664" w:type="dxa"/>
            <w:vMerge/>
            <w:tcBorders>
              <w:left w:val="nil"/>
              <w:bottom w:val="single" w:sz="4" w:space="0" w:color="C0E6F5"/>
              <w:right w:val="nil"/>
            </w:tcBorders>
            <w:shd w:val="clear" w:color="44B3E1" w:fill="44B3E1"/>
            <w:noWrap/>
            <w:hideMark/>
          </w:tcPr>
          <w:p w14:paraId="3E5FABB7"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774B605F" w14:textId="77777777" w:rsidR="00D14B56" w:rsidRPr="006117E0" w:rsidRDefault="00D14B56" w:rsidP="006177B7">
            <w:pPr>
              <w:pStyle w:val="Tabletext"/>
              <w:rPr>
                <w:color w:val="000000"/>
                <w:lang w:val="es-ES" w:eastAsia="en-GB"/>
              </w:rPr>
            </w:pPr>
            <w:r w:rsidRPr="006117E0">
              <w:rPr>
                <w:color w:val="000000"/>
                <w:lang w:val="es-ES" w:eastAsia="en-GB"/>
              </w:rPr>
              <w:t>Número de profesionales formados y certificados en temas de telecomunicaciones/(TIC)</w:t>
            </w:r>
          </w:p>
        </w:tc>
      </w:tr>
      <w:tr w:rsidR="00D14B56" w:rsidRPr="003D7913" w14:paraId="286E7E71" w14:textId="77777777" w:rsidTr="00DB16B9">
        <w:trPr>
          <w:trHeight w:val="315"/>
        </w:trPr>
        <w:tc>
          <w:tcPr>
            <w:tcW w:w="2664" w:type="dxa"/>
            <w:vMerge w:val="restart"/>
            <w:tcBorders>
              <w:top w:val="single" w:sz="4" w:space="0" w:color="C0E6F5"/>
              <w:left w:val="nil"/>
              <w:right w:val="nil"/>
            </w:tcBorders>
            <w:shd w:val="clear" w:color="44B3E1" w:fill="44B3E1"/>
            <w:noWrap/>
            <w:hideMark/>
          </w:tcPr>
          <w:p w14:paraId="6DDB5778" w14:textId="77777777" w:rsidR="00D14B56" w:rsidRPr="006117E0" w:rsidRDefault="00D14B56" w:rsidP="006177B7">
            <w:pPr>
              <w:pStyle w:val="Tabletext"/>
              <w:rPr>
                <w:b/>
                <w:color w:val="FFFFFF" w:themeColor="background1"/>
                <w:lang w:val="es-ES" w:eastAsia="en-GB"/>
              </w:rPr>
            </w:pPr>
            <w:r w:rsidRPr="006117E0">
              <w:rPr>
                <w:b/>
                <w:color w:val="FFFFFF" w:themeColor="background1"/>
                <w:lang w:val="es-ES" w:eastAsia="en-GB"/>
              </w:rPr>
              <w:t>Plataformas de reunión</w:t>
            </w:r>
          </w:p>
        </w:tc>
        <w:tc>
          <w:tcPr>
            <w:tcW w:w="6975" w:type="dxa"/>
            <w:tcBorders>
              <w:top w:val="single" w:sz="4" w:space="0" w:color="C0E6F5"/>
              <w:left w:val="nil"/>
              <w:bottom w:val="single" w:sz="4" w:space="0" w:color="C0E6F5"/>
              <w:right w:val="nil"/>
            </w:tcBorders>
            <w:noWrap/>
            <w:hideMark/>
          </w:tcPr>
          <w:p w14:paraId="12B798D2" w14:textId="77777777" w:rsidR="00D14B56" w:rsidRPr="006117E0" w:rsidRDefault="00D14B56" w:rsidP="006177B7">
            <w:pPr>
              <w:pStyle w:val="Tabletext"/>
              <w:rPr>
                <w:color w:val="000000"/>
                <w:lang w:val="es-ES" w:eastAsia="en-GB"/>
              </w:rPr>
            </w:pPr>
            <w:r w:rsidRPr="006117E0">
              <w:rPr>
                <w:color w:val="000000"/>
                <w:lang w:val="es-ES" w:eastAsia="en-GB"/>
              </w:rPr>
              <w:t>Importe de la financiación de proyectos para PMA, PEID y PDSL</w:t>
            </w:r>
          </w:p>
        </w:tc>
      </w:tr>
      <w:tr w:rsidR="00D14B56" w:rsidRPr="003D7913" w14:paraId="5EF1D69D" w14:textId="77777777" w:rsidTr="00DB16B9">
        <w:trPr>
          <w:trHeight w:val="315"/>
        </w:trPr>
        <w:tc>
          <w:tcPr>
            <w:tcW w:w="2664" w:type="dxa"/>
            <w:vMerge/>
            <w:tcBorders>
              <w:left w:val="nil"/>
              <w:right w:val="nil"/>
            </w:tcBorders>
            <w:shd w:val="clear" w:color="44B3E1" w:fill="44B3E1"/>
            <w:noWrap/>
            <w:hideMark/>
          </w:tcPr>
          <w:p w14:paraId="31F579D6"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314FD6D7" w14:textId="77777777" w:rsidR="00D14B56" w:rsidRPr="006117E0" w:rsidRDefault="00D14B56" w:rsidP="006177B7">
            <w:pPr>
              <w:pStyle w:val="Tabletext"/>
              <w:rPr>
                <w:color w:val="000000"/>
                <w:lang w:val="es-ES" w:eastAsia="en-GB"/>
              </w:rPr>
            </w:pPr>
            <w:r w:rsidRPr="006117E0">
              <w:rPr>
                <w:color w:val="000000"/>
                <w:lang w:val="es-ES" w:eastAsia="en-GB"/>
              </w:rPr>
              <w:t>Número de prácticas idóneas/directrices preparadas</w:t>
            </w:r>
          </w:p>
        </w:tc>
      </w:tr>
      <w:tr w:rsidR="00D14B56" w:rsidRPr="003D7913" w14:paraId="7D593D85" w14:textId="77777777" w:rsidTr="00DB16B9">
        <w:trPr>
          <w:trHeight w:val="315"/>
        </w:trPr>
        <w:tc>
          <w:tcPr>
            <w:tcW w:w="2664" w:type="dxa"/>
            <w:vMerge/>
            <w:tcBorders>
              <w:left w:val="nil"/>
              <w:right w:val="nil"/>
            </w:tcBorders>
            <w:shd w:val="clear" w:color="44B3E1" w:fill="44B3E1"/>
            <w:noWrap/>
            <w:hideMark/>
          </w:tcPr>
          <w:p w14:paraId="7EC31D13"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1E3F4C27" w14:textId="77777777" w:rsidR="00D14B56" w:rsidRPr="006117E0" w:rsidRDefault="00D14B56" w:rsidP="006177B7">
            <w:pPr>
              <w:pStyle w:val="Tabletext"/>
              <w:rPr>
                <w:color w:val="000000"/>
                <w:lang w:val="es-ES" w:eastAsia="en-GB"/>
              </w:rPr>
            </w:pPr>
            <w:r w:rsidRPr="006117E0">
              <w:rPr>
                <w:color w:val="000000"/>
                <w:lang w:val="es-ES" w:eastAsia="en-GB"/>
              </w:rPr>
              <w:t>Número de proyectos del UIT-D financiados en los PMA, PEID y PDSL</w:t>
            </w:r>
          </w:p>
        </w:tc>
      </w:tr>
      <w:tr w:rsidR="00D14B56" w:rsidRPr="003D7913" w14:paraId="1BF424C6" w14:textId="77777777" w:rsidTr="00DB16B9">
        <w:trPr>
          <w:trHeight w:val="315"/>
        </w:trPr>
        <w:tc>
          <w:tcPr>
            <w:tcW w:w="2664" w:type="dxa"/>
            <w:vMerge/>
            <w:tcBorders>
              <w:left w:val="nil"/>
              <w:right w:val="nil"/>
            </w:tcBorders>
            <w:shd w:val="clear" w:color="44B3E1" w:fill="44B3E1"/>
            <w:noWrap/>
            <w:hideMark/>
          </w:tcPr>
          <w:p w14:paraId="639A10D9"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288546A6" w14:textId="77777777" w:rsidR="00D14B56" w:rsidRPr="006117E0" w:rsidRDefault="00D14B56" w:rsidP="006177B7">
            <w:pPr>
              <w:pStyle w:val="Tabletext"/>
              <w:rPr>
                <w:color w:val="000000"/>
                <w:lang w:val="es-ES" w:eastAsia="en-GB"/>
              </w:rPr>
            </w:pPr>
            <w:r w:rsidRPr="006117E0">
              <w:rPr>
                <w:color w:val="000000"/>
                <w:lang w:val="es-ES" w:eastAsia="en-GB"/>
              </w:rPr>
              <w:t>Número de acuerdos de desarrollo de TIC firmados entre la UIT y sus socios en pro de la aplicación del Plan de Acción del UIT-D</w:t>
            </w:r>
          </w:p>
        </w:tc>
      </w:tr>
      <w:tr w:rsidR="00D14B56" w:rsidRPr="003D7913" w14:paraId="5F63D333" w14:textId="77777777" w:rsidTr="00DB16B9">
        <w:trPr>
          <w:trHeight w:val="315"/>
        </w:trPr>
        <w:tc>
          <w:tcPr>
            <w:tcW w:w="2664" w:type="dxa"/>
            <w:vMerge/>
            <w:tcBorders>
              <w:left w:val="nil"/>
              <w:right w:val="nil"/>
            </w:tcBorders>
            <w:shd w:val="clear" w:color="44B3E1" w:fill="44B3E1"/>
            <w:noWrap/>
            <w:hideMark/>
          </w:tcPr>
          <w:p w14:paraId="00338AF0"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tcPr>
          <w:p w14:paraId="5465C5D8" w14:textId="77777777" w:rsidR="00D14B56" w:rsidRPr="006117E0" w:rsidRDefault="00D14B56" w:rsidP="006177B7">
            <w:pPr>
              <w:pStyle w:val="Tabletext"/>
              <w:rPr>
                <w:color w:val="000000"/>
                <w:lang w:val="es-ES" w:eastAsia="en-GB"/>
              </w:rPr>
            </w:pPr>
            <w:r w:rsidRPr="006117E0">
              <w:rPr>
                <w:color w:val="000000"/>
                <w:lang w:val="es-ES" w:eastAsia="en-GB"/>
              </w:rPr>
              <w:t>Número de informes de evaluación de repercusiones preparados por la BDT</w:t>
            </w:r>
          </w:p>
        </w:tc>
      </w:tr>
      <w:tr w:rsidR="00D14B56" w:rsidRPr="003D7913" w14:paraId="30ABA7EB" w14:textId="77777777" w:rsidTr="00DB16B9">
        <w:trPr>
          <w:trHeight w:val="315"/>
        </w:trPr>
        <w:tc>
          <w:tcPr>
            <w:tcW w:w="2664" w:type="dxa"/>
            <w:vMerge/>
            <w:tcBorders>
              <w:left w:val="nil"/>
              <w:right w:val="nil"/>
            </w:tcBorders>
            <w:shd w:val="clear" w:color="44B3E1" w:fill="44B3E1"/>
            <w:noWrap/>
            <w:hideMark/>
          </w:tcPr>
          <w:p w14:paraId="13AA2AB0"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02346FA4" w14:textId="77777777" w:rsidR="00D14B56" w:rsidRPr="006117E0" w:rsidRDefault="00D14B56" w:rsidP="006177B7">
            <w:pPr>
              <w:pStyle w:val="Tabletext"/>
              <w:rPr>
                <w:color w:val="000000"/>
                <w:lang w:val="es-ES" w:eastAsia="en-GB"/>
              </w:rPr>
            </w:pPr>
            <w:r w:rsidRPr="006117E0">
              <w:rPr>
                <w:color w:val="000000"/>
                <w:lang w:val="es-ES" w:eastAsia="en-GB"/>
              </w:rPr>
              <w:t xml:space="preserve">Número de Estados Miembros participantes </w:t>
            </w:r>
          </w:p>
        </w:tc>
      </w:tr>
      <w:tr w:rsidR="00D14B56" w:rsidRPr="003D7913" w14:paraId="61049BAE" w14:textId="77777777" w:rsidTr="00DB16B9">
        <w:trPr>
          <w:trHeight w:val="315"/>
        </w:trPr>
        <w:tc>
          <w:tcPr>
            <w:tcW w:w="2664" w:type="dxa"/>
            <w:vMerge/>
            <w:tcBorders>
              <w:left w:val="nil"/>
              <w:right w:val="nil"/>
            </w:tcBorders>
            <w:shd w:val="clear" w:color="44B3E1" w:fill="44B3E1"/>
            <w:noWrap/>
            <w:hideMark/>
          </w:tcPr>
          <w:p w14:paraId="4455A4D6"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24A174A5" w14:textId="77777777" w:rsidR="00D14B56" w:rsidRPr="006117E0" w:rsidRDefault="00D14B56" w:rsidP="006177B7">
            <w:pPr>
              <w:pStyle w:val="Tabletext"/>
              <w:rPr>
                <w:color w:val="000000"/>
                <w:lang w:val="es-ES" w:eastAsia="en-GB"/>
              </w:rPr>
            </w:pPr>
            <w:r w:rsidRPr="006117E0">
              <w:rPr>
                <w:color w:val="000000"/>
                <w:lang w:val="es-ES" w:eastAsia="en-GB"/>
              </w:rPr>
              <w:t>Número de nuevos Miembros del UIT-D</w:t>
            </w:r>
          </w:p>
        </w:tc>
      </w:tr>
      <w:tr w:rsidR="00D14B56" w:rsidRPr="006117E0" w14:paraId="6FE79677" w14:textId="77777777" w:rsidTr="00DB16B9">
        <w:trPr>
          <w:trHeight w:val="315"/>
        </w:trPr>
        <w:tc>
          <w:tcPr>
            <w:tcW w:w="2664" w:type="dxa"/>
            <w:vMerge/>
            <w:tcBorders>
              <w:left w:val="nil"/>
              <w:right w:val="nil"/>
            </w:tcBorders>
            <w:shd w:val="clear" w:color="44B3E1" w:fill="44B3E1"/>
            <w:noWrap/>
            <w:hideMark/>
          </w:tcPr>
          <w:p w14:paraId="08D555D4"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7B4A63E7" w14:textId="77777777" w:rsidR="00D14B56" w:rsidRPr="003D7913" w:rsidRDefault="00D14B56" w:rsidP="006177B7">
            <w:pPr>
              <w:pStyle w:val="Tabletext"/>
              <w:rPr>
                <w:color w:val="000000"/>
                <w:lang w:val="en-US" w:eastAsia="en-GB"/>
              </w:rPr>
            </w:pPr>
            <w:r w:rsidRPr="006117E0">
              <w:rPr>
                <w:color w:val="000000"/>
                <w:lang w:val="es-ES" w:eastAsia="en-GB"/>
              </w:rPr>
              <w:t xml:space="preserve">Número de participantes en eventos de la BDT </w:t>
            </w:r>
            <w:r w:rsidRPr="006117E0">
              <w:rPr>
                <w:color w:val="000000"/>
                <w:lang w:val="es-ES" w:eastAsia="en-GB"/>
              </w:rPr>
              <w:br/>
              <w:t xml:space="preserve">(incl. </w:t>
            </w:r>
            <w:r w:rsidRPr="003D7913">
              <w:rPr>
                <w:color w:val="000000"/>
                <w:lang w:val="en-US" w:eastAsia="en-GB"/>
              </w:rPr>
              <w:t>FRD, GSR, GIF, DSF, SMIT, GEIT, GIICT, FMJ, etc.)</w:t>
            </w:r>
          </w:p>
        </w:tc>
      </w:tr>
      <w:tr w:rsidR="00D14B56" w:rsidRPr="006117E0" w14:paraId="78674A9D" w14:textId="77777777" w:rsidTr="00DB16B9">
        <w:trPr>
          <w:trHeight w:val="315"/>
        </w:trPr>
        <w:tc>
          <w:tcPr>
            <w:tcW w:w="2664" w:type="dxa"/>
            <w:vMerge/>
            <w:tcBorders>
              <w:left w:val="nil"/>
              <w:right w:val="nil"/>
            </w:tcBorders>
            <w:shd w:val="clear" w:color="44B3E1" w:fill="44B3E1"/>
            <w:noWrap/>
            <w:hideMark/>
          </w:tcPr>
          <w:p w14:paraId="228455AF" w14:textId="77777777" w:rsidR="00D14B56" w:rsidRPr="003D7913" w:rsidRDefault="00D14B56" w:rsidP="006177B7">
            <w:pPr>
              <w:pStyle w:val="Tabletext"/>
              <w:rPr>
                <w:b/>
                <w:color w:val="FFFFFF" w:themeColor="background1"/>
                <w:lang w:val="en-US" w:eastAsia="en-GB"/>
              </w:rPr>
            </w:pPr>
          </w:p>
        </w:tc>
        <w:tc>
          <w:tcPr>
            <w:tcW w:w="6975" w:type="dxa"/>
            <w:tcBorders>
              <w:top w:val="single" w:sz="4" w:space="0" w:color="C0E6F5"/>
              <w:left w:val="nil"/>
              <w:bottom w:val="single" w:sz="4" w:space="0" w:color="C0E6F5"/>
              <w:right w:val="nil"/>
            </w:tcBorders>
            <w:noWrap/>
            <w:hideMark/>
          </w:tcPr>
          <w:p w14:paraId="49D7D731" w14:textId="77777777" w:rsidR="00D14B56" w:rsidRPr="006117E0" w:rsidRDefault="00D14B56" w:rsidP="006177B7">
            <w:pPr>
              <w:pStyle w:val="Tabletext"/>
              <w:rPr>
                <w:color w:val="000000"/>
                <w:lang w:val="es-ES" w:eastAsia="en-GB"/>
              </w:rPr>
            </w:pPr>
            <w:r w:rsidRPr="006117E0">
              <w:rPr>
                <w:color w:val="000000"/>
                <w:lang w:val="es-ES" w:eastAsia="en-GB"/>
              </w:rPr>
              <w:t>Número de asociaciones firmadas</w:t>
            </w:r>
          </w:p>
        </w:tc>
      </w:tr>
      <w:tr w:rsidR="00D14B56" w:rsidRPr="003D7913" w14:paraId="66344532" w14:textId="77777777" w:rsidTr="00DB16B9">
        <w:trPr>
          <w:trHeight w:val="315"/>
        </w:trPr>
        <w:tc>
          <w:tcPr>
            <w:tcW w:w="2664" w:type="dxa"/>
            <w:vMerge/>
            <w:tcBorders>
              <w:left w:val="nil"/>
              <w:right w:val="nil"/>
            </w:tcBorders>
            <w:shd w:val="clear" w:color="44B3E1" w:fill="44B3E1"/>
            <w:noWrap/>
            <w:hideMark/>
          </w:tcPr>
          <w:p w14:paraId="2DA664BE"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6373A2AA" w14:textId="77777777" w:rsidR="00D14B56" w:rsidRPr="006117E0" w:rsidRDefault="00D14B56" w:rsidP="006177B7">
            <w:pPr>
              <w:pStyle w:val="Tabletext"/>
              <w:rPr>
                <w:color w:val="000000"/>
                <w:lang w:val="es-ES" w:eastAsia="en-GB"/>
              </w:rPr>
            </w:pPr>
            <w:r w:rsidRPr="006117E0">
              <w:rPr>
                <w:color w:val="000000"/>
                <w:lang w:val="es-ES" w:eastAsia="en-GB"/>
              </w:rPr>
              <w:t>Relación de fuentes internas/externas para la financiación de proyectos</w:t>
            </w:r>
          </w:p>
        </w:tc>
      </w:tr>
      <w:tr w:rsidR="00D14B56" w:rsidRPr="003D7913" w14:paraId="68D35775" w14:textId="77777777" w:rsidTr="00DB16B9">
        <w:trPr>
          <w:trHeight w:val="315"/>
        </w:trPr>
        <w:tc>
          <w:tcPr>
            <w:tcW w:w="2664" w:type="dxa"/>
            <w:vMerge/>
            <w:tcBorders>
              <w:left w:val="nil"/>
              <w:right w:val="nil"/>
            </w:tcBorders>
            <w:shd w:val="clear" w:color="44B3E1" w:fill="44B3E1"/>
            <w:noWrap/>
            <w:hideMark/>
          </w:tcPr>
          <w:p w14:paraId="7E4F8F83"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4D419A90" w14:textId="77777777" w:rsidR="00D14B56" w:rsidRPr="006117E0" w:rsidRDefault="00D14B56" w:rsidP="006177B7">
            <w:pPr>
              <w:pStyle w:val="Tabletext"/>
              <w:rPr>
                <w:color w:val="000000"/>
                <w:lang w:val="es-ES" w:eastAsia="en-GB"/>
              </w:rPr>
            </w:pPr>
            <w:r w:rsidRPr="006117E0">
              <w:rPr>
                <w:color w:val="000000"/>
                <w:lang w:val="es-ES" w:eastAsia="en-GB"/>
              </w:rPr>
              <w:t>Número total de socios que contribuyen a los proyectos del UIT-D</w:t>
            </w:r>
          </w:p>
        </w:tc>
      </w:tr>
      <w:tr w:rsidR="00D14B56" w:rsidRPr="003D7913" w14:paraId="1AFD3CD8" w14:textId="77777777" w:rsidTr="00DB16B9">
        <w:trPr>
          <w:trHeight w:val="315"/>
        </w:trPr>
        <w:tc>
          <w:tcPr>
            <w:tcW w:w="2664" w:type="dxa"/>
            <w:vMerge/>
            <w:tcBorders>
              <w:left w:val="nil"/>
              <w:bottom w:val="single" w:sz="4" w:space="0" w:color="C0E6F5"/>
              <w:right w:val="nil"/>
            </w:tcBorders>
            <w:shd w:val="clear" w:color="44B3E1" w:fill="44B3E1"/>
            <w:noWrap/>
            <w:hideMark/>
          </w:tcPr>
          <w:p w14:paraId="0ECF18D8" w14:textId="77777777" w:rsidR="00D14B56" w:rsidRPr="006117E0" w:rsidRDefault="00D14B56" w:rsidP="006177B7">
            <w:pPr>
              <w:pStyle w:val="Tabletext"/>
              <w:rPr>
                <w:b/>
                <w:color w:val="FFFFFF" w:themeColor="background1"/>
                <w:lang w:val="es-ES" w:eastAsia="en-GB"/>
              </w:rPr>
            </w:pPr>
          </w:p>
        </w:tc>
        <w:tc>
          <w:tcPr>
            <w:tcW w:w="6975" w:type="dxa"/>
            <w:tcBorders>
              <w:top w:val="single" w:sz="4" w:space="0" w:color="C0E6F5"/>
              <w:left w:val="nil"/>
              <w:bottom w:val="single" w:sz="4" w:space="0" w:color="C0E6F5"/>
              <w:right w:val="nil"/>
            </w:tcBorders>
            <w:noWrap/>
            <w:hideMark/>
          </w:tcPr>
          <w:p w14:paraId="39F8DB2E" w14:textId="77777777" w:rsidR="00D14B56" w:rsidRPr="006117E0" w:rsidRDefault="00D14B56" w:rsidP="006177B7">
            <w:pPr>
              <w:pStyle w:val="Tabletext"/>
              <w:rPr>
                <w:color w:val="000000"/>
                <w:lang w:val="es-ES" w:eastAsia="en-GB"/>
              </w:rPr>
            </w:pPr>
            <w:r w:rsidRPr="006117E0">
              <w:rPr>
                <w:color w:val="000000"/>
                <w:lang w:val="es-ES" w:eastAsia="en-GB"/>
              </w:rPr>
              <w:t>Total fondos recabados por la BDT para proyectos</w:t>
            </w:r>
          </w:p>
        </w:tc>
      </w:tr>
    </w:tbl>
    <w:p w14:paraId="0013E8BD" w14:textId="7BD961EE" w:rsidR="003F29D1" w:rsidRPr="006117E0" w:rsidRDefault="003F29D1" w:rsidP="003F29D1">
      <w:pPr>
        <w:pStyle w:val="Heading1"/>
        <w:rPr>
          <w:lang w:val="es-ES"/>
        </w:rPr>
      </w:pPr>
      <w:r w:rsidRPr="006117E0">
        <w:rPr>
          <w:lang w:val="es-ES"/>
        </w:rPr>
        <w:t>5</w:t>
      </w:r>
      <w:r w:rsidRPr="006117E0">
        <w:rPr>
          <w:lang w:val="es-ES"/>
        </w:rPr>
        <w:tab/>
        <w:t>Factor habilitador: Excelencia institucional</w:t>
      </w:r>
    </w:p>
    <w:p w14:paraId="16D44BF7" w14:textId="77777777" w:rsidR="003F29D1" w:rsidRPr="006117E0" w:rsidRDefault="003F29D1" w:rsidP="003F29D1">
      <w:pPr>
        <w:rPr>
          <w:lang w:val="es-ES"/>
        </w:rPr>
      </w:pPr>
      <w:r w:rsidRPr="006117E0">
        <w:rPr>
          <w:lang w:val="es-ES"/>
        </w:rPr>
        <w:t>La CMDT-25 definió la "excelencia institucional" como el mecanismo habilitador para facilitar la implementación y propiciar la consecución de las realizaciones de las Prioridades del UIT-D. El objetivo es optimizar y mejorar la eficiencia y la eficacia operativas a fin de que la BDT pueda reaccionar rápidamente a la evolución del panorama de las telecomunicaciones/TIC y responder mejor a las necesidades de los países y los Miembros. Para ello se han de mejorar los procesos internos, acelerar la toma de decisiones, fomentar la colaboración transfuncional, alentar la innovación y mejorar la gestión del rendimiento y del talento mediante un plan de transformación cultural y de competencias. Sus principales ámbitos son:</w:t>
      </w:r>
    </w:p>
    <w:p w14:paraId="69730A23" w14:textId="4F34ACAD" w:rsidR="003F29D1" w:rsidRPr="006117E0" w:rsidRDefault="00EE3C08" w:rsidP="003F29D1">
      <w:pPr>
        <w:pStyle w:val="enumlev1"/>
        <w:rPr>
          <w:lang w:val="es-ES"/>
        </w:rPr>
      </w:pPr>
      <w:r w:rsidRPr="006117E0">
        <w:rPr>
          <w:lang w:val="es-ES"/>
        </w:rPr>
        <w:t>–</w:t>
      </w:r>
      <w:r w:rsidR="003F29D1" w:rsidRPr="006117E0">
        <w:rPr>
          <w:lang w:val="es-ES"/>
        </w:rPr>
        <w:tab/>
      </w:r>
      <w:r w:rsidR="003F29D1" w:rsidRPr="006117E0">
        <w:rPr>
          <w:b/>
          <w:bCs/>
          <w:lang w:val="es-ES"/>
        </w:rPr>
        <w:t>Orientada a los Miembros</w:t>
      </w:r>
      <w:r w:rsidR="003F29D1" w:rsidRPr="006117E0">
        <w:rPr>
          <w:lang w:val="es-ES"/>
        </w:rPr>
        <w:t>: dar prioridad a las necesidades de todos los Miembros, en particular los países en desarrollo, y afianzar su compromiso con la industria y los nuevos Miembros.</w:t>
      </w:r>
    </w:p>
    <w:p w14:paraId="7D58CC2D" w14:textId="1151F9A6" w:rsidR="003F29D1" w:rsidRPr="006117E0" w:rsidRDefault="00EE3C08" w:rsidP="00EE3C08">
      <w:pPr>
        <w:pStyle w:val="enumlev1"/>
        <w:rPr>
          <w:lang w:val="es-ES"/>
        </w:rPr>
      </w:pPr>
      <w:r w:rsidRPr="006117E0">
        <w:rPr>
          <w:lang w:val="es-ES"/>
        </w:rPr>
        <w:t>–</w:t>
      </w:r>
      <w:r w:rsidR="003F29D1" w:rsidRPr="006117E0">
        <w:rPr>
          <w:lang w:val="es-ES"/>
        </w:rPr>
        <w:tab/>
      </w:r>
      <w:r w:rsidR="003F29D1" w:rsidRPr="006117E0">
        <w:rPr>
          <w:b/>
          <w:bCs/>
          <w:lang w:val="es-ES"/>
        </w:rPr>
        <w:t>Presencia regional</w:t>
      </w:r>
      <w:r w:rsidR="003F29D1" w:rsidRPr="006117E0">
        <w:rPr>
          <w:lang w:val="es-ES"/>
        </w:rPr>
        <w:t>: empoderar a las Oficinas Regionales y Zonales para mejorar la reactividad local, la aplicación de programas, las asociaciones y la rendición de cuentas sobre avances, utilización de recursos y repercusiones.</w:t>
      </w:r>
    </w:p>
    <w:p w14:paraId="529DE4D0" w14:textId="7F1FCBE5" w:rsidR="003F29D1" w:rsidRPr="006117E0" w:rsidRDefault="00EE3C08" w:rsidP="00EE3C08">
      <w:pPr>
        <w:pStyle w:val="enumlev1"/>
        <w:rPr>
          <w:lang w:val="es-ES"/>
        </w:rPr>
      </w:pPr>
      <w:r w:rsidRPr="006117E0">
        <w:rPr>
          <w:lang w:val="es-ES"/>
        </w:rPr>
        <w:t>–</w:t>
      </w:r>
      <w:r w:rsidR="003F29D1" w:rsidRPr="006117E0">
        <w:rPr>
          <w:lang w:val="es-ES"/>
        </w:rPr>
        <w:tab/>
      </w:r>
      <w:r w:rsidR="003F29D1" w:rsidRPr="006117E0">
        <w:rPr>
          <w:b/>
          <w:bCs/>
          <w:lang w:val="es-ES"/>
        </w:rPr>
        <w:t>Gestión de proyectos</w:t>
      </w:r>
      <w:r w:rsidR="003F29D1" w:rsidRPr="006117E0">
        <w:rPr>
          <w:lang w:val="es-ES"/>
        </w:rPr>
        <w:t>: aumentar la capacidad, las herramientas y las prácticas para garantizar la eficiencia y la eficacia respecto de la planificación, la ejecución, la supervisión y la ultimación puntual de los proyectos de desarrollo.</w:t>
      </w:r>
    </w:p>
    <w:p w14:paraId="0E5FF32E" w14:textId="232540F0" w:rsidR="003F29D1" w:rsidRPr="006117E0" w:rsidRDefault="00EE3C08" w:rsidP="00EE3C08">
      <w:pPr>
        <w:pStyle w:val="enumlev1"/>
        <w:rPr>
          <w:lang w:val="es-ES"/>
        </w:rPr>
      </w:pPr>
      <w:r w:rsidRPr="006117E0">
        <w:rPr>
          <w:lang w:val="es-ES"/>
        </w:rPr>
        <w:t>–</w:t>
      </w:r>
      <w:r w:rsidR="003F29D1" w:rsidRPr="006117E0">
        <w:rPr>
          <w:lang w:val="es-ES"/>
        </w:rPr>
        <w:tab/>
      </w:r>
      <w:r w:rsidR="003F29D1" w:rsidRPr="006117E0">
        <w:rPr>
          <w:b/>
          <w:bCs/>
          <w:lang w:val="es-ES"/>
        </w:rPr>
        <w:t>Servicios de apoyo</w:t>
      </w:r>
      <w:r w:rsidR="003F29D1" w:rsidRPr="006117E0">
        <w:rPr>
          <w:lang w:val="es-ES"/>
        </w:rPr>
        <w:t>: reforzar las funciones administrativas y operativas, como las comunicaciones, las becas, los eventos, la documentación, la supervisión del rendimiento, los recursos humanos, el soporte presupuestario y la coordinación entre los Sectores de la UIT.</w:t>
      </w:r>
    </w:p>
    <w:p w14:paraId="1200E99B" w14:textId="77777777" w:rsidR="003F29D1" w:rsidRPr="006117E0" w:rsidRDefault="003F29D1" w:rsidP="003F29D1">
      <w:pPr>
        <w:rPr>
          <w:lang w:val="es-ES"/>
        </w:rPr>
      </w:pPr>
      <w:r w:rsidRPr="006117E0">
        <w:rPr>
          <w:lang w:val="es-ES"/>
        </w:rPr>
        <w:t>Se ha asignado un presupuesto aparte a estos ámbitos para garantizar la ejecución efectiva de los programas del UIT-D y las realizaciones estratégicas.</w:t>
      </w:r>
    </w:p>
    <w:tbl>
      <w:tblPr>
        <w:tblW w:w="9227" w:type="dxa"/>
        <w:tblLook w:val="04A0" w:firstRow="1" w:lastRow="0" w:firstColumn="1" w:lastColumn="0" w:noHBand="0" w:noVBand="1"/>
      </w:tblPr>
      <w:tblGrid>
        <w:gridCol w:w="1243"/>
        <w:gridCol w:w="1740"/>
        <w:gridCol w:w="3444"/>
        <w:gridCol w:w="2800"/>
      </w:tblGrid>
      <w:tr w:rsidR="003F29D1" w:rsidRPr="006117E0" w14:paraId="5E3B084E" w14:textId="77777777" w:rsidTr="006177B7">
        <w:trPr>
          <w:trHeight w:val="300"/>
        </w:trPr>
        <w:tc>
          <w:tcPr>
            <w:tcW w:w="1243" w:type="dxa"/>
            <w:tcBorders>
              <w:top w:val="single" w:sz="4" w:space="0" w:color="44B3E1"/>
              <w:left w:val="single" w:sz="4" w:space="0" w:color="44B3E1"/>
              <w:bottom w:val="single" w:sz="4" w:space="0" w:color="44B3E1"/>
              <w:right w:val="nil"/>
            </w:tcBorders>
            <w:shd w:val="clear" w:color="156082" w:fill="156082"/>
            <w:hideMark/>
          </w:tcPr>
          <w:p w14:paraId="480E9422" w14:textId="77777777" w:rsidR="003F29D1" w:rsidRPr="006117E0" w:rsidRDefault="003F29D1" w:rsidP="006177B7">
            <w:pPr>
              <w:pStyle w:val="Tablehead"/>
              <w:keepLines/>
              <w:rPr>
                <w:color w:val="FFFFFF" w:themeColor="background1"/>
                <w:lang w:val="es-ES" w:eastAsia="en-GB"/>
              </w:rPr>
            </w:pPr>
            <w:r w:rsidRPr="006117E0">
              <w:rPr>
                <w:color w:val="FFFFFF" w:themeColor="background1"/>
                <w:lang w:val="es-ES" w:eastAsia="en-GB"/>
              </w:rPr>
              <w:lastRenderedPageBreak/>
              <w:t xml:space="preserve">Factor habilitador </w:t>
            </w:r>
          </w:p>
        </w:tc>
        <w:tc>
          <w:tcPr>
            <w:tcW w:w="1740" w:type="dxa"/>
            <w:tcBorders>
              <w:top w:val="single" w:sz="4" w:space="0" w:color="44B3E1"/>
              <w:left w:val="nil"/>
              <w:bottom w:val="single" w:sz="4" w:space="0" w:color="44B3E1"/>
              <w:right w:val="nil"/>
            </w:tcBorders>
            <w:shd w:val="clear" w:color="156082" w:fill="156082"/>
            <w:noWrap/>
            <w:hideMark/>
          </w:tcPr>
          <w:p w14:paraId="7255B85C" w14:textId="77777777" w:rsidR="003F29D1" w:rsidRPr="006117E0" w:rsidRDefault="003F29D1" w:rsidP="006177B7">
            <w:pPr>
              <w:pStyle w:val="Tablehead"/>
              <w:keepLines/>
              <w:rPr>
                <w:color w:val="FFFFFF" w:themeColor="background1"/>
                <w:lang w:val="es-ES" w:eastAsia="en-GB"/>
              </w:rPr>
            </w:pPr>
            <w:r w:rsidRPr="006117E0">
              <w:rPr>
                <w:color w:val="FFFFFF" w:themeColor="background1"/>
                <w:lang w:val="es-ES" w:eastAsia="en-GB"/>
              </w:rPr>
              <w:t>Presupuesto de 2026 (en CHF)</w:t>
            </w:r>
          </w:p>
        </w:tc>
        <w:tc>
          <w:tcPr>
            <w:tcW w:w="3444" w:type="dxa"/>
            <w:tcBorders>
              <w:top w:val="single" w:sz="4" w:space="0" w:color="44B3E1"/>
              <w:left w:val="nil"/>
              <w:bottom w:val="single" w:sz="4" w:space="0" w:color="44B3E1"/>
              <w:right w:val="nil"/>
            </w:tcBorders>
            <w:shd w:val="clear" w:color="156082" w:fill="156082"/>
            <w:noWrap/>
            <w:hideMark/>
          </w:tcPr>
          <w:p w14:paraId="5D8EA3B8" w14:textId="77777777" w:rsidR="003F29D1" w:rsidRPr="006117E0" w:rsidRDefault="003F29D1" w:rsidP="006177B7">
            <w:pPr>
              <w:pStyle w:val="Tablehead"/>
              <w:keepLines/>
              <w:rPr>
                <w:color w:val="FFFFFF" w:themeColor="background1"/>
                <w:lang w:val="es-ES" w:eastAsia="en-GB"/>
              </w:rPr>
            </w:pPr>
            <w:r w:rsidRPr="006117E0">
              <w:rPr>
                <w:color w:val="FFFFFF" w:themeColor="background1"/>
                <w:lang w:val="es-ES" w:eastAsia="en-GB"/>
              </w:rPr>
              <w:t>% de la prioridad/factor habilitador total</w:t>
            </w:r>
          </w:p>
        </w:tc>
        <w:tc>
          <w:tcPr>
            <w:tcW w:w="2800" w:type="dxa"/>
            <w:tcBorders>
              <w:top w:val="single" w:sz="4" w:space="0" w:color="44B3E1"/>
              <w:left w:val="nil"/>
              <w:bottom w:val="single" w:sz="4" w:space="0" w:color="44B3E1"/>
              <w:right w:val="single" w:sz="4" w:space="0" w:color="44B3E1"/>
            </w:tcBorders>
            <w:shd w:val="clear" w:color="156082" w:fill="156082"/>
            <w:noWrap/>
            <w:hideMark/>
          </w:tcPr>
          <w:p w14:paraId="442BC540" w14:textId="77777777" w:rsidR="003F29D1" w:rsidRPr="006117E0" w:rsidRDefault="003F29D1" w:rsidP="006177B7">
            <w:pPr>
              <w:pStyle w:val="Tablehead"/>
              <w:keepLines/>
              <w:rPr>
                <w:color w:val="FFFFFF" w:themeColor="background1"/>
                <w:lang w:val="es-ES" w:eastAsia="en-GB"/>
              </w:rPr>
            </w:pPr>
            <w:r w:rsidRPr="006117E0">
              <w:rPr>
                <w:color w:val="FFFFFF" w:themeColor="background1"/>
                <w:lang w:val="es-ES" w:eastAsia="en-GB"/>
              </w:rPr>
              <w:t>% del total global</w:t>
            </w:r>
          </w:p>
        </w:tc>
      </w:tr>
      <w:tr w:rsidR="003F29D1" w:rsidRPr="006117E0" w14:paraId="2B4F7989" w14:textId="77777777" w:rsidTr="006177B7">
        <w:trPr>
          <w:trHeight w:val="300"/>
        </w:trPr>
        <w:tc>
          <w:tcPr>
            <w:tcW w:w="1243" w:type="dxa"/>
            <w:tcBorders>
              <w:top w:val="single" w:sz="4" w:space="0" w:color="44B3E1"/>
              <w:left w:val="single" w:sz="4" w:space="0" w:color="44B3E1"/>
              <w:bottom w:val="single" w:sz="4" w:space="0" w:color="44B3E1"/>
              <w:right w:val="nil"/>
            </w:tcBorders>
            <w:shd w:val="clear" w:color="C0E6F5" w:fill="C0E6F5"/>
            <w:hideMark/>
          </w:tcPr>
          <w:p w14:paraId="19BA934C" w14:textId="77777777" w:rsidR="003F29D1" w:rsidRPr="006117E0" w:rsidRDefault="003F29D1" w:rsidP="006177B7">
            <w:pPr>
              <w:pStyle w:val="Tabletext"/>
              <w:keepNext/>
              <w:keepLines/>
              <w:rPr>
                <w:b/>
                <w:bCs/>
                <w:lang w:val="es-ES" w:eastAsia="en-GB"/>
              </w:rPr>
            </w:pPr>
            <w:r w:rsidRPr="006117E0">
              <w:rPr>
                <w:b/>
                <w:bCs/>
                <w:lang w:val="es-ES" w:eastAsia="en-GB"/>
              </w:rPr>
              <w:t>Excelencia institucional</w:t>
            </w:r>
          </w:p>
        </w:tc>
        <w:tc>
          <w:tcPr>
            <w:tcW w:w="1740" w:type="dxa"/>
            <w:tcBorders>
              <w:top w:val="single" w:sz="4" w:space="0" w:color="44B3E1"/>
              <w:left w:val="nil"/>
              <w:bottom w:val="single" w:sz="4" w:space="0" w:color="44B3E1"/>
              <w:right w:val="nil"/>
            </w:tcBorders>
            <w:shd w:val="clear" w:color="C0E6F5" w:fill="C0E6F5"/>
            <w:noWrap/>
            <w:hideMark/>
          </w:tcPr>
          <w:p w14:paraId="25B180DC" w14:textId="77777777" w:rsidR="003F29D1" w:rsidRPr="006117E0" w:rsidRDefault="003F29D1" w:rsidP="006177B7">
            <w:pPr>
              <w:pStyle w:val="Tabletext"/>
              <w:keepNext/>
              <w:keepLines/>
              <w:jc w:val="center"/>
              <w:rPr>
                <w:rFonts w:ascii="Aptos Narrow" w:hAnsi="Aptos Narrow"/>
                <w:b/>
                <w:bCs/>
                <w:lang w:val="es-ES" w:eastAsia="en-GB"/>
              </w:rPr>
            </w:pPr>
            <w:r w:rsidRPr="006117E0">
              <w:rPr>
                <w:rFonts w:ascii="Aptos Narrow" w:hAnsi="Aptos Narrow"/>
                <w:b/>
                <w:bCs/>
                <w:lang w:val="es-ES" w:eastAsia="en-GB"/>
              </w:rPr>
              <w:t>580 615</w:t>
            </w:r>
          </w:p>
        </w:tc>
        <w:tc>
          <w:tcPr>
            <w:tcW w:w="3444" w:type="dxa"/>
            <w:tcBorders>
              <w:top w:val="single" w:sz="4" w:space="0" w:color="44B3E1"/>
              <w:left w:val="nil"/>
              <w:bottom w:val="single" w:sz="4" w:space="0" w:color="44B3E1"/>
              <w:right w:val="nil"/>
            </w:tcBorders>
            <w:shd w:val="clear" w:color="C0E6F5" w:fill="C0E6F5"/>
            <w:noWrap/>
            <w:hideMark/>
          </w:tcPr>
          <w:p w14:paraId="25A93EE2" w14:textId="77777777" w:rsidR="003F29D1" w:rsidRPr="006117E0" w:rsidRDefault="003F29D1" w:rsidP="006177B7">
            <w:pPr>
              <w:pStyle w:val="Tabletext"/>
              <w:keepNext/>
              <w:keepLines/>
              <w:jc w:val="center"/>
              <w:rPr>
                <w:rFonts w:ascii="Aptos Narrow" w:hAnsi="Aptos Narrow"/>
                <w:b/>
                <w:bCs/>
                <w:lang w:val="es-ES" w:eastAsia="en-GB"/>
              </w:rPr>
            </w:pP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68DE181A" w14:textId="4442873B" w:rsidR="003F29D1" w:rsidRPr="006117E0" w:rsidRDefault="003F29D1" w:rsidP="006177B7">
            <w:pPr>
              <w:pStyle w:val="Tabletext"/>
              <w:keepNext/>
              <w:keepLines/>
              <w:jc w:val="center"/>
              <w:rPr>
                <w:rFonts w:ascii="Aptos Narrow" w:hAnsi="Aptos Narrow"/>
                <w:b/>
                <w:bCs/>
                <w:lang w:val="es-ES" w:eastAsia="en-GB"/>
              </w:rPr>
            </w:pPr>
            <w:r w:rsidRPr="006117E0">
              <w:rPr>
                <w:rFonts w:ascii="Aptos Narrow" w:hAnsi="Aptos Narrow"/>
                <w:b/>
                <w:bCs/>
                <w:lang w:val="es-ES" w:eastAsia="en-GB"/>
              </w:rPr>
              <w:t>15,23</w:t>
            </w:r>
            <w:r w:rsidR="00EE3C08" w:rsidRPr="006117E0">
              <w:rPr>
                <w:rFonts w:ascii="Aptos Narrow" w:hAnsi="Aptos Narrow"/>
                <w:b/>
                <w:bCs/>
                <w:lang w:val="es-ES" w:eastAsia="en-GB"/>
              </w:rPr>
              <w:t xml:space="preserve"> </w:t>
            </w:r>
            <w:r w:rsidRPr="006117E0">
              <w:rPr>
                <w:rFonts w:ascii="Aptos Narrow" w:hAnsi="Aptos Narrow"/>
                <w:b/>
                <w:bCs/>
                <w:lang w:val="es-ES" w:eastAsia="en-GB"/>
              </w:rPr>
              <w:t>%</w:t>
            </w:r>
          </w:p>
        </w:tc>
      </w:tr>
      <w:tr w:rsidR="003F29D1" w:rsidRPr="006117E0" w14:paraId="6A20D6C7" w14:textId="77777777" w:rsidTr="006177B7">
        <w:trPr>
          <w:trHeight w:val="300"/>
        </w:trPr>
        <w:tc>
          <w:tcPr>
            <w:tcW w:w="1243" w:type="dxa"/>
            <w:tcBorders>
              <w:top w:val="single" w:sz="4" w:space="0" w:color="44B3E1"/>
              <w:left w:val="single" w:sz="4" w:space="0" w:color="44B3E1"/>
              <w:bottom w:val="single" w:sz="4" w:space="0" w:color="44B3E1"/>
              <w:right w:val="nil"/>
            </w:tcBorders>
            <w:hideMark/>
          </w:tcPr>
          <w:p w14:paraId="22F63950" w14:textId="77777777" w:rsidR="003F29D1" w:rsidRPr="006117E0" w:rsidRDefault="003F29D1" w:rsidP="006177B7">
            <w:pPr>
              <w:pStyle w:val="Tabletext"/>
              <w:keepNext/>
              <w:keepLines/>
              <w:rPr>
                <w:lang w:val="es-ES" w:eastAsia="en-GB"/>
              </w:rPr>
            </w:pPr>
            <w:r w:rsidRPr="006117E0">
              <w:rPr>
                <w:lang w:val="es-ES" w:eastAsia="en-GB"/>
              </w:rPr>
              <w:t>Orientada a los Miembros</w:t>
            </w:r>
          </w:p>
        </w:tc>
        <w:tc>
          <w:tcPr>
            <w:tcW w:w="1740" w:type="dxa"/>
            <w:tcBorders>
              <w:top w:val="single" w:sz="4" w:space="0" w:color="44B3E1"/>
              <w:left w:val="nil"/>
              <w:bottom w:val="single" w:sz="4" w:space="0" w:color="44B3E1"/>
              <w:right w:val="nil"/>
            </w:tcBorders>
            <w:noWrap/>
            <w:hideMark/>
          </w:tcPr>
          <w:p w14:paraId="5B0182E9" w14:textId="77777777" w:rsidR="003F29D1" w:rsidRPr="006117E0" w:rsidRDefault="003F29D1" w:rsidP="006177B7">
            <w:pPr>
              <w:pStyle w:val="Tabletext"/>
              <w:keepNext/>
              <w:keepLines/>
              <w:jc w:val="center"/>
              <w:rPr>
                <w:rFonts w:ascii="Aptos Narrow" w:hAnsi="Aptos Narrow"/>
                <w:lang w:val="es-ES" w:eastAsia="en-GB"/>
              </w:rPr>
            </w:pPr>
            <w:r w:rsidRPr="006117E0">
              <w:rPr>
                <w:rFonts w:ascii="Aptos Narrow" w:hAnsi="Aptos Narrow"/>
                <w:lang w:val="es-ES" w:eastAsia="en-GB"/>
              </w:rPr>
              <w:t>185 000</w:t>
            </w:r>
          </w:p>
        </w:tc>
        <w:tc>
          <w:tcPr>
            <w:tcW w:w="3444" w:type="dxa"/>
            <w:tcBorders>
              <w:top w:val="single" w:sz="4" w:space="0" w:color="44B3E1"/>
              <w:left w:val="nil"/>
              <w:bottom w:val="single" w:sz="4" w:space="0" w:color="44B3E1"/>
              <w:right w:val="nil"/>
            </w:tcBorders>
            <w:noWrap/>
            <w:hideMark/>
          </w:tcPr>
          <w:p w14:paraId="6407FE1B" w14:textId="17D1FA7E" w:rsidR="003F29D1" w:rsidRPr="006117E0" w:rsidRDefault="003F29D1" w:rsidP="006177B7">
            <w:pPr>
              <w:pStyle w:val="Tabletext"/>
              <w:keepNext/>
              <w:keepLines/>
              <w:jc w:val="center"/>
              <w:rPr>
                <w:rFonts w:ascii="Aptos Narrow" w:hAnsi="Aptos Narrow"/>
                <w:lang w:val="es-ES" w:eastAsia="en-GB"/>
              </w:rPr>
            </w:pPr>
            <w:r w:rsidRPr="006117E0">
              <w:rPr>
                <w:rFonts w:ascii="Aptos Narrow" w:hAnsi="Aptos Narrow"/>
                <w:lang w:val="es-ES" w:eastAsia="en-GB"/>
              </w:rPr>
              <w:t>31,9</w:t>
            </w:r>
            <w:r w:rsidR="00EE3C08" w:rsidRPr="006117E0">
              <w:rPr>
                <w:rFonts w:ascii="Aptos Narrow" w:hAnsi="Aptos Narrow"/>
                <w:lang w:val="es-ES" w:eastAsia="en-GB"/>
              </w:rPr>
              <w:t xml:space="preserve"> </w:t>
            </w:r>
            <w:r w:rsidRPr="006117E0">
              <w:rPr>
                <w:rFonts w:ascii="Aptos Narrow" w:hAnsi="Aptos Narrow"/>
                <w:lang w:val="es-ES" w:eastAsia="en-GB"/>
              </w:rPr>
              <w:t>%</w:t>
            </w:r>
          </w:p>
        </w:tc>
        <w:tc>
          <w:tcPr>
            <w:tcW w:w="2800" w:type="dxa"/>
            <w:tcBorders>
              <w:top w:val="single" w:sz="4" w:space="0" w:color="44B3E1"/>
              <w:left w:val="nil"/>
              <w:bottom w:val="single" w:sz="4" w:space="0" w:color="44B3E1"/>
              <w:right w:val="single" w:sz="4" w:space="0" w:color="44B3E1"/>
            </w:tcBorders>
            <w:noWrap/>
            <w:hideMark/>
          </w:tcPr>
          <w:p w14:paraId="21AC4D5E" w14:textId="0B61DC06" w:rsidR="003F29D1" w:rsidRPr="006117E0" w:rsidRDefault="003F29D1" w:rsidP="006177B7">
            <w:pPr>
              <w:pStyle w:val="Tabletext"/>
              <w:keepNext/>
              <w:keepLines/>
              <w:jc w:val="center"/>
              <w:rPr>
                <w:rFonts w:ascii="Aptos Narrow" w:hAnsi="Aptos Narrow"/>
                <w:lang w:val="es-ES" w:eastAsia="en-GB"/>
              </w:rPr>
            </w:pPr>
            <w:r w:rsidRPr="006117E0">
              <w:rPr>
                <w:rFonts w:ascii="Aptos Narrow" w:hAnsi="Aptos Narrow"/>
                <w:lang w:val="es-ES" w:eastAsia="en-GB"/>
              </w:rPr>
              <w:t>4,9</w:t>
            </w:r>
            <w:r w:rsidR="00EE3C08" w:rsidRPr="006117E0">
              <w:rPr>
                <w:rFonts w:ascii="Aptos Narrow" w:hAnsi="Aptos Narrow"/>
                <w:lang w:val="es-ES" w:eastAsia="en-GB"/>
              </w:rPr>
              <w:t xml:space="preserve"> </w:t>
            </w:r>
            <w:r w:rsidRPr="006117E0">
              <w:rPr>
                <w:rFonts w:ascii="Aptos Narrow" w:hAnsi="Aptos Narrow"/>
                <w:lang w:val="es-ES" w:eastAsia="en-GB"/>
              </w:rPr>
              <w:t>%</w:t>
            </w:r>
          </w:p>
        </w:tc>
      </w:tr>
      <w:tr w:rsidR="003F29D1" w:rsidRPr="006117E0" w14:paraId="28D1F0F7" w14:textId="77777777" w:rsidTr="006177B7">
        <w:trPr>
          <w:trHeight w:val="300"/>
        </w:trPr>
        <w:tc>
          <w:tcPr>
            <w:tcW w:w="1243" w:type="dxa"/>
            <w:tcBorders>
              <w:top w:val="single" w:sz="4" w:space="0" w:color="44B3E1"/>
              <w:left w:val="single" w:sz="4" w:space="0" w:color="44B3E1"/>
              <w:bottom w:val="single" w:sz="4" w:space="0" w:color="44B3E1"/>
              <w:right w:val="nil"/>
            </w:tcBorders>
            <w:shd w:val="clear" w:color="C0E6F5" w:fill="C0E6F5"/>
            <w:hideMark/>
          </w:tcPr>
          <w:p w14:paraId="08DC8303" w14:textId="77777777" w:rsidR="003F29D1" w:rsidRPr="006117E0" w:rsidRDefault="003F29D1" w:rsidP="006177B7">
            <w:pPr>
              <w:pStyle w:val="Tabletext"/>
              <w:rPr>
                <w:lang w:val="es-ES" w:eastAsia="en-GB"/>
              </w:rPr>
            </w:pPr>
          </w:p>
        </w:tc>
        <w:tc>
          <w:tcPr>
            <w:tcW w:w="1740" w:type="dxa"/>
            <w:tcBorders>
              <w:top w:val="single" w:sz="4" w:space="0" w:color="44B3E1"/>
              <w:left w:val="nil"/>
              <w:bottom w:val="single" w:sz="4" w:space="0" w:color="44B3E1"/>
              <w:right w:val="nil"/>
            </w:tcBorders>
            <w:shd w:val="clear" w:color="C0E6F5" w:fill="C0E6F5"/>
            <w:noWrap/>
            <w:hideMark/>
          </w:tcPr>
          <w:p w14:paraId="0E9AC117" w14:textId="77777777" w:rsidR="003F29D1" w:rsidRPr="006117E0" w:rsidRDefault="003F29D1" w:rsidP="006177B7">
            <w:pPr>
              <w:pStyle w:val="Tabletext"/>
              <w:jc w:val="center"/>
              <w:rPr>
                <w:rFonts w:ascii="Aptos Narrow" w:hAnsi="Aptos Narrow"/>
                <w:lang w:val="es-ES" w:eastAsia="en-GB"/>
              </w:rPr>
            </w:pPr>
          </w:p>
        </w:tc>
        <w:tc>
          <w:tcPr>
            <w:tcW w:w="3444" w:type="dxa"/>
            <w:tcBorders>
              <w:top w:val="single" w:sz="4" w:space="0" w:color="44B3E1"/>
              <w:left w:val="nil"/>
              <w:bottom w:val="single" w:sz="4" w:space="0" w:color="44B3E1"/>
              <w:right w:val="nil"/>
            </w:tcBorders>
            <w:shd w:val="clear" w:color="C0E6F5" w:fill="C0E6F5"/>
            <w:noWrap/>
            <w:hideMark/>
          </w:tcPr>
          <w:p w14:paraId="61EE4F44" w14:textId="77777777" w:rsidR="003F29D1" w:rsidRPr="006117E0" w:rsidRDefault="003F29D1" w:rsidP="006177B7">
            <w:pPr>
              <w:pStyle w:val="Tabletext"/>
              <w:jc w:val="center"/>
              <w:rPr>
                <w:rFonts w:ascii="Aptos Narrow" w:hAnsi="Aptos Narrow"/>
                <w:lang w:val="es-ES" w:eastAsia="en-GB"/>
              </w:rPr>
            </w:pP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0E63E196" w14:textId="77777777" w:rsidR="003F29D1" w:rsidRPr="006117E0" w:rsidRDefault="003F29D1" w:rsidP="006177B7">
            <w:pPr>
              <w:pStyle w:val="Tabletext"/>
              <w:jc w:val="center"/>
              <w:rPr>
                <w:rFonts w:ascii="Aptos Narrow" w:hAnsi="Aptos Narrow"/>
                <w:lang w:val="es-ES" w:eastAsia="en-GB"/>
              </w:rPr>
            </w:pPr>
          </w:p>
        </w:tc>
      </w:tr>
      <w:tr w:rsidR="003F29D1" w:rsidRPr="006117E0" w14:paraId="1CC58531" w14:textId="77777777" w:rsidTr="006177B7">
        <w:trPr>
          <w:trHeight w:val="300"/>
        </w:trPr>
        <w:tc>
          <w:tcPr>
            <w:tcW w:w="1243" w:type="dxa"/>
            <w:tcBorders>
              <w:top w:val="single" w:sz="4" w:space="0" w:color="44B3E1"/>
              <w:left w:val="single" w:sz="4" w:space="0" w:color="44B3E1"/>
              <w:bottom w:val="single" w:sz="4" w:space="0" w:color="44B3E1"/>
              <w:right w:val="nil"/>
            </w:tcBorders>
            <w:hideMark/>
          </w:tcPr>
          <w:p w14:paraId="1915F36C" w14:textId="77777777" w:rsidR="003F29D1" w:rsidRPr="006117E0" w:rsidRDefault="003F29D1" w:rsidP="006177B7">
            <w:pPr>
              <w:pStyle w:val="Tabletext"/>
              <w:rPr>
                <w:lang w:val="es-ES" w:eastAsia="en-GB"/>
              </w:rPr>
            </w:pPr>
            <w:r w:rsidRPr="006117E0">
              <w:rPr>
                <w:lang w:val="es-ES" w:eastAsia="en-GB"/>
              </w:rPr>
              <w:t>Servicios de apoyo</w:t>
            </w:r>
          </w:p>
        </w:tc>
        <w:tc>
          <w:tcPr>
            <w:tcW w:w="1740" w:type="dxa"/>
            <w:tcBorders>
              <w:top w:val="single" w:sz="4" w:space="0" w:color="44B3E1"/>
              <w:left w:val="nil"/>
              <w:bottom w:val="single" w:sz="4" w:space="0" w:color="44B3E1"/>
              <w:right w:val="nil"/>
            </w:tcBorders>
            <w:noWrap/>
            <w:hideMark/>
          </w:tcPr>
          <w:p w14:paraId="7A2838D8" w14:textId="77777777" w:rsidR="003F29D1" w:rsidRPr="006117E0" w:rsidRDefault="003F29D1" w:rsidP="006177B7">
            <w:pPr>
              <w:pStyle w:val="Tabletext"/>
              <w:jc w:val="center"/>
              <w:rPr>
                <w:rFonts w:ascii="Aptos Narrow" w:hAnsi="Aptos Narrow"/>
                <w:lang w:val="es-ES" w:eastAsia="en-GB"/>
              </w:rPr>
            </w:pPr>
            <w:r w:rsidRPr="006117E0">
              <w:rPr>
                <w:rFonts w:ascii="Aptos Narrow" w:hAnsi="Aptos Narrow"/>
                <w:lang w:val="es-ES" w:eastAsia="en-GB"/>
              </w:rPr>
              <w:t>365 615</w:t>
            </w:r>
          </w:p>
        </w:tc>
        <w:tc>
          <w:tcPr>
            <w:tcW w:w="3444" w:type="dxa"/>
            <w:tcBorders>
              <w:top w:val="single" w:sz="4" w:space="0" w:color="44B3E1"/>
              <w:left w:val="nil"/>
              <w:bottom w:val="single" w:sz="4" w:space="0" w:color="44B3E1"/>
              <w:right w:val="nil"/>
            </w:tcBorders>
            <w:noWrap/>
            <w:hideMark/>
          </w:tcPr>
          <w:p w14:paraId="7419A2AA" w14:textId="6D83636D" w:rsidR="003F29D1" w:rsidRPr="006117E0" w:rsidRDefault="003F29D1" w:rsidP="006177B7">
            <w:pPr>
              <w:pStyle w:val="Tabletext"/>
              <w:jc w:val="center"/>
              <w:rPr>
                <w:lang w:val="es-ES" w:eastAsia="en-GB"/>
              </w:rPr>
            </w:pPr>
            <w:r w:rsidRPr="006117E0">
              <w:rPr>
                <w:lang w:val="es-ES" w:eastAsia="en-GB"/>
              </w:rPr>
              <w:t>63,0</w:t>
            </w:r>
            <w:r w:rsidR="00EE3C08" w:rsidRPr="006117E0">
              <w:rPr>
                <w:lang w:val="es-ES" w:eastAsia="en-GB"/>
              </w:rPr>
              <w:t xml:space="preserve"> </w:t>
            </w:r>
            <w:r w:rsidRPr="006117E0">
              <w:rPr>
                <w:lang w:val="es-ES" w:eastAsia="en-GB"/>
              </w:rPr>
              <w:t>%</w:t>
            </w:r>
          </w:p>
        </w:tc>
        <w:tc>
          <w:tcPr>
            <w:tcW w:w="2800" w:type="dxa"/>
            <w:tcBorders>
              <w:top w:val="single" w:sz="4" w:space="0" w:color="44B3E1"/>
              <w:left w:val="nil"/>
              <w:bottom w:val="single" w:sz="4" w:space="0" w:color="44B3E1"/>
              <w:right w:val="single" w:sz="4" w:space="0" w:color="44B3E1"/>
            </w:tcBorders>
            <w:noWrap/>
            <w:hideMark/>
          </w:tcPr>
          <w:p w14:paraId="168238B0" w14:textId="13F72562" w:rsidR="003F29D1" w:rsidRPr="006117E0" w:rsidRDefault="003F29D1" w:rsidP="006177B7">
            <w:pPr>
              <w:pStyle w:val="Tabletext"/>
              <w:jc w:val="center"/>
              <w:rPr>
                <w:lang w:val="es-ES" w:eastAsia="en-GB"/>
              </w:rPr>
            </w:pPr>
            <w:r w:rsidRPr="006117E0">
              <w:rPr>
                <w:lang w:val="es-ES" w:eastAsia="en-GB"/>
              </w:rPr>
              <w:t>9,6</w:t>
            </w:r>
            <w:r w:rsidR="00EE3C08" w:rsidRPr="006117E0">
              <w:rPr>
                <w:lang w:val="es-ES" w:eastAsia="en-GB"/>
              </w:rPr>
              <w:t xml:space="preserve"> </w:t>
            </w:r>
            <w:r w:rsidRPr="006117E0">
              <w:rPr>
                <w:lang w:val="es-ES" w:eastAsia="en-GB"/>
              </w:rPr>
              <w:t>%</w:t>
            </w:r>
          </w:p>
        </w:tc>
      </w:tr>
      <w:tr w:rsidR="003F29D1" w:rsidRPr="006117E0" w14:paraId="307825F4" w14:textId="77777777" w:rsidTr="006177B7">
        <w:trPr>
          <w:trHeight w:val="300"/>
        </w:trPr>
        <w:tc>
          <w:tcPr>
            <w:tcW w:w="1243" w:type="dxa"/>
            <w:tcBorders>
              <w:top w:val="single" w:sz="4" w:space="0" w:color="44B3E1"/>
              <w:left w:val="single" w:sz="4" w:space="0" w:color="44B3E1"/>
              <w:bottom w:val="single" w:sz="4" w:space="0" w:color="44B3E1"/>
              <w:right w:val="nil"/>
            </w:tcBorders>
            <w:shd w:val="clear" w:color="C0E6F5" w:fill="C0E6F5"/>
            <w:hideMark/>
          </w:tcPr>
          <w:p w14:paraId="609366B1" w14:textId="77777777" w:rsidR="003F29D1" w:rsidRPr="006117E0" w:rsidRDefault="003F29D1" w:rsidP="006177B7">
            <w:pPr>
              <w:pStyle w:val="Tabletext"/>
              <w:rPr>
                <w:lang w:val="es-ES" w:eastAsia="en-GB"/>
              </w:rPr>
            </w:pPr>
            <w:r w:rsidRPr="006117E0">
              <w:rPr>
                <w:lang w:val="es-ES" w:eastAsia="en-GB"/>
              </w:rPr>
              <w:t>Gestión de proyectos</w:t>
            </w:r>
          </w:p>
        </w:tc>
        <w:tc>
          <w:tcPr>
            <w:tcW w:w="1740" w:type="dxa"/>
            <w:tcBorders>
              <w:top w:val="single" w:sz="4" w:space="0" w:color="44B3E1"/>
              <w:left w:val="nil"/>
              <w:bottom w:val="single" w:sz="4" w:space="0" w:color="44B3E1"/>
              <w:right w:val="nil"/>
            </w:tcBorders>
            <w:shd w:val="clear" w:color="C0E6F5" w:fill="C0E6F5"/>
            <w:noWrap/>
            <w:hideMark/>
          </w:tcPr>
          <w:p w14:paraId="11D76F7E" w14:textId="77777777" w:rsidR="003F29D1" w:rsidRPr="006117E0" w:rsidRDefault="003F29D1" w:rsidP="006177B7">
            <w:pPr>
              <w:pStyle w:val="Tabletext"/>
              <w:jc w:val="center"/>
              <w:rPr>
                <w:lang w:val="es-ES" w:eastAsia="en-GB"/>
              </w:rPr>
            </w:pPr>
            <w:r w:rsidRPr="006117E0">
              <w:rPr>
                <w:lang w:val="es-ES" w:eastAsia="en-GB"/>
              </w:rPr>
              <w:t>30 000</w:t>
            </w:r>
          </w:p>
        </w:tc>
        <w:tc>
          <w:tcPr>
            <w:tcW w:w="3444" w:type="dxa"/>
            <w:tcBorders>
              <w:top w:val="single" w:sz="4" w:space="0" w:color="44B3E1"/>
              <w:left w:val="nil"/>
              <w:bottom w:val="single" w:sz="4" w:space="0" w:color="44B3E1"/>
              <w:right w:val="nil"/>
            </w:tcBorders>
            <w:shd w:val="clear" w:color="C0E6F5" w:fill="C0E6F5"/>
            <w:noWrap/>
            <w:hideMark/>
          </w:tcPr>
          <w:p w14:paraId="10DCEA6D" w14:textId="648A3A84" w:rsidR="003F29D1" w:rsidRPr="006117E0" w:rsidRDefault="003F29D1" w:rsidP="006177B7">
            <w:pPr>
              <w:pStyle w:val="Tabletext"/>
              <w:jc w:val="center"/>
              <w:rPr>
                <w:lang w:val="es-ES" w:eastAsia="en-GB"/>
              </w:rPr>
            </w:pPr>
            <w:r w:rsidRPr="006117E0">
              <w:rPr>
                <w:lang w:val="es-ES" w:eastAsia="en-GB"/>
              </w:rPr>
              <w:t>5,2</w:t>
            </w:r>
            <w:r w:rsidR="00EE3C08" w:rsidRPr="006117E0">
              <w:rPr>
                <w:lang w:val="es-ES" w:eastAsia="en-GB"/>
              </w:rPr>
              <w:t xml:space="preserve"> </w:t>
            </w:r>
            <w:r w:rsidRPr="006117E0">
              <w:rPr>
                <w:lang w:val="es-ES" w:eastAsia="en-GB"/>
              </w:rPr>
              <w:t>%</w:t>
            </w: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061A0D2D" w14:textId="25F3C5C7" w:rsidR="003F29D1" w:rsidRPr="006117E0" w:rsidRDefault="003F29D1" w:rsidP="006177B7">
            <w:pPr>
              <w:pStyle w:val="Tabletext"/>
              <w:jc w:val="center"/>
              <w:rPr>
                <w:lang w:val="es-ES" w:eastAsia="en-GB"/>
              </w:rPr>
            </w:pPr>
            <w:r w:rsidRPr="006117E0">
              <w:rPr>
                <w:lang w:val="es-ES" w:eastAsia="en-GB"/>
              </w:rPr>
              <w:t>0,8</w:t>
            </w:r>
            <w:r w:rsidR="00EE3C08" w:rsidRPr="006117E0">
              <w:rPr>
                <w:lang w:val="es-ES" w:eastAsia="en-GB"/>
              </w:rPr>
              <w:t xml:space="preserve"> </w:t>
            </w:r>
            <w:r w:rsidRPr="006117E0">
              <w:rPr>
                <w:lang w:val="es-ES" w:eastAsia="en-GB"/>
              </w:rPr>
              <w:t>%</w:t>
            </w:r>
          </w:p>
        </w:tc>
      </w:tr>
    </w:tbl>
    <w:p w14:paraId="0C54DABC" w14:textId="474AACFD" w:rsidR="003F29D1" w:rsidRPr="006117E0" w:rsidRDefault="003F29D1" w:rsidP="00EE3C08">
      <w:pPr>
        <w:pStyle w:val="Headingb"/>
        <w:rPr>
          <w:lang w:val="es-ES" w:eastAsia="en-GB"/>
        </w:rPr>
      </w:pPr>
      <w:r w:rsidRPr="006117E0">
        <w:rPr>
          <w:lang w:val="es-ES" w:eastAsia="en-GB"/>
        </w:rPr>
        <w:t>Orientada a los Miembros</w:t>
      </w:r>
    </w:p>
    <w:p w14:paraId="2E5810A6" w14:textId="77777777" w:rsidR="003F29D1" w:rsidRPr="006117E0" w:rsidRDefault="003F29D1" w:rsidP="00EE3C08">
      <w:pPr>
        <w:rPr>
          <w:lang w:val="es-ES" w:eastAsia="en-GB"/>
        </w:rPr>
      </w:pPr>
      <w:r w:rsidRPr="006117E0">
        <w:rPr>
          <w:lang w:val="es-ES" w:eastAsia="en-GB"/>
        </w:rPr>
        <w:t xml:space="preserve">A fin de aumentar la sensibilización y el compromiso de los Miembros de Sector, los Asociados y las Instituciones Académicas, la BDT organizó la primera sesión de la </w:t>
      </w:r>
      <w:r w:rsidRPr="006117E0">
        <w:rPr>
          <w:b/>
          <w:bCs/>
          <w:lang w:val="es-ES" w:eastAsia="en-GB"/>
        </w:rPr>
        <w:t>serie Conozca a sus Miembros</w:t>
      </w:r>
      <w:r w:rsidRPr="006117E0">
        <w:rPr>
          <w:lang w:val="es-ES" w:eastAsia="en-GB"/>
        </w:rPr>
        <w:t xml:space="preserve"> en colaboración con las empresas de explotación reconocidas (EER), las organizaciones científicas o industriales (OCI) y otras comunidades de entidades de los Miembros de Sector del UIT-D. La sesión reunió a más de 50 participantes de 30 Miembros de Sector del UIT-D y debatió sobre los trabajos en curso en la BDT y las oportunidades que interesan a los Miembros de Sector del UIT-D. </w:t>
      </w:r>
    </w:p>
    <w:p w14:paraId="03838C8C" w14:textId="77777777" w:rsidR="003F29D1" w:rsidRPr="006117E0" w:rsidRDefault="003F29D1" w:rsidP="00EE3C08">
      <w:pPr>
        <w:rPr>
          <w:lang w:val="es-ES" w:eastAsia="en-GB"/>
        </w:rPr>
      </w:pPr>
      <w:r w:rsidRPr="006117E0">
        <w:rPr>
          <w:lang w:val="es-ES" w:eastAsia="en-GB"/>
        </w:rPr>
        <w:t>El UIT-D ha dado la bienvenida a un nuevo Miembro de Sector (IAICT (Iraq)) y a dos nuevas Instituciones Académicas (Universidad de Xidian (China) y Departamento de Ingeniería Eléctrica e Informática de la Universidad de Patras (Grecia)).</w:t>
      </w:r>
    </w:p>
    <w:p w14:paraId="68B37AF9" w14:textId="77777777" w:rsidR="003F29D1" w:rsidRPr="006117E0" w:rsidRDefault="003F29D1" w:rsidP="00BD0321">
      <w:pPr>
        <w:pStyle w:val="Headingb"/>
        <w:rPr>
          <w:lang w:val="es-ES" w:eastAsia="en-GB"/>
        </w:rPr>
      </w:pPr>
      <w:r w:rsidRPr="006117E0">
        <w:rPr>
          <w:lang w:val="es-ES" w:eastAsia="en-GB"/>
        </w:rPr>
        <w:t xml:space="preserve">Presencia </w:t>
      </w:r>
      <w:r w:rsidRPr="006117E0">
        <w:rPr>
          <w:lang w:val="es-ES"/>
        </w:rPr>
        <w:t>regional</w:t>
      </w:r>
    </w:p>
    <w:p w14:paraId="4881916D" w14:textId="77777777" w:rsidR="003F29D1" w:rsidRPr="006117E0" w:rsidRDefault="003F29D1" w:rsidP="00EE3C08">
      <w:pPr>
        <w:rPr>
          <w:szCs w:val="24"/>
          <w:lang w:val="es-ES" w:eastAsia="en-GB"/>
        </w:rPr>
      </w:pPr>
      <w:r w:rsidRPr="006117E0">
        <w:rPr>
          <w:rFonts w:ascii="Calibri" w:eastAsia="Calibri" w:hAnsi="Calibri" w:cs="Calibri"/>
          <w:szCs w:val="24"/>
          <w:lang w:val="es-ES"/>
        </w:rPr>
        <w:t xml:space="preserve">La BDT sigue colaborando estrechamente con la Oficina de Radiocomunicaciones de la UIT (BR), la </w:t>
      </w:r>
      <w:r w:rsidRPr="006117E0">
        <w:rPr>
          <w:lang w:val="es-ES" w:eastAsia="en-GB"/>
        </w:rPr>
        <w:t>Oficina</w:t>
      </w:r>
      <w:r w:rsidRPr="006117E0">
        <w:rPr>
          <w:rFonts w:ascii="Calibri" w:eastAsia="Calibri" w:hAnsi="Calibri" w:cs="Calibri"/>
          <w:szCs w:val="24"/>
          <w:lang w:val="es-ES"/>
        </w:rPr>
        <w:t xml:space="preserve"> de </w:t>
      </w:r>
      <w:r w:rsidRPr="006117E0">
        <w:rPr>
          <w:lang w:val="es-ES" w:eastAsia="en-GB"/>
        </w:rPr>
        <w:t>Normalización</w:t>
      </w:r>
      <w:r w:rsidRPr="006117E0">
        <w:rPr>
          <w:rFonts w:ascii="Calibri" w:eastAsia="Calibri" w:hAnsi="Calibri" w:cs="Calibri"/>
          <w:szCs w:val="24"/>
          <w:lang w:val="es-ES"/>
        </w:rPr>
        <w:t xml:space="preserve"> de las Telecomunicaciones (TSB) y la Secretaría General de la UIT para fortalecer la presencia regional, con el fin de mejorar la prestación de servicios a los Estados Miembros, incluida la ejecución de proyectos y otras actividades de los Planes Operacionales, de una manera oportuna, efectiva e impactante. Se sigue dando prioridad a la formación y el desarrollo para garantizar que el personal de las Oficinas Regionales disponga de las competencias necesarias para prestar un mejor servicio a los Miembros de la UIT. En marzo de 2026 se organizó un curso de formación en Ginebra en el que participó personal de las seis Oficinas Regionales. A lo largo del año se seguirán organizando actividades de formación específicas.</w:t>
      </w:r>
    </w:p>
    <w:p w14:paraId="2DB4DCD0" w14:textId="77777777" w:rsidR="003F29D1" w:rsidRPr="006117E0" w:rsidRDefault="003F29D1" w:rsidP="00BD0321">
      <w:pPr>
        <w:pStyle w:val="Headingb"/>
        <w:rPr>
          <w:lang w:val="es-ES" w:eastAsia="en-GB"/>
        </w:rPr>
      </w:pPr>
      <w:r w:rsidRPr="006117E0">
        <w:rPr>
          <w:lang w:val="es-ES" w:eastAsia="en-GB"/>
        </w:rPr>
        <w:t xml:space="preserve">Servicios de apoyo y gestión de proyectos </w:t>
      </w:r>
    </w:p>
    <w:p w14:paraId="70790A5A" w14:textId="66EB7AA9" w:rsidR="00B06557" w:rsidRPr="006117E0" w:rsidRDefault="003F29D1" w:rsidP="007807AD">
      <w:pPr>
        <w:rPr>
          <w:lang w:val="es-ES"/>
        </w:rPr>
      </w:pPr>
      <w:r w:rsidRPr="006117E0">
        <w:rPr>
          <w:lang w:val="es-ES"/>
        </w:rPr>
        <w:t xml:space="preserve">Como </w:t>
      </w:r>
      <w:r w:rsidRPr="006117E0">
        <w:rPr>
          <w:lang w:val="es-ES" w:eastAsia="en-GB"/>
        </w:rPr>
        <w:t>parte</w:t>
      </w:r>
      <w:r w:rsidRPr="006117E0">
        <w:rPr>
          <w:lang w:val="es-ES"/>
        </w:rPr>
        <w:t xml:space="preserve"> de los constantes esfuerzos de la BDT por aumentar la eficacia operativa, la transparencia y la responsabilidad, se está llevando a cabo una iniciativa de </w:t>
      </w:r>
      <w:r w:rsidRPr="006117E0">
        <w:rPr>
          <w:b/>
          <w:bCs/>
          <w:lang w:val="es-ES"/>
        </w:rPr>
        <w:t>cartografía de los procesos internos</w:t>
      </w:r>
      <w:r w:rsidRPr="006117E0">
        <w:rPr>
          <w:lang w:val="es-ES"/>
        </w:rPr>
        <w:t xml:space="preserve"> estructurada en las funciones principales de la Oficina. Sobre la base de un enfoque empírico por fases, la iniciativa garantiza que las mejoras propuestas se asientan en una perfecta comprensión de las prácticas actuales. Complemento de la armonización realizada en 2024, se espera que esta labor aumente la calidad, intensifique la coordinación y permita armonizar mejor las operaciones con los objetivos estratégicos de la BDT.</w:t>
      </w:r>
    </w:p>
    <w:p w14:paraId="1F50DBDB" w14:textId="77777777" w:rsidR="007807AD" w:rsidRPr="006117E0" w:rsidRDefault="007807AD" w:rsidP="00411C49">
      <w:pPr>
        <w:pStyle w:val="Reasons"/>
        <w:rPr>
          <w:lang w:val="es-ES"/>
        </w:rPr>
      </w:pPr>
    </w:p>
    <w:p w14:paraId="7C0F1F45" w14:textId="77777777" w:rsidR="007807AD" w:rsidRPr="006117E0" w:rsidRDefault="007807AD">
      <w:pPr>
        <w:jc w:val="center"/>
        <w:rPr>
          <w:lang w:val="es-ES"/>
        </w:rPr>
      </w:pPr>
      <w:r w:rsidRPr="006117E0">
        <w:rPr>
          <w:lang w:val="es-ES"/>
        </w:rPr>
        <w:t>______________</w:t>
      </w:r>
    </w:p>
    <w:sectPr w:rsidR="007807AD" w:rsidRPr="006117E0" w:rsidSect="0081159E">
      <w:headerReference w:type="default" r:id="rId47"/>
      <w:headerReference w:type="first" r:id="rId48"/>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B7578" w14:textId="77777777" w:rsidR="00030D2A" w:rsidRDefault="00030D2A">
      <w:r>
        <w:separator/>
      </w:r>
    </w:p>
    <w:p w14:paraId="5846249B" w14:textId="77777777" w:rsidR="00030D2A" w:rsidRDefault="00030D2A"/>
  </w:endnote>
  <w:endnote w:type="continuationSeparator" w:id="0">
    <w:p w14:paraId="45C662BD" w14:textId="77777777" w:rsidR="00030D2A" w:rsidRDefault="00030D2A">
      <w:r>
        <w:continuationSeparator/>
      </w:r>
    </w:p>
    <w:p w14:paraId="66C6C539" w14:textId="77777777" w:rsidR="00030D2A" w:rsidRDefault="00030D2A"/>
  </w:endnote>
  <w:endnote w:type="continuationNotice" w:id="1">
    <w:p w14:paraId="0F45DF3C" w14:textId="77777777" w:rsidR="00030D2A" w:rsidRDefault="00030D2A">
      <w:pPr>
        <w:spacing w:before="0"/>
      </w:pPr>
    </w:p>
    <w:p w14:paraId="0691C8A8" w14:textId="77777777" w:rsidR="00030D2A" w:rsidRDefault="00030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ptos Narrow">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ED4AA" w14:textId="77777777" w:rsidR="003F29D1" w:rsidRDefault="003F2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238D" w14:textId="77777777" w:rsidR="003F29D1" w:rsidRPr="00602CFD" w:rsidRDefault="003F29D1" w:rsidP="0060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1D44" w14:textId="77777777" w:rsidR="00030D2A" w:rsidRPr="0054377E" w:rsidRDefault="00030D2A" w:rsidP="0054377E">
      <w:pPr>
        <w:spacing w:before="0"/>
      </w:pPr>
      <w:r w:rsidRPr="0054377E">
        <w:rPr>
          <w:b/>
        </w:rPr>
        <w:t>_______________</w:t>
      </w:r>
    </w:p>
  </w:footnote>
  <w:footnote w:type="continuationSeparator" w:id="0">
    <w:p w14:paraId="650EE2A2" w14:textId="77777777" w:rsidR="00030D2A" w:rsidRDefault="00030D2A" w:rsidP="0054377E">
      <w:pPr>
        <w:spacing w:before="0"/>
      </w:pPr>
      <w:r>
        <w:continuationSeparator/>
      </w:r>
    </w:p>
    <w:p w14:paraId="07195A2A" w14:textId="77777777" w:rsidR="00030D2A" w:rsidRDefault="00030D2A"/>
  </w:footnote>
  <w:footnote w:type="continuationNotice" w:id="1">
    <w:p w14:paraId="338D08ED" w14:textId="77777777" w:rsidR="00030D2A" w:rsidRDefault="00030D2A">
      <w:pPr>
        <w:spacing w:before="0"/>
      </w:pPr>
    </w:p>
    <w:p w14:paraId="449C3E4B" w14:textId="77777777" w:rsidR="00030D2A" w:rsidRDefault="00030D2A"/>
  </w:footnote>
  <w:footnote w:id="2">
    <w:p w14:paraId="5D279611" w14:textId="7BE9EA3D" w:rsidR="003F29D1" w:rsidRPr="00A52012" w:rsidRDefault="003F29D1" w:rsidP="00B77052">
      <w:pPr>
        <w:pStyle w:val="FootnoteText"/>
        <w:rPr>
          <w:lang w:val="es-ES"/>
        </w:rPr>
      </w:pPr>
      <w:r w:rsidRPr="001A371B">
        <w:rPr>
          <w:rStyle w:val="FootnoteReference"/>
          <w:sz w:val="20"/>
        </w:rPr>
        <w:footnoteRef/>
      </w:r>
      <w:r w:rsidR="00B77052">
        <w:rPr>
          <w:lang w:val="es-ES"/>
        </w:rPr>
        <w:tab/>
      </w:r>
      <w:r w:rsidRPr="00A52012">
        <w:rPr>
          <w:lang w:val="es-ES"/>
        </w:rPr>
        <w:t>Véanse los indicadores de productos en la pá</w:t>
      </w:r>
      <w:r>
        <w:rPr>
          <w:lang w:val="es-ES"/>
        </w:rPr>
        <w:t>gina 3</w:t>
      </w:r>
      <w:r w:rsidR="001A6DA7">
        <w:rPr>
          <w:lang w:val="es-ES"/>
        </w:rPr>
        <w:t>3</w:t>
      </w:r>
      <w:r>
        <w:rPr>
          <w:lang w:val="es-ES"/>
        </w:rPr>
        <w:t xml:space="preserve"> de este documento</w:t>
      </w:r>
      <w:r w:rsidRPr="00A52012">
        <w:rPr>
          <w:lang w:val="es-ES"/>
        </w:rPr>
        <w:t>.</w:t>
      </w:r>
    </w:p>
  </w:footnote>
  <w:footnote w:id="3">
    <w:p w14:paraId="52B4FC4A" w14:textId="0E8A1193" w:rsidR="003F29D1" w:rsidRPr="002E65BA" w:rsidRDefault="003F29D1" w:rsidP="00B77052">
      <w:pPr>
        <w:pStyle w:val="FootnoteText"/>
        <w:rPr>
          <w:lang w:val="es-ES"/>
        </w:rPr>
      </w:pPr>
      <w:r w:rsidRPr="001A371B">
        <w:rPr>
          <w:rStyle w:val="FootnoteReference"/>
          <w:sz w:val="20"/>
        </w:rPr>
        <w:footnoteRef/>
      </w:r>
      <w:r w:rsidR="00B77052">
        <w:rPr>
          <w:lang w:val="es-ES"/>
        </w:rPr>
        <w:tab/>
      </w:r>
      <w:r w:rsidRPr="002E65BA">
        <w:rPr>
          <w:lang w:val="es-ES"/>
        </w:rPr>
        <w:t xml:space="preserve">Los indicadores de realizaciones se están perfilando, de conformidad con el Plan Estratégico de </w:t>
      </w:r>
      <w:r>
        <w:rPr>
          <w:lang w:val="es-ES"/>
        </w:rPr>
        <w:t>la UIT, a fin de reflejar mejor los resultados obtenidos.</w:t>
      </w:r>
    </w:p>
  </w:footnote>
  <w:footnote w:id="4">
    <w:p w14:paraId="3622C77B" w14:textId="18DBE269" w:rsidR="00994606" w:rsidRPr="00F839B6" w:rsidRDefault="00994606" w:rsidP="00994606">
      <w:pPr>
        <w:pStyle w:val="FootnoteText"/>
        <w:spacing w:before="0"/>
        <w:rPr>
          <w:sz w:val="20"/>
          <w:lang w:val="es-ES"/>
        </w:rPr>
      </w:pPr>
      <w:r w:rsidRPr="001A371B">
        <w:rPr>
          <w:rStyle w:val="FootnoteReference"/>
          <w:sz w:val="20"/>
        </w:rPr>
        <w:footnoteRef/>
      </w:r>
      <w:r w:rsidR="00F969CC">
        <w:rPr>
          <w:sz w:val="20"/>
          <w:lang w:val="es-ES"/>
        </w:rPr>
        <w:tab/>
      </w:r>
      <w:r w:rsidRPr="00F839B6">
        <w:rPr>
          <w:sz w:val="20"/>
          <w:lang w:val="es-ES"/>
        </w:rPr>
        <w:t xml:space="preserve">Esta prioridad se alcanza mediante los esfuerzos invertidos por la BDT para movilizar </w:t>
      </w:r>
      <w:r>
        <w:rPr>
          <w:sz w:val="20"/>
          <w:lang w:val="es-ES"/>
        </w:rPr>
        <w:t xml:space="preserve">recursos, atraer a nuevos socios y conservar a los existentes. </w:t>
      </w:r>
      <w:r w:rsidRPr="00F839B6">
        <w:rPr>
          <w:sz w:val="20"/>
          <w:lang w:val="es-ES"/>
        </w:rPr>
        <w:t xml:space="preserve">Los progresos se miden así en función de los indicadores de </w:t>
      </w:r>
      <w:r>
        <w:rPr>
          <w:sz w:val="20"/>
          <w:lang w:val="es-ES"/>
        </w:rPr>
        <w:t>"</w:t>
      </w:r>
      <w:r w:rsidRPr="00F839B6">
        <w:rPr>
          <w:sz w:val="20"/>
          <w:lang w:val="es-ES"/>
        </w:rPr>
        <w:t>productos</w:t>
      </w:r>
      <w:r>
        <w:rPr>
          <w:sz w:val="20"/>
          <w:lang w:val="es-ES"/>
        </w:rPr>
        <w:t>"</w:t>
      </w:r>
      <w:r w:rsidRPr="00F839B6">
        <w:rPr>
          <w:sz w:val="20"/>
          <w:lang w:val="es-ES"/>
        </w:rPr>
        <w:t>.</w:t>
      </w:r>
    </w:p>
  </w:footnote>
  <w:footnote w:id="5">
    <w:p w14:paraId="164C8C98" w14:textId="03A213AC" w:rsidR="003F29D1" w:rsidRPr="00EA6C06" w:rsidRDefault="003F29D1" w:rsidP="00EE3C08">
      <w:pPr>
        <w:pStyle w:val="FootnoteText"/>
        <w:rPr>
          <w:lang w:val="es-ES"/>
        </w:rPr>
      </w:pPr>
      <w:r w:rsidRPr="001A371B">
        <w:rPr>
          <w:rStyle w:val="FootnoteReference"/>
          <w:sz w:val="20"/>
        </w:rPr>
        <w:footnoteRef/>
      </w:r>
      <w:r w:rsidR="00EE3C08">
        <w:rPr>
          <w:lang w:val="es-ES"/>
        </w:rPr>
        <w:tab/>
      </w:r>
      <w:r w:rsidRPr="00EA6C06">
        <w:rPr>
          <w:lang w:val="es-ES"/>
        </w:rPr>
        <w:t xml:space="preserve">Los </w:t>
      </w:r>
      <w:r>
        <w:rPr>
          <w:lang w:val="es-ES"/>
        </w:rPr>
        <w:t xml:space="preserve">objetivos de los </w:t>
      </w:r>
      <w:r w:rsidRPr="00EA6C06">
        <w:rPr>
          <w:lang w:val="es-ES"/>
        </w:rPr>
        <w:t xml:space="preserve">indicadores </w:t>
      </w:r>
      <w:r>
        <w:rPr>
          <w:lang w:val="es-ES"/>
        </w:rPr>
        <w:t>pueden encontrarse en los tablones interactivos del Plan Operacional del UIT-D (PO), que se reproducen en el Anexo 2 a este documento</w:t>
      </w:r>
      <w:r w:rsidRPr="00EA6C06">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5161" w14:textId="5041D027" w:rsidR="003F29D1" w:rsidRPr="00B41165" w:rsidRDefault="003F29D1" w:rsidP="00B41165">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TDAG-26</w:t>
    </w:r>
    <w:r w:rsidRPr="00FF089C">
      <w:rPr>
        <w:sz w:val="22"/>
        <w:szCs w:val="22"/>
        <w:lang w:val="es-ES_tradnl"/>
      </w:rPr>
      <w:t>/</w:t>
    </w:r>
    <w:r>
      <w:rPr>
        <w:sz w:val="22"/>
        <w:szCs w:val="22"/>
        <w:lang w:val="es-ES_tradnl"/>
      </w:rPr>
      <w:t>2(Add.2)</w:t>
    </w:r>
    <w:r w:rsidR="00336467">
      <w:rPr>
        <w:sz w:val="22"/>
        <w:szCs w:val="22"/>
        <w:lang w:val="es-ES_tradnl"/>
      </w:rPr>
      <w:t>(Rev.1)</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C2A3A" w14:textId="77777777" w:rsidR="00F969CC" w:rsidRPr="003112BD" w:rsidRDefault="00F969CC" w:rsidP="00F969CC">
    <w:pPr>
      <w:tabs>
        <w:tab w:val="clear" w:pos="1134"/>
        <w:tab w:val="clear" w:pos="1871"/>
        <w:tab w:val="clear" w:pos="2268"/>
        <w:tab w:val="center" w:pos="6946"/>
        <w:tab w:val="right" w:pos="14003"/>
      </w:tabs>
      <w:ind w:right="1"/>
      <w:rPr>
        <w:smallCaps/>
        <w:spacing w:val="24"/>
        <w:sz w:val="22"/>
        <w:szCs w:val="22"/>
        <w:lang w:val="en-US"/>
      </w:rPr>
    </w:pPr>
    <w:r w:rsidRPr="004D495C">
      <w:rPr>
        <w:sz w:val="22"/>
        <w:szCs w:val="22"/>
      </w:rPr>
      <w:tab/>
    </w:r>
    <w:r w:rsidRPr="003112BD">
      <w:rPr>
        <w:sz w:val="22"/>
        <w:szCs w:val="22"/>
        <w:lang w:val="en-US"/>
      </w:rPr>
      <w:t>TDAG-26/2(Add.2)(Rev.1)-S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3EFA" w14:textId="77777777" w:rsidR="008B0BD5" w:rsidRPr="003112BD" w:rsidRDefault="008B0BD5" w:rsidP="008B0BD5">
    <w:pPr>
      <w:tabs>
        <w:tab w:val="clear" w:pos="1134"/>
        <w:tab w:val="clear" w:pos="1871"/>
        <w:tab w:val="clear" w:pos="2268"/>
        <w:tab w:val="center" w:pos="4820"/>
        <w:tab w:val="right" w:pos="14003"/>
      </w:tabs>
      <w:ind w:right="1"/>
      <w:rPr>
        <w:smallCaps/>
        <w:spacing w:val="24"/>
        <w:sz w:val="22"/>
        <w:szCs w:val="22"/>
        <w:lang w:val="en-US"/>
      </w:rPr>
    </w:pPr>
    <w:r w:rsidRPr="004D495C">
      <w:rPr>
        <w:sz w:val="22"/>
        <w:szCs w:val="22"/>
      </w:rPr>
      <w:tab/>
    </w:r>
    <w:r w:rsidRPr="003112BD">
      <w:rPr>
        <w:sz w:val="22"/>
        <w:szCs w:val="22"/>
        <w:lang w:val="en-US"/>
      </w:rPr>
      <w:t>TDAG-26/2(Add.2)(Rev.1)-S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8FEA" w14:textId="77777777" w:rsidR="008959D8" w:rsidRPr="00B41165" w:rsidRDefault="008959D8" w:rsidP="008B0BD5">
    <w:pPr>
      <w:tabs>
        <w:tab w:val="clear" w:pos="1134"/>
        <w:tab w:val="clear" w:pos="1871"/>
        <w:tab w:val="clear" w:pos="2268"/>
        <w:tab w:val="center" w:pos="6946"/>
        <w:tab w:val="right" w:pos="14003"/>
      </w:tabs>
      <w:spacing w:after="240"/>
      <w:ind w:right="1"/>
      <w:rPr>
        <w:smallCaps/>
        <w:spacing w:val="24"/>
        <w:sz w:val="22"/>
        <w:szCs w:val="22"/>
        <w:lang w:val="es-ES_tradnl"/>
      </w:rPr>
    </w:pPr>
    <w:r w:rsidRPr="004D495C">
      <w:rPr>
        <w:sz w:val="22"/>
        <w:szCs w:val="22"/>
      </w:rPr>
      <w:tab/>
    </w:r>
    <w:r>
      <w:rPr>
        <w:sz w:val="22"/>
        <w:szCs w:val="22"/>
        <w:lang w:val="es-ES_tradnl"/>
      </w:rPr>
      <w:t>TDAG-26</w:t>
    </w:r>
    <w:r w:rsidRPr="00FF089C">
      <w:rPr>
        <w:sz w:val="22"/>
        <w:szCs w:val="22"/>
        <w:lang w:val="es-ES_tradnl"/>
      </w:rPr>
      <w:t>/</w:t>
    </w:r>
    <w:r>
      <w:rPr>
        <w:sz w:val="22"/>
        <w:szCs w:val="22"/>
        <w:lang w:val="es-ES_tradnl"/>
      </w:rPr>
      <w:t>2(Add.2)(Rev.1)</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168F" w14:textId="77777777" w:rsidR="008959D8" w:rsidRPr="003112BD" w:rsidRDefault="008959D8" w:rsidP="00F969CC">
    <w:pPr>
      <w:tabs>
        <w:tab w:val="clear" w:pos="1134"/>
        <w:tab w:val="clear" w:pos="1871"/>
        <w:tab w:val="clear" w:pos="2268"/>
        <w:tab w:val="center" w:pos="6946"/>
        <w:tab w:val="right" w:pos="14003"/>
      </w:tabs>
      <w:ind w:right="1"/>
      <w:rPr>
        <w:smallCaps/>
        <w:spacing w:val="24"/>
        <w:sz w:val="22"/>
        <w:szCs w:val="22"/>
        <w:lang w:val="en-US"/>
      </w:rPr>
    </w:pPr>
    <w:r w:rsidRPr="004D495C">
      <w:rPr>
        <w:sz w:val="22"/>
        <w:szCs w:val="22"/>
      </w:rPr>
      <w:tab/>
    </w:r>
    <w:r w:rsidRPr="003112BD">
      <w:rPr>
        <w:sz w:val="22"/>
        <w:szCs w:val="22"/>
        <w:lang w:val="en-US"/>
      </w:rPr>
      <w:t>TDAG-26/2(Add.2)(Rev.1)-S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9CEB4" w14:textId="77777777" w:rsidR="00D14B56" w:rsidRPr="00B41165" w:rsidRDefault="00D14B56" w:rsidP="00D14B56">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TDAG-26</w:t>
    </w:r>
    <w:r w:rsidRPr="00FF089C">
      <w:rPr>
        <w:sz w:val="22"/>
        <w:szCs w:val="22"/>
        <w:lang w:val="es-ES_tradnl"/>
      </w:rPr>
      <w:t>/</w:t>
    </w:r>
    <w:r>
      <w:rPr>
        <w:sz w:val="22"/>
        <w:szCs w:val="22"/>
        <w:lang w:val="es-ES_tradnl"/>
      </w:rPr>
      <w:t>2(Add.2)(Rev.1)</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3C8CD" w14:textId="77777777" w:rsidR="008959D8" w:rsidRPr="003112BD" w:rsidRDefault="008959D8" w:rsidP="008959D8">
    <w:pPr>
      <w:tabs>
        <w:tab w:val="clear" w:pos="1134"/>
        <w:tab w:val="clear" w:pos="1871"/>
        <w:tab w:val="clear" w:pos="2268"/>
        <w:tab w:val="center" w:pos="4820"/>
        <w:tab w:val="right" w:pos="14003"/>
      </w:tabs>
      <w:ind w:right="1"/>
      <w:rPr>
        <w:smallCaps/>
        <w:spacing w:val="24"/>
        <w:sz w:val="22"/>
        <w:szCs w:val="22"/>
        <w:lang w:val="en-US"/>
      </w:rPr>
    </w:pPr>
    <w:r w:rsidRPr="004D495C">
      <w:rPr>
        <w:sz w:val="22"/>
        <w:szCs w:val="22"/>
      </w:rPr>
      <w:tab/>
    </w:r>
    <w:r w:rsidRPr="003112BD">
      <w:rPr>
        <w:sz w:val="22"/>
        <w:szCs w:val="22"/>
        <w:lang w:val="en-US"/>
      </w:rPr>
      <w:t>TDAG-26/2(Add.2)(Rev.1)-S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AAA64" w14:textId="713C6167" w:rsidR="003F29D1" w:rsidRPr="00681E75" w:rsidRDefault="003F29D1" w:rsidP="008B0BD5">
    <w:pPr>
      <w:tabs>
        <w:tab w:val="clear" w:pos="1134"/>
        <w:tab w:val="clear" w:pos="1871"/>
        <w:tab w:val="clear" w:pos="2268"/>
        <w:tab w:val="center" w:pos="6946"/>
        <w:tab w:val="right" w:pos="13892"/>
      </w:tabs>
      <w:spacing w:after="240"/>
      <w:ind w:right="1"/>
      <w:rPr>
        <w:rStyle w:val="PageNumber"/>
        <w:smallCaps/>
        <w:spacing w:val="24"/>
        <w:sz w:val="22"/>
        <w:szCs w:val="22"/>
        <w:lang w:val="pt-BR"/>
      </w:rPr>
    </w:pPr>
    <w:r>
      <w:rPr>
        <w:sz w:val="22"/>
        <w:szCs w:val="22"/>
        <w:lang w:val="pt-BR"/>
      </w:rPr>
      <w:tab/>
    </w:r>
    <w:r w:rsidRPr="0042164F">
      <w:rPr>
        <w:sz w:val="22"/>
        <w:szCs w:val="22"/>
        <w:lang w:val="pt-BR"/>
      </w:rPr>
      <w:t>TDAG-26/2(Add.2)(Rev.1)-</w:t>
    </w:r>
    <w:r w:rsidR="003112BD">
      <w:rPr>
        <w:sz w:val="22"/>
        <w:szCs w:val="22"/>
        <w:lang w:val="pt-BR"/>
      </w:rPr>
      <w:t>S</w:t>
    </w:r>
    <w:r w:rsidRPr="0071569A">
      <w:rPr>
        <w:sz w:val="22"/>
        <w:szCs w:val="22"/>
        <w:lang w:val="pt-BR"/>
      </w:rPr>
      <w:tab/>
      <w:t>P</w:t>
    </w:r>
    <w:r w:rsidR="003112BD">
      <w:rPr>
        <w:sz w:val="22"/>
        <w:szCs w:val="22"/>
        <w:lang w:val="pt-BR"/>
      </w:rPr>
      <w:t>ágina</w:t>
    </w:r>
    <w:r w:rsidRPr="0071569A">
      <w:rPr>
        <w:sz w:val="22"/>
        <w:szCs w:val="22"/>
        <w:lang w:val="pt-BR"/>
      </w:rPr>
      <w:t xml:space="preserv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6</w:t>
    </w:r>
    <w:r w:rsidRPr="00972BCD">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4E2C" w14:textId="77777777" w:rsidR="009D366F" w:rsidRPr="00681E75" w:rsidRDefault="009D366F" w:rsidP="00300000">
    <w:pPr>
      <w:tabs>
        <w:tab w:val="clear" w:pos="1134"/>
        <w:tab w:val="clear" w:pos="1871"/>
        <w:tab w:val="clear" w:pos="2268"/>
        <w:tab w:val="center" w:pos="4820"/>
        <w:tab w:val="right" w:pos="13892"/>
      </w:tabs>
      <w:ind w:right="1"/>
      <w:rPr>
        <w:rStyle w:val="PageNumber"/>
        <w:smallCaps/>
        <w:spacing w:val="24"/>
        <w:sz w:val="22"/>
        <w:szCs w:val="22"/>
        <w:lang w:val="pt-BR"/>
      </w:rPr>
    </w:pPr>
    <w:r>
      <w:rPr>
        <w:sz w:val="22"/>
        <w:szCs w:val="22"/>
        <w:lang w:val="pt-BR"/>
      </w:rPr>
      <w:tab/>
    </w:r>
    <w:r w:rsidRPr="0042164F">
      <w:rPr>
        <w:sz w:val="22"/>
        <w:szCs w:val="22"/>
        <w:lang w:val="pt-BR"/>
      </w:rPr>
      <w:t>TDAG-26/2(Add.2)(Rev.1)-</w:t>
    </w:r>
    <w:r>
      <w:rPr>
        <w:sz w:val="22"/>
        <w:szCs w:val="22"/>
        <w:lang w:val="pt-BR"/>
      </w:rPr>
      <w:t>S</w:t>
    </w:r>
    <w:r w:rsidRPr="0071569A">
      <w:rPr>
        <w:sz w:val="22"/>
        <w:szCs w:val="22"/>
        <w:lang w:val="pt-BR"/>
      </w:rPr>
      <w:tab/>
      <w:t>P</w:t>
    </w:r>
    <w:r>
      <w:rPr>
        <w:sz w:val="22"/>
        <w:szCs w:val="22"/>
        <w:lang w:val="pt-BR"/>
      </w:rPr>
      <w:t>ágina</w:t>
    </w:r>
    <w:r w:rsidRPr="0071569A">
      <w:rPr>
        <w:sz w:val="22"/>
        <w:szCs w:val="22"/>
        <w:lang w:val="pt-BR"/>
      </w:rPr>
      <w:t xml:space="preserv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6</w:t>
    </w:r>
    <w:r w:rsidRPr="00972BCD">
      <w:rPr>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44B3" w14:textId="77777777" w:rsidR="00300000" w:rsidRPr="00681E75" w:rsidRDefault="00300000" w:rsidP="008B0BD5">
    <w:pPr>
      <w:tabs>
        <w:tab w:val="clear" w:pos="1134"/>
        <w:tab w:val="clear" w:pos="1871"/>
        <w:tab w:val="clear" w:pos="2268"/>
        <w:tab w:val="center" w:pos="6946"/>
        <w:tab w:val="right" w:pos="13892"/>
      </w:tabs>
      <w:spacing w:after="240"/>
      <w:ind w:right="1"/>
      <w:rPr>
        <w:rStyle w:val="PageNumber"/>
        <w:smallCaps/>
        <w:spacing w:val="24"/>
        <w:sz w:val="22"/>
        <w:szCs w:val="22"/>
        <w:lang w:val="pt-BR"/>
      </w:rPr>
    </w:pPr>
    <w:r>
      <w:rPr>
        <w:sz w:val="22"/>
        <w:szCs w:val="22"/>
        <w:lang w:val="pt-BR"/>
      </w:rPr>
      <w:tab/>
    </w:r>
    <w:r w:rsidRPr="0042164F">
      <w:rPr>
        <w:sz w:val="22"/>
        <w:szCs w:val="22"/>
        <w:lang w:val="pt-BR"/>
      </w:rPr>
      <w:t>TDAG-26/2(Add.2)(Rev.1)-</w:t>
    </w:r>
    <w:r>
      <w:rPr>
        <w:sz w:val="22"/>
        <w:szCs w:val="22"/>
        <w:lang w:val="pt-BR"/>
      </w:rPr>
      <w:t>S</w:t>
    </w:r>
    <w:r w:rsidRPr="0071569A">
      <w:rPr>
        <w:sz w:val="22"/>
        <w:szCs w:val="22"/>
        <w:lang w:val="pt-BR"/>
      </w:rPr>
      <w:tab/>
      <w:t>P</w:t>
    </w:r>
    <w:r>
      <w:rPr>
        <w:sz w:val="22"/>
        <w:szCs w:val="22"/>
        <w:lang w:val="pt-BR"/>
      </w:rPr>
      <w:t>ágina</w:t>
    </w:r>
    <w:r w:rsidRPr="0071569A">
      <w:rPr>
        <w:sz w:val="22"/>
        <w:szCs w:val="22"/>
        <w:lang w:val="pt-BR"/>
      </w:rPr>
      <w:t xml:space="preserv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6</w:t>
    </w:r>
    <w:r w:rsidRPr="00972BCD">
      <w:rPr>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86E2" w14:textId="77777777" w:rsidR="00300000" w:rsidRPr="00681E75" w:rsidRDefault="00300000" w:rsidP="00300000">
    <w:pPr>
      <w:tabs>
        <w:tab w:val="clear" w:pos="1134"/>
        <w:tab w:val="clear" w:pos="1871"/>
        <w:tab w:val="clear" w:pos="2268"/>
        <w:tab w:val="center" w:pos="4820"/>
        <w:tab w:val="right" w:pos="13892"/>
      </w:tabs>
      <w:ind w:right="1"/>
      <w:rPr>
        <w:rStyle w:val="PageNumber"/>
        <w:smallCaps/>
        <w:spacing w:val="24"/>
        <w:sz w:val="22"/>
        <w:szCs w:val="22"/>
        <w:lang w:val="pt-BR"/>
      </w:rPr>
    </w:pPr>
    <w:r>
      <w:rPr>
        <w:sz w:val="22"/>
        <w:szCs w:val="22"/>
        <w:lang w:val="pt-BR"/>
      </w:rPr>
      <w:tab/>
    </w:r>
    <w:r w:rsidRPr="0042164F">
      <w:rPr>
        <w:sz w:val="22"/>
        <w:szCs w:val="22"/>
        <w:lang w:val="pt-BR"/>
      </w:rPr>
      <w:t>TDAG-26/2(Add.2)(Rev.1)-</w:t>
    </w:r>
    <w:r>
      <w:rPr>
        <w:sz w:val="22"/>
        <w:szCs w:val="22"/>
        <w:lang w:val="pt-BR"/>
      </w:rPr>
      <w:t>S</w:t>
    </w:r>
    <w:r w:rsidRPr="0071569A">
      <w:rPr>
        <w:sz w:val="22"/>
        <w:szCs w:val="22"/>
        <w:lang w:val="pt-BR"/>
      </w:rPr>
      <w:tab/>
      <w:t>P</w:t>
    </w:r>
    <w:r>
      <w:rPr>
        <w:sz w:val="22"/>
        <w:szCs w:val="22"/>
        <w:lang w:val="pt-BR"/>
      </w:rPr>
      <w:t>ágina</w:t>
    </w:r>
    <w:r w:rsidRPr="0071569A">
      <w:rPr>
        <w:sz w:val="22"/>
        <w:szCs w:val="22"/>
        <w:lang w:val="pt-BR"/>
      </w:rPr>
      <w:t xml:space="preserv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6</w:t>
    </w:r>
    <w:r w:rsidRPr="00972BCD">
      <w:rPr>
        <w:sz w:val="22"/>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F8D2" w14:textId="4E1455C1" w:rsidR="003F29D1" w:rsidRPr="00B41165" w:rsidRDefault="003F29D1" w:rsidP="008B0BD5">
    <w:pPr>
      <w:tabs>
        <w:tab w:val="clear" w:pos="1134"/>
        <w:tab w:val="clear" w:pos="1871"/>
        <w:tab w:val="clear" w:pos="2268"/>
        <w:tab w:val="center" w:pos="7088"/>
        <w:tab w:val="right" w:pos="14003"/>
      </w:tabs>
      <w:spacing w:after="240"/>
      <w:ind w:right="1"/>
      <w:rPr>
        <w:smallCaps/>
        <w:spacing w:val="24"/>
        <w:sz w:val="22"/>
        <w:szCs w:val="22"/>
        <w:lang w:val="es-ES_tradnl"/>
      </w:rPr>
    </w:pPr>
    <w:r w:rsidRPr="004D495C">
      <w:rPr>
        <w:sz w:val="22"/>
        <w:szCs w:val="22"/>
      </w:rPr>
      <w:tab/>
    </w:r>
    <w:r>
      <w:rPr>
        <w:sz w:val="22"/>
        <w:szCs w:val="22"/>
        <w:lang w:val="es-ES_tradnl"/>
      </w:rPr>
      <w:t>TDAG-26</w:t>
    </w:r>
    <w:r w:rsidRPr="00FF089C">
      <w:rPr>
        <w:sz w:val="22"/>
        <w:szCs w:val="22"/>
        <w:lang w:val="es-ES_tradnl"/>
      </w:rPr>
      <w:t>/</w:t>
    </w:r>
    <w:r>
      <w:rPr>
        <w:sz w:val="22"/>
        <w:szCs w:val="22"/>
        <w:lang w:val="es-ES_tradnl"/>
      </w:rPr>
      <w:t>2(Add.2)</w:t>
    </w:r>
    <w:r w:rsidR="003112BD">
      <w:rPr>
        <w:sz w:val="22"/>
        <w:szCs w:val="22"/>
        <w:lang w:val="es-ES_tradnl"/>
      </w:rPr>
      <w:t>(Rev.1)</w:t>
    </w:r>
    <w:r w:rsidRPr="00FF089C">
      <w:rPr>
        <w:sz w:val="22"/>
        <w:szCs w:val="22"/>
        <w:lang w:val="es-ES_tradnl"/>
      </w:rPr>
      <w:t>-</w:t>
    </w:r>
    <w:r>
      <w:rPr>
        <w:sz w:val="22"/>
        <w:szCs w:val="22"/>
        <w:lang w:val="es-ES_tradnl"/>
      </w:rPr>
      <w:t>S</w:t>
    </w:r>
    <w:r w:rsidRPr="00FF089C">
      <w:rPr>
        <w:sz w:val="22"/>
        <w:szCs w:val="22"/>
        <w:lang w:val="es-ES_tradnl"/>
      </w:rPr>
      <w:tab/>
      <w:t>P</w:t>
    </w:r>
    <w:r>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Pr>
        <w:noProof/>
        <w:sz w:val="22"/>
        <w:szCs w:val="22"/>
        <w:lang w:val="es-ES_tradnl"/>
      </w:rPr>
      <w:t>19</w:t>
    </w:r>
    <w:r w:rsidRPr="004D495C">
      <w:rPr>
        <w:sz w:val="22"/>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A3D5" w14:textId="388E05CB" w:rsidR="003F29D1" w:rsidRPr="003112BD" w:rsidRDefault="003F29D1" w:rsidP="003112BD">
    <w:pPr>
      <w:tabs>
        <w:tab w:val="clear" w:pos="1134"/>
        <w:tab w:val="clear" w:pos="1871"/>
        <w:tab w:val="clear" w:pos="2268"/>
        <w:tab w:val="center" w:pos="7088"/>
        <w:tab w:val="right" w:pos="14003"/>
      </w:tabs>
      <w:ind w:right="1"/>
      <w:rPr>
        <w:smallCaps/>
        <w:spacing w:val="24"/>
        <w:sz w:val="22"/>
        <w:szCs w:val="22"/>
        <w:lang w:val="en-US"/>
      </w:rPr>
    </w:pPr>
    <w:r w:rsidRPr="004D495C">
      <w:rPr>
        <w:sz w:val="22"/>
        <w:szCs w:val="22"/>
      </w:rPr>
      <w:tab/>
    </w:r>
    <w:r w:rsidRPr="003112BD">
      <w:rPr>
        <w:sz w:val="22"/>
        <w:szCs w:val="22"/>
        <w:lang w:val="en-US"/>
      </w:rPr>
      <w:t>TDAG-26/2(Add.2)</w:t>
    </w:r>
    <w:r w:rsidR="003112BD" w:rsidRPr="003112BD">
      <w:rPr>
        <w:sz w:val="22"/>
        <w:szCs w:val="22"/>
        <w:lang w:val="en-US"/>
      </w:rPr>
      <w:t>(Rev.1)</w:t>
    </w:r>
    <w:r w:rsidRPr="003112BD">
      <w:rPr>
        <w:sz w:val="22"/>
        <w:szCs w:val="22"/>
        <w:lang w:val="en-US"/>
      </w:rPr>
      <w:t>-S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1B53" w14:textId="0DC7F68C" w:rsidR="00636181" w:rsidRPr="00B41165" w:rsidRDefault="00636181" w:rsidP="00B41165">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w:t>
    </w:r>
    <w:r w:rsidR="00EF4D25">
      <w:rPr>
        <w:sz w:val="22"/>
        <w:szCs w:val="22"/>
        <w:lang w:val="es-ES_tradnl"/>
      </w:rPr>
      <w:t>6</w:t>
    </w:r>
    <w:r w:rsidRPr="00FF089C">
      <w:rPr>
        <w:sz w:val="22"/>
        <w:szCs w:val="22"/>
        <w:lang w:val="es-ES_tradnl"/>
      </w:rPr>
      <w:t>/</w:t>
    </w:r>
    <w:r w:rsidR="003F29D1">
      <w:rPr>
        <w:sz w:val="22"/>
        <w:szCs w:val="22"/>
        <w:lang w:val="es-ES_tradnl"/>
      </w:rPr>
      <w:t>2(Add.2)(Rev.1)</w:t>
    </w:r>
    <w:r w:rsidRPr="00FF089C">
      <w:rPr>
        <w:sz w:val="22"/>
        <w:szCs w:val="22"/>
        <w:lang w:val="es-ES_tradnl"/>
      </w:rPr>
      <w:t>-</w:t>
    </w:r>
    <w:r w:rsidR="00357049">
      <w:rPr>
        <w:sz w:val="22"/>
        <w:szCs w:val="22"/>
        <w:lang w:val="es-ES_tradnl"/>
      </w:rPr>
      <w:t>S</w:t>
    </w:r>
    <w:r w:rsidRPr="00FF089C">
      <w:rPr>
        <w:sz w:val="22"/>
        <w:szCs w:val="22"/>
        <w:lang w:val="es-ES_tradnl"/>
      </w:rPr>
      <w:tab/>
      <w:t>P</w:t>
    </w:r>
    <w:r w:rsidR="00357049">
      <w:rPr>
        <w:sz w:val="22"/>
        <w:szCs w:val="22"/>
        <w:lang w:val="es-ES_tradnl"/>
      </w:rPr>
      <w:t>ágina</w:t>
    </w:r>
    <w:r w:rsidRPr="00FF089C">
      <w:rPr>
        <w:sz w:val="22"/>
        <w:szCs w:val="22"/>
        <w:lang w:val="es-ES_tradnl"/>
      </w:rPr>
      <w:t xml:space="preserv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A2DF" w14:textId="4EBE102A" w:rsidR="003112BD" w:rsidRPr="003112BD" w:rsidRDefault="003112BD" w:rsidP="003112BD">
    <w:pPr>
      <w:tabs>
        <w:tab w:val="clear" w:pos="1134"/>
        <w:tab w:val="clear" w:pos="1871"/>
        <w:tab w:val="clear" w:pos="2268"/>
        <w:tab w:val="center" w:pos="4820"/>
        <w:tab w:val="right" w:pos="14003"/>
      </w:tabs>
      <w:ind w:right="1"/>
      <w:rPr>
        <w:smallCaps/>
        <w:spacing w:val="24"/>
        <w:sz w:val="22"/>
        <w:szCs w:val="22"/>
        <w:lang w:val="en-US"/>
      </w:rPr>
    </w:pPr>
    <w:r w:rsidRPr="004D495C">
      <w:rPr>
        <w:sz w:val="22"/>
        <w:szCs w:val="22"/>
      </w:rPr>
      <w:tab/>
    </w:r>
    <w:r w:rsidRPr="003112BD">
      <w:rPr>
        <w:sz w:val="22"/>
        <w:szCs w:val="22"/>
        <w:lang w:val="en-US"/>
      </w:rPr>
      <w:t>TDAG-26/2(Add.2)(Rev.1)-S</w:t>
    </w:r>
    <w:r w:rsidRPr="003112BD">
      <w:rPr>
        <w:sz w:val="22"/>
        <w:szCs w:val="22"/>
        <w:lang w:val="en-US"/>
      </w:rPr>
      <w:tab/>
    </w:r>
    <w:r w:rsidRPr="006117E0">
      <w:rPr>
        <w:sz w:val="22"/>
        <w:szCs w:val="22"/>
        <w:lang w:val="es-ES"/>
      </w:rPr>
      <w:t>Página</w:t>
    </w:r>
    <w:r w:rsidRPr="003112BD">
      <w:rPr>
        <w:sz w:val="22"/>
        <w:szCs w:val="22"/>
        <w:lang w:val="en-US"/>
      </w:rPr>
      <w:t xml:space="preserve"> </w:t>
    </w:r>
    <w:r w:rsidRPr="004D495C">
      <w:rPr>
        <w:sz w:val="22"/>
        <w:szCs w:val="22"/>
      </w:rPr>
      <w:fldChar w:fldCharType="begin"/>
    </w:r>
    <w:r w:rsidRPr="003112BD">
      <w:rPr>
        <w:sz w:val="22"/>
        <w:szCs w:val="22"/>
        <w:lang w:val="en-US"/>
      </w:rPr>
      <w:instrText xml:space="preserve"> PAGE </w:instrText>
    </w:r>
    <w:r w:rsidRPr="004D495C">
      <w:rPr>
        <w:sz w:val="22"/>
        <w:szCs w:val="22"/>
      </w:rPr>
      <w:fldChar w:fldCharType="separate"/>
    </w:r>
    <w:r>
      <w:rPr>
        <w:sz w:val="22"/>
        <w:szCs w:val="22"/>
      </w:rPr>
      <w:t>8</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B2A62"/>
    <w:multiLevelType w:val="hybridMultilevel"/>
    <w:tmpl w:val="98BE57D0"/>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65827FA7"/>
    <w:multiLevelType w:val="multilevel"/>
    <w:tmpl w:val="3486535A"/>
    <w:lvl w:ilvl="0">
      <w:start w:val="1"/>
      <w:numFmt w:val="bullet"/>
      <w:lvlText w:val=""/>
      <w:lvlJc w:val="left"/>
      <w:pPr>
        <w:tabs>
          <w:tab w:val="num" w:pos="873"/>
        </w:tabs>
        <w:ind w:left="873" w:hanging="360"/>
      </w:pPr>
      <w:rPr>
        <w:rFonts w:ascii="Symbol" w:hAnsi="Symbol" w:hint="default"/>
        <w:sz w:val="20"/>
      </w:rPr>
    </w:lvl>
    <w:lvl w:ilvl="1">
      <w:start w:val="1"/>
      <w:numFmt w:val="bullet"/>
      <w:lvlText w:val="o"/>
      <w:lvlJc w:val="left"/>
      <w:pPr>
        <w:tabs>
          <w:tab w:val="num" w:pos="1593"/>
        </w:tabs>
        <w:ind w:left="1593" w:hanging="360"/>
      </w:pPr>
      <w:rPr>
        <w:rFonts w:ascii="Courier New" w:hAnsi="Courier New" w:cs="Times New Roman" w:hint="default"/>
        <w:sz w:val="20"/>
      </w:rPr>
    </w:lvl>
    <w:lvl w:ilvl="2">
      <w:start w:val="1"/>
      <w:numFmt w:val="bullet"/>
      <w:lvlText w:val=""/>
      <w:lvlJc w:val="left"/>
      <w:pPr>
        <w:tabs>
          <w:tab w:val="num" w:pos="2313"/>
        </w:tabs>
        <w:ind w:left="2313" w:hanging="360"/>
      </w:pPr>
      <w:rPr>
        <w:rFonts w:ascii="Wingdings" w:hAnsi="Wingdings" w:hint="default"/>
        <w:sz w:val="20"/>
      </w:rPr>
    </w:lvl>
    <w:lvl w:ilvl="3">
      <w:start w:val="1"/>
      <w:numFmt w:val="bullet"/>
      <w:lvlText w:val=""/>
      <w:lvlJc w:val="left"/>
      <w:pPr>
        <w:tabs>
          <w:tab w:val="num" w:pos="3033"/>
        </w:tabs>
        <w:ind w:left="3033" w:hanging="360"/>
      </w:pPr>
      <w:rPr>
        <w:rFonts w:ascii="Wingdings" w:hAnsi="Wingdings" w:hint="default"/>
        <w:sz w:val="20"/>
      </w:rPr>
    </w:lvl>
    <w:lvl w:ilvl="4">
      <w:start w:val="1"/>
      <w:numFmt w:val="bullet"/>
      <w:lvlText w:val=""/>
      <w:lvlJc w:val="left"/>
      <w:pPr>
        <w:tabs>
          <w:tab w:val="num" w:pos="3753"/>
        </w:tabs>
        <w:ind w:left="3753" w:hanging="360"/>
      </w:pPr>
      <w:rPr>
        <w:rFonts w:ascii="Wingdings" w:hAnsi="Wingdings" w:hint="default"/>
        <w:sz w:val="20"/>
      </w:rPr>
    </w:lvl>
    <w:lvl w:ilvl="5">
      <w:start w:val="1"/>
      <w:numFmt w:val="bullet"/>
      <w:lvlText w:val=""/>
      <w:lvlJc w:val="left"/>
      <w:pPr>
        <w:tabs>
          <w:tab w:val="num" w:pos="4473"/>
        </w:tabs>
        <w:ind w:left="4473" w:hanging="360"/>
      </w:pPr>
      <w:rPr>
        <w:rFonts w:ascii="Wingdings" w:hAnsi="Wingdings" w:hint="default"/>
        <w:sz w:val="20"/>
      </w:rPr>
    </w:lvl>
    <w:lvl w:ilvl="6">
      <w:start w:val="1"/>
      <w:numFmt w:val="bullet"/>
      <w:lvlText w:val=""/>
      <w:lvlJc w:val="left"/>
      <w:pPr>
        <w:tabs>
          <w:tab w:val="num" w:pos="5193"/>
        </w:tabs>
        <w:ind w:left="5193" w:hanging="360"/>
      </w:pPr>
      <w:rPr>
        <w:rFonts w:ascii="Wingdings" w:hAnsi="Wingdings" w:hint="default"/>
        <w:sz w:val="20"/>
      </w:rPr>
    </w:lvl>
    <w:lvl w:ilvl="7">
      <w:start w:val="1"/>
      <w:numFmt w:val="bullet"/>
      <w:lvlText w:val=""/>
      <w:lvlJc w:val="left"/>
      <w:pPr>
        <w:tabs>
          <w:tab w:val="num" w:pos="5913"/>
        </w:tabs>
        <w:ind w:left="5913" w:hanging="360"/>
      </w:pPr>
      <w:rPr>
        <w:rFonts w:ascii="Wingdings" w:hAnsi="Wingdings" w:hint="default"/>
        <w:sz w:val="20"/>
      </w:rPr>
    </w:lvl>
    <w:lvl w:ilvl="8">
      <w:start w:val="1"/>
      <w:numFmt w:val="bullet"/>
      <w:lvlText w:val=""/>
      <w:lvlJc w:val="left"/>
      <w:pPr>
        <w:tabs>
          <w:tab w:val="num" w:pos="6633"/>
        </w:tabs>
        <w:ind w:left="6633" w:hanging="360"/>
      </w:pPr>
      <w:rPr>
        <w:rFonts w:ascii="Wingdings" w:hAnsi="Wingdings" w:hint="default"/>
        <w:sz w:val="20"/>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BA"/>
    <w:rsid w:val="000041EA"/>
    <w:rsid w:val="00004EB7"/>
    <w:rsid w:val="00005A53"/>
    <w:rsid w:val="00005FBD"/>
    <w:rsid w:val="00011ECB"/>
    <w:rsid w:val="000150B0"/>
    <w:rsid w:val="00015E52"/>
    <w:rsid w:val="000216E0"/>
    <w:rsid w:val="00022A29"/>
    <w:rsid w:val="00025801"/>
    <w:rsid w:val="00025926"/>
    <w:rsid w:val="00025965"/>
    <w:rsid w:val="00030D2A"/>
    <w:rsid w:val="000355FD"/>
    <w:rsid w:val="0003589F"/>
    <w:rsid w:val="0005184F"/>
    <w:rsid w:val="00051E39"/>
    <w:rsid w:val="00053725"/>
    <w:rsid w:val="00054B72"/>
    <w:rsid w:val="0005581A"/>
    <w:rsid w:val="0005619C"/>
    <w:rsid w:val="0005747E"/>
    <w:rsid w:val="000604E5"/>
    <w:rsid w:val="000617DF"/>
    <w:rsid w:val="0006550B"/>
    <w:rsid w:val="0007000B"/>
    <w:rsid w:val="000735FD"/>
    <w:rsid w:val="00074109"/>
    <w:rsid w:val="00074C4D"/>
    <w:rsid w:val="00075C63"/>
    <w:rsid w:val="00076288"/>
    <w:rsid w:val="00077239"/>
    <w:rsid w:val="000778CA"/>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29EC"/>
    <w:rsid w:val="000F38EA"/>
    <w:rsid w:val="000F542E"/>
    <w:rsid w:val="000F641B"/>
    <w:rsid w:val="000F73FF"/>
    <w:rsid w:val="000F7F1C"/>
    <w:rsid w:val="00102175"/>
    <w:rsid w:val="00102343"/>
    <w:rsid w:val="001029B3"/>
    <w:rsid w:val="00105DCD"/>
    <w:rsid w:val="001066B3"/>
    <w:rsid w:val="001114AC"/>
    <w:rsid w:val="00114584"/>
    <w:rsid w:val="00114CF7"/>
    <w:rsid w:val="00115411"/>
    <w:rsid w:val="00115B33"/>
    <w:rsid w:val="00116B95"/>
    <w:rsid w:val="00117233"/>
    <w:rsid w:val="00123B68"/>
    <w:rsid w:val="00124AF4"/>
    <w:rsid w:val="00124CAA"/>
    <w:rsid w:val="00125E69"/>
    <w:rsid w:val="00126F2E"/>
    <w:rsid w:val="00127FC6"/>
    <w:rsid w:val="001424DC"/>
    <w:rsid w:val="00143A87"/>
    <w:rsid w:val="00144E69"/>
    <w:rsid w:val="001466A4"/>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3CE2"/>
    <w:rsid w:val="00185737"/>
    <w:rsid w:val="00187BD9"/>
    <w:rsid w:val="0019060A"/>
    <w:rsid w:val="00190B55"/>
    <w:rsid w:val="00191F5C"/>
    <w:rsid w:val="00192FA9"/>
    <w:rsid w:val="00194CFB"/>
    <w:rsid w:val="001A1FFD"/>
    <w:rsid w:val="001A2AB4"/>
    <w:rsid w:val="001A3858"/>
    <w:rsid w:val="001A4BD2"/>
    <w:rsid w:val="001A6DA7"/>
    <w:rsid w:val="001B2ED3"/>
    <w:rsid w:val="001B643A"/>
    <w:rsid w:val="001B6675"/>
    <w:rsid w:val="001B7EA3"/>
    <w:rsid w:val="001C3B5F"/>
    <w:rsid w:val="001C61EA"/>
    <w:rsid w:val="001D058F"/>
    <w:rsid w:val="001D2025"/>
    <w:rsid w:val="001D520B"/>
    <w:rsid w:val="001E0384"/>
    <w:rsid w:val="001E24AF"/>
    <w:rsid w:val="001E252D"/>
    <w:rsid w:val="001E43DC"/>
    <w:rsid w:val="002009EA"/>
    <w:rsid w:val="00202072"/>
    <w:rsid w:val="00202CA0"/>
    <w:rsid w:val="00207A5D"/>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6E8A"/>
    <w:rsid w:val="00240BC8"/>
    <w:rsid w:val="002420D0"/>
    <w:rsid w:val="00242487"/>
    <w:rsid w:val="00243411"/>
    <w:rsid w:val="00246B32"/>
    <w:rsid w:val="00251A53"/>
    <w:rsid w:val="00253D93"/>
    <w:rsid w:val="0025489C"/>
    <w:rsid w:val="0026406F"/>
    <w:rsid w:val="002653F2"/>
    <w:rsid w:val="00266589"/>
    <w:rsid w:val="00267792"/>
    <w:rsid w:val="002712A9"/>
    <w:rsid w:val="00271316"/>
    <w:rsid w:val="00272417"/>
    <w:rsid w:val="00274CC3"/>
    <w:rsid w:val="00276414"/>
    <w:rsid w:val="00283F74"/>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5490"/>
    <w:rsid w:val="002C12ED"/>
    <w:rsid w:val="002C49BA"/>
    <w:rsid w:val="002C4B75"/>
    <w:rsid w:val="002C73F6"/>
    <w:rsid w:val="002C7D5E"/>
    <w:rsid w:val="002D58BE"/>
    <w:rsid w:val="002E4D1D"/>
    <w:rsid w:val="002E51E0"/>
    <w:rsid w:val="002E5411"/>
    <w:rsid w:val="002E7A84"/>
    <w:rsid w:val="002F1BD0"/>
    <w:rsid w:val="00300000"/>
    <w:rsid w:val="003013EE"/>
    <w:rsid w:val="0030222C"/>
    <w:rsid w:val="00304031"/>
    <w:rsid w:val="003112BD"/>
    <w:rsid w:val="00311808"/>
    <w:rsid w:val="00311851"/>
    <w:rsid w:val="00311CD5"/>
    <w:rsid w:val="00316725"/>
    <w:rsid w:val="00316A69"/>
    <w:rsid w:val="003231C6"/>
    <w:rsid w:val="00323E49"/>
    <w:rsid w:val="003247A5"/>
    <w:rsid w:val="00325939"/>
    <w:rsid w:val="003273BC"/>
    <w:rsid w:val="00331F05"/>
    <w:rsid w:val="00335759"/>
    <w:rsid w:val="00336467"/>
    <w:rsid w:val="00337750"/>
    <w:rsid w:val="0034384D"/>
    <w:rsid w:val="00345D42"/>
    <w:rsid w:val="00346224"/>
    <w:rsid w:val="0034636C"/>
    <w:rsid w:val="0035089A"/>
    <w:rsid w:val="003511BC"/>
    <w:rsid w:val="00356083"/>
    <w:rsid w:val="00357049"/>
    <w:rsid w:val="00361609"/>
    <w:rsid w:val="00364098"/>
    <w:rsid w:val="00366978"/>
    <w:rsid w:val="0037003F"/>
    <w:rsid w:val="00372BCF"/>
    <w:rsid w:val="00373365"/>
    <w:rsid w:val="00377BD3"/>
    <w:rsid w:val="003807EA"/>
    <w:rsid w:val="003829D8"/>
    <w:rsid w:val="0038304D"/>
    <w:rsid w:val="00384088"/>
    <w:rsid w:val="0038489B"/>
    <w:rsid w:val="00384EDD"/>
    <w:rsid w:val="00385BE9"/>
    <w:rsid w:val="0039169B"/>
    <w:rsid w:val="00392277"/>
    <w:rsid w:val="00394B90"/>
    <w:rsid w:val="003968CC"/>
    <w:rsid w:val="003A03FF"/>
    <w:rsid w:val="003A04F5"/>
    <w:rsid w:val="003A22FC"/>
    <w:rsid w:val="003A5137"/>
    <w:rsid w:val="003A6BAC"/>
    <w:rsid w:val="003A6BED"/>
    <w:rsid w:val="003A7F8C"/>
    <w:rsid w:val="003B08DA"/>
    <w:rsid w:val="003B11F9"/>
    <w:rsid w:val="003B2B56"/>
    <w:rsid w:val="003B532E"/>
    <w:rsid w:val="003B6306"/>
    <w:rsid w:val="003B6602"/>
    <w:rsid w:val="003B6F14"/>
    <w:rsid w:val="003B6F60"/>
    <w:rsid w:val="003C1870"/>
    <w:rsid w:val="003C6136"/>
    <w:rsid w:val="003D0F8B"/>
    <w:rsid w:val="003D39F2"/>
    <w:rsid w:val="003D5A63"/>
    <w:rsid w:val="003D6425"/>
    <w:rsid w:val="003D66A7"/>
    <w:rsid w:val="003D7913"/>
    <w:rsid w:val="003D7EE8"/>
    <w:rsid w:val="003F0A6C"/>
    <w:rsid w:val="003F0F49"/>
    <w:rsid w:val="003F1363"/>
    <w:rsid w:val="003F29D1"/>
    <w:rsid w:val="00403717"/>
    <w:rsid w:val="00403993"/>
    <w:rsid w:val="00403C69"/>
    <w:rsid w:val="00405EC2"/>
    <w:rsid w:val="00406278"/>
    <w:rsid w:val="00406297"/>
    <w:rsid w:val="00412C81"/>
    <w:rsid w:val="004131D4"/>
    <w:rsid w:val="0041348E"/>
    <w:rsid w:val="00414895"/>
    <w:rsid w:val="004208C6"/>
    <w:rsid w:val="00421605"/>
    <w:rsid w:val="00426222"/>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52B4"/>
    <w:rsid w:val="00460CF8"/>
    <w:rsid w:val="00462253"/>
    <w:rsid w:val="00462CB2"/>
    <w:rsid w:val="004631CC"/>
    <w:rsid w:val="00467DB2"/>
    <w:rsid w:val="00472FC1"/>
    <w:rsid w:val="004755BA"/>
    <w:rsid w:val="004765FF"/>
    <w:rsid w:val="00481E58"/>
    <w:rsid w:val="0048520E"/>
    <w:rsid w:val="00486163"/>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6722"/>
    <w:rsid w:val="00517624"/>
    <w:rsid w:val="00520565"/>
    <w:rsid w:val="00521223"/>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5449"/>
    <w:rsid w:val="00566EEB"/>
    <w:rsid w:val="00570FA3"/>
    <w:rsid w:val="00571767"/>
    <w:rsid w:val="00576FB4"/>
    <w:rsid w:val="00581664"/>
    <w:rsid w:val="00585238"/>
    <w:rsid w:val="005855FC"/>
    <w:rsid w:val="00586EB9"/>
    <w:rsid w:val="00592321"/>
    <w:rsid w:val="005933B2"/>
    <w:rsid w:val="00593B87"/>
    <w:rsid w:val="005964AB"/>
    <w:rsid w:val="005A2BEB"/>
    <w:rsid w:val="005A3485"/>
    <w:rsid w:val="005A5E0C"/>
    <w:rsid w:val="005A6739"/>
    <w:rsid w:val="005A6FBA"/>
    <w:rsid w:val="005B0278"/>
    <w:rsid w:val="005B25C3"/>
    <w:rsid w:val="005B2DD6"/>
    <w:rsid w:val="005B41B7"/>
    <w:rsid w:val="005B44F5"/>
    <w:rsid w:val="005B6D88"/>
    <w:rsid w:val="005C099A"/>
    <w:rsid w:val="005C116F"/>
    <w:rsid w:val="005C13B5"/>
    <w:rsid w:val="005C26D1"/>
    <w:rsid w:val="005C3173"/>
    <w:rsid w:val="005C31A5"/>
    <w:rsid w:val="005C3248"/>
    <w:rsid w:val="005C33FB"/>
    <w:rsid w:val="005C3F17"/>
    <w:rsid w:val="005C4740"/>
    <w:rsid w:val="005D0BEA"/>
    <w:rsid w:val="005D4916"/>
    <w:rsid w:val="005E0641"/>
    <w:rsid w:val="005E0D2B"/>
    <w:rsid w:val="005E10C9"/>
    <w:rsid w:val="005E61DD"/>
    <w:rsid w:val="005E6321"/>
    <w:rsid w:val="005F5413"/>
    <w:rsid w:val="00600B9C"/>
    <w:rsid w:val="006023DF"/>
    <w:rsid w:val="00602CFD"/>
    <w:rsid w:val="0060693B"/>
    <w:rsid w:val="006117C6"/>
    <w:rsid w:val="006117E0"/>
    <w:rsid w:val="00611CD2"/>
    <w:rsid w:val="00615AB9"/>
    <w:rsid w:val="00617602"/>
    <w:rsid w:val="00620ECD"/>
    <w:rsid w:val="00621FDD"/>
    <w:rsid w:val="00622B63"/>
    <w:rsid w:val="00624A81"/>
    <w:rsid w:val="0062697F"/>
    <w:rsid w:val="00627881"/>
    <w:rsid w:val="00636181"/>
    <w:rsid w:val="006368DD"/>
    <w:rsid w:val="00637E99"/>
    <w:rsid w:val="006422AD"/>
    <w:rsid w:val="006430DA"/>
    <w:rsid w:val="0064322F"/>
    <w:rsid w:val="006449A5"/>
    <w:rsid w:val="00644F99"/>
    <w:rsid w:val="006463EE"/>
    <w:rsid w:val="00657DE0"/>
    <w:rsid w:val="006608C4"/>
    <w:rsid w:val="006612C2"/>
    <w:rsid w:val="00661FB8"/>
    <w:rsid w:val="00665B75"/>
    <w:rsid w:val="00667F38"/>
    <w:rsid w:val="0067199F"/>
    <w:rsid w:val="006747D8"/>
    <w:rsid w:val="00674AEF"/>
    <w:rsid w:val="00675DB5"/>
    <w:rsid w:val="00676ED7"/>
    <w:rsid w:val="00677048"/>
    <w:rsid w:val="00680225"/>
    <w:rsid w:val="00685313"/>
    <w:rsid w:val="00690B44"/>
    <w:rsid w:val="006912F3"/>
    <w:rsid w:val="00694498"/>
    <w:rsid w:val="00696E7A"/>
    <w:rsid w:val="006A0D14"/>
    <w:rsid w:val="006A47E5"/>
    <w:rsid w:val="006A6E9B"/>
    <w:rsid w:val="006A747C"/>
    <w:rsid w:val="006A7603"/>
    <w:rsid w:val="006B1038"/>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34D9"/>
    <w:rsid w:val="00705932"/>
    <w:rsid w:val="007149F9"/>
    <w:rsid w:val="0071531C"/>
    <w:rsid w:val="0071541F"/>
    <w:rsid w:val="007167D5"/>
    <w:rsid w:val="00720DD1"/>
    <w:rsid w:val="007265FE"/>
    <w:rsid w:val="00730009"/>
    <w:rsid w:val="00733A30"/>
    <w:rsid w:val="007372E2"/>
    <w:rsid w:val="007379E5"/>
    <w:rsid w:val="00743072"/>
    <w:rsid w:val="00745AEE"/>
    <w:rsid w:val="00747028"/>
    <w:rsid w:val="007479EA"/>
    <w:rsid w:val="00747A98"/>
    <w:rsid w:val="00750F10"/>
    <w:rsid w:val="0075242F"/>
    <w:rsid w:val="00756ADC"/>
    <w:rsid w:val="00761CEF"/>
    <w:rsid w:val="007654FE"/>
    <w:rsid w:val="00765BA5"/>
    <w:rsid w:val="007664D4"/>
    <w:rsid w:val="00770D7E"/>
    <w:rsid w:val="007742CA"/>
    <w:rsid w:val="0077509B"/>
    <w:rsid w:val="00776DB1"/>
    <w:rsid w:val="0077768B"/>
    <w:rsid w:val="0077794B"/>
    <w:rsid w:val="007807AD"/>
    <w:rsid w:val="00792DB8"/>
    <w:rsid w:val="00793BB0"/>
    <w:rsid w:val="00794ABD"/>
    <w:rsid w:val="00795C00"/>
    <w:rsid w:val="0079605E"/>
    <w:rsid w:val="007A7FAF"/>
    <w:rsid w:val="007B12EB"/>
    <w:rsid w:val="007B2EB6"/>
    <w:rsid w:val="007B3BF6"/>
    <w:rsid w:val="007B4578"/>
    <w:rsid w:val="007C0A4D"/>
    <w:rsid w:val="007C2360"/>
    <w:rsid w:val="007C5A7B"/>
    <w:rsid w:val="007D06F0"/>
    <w:rsid w:val="007D35D0"/>
    <w:rsid w:val="007D3C25"/>
    <w:rsid w:val="007D45E3"/>
    <w:rsid w:val="007D5320"/>
    <w:rsid w:val="007D714B"/>
    <w:rsid w:val="007E065B"/>
    <w:rsid w:val="007E0A1D"/>
    <w:rsid w:val="007E28A9"/>
    <w:rsid w:val="007E713F"/>
    <w:rsid w:val="007E7819"/>
    <w:rsid w:val="007E799D"/>
    <w:rsid w:val="007F236E"/>
    <w:rsid w:val="007F2668"/>
    <w:rsid w:val="007F26E3"/>
    <w:rsid w:val="007F535C"/>
    <w:rsid w:val="007F54EB"/>
    <w:rsid w:val="007F735C"/>
    <w:rsid w:val="00800972"/>
    <w:rsid w:val="00804475"/>
    <w:rsid w:val="0081159E"/>
    <w:rsid w:val="00811633"/>
    <w:rsid w:val="00814C00"/>
    <w:rsid w:val="00821CEF"/>
    <w:rsid w:val="00823BDC"/>
    <w:rsid w:val="00832828"/>
    <w:rsid w:val="008334AF"/>
    <w:rsid w:val="0083645A"/>
    <w:rsid w:val="0083797D"/>
    <w:rsid w:val="00837AB9"/>
    <w:rsid w:val="00840B0F"/>
    <w:rsid w:val="00840FD0"/>
    <w:rsid w:val="0084590A"/>
    <w:rsid w:val="00845C0D"/>
    <w:rsid w:val="008529D3"/>
    <w:rsid w:val="00854840"/>
    <w:rsid w:val="0085555B"/>
    <w:rsid w:val="00855FDC"/>
    <w:rsid w:val="00860F8A"/>
    <w:rsid w:val="0086299C"/>
    <w:rsid w:val="00863096"/>
    <w:rsid w:val="00863578"/>
    <w:rsid w:val="00863FC4"/>
    <w:rsid w:val="00864A15"/>
    <w:rsid w:val="00867B8E"/>
    <w:rsid w:val="008711AE"/>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959D8"/>
    <w:rsid w:val="008A0BFE"/>
    <w:rsid w:val="008A2753"/>
    <w:rsid w:val="008A3933"/>
    <w:rsid w:val="008A7165"/>
    <w:rsid w:val="008B0BD5"/>
    <w:rsid w:val="008B20A4"/>
    <w:rsid w:val="008B3713"/>
    <w:rsid w:val="008B43F2"/>
    <w:rsid w:val="008B54AB"/>
    <w:rsid w:val="008B54D9"/>
    <w:rsid w:val="008B61EA"/>
    <w:rsid w:val="008B63AA"/>
    <w:rsid w:val="008B6CFF"/>
    <w:rsid w:val="008C28A0"/>
    <w:rsid w:val="008C3D02"/>
    <w:rsid w:val="008C4ADD"/>
    <w:rsid w:val="008D06CB"/>
    <w:rsid w:val="008D279B"/>
    <w:rsid w:val="008D2B46"/>
    <w:rsid w:val="008D678E"/>
    <w:rsid w:val="008E33DA"/>
    <w:rsid w:val="008E6B36"/>
    <w:rsid w:val="008E7DF8"/>
    <w:rsid w:val="008F04EE"/>
    <w:rsid w:val="008F238A"/>
    <w:rsid w:val="008F3284"/>
    <w:rsid w:val="008F36FB"/>
    <w:rsid w:val="009006A0"/>
    <w:rsid w:val="00900E22"/>
    <w:rsid w:val="009023DF"/>
    <w:rsid w:val="0090293E"/>
    <w:rsid w:val="0091016B"/>
    <w:rsid w:val="00910408"/>
    <w:rsid w:val="00910B26"/>
    <w:rsid w:val="00912004"/>
    <w:rsid w:val="009238B9"/>
    <w:rsid w:val="009274B4"/>
    <w:rsid w:val="00934743"/>
    <w:rsid w:val="00934EA2"/>
    <w:rsid w:val="009373C9"/>
    <w:rsid w:val="00941B98"/>
    <w:rsid w:val="00942FC1"/>
    <w:rsid w:val="00943545"/>
    <w:rsid w:val="00944A5C"/>
    <w:rsid w:val="00944A99"/>
    <w:rsid w:val="00951816"/>
    <w:rsid w:val="00952A66"/>
    <w:rsid w:val="00953C32"/>
    <w:rsid w:val="00955F13"/>
    <w:rsid w:val="00964C68"/>
    <w:rsid w:val="009737F9"/>
    <w:rsid w:val="00980AD1"/>
    <w:rsid w:val="00980AD6"/>
    <w:rsid w:val="009828A4"/>
    <w:rsid w:val="00985001"/>
    <w:rsid w:val="00986EBB"/>
    <w:rsid w:val="009907F3"/>
    <w:rsid w:val="00990A55"/>
    <w:rsid w:val="00992F9A"/>
    <w:rsid w:val="009944BE"/>
    <w:rsid w:val="00994606"/>
    <w:rsid w:val="00996913"/>
    <w:rsid w:val="00996ACA"/>
    <w:rsid w:val="00997678"/>
    <w:rsid w:val="009A04EC"/>
    <w:rsid w:val="009A234F"/>
    <w:rsid w:val="009A291A"/>
    <w:rsid w:val="009B28F2"/>
    <w:rsid w:val="009B5126"/>
    <w:rsid w:val="009B71C3"/>
    <w:rsid w:val="009B75FF"/>
    <w:rsid w:val="009C39A2"/>
    <w:rsid w:val="009C4D44"/>
    <w:rsid w:val="009C56E5"/>
    <w:rsid w:val="009C6F7B"/>
    <w:rsid w:val="009D3343"/>
    <w:rsid w:val="009D3429"/>
    <w:rsid w:val="009D366F"/>
    <w:rsid w:val="009E3F7C"/>
    <w:rsid w:val="009E5FC8"/>
    <w:rsid w:val="009E687A"/>
    <w:rsid w:val="009E72E7"/>
    <w:rsid w:val="009F1542"/>
    <w:rsid w:val="00A00AC6"/>
    <w:rsid w:val="00A00BFA"/>
    <w:rsid w:val="00A03C5C"/>
    <w:rsid w:val="00A04FB0"/>
    <w:rsid w:val="00A066F1"/>
    <w:rsid w:val="00A1280A"/>
    <w:rsid w:val="00A141AF"/>
    <w:rsid w:val="00A15958"/>
    <w:rsid w:val="00A16D29"/>
    <w:rsid w:val="00A20E5E"/>
    <w:rsid w:val="00A2101B"/>
    <w:rsid w:val="00A21E18"/>
    <w:rsid w:val="00A235FD"/>
    <w:rsid w:val="00A2618D"/>
    <w:rsid w:val="00A27146"/>
    <w:rsid w:val="00A30305"/>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7FB8"/>
    <w:rsid w:val="00A710E7"/>
    <w:rsid w:val="00A7140C"/>
    <w:rsid w:val="00A7372E"/>
    <w:rsid w:val="00A74739"/>
    <w:rsid w:val="00A76372"/>
    <w:rsid w:val="00A76BD5"/>
    <w:rsid w:val="00A80D65"/>
    <w:rsid w:val="00A81F59"/>
    <w:rsid w:val="00A83E00"/>
    <w:rsid w:val="00A853F5"/>
    <w:rsid w:val="00A9323C"/>
    <w:rsid w:val="00A93364"/>
    <w:rsid w:val="00A93B85"/>
    <w:rsid w:val="00A96F7D"/>
    <w:rsid w:val="00AA05FD"/>
    <w:rsid w:val="00AA0B18"/>
    <w:rsid w:val="00AA4774"/>
    <w:rsid w:val="00AA666F"/>
    <w:rsid w:val="00AA7A11"/>
    <w:rsid w:val="00AB15BE"/>
    <w:rsid w:val="00AB4006"/>
    <w:rsid w:val="00AB4927"/>
    <w:rsid w:val="00AB4EF9"/>
    <w:rsid w:val="00AC007A"/>
    <w:rsid w:val="00AC034F"/>
    <w:rsid w:val="00AC1A8E"/>
    <w:rsid w:val="00AC4C17"/>
    <w:rsid w:val="00AC4DB5"/>
    <w:rsid w:val="00AD0AEB"/>
    <w:rsid w:val="00AD4C7B"/>
    <w:rsid w:val="00AF17A2"/>
    <w:rsid w:val="00AF2081"/>
    <w:rsid w:val="00AF2664"/>
    <w:rsid w:val="00AF57EF"/>
    <w:rsid w:val="00B004E5"/>
    <w:rsid w:val="00B053F3"/>
    <w:rsid w:val="00B06557"/>
    <w:rsid w:val="00B10A09"/>
    <w:rsid w:val="00B124F9"/>
    <w:rsid w:val="00B13FFC"/>
    <w:rsid w:val="00B15F9D"/>
    <w:rsid w:val="00B17325"/>
    <w:rsid w:val="00B17BDC"/>
    <w:rsid w:val="00B20035"/>
    <w:rsid w:val="00B20480"/>
    <w:rsid w:val="00B20F6D"/>
    <w:rsid w:val="00B21BEA"/>
    <w:rsid w:val="00B2212C"/>
    <w:rsid w:val="00B232A2"/>
    <w:rsid w:val="00B247C3"/>
    <w:rsid w:val="00B27180"/>
    <w:rsid w:val="00B27EA8"/>
    <w:rsid w:val="00B30ECC"/>
    <w:rsid w:val="00B35A1C"/>
    <w:rsid w:val="00B35BC5"/>
    <w:rsid w:val="00B36A3C"/>
    <w:rsid w:val="00B4012B"/>
    <w:rsid w:val="00B41165"/>
    <w:rsid w:val="00B41367"/>
    <w:rsid w:val="00B423AE"/>
    <w:rsid w:val="00B43D73"/>
    <w:rsid w:val="00B44083"/>
    <w:rsid w:val="00B441B1"/>
    <w:rsid w:val="00B45C98"/>
    <w:rsid w:val="00B50520"/>
    <w:rsid w:val="00B5544A"/>
    <w:rsid w:val="00B639E9"/>
    <w:rsid w:val="00B6598C"/>
    <w:rsid w:val="00B66F17"/>
    <w:rsid w:val="00B71863"/>
    <w:rsid w:val="00B7345F"/>
    <w:rsid w:val="00B77052"/>
    <w:rsid w:val="00B817CD"/>
    <w:rsid w:val="00B81D00"/>
    <w:rsid w:val="00B825BC"/>
    <w:rsid w:val="00B830CC"/>
    <w:rsid w:val="00B850F8"/>
    <w:rsid w:val="00B86916"/>
    <w:rsid w:val="00B87DA1"/>
    <w:rsid w:val="00B9105F"/>
    <w:rsid w:val="00B911B2"/>
    <w:rsid w:val="00B917E9"/>
    <w:rsid w:val="00B92195"/>
    <w:rsid w:val="00B92520"/>
    <w:rsid w:val="00B951D0"/>
    <w:rsid w:val="00B95DA2"/>
    <w:rsid w:val="00B97C6E"/>
    <w:rsid w:val="00BA231A"/>
    <w:rsid w:val="00BA2D00"/>
    <w:rsid w:val="00BA2FE8"/>
    <w:rsid w:val="00BB1F53"/>
    <w:rsid w:val="00BB29C8"/>
    <w:rsid w:val="00BB3A95"/>
    <w:rsid w:val="00BB42AD"/>
    <w:rsid w:val="00BB4491"/>
    <w:rsid w:val="00BB66DD"/>
    <w:rsid w:val="00BB6DD0"/>
    <w:rsid w:val="00BC00FB"/>
    <w:rsid w:val="00BC0382"/>
    <w:rsid w:val="00BC1DBF"/>
    <w:rsid w:val="00BC31AC"/>
    <w:rsid w:val="00BC401E"/>
    <w:rsid w:val="00BC6488"/>
    <w:rsid w:val="00BD0321"/>
    <w:rsid w:val="00BD11D6"/>
    <w:rsid w:val="00BD239D"/>
    <w:rsid w:val="00BD31E7"/>
    <w:rsid w:val="00BD50BD"/>
    <w:rsid w:val="00BD618D"/>
    <w:rsid w:val="00BD62C6"/>
    <w:rsid w:val="00BD6A5F"/>
    <w:rsid w:val="00BE34A3"/>
    <w:rsid w:val="00BE7042"/>
    <w:rsid w:val="00BE7870"/>
    <w:rsid w:val="00BF095D"/>
    <w:rsid w:val="00BF3618"/>
    <w:rsid w:val="00BF4F16"/>
    <w:rsid w:val="00BF65C9"/>
    <w:rsid w:val="00C0018F"/>
    <w:rsid w:val="00C02828"/>
    <w:rsid w:val="00C03779"/>
    <w:rsid w:val="00C05634"/>
    <w:rsid w:val="00C07B4E"/>
    <w:rsid w:val="00C10393"/>
    <w:rsid w:val="00C14872"/>
    <w:rsid w:val="00C14874"/>
    <w:rsid w:val="00C166D0"/>
    <w:rsid w:val="00C16D39"/>
    <w:rsid w:val="00C20466"/>
    <w:rsid w:val="00C214ED"/>
    <w:rsid w:val="00C227EF"/>
    <w:rsid w:val="00C234E6"/>
    <w:rsid w:val="00C24E20"/>
    <w:rsid w:val="00C324A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0894"/>
    <w:rsid w:val="00CC247A"/>
    <w:rsid w:val="00CC41F6"/>
    <w:rsid w:val="00CC5CD7"/>
    <w:rsid w:val="00CD2733"/>
    <w:rsid w:val="00CD2A68"/>
    <w:rsid w:val="00CD2BC1"/>
    <w:rsid w:val="00CD3139"/>
    <w:rsid w:val="00CD4117"/>
    <w:rsid w:val="00CD7BC2"/>
    <w:rsid w:val="00CD7EC4"/>
    <w:rsid w:val="00CE5ACA"/>
    <w:rsid w:val="00CE5E47"/>
    <w:rsid w:val="00CE7A25"/>
    <w:rsid w:val="00CF020F"/>
    <w:rsid w:val="00CF269A"/>
    <w:rsid w:val="00CF2A29"/>
    <w:rsid w:val="00CF2B5B"/>
    <w:rsid w:val="00CF33C0"/>
    <w:rsid w:val="00CF4A84"/>
    <w:rsid w:val="00D00E2A"/>
    <w:rsid w:val="00D0723D"/>
    <w:rsid w:val="00D10D23"/>
    <w:rsid w:val="00D12A27"/>
    <w:rsid w:val="00D14B56"/>
    <w:rsid w:val="00D14CE0"/>
    <w:rsid w:val="00D217E0"/>
    <w:rsid w:val="00D233CB"/>
    <w:rsid w:val="00D27D0F"/>
    <w:rsid w:val="00D33DC1"/>
    <w:rsid w:val="00D36333"/>
    <w:rsid w:val="00D42CDE"/>
    <w:rsid w:val="00D42FEE"/>
    <w:rsid w:val="00D44DE2"/>
    <w:rsid w:val="00D45A9C"/>
    <w:rsid w:val="00D53EAE"/>
    <w:rsid w:val="00D541E4"/>
    <w:rsid w:val="00D5651D"/>
    <w:rsid w:val="00D56836"/>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B1086"/>
    <w:rsid w:val="00DB2FB8"/>
    <w:rsid w:val="00DB4598"/>
    <w:rsid w:val="00DB4E0A"/>
    <w:rsid w:val="00DB6C72"/>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31B77"/>
    <w:rsid w:val="00E36E67"/>
    <w:rsid w:val="00E378D8"/>
    <w:rsid w:val="00E4021C"/>
    <w:rsid w:val="00E4059F"/>
    <w:rsid w:val="00E4165C"/>
    <w:rsid w:val="00E422AC"/>
    <w:rsid w:val="00E425D0"/>
    <w:rsid w:val="00E45D05"/>
    <w:rsid w:val="00E528F8"/>
    <w:rsid w:val="00E5442B"/>
    <w:rsid w:val="00E55816"/>
    <w:rsid w:val="00E55AEF"/>
    <w:rsid w:val="00E61442"/>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C45"/>
    <w:rsid w:val="00EC00DF"/>
    <w:rsid w:val="00EC0FC2"/>
    <w:rsid w:val="00EC3585"/>
    <w:rsid w:val="00EC6B65"/>
    <w:rsid w:val="00ED29AB"/>
    <w:rsid w:val="00ED335C"/>
    <w:rsid w:val="00ED44A8"/>
    <w:rsid w:val="00ED5AAF"/>
    <w:rsid w:val="00EE3198"/>
    <w:rsid w:val="00EE3C08"/>
    <w:rsid w:val="00EE4646"/>
    <w:rsid w:val="00EE67EC"/>
    <w:rsid w:val="00EF33D5"/>
    <w:rsid w:val="00EF481F"/>
    <w:rsid w:val="00EF4D25"/>
    <w:rsid w:val="00F000EA"/>
    <w:rsid w:val="00F02766"/>
    <w:rsid w:val="00F03EB7"/>
    <w:rsid w:val="00F04067"/>
    <w:rsid w:val="00F0520E"/>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2215"/>
    <w:rsid w:val="00F45892"/>
    <w:rsid w:val="00F53615"/>
    <w:rsid w:val="00F579D6"/>
    <w:rsid w:val="00F61818"/>
    <w:rsid w:val="00F623D9"/>
    <w:rsid w:val="00F64274"/>
    <w:rsid w:val="00F64DBC"/>
    <w:rsid w:val="00F659A6"/>
    <w:rsid w:val="00F65C19"/>
    <w:rsid w:val="00F6660F"/>
    <w:rsid w:val="00F66B3A"/>
    <w:rsid w:val="00F67276"/>
    <w:rsid w:val="00F7338B"/>
    <w:rsid w:val="00F7440E"/>
    <w:rsid w:val="00F76603"/>
    <w:rsid w:val="00F772D4"/>
    <w:rsid w:val="00F808C6"/>
    <w:rsid w:val="00F83F60"/>
    <w:rsid w:val="00F8476E"/>
    <w:rsid w:val="00F848EE"/>
    <w:rsid w:val="00F84DF8"/>
    <w:rsid w:val="00F91898"/>
    <w:rsid w:val="00F94FEF"/>
    <w:rsid w:val="00F969CC"/>
    <w:rsid w:val="00F971FB"/>
    <w:rsid w:val="00FA4CD4"/>
    <w:rsid w:val="00FA579C"/>
    <w:rsid w:val="00FA668B"/>
    <w:rsid w:val="00FB20E0"/>
    <w:rsid w:val="00FB34B9"/>
    <w:rsid w:val="00FC0BEF"/>
    <w:rsid w:val="00FC24DA"/>
    <w:rsid w:val="00FC4678"/>
    <w:rsid w:val="00FC6545"/>
    <w:rsid w:val="00FD0183"/>
    <w:rsid w:val="00FD037B"/>
    <w:rsid w:val="00FD2546"/>
    <w:rsid w:val="00FD4AF9"/>
    <w:rsid w:val="00FD772E"/>
    <w:rsid w:val="00FE3346"/>
    <w:rsid w:val="00FE3926"/>
    <w:rsid w:val="00FE48BE"/>
    <w:rsid w:val="00FE7205"/>
    <w:rsid w:val="00FE78C7"/>
    <w:rsid w:val="00FF21ED"/>
    <w:rsid w:val="00FF2A26"/>
    <w:rsid w:val="00FF3D55"/>
    <w:rsid w:val="00FF43AC"/>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B1DDD2B-189C-45BE-AE9C-2EE3A3BA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table" w:customStyle="1" w:styleId="GridTable4-Accent11">
    <w:name w:val="Grid Table 4 - Accent 11"/>
    <w:basedOn w:val="TableNormal"/>
    <w:uiPriority w:val="49"/>
    <w:rsid w:val="003F29D1"/>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PageNumber">
    <w:name w:val="page number"/>
    <w:basedOn w:val="DefaultParagraphFont"/>
    <w:rsid w:val="003F29D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wp-content/uploads/sites/29/2025/11/090-E.pdf" TargetMode="External"/><Relationship Id="rId18" Type="http://schemas.openxmlformats.org/officeDocument/2006/relationships/hyperlink" Target="https://www.itu.int/en/ITU-D/Conferences/TDAG/Pages/dashboards/2026/Operational-Plan-Reporting-Dashboard.aspx" TargetMode="External"/><Relationship Id="rId26" Type="http://schemas.openxmlformats.org/officeDocument/2006/relationships/footer" Target="footer1.xml"/><Relationship Id="rId39" Type="http://schemas.openxmlformats.org/officeDocument/2006/relationships/hyperlink" Target="https://www.itu.int/itu-d/meetings/rdf/home/rdf-2026/africa/home/" TargetMode="External"/><Relationship Id="rId21" Type="http://schemas.openxmlformats.org/officeDocument/2006/relationships/header" Target="header3.xml"/><Relationship Id="rId34" Type="http://schemas.openxmlformats.org/officeDocument/2006/relationships/hyperlink" Target="https://academy.itu.int/training-courses/full-catalogue/measuring-digital-development-ict-service-prices-data-collection" TargetMode="External"/><Relationship Id="rId42" Type="http://schemas.openxmlformats.org/officeDocument/2006/relationships/hyperlink" Target="https://www.itu.int/net4/ITU-D/CDS/sg/blkmeetings.asp?lg=1&amp;stg=&amp;sp=2026&amp;blk=29195" TargetMode="External"/><Relationship Id="rId47" Type="http://schemas.openxmlformats.org/officeDocument/2006/relationships/header" Target="header1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gif"/><Relationship Id="rId29" Type="http://schemas.openxmlformats.org/officeDocument/2006/relationships/hyperlink" Target="https://www.itu.int/itu-d/meetings/gsr-26/" TargetMode="Externa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hyperlink" Target="https://www.itu.int/itu-d/sites/projectumc/2026/02/25/umc-event-unsc2026/" TargetMode="External"/><Relationship Id="rId37" Type="http://schemas.openxmlformats.org/officeDocument/2006/relationships/header" Target="header10.xml"/><Relationship Id="rId40" Type="http://schemas.openxmlformats.org/officeDocument/2006/relationships/hyperlink" Target="https://www.itu.int/itu-d/meetings/rdf/home/rdf-2026/europe/home/" TargetMode="External"/><Relationship Id="rId45"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itu.int/en/ITU-D/Innovation/Documents/Publications/D-INNO-MALTA-2025-PDF-E.pdf" TargetMode="External"/><Relationship Id="rId28" Type="http://schemas.openxmlformats.org/officeDocument/2006/relationships/footer" Target="footer2.xml"/><Relationship Id="rId36" Type="http://schemas.openxmlformats.org/officeDocument/2006/relationships/header" Target="header9.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app.gen5.digital/unified-framework/about" TargetMode="External"/><Relationship Id="rId44"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d/meetings/wtdc25/wp-content/uploads/sites/29/2025/11/090-E.pdf"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hyperlink" Target="https://www.itu.int/en/ITU-D/Regulatory-Market/Pages/collaborative-regulation-country-reviews/default.aspx" TargetMode="External"/><Relationship Id="rId35" Type="http://schemas.openxmlformats.org/officeDocument/2006/relationships/header" Target="header8.xml"/><Relationship Id="rId43" Type="http://schemas.openxmlformats.org/officeDocument/2006/relationships/hyperlink" Target="https://www.itu.int/en/ITU-D/Study-Groups/2026-2029/Pages/default.aspx" TargetMode="External"/><Relationship Id="rId48" Type="http://schemas.openxmlformats.org/officeDocument/2006/relationships/header" Target="header1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D26-TDAG33-C-0002/es" TargetMode="External"/><Relationship Id="rId17" Type="http://schemas.openxmlformats.org/officeDocument/2006/relationships/image" Target="media/image4.emf"/><Relationship Id="rId25" Type="http://schemas.openxmlformats.org/officeDocument/2006/relationships/header" Target="header6.xml"/><Relationship Id="rId33" Type="http://schemas.openxmlformats.org/officeDocument/2006/relationships/hyperlink" Target="https://academy.itu.int/training-courses/full-catalogue/measuring-digital-development-ict-service-prices-data-collection" TargetMode="External"/><Relationship Id="rId38" Type="http://schemas.openxmlformats.org/officeDocument/2006/relationships/hyperlink" Target="https://www.itu.int/itu-d/sites/partnerships/home/partnerships/" TargetMode="External"/><Relationship Id="rId46" Type="http://schemas.openxmlformats.org/officeDocument/2006/relationships/header" Target="header13.xml"/><Relationship Id="rId20" Type="http://schemas.openxmlformats.org/officeDocument/2006/relationships/header" Target="header2.xml"/><Relationship Id="rId41" Type="http://schemas.openxmlformats.org/officeDocument/2006/relationships/hyperlink" Target="https://www.itu.int/net4/ITU-D/CDS/sg/blkmeetings.asp?lg=1&amp;stg=&amp;sp=2026&amp;blk=2919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Props1.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2.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3.xml><?xml version="1.0" encoding="utf-8"?>
<ds:datastoreItem xmlns:ds="http://schemas.openxmlformats.org/officeDocument/2006/customXml" ds:itemID="{8BE38F01-714C-463B-9700-C16DFC2B9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C67D6-CEFE-4AFE-8EC3-4585BFEF5BAE}">
  <ds:schemaRefs>
    <ds:schemaRef ds:uri="http://schemas.microsoft.com/office/infopath/2007/PartnerControls"/>
    <ds:schemaRef ds:uri="http://www.w3.org/XML/1998/namespace"/>
    <ds:schemaRef ds:uri="http://schemas.microsoft.com/office/2006/metadata/properties"/>
    <ds:schemaRef ds:uri="29399490-13b9-4c73-b71e-403b715b75a7"/>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d4ea696a-cca3-460b-a983-57ac262198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12400</Words>
  <Characters>71130</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
  <LinksUpToDate>false</LinksUpToDate>
  <CharactersWithSpaces>83364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Manias, Michel</dc:creator>
  <cp:lastModifiedBy>Spanish</cp:lastModifiedBy>
  <cp:revision>3</cp:revision>
  <cp:lastPrinted>2019-01-16T07:57:00Z</cp:lastPrinted>
  <dcterms:created xsi:type="dcterms:W3CDTF">2026-04-07T09:56:00Z</dcterms:created>
  <dcterms:modified xsi:type="dcterms:W3CDTF">2026-04-07T09:58:00Z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