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7.xml" ContentType="application/vnd.openxmlformats-officedocument.wordprocessingml.header+xml"/>
  <Override PartName="/word/footnotes.xml" ContentType="application/vnd.openxmlformats-officedocument.wordprocessingml.footnotes+xml"/>
  <Override PartName="/word/header17.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4A0" w:firstRow="1" w:lastRow="0" w:firstColumn="1" w:lastColumn="0" w:noHBand="0" w:noVBand="1"/>
      </w:tblPr>
      <w:tblGrid>
        <w:gridCol w:w="6376"/>
        <w:gridCol w:w="3655"/>
      </w:tblGrid>
      <w:tr w:rsidR="00521A20" w14:paraId="5736F9B6" w14:textId="77777777" w:rsidTr="00713809">
        <w:trPr>
          <w:cantSplit/>
          <w:trHeight w:val="1134"/>
        </w:trPr>
        <w:tc>
          <w:tcPr>
            <w:tcW w:w="6376" w:type="dxa"/>
          </w:tcPr>
          <w:p w14:paraId="34B2B704" w14:textId="77777777" w:rsidR="00521A20" w:rsidRDefault="00BB475A">
            <w:pPr>
              <w:ind w:left="34"/>
              <w:rPr>
                <w:b/>
                <w:bCs/>
                <w:sz w:val="32"/>
                <w:szCs w:val="32"/>
                <w:lang w:eastAsia="zh-CN"/>
              </w:rPr>
            </w:pPr>
            <w:r>
              <w:rPr>
                <w:rFonts w:ascii="Calibri" w:hAnsi="Calibri" w:hint="eastAsia"/>
                <w:b/>
                <w:bCs/>
                <w:sz w:val="32"/>
                <w:szCs w:val="32"/>
                <w:lang w:eastAsia="zh-CN"/>
              </w:rPr>
              <w:t>电信发展顾问组（</w:t>
            </w:r>
            <w:r>
              <w:rPr>
                <w:rFonts w:ascii="Calibri" w:hAnsi="Calibri"/>
                <w:b/>
                <w:bCs/>
                <w:sz w:val="32"/>
                <w:szCs w:val="32"/>
                <w:lang w:eastAsia="zh-CN"/>
              </w:rPr>
              <w:t>TDAG</w:t>
            </w:r>
            <w:r>
              <w:rPr>
                <w:rFonts w:ascii="Calibri" w:hAnsi="Calibri" w:hint="eastAsia"/>
                <w:b/>
                <w:bCs/>
                <w:sz w:val="32"/>
                <w:szCs w:val="32"/>
                <w:lang w:eastAsia="zh-CN"/>
              </w:rPr>
              <w:t>）</w:t>
            </w:r>
          </w:p>
          <w:p w14:paraId="2DCF59CB" w14:textId="77777777" w:rsidR="00521A20" w:rsidRDefault="00BB475A">
            <w:pPr>
              <w:tabs>
                <w:tab w:val="clear" w:pos="1134"/>
              </w:tabs>
              <w:spacing w:after="48" w:line="240" w:lineRule="atLeast"/>
              <w:ind w:left="34"/>
              <w:rPr>
                <w:b/>
                <w:bCs/>
                <w:sz w:val="28"/>
                <w:szCs w:val="28"/>
                <w:lang w:eastAsia="zh-CN"/>
              </w:rPr>
            </w:pPr>
            <w:r>
              <w:rPr>
                <w:rFonts w:ascii="Calibri" w:hAnsi="Calibri" w:hint="eastAsia"/>
                <w:b/>
                <w:bCs/>
                <w:sz w:val="26"/>
                <w:szCs w:val="26"/>
                <w:lang w:eastAsia="zh-CN"/>
              </w:rPr>
              <w:t>第</w:t>
            </w:r>
            <w:r>
              <w:rPr>
                <w:rFonts w:ascii="Calibri" w:hAnsi="Calibri"/>
                <w:b/>
                <w:bCs/>
                <w:sz w:val="26"/>
                <w:szCs w:val="26"/>
                <w:lang w:eastAsia="zh-CN"/>
              </w:rPr>
              <w:t>33</w:t>
            </w:r>
            <w:r>
              <w:rPr>
                <w:rFonts w:ascii="Calibri" w:hAnsi="Calibri" w:hint="eastAsia"/>
                <w:b/>
                <w:bCs/>
                <w:sz w:val="26"/>
                <w:szCs w:val="26"/>
                <w:lang w:eastAsia="zh-CN"/>
              </w:rPr>
              <w:t>次会议，</w:t>
            </w:r>
            <w:r>
              <w:rPr>
                <w:rFonts w:ascii="Calibri" w:hAnsi="Calibri"/>
                <w:b/>
                <w:bCs/>
                <w:sz w:val="26"/>
                <w:szCs w:val="26"/>
                <w:lang w:eastAsia="zh-CN"/>
              </w:rPr>
              <w:t>2026</w:t>
            </w:r>
            <w:r>
              <w:rPr>
                <w:rFonts w:ascii="Calibri" w:hAnsi="Calibri" w:hint="eastAsia"/>
                <w:b/>
                <w:bCs/>
                <w:sz w:val="26"/>
                <w:szCs w:val="26"/>
                <w:lang w:eastAsia="zh-CN"/>
              </w:rPr>
              <w:t>年</w:t>
            </w:r>
            <w:r>
              <w:rPr>
                <w:rFonts w:ascii="Calibri" w:hAnsi="Calibri"/>
                <w:b/>
                <w:bCs/>
                <w:sz w:val="26"/>
                <w:szCs w:val="26"/>
                <w:lang w:eastAsia="zh-CN"/>
              </w:rPr>
              <w:t>4</w:t>
            </w:r>
            <w:r>
              <w:rPr>
                <w:rFonts w:ascii="Calibri" w:hAnsi="Calibri" w:hint="eastAsia"/>
                <w:b/>
                <w:bCs/>
                <w:sz w:val="26"/>
                <w:szCs w:val="26"/>
                <w:lang w:eastAsia="zh-CN"/>
              </w:rPr>
              <w:t>月</w:t>
            </w:r>
            <w:r>
              <w:rPr>
                <w:rFonts w:ascii="Calibri" w:hAnsi="Calibri"/>
                <w:b/>
                <w:bCs/>
                <w:sz w:val="26"/>
                <w:szCs w:val="26"/>
                <w:lang w:eastAsia="zh-CN"/>
              </w:rPr>
              <w:t>7-</w:t>
            </w:r>
            <w:r>
              <w:rPr>
                <w:rFonts w:ascii="Calibri" w:hAnsi="Calibri" w:hint="eastAsia"/>
                <w:b/>
                <w:bCs/>
                <w:sz w:val="26"/>
                <w:szCs w:val="26"/>
                <w:lang w:eastAsia="zh-CN"/>
              </w:rPr>
              <w:t>1</w:t>
            </w:r>
            <w:r>
              <w:rPr>
                <w:rFonts w:ascii="Calibri" w:hAnsi="Calibri"/>
                <w:b/>
                <w:bCs/>
                <w:sz w:val="26"/>
                <w:szCs w:val="26"/>
                <w:lang w:eastAsia="zh-CN"/>
              </w:rPr>
              <w:t>0</w:t>
            </w:r>
            <w:r>
              <w:rPr>
                <w:rFonts w:ascii="Calibri" w:hAnsi="Calibri" w:hint="eastAsia"/>
                <w:b/>
                <w:bCs/>
                <w:sz w:val="26"/>
                <w:szCs w:val="26"/>
                <w:lang w:eastAsia="zh-CN"/>
              </w:rPr>
              <w:t>日，瑞士日内瓦</w:t>
            </w:r>
          </w:p>
        </w:tc>
        <w:tc>
          <w:tcPr>
            <w:tcW w:w="3655" w:type="dxa"/>
          </w:tcPr>
          <w:p w14:paraId="06B48AA1" w14:textId="77777777" w:rsidR="00521A20" w:rsidRDefault="00BB475A">
            <w:pPr>
              <w:spacing w:line="240" w:lineRule="atLeast"/>
              <w:jc w:val="right"/>
              <w:rPr>
                <w:rFonts w:cstheme="minorHAnsi"/>
              </w:rPr>
            </w:pPr>
            <w:bookmarkStart w:id="0" w:name="ditulogo"/>
            <w:bookmarkEnd w:id="0"/>
            <w:r>
              <w:rPr>
                <w:noProof/>
                <w:lang w:val="en-US" w:eastAsia="zh-CN"/>
              </w:rPr>
              <w:drawing>
                <wp:inline distT="0" distB="0" distL="0" distR="0" wp14:anchorId="79FFF098" wp14:editId="6ABDF971">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521A20" w14:paraId="6DE5ABA3" w14:textId="77777777" w:rsidTr="00713809">
        <w:trPr>
          <w:cantSplit/>
        </w:trPr>
        <w:tc>
          <w:tcPr>
            <w:tcW w:w="6376" w:type="dxa"/>
            <w:tcBorders>
              <w:top w:val="single" w:sz="12" w:space="0" w:color="auto"/>
            </w:tcBorders>
          </w:tcPr>
          <w:p w14:paraId="73168FEF" w14:textId="77777777" w:rsidR="00521A20" w:rsidRDefault="00521A20">
            <w:pPr>
              <w:spacing w:before="0" w:after="48" w:line="240" w:lineRule="atLeast"/>
              <w:rPr>
                <w:rFonts w:cstheme="minorHAnsi"/>
                <w:b/>
                <w:smallCaps/>
                <w:sz w:val="20"/>
              </w:rPr>
            </w:pPr>
            <w:bookmarkStart w:id="1" w:name="dhead"/>
          </w:p>
        </w:tc>
        <w:tc>
          <w:tcPr>
            <w:tcW w:w="3655" w:type="dxa"/>
            <w:tcBorders>
              <w:top w:val="single" w:sz="12" w:space="0" w:color="auto"/>
            </w:tcBorders>
          </w:tcPr>
          <w:p w14:paraId="439CB557" w14:textId="77777777" w:rsidR="00521A20" w:rsidRDefault="00521A20">
            <w:pPr>
              <w:spacing w:before="0" w:line="240" w:lineRule="atLeast"/>
              <w:rPr>
                <w:rFonts w:cstheme="minorHAnsi"/>
                <w:sz w:val="20"/>
              </w:rPr>
            </w:pPr>
          </w:p>
        </w:tc>
      </w:tr>
      <w:tr w:rsidR="00521A20" w14:paraId="02BC550A" w14:textId="77777777" w:rsidTr="00713809">
        <w:trPr>
          <w:cantSplit/>
          <w:trHeight w:val="23"/>
        </w:trPr>
        <w:tc>
          <w:tcPr>
            <w:tcW w:w="6376" w:type="dxa"/>
          </w:tcPr>
          <w:p w14:paraId="1EF66EAC" w14:textId="77777777" w:rsidR="00521A20" w:rsidRDefault="00521A20">
            <w:pPr>
              <w:pStyle w:val="Committee"/>
              <w:framePr w:hSpace="0" w:wrap="auto" w:hAnchor="text" w:yAlign="inline"/>
            </w:pPr>
            <w:bookmarkStart w:id="2" w:name="dmeeting" w:colFirst="0" w:colLast="0"/>
            <w:bookmarkStart w:id="3" w:name="dnum" w:colFirst="1" w:colLast="1"/>
            <w:bookmarkEnd w:id="1"/>
          </w:p>
        </w:tc>
        <w:tc>
          <w:tcPr>
            <w:tcW w:w="3655" w:type="dxa"/>
          </w:tcPr>
          <w:p w14:paraId="6F008A08" w14:textId="570140A9" w:rsidR="00521A20" w:rsidRDefault="00BB475A">
            <w:pPr>
              <w:tabs>
                <w:tab w:val="left" w:pos="851"/>
              </w:tabs>
              <w:spacing w:before="0" w:line="240" w:lineRule="atLeast"/>
              <w:rPr>
                <w:rFonts w:cstheme="minorHAnsi"/>
                <w:szCs w:val="24"/>
              </w:rPr>
            </w:pPr>
            <w:proofErr w:type="spellStart"/>
            <w:r>
              <w:rPr>
                <w:rFonts w:ascii="Calibri" w:hAnsi="Calibri" w:hint="eastAsia"/>
                <w:b/>
                <w:bCs/>
                <w:lang w:val="en-US"/>
              </w:rPr>
              <w:t>文件</w:t>
            </w:r>
            <w:proofErr w:type="spellEnd"/>
            <w:r>
              <w:rPr>
                <w:rFonts w:ascii="Calibri" w:hAnsi="Calibri"/>
                <w:b/>
                <w:bCs/>
                <w:lang w:val="en-US"/>
              </w:rPr>
              <w:t xml:space="preserve"> </w:t>
            </w:r>
            <w:bookmarkStart w:id="4" w:name="DocRef1"/>
            <w:bookmarkEnd w:id="4"/>
            <w:r>
              <w:rPr>
                <w:rFonts w:ascii="Calibri" w:hAnsi="Calibri"/>
                <w:b/>
                <w:bCs/>
                <w:lang w:val="en-US"/>
              </w:rPr>
              <w:t>TDAG-2</w:t>
            </w:r>
            <w:bookmarkStart w:id="5" w:name="DocNo1"/>
            <w:bookmarkEnd w:id="5"/>
            <w:r>
              <w:rPr>
                <w:rFonts w:ascii="Calibri" w:hAnsi="Calibri"/>
                <w:b/>
                <w:bCs/>
                <w:lang w:val="en-US" w:eastAsia="zh-CN"/>
              </w:rPr>
              <w:t>6</w:t>
            </w:r>
            <w:r>
              <w:rPr>
                <w:rFonts w:ascii="Calibri" w:hAnsi="Calibri"/>
                <w:b/>
                <w:bCs/>
                <w:lang w:val="en-US"/>
              </w:rPr>
              <w:t>/</w:t>
            </w:r>
            <w:r>
              <w:rPr>
                <w:rFonts w:ascii="Calibri" w:hAnsi="Calibri" w:hint="eastAsia"/>
                <w:b/>
                <w:bCs/>
                <w:lang w:val="en-US" w:eastAsia="zh-CN"/>
              </w:rPr>
              <w:t>2(Add.</w:t>
            </w:r>
            <w:proofErr w:type="gramStart"/>
            <w:r>
              <w:rPr>
                <w:rFonts w:ascii="Calibri" w:hAnsi="Calibri" w:hint="eastAsia"/>
                <w:b/>
                <w:bCs/>
                <w:lang w:val="en-US" w:eastAsia="zh-CN"/>
              </w:rPr>
              <w:t>2)(</w:t>
            </w:r>
            <w:proofErr w:type="gramEnd"/>
            <w:r>
              <w:rPr>
                <w:rFonts w:ascii="Calibri" w:hAnsi="Calibri" w:hint="eastAsia"/>
                <w:b/>
                <w:bCs/>
                <w:lang w:val="en-US" w:eastAsia="zh-CN"/>
              </w:rPr>
              <w:t>Rev.</w:t>
            </w:r>
            <w:r w:rsidR="00671D93">
              <w:rPr>
                <w:rFonts w:ascii="Calibri" w:hAnsi="Calibri"/>
                <w:b/>
                <w:bCs/>
                <w:lang w:val="en-US" w:eastAsia="zh-CN"/>
              </w:rPr>
              <w:t>2</w:t>
            </w:r>
            <w:r>
              <w:rPr>
                <w:rFonts w:ascii="Calibri" w:hAnsi="Calibri" w:hint="eastAsia"/>
                <w:b/>
                <w:bCs/>
                <w:lang w:val="en-US" w:eastAsia="zh-CN"/>
              </w:rPr>
              <w:t>)</w:t>
            </w:r>
            <w:r>
              <w:rPr>
                <w:rFonts w:ascii="Calibri" w:hAnsi="Calibri"/>
                <w:b/>
                <w:bCs/>
                <w:lang w:val="en-US"/>
              </w:rPr>
              <w:t>-</w:t>
            </w:r>
            <w:r>
              <w:rPr>
                <w:rFonts w:ascii="Calibri" w:hAnsi="Calibri" w:hint="eastAsia"/>
                <w:b/>
                <w:bCs/>
                <w:lang w:val="en-US" w:eastAsia="zh-CN"/>
              </w:rPr>
              <w:t>C</w:t>
            </w:r>
          </w:p>
        </w:tc>
      </w:tr>
      <w:tr w:rsidR="00521A20" w14:paraId="55AD5FBA" w14:textId="77777777" w:rsidTr="00713809">
        <w:trPr>
          <w:cantSplit/>
          <w:trHeight w:val="23"/>
        </w:trPr>
        <w:tc>
          <w:tcPr>
            <w:tcW w:w="6376" w:type="dxa"/>
          </w:tcPr>
          <w:p w14:paraId="0E170520" w14:textId="77777777" w:rsidR="00521A20" w:rsidRDefault="00521A20">
            <w:pPr>
              <w:tabs>
                <w:tab w:val="left" w:pos="851"/>
              </w:tabs>
              <w:spacing w:before="0" w:line="240" w:lineRule="atLeast"/>
              <w:rPr>
                <w:rFonts w:cstheme="minorHAnsi"/>
                <w:b/>
                <w:szCs w:val="24"/>
              </w:rPr>
            </w:pPr>
            <w:bookmarkStart w:id="6" w:name="dblank" w:colFirst="0" w:colLast="0"/>
            <w:bookmarkStart w:id="7" w:name="ddate" w:colFirst="1" w:colLast="1"/>
            <w:bookmarkEnd w:id="2"/>
            <w:bookmarkEnd w:id="3"/>
          </w:p>
        </w:tc>
        <w:tc>
          <w:tcPr>
            <w:tcW w:w="3655" w:type="dxa"/>
          </w:tcPr>
          <w:p w14:paraId="242C61B7" w14:textId="1EE60815" w:rsidR="00521A20" w:rsidRDefault="00BB475A">
            <w:pPr>
              <w:spacing w:before="0" w:line="240" w:lineRule="atLeast"/>
              <w:rPr>
                <w:rFonts w:cstheme="minorHAnsi"/>
                <w:szCs w:val="24"/>
                <w:lang w:val="en-US"/>
              </w:rPr>
            </w:pPr>
            <w:r>
              <w:rPr>
                <w:rFonts w:ascii="Calibri" w:hAnsi="Calibri"/>
                <w:b/>
                <w:bCs/>
                <w:szCs w:val="28"/>
              </w:rPr>
              <w:t>2026</w:t>
            </w:r>
            <w:r>
              <w:rPr>
                <w:rFonts w:ascii="SimSun" w:hAnsi="SimSun" w:hint="eastAsia"/>
                <w:b/>
                <w:bCs/>
                <w:szCs w:val="28"/>
                <w:lang w:eastAsia="zh-CN"/>
              </w:rPr>
              <w:t>年</w:t>
            </w:r>
            <w:r>
              <w:rPr>
                <w:rFonts w:ascii="Calibri" w:hAnsi="Calibri" w:hint="eastAsia"/>
                <w:b/>
                <w:bCs/>
                <w:szCs w:val="28"/>
                <w:lang w:val="en-US" w:eastAsia="zh-CN"/>
              </w:rPr>
              <w:t>4</w:t>
            </w:r>
            <w:r>
              <w:rPr>
                <w:rFonts w:ascii="SimSun" w:hAnsi="SimSun" w:hint="eastAsia"/>
                <w:b/>
                <w:bCs/>
                <w:szCs w:val="28"/>
                <w:lang w:eastAsia="zh-CN"/>
              </w:rPr>
              <w:t>月</w:t>
            </w:r>
            <w:r w:rsidR="00671D93">
              <w:rPr>
                <w:rFonts w:ascii="Calibri" w:hAnsi="Calibri"/>
                <w:b/>
                <w:bCs/>
                <w:szCs w:val="28"/>
                <w:lang w:val="en-US" w:eastAsia="zh-CN"/>
              </w:rPr>
              <w:t>6</w:t>
            </w:r>
            <w:r>
              <w:rPr>
                <w:rFonts w:ascii="SimSun" w:hAnsi="SimSun" w:hint="eastAsia"/>
                <w:b/>
                <w:bCs/>
                <w:szCs w:val="28"/>
                <w:lang w:eastAsia="zh-CN"/>
              </w:rPr>
              <w:t>日</w:t>
            </w:r>
          </w:p>
        </w:tc>
      </w:tr>
      <w:bookmarkEnd w:id="6"/>
      <w:bookmarkEnd w:id="7"/>
      <w:tr w:rsidR="00521A20" w14:paraId="07260C0B" w14:textId="77777777" w:rsidTr="00713809">
        <w:trPr>
          <w:cantSplit/>
          <w:trHeight w:val="23"/>
        </w:trPr>
        <w:tc>
          <w:tcPr>
            <w:tcW w:w="6376" w:type="dxa"/>
          </w:tcPr>
          <w:p w14:paraId="773E4FE3" w14:textId="77777777" w:rsidR="00521A20" w:rsidRDefault="00521A20">
            <w:pPr>
              <w:tabs>
                <w:tab w:val="left" w:pos="851"/>
              </w:tabs>
              <w:spacing w:before="0" w:line="240" w:lineRule="atLeast"/>
              <w:rPr>
                <w:rFonts w:cstheme="minorHAnsi"/>
                <w:szCs w:val="24"/>
              </w:rPr>
            </w:pPr>
          </w:p>
        </w:tc>
        <w:tc>
          <w:tcPr>
            <w:tcW w:w="3655" w:type="dxa"/>
          </w:tcPr>
          <w:p w14:paraId="2C8BB831" w14:textId="77777777" w:rsidR="00521A20" w:rsidRDefault="00BB475A">
            <w:pPr>
              <w:tabs>
                <w:tab w:val="left" w:pos="993"/>
              </w:tabs>
              <w:spacing w:before="0"/>
              <w:rPr>
                <w:rFonts w:cstheme="minorHAnsi"/>
                <w:b/>
                <w:szCs w:val="24"/>
              </w:rPr>
            </w:pPr>
            <w:r>
              <w:rPr>
                <w:rFonts w:ascii="Calibri" w:hAnsi="Calibri" w:hint="eastAsia"/>
                <w:b/>
                <w:lang w:eastAsia="zh-CN"/>
              </w:rPr>
              <w:t>原文：英文</w:t>
            </w:r>
          </w:p>
        </w:tc>
      </w:tr>
      <w:tr w:rsidR="00521A20" w14:paraId="7A5CDA81" w14:textId="77777777">
        <w:trPr>
          <w:cantSplit/>
          <w:trHeight w:val="23"/>
        </w:trPr>
        <w:tc>
          <w:tcPr>
            <w:tcW w:w="10031" w:type="dxa"/>
            <w:gridSpan w:val="2"/>
          </w:tcPr>
          <w:p w14:paraId="1A02D973" w14:textId="77777777" w:rsidR="00521A20" w:rsidRDefault="00BB475A">
            <w:pPr>
              <w:pStyle w:val="Source"/>
              <w:spacing w:before="240" w:after="240"/>
              <w:rPr>
                <w:rFonts w:ascii="Calibri" w:hAnsi="Calibri" w:cs="Calibri"/>
                <w:lang w:eastAsia="zh-CN"/>
              </w:rPr>
            </w:pPr>
            <w:bookmarkStart w:id="8" w:name="dorlang" w:colFirst="1" w:colLast="1"/>
            <w:bookmarkStart w:id="9" w:name="dbluepink" w:colFirst="0" w:colLast="0"/>
            <w:proofErr w:type="spellStart"/>
            <w:r>
              <w:rPr>
                <w:rFonts w:ascii="Calibri" w:hAnsi="Calibri" w:cs="Calibri"/>
              </w:rPr>
              <w:t>电信发展局主任</w:t>
            </w:r>
            <w:proofErr w:type="spellEnd"/>
          </w:p>
        </w:tc>
      </w:tr>
      <w:tr w:rsidR="00521A20" w14:paraId="06BE7A84" w14:textId="77777777">
        <w:trPr>
          <w:cantSplit/>
          <w:trHeight w:val="23"/>
        </w:trPr>
        <w:tc>
          <w:tcPr>
            <w:tcW w:w="10031" w:type="dxa"/>
            <w:gridSpan w:val="2"/>
            <w:vAlign w:val="center"/>
          </w:tcPr>
          <w:p w14:paraId="57377CE0" w14:textId="77777777" w:rsidR="00521A20" w:rsidRDefault="00BB475A">
            <w:pPr>
              <w:pStyle w:val="Title1"/>
              <w:spacing w:before="120" w:after="120"/>
              <w:rPr>
                <w:rFonts w:ascii="Calibri" w:hAnsi="Calibri" w:cs="Calibri"/>
                <w:caps w:val="0"/>
                <w:lang w:eastAsia="zh-CN"/>
              </w:rPr>
            </w:pPr>
            <w:r>
              <w:rPr>
                <w:rFonts w:ascii="Calibri" w:hAnsi="Calibri" w:cs="Calibri"/>
                <w:lang w:eastAsia="zh-CN"/>
              </w:rPr>
              <w:t>落实《巴库行动计划》（</w:t>
            </w:r>
            <w:r>
              <w:rPr>
                <w:rFonts w:ascii="Calibri" w:hAnsi="Calibri" w:cs="Calibri"/>
                <w:lang w:eastAsia="zh-CN"/>
              </w:rPr>
              <w:t>BAP</w:t>
            </w:r>
            <w:r>
              <w:rPr>
                <w:rFonts w:ascii="Calibri" w:hAnsi="Calibri" w:cs="Calibri"/>
                <w:lang w:eastAsia="zh-CN"/>
              </w:rPr>
              <w:t>）的影响框架</w:t>
            </w:r>
          </w:p>
        </w:tc>
      </w:tr>
      <w:tr w:rsidR="00521A20" w14:paraId="3886F53F" w14:textId="77777777">
        <w:trPr>
          <w:cantSplit/>
          <w:trHeight w:val="23"/>
        </w:trPr>
        <w:tc>
          <w:tcPr>
            <w:tcW w:w="10031" w:type="dxa"/>
            <w:gridSpan w:val="2"/>
            <w:tcBorders>
              <w:bottom w:val="single" w:sz="4" w:space="0" w:color="auto"/>
            </w:tcBorders>
          </w:tcPr>
          <w:p w14:paraId="546EC4F6" w14:textId="77777777" w:rsidR="00521A20" w:rsidRDefault="00521A20">
            <w:pPr>
              <w:pStyle w:val="Title1"/>
              <w:spacing w:before="120" w:after="120"/>
              <w:jc w:val="left"/>
              <w:rPr>
                <w:rFonts w:cs="Times New Roman Bold"/>
                <w:caps w:val="0"/>
                <w:szCs w:val="28"/>
                <w:lang w:eastAsia="zh-CN"/>
              </w:rPr>
            </w:pPr>
          </w:p>
        </w:tc>
      </w:tr>
      <w:tr w:rsidR="00521A20" w14:paraId="6F91CCE0" w14:textId="77777777">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C7B5099" w14:textId="77777777" w:rsidR="00521A20" w:rsidRDefault="00BB475A">
            <w:pPr>
              <w:rPr>
                <w:b/>
                <w:bCs/>
                <w:szCs w:val="24"/>
                <w:lang w:eastAsia="zh-CN"/>
              </w:rPr>
            </w:pPr>
            <w:r>
              <w:rPr>
                <w:rFonts w:asciiTheme="minorEastAsia" w:eastAsiaTheme="minorEastAsia" w:hAnsiTheme="minorEastAsia" w:hint="eastAsia"/>
                <w:b/>
                <w:bCs/>
                <w:szCs w:val="24"/>
                <w:lang w:eastAsia="zh-CN"/>
              </w:rPr>
              <w:t>摘要：</w:t>
            </w:r>
          </w:p>
          <w:p w14:paraId="11CFC7D7" w14:textId="6EC6DE26" w:rsidR="00521A20" w:rsidRDefault="00BB475A">
            <w:pPr>
              <w:ind w:firstLineChars="200" w:firstLine="480"/>
              <w:rPr>
                <w:rFonts w:ascii="Calibri" w:hAnsi="Calibri" w:cs="Calibri"/>
                <w:lang w:eastAsia="zh-CN"/>
              </w:rPr>
            </w:pPr>
            <w:r>
              <w:rPr>
                <w:rFonts w:ascii="Calibri" w:hAnsi="Calibri" w:cs="Calibri"/>
                <w:lang w:eastAsia="zh-CN"/>
              </w:rPr>
              <w:t>本文件提出了落实《巴库行动计划》（</w:t>
            </w:r>
            <w:r>
              <w:rPr>
                <w:rFonts w:ascii="Calibri" w:hAnsi="Calibri" w:cs="Calibri"/>
                <w:lang w:eastAsia="zh-CN"/>
              </w:rPr>
              <w:t>BAP</w:t>
            </w:r>
            <w:r>
              <w:rPr>
                <w:rFonts w:ascii="Calibri" w:hAnsi="Calibri" w:cs="Calibri"/>
                <w:lang w:eastAsia="zh-CN"/>
              </w:rPr>
              <w:t>）的影响框架，涵盖了国际电</w:t>
            </w:r>
            <w:proofErr w:type="gramStart"/>
            <w:r>
              <w:rPr>
                <w:rFonts w:ascii="Calibri" w:hAnsi="Calibri" w:cs="Calibri"/>
                <w:lang w:eastAsia="zh-CN"/>
              </w:rPr>
              <w:t>联电信</w:t>
            </w:r>
            <w:proofErr w:type="gramEnd"/>
            <w:r>
              <w:rPr>
                <w:rFonts w:ascii="Calibri" w:hAnsi="Calibri" w:cs="Calibri"/>
                <w:lang w:eastAsia="zh-CN"/>
              </w:rPr>
              <w:t>发展部门（</w:t>
            </w:r>
            <w:r>
              <w:rPr>
                <w:rFonts w:ascii="Calibri" w:hAnsi="Calibri" w:cs="Calibri"/>
                <w:lang w:eastAsia="zh-CN"/>
              </w:rPr>
              <w:t>ITU-D</w:t>
            </w:r>
            <w:r>
              <w:rPr>
                <w:rFonts w:ascii="Calibri" w:hAnsi="Calibri" w:cs="Calibri"/>
                <w:lang w:eastAsia="zh-CN"/>
              </w:rPr>
              <w:t>）重点工作、预期成果、推动因素、拟交付的产品和服务以及一系列成果指标。本文件还阐述了</w:t>
            </w:r>
            <w:r>
              <w:rPr>
                <w:rFonts w:ascii="Calibri" w:hAnsi="Calibri" w:cs="Calibri"/>
                <w:lang w:eastAsia="zh-CN"/>
              </w:rPr>
              <w:t>ITU-D 2026</w:t>
            </w:r>
            <w:r>
              <w:rPr>
                <w:rFonts w:ascii="Calibri" w:hAnsi="Calibri" w:cs="Calibri"/>
                <w:lang w:eastAsia="zh-CN"/>
              </w:rPr>
              <w:t>年运作规划（</w:t>
            </w:r>
            <w:r>
              <w:rPr>
                <w:rFonts w:ascii="Calibri" w:hAnsi="Calibri" w:cs="Calibri"/>
                <w:lang w:eastAsia="zh-CN"/>
              </w:rPr>
              <w:t>OP-26</w:t>
            </w:r>
            <w:r>
              <w:rPr>
                <w:rFonts w:ascii="Calibri" w:hAnsi="Calibri" w:cs="Calibri"/>
                <w:lang w:eastAsia="zh-CN"/>
              </w:rPr>
              <w:t>）</w:t>
            </w:r>
            <w:r>
              <w:rPr>
                <w:rFonts w:ascii="Calibri" w:hAnsi="Calibri" w:cs="Calibri" w:hint="eastAsia"/>
                <w:lang w:eastAsia="zh-CN"/>
              </w:rPr>
              <w:t>，</w:t>
            </w:r>
            <w:r>
              <w:rPr>
                <w:rFonts w:ascii="Calibri" w:hAnsi="Calibri" w:cs="Calibri"/>
                <w:lang w:eastAsia="zh-CN"/>
              </w:rPr>
              <w:t>ITU-D</w:t>
            </w:r>
            <w:r>
              <w:rPr>
                <w:rFonts w:ascii="Calibri" w:hAnsi="Calibri" w:cs="Calibri"/>
                <w:lang w:eastAsia="zh-CN"/>
              </w:rPr>
              <w:t>重点工作和推动因素下的资金划分方案</w:t>
            </w:r>
            <w:r>
              <w:rPr>
                <w:rFonts w:ascii="Calibri" w:hAnsi="Calibri" w:cs="Calibri" w:hint="eastAsia"/>
                <w:lang w:eastAsia="zh-CN"/>
              </w:rPr>
              <w:t>，</w:t>
            </w:r>
            <w:r>
              <w:rPr>
                <w:rFonts w:ascii="Calibri" w:hAnsi="Calibri" w:cs="Calibri" w:hint="eastAsia"/>
                <w:lang w:val="en-US" w:eastAsia="zh-CN"/>
              </w:rPr>
              <w:t>以及</w:t>
            </w:r>
            <w:r>
              <w:rPr>
                <w:rFonts w:ascii="Calibri" w:hAnsi="Calibri" w:cs="Calibri" w:hint="eastAsia"/>
                <w:lang w:val="en-US" w:eastAsia="zh-CN"/>
              </w:rPr>
              <w:t>2026</w:t>
            </w:r>
            <w:r>
              <w:rPr>
                <w:rFonts w:ascii="Calibri" w:hAnsi="Calibri" w:cs="Calibri" w:hint="eastAsia"/>
                <w:lang w:val="en-US" w:eastAsia="zh-CN"/>
              </w:rPr>
              <w:t>年</w:t>
            </w:r>
            <w:r>
              <w:rPr>
                <w:rFonts w:ascii="Calibri" w:hAnsi="Calibri" w:cs="Calibri" w:hint="eastAsia"/>
                <w:lang w:val="en-US" w:eastAsia="zh-CN"/>
              </w:rPr>
              <w:t>1</w:t>
            </w:r>
            <w:r>
              <w:rPr>
                <w:rFonts w:ascii="Calibri" w:hAnsi="Calibri" w:cs="Calibri" w:hint="eastAsia"/>
                <w:lang w:val="en-US" w:eastAsia="zh-CN"/>
              </w:rPr>
              <w:t>月至</w:t>
            </w:r>
            <w:r>
              <w:rPr>
                <w:rFonts w:ascii="Calibri" w:hAnsi="Calibri" w:cs="Calibri" w:hint="eastAsia"/>
                <w:lang w:val="en-US" w:eastAsia="zh-CN"/>
              </w:rPr>
              <w:t>3</w:t>
            </w:r>
            <w:r>
              <w:rPr>
                <w:rFonts w:ascii="Calibri" w:hAnsi="Calibri" w:cs="Calibri" w:hint="eastAsia"/>
                <w:lang w:val="en-US" w:eastAsia="zh-CN"/>
              </w:rPr>
              <w:t>月《巴库行动计划》的关键实施亮点</w:t>
            </w:r>
            <w:r>
              <w:rPr>
                <w:rFonts w:ascii="Calibri" w:hAnsi="Calibri" w:cs="Calibri"/>
                <w:lang w:eastAsia="zh-CN"/>
              </w:rPr>
              <w:t>。</w:t>
            </w:r>
          </w:p>
          <w:p w14:paraId="6B3236CE" w14:textId="77777777" w:rsidR="00521A20" w:rsidRDefault="00BB475A">
            <w:pPr>
              <w:rPr>
                <w:b/>
                <w:bCs/>
                <w:szCs w:val="24"/>
                <w:lang w:eastAsia="zh-CN"/>
              </w:rPr>
            </w:pPr>
            <w:r>
              <w:rPr>
                <w:rFonts w:asciiTheme="minorEastAsia" w:eastAsiaTheme="minorEastAsia" w:hAnsiTheme="minorEastAsia" w:hint="eastAsia"/>
                <w:b/>
                <w:bCs/>
                <w:lang w:eastAsia="zh-CN"/>
              </w:rPr>
              <w:t>需采取的行动：</w:t>
            </w:r>
          </w:p>
          <w:p w14:paraId="006D636B" w14:textId="77777777" w:rsidR="00521A20" w:rsidRDefault="00BB475A">
            <w:pPr>
              <w:ind w:firstLineChars="200" w:firstLine="480"/>
              <w:rPr>
                <w:rFonts w:ascii="Calibri" w:hAnsi="Calibri" w:cs="Calibri"/>
                <w:szCs w:val="24"/>
                <w:lang w:eastAsia="zh-CN"/>
              </w:rPr>
            </w:pPr>
            <w:r>
              <w:rPr>
                <w:rFonts w:ascii="Calibri" w:hAnsi="Calibri" w:cs="Calibri"/>
                <w:lang w:eastAsia="zh-CN"/>
              </w:rPr>
              <w:t>请电信发展顾问组（</w:t>
            </w:r>
            <w:r>
              <w:rPr>
                <w:rFonts w:ascii="Calibri" w:hAnsi="Calibri" w:cs="Calibri"/>
                <w:lang w:eastAsia="zh-CN"/>
              </w:rPr>
              <w:t>TDAG</w:t>
            </w:r>
            <w:r>
              <w:rPr>
                <w:rFonts w:ascii="Calibri" w:hAnsi="Calibri" w:cs="Calibri"/>
                <w:lang w:eastAsia="zh-CN"/>
              </w:rPr>
              <w:t>）研究本文件，并酌情提供指导。</w:t>
            </w:r>
          </w:p>
          <w:p w14:paraId="7F8BA69B" w14:textId="77777777" w:rsidR="00521A20" w:rsidRDefault="00BB475A">
            <w:pPr>
              <w:rPr>
                <w:b/>
                <w:bCs/>
                <w:szCs w:val="24"/>
                <w:lang w:eastAsia="zh-CN"/>
              </w:rPr>
            </w:pPr>
            <w:r>
              <w:rPr>
                <w:rFonts w:ascii="SimSun" w:hAnsi="SimSun" w:cs="SimSun" w:hint="eastAsia"/>
                <w:b/>
                <w:bCs/>
                <w:szCs w:val="24"/>
                <w:lang w:eastAsia="zh-CN"/>
              </w:rPr>
              <w:t>参考文件：</w:t>
            </w:r>
          </w:p>
          <w:p w14:paraId="1E8746F8" w14:textId="77777777" w:rsidR="00521A20" w:rsidRDefault="00521A20">
            <w:pPr>
              <w:spacing w:after="120"/>
              <w:ind w:firstLineChars="200" w:firstLine="480"/>
              <w:rPr>
                <w:rFonts w:ascii="Calibri" w:hAnsi="Calibri" w:cs="Calibri"/>
                <w:szCs w:val="24"/>
                <w:lang w:eastAsia="zh-CN"/>
              </w:rPr>
            </w:pPr>
            <w:r>
              <w:fldChar w:fldCharType="begin"/>
            </w:r>
            <w:r>
              <w:rPr>
                <w:lang w:eastAsia="zh-CN"/>
              </w:rPr>
              <w:instrText>HYPERLINK "https://www.itu.int/md/D26-TDAG33-C-0002/en"</w:instrText>
            </w:r>
            <w:r>
              <w:fldChar w:fldCharType="separate"/>
            </w:r>
            <w:r>
              <w:rPr>
                <w:rStyle w:val="Hyperlink"/>
                <w:rFonts w:ascii="Calibri" w:hAnsi="Calibri" w:cs="Calibri"/>
                <w:lang w:eastAsia="zh-CN"/>
              </w:rPr>
              <w:t>TDAG-26</w:t>
            </w:r>
            <w:r>
              <w:rPr>
                <w:rStyle w:val="Hyperlink"/>
                <w:rFonts w:ascii="Calibri" w:hAnsi="Calibri" w:cs="Calibri"/>
                <w:lang w:eastAsia="zh-CN"/>
              </w:rPr>
              <w:t>，</w:t>
            </w:r>
            <w:r>
              <w:rPr>
                <w:rStyle w:val="Hyperlink"/>
                <w:rFonts w:ascii="Calibri" w:hAnsi="Calibri" w:cs="Calibri"/>
                <w:lang w:eastAsia="zh-CN"/>
              </w:rPr>
              <w:t>2</w:t>
            </w:r>
            <w:r>
              <w:rPr>
                <w:rStyle w:val="Hyperlink"/>
                <w:rFonts w:ascii="Calibri" w:hAnsi="Calibri" w:cs="Calibri"/>
                <w:lang w:eastAsia="zh-CN"/>
              </w:rPr>
              <w:t>号文件</w:t>
            </w:r>
            <w:r>
              <w:fldChar w:fldCharType="end"/>
            </w:r>
          </w:p>
          <w:p w14:paraId="2B8384FE" w14:textId="77777777" w:rsidR="00521A20" w:rsidRDefault="00521A20">
            <w:pPr>
              <w:spacing w:after="120"/>
              <w:ind w:firstLineChars="200" w:firstLine="480"/>
              <w:rPr>
                <w:lang w:eastAsia="zh-CN"/>
              </w:rPr>
            </w:pPr>
            <w:r>
              <w:fldChar w:fldCharType="begin"/>
            </w:r>
            <w:r>
              <w:rPr>
                <w:lang w:eastAsia="zh-CN"/>
              </w:rPr>
              <w:instrText>HYPERLINK "http://itu.int/go/wtdc25-final-report"</w:instrText>
            </w:r>
            <w:r>
              <w:fldChar w:fldCharType="separate"/>
            </w:r>
            <w:r>
              <w:rPr>
                <w:rStyle w:val="Hyperlink"/>
                <w:rFonts w:ascii="Calibri" w:hAnsi="Calibri" w:cs="Calibri"/>
                <w:lang w:eastAsia="zh-CN"/>
              </w:rPr>
              <w:t>2025</w:t>
            </w:r>
            <w:r>
              <w:rPr>
                <w:rStyle w:val="Hyperlink"/>
                <w:rFonts w:ascii="Calibri" w:hAnsi="Calibri" w:cs="Calibri"/>
                <w:lang w:eastAsia="zh-CN"/>
              </w:rPr>
              <w:t>年世界电信发展大会（</w:t>
            </w:r>
            <w:r>
              <w:rPr>
                <w:rStyle w:val="Hyperlink"/>
                <w:rFonts w:ascii="Calibri" w:hAnsi="Calibri" w:cs="Calibri"/>
                <w:lang w:eastAsia="zh-CN"/>
              </w:rPr>
              <w:t>WTDC-25</w:t>
            </w:r>
            <w:r>
              <w:rPr>
                <w:rStyle w:val="Hyperlink"/>
                <w:rFonts w:ascii="Calibri" w:hAnsi="Calibri" w:cs="Calibri"/>
                <w:lang w:eastAsia="zh-CN"/>
              </w:rPr>
              <w:t>）《巴库行动计划》</w:t>
            </w:r>
            <w:r>
              <w:fldChar w:fldCharType="end"/>
            </w:r>
          </w:p>
        </w:tc>
      </w:tr>
      <w:bookmarkEnd w:id="8"/>
      <w:bookmarkEnd w:id="9"/>
    </w:tbl>
    <w:p w14:paraId="30707726" w14:textId="77777777" w:rsidR="00521A20" w:rsidRDefault="00BB475A">
      <w:pPr>
        <w:pStyle w:val="Headingi"/>
        <w:rPr>
          <w:lang w:eastAsia="zh-CN"/>
        </w:rPr>
      </w:pPr>
      <w:r>
        <w:rPr>
          <w:lang w:eastAsia="zh-CN"/>
        </w:rPr>
        <w:br w:type="page"/>
      </w:r>
    </w:p>
    <w:p w14:paraId="57783C34" w14:textId="3F9EAD61" w:rsidR="00521A20" w:rsidRDefault="00BB475A">
      <w:pPr>
        <w:pStyle w:val="Heading1"/>
        <w:rPr>
          <w:rFonts w:eastAsia="Calibri"/>
          <w:szCs w:val="24"/>
          <w:lang w:eastAsia="zh-CN"/>
        </w:rPr>
      </w:pPr>
      <w:r>
        <w:rPr>
          <w:rFonts w:eastAsiaTheme="minorEastAsia" w:hint="eastAsia"/>
          <w:lang w:eastAsia="zh-CN"/>
        </w:rPr>
        <w:lastRenderedPageBreak/>
        <w:t>1</w:t>
      </w:r>
      <w:r>
        <w:rPr>
          <w:rFonts w:eastAsiaTheme="minorEastAsia"/>
          <w:lang w:eastAsia="zh-CN"/>
        </w:rPr>
        <w:tab/>
      </w:r>
      <w:r w:rsidR="00671D93">
        <w:rPr>
          <w:rFonts w:hint="eastAsia"/>
          <w:lang w:eastAsia="zh-CN"/>
        </w:rPr>
        <w:t>2026-2029</w:t>
      </w:r>
      <w:r w:rsidR="00671D93">
        <w:rPr>
          <w:rFonts w:hint="eastAsia"/>
          <w:lang w:eastAsia="zh-CN"/>
        </w:rPr>
        <w:t>年落实</w:t>
      </w:r>
      <w:r>
        <w:rPr>
          <w:rFonts w:hint="eastAsia"/>
          <w:lang w:eastAsia="zh-CN"/>
        </w:rPr>
        <w:t>《巴</w:t>
      </w:r>
      <w:r>
        <w:rPr>
          <w:rFonts w:ascii="SimSun" w:hAnsi="SimSun" w:cs="SimSun" w:hint="eastAsia"/>
          <w:lang w:eastAsia="zh-CN"/>
        </w:rPr>
        <w:t>库</w:t>
      </w:r>
      <w:r>
        <w:rPr>
          <w:rFonts w:ascii="Batang" w:hAnsi="Batang" w:cs="Batang" w:hint="eastAsia"/>
          <w:lang w:eastAsia="zh-CN"/>
        </w:rPr>
        <w:t>行</w:t>
      </w:r>
      <w:r>
        <w:rPr>
          <w:rFonts w:ascii="SimSun" w:hAnsi="SimSun" w:cs="SimSun" w:hint="eastAsia"/>
          <w:lang w:eastAsia="zh-CN"/>
        </w:rPr>
        <w:t>动计划</w:t>
      </w:r>
      <w:r>
        <w:rPr>
          <w:rFonts w:ascii="Batang" w:hAnsi="Batang" w:cs="Batang" w:hint="eastAsia"/>
          <w:lang w:eastAsia="zh-CN"/>
        </w:rPr>
        <w:t>》的</w:t>
      </w:r>
      <w:r w:rsidR="00671D93">
        <w:rPr>
          <w:rFonts w:ascii="Batang" w:hAnsi="Batang" w:cs="Batang" w:hint="eastAsia"/>
          <w:lang w:eastAsia="zh-CN"/>
        </w:rPr>
        <w:t>愿景和战略</w:t>
      </w:r>
    </w:p>
    <w:p w14:paraId="38741EF1" w14:textId="77777777" w:rsidR="00521A20" w:rsidRDefault="00BB475A">
      <w:pPr>
        <w:ind w:firstLineChars="200" w:firstLine="480"/>
        <w:rPr>
          <w:lang w:eastAsia="zh-CN"/>
        </w:rPr>
      </w:pPr>
      <w:r>
        <w:rPr>
          <w:rFonts w:hint="eastAsia"/>
          <w:lang w:eastAsia="zh-CN"/>
        </w:rPr>
        <w:t>2025</w:t>
      </w:r>
      <w:r>
        <w:rPr>
          <w:rFonts w:hint="eastAsia"/>
          <w:lang w:eastAsia="zh-CN"/>
        </w:rPr>
        <w:t>年在阿塞拜疆巴库举行的世界电信发展大会（</w:t>
      </w:r>
      <w:r>
        <w:rPr>
          <w:rFonts w:hint="eastAsia"/>
          <w:lang w:eastAsia="zh-CN"/>
        </w:rPr>
        <w:t>WTDC-25</w:t>
      </w:r>
      <w:r>
        <w:rPr>
          <w:rFonts w:hint="eastAsia"/>
          <w:lang w:eastAsia="zh-CN"/>
        </w:rPr>
        <w:t>）通过了</w:t>
      </w:r>
      <w:r>
        <w:fldChar w:fldCharType="begin"/>
      </w:r>
      <w:r>
        <w:rPr>
          <w:lang w:eastAsia="zh-CN"/>
        </w:rPr>
        <w:instrText xml:space="preserve"> HYPERLINK "http://itu.int/go/wtdc25-final-report" </w:instrText>
      </w:r>
      <w:r>
        <w:fldChar w:fldCharType="separate"/>
      </w:r>
      <w:r w:rsidR="00521A20">
        <w:rPr>
          <w:rStyle w:val="Hyperlink"/>
          <w:rFonts w:hint="eastAsia"/>
          <w:lang w:eastAsia="zh-CN"/>
        </w:rPr>
        <w:t>《巴库行动计划》</w:t>
      </w:r>
      <w:r>
        <w:rPr>
          <w:rStyle w:val="Hyperlink"/>
          <w:lang w:eastAsia="zh-CN"/>
        </w:rPr>
        <w:fldChar w:fldCharType="end"/>
      </w:r>
      <w:r>
        <w:rPr>
          <w:rFonts w:hint="eastAsia"/>
          <w:lang w:eastAsia="zh-CN"/>
        </w:rPr>
        <w:t>（</w:t>
      </w:r>
      <w:r>
        <w:rPr>
          <w:rFonts w:hint="eastAsia"/>
          <w:lang w:eastAsia="zh-CN"/>
        </w:rPr>
        <w:t>BAP</w:t>
      </w:r>
      <w:r>
        <w:rPr>
          <w:rFonts w:hint="eastAsia"/>
          <w:lang w:eastAsia="zh-CN"/>
        </w:rPr>
        <w:t>），该计划确定了国际电联电信发展部门（</w:t>
      </w:r>
      <w:r>
        <w:rPr>
          <w:rFonts w:hint="eastAsia"/>
          <w:lang w:eastAsia="zh-CN"/>
        </w:rPr>
        <w:t>ITU-D</w:t>
      </w:r>
      <w:r>
        <w:rPr>
          <w:rFonts w:hint="eastAsia"/>
          <w:lang w:eastAsia="zh-CN"/>
        </w:rPr>
        <w:t>）在下一届</w:t>
      </w:r>
      <w:r>
        <w:rPr>
          <w:rFonts w:hint="eastAsia"/>
          <w:lang w:eastAsia="zh-CN"/>
        </w:rPr>
        <w:t>WTDC</w:t>
      </w:r>
      <w:r>
        <w:rPr>
          <w:rFonts w:hint="eastAsia"/>
          <w:lang w:eastAsia="zh-CN"/>
        </w:rPr>
        <w:t>之前的工作方向，并指明了与信息社会世界峰会（</w:t>
      </w:r>
      <w:r>
        <w:rPr>
          <w:rFonts w:hint="eastAsia"/>
          <w:lang w:eastAsia="zh-CN"/>
        </w:rPr>
        <w:t>WSIS</w:t>
      </w:r>
      <w:r>
        <w:rPr>
          <w:rFonts w:hint="eastAsia"/>
          <w:lang w:eastAsia="zh-CN"/>
        </w:rPr>
        <w:t>）行动计划及联合国制定的</w:t>
      </w:r>
      <w:r>
        <w:rPr>
          <w:rFonts w:hint="eastAsia"/>
          <w:lang w:eastAsia="zh-CN"/>
        </w:rPr>
        <w:t>2030</w:t>
      </w:r>
      <w:r>
        <w:rPr>
          <w:rFonts w:hint="eastAsia"/>
          <w:lang w:eastAsia="zh-CN"/>
        </w:rPr>
        <w:t>年可持续发展目标（</w:t>
      </w:r>
      <w:r>
        <w:rPr>
          <w:rFonts w:hint="eastAsia"/>
          <w:lang w:eastAsia="zh-CN"/>
        </w:rPr>
        <w:t>SDG</w:t>
      </w:r>
      <w:r>
        <w:rPr>
          <w:rFonts w:hint="eastAsia"/>
          <w:lang w:eastAsia="zh-CN"/>
        </w:rPr>
        <w:t>）高度契合的数字化发展方向。</w:t>
      </w:r>
    </w:p>
    <w:p w14:paraId="59D3D55F" w14:textId="77777777" w:rsidR="00521A20" w:rsidRDefault="00BB475A">
      <w:pPr>
        <w:ind w:firstLineChars="200" w:firstLine="480"/>
        <w:rPr>
          <w:lang w:eastAsia="zh-CN"/>
        </w:rPr>
      </w:pPr>
      <w:r>
        <w:rPr>
          <w:rFonts w:hint="eastAsia"/>
          <w:lang w:eastAsia="zh-CN"/>
        </w:rPr>
        <w:t>落实《巴库行动计划》的总体战略围绕以下方面进行：</w:t>
      </w:r>
    </w:p>
    <w:p w14:paraId="2EAD84D7" w14:textId="77777777" w:rsidR="00521A20" w:rsidRDefault="00BB475A">
      <w:pPr>
        <w:pStyle w:val="enumlev1"/>
        <w:rPr>
          <w:lang w:eastAsia="zh-CN"/>
        </w:rPr>
      </w:pPr>
      <w:r>
        <w:rPr>
          <w:lang w:eastAsia="zh-CN"/>
        </w:rPr>
        <w:t>–</w:t>
      </w:r>
      <w:r>
        <w:rPr>
          <w:lang w:eastAsia="zh-CN"/>
        </w:rPr>
        <w:tab/>
      </w:r>
      <w:r>
        <w:rPr>
          <w:rFonts w:hint="eastAsia"/>
          <w:lang w:eastAsia="zh-CN"/>
        </w:rPr>
        <w:t>运作规划中的行动和输出成果、</w:t>
      </w:r>
      <w:r>
        <w:rPr>
          <w:rFonts w:hint="eastAsia"/>
          <w:lang w:eastAsia="zh-CN"/>
        </w:rPr>
        <w:t>ITU-D</w:t>
      </w:r>
      <w:r>
        <w:rPr>
          <w:rFonts w:hint="eastAsia"/>
          <w:lang w:eastAsia="zh-CN"/>
        </w:rPr>
        <w:t>重点工作的成果、项目和区域性举措、</w:t>
      </w:r>
      <w:r>
        <w:rPr>
          <w:rFonts w:hint="eastAsia"/>
          <w:lang w:eastAsia="zh-CN"/>
        </w:rPr>
        <w:t>ITU-</w:t>
      </w:r>
      <w:proofErr w:type="gramStart"/>
      <w:r>
        <w:rPr>
          <w:rFonts w:hint="eastAsia"/>
          <w:lang w:eastAsia="zh-CN"/>
        </w:rPr>
        <w:t>D</w:t>
      </w:r>
      <w:r>
        <w:rPr>
          <w:rFonts w:hint="eastAsia"/>
          <w:lang w:eastAsia="zh-CN"/>
        </w:rPr>
        <w:t>决议与国际电联战略目标的一致性和统一性；</w:t>
      </w:r>
      <w:proofErr w:type="gramEnd"/>
    </w:p>
    <w:p w14:paraId="51CDF216" w14:textId="77777777" w:rsidR="00521A20" w:rsidRDefault="00BB475A">
      <w:pPr>
        <w:pStyle w:val="enumlev1"/>
        <w:rPr>
          <w:lang w:eastAsia="zh-CN"/>
        </w:rPr>
      </w:pPr>
      <w:r>
        <w:rPr>
          <w:lang w:eastAsia="zh-CN"/>
        </w:rPr>
        <w:t>–</w:t>
      </w:r>
      <w:r>
        <w:rPr>
          <w:lang w:eastAsia="zh-CN"/>
        </w:rPr>
        <w:tab/>
      </w:r>
      <w:r>
        <w:rPr>
          <w:rFonts w:hint="eastAsia"/>
          <w:lang w:eastAsia="zh-CN"/>
        </w:rPr>
        <w:t>加强团队之间（包括区域代表处和地区办事处之间）跨职能和基于成果的协作，以提高</w:t>
      </w:r>
      <w:r>
        <w:rPr>
          <w:rFonts w:hint="eastAsia"/>
          <w:lang w:eastAsia="zh-CN"/>
        </w:rPr>
        <w:t>ITU-D</w:t>
      </w:r>
      <w:r>
        <w:rPr>
          <w:rFonts w:hint="eastAsia"/>
          <w:lang w:eastAsia="zh-CN"/>
        </w:rPr>
        <w:t>产品和服务的效率以及它们对受益国、政府机构、</w:t>
      </w:r>
      <w:proofErr w:type="gramStart"/>
      <w:r>
        <w:rPr>
          <w:rFonts w:hint="eastAsia"/>
          <w:lang w:eastAsia="zh-CN"/>
        </w:rPr>
        <w:t>国家利益攸关方和社区的影响；</w:t>
      </w:r>
      <w:proofErr w:type="gramEnd"/>
    </w:p>
    <w:p w14:paraId="64CD28DB" w14:textId="77777777" w:rsidR="00521A20" w:rsidRDefault="00BB475A">
      <w:pPr>
        <w:pStyle w:val="enumlev1"/>
        <w:rPr>
          <w:lang w:eastAsia="zh-CN"/>
        </w:rPr>
      </w:pPr>
      <w:r>
        <w:rPr>
          <w:lang w:eastAsia="zh-CN"/>
        </w:rPr>
        <w:t>–</w:t>
      </w:r>
      <w:r>
        <w:rPr>
          <w:lang w:eastAsia="zh-CN"/>
        </w:rPr>
        <w:tab/>
      </w:r>
      <w:r>
        <w:rPr>
          <w:rFonts w:hint="eastAsia"/>
          <w:lang w:eastAsia="zh-CN"/>
        </w:rPr>
        <w:t>与国际电联无线电通信局（</w:t>
      </w:r>
      <w:r>
        <w:rPr>
          <w:rFonts w:hint="eastAsia"/>
          <w:lang w:eastAsia="zh-CN"/>
        </w:rPr>
        <w:t>BR</w:t>
      </w:r>
      <w:r>
        <w:rPr>
          <w:rFonts w:hint="eastAsia"/>
          <w:lang w:eastAsia="zh-CN"/>
        </w:rPr>
        <w:t>）、国际电联电信标准化局（</w:t>
      </w:r>
      <w:r>
        <w:rPr>
          <w:rFonts w:hint="eastAsia"/>
          <w:lang w:eastAsia="zh-CN"/>
        </w:rPr>
        <w:t>TSB</w:t>
      </w:r>
      <w:r>
        <w:rPr>
          <w:rFonts w:hint="eastAsia"/>
          <w:lang w:eastAsia="zh-CN"/>
        </w:rPr>
        <w:t>）</w:t>
      </w:r>
      <w:proofErr w:type="gramStart"/>
      <w:r>
        <w:rPr>
          <w:rFonts w:hint="eastAsia"/>
          <w:lang w:eastAsia="zh-CN"/>
        </w:rPr>
        <w:t>和总秘书处联合实施的强大协同力量；</w:t>
      </w:r>
      <w:proofErr w:type="gramEnd"/>
    </w:p>
    <w:p w14:paraId="2DA544DB" w14:textId="77777777" w:rsidR="00521A20" w:rsidRDefault="00BB475A">
      <w:pPr>
        <w:pStyle w:val="enumlev1"/>
        <w:rPr>
          <w:lang w:eastAsia="zh-CN"/>
        </w:rPr>
      </w:pPr>
      <w:r>
        <w:rPr>
          <w:lang w:eastAsia="zh-CN"/>
        </w:rPr>
        <w:t>–</w:t>
      </w:r>
      <w:r>
        <w:rPr>
          <w:lang w:eastAsia="zh-CN"/>
        </w:rPr>
        <w:tab/>
      </w:r>
      <w:r>
        <w:rPr>
          <w:rFonts w:hint="eastAsia"/>
          <w:lang w:eastAsia="zh-CN"/>
        </w:rPr>
        <w:t>在当前实施周期内，进一步加强项目实施、运作规划（</w:t>
      </w:r>
      <w:r>
        <w:rPr>
          <w:rFonts w:hint="eastAsia"/>
          <w:lang w:eastAsia="zh-CN"/>
        </w:rPr>
        <w:t>OP</w:t>
      </w:r>
      <w:r>
        <w:rPr>
          <w:rFonts w:hint="eastAsia"/>
          <w:lang w:eastAsia="zh-CN"/>
        </w:rPr>
        <w:t>）行动、区域性举措以及合作伙伴工作之间的整合，确保能够及时、有效地交付优质输出成果。</w:t>
      </w:r>
    </w:p>
    <w:p w14:paraId="384F6398" w14:textId="0D010FB4" w:rsidR="00521A20" w:rsidRDefault="00BB475A">
      <w:pPr>
        <w:pStyle w:val="Heading2"/>
        <w:rPr>
          <w:rFonts w:eastAsia="Calibri"/>
          <w:szCs w:val="24"/>
          <w:lang w:eastAsia="zh-CN"/>
        </w:rPr>
      </w:pPr>
      <w:r>
        <w:rPr>
          <w:rFonts w:hint="eastAsia"/>
          <w:lang w:eastAsia="zh-CN"/>
        </w:rPr>
        <w:t>1.</w:t>
      </w:r>
      <w:r>
        <w:rPr>
          <w:rFonts w:hint="eastAsia"/>
          <w:lang w:val="en-US" w:eastAsia="zh-CN"/>
        </w:rPr>
        <w:t>1</w:t>
      </w:r>
      <w:r>
        <w:rPr>
          <w:rFonts w:eastAsiaTheme="minorEastAsia"/>
          <w:lang w:eastAsia="zh-CN"/>
        </w:rPr>
        <w:tab/>
      </w:r>
      <w:r>
        <w:rPr>
          <w:rFonts w:hint="eastAsia"/>
          <w:lang w:eastAsia="zh-CN"/>
        </w:rPr>
        <w:t>精心打造</w:t>
      </w:r>
      <w:r>
        <w:rPr>
          <w:rFonts w:hint="eastAsia"/>
          <w:lang w:eastAsia="zh-CN"/>
        </w:rPr>
        <w:t>2026</w:t>
      </w:r>
      <w:r>
        <w:rPr>
          <w:rFonts w:hint="eastAsia"/>
          <w:lang w:eastAsia="zh-CN"/>
        </w:rPr>
        <w:t>年</w:t>
      </w:r>
      <w:r>
        <w:rPr>
          <w:rFonts w:hint="eastAsia"/>
          <w:lang w:eastAsia="zh-CN"/>
        </w:rPr>
        <w:t>ITU-D</w:t>
      </w:r>
      <w:r>
        <w:rPr>
          <w:rFonts w:hint="eastAsia"/>
          <w:lang w:eastAsia="zh-CN"/>
        </w:rPr>
        <w:t>运作规划（</w:t>
      </w:r>
      <w:r>
        <w:rPr>
          <w:rFonts w:hint="eastAsia"/>
          <w:lang w:eastAsia="zh-CN"/>
        </w:rPr>
        <w:t>OP-26</w:t>
      </w:r>
      <w:r>
        <w:rPr>
          <w:rFonts w:hint="eastAsia"/>
          <w:lang w:eastAsia="zh-CN"/>
        </w:rPr>
        <w:t>）框架</w:t>
      </w:r>
    </w:p>
    <w:p w14:paraId="58AC967C" w14:textId="7CC41DC4" w:rsidR="00521A20" w:rsidRDefault="00BB475A">
      <w:pPr>
        <w:ind w:firstLineChars="200" w:firstLine="480"/>
        <w:rPr>
          <w:rFonts w:ascii="Calibri" w:hAnsi="Calibri" w:cs="Calibri"/>
          <w:lang w:eastAsia="zh-CN"/>
        </w:rPr>
      </w:pPr>
      <w:r>
        <w:rPr>
          <w:rFonts w:ascii="Calibri" w:hAnsi="Calibri" w:cs="Calibri"/>
          <w:lang w:eastAsia="zh-CN"/>
        </w:rPr>
        <w:t>2026</w:t>
      </w:r>
      <w:r>
        <w:rPr>
          <w:rFonts w:ascii="Calibri" w:hAnsi="Calibri" w:cs="Calibri"/>
          <w:lang w:eastAsia="zh-CN"/>
        </w:rPr>
        <w:t>年</w:t>
      </w:r>
      <w:r>
        <w:rPr>
          <w:rFonts w:ascii="Calibri" w:hAnsi="Calibri" w:cs="Calibri"/>
          <w:lang w:eastAsia="zh-CN"/>
        </w:rPr>
        <w:t>ITU-D</w:t>
      </w:r>
      <w:r>
        <w:rPr>
          <w:rFonts w:ascii="Calibri" w:hAnsi="Calibri" w:cs="Calibri"/>
          <w:lang w:eastAsia="zh-CN"/>
        </w:rPr>
        <w:t>运作规划与《巴库行动计划》以及国际电联《</w:t>
      </w:r>
      <w:r>
        <w:rPr>
          <w:rFonts w:ascii="Calibri" w:hAnsi="Calibri" w:cs="Calibri"/>
          <w:lang w:eastAsia="zh-CN"/>
        </w:rPr>
        <w:t>2024-2027</w:t>
      </w:r>
      <w:r>
        <w:rPr>
          <w:rFonts w:ascii="Calibri" w:hAnsi="Calibri" w:cs="Calibri"/>
          <w:lang w:eastAsia="zh-CN"/>
        </w:rPr>
        <w:t>年战略规划》的结构保持一致。《巴库行动计划》的结构概要阐述了</w:t>
      </w:r>
      <w:r>
        <w:rPr>
          <w:rFonts w:ascii="Calibri" w:hAnsi="Calibri" w:cs="Calibri"/>
          <w:lang w:eastAsia="zh-CN"/>
        </w:rPr>
        <w:t>ITU-D</w:t>
      </w:r>
      <w:r>
        <w:rPr>
          <w:rFonts w:ascii="Calibri" w:hAnsi="Calibri" w:cs="Calibri"/>
          <w:lang w:eastAsia="zh-CN"/>
        </w:rPr>
        <w:t>的重点工作以及相应的成果、推动因素</w:t>
      </w:r>
      <w:r>
        <w:rPr>
          <w:rFonts w:ascii="Calibri" w:hAnsi="Calibri" w:cs="Calibri" w:hint="eastAsia"/>
          <w:lang w:eastAsia="zh-CN"/>
        </w:rPr>
        <w:t>、</w:t>
      </w:r>
      <w:r>
        <w:rPr>
          <w:rFonts w:ascii="Calibri" w:hAnsi="Calibri" w:cs="Calibri"/>
          <w:lang w:eastAsia="zh-CN"/>
        </w:rPr>
        <w:t>ITU-D</w:t>
      </w:r>
      <w:r>
        <w:rPr>
          <w:rFonts w:ascii="Calibri" w:hAnsi="Calibri" w:cs="Calibri"/>
          <w:lang w:eastAsia="zh-CN"/>
        </w:rPr>
        <w:t>产品和服务以及用于衡量进展的指标。在理事会批准</w:t>
      </w:r>
      <w:r>
        <w:rPr>
          <w:rFonts w:ascii="Calibri" w:hAnsi="Calibri" w:cs="Calibri"/>
          <w:lang w:eastAsia="zh-CN"/>
        </w:rPr>
        <w:t>2027-2030</w:t>
      </w:r>
      <w:r>
        <w:rPr>
          <w:rFonts w:ascii="Calibri" w:hAnsi="Calibri" w:cs="Calibri"/>
          <w:lang w:eastAsia="zh-CN"/>
        </w:rPr>
        <w:t>年国际电联预算后，</w:t>
      </w:r>
      <w:r>
        <w:rPr>
          <w:rFonts w:ascii="Calibri" w:hAnsi="Calibri" w:cs="Calibri"/>
          <w:lang w:eastAsia="zh-CN"/>
        </w:rPr>
        <w:t>OP-26</w:t>
      </w:r>
      <w:r>
        <w:rPr>
          <w:rFonts w:ascii="Calibri" w:hAnsi="Calibri" w:cs="Calibri"/>
          <w:lang w:eastAsia="zh-CN"/>
        </w:rPr>
        <w:t>的落实《巴库行动计划》的影响框架将作为</w:t>
      </w:r>
      <w:r>
        <w:rPr>
          <w:rFonts w:ascii="Calibri" w:hAnsi="Calibri" w:cs="Calibri"/>
          <w:lang w:eastAsia="zh-CN"/>
        </w:rPr>
        <w:t>2026-2029</w:t>
      </w:r>
      <w:r>
        <w:rPr>
          <w:rFonts w:ascii="Calibri" w:hAnsi="Calibri" w:cs="Calibri"/>
          <w:lang w:eastAsia="zh-CN"/>
        </w:rPr>
        <w:t>年</w:t>
      </w:r>
      <w:r>
        <w:rPr>
          <w:rFonts w:ascii="Calibri" w:hAnsi="Calibri" w:cs="Calibri"/>
          <w:lang w:eastAsia="zh-CN"/>
        </w:rPr>
        <w:t>ITU-D</w:t>
      </w:r>
      <w:r>
        <w:rPr>
          <w:rFonts w:ascii="Calibri" w:hAnsi="Calibri" w:cs="Calibri"/>
          <w:lang w:eastAsia="zh-CN"/>
        </w:rPr>
        <w:t>运作规划的基础。</w:t>
      </w:r>
    </w:p>
    <w:p w14:paraId="7015EBD6" w14:textId="77777777" w:rsidR="00521A20" w:rsidRDefault="00BB475A">
      <w:pPr>
        <w:ind w:firstLineChars="200" w:firstLine="480"/>
        <w:rPr>
          <w:rFonts w:ascii="Calibri" w:hAnsi="Calibri" w:cs="Calibri"/>
          <w:lang w:eastAsia="zh-CN"/>
        </w:rPr>
      </w:pPr>
      <w:r>
        <w:rPr>
          <w:rFonts w:ascii="Calibri" w:hAnsi="Calibri" w:cs="Calibri"/>
          <w:lang w:eastAsia="zh-CN"/>
        </w:rPr>
        <w:t>OP-26</w:t>
      </w:r>
      <w:r>
        <w:rPr>
          <w:rFonts w:ascii="Calibri" w:hAnsi="Calibri" w:cs="Calibri"/>
          <w:lang w:eastAsia="zh-CN"/>
        </w:rPr>
        <w:t>的规划过程包括：确定发起行动的框架原则，确保与《巴库行动计划》保持统一以及整体的一致性（图</w:t>
      </w:r>
      <w:r>
        <w:rPr>
          <w:rFonts w:ascii="Calibri" w:hAnsi="Calibri" w:cs="Calibri"/>
          <w:lang w:eastAsia="zh-CN"/>
        </w:rPr>
        <w:t>1</w:t>
      </w:r>
      <w:r>
        <w:rPr>
          <w:rFonts w:ascii="Calibri" w:hAnsi="Calibri" w:cs="Calibri"/>
          <w:lang w:eastAsia="zh-CN"/>
        </w:rPr>
        <w:t>）。所提议的各项行动经过与成员国的深入磋商，并与各区域的工作重点保持一致。</w:t>
      </w:r>
    </w:p>
    <w:p w14:paraId="140553F3" w14:textId="77777777" w:rsidR="00521A20" w:rsidRDefault="00BB475A">
      <w:pPr>
        <w:overflowPunct/>
        <w:autoSpaceDE/>
        <w:autoSpaceDN/>
        <w:adjustRightInd/>
        <w:spacing w:after="120"/>
        <w:jc w:val="center"/>
        <w:textAlignment w:val="auto"/>
        <w:rPr>
          <w:rFonts w:ascii="Calibri" w:hAnsi="Calibri"/>
          <w:b/>
          <w:bCs/>
          <w:szCs w:val="24"/>
          <w:lang w:eastAsia="zh-CN"/>
        </w:rPr>
      </w:pPr>
      <w:r>
        <w:rPr>
          <w:rFonts w:ascii="Calibri" w:hAnsi="Calibri" w:hint="eastAsia"/>
          <w:b/>
          <w:lang w:eastAsia="zh-CN"/>
        </w:rPr>
        <w:t>图</w:t>
      </w:r>
      <w:r>
        <w:rPr>
          <w:rFonts w:ascii="Calibri" w:hAnsi="Calibri" w:hint="eastAsia"/>
          <w:b/>
          <w:lang w:eastAsia="zh-CN"/>
        </w:rPr>
        <w:t>1</w:t>
      </w:r>
      <w:r>
        <w:rPr>
          <w:rFonts w:ascii="Calibri" w:hAnsi="Calibri" w:hint="eastAsia"/>
          <w:b/>
          <w:lang w:eastAsia="zh-CN"/>
        </w:rPr>
        <w:t>：</w:t>
      </w:r>
      <w:r>
        <w:rPr>
          <w:rFonts w:ascii="Calibri" w:hAnsi="Calibri" w:hint="eastAsia"/>
          <w:b/>
          <w:lang w:eastAsia="zh-CN"/>
        </w:rPr>
        <w:t>2026</w:t>
      </w:r>
      <w:r>
        <w:rPr>
          <w:rFonts w:ascii="Calibri" w:hAnsi="Calibri" w:hint="eastAsia"/>
          <w:b/>
          <w:lang w:eastAsia="zh-CN"/>
        </w:rPr>
        <w:t>年运作规划：成果、输出成果和行动</w:t>
      </w:r>
    </w:p>
    <w:p w14:paraId="61CC8C9C" w14:textId="77777777" w:rsidR="00521A20" w:rsidRDefault="00BB475A">
      <w:pPr>
        <w:rPr>
          <w:lang w:eastAsia="zh-CN"/>
        </w:rPr>
      </w:pPr>
      <w:r>
        <w:rPr>
          <w:rFonts w:hint="eastAsia"/>
          <w:noProof/>
          <w:lang w:val="en-US" w:eastAsia="zh-CN"/>
        </w:rPr>
        <mc:AlternateContent>
          <mc:Choice Requires="wps">
            <w:drawing>
              <wp:anchor distT="0" distB="0" distL="114300" distR="114300" simplePos="0" relativeHeight="251667456" behindDoc="0" locked="0" layoutInCell="1" allowOverlap="1" wp14:anchorId="15175891" wp14:editId="3BAD7776">
                <wp:simplePos x="0" y="0"/>
                <wp:positionH relativeFrom="column">
                  <wp:posOffset>2839720</wp:posOffset>
                </wp:positionH>
                <wp:positionV relativeFrom="paragraph">
                  <wp:posOffset>1418590</wp:posOffset>
                </wp:positionV>
                <wp:extent cx="429260" cy="208280"/>
                <wp:effectExtent l="0" t="0" r="8890" b="1270"/>
                <wp:wrapNone/>
                <wp:docPr id="980140563" name="左箭头 5"/>
                <wp:cNvGraphicFramePr/>
                <a:graphic xmlns:a="http://schemas.openxmlformats.org/drawingml/2006/main">
                  <a:graphicData uri="http://schemas.microsoft.com/office/word/2010/wordprocessingShape">
                    <wps:wsp>
                      <wps:cNvSpPr/>
                      <wps:spPr>
                        <a:xfrm>
                          <a:off x="0" y="0"/>
                          <a:ext cx="429260" cy="208280"/>
                        </a:xfrm>
                        <a:custGeom>
                          <a:avLst/>
                          <a:gdLst>
                            <a:gd name="connsiteX0" fmla="*/ 0 w 650859"/>
                            <a:gd name="connsiteY0" fmla="*/ 94598 h 211455"/>
                            <a:gd name="connsiteX1" fmla="*/ 163497 w 650859"/>
                            <a:gd name="connsiteY1" fmla="*/ 0 h 211455"/>
                            <a:gd name="connsiteX2" fmla="*/ 163497 w 650859"/>
                            <a:gd name="connsiteY2" fmla="*/ 52864 h 211455"/>
                            <a:gd name="connsiteX3" fmla="*/ 650859 w 650859"/>
                            <a:gd name="connsiteY3" fmla="*/ 52864 h 211455"/>
                            <a:gd name="connsiteX4" fmla="*/ 650859 w 650859"/>
                            <a:gd name="connsiteY4" fmla="*/ 158591 h 211455"/>
                            <a:gd name="connsiteX5" fmla="*/ 163497 w 650859"/>
                            <a:gd name="connsiteY5" fmla="*/ 158591 h 211455"/>
                            <a:gd name="connsiteX6" fmla="*/ 163497 w 650859"/>
                            <a:gd name="connsiteY6" fmla="*/ 211455 h 211455"/>
                            <a:gd name="connsiteX7" fmla="*/ 0 w 650859"/>
                            <a:gd name="connsiteY7" fmla="*/ 94598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50859" h="211455">
                              <a:moveTo>
                                <a:pt x="0" y="94598"/>
                              </a:moveTo>
                              <a:lnTo>
                                <a:pt x="163497" y="0"/>
                              </a:lnTo>
                              <a:lnTo>
                                <a:pt x="163497" y="52864"/>
                              </a:lnTo>
                              <a:lnTo>
                                <a:pt x="650859" y="52864"/>
                              </a:lnTo>
                              <a:lnTo>
                                <a:pt x="650859" y="158591"/>
                              </a:lnTo>
                              <a:lnTo>
                                <a:pt x="163497" y="158591"/>
                              </a:lnTo>
                              <a:lnTo>
                                <a:pt x="163497" y="211455"/>
                              </a:lnTo>
                              <a:lnTo>
                                <a:pt x="0" y="94598"/>
                              </a:ln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左箭头 5" o:spid="_x0000_s1026" o:spt="100" style="position:absolute;left:0pt;margin-left:223.6pt;margin-top:111.7pt;height:16.4pt;width:33.8pt;z-index:251667456;v-text-anchor:middle;mso-width-relative:page;mso-height-relative:page;" fillcolor="#D9D9D9 [2732]" filled="t" stroked="f" coordsize="650859,211455" o:gfxdata="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AAAAAZHJzL1BLAQIUABQAAAAIAIdO4kBw/ZTc2AAA&#10;AAsBAAAPAAAAAAAAAAEAIAAAACIAAABkcnMvZG93bnJldi54bWxQSwECFAAUAAAACACHTuJA62Q+&#10;gOYDAADVCwAADgAAAAAAAAABACAAAAAnAQAAZHJzL2Uyb0RvYy54bWxQSwUGAAAAAAYABgBZAQAA&#10;fwcAAAAA&#10;" path="m0,94598l163497,0,163497,52864,650859,52864,650859,158591,163497,158591,163497,211455,0,94598xe">
                <v:path o:connectlocs="0,93177;107830,0;107830,52070;429260,52070;429260,156209;107830,156209;107830,208280;0,93177" o:connectangles="0,0,0,0,0,0,0,0"/>
                <v:fill on="t" focussize="0,0"/>
                <v:stroke on="f" weight="2pt"/>
                <v:imagedata o:title=""/>
                <o:lock v:ext="edit" aspectratio="f"/>
              </v:shape>
            </w:pict>
          </mc:Fallback>
        </mc:AlternateContent>
      </w:r>
      <w:r>
        <w:rPr>
          <w:rFonts w:hint="eastAsia"/>
          <w:noProof/>
          <w:lang w:val="en-US" w:eastAsia="zh-CN"/>
        </w:rPr>
        <mc:AlternateContent>
          <mc:Choice Requires="wps">
            <w:drawing>
              <wp:anchor distT="0" distB="0" distL="114300" distR="114300" simplePos="0" relativeHeight="251668480" behindDoc="0" locked="0" layoutInCell="1" allowOverlap="1" wp14:anchorId="08CCB9F8" wp14:editId="3107193D">
                <wp:simplePos x="0" y="0"/>
                <wp:positionH relativeFrom="column">
                  <wp:posOffset>3265805</wp:posOffset>
                </wp:positionH>
                <wp:positionV relativeFrom="paragraph">
                  <wp:posOffset>300355</wp:posOffset>
                </wp:positionV>
                <wp:extent cx="45085" cy="1274445"/>
                <wp:effectExtent l="0" t="0" r="0" b="2540"/>
                <wp:wrapNone/>
                <wp:docPr id="1174986118" name="矩形 6"/>
                <wp:cNvGraphicFramePr/>
                <a:graphic xmlns:a="http://schemas.openxmlformats.org/drawingml/2006/main">
                  <a:graphicData uri="http://schemas.microsoft.com/office/word/2010/wordprocessingShape">
                    <wps:wsp>
                      <wps:cNvSpPr/>
                      <wps:spPr>
                        <a:xfrm>
                          <a:off x="0" y="0"/>
                          <a:ext cx="45085" cy="12744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6" o:spid="_x0000_s1026" o:spt="1" style="position:absolute;left:0pt;margin-left:257.15pt;margin-top:23.65pt;height:100.35pt;width:3.55pt;z-index:251668480;v-text-anchor:middle;mso-width-relative:page;mso-height-relative:page;" fillcolor="#D9D9D9 [2732]" filled="t" stroked="f" coordsize="21600,21600" o:gfxdata="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l5tLLZAAAACgEAAA8AAAAAAAAAAQAgAAAAIgAAAGRy&#10;cy9kb3ducmV2LnhtbFBLAQIUABQAAAAIAIdO4kDpmk1+dgIAAN4EAAAOAAAAAAAAAAEAIAAAACgB&#10;AABkcnMvZTJvRG9jLnhtbFBLBQYAAAAABgAGAFkBAAAQBgAAAAA=&#10;">
                <v:fill on="t" focussize="0,0"/>
                <v:stroke on="f" weight="2pt"/>
                <v:imagedata o:title=""/>
                <o:lock v:ext="edit" aspectratio="f"/>
              </v:rect>
            </w:pict>
          </mc:Fallback>
        </mc:AlternateContent>
      </w:r>
      <w:r>
        <w:rPr>
          <w:rFonts w:ascii="Calibri" w:hAnsi="Calibri" w:hint="eastAsia"/>
          <w:noProof/>
          <w:sz w:val="14"/>
          <w:lang w:val="en-US" w:eastAsia="zh-CN"/>
        </w:rPr>
        <mc:AlternateContent>
          <mc:Choice Requires="wps">
            <w:drawing>
              <wp:anchor distT="0" distB="0" distL="114300" distR="114300" simplePos="0" relativeHeight="251671552" behindDoc="0" locked="0" layoutInCell="1" allowOverlap="1" wp14:anchorId="78601133" wp14:editId="1880BBC7">
                <wp:simplePos x="0" y="0"/>
                <wp:positionH relativeFrom="column">
                  <wp:posOffset>3658870</wp:posOffset>
                </wp:positionH>
                <wp:positionV relativeFrom="paragraph">
                  <wp:posOffset>1346200</wp:posOffset>
                </wp:positionV>
                <wp:extent cx="992505" cy="323850"/>
                <wp:effectExtent l="0" t="0" r="0" b="0"/>
                <wp:wrapNone/>
                <wp:docPr id="1544421076" name="圆角矩形 8"/>
                <wp:cNvGraphicFramePr/>
                <a:graphic xmlns:a="http://schemas.openxmlformats.org/drawingml/2006/main">
                  <a:graphicData uri="http://schemas.microsoft.com/office/word/2010/wordprocessingShape">
                    <wps:wsp>
                      <wps:cNvSpPr/>
                      <wps:spPr>
                        <a:xfrm>
                          <a:off x="0" y="0"/>
                          <a:ext cx="992505" cy="323850"/>
                        </a:xfrm>
                        <a:prstGeom prst="roundRect">
                          <a:avLst>
                            <a:gd name="adj" fmla="val 21864"/>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0B1A0C" w14:textId="77777777" w:rsidR="00BB475A" w:rsidRDefault="00BB475A">
                            <w:pPr>
                              <w:pStyle w:val="ListParagraph"/>
                              <w:widowControl w:val="0"/>
                              <w:numPr>
                                <w:ilvl w:val="0"/>
                                <w:numId w:val="1"/>
                              </w:numPr>
                              <w:tabs>
                                <w:tab w:val="clear" w:pos="1134"/>
                                <w:tab w:val="clear" w:pos="1871"/>
                                <w:tab w:val="clear" w:pos="2268"/>
                              </w:tabs>
                              <w:overflowPunct/>
                              <w:autoSpaceDE/>
                              <w:autoSpaceDN/>
                              <w:snapToGrid w:val="0"/>
                              <w:spacing w:before="0"/>
                              <w:ind w:left="227" w:hanging="227"/>
                              <w:textAlignment w:val="auto"/>
                              <w:rPr>
                                <w:rFonts w:ascii="Calibri" w:hAnsi="Calibri" w:cs="Calibri"/>
                                <w:color w:val="000000" w:themeColor="text1"/>
                                <w:sz w:val="14"/>
                                <w:szCs w:val="14"/>
                              </w:rPr>
                            </w:pPr>
                            <w:r>
                              <w:rPr>
                                <w:rFonts w:ascii="Calibri" w:hAnsi="Calibri" w:hint="eastAsia"/>
                                <w:color w:val="000000" w:themeColor="text1"/>
                                <w:sz w:val="14"/>
                              </w:rPr>
                              <w:t>WSIS</w:t>
                            </w:r>
                            <w:proofErr w:type="spellStart"/>
                            <w:r>
                              <w:rPr>
                                <w:rFonts w:ascii="Calibri" w:hAnsi="Calibri" w:hint="eastAsia"/>
                                <w:color w:val="000000" w:themeColor="text1"/>
                                <w:sz w:val="14"/>
                              </w:rPr>
                              <w:t>行动方面</w:t>
                            </w:r>
                            <w:proofErr w:type="spellEnd"/>
                          </w:p>
                          <w:p w14:paraId="34F30C10" w14:textId="77777777" w:rsidR="00BB475A" w:rsidRDefault="00BB475A">
                            <w:pPr>
                              <w:pStyle w:val="ListParagraph"/>
                              <w:widowControl w:val="0"/>
                              <w:numPr>
                                <w:ilvl w:val="0"/>
                                <w:numId w:val="1"/>
                              </w:numPr>
                              <w:tabs>
                                <w:tab w:val="clear" w:pos="1134"/>
                                <w:tab w:val="clear" w:pos="1871"/>
                                <w:tab w:val="clear" w:pos="2268"/>
                              </w:tabs>
                              <w:overflowPunct/>
                              <w:autoSpaceDE/>
                              <w:autoSpaceDN/>
                              <w:snapToGrid w:val="0"/>
                              <w:spacing w:before="0"/>
                              <w:ind w:left="227" w:hanging="227"/>
                              <w:textAlignment w:val="auto"/>
                              <w:rPr>
                                <w:rFonts w:ascii="Calibri" w:hAnsi="Calibri" w:cs="Calibri"/>
                                <w:color w:val="000000" w:themeColor="text1"/>
                                <w:sz w:val="14"/>
                                <w:szCs w:val="14"/>
                              </w:rPr>
                            </w:pPr>
                            <w:proofErr w:type="spellStart"/>
                            <w:r>
                              <w:rPr>
                                <w:rFonts w:ascii="Calibri" w:hAnsi="Calibri" w:hint="eastAsia"/>
                                <w:color w:val="000000" w:themeColor="text1"/>
                                <w:sz w:val="14"/>
                              </w:rPr>
                              <w:t>可持续发展目标</w:t>
                            </w:r>
                            <w:proofErr w:type="spellEnd"/>
                          </w:p>
                        </w:txbxContent>
                      </wps:txbx>
                      <wps:bodyPr rot="0" spcFirstLastPara="0" vertOverflow="overflow" horzOverflow="overflow" vert="horz" wrap="square" lIns="36000" tIns="36000" rIns="0" bIns="0" numCol="1" spcCol="0" rtlCol="0" fromWordArt="0" anchor="ctr" anchorCtr="0" forceAA="0" compatLnSpc="1">
                        <a:noAutofit/>
                      </wps:bodyPr>
                    </wps:wsp>
                  </a:graphicData>
                </a:graphic>
              </wp:anchor>
            </w:drawing>
          </mc:Choice>
          <mc:Fallback>
            <w:pict>
              <v:roundrect w14:anchorId="78601133" id="圆角矩形 8" o:spid="_x0000_s1026" style="position:absolute;margin-left:288.1pt;margin-top:106pt;width:78.1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43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" fillcolor="#00b050" stroked="f" strokeweight="2pt">
                <v:textbox inset="1mm,1mm,0,0">
                  <w:txbxContent>
                    <w:p w14:paraId="300B1A0C" w14:textId="77777777" w:rsidR="00BB475A" w:rsidRDefault="00BB475A">
                      <w:pPr>
                        <w:pStyle w:val="ListParagraph"/>
                        <w:widowControl w:val="0"/>
                        <w:numPr>
                          <w:ilvl w:val="0"/>
                          <w:numId w:val="1"/>
                        </w:numPr>
                        <w:tabs>
                          <w:tab w:val="clear" w:pos="1134"/>
                          <w:tab w:val="clear" w:pos="1871"/>
                          <w:tab w:val="clear" w:pos="2268"/>
                        </w:tabs>
                        <w:overflowPunct/>
                        <w:autoSpaceDE/>
                        <w:autoSpaceDN/>
                        <w:snapToGrid w:val="0"/>
                        <w:spacing w:before="0"/>
                        <w:ind w:left="227" w:hanging="227"/>
                        <w:textAlignment w:val="auto"/>
                        <w:rPr>
                          <w:rFonts w:ascii="Calibri" w:hAnsi="Calibri" w:cs="Calibri"/>
                          <w:color w:val="000000" w:themeColor="text1"/>
                          <w:sz w:val="14"/>
                          <w:szCs w:val="14"/>
                        </w:rPr>
                      </w:pPr>
                      <w:r>
                        <w:rPr>
                          <w:rFonts w:ascii="Calibri" w:hAnsi="Calibri" w:hint="eastAsia"/>
                          <w:color w:val="000000" w:themeColor="text1"/>
                          <w:sz w:val="14"/>
                        </w:rPr>
                        <w:t>WSIS</w:t>
                      </w:r>
                      <w:proofErr w:type="spellStart"/>
                      <w:r>
                        <w:rPr>
                          <w:rFonts w:ascii="Calibri" w:hAnsi="Calibri" w:hint="eastAsia"/>
                          <w:color w:val="000000" w:themeColor="text1"/>
                          <w:sz w:val="14"/>
                        </w:rPr>
                        <w:t>行动方面</w:t>
                      </w:r>
                      <w:proofErr w:type="spellEnd"/>
                    </w:p>
                    <w:p w14:paraId="34F30C10" w14:textId="77777777" w:rsidR="00BB475A" w:rsidRDefault="00BB475A">
                      <w:pPr>
                        <w:pStyle w:val="ListParagraph"/>
                        <w:widowControl w:val="0"/>
                        <w:numPr>
                          <w:ilvl w:val="0"/>
                          <w:numId w:val="1"/>
                        </w:numPr>
                        <w:tabs>
                          <w:tab w:val="clear" w:pos="1134"/>
                          <w:tab w:val="clear" w:pos="1871"/>
                          <w:tab w:val="clear" w:pos="2268"/>
                        </w:tabs>
                        <w:overflowPunct/>
                        <w:autoSpaceDE/>
                        <w:autoSpaceDN/>
                        <w:snapToGrid w:val="0"/>
                        <w:spacing w:before="0"/>
                        <w:ind w:left="227" w:hanging="227"/>
                        <w:textAlignment w:val="auto"/>
                        <w:rPr>
                          <w:rFonts w:ascii="Calibri" w:hAnsi="Calibri" w:cs="Calibri"/>
                          <w:color w:val="000000" w:themeColor="text1"/>
                          <w:sz w:val="14"/>
                          <w:szCs w:val="14"/>
                        </w:rPr>
                      </w:pPr>
                      <w:proofErr w:type="spellStart"/>
                      <w:r>
                        <w:rPr>
                          <w:rFonts w:ascii="Calibri" w:hAnsi="Calibri" w:hint="eastAsia"/>
                          <w:color w:val="000000" w:themeColor="text1"/>
                          <w:sz w:val="14"/>
                        </w:rPr>
                        <w:t>可持续发展目标</w:t>
                      </w:r>
                      <w:proofErr w:type="spellEnd"/>
                    </w:p>
                  </w:txbxContent>
                </v:textbox>
              </v:roundrect>
            </w:pict>
          </mc:Fallback>
        </mc:AlternateContent>
      </w:r>
      <w:r>
        <w:rPr>
          <w:rFonts w:hint="eastAsia"/>
          <w:noProof/>
          <w:lang w:val="en-US" w:eastAsia="zh-CN"/>
        </w:rPr>
        <mc:AlternateContent>
          <mc:Choice Requires="wps">
            <w:drawing>
              <wp:anchor distT="0" distB="0" distL="114300" distR="114300" simplePos="0" relativeHeight="251670528" behindDoc="0" locked="0" layoutInCell="1" allowOverlap="1" wp14:anchorId="1DB08AA6" wp14:editId="18C3D57A">
                <wp:simplePos x="0" y="0"/>
                <wp:positionH relativeFrom="column">
                  <wp:posOffset>3658870</wp:posOffset>
                </wp:positionH>
                <wp:positionV relativeFrom="paragraph">
                  <wp:posOffset>919480</wp:posOffset>
                </wp:positionV>
                <wp:extent cx="992505" cy="360045"/>
                <wp:effectExtent l="0" t="0" r="0" b="2540"/>
                <wp:wrapNone/>
                <wp:docPr id="871269663" name="圆角矩形 8"/>
                <wp:cNvGraphicFramePr/>
                <a:graphic xmlns:a="http://schemas.openxmlformats.org/drawingml/2006/main">
                  <a:graphicData uri="http://schemas.microsoft.com/office/word/2010/wordprocessingShape">
                    <wps:wsp>
                      <wps:cNvSpPr/>
                      <wps:spPr>
                        <a:xfrm>
                          <a:off x="0" y="0"/>
                          <a:ext cx="992505" cy="360000"/>
                        </a:xfrm>
                        <a:prstGeom prst="round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0E31A2" w14:textId="77777777" w:rsidR="00BB475A" w:rsidRDefault="00BB475A">
                            <w:pPr>
                              <w:snapToGrid w:val="0"/>
                              <w:rPr>
                                <w:rFonts w:ascii="Calibri" w:hAnsi="Calibri" w:cs="Calibri"/>
                                <w:color w:val="000000" w:themeColor="text1"/>
                                <w:sz w:val="14"/>
                                <w:szCs w:val="14"/>
                              </w:rPr>
                            </w:pPr>
                            <w:r>
                              <w:rPr>
                                <w:rFonts w:ascii="Calibri" w:hAnsi="Calibri" w:hint="eastAsia"/>
                                <w:color w:val="000000" w:themeColor="text1"/>
                                <w:sz w:val="14"/>
                              </w:rPr>
                              <w:t>PP-22</w:t>
                            </w:r>
                            <w:proofErr w:type="spellStart"/>
                            <w:r>
                              <w:rPr>
                                <w:rFonts w:ascii="Calibri" w:hAnsi="Calibri" w:hint="eastAsia"/>
                                <w:color w:val="000000" w:themeColor="text1"/>
                                <w:sz w:val="14"/>
                              </w:rPr>
                              <w:t>关于</w:t>
                            </w:r>
                            <w:proofErr w:type="spellEnd"/>
                            <w:r>
                              <w:rPr>
                                <w:rFonts w:ascii="Calibri" w:hAnsi="Calibri" w:hint="eastAsia"/>
                                <w:color w:val="000000" w:themeColor="text1"/>
                                <w:sz w:val="14"/>
                              </w:rPr>
                              <w:t>ITU-D</w:t>
                            </w:r>
                            <w:proofErr w:type="spellStart"/>
                            <w:r>
                              <w:rPr>
                                <w:rFonts w:ascii="Calibri" w:hAnsi="Calibri" w:hint="eastAsia"/>
                                <w:color w:val="000000" w:themeColor="text1"/>
                                <w:sz w:val="14"/>
                              </w:rPr>
                              <w:t>的成果</w:t>
                            </w:r>
                            <w:proofErr w:type="spellEnd"/>
                          </w:p>
                          <w:p w14:paraId="0992CBD4" w14:textId="77777777" w:rsidR="00BB475A" w:rsidRDefault="00BB475A">
                            <w:pPr>
                              <w:snapToGrid w:val="0"/>
                              <w:rPr>
                                <w:rFonts w:ascii="Calibri" w:hAnsi="Calibri" w:cs="Calibri"/>
                                <w:sz w:val="14"/>
                                <w:szCs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DB08AA6" id="_x0000_s1027" style="position:absolute;margin-left:288.1pt;margin-top:72.4pt;width:78.15pt;height:28.3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" fillcolor="#bfbfbf [2412]" stroked="f" strokeweight="2pt">
                <v:textbox>
                  <w:txbxContent>
                    <w:p w14:paraId="260E31A2" w14:textId="77777777" w:rsidR="00BB475A" w:rsidRDefault="00BB475A">
                      <w:pPr>
                        <w:snapToGrid w:val="0"/>
                        <w:rPr>
                          <w:rFonts w:ascii="Calibri" w:hAnsi="Calibri" w:cs="Calibri"/>
                          <w:color w:val="000000" w:themeColor="text1"/>
                          <w:sz w:val="14"/>
                          <w:szCs w:val="14"/>
                        </w:rPr>
                      </w:pPr>
                      <w:r>
                        <w:rPr>
                          <w:rFonts w:ascii="Calibri" w:hAnsi="Calibri" w:hint="eastAsia"/>
                          <w:color w:val="000000" w:themeColor="text1"/>
                          <w:sz w:val="14"/>
                        </w:rPr>
                        <w:t>PP-22</w:t>
                      </w:r>
                      <w:proofErr w:type="spellStart"/>
                      <w:r>
                        <w:rPr>
                          <w:rFonts w:ascii="Calibri" w:hAnsi="Calibri" w:hint="eastAsia"/>
                          <w:color w:val="000000" w:themeColor="text1"/>
                          <w:sz w:val="14"/>
                        </w:rPr>
                        <w:t>关于</w:t>
                      </w:r>
                      <w:proofErr w:type="spellEnd"/>
                      <w:r>
                        <w:rPr>
                          <w:rFonts w:ascii="Calibri" w:hAnsi="Calibri" w:hint="eastAsia"/>
                          <w:color w:val="000000" w:themeColor="text1"/>
                          <w:sz w:val="14"/>
                        </w:rPr>
                        <w:t>ITU-D</w:t>
                      </w:r>
                      <w:proofErr w:type="spellStart"/>
                      <w:r>
                        <w:rPr>
                          <w:rFonts w:ascii="Calibri" w:hAnsi="Calibri" w:hint="eastAsia"/>
                          <w:color w:val="000000" w:themeColor="text1"/>
                          <w:sz w:val="14"/>
                        </w:rPr>
                        <w:t>的成果</w:t>
                      </w:r>
                      <w:proofErr w:type="spellEnd"/>
                    </w:p>
                    <w:p w14:paraId="0992CBD4" w14:textId="77777777" w:rsidR="00BB475A" w:rsidRDefault="00BB475A">
                      <w:pPr>
                        <w:snapToGrid w:val="0"/>
                        <w:rPr>
                          <w:rFonts w:ascii="Calibri" w:hAnsi="Calibri" w:cs="Calibri"/>
                          <w:sz w:val="14"/>
                          <w:szCs w:val="14"/>
                        </w:rPr>
                      </w:pPr>
                    </w:p>
                  </w:txbxContent>
                </v:textbox>
              </v:roundrect>
            </w:pict>
          </mc:Fallback>
        </mc:AlternateContent>
      </w:r>
      <w:r>
        <w:rPr>
          <w:rFonts w:hint="eastAsia"/>
          <w:noProof/>
          <w:lang w:val="en-US" w:eastAsia="zh-CN"/>
        </w:rPr>
        <mc:AlternateContent>
          <mc:Choice Requires="wps">
            <w:drawing>
              <wp:anchor distT="0" distB="0" distL="114300" distR="114300" simplePos="0" relativeHeight="251669504" behindDoc="0" locked="0" layoutInCell="1" allowOverlap="1" wp14:anchorId="2BE174A0" wp14:editId="0343E6A9">
                <wp:simplePos x="0" y="0"/>
                <wp:positionH relativeFrom="column">
                  <wp:posOffset>3658870</wp:posOffset>
                </wp:positionH>
                <wp:positionV relativeFrom="paragraph">
                  <wp:posOffset>55880</wp:posOffset>
                </wp:positionV>
                <wp:extent cx="993140" cy="774065"/>
                <wp:effectExtent l="0" t="0" r="0" b="6985"/>
                <wp:wrapNone/>
                <wp:docPr id="2070714602" name="圆角矩形 7"/>
                <wp:cNvGraphicFramePr/>
                <a:graphic xmlns:a="http://schemas.openxmlformats.org/drawingml/2006/main">
                  <a:graphicData uri="http://schemas.microsoft.com/office/word/2010/wordprocessingShape">
                    <wps:wsp>
                      <wps:cNvSpPr/>
                      <wps:spPr>
                        <a:xfrm>
                          <a:off x="0" y="0"/>
                          <a:ext cx="992938" cy="774065"/>
                        </a:xfrm>
                        <a:prstGeom prst="roundRect">
                          <a:avLst/>
                        </a:pr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68E344" w14:textId="77777777" w:rsidR="00BB475A" w:rsidRDefault="00BB475A">
                            <w:pPr>
                              <w:snapToGrid w:val="0"/>
                              <w:rPr>
                                <w:rFonts w:ascii="Calibri" w:hAnsi="Calibri" w:cs="Calibri"/>
                                <w:color w:val="000000" w:themeColor="text1"/>
                                <w:sz w:val="14"/>
                                <w:szCs w:val="14"/>
                                <w14:shadow w14:blurRad="50800" w14:dist="50800" w14:dir="5400000" w14:sx="0" w14:sy="0" w14:kx="0" w14:ky="0" w14:algn="ctr">
                                  <w14:schemeClr w14:val="tx1"/>
                                </w14:shadow>
                              </w:rPr>
                            </w:pPr>
                            <w:r>
                              <w:rPr>
                                <w:rFonts w:ascii="Calibri" w:hAnsi="Calibri" w:hint="eastAsia"/>
                                <w:color w:val="000000" w:themeColor="text1"/>
                                <w:sz w:val="14"/>
                                <w14:shadow w14:blurRad="50800" w14:dist="50800" w14:dir="5400000" w14:sx="0" w14:sy="0" w14:kx="0" w14:ky="0" w14:algn="ctr">
                                  <w14:schemeClr w14:val="tx1"/>
                                </w14:shadow>
                              </w:rPr>
                              <w:t>WTDC-25</w:t>
                            </w:r>
                            <w:proofErr w:type="spellStart"/>
                            <w:r>
                              <w:rPr>
                                <w:rFonts w:ascii="Calibri" w:hAnsi="Calibri" w:hint="eastAsia"/>
                                <w:color w:val="000000" w:themeColor="text1"/>
                                <w:sz w:val="14"/>
                                <w14:shadow w14:blurRad="50800" w14:dist="50800" w14:dir="5400000" w14:sx="0" w14:sy="0" w14:kx="0" w14:ky="0" w14:algn="ctr">
                                  <w14:schemeClr w14:val="tx1"/>
                                </w14:shadow>
                              </w:rPr>
                              <w:t>成果</w:t>
                            </w:r>
                            <w:proofErr w:type="spellEnd"/>
                          </w:p>
                          <w:p w14:paraId="31E38C68" w14:textId="77777777" w:rsidR="00BB475A" w:rsidRDefault="00BB475A">
                            <w:pPr>
                              <w:pStyle w:val="ListParagraph"/>
                              <w:widowControl w:val="0"/>
                              <w:numPr>
                                <w:ilvl w:val="0"/>
                                <w:numId w:val="2"/>
                              </w:numPr>
                              <w:tabs>
                                <w:tab w:val="clear" w:pos="1134"/>
                                <w:tab w:val="clear" w:pos="1871"/>
                                <w:tab w:val="clear" w:pos="2268"/>
                              </w:tabs>
                              <w:overflowPunct/>
                              <w:autoSpaceDE/>
                              <w:autoSpaceDN/>
                              <w:snapToGrid w:val="0"/>
                              <w:spacing w:before="0"/>
                              <w:ind w:left="227" w:hanging="227"/>
                              <w:contextualSpacing w:val="0"/>
                              <w:textAlignment w:val="auto"/>
                              <w:rPr>
                                <w:rFonts w:ascii="Calibri" w:hAnsi="Calibri" w:cs="Calibri"/>
                                <w:color w:val="000000" w:themeColor="text1"/>
                                <w:sz w:val="14"/>
                                <w:szCs w:val="14"/>
                                <w14:shadow w14:blurRad="50800" w14:dist="50800" w14:dir="5400000" w14:sx="0" w14:sy="0" w14:kx="0" w14:ky="0" w14:algn="ctr">
                                  <w14:schemeClr w14:val="tx1"/>
                                </w14:shadow>
                              </w:rPr>
                            </w:pPr>
                            <w:r>
                              <w:rPr>
                                <w:rFonts w:ascii="Calibri" w:hAnsi="Calibri" w:hint="eastAsia"/>
                                <w:color w:val="000000" w:themeColor="text1"/>
                                <w:sz w:val="14"/>
                                <w14:shadow w14:blurRad="50800" w14:dist="50800" w14:dir="5400000" w14:sx="0" w14:sy="0" w14:kx="0" w14:ky="0" w14:algn="ctr">
                                  <w14:schemeClr w14:val="tx1"/>
                                </w14:shadow>
                              </w:rPr>
                              <w:t>《</w:t>
                            </w:r>
                            <w:proofErr w:type="spellStart"/>
                            <w:r>
                              <w:rPr>
                                <w:rFonts w:ascii="Calibri" w:hAnsi="Calibri" w:hint="eastAsia"/>
                                <w:color w:val="000000" w:themeColor="text1"/>
                                <w:sz w:val="14"/>
                                <w14:shadow w14:blurRad="50800" w14:dist="50800" w14:dir="5400000" w14:sx="0" w14:sy="0" w14:kx="0" w14:ky="0" w14:algn="ctr">
                                  <w14:schemeClr w14:val="tx1"/>
                                </w14:shadow>
                              </w:rPr>
                              <w:t>巴库行动计划</w:t>
                            </w:r>
                            <w:proofErr w:type="spellEnd"/>
                            <w:r>
                              <w:rPr>
                                <w:rFonts w:ascii="Calibri" w:hAnsi="Calibri" w:hint="eastAsia"/>
                                <w:color w:val="000000" w:themeColor="text1"/>
                                <w:sz w:val="14"/>
                                <w14:shadow w14:blurRad="50800" w14:dist="50800" w14:dir="5400000" w14:sx="0" w14:sy="0" w14:kx="0" w14:ky="0" w14:algn="ctr">
                                  <w14:schemeClr w14:val="tx1"/>
                                </w14:shadow>
                              </w:rPr>
                              <w:t>》</w:t>
                            </w:r>
                          </w:p>
                          <w:p w14:paraId="018E506B" w14:textId="77777777" w:rsidR="00BB475A" w:rsidRDefault="00BB475A">
                            <w:pPr>
                              <w:pStyle w:val="ListParagraph"/>
                              <w:widowControl w:val="0"/>
                              <w:numPr>
                                <w:ilvl w:val="0"/>
                                <w:numId w:val="2"/>
                              </w:numPr>
                              <w:tabs>
                                <w:tab w:val="clear" w:pos="1134"/>
                                <w:tab w:val="clear" w:pos="1871"/>
                                <w:tab w:val="clear" w:pos="2268"/>
                              </w:tabs>
                              <w:overflowPunct/>
                              <w:autoSpaceDE/>
                              <w:autoSpaceDN/>
                              <w:snapToGrid w:val="0"/>
                              <w:spacing w:before="0"/>
                              <w:ind w:left="227" w:hanging="227"/>
                              <w:textAlignment w:val="auto"/>
                              <w:rPr>
                                <w:rFonts w:ascii="Calibri" w:hAnsi="Calibri" w:cs="Calibri"/>
                                <w:color w:val="000000" w:themeColor="text1"/>
                                <w:sz w:val="14"/>
                                <w:szCs w:val="14"/>
                                <w14:shadow w14:blurRad="50800" w14:dist="50800" w14:dir="5400000" w14:sx="0" w14:sy="0" w14:kx="0" w14:ky="0" w14:algn="ctr">
                                  <w14:schemeClr w14:val="tx1"/>
                                </w14:shadow>
                              </w:rPr>
                            </w:pPr>
                            <w:proofErr w:type="spellStart"/>
                            <w:r>
                              <w:rPr>
                                <w:rFonts w:ascii="Calibri" w:hAnsi="Calibri" w:hint="eastAsia"/>
                                <w:color w:val="000000" w:themeColor="text1"/>
                                <w:sz w:val="14"/>
                                <w14:shadow w14:blurRad="50800" w14:dist="50800" w14:dir="5400000" w14:sx="0" w14:sy="0" w14:kx="0" w14:ky="0" w14:algn="ctr">
                                  <w14:schemeClr w14:val="tx1"/>
                                </w14:shadow>
                              </w:rPr>
                              <w:t>区域性举措</w:t>
                            </w:r>
                            <w:proofErr w:type="spellEnd"/>
                          </w:p>
                          <w:p w14:paraId="4BAFDC28" w14:textId="77777777" w:rsidR="00BB475A" w:rsidRDefault="00BB475A">
                            <w:pPr>
                              <w:pStyle w:val="ListParagraph"/>
                              <w:widowControl w:val="0"/>
                              <w:numPr>
                                <w:ilvl w:val="0"/>
                                <w:numId w:val="2"/>
                              </w:numPr>
                              <w:tabs>
                                <w:tab w:val="clear" w:pos="1134"/>
                                <w:tab w:val="clear" w:pos="1871"/>
                                <w:tab w:val="clear" w:pos="2268"/>
                              </w:tabs>
                              <w:overflowPunct/>
                              <w:autoSpaceDE/>
                              <w:autoSpaceDN/>
                              <w:snapToGrid w:val="0"/>
                              <w:spacing w:before="0"/>
                              <w:ind w:left="227" w:hanging="227"/>
                              <w:textAlignment w:val="auto"/>
                              <w:rPr>
                                <w:rFonts w:ascii="Calibri" w:hAnsi="Calibri" w:cs="Calibri"/>
                                <w:color w:val="000000" w:themeColor="text1"/>
                                <w:sz w:val="14"/>
                                <w:szCs w:val="14"/>
                                <w14:shadow w14:blurRad="50800" w14:dist="50800" w14:dir="5400000" w14:sx="0" w14:sy="0" w14:kx="0" w14:ky="0" w14:algn="ctr">
                                  <w14:schemeClr w14:val="tx1"/>
                                </w14:shadow>
                              </w:rPr>
                            </w:pPr>
                            <w:proofErr w:type="spellStart"/>
                            <w:r>
                              <w:rPr>
                                <w:rFonts w:ascii="Calibri" w:hAnsi="Calibri" w:hint="eastAsia"/>
                                <w:color w:val="000000" w:themeColor="text1"/>
                                <w:sz w:val="14"/>
                                <w14:shadow w14:blurRad="50800" w14:dist="50800" w14:dir="5400000" w14:sx="0" w14:sy="0" w14:kx="0" w14:ky="0" w14:algn="ctr">
                                  <w14:schemeClr w14:val="tx1"/>
                                </w14:shadow>
                              </w:rPr>
                              <w:t>决议</w:t>
                            </w:r>
                            <w:proofErr w:type="spellEnd"/>
                          </w:p>
                          <w:p w14:paraId="349DC8B8" w14:textId="77777777" w:rsidR="00BB475A" w:rsidRDefault="00BB475A">
                            <w:pPr>
                              <w:pStyle w:val="ListParagraph"/>
                              <w:widowControl w:val="0"/>
                              <w:numPr>
                                <w:ilvl w:val="0"/>
                                <w:numId w:val="2"/>
                              </w:numPr>
                              <w:tabs>
                                <w:tab w:val="clear" w:pos="1134"/>
                                <w:tab w:val="clear" w:pos="1871"/>
                                <w:tab w:val="clear" w:pos="2268"/>
                              </w:tabs>
                              <w:overflowPunct/>
                              <w:autoSpaceDE/>
                              <w:autoSpaceDN/>
                              <w:snapToGrid w:val="0"/>
                              <w:spacing w:before="0"/>
                              <w:ind w:left="227" w:hanging="227"/>
                              <w:textAlignment w:val="auto"/>
                              <w:rPr>
                                <w:rFonts w:ascii="Calibri" w:hAnsi="Calibri" w:cs="Calibri"/>
                                <w:color w:val="000000" w:themeColor="text1"/>
                                <w:sz w:val="14"/>
                                <w:szCs w:val="14"/>
                                <w14:shadow w14:blurRad="50800" w14:dist="50800" w14:dir="5400000" w14:sx="0" w14:sy="0" w14:kx="0" w14:ky="0" w14:algn="ctr">
                                  <w14:schemeClr w14:val="tx1"/>
                                </w14:shadow>
                              </w:rPr>
                            </w:pPr>
                            <w:proofErr w:type="spellStart"/>
                            <w:r>
                              <w:rPr>
                                <w:rFonts w:ascii="Calibri" w:hAnsi="Calibri" w:hint="eastAsia"/>
                                <w:color w:val="000000" w:themeColor="text1"/>
                                <w:sz w:val="14"/>
                                <w14:shadow w14:blurRad="50800" w14:dist="50800" w14:dir="5400000" w14:sx="0" w14:sy="0" w14:kx="0" w14:ky="0" w14:algn="ctr">
                                  <w14:schemeClr w14:val="tx1"/>
                                </w14:shadow>
                              </w:rPr>
                              <w:t>研究组课题</w:t>
                            </w:r>
                            <w:proofErr w:type="spellEnd"/>
                          </w:p>
                          <w:p w14:paraId="242A0626" w14:textId="77777777" w:rsidR="00BB475A" w:rsidRDefault="00BB475A">
                            <w:pPr>
                              <w:rPr>
                                <w:color w:val="000000" w:themeColor="text1"/>
                                <w:sz w:val="14"/>
                                <w:szCs w:val="14"/>
                              </w:rPr>
                            </w:pPr>
                          </w:p>
                        </w:txbxContent>
                      </wps:txbx>
                      <wps:bodyPr rot="0" spcFirstLastPara="0" vertOverflow="overflow" horzOverflow="overflow" vert="horz" wrap="square" lIns="0" tIns="36000" rIns="0" bIns="0" numCol="1" spcCol="0" rtlCol="0" fromWordArt="0" anchor="ctr" anchorCtr="0" forceAA="0" compatLnSpc="1">
                        <a:noAutofit/>
                      </wps:bodyPr>
                    </wps:wsp>
                  </a:graphicData>
                </a:graphic>
              </wp:anchor>
            </w:drawing>
          </mc:Choice>
          <mc:Fallback>
            <w:pict>
              <v:roundrect w14:anchorId="2BE174A0" id="圆角矩形 7" o:spid="_x0000_s1028" style="position:absolute;margin-left:288.1pt;margin-top:4.4pt;width:78.2pt;height:60.9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" fillcolor="#00b0f0" stroked="f" strokeweight="2pt">
                <v:textbox inset="0,1mm,0,0">
                  <w:txbxContent>
                    <w:p w14:paraId="6B68E344" w14:textId="77777777" w:rsidR="00BB475A" w:rsidRDefault="00BB475A">
                      <w:pPr>
                        <w:snapToGrid w:val="0"/>
                        <w:rPr>
                          <w:rFonts w:ascii="Calibri" w:hAnsi="Calibri" w:cs="Calibri"/>
                          <w:color w:val="000000" w:themeColor="text1"/>
                          <w:sz w:val="14"/>
                          <w:szCs w:val="14"/>
                          <w14:shadow w14:blurRad="50800" w14:dist="50800" w14:dir="5400000" w14:sx="0" w14:sy="0" w14:kx="0" w14:ky="0" w14:algn="ctr">
                            <w14:schemeClr w14:val="tx1"/>
                          </w14:shadow>
                        </w:rPr>
                      </w:pPr>
                      <w:r>
                        <w:rPr>
                          <w:rFonts w:ascii="Calibri" w:hAnsi="Calibri" w:hint="eastAsia"/>
                          <w:color w:val="000000" w:themeColor="text1"/>
                          <w:sz w:val="14"/>
                          <w14:shadow w14:blurRad="50800" w14:dist="50800" w14:dir="5400000" w14:sx="0" w14:sy="0" w14:kx="0" w14:ky="0" w14:algn="ctr">
                            <w14:schemeClr w14:val="tx1"/>
                          </w14:shadow>
                        </w:rPr>
                        <w:t>WTDC-25</w:t>
                      </w:r>
                      <w:proofErr w:type="spellStart"/>
                      <w:r>
                        <w:rPr>
                          <w:rFonts w:ascii="Calibri" w:hAnsi="Calibri" w:hint="eastAsia"/>
                          <w:color w:val="000000" w:themeColor="text1"/>
                          <w:sz w:val="14"/>
                          <w14:shadow w14:blurRad="50800" w14:dist="50800" w14:dir="5400000" w14:sx="0" w14:sy="0" w14:kx="0" w14:ky="0" w14:algn="ctr">
                            <w14:schemeClr w14:val="tx1"/>
                          </w14:shadow>
                        </w:rPr>
                        <w:t>成果</w:t>
                      </w:r>
                      <w:proofErr w:type="spellEnd"/>
                    </w:p>
                    <w:p w14:paraId="31E38C68" w14:textId="77777777" w:rsidR="00BB475A" w:rsidRDefault="00BB475A">
                      <w:pPr>
                        <w:pStyle w:val="ListParagraph"/>
                        <w:widowControl w:val="0"/>
                        <w:numPr>
                          <w:ilvl w:val="0"/>
                          <w:numId w:val="2"/>
                        </w:numPr>
                        <w:tabs>
                          <w:tab w:val="clear" w:pos="1134"/>
                          <w:tab w:val="clear" w:pos="1871"/>
                          <w:tab w:val="clear" w:pos="2268"/>
                        </w:tabs>
                        <w:overflowPunct/>
                        <w:autoSpaceDE/>
                        <w:autoSpaceDN/>
                        <w:snapToGrid w:val="0"/>
                        <w:spacing w:before="0"/>
                        <w:ind w:left="227" w:hanging="227"/>
                        <w:contextualSpacing w:val="0"/>
                        <w:textAlignment w:val="auto"/>
                        <w:rPr>
                          <w:rFonts w:ascii="Calibri" w:hAnsi="Calibri" w:cs="Calibri"/>
                          <w:color w:val="000000" w:themeColor="text1"/>
                          <w:sz w:val="14"/>
                          <w:szCs w:val="14"/>
                          <w14:shadow w14:blurRad="50800" w14:dist="50800" w14:dir="5400000" w14:sx="0" w14:sy="0" w14:kx="0" w14:ky="0" w14:algn="ctr">
                            <w14:schemeClr w14:val="tx1"/>
                          </w14:shadow>
                        </w:rPr>
                      </w:pPr>
                      <w:r>
                        <w:rPr>
                          <w:rFonts w:ascii="Calibri" w:hAnsi="Calibri" w:hint="eastAsia"/>
                          <w:color w:val="000000" w:themeColor="text1"/>
                          <w:sz w:val="14"/>
                          <w14:shadow w14:blurRad="50800" w14:dist="50800" w14:dir="5400000" w14:sx="0" w14:sy="0" w14:kx="0" w14:ky="0" w14:algn="ctr">
                            <w14:schemeClr w14:val="tx1"/>
                          </w14:shadow>
                        </w:rPr>
                        <w:t>《</w:t>
                      </w:r>
                      <w:proofErr w:type="spellStart"/>
                      <w:r>
                        <w:rPr>
                          <w:rFonts w:ascii="Calibri" w:hAnsi="Calibri" w:hint="eastAsia"/>
                          <w:color w:val="000000" w:themeColor="text1"/>
                          <w:sz w:val="14"/>
                          <w14:shadow w14:blurRad="50800" w14:dist="50800" w14:dir="5400000" w14:sx="0" w14:sy="0" w14:kx="0" w14:ky="0" w14:algn="ctr">
                            <w14:schemeClr w14:val="tx1"/>
                          </w14:shadow>
                        </w:rPr>
                        <w:t>巴库行动计划</w:t>
                      </w:r>
                      <w:proofErr w:type="spellEnd"/>
                      <w:r>
                        <w:rPr>
                          <w:rFonts w:ascii="Calibri" w:hAnsi="Calibri" w:hint="eastAsia"/>
                          <w:color w:val="000000" w:themeColor="text1"/>
                          <w:sz w:val="14"/>
                          <w14:shadow w14:blurRad="50800" w14:dist="50800" w14:dir="5400000" w14:sx="0" w14:sy="0" w14:kx="0" w14:ky="0" w14:algn="ctr">
                            <w14:schemeClr w14:val="tx1"/>
                          </w14:shadow>
                        </w:rPr>
                        <w:t>》</w:t>
                      </w:r>
                    </w:p>
                    <w:p w14:paraId="018E506B" w14:textId="77777777" w:rsidR="00BB475A" w:rsidRDefault="00BB475A">
                      <w:pPr>
                        <w:pStyle w:val="ListParagraph"/>
                        <w:widowControl w:val="0"/>
                        <w:numPr>
                          <w:ilvl w:val="0"/>
                          <w:numId w:val="2"/>
                        </w:numPr>
                        <w:tabs>
                          <w:tab w:val="clear" w:pos="1134"/>
                          <w:tab w:val="clear" w:pos="1871"/>
                          <w:tab w:val="clear" w:pos="2268"/>
                        </w:tabs>
                        <w:overflowPunct/>
                        <w:autoSpaceDE/>
                        <w:autoSpaceDN/>
                        <w:snapToGrid w:val="0"/>
                        <w:spacing w:before="0"/>
                        <w:ind w:left="227" w:hanging="227"/>
                        <w:textAlignment w:val="auto"/>
                        <w:rPr>
                          <w:rFonts w:ascii="Calibri" w:hAnsi="Calibri" w:cs="Calibri"/>
                          <w:color w:val="000000" w:themeColor="text1"/>
                          <w:sz w:val="14"/>
                          <w:szCs w:val="14"/>
                          <w14:shadow w14:blurRad="50800" w14:dist="50800" w14:dir="5400000" w14:sx="0" w14:sy="0" w14:kx="0" w14:ky="0" w14:algn="ctr">
                            <w14:schemeClr w14:val="tx1"/>
                          </w14:shadow>
                        </w:rPr>
                      </w:pPr>
                      <w:proofErr w:type="spellStart"/>
                      <w:r>
                        <w:rPr>
                          <w:rFonts w:ascii="Calibri" w:hAnsi="Calibri" w:hint="eastAsia"/>
                          <w:color w:val="000000" w:themeColor="text1"/>
                          <w:sz w:val="14"/>
                          <w14:shadow w14:blurRad="50800" w14:dist="50800" w14:dir="5400000" w14:sx="0" w14:sy="0" w14:kx="0" w14:ky="0" w14:algn="ctr">
                            <w14:schemeClr w14:val="tx1"/>
                          </w14:shadow>
                        </w:rPr>
                        <w:t>区域性举措</w:t>
                      </w:r>
                      <w:proofErr w:type="spellEnd"/>
                    </w:p>
                    <w:p w14:paraId="4BAFDC28" w14:textId="77777777" w:rsidR="00BB475A" w:rsidRDefault="00BB475A">
                      <w:pPr>
                        <w:pStyle w:val="ListParagraph"/>
                        <w:widowControl w:val="0"/>
                        <w:numPr>
                          <w:ilvl w:val="0"/>
                          <w:numId w:val="2"/>
                        </w:numPr>
                        <w:tabs>
                          <w:tab w:val="clear" w:pos="1134"/>
                          <w:tab w:val="clear" w:pos="1871"/>
                          <w:tab w:val="clear" w:pos="2268"/>
                        </w:tabs>
                        <w:overflowPunct/>
                        <w:autoSpaceDE/>
                        <w:autoSpaceDN/>
                        <w:snapToGrid w:val="0"/>
                        <w:spacing w:before="0"/>
                        <w:ind w:left="227" w:hanging="227"/>
                        <w:textAlignment w:val="auto"/>
                        <w:rPr>
                          <w:rFonts w:ascii="Calibri" w:hAnsi="Calibri" w:cs="Calibri"/>
                          <w:color w:val="000000" w:themeColor="text1"/>
                          <w:sz w:val="14"/>
                          <w:szCs w:val="14"/>
                          <w14:shadow w14:blurRad="50800" w14:dist="50800" w14:dir="5400000" w14:sx="0" w14:sy="0" w14:kx="0" w14:ky="0" w14:algn="ctr">
                            <w14:schemeClr w14:val="tx1"/>
                          </w14:shadow>
                        </w:rPr>
                      </w:pPr>
                      <w:proofErr w:type="spellStart"/>
                      <w:r>
                        <w:rPr>
                          <w:rFonts w:ascii="Calibri" w:hAnsi="Calibri" w:hint="eastAsia"/>
                          <w:color w:val="000000" w:themeColor="text1"/>
                          <w:sz w:val="14"/>
                          <w14:shadow w14:blurRad="50800" w14:dist="50800" w14:dir="5400000" w14:sx="0" w14:sy="0" w14:kx="0" w14:ky="0" w14:algn="ctr">
                            <w14:schemeClr w14:val="tx1"/>
                          </w14:shadow>
                        </w:rPr>
                        <w:t>决议</w:t>
                      </w:r>
                      <w:proofErr w:type="spellEnd"/>
                    </w:p>
                    <w:p w14:paraId="349DC8B8" w14:textId="77777777" w:rsidR="00BB475A" w:rsidRDefault="00BB475A">
                      <w:pPr>
                        <w:pStyle w:val="ListParagraph"/>
                        <w:widowControl w:val="0"/>
                        <w:numPr>
                          <w:ilvl w:val="0"/>
                          <w:numId w:val="2"/>
                        </w:numPr>
                        <w:tabs>
                          <w:tab w:val="clear" w:pos="1134"/>
                          <w:tab w:val="clear" w:pos="1871"/>
                          <w:tab w:val="clear" w:pos="2268"/>
                        </w:tabs>
                        <w:overflowPunct/>
                        <w:autoSpaceDE/>
                        <w:autoSpaceDN/>
                        <w:snapToGrid w:val="0"/>
                        <w:spacing w:before="0"/>
                        <w:ind w:left="227" w:hanging="227"/>
                        <w:textAlignment w:val="auto"/>
                        <w:rPr>
                          <w:rFonts w:ascii="Calibri" w:hAnsi="Calibri" w:cs="Calibri"/>
                          <w:color w:val="000000" w:themeColor="text1"/>
                          <w:sz w:val="14"/>
                          <w:szCs w:val="14"/>
                          <w14:shadow w14:blurRad="50800" w14:dist="50800" w14:dir="5400000" w14:sx="0" w14:sy="0" w14:kx="0" w14:ky="0" w14:algn="ctr">
                            <w14:schemeClr w14:val="tx1"/>
                          </w14:shadow>
                        </w:rPr>
                      </w:pPr>
                      <w:proofErr w:type="spellStart"/>
                      <w:r>
                        <w:rPr>
                          <w:rFonts w:ascii="Calibri" w:hAnsi="Calibri" w:hint="eastAsia"/>
                          <w:color w:val="000000" w:themeColor="text1"/>
                          <w:sz w:val="14"/>
                          <w14:shadow w14:blurRad="50800" w14:dist="50800" w14:dir="5400000" w14:sx="0" w14:sy="0" w14:kx="0" w14:ky="0" w14:algn="ctr">
                            <w14:schemeClr w14:val="tx1"/>
                          </w14:shadow>
                        </w:rPr>
                        <w:t>研究组课题</w:t>
                      </w:r>
                      <w:proofErr w:type="spellEnd"/>
                    </w:p>
                    <w:p w14:paraId="242A0626" w14:textId="77777777" w:rsidR="00BB475A" w:rsidRDefault="00BB475A">
                      <w:pPr>
                        <w:rPr>
                          <w:color w:val="000000" w:themeColor="text1"/>
                          <w:sz w:val="14"/>
                          <w:szCs w:val="14"/>
                        </w:rPr>
                      </w:pPr>
                    </w:p>
                  </w:txbxContent>
                </v:textbox>
              </v:roundrect>
            </w:pict>
          </mc:Fallback>
        </mc:AlternateContent>
      </w:r>
      <w:r>
        <w:rPr>
          <w:rFonts w:hint="eastAsia"/>
          <w:noProof/>
          <w:lang w:val="en-US" w:eastAsia="zh-CN"/>
        </w:rPr>
        <mc:AlternateContent>
          <mc:Choice Requires="wps">
            <w:drawing>
              <wp:anchor distT="0" distB="0" distL="114300" distR="114300" simplePos="0" relativeHeight="251666432" behindDoc="0" locked="0" layoutInCell="1" allowOverlap="1" wp14:anchorId="5EF48E46" wp14:editId="67030C11">
                <wp:simplePos x="0" y="0"/>
                <wp:positionH relativeFrom="column">
                  <wp:posOffset>2844800</wp:posOffset>
                </wp:positionH>
                <wp:positionV relativeFrom="paragraph">
                  <wp:posOffset>810260</wp:posOffset>
                </wp:positionV>
                <wp:extent cx="614045" cy="193040"/>
                <wp:effectExtent l="0" t="0" r="0" b="0"/>
                <wp:wrapNone/>
                <wp:docPr id="208736624" name="左箭头 5"/>
                <wp:cNvGraphicFramePr/>
                <a:graphic xmlns:a="http://schemas.openxmlformats.org/drawingml/2006/main">
                  <a:graphicData uri="http://schemas.microsoft.com/office/word/2010/wordprocessingShape">
                    <wps:wsp>
                      <wps:cNvSpPr/>
                      <wps:spPr>
                        <a:xfrm>
                          <a:off x="0" y="0"/>
                          <a:ext cx="614045" cy="193040"/>
                        </a:xfrm>
                        <a:custGeom>
                          <a:avLst/>
                          <a:gdLst>
                            <a:gd name="connsiteX0" fmla="*/ 0 w 856300"/>
                            <a:gd name="connsiteY0" fmla="*/ 94598 h 211455"/>
                            <a:gd name="connsiteX1" fmla="*/ 163497 w 856300"/>
                            <a:gd name="connsiteY1" fmla="*/ 0 h 211455"/>
                            <a:gd name="connsiteX2" fmla="*/ 163497 w 856300"/>
                            <a:gd name="connsiteY2" fmla="*/ 52864 h 211455"/>
                            <a:gd name="connsiteX3" fmla="*/ 856300 w 856300"/>
                            <a:gd name="connsiteY3" fmla="*/ 55646 h 211455"/>
                            <a:gd name="connsiteX4" fmla="*/ 856300 w 856300"/>
                            <a:gd name="connsiteY4" fmla="*/ 161374 h 211455"/>
                            <a:gd name="connsiteX5" fmla="*/ 163497 w 856300"/>
                            <a:gd name="connsiteY5" fmla="*/ 158591 h 211455"/>
                            <a:gd name="connsiteX6" fmla="*/ 163497 w 856300"/>
                            <a:gd name="connsiteY6" fmla="*/ 211455 h 211455"/>
                            <a:gd name="connsiteX7" fmla="*/ 0 w 856300"/>
                            <a:gd name="connsiteY7" fmla="*/ 94598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56300" h="211455">
                              <a:moveTo>
                                <a:pt x="0" y="94598"/>
                              </a:moveTo>
                              <a:lnTo>
                                <a:pt x="163497" y="0"/>
                              </a:lnTo>
                              <a:lnTo>
                                <a:pt x="163497" y="52864"/>
                              </a:lnTo>
                              <a:lnTo>
                                <a:pt x="856300" y="55646"/>
                              </a:lnTo>
                              <a:lnTo>
                                <a:pt x="856300" y="161374"/>
                              </a:lnTo>
                              <a:lnTo>
                                <a:pt x="163497" y="158591"/>
                              </a:lnTo>
                              <a:lnTo>
                                <a:pt x="163497" y="211455"/>
                              </a:lnTo>
                              <a:lnTo>
                                <a:pt x="0" y="94598"/>
                              </a:ln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左箭头 5" o:spid="_x0000_s1026" o:spt="100" style="position:absolute;left:0pt;margin-left:224pt;margin-top:63.8pt;height:15.2pt;width:48.35pt;z-index:251666432;v-text-anchor:middle;mso-width-relative:page;mso-height-relative:page;" fillcolor="#D9D9D9 [2732]" filled="t" stroked="f" coordsize="856300,211455" o:gfxdata="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" path="m0,94598l163497,0,163497,52864,856300,55646,856300,161374,163497,158591,163497,211455,0,94598xe">
                <v:path o:connectlocs="0,86359;117242,0;117242,48260;614045,50799;614045,147320;117242,144779;117242,193040;0,86359" o:connectangles="0,0,0,0,0,0,0,0"/>
                <v:fill on="t" focussize="0,0"/>
                <v:stroke on="f" weight="2pt"/>
                <v:imagedata o:title=""/>
                <o:lock v:ext="edit" aspectratio="f"/>
              </v:shape>
            </w:pict>
          </mc:Fallback>
        </mc:AlternateContent>
      </w:r>
      <w:r>
        <w:rPr>
          <w:rFonts w:hint="eastAsia"/>
          <w:noProof/>
          <w:lang w:val="en-US" w:eastAsia="zh-CN"/>
        </w:rPr>
        <mc:AlternateContent>
          <mc:Choice Requires="wps">
            <w:drawing>
              <wp:anchor distT="0" distB="0" distL="114300" distR="114300" simplePos="0" relativeHeight="251665408" behindDoc="0" locked="0" layoutInCell="1" allowOverlap="1" wp14:anchorId="7AF2C396" wp14:editId="4E464269">
                <wp:simplePos x="0" y="0"/>
                <wp:positionH relativeFrom="column">
                  <wp:posOffset>2847340</wp:posOffset>
                </wp:positionH>
                <wp:positionV relativeFrom="paragraph">
                  <wp:posOffset>251460</wp:posOffset>
                </wp:positionV>
                <wp:extent cx="429260" cy="194310"/>
                <wp:effectExtent l="0" t="0" r="8890" b="0"/>
                <wp:wrapNone/>
                <wp:docPr id="925118575" name="左箭头 5"/>
                <wp:cNvGraphicFramePr/>
                <a:graphic xmlns:a="http://schemas.openxmlformats.org/drawingml/2006/main">
                  <a:graphicData uri="http://schemas.microsoft.com/office/word/2010/wordprocessingShape">
                    <wps:wsp>
                      <wps:cNvSpPr/>
                      <wps:spPr>
                        <a:xfrm>
                          <a:off x="0" y="0"/>
                          <a:ext cx="429260" cy="194400"/>
                        </a:xfrm>
                        <a:custGeom>
                          <a:avLst/>
                          <a:gdLst>
                            <a:gd name="connsiteX0" fmla="*/ 0 w 650859"/>
                            <a:gd name="connsiteY0" fmla="*/ 94598 h 211455"/>
                            <a:gd name="connsiteX1" fmla="*/ 163497 w 650859"/>
                            <a:gd name="connsiteY1" fmla="*/ 0 h 211455"/>
                            <a:gd name="connsiteX2" fmla="*/ 163497 w 650859"/>
                            <a:gd name="connsiteY2" fmla="*/ 52864 h 211455"/>
                            <a:gd name="connsiteX3" fmla="*/ 650859 w 650859"/>
                            <a:gd name="connsiteY3" fmla="*/ 52864 h 211455"/>
                            <a:gd name="connsiteX4" fmla="*/ 650859 w 650859"/>
                            <a:gd name="connsiteY4" fmla="*/ 158591 h 211455"/>
                            <a:gd name="connsiteX5" fmla="*/ 163497 w 650859"/>
                            <a:gd name="connsiteY5" fmla="*/ 158591 h 211455"/>
                            <a:gd name="connsiteX6" fmla="*/ 163497 w 650859"/>
                            <a:gd name="connsiteY6" fmla="*/ 211455 h 211455"/>
                            <a:gd name="connsiteX7" fmla="*/ 0 w 650859"/>
                            <a:gd name="connsiteY7" fmla="*/ 94598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50859" h="211455">
                              <a:moveTo>
                                <a:pt x="0" y="94598"/>
                              </a:moveTo>
                              <a:lnTo>
                                <a:pt x="163497" y="0"/>
                              </a:lnTo>
                              <a:lnTo>
                                <a:pt x="163497" y="52864"/>
                              </a:lnTo>
                              <a:lnTo>
                                <a:pt x="650859" y="52864"/>
                              </a:lnTo>
                              <a:lnTo>
                                <a:pt x="650859" y="158591"/>
                              </a:lnTo>
                              <a:lnTo>
                                <a:pt x="163497" y="158591"/>
                              </a:lnTo>
                              <a:lnTo>
                                <a:pt x="163497" y="211455"/>
                              </a:lnTo>
                              <a:lnTo>
                                <a:pt x="0" y="94598"/>
                              </a:lnTo>
                              <a:close/>
                            </a:path>
                          </a:pathLst>
                        </a:cu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左箭头 5" o:spid="_x0000_s1026" o:spt="100" style="position:absolute;left:0pt;margin-left:224.2pt;margin-top:19.8pt;height:15.3pt;width:33.8pt;z-index:251665408;v-text-anchor:middle;mso-width-relative:page;mso-height-relative:page;" fillcolor="#D9D9D9 [2732]" filled="t" stroked="f" coordsize="650859,211455" o:gfxdata="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" path="m0,94598l163497,0,163497,52864,650859,52864,650859,158591,163497,158591,163497,211455,0,94598xe">
                <v:path o:connectlocs="0,86968;107830,0;107830,48600;429260,48600;429260,145799;107830,145799;107830,194400;0,86968" o:connectangles="0,0,0,0,0,0,0,0"/>
                <v:fill on="t" focussize="0,0"/>
                <v:stroke on="f" weight="2pt"/>
                <v:imagedata o:title=""/>
                <o:lock v:ext="edit" aspectratio="f"/>
              </v:shape>
            </w:pict>
          </mc:Fallback>
        </mc:AlternateContent>
      </w:r>
      <w:r>
        <w:rPr>
          <w:rFonts w:hint="eastAsia"/>
          <w:noProof/>
          <w:lang w:val="en-US" w:eastAsia="zh-CN"/>
        </w:rPr>
        <mc:AlternateContent>
          <mc:Choice Requires="wps">
            <w:drawing>
              <wp:anchor distT="0" distB="0" distL="114300" distR="114300" simplePos="0" relativeHeight="251664384" behindDoc="0" locked="0" layoutInCell="1" allowOverlap="1" wp14:anchorId="786E85CA" wp14:editId="430F99CF">
                <wp:simplePos x="0" y="0"/>
                <wp:positionH relativeFrom="column">
                  <wp:posOffset>1054735</wp:posOffset>
                </wp:positionH>
                <wp:positionV relativeFrom="paragraph">
                  <wp:posOffset>1259205</wp:posOffset>
                </wp:positionV>
                <wp:extent cx="1158240" cy="410210"/>
                <wp:effectExtent l="0" t="0" r="3810" b="8890"/>
                <wp:wrapNone/>
                <wp:docPr id="1325772086" name="手动操作 2"/>
                <wp:cNvGraphicFramePr/>
                <a:graphic xmlns:a="http://schemas.openxmlformats.org/drawingml/2006/main">
                  <a:graphicData uri="http://schemas.microsoft.com/office/word/2010/wordprocessingShape">
                    <wps:wsp>
                      <wps:cNvSpPr/>
                      <wps:spPr>
                        <a:xfrm>
                          <a:off x="0" y="0"/>
                          <a:ext cx="1158240" cy="410210"/>
                        </a:xfrm>
                        <a:custGeom>
                          <a:avLst/>
                          <a:gdLst>
                            <a:gd name="connsiteX0" fmla="*/ 0 w 10000"/>
                            <a:gd name="connsiteY0" fmla="*/ 12 h 10000"/>
                            <a:gd name="connsiteX1" fmla="*/ 10000 w 10000"/>
                            <a:gd name="connsiteY1" fmla="*/ 0 h 10000"/>
                            <a:gd name="connsiteX2" fmla="*/ 7343 w 10000"/>
                            <a:gd name="connsiteY2" fmla="*/ 10000 h 10000"/>
                            <a:gd name="connsiteX3" fmla="*/ 2347 w 10000"/>
                            <a:gd name="connsiteY3" fmla="*/ 10000 h 10000"/>
                            <a:gd name="connsiteX4" fmla="*/ 0 w 10000"/>
                            <a:gd name="connsiteY4" fmla="*/ 12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12"/>
                              </a:moveTo>
                              <a:lnTo>
                                <a:pt x="10000" y="0"/>
                              </a:lnTo>
                              <a:lnTo>
                                <a:pt x="7343" y="10000"/>
                              </a:lnTo>
                              <a:lnTo>
                                <a:pt x="2347" y="10000"/>
                              </a:lnTo>
                              <a:lnTo>
                                <a:pt x="0" y="12"/>
                              </a:lnTo>
                              <a:close/>
                            </a:path>
                          </a:pathLst>
                        </a:cu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58BE7E" w14:textId="5C0CD0B6" w:rsidR="00BB475A" w:rsidRDefault="00BB475A">
                            <w:pPr>
                              <w:jc w:val="center"/>
                              <w:rPr>
                                <w:rFonts w:ascii="Calibri" w:hAnsi="Calibri" w:cs="Calibri"/>
                                <w:b/>
                                <w:bCs/>
                                <w:lang w:eastAsia="zh-CN"/>
                              </w:rPr>
                            </w:pPr>
                            <w:r>
                              <w:rPr>
                                <w:rFonts w:ascii="Calibri" w:hAnsi="Calibri" w:hint="eastAsia"/>
                                <w:b/>
                                <w:lang w:eastAsia="zh-CN"/>
                              </w:rPr>
                              <w:t>行动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86E85CA" id="手动操作 2" o:spid="_x0000_s1029" style="position:absolute;margin-left:83.05pt;margin-top:99.15pt;width:91.2pt;height:32.3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" adj="-11796480,,5400" path="m,12l10000,,7343,10000r-4996,l,12xe" fillcolor="#00b050" stroked="f" strokeweight="2pt">
                <v:stroke joinstyle="miter"/>
                <v:formulas/>
                <v:path arrowok="t" o:connecttype="custom" o:connectlocs="0,492;1158240,0;850496,410210;271839,410210;0,492" o:connectangles="0,0,0,0,0" textboxrect="0,0,10000,10000"/>
                <v:textbox>
                  <w:txbxContent>
                    <w:p w14:paraId="1458BE7E" w14:textId="5C0CD0B6" w:rsidR="00BB475A" w:rsidRDefault="00BB475A">
                      <w:pPr>
                        <w:jc w:val="center"/>
                        <w:rPr>
                          <w:rFonts w:ascii="Calibri" w:hAnsi="Calibri" w:cs="Calibri"/>
                          <w:b/>
                          <w:bCs/>
                          <w:lang w:eastAsia="zh-CN"/>
                        </w:rPr>
                      </w:pPr>
                      <w:r>
                        <w:rPr>
                          <w:rFonts w:ascii="Calibri" w:hAnsi="Calibri" w:hint="eastAsia"/>
                          <w:b/>
                          <w:lang w:eastAsia="zh-CN"/>
                        </w:rPr>
                        <w:t>行动</w:t>
                      </w:r>
                    </w:p>
                  </w:txbxContent>
                </v:textbox>
              </v:shape>
            </w:pict>
          </mc:Fallback>
        </mc:AlternateContent>
      </w:r>
      <w:r>
        <w:rPr>
          <w:rFonts w:hint="eastAsia"/>
          <w:noProof/>
          <w:lang w:val="en-US" w:eastAsia="zh-CN"/>
        </w:rPr>
        <mc:AlternateContent>
          <mc:Choice Requires="wps">
            <w:drawing>
              <wp:anchor distT="0" distB="0" distL="114300" distR="114300" simplePos="0" relativeHeight="251663360" behindDoc="0" locked="0" layoutInCell="1" allowOverlap="1" wp14:anchorId="488C64C1" wp14:editId="4D020FB0">
                <wp:simplePos x="0" y="0"/>
                <wp:positionH relativeFrom="column">
                  <wp:posOffset>1504950</wp:posOffset>
                </wp:positionH>
                <wp:positionV relativeFrom="paragraph">
                  <wp:posOffset>1097915</wp:posOffset>
                </wp:positionV>
                <wp:extent cx="279400" cy="152400"/>
                <wp:effectExtent l="0" t="0" r="6350" b="0"/>
                <wp:wrapNone/>
                <wp:docPr id="418970713" name="下箭头 4"/>
                <wp:cNvGraphicFramePr/>
                <a:graphic xmlns:a="http://schemas.openxmlformats.org/drawingml/2006/main">
                  <a:graphicData uri="http://schemas.microsoft.com/office/word/2010/wordprocessingShape">
                    <wps:wsp>
                      <wps:cNvSpPr/>
                      <wps:spPr>
                        <a:xfrm>
                          <a:off x="0" y="0"/>
                          <a:ext cx="279400" cy="152400"/>
                        </a:xfrm>
                        <a:prstGeom prst="downArrow">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下箭头 4" o:spid="_x0000_s1026" o:spt="67" type="#_x0000_t67" style="position:absolute;left:0pt;margin-left:118.5pt;margin-top:86.45pt;height:12pt;width:22pt;z-index:251663360;v-text-anchor:middle;mso-width-relative:page;mso-height-relative:page;" fillcolor="#D9D9D9 [2732]" filled="t" stroked="f" coordsize="21600,21600" o:gfxdata="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37Vd9sAAAALAQAADwAAAAAAAAABACAA&#10;AAAiAAAAZHJzL2Rvd25yZXYueG1sUEsBAhQAFAAAAAgAh07iQKWey4p8AgAA5QQAAA4AAAAAAAAA&#10;AQAgAAAAKgEAAGRycy9lMm9Eb2MueG1sUEsFBgAAAAAGAAYAWQEAABgGAAAAAA==&#10;" adj="10800,5400">
                <v:fill on="t" focussize="0,0"/>
                <v:stroke on="f" weight="2pt"/>
                <v:imagedata o:title=""/>
                <o:lock v:ext="edit" aspectratio="f"/>
              </v:shape>
            </w:pict>
          </mc:Fallback>
        </mc:AlternateContent>
      </w:r>
      <w:r>
        <w:rPr>
          <w:rFonts w:hint="eastAsia"/>
          <w:noProof/>
          <w:lang w:val="en-US" w:eastAsia="zh-CN"/>
        </w:rPr>
        <mc:AlternateContent>
          <mc:Choice Requires="wps">
            <w:drawing>
              <wp:anchor distT="0" distB="0" distL="114300" distR="114300" simplePos="0" relativeHeight="251662336" behindDoc="0" locked="0" layoutInCell="1" allowOverlap="1" wp14:anchorId="6320A907" wp14:editId="7701666E">
                <wp:simplePos x="0" y="0"/>
                <wp:positionH relativeFrom="column">
                  <wp:posOffset>681990</wp:posOffset>
                </wp:positionH>
                <wp:positionV relativeFrom="paragraph">
                  <wp:posOffset>664845</wp:posOffset>
                </wp:positionV>
                <wp:extent cx="1911985" cy="431165"/>
                <wp:effectExtent l="0" t="0" r="5715" b="635"/>
                <wp:wrapNone/>
                <wp:docPr id="804382157" name="手动操作 2"/>
                <wp:cNvGraphicFramePr/>
                <a:graphic xmlns:a="http://schemas.openxmlformats.org/drawingml/2006/main">
                  <a:graphicData uri="http://schemas.microsoft.com/office/word/2010/wordprocessingShape">
                    <wps:wsp>
                      <wps:cNvSpPr/>
                      <wps:spPr>
                        <a:xfrm>
                          <a:off x="0" y="0"/>
                          <a:ext cx="1911985" cy="431165"/>
                        </a:xfrm>
                        <a:custGeom>
                          <a:avLst/>
                          <a:gdLst>
                            <a:gd name="connsiteX0" fmla="*/ 0 w 10546"/>
                            <a:gd name="connsiteY0" fmla="*/ 0 h 10000"/>
                            <a:gd name="connsiteX1" fmla="*/ 10546 w 10546"/>
                            <a:gd name="connsiteY1" fmla="*/ 0 h 10000"/>
                            <a:gd name="connsiteX2" fmla="*/ 8672 w 10546"/>
                            <a:gd name="connsiteY2" fmla="*/ 10000 h 10000"/>
                            <a:gd name="connsiteX3" fmla="*/ 1723 w 10546"/>
                            <a:gd name="connsiteY3" fmla="*/ 10000 h 10000"/>
                            <a:gd name="connsiteX4" fmla="*/ 0 w 10546"/>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46" h="10000">
                              <a:moveTo>
                                <a:pt x="0" y="0"/>
                              </a:moveTo>
                              <a:lnTo>
                                <a:pt x="10546" y="0"/>
                              </a:lnTo>
                              <a:lnTo>
                                <a:pt x="8672" y="10000"/>
                              </a:lnTo>
                              <a:lnTo>
                                <a:pt x="1723" y="10000"/>
                              </a:lnTo>
                              <a:lnTo>
                                <a:pt x="0" y="0"/>
                              </a:lnTo>
                              <a:close/>
                            </a:path>
                          </a:pathLst>
                        </a:custGeom>
                        <a:solidFill>
                          <a:srgbClr val="00B0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8144DA" w14:textId="77777777" w:rsidR="00BB475A" w:rsidRDefault="00BB475A">
                            <w:pPr>
                              <w:jc w:val="center"/>
                              <w:rPr>
                                <w:rFonts w:ascii="Calibri" w:hAnsi="Calibri" w:cs="Calibri"/>
                                <w:b/>
                                <w:bCs/>
                              </w:rPr>
                            </w:pPr>
                            <w:proofErr w:type="spellStart"/>
                            <w:r>
                              <w:rPr>
                                <w:rFonts w:ascii="Calibri" w:hAnsi="Calibri" w:hint="eastAsia"/>
                                <w:b/>
                              </w:rPr>
                              <w:t>输出成果</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320A907" id="_x0000_s1030" style="position:absolute;margin-left:53.7pt;margin-top:52.35pt;width:150.55pt;height:33.9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0546,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" adj="-11796480,,5400" path="m,l10546,,8672,10000r-6949,l,xe" fillcolor="#00b0f0" stroked="f" strokeweight="2pt">
                <v:stroke joinstyle="miter"/>
                <v:formulas/>
                <v:path arrowok="t" o:connecttype="custom" o:connectlocs="0,0;1911985,0;1572230,431165;312379,431165;0,0" o:connectangles="0,0,0,0,0" textboxrect="0,0,10546,10000"/>
                <v:textbox>
                  <w:txbxContent>
                    <w:p w14:paraId="648144DA" w14:textId="77777777" w:rsidR="00BB475A" w:rsidRDefault="00BB475A">
                      <w:pPr>
                        <w:jc w:val="center"/>
                        <w:rPr>
                          <w:rFonts w:ascii="Calibri" w:hAnsi="Calibri" w:cs="Calibri"/>
                          <w:b/>
                          <w:bCs/>
                        </w:rPr>
                      </w:pPr>
                      <w:proofErr w:type="spellStart"/>
                      <w:r>
                        <w:rPr>
                          <w:rFonts w:ascii="Calibri" w:hAnsi="Calibri" w:hint="eastAsia"/>
                          <w:b/>
                        </w:rPr>
                        <w:t>输出成果</w:t>
                      </w:r>
                      <w:proofErr w:type="spellEnd"/>
                    </w:p>
                  </w:txbxContent>
                </v:textbox>
              </v:shape>
            </w:pict>
          </mc:Fallback>
        </mc:AlternateContent>
      </w:r>
      <w:r>
        <w:rPr>
          <w:rFonts w:hint="eastAsia"/>
          <w:noProof/>
          <w:lang w:val="en-US" w:eastAsia="zh-CN"/>
        </w:rPr>
        <mc:AlternateContent>
          <mc:Choice Requires="wps">
            <w:drawing>
              <wp:anchor distT="0" distB="0" distL="114300" distR="114300" simplePos="0" relativeHeight="251661312" behindDoc="0" locked="0" layoutInCell="1" allowOverlap="1" wp14:anchorId="0BC37197" wp14:editId="63E9696C">
                <wp:simplePos x="0" y="0"/>
                <wp:positionH relativeFrom="column">
                  <wp:posOffset>1504950</wp:posOffset>
                </wp:positionH>
                <wp:positionV relativeFrom="paragraph">
                  <wp:posOffset>504825</wp:posOffset>
                </wp:positionV>
                <wp:extent cx="279400" cy="152400"/>
                <wp:effectExtent l="0" t="0" r="6350" b="0"/>
                <wp:wrapNone/>
                <wp:docPr id="1819737915" name="下箭头 4"/>
                <wp:cNvGraphicFramePr/>
                <a:graphic xmlns:a="http://schemas.openxmlformats.org/drawingml/2006/main">
                  <a:graphicData uri="http://schemas.microsoft.com/office/word/2010/wordprocessingShape">
                    <wps:wsp>
                      <wps:cNvSpPr/>
                      <wps:spPr>
                        <a:xfrm>
                          <a:off x="0" y="0"/>
                          <a:ext cx="279400" cy="152400"/>
                        </a:xfrm>
                        <a:prstGeom prst="downArrow">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下箭头 4" o:spid="_x0000_s1026" o:spt="67" type="#_x0000_t67" style="position:absolute;left:0pt;margin-left:118.5pt;margin-top:39.75pt;height:12pt;width:22pt;z-index:251661312;v-text-anchor:middle;mso-width-relative:page;mso-height-relative:page;" fillcolor="#D9D9D9 [2732]" filled="t" stroked="f" coordsize="21600,21600" o:gfxdata="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fLs4f9sAAAAKAQAADwAAAAAAAAABACAA&#10;AAAiAAAAZHJzL2Rvd25yZXYueG1sUEsBAhQAFAAAAAgAh07iQEr77xN8AgAA5gQAAA4AAAAAAAAA&#10;AQAgAAAAKgEAAGRycy9lMm9Eb2MueG1sUEsFBgAAAAAGAAYAWQEAABgGAAAAAA==&#10;" adj="10800,5400">
                <v:fill on="t" focussize="0,0"/>
                <v:stroke on="f" weight="2pt"/>
                <v:imagedata o:title=""/>
                <o:lock v:ext="edit" aspectratio="f"/>
              </v:shape>
            </w:pict>
          </mc:Fallback>
        </mc:AlternateContent>
      </w:r>
      <w:r>
        <w:rPr>
          <w:rFonts w:hint="eastAsia"/>
          <w:noProof/>
          <w:lang w:val="en-US" w:eastAsia="zh-CN"/>
        </w:rPr>
        <mc:AlternateContent>
          <mc:Choice Requires="wps">
            <w:drawing>
              <wp:anchor distT="0" distB="0" distL="114300" distR="114300" simplePos="0" relativeHeight="251660288" behindDoc="0" locked="0" layoutInCell="1" allowOverlap="1" wp14:anchorId="0C7E3D96" wp14:editId="620D65CD">
                <wp:simplePos x="0" y="0"/>
                <wp:positionH relativeFrom="column">
                  <wp:posOffset>248920</wp:posOffset>
                </wp:positionH>
                <wp:positionV relativeFrom="paragraph">
                  <wp:posOffset>71755</wp:posOffset>
                </wp:positionV>
                <wp:extent cx="2770505" cy="431800"/>
                <wp:effectExtent l="0" t="0" r="0" b="6350"/>
                <wp:wrapNone/>
                <wp:docPr id="1144312059" name="手动操作 2"/>
                <wp:cNvGraphicFramePr/>
                <a:graphic xmlns:a="http://schemas.openxmlformats.org/drawingml/2006/main">
                  <a:graphicData uri="http://schemas.microsoft.com/office/word/2010/wordprocessingShape">
                    <wps:wsp>
                      <wps:cNvSpPr/>
                      <wps:spPr>
                        <a:xfrm>
                          <a:off x="0" y="0"/>
                          <a:ext cx="2770605" cy="432000"/>
                        </a:xfrm>
                        <a:custGeom>
                          <a:avLst/>
                          <a:gdLst>
                            <a:gd name="connsiteX0" fmla="*/ 0 w 10546"/>
                            <a:gd name="connsiteY0" fmla="*/ 0 h 10000"/>
                            <a:gd name="connsiteX1" fmla="*/ 10546 w 10546"/>
                            <a:gd name="connsiteY1" fmla="*/ 0 h 10000"/>
                            <a:gd name="connsiteX2" fmla="*/ 9172 w 10546"/>
                            <a:gd name="connsiteY2" fmla="*/ 10000 h 10000"/>
                            <a:gd name="connsiteX3" fmla="*/ 1377 w 10546"/>
                            <a:gd name="connsiteY3" fmla="*/ 10000 h 10000"/>
                            <a:gd name="connsiteX4" fmla="*/ 0 w 10546"/>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46" h="10000">
                              <a:moveTo>
                                <a:pt x="0" y="0"/>
                              </a:moveTo>
                              <a:lnTo>
                                <a:pt x="10546" y="0"/>
                              </a:lnTo>
                              <a:lnTo>
                                <a:pt x="9172" y="10000"/>
                              </a:lnTo>
                              <a:lnTo>
                                <a:pt x="1377" y="10000"/>
                              </a:lnTo>
                              <a:lnTo>
                                <a:pt x="0" y="0"/>
                              </a:lnTo>
                              <a:close/>
                            </a:path>
                          </a:pathLst>
                        </a:cu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3AEF93" w14:textId="77777777" w:rsidR="00BB475A" w:rsidRDefault="00BB475A">
                            <w:pPr>
                              <w:jc w:val="center"/>
                              <w:rPr>
                                <w:rFonts w:ascii="Calibri" w:hAnsi="Calibri" w:cs="Calibri"/>
                                <w:b/>
                                <w:bCs/>
                                <w:szCs w:val="22"/>
                              </w:rPr>
                            </w:pPr>
                            <w:proofErr w:type="spellStart"/>
                            <w:r>
                              <w:rPr>
                                <w:rFonts w:ascii="Calibri" w:hAnsi="Calibri" w:hint="eastAsia"/>
                                <w:b/>
                              </w:rPr>
                              <w:t>成果</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C7E3D96" id="_x0000_s1031" style="position:absolute;margin-left:19.6pt;margin-top:5.65pt;width:218.15pt;height:34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0546,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" adj="-11796480,,5400" path="m,l10546,,9172,10000r-7795,l,xe" fillcolor="#c00000" stroked="f" strokeweight="2pt">
                <v:stroke joinstyle="miter"/>
                <v:formulas/>
                <v:path arrowok="t" o:connecttype="custom" o:connectlocs="0,0;2770605,0;2409633,432000;361760,432000;0,0" o:connectangles="0,0,0,0,0" textboxrect="0,0,10546,10000"/>
                <v:textbox>
                  <w:txbxContent>
                    <w:p w14:paraId="553AEF93" w14:textId="77777777" w:rsidR="00BB475A" w:rsidRDefault="00BB475A">
                      <w:pPr>
                        <w:jc w:val="center"/>
                        <w:rPr>
                          <w:rFonts w:ascii="Calibri" w:hAnsi="Calibri" w:cs="Calibri"/>
                          <w:b/>
                          <w:bCs/>
                          <w:szCs w:val="22"/>
                        </w:rPr>
                      </w:pPr>
                      <w:proofErr w:type="spellStart"/>
                      <w:r>
                        <w:rPr>
                          <w:rFonts w:ascii="Calibri" w:hAnsi="Calibri" w:hint="eastAsia"/>
                          <w:b/>
                        </w:rPr>
                        <w:t>成果</w:t>
                      </w:r>
                      <w:proofErr w:type="spellEnd"/>
                    </w:p>
                  </w:txbxContent>
                </v:textbox>
              </v:shape>
            </w:pict>
          </mc:Fallback>
        </mc:AlternateContent>
      </w:r>
    </w:p>
    <w:p w14:paraId="2B7257A3" w14:textId="77777777" w:rsidR="00521A20" w:rsidRDefault="00521A20">
      <w:pPr>
        <w:overflowPunct/>
        <w:autoSpaceDE/>
        <w:autoSpaceDN/>
        <w:adjustRightInd/>
        <w:spacing w:after="120"/>
        <w:textAlignment w:val="auto"/>
        <w:rPr>
          <w:rFonts w:ascii="Calibri" w:hAnsi="Calibri"/>
          <w:szCs w:val="24"/>
          <w:lang w:eastAsia="zh-CN"/>
        </w:rPr>
      </w:pPr>
    </w:p>
    <w:p w14:paraId="0698CE12" w14:textId="77777777" w:rsidR="00521A20" w:rsidRDefault="00521A20">
      <w:pPr>
        <w:overflowPunct/>
        <w:autoSpaceDE/>
        <w:autoSpaceDN/>
        <w:adjustRightInd/>
        <w:spacing w:after="120"/>
        <w:textAlignment w:val="auto"/>
        <w:rPr>
          <w:rFonts w:ascii="Calibri" w:hAnsi="Calibri"/>
          <w:szCs w:val="24"/>
          <w:lang w:eastAsia="zh-CN"/>
        </w:rPr>
      </w:pPr>
    </w:p>
    <w:p w14:paraId="6801A0D3" w14:textId="77777777" w:rsidR="00521A20" w:rsidRDefault="00521A20">
      <w:pPr>
        <w:overflowPunct/>
        <w:autoSpaceDE/>
        <w:autoSpaceDN/>
        <w:adjustRightInd/>
        <w:spacing w:after="120"/>
        <w:textAlignment w:val="auto"/>
        <w:rPr>
          <w:rFonts w:ascii="Calibri" w:hAnsi="Calibri"/>
          <w:szCs w:val="24"/>
          <w:lang w:eastAsia="zh-CN"/>
        </w:rPr>
      </w:pPr>
    </w:p>
    <w:p w14:paraId="50C00878" w14:textId="77777777" w:rsidR="00521A20" w:rsidRDefault="00521A20">
      <w:pPr>
        <w:overflowPunct/>
        <w:autoSpaceDE/>
        <w:autoSpaceDN/>
        <w:adjustRightInd/>
        <w:spacing w:after="120"/>
        <w:textAlignment w:val="auto"/>
        <w:rPr>
          <w:rFonts w:ascii="Calibri" w:hAnsi="Calibri"/>
          <w:szCs w:val="24"/>
          <w:lang w:eastAsia="zh-CN"/>
        </w:rPr>
      </w:pPr>
    </w:p>
    <w:p w14:paraId="3096DABA" w14:textId="77777777" w:rsidR="00521A20" w:rsidRDefault="00521A20">
      <w:pPr>
        <w:overflowPunct/>
        <w:autoSpaceDE/>
        <w:autoSpaceDN/>
        <w:adjustRightInd/>
        <w:spacing w:after="120"/>
        <w:textAlignment w:val="auto"/>
        <w:rPr>
          <w:rFonts w:ascii="Calibri" w:hAnsi="Calibri"/>
          <w:szCs w:val="24"/>
          <w:lang w:eastAsia="zh-CN"/>
        </w:rPr>
      </w:pPr>
    </w:p>
    <w:p w14:paraId="2D038C60" w14:textId="77777777" w:rsidR="00521A20" w:rsidRDefault="00521A20">
      <w:pPr>
        <w:overflowPunct/>
        <w:autoSpaceDE/>
        <w:autoSpaceDN/>
        <w:adjustRightInd/>
        <w:spacing w:after="120"/>
        <w:textAlignment w:val="auto"/>
        <w:rPr>
          <w:rFonts w:ascii="Calibri" w:hAnsi="Calibri"/>
          <w:szCs w:val="24"/>
          <w:lang w:eastAsia="zh-CN"/>
        </w:rPr>
      </w:pPr>
    </w:p>
    <w:p w14:paraId="5C98D132" w14:textId="0AB6DCF2" w:rsidR="00521A20" w:rsidRDefault="00BB475A">
      <w:pPr>
        <w:ind w:firstLineChars="200" w:firstLine="480"/>
        <w:rPr>
          <w:rFonts w:ascii="Calibri" w:hAnsi="Calibri" w:cs="Calibri"/>
          <w:lang w:eastAsia="zh-CN"/>
        </w:rPr>
      </w:pPr>
      <w:r>
        <w:rPr>
          <w:rFonts w:ascii="Calibri" w:hAnsi="Calibri" w:cs="Calibri"/>
          <w:lang w:eastAsia="zh-CN"/>
        </w:rPr>
        <w:t>根据《巴库行动计划》，</w:t>
      </w:r>
      <w:r>
        <w:rPr>
          <w:rFonts w:ascii="Calibri" w:hAnsi="Calibri" w:cs="Calibri"/>
          <w:lang w:eastAsia="zh-CN"/>
        </w:rPr>
        <w:t>OP-26</w:t>
      </w:r>
      <w:r>
        <w:rPr>
          <w:rFonts w:ascii="Calibri" w:hAnsi="Calibri" w:cs="Calibri"/>
          <w:lang w:eastAsia="zh-CN"/>
        </w:rPr>
        <w:t>阐述了与</w:t>
      </w:r>
      <w:r>
        <w:rPr>
          <w:rFonts w:ascii="Calibri" w:hAnsi="Calibri" w:cs="Calibri"/>
          <w:lang w:eastAsia="zh-CN"/>
        </w:rPr>
        <w:t>ITU-D</w:t>
      </w:r>
      <w:r>
        <w:rPr>
          <w:rFonts w:ascii="Calibri" w:hAnsi="Calibri" w:cs="Calibri"/>
          <w:lang w:eastAsia="zh-CN"/>
        </w:rPr>
        <w:t>重点工作成果一致、为实现各项输出成果所需开展的行动及其相应的可衡量指标，同时考虑到落实《基加利行动计划》（</w:t>
      </w:r>
      <w:r>
        <w:rPr>
          <w:rFonts w:ascii="Calibri" w:hAnsi="Calibri" w:cs="Calibri"/>
          <w:lang w:eastAsia="zh-CN"/>
        </w:rPr>
        <w:t>KAP</w:t>
      </w:r>
      <w:r>
        <w:rPr>
          <w:rFonts w:ascii="Calibri" w:hAnsi="Calibri" w:cs="Calibri"/>
          <w:lang w:eastAsia="zh-CN"/>
        </w:rPr>
        <w:t>）和确保向国际电联成员提供服务的连续性方面获得的经验。立足于基于结果的管理方式（</w:t>
      </w:r>
      <w:r>
        <w:rPr>
          <w:rFonts w:ascii="Calibri" w:hAnsi="Calibri" w:cs="Calibri"/>
          <w:lang w:eastAsia="zh-CN"/>
        </w:rPr>
        <w:t>RBM</w:t>
      </w:r>
      <w:r>
        <w:rPr>
          <w:rFonts w:ascii="Calibri" w:hAnsi="Calibri" w:cs="Calibri"/>
          <w:lang w:eastAsia="zh-CN"/>
        </w:rPr>
        <w:t>）的新实施框架将有助于对</w:t>
      </w:r>
      <w:r>
        <w:rPr>
          <w:rFonts w:ascii="Calibri" w:hAnsi="Calibri" w:cs="Calibri"/>
          <w:lang w:eastAsia="zh-CN"/>
        </w:rPr>
        <w:t>ITU-D</w:t>
      </w:r>
      <w:r>
        <w:rPr>
          <w:rFonts w:ascii="Calibri" w:hAnsi="Calibri" w:cs="Calibri"/>
          <w:lang w:eastAsia="zh-CN"/>
        </w:rPr>
        <w:t>的重点工作成果的落实情况进行适当监测和评价。</w:t>
      </w:r>
    </w:p>
    <w:p w14:paraId="6D9E41DB" w14:textId="77777777" w:rsidR="00521A20" w:rsidRDefault="00BB475A">
      <w:pPr>
        <w:pStyle w:val="Heading1"/>
        <w:rPr>
          <w:rFonts w:eastAsia="Calibri"/>
          <w:szCs w:val="24"/>
          <w:lang w:eastAsia="zh-CN"/>
        </w:rPr>
      </w:pPr>
      <w:r>
        <w:rPr>
          <w:rFonts w:eastAsiaTheme="minorEastAsia" w:hint="eastAsia"/>
          <w:lang w:eastAsia="zh-CN"/>
        </w:rPr>
        <w:lastRenderedPageBreak/>
        <w:t>2</w:t>
      </w:r>
      <w:r>
        <w:rPr>
          <w:rFonts w:eastAsiaTheme="minorEastAsia"/>
          <w:lang w:eastAsia="zh-CN"/>
        </w:rPr>
        <w:tab/>
      </w:r>
      <w:r>
        <w:rPr>
          <w:rFonts w:hint="eastAsia"/>
          <w:lang w:eastAsia="zh-CN"/>
        </w:rPr>
        <w:t>2026-2029</w:t>
      </w:r>
      <w:r>
        <w:rPr>
          <w:rFonts w:hint="eastAsia"/>
          <w:lang w:eastAsia="zh-CN"/>
        </w:rPr>
        <w:t>年实施周期：</w:t>
      </w:r>
      <w:r>
        <w:rPr>
          <w:rFonts w:hint="eastAsia"/>
          <w:lang w:eastAsia="zh-CN"/>
        </w:rPr>
        <w:t>OP-26</w:t>
      </w:r>
      <w:r>
        <w:rPr>
          <w:rFonts w:hint="eastAsia"/>
          <w:lang w:eastAsia="zh-CN"/>
        </w:rPr>
        <w:t>资源分配</w:t>
      </w:r>
    </w:p>
    <w:p w14:paraId="6B514E77" w14:textId="77777777" w:rsidR="00521A20" w:rsidRDefault="00BB475A">
      <w:pPr>
        <w:pStyle w:val="Heading2"/>
        <w:rPr>
          <w:rFonts w:eastAsia="Calibri"/>
          <w:bCs/>
          <w:szCs w:val="24"/>
          <w:lang w:eastAsia="zh-CN"/>
        </w:rPr>
      </w:pPr>
      <w:r>
        <w:rPr>
          <w:rFonts w:hint="eastAsia"/>
          <w:lang w:eastAsia="zh-CN"/>
        </w:rPr>
        <w:t>2.1</w:t>
      </w:r>
      <w:r>
        <w:rPr>
          <w:rFonts w:hint="eastAsia"/>
          <w:lang w:eastAsia="zh-CN"/>
        </w:rPr>
        <w:tab/>
      </w:r>
      <w:r>
        <w:rPr>
          <w:rFonts w:hint="eastAsia"/>
          <w:lang w:eastAsia="zh-CN"/>
        </w:rPr>
        <w:t>用于实施</w:t>
      </w:r>
      <w:r>
        <w:rPr>
          <w:rFonts w:hint="eastAsia"/>
          <w:lang w:eastAsia="zh-CN"/>
        </w:rPr>
        <w:t>OP-26</w:t>
      </w:r>
      <w:r>
        <w:rPr>
          <w:rFonts w:hint="eastAsia"/>
          <w:lang w:eastAsia="zh-CN"/>
        </w:rPr>
        <w:t>的资金的一般性分配</w:t>
      </w:r>
    </w:p>
    <w:p w14:paraId="293C1841" w14:textId="77777777" w:rsidR="00521A20" w:rsidRDefault="00BB475A">
      <w:pPr>
        <w:ind w:firstLineChars="200" w:firstLine="480"/>
        <w:rPr>
          <w:rFonts w:ascii="Calibri" w:hAnsi="Calibri" w:cs="Calibri"/>
          <w:lang w:eastAsia="zh-CN"/>
        </w:rPr>
      </w:pPr>
      <w:r>
        <w:rPr>
          <w:rFonts w:ascii="Calibri" w:hAnsi="Calibri" w:cs="Calibri"/>
          <w:lang w:eastAsia="zh-CN"/>
        </w:rPr>
        <w:t>考虑到《巴库行动计划》的新结构和落实《基加利行动计划》的经验，</w:t>
      </w:r>
      <w:r>
        <w:rPr>
          <w:rFonts w:ascii="Calibri" w:hAnsi="Calibri" w:cs="Calibri"/>
          <w:lang w:eastAsia="zh-CN"/>
        </w:rPr>
        <w:t>OP-26</w:t>
      </w:r>
      <w:r>
        <w:rPr>
          <w:rFonts w:ascii="Calibri" w:hAnsi="Calibri" w:cs="Calibri"/>
          <w:lang w:eastAsia="zh-CN"/>
        </w:rPr>
        <w:t>下的资金分配（表</w:t>
      </w:r>
      <w:r>
        <w:rPr>
          <w:rFonts w:ascii="Calibri" w:hAnsi="Calibri" w:cs="Calibri"/>
          <w:lang w:eastAsia="zh-CN"/>
        </w:rPr>
        <w:t>1</w:t>
      </w:r>
      <w:r>
        <w:rPr>
          <w:rFonts w:ascii="Calibri" w:hAnsi="Calibri" w:cs="Calibri"/>
          <w:lang w:eastAsia="zh-CN"/>
        </w:rPr>
        <w:t>）通过总部以及区域代表处和地区办事处之间的内部磋商以及成员国之间的磋商确立，并与各区域的重点工作保持一致。</w:t>
      </w:r>
    </w:p>
    <w:p w14:paraId="017B342F" w14:textId="77777777" w:rsidR="00521A20" w:rsidRDefault="00BB475A">
      <w:pPr>
        <w:ind w:firstLineChars="200" w:firstLine="480"/>
        <w:rPr>
          <w:rFonts w:ascii="Calibri" w:hAnsi="Calibri" w:cs="Calibri"/>
          <w:lang w:eastAsia="zh-CN"/>
        </w:rPr>
      </w:pPr>
      <w:r>
        <w:rPr>
          <w:rFonts w:ascii="Calibri" w:hAnsi="Calibri" w:cs="Calibri"/>
          <w:lang w:eastAsia="zh-CN"/>
        </w:rPr>
        <w:t>重要的是要注意，以下数字仅代表可用于</w:t>
      </w:r>
      <w:r>
        <w:rPr>
          <w:rFonts w:ascii="Calibri" w:hAnsi="Calibri" w:cs="Calibri"/>
          <w:lang w:eastAsia="zh-CN"/>
        </w:rPr>
        <w:t>OP-26</w:t>
      </w:r>
      <w:r>
        <w:rPr>
          <w:rFonts w:ascii="Calibri" w:hAnsi="Calibri" w:cs="Calibri"/>
          <w:lang w:eastAsia="zh-CN"/>
        </w:rPr>
        <w:t>行动和外部服务的资金。一些</w:t>
      </w:r>
      <w:r>
        <w:rPr>
          <w:rFonts w:ascii="Calibri" w:hAnsi="Calibri" w:cs="Calibri"/>
          <w:lang w:eastAsia="zh-CN"/>
        </w:rPr>
        <w:t>ITU-D</w:t>
      </w:r>
      <w:r>
        <w:rPr>
          <w:rFonts w:ascii="Calibri" w:hAnsi="Calibri" w:cs="Calibri"/>
          <w:lang w:eastAsia="zh-CN"/>
        </w:rPr>
        <w:t>的产品和服务是内部职员在不增加额外费用的情况下交付的，因此未反映在表</w:t>
      </w:r>
      <w:r>
        <w:rPr>
          <w:rFonts w:ascii="Calibri" w:hAnsi="Calibri" w:cs="Calibri"/>
          <w:lang w:eastAsia="zh-CN"/>
        </w:rPr>
        <w:t>1</w:t>
      </w:r>
      <w:r>
        <w:rPr>
          <w:rFonts w:ascii="Calibri" w:hAnsi="Calibri" w:cs="Calibri"/>
          <w:lang w:eastAsia="zh-CN"/>
        </w:rPr>
        <w:t>中。</w:t>
      </w:r>
    </w:p>
    <w:p w14:paraId="6E8D95E2" w14:textId="77777777" w:rsidR="00521A20" w:rsidRDefault="00BB475A">
      <w:pPr>
        <w:overflowPunct/>
        <w:autoSpaceDE/>
        <w:autoSpaceDN/>
        <w:adjustRightInd/>
        <w:spacing w:after="120"/>
        <w:jc w:val="center"/>
        <w:textAlignment w:val="auto"/>
        <w:rPr>
          <w:rFonts w:ascii="Calibri" w:hAnsi="Calibri"/>
          <w:b/>
          <w:szCs w:val="24"/>
          <w:lang w:eastAsia="zh-CN"/>
        </w:rPr>
      </w:pPr>
      <w:r>
        <w:rPr>
          <w:rFonts w:ascii="Calibri" w:hAnsi="Calibri" w:hint="eastAsia"/>
          <w:b/>
          <w:lang w:eastAsia="zh-CN"/>
        </w:rPr>
        <w:t>表</w:t>
      </w:r>
      <w:r>
        <w:rPr>
          <w:rFonts w:ascii="Calibri" w:hAnsi="Calibri" w:hint="eastAsia"/>
          <w:b/>
          <w:lang w:eastAsia="zh-CN"/>
        </w:rPr>
        <w:t>1</w:t>
      </w:r>
      <w:r>
        <w:rPr>
          <w:rFonts w:ascii="Calibri" w:hAnsi="Calibri" w:hint="eastAsia"/>
          <w:b/>
          <w:lang w:eastAsia="zh-CN"/>
        </w:rPr>
        <w:t>：</w:t>
      </w:r>
      <w:r>
        <w:rPr>
          <w:rFonts w:ascii="Calibri" w:hAnsi="Calibri" w:hint="eastAsia"/>
          <w:b/>
          <w:lang w:eastAsia="zh-CN"/>
        </w:rPr>
        <w:t>OP-26</w:t>
      </w:r>
      <w:r>
        <w:rPr>
          <w:rFonts w:ascii="Calibri" w:hAnsi="Calibri" w:hint="eastAsia"/>
          <w:b/>
          <w:lang w:eastAsia="zh-CN"/>
        </w:rPr>
        <w:t>资金分配细目，按</w:t>
      </w:r>
      <w:r>
        <w:rPr>
          <w:rFonts w:ascii="Calibri" w:hAnsi="Calibri" w:hint="eastAsia"/>
          <w:b/>
          <w:lang w:eastAsia="zh-CN"/>
        </w:rPr>
        <w:t>ITU-D</w:t>
      </w:r>
      <w:r>
        <w:rPr>
          <w:rFonts w:ascii="Calibri" w:hAnsi="Calibri" w:hint="eastAsia"/>
          <w:b/>
          <w:lang w:eastAsia="zh-CN"/>
        </w:rPr>
        <w:t>的重点工作分列</w:t>
      </w:r>
    </w:p>
    <w:tbl>
      <w:tblPr>
        <w:tblW w:w="5300" w:type="pct"/>
        <w:tblInd w:w="-3" w:type="dxa"/>
        <w:tblLook w:val="04A0" w:firstRow="1" w:lastRow="0" w:firstColumn="1" w:lastColumn="0" w:noHBand="0" w:noVBand="1"/>
      </w:tblPr>
      <w:tblGrid>
        <w:gridCol w:w="6235"/>
        <w:gridCol w:w="2268"/>
        <w:gridCol w:w="1704"/>
      </w:tblGrid>
      <w:tr w:rsidR="00521A20" w14:paraId="165EEBE6" w14:textId="77777777">
        <w:trPr>
          <w:trHeight w:val="488"/>
        </w:trPr>
        <w:tc>
          <w:tcPr>
            <w:tcW w:w="6235" w:type="dxa"/>
            <w:tcBorders>
              <w:top w:val="single" w:sz="4" w:space="0" w:color="4D93D9"/>
              <w:left w:val="single" w:sz="4" w:space="0" w:color="4D93D9"/>
              <w:bottom w:val="single" w:sz="4" w:space="0" w:color="4D93D9"/>
              <w:right w:val="single" w:sz="4" w:space="0" w:color="4D93D9"/>
            </w:tcBorders>
            <w:shd w:val="clear" w:color="auto" w:fill="156082"/>
            <w:noWrap/>
          </w:tcPr>
          <w:p w14:paraId="4FBBB6ED" w14:textId="77777777" w:rsidR="00521A20" w:rsidRDefault="00BB475A">
            <w:pPr>
              <w:rPr>
                <w:rFonts w:ascii="Calibri" w:hAnsi="Calibri" w:cs="Calibri"/>
                <w:b/>
                <w:bCs/>
                <w:color w:val="FFFFFF" w:themeColor="background1"/>
                <w:sz w:val="21"/>
                <w:szCs w:val="16"/>
                <w:lang w:eastAsia="zh-CN"/>
              </w:rPr>
            </w:pPr>
            <w:r>
              <w:rPr>
                <w:rFonts w:ascii="Calibri" w:hAnsi="Calibri" w:cs="Calibri"/>
                <w:b/>
                <w:color w:val="FFFFFF" w:themeColor="background1"/>
                <w:sz w:val="21"/>
                <w:szCs w:val="16"/>
                <w:lang w:eastAsia="zh-CN"/>
              </w:rPr>
              <w:t>ITU-D</w:t>
            </w:r>
            <w:r>
              <w:rPr>
                <w:rFonts w:ascii="Calibri" w:hAnsi="Calibri" w:cs="Calibri"/>
                <w:b/>
                <w:color w:val="FFFFFF" w:themeColor="background1"/>
                <w:sz w:val="21"/>
                <w:szCs w:val="16"/>
                <w:lang w:eastAsia="zh-CN"/>
              </w:rPr>
              <w:t>的重点工作和推动因素</w:t>
            </w:r>
          </w:p>
        </w:tc>
        <w:tc>
          <w:tcPr>
            <w:tcW w:w="2268" w:type="dxa"/>
            <w:tcBorders>
              <w:top w:val="single" w:sz="4" w:space="0" w:color="4D93D9"/>
              <w:left w:val="single" w:sz="4" w:space="0" w:color="4D93D9"/>
              <w:bottom w:val="single" w:sz="4" w:space="0" w:color="4D93D9"/>
              <w:right w:val="single" w:sz="4" w:space="0" w:color="4D93D9"/>
            </w:tcBorders>
            <w:shd w:val="clear" w:color="auto" w:fill="156082"/>
            <w:noWrap/>
          </w:tcPr>
          <w:p w14:paraId="6F6576D7" w14:textId="77777777" w:rsidR="00521A20" w:rsidRDefault="00BB475A">
            <w:pPr>
              <w:jc w:val="right"/>
              <w:rPr>
                <w:rFonts w:ascii="Calibri" w:hAnsi="Calibri" w:cs="Calibri"/>
                <w:b/>
                <w:bCs/>
                <w:color w:val="FFFFFF" w:themeColor="background1"/>
                <w:sz w:val="21"/>
                <w:szCs w:val="16"/>
              </w:rPr>
            </w:pPr>
            <w:r>
              <w:rPr>
                <w:rFonts w:ascii="Calibri" w:hAnsi="Calibri" w:cs="Calibri"/>
                <w:b/>
                <w:color w:val="FFFFFF" w:themeColor="background1"/>
                <w:sz w:val="21"/>
                <w:szCs w:val="16"/>
              </w:rPr>
              <w:t>2026</w:t>
            </w:r>
            <w:proofErr w:type="spellStart"/>
            <w:r>
              <w:rPr>
                <w:rFonts w:ascii="Calibri" w:hAnsi="Calibri" w:cs="Calibri"/>
                <w:b/>
                <w:color w:val="FFFFFF" w:themeColor="background1"/>
                <w:sz w:val="21"/>
                <w:szCs w:val="16"/>
              </w:rPr>
              <w:t>年预算（瑞郎</w:t>
            </w:r>
            <w:proofErr w:type="spellEnd"/>
            <w:r>
              <w:rPr>
                <w:rFonts w:ascii="Calibri" w:hAnsi="Calibri" w:cs="Calibri"/>
                <w:b/>
                <w:color w:val="FFFFFF" w:themeColor="background1"/>
                <w:sz w:val="21"/>
                <w:szCs w:val="16"/>
              </w:rPr>
              <w:t>）</w:t>
            </w:r>
          </w:p>
        </w:tc>
        <w:tc>
          <w:tcPr>
            <w:tcW w:w="1704" w:type="dxa"/>
            <w:tcBorders>
              <w:top w:val="single" w:sz="4" w:space="0" w:color="4D93D9"/>
              <w:left w:val="single" w:sz="4" w:space="0" w:color="4D93D9"/>
              <w:bottom w:val="single" w:sz="4" w:space="0" w:color="4D93D9"/>
              <w:right w:val="single" w:sz="4" w:space="0" w:color="4D93D9"/>
            </w:tcBorders>
            <w:shd w:val="clear" w:color="auto" w:fill="156082"/>
            <w:noWrap/>
          </w:tcPr>
          <w:p w14:paraId="228D00A8" w14:textId="77777777" w:rsidR="00521A20" w:rsidRDefault="00BB475A">
            <w:pPr>
              <w:jc w:val="right"/>
              <w:rPr>
                <w:rFonts w:ascii="Calibri" w:hAnsi="Calibri" w:cs="Calibri"/>
                <w:b/>
                <w:bCs/>
                <w:color w:val="FFFFFF" w:themeColor="background1"/>
                <w:sz w:val="21"/>
                <w:szCs w:val="16"/>
              </w:rPr>
            </w:pPr>
            <w:proofErr w:type="spellStart"/>
            <w:r>
              <w:rPr>
                <w:rFonts w:ascii="Calibri" w:hAnsi="Calibri" w:cs="Calibri"/>
                <w:b/>
                <w:color w:val="FFFFFF" w:themeColor="background1"/>
                <w:sz w:val="21"/>
                <w:szCs w:val="16"/>
              </w:rPr>
              <w:t>占预算的百分比</w:t>
            </w:r>
            <w:proofErr w:type="spellEnd"/>
          </w:p>
        </w:tc>
      </w:tr>
      <w:tr w:rsidR="00521A20" w14:paraId="00DDC6EC" w14:textId="77777777">
        <w:trPr>
          <w:trHeight w:val="774"/>
        </w:trPr>
        <w:tc>
          <w:tcPr>
            <w:tcW w:w="6235" w:type="dxa"/>
            <w:tcBorders>
              <w:top w:val="single" w:sz="4" w:space="0" w:color="4D93D9"/>
              <w:left w:val="single" w:sz="4" w:space="0" w:color="4D93D9"/>
              <w:bottom w:val="single" w:sz="4" w:space="0" w:color="4D93D9"/>
              <w:right w:val="single" w:sz="4" w:space="0" w:color="4D93D9"/>
            </w:tcBorders>
            <w:shd w:val="clear" w:color="auto" w:fill="C0E6F5"/>
          </w:tcPr>
          <w:p w14:paraId="528C993D" w14:textId="77777777" w:rsidR="00521A20" w:rsidRDefault="00BB475A">
            <w:pPr>
              <w:rPr>
                <w:rFonts w:ascii="Calibri" w:hAnsi="Calibri" w:cs="Calibri"/>
                <w:sz w:val="21"/>
                <w:szCs w:val="16"/>
                <w:lang w:eastAsia="zh-CN"/>
              </w:rPr>
            </w:pPr>
            <w:r>
              <w:rPr>
                <w:rFonts w:ascii="Calibri" w:hAnsi="Calibri" w:cs="Calibri"/>
                <w:b/>
                <w:sz w:val="21"/>
                <w:szCs w:val="16"/>
                <w:lang w:eastAsia="zh-CN"/>
              </w:rPr>
              <w:t>P1 –</w:t>
            </w:r>
            <w:r>
              <w:rPr>
                <w:rFonts w:ascii="Calibri" w:hAnsi="Calibri" w:cs="Calibri" w:hint="eastAsia"/>
                <w:b/>
                <w:sz w:val="21"/>
                <w:szCs w:val="16"/>
                <w:lang w:eastAsia="zh-CN"/>
              </w:rPr>
              <w:t xml:space="preserve"> </w:t>
            </w:r>
            <w:r>
              <w:rPr>
                <w:rFonts w:ascii="Calibri" w:hAnsi="Calibri" w:cs="Calibri"/>
                <w:b/>
                <w:bCs/>
                <w:sz w:val="21"/>
                <w:szCs w:val="16"/>
                <w:lang w:eastAsia="zh-CN"/>
              </w:rPr>
              <w:t>价格可承受的连接</w:t>
            </w:r>
            <w:r>
              <w:rPr>
                <w:rFonts w:ascii="Calibri" w:hAnsi="Calibri" w:cs="Calibri"/>
                <w:sz w:val="21"/>
                <w:szCs w:val="16"/>
                <w:lang w:eastAsia="zh-CN"/>
              </w:rPr>
              <w:br/>
            </w:r>
            <w:r>
              <w:rPr>
                <w:rFonts w:ascii="Calibri" w:hAnsi="Calibri" w:cs="Calibri"/>
                <w:sz w:val="21"/>
                <w:szCs w:val="16"/>
                <w:lang w:eastAsia="zh-CN"/>
              </w:rPr>
              <w:t>（包括网络和数字基础设施、应急通信）</w:t>
            </w:r>
          </w:p>
        </w:tc>
        <w:tc>
          <w:tcPr>
            <w:tcW w:w="2268" w:type="dxa"/>
            <w:tcBorders>
              <w:top w:val="single" w:sz="4" w:space="0" w:color="4D93D9"/>
              <w:left w:val="single" w:sz="4" w:space="0" w:color="4D93D9"/>
              <w:bottom w:val="single" w:sz="4" w:space="0" w:color="4D93D9"/>
              <w:right w:val="single" w:sz="4" w:space="0" w:color="4D93D9"/>
            </w:tcBorders>
            <w:shd w:val="clear" w:color="auto" w:fill="C0E6F5"/>
            <w:noWrap/>
          </w:tcPr>
          <w:p w14:paraId="76DFAC52" w14:textId="2446E364" w:rsidR="00521A20" w:rsidRDefault="001B66FE">
            <w:pPr>
              <w:jc w:val="right"/>
              <w:rPr>
                <w:rFonts w:ascii="Calibri" w:hAnsi="Calibri" w:cs="Calibri"/>
                <w:sz w:val="21"/>
                <w:szCs w:val="16"/>
              </w:rPr>
            </w:pPr>
            <w:r>
              <w:rPr>
                <w:rFonts w:ascii="Calibri" w:hAnsi="Calibri" w:cs="Calibri"/>
                <w:sz w:val="21"/>
                <w:szCs w:val="16"/>
              </w:rPr>
              <w:t>5</w:t>
            </w:r>
            <w:r>
              <w:rPr>
                <w:rFonts w:ascii="Calibri" w:hAnsi="Calibri" w:cs="Calibri" w:hint="eastAsia"/>
                <w:sz w:val="21"/>
                <w:szCs w:val="16"/>
                <w:lang w:eastAsia="zh-CN"/>
              </w:rPr>
              <w:t>52</w:t>
            </w:r>
            <w:r>
              <w:rPr>
                <w:rFonts w:ascii="Calibri" w:hAnsi="Calibri" w:cs="Calibri"/>
                <w:sz w:val="21"/>
                <w:szCs w:val="16"/>
              </w:rPr>
              <w:t>,000</w:t>
            </w:r>
          </w:p>
        </w:tc>
        <w:tc>
          <w:tcPr>
            <w:tcW w:w="1704" w:type="dxa"/>
            <w:tcBorders>
              <w:top w:val="single" w:sz="4" w:space="0" w:color="4D93D9"/>
              <w:left w:val="single" w:sz="4" w:space="0" w:color="4D93D9"/>
              <w:bottom w:val="single" w:sz="4" w:space="0" w:color="4D93D9"/>
              <w:right w:val="single" w:sz="4" w:space="0" w:color="4D93D9"/>
            </w:tcBorders>
            <w:shd w:val="clear" w:color="auto" w:fill="C0E6F5"/>
            <w:noWrap/>
          </w:tcPr>
          <w:p w14:paraId="7DE2CCF5" w14:textId="42F9EA64" w:rsidR="00521A20" w:rsidRDefault="001B66FE">
            <w:pPr>
              <w:jc w:val="right"/>
              <w:rPr>
                <w:rFonts w:ascii="Calibri" w:hAnsi="Calibri" w:cs="Calibri"/>
                <w:sz w:val="21"/>
                <w:szCs w:val="16"/>
              </w:rPr>
            </w:pPr>
            <w:r>
              <w:rPr>
                <w:rFonts w:ascii="Calibri" w:hAnsi="Calibri" w:cs="Calibri"/>
                <w:sz w:val="21"/>
                <w:szCs w:val="16"/>
              </w:rPr>
              <w:t>1</w:t>
            </w:r>
            <w:r>
              <w:rPr>
                <w:rFonts w:ascii="Calibri" w:hAnsi="Calibri" w:cs="Calibri" w:hint="eastAsia"/>
                <w:sz w:val="21"/>
                <w:szCs w:val="16"/>
                <w:lang w:eastAsia="zh-CN"/>
              </w:rPr>
              <w:t>4</w:t>
            </w:r>
            <w:r>
              <w:rPr>
                <w:rFonts w:ascii="Calibri" w:hAnsi="Calibri" w:cs="Calibri"/>
                <w:sz w:val="21"/>
                <w:szCs w:val="16"/>
              </w:rPr>
              <w:t>.</w:t>
            </w:r>
            <w:r>
              <w:rPr>
                <w:rFonts w:ascii="Calibri" w:hAnsi="Calibri" w:cs="Calibri" w:hint="eastAsia"/>
                <w:sz w:val="21"/>
                <w:szCs w:val="16"/>
                <w:lang w:eastAsia="zh-CN"/>
              </w:rPr>
              <w:t>48</w:t>
            </w:r>
            <w:r>
              <w:rPr>
                <w:rFonts w:ascii="Calibri" w:hAnsi="Calibri" w:cs="Calibri"/>
                <w:sz w:val="21"/>
                <w:szCs w:val="16"/>
              </w:rPr>
              <w:t>%</w:t>
            </w:r>
          </w:p>
        </w:tc>
      </w:tr>
      <w:tr w:rsidR="00521A20" w14:paraId="548233DE" w14:textId="77777777">
        <w:trPr>
          <w:trHeight w:val="1191"/>
        </w:trPr>
        <w:tc>
          <w:tcPr>
            <w:tcW w:w="6235" w:type="dxa"/>
            <w:tcBorders>
              <w:top w:val="single" w:sz="4" w:space="0" w:color="4D93D9"/>
              <w:left w:val="single" w:sz="4" w:space="0" w:color="4D93D9"/>
              <w:bottom w:val="single" w:sz="4" w:space="0" w:color="4D93D9"/>
              <w:right w:val="single" w:sz="4" w:space="0" w:color="4D93D9"/>
            </w:tcBorders>
          </w:tcPr>
          <w:p w14:paraId="5724FF36" w14:textId="77777777" w:rsidR="00521A20" w:rsidRDefault="00BB475A">
            <w:pPr>
              <w:rPr>
                <w:rFonts w:ascii="Calibri" w:hAnsi="Calibri" w:cs="Calibri"/>
                <w:sz w:val="21"/>
                <w:szCs w:val="16"/>
                <w:lang w:eastAsia="zh-CN"/>
              </w:rPr>
            </w:pPr>
            <w:r>
              <w:rPr>
                <w:rFonts w:ascii="Calibri" w:hAnsi="Calibri" w:cs="Calibri"/>
                <w:b/>
                <w:bCs/>
                <w:sz w:val="21"/>
                <w:szCs w:val="16"/>
                <w:lang w:eastAsia="zh-CN"/>
              </w:rPr>
              <w:t xml:space="preserve">P2 – </w:t>
            </w:r>
            <w:r>
              <w:rPr>
                <w:rFonts w:ascii="Calibri" w:hAnsi="Calibri" w:cs="Calibri"/>
                <w:b/>
                <w:bCs/>
                <w:sz w:val="21"/>
                <w:szCs w:val="16"/>
                <w:lang w:eastAsia="zh-CN"/>
              </w:rPr>
              <w:t>数字化转型</w:t>
            </w:r>
            <w:r>
              <w:rPr>
                <w:rFonts w:ascii="Calibri" w:hAnsi="Calibri" w:cs="Calibri"/>
                <w:sz w:val="21"/>
                <w:szCs w:val="16"/>
                <w:lang w:eastAsia="zh-CN"/>
              </w:rPr>
              <w:br/>
            </w:r>
            <w:r>
              <w:rPr>
                <w:rFonts w:ascii="Calibri" w:hAnsi="Calibri" w:cs="Calibri"/>
                <w:sz w:val="21"/>
                <w:szCs w:val="16"/>
                <w:lang w:eastAsia="zh-CN"/>
              </w:rPr>
              <w:t>（包括能力开发、数字创新生态系统、数字服务和应用、对环境可持续性的承诺）</w:t>
            </w:r>
          </w:p>
        </w:tc>
        <w:tc>
          <w:tcPr>
            <w:tcW w:w="2268" w:type="dxa"/>
            <w:tcBorders>
              <w:top w:val="single" w:sz="4" w:space="0" w:color="44B3E1"/>
              <w:left w:val="nil"/>
              <w:bottom w:val="single" w:sz="4" w:space="0" w:color="44B3E1"/>
              <w:right w:val="nil"/>
            </w:tcBorders>
            <w:noWrap/>
          </w:tcPr>
          <w:p w14:paraId="415F8C4A" w14:textId="08A1CC8F" w:rsidR="00521A20" w:rsidRDefault="001B66FE">
            <w:pPr>
              <w:jc w:val="right"/>
              <w:rPr>
                <w:rFonts w:ascii="Calibri" w:hAnsi="Calibri" w:cs="Calibri"/>
                <w:sz w:val="21"/>
                <w:szCs w:val="16"/>
                <w:lang w:eastAsia="zh-CN"/>
              </w:rPr>
            </w:pPr>
            <w:r>
              <w:rPr>
                <w:rFonts w:ascii="Calibri" w:hAnsi="Calibri" w:cs="Calibri" w:hint="eastAsia"/>
                <w:sz w:val="21"/>
                <w:szCs w:val="16"/>
                <w:lang w:eastAsia="zh-CN"/>
              </w:rPr>
              <w:t>899,500</w:t>
            </w:r>
          </w:p>
        </w:tc>
        <w:tc>
          <w:tcPr>
            <w:tcW w:w="1704" w:type="dxa"/>
            <w:tcBorders>
              <w:top w:val="single" w:sz="4" w:space="0" w:color="4D93D9"/>
              <w:left w:val="single" w:sz="4" w:space="0" w:color="4D93D9"/>
              <w:bottom w:val="single" w:sz="4" w:space="0" w:color="4D93D9"/>
              <w:right w:val="single" w:sz="4" w:space="0" w:color="4D93D9"/>
            </w:tcBorders>
            <w:noWrap/>
          </w:tcPr>
          <w:p w14:paraId="0995D7BD" w14:textId="42312F57" w:rsidR="00521A20" w:rsidRDefault="00BB475A">
            <w:pPr>
              <w:jc w:val="right"/>
              <w:rPr>
                <w:rFonts w:ascii="Calibri" w:hAnsi="Calibri" w:cs="Calibri"/>
                <w:sz w:val="21"/>
                <w:szCs w:val="16"/>
              </w:rPr>
            </w:pPr>
            <w:r>
              <w:rPr>
                <w:rFonts w:ascii="Calibri" w:hAnsi="Calibri" w:cs="Calibri"/>
                <w:sz w:val="21"/>
                <w:szCs w:val="16"/>
              </w:rPr>
              <w:t>2</w:t>
            </w:r>
            <w:r w:rsidR="001B66FE">
              <w:rPr>
                <w:rFonts w:ascii="Calibri" w:hAnsi="Calibri" w:cs="Calibri" w:hint="eastAsia"/>
                <w:sz w:val="21"/>
                <w:szCs w:val="16"/>
                <w:lang w:eastAsia="zh-CN"/>
              </w:rPr>
              <w:t>3.59</w:t>
            </w:r>
            <w:r>
              <w:rPr>
                <w:rFonts w:ascii="Calibri" w:hAnsi="Calibri" w:cs="Calibri"/>
                <w:sz w:val="21"/>
                <w:szCs w:val="16"/>
              </w:rPr>
              <w:t>%</w:t>
            </w:r>
          </w:p>
        </w:tc>
      </w:tr>
      <w:tr w:rsidR="00521A20" w14:paraId="70D8C385" w14:textId="77777777">
        <w:trPr>
          <w:trHeight w:val="756"/>
        </w:trPr>
        <w:tc>
          <w:tcPr>
            <w:tcW w:w="6235" w:type="dxa"/>
            <w:tcBorders>
              <w:top w:val="single" w:sz="4" w:space="0" w:color="4D93D9"/>
              <w:left w:val="single" w:sz="4" w:space="0" w:color="4D93D9"/>
              <w:bottom w:val="single" w:sz="4" w:space="0" w:color="4D93D9"/>
              <w:right w:val="single" w:sz="4" w:space="0" w:color="4D93D9"/>
            </w:tcBorders>
            <w:shd w:val="clear" w:color="auto" w:fill="C0E6F5"/>
          </w:tcPr>
          <w:p w14:paraId="220CAD0F" w14:textId="77777777" w:rsidR="00521A20" w:rsidRDefault="00BB475A">
            <w:pPr>
              <w:rPr>
                <w:rFonts w:ascii="Calibri" w:hAnsi="Calibri" w:cs="Calibri"/>
                <w:sz w:val="21"/>
                <w:szCs w:val="16"/>
                <w:lang w:eastAsia="zh-CN"/>
              </w:rPr>
            </w:pPr>
            <w:r>
              <w:rPr>
                <w:rFonts w:ascii="Calibri" w:hAnsi="Calibri" w:cs="Calibri"/>
                <w:b/>
                <w:sz w:val="21"/>
                <w:szCs w:val="16"/>
                <w:lang w:eastAsia="zh-CN"/>
              </w:rPr>
              <w:t xml:space="preserve">P3 – </w:t>
            </w:r>
            <w:r>
              <w:rPr>
                <w:rFonts w:ascii="Calibri" w:hAnsi="Calibri" w:cs="Calibri"/>
                <w:b/>
                <w:sz w:val="21"/>
                <w:szCs w:val="16"/>
                <w:lang w:eastAsia="zh-CN"/>
              </w:rPr>
              <w:t>有利的政策和监管环境</w:t>
            </w:r>
            <w:r>
              <w:rPr>
                <w:rFonts w:ascii="Calibri" w:hAnsi="Calibri" w:cs="Calibri"/>
                <w:sz w:val="21"/>
                <w:szCs w:val="16"/>
                <w:lang w:eastAsia="zh-CN"/>
              </w:rPr>
              <w:br/>
            </w:r>
            <w:r>
              <w:rPr>
                <w:rFonts w:ascii="Calibri" w:hAnsi="Calibri" w:cs="Calibri"/>
                <w:sz w:val="21"/>
                <w:szCs w:val="16"/>
                <w:lang w:eastAsia="zh-CN"/>
              </w:rPr>
              <w:t>（包括提供数据和统计数字、政策和监管）</w:t>
            </w:r>
          </w:p>
        </w:tc>
        <w:tc>
          <w:tcPr>
            <w:tcW w:w="2268" w:type="dxa"/>
            <w:tcBorders>
              <w:top w:val="single" w:sz="4" w:space="0" w:color="44B3E1"/>
              <w:left w:val="nil"/>
              <w:bottom w:val="single" w:sz="4" w:space="0" w:color="44B3E1"/>
              <w:right w:val="nil"/>
            </w:tcBorders>
            <w:shd w:val="clear" w:color="auto" w:fill="C0E6F5"/>
            <w:noWrap/>
          </w:tcPr>
          <w:p w14:paraId="5B57D105" w14:textId="73F1E894" w:rsidR="00521A20" w:rsidRDefault="001B66FE">
            <w:pPr>
              <w:jc w:val="right"/>
              <w:rPr>
                <w:rFonts w:ascii="Calibri" w:hAnsi="Calibri" w:cs="Calibri"/>
                <w:sz w:val="21"/>
                <w:szCs w:val="16"/>
              </w:rPr>
            </w:pPr>
            <w:r>
              <w:rPr>
                <w:rFonts w:ascii="Calibri" w:hAnsi="Calibri" w:cs="Calibri" w:hint="eastAsia"/>
                <w:sz w:val="21"/>
                <w:szCs w:val="16"/>
                <w:lang w:eastAsia="zh-CN"/>
              </w:rPr>
              <w:t>725,0</w:t>
            </w:r>
            <w:r>
              <w:rPr>
                <w:rFonts w:ascii="Calibri" w:hAnsi="Calibri" w:cs="Calibri"/>
                <w:sz w:val="21"/>
                <w:szCs w:val="16"/>
              </w:rPr>
              <w:t>00</w:t>
            </w:r>
          </w:p>
        </w:tc>
        <w:tc>
          <w:tcPr>
            <w:tcW w:w="1704" w:type="dxa"/>
            <w:tcBorders>
              <w:top w:val="single" w:sz="4" w:space="0" w:color="4D93D9"/>
              <w:left w:val="single" w:sz="4" w:space="0" w:color="4D93D9"/>
              <w:bottom w:val="single" w:sz="4" w:space="0" w:color="4D93D9"/>
              <w:right w:val="single" w:sz="4" w:space="0" w:color="4D93D9"/>
            </w:tcBorders>
            <w:shd w:val="clear" w:color="auto" w:fill="C0E6F5"/>
            <w:noWrap/>
          </w:tcPr>
          <w:p w14:paraId="52FA8BF9" w14:textId="22747D03" w:rsidR="00521A20" w:rsidRDefault="001B66FE">
            <w:pPr>
              <w:jc w:val="right"/>
              <w:rPr>
                <w:rFonts w:ascii="Calibri" w:hAnsi="Calibri" w:cs="Calibri"/>
                <w:sz w:val="21"/>
                <w:szCs w:val="16"/>
              </w:rPr>
            </w:pPr>
            <w:r>
              <w:rPr>
                <w:rFonts w:ascii="Calibri" w:hAnsi="Calibri" w:cs="Calibri"/>
                <w:sz w:val="21"/>
                <w:szCs w:val="16"/>
              </w:rPr>
              <w:t>1</w:t>
            </w:r>
            <w:r>
              <w:rPr>
                <w:rFonts w:ascii="Calibri" w:hAnsi="Calibri" w:cs="Calibri" w:hint="eastAsia"/>
                <w:sz w:val="21"/>
                <w:szCs w:val="16"/>
                <w:lang w:eastAsia="zh-CN"/>
              </w:rPr>
              <w:t>9</w:t>
            </w:r>
            <w:r>
              <w:rPr>
                <w:rFonts w:ascii="Calibri" w:hAnsi="Calibri" w:cs="Calibri"/>
                <w:sz w:val="21"/>
                <w:szCs w:val="16"/>
              </w:rPr>
              <w:t>.</w:t>
            </w:r>
            <w:r>
              <w:rPr>
                <w:rFonts w:ascii="Calibri" w:hAnsi="Calibri" w:cs="Calibri" w:hint="eastAsia"/>
                <w:sz w:val="21"/>
                <w:szCs w:val="16"/>
                <w:lang w:eastAsia="zh-CN"/>
              </w:rPr>
              <w:t>0</w:t>
            </w:r>
            <w:r>
              <w:rPr>
                <w:rFonts w:ascii="Calibri" w:hAnsi="Calibri" w:cs="Calibri"/>
                <w:sz w:val="21"/>
                <w:szCs w:val="16"/>
              </w:rPr>
              <w:t>1%</w:t>
            </w:r>
          </w:p>
        </w:tc>
      </w:tr>
      <w:tr w:rsidR="00521A20" w14:paraId="6CBA8D0A" w14:textId="77777777">
        <w:trPr>
          <w:trHeight w:val="714"/>
        </w:trPr>
        <w:tc>
          <w:tcPr>
            <w:tcW w:w="6235" w:type="dxa"/>
            <w:tcBorders>
              <w:top w:val="single" w:sz="4" w:space="0" w:color="4D93D9"/>
              <w:left w:val="single" w:sz="4" w:space="0" w:color="4D93D9"/>
              <w:bottom w:val="single" w:sz="4" w:space="0" w:color="4D93D9"/>
              <w:right w:val="single" w:sz="4" w:space="0" w:color="4D93D9"/>
            </w:tcBorders>
          </w:tcPr>
          <w:p w14:paraId="46D1AD04" w14:textId="77777777" w:rsidR="00521A20" w:rsidRDefault="00BB475A">
            <w:pPr>
              <w:rPr>
                <w:rFonts w:ascii="Calibri" w:hAnsi="Calibri" w:cs="Calibri"/>
                <w:sz w:val="21"/>
                <w:szCs w:val="16"/>
                <w:lang w:eastAsia="zh-CN"/>
              </w:rPr>
            </w:pPr>
            <w:r>
              <w:rPr>
                <w:rFonts w:ascii="Calibri" w:hAnsi="Calibri" w:cs="Calibri"/>
                <w:b/>
                <w:sz w:val="21"/>
                <w:szCs w:val="16"/>
                <w:lang w:eastAsia="zh-CN"/>
              </w:rPr>
              <w:t xml:space="preserve">P4 – </w:t>
            </w:r>
            <w:r>
              <w:rPr>
                <w:rFonts w:ascii="Calibri" w:hAnsi="Calibri" w:cs="Calibri"/>
                <w:b/>
                <w:sz w:val="21"/>
                <w:szCs w:val="16"/>
                <w:lang w:eastAsia="zh-CN"/>
              </w:rPr>
              <w:t>资源筹措、伙伴关系和国际合作</w:t>
            </w:r>
            <w:r>
              <w:rPr>
                <w:rFonts w:ascii="Calibri" w:hAnsi="Calibri" w:cs="Calibri"/>
                <w:sz w:val="21"/>
                <w:szCs w:val="16"/>
                <w:lang w:eastAsia="zh-CN"/>
              </w:rPr>
              <w:br/>
            </w:r>
            <w:r>
              <w:rPr>
                <w:rFonts w:ascii="Calibri" w:hAnsi="Calibri" w:cs="Calibri"/>
                <w:sz w:val="21"/>
                <w:szCs w:val="16"/>
                <w:lang w:eastAsia="zh-CN"/>
              </w:rPr>
              <w:t>（包括跨领域伙伴关系）</w:t>
            </w:r>
          </w:p>
        </w:tc>
        <w:tc>
          <w:tcPr>
            <w:tcW w:w="2268" w:type="dxa"/>
            <w:tcBorders>
              <w:top w:val="single" w:sz="4" w:space="0" w:color="4D93D9"/>
              <w:left w:val="single" w:sz="4" w:space="0" w:color="4D93D9"/>
              <w:bottom w:val="single" w:sz="4" w:space="0" w:color="4D93D9"/>
              <w:right w:val="single" w:sz="4" w:space="0" w:color="4D93D9"/>
            </w:tcBorders>
            <w:noWrap/>
          </w:tcPr>
          <w:p w14:paraId="74E75B46" w14:textId="38430630" w:rsidR="00521A20" w:rsidRDefault="001B66FE">
            <w:pPr>
              <w:jc w:val="right"/>
              <w:rPr>
                <w:rFonts w:ascii="Calibri" w:hAnsi="Calibri" w:cs="Calibri"/>
                <w:sz w:val="21"/>
                <w:szCs w:val="16"/>
                <w:lang w:eastAsia="zh-CN"/>
              </w:rPr>
            </w:pPr>
            <w:r>
              <w:rPr>
                <w:rFonts w:ascii="Calibri" w:hAnsi="Calibri" w:cs="Calibri" w:hint="eastAsia"/>
                <w:sz w:val="21"/>
                <w:szCs w:val="16"/>
                <w:lang w:eastAsia="zh-CN"/>
              </w:rPr>
              <w:t>319</w:t>
            </w:r>
            <w:r>
              <w:rPr>
                <w:rFonts w:ascii="Calibri" w:hAnsi="Calibri" w:cs="Calibri"/>
                <w:sz w:val="21"/>
                <w:szCs w:val="16"/>
              </w:rPr>
              <w:t>,</w:t>
            </w:r>
            <w:r>
              <w:rPr>
                <w:rFonts w:ascii="Calibri" w:hAnsi="Calibri" w:cs="Calibri" w:hint="eastAsia"/>
                <w:sz w:val="21"/>
                <w:szCs w:val="16"/>
                <w:lang w:eastAsia="zh-CN"/>
              </w:rPr>
              <w:t>385</w:t>
            </w:r>
          </w:p>
        </w:tc>
        <w:tc>
          <w:tcPr>
            <w:tcW w:w="1704" w:type="dxa"/>
            <w:tcBorders>
              <w:top w:val="single" w:sz="4" w:space="0" w:color="4D93D9"/>
              <w:left w:val="single" w:sz="4" w:space="0" w:color="4D93D9"/>
              <w:bottom w:val="single" w:sz="4" w:space="0" w:color="4D93D9"/>
              <w:right w:val="single" w:sz="4" w:space="0" w:color="4D93D9"/>
            </w:tcBorders>
            <w:noWrap/>
          </w:tcPr>
          <w:p w14:paraId="6AA5910D" w14:textId="7E512664" w:rsidR="00521A20" w:rsidRDefault="001B66FE">
            <w:pPr>
              <w:jc w:val="right"/>
              <w:rPr>
                <w:rFonts w:ascii="Calibri" w:hAnsi="Calibri" w:cs="Calibri"/>
                <w:sz w:val="21"/>
                <w:szCs w:val="16"/>
              </w:rPr>
            </w:pPr>
            <w:r>
              <w:rPr>
                <w:rFonts w:ascii="Calibri" w:hAnsi="Calibri" w:cs="Calibri" w:hint="eastAsia"/>
                <w:sz w:val="21"/>
                <w:szCs w:val="16"/>
                <w:lang w:eastAsia="zh-CN"/>
              </w:rPr>
              <w:t>8.38</w:t>
            </w:r>
            <w:r>
              <w:rPr>
                <w:rFonts w:ascii="Calibri" w:hAnsi="Calibri" w:cs="Calibri"/>
                <w:sz w:val="21"/>
                <w:szCs w:val="16"/>
              </w:rPr>
              <w:t>%</w:t>
            </w:r>
          </w:p>
        </w:tc>
      </w:tr>
      <w:tr w:rsidR="00521A20" w14:paraId="7D620CFA" w14:textId="77777777">
        <w:trPr>
          <w:trHeight w:val="912"/>
        </w:trPr>
        <w:tc>
          <w:tcPr>
            <w:tcW w:w="6235" w:type="dxa"/>
            <w:tcBorders>
              <w:top w:val="single" w:sz="4" w:space="0" w:color="4D93D9"/>
              <w:left w:val="single" w:sz="4" w:space="0" w:color="4D93D9"/>
              <w:bottom w:val="single" w:sz="4" w:space="0" w:color="4D93D9"/>
              <w:right w:val="single" w:sz="4" w:space="0" w:color="4D93D9"/>
            </w:tcBorders>
            <w:shd w:val="clear" w:color="auto" w:fill="C0E6F5"/>
          </w:tcPr>
          <w:p w14:paraId="4BC1B95C" w14:textId="77777777" w:rsidR="00521A20" w:rsidRDefault="00BB475A">
            <w:pPr>
              <w:rPr>
                <w:rFonts w:ascii="Calibri" w:hAnsi="Calibri" w:cs="Calibri"/>
                <w:sz w:val="21"/>
                <w:szCs w:val="16"/>
                <w:lang w:eastAsia="zh-CN"/>
              </w:rPr>
            </w:pPr>
            <w:r>
              <w:rPr>
                <w:rFonts w:ascii="Calibri" w:hAnsi="Calibri" w:cs="Calibri"/>
                <w:b/>
                <w:sz w:val="21"/>
                <w:szCs w:val="16"/>
                <w:lang w:eastAsia="zh-CN"/>
              </w:rPr>
              <w:t xml:space="preserve">P5 – </w:t>
            </w:r>
            <w:r>
              <w:rPr>
                <w:rFonts w:ascii="Calibri" w:hAnsi="Calibri" w:cs="Calibri"/>
                <w:b/>
                <w:sz w:val="21"/>
                <w:szCs w:val="16"/>
                <w:lang w:eastAsia="zh-CN"/>
              </w:rPr>
              <w:t>包容、安全和可靠的电信</w:t>
            </w:r>
            <w:r>
              <w:rPr>
                <w:rFonts w:ascii="Calibri" w:hAnsi="Calibri" w:cs="Calibri"/>
                <w:b/>
                <w:sz w:val="21"/>
                <w:szCs w:val="16"/>
                <w:lang w:eastAsia="zh-CN"/>
              </w:rPr>
              <w:t>/</w:t>
            </w:r>
            <w:r>
              <w:rPr>
                <w:rFonts w:ascii="Calibri" w:hAnsi="Calibri" w:cs="Calibri"/>
                <w:b/>
                <w:bCs/>
                <w:sz w:val="21"/>
                <w:szCs w:val="16"/>
                <w:lang w:eastAsia="zh-CN"/>
              </w:rPr>
              <w:t>ICT</w:t>
            </w:r>
            <w:r>
              <w:rPr>
                <w:rFonts w:ascii="Calibri" w:hAnsi="Calibri" w:cs="Calibri"/>
                <w:b/>
                <w:bCs/>
                <w:sz w:val="21"/>
                <w:szCs w:val="16"/>
                <w:lang w:eastAsia="zh-CN"/>
              </w:rPr>
              <w:t>促进可持续发展</w:t>
            </w:r>
            <w:r>
              <w:rPr>
                <w:rFonts w:ascii="Calibri" w:hAnsi="Calibri" w:cs="Calibri"/>
                <w:sz w:val="21"/>
                <w:szCs w:val="16"/>
                <w:lang w:eastAsia="zh-CN"/>
              </w:rPr>
              <w:br/>
            </w:r>
            <w:r>
              <w:rPr>
                <w:rFonts w:ascii="Calibri" w:hAnsi="Calibri" w:cs="Calibri"/>
                <w:sz w:val="21"/>
                <w:szCs w:val="16"/>
                <w:lang w:eastAsia="zh-CN"/>
              </w:rPr>
              <w:t>（包括网络安全、数字包容性）</w:t>
            </w:r>
          </w:p>
        </w:tc>
        <w:tc>
          <w:tcPr>
            <w:tcW w:w="2268" w:type="dxa"/>
            <w:tcBorders>
              <w:top w:val="single" w:sz="4" w:space="0" w:color="44B3E1"/>
              <w:left w:val="nil"/>
              <w:bottom w:val="single" w:sz="4" w:space="0" w:color="44B3E1"/>
              <w:right w:val="nil"/>
            </w:tcBorders>
            <w:shd w:val="clear" w:color="auto" w:fill="C0E6F5"/>
            <w:noWrap/>
          </w:tcPr>
          <w:p w14:paraId="61F0DAA8" w14:textId="77777777" w:rsidR="00521A20" w:rsidRDefault="00BB475A">
            <w:pPr>
              <w:jc w:val="right"/>
              <w:rPr>
                <w:rFonts w:ascii="Calibri" w:hAnsi="Calibri" w:cs="Calibri"/>
                <w:sz w:val="21"/>
                <w:szCs w:val="16"/>
              </w:rPr>
            </w:pPr>
            <w:r>
              <w:rPr>
                <w:rFonts w:ascii="Calibri" w:hAnsi="Calibri" w:cs="Calibri"/>
                <w:sz w:val="21"/>
                <w:szCs w:val="16"/>
              </w:rPr>
              <w:t>736,500</w:t>
            </w:r>
          </w:p>
        </w:tc>
        <w:tc>
          <w:tcPr>
            <w:tcW w:w="1704" w:type="dxa"/>
            <w:tcBorders>
              <w:top w:val="single" w:sz="4" w:space="0" w:color="4D93D9"/>
              <w:left w:val="single" w:sz="4" w:space="0" w:color="4D93D9"/>
              <w:bottom w:val="single" w:sz="4" w:space="0" w:color="4D93D9"/>
              <w:right w:val="single" w:sz="4" w:space="0" w:color="4D93D9"/>
            </w:tcBorders>
            <w:shd w:val="clear" w:color="auto" w:fill="C0E6F5"/>
            <w:noWrap/>
          </w:tcPr>
          <w:p w14:paraId="70014FDF" w14:textId="68E5CD0D" w:rsidR="00521A20" w:rsidRDefault="00BB475A">
            <w:pPr>
              <w:jc w:val="right"/>
              <w:rPr>
                <w:rFonts w:ascii="Calibri" w:hAnsi="Calibri" w:cs="Calibri"/>
                <w:sz w:val="21"/>
                <w:szCs w:val="16"/>
              </w:rPr>
            </w:pPr>
            <w:r>
              <w:rPr>
                <w:rFonts w:ascii="Calibri" w:hAnsi="Calibri" w:cs="Calibri"/>
                <w:sz w:val="21"/>
                <w:szCs w:val="16"/>
              </w:rPr>
              <w:t>19.3</w:t>
            </w:r>
            <w:r w:rsidR="001B66FE">
              <w:rPr>
                <w:rFonts w:ascii="Calibri" w:hAnsi="Calibri" w:cs="Calibri" w:hint="eastAsia"/>
                <w:sz w:val="21"/>
                <w:szCs w:val="16"/>
                <w:lang w:eastAsia="zh-CN"/>
              </w:rPr>
              <w:t>2</w:t>
            </w:r>
            <w:r>
              <w:rPr>
                <w:rFonts w:ascii="Calibri" w:hAnsi="Calibri" w:cs="Calibri"/>
                <w:sz w:val="21"/>
                <w:szCs w:val="16"/>
              </w:rPr>
              <w:t>%</w:t>
            </w:r>
          </w:p>
        </w:tc>
      </w:tr>
      <w:tr w:rsidR="00521A20" w14:paraId="7F0855D2" w14:textId="77777777">
        <w:trPr>
          <w:trHeight w:val="935"/>
        </w:trPr>
        <w:tc>
          <w:tcPr>
            <w:tcW w:w="6235" w:type="dxa"/>
            <w:tcBorders>
              <w:top w:val="single" w:sz="4" w:space="0" w:color="4D93D9"/>
              <w:left w:val="single" w:sz="4" w:space="0" w:color="4D93D9"/>
              <w:bottom w:val="single" w:sz="4" w:space="0" w:color="4D93D9"/>
              <w:right w:val="single" w:sz="4" w:space="0" w:color="4D93D9"/>
            </w:tcBorders>
          </w:tcPr>
          <w:p w14:paraId="3598D379" w14:textId="77777777" w:rsidR="00521A20" w:rsidRDefault="00BB475A">
            <w:pPr>
              <w:rPr>
                <w:rFonts w:ascii="Calibri" w:hAnsi="Calibri" w:cs="Calibri"/>
                <w:sz w:val="21"/>
                <w:szCs w:val="16"/>
                <w:lang w:eastAsia="zh-CN"/>
              </w:rPr>
            </w:pPr>
            <w:r>
              <w:rPr>
                <w:rFonts w:ascii="Calibri" w:hAnsi="Calibri" w:cs="Calibri"/>
                <w:b/>
                <w:bCs/>
                <w:sz w:val="21"/>
                <w:szCs w:val="16"/>
                <w:lang w:eastAsia="zh-CN"/>
              </w:rPr>
              <w:t xml:space="preserve">E – </w:t>
            </w:r>
            <w:r>
              <w:rPr>
                <w:rFonts w:ascii="Calibri" w:hAnsi="Calibri" w:cs="Calibri"/>
                <w:b/>
                <w:bCs/>
                <w:sz w:val="21"/>
                <w:szCs w:val="16"/>
                <w:lang w:eastAsia="zh-CN"/>
              </w:rPr>
              <w:t>组织卓越性</w:t>
            </w:r>
            <w:r>
              <w:rPr>
                <w:rFonts w:ascii="Calibri" w:hAnsi="Calibri" w:cs="Calibri"/>
                <w:b/>
                <w:bCs/>
                <w:sz w:val="21"/>
                <w:szCs w:val="16"/>
                <w:lang w:eastAsia="zh-CN"/>
              </w:rPr>
              <w:br/>
            </w:r>
            <w:r>
              <w:rPr>
                <w:rFonts w:ascii="Calibri" w:hAnsi="Calibri" w:cs="Calibri"/>
                <w:sz w:val="21"/>
                <w:szCs w:val="16"/>
                <w:lang w:eastAsia="zh-CN"/>
              </w:rPr>
              <w:t>（跨领域，包括成员驱动、区域代表处、项目管理和支持性服务）</w:t>
            </w:r>
          </w:p>
        </w:tc>
        <w:tc>
          <w:tcPr>
            <w:tcW w:w="2268" w:type="dxa"/>
            <w:tcBorders>
              <w:top w:val="single" w:sz="4" w:space="0" w:color="44B3E1"/>
              <w:left w:val="nil"/>
              <w:bottom w:val="single" w:sz="4" w:space="0" w:color="44B3E1"/>
              <w:right w:val="nil"/>
            </w:tcBorders>
            <w:noWrap/>
          </w:tcPr>
          <w:p w14:paraId="42F59E27" w14:textId="0A3ACB0F" w:rsidR="00521A20" w:rsidRDefault="001B66FE">
            <w:pPr>
              <w:jc w:val="right"/>
              <w:rPr>
                <w:rFonts w:ascii="Calibri" w:hAnsi="Calibri" w:cs="Calibri"/>
                <w:sz w:val="21"/>
                <w:szCs w:val="16"/>
                <w:lang w:eastAsia="zh-CN"/>
              </w:rPr>
            </w:pPr>
            <w:r>
              <w:rPr>
                <w:rFonts w:ascii="Calibri" w:hAnsi="Calibri" w:cs="Calibri" w:hint="eastAsia"/>
                <w:sz w:val="21"/>
                <w:szCs w:val="16"/>
                <w:lang w:eastAsia="zh-CN"/>
              </w:rPr>
              <w:t>580,615</w:t>
            </w:r>
          </w:p>
        </w:tc>
        <w:tc>
          <w:tcPr>
            <w:tcW w:w="1704" w:type="dxa"/>
            <w:tcBorders>
              <w:top w:val="single" w:sz="4" w:space="0" w:color="4D93D9"/>
              <w:left w:val="single" w:sz="4" w:space="0" w:color="4D93D9"/>
              <w:bottom w:val="single" w:sz="4" w:space="0" w:color="4D93D9"/>
              <w:right w:val="single" w:sz="4" w:space="0" w:color="4D93D9"/>
            </w:tcBorders>
            <w:noWrap/>
          </w:tcPr>
          <w:p w14:paraId="63C105CC" w14:textId="0C8CB453" w:rsidR="00521A20" w:rsidRDefault="00BB475A">
            <w:pPr>
              <w:jc w:val="right"/>
              <w:rPr>
                <w:rFonts w:ascii="Calibri" w:hAnsi="Calibri" w:cs="Calibri"/>
                <w:sz w:val="21"/>
                <w:szCs w:val="16"/>
              </w:rPr>
            </w:pPr>
            <w:r>
              <w:rPr>
                <w:rFonts w:ascii="Calibri" w:hAnsi="Calibri" w:cs="Calibri"/>
                <w:sz w:val="21"/>
                <w:szCs w:val="16"/>
              </w:rPr>
              <w:t>1</w:t>
            </w:r>
            <w:r w:rsidR="001B66FE">
              <w:rPr>
                <w:rFonts w:ascii="Calibri" w:hAnsi="Calibri" w:cs="Calibri" w:hint="eastAsia"/>
                <w:sz w:val="21"/>
                <w:szCs w:val="16"/>
                <w:lang w:eastAsia="zh-CN"/>
              </w:rPr>
              <w:t>5.23</w:t>
            </w:r>
            <w:r>
              <w:rPr>
                <w:rFonts w:ascii="Calibri" w:hAnsi="Calibri" w:cs="Calibri"/>
                <w:sz w:val="21"/>
                <w:szCs w:val="16"/>
              </w:rPr>
              <w:t>%</w:t>
            </w:r>
          </w:p>
        </w:tc>
      </w:tr>
      <w:tr w:rsidR="00521A20" w14:paraId="7B9AD83D" w14:textId="77777777">
        <w:trPr>
          <w:trHeight w:val="297"/>
        </w:trPr>
        <w:tc>
          <w:tcPr>
            <w:tcW w:w="6235" w:type="dxa"/>
            <w:tcBorders>
              <w:top w:val="single" w:sz="4" w:space="0" w:color="4D93D9"/>
              <w:left w:val="single" w:sz="4" w:space="0" w:color="4D93D9"/>
              <w:bottom w:val="single" w:sz="4" w:space="0" w:color="4D93D9"/>
              <w:right w:val="single" w:sz="4" w:space="0" w:color="4D93D9"/>
            </w:tcBorders>
            <w:shd w:val="clear" w:color="auto" w:fill="C0E6F5"/>
          </w:tcPr>
          <w:p w14:paraId="7DD15D02" w14:textId="77777777" w:rsidR="00521A20" w:rsidRDefault="00BB475A">
            <w:pPr>
              <w:rPr>
                <w:rFonts w:ascii="Calibri" w:hAnsi="Calibri" w:cs="Calibri"/>
                <w:b/>
                <w:bCs/>
                <w:sz w:val="21"/>
                <w:szCs w:val="16"/>
              </w:rPr>
            </w:pPr>
            <w:proofErr w:type="spellStart"/>
            <w:r>
              <w:rPr>
                <w:rFonts w:ascii="Calibri" w:hAnsi="Calibri" w:cs="Calibri"/>
                <w:b/>
                <w:sz w:val="21"/>
                <w:szCs w:val="16"/>
              </w:rPr>
              <w:t>总计</w:t>
            </w:r>
            <w:proofErr w:type="spellEnd"/>
          </w:p>
        </w:tc>
        <w:tc>
          <w:tcPr>
            <w:tcW w:w="2268" w:type="dxa"/>
            <w:tcBorders>
              <w:top w:val="single" w:sz="4" w:space="0" w:color="4D93D9"/>
              <w:left w:val="single" w:sz="4" w:space="0" w:color="4D93D9"/>
              <w:bottom w:val="single" w:sz="4" w:space="0" w:color="4D93D9"/>
              <w:right w:val="single" w:sz="4" w:space="0" w:color="4D93D9"/>
            </w:tcBorders>
            <w:shd w:val="clear" w:color="auto" w:fill="C0E6F5"/>
            <w:noWrap/>
          </w:tcPr>
          <w:p w14:paraId="63EA2284" w14:textId="77777777" w:rsidR="00521A20" w:rsidRDefault="00BB475A">
            <w:pPr>
              <w:jc w:val="right"/>
              <w:rPr>
                <w:rFonts w:ascii="Calibri" w:hAnsi="Calibri" w:cs="Calibri"/>
                <w:b/>
                <w:bCs/>
                <w:sz w:val="21"/>
                <w:szCs w:val="16"/>
              </w:rPr>
            </w:pPr>
            <w:r>
              <w:rPr>
                <w:rFonts w:ascii="Calibri" w:hAnsi="Calibri" w:cs="Calibri"/>
                <w:b/>
                <w:sz w:val="21"/>
                <w:szCs w:val="16"/>
              </w:rPr>
              <w:t>3,813,000</w:t>
            </w:r>
          </w:p>
        </w:tc>
        <w:tc>
          <w:tcPr>
            <w:tcW w:w="1704" w:type="dxa"/>
            <w:tcBorders>
              <w:top w:val="single" w:sz="4" w:space="0" w:color="4D93D9"/>
              <w:left w:val="single" w:sz="4" w:space="0" w:color="4D93D9"/>
              <w:bottom w:val="single" w:sz="4" w:space="0" w:color="4D93D9"/>
              <w:right w:val="single" w:sz="4" w:space="0" w:color="4D93D9"/>
            </w:tcBorders>
            <w:shd w:val="clear" w:color="auto" w:fill="C0E6F5"/>
            <w:noWrap/>
          </w:tcPr>
          <w:p w14:paraId="283B077C" w14:textId="77777777" w:rsidR="00521A20" w:rsidRDefault="00BB475A">
            <w:pPr>
              <w:jc w:val="right"/>
              <w:rPr>
                <w:rFonts w:ascii="Calibri" w:hAnsi="Calibri" w:cs="Calibri"/>
                <w:sz w:val="21"/>
                <w:szCs w:val="16"/>
              </w:rPr>
            </w:pPr>
            <w:r>
              <w:rPr>
                <w:rFonts w:ascii="Calibri" w:hAnsi="Calibri" w:cs="Calibri"/>
                <w:sz w:val="21"/>
                <w:szCs w:val="16"/>
              </w:rPr>
              <w:t> </w:t>
            </w:r>
          </w:p>
        </w:tc>
      </w:tr>
    </w:tbl>
    <w:p w14:paraId="6FC26AAC" w14:textId="39487575" w:rsidR="00521A20" w:rsidRDefault="00BB475A">
      <w:pPr>
        <w:overflowPunct/>
        <w:autoSpaceDE/>
        <w:autoSpaceDN/>
        <w:adjustRightInd/>
        <w:spacing w:before="0"/>
        <w:textAlignment w:val="auto"/>
        <w:rPr>
          <w:rFonts w:ascii="Calibri" w:hAnsi="Calibri"/>
          <w:sz w:val="18"/>
          <w:szCs w:val="18"/>
          <w:lang w:eastAsia="zh-CN"/>
        </w:rPr>
      </w:pPr>
      <w:r>
        <w:rPr>
          <w:rFonts w:ascii="Calibri" w:hAnsi="Calibri" w:hint="eastAsia"/>
          <w:sz w:val="18"/>
          <w:lang w:eastAsia="zh-CN"/>
        </w:rPr>
        <w:t>注：“</w:t>
      </w:r>
      <w:r>
        <w:rPr>
          <w:rFonts w:ascii="Calibri" w:hAnsi="Calibri" w:hint="eastAsia"/>
          <w:sz w:val="18"/>
          <w:lang w:eastAsia="zh-CN"/>
        </w:rPr>
        <w:t>P</w:t>
      </w:r>
      <w:r>
        <w:rPr>
          <w:rFonts w:ascii="Calibri" w:hAnsi="Calibri" w:hint="eastAsia"/>
          <w:sz w:val="18"/>
          <w:lang w:eastAsia="zh-CN"/>
        </w:rPr>
        <w:t>”代表</w:t>
      </w:r>
      <w:r>
        <w:rPr>
          <w:rFonts w:ascii="Calibri" w:hAnsi="Calibri" w:hint="eastAsia"/>
          <w:sz w:val="18"/>
          <w:lang w:eastAsia="zh-CN"/>
        </w:rPr>
        <w:t>ITU-D</w:t>
      </w:r>
      <w:r>
        <w:rPr>
          <w:rFonts w:ascii="Calibri" w:hAnsi="Calibri" w:hint="eastAsia"/>
          <w:sz w:val="18"/>
          <w:lang w:eastAsia="zh-CN"/>
        </w:rPr>
        <w:t>的重点工作；“</w:t>
      </w:r>
      <w:r>
        <w:rPr>
          <w:rFonts w:ascii="Calibri" w:hAnsi="Calibri" w:hint="eastAsia"/>
          <w:sz w:val="18"/>
          <w:lang w:eastAsia="zh-CN"/>
        </w:rPr>
        <w:t>E</w:t>
      </w:r>
      <w:r>
        <w:rPr>
          <w:rFonts w:ascii="Calibri" w:hAnsi="Calibri" w:hint="eastAsia"/>
          <w:sz w:val="18"/>
          <w:lang w:eastAsia="zh-CN"/>
        </w:rPr>
        <w:t>”代表</w:t>
      </w:r>
      <w:r>
        <w:rPr>
          <w:rFonts w:ascii="Calibri" w:hAnsi="Calibri" w:hint="eastAsia"/>
          <w:sz w:val="18"/>
          <w:lang w:eastAsia="zh-CN"/>
        </w:rPr>
        <w:t>ITU-D</w:t>
      </w:r>
      <w:r>
        <w:rPr>
          <w:rFonts w:ascii="Calibri" w:hAnsi="Calibri" w:hint="eastAsia"/>
          <w:sz w:val="18"/>
          <w:lang w:eastAsia="zh-CN"/>
        </w:rPr>
        <w:t>的推动因素</w:t>
      </w:r>
    </w:p>
    <w:p w14:paraId="10832A0B" w14:textId="77777777" w:rsidR="00521A20" w:rsidRDefault="00BB475A">
      <w:pPr>
        <w:pStyle w:val="Heading2"/>
        <w:rPr>
          <w:rFonts w:eastAsia="Calibri"/>
          <w:szCs w:val="24"/>
          <w:lang w:eastAsia="zh-CN"/>
        </w:rPr>
      </w:pPr>
      <w:r>
        <w:rPr>
          <w:rFonts w:hint="eastAsia"/>
          <w:lang w:eastAsia="zh-CN"/>
        </w:rPr>
        <w:t>2.2</w:t>
      </w:r>
      <w:r>
        <w:rPr>
          <w:rFonts w:hint="eastAsia"/>
          <w:lang w:eastAsia="zh-CN"/>
        </w:rPr>
        <w:tab/>
      </w:r>
      <w:r>
        <w:rPr>
          <w:rFonts w:hint="eastAsia"/>
          <w:lang w:eastAsia="zh-CN"/>
        </w:rPr>
        <w:t>按受益区域划分的</w:t>
      </w:r>
      <w:r>
        <w:rPr>
          <w:rFonts w:hint="eastAsia"/>
          <w:lang w:eastAsia="zh-CN"/>
        </w:rPr>
        <w:t>OP-26</w:t>
      </w:r>
      <w:r>
        <w:rPr>
          <w:rFonts w:hint="eastAsia"/>
          <w:lang w:eastAsia="zh-CN"/>
        </w:rPr>
        <w:t>资金分配</w:t>
      </w:r>
    </w:p>
    <w:p w14:paraId="12F0AEA8" w14:textId="77777777" w:rsidR="00521A20" w:rsidRDefault="00BB475A">
      <w:pPr>
        <w:ind w:firstLineChars="200" w:firstLine="480"/>
        <w:rPr>
          <w:rFonts w:ascii="Calibri" w:hAnsi="Calibri" w:cs="Calibri"/>
          <w:lang w:eastAsia="zh-CN"/>
        </w:rPr>
      </w:pPr>
      <w:r>
        <w:rPr>
          <w:rFonts w:ascii="Calibri" w:hAnsi="Calibri" w:cs="Calibri"/>
          <w:lang w:eastAsia="zh-CN"/>
        </w:rPr>
        <w:t>根据落实《基加利行动计划》获得的经验和通过与成员国磋商确定的需求，</w:t>
      </w:r>
      <w:r>
        <w:rPr>
          <w:rFonts w:ascii="Calibri" w:hAnsi="Calibri" w:cs="Calibri"/>
          <w:lang w:eastAsia="zh-CN"/>
        </w:rPr>
        <w:t>OP-26</w:t>
      </w:r>
      <w:r>
        <w:rPr>
          <w:rFonts w:ascii="Calibri" w:hAnsi="Calibri" w:cs="Calibri"/>
          <w:lang w:eastAsia="zh-CN"/>
        </w:rPr>
        <w:t>预算中略多于一半（</w:t>
      </w:r>
      <w:r>
        <w:rPr>
          <w:rFonts w:ascii="Calibri" w:hAnsi="Calibri" w:cs="Calibri"/>
          <w:lang w:eastAsia="zh-CN"/>
        </w:rPr>
        <w:t>56%</w:t>
      </w:r>
      <w:r>
        <w:rPr>
          <w:rFonts w:ascii="Calibri" w:hAnsi="Calibri" w:cs="Calibri"/>
          <w:lang w:eastAsia="zh-CN"/>
        </w:rPr>
        <w:t>）的资金分配给了全球高度重视、开展多区域行动的输出成果，预计这些活动将产生广泛影响并提高运营效率。</w:t>
      </w:r>
    </w:p>
    <w:p w14:paraId="36692186" w14:textId="77777777" w:rsidR="00521A20" w:rsidRDefault="00BB475A">
      <w:pPr>
        <w:ind w:firstLineChars="200" w:firstLine="480"/>
        <w:rPr>
          <w:rFonts w:ascii="Calibri" w:hAnsi="Calibri" w:cs="Calibri"/>
          <w:lang w:eastAsia="zh-CN"/>
        </w:rPr>
      </w:pPr>
      <w:r>
        <w:rPr>
          <w:rFonts w:ascii="Calibri" w:hAnsi="Calibri" w:cs="Calibri"/>
          <w:lang w:eastAsia="zh-CN"/>
        </w:rPr>
        <w:t>按照区域重点工作向各区域分配了大约</w:t>
      </w:r>
      <w:r>
        <w:rPr>
          <w:rFonts w:ascii="Calibri" w:hAnsi="Calibri" w:cs="Calibri"/>
          <w:lang w:eastAsia="zh-CN"/>
        </w:rPr>
        <w:t>7%</w:t>
      </w:r>
      <w:r>
        <w:rPr>
          <w:rFonts w:ascii="Calibri" w:hAnsi="Calibri" w:cs="Calibri"/>
          <w:lang w:eastAsia="zh-CN"/>
        </w:rPr>
        <w:t>的资金以支持交付输出成果，确保了资源分配的公平性。将寻求区域输出成果之间、区域和全球输出成果之间以及与国际电联其他各局和总秘书处的输出成果之间在实施方面的进一步协同增效。与各国、区域和全球实体建立的伙伴关系以及由电信发展局实施的项目，将进一步提升《巴库行动计划》的落实在区域和全球一级的影响。</w:t>
      </w:r>
    </w:p>
    <w:p w14:paraId="7A37D7E2" w14:textId="77777777" w:rsidR="00521A20" w:rsidRDefault="00BB475A">
      <w:pPr>
        <w:keepNext/>
        <w:overflowPunct/>
        <w:autoSpaceDE/>
        <w:autoSpaceDN/>
        <w:adjustRightInd/>
        <w:spacing w:after="120"/>
        <w:jc w:val="center"/>
        <w:textAlignment w:val="auto"/>
        <w:rPr>
          <w:rFonts w:ascii="Calibri" w:hAnsi="Calibri"/>
          <w:b/>
          <w:bCs/>
          <w:szCs w:val="24"/>
          <w:lang w:eastAsia="zh-CN"/>
        </w:rPr>
      </w:pPr>
      <w:r>
        <w:rPr>
          <w:rFonts w:ascii="Calibri" w:hAnsi="Calibri" w:hint="eastAsia"/>
          <w:b/>
          <w:lang w:eastAsia="zh-CN"/>
        </w:rPr>
        <w:lastRenderedPageBreak/>
        <w:t>图</w:t>
      </w:r>
      <w:r>
        <w:rPr>
          <w:rFonts w:ascii="Calibri" w:hAnsi="Calibri" w:hint="eastAsia"/>
          <w:b/>
          <w:lang w:eastAsia="zh-CN"/>
        </w:rPr>
        <w:t>2</w:t>
      </w:r>
      <w:r>
        <w:rPr>
          <w:rFonts w:ascii="Calibri" w:hAnsi="Calibri" w:hint="eastAsia"/>
          <w:b/>
          <w:lang w:eastAsia="zh-CN"/>
        </w:rPr>
        <w:t>：按受益区域划分的</w:t>
      </w:r>
      <w:r>
        <w:rPr>
          <w:rFonts w:ascii="Calibri" w:hAnsi="Calibri" w:hint="eastAsia"/>
          <w:b/>
          <w:lang w:eastAsia="zh-CN"/>
        </w:rPr>
        <w:t>OP-26</w:t>
      </w:r>
      <w:r>
        <w:rPr>
          <w:rFonts w:ascii="Calibri" w:hAnsi="Calibri" w:hint="eastAsia"/>
          <w:b/>
          <w:lang w:eastAsia="zh-CN"/>
        </w:rPr>
        <w:t>输出成果细目</w:t>
      </w:r>
      <w:r w:rsidRPr="00713809">
        <w:rPr>
          <w:rFonts w:ascii="Calibri" w:eastAsia="Calibri" w:hAnsi="Calibri"/>
          <w:b/>
          <w:bCs/>
          <w:szCs w:val="24"/>
          <w:vertAlign w:val="superscript"/>
          <w:lang w:val="en-US" w:eastAsia="zh-CN"/>
        </w:rPr>
        <w:t>*</w:t>
      </w:r>
      <w:r>
        <w:rPr>
          <w:rFonts w:ascii="Calibri" w:hAnsi="Calibri" w:hint="eastAsia"/>
          <w:b/>
          <w:lang w:eastAsia="zh-CN"/>
        </w:rPr>
        <w:t>（所有</w:t>
      </w:r>
      <w:r>
        <w:rPr>
          <w:rFonts w:ascii="Calibri" w:hAnsi="Calibri" w:hint="eastAsia"/>
          <w:b/>
          <w:lang w:eastAsia="zh-CN"/>
        </w:rPr>
        <w:t>ITU-D</w:t>
      </w:r>
      <w:r>
        <w:rPr>
          <w:rFonts w:ascii="Calibri" w:hAnsi="Calibri" w:hint="eastAsia"/>
          <w:b/>
          <w:lang w:eastAsia="zh-CN"/>
        </w:rPr>
        <w:t>的重点工作和推动因素累计）</w:t>
      </w:r>
    </w:p>
    <w:p w14:paraId="4B6200DF" w14:textId="77777777" w:rsidR="00521A20" w:rsidRDefault="00BB475A">
      <w:pPr>
        <w:overflowPunct/>
        <w:autoSpaceDE/>
        <w:autoSpaceDN/>
        <w:adjustRightInd/>
        <w:spacing w:after="120"/>
        <w:ind w:left="720"/>
        <w:textAlignment w:val="auto"/>
        <w:rPr>
          <w:rFonts w:ascii="Calibri" w:hAnsi="Calibri"/>
          <w:b/>
          <w:bCs/>
          <w:szCs w:val="24"/>
        </w:rPr>
      </w:pPr>
      <w:r>
        <w:rPr>
          <w:rFonts w:ascii="Calibri" w:hAnsi="Calibri"/>
          <w:b/>
          <w:bCs/>
          <w:noProof/>
          <w:szCs w:val="24"/>
          <w:lang w:val="en-US" w:eastAsia="zh-CN"/>
        </w:rPr>
        <w:drawing>
          <wp:inline distT="0" distB="0" distL="0" distR="0" wp14:anchorId="37076029" wp14:editId="3100D3F2">
            <wp:extent cx="4389755" cy="2926080"/>
            <wp:effectExtent l="0" t="0" r="0" b="7620"/>
            <wp:docPr id="11108735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73533"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389755" cy="2926080"/>
                    </a:xfrm>
                    <a:prstGeom prst="rect">
                      <a:avLst/>
                    </a:prstGeom>
                    <a:noFill/>
                  </pic:spPr>
                </pic:pic>
              </a:graphicData>
            </a:graphic>
          </wp:inline>
        </w:drawing>
      </w:r>
    </w:p>
    <w:p w14:paraId="09C849F3" w14:textId="77777777" w:rsidR="00521A20" w:rsidRDefault="00BB475A">
      <w:pPr>
        <w:overflowPunct/>
        <w:autoSpaceDE/>
        <w:autoSpaceDN/>
        <w:adjustRightInd/>
        <w:spacing w:after="120"/>
        <w:ind w:left="720"/>
        <w:textAlignment w:val="auto"/>
        <w:rPr>
          <w:rFonts w:ascii="Calibri" w:hAnsi="Calibri"/>
          <w:sz w:val="22"/>
          <w:szCs w:val="22"/>
          <w:lang w:eastAsia="zh-CN"/>
        </w:rPr>
      </w:pPr>
      <w:r>
        <w:rPr>
          <w:rFonts w:ascii="Calibri" w:hAnsi="Calibri" w:hint="eastAsia"/>
          <w:sz w:val="22"/>
          <w:lang w:eastAsia="zh-CN"/>
        </w:rPr>
        <w:t xml:space="preserve">* </w:t>
      </w:r>
      <w:r>
        <w:rPr>
          <w:rFonts w:ascii="Calibri" w:hAnsi="Calibri" w:hint="eastAsia"/>
          <w:sz w:val="22"/>
          <w:lang w:eastAsia="zh-CN"/>
        </w:rPr>
        <w:t>占</w:t>
      </w:r>
      <w:r>
        <w:rPr>
          <w:rFonts w:ascii="Calibri" w:hAnsi="Calibri" w:hint="eastAsia"/>
          <w:sz w:val="22"/>
          <w:lang w:eastAsia="zh-CN"/>
        </w:rPr>
        <w:t>OP-26</w:t>
      </w:r>
      <w:r>
        <w:rPr>
          <w:rFonts w:ascii="Calibri" w:hAnsi="Calibri" w:hint="eastAsia"/>
          <w:sz w:val="22"/>
          <w:lang w:eastAsia="zh-CN"/>
        </w:rPr>
        <w:t>预算的百分比</w:t>
      </w:r>
    </w:p>
    <w:p w14:paraId="63C9A812" w14:textId="77777777" w:rsidR="00521A20" w:rsidRDefault="00BB475A">
      <w:pPr>
        <w:pStyle w:val="Heading2"/>
        <w:rPr>
          <w:rFonts w:eastAsia="Calibri"/>
          <w:szCs w:val="24"/>
          <w:lang w:eastAsia="zh-CN"/>
        </w:rPr>
      </w:pPr>
      <w:r>
        <w:rPr>
          <w:rFonts w:hint="eastAsia"/>
          <w:lang w:eastAsia="zh-CN"/>
        </w:rPr>
        <w:t>2.3</w:t>
      </w:r>
      <w:r>
        <w:rPr>
          <w:rFonts w:hint="eastAsia"/>
          <w:lang w:eastAsia="zh-CN"/>
        </w:rPr>
        <w:tab/>
        <w:t>ITU-D</w:t>
      </w:r>
      <w:r>
        <w:rPr>
          <w:rFonts w:hint="eastAsia"/>
          <w:lang w:eastAsia="zh-CN"/>
        </w:rPr>
        <w:t>的重点工作与国际电联主题重点之间的联系</w:t>
      </w:r>
    </w:p>
    <w:p w14:paraId="4A41AE9A" w14:textId="77777777" w:rsidR="00521A20" w:rsidRDefault="00BB475A">
      <w:pPr>
        <w:ind w:firstLineChars="200" w:firstLine="480"/>
        <w:rPr>
          <w:b/>
          <w:bCs/>
          <w:lang w:eastAsia="zh-CN"/>
        </w:rPr>
      </w:pPr>
      <w:r>
        <w:rPr>
          <w:rFonts w:hint="eastAsia"/>
          <w:lang w:eastAsia="zh-CN"/>
        </w:rPr>
        <w:t>《巴库行动计划》构成了制定</w:t>
      </w:r>
      <w:r>
        <w:rPr>
          <w:rFonts w:hint="eastAsia"/>
          <w:lang w:eastAsia="zh-CN"/>
        </w:rPr>
        <w:t>ITU-D</w:t>
      </w:r>
      <w:r>
        <w:rPr>
          <w:rFonts w:hint="eastAsia"/>
          <w:lang w:eastAsia="zh-CN"/>
        </w:rPr>
        <w:t>运作规划的基础，旨在于</w:t>
      </w:r>
      <w:r>
        <w:rPr>
          <w:rFonts w:hint="eastAsia"/>
          <w:lang w:eastAsia="zh-CN"/>
        </w:rPr>
        <w:t>2026-2029</w:t>
      </w:r>
      <w:r>
        <w:rPr>
          <w:rFonts w:hint="eastAsia"/>
          <w:lang w:eastAsia="zh-CN"/>
        </w:rPr>
        <w:t>年整个实施周期内监督和完成成员国在</w:t>
      </w:r>
      <w:r>
        <w:rPr>
          <w:rFonts w:hint="eastAsia"/>
          <w:lang w:eastAsia="zh-CN"/>
        </w:rPr>
        <w:t>WTDC-25</w:t>
      </w:r>
      <w:r>
        <w:rPr>
          <w:rFonts w:hint="eastAsia"/>
          <w:lang w:eastAsia="zh-CN"/>
        </w:rPr>
        <w:t>上确定的重点工作。该计划基于结果，</w:t>
      </w:r>
      <w:proofErr w:type="gramStart"/>
      <w:r>
        <w:rPr>
          <w:rFonts w:hint="eastAsia"/>
          <w:lang w:eastAsia="zh-CN"/>
        </w:rPr>
        <w:t>且指导</w:t>
      </w:r>
      <w:proofErr w:type="gramEnd"/>
      <w:r>
        <w:rPr>
          <w:rFonts w:hint="eastAsia"/>
          <w:lang w:eastAsia="zh-CN"/>
        </w:rPr>
        <w:t>这些重点工作的落实，确保这些工作与国际电联《</w:t>
      </w:r>
      <w:r>
        <w:rPr>
          <w:rFonts w:hint="eastAsia"/>
          <w:lang w:eastAsia="zh-CN"/>
        </w:rPr>
        <w:t>2024-2027</w:t>
      </w:r>
      <w:r>
        <w:rPr>
          <w:rFonts w:hint="eastAsia"/>
          <w:lang w:eastAsia="zh-CN"/>
        </w:rPr>
        <w:t>年战略规划》所确定的主题重点、产品和服务的提供以及推动因素保持一致，遵循相关时间期限的财务规划限制。</w:t>
      </w:r>
    </w:p>
    <w:p w14:paraId="54D431A5" w14:textId="77777777" w:rsidR="00521A20" w:rsidRDefault="00BB475A">
      <w:pPr>
        <w:ind w:firstLineChars="200" w:firstLine="480"/>
        <w:rPr>
          <w:lang w:eastAsia="zh-CN"/>
        </w:rPr>
      </w:pPr>
      <w:r>
        <w:rPr>
          <w:rFonts w:hint="eastAsia"/>
          <w:lang w:eastAsia="zh-CN"/>
        </w:rPr>
        <w:t>根据《巴库行动计划》的定义，</w:t>
      </w:r>
      <w:r>
        <w:rPr>
          <w:rFonts w:hint="eastAsia"/>
          <w:lang w:eastAsia="zh-CN"/>
        </w:rPr>
        <w:t>ITU-D</w:t>
      </w:r>
      <w:r>
        <w:rPr>
          <w:rFonts w:hint="eastAsia"/>
          <w:lang w:eastAsia="zh-CN"/>
        </w:rPr>
        <w:t>的重点工作与国际电联《</w:t>
      </w:r>
      <w:r>
        <w:rPr>
          <w:rFonts w:hint="eastAsia"/>
          <w:lang w:eastAsia="zh-CN"/>
        </w:rPr>
        <w:t>2024-2027</w:t>
      </w:r>
      <w:r>
        <w:rPr>
          <w:rFonts w:hint="eastAsia"/>
          <w:lang w:eastAsia="zh-CN"/>
        </w:rPr>
        <w:t>年战略规划》所确立的主题重点之间存在紧密联系，如下表所示。</w:t>
      </w:r>
    </w:p>
    <w:p w14:paraId="6B816FC4" w14:textId="2BCEE3B8" w:rsidR="00521A20" w:rsidRDefault="00BB475A">
      <w:pPr>
        <w:keepNext/>
        <w:widowControl w:val="0"/>
        <w:overflowPunct/>
        <w:autoSpaceDE/>
        <w:autoSpaceDN/>
        <w:adjustRightInd/>
        <w:spacing w:after="120"/>
        <w:jc w:val="center"/>
        <w:textAlignment w:val="auto"/>
        <w:rPr>
          <w:rFonts w:ascii="Calibri" w:hAnsi="Calibri"/>
          <w:b/>
          <w:bCs/>
          <w:szCs w:val="24"/>
          <w:lang w:eastAsia="zh-CN"/>
        </w:rPr>
      </w:pPr>
      <w:r>
        <w:rPr>
          <w:rFonts w:ascii="Calibri" w:hAnsi="Calibri" w:hint="eastAsia"/>
          <w:b/>
          <w:lang w:eastAsia="zh-CN"/>
        </w:rPr>
        <w:t>表</w:t>
      </w:r>
      <w:r>
        <w:rPr>
          <w:rFonts w:ascii="Calibri" w:hAnsi="Calibri" w:hint="eastAsia"/>
          <w:b/>
          <w:lang w:val="en-US" w:eastAsia="zh-CN"/>
        </w:rPr>
        <w:t>2</w:t>
      </w:r>
      <w:r>
        <w:rPr>
          <w:rFonts w:ascii="Calibri" w:hAnsi="Calibri" w:hint="eastAsia"/>
          <w:b/>
          <w:lang w:eastAsia="zh-CN"/>
        </w:rPr>
        <w:t>：</w:t>
      </w:r>
      <w:r>
        <w:rPr>
          <w:rFonts w:ascii="Calibri" w:hAnsi="Calibri" w:hint="eastAsia"/>
          <w:b/>
          <w:lang w:eastAsia="zh-CN"/>
        </w:rPr>
        <w:t>ITU-D</w:t>
      </w:r>
      <w:r>
        <w:rPr>
          <w:rFonts w:ascii="Calibri" w:hAnsi="Calibri" w:hint="eastAsia"/>
          <w:b/>
          <w:lang w:eastAsia="zh-CN"/>
        </w:rPr>
        <w:t>的重点工作和推动因素与国际电联主题重点之间的联系</w:t>
      </w:r>
    </w:p>
    <w:tbl>
      <w:tblPr>
        <w:tblW w:w="5000" w:type="pct"/>
        <w:tblLook w:val="04A0" w:firstRow="1" w:lastRow="0" w:firstColumn="1" w:lastColumn="0" w:noHBand="0" w:noVBand="1"/>
      </w:tblPr>
      <w:tblGrid>
        <w:gridCol w:w="4814"/>
        <w:gridCol w:w="1099"/>
        <w:gridCol w:w="837"/>
        <w:gridCol w:w="1112"/>
        <w:gridCol w:w="954"/>
        <w:gridCol w:w="823"/>
      </w:tblGrid>
      <w:tr w:rsidR="00521A20" w14:paraId="3F4A1D99" w14:textId="77777777">
        <w:trPr>
          <w:trHeight w:val="311"/>
        </w:trPr>
        <w:tc>
          <w:tcPr>
            <w:tcW w:w="4594" w:type="dxa"/>
            <w:tcBorders>
              <w:top w:val="nil"/>
              <w:left w:val="nil"/>
              <w:bottom w:val="nil"/>
              <w:right w:val="nil"/>
            </w:tcBorders>
            <w:noWrap/>
            <w:vAlign w:val="bottom"/>
          </w:tcPr>
          <w:p w14:paraId="5B1BAD58" w14:textId="77777777" w:rsidR="00521A20" w:rsidRDefault="00521A20">
            <w:pPr>
              <w:rPr>
                <w:sz w:val="16"/>
                <w:szCs w:val="13"/>
                <w:lang w:eastAsia="zh-CN"/>
              </w:rPr>
            </w:pPr>
          </w:p>
        </w:tc>
        <w:tc>
          <w:tcPr>
            <w:tcW w:w="1151" w:type="dxa"/>
            <w:tcBorders>
              <w:top w:val="nil"/>
              <w:left w:val="nil"/>
              <w:bottom w:val="nil"/>
              <w:right w:val="nil"/>
            </w:tcBorders>
            <w:noWrap/>
            <w:vAlign w:val="bottom"/>
          </w:tcPr>
          <w:p w14:paraId="4FD5F610" w14:textId="77777777" w:rsidR="00521A20" w:rsidRDefault="00521A20">
            <w:pPr>
              <w:rPr>
                <w:rFonts w:ascii="Times New Roman" w:eastAsia="Times New Roman" w:hAnsi="Times New Roman"/>
                <w:sz w:val="16"/>
                <w:szCs w:val="13"/>
                <w:lang w:eastAsia="zh-CN"/>
              </w:rPr>
            </w:pPr>
          </w:p>
        </w:tc>
        <w:tc>
          <w:tcPr>
            <w:tcW w:w="873" w:type="dxa"/>
            <w:tcBorders>
              <w:top w:val="nil"/>
              <w:left w:val="nil"/>
              <w:bottom w:val="nil"/>
              <w:right w:val="nil"/>
            </w:tcBorders>
            <w:noWrap/>
            <w:vAlign w:val="bottom"/>
          </w:tcPr>
          <w:p w14:paraId="5E4DAFA2" w14:textId="77777777" w:rsidR="00521A20" w:rsidRDefault="00521A20">
            <w:pPr>
              <w:rPr>
                <w:rFonts w:ascii="Times New Roman" w:eastAsia="Times New Roman" w:hAnsi="Times New Roman"/>
                <w:sz w:val="16"/>
                <w:szCs w:val="13"/>
                <w:lang w:eastAsia="zh-CN"/>
              </w:rPr>
            </w:pPr>
          </w:p>
        </w:tc>
        <w:tc>
          <w:tcPr>
            <w:tcW w:w="1165" w:type="dxa"/>
            <w:tcBorders>
              <w:top w:val="nil"/>
              <w:left w:val="nil"/>
              <w:bottom w:val="nil"/>
              <w:right w:val="nil"/>
            </w:tcBorders>
            <w:noWrap/>
            <w:vAlign w:val="bottom"/>
          </w:tcPr>
          <w:p w14:paraId="6557C24D" w14:textId="77777777" w:rsidR="00521A20" w:rsidRDefault="00521A20">
            <w:pPr>
              <w:rPr>
                <w:rFonts w:ascii="Times New Roman" w:eastAsia="Times New Roman" w:hAnsi="Times New Roman"/>
                <w:sz w:val="16"/>
                <w:szCs w:val="13"/>
                <w:lang w:eastAsia="zh-CN"/>
              </w:rPr>
            </w:pPr>
          </w:p>
        </w:tc>
        <w:tc>
          <w:tcPr>
            <w:tcW w:w="997" w:type="dxa"/>
            <w:tcBorders>
              <w:top w:val="nil"/>
              <w:left w:val="nil"/>
              <w:bottom w:val="nil"/>
              <w:right w:val="nil"/>
            </w:tcBorders>
            <w:noWrap/>
            <w:vAlign w:val="bottom"/>
          </w:tcPr>
          <w:p w14:paraId="72C5E5C0" w14:textId="77777777" w:rsidR="00521A20" w:rsidRDefault="00521A20">
            <w:pPr>
              <w:rPr>
                <w:rFonts w:ascii="Times New Roman" w:eastAsia="Times New Roman" w:hAnsi="Times New Roman"/>
                <w:sz w:val="16"/>
                <w:szCs w:val="13"/>
                <w:lang w:eastAsia="zh-CN"/>
              </w:rPr>
            </w:pPr>
          </w:p>
        </w:tc>
        <w:tc>
          <w:tcPr>
            <w:tcW w:w="859" w:type="dxa"/>
            <w:tcBorders>
              <w:top w:val="nil"/>
              <w:left w:val="nil"/>
              <w:bottom w:val="nil"/>
              <w:right w:val="nil"/>
            </w:tcBorders>
            <w:noWrap/>
            <w:vAlign w:val="bottom"/>
          </w:tcPr>
          <w:p w14:paraId="2D0BF887" w14:textId="77777777" w:rsidR="00521A20" w:rsidRDefault="00521A20">
            <w:pPr>
              <w:rPr>
                <w:rFonts w:ascii="Times New Roman" w:eastAsia="Times New Roman" w:hAnsi="Times New Roman"/>
                <w:sz w:val="16"/>
                <w:szCs w:val="13"/>
                <w:lang w:eastAsia="zh-CN"/>
              </w:rPr>
            </w:pPr>
          </w:p>
        </w:tc>
      </w:tr>
      <w:tr w:rsidR="00521A20" w14:paraId="7CAF3548" w14:textId="77777777">
        <w:trPr>
          <w:trHeight w:val="2077"/>
        </w:trPr>
        <w:tc>
          <w:tcPr>
            <w:tcW w:w="4594" w:type="dxa"/>
            <w:tcBorders>
              <w:top w:val="nil"/>
              <w:left w:val="nil"/>
              <w:bottom w:val="nil"/>
              <w:right w:val="nil"/>
            </w:tcBorders>
            <w:noWrap/>
            <w:vAlign w:val="bottom"/>
          </w:tcPr>
          <w:tbl>
            <w:tblPr>
              <w:tblW w:w="4857" w:type="dxa"/>
              <w:tblCellSpacing w:w="0" w:type="dxa"/>
              <w:tblCellMar>
                <w:left w:w="0" w:type="dxa"/>
                <w:right w:w="0" w:type="dxa"/>
              </w:tblCellMar>
              <w:tblLook w:val="04A0" w:firstRow="1" w:lastRow="0" w:firstColumn="1" w:lastColumn="0" w:noHBand="0" w:noVBand="1"/>
            </w:tblPr>
            <w:tblGrid>
              <w:gridCol w:w="4857"/>
            </w:tblGrid>
            <w:tr w:rsidR="00521A20" w14:paraId="50B642A0" w14:textId="77777777" w:rsidTr="00713809">
              <w:trPr>
                <w:trHeight w:val="2053"/>
                <w:tblCellSpacing w:w="0" w:type="dxa"/>
              </w:trPr>
              <w:tc>
                <w:tcPr>
                  <w:tcW w:w="4857" w:type="dxa"/>
                  <w:tcBorders>
                    <w:top w:val="single" w:sz="4" w:space="0" w:color="4D93D9"/>
                    <w:left w:val="single" w:sz="4" w:space="0" w:color="4D93D9"/>
                    <w:bottom w:val="single" w:sz="4" w:space="0" w:color="4D93D9"/>
                    <w:right w:val="single" w:sz="4" w:space="0" w:color="4D93D9"/>
                    <w:tl2br w:val="single" w:sz="4" w:space="0" w:color="4D93D9"/>
                  </w:tcBorders>
                  <w:vAlign w:val="bottom"/>
                </w:tcPr>
                <w:p w14:paraId="195E4629" w14:textId="77777777" w:rsidR="00521A20" w:rsidRDefault="00BB475A">
                  <w:pPr>
                    <w:rPr>
                      <w:rFonts w:ascii="Aptos Narrow" w:hAnsi="Aptos Narrow"/>
                      <w:b/>
                      <w:bCs/>
                      <w:color w:val="000000"/>
                      <w:sz w:val="16"/>
                      <w:szCs w:val="13"/>
                      <w:lang w:eastAsia="zh-CN"/>
                    </w:rPr>
                  </w:pPr>
                  <w:r>
                    <w:rPr>
                      <w:rFonts w:ascii="Aptos Narrow" w:hAnsi="Aptos Narrow" w:hint="eastAsia"/>
                      <w:noProof/>
                      <w:sz w:val="16"/>
                      <w:szCs w:val="13"/>
                      <w:lang w:val="en-US" w:eastAsia="zh-CN"/>
                    </w:rPr>
                    <mc:AlternateContent>
                      <mc:Choice Requires="wps">
                        <w:drawing>
                          <wp:anchor distT="0" distB="0" distL="114300" distR="114300" simplePos="0" relativeHeight="251673600" behindDoc="0" locked="0" layoutInCell="1" allowOverlap="1" wp14:anchorId="07CFB698" wp14:editId="469CAA3A">
                            <wp:simplePos x="0" y="0"/>
                            <wp:positionH relativeFrom="column">
                              <wp:posOffset>151765</wp:posOffset>
                            </wp:positionH>
                            <wp:positionV relativeFrom="paragraph">
                              <wp:posOffset>153035</wp:posOffset>
                            </wp:positionV>
                            <wp:extent cx="2352040" cy="749935"/>
                            <wp:effectExtent l="0" t="0" r="0" b="0"/>
                            <wp:wrapNone/>
                            <wp:docPr id="3" name="Text Box 1"/>
                            <wp:cNvGraphicFramePr/>
                            <a:graphic xmlns:a="http://schemas.openxmlformats.org/drawingml/2006/main">
                              <a:graphicData uri="http://schemas.microsoft.com/office/word/2010/wordprocessingShape">
                                <wps:wsp>
                                  <wps:cNvSpPr txBox="1"/>
                                  <wps:spPr>
                                    <a:xfrm>
                                      <a:off x="0" y="0"/>
                                      <a:ext cx="2352040" cy="74993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BEA2FAB" w14:textId="476C7F12" w:rsidR="00BB475A" w:rsidRDefault="00BB475A">
                                        <w:pPr>
                                          <w:rPr>
                                            <w:rFonts w:ascii="Calibri" w:hAnsi="Calibri" w:cs="Calibri"/>
                                            <w:b/>
                                            <w:bCs/>
                                            <w:color w:val="000000"/>
                                            <w:sz w:val="18"/>
                                            <w:szCs w:val="18"/>
                                            <w:lang w:eastAsia="zh-CN"/>
                                          </w:rPr>
                                        </w:pPr>
                                        <w:r>
                                          <w:rPr>
                                            <w:rFonts w:ascii="Calibri" w:hAnsi="Calibri" w:hint="eastAsia"/>
                                            <w:b/>
                                            <w:color w:val="000000"/>
                                            <w:sz w:val="18"/>
                                            <w:szCs w:val="15"/>
                                            <w:lang w:eastAsia="zh-CN"/>
                                          </w:rPr>
                                          <w:t>ITU-D</w:t>
                                        </w:r>
                                        <w:r>
                                          <w:rPr>
                                            <w:rFonts w:ascii="Calibri" w:hAnsi="Calibri" w:hint="eastAsia"/>
                                            <w:b/>
                                            <w:color w:val="000000"/>
                                            <w:sz w:val="18"/>
                                            <w:szCs w:val="15"/>
                                            <w:lang w:eastAsia="zh-CN"/>
                                          </w:rPr>
                                          <w:t>的重点工作和推动因素</w:t>
                                        </w:r>
                                      </w:p>
                                      <w:p w14:paraId="1233B6B3" w14:textId="102991B1" w:rsidR="00BB475A" w:rsidRDefault="00BB475A" w:rsidP="003D2CDF">
                                        <w:pPr>
                                          <w:jc w:val="center"/>
                                          <w:rPr>
                                            <w:rFonts w:ascii="Calibri" w:hAnsi="Calibri" w:cs="Calibri"/>
                                            <w:b/>
                                            <w:bCs/>
                                            <w:color w:val="000000"/>
                                            <w:sz w:val="18"/>
                                            <w:szCs w:val="18"/>
                                          </w:rPr>
                                        </w:pPr>
                                        <w:r>
                                          <w:rPr>
                                            <w:rFonts w:ascii="Aptos" w:hAnsi="Aptos" w:hint="eastAsia"/>
                                            <w:b/>
                                            <w:color w:val="000000"/>
                                            <w:sz w:val="36"/>
                                            <w:szCs w:val="15"/>
                                          </w:rPr>
                                          <w:t>↓</w:t>
                                        </w:r>
                                      </w:p>
                                    </w:txbxContent>
                                  </wps:txbx>
                                  <wps:bodyPr vertOverflow="clip" horzOverflow="clip" wrap="square" rtlCol="0" anchor="t">
                                    <a:noAutofit/>
                                  </wps:bodyPr>
                                </wps:wsp>
                              </a:graphicData>
                            </a:graphic>
                          </wp:anchor>
                        </w:drawing>
                      </mc:Choice>
                      <mc:Fallback>
                        <w:pict>
                          <v:shapetype w14:anchorId="07CFB698" id="_x0000_t202" coordsize="21600,21600" o:spt="202" path="m,l,21600r21600,l21600,xe">
                            <v:stroke joinstyle="miter"/>
                            <v:path gradientshapeok="t" o:connecttype="rect"/>
                          </v:shapetype>
                          <v:shape id="Text Box 1" o:spid="_x0000_s1032" type="#_x0000_t202" style="position:absolute;margin-left:11.95pt;margin-top:12.05pt;width:185.2pt;height:59.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" filled="f" stroked="f">
                            <v:textbox>
                              <w:txbxContent>
                                <w:p w14:paraId="6BEA2FAB" w14:textId="476C7F12" w:rsidR="00BB475A" w:rsidRDefault="00BB475A">
                                  <w:pPr>
                                    <w:rPr>
                                      <w:rFonts w:ascii="Calibri" w:hAnsi="Calibri" w:cs="Calibri"/>
                                      <w:b/>
                                      <w:bCs/>
                                      <w:color w:val="000000"/>
                                      <w:sz w:val="18"/>
                                      <w:szCs w:val="18"/>
                                      <w:lang w:eastAsia="zh-CN"/>
                                    </w:rPr>
                                  </w:pPr>
                                  <w:r>
                                    <w:rPr>
                                      <w:rFonts w:ascii="Calibri" w:hAnsi="Calibri" w:hint="eastAsia"/>
                                      <w:b/>
                                      <w:color w:val="000000"/>
                                      <w:sz w:val="18"/>
                                      <w:szCs w:val="15"/>
                                      <w:lang w:eastAsia="zh-CN"/>
                                    </w:rPr>
                                    <w:t>ITU-D</w:t>
                                  </w:r>
                                  <w:r>
                                    <w:rPr>
                                      <w:rFonts w:ascii="Calibri" w:hAnsi="Calibri" w:hint="eastAsia"/>
                                      <w:b/>
                                      <w:color w:val="000000"/>
                                      <w:sz w:val="18"/>
                                      <w:szCs w:val="15"/>
                                      <w:lang w:eastAsia="zh-CN"/>
                                    </w:rPr>
                                    <w:t>的重点工作和推动因素</w:t>
                                  </w:r>
                                </w:p>
                                <w:p w14:paraId="1233B6B3" w14:textId="102991B1" w:rsidR="00BB475A" w:rsidRDefault="00BB475A" w:rsidP="003D2CDF">
                                  <w:pPr>
                                    <w:jc w:val="center"/>
                                    <w:rPr>
                                      <w:rFonts w:ascii="Calibri" w:hAnsi="Calibri" w:cs="Calibri"/>
                                      <w:b/>
                                      <w:bCs/>
                                      <w:color w:val="000000"/>
                                      <w:sz w:val="18"/>
                                      <w:szCs w:val="18"/>
                                    </w:rPr>
                                  </w:pPr>
                                  <w:r>
                                    <w:rPr>
                                      <w:rFonts w:ascii="Aptos" w:hAnsi="Aptos" w:hint="eastAsia"/>
                                      <w:b/>
                                      <w:color w:val="000000"/>
                                      <w:sz w:val="36"/>
                                      <w:szCs w:val="15"/>
                                    </w:rPr>
                                    <w:t>↓</w:t>
                                  </w:r>
                                </w:p>
                              </w:txbxContent>
                            </v:textbox>
                          </v:shape>
                        </w:pict>
                      </mc:Fallback>
                    </mc:AlternateContent>
                  </w:r>
                </w:p>
              </w:tc>
            </w:tr>
          </w:tbl>
          <w:p w14:paraId="7B26C2A6" w14:textId="77777777" w:rsidR="00521A20" w:rsidRDefault="00521A20">
            <w:pPr>
              <w:rPr>
                <w:rFonts w:ascii="Aptos Narrow" w:eastAsia="Times New Roman" w:hAnsi="Aptos Narrow"/>
                <w:sz w:val="16"/>
                <w:szCs w:val="13"/>
                <w:lang w:eastAsia="zh-CN"/>
              </w:rPr>
            </w:pPr>
          </w:p>
        </w:tc>
        <w:tc>
          <w:tcPr>
            <w:tcW w:w="1151" w:type="dxa"/>
            <w:tcBorders>
              <w:top w:val="single" w:sz="4" w:space="0" w:color="4D93D9"/>
              <w:left w:val="single" w:sz="4" w:space="0" w:color="4D93D9"/>
              <w:bottom w:val="single" w:sz="4" w:space="0" w:color="4D93D9"/>
              <w:right w:val="single" w:sz="4" w:space="0" w:color="4D93D9"/>
            </w:tcBorders>
            <w:textDirection w:val="btLr"/>
            <w:vAlign w:val="center"/>
          </w:tcPr>
          <w:p w14:paraId="190641EF" w14:textId="77777777" w:rsidR="00521A20" w:rsidRDefault="00BB475A">
            <w:pPr>
              <w:jc w:val="center"/>
              <w:rPr>
                <w:rFonts w:ascii="Calibri" w:hAnsi="Calibri" w:cs="Calibri"/>
                <w:b/>
                <w:bCs/>
                <w:color w:val="000000"/>
                <w:sz w:val="16"/>
                <w:szCs w:val="13"/>
                <w:lang w:eastAsia="zh-CN"/>
              </w:rPr>
            </w:pPr>
            <w:r>
              <w:rPr>
                <w:rFonts w:ascii="Calibri" w:hAnsi="Calibri" w:hint="eastAsia"/>
                <w:b/>
                <w:color w:val="000000"/>
                <w:sz w:val="16"/>
                <w:szCs w:val="13"/>
                <w:lang w:eastAsia="zh-CN"/>
              </w:rPr>
              <w:t xml:space="preserve">TP1 </w:t>
            </w:r>
            <w:r>
              <w:rPr>
                <w:rFonts w:ascii="Calibri" w:hAnsi="Calibri"/>
                <w:b/>
                <w:sz w:val="16"/>
                <w:szCs w:val="13"/>
                <w:lang w:eastAsia="zh-CN"/>
              </w:rPr>
              <w:t>–</w:t>
            </w:r>
            <w:r>
              <w:rPr>
                <w:rFonts w:ascii="Calibri" w:hAnsi="Calibri" w:hint="eastAsia"/>
                <w:b/>
                <w:color w:val="000000"/>
                <w:sz w:val="16"/>
                <w:szCs w:val="13"/>
                <w:lang w:eastAsia="zh-CN"/>
              </w:rPr>
              <w:t xml:space="preserve"> </w:t>
            </w:r>
            <w:r>
              <w:rPr>
                <w:rFonts w:ascii="Calibri" w:hAnsi="Calibri" w:hint="eastAsia"/>
                <w:b/>
                <w:color w:val="000000"/>
                <w:sz w:val="16"/>
                <w:szCs w:val="13"/>
                <w:lang w:eastAsia="zh-CN"/>
              </w:rPr>
              <w:t>空间和地面业务的频谱使用</w:t>
            </w:r>
          </w:p>
        </w:tc>
        <w:tc>
          <w:tcPr>
            <w:tcW w:w="873" w:type="dxa"/>
            <w:tcBorders>
              <w:top w:val="single" w:sz="4" w:space="0" w:color="4D93D9"/>
              <w:left w:val="single" w:sz="4" w:space="0" w:color="4D93D9"/>
              <w:bottom w:val="single" w:sz="4" w:space="0" w:color="4D93D9"/>
              <w:right w:val="single" w:sz="4" w:space="0" w:color="4D93D9"/>
            </w:tcBorders>
            <w:textDirection w:val="btLr"/>
            <w:vAlign w:val="center"/>
          </w:tcPr>
          <w:p w14:paraId="201C2965" w14:textId="77777777" w:rsidR="00521A20" w:rsidRDefault="00BB475A">
            <w:pPr>
              <w:jc w:val="center"/>
              <w:rPr>
                <w:rFonts w:ascii="Aptos Narrow" w:hAnsi="Aptos Narrow"/>
                <w:b/>
                <w:bCs/>
                <w:color w:val="000000"/>
                <w:sz w:val="16"/>
                <w:szCs w:val="13"/>
                <w:lang w:eastAsia="zh-CN"/>
              </w:rPr>
            </w:pPr>
            <w:r>
              <w:rPr>
                <w:rFonts w:ascii="Aptos Narrow" w:hAnsi="Aptos Narrow" w:hint="eastAsia"/>
                <w:b/>
                <w:color w:val="000000"/>
                <w:sz w:val="16"/>
                <w:szCs w:val="13"/>
                <w:lang w:eastAsia="zh-CN"/>
              </w:rPr>
              <w:t xml:space="preserve">TP2 </w:t>
            </w:r>
            <w:r>
              <w:rPr>
                <w:rFonts w:ascii="Calibri" w:hAnsi="Calibri"/>
                <w:b/>
                <w:sz w:val="16"/>
                <w:szCs w:val="13"/>
                <w:lang w:eastAsia="zh-CN"/>
              </w:rPr>
              <w:t>–</w:t>
            </w:r>
            <w:r>
              <w:rPr>
                <w:rFonts w:ascii="Aptos Narrow" w:hAnsi="Aptos Narrow" w:hint="eastAsia"/>
                <w:b/>
                <w:color w:val="000000"/>
                <w:sz w:val="16"/>
                <w:szCs w:val="13"/>
                <w:lang w:eastAsia="zh-CN"/>
              </w:rPr>
              <w:t xml:space="preserve"> </w:t>
            </w:r>
            <w:r>
              <w:rPr>
                <w:rFonts w:ascii="Aptos Narrow" w:hAnsi="Aptos Narrow" w:hint="eastAsia"/>
                <w:b/>
                <w:color w:val="000000"/>
                <w:sz w:val="16"/>
                <w:szCs w:val="13"/>
                <w:lang w:eastAsia="zh-CN"/>
              </w:rPr>
              <w:t>国际电信码号资源</w:t>
            </w:r>
          </w:p>
        </w:tc>
        <w:tc>
          <w:tcPr>
            <w:tcW w:w="1165" w:type="dxa"/>
            <w:tcBorders>
              <w:top w:val="single" w:sz="4" w:space="0" w:color="4D93D9"/>
              <w:left w:val="single" w:sz="4" w:space="0" w:color="4D93D9"/>
              <w:bottom w:val="single" w:sz="4" w:space="0" w:color="4D93D9"/>
              <w:right w:val="single" w:sz="4" w:space="0" w:color="4D93D9"/>
            </w:tcBorders>
            <w:textDirection w:val="btLr"/>
            <w:vAlign w:val="center"/>
          </w:tcPr>
          <w:p w14:paraId="736CCAAD" w14:textId="77777777" w:rsidR="00521A20" w:rsidRDefault="00BB475A">
            <w:pPr>
              <w:jc w:val="center"/>
              <w:rPr>
                <w:rFonts w:ascii="Aptos Narrow" w:hAnsi="Aptos Narrow"/>
                <w:b/>
                <w:bCs/>
                <w:color w:val="000000"/>
                <w:sz w:val="16"/>
                <w:szCs w:val="13"/>
                <w:lang w:eastAsia="zh-CN"/>
              </w:rPr>
            </w:pPr>
            <w:r>
              <w:rPr>
                <w:rFonts w:ascii="Aptos Narrow" w:hAnsi="Aptos Narrow" w:hint="eastAsia"/>
                <w:b/>
                <w:color w:val="000000"/>
                <w:sz w:val="16"/>
                <w:szCs w:val="13"/>
                <w:lang w:eastAsia="zh-CN"/>
              </w:rPr>
              <w:t xml:space="preserve">TP3 </w:t>
            </w:r>
            <w:r>
              <w:rPr>
                <w:rFonts w:ascii="Calibri" w:hAnsi="Calibri"/>
                <w:b/>
                <w:sz w:val="16"/>
                <w:szCs w:val="13"/>
                <w:lang w:eastAsia="zh-CN"/>
              </w:rPr>
              <w:t>–</w:t>
            </w:r>
            <w:r>
              <w:rPr>
                <w:rFonts w:ascii="Aptos Narrow" w:hAnsi="Aptos Narrow" w:hint="eastAsia"/>
                <w:b/>
                <w:color w:val="000000"/>
                <w:sz w:val="16"/>
                <w:szCs w:val="13"/>
                <w:lang w:eastAsia="zh-CN"/>
              </w:rPr>
              <w:t xml:space="preserve"> </w:t>
            </w:r>
            <w:r>
              <w:rPr>
                <w:rFonts w:ascii="Aptos Narrow" w:hAnsi="Aptos Narrow" w:hint="eastAsia"/>
                <w:b/>
                <w:color w:val="000000"/>
                <w:sz w:val="16"/>
                <w:szCs w:val="13"/>
                <w:lang w:eastAsia="zh-CN"/>
              </w:rPr>
              <w:t>包容和安全的电信</w:t>
            </w:r>
            <w:r>
              <w:rPr>
                <w:rFonts w:ascii="Aptos Narrow" w:hAnsi="Aptos Narrow" w:hint="eastAsia"/>
                <w:b/>
                <w:color w:val="000000"/>
                <w:sz w:val="16"/>
                <w:szCs w:val="13"/>
                <w:lang w:eastAsia="zh-CN"/>
              </w:rPr>
              <w:t>/ICT</w:t>
            </w:r>
            <w:r>
              <w:rPr>
                <w:rFonts w:ascii="Aptos Narrow" w:hAnsi="Aptos Narrow" w:hint="eastAsia"/>
                <w:b/>
                <w:color w:val="000000"/>
                <w:sz w:val="16"/>
                <w:szCs w:val="13"/>
                <w:lang w:eastAsia="zh-CN"/>
              </w:rPr>
              <w:t>基础设施和服务</w:t>
            </w:r>
          </w:p>
        </w:tc>
        <w:tc>
          <w:tcPr>
            <w:tcW w:w="997" w:type="dxa"/>
            <w:tcBorders>
              <w:top w:val="single" w:sz="4" w:space="0" w:color="4D93D9"/>
              <w:left w:val="single" w:sz="4" w:space="0" w:color="4D93D9"/>
              <w:bottom w:val="single" w:sz="4" w:space="0" w:color="4D93D9"/>
              <w:right w:val="single" w:sz="4" w:space="0" w:color="4D93D9"/>
            </w:tcBorders>
            <w:textDirection w:val="btLr"/>
            <w:vAlign w:val="center"/>
          </w:tcPr>
          <w:p w14:paraId="2FA83786" w14:textId="77777777" w:rsidR="00521A20" w:rsidRDefault="00BB475A">
            <w:pPr>
              <w:jc w:val="center"/>
              <w:rPr>
                <w:rFonts w:ascii="Aptos Narrow" w:hAnsi="Aptos Narrow"/>
                <w:b/>
                <w:bCs/>
                <w:color w:val="000000"/>
                <w:sz w:val="16"/>
                <w:szCs w:val="13"/>
              </w:rPr>
            </w:pPr>
            <w:r>
              <w:rPr>
                <w:rFonts w:ascii="Aptos Narrow" w:hAnsi="Aptos Narrow" w:hint="eastAsia"/>
                <w:b/>
                <w:color w:val="000000"/>
                <w:sz w:val="16"/>
                <w:szCs w:val="13"/>
              </w:rPr>
              <w:t xml:space="preserve">TP4 </w:t>
            </w:r>
            <w:r>
              <w:rPr>
                <w:rFonts w:ascii="Calibri" w:hAnsi="Calibri"/>
                <w:b/>
                <w:sz w:val="16"/>
                <w:szCs w:val="13"/>
                <w:lang w:eastAsia="zh-CN"/>
              </w:rPr>
              <w:t>–</w:t>
            </w:r>
            <w:r>
              <w:rPr>
                <w:rFonts w:ascii="Aptos Narrow" w:hAnsi="Aptos Narrow" w:hint="eastAsia"/>
                <w:b/>
                <w:color w:val="000000"/>
                <w:sz w:val="16"/>
                <w:szCs w:val="13"/>
              </w:rPr>
              <w:t xml:space="preserve"> </w:t>
            </w:r>
            <w:proofErr w:type="spellStart"/>
            <w:r>
              <w:rPr>
                <w:rFonts w:ascii="Aptos Narrow" w:hAnsi="Aptos Narrow" w:hint="eastAsia"/>
                <w:b/>
                <w:color w:val="000000"/>
                <w:sz w:val="16"/>
                <w:szCs w:val="13"/>
              </w:rPr>
              <w:t>数字应用</w:t>
            </w:r>
            <w:proofErr w:type="spellEnd"/>
          </w:p>
        </w:tc>
        <w:tc>
          <w:tcPr>
            <w:tcW w:w="859" w:type="dxa"/>
            <w:tcBorders>
              <w:top w:val="single" w:sz="4" w:space="0" w:color="4D93D9"/>
              <w:left w:val="single" w:sz="4" w:space="0" w:color="4D93D9"/>
              <w:bottom w:val="single" w:sz="4" w:space="0" w:color="4D93D9"/>
              <w:right w:val="single" w:sz="4" w:space="0" w:color="4D93D9"/>
            </w:tcBorders>
            <w:textDirection w:val="btLr"/>
            <w:vAlign w:val="center"/>
          </w:tcPr>
          <w:p w14:paraId="6366E013" w14:textId="77777777" w:rsidR="00521A20" w:rsidRDefault="00BB475A">
            <w:pPr>
              <w:jc w:val="center"/>
              <w:rPr>
                <w:rFonts w:ascii="Aptos Narrow" w:hAnsi="Aptos Narrow"/>
                <w:b/>
                <w:bCs/>
                <w:color w:val="000000"/>
                <w:sz w:val="16"/>
                <w:szCs w:val="13"/>
              </w:rPr>
            </w:pPr>
            <w:r>
              <w:rPr>
                <w:rFonts w:ascii="Aptos Narrow" w:hAnsi="Aptos Narrow" w:hint="eastAsia"/>
                <w:b/>
                <w:color w:val="000000"/>
                <w:sz w:val="16"/>
                <w:szCs w:val="13"/>
              </w:rPr>
              <w:t xml:space="preserve">TP5 </w:t>
            </w:r>
            <w:r>
              <w:rPr>
                <w:rFonts w:ascii="Calibri" w:hAnsi="Calibri"/>
                <w:b/>
                <w:sz w:val="16"/>
                <w:szCs w:val="13"/>
                <w:lang w:eastAsia="zh-CN"/>
              </w:rPr>
              <w:t>–</w:t>
            </w:r>
            <w:r>
              <w:rPr>
                <w:rFonts w:ascii="Aptos Narrow" w:hAnsi="Aptos Narrow" w:hint="eastAsia"/>
                <w:b/>
                <w:color w:val="000000"/>
                <w:sz w:val="16"/>
                <w:szCs w:val="13"/>
              </w:rPr>
              <w:t xml:space="preserve"> </w:t>
            </w:r>
            <w:proofErr w:type="spellStart"/>
            <w:r>
              <w:rPr>
                <w:rFonts w:ascii="Aptos Narrow" w:hAnsi="Aptos Narrow" w:hint="eastAsia"/>
                <w:b/>
                <w:color w:val="000000"/>
                <w:sz w:val="16"/>
                <w:szCs w:val="13"/>
              </w:rPr>
              <w:t>有利的环境</w:t>
            </w:r>
            <w:proofErr w:type="spellEnd"/>
          </w:p>
        </w:tc>
      </w:tr>
      <w:tr w:rsidR="00521A20" w14:paraId="5BB60173" w14:textId="77777777">
        <w:trPr>
          <w:trHeight w:val="525"/>
        </w:trPr>
        <w:tc>
          <w:tcPr>
            <w:tcW w:w="4594" w:type="dxa"/>
            <w:tcBorders>
              <w:top w:val="single" w:sz="4" w:space="0" w:color="4D93D9"/>
              <w:left w:val="single" w:sz="4" w:space="0" w:color="4D93D9"/>
              <w:bottom w:val="single" w:sz="4" w:space="0" w:color="4D93D9"/>
              <w:right w:val="single" w:sz="4" w:space="0" w:color="4D93D9"/>
            </w:tcBorders>
            <w:shd w:val="clear" w:color="CAEDFB" w:fill="CAEDFB"/>
            <w:vAlign w:val="center"/>
          </w:tcPr>
          <w:p w14:paraId="689BF913" w14:textId="77777777" w:rsidR="00521A20" w:rsidRDefault="00BB475A">
            <w:pPr>
              <w:rPr>
                <w:rFonts w:ascii="Calibri" w:hAnsi="Calibri" w:cs="Calibri"/>
                <w:color w:val="000000"/>
                <w:sz w:val="16"/>
                <w:szCs w:val="13"/>
                <w:lang w:eastAsia="zh-CN"/>
              </w:rPr>
            </w:pPr>
            <w:r>
              <w:rPr>
                <w:rFonts w:ascii="Aptos Narrow" w:hAnsi="Aptos Narrow" w:hint="eastAsia"/>
                <w:noProof/>
                <w:sz w:val="16"/>
                <w:szCs w:val="13"/>
                <w:lang w:val="en-US" w:eastAsia="zh-CN"/>
              </w:rPr>
              <mc:AlternateContent>
                <mc:Choice Requires="wps">
                  <w:drawing>
                    <wp:anchor distT="0" distB="0" distL="114300" distR="114300" simplePos="0" relativeHeight="251672576" behindDoc="0" locked="0" layoutInCell="1" allowOverlap="1" wp14:anchorId="033B5814" wp14:editId="16AEA50D">
                      <wp:simplePos x="0" y="0"/>
                      <wp:positionH relativeFrom="column">
                        <wp:posOffset>1682750</wp:posOffset>
                      </wp:positionH>
                      <wp:positionV relativeFrom="paragraph">
                        <wp:posOffset>-1357630</wp:posOffset>
                      </wp:positionV>
                      <wp:extent cx="1252220" cy="734060"/>
                      <wp:effectExtent l="0" t="0" r="0" b="0"/>
                      <wp:wrapNone/>
                      <wp:docPr id="1360122344" name="Text Box 2"/>
                      <wp:cNvGraphicFramePr/>
                      <a:graphic xmlns:a="http://schemas.openxmlformats.org/drawingml/2006/main">
                        <a:graphicData uri="http://schemas.microsoft.com/office/word/2010/wordprocessingShape">
                          <wps:wsp>
                            <wps:cNvSpPr txBox="1"/>
                            <wps:spPr>
                              <a:xfrm>
                                <a:off x="0" y="0"/>
                                <a:ext cx="1252220" cy="7340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4F4A301" w14:textId="5A429575" w:rsidR="00BB475A" w:rsidRDefault="00BB475A">
                                  <w:pPr>
                                    <w:jc w:val="center"/>
                                    <w:rPr>
                                      <w:rFonts w:ascii="Calibri" w:hAnsi="Calibri" w:cs="Calibri"/>
                                      <w:b/>
                                      <w:bCs/>
                                      <w:color w:val="000000"/>
                                      <w:sz w:val="16"/>
                                      <w:szCs w:val="16"/>
                                    </w:rPr>
                                  </w:pPr>
                                  <w:proofErr w:type="spellStart"/>
                                  <w:r>
                                    <w:rPr>
                                      <w:rFonts w:ascii="Calibri" w:hAnsi="Calibri" w:hint="eastAsia"/>
                                      <w:b/>
                                      <w:color w:val="000000"/>
                                      <w:sz w:val="16"/>
                                      <w:szCs w:val="13"/>
                                    </w:rPr>
                                    <w:t>国际电联主题重点</w:t>
                                  </w:r>
                                  <w:proofErr w:type="spellEnd"/>
                                </w:p>
                                <w:p w14:paraId="181E3D20" w14:textId="77777777" w:rsidR="00BB475A" w:rsidRDefault="00BB475A">
                                  <w:pPr>
                                    <w:jc w:val="center"/>
                                    <w:rPr>
                                      <w:rFonts w:ascii="Aptos" w:hAnsi="Aptos" w:cs="Calibri"/>
                                      <w:b/>
                                      <w:bCs/>
                                      <w:color w:val="000000"/>
                                      <w:sz w:val="32"/>
                                      <w:szCs w:val="32"/>
                                    </w:rPr>
                                  </w:pPr>
                                  <w:r>
                                    <w:rPr>
                                      <w:rFonts w:ascii="Aptos" w:hAnsi="Aptos" w:hint="eastAsia"/>
                                      <w:b/>
                                      <w:color w:val="000000"/>
                                      <w:sz w:val="32"/>
                                      <w:szCs w:val="13"/>
                                    </w:rPr>
                                    <w:t>→</w:t>
                                  </w:r>
                                </w:p>
                              </w:txbxContent>
                            </wps:txbx>
                            <wps:bodyPr vertOverflow="clip" horzOverflow="clip" wrap="square" rtlCol="0" anchor="t">
                              <a:noAutofit/>
                            </wps:bodyPr>
                          </wps:wsp>
                        </a:graphicData>
                      </a:graphic>
                    </wp:anchor>
                  </w:drawing>
                </mc:Choice>
                <mc:Fallback>
                  <w:pict>
                    <v:shape w14:anchorId="033B5814" id="Text Box 2" o:spid="_x0000_s1033" type="#_x0000_t202" style="position:absolute;margin-left:132.5pt;margin-top:-106.9pt;width:98.6pt;height:57.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" filled="f" stroked="f">
                      <v:textbox>
                        <w:txbxContent>
                          <w:p w14:paraId="64F4A301" w14:textId="5A429575" w:rsidR="00BB475A" w:rsidRDefault="00BB475A">
                            <w:pPr>
                              <w:jc w:val="center"/>
                              <w:rPr>
                                <w:rFonts w:ascii="Calibri" w:hAnsi="Calibri" w:cs="Calibri"/>
                                <w:b/>
                                <w:bCs/>
                                <w:color w:val="000000"/>
                                <w:sz w:val="16"/>
                                <w:szCs w:val="16"/>
                              </w:rPr>
                            </w:pPr>
                            <w:proofErr w:type="spellStart"/>
                            <w:r>
                              <w:rPr>
                                <w:rFonts w:ascii="Calibri" w:hAnsi="Calibri" w:hint="eastAsia"/>
                                <w:b/>
                                <w:color w:val="000000"/>
                                <w:sz w:val="16"/>
                                <w:szCs w:val="13"/>
                              </w:rPr>
                              <w:t>国际电联主题重点</w:t>
                            </w:r>
                            <w:proofErr w:type="spellEnd"/>
                          </w:p>
                          <w:p w14:paraId="181E3D20" w14:textId="77777777" w:rsidR="00BB475A" w:rsidRDefault="00BB475A">
                            <w:pPr>
                              <w:jc w:val="center"/>
                              <w:rPr>
                                <w:rFonts w:ascii="Aptos" w:hAnsi="Aptos" w:cs="Calibri"/>
                                <w:b/>
                                <w:bCs/>
                                <w:color w:val="000000"/>
                                <w:sz w:val="32"/>
                                <w:szCs w:val="32"/>
                              </w:rPr>
                            </w:pPr>
                            <w:r>
                              <w:rPr>
                                <w:rFonts w:ascii="Aptos" w:hAnsi="Aptos" w:hint="eastAsia"/>
                                <w:b/>
                                <w:color w:val="000000"/>
                                <w:sz w:val="32"/>
                                <w:szCs w:val="13"/>
                              </w:rPr>
                              <w:t>→</w:t>
                            </w:r>
                          </w:p>
                        </w:txbxContent>
                      </v:textbox>
                    </v:shape>
                  </w:pict>
                </mc:Fallback>
              </mc:AlternateContent>
            </w:r>
            <w:r>
              <w:rPr>
                <w:rFonts w:ascii="Calibri" w:hAnsi="Calibri" w:hint="eastAsia"/>
                <w:b/>
                <w:sz w:val="16"/>
                <w:szCs w:val="13"/>
                <w:lang w:eastAsia="zh-CN"/>
              </w:rPr>
              <w:t xml:space="preserve">P1 </w:t>
            </w:r>
            <w:r>
              <w:rPr>
                <w:rFonts w:ascii="Calibri" w:hAnsi="Calibri"/>
                <w:b/>
                <w:sz w:val="16"/>
                <w:szCs w:val="13"/>
                <w:lang w:eastAsia="zh-CN"/>
              </w:rPr>
              <w:t>–</w:t>
            </w:r>
            <w:r>
              <w:rPr>
                <w:rFonts w:ascii="Calibri" w:hAnsi="Calibri" w:hint="eastAsia"/>
                <w:b/>
                <w:bCs/>
                <w:sz w:val="16"/>
                <w:szCs w:val="13"/>
                <w:lang w:eastAsia="zh-CN"/>
              </w:rPr>
              <w:t xml:space="preserve"> </w:t>
            </w:r>
            <w:r>
              <w:rPr>
                <w:rFonts w:hint="eastAsia"/>
                <w:b/>
                <w:bCs/>
                <w:sz w:val="16"/>
                <w:szCs w:val="13"/>
                <w:lang w:eastAsia="zh-CN"/>
              </w:rPr>
              <w:t>价格可承受的连接</w:t>
            </w:r>
            <w:r>
              <w:rPr>
                <w:rFonts w:hint="eastAsia"/>
                <w:sz w:val="16"/>
                <w:szCs w:val="13"/>
                <w:lang w:eastAsia="zh-CN"/>
              </w:rPr>
              <w:br/>
            </w:r>
            <w:r>
              <w:rPr>
                <w:rFonts w:ascii="Calibri" w:hAnsi="Calibri" w:hint="eastAsia"/>
                <w:sz w:val="16"/>
                <w:szCs w:val="13"/>
                <w:lang w:eastAsia="zh-CN"/>
              </w:rPr>
              <w:t>（包括网络和数字基础设施、应急通信）</w:t>
            </w:r>
          </w:p>
        </w:tc>
        <w:tc>
          <w:tcPr>
            <w:tcW w:w="1151"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42AF39B9"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873"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574656A8"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1165"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40774CD0"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997"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3BCAA2FA"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859"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67DB1B5F"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r>
      <w:tr w:rsidR="00521A20" w14:paraId="0C9911F5" w14:textId="77777777">
        <w:trPr>
          <w:trHeight w:val="730"/>
        </w:trPr>
        <w:tc>
          <w:tcPr>
            <w:tcW w:w="4594" w:type="dxa"/>
            <w:tcBorders>
              <w:top w:val="single" w:sz="4" w:space="0" w:color="4D93D9"/>
              <w:left w:val="single" w:sz="4" w:space="0" w:color="4D93D9"/>
              <w:bottom w:val="single" w:sz="4" w:space="0" w:color="4D93D9"/>
              <w:right w:val="single" w:sz="4" w:space="0" w:color="4D93D9"/>
            </w:tcBorders>
            <w:vAlign w:val="bottom"/>
          </w:tcPr>
          <w:p w14:paraId="70626EDE" w14:textId="77777777" w:rsidR="00521A20" w:rsidRDefault="00BB475A">
            <w:pPr>
              <w:rPr>
                <w:rFonts w:ascii="Calibri" w:hAnsi="Calibri" w:cs="Calibri"/>
                <w:color w:val="000000"/>
                <w:sz w:val="16"/>
                <w:szCs w:val="13"/>
                <w:lang w:eastAsia="zh-CN"/>
              </w:rPr>
            </w:pPr>
            <w:r>
              <w:rPr>
                <w:rFonts w:ascii="Calibri" w:hAnsi="Calibri" w:hint="eastAsia"/>
                <w:b/>
                <w:bCs/>
                <w:sz w:val="16"/>
                <w:szCs w:val="13"/>
                <w:lang w:eastAsia="zh-CN"/>
              </w:rPr>
              <w:t xml:space="preserve">P2 </w:t>
            </w:r>
            <w:r>
              <w:rPr>
                <w:rFonts w:ascii="Calibri" w:hAnsi="Calibri"/>
                <w:b/>
                <w:sz w:val="16"/>
                <w:szCs w:val="13"/>
                <w:lang w:eastAsia="zh-CN"/>
              </w:rPr>
              <w:t>–</w:t>
            </w:r>
            <w:r>
              <w:rPr>
                <w:rFonts w:ascii="Calibri" w:hAnsi="Calibri" w:hint="eastAsia"/>
                <w:b/>
                <w:bCs/>
                <w:sz w:val="16"/>
                <w:szCs w:val="13"/>
                <w:lang w:eastAsia="zh-CN"/>
              </w:rPr>
              <w:t xml:space="preserve"> </w:t>
            </w:r>
            <w:r>
              <w:rPr>
                <w:rFonts w:ascii="Calibri" w:hAnsi="Calibri" w:hint="eastAsia"/>
                <w:b/>
                <w:bCs/>
                <w:sz w:val="16"/>
                <w:szCs w:val="13"/>
                <w:lang w:eastAsia="zh-CN"/>
              </w:rPr>
              <w:t>数字化转型</w:t>
            </w:r>
            <w:r>
              <w:rPr>
                <w:rFonts w:ascii="Calibri" w:hAnsi="Calibri" w:hint="eastAsia"/>
                <w:sz w:val="16"/>
                <w:szCs w:val="13"/>
                <w:lang w:eastAsia="zh-CN"/>
              </w:rPr>
              <w:br/>
            </w:r>
            <w:r>
              <w:rPr>
                <w:rFonts w:ascii="Calibri" w:hAnsi="Calibri" w:hint="eastAsia"/>
                <w:sz w:val="16"/>
                <w:szCs w:val="13"/>
                <w:lang w:eastAsia="zh-CN"/>
              </w:rPr>
              <w:t>（包括数字服务和应用、数字创新生态系统、能力开发、对环境可持续性的承诺）</w:t>
            </w:r>
          </w:p>
        </w:tc>
        <w:tc>
          <w:tcPr>
            <w:tcW w:w="1151" w:type="dxa"/>
            <w:tcBorders>
              <w:top w:val="single" w:sz="4" w:space="0" w:color="4D93D9"/>
              <w:left w:val="single" w:sz="4" w:space="0" w:color="4D93D9"/>
              <w:bottom w:val="single" w:sz="4" w:space="0" w:color="4D93D9"/>
              <w:right w:val="single" w:sz="4" w:space="0" w:color="4D93D9"/>
            </w:tcBorders>
            <w:noWrap/>
            <w:vAlign w:val="center"/>
          </w:tcPr>
          <w:p w14:paraId="0B442F8A"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873" w:type="dxa"/>
            <w:tcBorders>
              <w:top w:val="single" w:sz="4" w:space="0" w:color="4D93D9"/>
              <w:left w:val="single" w:sz="4" w:space="0" w:color="4D93D9"/>
              <w:bottom w:val="single" w:sz="4" w:space="0" w:color="4D93D9"/>
              <w:right w:val="single" w:sz="4" w:space="0" w:color="4D93D9"/>
            </w:tcBorders>
            <w:noWrap/>
            <w:vAlign w:val="center"/>
          </w:tcPr>
          <w:p w14:paraId="51E08265" w14:textId="77777777" w:rsidR="00521A20" w:rsidRDefault="00BB475A">
            <w:pPr>
              <w:jc w:val="center"/>
              <w:rPr>
                <w:rFonts w:ascii="Aptos Narrow" w:hAnsi="Aptos Narrow"/>
                <w:color w:val="000000"/>
                <w:sz w:val="16"/>
                <w:szCs w:val="13"/>
              </w:rPr>
            </w:pPr>
            <w:r>
              <w:rPr>
                <w:rFonts w:ascii="Aptos Narrow" w:hAnsi="Aptos Narrow" w:hint="eastAsia"/>
                <w:color w:val="000000"/>
                <w:sz w:val="16"/>
                <w:szCs w:val="13"/>
              </w:rPr>
              <w:t> </w:t>
            </w:r>
          </w:p>
        </w:tc>
        <w:tc>
          <w:tcPr>
            <w:tcW w:w="1165" w:type="dxa"/>
            <w:tcBorders>
              <w:top w:val="single" w:sz="4" w:space="0" w:color="4D93D9"/>
              <w:left w:val="single" w:sz="4" w:space="0" w:color="4D93D9"/>
              <w:bottom w:val="single" w:sz="4" w:space="0" w:color="4D93D9"/>
              <w:right w:val="single" w:sz="4" w:space="0" w:color="4D93D9"/>
            </w:tcBorders>
            <w:noWrap/>
            <w:vAlign w:val="center"/>
          </w:tcPr>
          <w:p w14:paraId="2CF73E8D"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997" w:type="dxa"/>
            <w:tcBorders>
              <w:top w:val="single" w:sz="4" w:space="0" w:color="4D93D9"/>
              <w:left w:val="single" w:sz="4" w:space="0" w:color="4D93D9"/>
              <w:bottom w:val="single" w:sz="4" w:space="0" w:color="4D93D9"/>
              <w:right w:val="single" w:sz="4" w:space="0" w:color="4D93D9"/>
            </w:tcBorders>
            <w:noWrap/>
            <w:vAlign w:val="center"/>
          </w:tcPr>
          <w:p w14:paraId="2427633E"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859" w:type="dxa"/>
            <w:tcBorders>
              <w:top w:val="single" w:sz="4" w:space="0" w:color="4D93D9"/>
              <w:left w:val="single" w:sz="4" w:space="0" w:color="4D93D9"/>
              <w:bottom w:val="single" w:sz="4" w:space="0" w:color="4D93D9"/>
              <w:right w:val="single" w:sz="4" w:space="0" w:color="4D93D9"/>
            </w:tcBorders>
            <w:noWrap/>
            <w:vAlign w:val="center"/>
          </w:tcPr>
          <w:p w14:paraId="161707F5"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r>
      <w:tr w:rsidR="00521A20" w14:paraId="7201F446" w14:textId="77777777">
        <w:trPr>
          <w:trHeight w:val="533"/>
        </w:trPr>
        <w:tc>
          <w:tcPr>
            <w:tcW w:w="4594" w:type="dxa"/>
            <w:tcBorders>
              <w:top w:val="single" w:sz="4" w:space="0" w:color="4D93D9"/>
              <w:left w:val="single" w:sz="4" w:space="0" w:color="4D93D9"/>
              <w:bottom w:val="single" w:sz="4" w:space="0" w:color="4D93D9"/>
              <w:right w:val="single" w:sz="4" w:space="0" w:color="4D93D9"/>
            </w:tcBorders>
            <w:shd w:val="clear" w:color="CAEDFB" w:fill="CAEDFB"/>
            <w:vAlign w:val="bottom"/>
          </w:tcPr>
          <w:p w14:paraId="67529036" w14:textId="77777777" w:rsidR="00521A20" w:rsidRDefault="00BB475A">
            <w:pPr>
              <w:rPr>
                <w:rFonts w:ascii="Calibri" w:hAnsi="Calibri" w:cs="Calibri"/>
                <w:color w:val="000000"/>
                <w:sz w:val="16"/>
                <w:szCs w:val="13"/>
                <w:lang w:eastAsia="zh-CN"/>
              </w:rPr>
            </w:pPr>
            <w:r>
              <w:rPr>
                <w:rFonts w:ascii="Calibri" w:hAnsi="Calibri" w:hint="eastAsia"/>
                <w:b/>
                <w:sz w:val="16"/>
                <w:szCs w:val="13"/>
                <w:lang w:eastAsia="zh-CN"/>
              </w:rPr>
              <w:t xml:space="preserve">P3 </w:t>
            </w:r>
            <w:r>
              <w:rPr>
                <w:rFonts w:ascii="Calibri" w:hAnsi="Calibri"/>
                <w:b/>
                <w:sz w:val="16"/>
                <w:szCs w:val="13"/>
                <w:lang w:eastAsia="zh-CN"/>
              </w:rPr>
              <w:t>–</w:t>
            </w:r>
            <w:r>
              <w:rPr>
                <w:rFonts w:ascii="Calibri" w:hAnsi="Calibri" w:hint="eastAsia"/>
                <w:b/>
                <w:sz w:val="16"/>
                <w:szCs w:val="13"/>
                <w:lang w:eastAsia="zh-CN"/>
              </w:rPr>
              <w:t xml:space="preserve"> </w:t>
            </w:r>
            <w:r>
              <w:rPr>
                <w:rFonts w:ascii="Calibri" w:hAnsi="Calibri" w:hint="eastAsia"/>
                <w:b/>
                <w:sz w:val="16"/>
                <w:szCs w:val="13"/>
                <w:lang w:eastAsia="zh-CN"/>
              </w:rPr>
              <w:t>有利的政策和监管环境</w:t>
            </w:r>
            <w:r>
              <w:rPr>
                <w:rFonts w:ascii="Calibri" w:hAnsi="Calibri" w:hint="eastAsia"/>
                <w:sz w:val="16"/>
                <w:szCs w:val="13"/>
                <w:lang w:eastAsia="zh-CN"/>
              </w:rPr>
              <w:br/>
            </w:r>
            <w:r>
              <w:rPr>
                <w:rFonts w:ascii="Calibri" w:hAnsi="Calibri" w:hint="eastAsia"/>
                <w:sz w:val="16"/>
                <w:szCs w:val="13"/>
                <w:lang w:eastAsia="zh-CN"/>
              </w:rPr>
              <w:t>（包括政策和监管、提供数据和统计数字）</w:t>
            </w:r>
          </w:p>
        </w:tc>
        <w:tc>
          <w:tcPr>
            <w:tcW w:w="1151"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657347E6"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873"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129A2C0F"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1165"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3F98E556"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997"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67A2DC52"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859"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6DEB2BF3"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r>
      <w:tr w:rsidR="00521A20" w14:paraId="1A32A392" w14:textId="77777777">
        <w:trPr>
          <w:trHeight w:val="525"/>
        </w:trPr>
        <w:tc>
          <w:tcPr>
            <w:tcW w:w="4594" w:type="dxa"/>
            <w:tcBorders>
              <w:top w:val="single" w:sz="4" w:space="0" w:color="4D93D9"/>
              <w:left w:val="single" w:sz="4" w:space="0" w:color="4D93D9"/>
              <w:bottom w:val="single" w:sz="4" w:space="0" w:color="4D93D9"/>
              <w:right w:val="single" w:sz="4" w:space="0" w:color="4D93D9"/>
            </w:tcBorders>
            <w:vAlign w:val="bottom"/>
          </w:tcPr>
          <w:p w14:paraId="500509F4" w14:textId="77777777" w:rsidR="00521A20" w:rsidRDefault="00BB475A">
            <w:pPr>
              <w:rPr>
                <w:rFonts w:ascii="Calibri" w:hAnsi="Calibri" w:cs="Calibri"/>
                <w:color w:val="000000"/>
                <w:sz w:val="16"/>
                <w:szCs w:val="13"/>
                <w:lang w:eastAsia="zh-CN"/>
              </w:rPr>
            </w:pPr>
            <w:r>
              <w:rPr>
                <w:rFonts w:ascii="Calibri" w:hAnsi="Calibri" w:hint="eastAsia"/>
                <w:b/>
                <w:sz w:val="16"/>
                <w:szCs w:val="13"/>
                <w:lang w:eastAsia="zh-CN"/>
              </w:rPr>
              <w:t xml:space="preserve">P4 </w:t>
            </w:r>
            <w:r>
              <w:rPr>
                <w:rFonts w:ascii="Calibri" w:hAnsi="Calibri"/>
                <w:b/>
                <w:sz w:val="16"/>
                <w:szCs w:val="13"/>
                <w:lang w:eastAsia="zh-CN"/>
              </w:rPr>
              <w:t>–</w:t>
            </w:r>
            <w:r>
              <w:rPr>
                <w:rFonts w:ascii="Calibri" w:hAnsi="Calibri" w:hint="eastAsia"/>
                <w:b/>
                <w:sz w:val="16"/>
                <w:szCs w:val="13"/>
                <w:lang w:eastAsia="zh-CN"/>
              </w:rPr>
              <w:t xml:space="preserve"> </w:t>
            </w:r>
            <w:r>
              <w:rPr>
                <w:rFonts w:ascii="Calibri" w:hAnsi="Calibri" w:hint="eastAsia"/>
                <w:b/>
                <w:sz w:val="16"/>
                <w:szCs w:val="13"/>
                <w:lang w:eastAsia="zh-CN"/>
              </w:rPr>
              <w:t>资源筹措、伙伴关系和国际合作</w:t>
            </w:r>
            <w:r>
              <w:rPr>
                <w:rFonts w:ascii="Calibri" w:hAnsi="Calibri" w:hint="eastAsia"/>
                <w:sz w:val="16"/>
                <w:szCs w:val="13"/>
                <w:lang w:eastAsia="zh-CN"/>
              </w:rPr>
              <w:br/>
            </w:r>
            <w:r>
              <w:rPr>
                <w:rFonts w:ascii="Calibri" w:hAnsi="Calibri" w:hint="eastAsia"/>
                <w:sz w:val="16"/>
                <w:szCs w:val="13"/>
                <w:lang w:eastAsia="zh-CN"/>
              </w:rPr>
              <w:t>（跨领域）</w:t>
            </w:r>
          </w:p>
        </w:tc>
        <w:tc>
          <w:tcPr>
            <w:tcW w:w="1151" w:type="dxa"/>
            <w:tcBorders>
              <w:top w:val="single" w:sz="4" w:space="0" w:color="4D93D9"/>
              <w:left w:val="single" w:sz="4" w:space="0" w:color="4D93D9"/>
              <w:bottom w:val="single" w:sz="4" w:space="0" w:color="4D93D9"/>
              <w:right w:val="single" w:sz="4" w:space="0" w:color="4D93D9"/>
            </w:tcBorders>
            <w:noWrap/>
            <w:vAlign w:val="center"/>
          </w:tcPr>
          <w:p w14:paraId="6C5BBE77"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873" w:type="dxa"/>
            <w:tcBorders>
              <w:top w:val="single" w:sz="4" w:space="0" w:color="4D93D9"/>
              <w:left w:val="single" w:sz="4" w:space="0" w:color="4D93D9"/>
              <w:bottom w:val="single" w:sz="4" w:space="0" w:color="4D93D9"/>
              <w:right w:val="single" w:sz="4" w:space="0" w:color="4D93D9"/>
            </w:tcBorders>
            <w:noWrap/>
            <w:vAlign w:val="center"/>
          </w:tcPr>
          <w:p w14:paraId="16A6B97E"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1165" w:type="dxa"/>
            <w:tcBorders>
              <w:top w:val="single" w:sz="4" w:space="0" w:color="4D93D9"/>
              <w:left w:val="single" w:sz="4" w:space="0" w:color="4D93D9"/>
              <w:bottom w:val="single" w:sz="4" w:space="0" w:color="4D93D9"/>
              <w:right w:val="single" w:sz="4" w:space="0" w:color="4D93D9"/>
            </w:tcBorders>
            <w:noWrap/>
            <w:vAlign w:val="center"/>
          </w:tcPr>
          <w:p w14:paraId="1526DDBC"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997" w:type="dxa"/>
            <w:tcBorders>
              <w:top w:val="single" w:sz="4" w:space="0" w:color="4D93D9"/>
              <w:left w:val="single" w:sz="4" w:space="0" w:color="4D93D9"/>
              <w:bottom w:val="single" w:sz="4" w:space="0" w:color="4D93D9"/>
              <w:right w:val="single" w:sz="4" w:space="0" w:color="4D93D9"/>
            </w:tcBorders>
            <w:noWrap/>
            <w:vAlign w:val="center"/>
          </w:tcPr>
          <w:p w14:paraId="0F15294D"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859" w:type="dxa"/>
            <w:tcBorders>
              <w:top w:val="single" w:sz="4" w:space="0" w:color="4D93D9"/>
              <w:left w:val="single" w:sz="4" w:space="0" w:color="4D93D9"/>
              <w:bottom w:val="single" w:sz="4" w:space="0" w:color="4D93D9"/>
              <w:right w:val="single" w:sz="4" w:space="0" w:color="4D93D9"/>
            </w:tcBorders>
            <w:noWrap/>
            <w:vAlign w:val="center"/>
          </w:tcPr>
          <w:p w14:paraId="39DE24B2"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r>
      <w:tr w:rsidR="00521A20" w14:paraId="01AD64B0" w14:textId="77777777">
        <w:trPr>
          <w:trHeight w:val="533"/>
        </w:trPr>
        <w:tc>
          <w:tcPr>
            <w:tcW w:w="4594" w:type="dxa"/>
            <w:tcBorders>
              <w:top w:val="single" w:sz="4" w:space="0" w:color="4D93D9"/>
              <w:left w:val="single" w:sz="4" w:space="0" w:color="4D93D9"/>
              <w:bottom w:val="single" w:sz="4" w:space="0" w:color="4D93D9"/>
              <w:right w:val="single" w:sz="4" w:space="0" w:color="4D93D9"/>
            </w:tcBorders>
            <w:shd w:val="clear" w:color="CAEDFB" w:fill="CAEDFB"/>
            <w:vAlign w:val="bottom"/>
          </w:tcPr>
          <w:p w14:paraId="23B9E8E4" w14:textId="77777777" w:rsidR="00521A20" w:rsidRDefault="00BB475A">
            <w:pPr>
              <w:rPr>
                <w:rFonts w:ascii="Calibri" w:hAnsi="Calibri" w:cs="Calibri"/>
                <w:color w:val="000000"/>
                <w:sz w:val="16"/>
                <w:szCs w:val="13"/>
                <w:lang w:eastAsia="zh-CN"/>
              </w:rPr>
            </w:pPr>
            <w:r>
              <w:rPr>
                <w:rFonts w:ascii="Calibri" w:hAnsi="Calibri" w:hint="eastAsia"/>
                <w:b/>
                <w:sz w:val="16"/>
                <w:szCs w:val="13"/>
                <w:lang w:eastAsia="zh-CN"/>
              </w:rPr>
              <w:t xml:space="preserve">P5 </w:t>
            </w:r>
            <w:r>
              <w:rPr>
                <w:rFonts w:ascii="Calibri" w:hAnsi="Calibri"/>
                <w:b/>
                <w:sz w:val="16"/>
                <w:szCs w:val="13"/>
                <w:lang w:eastAsia="zh-CN"/>
              </w:rPr>
              <w:t>–</w:t>
            </w:r>
            <w:r>
              <w:rPr>
                <w:rFonts w:ascii="Calibri" w:hAnsi="Calibri" w:hint="eastAsia"/>
                <w:b/>
                <w:sz w:val="16"/>
                <w:szCs w:val="13"/>
                <w:lang w:eastAsia="zh-CN"/>
              </w:rPr>
              <w:t xml:space="preserve"> </w:t>
            </w:r>
            <w:r>
              <w:rPr>
                <w:rFonts w:ascii="Calibri" w:hAnsi="Calibri" w:hint="eastAsia"/>
                <w:b/>
                <w:sz w:val="16"/>
                <w:szCs w:val="13"/>
                <w:lang w:eastAsia="zh-CN"/>
              </w:rPr>
              <w:t>包容、安全和可靠的电信</w:t>
            </w:r>
            <w:r>
              <w:rPr>
                <w:rFonts w:ascii="Calibri" w:hAnsi="Calibri" w:hint="eastAsia"/>
                <w:b/>
                <w:sz w:val="16"/>
                <w:szCs w:val="13"/>
                <w:lang w:eastAsia="zh-CN"/>
              </w:rPr>
              <w:t>/</w:t>
            </w:r>
            <w:r>
              <w:rPr>
                <w:rFonts w:ascii="Calibri" w:hAnsi="Calibri" w:hint="eastAsia"/>
                <w:b/>
                <w:bCs/>
                <w:sz w:val="16"/>
                <w:szCs w:val="13"/>
                <w:lang w:eastAsia="zh-CN"/>
              </w:rPr>
              <w:t>ICT</w:t>
            </w:r>
            <w:r>
              <w:rPr>
                <w:rFonts w:ascii="Calibri" w:hAnsi="Calibri" w:hint="eastAsia"/>
                <w:b/>
                <w:bCs/>
                <w:sz w:val="16"/>
                <w:szCs w:val="13"/>
                <w:lang w:eastAsia="zh-CN"/>
              </w:rPr>
              <w:t>促进可持续发展</w:t>
            </w:r>
            <w:r>
              <w:rPr>
                <w:rFonts w:ascii="Calibri" w:hAnsi="Calibri" w:hint="eastAsia"/>
                <w:sz w:val="16"/>
                <w:szCs w:val="13"/>
                <w:lang w:eastAsia="zh-CN"/>
              </w:rPr>
              <w:br/>
            </w:r>
            <w:r>
              <w:rPr>
                <w:rFonts w:ascii="Calibri" w:hAnsi="Calibri" w:hint="eastAsia"/>
                <w:sz w:val="16"/>
                <w:szCs w:val="13"/>
                <w:lang w:eastAsia="zh-CN"/>
              </w:rPr>
              <w:t>（包括网络安全、数字包容性）</w:t>
            </w:r>
          </w:p>
        </w:tc>
        <w:tc>
          <w:tcPr>
            <w:tcW w:w="1151" w:type="dxa"/>
            <w:tcBorders>
              <w:top w:val="single" w:sz="4" w:space="0" w:color="4D93D9"/>
              <w:left w:val="single" w:sz="4" w:space="0" w:color="4D93D9"/>
              <w:bottom w:val="single" w:sz="4" w:space="0" w:color="4D93D9"/>
              <w:right w:val="single" w:sz="4" w:space="0" w:color="4D93D9"/>
            </w:tcBorders>
            <w:shd w:val="clear" w:color="CAEDFB" w:fill="CAEDFB"/>
            <w:noWrap/>
            <w:vAlign w:val="bottom"/>
          </w:tcPr>
          <w:p w14:paraId="2E2825EE" w14:textId="77777777" w:rsidR="00521A20" w:rsidRDefault="00BB475A">
            <w:pPr>
              <w:rPr>
                <w:rFonts w:ascii="Aptos Narrow" w:hAnsi="Aptos Narrow"/>
                <w:color w:val="000000"/>
                <w:sz w:val="16"/>
                <w:szCs w:val="13"/>
                <w:lang w:eastAsia="zh-CN"/>
              </w:rPr>
            </w:pPr>
            <w:r>
              <w:rPr>
                <w:rFonts w:ascii="Aptos Narrow" w:hAnsi="Aptos Narrow" w:hint="eastAsia"/>
                <w:color w:val="000000"/>
                <w:sz w:val="16"/>
                <w:szCs w:val="13"/>
                <w:lang w:eastAsia="zh-CN"/>
              </w:rPr>
              <w:t> </w:t>
            </w:r>
          </w:p>
        </w:tc>
        <w:tc>
          <w:tcPr>
            <w:tcW w:w="873" w:type="dxa"/>
            <w:tcBorders>
              <w:top w:val="single" w:sz="4" w:space="0" w:color="4D93D9"/>
              <w:left w:val="single" w:sz="4" w:space="0" w:color="4D93D9"/>
              <w:bottom w:val="single" w:sz="4" w:space="0" w:color="4D93D9"/>
              <w:right w:val="single" w:sz="4" w:space="0" w:color="4D93D9"/>
            </w:tcBorders>
            <w:shd w:val="clear" w:color="CAEDFB" w:fill="CAEDFB"/>
            <w:noWrap/>
            <w:vAlign w:val="bottom"/>
          </w:tcPr>
          <w:p w14:paraId="5543F0A7" w14:textId="77777777" w:rsidR="00521A20" w:rsidRDefault="00BB475A">
            <w:pPr>
              <w:rPr>
                <w:rFonts w:ascii="Aptos Narrow" w:hAnsi="Aptos Narrow"/>
                <w:color w:val="000000"/>
                <w:sz w:val="16"/>
                <w:szCs w:val="13"/>
                <w:lang w:eastAsia="zh-CN"/>
              </w:rPr>
            </w:pPr>
            <w:r>
              <w:rPr>
                <w:rFonts w:ascii="Aptos Narrow" w:hAnsi="Aptos Narrow" w:hint="eastAsia"/>
                <w:color w:val="000000"/>
                <w:sz w:val="16"/>
                <w:szCs w:val="13"/>
                <w:lang w:eastAsia="zh-CN"/>
              </w:rPr>
              <w:t> </w:t>
            </w:r>
          </w:p>
        </w:tc>
        <w:tc>
          <w:tcPr>
            <w:tcW w:w="1165"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2A7424AA"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997"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44AF5A1C"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859" w:type="dxa"/>
            <w:tcBorders>
              <w:top w:val="single" w:sz="4" w:space="0" w:color="4D93D9"/>
              <w:left w:val="single" w:sz="4" w:space="0" w:color="4D93D9"/>
              <w:bottom w:val="single" w:sz="4" w:space="0" w:color="4D93D9"/>
              <w:right w:val="single" w:sz="4" w:space="0" w:color="4D93D9"/>
            </w:tcBorders>
            <w:shd w:val="clear" w:color="CAEDFB" w:fill="CAEDFB"/>
            <w:noWrap/>
            <w:vAlign w:val="center"/>
          </w:tcPr>
          <w:p w14:paraId="1620C189"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r>
      <w:tr w:rsidR="00521A20" w14:paraId="50F04317" w14:textId="77777777">
        <w:trPr>
          <w:trHeight w:val="738"/>
        </w:trPr>
        <w:tc>
          <w:tcPr>
            <w:tcW w:w="4594" w:type="dxa"/>
            <w:tcBorders>
              <w:top w:val="single" w:sz="4" w:space="0" w:color="4D93D9"/>
              <w:left w:val="single" w:sz="4" w:space="0" w:color="4D93D9"/>
              <w:bottom w:val="single" w:sz="4" w:space="0" w:color="4D93D9"/>
              <w:right w:val="single" w:sz="4" w:space="0" w:color="4D93D9"/>
            </w:tcBorders>
            <w:vAlign w:val="bottom"/>
          </w:tcPr>
          <w:p w14:paraId="73FC6516" w14:textId="77777777" w:rsidR="00521A20" w:rsidRDefault="00BB475A">
            <w:pPr>
              <w:rPr>
                <w:rFonts w:ascii="Calibri" w:hAnsi="Calibri" w:cs="Calibri"/>
                <w:color w:val="000000"/>
                <w:sz w:val="16"/>
                <w:szCs w:val="13"/>
                <w:lang w:eastAsia="zh-CN"/>
              </w:rPr>
            </w:pPr>
            <w:r>
              <w:rPr>
                <w:rFonts w:ascii="Calibri" w:hAnsi="Calibri" w:hint="eastAsia"/>
                <w:b/>
                <w:bCs/>
                <w:sz w:val="16"/>
                <w:szCs w:val="13"/>
                <w:lang w:eastAsia="zh-CN"/>
              </w:rPr>
              <w:lastRenderedPageBreak/>
              <w:t xml:space="preserve">E </w:t>
            </w:r>
            <w:r>
              <w:rPr>
                <w:rFonts w:ascii="Calibri" w:hAnsi="Calibri"/>
                <w:b/>
                <w:sz w:val="16"/>
                <w:szCs w:val="13"/>
                <w:lang w:eastAsia="zh-CN"/>
              </w:rPr>
              <w:t>–</w:t>
            </w:r>
            <w:r>
              <w:rPr>
                <w:rFonts w:ascii="Calibri" w:hAnsi="Calibri" w:hint="eastAsia"/>
                <w:b/>
                <w:bCs/>
                <w:sz w:val="16"/>
                <w:szCs w:val="13"/>
                <w:lang w:eastAsia="zh-CN"/>
              </w:rPr>
              <w:t xml:space="preserve"> </w:t>
            </w:r>
            <w:r>
              <w:rPr>
                <w:rFonts w:ascii="Calibri" w:hAnsi="Calibri" w:hint="eastAsia"/>
                <w:b/>
                <w:bCs/>
                <w:sz w:val="16"/>
                <w:szCs w:val="13"/>
                <w:lang w:eastAsia="zh-CN"/>
              </w:rPr>
              <w:t>组织卓越性</w:t>
            </w:r>
            <w:r>
              <w:rPr>
                <w:rFonts w:ascii="Calibri" w:hAnsi="Calibri" w:hint="eastAsia"/>
                <w:sz w:val="16"/>
                <w:szCs w:val="13"/>
                <w:lang w:eastAsia="zh-CN"/>
              </w:rPr>
              <w:br/>
            </w:r>
            <w:r>
              <w:rPr>
                <w:rFonts w:ascii="Calibri" w:hAnsi="Calibri" w:hint="eastAsia"/>
                <w:sz w:val="16"/>
                <w:szCs w:val="13"/>
                <w:lang w:eastAsia="zh-CN"/>
              </w:rPr>
              <w:t>（跨领域，包括成员驱动、区域代表处、项目管理和支持性服务）</w:t>
            </w:r>
          </w:p>
        </w:tc>
        <w:tc>
          <w:tcPr>
            <w:tcW w:w="1151" w:type="dxa"/>
            <w:tcBorders>
              <w:top w:val="single" w:sz="4" w:space="0" w:color="4D93D9"/>
              <w:left w:val="single" w:sz="4" w:space="0" w:color="4D93D9"/>
              <w:bottom w:val="single" w:sz="4" w:space="0" w:color="4D93D9"/>
              <w:right w:val="single" w:sz="4" w:space="0" w:color="4D93D9"/>
            </w:tcBorders>
            <w:noWrap/>
            <w:vAlign w:val="center"/>
          </w:tcPr>
          <w:p w14:paraId="34BF0331"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873" w:type="dxa"/>
            <w:tcBorders>
              <w:top w:val="single" w:sz="4" w:space="0" w:color="4D93D9"/>
              <w:left w:val="single" w:sz="4" w:space="0" w:color="4D93D9"/>
              <w:bottom w:val="single" w:sz="4" w:space="0" w:color="4D93D9"/>
              <w:right w:val="single" w:sz="4" w:space="0" w:color="4D93D9"/>
            </w:tcBorders>
            <w:noWrap/>
            <w:vAlign w:val="center"/>
          </w:tcPr>
          <w:p w14:paraId="1EEA457F"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1165" w:type="dxa"/>
            <w:tcBorders>
              <w:top w:val="single" w:sz="4" w:space="0" w:color="4D93D9"/>
              <w:left w:val="single" w:sz="4" w:space="0" w:color="4D93D9"/>
              <w:bottom w:val="single" w:sz="4" w:space="0" w:color="4D93D9"/>
              <w:right w:val="single" w:sz="4" w:space="0" w:color="4D93D9"/>
            </w:tcBorders>
            <w:noWrap/>
            <w:vAlign w:val="center"/>
          </w:tcPr>
          <w:p w14:paraId="1C78D2AF"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997" w:type="dxa"/>
            <w:tcBorders>
              <w:top w:val="single" w:sz="4" w:space="0" w:color="4D93D9"/>
              <w:left w:val="single" w:sz="4" w:space="0" w:color="4D93D9"/>
              <w:bottom w:val="single" w:sz="4" w:space="0" w:color="4D93D9"/>
              <w:right w:val="single" w:sz="4" w:space="0" w:color="4D93D9"/>
            </w:tcBorders>
            <w:noWrap/>
            <w:vAlign w:val="center"/>
          </w:tcPr>
          <w:p w14:paraId="62374A3B"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c>
          <w:tcPr>
            <w:tcW w:w="859" w:type="dxa"/>
            <w:tcBorders>
              <w:top w:val="single" w:sz="4" w:space="0" w:color="4D93D9"/>
              <w:left w:val="single" w:sz="4" w:space="0" w:color="4D93D9"/>
              <w:bottom w:val="single" w:sz="4" w:space="0" w:color="4D93D9"/>
              <w:right w:val="single" w:sz="4" w:space="0" w:color="4D93D9"/>
            </w:tcBorders>
            <w:noWrap/>
            <w:vAlign w:val="center"/>
          </w:tcPr>
          <w:p w14:paraId="7E279E49" w14:textId="77777777" w:rsidR="00521A20" w:rsidRDefault="00BB475A">
            <w:pPr>
              <w:jc w:val="center"/>
              <w:rPr>
                <w:rFonts w:ascii="Wingdings" w:hAnsi="Wingdings" w:hint="eastAsia"/>
                <w:color w:val="000000"/>
                <w:sz w:val="16"/>
                <w:szCs w:val="13"/>
              </w:rPr>
            </w:pPr>
            <w:r>
              <w:rPr>
                <w:rFonts w:ascii="Wingdings" w:hAnsi="Wingdings"/>
                <w:color w:val="000000"/>
                <w:sz w:val="16"/>
                <w:szCs w:val="13"/>
              </w:rPr>
              <w:t></w:t>
            </w:r>
          </w:p>
        </w:tc>
      </w:tr>
    </w:tbl>
    <w:p w14:paraId="0717EC31" w14:textId="77777777" w:rsidR="00521A20" w:rsidRDefault="00BB475A">
      <w:pPr>
        <w:overflowPunct/>
        <w:autoSpaceDE/>
        <w:autoSpaceDN/>
        <w:adjustRightInd/>
        <w:spacing w:before="0" w:after="160"/>
        <w:textAlignment w:val="auto"/>
        <w:rPr>
          <w:rFonts w:ascii="Calibri" w:hAnsi="Calibri"/>
          <w:sz w:val="16"/>
          <w:szCs w:val="16"/>
          <w:lang w:eastAsia="zh-CN"/>
        </w:rPr>
      </w:pPr>
      <w:r>
        <w:rPr>
          <w:rFonts w:ascii="Calibri" w:hAnsi="Calibri" w:hint="eastAsia"/>
          <w:sz w:val="16"/>
          <w:lang w:eastAsia="zh-CN"/>
        </w:rPr>
        <w:t>注：每项</w:t>
      </w:r>
      <w:r>
        <w:rPr>
          <w:rFonts w:ascii="Calibri" w:hAnsi="Calibri" w:hint="eastAsia"/>
          <w:sz w:val="16"/>
          <w:lang w:eastAsia="zh-CN"/>
        </w:rPr>
        <w:t>ITU-D</w:t>
      </w:r>
      <w:r>
        <w:rPr>
          <w:rFonts w:ascii="Calibri" w:hAnsi="Calibri" w:hint="eastAsia"/>
          <w:sz w:val="16"/>
          <w:lang w:eastAsia="zh-CN"/>
        </w:rPr>
        <w:t>的重点工作</w:t>
      </w:r>
      <w:r>
        <w:rPr>
          <w:rFonts w:ascii="Calibri" w:hAnsi="Calibri" w:hint="eastAsia"/>
          <w:sz w:val="16"/>
          <w:lang w:eastAsia="zh-CN"/>
        </w:rPr>
        <w:t>/</w:t>
      </w:r>
      <w:r>
        <w:rPr>
          <w:rFonts w:ascii="Calibri" w:hAnsi="Calibri" w:hint="eastAsia"/>
          <w:sz w:val="16"/>
          <w:lang w:eastAsia="zh-CN"/>
        </w:rPr>
        <w:t>推动因素后的括号中列出了实施行动和交付输出成果所对应的各自主题</w:t>
      </w:r>
      <w:r>
        <w:rPr>
          <w:rFonts w:ascii="Calibri" w:hAnsi="Calibri" w:hint="eastAsia"/>
          <w:sz w:val="16"/>
          <w:lang w:eastAsia="zh-CN"/>
        </w:rPr>
        <w:t>/</w:t>
      </w:r>
      <w:r>
        <w:rPr>
          <w:rFonts w:ascii="Calibri" w:hAnsi="Calibri" w:hint="eastAsia"/>
          <w:sz w:val="16"/>
          <w:lang w:eastAsia="zh-CN"/>
        </w:rPr>
        <w:t>计划。</w:t>
      </w:r>
    </w:p>
    <w:p w14:paraId="3BCCC7CD" w14:textId="77777777" w:rsidR="00521A20" w:rsidRDefault="00BB475A">
      <w:pPr>
        <w:pStyle w:val="Heading2"/>
        <w:rPr>
          <w:rFonts w:eastAsia="Calibri"/>
          <w:szCs w:val="24"/>
          <w:lang w:eastAsia="zh-CN"/>
        </w:rPr>
      </w:pPr>
      <w:r>
        <w:rPr>
          <w:rFonts w:hint="eastAsia"/>
          <w:lang w:eastAsia="zh-CN"/>
        </w:rPr>
        <w:t>2.4</w:t>
      </w:r>
      <w:r>
        <w:rPr>
          <w:rFonts w:hint="eastAsia"/>
          <w:lang w:eastAsia="zh-CN"/>
        </w:rPr>
        <w:tab/>
        <w:t>OP-26</w:t>
      </w:r>
      <w:r>
        <w:rPr>
          <w:rFonts w:hint="eastAsia"/>
          <w:lang w:eastAsia="zh-CN"/>
        </w:rPr>
        <w:t>的实施：责任划分和报告</w:t>
      </w:r>
    </w:p>
    <w:p w14:paraId="3A19DF8F" w14:textId="77777777" w:rsidR="00521A20" w:rsidRDefault="00BB475A">
      <w:pPr>
        <w:ind w:firstLineChars="200" w:firstLine="480"/>
        <w:rPr>
          <w:szCs w:val="24"/>
          <w:lang w:eastAsia="zh-CN"/>
        </w:rPr>
      </w:pPr>
      <w:r>
        <w:rPr>
          <w:rFonts w:hint="eastAsia"/>
          <w:lang w:eastAsia="zh-CN"/>
        </w:rPr>
        <w:t>2026</w:t>
      </w:r>
      <w:r>
        <w:rPr>
          <w:rFonts w:hint="eastAsia"/>
          <w:lang w:eastAsia="zh-CN"/>
        </w:rPr>
        <w:t>年运作规划定义的输出成果将由电信发展局和区域代表处的负责部门交付。支持性服务由电信发展局和总秘书处交付，但需遵守商定的年度服务水平协议（有关内部服务的提供）。由总秘书处交付的支持性服务见总秘书处运作规划。</w:t>
      </w:r>
    </w:p>
    <w:p w14:paraId="0DA253DC" w14:textId="77777777" w:rsidR="00521A20" w:rsidRDefault="00BB475A">
      <w:pPr>
        <w:ind w:firstLineChars="200" w:firstLine="480"/>
        <w:rPr>
          <w:szCs w:val="24"/>
          <w:lang w:eastAsia="zh-CN"/>
        </w:rPr>
      </w:pPr>
      <w:r>
        <w:rPr>
          <w:rFonts w:hint="eastAsia"/>
          <w:lang w:eastAsia="zh-CN"/>
        </w:rPr>
        <w:t>（</w:t>
      </w:r>
      <w:r>
        <w:rPr>
          <w:rFonts w:hint="eastAsia"/>
          <w:lang w:eastAsia="zh-CN"/>
        </w:rPr>
        <w:t>ITU-D</w:t>
      </w:r>
      <w:r>
        <w:rPr>
          <w:rFonts w:hint="eastAsia"/>
          <w:lang w:eastAsia="zh-CN"/>
        </w:rPr>
        <w:t>产品和服务）及相关支持性服务输出成果的交付情况由国际电联管理层根据《巴库行动计划》确定的</w:t>
      </w:r>
      <w:r>
        <w:rPr>
          <w:rFonts w:hint="eastAsia"/>
          <w:lang w:eastAsia="zh-CN"/>
        </w:rPr>
        <w:t>ITU-D</w:t>
      </w:r>
      <w:r>
        <w:rPr>
          <w:rFonts w:hint="eastAsia"/>
          <w:lang w:eastAsia="zh-CN"/>
        </w:rPr>
        <w:t>的重点工作成果和推动因素进行规划、监测和评价，并与国际电联战略规划的目标保持一致。此外：</w:t>
      </w:r>
    </w:p>
    <w:p w14:paraId="2777C968" w14:textId="19D88677" w:rsidR="00521A20" w:rsidRDefault="00BB475A">
      <w:pPr>
        <w:pStyle w:val="enumlev1"/>
        <w:rPr>
          <w:szCs w:val="24"/>
          <w:lang w:eastAsia="zh-CN"/>
        </w:rPr>
      </w:pPr>
      <w:r>
        <w:rPr>
          <w:lang w:eastAsia="zh-CN"/>
        </w:rPr>
        <w:t>–</w:t>
      </w:r>
      <w:r>
        <w:rPr>
          <w:lang w:eastAsia="zh-CN"/>
        </w:rPr>
        <w:tab/>
      </w:r>
      <w:r>
        <w:rPr>
          <w:rFonts w:hint="eastAsia"/>
          <w:lang w:eastAsia="zh-CN"/>
        </w:rPr>
        <w:t>向</w:t>
      </w:r>
      <w:r>
        <w:rPr>
          <w:rFonts w:hint="eastAsia"/>
          <w:lang w:eastAsia="zh-CN"/>
        </w:rPr>
        <w:t>TDAG</w:t>
      </w:r>
      <w:r>
        <w:rPr>
          <w:rFonts w:hint="eastAsia"/>
          <w:lang w:eastAsia="zh-CN"/>
        </w:rPr>
        <w:t>提交的有关落实《巴库行动计划》的年度报告将报告电信发展局所交付的产品和服务</w:t>
      </w:r>
      <w:r>
        <w:rPr>
          <w:rFonts w:hint="eastAsia"/>
          <w:lang w:val="en-US" w:eastAsia="zh-CN"/>
        </w:rPr>
        <w:t>以助力成员国</w:t>
      </w:r>
      <w:r>
        <w:rPr>
          <w:rFonts w:hint="eastAsia"/>
          <w:lang w:eastAsia="zh-CN"/>
        </w:rPr>
        <w:t>实现《巴库行动计划》成果。</w:t>
      </w:r>
    </w:p>
    <w:p w14:paraId="3976743F" w14:textId="77777777" w:rsidR="00521A20" w:rsidRDefault="00BB475A">
      <w:pPr>
        <w:pStyle w:val="enumlev1"/>
        <w:rPr>
          <w:szCs w:val="24"/>
          <w:lang w:eastAsia="zh-CN"/>
        </w:rPr>
      </w:pPr>
      <w:r>
        <w:rPr>
          <w:lang w:eastAsia="zh-CN"/>
        </w:rPr>
        <w:t>–</w:t>
      </w:r>
      <w:r>
        <w:rPr>
          <w:lang w:eastAsia="zh-CN"/>
        </w:rPr>
        <w:tab/>
      </w:r>
      <w:r>
        <w:rPr>
          <w:rFonts w:hint="eastAsia"/>
          <w:lang w:eastAsia="zh-CN"/>
        </w:rPr>
        <w:t>向理事会提交的有关国际电联战略规划实施情况的年度报告将报告主题重点领域和实现国际电联战略目标的进展情况。</w:t>
      </w:r>
    </w:p>
    <w:p w14:paraId="10566A15" w14:textId="77777777" w:rsidR="00521A20" w:rsidRDefault="00BB475A">
      <w:pPr>
        <w:pStyle w:val="enumlev1"/>
        <w:rPr>
          <w:szCs w:val="24"/>
          <w:lang w:eastAsia="zh-CN"/>
        </w:rPr>
      </w:pPr>
      <w:r>
        <w:rPr>
          <w:lang w:eastAsia="zh-CN"/>
        </w:rPr>
        <w:t>–</w:t>
      </w:r>
      <w:r>
        <w:rPr>
          <w:lang w:eastAsia="zh-CN"/>
        </w:rPr>
        <w:tab/>
      </w:r>
      <w:r>
        <w:rPr>
          <w:rFonts w:hint="eastAsia"/>
          <w:lang w:eastAsia="zh-CN"/>
        </w:rPr>
        <w:t>《巴库行动计划》已于</w:t>
      </w:r>
      <w:r>
        <w:rPr>
          <w:rFonts w:hint="eastAsia"/>
          <w:lang w:eastAsia="zh-CN"/>
        </w:rPr>
        <w:t>2026</w:t>
      </w:r>
      <w:r>
        <w:rPr>
          <w:rFonts w:hint="eastAsia"/>
          <w:lang w:eastAsia="zh-CN"/>
        </w:rPr>
        <w:t>年</w:t>
      </w:r>
      <w:r>
        <w:rPr>
          <w:rFonts w:hint="eastAsia"/>
          <w:lang w:eastAsia="zh-CN"/>
        </w:rPr>
        <w:t>1</w:t>
      </w:r>
      <w:r>
        <w:rPr>
          <w:rFonts w:hint="eastAsia"/>
          <w:lang w:eastAsia="zh-CN"/>
        </w:rPr>
        <w:t>月开始实施，实施将持续到</w:t>
      </w:r>
      <w:r>
        <w:rPr>
          <w:rFonts w:hint="eastAsia"/>
          <w:lang w:eastAsia="zh-CN"/>
        </w:rPr>
        <w:t>2029</w:t>
      </w:r>
      <w:r>
        <w:rPr>
          <w:rFonts w:hint="eastAsia"/>
          <w:lang w:eastAsia="zh-CN"/>
        </w:rPr>
        <w:t>年底。正在进行工作的实施情况将报告给</w:t>
      </w:r>
      <w:r>
        <w:rPr>
          <w:rFonts w:hint="eastAsia"/>
          <w:lang w:eastAsia="zh-CN"/>
        </w:rPr>
        <w:t>TDAG-27</w:t>
      </w:r>
      <w:r>
        <w:rPr>
          <w:rFonts w:hint="eastAsia"/>
          <w:lang w:eastAsia="zh-CN"/>
        </w:rPr>
        <w:t>。</w:t>
      </w:r>
    </w:p>
    <w:p w14:paraId="5E306F42" w14:textId="77777777" w:rsidR="00521A20" w:rsidRDefault="00BB475A">
      <w:pPr>
        <w:pStyle w:val="Heading2"/>
        <w:rPr>
          <w:rFonts w:eastAsia="Calibri"/>
          <w:szCs w:val="24"/>
          <w:lang w:eastAsia="zh-CN"/>
        </w:rPr>
      </w:pPr>
      <w:r>
        <w:rPr>
          <w:rFonts w:hint="eastAsia"/>
          <w:lang w:eastAsia="zh-CN"/>
        </w:rPr>
        <w:t>2.5</w:t>
      </w:r>
      <w:r>
        <w:rPr>
          <w:rFonts w:hint="eastAsia"/>
          <w:lang w:eastAsia="zh-CN"/>
        </w:rPr>
        <w:tab/>
      </w:r>
      <w:r>
        <w:rPr>
          <w:rFonts w:hint="eastAsia"/>
          <w:lang w:eastAsia="zh-CN"/>
        </w:rPr>
        <w:t>风险分析</w:t>
      </w:r>
    </w:p>
    <w:p w14:paraId="032929B2" w14:textId="77777777" w:rsidR="00521A20" w:rsidRDefault="00BB475A">
      <w:pPr>
        <w:ind w:firstLineChars="200" w:firstLine="480"/>
        <w:rPr>
          <w:lang w:eastAsia="zh-CN"/>
        </w:rPr>
      </w:pPr>
      <w:r>
        <w:rPr>
          <w:rFonts w:hint="eastAsia"/>
          <w:lang w:eastAsia="zh-CN"/>
        </w:rPr>
        <w:t>在风险管理方面，除了</w:t>
      </w:r>
      <w:r>
        <w:rPr>
          <w:rFonts w:hint="eastAsia"/>
          <w:lang w:eastAsia="zh-CN"/>
        </w:rPr>
        <w:t>2026</w:t>
      </w:r>
      <w:r>
        <w:rPr>
          <w:rFonts w:hint="eastAsia"/>
          <w:lang w:eastAsia="zh-CN"/>
        </w:rPr>
        <w:t>年运作规划中包含的由高级管理层定期审查的运作风险以外，各部门和区域代表处将采用一种多层次风险管理方法，确定、评估和管理与交付各输出成果和支持性服务有关的风险。</w:t>
      </w:r>
    </w:p>
    <w:p w14:paraId="5D3148A9" w14:textId="77777777" w:rsidR="00521A20" w:rsidRDefault="00BB475A">
      <w:pPr>
        <w:ind w:firstLineChars="200" w:firstLine="480"/>
        <w:rPr>
          <w:szCs w:val="24"/>
          <w:lang w:eastAsia="zh-CN"/>
        </w:rPr>
      </w:pPr>
      <w:r>
        <w:rPr>
          <w:rFonts w:hint="eastAsia"/>
          <w:lang w:eastAsia="zh-CN"/>
        </w:rPr>
        <w:t>下表确定了</w:t>
      </w:r>
      <w:r>
        <w:rPr>
          <w:rFonts w:hint="eastAsia"/>
          <w:lang w:eastAsia="zh-CN"/>
        </w:rPr>
        <w:t>2026-2029</w:t>
      </w:r>
      <w:r>
        <w:rPr>
          <w:rFonts w:hint="eastAsia"/>
          <w:lang w:eastAsia="zh-CN"/>
        </w:rPr>
        <w:t>年的主要运作风险。这些风险将定期重新评估，以考虑可能对</w:t>
      </w:r>
      <w:r>
        <w:rPr>
          <w:rFonts w:hint="eastAsia"/>
          <w:lang w:eastAsia="zh-CN"/>
        </w:rPr>
        <w:t>ITU-D</w:t>
      </w:r>
      <w:r>
        <w:rPr>
          <w:rFonts w:hint="eastAsia"/>
          <w:lang w:eastAsia="zh-CN"/>
        </w:rPr>
        <w:t>运作规划的实施产生影响的内外部环境变化。</w:t>
      </w:r>
    </w:p>
    <w:tbl>
      <w:tblPr>
        <w:tblStyle w:val="GridTable4-Accent11"/>
        <w:tblW w:w="10065" w:type="dxa"/>
        <w:tblInd w:w="-147" w:type="dxa"/>
        <w:tblLayout w:type="fixed"/>
        <w:tblLook w:val="04A0" w:firstRow="1" w:lastRow="0" w:firstColumn="1" w:lastColumn="0" w:noHBand="0" w:noVBand="1"/>
      </w:tblPr>
      <w:tblGrid>
        <w:gridCol w:w="1560"/>
        <w:gridCol w:w="1559"/>
        <w:gridCol w:w="1276"/>
        <w:gridCol w:w="1276"/>
        <w:gridCol w:w="4394"/>
      </w:tblGrid>
      <w:tr w:rsidR="00521A20" w14:paraId="7538762C" w14:textId="77777777" w:rsidTr="00521A20">
        <w:trPr>
          <w:cnfStyle w:val="100000000000" w:firstRow="1" w:lastRow="0" w:firstColumn="0" w:lastColumn="0" w:oddVBand="0" w:evenVBand="0" w:oddHBand="0"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560" w:type="dxa"/>
          </w:tcPr>
          <w:p w14:paraId="46BD61AD" w14:textId="77777777" w:rsidR="00521A20" w:rsidRDefault="00BB475A">
            <w:pPr>
              <w:spacing w:before="0"/>
              <w:rPr>
                <w:rFonts w:ascii="Calibri" w:hAnsi="Calibri"/>
                <w:b w:val="0"/>
                <w:bCs w:val="0"/>
                <w:sz w:val="20"/>
                <w:szCs w:val="20"/>
              </w:rPr>
            </w:pPr>
            <w:proofErr w:type="spellStart"/>
            <w:r>
              <w:rPr>
                <w:rFonts w:ascii="Calibri" w:hAnsi="Calibri" w:hint="eastAsia"/>
                <w:sz w:val="20"/>
              </w:rPr>
              <w:t>角度</w:t>
            </w:r>
            <w:proofErr w:type="spellEnd"/>
          </w:p>
        </w:tc>
        <w:tc>
          <w:tcPr>
            <w:tcW w:w="1559" w:type="dxa"/>
          </w:tcPr>
          <w:p w14:paraId="6A58F200" w14:textId="77777777" w:rsidR="00521A20" w:rsidRDefault="00BB475A">
            <w:pPr>
              <w:spacing w:before="0"/>
              <w:cnfStyle w:val="100000000000" w:firstRow="1" w:lastRow="0" w:firstColumn="0" w:lastColumn="0" w:oddVBand="0" w:evenVBand="0" w:oddHBand="0" w:evenHBand="0" w:firstRowFirstColumn="0" w:firstRowLastColumn="0" w:lastRowFirstColumn="0" w:lastRowLastColumn="0"/>
              <w:rPr>
                <w:rFonts w:ascii="Calibri" w:hAnsi="Calibri"/>
                <w:b w:val="0"/>
                <w:bCs w:val="0"/>
                <w:sz w:val="20"/>
                <w:szCs w:val="20"/>
              </w:rPr>
            </w:pPr>
            <w:proofErr w:type="spellStart"/>
            <w:r>
              <w:rPr>
                <w:rFonts w:ascii="Calibri" w:hAnsi="Calibri" w:hint="eastAsia"/>
                <w:sz w:val="20"/>
              </w:rPr>
              <w:t>风险描述</w:t>
            </w:r>
            <w:proofErr w:type="spellEnd"/>
          </w:p>
        </w:tc>
        <w:tc>
          <w:tcPr>
            <w:tcW w:w="1276" w:type="dxa"/>
          </w:tcPr>
          <w:p w14:paraId="7148E721" w14:textId="77777777" w:rsidR="00521A20" w:rsidRDefault="00BB475A">
            <w:pPr>
              <w:spacing w:before="0"/>
              <w:cnfStyle w:val="100000000000" w:firstRow="1" w:lastRow="0" w:firstColumn="0" w:lastColumn="0" w:oddVBand="0" w:evenVBand="0" w:oddHBand="0" w:evenHBand="0" w:firstRowFirstColumn="0" w:firstRowLastColumn="0" w:lastRowFirstColumn="0" w:lastRowLastColumn="0"/>
              <w:rPr>
                <w:rFonts w:ascii="Calibri" w:hAnsi="Calibri"/>
                <w:b w:val="0"/>
                <w:bCs w:val="0"/>
                <w:sz w:val="20"/>
                <w:szCs w:val="20"/>
              </w:rPr>
            </w:pPr>
            <w:proofErr w:type="spellStart"/>
            <w:r>
              <w:rPr>
                <w:rFonts w:ascii="Calibri" w:hAnsi="Calibri" w:hint="eastAsia"/>
                <w:sz w:val="20"/>
              </w:rPr>
              <w:t>概率</w:t>
            </w:r>
            <w:proofErr w:type="spellEnd"/>
          </w:p>
        </w:tc>
        <w:tc>
          <w:tcPr>
            <w:tcW w:w="1276" w:type="dxa"/>
          </w:tcPr>
          <w:p w14:paraId="14D7C3DE" w14:textId="77777777" w:rsidR="00521A20" w:rsidRDefault="00BB475A">
            <w:pPr>
              <w:spacing w:before="0"/>
              <w:cnfStyle w:val="100000000000" w:firstRow="1" w:lastRow="0" w:firstColumn="0" w:lastColumn="0" w:oddVBand="0" w:evenVBand="0" w:oddHBand="0" w:evenHBand="0" w:firstRowFirstColumn="0" w:firstRowLastColumn="0" w:lastRowFirstColumn="0" w:lastRowLastColumn="0"/>
              <w:rPr>
                <w:rFonts w:ascii="Calibri" w:hAnsi="Calibri"/>
                <w:b w:val="0"/>
                <w:bCs w:val="0"/>
                <w:sz w:val="20"/>
                <w:szCs w:val="20"/>
              </w:rPr>
            </w:pPr>
            <w:proofErr w:type="spellStart"/>
            <w:r>
              <w:rPr>
                <w:rFonts w:ascii="Calibri" w:hAnsi="Calibri" w:hint="eastAsia"/>
                <w:sz w:val="20"/>
              </w:rPr>
              <w:t>影响程度</w:t>
            </w:r>
            <w:proofErr w:type="spellEnd"/>
          </w:p>
        </w:tc>
        <w:tc>
          <w:tcPr>
            <w:tcW w:w="4394" w:type="dxa"/>
          </w:tcPr>
          <w:p w14:paraId="3481DE43" w14:textId="77777777" w:rsidR="00521A20" w:rsidRDefault="00BB475A">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0"/>
                <w:szCs w:val="20"/>
              </w:rPr>
            </w:pPr>
            <w:proofErr w:type="spellStart"/>
            <w:r>
              <w:rPr>
                <w:rFonts w:ascii="Calibri" w:hAnsi="Calibri" w:hint="eastAsia"/>
                <w:sz w:val="20"/>
              </w:rPr>
              <w:t>缓解措施</w:t>
            </w:r>
            <w:proofErr w:type="spellEnd"/>
          </w:p>
        </w:tc>
      </w:tr>
      <w:tr w:rsidR="00521A20" w14:paraId="3582FF6C" w14:textId="77777777" w:rsidTr="00521A20">
        <w:tc>
          <w:tcPr>
            <w:cnfStyle w:val="001000000000" w:firstRow="0" w:lastRow="0" w:firstColumn="1" w:lastColumn="0" w:oddVBand="0" w:evenVBand="0" w:oddHBand="0" w:evenHBand="0" w:firstRowFirstColumn="0" w:firstRowLastColumn="0" w:lastRowFirstColumn="0" w:lastRowLastColumn="0"/>
            <w:tcW w:w="1560" w:type="dxa"/>
          </w:tcPr>
          <w:p w14:paraId="121A5AEA" w14:textId="77777777" w:rsidR="00521A20" w:rsidRDefault="00BB475A">
            <w:pPr>
              <w:spacing w:before="0"/>
              <w:rPr>
                <w:rFonts w:ascii="Calibri" w:hAnsi="Calibri" w:cs="Calibri"/>
                <w:b w:val="0"/>
                <w:bCs w:val="0"/>
                <w:sz w:val="20"/>
                <w:szCs w:val="20"/>
              </w:rPr>
            </w:pPr>
            <w:proofErr w:type="spellStart"/>
            <w:r>
              <w:rPr>
                <w:rFonts w:ascii="Calibri" w:hAnsi="Calibri" w:hint="eastAsia"/>
                <w:sz w:val="20"/>
              </w:rPr>
              <w:t>财务</w:t>
            </w:r>
            <w:proofErr w:type="spellEnd"/>
          </w:p>
        </w:tc>
        <w:tc>
          <w:tcPr>
            <w:tcW w:w="1559" w:type="dxa"/>
          </w:tcPr>
          <w:p w14:paraId="181E9043" w14:textId="77777777" w:rsidR="00521A20" w:rsidRDefault="00BB475A">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Pr>
                <w:rFonts w:ascii="Calibri" w:hAnsi="Calibri" w:hint="eastAsia"/>
                <w:sz w:val="20"/>
              </w:rPr>
              <w:t>缺乏资源</w:t>
            </w:r>
            <w:proofErr w:type="spellEnd"/>
            <w:r>
              <w:rPr>
                <w:rFonts w:ascii="Calibri" w:hAnsi="Calibri" w:hint="eastAsia"/>
                <w:sz w:val="20"/>
              </w:rPr>
              <w:t>/</w:t>
            </w:r>
            <w:proofErr w:type="spellStart"/>
            <w:r>
              <w:rPr>
                <w:rFonts w:ascii="Calibri" w:hAnsi="Calibri" w:hint="eastAsia"/>
                <w:sz w:val="20"/>
              </w:rPr>
              <w:t>资金不足</w:t>
            </w:r>
            <w:proofErr w:type="spellEnd"/>
          </w:p>
        </w:tc>
        <w:tc>
          <w:tcPr>
            <w:tcW w:w="1276" w:type="dxa"/>
          </w:tcPr>
          <w:p w14:paraId="6791183B" w14:textId="77777777" w:rsidR="00521A20" w:rsidRDefault="00BB475A">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hint="eastAsia"/>
                <w:sz w:val="20"/>
              </w:rPr>
              <w:t>中</w:t>
            </w:r>
            <w:r>
              <w:rPr>
                <w:rFonts w:ascii="Calibri" w:hAnsi="Calibri" w:hint="eastAsia"/>
                <w:sz w:val="20"/>
              </w:rPr>
              <w:t xml:space="preserve"> </w:t>
            </w:r>
          </w:p>
        </w:tc>
        <w:tc>
          <w:tcPr>
            <w:tcW w:w="1276" w:type="dxa"/>
          </w:tcPr>
          <w:p w14:paraId="445B6A9F" w14:textId="77777777" w:rsidR="00521A20" w:rsidRDefault="00BB475A">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hint="eastAsia"/>
                <w:sz w:val="20"/>
              </w:rPr>
              <w:t>高</w:t>
            </w:r>
          </w:p>
        </w:tc>
        <w:tc>
          <w:tcPr>
            <w:tcW w:w="4394" w:type="dxa"/>
          </w:tcPr>
          <w:p w14:paraId="021631C7" w14:textId="77777777" w:rsidR="00521A20" w:rsidRDefault="00BB475A">
            <w:pPr>
              <w:numPr>
                <w:ilvl w:val="0"/>
                <w:numId w:val="3"/>
              </w:numPr>
              <w:overflowPunct/>
              <w:autoSpaceDE/>
              <w:autoSpaceDN/>
              <w:adjustRightInd/>
              <w:spacing w:before="0"/>
              <w:ind w:left="38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Pr>
                <w:rFonts w:ascii="Calibri" w:hAnsi="Calibri" w:hint="eastAsia"/>
                <w:sz w:val="20"/>
              </w:rPr>
              <w:t>编制适当的预算预测</w:t>
            </w:r>
            <w:proofErr w:type="spellEnd"/>
          </w:p>
          <w:p w14:paraId="288054DE" w14:textId="77777777" w:rsidR="00521A20" w:rsidRDefault="00BB475A">
            <w:pPr>
              <w:numPr>
                <w:ilvl w:val="0"/>
                <w:numId w:val="3"/>
              </w:numPr>
              <w:overflowPunct/>
              <w:autoSpaceDE/>
              <w:autoSpaceDN/>
              <w:adjustRightInd/>
              <w:spacing w:before="0"/>
              <w:ind w:left="38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Pr>
                <w:rFonts w:ascii="Calibri" w:hAnsi="Calibri" w:hint="eastAsia"/>
                <w:sz w:val="20"/>
                <w:lang w:eastAsia="zh-CN"/>
              </w:rPr>
              <w:t>制定适当实施战略以降低成本、提高效率</w:t>
            </w:r>
          </w:p>
          <w:p w14:paraId="5E449D9E" w14:textId="77777777" w:rsidR="00521A20" w:rsidRDefault="00BB475A">
            <w:pPr>
              <w:numPr>
                <w:ilvl w:val="0"/>
                <w:numId w:val="3"/>
              </w:numPr>
              <w:overflowPunct/>
              <w:autoSpaceDE/>
              <w:autoSpaceDN/>
              <w:adjustRightInd/>
              <w:spacing w:before="0"/>
              <w:ind w:left="38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Pr>
                <w:rFonts w:ascii="Calibri" w:hAnsi="Calibri" w:hint="eastAsia"/>
                <w:sz w:val="20"/>
                <w:lang w:eastAsia="zh-CN"/>
              </w:rPr>
              <w:t>必要时调集更多</w:t>
            </w:r>
            <w:r>
              <w:rPr>
                <w:rFonts w:ascii="Calibri" w:hAnsi="Calibri" w:hint="eastAsia"/>
                <w:sz w:val="20"/>
                <w:lang w:eastAsia="zh-CN"/>
              </w:rPr>
              <w:t>/</w:t>
            </w:r>
            <w:r>
              <w:rPr>
                <w:rFonts w:ascii="Calibri" w:hAnsi="Calibri" w:hint="eastAsia"/>
                <w:sz w:val="20"/>
                <w:lang w:eastAsia="zh-CN"/>
              </w:rPr>
              <w:t>预算外资源</w:t>
            </w:r>
          </w:p>
          <w:p w14:paraId="095FA67F" w14:textId="77777777" w:rsidR="00521A20" w:rsidRDefault="00BB475A">
            <w:pPr>
              <w:numPr>
                <w:ilvl w:val="0"/>
                <w:numId w:val="3"/>
              </w:numPr>
              <w:overflowPunct/>
              <w:autoSpaceDE/>
              <w:autoSpaceDN/>
              <w:adjustRightInd/>
              <w:spacing w:before="0"/>
              <w:ind w:left="38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roofErr w:type="spellStart"/>
            <w:r>
              <w:rPr>
                <w:rFonts w:ascii="Calibri" w:hAnsi="Calibri" w:hint="eastAsia"/>
                <w:sz w:val="20"/>
              </w:rPr>
              <w:t>发展新的伙伴关系</w:t>
            </w:r>
            <w:proofErr w:type="spellEnd"/>
          </w:p>
        </w:tc>
      </w:tr>
      <w:tr w:rsidR="00521A20" w14:paraId="573184EE" w14:textId="77777777" w:rsidTr="00521A20">
        <w:tc>
          <w:tcPr>
            <w:cnfStyle w:val="001000000000" w:firstRow="0" w:lastRow="0" w:firstColumn="1" w:lastColumn="0" w:oddVBand="0" w:evenVBand="0" w:oddHBand="0" w:evenHBand="0" w:firstRowFirstColumn="0" w:firstRowLastColumn="0" w:lastRowFirstColumn="0" w:lastRowLastColumn="0"/>
            <w:tcW w:w="1560" w:type="dxa"/>
          </w:tcPr>
          <w:p w14:paraId="7D8DAF4B" w14:textId="77777777" w:rsidR="00521A20" w:rsidRDefault="00BB475A">
            <w:pPr>
              <w:spacing w:before="0"/>
              <w:rPr>
                <w:rFonts w:ascii="Calibri" w:hAnsi="Calibri" w:cs="Calibri"/>
                <w:b w:val="0"/>
                <w:bCs w:val="0"/>
                <w:sz w:val="20"/>
                <w:szCs w:val="20"/>
              </w:rPr>
            </w:pPr>
            <w:proofErr w:type="spellStart"/>
            <w:r>
              <w:rPr>
                <w:rFonts w:ascii="Calibri" w:hAnsi="Calibri" w:hint="eastAsia"/>
                <w:sz w:val="20"/>
              </w:rPr>
              <w:t>人力资源</w:t>
            </w:r>
            <w:proofErr w:type="spellEnd"/>
          </w:p>
        </w:tc>
        <w:tc>
          <w:tcPr>
            <w:tcW w:w="1559" w:type="dxa"/>
          </w:tcPr>
          <w:p w14:paraId="3F8AC103" w14:textId="77777777" w:rsidR="00521A20" w:rsidRDefault="00BB475A">
            <w:pPr>
              <w:spacing w:before="0"/>
              <w:cnfStyle w:val="000000000000" w:firstRow="0" w:lastRow="0" w:firstColumn="0" w:lastColumn="0" w:oddVBand="0" w:evenVBand="0" w:oddHBand="0" w:evenHBand="0" w:firstRowFirstColumn="0" w:firstRowLastColumn="0" w:lastRowFirstColumn="0" w:lastRowLastColumn="0"/>
              <w:rPr>
                <w:rFonts w:ascii="Calibri" w:hAnsi="Calibri"/>
                <w:sz w:val="20"/>
                <w:szCs w:val="20"/>
                <w:lang w:eastAsia="zh-CN"/>
              </w:rPr>
            </w:pPr>
            <w:r>
              <w:rPr>
                <w:rFonts w:ascii="Calibri" w:hAnsi="Calibri" w:hint="eastAsia"/>
                <w:sz w:val="20"/>
                <w:lang w:eastAsia="zh-CN"/>
              </w:rPr>
              <w:t>活动领域缺乏符合条件的专家</w:t>
            </w:r>
          </w:p>
        </w:tc>
        <w:tc>
          <w:tcPr>
            <w:tcW w:w="1276" w:type="dxa"/>
          </w:tcPr>
          <w:p w14:paraId="491B782A" w14:textId="77777777" w:rsidR="00521A20" w:rsidRDefault="00BB475A">
            <w:pPr>
              <w:spacing w:before="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hint="eastAsia"/>
                <w:sz w:val="20"/>
              </w:rPr>
              <w:t>高</w:t>
            </w:r>
          </w:p>
        </w:tc>
        <w:tc>
          <w:tcPr>
            <w:tcW w:w="1276" w:type="dxa"/>
          </w:tcPr>
          <w:p w14:paraId="3DDDC890" w14:textId="77777777" w:rsidR="00521A20" w:rsidRDefault="00BB475A">
            <w:pPr>
              <w:spacing w:before="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hint="eastAsia"/>
                <w:sz w:val="20"/>
              </w:rPr>
              <w:t>高</w:t>
            </w:r>
          </w:p>
        </w:tc>
        <w:tc>
          <w:tcPr>
            <w:tcW w:w="4394" w:type="dxa"/>
          </w:tcPr>
          <w:p w14:paraId="006405F9" w14:textId="77777777" w:rsidR="00521A20" w:rsidRDefault="00BB475A">
            <w:pPr>
              <w:numPr>
                <w:ilvl w:val="0"/>
                <w:numId w:val="4"/>
              </w:numPr>
              <w:overflowPunct/>
              <w:autoSpaceDE/>
              <w:autoSpaceDN/>
              <w:adjustRightInd/>
              <w:spacing w:before="0"/>
              <w:ind w:left="38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Pr>
                <w:rFonts w:ascii="Calibri" w:hAnsi="Calibri" w:hint="eastAsia"/>
                <w:sz w:val="20"/>
                <w:lang w:eastAsia="zh-CN"/>
              </w:rPr>
              <w:t>预测资源要求并尽快启动招聘和采购</w:t>
            </w:r>
          </w:p>
          <w:p w14:paraId="1845C3C7" w14:textId="77777777" w:rsidR="00521A20" w:rsidRDefault="00BB475A">
            <w:pPr>
              <w:numPr>
                <w:ilvl w:val="0"/>
                <w:numId w:val="4"/>
              </w:numPr>
              <w:overflowPunct/>
              <w:autoSpaceDE/>
              <w:autoSpaceDN/>
              <w:adjustRightInd/>
              <w:spacing w:before="0"/>
              <w:ind w:left="38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Pr>
                <w:rFonts w:ascii="Calibri" w:hAnsi="Calibri" w:hint="eastAsia"/>
                <w:sz w:val="20"/>
                <w:lang w:eastAsia="zh-CN"/>
              </w:rPr>
              <w:t>创建、不断更新并进一步开发专家名册</w:t>
            </w:r>
          </w:p>
          <w:p w14:paraId="4774641D" w14:textId="77777777" w:rsidR="00521A20" w:rsidRDefault="00BB475A">
            <w:pPr>
              <w:numPr>
                <w:ilvl w:val="0"/>
                <w:numId w:val="4"/>
              </w:numPr>
              <w:overflowPunct/>
              <w:autoSpaceDE/>
              <w:autoSpaceDN/>
              <w:adjustRightInd/>
              <w:spacing w:before="0"/>
              <w:ind w:left="38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szCs w:val="20"/>
                <w:lang w:eastAsia="zh-CN"/>
              </w:rPr>
            </w:pPr>
            <w:r>
              <w:rPr>
                <w:rFonts w:ascii="Calibri" w:hAnsi="Calibri" w:hint="eastAsia"/>
                <w:sz w:val="20"/>
                <w:lang w:eastAsia="zh-CN"/>
              </w:rPr>
              <w:t>加强关键领域的内部专业技术</w:t>
            </w:r>
            <w:r>
              <w:rPr>
                <w:rFonts w:ascii="Calibri" w:hAnsi="Calibri" w:hint="eastAsia"/>
                <w:sz w:val="20"/>
                <w:lang w:eastAsia="zh-CN"/>
              </w:rPr>
              <w:t xml:space="preserve"> </w:t>
            </w:r>
          </w:p>
        </w:tc>
      </w:tr>
      <w:tr w:rsidR="00521A20" w14:paraId="42B8EA6C" w14:textId="77777777" w:rsidTr="00521A20">
        <w:tc>
          <w:tcPr>
            <w:cnfStyle w:val="001000000000" w:firstRow="0" w:lastRow="0" w:firstColumn="1" w:lastColumn="0" w:oddVBand="0" w:evenVBand="0" w:oddHBand="0" w:evenHBand="0" w:firstRowFirstColumn="0" w:firstRowLastColumn="0" w:lastRowFirstColumn="0" w:lastRowLastColumn="0"/>
            <w:tcW w:w="1560" w:type="dxa"/>
          </w:tcPr>
          <w:p w14:paraId="21C58D0F" w14:textId="77777777" w:rsidR="00521A20" w:rsidRDefault="00BB475A">
            <w:pPr>
              <w:spacing w:before="0"/>
              <w:rPr>
                <w:rFonts w:ascii="Calibri" w:hAnsi="Calibri" w:cs="Calibri"/>
                <w:b w:val="0"/>
                <w:bCs w:val="0"/>
                <w:sz w:val="20"/>
                <w:szCs w:val="20"/>
              </w:rPr>
            </w:pPr>
            <w:proofErr w:type="spellStart"/>
            <w:r>
              <w:rPr>
                <w:rFonts w:ascii="Calibri" w:hAnsi="Calibri" w:hint="eastAsia"/>
                <w:sz w:val="20"/>
              </w:rPr>
              <w:t>利益攸关方</w:t>
            </w:r>
            <w:proofErr w:type="spellEnd"/>
            <w:r>
              <w:rPr>
                <w:rFonts w:ascii="Calibri" w:hAnsi="Calibri" w:hint="eastAsia"/>
                <w:sz w:val="20"/>
              </w:rPr>
              <w:t>/</w:t>
            </w:r>
            <w:proofErr w:type="spellStart"/>
            <w:r>
              <w:rPr>
                <w:rFonts w:ascii="Calibri" w:hAnsi="Calibri" w:hint="eastAsia"/>
                <w:sz w:val="20"/>
              </w:rPr>
              <w:t>合作伙伴</w:t>
            </w:r>
            <w:proofErr w:type="spellEnd"/>
          </w:p>
        </w:tc>
        <w:tc>
          <w:tcPr>
            <w:tcW w:w="1559" w:type="dxa"/>
          </w:tcPr>
          <w:p w14:paraId="32C12FD3" w14:textId="77777777" w:rsidR="00521A20" w:rsidRDefault="00BB475A">
            <w:pPr>
              <w:spacing w:before="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Pr>
                <w:rFonts w:ascii="Calibri" w:hAnsi="Calibri" w:hint="eastAsia"/>
                <w:sz w:val="20"/>
                <w:lang w:eastAsia="zh-CN"/>
              </w:rPr>
              <w:t>缺乏合作伙伴和国家的支持</w:t>
            </w:r>
            <w:r>
              <w:rPr>
                <w:rFonts w:ascii="Calibri" w:hAnsi="Calibri" w:hint="eastAsia"/>
                <w:sz w:val="20"/>
                <w:lang w:eastAsia="zh-CN"/>
              </w:rPr>
              <w:t>/</w:t>
            </w:r>
            <w:r>
              <w:rPr>
                <w:rFonts w:ascii="Calibri" w:hAnsi="Calibri" w:hint="eastAsia"/>
                <w:sz w:val="20"/>
                <w:lang w:eastAsia="zh-CN"/>
              </w:rPr>
              <w:t>承诺</w:t>
            </w:r>
          </w:p>
        </w:tc>
        <w:tc>
          <w:tcPr>
            <w:tcW w:w="1276" w:type="dxa"/>
          </w:tcPr>
          <w:p w14:paraId="38546E0C" w14:textId="77777777" w:rsidR="00521A20" w:rsidRDefault="00BB475A">
            <w:pPr>
              <w:spacing w:before="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hint="eastAsia"/>
                <w:sz w:val="20"/>
              </w:rPr>
              <w:t>中</w:t>
            </w:r>
          </w:p>
        </w:tc>
        <w:tc>
          <w:tcPr>
            <w:tcW w:w="1276" w:type="dxa"/>
          </w:tcPr>
          <w:p w14:paraId="1A0E8546" w14:textId="77777777" w:rsidR="00521A20" w:rsidRDefault="00BB475A">
            <w:pPr>
              <w:spacing w:before="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hint="eastAsia"/>
                <w:sz w:val="20"/>
              </w:rPr>
              <w:t>中</w:t>
            </w:r>
          </w:p>
        </w:tc>
        <w:tc>
          <w:tcPr>
            <w:tcW w:w="4394" w:type="dxa"/>
          </w:tcPr>
          <w:p w14:paraId="3A1B89C6" w14:textId="77777777" w:rsidR="00521A20" w:rsidRDefault="00BB475A">
            <w:pPr>
              <w:numPr>
                <w:ilvl w:val="0"/>
                <w:numId w:val="5"/>
              </w:numPr>
              <w:overflowPunct/>
              <w:autoSpaceDE/>
              <w:autoSpaceDN/>
              <w:adjustRightInd/>
              <w:spacing w:before="0"/>
              <w:ind w:left="38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Pr>
                <w:rFonts w:ascii="Calibri" w:hAnsi="Calibri" w:hint="eastAsia"/>
                <w:sz w:val="20"/>
                <w:lang w:eastAsia="zh-CN"/>
              </w:rPr>
              <w:t>确保并强化与各成员国的合作，以保障适当水平的国家参与</w:t>
            </w:r>
          </w:p>
          <w:p w14:paraId="4D814560" w14:textId="77777777" w:rsidR="00521A20" w:rsidRDefault="00BB475A">
            <w:pPr>
              <w:numPr>
                <w:ilvl w:val="0"/>
                <w:numId w:val="5"/>
              </w:numPr>
              <w:overflowPunct/>
              <w:autoSpaceDE/>
              <w:autoSpaceDN/>
              <w:adjustRightInd/>
              <w:spacing w:before="0"/>
              <w:ind w:left="38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Pr>
                <w:rFonts w:ascii="Calibri" w:hAnsi="Calibri" w:hint="eastAsia"/>
                <w:sz w:val="20"/>
                <w:lang w:eastAsia="zh-CN"/>
              </w:rPr>
              <w:t>与联合国驻地协调员办公室（</w:t>
            </w:r>
            <w:r>
              <w:rPr>
                <w:rFonts w:ascii="Calibri" w:hAnsi="Calibri" w:hint="eastAsia"/>
                <w:sz w:val="20"/>
                <w:lang w:eastAsia="zh-CN"/>
              </w:rPr>
              <w:t>UNRCO</w:t>
            </w:r>
            <w:r>
              <w:rPr>
                <w:rFonts w:ascii="Calibri" w:hAnsi="Calibri" w:hint="eastAsia"/>
                <w:sz w:val="20"/>
                <w:lang w:eastAsia="zh-CN"/>
              </w:rPr>
              <w:t>）以及联合国安全和安保部（</w:t>
            </w:r>
            <w:r>
              <w:rPr>
                <w:rFonts w:ascii="Calibri" w:hAnsi="Calibri" w:hint="eastAsia"/>
                <w:sz w:val="20"/>
                <w:lang w:eastAsia="zh-CN"/>
              </w:rPr>
              <w:t>UNDSS</w:t>
            </w:r>
            <w:r>
              <w:rPr>
                <w:rFonts w:ascii="Calibri" w:hAnsi="Calibri" w:hint="eastAsia"/>
                <w:sz w:val="20"/>
                <w:lang w:eastAsia="zh-CN"/>
              </w:rPr>
              <w:t>）协调，评估和评价国别风险</w:t>
            </w:r>
          </w:p>
          <w:p w14:paraId="734F428C" w14:textId="77777777" w:rsidR="00521A20" w:rsidRDefault="00BB475A">
            <w:pPr>
              <w:numPr>
                <w:ilvl w:val="0"/>
                <w:numId w:val="5"/>
              </w:numPr>
              <w:overflowPunct/>
              <w:autoSpaceDE/>
              <w:autoSpaceDN/>
              <w:adjustRightInd/>
              <w:spacing w:before="0"/>
              <w:ind w:left="380"/>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Pr>
                <w:rFonts w:ascii="Calibri" w:hAnsi="Calibri" w:hint="eastAsia"/>
                <w:sz w:val="20"/>
                <w:lang w:eastAsia="zh-CN"/>
              </w:rPr>
              <w:t>制定新的实施和能力开发机制，以加强国家自主性和干预的可持续性</w:t>
            </w:r>
          </w:p>
        </w:tc>
      </w:tr>
      <w:tr w:rsidR="00521A20" w14:paraId="63D8F943" w14:textId="77777777" w:rsidTr="00521A20">
        <w:tc>
          <w:tcPr>
            <w:cnfStyle w:val="001000000000" w:firstRow="0" w:lastRow="0" w:firstColumn="1" w:lastColumn="0" w:oddVBand="0" w:evenVBand="0" w:oddHBand="0" w:evenHBand="0" w:firstRowFirstColumn="0" w:firstRowLastColumn="0" w:lastRowFirstColumn="0" w:lastRowLastColumn="0"/>
            <w:tcW w:w="1560" w:type="dxa"/>
          </w:tcPr>
          <w:p w14:paraId="4B060AEC" w14:textId="77777777" w:rsidR="00521A20" w:rsidRDefault="00BB475A">
            <w:pPr>
              <w:spacing w:before="0"/>
              <w:rPr>
                <w:rFonts w:ascii="Calibri" w:hAnsi="Calibri" w:cs="Calibri"/>
                <w:b w:val="0"/>
                <w:bCs w:val="0"/>
                <w:sz w:val="20"/>
                <w:szCs w:val="20"/>
              </w:rPr>
            </w:pPr>
            <w:proofErr w:type="spellStart"/>
            <w:r>
              <w:rPr>
                <w:rFonts w:ascii="Calibri" w:hAnsi="Calibri" w:hint="eastAsia"/>
                <w:sz w:val="20"/>
              </w:rPr>
              <w:t>环境</w:t>
            </w:r>
            <w:proofErr w:type="spellEnd"/>
          </w:p>
        </w:tc>
        <w:tc>
          <w:tcPr>
            <w:tcW w:w="1559" w:type="dxa"/>
          </w:tcPr>
          <w:p w14:paraId="41DDE9D5" w14:textId="77777777" w:rsidR="00521A20" w:rsidRDefault="00BB475A">
            <w:pPr>
              <w:spacing w:before="0"/>
              <w:cnfStyle w:val="000000000000" w:firstRow="0" w:lastRow="0" w:firstColumn="0" w:lastColumn="0" w:oddVBand="0" w:evenVBand="0" w:oddHBand="0" w:evenHBand="0" w:firstRowFirstColumn="0" w:firstRowLastColumn="0" w:lastRowFirstColumn="0" w:lastRowLastColumn="0"/>
              <w:rPr>
                <w:rFonts w:ascii="Calibri" w:hAnsi="Calibri"/>
                <w:sz w:val="20"/>
                <w:szCs w:val="20"/>
                <w:lang w:eastAsia="zh-CN"/>
              </w:rPr>
            </w:pPr>
            <w:r>
              <w:rPr>
                <w:rFonts w:ascii="Calibri" w:hAnsi="Calibri" w:hint="eastAsia"/>
                <w:sz w:val="20"/>
                <w:lang w:eastAsia="zh-CN"/>
              </w:rPr>
              <w:t>因无法预知的当地事件推迟国家活动</w:t>
            </w:r>
          </w:p>
        </w:tc>
        <w:tc>
          <w:tcPr>
            <w:tcW w:w="1276" w:type="dxa"/>
          </w:tcPr>
          <w:p w14:paraId="79607202" w14:textId="77777777" w:rsidR="00521A20" w:rsidRDefault="00BB475A">
            <w:pPr>
              <w:spacing w:before="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hint="eastAsia"/>
                <w:sz w:val="20"/>
              </w:rPr>
              <w:t>中</w:t>
            </w:r>
          </w:p>
        </w:tc>
        <w:tc>
          <w:tcPr>
            <w:tcW w:w="1276" w:type="dxa"/>
          </w:tcPr>
          <w:p w14:paraId="0402AA92" w14:textId="77777777" w:rsidR="00521A20" w:rsidRDefault="00BB475A">
            <w:pPr>
              <w:spacing w:before="0"/>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Pr>
                <w:rFonts w:ascii="Calibri" w:hAnsi="Calibri" w:hint="eastAsia"/>
                <w:sz w:val="20"/>
              </w:rPr>
              <w:t>高</w:t>
            </w:r>
          </w:p>
        </w:tc>
        <w:tc>
          <w:tcPr>
            <w:tcW w:w="4394" w:type="dxa"/>
          </w:tcPr>
          <w:p w14:paraId="75564F9E" w14:textId="77777777" w:rsidR="00521A20" w:rsidRDefault="00BB475A">
            <w:pPr>
              <w:numPr>
                <w:ilvl w:val="0"/>
                <w:numId w:val="6"/>
              </w:numPr>
              <w:overflowPunct/>
              <w:autoSpaceDE/>
              <w:autoSpaceDN/>
              <w:adjustRightInd/>
              <w:spacing w:before="0"/>
              <w:ind w:left="38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roofErr w:type="spellStart"/>
            <w:r>
              <w:rPr>
                <w:rFonts w:ascii="Calibri" w:hAnsi="Calibri" w:hint="eastAsia"/>
                <w:sz w:val="20"/>
              </w:rPr>
              <w:t>与合作伙伴和捐助方有效通信</w:t>
            </w:r>
            <w:proofErr w:type="spellEnd"/>
            <w:r>
              <w:rPr>
                <w:rFonts w:ascii="Calibri" w:hAnsi="Calibri" w:hint="eastAsia"/>
                <w:sz w:val="20"/>
              </w:rPr>
              <w:t xml:space="preserve"> </w:t>
            </w:r>
          </w:p>
          <w:p w14:paraId="0B396387" w14:textId="77777777" w:rsidR="00521A20" w:rsidRDefault="00BB475A">
            <w:pPr>
              <w:numPr>
                <w:ilvl w:val="0"/>
                <w:numId w:val="6"/>
              </w:numPr>
              <w:overflowPunct/>
              <w:autoSpaceDE/>
              <w:autoSpaceDN/>
              <w:adjustRightInd/>
              <w:spacing w:before="0"/>
              <w:ind w:left="38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szCs w:val="20"/>
                <w:lang w:eastAsia="zh-CN"/>
              </w:rPr>
            </w:pPr>
            <w:r>
              <w:rPr>
                <w:rFonts w:ascii="Calibri" w:hAnsi="Calibri" w:hint="eastAsia"/>
                <w:sz w:val="20"/>
                <w:lang w:eastAsia="zh-CN"/>
              </w:rPr>
              <w:t>制定具有适应力和响应性的实施机制</w:t>
            </w:r>
            <w:r>
              <w:rPr>
                <w:rFonts w:ascii="Calibri" w:hAnsi="Calibri" w:hint="eastAsia"/>
                <w:sz w:val="20"/>
                <w:lang w:eastAsia="zh-CN"/>
              </w:rPr>
              <w:t xml:space="preserve"> </w:t>
            </w:r>
          </w:p>
          <w:p w14:paraId="33ABE0B9" w14:textId="77777777" w:rsidR="00521A20" w:rsidRDefault="00BB475A">
            <w:pPr>
              <w:numPr>
                <w:ilvl w:val="0"/>
                <w:numId w:val="6"/>
              </w:numPr>
              <w:overflowPunct/>
              <w:autoSpaceDE/>
              <w:autoSpaceDN/>
              <w:adjustRightInd/>
              <w:spacing w:before="0"/>
              <w:ind w:left="380"/>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szCs w:val="20"/>
                <w:lang w:eastAsia="zh-CN"/>
              </w:rPr>
            </w:pPr>
            <w:r>
              <w:rPr>
                <w:rFonts w:ascii="Calibri" w:hAnsi="Calibri" w:hint="eastAsia"/>
                <w:sz w:val="20"/>
                <w:lang w:eastAsia="zh-CN"/>
              </w:rPr>
              <w:t>将风险管理纳入项目和活动规划</w:t>
            </w:r>
          </w:p>
        </w:tc>
      </w:tr>
    </w:tbl>
    <w:p w14:paraId="15DF7A4D" w14:textId="77777777" w:rsidR="00521A20" w:rsidRDefault="00BB475A">
      <w:pPr>
        <w:pStyle w:val="Heading1"/>
        <w:rPr>
          <w:rFonts w:eastAsia="Calibri"/>
          <w:szCs w:val="24"/>
          <w:lang w:eastAsia="zh-CN"/>
        </w:rPr>
      </w:pPr>
      <w:r>
        <w:rPr>
          <w:rFonts w:eastAsiaTheme="minorEastAsia" w:hint="eastAsia"/>
          <w:lang w:eastAsia="zh-CN"/>
        </w:rPr>
        <w:lastRenderedPageBreak/>
        <w:t>3</w:t>
      </w:r>
      <w:r>
        <w:rPr>
          <w:rFonts w:eastAsiaTheme="minorEastAsia"/>
          <w:lang w:eastAsia="zh-CN"/>
        </w:rPr>
        <w:tab/>
      </w:r>
      <w:r>
        <w:rPr>
          <w:rFonts w:hint="eastAsia"/>
          <w:lang w:eastAsia="zh-CN"/>
        </w:rPr>
        <w:t>2026-2029</w:t>
      </w:r>
      <w:r>
        <w:rPr>
          <w:rFonts w:hint="eastAsia"/>
          <w:lang w:eastAsia="zh-CN"/>
        </w:rPr>
        <w:t>年落实《巴库行动计划》的影响框架</w:t>
      </w:r>
    </w:p>
    <w:p w14:paraId="39639239" w14:textId="77777777" w:rsidR="00521A20" w:rsidRDefault="00BB475A">
      <w:pPr>
        <w:ind w:firstLineChars="200" w:firstLine="480"/>
        <w:rPr>
          <w:lang w:eastAsia="zh-CN"/>
        </w:rPr>
      </w:pPr>
      <w:r>
        <w:rPr>
          <w:rFonts w:hint="eastAsia"/>
          <w:lang w:eastAsia="zh-CN"/>
        </w:rPr>
        <w:t>落实《巴库行动计划》的影响框架遵循下文各表所概述的结果链，将</w:t>
      </w:r>
      <w:r>
        <w:rPr>
          <w:rFonts w:hint="eastAsia"/>
          <w:lang w:eastAsia="zh-CN"/>
        </w:rPr>
        <w:t>ITU-D</w:t>
      </w:r>
      <w:r>
        <w:rPr>
          <w:rFonts w:hint="eastAsia"/>
          <w:lang w:eastAsia="zh-CN"/>
        </w:rPr>
        <w:t>重点工作与成果、相关指标和输出成果相关联。</w:t>
      </w:r>
      <w:r>
        <w:rPr>
          <w:rFonts w:hint="eastAsia"/>
          <w:lang w:eastAsia="zh-CN"/>
        </w:rPr>
        <w:t>OP-26</w:t>
      </w:r>
      <w:r>
        <w:rPr>
          <w:rFonts w:hint="eastAsia"/>
          <w:lang w:eastAsia="zh-CN"/>
        </w:rPr>
        <w:t>下的各项行动基于</w:t>
      </w:r>
      <w:r>
        <w:rPr>
          <w:rFonts w:hint="eastAsia"/>
          <w:lang w:eastAsia="zh-CN"/>
        </w:rPr>
        <w:t>WTDC-25</w:t>
      </w:r>
      <w:r>
        <w:rPr>
          <w:rFonts w:hint="eastAsia"/>
          <w:lang w:eastAsia="zh-CN"/>
        </w:rPr>
        <w:t>通过的完善后成果与指标进行规划，确保了运作规划、监测与报告的一致性。</w:t>
      </w:r>
    </w:p>
    <w:p w14:paraId="3BED5BAA" w14:textId="76705A79" w:rsidR="00521A20" w:rsidRDefault="00BB475A">
      <w:pPr>
        <w:ind w:firstLineChars="200" w:firstLine="480"/>
        <w:rPr>
          <w:lang w:eastAsia="zh-CN"/>
        </w:rPr>
      </w:pPr>
      <w:r>
        <w:rPr>
          <w:rFonts w:hint="eastAsia"/>
          <w:lang w:eastAsia="zh-CN"/>
        </w:rPr>
        <w:t>成果指标用于监测电信发展局在国家层面所做贡献的变化和影响，其进展情况将于</w:t>
      </w:r>
      <w:r>
        <w:rPr>
          <w:rFonts w:hint="eastAsia"/>
          <w:lang w:eastAsia="zh-CN"/>
        </w:rPr>
        <w:t>2029</w:t>
      </w:r>
      <w:r>
        <w:rPr>
          <w:rFonts w:hint="eastAsia"/>
          <w:lang w:eastAsia="zh-CN"/>
        </w:rPr>
        <w:t>年《巴库行动计划》周期结束时进行报告。输出成果指标用于衡量电信发展局所制定的产品或服务取得的成果，其进展情况将每年向</w:t>
      </w:r>
      <w:r>
        <w:rPr>
          <w:rFonts w:hint="eastAsia"/>
          <w:lang w:eastAsia="zh-CN"/>
        </w:rPr>
        <w:t>TDAG</w:t>
      </w:r>
      <w:r>
        <w:rPr>
          <w:rFonts w:hint="eastAsia"/>
          <w:lang w:eastAsia="zh-CN"/>
        </w:rPr>
        <w:t>报告。成果指标的基准和具体目标</w:t>
      </w:r>
      <w:r>
        <w:rPr>
          <w:rFonts w:hint="eastAsia"/>
          <w:lang w:val="en-US" w:eastAsia="zh-CN"/>
        </w:rPr>
        <w:t>可在本文件附件</w:t>
      </w:r>
      <w:r>
        <w:rPr>
          <w:rFonts w:hint="eastAsia"/>
          <w:lang w:val="en-US" w:eastAsia="zh-CN"/>
        </w:rPr>
        <w:t>2</w:t>
      </w:r>
      <w:r>
        <w:rPr>
          <w:rFonts w:hint="eastAsia"/>
          <w:lang w:val="en-US" w:eastAsia="zh-CN"/>
        </w:rPr>
        <w:t>所载的</w:t>
      </w:r>
      <w:r>
        <w:rPr>
          <w:rFonts w:hint="eastAsia"/>
          <w:lang w:eastAsia="zh-CN"/>
        </w:rPr>
        <w:t>配套</w:t>
      </w:r>
      <w:r>
        <w:fldChar w:fldCharType="begin"/>
      </w:r>
      <w:r>
        <w:rPr>
          <w:lang w:eastAsia="zh-CN"/>
        </w:rPr>
        <w:instrText>HYPERLINK "https://www.itu.int/en/ITU-D/Conferences/TDAG/Pages/dashboards/2026/Operational-Plan-Reporting-Dashboard.aspx"</w:instrText>
      </w:r>
      <w:r>
        <w:fldChar w:fldCharType="separate"/>
      </w:r>
      <w:r w:rsidRPr="00193E7E">
        <w:rPr>
          <w:rStyle w:val="Hyperlink"/>
          <w:rFonts w:hint="eastAsia"/>
          <w:lang w:eastAsia="zh-CN"/>
        </w:rPr>
        <w:t>信息概览</w:t>
      </w:r>
      <w:r>
        <w:fldChar w:fldCharType="end"/>
      </w:r>
      <w:r>
        <w:rPr>
          <w:rFonts w:hint="eastAsia"/>
          <w:lang w:val="en-US" w:eastAsia="zh-CN"/>
        </w:rPr>
        <w:t>中找到</w:t>
      </w:r>
      <w:r>
        <w:rPr>
          <w:rFonts w:hint="eastAsia"/>
          <w:lang w:eastAsia="zh-CN"/>
        </w:rPr>
        <w:t>。</w:t>
      </w:r>
    </w:p>
    <w:p w14:paraId="623682A3" w14:textId="77777777" w:rsidR="00521A20" w:rsidRDefault="00521A20">
      <w:pPr>
        <w:rPr>
          <w:szCs w:val="24"/>
          <w:lang w:eastAsia="zh-CN"/>
        </w:rPr>
        <w:sectPr w:rsidR="00521A20">
          <w:headerReference w:type="default" r:id="rId11"/>
          <w:footerReference w:type="first" r:id="rId12"/>
          <w:pgSz w:w="11907" w:h="16840"/>
          <w:pgMar w:top="1418" w:right="1134" w:bottom="1134" w:left="1134" w:header="720" w:footer="720" w:gutter="0"/>
          <w:cols w:space="720"/>
          <w:titlePg/>
          <w:docGrid w:linePitch="326"/>
        </w:sectPr>
      </w:pPr>
    </w:p>
    <w:p w14:paraId="09C5020F" w14:textId="77777777" w:rsidR="00521A20" w:rsidRDefault="00BB475A">
      <w:pPr>
        <w:pStyle w:val="Heading2"/>
        <w:rPr>
          <w:lang w:eastAsia="zh-CN"/>
        </w:rPr>
      </w:pPr>
      <w:r>
        <w:rPr>
          <w:rFonts w:hint="eastAsia"/>
          <w:lang w:eastAsia="zh-CN"/>
        </w:rPr>
        <w:lastRenderedPageBreak/>
        <w:t>3.1</w:t>
      </w:r>
      <w:r>
        <w:rPr>
          <w:rFonts w:hint="eastAsia"/>
          <w:lang w:eastAsia="zh-CN"/>
        </w:rPr>
        <w:tab/>
        <w:t>ITU-D</w:t>
      </w:r>
      <w:r>
        <w:rPr>
          <w:rFonts w:hint="eastAsia"/>
          <w:lang w:eastAsia="zh-CN"/>
        </w:rPr>
        <w:t>的重点工作</w:t>
      </w:r>
      <w:r>
        <w:rPr>
          <w:rFonts w:hint="eastAsia"/>
          <w:lang w:eastAsia="zh-CN"/>
        </w:rPr>
        <w:t>1</w:t>
      </w:r>
      <w:r>
        <w:rPr>
          <w:rFonts w:hint="eastAsia"/>
          <w:lang w:eastAsia="zh-CN"/>
        </w:rPr>
        <w:t>：价格可承受的连接</w:t>
      </w:r>
    </w:p>
    <w:tbl>
      <w:tblPr>
        <w:tblW w:w="15309" w:type="dxa"/>
        <w:tblInd w:w="-572" w:type="dxa"/>
        <w:tblLook w:val="04A0" w:firstRow="1" w:lastRow="0" w:firstColumn="1" w:lastColumn="0" w:noHBand="0" w:noVBand="1"/>
      </w:tblPr>
      <w:tblGrid>
        <w:gridCol w:w="1843"/>
        <w:gridCol w:w="3402"/>
        <w:gridCol w:w="3119"/>
        <w:gridCol w:w="2268"/>
        <w:gridCol w:w="1559"/>
        <w:gridCol w:w="1559"/>
        <w:gridCol w:w="1559"/>
      </w:tblGrid>
      <w:tr w:rsidR="00521A20" w14:paraId="7FD3F561" w14:textId="77777777">
        <w:trPr>
          <w:cantSplit/>
          <w:trHeight w:val="942"/>
          <w:tblHeader/>
        </w:trPr>
        <w:tc>
          <w:tcPr>
            <w:tcW w:w="1843" w:type="dxa"/>
            <w:tcBorders>
              <w:top w:val="single" w:sz="4" w:space="0" w:color="44B3E1"/>
              <w:left w:val="single" w:sz="4" w:space="0" w:color="44B3E1"/>
              <w:bottom w:val="single" w:sz="4" w:space="0" w:color="44B3E1"/>
              <w:right w:val="nil"/>
            </w:tcBorders>
            <w:shd w:val="clear" w:color="auto" w:fill="156082"/>
            <w:vAlign w:val="center"/>
          </w:tcPr>
          <w:p w14:paraId="65ECA2A8" w14:textId="77777777" w:rsidR="00521A20" w:rsidRDefault="00BB475A">
            <w:pPr>
              <w:overflowPunct/>
              <w:autoSpaceDE/>
              <w:autoSpaceDN/>
              <w:adjustRightInd/>
              <w:spacing w:before="0"/>
              <w:jc w:val="center"/>
              <w:textAlignment w:val="auto"/>
              <w:rPr>
                <w:rFonts w:ascii="Calibri" w:hAnsi="Calibri" w:cs="Calibri"/>
                <w:b/>
                <w:bCs/>
                <w:color w:val="FFFFFF"/>
                <w:sz w:val="20"/>
              </w:rPr>
            </w:pPr>
            <w:proofErr w:type="spellStart"/>
            <w:r>
              <w:rPr>
                <w:rFonts w:ascii="Calibri" w:hAnsi="Calibri" w:hint="eastAsia"/>
                <w:b/>
                <w:color w:val="FFFFFF"/>
                <w:sz w:val="20"/>
              </w:rPr>
              <w:t>重点工作</w:t>
            </w:r>
            <w:proofErr w:type="spellEnd"/>
            <w:r>
              <w:rPr>
                <w:rFonts w:ascii="Calibri" w:hAnsi="Calibri" w:hint="eastAsia"/>
                <w:b/>
                <w:color w:val="FFFFFF"/>
                <w:sz w:val="20"/>
              </w:rPr>
              <w:t>/</w:t>
            </w:r>
            <w:proofErr w:type="spellStart"/>
            <w:r>
              <w:rPr>
                <w:rFonts w:ascii="Calibri" w:hAnsi="Calibri" w:hint="eastAsia"/>
                <w:b/>
                <w:color w:val="FFFFFF"/>
                <w:sz w:val="20"/>
              </w:rPr>
              <w:t>主题</w:t>
            </w:r>
            <w:proofErr w:type="spellEnd"/>
          </w:p>
        </w:tc>
        <w:tc>
          <w:tcPr>
            <w:tcW w:w="3402" w:type="dxa"/>
            <w:tcBorders>
              <w:top w:val="single" w:sz="4" w:space="0" w:color="44B3E1"/>
              <w:left w:val="nil"/>
              <w:bottom w:val="single" w:sz="4" w:space="0" w:color="44B3E1"/>
              <w:right w:val="nil"/>
            </w:tcBorders>
            <w:shd w:val="clear" w:color="auto" w:fill="156082"/>
            <w:vAlign w:val="center"/>
          </w:tcPr>
          <w:p w14:paraId="4229037D" w14:textId="77777777" w:rsidR="00521A20" w:rsidRDefault="00BB475A">
            <w:pPr>
              <w:overflowPunct/>
              <w:autoSpaceDE/>
              <w:autoSpaceDN/>
              <w:adjustRightInd/>
              <w:spacing w:before="0"/>
              <w:jc w:val="center"/>
              <w:textAlignment w:val="auto"/>
              <w:rPr>
                <w:rFonts w:ascii="Calibri" w:hAnsi="Calibri" w:cs="Calibri"/>
                <w:b/>
                <w:bCs/>
                <w:color w:val="FFFFFF"/>
                <w:sz w:val="20"/>
              </w:rPr>
            </w:pPr>
            <w:proofErr w:type="spellStart"/>
            <w:r>
              <w:rPr>
                <w:rFonts w:ascii="Calibri" w:hAnsi="Calibri" w:hint="eastAsia"/>
                <w:b/>
                <w:color w:val="FFFFFF"/>
                <w:sz w:val="20"/>
              </w:rPr>
              <w:t>成果</w:t>
            </w:r>
            <w:proofErr w:type="spellEnd"/>
          </w:p>
        </w:tc>
        <w:tc>
          <w:tcPr>
            <w:tcW w:w="3119" w:type="dxa"/>
            <w:tcBorders>
              <w:top w:val="single" w:sz="4" w:space="0" w:color="44B3E1"/>
              <w:left w:val="nil"/>
              <w:bottom w:val="single" w:sz="4" w:space="0" w:color="44B3E1"/>
              <w:right w:val="nil"/>
            </w:tcBorders>
            <w:shd w:val="clear" w:color="auto" w:fill="156082"/>
            <w:vAlign w:val="center"/>
          </w:tcPr>
          <w:p w14:paraId="3A77A0F0" w14:textId="77777777" w:rsidR="00521A20" w:rsidRDefault="00BB475A">
            <w:pPr>
              <w:overflowPunct/>
              <w:autoSpaceDE/>
              <w:autoSpaceDN/>
              <w:adjustRightInd/>
              <w:spacing w:before="0"/>
              <w:jc w:val="center"/>
              <w:textAlignment w:val="auto"/>
              <w:rPr>
                <w:rFonts w:ascii="Calibri" w:hAnsi="Calibri" w:cs="Calibri"/>
                <w:b/>
                <w:bCs/>
                <w:color w:val="FFFFFF"/>
                <w:sz w:val="20"/>
              </w:rPr>
            </w:pPr>
            <w:proofErr w:type="spellStart"/>
            <w:r>
              <w:rPr>
                <w:rFonts w:ascii="Calibri" w:hAnsi="Calibri" w:hint="eastAsia"/>
                <w:b/>
                <w:color w:val="FFFFFF"/>
                <w:sz w:val="20"/>
              </w:rPr>
              <w:t>成果指标</w:t>
            </w:r>
            <w:proofErr w:type="spellEnd"/>
          </w:p>
        </w:tc>
        <w:tc>
          <w:tcPr>
            <w:tcW w:w="2268" w:type="dxa"/>
            <w:tcBorders>
              <w:top w:val="single" w:sz="4" w:space="0" w:color="44B3E1"/>
              <w:left w:val="nil"/>
              <w:bottom w:val="single" w:sz="4" w:space="0" w:color="44B3E1"/>
              <w:right w:val="nil"/>
            </w:tcBorders>
            <w:shd w:val="clear" w:color="auto" w:fill="156082"/>
            <w:vAlign w:val="center"/>
          </w:tcPr>
          <w:p w14:paraId="1A65D874" w14:textId="77777777" w:rsidR="00521A20" w:rsidRDefault="00BB475A">
            <w:pPr>
              <w:overflowPunct/>
              <w:autoSpaceDE/>
              <w:autoSpaceDN/>
              <w:adjustRightInd/>
              <w:spacing w:before="0"/>
              <w:jc w:val="center"/>
              <w:textAlignment w:val="auto"/>
              <w:rPr>
                <w:rFonts w:ascii="Calibri" w:hAnsi="Calibri" w:cs="Calibri"/>
                <w:b/>
                <w:bCs/>
                <w:color w:val="FFFFFF"/>
                <w:sz w:val="20"/>
                <w:lang w:eastAsia="zh-CN"/>
              </w:rPr>
            </w:pPr>
            <w:r>
              <w:rPr>
                <w:rFonts w:ascii="Calibri" w:hAnsi="Calibri" w:hint="eastAsia"/>
                <w:b/>
                <w:color w:val="FFFFFF"/>
                <w:sz w:val="20"/>
                <w:lang w:eastAsia="zh-CN"/>
              </w:rPr>
              <w:t>输出成果</w:t>
            </w:r>
            <w:r>
              <w:rPr>
                <w:rStyle w:val="FootnoteReference"/>
                <w:rFonts w:cs="Calibri"/>
                <w:b/>
                <w:bCs/>
                <w:color w:val="FFFFFF"/>
                <w:lang w:eastAsia="en-GB"/>
              </w:rPr>
              <w:footnoteReference w:id="1"/>
            </w:r>
            <w:r>
              <w:rPr>
                <w:rFonts w:ascii="Calibri" w:hAnsi="Calibri" w:hint="eastAsia"/>
                <w:b/>
                <w:color w:val="FFFFFF"/>
                <w:sz w:val="20"/>
                <w:lang w:eastAsia="zh-CN"/>
              </w:rPr>
              <w:br/>
            </w:r>
            <w:r>
              <w:rPr>
                <w:rFonts w:ascii="Calibri" w:hAnsi="Calibri" w:hint="eastAsia"/>
                <w:b/>
                <w:color w:val="FFFFFF"/>
                <w:sz w:val="20"/>
                <w:lang w:eastAsia="zh-CN"/>
              </w:rPr>
              <w:t>（</w:t>
            </w:r>
            <w:r>
              <w:rPr>
                <w:rFonts w:ascii="Calibri" w:hAnsi="Calibri" w:hint="eastAsia"/>
                <w:b/>
                <w:color w:val="FFFFFF"/>
                <w:sz w:val="20"/>
                <w:lang w:eastAsia="zh-CN"/>
              </w:rPr>
              <w:t xml:space="preserve">ITU-D </w:t>
            </w:r>
            <w:r>
              <w:rPr>
                <w:rFonts w:ascii="Calibri" w:hAnsi="Calibri" w:hint="eastAsia"/>
                <w:b/>
                <w:color w:val="FFFFFF"/>
                <w:sz w:val="20"/>
                <w:lang w:eastAsia="zh-CN"/>
              </w:rPr>
              <w:t>产品和服务）</w:t>
            </w:r>
          </w:p>
        </w:tc>
        <w:tc>
          <w:tcPr>
            <w:tcW w:w="1559" w:type="dxa"/>
            <w:tcBorders>
              <w:top w:val="single" w:sz="4" w:space="0" w:color="44B3E1"/>
              <w:left w:val="nil"/>
              <w:bottom w:val="single" w:sz="4" w:space="0" w:color="44B3E1"/>
              <w:right w:val="nil"/>
            </w:tcBorders>
            <w:shd w:val="clear" w:color="auto" w:fill="156082"/>
            <w:vAlign w:val="center"/>
          </w:tcPr>
          <w:p w14:paraId="502D95A2" w14:textId="77777777" w:rsidR="00521A20" w:rsidRDefault="00BB475A">
            <w:pPr>
              <w:overflowPunct/>
              <w:autoSpaceDE/>
              <w:autoSpaceDN/>
              <w:adjustRightInd/>
              <w:spacing w:before="0"/>
              <w:jc w:val="center"/>
              <w:textAlignment w:val="auto"/>
              <w:rPr>
                <w:rFonts w:ascii="Calibri" w:hAnsi="Calibri" w:cs="Calibri"/>
                <w:b/>
                <w:bCs/>
                <w:color w:val="FFFFFF"/>
                <w:sz w:val="20"/>
              </w:rPr>
            </w:pPr>
            <w:r>
              <w:rPr>
                <w:rFonts w:ascii="Calibri" w:hAnsi="Calibri" w:hint="eastAsia"/>
                <w:b/>
                <w:color w:val="FFFFFF"/>
                <w:sz w:val="20"/>
              </w:rPr>
              <w:t>2026</w:t>
            </w:r>
            <w:proofErr w:type="spellStart"/>
            <w:r>
              <w:rPr>
                <w:rFonts w:ascii="Calibri" w:hAnsi="Calibri" w:hint="eastAsia"/>
                <w:b/>
                <w:color w:val="FFFFFF"/>
                <w:sz w:val="20"/>
              </w:rPr>
              <w:t>年预算（瑞郎</w:t>
            </w:r>
            <w:proofErr w:type="spellEnd"/>
            <w:r>
              <w:rPr>
                <w:rFonts w:ascii="Calibri" w:hAnsi="Calibri" w:hint="eastAsia"/>
                <w:b/>
                <w:color w:val="FFFFFF"/>
                <w:sz w:val="20"/>
              </w:rPr>
              <w:t>）</w:t>
            </w:r>
          </w:p>
        </w:tc>
        <w:tc>
          <w:tcPr>
            <w:tcW w:w="1559" w:type="dxa"/>
            <w:tcBorders>
              <w:top w:val="single" w:sz="4" w:space="0" w:color="44B3E1"/>
              <w:left w:val="nil"/>
              <w:bottom w:val="single" w:sz="4" w:space="0" w:color="44B3E1"/>
              <w:right w:val="nil"/>
            </w:tcBorders>
            <w:shd w:val="clear" w:color="auto" w:fill="156082"/>
            <w:vAlign w:val="center"/>
          </w:tcPr>
          <w:p w14:paraId="7FD24A3B" w14:textId="77777777" w:rsidR="00521A20" w:rsidRDefault="00BB475A">
            <w:pPr>
              <w:overflowPunct/>
              <w:autoSpaceDE/>
              <w:autoSpaceDN/>
              <w:adjustRightInd/>
              <w:spacing w:before="0"/>
              <w:jc w:val="center"/>
              <w:textAlignment w:val="auto"/>
              <w:rPr>
                <w:rFonts w:ascii="Calibri" w:hAnsi="Calibri" w:cs="Calibri"/>
                <w:b/>
                <w:bCs/>
                <w:color w:val="FFFFFF"/>
                <w:sz w:val="20"/>
                <w:lang w:eastAsia="zh-CN"/>
              </w:rPr>
            </w:pPr>
            <w:r>
              <w:rPr>
                <w:rFonts w:ascii="Calibri" w:hAnsi="Calibri" w:hint="eastAsia"/>
                <w:b/>
                <w:color w:val="FFFFFF"/>
                <w:sz w:val="20"/>
                <w:lang w:eastAsia="zh-CN"/>
              </w:rPr>
              <w:t>占重点工作</w:t>
            </w:r>
            <w:r>
              <w:rPr>
                <w:rFonts w:ascii="Calibri" w:hAnsi="Calibri" w:hint="eastAsia"/>
                <w:b/>
                <w:color w:val="FFFFFF"/>
                <w:sz w:val="20"/>
                <w:lang w:eastAsia="zh-CN"/>
              </w:rPr>
              <w:t>/</w:t>
            </w:r>
            <w:r>
              <w:rPr>
                <w:rFonts w:ascii="Calibri" w:hAnsi="Calibri" w:hint="eastAsia"/>
                <w:b/>
                <w:color w:val="FFFFFF"/>
                <w:sz w:val="20"/>
                <w:lang w:eastAsia="zh-CN"/>
              </w:rPr>
              <w:t>推动因素总数的百分比</w:t>
            </w:r>
          </w:p>
        </w:tc>
        <w:tc>
          <w:tcPr>
            <w:tcW w:w="1559" w:type="dxa"/>
            <w:tcBorders>
              <w:top w:val="single" w:sz="4" w:space="0" w:color="44B3E1"/>
              <w:left w:val="nil"/>
              <w:bottom w:val="single" w:sz="4" w:space="0" w:color="44B3E1"/>
              <w:right w:val="single" w:sz="4" w:space="0" w:color="44B3E1"/>
            </w:tcBorders>
            <w:shd w:val="clear" w:color="auto" w:fill="156082"/>
            <w:vAlign w:val="center"/>
          </w:tcPr>
          <w:p w14:paraId="4176A63B" w14:textId="77777777" w:rsidR="00521A20" w:rsidRDefault="00BB475A">
            <w:pPr>
              <w:overflowPunct/>
              <w:autoSpaceDE/>
              <w:autoSpaceDN/>
              <w:adjustRightInd/>
              <w:spacing w:before="0"/>
              <w:jc w:val="center"/>
              <w:textAlignment w:val="auto"/>
              <w:rPr>
                <w:rFonts w:ascii="Calibri" w:hAnsi="Calibri" w:cs="Calibri"/>
                <w:b/>
                <w:bCs/>
                <w:color w:val="FFFFFF"/>
                <w:sz w:val="20"/>
              </w:rPr>
            </w:pPr>
            <w:proofErr w:type="spellStart"/>
            <w:r>
              <w:rPr>
                <w:rFonts w:ascii="Calibri" w:hAnsi="Calibri" w:hint="eastAsia"/>
                <w:b/>
                <w:color w:val="FFFFFF"/>
                <w:sz w:val="20"/>
              </w:rPr>
              <w:t>占总预算的百分比</w:t>
            </w:r>
            <w:proofErr w:type="spellEnd"/>
          </w:p>
        </w:tc>
      </w:tr>
      <w:tr w:rsidR="00521A20" w14:paraId="577DCA12" w14:textId="77777777">
        <w:trPr>
          <w:trHeight w:val="300"/>
        </w:trPr>
        <w:tc>
          <w:tcPr>
            <w:tcW w:w="5245" w:type="dxa"/>
            <w:gridSpan w:val="2"/>
            <w:tcBorders>
              <w:top w:val="single" w:sz="4" w:space="0" w:color="44B3E1"/>
              <w:left w:val="single" w:sz="4" w:space="0" w:color="44B3E1"/>
              <w:bottom w:val="single" w:sz="4" w:space="0" w:color="44B3E1"/>
              <w:right w:val="nil"/>
            </w:tcBorders>
            <w:shd w:val="clear" w:color="auto" w:fill="C0E6F5"/>
            <w:noWrap/>
          </w:tcPr>
          <w:p w14:paraId="0179832D" w14:textId="77777777" w:rsidR="00521A20" w:rsidRDefault="00BB475A">
            <w:pPr>
              <w:overflowPunct/>
              <w:autoSpaceDE/>
              <w:autoSpaceDN/>
              <w:adjustRightInd/>
              <w:spacing w:before="0"/>
              <w:textAlignment w:val="auto"/>
              <w:rPr>
                <w:rFonts w:ascii="Calibri" w:hAnsi="Calibri" w:cs="Calibri"/>
                <w:b/>
                <w:bCs/>
                <w:color w:val="000000"/>
                <w:sz w:val="20"/>
                <w:lang w:eastAsia="zh-CN"/>
              </w:rPr>
            </w:pPr>
            <w:r>
              <w:rPr>
                <w:rFonts w:ascii="Calibri" w:hAnsi="Calibri" w:hint="eastAsia"/>
                <w:b/>
                <w:color w:val="000000"/>
                <w:sz w:val="20"/>
                <w:lang w:eastAsia="zh-CN"/>
              </w:rPr>
              <w:t>所有价格可承受的连接</w:t>
            </w:r>
          </w:p>
        </w:tc>
        <w:tc>
          <w:tcPr>
            <w:tcW w:w="3119" w:type="dxa"/>
            <w:tcBorders>
              <w:top w:val="single" w:sz="4" w:space="0" w:color="44B3E1"/>
              <w:left w:val="nil"/>
              <w:bottom w:val="single" w:sz="4" w:space="0" w:color="44B3E1"/>
              <w:right w:val="nil"/>
            </w:tcBorders>
            <w:shd w:val="clear" w:color="auto" w:fill="C0E6F5"/>
            <w:noWrap/>
          </w:tcPr>
          <w:p w14:paraId="2DAA0F6B" w14:textId="77777777" w:rsidR="00521A20" w:rsidRDefault="00521A20">
            <w:pPr>
              <w:overflowPunct/>
              <w:autoSpaceDE/>
              <w:autoSpaceDN/>
              <w:adjustRightInd/>
              <w:spacing w:before="0"/>
              <w:textAlignment w:val="auto"/>
              <w:rPr>
                <w:rFonts w:ascii="Calibri" w:hAnsi="Calibri" w:cs="Calibri"/>
                <w:b/>
                <w:bCs/>
                <w:color w:val="000000"/>
                <w:sz w:val="20"/>
                <w:lang w:eastAsia="zh-CN"/>
              </w:rPr>
            </w:pPr>
          </w:p>
        </w:tc>
        <w:tc>
          <w:tcPr>
            <w:tcW w:w="2268" w:type="dxa"/>
            <w:tcBorders>
              <w:top w:val="single" w:sz="4" w:space="0" w:color="44B3E1"/>
              <w:left w:val="nil"/>
              <w:bottom w:val="single" w:sz="4" w:space="0" w:color="44B3E1"/>
              <w:right w:val="nil"/>
            </w:tcBorders>
            <w:shd w:val="clear" w:color="auto" w:fill="C0E6F5"/>
            <w:noWrap/>
          </w:tcPr>
          <w:p w14:paraId="701E4CF1" w14:textId="77777777" w:rsidR="00521A20" w:rsidRDefault="00521A20">
            <w:pPr>
              <w:overflowPunct/>
              <w:autoSpaceDE/>
              <w:autoSpaceDN/>
              <w:adjustRightInd/>
              <w:spacing w:before="0"/>
              <w:textAlignment w:val="auto"/>
              <w:rPr>
                <w:rFonts w:ascii="Times New Roman" w:hAnsi="Times New Roman"/>
                <w:sz w:val="20"/>
                <w:lang w:eastAsia="zh-CN"/>
              </w:rPr>
            </w:pPr>
          </w:p>
        </w:tc>
        <w:tc>
          <w:tcPr>
            <w:tcW w:w="1559" w:type="dxa"/>
            <w:tcBorders>
              <w:top w:val="single" w:sz="4" w:space="0" w:color="44B3E1"/>
              <w:left w:val="nil"/>
              <w:bottom w:val="single" w:sz="4" w:space="0" w:color="44B3E1"/>
              <w:right w:val="nil"/>
            </w:tcBorders>
            <w:shd w:val="clear" w:color="auto" w:fill="C0E6F5"/>
            <w:noWrap/>
          </w:tcPr>
          <w:p w14:paraId="557AB36C" w14:textId="3D035320" w:rsidR="00521A20" w:rsidRDefault="00BB475A">
            <w:pPr>
              <w:overflowPunct/>
              <w:autoSpaceDE/>
              <w:autoSpaceDN/>
              <w:adjustRightInd/>
              <w:spacing w:before="0"/>
              <w:jc w:val="center"/>
              <w:textAlignment w:val="auto"/>
              <w:rPr>
                <w:rFonts w:ascii="Calibri" w:hAnsi="Calibri" w:cs="Calibri"/>
                <w:b/>
                <w:bCs/>
                <w:color w:val="000000"/>
                <w:sz w:val="20"/>
              </w:rPr>
            </w:pPr>
            <w:r>
              <w:rPr>
                <w:rFonts w:ascii="Calibri" w:hAnsi="Calibri" w:hint="eastAsia"/>
                <w:b/>
                <w:color w:val="000000"/>
                <w:sz w:val="20"/>
              </w:rPr>
              <w:t>5</w:t>
            </w:r>
            <w:r>
              <w:rPr>
                <w:rFonts w:ascii="Calibri" w:hAnsi="Calibri" w:hint="eastAsia"/>
                <w:b/>
                <w:color w:val="000000"/>
                <w:sz w:val="20"/>
                <w:lang w:val="en-US" w:eastAsia="zh-CN"/>
              </w:rPr>
              <w:t>52</w:t>
            </w:r>
            <w:r>
              <w:rPr>
                <w:rFonts w:ascii="Calibri" w:hAnsi="Calibri" w:hint="eastAsia"/>
                <w:b/>
                <w:color w:val="000000"/>
                <w:sz w:val="20"/>
              </w:rPr>
              <w:t>,000</w:t>
            </w:r>
          </w:p>
        </w:tc>
        <w:tc>
          <w:tcPr>
            <w:tcW w:w="1559" w:type="dxa"/>
            <w:tcBorders>
              <w:top w:val="single" w:sz="4" w:space="0" w:color="44B3E1"/>
              <w:left w:val="nil"/>
              <w:bottom w:val="single" w:sz="4" w:space="0" w:color="44B3E1"/>
              <w:right w:val="nil"/>
            </w:tcBorders>
            <w:shd w:val="clear" w:color="auto" w:fill="C0E6F5"/>
            <w:noWrap/>
          </w:tcPr>
          <w:p w14:paraId="5F420DD3" w14:textId="77777777" w:rsidR="00521A20" w:rsidRDefault="00521A20">
            <w:pPr>
              <w:overflowPunct/>
              <w:autoSpaceDE/>
              <w:autoSpaceDN/>
              <w:adjustRightInd/>
              <w:spacing w:before="0"/>
              <w:jc w:val="center"/>
              <w:textAlignment w:val="auto"/>
              <w:rPr>
                <w:rFonts w:ascii="Calibri" w:hAnsi="Calibri" w:cs="Calibri"/>
                <w:b/>
                <w:bCs/>
                <w:color w:val="000000"/>
                <w:sz w:val="20"/>
                <w:lang w:eastAsia="en-GB"/>
              </w:rPr>
            </w:pPr>
          </w:p>
        </w:tc>
        <w:tc>
          <w:tcPr>
            <w:tcW w:w="1559" w:type="dxa"/>
            <w:tcBorders>
              <w:top w:val="single" w:sz="4" w:space="0" w:color="44B3E1"/>
              <w:left w:val="nil"/>
              <w:bottom w:val="single" w:sz="4" w:space="0" w:color="44B3E1"/>
              <w:right w:val="single" w:sz="4" w:space="0" w:color="44B3E1"/>
            </w:tcBorders>
            <w:shd w:val="clear" w:color="auto" w:fill="C0E6F5"/>
            <w:noWrap/>
          </w:tcPr>
          <w:p w14:paraId="04193E75" w14:textId="4398D7EE" w:rsidR="00521A20" w:rsidRDefault="00BB475A">
            <w:pPr>
              <w:overflowPunct/>
              <w:autoSpaceDE/>
              <w:autoSpaceDN/>
              <w:adjustRightInd/>
              <w:spacing w:before="0"/>
              <w:jc w:val="center"/>
              <w:textAlignment w:val="auto"/>
              <w:rPr>
                <w:rFonts w:ascii="Calibri" w:hAnsi="Calibri" w:cs="Calibri"/>
                <w:b/>
                <w:bCs/>
                <w:color w:val="000000"/>
                <w:sz w:val="20"/>
              </w:rPr>
            </w:pPr>
            <w:r>
              <w:rPr>
                <w:rFonts w:ascii="Calibri" w:hAnsi="Calibri" w:hint="eastAsia"/>
                <w:b/>
                <w:color w:val="000000"/>
                <w:sz w:val="20"/>
                <w:lang w:val="en-US" w:eastAsia="zh-CN"/>
              </w:rPr>
              <w:t>14.48</w:t>
            </w:r>
            <w:r>
              <w:rPr>
                <w:rFonts w:ascii="Calibri" w:hAnsi="Calibri" w:hint="eastAsia"/>
                <w:b/>
                <w:color w:val="000000"/>
                <w:sz w:val="20"/>
              </w:rPr>
              <w:t>%</w:t>
            </w:r>
          </w:p>
        </w:tc>
      </w:tr>
      <w:tr w:rsidR="00521A20" w14:paraId="2C417D72" w14:textId="77777777">
        <w:trPr>
          <w:trHeight w:val="1048"/>
        </w:trPr>
        <w:tc>
          <w:tcPr>
            <w:tcW w:w="1843" w:type="dxa"/>
            <w:tcBorders>
              <w:top w:val="single" w:sz="4" w:space="0" w:color="44B3E1"/>
              <w:left w:val="single" w:sz="4" w:space="0" w:color="44B3E1"/>
              <w:bottom w:val="single" w:sz="4" w:space="0" w:color="44B3E1"/>
              <w:right w:val="nil"/>
            </w:tcBorders>
          </w:tcPr>
          <w:p w14:paraId="0FBDFDE4" w14:textId="77777777" w:rsidR="00521A20" w:rsidRDefault="00BB475A">
            <w:pPr>
              <w:overflowPunct/>
              <w:autoSpaceDE/>
              <w:autoSpaceDN/>
              <w:adjustRightInd/>
              <w:spacing w:before="0"/>
              <w:textAlignment w:val="auto"/>
              <w:rPr>
                <w:rFonts w:ascii="Calibri" w:hAnsi="Calibri" w:cs="Calibri"/>
                <w:b/>
                <w:bCs/>
                <w:color w:val="000000"/>
                <w:sz w:val="20"/>
              </w:rPr>
            </w:pPr>
            <w:proofErr w:type="spellStart"/>
            <w:r>
              <w:rPr>
                <w:rFonts w:ascii="Calibri" w:hAnsi="Calibri" w:hint="eastAsia"/>
                <w:b/>
                <w:color w:val="000000"/>
                <w:sz w:val="20"/>
              </w:rPr>
              <w:t>应急通信</w:t>
            </w:r>
            <w:proofErr w:type="spellEnd"/>
          </w:p>
        </w:tc>
        <w:tc>
          <w:tcPr>
            <w:tcW w:w="3402" w:type="dxa"/>
            <w:tcBorders>
              <w:top w:val="single" w:sz="4" w:space="0" w:color="44B3E1"/>
              <w:left w:val="nil"/>
              <w:bottom w:val="single" w:sz="4" w:space="0" w:color="44B3E1"/>
              <w:right w:val="nil"/>
            </w:tcBorders>
          </w:tcPr>
          <w:p w14:paraId="06C1D625"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themeColor="text1"/>
                <w:sz w:val="20"/>
                <w:lang w:eastAsia="zh-CN"/>
              </w:rPr>
              <w:t>•成员国利用电信</w:t>
            </w:r>
            <w:r>
              <w:rPr>
                <w:rFonts w:ascii="Calibri" w:hAnsi="Calibri" w:hint="eastAsia"/>
                <w:color w:val="000000" w:themeColor="text1"/>
                <w:sz w:val="20"/>
                <w:lang w:eastAsia="zh-CN"/>
              </w:rPr>
              <w:t>/ICT</w:t>
            </w:r>
            <w:r>
              <w:rPr>
                <w:rFonts w:ascii="Calibri" w:hAnsi="Calibri" w:hint="eastAsia"/>
                <w:color w:val="000000" w:themeColor="text1"/>
                <w:sz w:val="20"/>
                <w:lang w:eastAsia="zh-CN"/>
              </w:rPr>
              <w:t>减少和管理灾害风险的能力得到加强，以确保应急通信的可用性。</w:t>
            </w:r>
          </w:p>
        </w:tc>
        <w:tc>
          <w:tcPr>
            <w:tcW w:w="3119" w:type="dxa"/>
            <w:tcBorders>
              <w:top w:val="single" w:sz="4" w:space="0" w:color="44B3E1"/>
              <w:left w:val="nil"/>
              <w:bottom w:val="single" w:sz="4" w:space="0" w:color="44B3E1"/>
              <w:right w:val="nil"/>
            </w:tcBorders>
          </w:tcPr>
          <w:p w14:paraId="5540F366" w14:textId="77777777" w:rsidR="00521A20" w:rsidRDefault="00BB475A">
            <w:pPr>
              <w:overflowPunct/>
              <w:autoSpaceDE/>
              <w:autoSpaceDN/>
              <w:adjustRightInd/>
              <w:spacing w:before="0"/>
              <w:textAlignment w:val="auto"/>
              <w:rPr>
                <w:rFonts w:ascii="Calibri" w:hAnsi="Calibri" w:cs="Calibri"/>
                <w:color w:val="000000" w:themeColor="text1"/>
                <w:sz w:val="20"/>
                <w:lang w:eastAsia="zh-CN"/>
              </w:rPr>
            </w:pPr>
            <w:r>
              <w:rPr>
                <w:rFonts w:ascii="Calibri" w:hAnsi="Calibri" w:hint="eastAsia"/>
                <w:color w:val="000000" w:themeColor="text1"/>
                <w:sz w:val="20"/>
                <w:lang w:eastAsia="zh-CN"/>
              </w:rPr>
              <w:t>•将《国家应急通信计划》作为国家降低灾害风险战略组成部分的成员国数量</w:t>
            </w:r>
          </w:p>
        </w:tc>
        <w:tc>
          <w:tcPr>
            <w:tcW w:w="2268" w:type="dxa"/>
            <w:tcBorders>
              <w:top w:val="single" w:sz="4" w:space="0" w:color="44B3E1"/>
              <w:left w:val="nil"/>
              <w:bottom w:val="single" w:sz="4" w:space="0" w:color="44B3E1"/>
              <w:right w:val="nil"/>
            </w:tcBorders>
          </w:tcPr>
          <w:p w14:paraId="37C68578" w14:textId="77777777" w:rsidR="00521A20" w:rsidRDefault="00BB475A">
            <w:pPr>
              <w:overflowPunct/>
              <w:autoSpaceDE/>
              <w:autoSpaceDN/>
              <w:adjustRightInd/>
              <w:spacing w:before="0" w:after="240"/>
              <w:textAlignment w:val="auto"/>
              <w:rPr>
                <w:rFonts w:ascii="Calibri" w:hAnsi="Calibri" w:cs="Calibri"/>
                <w:color w:val="000000"/>
                <w:sz w:val="20"/>
                <w:lang w:eastAsia="zh-CN"/>
              </w:rPr>
            </w:pPr>
            <w:r>
              <w:rPr>
                <w:rFonts w:ascii="Calibri" w:hAnsi="Calibri" w:hint="eastAsia"/>
                <w:color w:val="000000"/>
                <w:sz w:val="20"/>
                <w:lang w:eastAsia="zh-CN"/>
              </w:rPr>
              <w:t>•示范政策和战略、工具包</w:t>
            </w:r>
            <w:r>
              <w:rPr>
                <w:rFonts w:ascii="Calibri" w:hAnsi="Calibri" w:hint="eastAsia"/>
                <w:color w:val="000000"/>
                <w:sz w:val="20"/>
                <w:lang w:eastAsia="zh-CN"/>
              </w:rPr>
              <w:br/>
            </w:r>
            <w:r>
              <w:rPr>
                <w:rFonts w:ascii="Calibri" w:hAnsi="Calibri" w:hint="eastAsia"/>
                <w:color w:val="000000"/>
                <w:sz w:val="20"/>
                <w:lang w:eastAsia="zh-CN"/>
              </w:rPr>
              <w:t>•技术干预</w:t>
            </w:r>
            <w:r>
              <w:rPr>
                <w:rFonts w:ascii="Calibri" w:hAnsi="Calibri" w:hint="eastAsia"/>
                <w:color w:val="000000"/>
                <w:sz w:val="20"/>
                <w:lang w:eastAsia="zh-CN"/>
              </w:rPr>
              <w:br/>
            </w:r>
            <w:r>
              <w:rPr>
                <w:rFonts w:ascii="Calibri" w:hAnsi="Calibri" w:hint="eastAsia"/>
                <w:color w:val="000000"/>
                <w:sz w:val="20"/>
                <w:lang w:eastAsia="zh-CN"/>
              </w:rPr>
              <w:t>•召集平台</w:t>
            </w:r>
            <w:r>
              <w:rPr>
                <w:rFonts w:ascii="Calibri" w:hAnsi="Calibri" w:hint="eastAsia"/>
                <w:color w:val="000000"/>
                <w:sz w:val="20"/>
                <w:lang w:eastAsia="zh-CN"/>
              </w:rPr>
              <w:br/>
            </w:r>
            <w:r>
              <w:rPr>
                <w:rFonts w:ascii="Calibri" w:hAnsi="Calibri" w:hint="eastAsia"/>
                <w:color w:val="000000"/>
                <w:sz w:val="20"/>
                <w:lang w:eastAsia="zh-CN"/>
              </w:rPr>
              <w:t>•学习框架</w:t>
            </w:r>
            <w:r>
              <w:rPr>
                <w:rFonts w:ascii="Calibri" w:hAnsi="Calibri" w:hint="eastAsia"/>
                <w:color w:val="000000"/>
                <w:sz w:val="20"/>
                <w:lang w:eastAsia="zh-CN"/>
              </w:rPr>
              <w:t xml:space="preserve"> </w:t>
            </w:r>
          </w:p>
        </w:tc>
        <w:tc>
          <w:tcPr>
            <w:tcW w:w="1559" w:type="dxa"/>
            <w:tcBorders>
              <w:top w:val="single" w:sz="4" w:space="0" w:color="44B3E1"/>
              <w:left w:val="nil"/>
              <w:bottom w:val="single" w:sz="4" w:space="0" w:color="44B3E1"/>
              <w:right w:val="nil"/>
            </w:tcBorders>
            <w:noWrap/>
          </w:tcPr>
          <w:p w14:paraId="55FB1845" w14:textId="77777777"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rPr>
              <w:t>205,000</w:t>
            </w:r>
          </w:p>
        </w:tc>
        <w:tc>
          <w:tcPr>
            <w:tcW w:w="1559" w:type="dxa"/>
            <w:tcBorders>
              <w:top w:val="single" w:sz="4" w:space="0" w:color="44B3E1"/>
              <w:left w:val="nil"/>
              <w:bottom w:val="single" w:sz="4" w:space="0" w:color="44B3E1"/>
              <w:right w:val="nil"/>
            </w:tcBorders>
            <w:noWrap/>
          </w:tcPr>
          <w:p w14:paraId="1CDEFA71" w14:textId="59A08F1D"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37.1</w:t>
            </w:r>
            <w:r>
              <w:rPr>
                <w:rFonts w:ascii="Calibri" w:hAnsi="Calibri" w:hint="eastAsia"/>
                <w:color w:val="000000"/>
                <w:sz w:val="20"/>
              </w:rPr>
              <w:t>%</w:t>
            </w:r>
          </w:p>
        </w:tc>
        <w:tc>
          <w:tcPr>
            <w:tcW w:w="1559" w:type="dxa"/>
            <w:tcBorders>
              <w:top w:val="single" w:sz="4" w:space="0" w:color="44B3E1"/>
              <w:left w:val="nil"/>
              <w:bottom w:val="single" w:sz="4" w:space="0" w:color="44B3E1"/>
              <w:right w:val="single" w:sz="4" w:space="0" w:color="44B3E1"/>
            </w:tcBorders>
            <w:noWrap/>
          </w:tcPr>
          <w:p w14:paraId="313A7FB1" w14:textId="7F9F3A93"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rPr>
              <w:t>5.</w:t>
            </w:r>
            <w:r>
              <w:rPr>
                <w:rFonts w:ascii="Calibri" w:hAnsi="Calibri" w:hint="eastAsia"/>
                <w:color w:val="000000"/>
                <w:sz w:val="20"/>
                <w:lang w:val="en-US" w:eastAsia="zh-CN"/>
              </w:rPr>
              <w:t>4</w:t>
            </w:r>
            <w:r>
              <w:rPr>
                <w:rFonts w:ascii="Calibri" w:hAnsi="Calibri" w:hint="eastAsia"/>
                <w:color w:val="000000"/>
                <w:sz w:val="20"/>
              </w:rPr>
              <w:t>%</w:t>
            </w:r>
          </w:p>
        </w:tc>
      </w:tr>
      <w:tr w:rsidR="00521A20" w14:paraId="12DCB7EB" w14:textId="77777777" w:rsidTr="005573EC">
        <w:trPr>
          <w:trHeight w:val="4752"/>
        </w:trPr>
        <w:tc>
          <w:tcPr>
            <w:tcW w:w="1843" w:type="dxa"/>
            <w:tcBorders>
              <w:top w:val="single" w:sz="4" w:space="0" w:color="44B3E1"/>
              <w:left w:val="single" w:sz="4" w:space="0" w:color="44B3E1"/>
              <w:bottom w:val="single" w:sz="4" w:space="0" w:color="44B3E1"/>
              <w:right w:val="nil"/>
            </w:tcBorders>
            <w:shd w:val="clear" w:color="auto" w:fill="C0E6F5"/>
          </w:tcPr>
          <w:p w14:paraId="67765794" w14:textId="77777777" w:rsidR="00521A20" w:rsidRDefault="00BB475A">
            <w:pPr>
              <w:overflowPunct/>
              <w:autoSpaceDE/>
              <w:autoSpaceDN/>
              <w:adjustRightInd/>
              <w:spacing w:before="0"/>
              <w:textAlignment w:val="auto"/>
              <w:rPr>
                <w:rFonts w:ascii="Calibri" w:hAnsi="Calibri" w:cs="Calibri"/>
                <w:b/>
                <w:bCs/>
                <w:color w:val="000000"/>
                <w:sz w:val="20"/>
              </w:rPr>
            </w:pPr>
            <w:proofErr w:type="spellStart"/>
            <w:r>
              <w:rPr>
                <w:rFonts w:ascii="Calibri" w:hAnsi="Calibri" w:hint="eastAsia"/>
                <w:b/>
                <w:color w:val="000000"/>
                <w:sz w:val="20"/>
              </w:rPr>
              <w:t>网络和数字基础设施</w:t>
            </w:r>
            <w:proofErr w:type="spellEnd"/>
          </w:p>
        </w:tc>
        <w:tc>
          <w:tcPr>
            <w:tcW w:w="3402" w:type="dxa"/>
            <w:tcBorders>
              <w:top w:val="single" w:sz="4" w:space="0" w:color="44B3E1"/>
              <w:left w:val="nil"/>
              <w:bottom w:val="single" w:sz="4" w:space="0" w:color="44B3E1"/>
              <w:right w:val="nil"/>
            </w:tcBorders>
            <w:shd w:val="clear" w:color="auto" w:fill="C0E6F5"/>
          </w:tcPr>
          <w:p w14:paraId="420AA873" w14:textId="77777777" w:rsidR="00521A20" w:rsidRDefault="00BB475A">
            <w:pPr>
              <w:overflowPunct/>
              <w:autoSpaceDE/>
              <w:autoSpaceDN/>
              <w:adjustRightInd/>
              <w:spacing w:before="0"/>
              <w:textAlignment w:val="auto"/>
              <w:rPr>
                <w:rFonts w:ascii="Calibri" w:hAnsi="Calibri"/>
                <w:color w:val="000000"/>
                <w:sz w:val="20"/>
                <w:lang w:eastAsia="zh-CN"/>
              </w:rPr>
            </w:pPr>
            <w:r>
              <w:rPr>
                <w:rFonts w:ascii="Calibri" w:hAnsi="Calibri" w:hint="eastAsia"/>
                <w:color w:val="000000"/>
                <w:sz w:val="20"/>
                <w:lang w:eastAsia="zh-CN"/>
              </w:rPr>
              <w:t>•发展中国家、最不发达国家（</w:t>
            </w:r>
            <w:r>
              <w:rPr>
                <w:rFonts w:ascii="Calibri" w:hAnsi="Calibri" w:hint="eastAsia"/>
                <w:color w:val="000000"/>
                <w:sz w:val="20"/>
                <w:lang w:eastAsia="zh-CN"/>
              </w:rPr>
              <w:t>LDC</w:t>
            </w:r>
            <w:r>
              <w:rPr>
                <w:rFonts w:ascii="Calibri" w:hAnsi="Calibri" w:hint="eastAsia"/>
                <w:color w:val="000000"/>
                <w:sz w:val="20"/>
                <w:lang w:eastAsia="zh-CN"/>
              </w:rPr>
              <w:t>）、小岛屿发展中国家（</w:t>
            </w:r>
            <w:r>
              <w:rPr>
                <w:rFonts w:ascii="Calibri" w:hAnsi="Calibri" w:hint="eastAsia"/>
                <w:color w:val="000000"/>
                <w:sz w:val="20"/>
                <w:lang w:eastAsia="zh-CN"/>
              </w:rPr>
              <w:t>SIDS</w:t>
            </w:r>
            <w:r>
              <w:rPr>
                <w:rFonts w:ascii="Calibri" w:hAnsi="Calibri" w:hint="eastAsia"/>
                <w:color w:val="000000"/>
                <w:sz w:val="20"/>
                <w:lang w:eastAsia="zh-CN"/>
              </w:rPr>
              <w:t>）和内陆发展中国家（</w:t>
            </w:r>
            <w:r>
              <w:rPr>
                <w:rFonts w:ascii="Calibri" w:hAnsi="Calibri" w:hint="eastAsia"/>
                <w:color w:val="000000"/>
                <w:sz w:val="20"/>
                <w:lang w:eastAsia="zh-CN"/>
              </w:rPr>
              <w:t>LLDC</w:t>
            </w:r>
            <w:r>
              <w:rPr>
                <w:rFonts w:ascii="Calibri" w:hAnsi="Calibri" w:hint="eastAsia"/>
                <w:color w:val="000000"/>
                <w:sz w:val="20"/>
                <w:lang w:eastAsia="zh-CN"/>
              </w:rPr>
              <w:t>）和有具体需求的国家的宽带连接得到改善</w:t>
            </w:r>
            <w:r>
              <w:rPr>
                <w:rFonts w:ascii="Calibri" w:hAnsi="Calibri" w:hint="eastAsia"/>
                <w:color w:val="000000"/>
                <w:sz w:val="20"/>
                <w:lang w:eastAsia="zh-CN"/>
              </w:rPr>
              <w:br/>
            </w:r>
            <w:r>
              <w:rPr>
                <w:rFonts w:ascii="Calibri" w:hAnsi="Calibri" w:hint="eastAsia"/>
                <w:color w:val="000000"/>
                <w:sz w:val="20"/>
                <w:lang w:eastAsia="zh-CN"/>
              </w:rPr>
              <w:t>•提高电信</w:t>
            </w:r>
            <w:r>
              <w:rPr>
                <w:rFonts w:ascii="Calibri" w:hAnsi="Calibri" w:hint="eastAsia"/>
                <w:color w:val="000000"/>
                <w:sz w:val="20"/>
                <w:lang w:eastAsia="zh-CN"/>
              </w:rPr>
              <w:t>/ICT</w:t>
            </w:r>
            <w:r>
              <w:rPr>
                <w:rFonts w:ascii="Calibri" w:hAnsi="Calibri" w:hint="eastAsia"/>
                <w:color w:val="000000"/>
                <w:sz w:val="20"/>
                <w:lang w:eastAsia="zh-CN"/>
              </w:rPr>
              <w:t>基础设施和服务，特别是农村和服务欠缺地区的宽带覆盖率，服务质量、服务与设备的价格可承受性</w:t>
            </w:r>
          </w:p>
        </w:tc>
        <w:tc>
          <w:tcPr>
            <w:tcW w:w="3119" w:type="dxa"/>
            <w:tcBorders>
              <w:top w:val="single" w:sz="4" w:space="0" w:color="44B3E1"/>
              <w:left w:val="nil"/>
              <w:bottom w:val="single" w:sz="4" w:space="0" w:color="44B3E1"/>
              <w:right w:val="nil"/>
            </w:tcBorders>
            <w:shd w:val="clear" w:color="auto" w:fill="C0E6F5"/>
          </w:tcPr>
          <w:p w14:paraId="2DED1BE5" w14:textId="722CF1D9"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sz w:val="20"/>
                <w:lang w:eastAsia="zh-CN"/>
              </w:rPr>
              <w:t>•拥有</w:t>
            </w:r>
            <w:r w:rsidRPr="00075488">
              <w:rPr>
                <w:rFonts w:ascii="Calibri" w:hAnsi="Calibri" w:hint="eastAsia"/>
                <w:sz w:val="20"/>
                <w:lang w:eastAsia="zh-CN"/>
              </w:rPr>
              <w:t>宽带规划的</w:t>
            </w:r>
            <w:r>
              <w:rPr>
                <w:rFonts w:ascii="Calibri" w:hAnsi="Calibri" w:hint="eastAsia"/>
                <w:sz w:val="20"/>
                <w:lang w:eastAsia="zh-CN"/>
              </w:rPr>
              <w:t>成员国数量</w:t>
            </w:r>
            <w:r>
              <w:rPr>
                <w:rFonts w:ascii="Calibri" w:hAnsi="Calibri" w:hint="eastAsia"/>
                <w:sz w:val="20"/>
                <w:lang w:eastAsia="zh-CN"/>
              </w:rPr>
              <w:br/>
            </w:r>
            <w:r>
              <w:rPr>
                <w:rFonts w:ascii="Calibri" w:hAnsi="Calibri" w:hint="eastAsia"/>
                <w:sz w:val="20"/>
                <w:lang w:eastAsia="zh-CN"/>
              </w:rPr>
              <w:t>•使用互联网的个人所占百分比</w:t>
            </w:r>
            <w:r>
              <w:rPr>
                <w:rFonts w:ascii="Calibri" w:hAnsi="Calibri" w:hint="eastAsia"/>
                <w:sz w:val="20"/>
                <w:lang w:eastAsia="zh-CN"/>
              </w:rPr>
              <w:br/>
            </w:r>
            <w:r>
              <w:rPr>
                <w:rFonts w:ascii="Calibri" w:hAnsi="Calibri" w:hint="eastAsia"/>
                <w:sz w:val="20"/>
                <w:lang w:eastAsia="zh-CN"/>
              </w:rPr>
              <w:t>•拥有移动电话的个人所占百分比</w:t>
            </w:r>
            <w:r>
              <w:rPr>
                <w:rFonts w:ascii="Calibri" w:hAnsi="Calibri" w:hint="eastAsia"/>
                <w:sz w:val="20"/>
                <w:lang w:eastAsia="zh-CN"/>
              </w:rPr>
              <w:br/>
            </w:r>
            <w:r>
              <w:rPr>
                <w:rFonts w:ascii="Calibri" w:hAnsi="Calibri" w:hint="eastAsia"/>
                <w:sz w:val="20"/>
                <w:lang w:eastAsia="zh-CN"/>
              </w:rPr>
              <w:t>•</w:t>
            </w:r>
            <w:r>
              <w:rPr>
                <w:rFonts w:ascii="Calibri" w:hAnsi="Calibri" w:hint="eastAsia"/>
                <w:sz w:val="20"/>
                <w:lang w:eastAsia="zh-CN"/>
              </w:rPr>
              <w:t>IMT-2000</w:t>
            </w:r>
            <w:r>
              <w:rPr>
                <w:rFonts w:ascii="Calibri" w:hAnsi="Calibri" w:hint="eastAsia"/>
                <w:sz w:val="20"/>
                <w:lang w:eastAsia="zh-CN"/>
              </w:rPr>
              <w:t>（“</w:t>
            </w:r>
            <w:r>
              <w:rPr>
                <w:rFonts w:ascii="Calibri" w:hAnsi="Calibri" w:hint="eastAsia"/>
                <w:sz w:val="20"/>
                <w:lang w:eastAsia="zh-CN"/>
              </w:rPr>
              <w:t>3G</w:t>
            </w:r>
            <w:r>
              <w:rPr>
                <w:rFonts w:ascii="Calibri" w:hAnsi="Calibri" w:hint="eastAsia"/>
                <w:sz w:val="20"/>
                <w:lang w:eastAsia="zh-CN"/>
              </w:rPr>
              <w:t>”）或更高速网络覆盖的最不发达国家、内陆发展中国家和小岛屿发展中国家的农村人口所占百分比</w:t>
            </w:r>
            <w:r>
              <w:rPr>
                <w:rFonts w:ascii="Calibri" w:hAnsi="Calibri" w:hint="eastAsia"/>
                <w:sz w:val="20"/>
                <w:lang w:eastAsia="zh-CN"/>
              </w:rPr>
              <w:br/>
            </w:r>
            <w:r>
              <w:rPr>
                <w:rFonts w:ascii="Calibri" w:hAnsi="Calibri" w:hint="eastAsia"/>
                <w:sz w:val="20"/>
                <w:lang w:eastAsia="zh-CN"/>
              </w:rPr>
              <w:t>•在可获取数据的成员国中，农村地区至少</w:t>
            </w:r>
            <w:r>
              <w:rPr>
                <w:rFonts w:ascii="Calibri" w:hAnsi="Calibri" w:hint="eastAsia"/>
                <w:sz w:val="20"/>
                <w:lang w:eastAsia="zh-CN"/>
              </w:rPr>
              <w:t>90%</w:t>
            </w:r>
            <w:r>
              <w:rPr>
                <w:rFonts w:ascii="Calibri" w:hAnsi="Calibri" w:hint="eastAsia"/>
                <w:sz w:val="20"/>
                <w:lang w:eastAsia="zh-CN"/>
              </w:rPr>
              <w:t>的人口可使用</w:t>
            </w:r>
            <w:r>
              <w:rPr>
                <w:rFonts w:ascii="Calibri" w:hAnsi="Calibri" w:hint="eastAsia"/>
                <w:sz w:val="20"/>
                <w:lang w:eastAsia="zh-CN"/>
              </w:rPr>
              <w:t>IMT-Advanced</w:t>
            </w:r>
            <w:r>
              <w:rPr>
                <w:rFonts w:ascii="Calibri" w:hAnsi="Calibri" w:hint="eastAsia"/>
                <w:sz w:val="20"/>
                <w:lang w:eastAsia="zh-CN"/>
              </w:rPr>
              <w:t>（“</w:t>
            </w:r>
            <w:r>
              <w:rPr>
                <w:rFonts w:ascii="Calibri" w:hAnsi="Calibri" w:hint="eastAsia"/>
                <w:sz w:val="20"/>
                <w:lang w:eastAsia="zh-CN"/>
              </w:rPr>
              <w:t>4G</w:t>
            </w:r>
            <w:r>
              <w:rPr>
                <w:rFonts w:ascii="Calibri" w:hAnsi="Calibri" w:hint="eastAsia"/>
                <w:sz w:val="20"/>
                <w:lang w:eastAsia="zh-CN"/>
              </w:rPr>
              <w:t>”）或更高速网络的成员国所占百分比</w:t>
            </w:r>
            <w:r>
              <w:rPr>
                <w:rFonts w:ascii="Calibri" w:hAnsi="Calibri" w:hint="eastAsia"/>
                <w:sz w:val="20"/>
                <w:lang w:eastAsia="zh-CN"/>
              </w:rPr>
              <w:br/>
            </w:r>
            <w:r>
              <w:rPr>
                <w:rFonts w:ascii="Calibri" w:hAnsi="Calibri" w:hint="eastAsia"/>
                <w:sz w:val="20"/>
                <w:lang w:eastAsia="zh-CN"/>
              </w:rPr>
              <w:t>•在可获取数据的成员国中，入门级移动宽带数据套餐价格不超过人均国民收入</w:t>
            </w:r>
            <w:r>
              <w:rPr>
                <w:rFonts w:ascii="Calibri" w:hAnsi="Calibri" w:hint="eastAsia"/>
                <w:sz w:val="20"/>
                <w:lang w:eastAsia="zh-CN"/>
              </w:rPr>
              <w:t>2%</w:t>
            </w:r>
            <w:r>
              <w:rPr>
                <w:rFonts w:ascii="Calibri" w:hAnsi="Calibri" w:hint="eastAsia"/>
                <w:sz w:val="20"/>
                <w:lang w:eastAsia="zh-CN"/>
              </w:rPr>
              <w:t>的成员国所占百分比</w:t>
            </w:r>
          </w:p>
        </w:tc>
        <w:tc>
          <w:tcPr>
            <w:tcW w:w="2268" w:type="dxa"/>
            <w:tcBorders>
              <w:top w:val="single" w:sz="4" w:space="0" w:color="44B3E1"/>
              <w:left w:val="nil"/>
              <w:bottom w:val="single" w:sz="4" w:space="0" w:color="44B3E1"/>
              <w:right w:val="nil"/>
            </w:tcBorders>
            <w:shd w:val="clear" w:color="auto" w:fill="C0E6F5"/>
          </w:tcPr>
          <w:p w14:paraId="7C53EB0B" w14:textId="77777777" w:rsidR="00521A20" w:rsidRDefault="00BB475A">
            <w:pPr>
              <w:overflowPunct/>
              <w:autoSpaceDE/>
              <w:autoSpaceDN/>
              <w:adjustRightInd/>
              <w:spacing w:before="0"/>
              <w:textAlignment w:val="auto"/>
              <w:rPr>
                <w:rFonts w:ascii="Calibri" w:hAnsi="Calibri" w:cs="Calibri"/>
                <w:color w:val="000000" w:themeColor="text1"/>
                <w:sz w:val="20"/>
                <w:lang w:eastAsia="zh-CN"/>
              </w:rPr>
            </w:pPr>
            <w:r>
              <w:rPr>
                <w:rFonts w:hint="eastAsia"/>
                <w:sz w:val="20"/>
                <w:lang w:eastAsia="zh-CN"/>
              </w:rPr>
              <w:t>•技术干预</w:t>
            </w:r>
            <w:r>
              <w:rPr>
                <w:sz w:val="20"/>
                <w:lang w:eastAsia="zh-CN"/>
              </w:rPr>
              <w:br/>
            </w:r>
            <w:r>
              <w:rPr>
                <w:rFonts w:hint="eastAsia"/>
                <w:sz w:val="20"/>
                <w:lang w:eastAsia="zh-CN"/>
              </w:rPr>
              <w:t>•召集平台</w:t>
            </w:r>
            <w:r>
              <w:rPr>
                <w:sz w:val="20"/>
                <w:lang w:eastAsia="zh-CN"/>
              </w:rPr>
              <w:br/>
            </w:r>
            <w:r>
              <w:rPr>
                <w:rFonts w:hint="eastAsia"/>
                <w:sz w:val="20"/>
                <w:lang w:eastAsia="zh-CN"/>
              </w:rPr>
              <w:t>•学习框架</w:t>
            </w:r>
          </w:p>
          <w:p w14:paraId="3A6CF072"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sz w:val="20"/>
                <w:lang w:eastAsia="zh-CN"/>
              </w:rPr>
              <w:t>•示范政策和战略、工具包</w:t>
            </w:r>
            <w:r>
              <w:rPr>
                <w:rFonts w:ascii="Calibri" w:hAnsi="Calibri" w:hint="eastAsia"/>
                <w:color w:val="000000"/>
                <w:sz w:val="20"/>
                <w:lang w:eastAsia="zh-CN"/>
              </w:rPr>
              <w:t xml:space="preserve"> </w:t>
            </w:r>
          </w:p>
        </w:tc>
        <w:tc>
          <w:tcPr>
            <w:tcW w:w="1559" w:type="dxa"/>
            <w:tcBorders>
              <w:top w:val="single" w:sz="4" w:space="0" w:color="44B3E1"/>
              <w:left w:val="nil"/>
              <w:bottom w:val="single" w:sz="4" w:space="0" w:color="44B3E1"/>
              <w:right w:val="nil"/>
            </w:tcBorders>
            <w:shd w:val="clear" w:color="auto" w:fill="C0E6F5"/>
            <w:noWrap/>
          </w:tcPr>
          <w:p w14:paraId="00510B2D" w14:textId="41470A2B" w:rsidR="00521A20" w:rsidRDefault="00BB475A">
            <w:pPr>
              <w:overflowPunct/>
              <w:autoSpaceDE/>
              <w:autoSpaceDN/>
              <w:adjustRightInd/>
              <w:spacing w:before="0"/>
              <w:jc w:val="center"/>
              <w:textAlignment w:val="auto"/>
              <w:rPr>
                <w:rFonts w:ascii="Calibri" w:hAnsi="Calibri" w:cs="Calibri"/>
                <w:b/>
                <w:color w:val="000000"/>
                <w:sz w:val="20"/>
              </w:rPr>
            </w:pPr>
            <w:r>
              <w:rPr>
                <w:rFonts w:ascii="Calibri" w:hAnsi="Calibri" w:hint="eastAsia"/>
                <w:b/>
                <w:color w:val="000000"/>
                <w:sz w:val="20"/>
              </w:rPr>
              <w:t>3</w:t>
            </w:r>
            <w:r>
              <w:rPr>
                <w:rFonts w:ascii="Calibri" w:hAnsi="Calibri" w:hint="eastAsia"/>
                <w:b/>
                <w:color w:val="000000"/>
                <w:sz w:val="20"/>
                <w:lang w:val="en-US" w:eastAsia="zh-CN"/>
              </w:rPr>
              <w:t>47</w:t>
            </w:r>
            <w:r>
              <w:rPr>
                <w:rFonts w:ascii="Calibri" w:hAnsi="Calibri" w:hint="eastAsia"/>
                <w:b/>
                <w:color w:val="000000"/>
                <w:sz w:val="20"/>
              </w:rPr>
              <w:t>,000</w:t>
            </w:r>
          </w:p>
        </w:tc>
        <w:tc>
          <w:tcPr>
            <w:tcW w:w="1559" w:type="dxa"/>
            <w:tcBorders>
              <w:top w:val="single" w:sz="4" w:space="0" w:color="44B3E1"/>
              <w:left w:val="nil"/>
              <w:bottom w:val="single" w:sz="4" w:space="0" w:color="44B3E1"/>
              <w:right w:val="nil"/>
            </w:tcBorders>
            <w:shd w:val="clear" w:color="auto" w:fill="C0E6F5"/>
            <w:noWrap/>
          </w:tcPr>
          <w:p w14:paraId="402674F2" w14:textId="75CDAC29"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rPr>
              <w:t>6</w:t>
            </w:r>
            <w:r>
              <w:rPr>
                <w:rFonts w:ascii="Calibri" w:hAnsi="Calibri" w:hint="eastAsia"/>
                <w:color w:val="000000"/>
                <w:sz w:val="20"/>
                <w:lang w:val="en-US" w:eastAsia="zh-CN"/>
              </w:rPr>
              <w:t>2</w:t>
            </w:r>
            <w:r>
              <w:rPr>
                <w:rFonts w:ascii="Calibri" w:hAnsi="Calibri" w:hint="eastAsia"/>
                <w:color w:val="000000"/>
                <w:sz w:val="20"/>
              </w:rPr>
              <w:t>.</w:t>
            </w:r>
            <w:r>
              <w:rPr>
                <w:rFonts w:ascii="Calibri" w:hAnsi="Calibri" w:hint="eastAsia"/>
                <w:color w:val="000000"/>
                <w:sz w:val="20"/>
                <w:lang w:val="en-US" w:eastAsia="zh-CN"/>
              </w:rPr>
              <w:t>9</w:t>
            </w:r>
            <w:r>
              <w:rPr>
                <w:rFonts w:ascii="Calibri" w:hAnsi="Calibri" w:hint="eastAsia"/>
                <w:color w:val="000000"/>
                <w:sz w:val="20"/>
              </w:rPr>
              <w:t>%</w:t>
            </w:r>
          </w:p>
        </w:tc>
        <w:tc>
          <w:tcPr>
            <w:tcW w:w="1559" w:type="dxa"/>
            <w:tcBorders>
              <w:top w:val="single" w:sz="4" w:space="0" w:color="44B3E1"/>
              <w:left w:val="nil"/>
              <w:bottom w:val="single" w:sz="4" w:space="0" w:color="44B3E1"/>
              <w:right w:val="single" w:sz="4" w:space="0" w:color="44B3E1"/>
            </w:tcBorders>
            <w:shd w:val="clear" w:color="auto" w:fill="C0E6F5"/>
            <w:noWrap/>
          </w:tcPr>
          <w:p w14:paraId="1E613937" w14:textId="6E528C44"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9</w:t>
            </w:r>
            <w:r>
              <w:rPr>
                <w:rFonts w:ascii="Calibri" w:hAnsi="Calibri" w:hint="eastAsia"/>
                <w:color w:val="000000"/>
                <w:sz w:val="20"/>
              </w:rPr>
              <w:t>.1%</w:t>
            </w:r>
          </w:p>
        </w:tc>
      </w:tr>
    </w:tbl>
    <w:p w14:paraId="1EAEE2E8" w14:textId="77777777" w:rsidR="00521A20" w:rsidRDefault="00521A20">
      <w:pPr>
        <w:pStyle w:val="Heading2"/>
        <w:rPr>
          <w:lang w:eastAsia="zh-CN"/>
        </w:rPr>
        <w:sectPr w:rsidR="00521A20" w:rsidSect="005573EC">
          <w:headerReference w:type="default" r:id="rId13"/>
          <w:headerReference w:type="first" r:id="rId14"/>
          <w:pgSz w:w="16840" w:h="11907" w:orient="landscape"/>
          <w:pgMar w:top="1134" w:right="1418" w:bottom="1134" w:left="1134" w:header="720" w:footer="720" w:gutter="0"/>
          <w:cols w:space="720"/>
          <w:docGrid w:linePitch="326"/>
        </w:sectPr>
      </w:pPr>
    </w:p>
    <w:p w14:paraId="4C6EB137" w14:textId="3C181FE4" w:rsidR="00622881" w:rsidRPr="00713809" w:rsidRDefault="00622881" w:rsidP="00BB475A">
      <w:pPr>
        <w:keepNext/>
        <w:keepLines/>
        <w:tabs>
          <w:tab w:val="clear" w:pos="1134"/>
          <w:tab w:val="clear" w:pos="1871"/>
          <w:tab w:val="clear" w:pos="2268"/>
          <w:tab w:val="left" w:pos="794"/>
          <w:tab w:val="left" w:pos="1191"/>
          <w:tab w:val="left" w:pos="1588"/>
          <w:tab w:val="left" w:pos="1985"/>
        </w:tabs>
        <w:outlineLvl w:val="2"/>
        <w:rPr>
          <w:rFonts w:ascii="Calibri" w:eastAsia="KaiTi" w:hAnsi="Calibri" w:cs="Calibri"/>
          <w:b/>
          <w:szCs w:val="24"/>
          <w:lang w:eastAsia="zh-CN"/>
        </w:rPr>
      </w:pPr>
      <w:r w:rsidRPr="00713809">
        <w:rPr>
          <w:rFonts w:ascii="Calibri" w:eastAsia="KaiTi" w:hAnsi="Calibri" w:cs="Calibri"/>
          <w:b/>
          <w:bCs/>
          <w:szCs w:val="24"/>
          <w:lang w:val="en-US" w:eastAsia="zh-CN"/>
        </w:rPr>
        <w:lastRenderedPageBreak/>
        <w:t>2026</w:t>
      </w:r>
      <w:r w:rsidRPr="00713809">
        <w:rPr>
          <w:rFonts w:ascii="Calibri" w:eastAsia="KaiTi" w:hAnsi="Calibri" w:cs="Calibri" w:hint="eastAsia"/>
          <w:b/>
          <w:bCs/>
          <w:szCs w:val="24"/>
          <w:lang w:val="en-US" w:eastAsia="zh-CN"/>
        </w:rPr>
        <w:t>年实施亮点：</w:t>
      </w:r>
      <w:r w:rsidRPr="00713809">
        <w:rPr>
          <w:rFonts w:ascii="Calibri" w:eastAsia="KaiTi" w:hAnsi="Calibri" w:cs="Calibri"/>
          <w:b/>
          <w:bCs/>
          <w:szCs w:val="24"/>
          <w:lang w:val="en-US" w:eastAsia="zh-CN"/>
        </w:rPr>
        <w:t>ITU-D</w:t>
      </w:r>
      <w:r w:rsidRPr="00713809">
        <w:rPr>
          <w:rFonts w:ascii="Calibri" w:eastAsia="KaiTi" w:hAnsi="Calibri" w:cs="Calibri" w:hint="eastAsia"/>
          <w:b/>
          <w:bCs/>
          <w:szCs w:val="24"/>
          <w:lang w:val="en-US" w:eastAsia="zh-CN"/>
        </w:rPr>
        <w:t>的重点工作</w:t>
      </w:r>
      <w:r w:rsidRPr="00713809">
        <w:rPr>
          <w:rFonts w:ascii="Calibri" w:eastAsia="KaiTi" w:hAnsi="Calibri" w:cs="Calibri"/>
          <w:b/>
          <w:bCs/>
          <w:szCs w:val="24"/>
          <w:lang w:val="en-US" w:eastAsia="zh-CN"/>
        </w:rPr>
        <w:t xml:space="preserve">1 </w:t>
      </w:r>
      <w:r w:rsidR="001C4C89" w:rsidRPr="001C4C89">
        <w:rPr>
          <w:rFonts w:ascii="Calibri" w:eastAsia="KaiTi" w:hAnsi="Calibri" w:cs="Calibri"/>
          <w:b/>
          <w:bCs/>
          <w:szCs w:val="24"/>
          <w:lang w:val="en-US" w:eastAsia="zh-CN"/>
        </w:rPr>
        <w:t>–</w:t>
      </w:r>
      <w:r w:rsidRPr="00713809">
        <w:rPr>
          <w:rFonts w:ascii="Calibri" w:eastAsia="KaiTi" w:hAnsi="Calibri" w:cs="Calibri"/>
          <w:b/>
          <w:bCs/>
          <w:szCs w:val="24"/>
          <w:lang w:val="en-US" w:eastAsia="zh-CN"/>
        </w:rPr>
        <w:t xml:space="preserve"> </w:t>
      </w:r>
      <w:r w:rsidRPr="00713809">
        <w:rPr>
          <w:rFonts w:ascii="Calibri" w:eastAsia="KaiTi" w:hAnsi="Calibri" w:cs="Calibri" w:hint="eastAsia"/>
          <w:b/>
          <w:bCs/>
          <w:szCs w:val="24"/>
          <w:lang w:val="en-US" w:eastAsia="zh-CN"/>
        </w:rPr>
        <w:t>价格可承受的连接</w:t>
      </w:r>
    </w:p>
    <w:p w14:paraId="4D917228" w14:textId="77777777" w:rsidR="00622881" w:rsidRPr="001B50CC" w:rsidRDefault="00622881" w:rsidP="00BB475A">
      <w:pPr>
        <w:keepNext/>
        <w:keepLines/>
        <w:tabs>
          <w:tab w:val="clear" w:pos="1134"/>
          <w:tab w:val="clear" w:pos="1871"/>
          <w:tab w:val="clear" w:pos="2268"/>
          <w:tab w:val="left" w:pos="794"/>
          <w:tab w:val="left" w:pos="1191"/>
          <w:tab w:val="left" w:pos="1588"/>
          <w:tab w:val="left" w:pos="1985"/>
        </w:tabs>
        <w:outlineLvl w:val="2"/>
        <w:rPr>
          <w:rFonts w:ascii="Calibri" w:hAnsi="Calibri"/>
          <w:b/>
          <w:szCs w:val="24"/>
          <w:lang w:eastAsia="zh-CN"/>
        </w:rPr>
      </w:pPr>
      <w:r>
        <w:rPr>
          <w:rFonts w:ascii="Calibri" w:hAnsi="Calibri" w:hint="eastAsia"/>
          <w:b/>
          <w:szCs w:val="24"/>
          <w:lang w:eastAsia="zh-CN"/>
        </w:rPr>
        <w:t>应急通信</w:t>
      </w:r>
    </w:p>
    <w:p w14:paraId="5FD546F0" w14:textId="59C21C98" w:rsidR="00622881"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bCs/>
          <w:lang w:eastAsia="zh-CN"/>
        </w:rPr>
      </w:pPr>
      <w:r w:rsidRPr="005C2C11">
        <w:rPr>
          <w:rFonts w:ascii="Calibri" w:hAnsi="Calibri" w:hint="eastAsia"/>
          <w:b/>
          <w:lang w:eastAsia="zh-CN"/>
        </w:rPr>
        <w:t>在非洲</w:t>
      </w:r>
      <w:r>
        <w:rPr>
          <w:rFonts w:ascii="Calibri" w:hAnsi="Calibri" w:hint="eastAsia"/>
          <w:b/>
          <w:lang w:eastAsia="zh-CN"/>
        </w:rPr>
        <w:t>地区</w:t>
      </w:r>
      <w:r w:rsidRPr="005C2C11">
        <w:rPr>
          <w:rFonts w:ascii="Calibri" w:hAnsi="Calibri" w:hint="eastAsia"/>
          <w:b/>
          <w:lang w:eastAsia="zh-CN"/>
        </w:rPr>
        <w:t>，</w:t>
      </w:r>
      <w:r w:rsidRPr="00713809">
        <w:rPr>
          <w:rFonts w:ascii="Calibri" w:hAnsi="Calibri" w:hint="eastAsia"/>
          <w:bCs/>
          <w:lang w:eastAsia="zh-CN"/>
        </w:rPr>
        <w:t>卢旺达通过了新的</w:t>
      </w:r>
      <w:r w:rsidR="00133976">
        <w:rPr>
          <w:rFonts w:ascii="Calibri" w:hAnsi="Calibri" w:hint="eastAsia"/>
          <w:bCs/>
          <w:lang w:eastAsia="zh-CN"/>
        </w:rPr>
        <w:t>《</w:t>
      </w:r>
      <w:r w:rsidRPr="00713809">
        <w:rPr>
          <w:rFonts w:ascii="Calibri" w:hAnsi="Calibri" w:hint="eastAsia"/>
          <w:bCs/>
          <w:lang w:eastAsia="zh-CN"/>
        </w:rPr>
        <w:t>国家应急通信计划</w:t>
      </w:r>
      <w:r w:rsidR="00133976">
        <w:rPr>
          <w:rFonts w:ascii="Calibri" w:hAnsi="Calibri" w:hint="eastAsia"/>
          <w:bCs/>
          <w:lang w:eastAsia="zh-CN"/>
        </w:rPr>
        <w:t>》</w:t>
      </w:r>
      <w:r w:rsidRPr="00713809">
        <w:rPr>
          <w:rFonts w:ascii="Calibri" w:hAnsi="Calibri" w:hint="eastAsia"/>
          <w:bCs/>
          <w:lang w:eastAsia="zh-CN"/>
        </w:rPr>
        <w:t>，以</w:t>
      </w:r>
      <w:r>
        <w:rPr>
          <w:rFonts w:ascii="Calibri" w:hAnsi="Calibri" w:hint="eastAsia"/>
          <w:bCs/>
          <w:lang w:eastAsia="zh-CN"/>
        </w:rPr>
        <w:t>帮助加强</w:t>
      </w:r>
      <w:r w:rsidRPr="00713809">
        <w:rPr>
          <w:rFonts w:ascii="Calibri" w:hAnsi="Calibri" w:hint="eastAsia"/>
          <w:bCs/>
          <w:lang w:eastAsia="zh-CN"/>
        </w:rPr>
        <w:t>预警系统</w:t>
      </w:r>
      <w:r w:rsidR="00133976">
        <w:rPr>
          <w:rFonts w:ascii="Calibri" w:hAnsi="Calibri" w:hint="eastAsia"/>
          <w:bCs/>
          <w:lang w:eastAsia="zh-CN"/>
        </w:rPr>
        <w:t>、</w:t>
      </w:r>
      <w:r>
        <w:rPr>
          <w:rFonts w:ascii="Calibri" w:hAnsi="Calibri" w:hint="eastAsia"/>
          <w:bCs/>
          <w:lang w:eastAsia="zh-CN"/>
        </w:rPr>
        <w:t>增强备</w:t>
      </w:r>
      <w:r w:rsidRPr="00713809">
        <w:rPr>
          <w:rFonts w:ascii="Calibri" w:hAnsi="Calibri" w:hint="eastAsia"/>
          <w:bCs/>
          <w:lang w:eastAsia="zh-CN"/>
        </w:rPr>
        <w:t>灾能力</w:t>
      </w:r>
      <w:r w:rsidR="00133976">
        <w:rPr>
          <w:rFonts w:ascii="Calibri" w:hAnsi="Calibri" w:hint="eastAsia"/>
          <w:bCs/>
          <w:lang w:eastAsia="zh-CN"/>
        </w:rPr>
        <w:t>并</w:t>
      </w:r>
      <w:r>
        <w:rPr>
          <w:rFonts w:ascii="Calibri" w:hAnsi="Calibri" w:hint="eastAsia"/>
          <w:bCs/>
          <w:lang w:eastAsia="zh-CN"/>
        </w:rPr>
        <w:t>提高</w:t>
      </w:r>
      <w:r w:rsidRPr="00713809">
        <w:rPr>
          <w:rFonts w:ascii="Calibri" w:hAnsi="Calibri" w:hint="eastAsia"/>
          <w:bCs/>
          <w:lang w:eastAsia="zh-CN"/>
        </w:rPr>
        <w:t>国家</w:t>
      </w:r>
      <w:r>
        <w:rPr>
          <w:rFonts w:ascii="Calibri" w:hAnsi="Calibri" w:hint="eastAsia"/>
          <w:bCs/>
          <w:lang w:eastAsia="zh-CN"/>
        </w:rPr>
        <w:t>复原力</w:t>
      </w:r>
      <w:r w:rsidRPr="00713809">
        <w:rPr>
          <w:rFonts w:ascii="Calibri" w:hAnsi="Calibri" w:hint="eastAsia"/>
          <w:bCs/>
          <w:lang w:eastAsia="zh-CN"/>
        </w:rPr>
        <w:t>。塞内加尔</w:t>
      </w:r>
      <w:r>
        <w:rPr>
          <w:rFonts w:ascii="Calibri" w:hAnsi="Calibri" w:hint="eastAsia"/>
          <w:bCs/>
          <w:lang w:eastAsia="zh-CN"/>
        </w:rPr>
        <w:t>于</w:t>
      </w:r>
      <w:r>
        <w:rPr>
          <w:rFonts w:ascii="Calibri" w:hAnsi="Calibri" w:hint="eastAsia"/>
          <w:bCs/>
          <w:lang w:eastAsia="zh-CN"/>
        </w:rPr>
        <w:t>2</w:t>
      </w:r>
      <w:r>
        <w:rPr>
          <w:rFonts w:ascii="Calibri" w:hAnsi="Calibri" w:hint="eastAsia"/>
          <w:bCs/>
          <w:lang w:eastAsia="zh-CN"/>
        </w:rPr>
        <w:t>月</w:t>
      </w:r>
      <w:r>
        <w:rPr>
          <w:rFonts w:ascii="Calibri" w:hAnsi="Calibri" w:hint="eastAsia"/>
          <w:bCs/>
          <w:lang w:eastAsia="zh-CN"/>
        </w:rPr>
        <w:t>10</w:t>
      </w:r>
      <w:r>
        <w:rPr>
          <w:rFonts w:ascii="Calibri" w:hAnsi="Calibri" w:hint="eastAsia"/>
          <w:bCs/>
          <w:lang w:eastAsia="zh-CN"/>
        </w:rPr>
        <w:t>日至</w:t>
      </w:r>
      <w:r>
        <w:rPr>
          <w:rFonts w:ascii="Calibri" w:hAnsi="Calibri" w:hint="eastAsia"/>
          <w:bCs/>
          <w:lang w:eastAsia="zh-CN"/>
        </w:rPr>
        <w:t>11</w:t>
      </w:r>
      <w:r>
        <w:rPr>
          <w:rFonts w:ascii="Calibri" w:hAnsi="Calibri" w:hint="eastAsia"/>
          <w:bCs/>
          <w:lang w:eastAsia="zh-CN"/>
        </w:rPr>
        <w:t>日举行了</w:t>
      </w:r>
      <w:r w:rsidRPr="00713809">
        <w:rPr>
          <w:rFonts w:ascii="Calibri" w:hAnsi="Calibri" w:hint="eastAsia"/>
          <w:bCs/>
          <w:lang w:eastAsia="zh-CN"/>
        </w:rPr>
        <w:t>国家应急</w:t>
      </w:r>
      <w:r>
        <w:rPr>
          <w:rFonts w:ascii="Calibri" w:hAnsi="Calibri" w:hint="eastAsia"/>
          <w:bCs/>
          <w:lang w:eastAsia="zh-CN"/>
        </w:rPr>
        <w:t>通信</w:t>
      </w:r>
      <w:r w:rsidRPr="00713809">
        <w:rPr>
          <w:rFonts w:ascii="Calibri" w:hAnsi="Calibri" w:hint="eastAsia"/>
          <w:bCs/>
          <w:lang w:eastAsia="zh-CN"/>
        </w:rPr>
        <w:t>验证</w:t>
      </w:r>
      <w:r>
        <w:rPr>
          <w:rFonts w:ascii="Calibri" w:hAnsi="Calibri" w:hint="eastAsia"/>
          <w:bCs/>
          <w:lang w:eastAsia="zh-CN"/>
        </w:rPr>
        <w:t>讲习班</w:t>
      </w:r>
      <w:r w:rsidRPr="00713809">
        <w:rPr>
          <w:rFonts w:ascii="Calibri" w:hAnsi="Calibri" w:hint="eastAsia"/>
          <w:bCs/>
          <w:lang w:eastAsia="zh-CN"/>
        </w:rPr>
        <w:t>，</w:t>
      </w:r>
      <w:r>
        <w:rPr>
          <w:rFonts w:ascii="Calibri" w:hAnsi="Calibri" w:hint="eastAsia"/>
          <w:bCs/>
          <w:lang w:eastAsia="zh-CN"/>
        </w:rPr>
        <w:t>汇集</w:t>
      </w:r>
      <w:r w:rsidRPr="00713809">
        <w:rPr>
          <w:rFonts w:ascii="Calibri" w:hAnsi="Calibri" w:hint="eastAsia"/>
          <w:bCs/>
          <w:lang w:eastAsia="zh-CN"/>
        </w:rPr>
        <w:t>了来自公共和私营部门</w:t>
      </w:r>
      <w:r>
        <w:rPr>
          <w:rFonts w:ascii="Calibri" w:hAnsi="Calibri" w:hint="eastAsia"/>
          <w:bCs/>
          <w:lang w:eastAsia="zh-CN"/>
        </w:rPr>
        <w:t>的国家减灾和</w:t>
      </w:r>
      <w:r w:rsidRPr="00713809">
        <w:rPr>
          <w:rFonts w:ascii="Calibri" w:hAnsi="Calibri" w:hint="eastAsia"/>
          <w:bCs/>
          <w:lang w:eastAsia="zh-CN"/>
        </w:rPr>
        <w:t>应急通信利益攸关方。该</w:t>
      </w:r>
      <w:r>
        <w:rPr>
          <w:rFonts w:ascii="Calibri" w:hAnsi="Calibri" w:hint="eastAsia"/>
          <w:bCs/>
          <w:lang w:eastAsia="zh-CN"/>
        </w:rPr>
        <w:t>讲习班</w:t>
      </w:r>
      <w:r w:rsidRPr="00713809">
        <w:rPr>
          <w:rFonts w:ascii="Calibri" w:hAnsi="Calibri" w:hint="eastAsia"/>
          <w:bCs/>
          <w:lang w:eastAsia="zh-CN"/>
        </w:rPr>
        <w:t>由电信发展局与塞内加尔</w:t>
      </w:r>
      <w:r w:rsidRPr="00E8537A">
        <w:rPr>
          <w:rFonts w:ascii="Calibri" w:hAnsi="Calibri" w:hint="eastAsia"/>
          <w:bCs/>
          <w:lang w:eastAsia="zh-CN"/>
        </w:rPr>
        <w:t>电信</w:t>
      </w:r>
      <w:r w:rsidR="0030459F">
        <w:rPr>
          <w:rFonts w:ascii="Calibri" w:hAnsi="Calibri" w:hint="eastAsia"/>
          <w:bCs/>
          <w:lang w:eastAsia="zh-CN"/>
        </w:rPr>
        <w:t>和</w:t>
      </w:r>
      <w:r w:rsidRPr="00E8537A">
        <w:rPr>
          <w:rFonts w:ascii="Calibri" w:hAnsi="Calibri" w:hint="eastAsia"/>
          <w:bCs/>
          <w:lang w:eastAsia="zh-CN"/>
        </w:rPr>
        <w:t>邮政监管局</w:t>
      </w:r>
      <w:r w:rsidRPr="00713809">
        <w:rPr>
          <w:rFonts w:ascii="Calibri" w:hAnsi="Calibri" w:hint="eastAsia"/>
          <w:bCs/>
          <w:lang w:eastAsia="zh-CN"/>
        </w:rPr>
        <w:t>共同</w:t>
      </w:r>
      <w:r>
        <w:rPr>
          <w:rFonts w:ascii="Calibri" w:hAnsi="Calibri" w:hint="eastAsia"/>
          <w:bCs/>
          <w:lang w:eastAsia="zh-CN"/>
        </w:rPr>
        <w:t>举办</w:t>
      </w:r>
      <w:r w:rsidRPr="00713809">
        <w:rPr>
          <w:rFonts w:ascii="Calibri" w:hAnsi="Calibri" w:hint="eastAsia"/>
          <w:bCs/>
          <w:lang w:eastAsia="zh-CN"/>
        </w:rPr>
        <w:t>，加强了利用</w:t>
      </w:r>
      <w:r>
        <w:rPr>
          <w:rFonts w:ascii="Calibri" w:hAnsi="Calibri" w:hint="eastAsia"/>
          <w:bCs/>
          <w:lang w:eastAsia="zh-CN"/>
        </w:rPr>
        <w:t>ICT</w:t>
      </w:r>
      <w:r w:rsidRPr="00713809">
        <w:rPr>
          <w:rFonts w:ascii="Calibri" w:hAnsi="Calibri" w:hint="eastAsia"/>
          <w:bCs/>
          <w:lang w:eastAsia="zh-CN"/>
        </w:rPr>
        <w:t>减少灾害风险的集体努力，确保在</w:t>
      </w:r>
      <w:r w:rsidR="0030459F" w:rsidRPr="00046CB7">
        <w:rPr>
          <w:rFonts w:ascii="Calibri" w:hAnsi="Calibri" w:hint="eastAsia"/>
          <w:bCs/>
          <w:lang w:eastAsia="zh-CN"/>
        </w:rPr>
        <w:t>发生</w:t>
      </w:r>
      <w:r w:rsidRPr="00713809">
        <w:rPr>
          <w:rFonts w:ascii="Calibri" w:hAnsi="Calibri" w:hint="eastAsia"/>
          <w:bCs/>
          <w:lang w:eastAsia="zh-CN"/>
        </w:rPr>
        <w:t>紧急情况时</w:t>
      </w:r>
      <w:r>
        <w:rPr>
          <w:rFonts w:ascii="Calibri" w:hAnsi="Calibri" w:hint="eastAsia"/>
          <w:bCs/>
          <w:lang w:eastAsia="zh-CN"/>
        </w:rPr>
        <w:t>不让任何人</w:t>
      </w:r>
      <w:r w:rsidRPr="00713809">
        <w:rPr>
          <w:rFonts w:ascii="Calibri" w:hAnsi="Calibri" w:hint="eastAsia"/>
          <w:bCs/>
          <w:lang w:eastAsia="zh-CN"/>
        </w:rPr>
        <w:t>掉队。</w:t>
      </w:r>
      <w:r>
        <w:rPr>
          <w:rFonts w:ascii="Calibri" w:hAnsi="Calibri" w:hint="eastAsia"/>
          <w:bCs/>
          <w:lang w:eastAsia="zh-CN"/>
        </w:rPr>
        <w:t>讲习班</w:t>
      </w:r>
      <w:r w:rsidRPr="00713809">
        <w:rPr>
          <w:rFonts w:ascii="Calibri" w:hAnsi="Calibri" w:hint="eastAsia"/>
          <w:bCs/>
          <w:lang w:eastAsia="zh-CN"/>
        </w:rPr>
        <w:t>还为</w:t>
      </w:r>
      <w:r>
        <w:rPr>
          <w:rFonts w:ascii="Calibri" w:hAnsi="Calibri" w:hint="eastAsia"/>
          <w:bCs/>
          <w:lang w:eastAsia="zh-CN"/>
        </w:rPr>
        <w:t>参与</w:t>
      </w:r>
      <w:r w:rsidRPr="00713809">
        <w:rPr>
          <w:rFonts w:ascii="Calibri" w:hAnsi="Calibri" w:hint="eastAsia"/>
          <w:bCs/>
          <w:lang w:eastAsia="zh-CN"/>
        </w:rPr>
        <w:t>者提供了一个平台，以审查</w:t>
      </w:r>
      <w:r>
        <w:rPr>
          <w:rFonts w:ascii="Calibri" w:hAnsi="Calibri" w:hint="eastAsia"/>
          <w:bCs/>
          <w:lang w:eastAsia="zh-CN"/>
        </w:rPr>
        <w:t>将技术用于</w:t>
      </w:r>
      <w:r w:rsidRPr="00713809">
        <w:rPr>
          <w:rFonts w:ascii="Calibri" w:hAnsi="Calibri" w:hint="eastAsia"/>
          <w:bCs/>
          <w:lang w:eastAsia="zh-CN"/>
        </w:rPr>
        <w:t>灾害管理的法律和监管框架，</w:t>
      </w:r>
      <w:r w:rsidR="0030459F" w:rsidRPr="0030459F">
        <w:rPr>
          <w:rFonts w:ascii="Calibri" w:hAnsi="Calibri" w:hint="eastAsia"/>
          <w:bCs/>
          <w:lang w:eastAsia="zh-CN"/>
        </w:rPr>
        <w:t>明确</w:t>
      </w:r>
      <w:r w:rsidRPr="00713809">
        <w:rPr>
          <w:rFonts w:ascii="Calibri" w:hAnsi="Calibri" w:hint="eastAsia"/>
          <w:bCs/>
          <w:lang w:eastAsia="zh-CN"/>
        </w:rPr>
        <w:t>机构</w:t>
      </w:r>
      <w:r>
        <w:rPr>
          <w:rFonts w:ascii="Calibri" w:hAnsi="Calibri" w:hint="eastAsia"/>
          <w:bCs/>
          <w:lang w:eastAsia="zh-CN"/>
        </w:rPr>
        <w:t>作用和</w:t>
      </w:r>
      <w:r w:rsidRPr="00713809">
        <w:rPr>
          <w:rFonts w:ascii="Calibri" w:hAnsi="Calibri" w:hint="eastAsia"/>
          <w:bCs/>
          <w:lang w:eastAsia="zh-CN"/>
        </w:rPr>
        <w:t>协调机制，就数字解决方案如何支持灾害管理</w:t>
      </w:r>
      <w:r>
        <w:rPr>
          <w:rFonts w:ascii="Calibri" w:hAnsi="Calibri" w:hint="eastAsia"/>
          <w:bCs/>
          <w:lang w:eastAsia="zh-CN"/>
        </w:rPr>
        <w:t>的</w:t>
      </w:r>
      <w:r w:rsidR="0030459F">
        <w:rPr>
          <w:rFonts w:ascii="Calibri" w:hAnsi="Calibri" w:hint="eastAsia"/>
          <w:bCs/>
          <w:lang w:eastAsia="zh-CN"/>
        </w:rPr>
        <w:t>各</w:t>
      </w:r>
      <w:r>
        <w:rPr>
          <w:rFonts w:ascii="Calibri" w:hAnsi="Calibri" w:hint="eastAsia"/>
          <w:bCs/>
          <w:lang w:eastAsia="zh-CN"/>
        </w:rPr>
        <w:t>个</w:t>
      </w:r>
      <w:r w:rsidRPr="00713809">
        <w:rPr>
          <w:rFonts w:ascii="Calibri" w:hAnsi="Calibri" w:hint="eastAsia"/>
          <w:bCs/>
          <w:lang w:eastAsia="zh-CN"/>
        </w:rPr>
        <w:t>阶段</w:t>
      </w:r>
      <w:r>
        <w:rPr>
          <w:rFonts w:ascii="Calibri" w:hAnsi="Calibri" w:hint="eastAsia"/>
          <w:bCs/>
          <w:lang w:eastAsia="zh-CN"/>
        </w:rPr>
        <w:t>达成</w:t>
      </w:r>
      <w:r w:rsidRPr="00713809">
        <w:rPr>
          <w:rFonts w:ascii="Calibri" w:hAnsi="Calibri" w:hint="eastAsia"/>
          <w:bCs/>
          <w:lang w:eastAsia="zh-CN"/>
        </w:rPr>
        <w:t>共识，并就加强</w:t>
      </w:r>
      <w:r>
        <w:rPr>
          <w:rFonts w:ascii="Calibri" w:hAnsi="Calibri" w:hint="eastAsia"/>
          <w:bCs/>
          <w:lang w:eastAsia="zh-CN"/>
        </w:rPr>
        <w:t>该国</w:t>
      </w:r>
      <w:r w:rsidRPr="00713809">
        <w:rPr>
          <w:rFonts w:ascii="Calibri" w:hAnsi="Calibri" w:hint="eastAsia"/>
          <w:bCs/>
          <w:lang w:eastAsia="zh-CN"/>
        </w:rPr>
        <w:t>应急通信</w:t>
      </w:r>
      <w:r>
        <w:rPr>
          <w:rFonts w:ascii="Calibri" w:hAnsi="Calibri" w:hint="eastAsia"/>
          <w:bCs/>
          <w:lang w:eastAsia="zh-CN"/>
        </w:rPr>
        <w:t>的路线图达成一致</w:t>
      </w:r>
      <w:r w:rsidRPr="00713809">
        <w:rPr>
          <w:rFonts w:ascii="Calibri" w:hAnsi="Calibri" w:hint="eastAsia"/>
          <w:bCs/>
          <w:lang w:eastAsia="zh-CN"/>
        </w:rPr>
        <w:t>。</w:t>
      </w:r>
    </w:p>
    <w:p w14:paraId="140F604C" w14:textId="22CFAE6D" w:rsidR="00622881"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lang w:eastAsia="zh-CN"/>
        </w:rPr>
      </w:pPr>
      <w:r w:rsidRPr="00434154">
        <w:rPr>
          <w:rFonts w:ascii="Calibri" w:hAnsi="Calibri" w:hint="eastAsia"/>
          <w:lang w:eastAsia="zh-CN"/>
        </w:rPr>
        <w:t>刚果民主共和国</w:t>
      </w:r>
      <w:r>
        <w:rPr>
          <w:rFonts w:ascii="Calibri" w:hAnsi="Calibri" w:hint="eastAsia"/>
          <w:lang w:eastAsia="zh-CN"/>
        </w:rPr>
        <w:t>于</w:t>
      </w:r>
      <w:r w:rsidRPr="00434154">
        <w:rPr>
          <w:rFonts w:ascii="Calibri" w:hAnsi="Calibri" w:hint="eastAsia"/>
          <w:lang w:eastAsia="zh-CN"/>
        </w:rPr>
        <w:t>1</w:t>
      </w:r>
      <w:r w:rsidRPr="00434154">
        <w:rPr>
          <w:rFonts w:ascii="Calibri" w:hAnsi="Calibri" w:hint="eastAsia"/>
          <w:lang w:eastAsia="zh-CN"/>
        </w:rPr>
        <w:t>月</w:t>
      </w:r>
      <w:r w:rsidRPr="00434154">
        <w:rPr>
          <w:rFonts w:ascii="Calibri" w:hAnsi="Calibri" w:hint="eastAsia"/>
          <w:lang w:eastAsia="zh-CN"/>
        </w:rPr>
        <w:t>28</w:t>
      </w:r>
      <w:r w:rsidRPr="00434154">
        <w:rPr>
          <w:rFonts w:ascii="Calibri" w:hAnsi="Calibri" w:hint="eastAsia"/>
          <w:lang w:eastAsia="zh-CN"/>
        </w:rPr>
        <w:t>日至</w:t>
      </w:r>
      <w:r w:rsidRPr="00434154">
        <w:rPr>
          <w:rFonts w:ascii="Calibri" w:hAnsi="Calibri" w:hint="eastAsia"/>
          <w:lang w:eastAsia="zh-CN"/>
        </w:rPr>
        <w:t>29</w:t>
      </w:r>
      <w:r w:rsidRPr="00434154">
        <w:rPr>
          <w:rFonts w:ascii="Calibri" w:hAnsi="Calibri" w:hint="eastAsia"/>
          <w:lang w:eastAsia="zh-CN"/>
        </w:rPr>
        <w:t>日举办了</w:t>
      </w:r>
      <w:r w:rsidR="0030459F">
        <w:rPr>
          <w:rFonts w:ascii="Calibri" w:hAnsi="Calibri" w:hint="eastAsia"/>
          <w:lang w:eastAsia="zh-CN"/>
        </w:rPr>
        <w:t>“</w:t>
      </w:r>
      <w:r w:rsidRPr="00434154">
        <w:rPr>
          <w:rFonts w:ascii="Calibri" w:hAnsi="Calibri" w:hint="eastAsia"/>
          <w:lang w:eastAsia="zh-CN"/>
        </w:rPr>
        <w:t>全民</w:t>
      </w:r>
      <w:r w:rsidR="00980710" w:rsidRPr="00980710">
        <w:rPr>
          <w:rFonts w:ascii="Calibri" w:hAnsi="Calibri"/>
          <w:lang w:eastAsia="zh-CN"/>
        </w:rPr>
        <w:t>早期</w:t>
      </w:r>
      <w:r w:rsidRPr="00434154">
        <w:rPr>
          <w:rFonts w:ascii="Calibri" w:hAnsi="Calibri" w:hint="eastAsia"/>
          <w:lang w:eastAsia="zh-CN"/>
        </w:rPr>
        <w:t>预警（</w:t>
      </w:r>
      <w:r w:rsidRPr="00434154">
        <w:rPr>
          <w:rFonts w:ascii="Calibri" w:hAnsi="Calibri" w:hint="eastAsia"/>
          <w:lang w:eastAsia="zh-CN"/>
        </w:rPr>
        <w:t>EW4All</w:t>
      </w:r>
      <w:r w:rsidRPr="00434154">
        <w:rPr>
          <w:rFonts w:ascii="Calibri" w:hAnsi="Calibri" w:hint="eastAsia"/>
          <w:lang w:eastAsia="zh-CN"/>
        </w:rPr>
        <w:t>）</w:t>
      </w:r>
      <w:r w:rsidR="0030459F">
        <w:rPr>
          <w:rFonts w:ascii="Calibri" w:hAnsi="Calibri" w:hint="eastAsia"/>
          <w:lang w:eastAsia="zh-CN"/>
        </w:rPr>
        <w:t>”</w:t>
      </w:r>
      <w:r w:rsidRPr="00434154">
        <w:rPr>
          <w:rFonts w:ascii="Calibri" w:hAnsi="Calibri" w:hint="eastAsia"/>
          <w:lang w:eastAsia="zh-CN"/>
        </w:rPr>
        <w:t>国家</w:t>
      </w:r>
      <w:r w:rsidRPr="00713809">
        <w:rPr>
          <w:rFonts w:ascii="Calibri" w:hAnsi="Calibri" w:hint="eastAsia"/>
          <w:lang w:eastAsia="zh-CN"/>
        </w:rPr>
        <w:t>咨询</w:t>
      </w:r>
      <w:r w:rsidRPr="00434154">
        <w:rPr>
          <w:rFonts w:ascii="Calibri" w:hAnsi="Calibri" w:hint="eastAsia"/>
          <w:lang w:eastAsia="zh-CN"/>
        </w:rPr>
        <w:t>讲习班，正式在该国推出</w:t>
      </w:r>
      <w:r w:rsidRPr="00713809">
        <w:rPr>
          <w:rFonts w:ascii="Calibri" w:hAnsi="Calibri"/>
          <w:lang w:eastAsia="zh-CN"/>
        </w:rPr>
        <w:t>EW4ALL</w:t>
      </w:r>
      <w:r w:rsidRPr="00434154">
        <w:rPr>
          <w:rFonts w:ascii="Calibri" w:hAnsi="Calibri" w:hint="eastAsia"/>
          <w:lang w:eastAsia="zh-CN"/>
        </w:rPr>
        <w:t>举措。该讲习班由电信发展局牵头，与</w:t>
      </w:r>
      <w:r w:rsidRPr="00434154">
        <w:rPr>
          <w:rFonts w:ascii="Calibri" w:hAnsi="Calibri" w:hint="eastAsia"/>
          <w:lang w:eastAsia="zh-CN"/>
        </w:rPr>
        <w:t>EW4All</w:t>
      </w:r>
      <w:r w:rsidRPr="00434154">
        <w:rPr>
          <w:rFonts w:ascii="Calibri" w:hAnsi="Calibri" w:hint="eastAsia"/>
          <w:lang w:eastAsia="zh-CN"/>
        </w:rPr>
        <w:t>支柱牵头机构、联合国减少灾害风险办公室（</w:t>
      </w:r>
      <w:r w:rsidRPr="00434154">
        <w:rPr>
          <w:rFonts w:ascii="Calibri" w:hAnsi="Calibri" w:hint="eastAsia"/>
          <w:lang w:eastAsia="zh-CN"/>
        </w:rPr>
        <w:t>UNDRR</w:t>
      </w:r>
      <w:r w:rsidRPr="00434154">
        <w:rPr>
          <w:rFonts w:ascii="Calibri" w:hAnsi="Calibri" w:hint="eastAsia"/>
          <w:lang w:eastAsia="zh-CN"/>
        </w:rPr>
        <w:t>）、世界气象组织（</w:t>
      </w:r>
      <w:r w:rsidRPr="00434154">
        <w:rPr>
          <w:rFonts w:ascii="Calibri" w:hAnsi="Calibri" w:hint="eastAsia"/>
          <w:lang w:eastAsia="zh-CN"/>
        </w:rPr>
        <w:t>WMO</w:t>
      </w:r>
      <w:r w:rsidRPr="00434154">
        <w:rPr>
          <w:rFonts w:ascii="Calibri" w:hAnsi="Calibri" w:hint="eastAsia"/>
          <w:lang w:eastAsia="zh-CN"/>
        </w:rPr>
        <w:t>）和红十字会与红新月会国际联合会（</w:t>
      </w:r>
      <w:r w:rsidRPr="00434154">
        <w:rPr>
          <w:rFonts w:ascii="Calibri" w:hAnsi="Calibri" w:hint="eastAsia"/>
          <w:lang w:eastAsia="zh-CN"/>
        </w:rPr>
        <w:t>IFRC</w:t>
      </w:r>
      <w:r w:rsidRPr="00434154">
        <w:rPr>
          <w:rFonts w:ascii="Calibri" w:hAnsi="Calibri" w:hint="eastAsia"/>
          <w:lang w:eastAsia="zh-CN"/>
        </w:rPr>
        <w:t>）合作，并得到了</w:t>
      </w:r>
      <w:r w:rsidR="0030459F" w:rsidRPr="00434154">
        <w:rPr>
          <w:rFonts w:ascii="Calibri" w:hAnsi="Calibri" w:hint="eastAsia"/>
          <w:lang w:eastAsia="zh-CN"/>
        </w:rPr>
        <w:t>刚果</w:t>
      </w:r>
      <w:r w:rsidRPr="00434154">
        <w:rPr>
          <w:rFonts w:ascii="Calibri" w:hAnsi="Calibri" w:hint="eastAsia"/>
          <w:lang w:eastAsia="zh-CN"/>
        </w:rPr>
        <w:t>内政部、邮电管理局、国家</w:t>
      </w:r>
      <w:r w:rsidRPr="00713809">
        <w:rPr>
          <w:rFonts w:ascii="Calibri" w:hAnsi="Calibri" w:hint="eastAsia"/>
          <w:lang w:eastAsia="zh-CN"/>
        </w:rPr>
        <w:t>气象和卫星遥感</w:t>
      </w:r>
      <w:r w:rsidRPr="00434154">
        <w:rPr>
          <w:rFonts w:ascii="Calibri" w:hAnsi="Calibri" w:hint="eastAsia"/>
          <w:lang w:eastAsia="zh-CN"/>
        </w:rPr>
        <w:t>局和</w:t>
      </w:r>
      <w:r w:rsidRPr="00713809">
        <w:rPr>
          <w:rFonts w:ascii="Calibri" w:hAnsi="Calibri" w:hint="eastAsia"/>
          <w:lang w:eastAsia="zh-CN"/>
        </w:rPr>
        <w:t>航道管理局的支持</w:t>
      </w:r>
      <w:r w:rsidRPr="00434154">
        <w:rPr>
          <w:rFonts w:ascii="Calibri" w:hAnsi="Calibri" w:hint="eastAsia"/>
          <w:lang w:eastAsia="zh-CN"/>
        </w:rPr>
        <w:t>。电信发展局与政府、联合国伙伴和国家机构的合作</w:t>
      </w:r>
      <w:r w:rsidR="0030459F">
        <w:rPr>
          <w:rFonts w:ascii="Calibri" w:hAnsi="Calibri" w:hint="eastAsia"/>
          <w:lang w:eastAsia="zh-CN"/>
        </w:rPr>
        <w:t>，</w:t>
      </w:r>
      <w:r w:rsidRPr="00434154">
        <w:rPr>
          <w:rFonts w:ascii="Calibri" w:hAnsi="Calibri" w:hint="eastAsia"/>
          <w:lang w:eastAsia="zh-CN"/>
        </w:rPr>
        <w:t>有助于确定</w:t>
      </w:r>
      <w:r w:rsidRPr="00434154">
        <w:rPr>
          <w:rFonts w:ascii="Calibri" w:hAnsi="Calibri" w:hint="eastAsia"/>
          <w:lang w:eastAsia="zh-CN"/>
        </w:rPr>
        <w:t>EW4All</w:t>
      </w:r>
      <w:r w:rsidRPr="00434154">
        <w:rPr>
          <w:rFonts w:ascii="Calibri" w:hAnsi="Calibri" w:hint="eastAsia"/>
          <w:lang w:eastAsia="zh-CN"/>
        </w:rPr>
        <w:t>四个支柱</w:t>
      </w:r>
      <w:r w:rsidR="0030459F">
        <w:rPr>
          <w:rFonts w:ascii="Calibri" w:hAnsi="Calibri" w:hint="eastAsia"/>
          <w:lang w:eastAsia="zh-CN"/>
        </w:rPr>
        <w:t>存在</w:t>
      </w:r>
      <w:r w:rsidRPr="00434154">
        <w:rPr>
          <w:rFonts w:ascii="Calibri" w:hAnsi="Calibri" w:hint="eastAsia"/>
          <w:lang w:eastAsia="zh-CN"/>
        </w:rPr>
        <w:t>的差距，并共同制定</w:t>
      </w:r>
      <w:r w:rsidR="0030459F">
        <w:rPr>
          <w:rFonts w:ascii="Calibri" w:hAnsi="Calibri" w:hint="eastAsia"/>
          <w:lang w:eastAsia="zh-CN"/>
        </w:rPr>
        <w:t>涵盖</w:t>
      </w:r>
      <w:r w:rsidRPr="00434154">
        <w:rPr>
          <w:rFonts w:ascii="Calibri" w:hAnsi="Calibri" w:hint="eastAsia"/>
          <w:lang w:eastAsia="zh-CN"/>
        </w:rPr>
        <w:t>风险知识、预测、预警发布和通信以及备灾的国家路线图，从而加强该国实现</w:t>
      </w:r>
      <w:r w:rsidR="00980710">
        <w:rPr>
          <w:rFonts w:ascii="Calibri" w:hAnsi="Calibri" w:hint="eastAsia"/>
          <w:lang w:eastAsia="zh-CN"/>
        </w:rPr>
        <w:t>“</w:t>
      </w:r>
      <w:r w:rsidRPr="00434154">
        <w:rPr>
          <w:rFonts w:ascii="Calibri" w:hAnsi="Calibri" w:hint="eastAsia"/>
          <w:lang w:eastAsia="zh-CN"/>
        </w:rPr>
        <w:t>全民</w:t>
      </w:r>
      <w:r w:rsidR="00980710" w:rsidRPr="00980710">
        <w:rPr>
          <w:rFonts w:ascii="Calibri" w:hAnsi="Calibri"/>
          <w:lang w:eastAsia="zh-CN"/>
        </w:rPr>
        <w:t>早期</w:t>
      </w:r>
      <w:r w:rsidRPr="00434154">
        <w:rPr>
          <w:rFonts w:ascii="Calibri" w:hAnsi="Calibri" w:hint="eastAsia"/>
          <w:lang w:eastAsia="zh-CN"/>
        </w:rPr>
        <w:t>预警</w:t>
      </w:r>
      <w:r w:rsidR="00980710">
        <w:rPr>
          <w:rFonts w:ascii="Calibri" w:hAnsi="Calibri" w:hint="eastAsia"/>
          <w:lang w:eastAsia="zh-CN"/>
        </w:rPr>
        <w:t>”</w:t>
      </w:r>
      <w:r w:rsidRPr="00434154">
        <w:rPr>
          <w:rFonts w:ascii="Calibri" w:hAnsi="Calibri" w:hint="eastAsia"/>
          <w:lang w:eastAsia="zh-CN"/>
        </w:rPr>
        <w:t>的途径。</w:t>
      </w:r>
    </w:p>
    <w:p w14:paraId="2CEE07CC" w14:textId="0606516F" w:rsidR="00622881"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lang w:eastAsia="zh-CN"/>
        </w:rPr>
      </w:pPr>
      <w:r>
        <w:rPr>
          <w:rFonts w:ascii="Calibri" w:hAnsi="Calibri" w:hint="eastAsia"/>
          <w:lang w:eastAsia="zh-CN"/>
        </w:rPr>
        <w:t>马拉维于</w:t>
      </w:r>
      <w:r w:rsidRPr="000736BC">
        <w:rPr>
          <w:rFonts w:ascii="Calibri" w:hAnsi="Calibri" w:hint="eastAsia"/>
          <w:lang w:eastAsia="zh-CN"/>
        </w:rPr>
        <w:t>2</w:t>
      </w:r>
      <w:r w:rsidRPr="000736BC">
        <w:rPr>
          <w:rFonts w:ascii="Calibri" w:hAnsi="Calibri" w:hint="eastAsia"/>
          <w:lang w:eastAsia="zh-CN"/>
        </w:rPr>
        <w:t>月</w:t>
      </w:r>
      <w:r w:rsidRPr="000736BC">
        <w:rPr>
          <w:rFonts w:ascii="Calibri" w:hAnsi="Calibri" w:hint="eastAsia"/>
          <w:lang w:eastAsia="zh-CN"/>
        </w:rPr>
        <w:t>11</w:t>
      </w:r>
      <w:r w:rsidRPr="000736BC">
        <w:rPr>
          <w:rFonts w:ascii="Calibri" w:hAnsi="Calibri" w:hint="eastAsia"/>
          <w:lang w:eastAsia="zh-CN"/>
        </w:rPr>
        <w:t>日至</w:t>
      </w:r>
      <w:r w:rsidRPr="000736BC">
        <w:rPr>
          <w:rFonts w:ascii="Calibri" w:hAnsi="Calibri" w:hint="eastAsia"/>
          <w:lang w:eastAsia="zh-CN"/>
        </w:rPr>
        <w:t>12</w:t>
      </w:r>
      <w:r w:rsidRPr="000736BC">
        <w:rPr>
          <w:rFonts w:ascii="Calibri" w:hAnsi="Calibri" w:hint="eastAsia"/>
          <w:lang w:eastAsia="zh-CN"/>
        </w:rPr>
        <w:t>日</w:t>
      </w:r>
      <w:r>
        <w:rPr>
          <w:rFonts w:ascii="Calibri" w:hAnsi="Calibri" w:hint="eastAsia"/>
          <w:lang w:eastAsia="zh-CN"/>
        </w:rPr>
        <w:t>，</w:t>
      </w:r>
      <w:r w:rsidRPr="000736BC">
        <w:rPr>
          <w:rFonts w:ascii="Calibri" w:hAnsi="Calibri" w:hint="eastAsia"/>
          <w:lang w:eastAsia="zh-CN"/>
        </w:rPr>
        <w:t>在气候风险和预警系统举措主办的马拉维预警服务合作伙伴协调会议期间举行了</w:t>
      </w:r>
      <w:r w:rsidR="00980710">
        <w:rPr>
          <w:rFonts w:ascii="Calibri" w:hAnsi="Calibri" w:hint="eastAsia"/>
          <w:lang w:eastAsia="zh-CN"/>
        </w:rPr>
        <w:t>“</w:t>
      </w:r>
      <w:r w:rsidRPr="000736BC">
        <w:rPr>
          <w:rFonts w:ascii="Calibri" w:hAnsi="Calibri" w:hint="eastAsia"/>
          <w:lang w:eastAsia="zh-CN"/>
        </w:rPr>
        <w:t>全民</w:t>
      </w:r>
      <w:r w:rsidR="00980710" w:rsidRPr="00980710">
        <w:rPr>
          <w:rFonts w:ascii="Calibri" w:hAnsi="Calibri"/>
          <w:lang w:eastAsia="zh-CN"/>
        </w:rPr>
        <w:t>早期</w:t>
      </w:r>
      <w:r w:rsidRPr="000736BC">
        <w:rPr>
          <w:rFonts w:ascii="Calibri" w:hAnsi="Calibri" w:hint="eastAsia"/>
          <w:lang w:eastAsia="zh-CN"/>
        </w:rPr>
        <w:t>预警</w:t>
      </w:r>
      <w:r w:rsidR="00980710">
        <w:rPr>
          <w:rFonts w:ascii="Calibri" w:hAnsi="Calibri" w:hint="eastAsia"/>
          <w:lang w:eastAsia="zh-CN"/>
        </w:rPr>
        <w:t>”</w:t>
      </w:r>
      <w:r w:rsidRPr="000736BC">
        <w:rPr>
          <w:rFonts w:ascii="Calibri" w:hAnsi="Calibri" w:hint="eastAsia"/>
          <w:lang w:eastAsia="zh-CN"/>
        </w:rPr>
        <w:t>（</w:t>
      </w:r>
      <w:r w:rsidRPr="000736BC">
        <w:rPr>
          <w:rFonts w:ascii="Calibri" w:hAnsi="Calibri" w:hint="eastAsia"/>
          <w:lang w:eastAsia="zh-CN"/>
        </w:rPr>
        <w:t>EW4All</w:t>
      </w:r>
      <w:r w:rsidRPr="000736BC">
        <w:rPr>
          <w:rFonts w:ascii="Calibri" w:hAnsi="Calibri" w:hint="eastAsia"/>
          <w:lang w:eastAsia="zh-CN"/>
        </w:rPr>
        <w:t>）国家</w:t>
      </w:r>
      <w:r>
        <w:rPr>
          <w:rFonts w:ascii="Calibri" w:hAnsi="Calibri" w:hint="eastAsia"/>
          <w:lang w:eastAsia="zh-CN"/>
        </w:rPr>
        <w:t>咨询</w:t>
      </w:r>
      <w:r w:rsidRPr="000736BC">
        <w:rPr>
          <w:rFonts w:ascii="Calibri" w:hAnsi="Calibri" w:hint="eastAsia"/>
          <w:lang w:eastAsia="zh-CN"/>
        </w:rPr>
        <w:t>讲习班。该讲习班是与</w:t>
      </w:r>
      <w:r w:rsidRPr="000736BC">
        <w:rPr>
          <w:rFonts w:ascii="Calibri" w:hAnsi="Calibri" w:hint="eastAsia"/>
          <w:lang w:eastAsia="zh-CN"/>
        </w:rPr>
        <w:t>EW4All</w:t>
      </w:r>
      <w:r w:rsidRPr="000736BC">
        <w:rPr>
          <w:rFonts w:ascii="Calibri" w:hAnsi="Calibri" w:hint="eastAsia"/>
          <w:lang w:eastAsia="zh-CN"/>
        </w:rPr>
        <w:t>支柱牵头机构和国家合作伙伴共同组织的，为政府、联合国伙伴和机构提供了一个</w:t>
      </w:r>
      <w:r w:rsidR="00980710" w:rsidRPr="000736BC">
        <w:rPr>
          <w:rFonts w:ascii="Calibri" w:hAnsi="Calibri" w:hint="eastAsia"/>
          <w:lang w:eastAsia="zh-CN"/>
        </w:rPr>
        <w:t>协作</w:t>
      </w:r>
      <w:r w:rsidRPr="000736BC">
        <w:rPr>
          <w:rFonts w:ascii="Calibri" w:hAnsi="Calibri" w:hint="eastAsia"/>
          <w:lang w:eastAsia="zh-CN"/>
        </w:rPr>
        <w:t>平台，以审查</w:t>
      </w:r>
      <w:r w:rsidRPr="000736BC">
        <w:rPr>
          <w:rFonts w:ascii="Calibri" w:hAnsi="Calibri" w:hint="eastAsia"/>
          <w:lang w:eastAsia="zh-CN"/>
        </w:rPr>
        <w:t>EW4All</w:t>
      </w:r>
      <w:r w:rsidRPr="000736BC">
        <w:rPr>
          <w:rFonts w:ascii="Calibri" w:hAnsi="Calibri" w:hint="eastAsia"/>
          <w:lang w:eastAsia="zh-CN"/>
        </w:rPr>
        <w:t>的目标</w:t>
      </w:r>
      <w:r w:rsidR="00980710">
        <w:rPr>
          <w:rFonts w:ascii="Calibri" w:hAnsi="Calibri" w:hint="eastAsia"/>
          <w:lang w:eastAsia="zh-CN"/>
        </w:rPr>
        <w:t>、</w:t>
      </w:r>
      <w:r w:rsidR="00980710" w:rsidRPr="00980710">
        <w:rPr>
          <w:rFonts w:ascii="Calibri" w:hAnsi="Calibri"/>
          <w:lang w:eastAsia="zh-CN"/>
        </w:rPr>
        <w:t>梳理</w:t>
      </w:r>
      <w:r w:rsidRPr="000736BC">
        <w:rPr>
          <w:rFonts w:ascii="Calibri" w:hAnsi="Calibri" w:hint="eastAsia"/>
          <w:lang w:eastAsia="zh-CN"/>
        </w:rPr>
        <w:t>关键利益攸关方，并</w:t>
      </w:r>
      <w:r w:rsidR="00980710">
        <w:rPr>
          <w:rFonts w:ascii="Calibri" w:hAnsi="Calibri" w:hint="eastAsia"/>
          <w:lang w:eastAsia="zh-CN"/>
        </w:rPr>
        <w:t>就</w:t>
      </w:r>
      <w:r w:rsidR="00980710" w:rsidRPr="000736BC">
        <w:rPr>
          <w:rFonts w:ascii="Calibri" w:hAnsi="Calibri" w:hint="eastAsia"/>
          <w:lang w:eastAsia="zh-CN"/>
        </w:rPr>
        <w:t>加强马拉维各地以人为本的预警系统</w:t>
      </w:r>
      <w:r w:rsidRPr="000736BC">
        <w:rPr>
          <w:rFonts w:ascii="Calibri" w:hAnsi="Calibri" w:hint="eastAsia"/>
          <w:lang w:eastAsia="zh-CN"/>
        </w:rPr>
        <w:t>商定优先行动和下一步措施。马拉维通信管理局强调</w:t>
      </w:r>
      <w:r w:rsidR="00980710">
        <w:rPr>
          <w:rFonts w:ascii="Calibri" w:hAnsi="Calibri" w:hint="eastAsia"/>
          <w:lang w:eastAsia="zh-CN"/>
        </w:rPr>
        <w:t>，</w:t>
      </w:r>
      <w:r w:rsidRPr="000736BC">
        <w:rPr>
          <w:rFonts w:ascii="Calibri" w:hAnsi="Calibri" w:hint="eastAsia"/>
          <w:lang w:eastAsia="zh-CN"/>
        </w:rPr>
        <w:t>有必要将小区广播</w:t>
      </w:r>
      <w:r>
        <w:rPr>
          <w:rFonts w:ascii="Calibri" w:hAnsi="Calibri" w:hint="eastAsia"/>
          <w:lang w:eastAsia="zh-CN"/>
        </w:rPr>
        <w:t>纳入</w:t>
      </w:r>
      <w:r w:rsidRPr="000736BC">
        <w:rPr>
          <w:rFonts w:ascii="Calibri" w:hAnsi="Calibri" w:hint="eastAsia"/>
          <w:lang w:eastAsia="zh-CN"/>
        </w:rPr>
        <w:t>加强国家预警系统</w:t>
      </w:r>
      <w:r>
        <w:rPr>
          <w:rFonts w:ascii="Calibri" w:hAnsi="Calibri" w:hint="eastAsia"/>
          <w:lang w:eastAsia="zh-CN"/>
        </w:rPr>
        <w:t>的工作中</w:t>
      </w:r>
      <w:r w:rsidRPr="000736BC">
        <w:rPr>
          <w:rFonts w:ascii="Calibri" w:hAnsi="Calibri" w:hint="eastAsia"/>
          <w:lang w:eastAsia="zh-CN"/>
        </w:rPr>
        <w:t>，并强调国际电</w:t>
      </w:r>
      <w:proofErr w:type="gramStart"/>
      <w:r w:rsidRPr="000736BC">
        <w:rPr>
          <w:rFonts w:ascii="Calibri" w:hAnsi="Calibri" w:hint="eastAsia"/>
          <w:lang w:eastAsia="zh-CN"/>
        </w:rPr>
        <w:t>联电信</w:t>
      </w:r>
      <w:proofErr w:type="gramEnd"/>
      <w:r w:rsidRPr="000736BC">
        <w:rPr>
          <w:rFonts w:ascii="Calibri" w:hAnsi="Calibri" w:hint="eastAsia"/>
          <w:lang w:eastAsia="zh-CN"/>
        </w:rPr>
        <w:t>发展局一直在向该国提供应急通信方面的支持。</w:t>
      </w:r>
    </w:p>
    <w:p w14:paraId="42ADDBD3" w14:textId="1F60EBD0" w:rsidR="00622881" w:rsidRPr="001B50CC"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lang w:eastAsia="zh-CN"/>
        </w:rPr>
      </w:pPr>
      <w:r w:rsidRPr="00713809">
        <w:rPr>
          <w:rFonts w:ascii="Calibri" w:hAnsi="Calibri" w:hint="eastAsia"/>
          <w:b/>
          <w:bCs/>
          <w:lang w:eastAsia="zh-CN"/>
        </w:rPr>
        <w:t>在美洲地区，</w:t>
      </w:r>
      <w:r w:rsidRPr="00687B9A">
        <w:rPr>
          <w:rFonts w:ascii="Calibri" w:hAnsi="Calibri" w:hint="eastAsia"/>
          <w:lang w:eastAsia="zh-CN"/>
        </w:rPr>
        <w:t>电信发展局将</w:t>
      </w:r>
      <w:r w:rsidR="00AA62CF">
        <w:rPr>
          <w:rFonts w:ascii="Calibri" w:hAnsi="Calibri" w:hint="eastAsia"/>
          <w:lang w:eastAsia="zh-CN"/>
        </w:rPr>
        <w:t>“</w:t>
      </w:r>
      <w:r w:rsidRPr="00687B9A">
        <w:rPr>
          <w:rFonts w:ascii="Calibri" w:hAnsi="Calibri" w:hint="eastAsia"/>
          <w:lang w:eastAsia="zh-CN"/>
        </w:rPr>
        <w:t>国家应急通信计划</w:t>
      </w:r>
      <w:r w:rsidR="00AA62CF">
        <w:rPr>
          <w:rFonts w:ascii="Calibri" w:hAnsi="Calibri" w:hint="eastAsia"/>
          <w:lang w:eastAsia="zh-CN"/>
        </w:rPr>
        <w:t>”</w:t>
      </w:r>
      <w:r w:rsidRPr="00687B9A">
        <w:rPr>
          <w:rFonts w:ascii="Calibri" w:hAnsi="Calibri" w:hint="eastAsia"/>
          <w:lang w:eastAsia="zh-CN"/>
        </w:rPr>
        <w:t>（</w:t>
      </w:r>
      <w:r w:rsidRPr="00687B9A">
        <w:rPr>
          <w:rFonts w:ascii="Calibri" w:hAnsi="Calibri" w:hint="eastAsia"/>
          <w:lang w:eastAsia="zh-CN"/>
        </w:rPr>
        <w:t>NETP</w:t>
      </w:r>
      <w:r w:rsidRPr="00687B9A">
        <w:rPr>
          <w:rFonts w:ascii="Calibri" w:hAnsi="Calibri" w:hint="eastAsia"/>
          <w:lang w:eastAsia="zh-CN"/>
        </w:rPr>
        <w:t>）移交给海地国家电信委员会（</w:t>
      </w:r>
      <w:r w:rsidRPr="00687B9A">
        <w:rPr>
          <w:rFonts w:ascii="Calibri" w:hAnsi="Calibri" w:hint="eastAsia"/>
          <w:lang w:eastAsia="zh-CN"/>
        </w:rPr>
        <w:t>CONATEL</w:t>
      </w:r>
      <w:r w:rsidRPr="00687B9A">
        <w:rPr>
          <w:rFonts w:ascii="Calibri" w:hAnsi="Calibri" w:hint="eastAsia"/>
          <w:lang w:eastAsia="zh-CN"/>
        </w:rPr>
        <w:t>）。这一里程碑</w:t>
      </w:r>
      <w:r w:rsidR="00AA62CF" w:rsidRPr="00AA62CF">
        <w:rPr>
          <w:rFonts w:ascii="Calibri" w:hAnsi="Calibri"/>
          <w:lang w:eastAsia="zh-CN"/>
        </w:rPr>
        <w:t>式的进展</w:t>
      </w:r>
      <w:r w:rsidRPr="00687B9A">
        <w:rPr>
          <w:rFonts w:ascii="Calibri" w:hAnsi="Calibri" w:hint="eastAsia"/>
          <w:lang w:eastAsia="zh-CN"/>
        </w:rPr>
        <w:t>加强了海地的备灾</w:t>
      </w:r>
      <w:r w:rsidR="00AA62CF" w:rsidRPr="00AA62CF">
        <w:rPr>
          <w:rFonts w:ascii="Calibri" w:hAnsi="Calibri"/>
          <w:lang w:eastAsia="zh-CN"/>
        </w:rPr>
        <w:t>能力</w:t>
      </w:r>
      <w:r w:rsidRPr="00687B9A">
        <w:rPr>
          <w:rFonts w:ascii="Calibri" w:hAnsi="Calibri" w:hint="eastAsia"/>
          <w:lang w:eastAsia="zh-CN"/>
        </w:rPr>
        <w:t>和国家协调</w:t>
      </w:r>
      <w:r w:rsidR="00AA62CF" w:rsidRPr="00AA62CF">
        <w:rPr>
          <w:rFonts w:ascii="Calibri" w:hAnsi="Calibri"/>
          <w:lang w:eastAsia="zh-CN"/>
        </w:rPr>
        <w:t>水平</w:t>
      </w:r>
      <w:r w:rsidRPr="00687B9A">
        <w:rPr>
          <w:rFonts w:ascii="Calibri" w:hAnsi="Calibri" w:hint="eastAsia"/>
          <w:lang w:eastAsia="zh-CN"/>
        </w:rPr>
        <w:t>，确保</w:t>
      </w:r>
      <w:r w:rsidR="00AA62CF" w:rsidRPr="00687B9A">
        <w:rPr>
          <w:rFonts w:ascii="Calibri" w:hAnsi="Calibri" w:hint="eastAsia"/>
          <w:lang w:eastAsia="zh-CN"/>
        </w:rPr>
        <w:t>救生通信功能</w:t>
      </w:r>
      <w:r w:rsidRPr="00687B9A">
        <w:rPr>
          <w:rFonts w:ascii="Calibri" w:hAnsi="Calibri" w:hint="eastAsia"/>
          <w:lang w:eastAsia="zh-CN"/>
        </w:rPr>
        <w:t>在灾前、</w:t>
      </w:r>
      <w:r w:rsidR="00AA62CF" w:rsidRPr="00687B9A">
        <w:rPr>
          <w:rFonts w:ascii="Calibri" w:hAnsi="Calibri" w:hint="eastAsia"/>
          <w:lang w:eastAsia="zh-CN"/>
        </w:rPr>
        <w:t>灾</w:t>
      </w:r>
      <w:r w:rsidR="00AA62CF">
        <w:rPr>
          <w:rFonts w:ascii="Calibri" w:hAnsi="Calibri" w:hint="eastAsia"/>
          <w:lang w:eastAsia="zh-CN"/>
        </w:rPr>
        <w:t>中</w:t>
      </w:r>
      <w:r w:rsidRPr="00687B9A">
        <w:rPr>
          <w:rFonts w:ascii="Calibri" w:hAnsi="Calibri" w:hint="eastAsia"/>
          <w:lang w:eastAsia="zh-CN"/>
        </w:rPr>
        <w:t>和</w:t>
      </w:r>
      <w:r w:rsidR="00AA62CF" w:rsidRPr="00687B9A">
        <w:rPr>
          <w:rFonts w:ascii="Calibri" w:hAnsi="Calibri" w:hint="eastAsia"/>
          <w:lang w:eastAsia="zh-CN"/>
        </w:rPr>
        <w:t>灾</w:t>
      </w:r>
      <w:r w:rsidRPr="00687B9A">
        <w:rPr>
          <w:rFonts w:ascii="Calibri" w:hAnsi="Calibri" w:hint="eastAsia"/>
          <w:lang w:eastAsia="zh-CN"/>
        </w:rPr>
        <w:t>后都能有的放矢，</w:t>
      </w:r>
      <w:r w:rsidR="00AA62CF" w:rsidRPr="00AA62CF">
        <w:rPr>
          <w:rFonts w:ascii="Calibri" w:hAnsi="Calibri"/>
          <w:lang w:eastAsia="zh-CN"/>
        </w:rPr>
        <w:t>助力</w:t>
      </w:r>
      <w:r w:rsidRPr="00687B9A">
        <w:rPr>
          <w:rFonts w:ascii="Calibri" w:hAnsi="Calibri" w:hint="eastAsia"/>
          <w:lang w:eastAsia="zh-CN"/>
        </w:rPr>
        <w:t>保护生命和福祉，不让任何人掉队。</w:t>
      </w:r>
    </w:p>
    <w:p w14:paraId="22D708C4" w14:textId="248764A9" w:rsidR="00622881"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lang w:eastAsia="zh-CN"/>
        </w:rPr>
      </w:pPr>
      <w:r w:rsidRPr="000736BC">
        <w:rPr>
          <w:rFonts w:ascii="Calibri" w:hAnsi="Calibri" w:hint="eastAsia"/>
          <w:lang w:eastAsia="zh-CN"/>
        </w:rPr>
        <w:t>根据区域</w:t>
      </w:r>
      <w:r>
        <w:rPr>
          <w:rFonts w:ascii="Calibri" w:hAnsi="Calibri" w:hint="eastAsia"/>
          <w:lang w:eastAsia="zh-CN"/>
        </w:rPr>
        <w:t>重点工作</w:t>
      </w:r>
      <w:r w:rsidRPr="000736BC">
        <w:rPr>
          <w:rFonts w:ascii="Calibri" w:hAnsi="Calibri" w:hint="eastAsia"/>
          <w:lang w:eastAsia="zh-CN"/>
        </w:rPr>
        <w:t>，电信发展局在巴拿马城第八届区域论坛（</w:t>
      </w:r>
      <w:r w:rsidRPr="000736BC">
        <w:rPr>
          <w:rFonts w:ascii="Calibri" w:hAnsi="Calibri" w:hint="eastAsia"/>
          <w:lang w:eastAsia="zh-CN"/>
        </w:rPr>
        <w:t>3</w:t>
      </w:r>
      <w:r w:rsidRPr="000736BC">
        <w:rPr>
          <w:rFonts w:ascii="Calibri" w:hAnsi="Calibri" w:hint="eastAsia"/>
          <w:lang w:eastAsia="zh-CN"/>
        </w:rPr>
        <w:t>月</w:t>
      </w:r>
      <w:r w:rsidRPr="000736BC">
        <w:rPr>
          <w:rFonts w:ascii="Calibri" w:hAnsi="Calibri" w:hint="eastAsia"/>
          <w:lang w:eastAsia="zh-CN"/>
        </w:rPr>
        <w:t>17</w:t>
      </w:r>
      <w:r w:rsidR="00AA62CF" w:rsidRPr="00AA62CF">
        <w:rPr>
          <w:rFonts w:ascii="Calibri" w:hAnsi="Calibri"/>
          <w:lang w:eastAsia="zh-CN"/>
        </w:rPr>
        <w:t>日至</w:t>
      </w:r>
      <w:r w:rsidRPr="000736BC">
        <w:rPr>
          <w:rFonts w:ascii="Calibri" w:hAnsi="Calibri" w:hint="eastAsia"/>
          <w:lang w:eastAsia="zh-CN"/>
        </w:rPr>
        <w:t>19</w:t>
      </w:r>
      <w:r w:rsidRPr="000736BC">
        <w:rPr>
          <w:rFonts w:ascii="Calibri" w:hAnsi="Calibri" w:hint="eastAsia"/>
          <w:lang w:eastAsia="zh-CN"/>
        </w:rPr>
        <w:t>日）期间介绍了其在</w:t>
      </w:r>
      <w:r w:rsidR="00AA62CF">
        <w:rPr>
          <w:rFonts w:ascii="Calibri" w:hAnsi="Calibri" w:hint="eastAsia"/>
          <w:lang w:eastAsia="zh-CN"/>
        </w:rPr>
        <w:t>“</w:t>
      </w:r>
      <w:r w:rsidRPr="000736BC">
        <w:rPr>
          <w:rFonts w:ascii="Calibri" w:hAnsi="Calibri" w:hint="eastAsia"/>
          <w:lang w:eastAsia="zh-CN"/>
        </w:rPr>
        <w:t>全民</w:t>
      </w:r>
      <w:r w:rsidR="00AA62CF">
        <w:rPr>
          <w:rFonts w:ascii="Calibri" w:hAnsi="Calibri" w:hint="eastAsia"/>
          <w:lang w:eastAsia="zh-CN"/>
        </w:rPr>
        <w:t>早期</w:t>
      </w:r>
      <w:r w:rsidRPr="000736BC">
        <w:rPr>
          <w:rFonts w:ascii="Calibri" w:hAnsi="Calibri" w:hint="eastAsia"/>
          <w:lang w:eastAsia="zh-CN"/>
        </w:rPr>
        <w:t>预警</w:t>
      </w:r>
      <w:r w:rsidR="00AA62CF">
        <w:rPr>
          <w:rFonts w:ascii="Calibri" w:hAnsi="Calibri" w:hint="eastAsia"/>
          <w:lang w:eastAsia="zh-CN"/>
        </w:rPr>
        <w:t>”</w:t>
      </w:r>
      <w:r w:rsidRPr="000736BC">
        <w:rPr>
          <w:rFonts w:ascii="Calibri" w:hAnsi="Calibri" w:hint="eastAsia"/>
          <w:lang w:eastAsia="zh-CN"/>
        </w:rPr>
        <w:t>（</w:t>
      </w:r>
      <w:r w:rsidRPr="000736BC">
        <w:rPr>
          <w:rFonts w:ascii="Calibri" w:hAnsi="Calibri" w:hint="eastAsia"/>
          <w:lang w:eastAsia="zh-CN"/>
        </w:rPr>
        <w:t>EW4ALL</w:t>
      </w:r>
      <w:r w:rsidRPr="000736BC">
        <w:rPr>
          <w:rFonts w:ascii="Calibri" w:hAnsi="Calibri" w:hint="eastAsia"/>
          <w:lang w:eastAsia="zh-CN"/>
        </w:rPr>
        <w:t>）举措支柱</w:t>
      </w:r>
      <w:r w:rsidRPr="000736BC">
        <w:rPr>
          <w:rFonts w:ascii="Calibri" w:hAnsi="Calibri" w:hint="eastAsia"/>
          <w:lang w:eastAsia="zh-CN"/>
        </w:rPr>
        <w:t>3</w:t>
      </w:r>
      <w:r w:rsidRPr="000736BC">
        <w:rPr>
          <w:rFonts w:ascii="Calibri" w:hAnsi="Calibri" w:hint="eastAsia"/>
          <w:lang w:eastAsia="zh-CN"/>
        </w:rPr>
        <w:t>方面的进展，强调了电信发展局致力于中美洲</w:t>
      </w:r>
      <w:r w:rsidR="00AA62CF" w:rsidRPr="00AA62CF">
        <w:rPr>
          <w:rFonts w:ascii="Calibri" w:hAnsi="Calibri"/>
          <w:lang w:eastAsia="zh-CN"/>
        </w:rPr>
        <w:t>减少</w:t>
      </w:r>
      <w:r w:rsidRPr="000736BC">
        <w:rPr>
          <w:rFonts w:ascii="Calibri" w:hAnsi="Calibri" w:hint="eastAsia"/>
          <w:lang w:eastAsia="zh-CN"/>
        </w:rPr>
        <w:t>灾害风险和</w:t>
      </w:r>
      <w:r w:rsidR="00AA62CF">
        <w:rPr>
          <w:rFonts w:ascii="Calibri" w:hAnsi="Calibri" w:hint="eastAsia"/>
          <w:lang w:eastAsia="zh-CN"/>
        </w:rPr>
        <w:t>加强</w:t>
      </w:r>
      <w:r w:rsidRPr="000736BC">
        <w:rPr>
          <w:rFonts w:ascii="Calibri" w:hAnsi="Calibri" w:hint="eastAsia"/>
          <w:lang w:eastAsia="zh-CN"/>
        </w:rPr>
        <w:t>综合管理的承诺。</w:t>
      </w:r>
    </w:p>
    <w:p w14:paraId="2E781C40" w14:textId="5E375556" w:rsidR="00622881" w:rsidRPr="001B50CC"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b/>
          <w:bCs/>
          <w:lang w:eastAsia="zh-CN"/>
        </w:rPr>
      </w:pPr>
      <w:r w:rsidRPr="00D93491">
        <w:rPr>
          <w:rFonts w:ascii="Calibri" w:hAnsi="Calibri" w:hint="eastAsia"/>
          <w:b/>
          <w:bCs/>
          <w:lang w:eastAsia="zh-CN"/>
        </w:rPr>
        <w:t>在亚太地区，</w:t>
      </w:r>
      <w:r w:rsidRPr="00713809">
        <w:rPr>
          <w:rFonts w:ascii="Calibri" w:hAnsi="Calibri" w:hint="eastAsia"/>
          <w:lang w:eastAsia="zh-CN"/>
        </w:rPr>
        <w:t>电信发展局为马绍尔群岛共和国交通、通信和信息技术部举办了一次关于制定</w:t>
      </w:r>
      <w:r w:rsidR="00AA62CF">
        <w:rPr>
          <w:rFonts w:ascii="Calibri" w:hAnsi="Calibri" w:hint="eastAsia"/>
          <w:lang w:eastAsia="zh-CN"/>
        </w:rPr>
        <w:t>“</w:t>
      </w:r>
      <w:r w:rsidRPr="00713809">
        <w:rPr>
          <w:rFonts w:ascii="Calibri" w:hAnsi="Calibri" w:hint="eastAsia"/>
          <w:lang w:eastAsia="zh-CN"/>
        </w:rPr>
        <w:t>国家应急通信计划</w:t>
      </w:r>
      <w:r w:rsidR="00AA62CF">
        <w:rPr>
          <w:rFonts w:ascii="Calibri" w:hAnsi="Calibri" w:hint="eastAsia"/>
          <w:lang w:eastAsia="zh-CN"/>
        </w:rPr>
        <w:t>”</w:t>
      </w:r>
      <w:r w:rsidRPr="00713809">
        <w:rPr>
          <w:rFonts w:ascii="Calibri" w:hAnsi="Calibri" w:hint="eastAsia"/>
          <w:lang w:eastAsia="zh-CN"/>
        </w:rPr>
        <w:t>（</w:t>
      </w:r>
      <w:r w:rsidRPr="00713809">
        <w:rPr>
          <w:rFonts w:ascii="Calibri" w:hAnsi="Calibri"/>
          <w:lang w:eastAsia="zh-CN"/>
        </w:rPr>
        <w:t>NETP</w:t>
      </w:r>
      <w:r w:rsidRPr="00713809">
        <w:rPr>
          <w:rFonts w:ascii="Calibri" w:hAnsi="Calibri" w:hint="eastAsia"/>
          <w:lang w:eastAsia="zh-CN"/>
        </w:rPr>
        <w:t>）的会议。会议内容涵盖</w:t>
      </w:r>
      <w:r w:rsidRPr="00713809">
        <w:rPr>
          <w:rFonts w:ascii="Calibri" w:hAnsi="Calibri"/>
          <w:lang w:eastAsia="zh-CN"/>
        </w:rPr>
        <w:t>NETP</w:t>
      </w:r>
      <w:r w:rsidRPr="00713809">
        <w:rPr>
          <w:rFonts w:ascii="Calibri" w:hAnsi="Calibri" w:hint="eastAsia"/>
          <w:lang w:eastAsia="zh-CN"/>
        </w:rPr>
        <w:t>框架、实施</w:t>
      </w:r>
      <w:r w:rsidR="00AA62CF" w:rsidRPr="00AA62CF">
        <w:rPr>
          <w:rFonts w:ascii="Calibri" w:hAnsi="Calibri"/>
          <w:lang w:eastAsia="zh-CN"/>
        </w:rPr>
        <w:t>及其</w:t>
      </w:r>
      <w:r w:rsidRPr="00713809">
        <w:rPr>
          <w:rFonts w:ascii="Calibri" w:hAnsi="Calibri" w:hint="eastAsia"/>
          <w:lang w:eastAsia="zh-CN"/>
        </w:rPr>
        <w:t>与国家应急</w:t>
      </w:r>
      <w:proofErr w:type="gramStart"/>
      <w:r w:rsidRPr="00713809">
        <w:rPr>
          <w:rFonts w:ascii="Calibri" w:hAnsi="Calibri" w:hint="eastAsia"/>
          <w:lang w:eastAsia="zh-CN"/>
        </w:rPr>
        <w:t>通信组</w:t>
      </w:r>
      <w:proofErr w:type="gramEnd"/>
      <w:r w:rsidRPr="00713809">
        <w:rPr>
          <w:rFonts w:ascii="Calibri" w:hAnsi="Calibri" w:hint="eastAsia"/>
          <w:lang w:eastAsia="zh-CN"/>
        </w:rPr>
        <w:t>和预警系统的整合。</w:t>
      </w:r>
    </w:p>
    <w:p w14:paraId="50E07CF2" w14:textId="0E15FC1E" w:rsidR="00622881"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lang w:eastAsia="zh-CN"/>
        </w:rPr>
      </w:pPr>
      <w:r w:rsidRPr="002413EF">
        <w:rPr>
          <w:rFonts w:ascii="Calibri" w:hAnsi="Calibri" w:hint="eastAsia"/>
          <w:lang w:eastAsia="zh-CN"/>
        </w:rPr>
        <w:t>此外，电信发展局与联合国亚洲及太平洋经济社会委员会（</w:t>
      </w:r>
      <w:r w:rsidRPr="002413EF">
        <w:rPr>
          <w:rFonts w:ascii="Calibri" w:hAnsi="Calibri" w:hint="eastAsia"/>
          <w:lang w:eastAsia="zh-CN"/>
        </w:rPr>
        <w:t>ESCAP</w:t>
      </w:r>
      <w:r w:rsidRPr="002413EF">
        <w:rPr>
          <w:rFonts w:ascii="Calibri" w:hAnsi="Calibri" w:hint="eastAsia"/>
          <w:lang w:eastAsia="zh-CN"/>
        </w:rPr>
        <w:t>）和</w:t>
      </w:r>
      <w:r w:rsidRPr="002413EF">
        <w:rPr>
          <w:rFonts w:ascii="Calibri" w:hAnsi="Calibri" w:hint="eastAsia"/>
          <w:lang w:eastAsia="zh-CN"/>
        </w:rPr>
        <w:t>EW4All</w:t>
      </w:r>
      <w:r w:rsidRPr="002413EF">
        <w:rPr>
          <w:rFonts w:ascii="Calibri" w:hAnsi="Calibri" w:hint="eastAsia"/>
          <w:lang w:eastAsia="zh-CN"/>
        </w:rPr>
        <w:t>支柱牵头机构合作，</w:t>
      </w:r>
      <w:r w:rsidR="00C07431" w:rsidRPr="002413EF">
        <w:rPr>
          <w:rFonts w:ascii="Calibri" w:hAnsi="Calibri" w:hint="eastAsia"/>
          <w:lang w:eastAsia="zh-CN"/>
        </w:rPr>
        <w:t>作为亚太</w:t>
      </w:r>
      <w:r w:rsidR="00C07431" w:rsidRPr="002413EF">
        <w:rPr>
          <w:rFonts w:ascii="Calibri" w:hAnsi="Calibri" w:hint="eastAsia"/>
          <w:lang w:eastAsia="zh-CN"/>
        </w:rPr>
        <w:t>EW4All</w:t>
      </w:r>
      <w:r w:rsidR="00C07431" w:rsidRPr="002413EF">
        <w:rPr>
          <w:rFonts w:ascii="Calibri" w:hAnsi="Calibri" w:hint="eastAsia"/>
          <w:lang w:eastAsia="zh-CN"/>
        </w:rPr>
        <w:t>系列网络研讨会的一部分</w:t>
      </w:r>
      <w:r w:rsidR="00C07431">
        <w:rPr>
          <w:rFonts w:ascii="Calibri" w:hAnsi="Calibri" w:hint="eastAsia"/>
          <w:lang w:eastAsia="zh-CN"/>
        </w:rPr>
        <w:t>，</w:t>
      </w:r>
      <w:r w:rsidRPr="002413EF">
        <w:rPr>
          <w:rFonts w:ascii="Calibri" w:hAnsi="Calibri" w:hint="eastAsia"/>
          <w:lang w:eastAsia="zh-CN"/>
        </w:rPr>
        <w:t>于</w:t>
      </w:r>
      <w:r w:rsidRPr="002413EF">
        <w:rPr>
          <w:rFonts w:ascii="Calibri" w:hAnsi="Calibri" w:hint="eastAsia"/>
          <w:lang w:eastAsia="zh-CN"/>
        </w:rPr>
        <w:t>1</w:t>
      </w:r>
      <w:r w:rsidRPr="002413EF">
        <w:rPr>
          <w:rFonts w:ascii="Calibri" w:hAnsi="Calibri" w:hint="eastAsia"/>
          <w:lang w:eastAsia="zh-CN"/>
        </w:rPr>
        <w:t>月</w:t>
      </w:r>
      <w:r w:rsidRPr="002413EF">
        <w:rPr>
          <w:rFonts w:ascii="Calibri" w:hAnsi="Calibri" w:hint="eastAsia"/>
          <w:lang w:eastAsia="zh-CN"/>
        </w:rPr>
        <w:t>29</w:t>
      </w:r>
      <w:r w:rsidRPr="002413EF">
        <w:rPr>
          <w:rFonts w:ascii="Calibri" w:hAnsi="Calibri" w:hint="eastAsia"/>
          <w:lang w:eastAsia="zh-CN"/>
        </w:rPr>
        <w:t>日</w:t>
      </w:r>
      <w:r w:rsidR="00C07431" w:rsidRPr="00AA62CF">
        <w:rPr>
          <w:rFonts w:ascii="Calibri" w:hAnsi="Calibri"/>
          <w:lang w:eastAsia="zh-CN"/>
        </w:rPr>
        <w:t>举办</w:t>
      </w:r>
      <w:r w:rsidRPr="002413EF">
        <w:rPr>
          <w:rFonts w:ascii="Calibri" w:hAnsi="Calibri" w:hint="eastAsia"/>
          <w:lang w:eastAsia="zh-CN"/>
        </w:rPr>
        <w:t>了一次关于推进</w:t>
      </w:r>
      <w:r w:rsidRPr="002413EF">
        <w:rPr>
          <w:rFonts w:ascii="Calibri" w:hAnsi="Calibri" w:hint="eastAsia"/>
          <w:lang w:eastAsia="zh-CN"/>
        </w:rPr>
        <w:t>EW4All</w:t>
      </w:r>
      <w:r w:rsidRPr="002413EF">
        <w:rPr>
          <w:rFonts w:ascii="Calibri" w:hAnsi="Calibri" w:hint="eastAsia"/>
          <w:lang w:eastAsia="zh-CN"/>
        </w:rPr>
        <w:t>融资的网络研讨会。</w:t>
      </w:r>
      <w:r w:rsidRPr="002413EF">
        <w:rPr>
          <w:rFonts w:ascii="Calibri" w:hAnsi="Calibri" w:hint="eastAsia"/>
          <w:lang w:eastAsia="zh-CN"/>
        </w:rPr>
        <w:t>100</w:t>
      </w:r>
      <w:r w:rsidRPr="002413EF">
        <w:rPr>
          <w:rFonts w:ascii="Calibri" w:hAnsi="Calibri" w:hint="eastAsia"/>
          <w:lang w:eastAsia="zh-CN"/>
        </w:rPr>
        <w:t>多名与会者参加了此次活动，</w:t>
      </w:r>
      <w:r w:rsidR="00C07431" w:rsidRPr="00AA62CF">
        <w:rPr>
          <w:rFonts w:ascii="Calibri" w:hAnsi="Calibri"/>
          <w:lang w:eastAsia="zh-CN"/>
        </w:rPr>
        <w:t>会议</w:t>
      </w:r>
      <w:r w:rsidRPr="002413EF">
        <w:rPr>
          <w:rFonts w:ascii="Calibri" w:hAnsi="Calibri" w:hint="eastAsia"/>
          <w:lang w:eastAsia="zh-CN"/>
        </w:rPr>
        <w:t>突出了战略和实施可持续预警系统的重要性。</w:t>
      </w:r>
    </w:p>
    <w:p w14:paraId="4F262482" w14:textId="2C05A512" w:rsidR="00622881"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lang w:eastAsia="zh-CN"/>
        </w:rPr>
      </w:pPr>
      <w:r w:rsidRPr="00713809">
        <w:rPr>
          <w:rFonts w:ascii="Calibri" w:hAnsi="Calibri" w:hint="eastAsia"/>
          <w:b/>
          <w:bCs/>
          <w:lang w:eastAsia="zh-CN"/>
        </w:rPr>
        <w:t>在独联体</w:t>
      </w:r>
      <w:r>
        <w:rPr>
          <w:rFonts w:ascii="Calibri" w:hAnsi="Calibri" w:hint="eastAsia"/>
          <w:b/>
          <w:bCs/>
          <w:lang w:eastAsia="zh-CN"/>
        </w:rPr>
        <w:t>国家</w:t>
      </w:r>
      <w:r w:rsidRPr="000736BC">
        <w:rPr>
          <w:rFonts w:ascii="Calibri" w:hAnsi="Calibri" w:hint="eastAsia"/>
          <w:lang w:eastAsia="zh-CN"/>
        </w:rPr>
        <w:t>，亚美尼亚举办了</w:t>
      </w:r>
      <w:r w:rsidR="00C07431" w:rsidRPr="00C07431">
        <w:rPr>
          <w:rFonts w:ascii="Calibri" w:hAnsi="Calibri" w:hint="eastAsia"/>
          <w:lang w:eastAsia="zh-CN"/>
        </w:rPr>
        <w:t>其</w:t>
      </w:r>
      <w:r w:rsidR="00C07431">
        <w:rPr>
          <w:rFonts w:ascii="Calibri" w:hAnsi="Calibri" w:hint="eastAsia"/>
          <w:lang w:eastAsia="zh-CN"/>
        </w:rPr>
        <w:t>“</w:t>
      </w:r>
      <w:r w:rsidR="00C07431" w:rsidRPr="00C07431">
        <w:rPr>
          <w:rFonts w:ascii="Calibri" w:hAnsi="Calibri" w:hint="eastAsia"/>
          <w:lang w:eastAsia="zh-CN"/>
        </w:rPr>
        <w:t>全民早期预警</w:t>
      </w:r>
      <w:r w:rsidR="00C07431">
        <w:rPr>
          <w:rFonts w:ascii="Calibri" w:hAnsi="Calibri" w:hint="eastAsia"/>
          <w:lang w:eastAsia="zh-CN"/>
        </w:rPr>
        <w:t>”（</w:t>
      </w:r>
      <w:r w:rsidRPr="000736BC">
        <w:rPr>
          <w:rFonts w:ascii="Calibri" w:hAnsi="Calibri" w:hint="eastAsia"/>
          <w:lang w:eastAsia="zh-CN"/>
        </w:rPr>
        <w:t>EW4All</w:t>
      </w:r>
      <w:r w:rsidR="00C07431">
        <w:rPr>
          <w:rFonts w:ascii="Calibri" w:hAnsi="Calibri" w:hint="eastAsia"/>
          <w:lang w:eastAsia="zh-CN"/>
        </w:rPr>
        <w:t>）</w:t>
      </w:r>
      <w:r w:rsidRPr="000736BC">
        <w:rPr>
          <w:rFonts w:ascii="Calibri" w:hAnsi="Calibri" w:hint="eastAsia"/>
          <w:lang w:eastAsia="zh-CN"/>
        </w:rPr>
        <w:t>国家路线图验证讲习班，以确保</w:t>
      </w:r>
      <w:r w:rsidR="00C07431" w:rsidRPr="000736BC">
        <w:rPr>
          <w:rFonts w:ascii="Calibri" w:hAnsi="Calibri" w:hint="eastAsia"/>
          <w:lang w:eastAsia="zh-CN"/>
        </w:rPr>
        <w:t>任何地方</w:t>
      </w:r>
      <w:r w:rsidR="00C07431">
        <w:rPr>
          <w:rFonts w:ascii="Calibri" w:hAnsi="Calibri" w:hint="eastAsia"/>
          <w:lang w:eastAsia="zh-CN"/>
        </w:rPr>
        <w:t>的</w:t>
      </w:r>
      <w:r w:rsidRPr="000736BC">
        <w:rPr>
          <w:rFonts w:ascii="Calibri" w:hAnsi="Calibri" w:hint="eastAsia"/>
          <w:lang w:eastAsia="zh-CN"/>
        </w:rPr>
        <w:t>每个人都</w:t>
      </w:r>
      <w:r w:rsidR="00C07431" w:rsidRPr="00C07431">
        <w:rPr>
          <w:rFonts w:ascii="Calibri" w:hAnsi="Calibri" w:hint="eastAsia"/>
          <w:lang w:eastAsia="zh-CN"/>
        </w:rPr>
        <w:t>能</w:t>
      </w:r>
      <w:r w:rsidRPr="000736BC">
        <w:rPr>
          <w:rFonts w:ascii="Calibri" w:hAnsi="Calibri" w:hint="eastAsia"/>
          <w:lang w:eastAsia="zh-CN"/>
        </w:rPr>
        <w:t>受到救生预警警报的保护。该举措增强了</w:t>
      </w:r>
      <w:r>
        <w:rPr>
          <w:rFonts w:ascii="Calibri" w:hAnsi="Calibri" w:hint="eastAsia"/>
          <w:lang w:eastAsia="zh-CN"/>
        </w:rPr>
        <w:t>该国</w:t>
      </w:r>
      <w:r w:rsidRPr="000736BC">
        <w:rPr>
          <w:rFonts w:ascii="Calibri" w:hAnsi="Calibri" w:hint="eastAsia"/>
          <w:lang w:eastAsia="zh-CN"/>
        </w:rPr>
        <w:t>在风险知识、预测、预警</w:t>
      </w:r>
      <w:r>
        <w:rPr>
          <w:rFonts w:ascii="Calibri" w:hAnsi="Calibri" w:hint="eastAsia"/>
          <w:lang w:eastAsia="zh-CN"/>
        </w:rPr>
        <w:t>发布</w:t>
      </w:r>
      <w:r w:rsidRPr="000736BC">
        <w:rPr>
          <w:rFonts w:ascii="Calibri" w:hAnsi="Calibri" w:hint="eastAsia"/>
          <w:lang w:eastAsia="zh-CN"/>
        </w:rPr>
        <w:t>和</w:t>
      </w:r>
      <w:r w:rsidR="00C07431" w:rsidRPr="00C07431">
        <w:rPr>
          <w:rFonts w:ascii="Calibri" w:hAnsi="Calibri" w:hint="eastAsia"/>
          <w:lang w:eastAsia="zh-CN"/>
        </w:rPr>
        <w:t>应急响应</w:t>
      </w:r>
      <w:r w:rsidRPr="000736BC">
        <w:rPr>
          <w:rFonts w:ascii="Calibri" w:hAnsi="Calibri" w:hint="eastAsia"/>
          <w:lang w:eastAsia="zh-CN"/>
        </w:rPr>
        <w:t>方面的能力，支持制定符合</w:t>
      </w:r>
      <w:r w:rsidR="00C07431">
        <w:rPr>
          <w:rFonts w:ascii="Calibri" w:hAnsi="Calibri" w:hint="eastAsia"/>
          <w:lang w:eastAsia="zh-CN"/>
        </w:rPr>
        <w:t>国际</w:t>
      </w:r>
      <w:r w:rsidRPr="000736BC">
        <w:rPr>
          <w:rFonts w:ascii="Calibri" w:hAnsi="Calibri" w:hint="eastAsia"/>
          <w:lang w:eastAsia="zh-CN"/>
        </w:rPr>
        <w:t>标准的综合预警框架，</w:t>
      </w:r>
      <w:r w:rsidR="00C07431" w:rsidRPr="00C07431">
        <w:rPr>
          <w:rFonts w:ascii="Calibri" w:hAnsi="Calibri" w:hint="eastAsia"/>
          <w:lang w:eastAsia="zh-CN"/>
        </w:rPr>
        <w:t>从而提升</w:t>
      </w:r>
      <w:r w:rsidRPr="000736BC">
        <w:rPr>
          <w:rFonts w:ascii="Calibri" w:hAnsi="Calibri" w:hint="eastAsia"/>
          <w:lang w:eastAsia="zh-CN"/>
        </w:rPr>
        <w:t>气候复原力并保护社区免受灾害影响。</w:t>
      </w:r>
    </w:p>
    <w:p w14:paraId="05536BD8" w14:textId="6F9A65EC" w:rsidR="00622881"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lang w:val="en-US" w:eastAsia="zh-CN"/>
        </w:rPr>
      </w:pPr>
      <w:r w:rsidRPr="00713809">
        <w:rPr>
          <w:rFonts w:ascii="Calibri" w:hAnsi="Calibri" w:hint="eastAsia"/>
          <w:b/>
          <w:bCs/>
          <w:lang w:val="en-US" w:eastAsia="zh-CN"/>
        </w:rPr>
        <w:t>在欧洲</w:t>
      </w:r>
      <w:r>
        <w:rPr>
          <w:rFonts w:ascii="Calibri" w:hAnsi="Calibri" w:hint="eastAsia"/>
          <w:b/>
          <w:bCs/>
          <w:lang w:val="en-US" w:eastAsia="zh-CN"/>
        </w:rPr>
        <w:t>地区</w:t>
      </w:r>
      <w:r w:rsidRPr="00713809">
        <w:rPr>
          <w:rFonts w:ascii="Calibri" w:hAnsi="Calibri" w:hint="eastAsia"/>
          <w:b/>
          <w:bCs/>
          <w:lang w:val="en-US" w:eastAsia="zh-CN"/>
        </w:rPr>
        <w:t>，</w:t>
      </w:r>
      <w:r w:rsidRPr="000736BC">
        <w:rPr>
          <w:rFonts w:ascii="Calibri" w:hAnsi="Calibri" w:hint="eastAsia"/>
          <w:lang w:val="en-US" w:eastAsia="zh-CN"/>
        </w:rPr>
        <w:t>1</w:t>
      </w:r>
      <w:r w:rsidRPr="000736BC">
        <w:rPr>
          <w:rFonts w:ascii="Calibri" w:hAnsi="Calibri" w:hint="eastAsia"/>
          <w:lang w:val="en-US" w:eastAsia="zh-CN"/>
        </w:rPr>
        <w:t>月在</w:t>
      </w:r>
      <w:r w:rsidRPr="007D12AA">
        <w:rPr>
          <w:rFonts w:ascii="Calibri" w:hAnsi="Calibri" w:hint="eastAsia"/>
          <w:lang w:val="en-US" w:eastAsia="zh-CN"/>
        </w:rPr>
        <w:t>黑山波德戈里察</w:t>
      </w:r>
      <w:r>
        <w:rPr>
          <w:rFonts w:ascii="Calibri" w:hAnsi="Calibri" w:hint="eastAsia"/>
          <w:lang w:val="en-US" w:eastAsia="zh-CN"/>
        </w:rPr>
        <w:t>举办</w:t>
      </w:r>
      <w:r w:rsidRPr="000736BC">
        <w:rPr>
          <w:rFonts w:ascii="Calibri" w:hAnsi="Calibri" w:hint="eastAsia"/>
          <w:lang w:val="en-US" w:eastAsia="zh-CN"/>
        </w:rPr>
        <w:t>了应急预警系统国家</w:t>
      </w:r>
      <w:r>
        <w:rPr>
          <w:rFonts w:ascii="Calibri" w:hAnsi="Calibri" w:hint="eastAsia"/>
          <w:lang w:val="en-US" w:eastAsia="zh-CN"/>
        </w:rPr>
        <w:t>验证</w:t>
      </w:r>
      <w:r w:rsidRPr="000736BC">
        <w:rPr>
          <w:rFonts w:ascii="Calibri" w:hAnsi="Calibri" w:hint="eastAsia"/>
          <w:lang w:val="en-US" w:eastAsia="zh-CN"/>
        </w:rPr>
        <w:t>讲习班。该讲习班为</w:t>
      </w:r>
      <w:r w:rsidRPr="000736BC">
        <w:rPr>
          <w:rFonts w:ascii="Calibri" w:hAnsi="Calibri" w:hint="eastAsia"/>
          <w:lang w:val="en-US" w:eastAsia="zh-CN"/>
        </w:rPr>
        <w:t>40</w:t>
      </w:r>
      <w:r w:rsidRPr="000736BC">
        <w:rPr>
          <w:rFonts w:ascii="Calibri" w:hAnsi="Calibri" w:hint="eastAsia"/>
          <w:lang w:val="en-US" w:eastAsia="zh-CN"/>
        </w:rPr>
        <w:t>多位相关机构的代表提供了机会，</w:t>
      </w:r>
      <w:r>
        <w:rPr>
          <w:rFonts w:ascii="Calibri" w:hAnsi="Calibri" w:hint="eastAsia"/>
          <w:lang w:val="en-US" w:eastAsia="zh-CN"/>
        </w:rPr>
        <w:t>在黑山</w:t>
      </w:r>
      <w:r w:rsidRPr="000736BC">
        <w:rPr>
          <w:rFonts w:ascii="Calibri" w:hAnsi="Calibri" w:hint="eastAsia"/>
          <w:lang w:val="en-US" w:eastAsia="zh-CN"/>
        </w:rPr>
        <w:t>就实施基于小区广播和其他通信渠道</w:t>
      </w:r>
      <w:r>
        <w:rPr>
          <w:rFonts w:ascii="Calibri" w:hAnsi="Calibri" w:hint="eastAsia"/>
          <w:lang w:val="en-US" w:eastAsia="zh-CN"/>
        </w:rPr>
        <w:t>发送告警消</w:t>
      </w:r>
      <w:r>
        <w:rPr>
          <w:rFonts w:ascii="Calibri" w:hAnsi="Calibri" w:hint="eastAsia"/>
          <w:lang w:val="en-US" w:eastAsia="zh-CN"/>
        </w:rPr>
        <w:lastRenderedPageBreak/>
        <w:t>息</w:t>
      </w:r>
      <w:r w:rsidRPr="000736BC">
        <w:rPr>
          <w:rFonts w:ascii="Calibri" w:hAnsi="Calibri" w:hint="eastAsia"/>
          <w:lang w:val="en-US" w:eastAsia="zh-CN"/>
        </w:rPr>
        <w:t>的公共预警系统</w:t>
      </w:r>
      <w:r w:rsidR="00C07431">
        <w:rPr>
          <w:rFonts w:ascii="Calibri" w:hAnsi="Calibri" w:hint="eastAsia"/>
          <w:lang w:val="en-US" w:eastAsia="zh-CN"/>
        </w:rPr>
        <w:t>的技术报告和</w:t>
      </w:r>
      <w:r w:rsidRPr="000736BC">
        <w:rPr>
          <w:rFonts w:ascii="Calibri" w:hAnsi="Calibri" w:hint="eastAsia"/>
          <w:lang w:val="en-US" w:eastAsia="zh-CN"/>
        </w:rPr>
        <w:t>可行性研究提供最终反馈意见。在讲习班和国家主管当局的直接反馈之后，文件已定稿，并在</w:t>
      </w:r>
      <w:r w:rsidRPr="000736BC">
        <w:rPr>
          <w:rFonts w:ascii="Calibri" w:hAnsi="Calibri" w:hint="eastAsia"/>
          <w:lang w:val="en-US" w:eastAsia="zh-CN"/>
        </w:rPr>
        <w:t>2026</w:t>
      </w:r>
      <w:r w:rsidRPr="000736BC">
        <w:rPr>
          <w:rFonts w:ascii="Calibri" w:hAnsi="Calibri" w:hint="eastAsia"/>
          <w:lang w:val="en-US" w:eastAsia="zh-CN"/>
        </w:rPr>
        <w:t>年</w:t>
      </w:r>
      <w:r w:rsidRPr="000736BC">
        <w:rPr>
          <w:rFonts w:ascii="Calibri" w:hAnsi="Calibri" w:hint="eastAsia"/>
          <w:lang w:val="en-US" w:eastAsia="zh-CN"/>
        </w:rPr>
        <w:t>3</w:t>
      </w:r>
      <w:r w:rsidRPr="000736BC">
        <w:rPr>
          <w:rFonts w:ascii="Calibri" w:hAnsi="Calibri" w:hint="eastAsia"/>
          <w:lang w:val="en-US" w:eastAsia="zh-CN"/>
        </w:rPr>
        <w:t>月举行的国际电联欧洲区域发展论坛上移交给</w:t>
      </w:r>
      <w:r w:rsidR="00C07431" w:rsidRPr="00C07431">
        <w:rPr>
          <w:rFonts w:ascii="Calibri" w:hAnsi="Calibri" w:hint="eastAsia"/>
          <w:lang w:val="en-US" w:eastAsia="zh-CN"/>
        </w:rPr>
        <w:t>黑山电子通信和邮政服务局</w:t>
      </w:r>
      <w:r w:rsidR="00C07431">
        <w:rPr>
          <w:rFonts w:ascii="Calibri" w:hAnsi="Calibri" w:hint="eastAsia"/>
          <w:lang w:val="en-US" w:eastAsia="zh-CN"/>
        </w:rPr>
        <w:t>（</w:t>
      </w:r>
      <w:r w:rsidRPr="000736BC">
        <w:rPr>
          <w:rFonts w:ascii="Calibri" w:hAnsi="Calibri" w:hint="eastAsia"/>
          <w:lang w:val="en-US" w:eastAsia="zh-CN"/>
        </w:rPr>
        <w:t>EKIP</w:t>
      </w:r>
      <w:r w:rsidR="00C07431">
        <w:rPr>
          <w:rFonts w:ascii="Calibri" w:hAnsi="Calibri" w:hint="eastAsia"/>
          <w:lang w:val="en-US" w:eastAsia="zh-CN"/>
        </w:rPr>
        <w:t>）</w:t>
      </w:r>
      <w:r w:rsidRPr="000736BC">
        <w:rPr>
          <w:rFonts w:ascii="Calibri" w:hAnsi="Calibri" w:hint="eastAsia"/>
          <w:lang w:val="en-US" w:eastAsia="zh-CN"/>
        </w:rPr>
        <w:t>。</w:t>
      </w:r>
    </w:p>
    <w:p w14:paraId="6C5CDE0F" w14:textId="77777777" w:rsidR="00622881" w:rsidRPr="001B50CC" w:rsidRDefault="00622881" w:rsidP="00BB475A">
      <w:pPr>
        <w:keepNext/>
        <w:keepLines/>
        <w:tabs>
          <w:tab w:val="clear" w:pos="1134"/>
          <w:tab w:val="clear" w:pos="1871"/>
          <w:tab w:val="clear" w:pos="2268"/>
          <w:tab w:val="left" w:pos="794"/>
          <w:tab w:val="left" w:pos="1191"/>
          <w:tab w:val="left" w:pos="1588"/>
          <w:tab w:val="left" w:pos="1985"/>
        </w:tabs>
        <w:outlineLvl w:val="2"/>
        <w:rPr>
          <w:rFonts w:ascii="Calibri" w:hAnsi="Calibri"/>
          <w:b/>
          <w:szCs w:val="24"/>
          <w:lang w:eastAsia="zh-CN"/>
        </w:rPr>
      </w:pPr>
      <w:r>
        <w:rPr>
          <w:rFonts w:ascii="Calibri" w:hAnsi="Calibri" w:hint="eastAsia"/>
          <w:b/>
          <w:szCs w:val="24"/>
          <w:lang w:eastAsia="zh-CN"/>
        </w:rPr>
        <w:t>网络和数字基础设施</w:t>
      </w:r>
    </w:p>
    <w:p w14:paraId="41BFE62D" w14:textId="20F92355" w:rsidR="00622881"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lang w:eastAsia="zh-CN"/>
        </w:rPr>
      </w:pPr>
      <w:r w:rsidRPr="00713809">
        <w:rPr>
          <w:rFonts w:ascii="Calibri" w:hAnsi="Calibri" w:hint="eastAsia"/>
          <w:b/>
          <w:bCs/>
          <w:lang w:eastAsia="zh-CN"/>
        </w:rPr>
        <w:t>在非洲</w:t>
      </w:r>
      <w:r>
        <w:rPr>
          <w:rFonts w:ascii="Calibri" w:hAnsi="Calibri" w:hint="eastAsia"/>
          <w:b/>
          <w:bCs/>
          <w:lang w:eastAsia="zh-CN"/>
        </w:rPr>
        <w:t>地区</w:t>
      </w:r>
      <w:r w:rsidRPr="00713809">
        <w:rPr>
          <w:rFonts w:ascii="Calibri" w:hAnsi="Calibri" w:hint="eastAsia"/>
          <w:b/>
          <w:bCs/>
          <w:lang w:eastAsia="zh-CN"/>
        </w:rPr>
        <w:t>，</w:t>
      </w:r>
      <w:r w:rsidRPr="000736BC">
        <w:rPr>
          <w:rFonts w:ascii="Calibri" w:hAnsi="Calibri" w:hint="eastAsia"/>
          <w:lang w:eastAsia="zh-CN"/>
        </w:rPr>
        <w:t>作为</w:t>
      </w:r>
      <w:r w:rsidR="00C07431">
        <w:rPr>
          <w:rFonts w:ascii="Calibri" w:hAnsi="Calibri" w:hint="eastAsia"/>
          <w:lang w:eastAsia="zh-CN"/>
        </w:rPr>
        <w:t>“</w:t>
      </w:r>
      <w:r w:rsidRPr="000736BC">
        <w:rPr>
          <w:rFonts w:ascii="Calibri" w:hAnsi="Calibri" w:hint="eastAsia"/>
          <w:lang w:eastAsia="zh-CN"/>
        </w:rPr>
        <w:t>非洲宽带</w:t>
      </w:r>
      <w:r w:rsidR="00C07431">
        <w:rPr>
          <w:rFonts w:ascii="Calibri" w:hAnsi="Calibri" w:hint="eastAsia"/>
          <w:lang w:eastAsia="zh-CN"/>
        </w:rPr>
        <w:t>对照</w:t>
      </w:r>
      <w:r w:rsidRPr="000736BC">
        <w:rPr>
          <w:rFonts w:ascii="Calibri" w:hAnsi="Calibri" w:hint="eastAsia"/>
          <w:lang w:eastAsia="zh-CN"/>
        </w:rPr>
        <w:t>项目</w:t>
      </w:r>
      <w:r w:rsidR="00C07431">
        <w:rPr>
          <w:rFonts w:ascii="Calibri" w:hAnsi="Calibri" w:hint="eastAsia"/>
          <w:lang w:eastAsia="zh-CN"/>
        </w:rPr>
        <w:t>”</w:t>
      </w:r>
      <w:r w:rsidRPr="000736BC">
        <w:rPr>
          <w:rFonts w:ascii="Calibri" w:hAnsi="Calibri" w:hint="eastAsia"/>
          <w:lang w:eastAsia="zh-CN"/>
        </w:rPr>
        <w:t>的一部分，电信发展局支持了</w:t>
      </w:r>
      <w:r w:rsidRPr="000736BC">
        <w:rPr>
          <w:rFonts w:ascii="Calibri" w:hAnsi="Calibri" w:hint="eastAsia"/>
          <w:lang w:eastAsia="zh-CN"/>
        </w:rPr>
        <w:t>11</w:t>
      </w:r>
      <w:r w:rsidRPr="000736BC">
        <w:rPr>
          <w:rFonts w:ascii="Calibri" w:hAnsi="Calibri" w:hint="eastAsia"/>
          <w:lang w:eastAsia="zh-CN"/>
        </w:rPr>
        <w:t>项国家政策和监管分析</w:t>
      </w:r>
      <w:r>
        <w:rPr>
          <w:rFonts w:ascii="Calibri" w:hAnsi="Calibri" w:hint="eastAsia"/>
          <w:lang w:eastAsia="zh-CN"/>
        </w:rPr>
        <w:t>，为宽带对照系统奠定了基础</w:t>
      </w:r>
      <w:r w:rsidRPr="000736BC">
        <w:rPr>
          <w:rFonts w:ascii="Calibri" w:hAnsi="Calibri" w:hint="eastAsia"/>
          <w:lang w:eastAsia="zh-CN"/>
        </w:rPr>
        <w:t>。尼日利亚、博茨瓦纳、科特迪瓦、肯尼亚</w:t>
      </w:r>
      <w:r>
        <w:rPr>
          <w:rFonts w:ascii="Calibri" w:hAnsi="Calibri" w:hint="eastAsia"/>
          <w:lang w:eastAsia="zh-CN"/>
        </w:rPr>
        <w:t>的</w:t>
      </w:r>
      <w:r w:rsidRPr="000736BC">
        <w:rPr>
          <w:rFonts w:ascii="Calibri" w:hAnsi="Calibri" w:hint="eastAsia"/>
          <w:lang w:eastAsia="zh-CN"/>
        </w:rPr>
        <w:t>国家简报</w:t>
      </w:r>
      <w:r>
        <w:rPr>
          <w:rFonts w:ascii="Calibri" w:hAnsi="Calibri" w:hint="eastAsia"/>
          <w:lang w:eastAsia="zh-CN"/>
        </w:rPr>
        <w:t>已经完成，</w:t>
      </w:r>
      <w:r w:rsidRPr="000736BC">
        <w:rPr>
          <w:rFonts w:ascii="Calibri" w:hAnsi="Calibri" w:hint="eastAsia"/>
          <w:lang w:eastAsia="zh-CN"/>
        </w:rPr>
        <w:t>同时，贝宁、布隆迪、埃塞俄比亚、马拉维、乌干达、赞比亚和津巴布韦</w:t>
      </w:r>
      <w:r>
        <w:rPr>
          <w:rFonts w:ascii="Calibri" w:hAnsi="Calibri" w:hint="eastAsia"/>
          <w:lang w:eastAsia="zh-CN"/>
        </w:rPr>
        <w:t>的工作正在</w:t>
      </w:r>
      <w:r w:rsidR="00C07431" w:rsidRPr="00C07431">
        <w:rPr>
          <w:rFonts w:ascii="Calibri" w:hAnsi="Calibri" w:hint="eastAsia"/>
          <w:lang w:eastAsia="zh-CN"/>
        </w:rPr>
        <w:t>进行中</w:t>
      </w:r>
      <w:r w:rsidRPr="000736BC">
        <w:rPr>
          <w:rFonts w:ascii="Calibri" w:hAnsi="Calibri" w:hint="eastAsia"/>
          <w:lang w:eastAsia="zh-CN"/>
        </w:rPr>
        <w:t>。</w:t>
      </w:r>
    </w:p>
    <w:p w14:paraId="79EE2895" w14:textId="116EFDBF" w:rsidR="00622881"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lang w:eastAsia="zh-CN"/>
        </w:rPr>
      </w:pPr>
      <w:r w:rsidRPr="000736BC">
        <w:rPr>
          <w:rFonts w:ascii="Calibri" w:hAnsi="Calibri" w:hint="eastAsia"/>
          <w:lang w:eastAsia="zh-CN"/>
        </w:rPr>
        <w:t>为了</w:t>
      </w:r>
      <w:r w:rsidR="00C07431">
        <w:rPr>
          <w:rFonts w:ascii="Calibri" w:hAnsi="Calibri" w:hint="eastAsia"/>
          <w:lang w:eastAsia="zh-CN"/>
        </w:rPr>
        <w:t>落实</w:t>
      </w:r>
      <w:r w:rsidRPr="000736BC">
        <w:rPr>
          <w:rFonts w:ascii="Calibri" w:hAnsi="Calibri" w:hint="eastAsia"/>
          <w:lang w:eastAsia="zh-CN"/>
        </w:rPr>
        <w:t>区域性举措，电信发展局与</w:t>
      </w:r>
      <w:r w:rsidRPr="000736BC">
        <w:rPr>
          <w:rFonts w:ascii="Calibri" w:hAnsi="Calibri" w:hint="eastAsia"/>
          <w:lang w:eastAsia="zh-CN"/>
        </w:rPr>
        <w:t>ICANN</w:t>
      </w:r>
      <w:r w:rsidRPr="000736BC">
        <w:rPr>
          <w:rFonts w:ascii="Calibri" w:hAnsi="Calibri" w:hint="eastAsia"/>
          <w:lang w:eastAsia="zh-CN"/>
        </w:rPr>
        <w:t>和</w:t>
      </w:r>
      <w:r w:rsidRPr="000736BC">
        <w:rPr>
          <w:rFonts w:ascii="Calibri" w:hAnsi="Calibri" w:hint="eastAsia"/>
          <w:lang w:eastAsia="zh-CN"/>
        </w:rPr>
        <w:t>ATU</w:t>
      </w:r>
      <w:r w:rsidRPr="000736BC">
        <w:rPr>
          <w:rFonts w:ascii="Calibri" w:hAnsi="Calibri" w:hint="eastAsia"/>
          <w:lang w:eastAsia="zh-CN"/>
        </w:rPr>
        <w:t>于</w:t>
      </w:r>
      <w:r w:rsidRPr="000736BC">
        <w:rPr>
          <w:rFonts w:ascii="Calibri" w:hAnsi="Calibri" w:hint="eastAsia"/>
          <w:lang w:eastAsia="zh-CN"/>
        </w:rPr>
        <w:t>2</w:t>
      </w:r>
      <w:r w:rsidRPr="000736BC">
        <w:rPr>
          <w:rFonts w:ascii="Calibri" w:hAnsi="Calibri" w:hint="eastAsia"/>
          <w:lang w:eastAsia="zh-CN"/>
        </w:rPr>
        <w:t>月</w:t>
      </w:r>
      <w:r w:rsidRPr="000736BC">
        <w:rPr>
          <w:rFonts w:ascii="Calibri" w:hAnsi="Calibri" w:hint="eastAsia"/>
          <w:lang w:eastAsia="zh-CN"/>
        </w:rPr>
        <w:t>25</w:t>
      </w:r>
      <w:r w:rsidRPr="000736BC">
        <w:rPr>
          <w:rFonts w:ascii="Calibri" w:hAnsi="Calibri" w:hint="eastAsia"/>
          <w:lang w:eastAsia="zh-CN"/>
        </w:rPr>
        <w:t>日</w:t>
      </w:r>
      <w:r w:rsidR="00C07431" w:rsidRPr="00C07431">
        <w:rPr>
          <w:rFonts w:ascii="Calibri" w:hAnsi="Calibri" w:hint="eastAsia"/>
          <w:lang w:eastAsia="zh-CN"/>
        </w:rPr>
        <w:t>共同</w:t>
      </w:r>
      <w:r w:rsidR="00C07431">
        <w:rPr>
          <w:rFonts w:ascii="Calibri" w:hAnsi="Calibri" w:hint="eastAsia"/>
          <w:lang w:eastAsia="zh-CN"/>
        </w:rPr>
        <w:t>举办</w:t>
      </w:r>
      <w:r w:rsidRPr="000736BC">
        <w:rPr>
          <w:rFonts w:ascii="Calibri" w:hAnsi="Calibri" w:hint="eastAsia"/>
          <w:lang w:eastAsia="zh-CN"/>
        </w:rPr>
        <w:t>了一</w:t>
      </w:r>
      <w:r w:rsidR="00C07431">
        <w:rPr>
          <w:rFonts w:ascii="Calibri" w:hAnsi="Calibri" w:hint="eastAsia"/>
          <w:lang w:eastAsia="zh-CN"/>
        </w:rPr>
        <w:t>场</w:t>
      </w:r>
      <w:r w:rsidRPr="000736BC">
        <w:rPr>
          <w:rFonts w:ascii="Calibri" w:hAnsi="Calibri" w:hint="eastAsia"/>
          <w:lang w:eastAsia="zh-CN"/>
        </w:rPr>
        <w:t>关于加强非洲数字基础设施的技术情况通报会。</w:t>
      </w:r>
      <w:r>
        <w:rPr>
          <w:rFonts w:ascii="Calibri" w:hAnsi="Calibri" w:hint="eastAsia"/>
          <w:lang w:eastAsia="zh-CN"/>
        </w:rPr>
        <w:t>针对</w:t>
      </w:r>
      <w:r w:rsidR="00C07431" w:rsidRPr="00C07431">
        <w:rPr>
          <w:rFonts w:ascii="Calibri" w:hAnsi="Calibri" w:hint="eastAsia"/>
          <w:lang w:eastAsia="zh-CN"/>
        </w:rPr>
        <w:t>会上</w:t>
      </w:r>
      <w:r>
        <w:rPr>
          <w:rFonts w:ascii="Calibri" w:hAnsi="Calibri" w:hint="eastAsia"/>
          <w:lang w:eastAsia="zh-CN"/>
        </w:rPr>
        <w:t>讨论的技术议题，已向成员国发起关于项目</w:t>
      </w:r>
      <w:r w:rsidR="00C07431" w:rsidRPr="00C07431">
        <w:rPr>
          <w:rFonts w:ascii="Calibri" w:hAnsi="Calibri" w:hint="eastAsia"/>
          <w:lang w:eastAsia="zh-CN"/>
        </w:rPr>
        <w:t>构想</w:t>
      </w:r>
      <w:r>
        <w:rPr>
          <w:rFonts w:ascii="Calibri" w:hAnsi="Calibri" w:hint="eastAsia"/>
          <w:lang w:eastAsia="zh-CN"/>
        </w:rPr>
        <w:t>的意向征集。</w:t>
      </w:r>
    </w:p>
    <w:p w14:paraId="4097CCF9" w14:textId="4158BD0A" w:rsidR="00622881"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lang w:eastAsia="zh-CN"/>
        </w:rPr>
      </w:pPr>
      <w:r w:rsidRPr="00713809">
        <w:rPr>
          <w:rFonts w:ascii="Calibri" w:hAnsi="Calibri" w:hint="eastAsia"/>
          <w:b/>
          <w:bCs/>
          <w:lang w:eastAsia="zh-CN"/>
        </w:rPr>
        <w:t>在美洲地区，</w:t>
      </w:r>
      <w:r w:rsidRPr="00AB0360">
        <w:rPr>
          <w:rFonts w:ascii="Calibri" w:hAnsi="Calibri" w:hint="eastAsia"/>
          <w:lang w:eastAsia="zh-CN"/>
        </w:rPr>
        <w:t>3</w:t>
      </w:r>
      <w:r w:rsidRPr="00AB0360">
        <w:rPr>
          <w:rFonts w:ascii="Calibri" w:hAnsi="Calibri" w:hint="eastAsia"/>
          <w:lang w:eastAsia="zh-CN"/>
        </w:rPr>
        <w:t>月</w:t>
      </w:r>
      <w:r w:rsidRPr="00AB0360">
        <w:rPr>
          <w:rFonts w:ascii="Calibri" w:hAnsi="Calibri" w:hint="eastAsia"/>
          <w:lang w:eastAsia="zh-CN"/>
        </w:rPr>
        <w:t>18</w:t>
      </w:r>
      <w:r w:rsidRPr="00AB0360">
        <w:rPr>
          <w:rFonts w:ascii="Calibri" w:hAnsi="Calibri" w:hint="eastAsia"/>
          <w:lang w:eastAsia="zh-CN"/>
        </w:rPr>
        <w:t>日至</w:t>
      </w:r>
      <w:r w:rsidRPr="00AB0360">
        <w:rPr>
          <w:rFonts w:ascii="Calibri" w:hAnsi="Calibri" w:hint="eastAsia"/>
          <w:lang w:eastAsia="zh-CN"/>
        </w:rPr>
        <w:t>25</w:t>
      </w:r>
      <w:r w:rsidRPr="00AB0360">
        <w:rPr>
          <w:rFonts w:ascii="Calibri" w:hAnsi="Calibri" w:hint="eastAsia"/>
          <w:lang w:eastAsia="zh-CN"/>
        </w:rPr>
        <w:t>日在墨西哥</w:t>
      </w:r>
      <w:r w:rsidR="000616F2" w:rsidRPr="000616F2">
        <w:rPr>
          <w:rFonts w:ascii="Calibri" w:hAnsi="Calibri"/>
          <w:lang w:eastAsia="zh-CN"/>
        </w:rPr>
        <w:t>普埃布拉</w:t>
      </w:r>
      <w:r w:rsidRPr="00AB0360">
        <w:rPr>
          <w:rFonts w:ascii="Calibri" w:hAnsi="Calibri" w:hint="eastAsia"/>
          <w:lang w:eastAsia="zh-CN"/>
        </w:rPr>
        <w:t>举行的</w:t>
      </w:r>
      <w:r w:rsidR="000616F2">
        <w:rPr>
          <w:rFonts w:ascii="Calibri" w:hAnsi="Calibri" w:hint="eastAsia"/>
          <w:lang w:eastAsia="zh-CN"/>
        </w:rPr>
        <w:t>“</w:t>
      </w:r>
      <w:r w:rsidRPr="00AB0360">
        <w:rPr>
          <w:rFonts w:ascii="Calibri" w:hAnsi="Calibri" w:hint="eastAsia"/>
          <w:lang w:eastAsia="zh-CN"/>
        </w:rPr>
        <w:t>农村、偏远和原住民社区</w:t>
      </w:r>
      <w:r w:rsidRPr="00AB0360">
        <w:rPr>
          <w:rFonts w:ascii="Calibri" w:hAnsi="Calibri" w:hint="eastAsia"/>
          <w:lang w:eastAsia="zh-CN"/>
        </w:rPr>
        <w:t>ICT</w:t>
      </w:r>
      <w:r w:rsidRPr="00AB0360">
        <w:rPr>
          <w:rFonts w:ascii="Calibri" w:hAnsi="Calibri" w:hint="eastAsia"/>
          <w:lang w:eastAsia="zh-CN"/>
        </w:rPr>
        <w:t>网络管理训练营</w:t>
      </w:r>
      <w:r w:rsidR="000616F2">
        <w:rPr>
          <w:rFonts w:ascii="Calibri" w:hAnsi="Calibri" w:hint="eastAsia"/>
          <w:lang w:eastAsia="zh-CN"/>
        </w:rPr>
        <w:t>”</w:t>
      </w:r>
      <w:r w:rsidRPr="00AB0360">
        <w:rPr>
          <w:rFonts w:ascii="Calibri" w:hAnsi="Calibri" w:hint="eastAsia"/>
          <w:lang w:eastAsia="zh-CN"/>
        </w:rPr>
        <w:t>是加强连通性的一个重要里程碑。在</w:t>
      </w:r>
      <w:r w:rsidR="000616F2" w:rsidRPr="000616F2">
        <w:rPr>
          <w:rFonts w:ascii="Calibri" w:hAnsi="Calibri"/>
          <w:lang w:eastAsia="zh-CN"/>
        </w:rPr>
        <w:t>成功完成</w:t>
      </w:r>
      <w:r w:rsidRPr="00713809">
        <w:rPr>
          <w:rFonts w:ascii="Calibri" w:hAnsi="Calibri" w:hint="eastAsia"/>
          <w:lang w:eastAsia="zh-CN"/>
        </w:rPr>
        <w:t>线上</w:t>
      </w:r>
      <w:r w:rsidRPr="00AB0360">
        <w:rPr>
          <w:rFonts w:ascii="Calibri" w:hAnsi="Calibri" w:hint="eastAsia"/>
          <w:lang w:eastAsia="zh-CN"/>
        </w:rPr>
        <w:t>阶段的基础上，</w:t>
      </w:r>
      <w:r w:rsidRPr="00713809">
        <w:rPr>
          <w:rFonts w:ascii="Calibri" w:hAnsi="Calibri" w:hint="eastAsia"/>
          <w:lang w:eastAsia="zh-CN"/>
        </w:rPr>
        <w:t>线下</w:t>
      </w:r>
      <w:r w:rsidR="000616F2" w:rsidRPr="000616F2">
        <w:rPr>
          <w:rFonts w:ascii="Calibri" w:hAnsi="Calibri"/>
          <w:lang w:eastAsia="zh-CN"/>
        </w:rPr>
        <w:t>实地环节</w:t>
      </w:r>
      <w:r w:rsidRPr="00AB0360">
        <w:rPr>
          <w:rFonts w:ascii="Calibri" w:hAnsi="Calibri" w:hint="eastAsia"/>
          <w:lang w:eastAsia="zh-CN"/>
        </w:rPr>
        <w:t>加强了参与者在社区网络部署、广播和</w:t>
      </w:r>
      <w:proofErr w:type="gramStart"/>
      <w:r w:rsidRPr="00AB0360">
        <w:rPr>
          <w:rFonts w:ascii="Calibri" w:hAnsi="Calibri" w:hint="eastAsia"/>
          <w:lang w:eastAsia="zh-CN"/>
        </w:rPr>
        <w:t>可</w:t>
      </w:r>
      <w:proofErr w:type="gramEnd"/>
      <w:r w:rsidRPr="00AB0360">
        <w:rPr>
          <w:rFonts w:ascii="Calibri" w:hAnsi="Calibri" w:hint="eastAsia"/>
          <w:lang w:eastAsia="zh-CN"/>
        </w:rPr>
        <w:t>持续连接解决方案方面的技术和实践技能。训练营还促进了社区领袖、监管机构、学术界和发展合作伙伴之间的有意义交流，包括与</w:t>
      </w:r>
      <w:r w:rsidRPr="000736BC">
        <w:rPr>
          <w:rFonts w:ascii="Calibri" w:hAnsi="Calibri" w:hint="eastAsia"/>
          <w:lang w:eastAsia="zh-CN"/>
        </w:rPr>
        <w:t>墨西哥电信监管委员会（</w:t>
      </w:r>
      <w:r w:rsidRPr="000736BC">
        <w:rPr>
          <w:rFonts w:ascii="Calibri" w:hAnsi="Calibri" w:hint="eastAsia"/>
          <w:lang w:eastAsia="zh-CN"/>
        </w:rPr>
        <w:t>CRT</w:t>
      </w:r>
      <w:r w:rsidRPr="000736BC">
        <w:rPr>
          <w:rFonts w:ascii="Calibri" w:hAnsi="Calibri" w:hint="eastAsia"/>
          <w:lang w:eastAsia="zh-CN"/>
        </w:rPr>
        <w:t>）、巴拉圭</w:t>
      </w:r>
      <w:r>
        <w:rPr>
          <w:rFonts w:ascii="Calibri" w:hAnsi="Calibri" w:hint="eastAsia"/>
          <w:lang w:eastAsia="zh-CN"/>
        </w:rPr>
        <w:t>国家电信委员会</w:t>
      </w:r>
      <w:r w:rsidR="000616F2" w:rsidRPr="000616F2">
        <w:rPr>
          <w:rFonts w:ascii="Calibri" w:hAnsi="Calibri"/>
          <w:lang w:eastAsia="zh-CN"/>
        </w:rPr>
        <w:t>（</w:t>
      </w:r>
      <w:r w:rsidR="000616F2" w:rsidRPr="000616F2">
        <w:rPr>
          <w:rFonts w:ascii="Calibri" w:hAnsi="Calibri"/>
          <w:lang w:eastAsia="zh-CN"/>
        </w:rPr>
        <w:t>CONATEL</w:t>
      </w:r>
      <w:r w:rsidR="000616F2" w:rsidRPr="000616F2">
        <w:rPr>
          <w:rFonts w:ascii="Calibri" w:hAnsi="Calibri"/>
          <w:lang w:eastAsia="zh-CN"/>
        </w:rPr>
        <w:t>）</w:t>
      </w:r>
      <w:r w:rsidRPr="000736BC">
        <w:rPr>
          <w:rFonts w:ascii="Calibri" w:hAnsi="Calibri" w:hint="eastAsia"/>
          <w:lang w:eastAsia="zh-CN"/>
        </w:rPr>
        <w:t>和多米尼加共和国</w:t>
      </w:r>
      <w:r>
        <w:rPr>
          <w:rFonts w:ascii="Calibri" w:hAnsi="Calibri" w:hint="eastAsia"/>
          <w:lang w:eastAsia="zh-CN"/>
        </w:rPr>
        <w:t>电信研究院</w:t>
      </w:r>
      <w:r w:rsidR="000616F2" w:rsidRPr="000616F2">
        <w:rPr>
          <w:rFonts w:ascii="Calibri" w:hAnsi="Calibri"/>
          <w:lang w:eastAsia="zh-CN"/>
        </w:rPr>
        <w:t>（</w:t>
      </w:r>
      <w:r w:rsidR="000616F2" w:rsidRPr="000616F2">
        <w:rPr>
          <w:rFonts w:ascii="Calibri" w:hAnsi="Calibri"/>
          <w:lang w:eastAsia="zh-CN"/>
        </w:rPr>
        <w:t>INDOTEL</w:t>
      </w:r>
      <w:r w:rsidR="000616F2" w:rsidRPr="000616F2">
        <w:rPr>
          <w:rFonts w:ascii="Calibri" w:hAnsi="Calibri"/>
          <w:lang w:eastAsia="zh-CN"/>
        </w:rPr>
        <w:t>）</w:t>
      </w:r>
      <w:r w:rsidRPr="000736BC">
        <w:rPr>
          <w:rFonts w:ascii="Calibri" w:hAnsi="Calibri" w:hint="eastAsia"/>
          <w:lang w:eastAsia="zh-CN"/>
        </w:rPr>
        <w:t>等国家</w:t>
      </w:r>
      <w:r>
        <w:rPr>
          <w:rFonts w:ascii="Calibri" w:hAnsi="Calibri" w:hint="eastAsia"/>
          <w:lang w:eastAsia="zh-CN"/>
        </w:rPr>
        <w:t>管理机构</w:t>
      </w:r>
      <w:r w:rsidR="000616F2" w:rsidRPr="000616F2">
        <w:rPr>
          <w:rFonts w:ascii="Calibri" w:hAnsi="Calibri"/>
          <w:lang w:eastAsia="zh-CN"/>
        </w:rPr>
        <w:t>的互动</w:t>
      </w:r>
      <w:r w:rsidRPr="000736BC">
        <w:rPr>
          <w:rFonts w:ascii="Calibri" w:hAnsi="Calibri" w:hint="eastAsia"/>
          <w:lang w:eastAsia="zh-CN"/>
        </w:rPr>
        <w:t>。</w:t>
      </w:r>
      <w:r w:rsidR="000616F2" w:rsidRPr="000736BC">
        <w:rPr>
          <w:rFonts w:ascii="Calibri" w:hAnsi="Calibri" w:hint="eastAsia"/>
          <w:lang w:eastAsia="zh-CN"/>
        </w:rPr>
        <w:t>通过实践</w:t>
      </w:r>
      <w:r w:rsidR="000616F2">
        <w:rPr>
          <w:rFonts w:ascii="Calibri" w:hAnsi="Calibri" w:hint="eastAsia"/>
          <w:lang w:eastAsia="zh-CN"/>
        </w:rPr>
        <w:t>培训课程</w:t>
      </w:r>
      <w:r w:rsidR="000616F2" w:rsidRPr="000736BC">
        <w:rPr>
          <w:rFonts w:ascii="Calibri" w:hAnsi="Calibri" w:hint="eastAsia"/>
          <w:lang w:eastAsia="zh-CN"/>
        </w:rPr>
        <w:t>和</w:t>
      </w:r>
      <w:r w:rsidR="000616F2">
        <w:rPr>
          <w:rFonts w:ascii="Calibri" w:hAnsi="Calibri" w:hint="eastAsia"/>
          <w:lang w:eastAsia="zh-CN"/>
        </w:rPr>
        <w:t>伙伴互学，</w:t>
      </w:r>
      <w:r>
        <w:rPr>
          <w:rFonts w:ascii="Calibri" w:hAnsi="Calibri" w:hint="eastAsia"/>
          <w:lang w:eastAsia="zh-CN"/>
        </w:rPr>
        <w:t>该举措赋能</w:t>
      </w:r>
      <w:r w:rsidRPr="000736BC">
        <w:rPr>
          <w:rFonts w:ascii="Calibri" w:hAnsi="Calibri" w:hint="eastAsia"/>
          <w:lang w:eastAsia="zh-CN"/>
        </w:rPr>
        <w:t>50</w:t>
      </w:r>
      <w:r w:rsidRPr="000736BC">
        <w:rPr>
          <w:rFonts w:ascii="Calibri" w:hAnsi="Calibri" w:hint="eastAsia"/>
          <w:lang w:eastAsia="zh-CN"/>
        </w:rPr>
        <w:t>个利益攸关方，强化了电信发展局</w:t>
      </w:r>
      <w:r w:rsidR="000616F2" w:rsidRPr="000616F2">
        <w:rPr>
          <w:rFonts w:ascii="Calibri" w:hAnsi="Calibri"/>
          <w:lang w:eastAsia="zh-CN"/>
        </w:rPr>
        <w:t>在</w:t>
      </w:r>
      <w:r w:rsidRPr="000736BC">
        <w:rPr>
          <w:rFonts w:ascii="Calibri" w:hAnsi="Calibri" w:hint="eastAsia"/>
          <w:lang w:eastAsia="zh-CN"/>
        </w:rPr>
        <w:t>全美洲</w:t>
      </w:r>
      <w:r w:rsidR="000616F2">
        <w:rPr>
          <w:rFonts w:ascii="Calibri" w:hAnsi="Calibri" w:hint="eastAsia"/>
          <w:lang w:eastAsia="zh-CN"/>
        </w:rPr>
        <w:t>推动</w:t>
      </w:r>
      <w:r w:rsidRPr="000736BC">
        <w:rPr>
          <w:rFonts w:ascii="Calibri" w:hAnsi="Calibri" w:hint="eastAsia"/>
          <w:lang w:eastAsia="zh-CN"/>
        </w:rPr>
        <w:t>社区驱动的普遍连接的承诺。</w:t>
      </w:r>
    </w:p>
    <w:p w14:paraId="1A9F3537" w14:textId="11EE1C29" w:rsidR="00622881"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lang w:val="en-US" w:eastAsia="zh-CN"/>
        </w:rPr>
      </w:pPr>
      <w:r w:rsidRPr="000736BC">
        <w:rPr>
          <w:rFonts w:ascii="Calibri" w:hAnsi="Calibri" w:hint="eastAsia"/>
          <w:lang w:val="en-US" w:eastAsia="zh-CN"/>
        </w:rPr>
        <w:t>此外，通过与哥伦比亚主管部门</w:t>
      </w:r>
      <w:r w:rsidR="000616F2" w:rsidRPr="000616F2">
        <w:rPr>
          <w:rFonts w:ascii="Calibri" w:hAnsi="Calibri"/>
          <w:lang w:eastAsia="zh-CN"/>
        </w:rPr>
        <w:t>信息通信技术部</w:t>
      </w:r>
      <w:r w:rsidRPr="000736BC">
        <w:rPr>
          <w:rFonts w:ascii="Calibri" w:hAnsi="Calibri" w:hint="eastAsia"/>
          <w:lang w:val="en-US" w:eastAsia="zh-CN"/>
        </w:rPr>
        <w:t>（</w:t>
      </w:r>
      <w:proofErr w:type="spellStart"/>
      <w:r w:rsidRPr="000736BC">
        <w:rPr>
          <w:rFonts w:ascii="Calibri" w:hAnsi="Calibri" w:hint="eastAsia"/>
          <w:lang w:val="en-US" w:eastAsia="zh-CN"/>
        </w:rPr>
        <w:t>MinTIC</w:t>
      </w:r>
      <w:proofErr w:type="spellEnd"/>
      <w:r w:rsidRPr="000736BC">
        <w:rPr>
          <w:rFonts w:ascii="Calibri" w:hAnsi="Calibri" w:hint="eastAsia"/>
          <w:lang w:val="en-US" w:eastAsia="zh-CN"/>
        </w:rPr>
        <w:t>）</w:t>
      </w:r>
      <w:r w:rsidR="000616F2" w:rsidRPr="000616F2">
        <w:rPr>
          <w:rFonts w:ascii="Calibri" w:hAnsi="Calibri"/>
          <w:lang w:eastAsia="zh-CN"/>
        </w:rPr>
        <w:t>签署</w:t>
      </w:r>
      <w:r w:rsidRPr="000736BC">
        <w:rPr>
          <w:rFonts w:ascii="Calibri" w:hAnsi="Calibri" w:hint="eastAsia"/>
          <w:lang w:val="en-US" w:eastAsia="zh-CN"/>
        </w:rPr>
        <w:t>的技术合作协议，电信发展局已着手制定</w:t>
      </w:r>
      <w:r w:rsidR="000616F2">
        <w:rPr>
          <w:rFonts w:ascii="Calibri" w:hAnsi="Calibri" w:hint="eastAsia"/>
          <w:lang w:val="en-US" w:eastAsia="zh-CN"/>
        </w:rPr>
        <w:t>“</w:t>
      </w:r>
      <w:r w:rsidRPr="000736BC">
        <w:rPr>
          <w:rFonts w:ascii="Calibri" w:hAnsi="Calibri" w:hint="eastAsia"/>
          <w:lang w:val="en-US" w:eastAsia="zh-CN"/>
        </w:rPr>
        <w:t>电视服务普遍接入战略路线图</w:t>
      </w:r>
      <w:r w:rsidR="000616F2">
        <w:rPr>
          <w:rFonts w:ascii="Calibri" w:hAnsi="Calibri" w:hint="eastAsia"/>
          <w:lang w:val="en-US" w:eastAsia="zh-CN"/>
        </w:rPr>
        <w:t>”</w:t>
      </w:r>
      <w:r w:rsidRPr="000736BC">
        <w:rPr>
          <w:rFonts w:ascii="Calibri" w:hAnsi="Calibri" w:hint="eastAsia"/>
          <w:lang w:val="en-US" w:eastAsia="zh-CN"/>
        </w:rPr>
        <w:t>。</w:t>
      </w:r>
    </w:p>
    <w:p w14:paraId="68C940C4" w14:textId="186F92EC" w:rsidR="00622881"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lang w:eastAsia="zh-CN"/>
        </w:rPr>
      </w:pPr>
      <w:r w:rsidRPr="00713809">
        <w:rPr>
          <w:rFonts w:ascii="Calibri" w:hAnsi="Calibri" w:hint="eastAsia"/>
          <w:b/>
          <w:bCs/>
          <w:lang w:eastAsia="zh-CN"/>
        </w:rPr>
        <w:t>在亚太地区，</w:t>
      </w:r>
      <w:r w:rsidRPr="000736BC">
        <w:rPr>
          <w:rFonts w:ascii="Calibri" w:hAnsi="Calibri" w:hint="eastAsia"/>
          <w:lang w:eastAsia="zh-CN"/>
        </w:rPr>
        <w:t>2</w:t>
      </w:r>
      <w:r w:rsidRPr="000736BC">
        <w:rPr>
          <w:rFonts w:ascii="Calibri" w:hAnsi="Calibri" w:hint="eastAsia"/>
          <w:lang w:eastAsia="zh-CN"/>
        </w:rPr>
        <w:t>月</w:t>
      </w:r>
      <w:r w:rsidRPr="000736BC">
        <w:rPr>
          <w:rFonts w:ascii="Calibri" w:hAnsi="Calibri" w:hint="eastAsia"/>
          <w:lang w:eastAsia="zh-CN"/>
        </w:rPr>
        <w:t>10</w:t>
      </w:r>
      <w:r w:rsidRPr="000736BC">
        <w:rPr>
          <w:rFonts w:ascii="Calibri" w:hAnsi="Calibri" w:hint="eastAsia"/>
          <w:lang w:eastAsia="zh-CN"/>
        </w:rPr>
        <w:t>日至</w:t>
      </w:r>
      <w:r w:rsidRPr="000736BC">
        <w:rPr>
          <w:rFonts w:ascii="Calibri" w:hAnsi="Calibri" w:hint="eastAsia"/>
          <w:lang w:eastAsia="zh-CN"/>
        </w:rPr>
        <w:t>11</w:t>
      </w:r>
      <w:r w:rsidRPr="000736BC">
        <w:rPr>
          <w:rFonts w:ascii="Calibri" w:hAnsi="Calibri" w:hint="eastAsia"/>
          <w:lang w:eastAsia="zh-CN"/>
        </w:rPr>
        <w:t>日，电信发展局与东帝汶国家通信管理局（</w:t>
      </w:r>
      <w:r w:rsidRPr="000736BC">
        <w:rPr>
          <w:rFonts w:ascii="Calibri" w:hAnsi="Calibri" w:hint="eastAsia"/>
          <w:lang w:eastAsia="zh-CN"/>
        </w:rPr>
        <w:t>ANC</w:t>
      </w:r>
      <w:r w:rsidRPr="000736BC">
        <w:rPr>
          <w:rFonts w:ascii="Calibri" w:hAnsi="Calibri" w:hint="eastAsia"/>
          <w:lang w:eastAsia="zh-CN"/>
        </w:rPr>
        <w:t>）的技术、法律和财务部门举行了会议，</w:t>
      </w:r>
      <w:r w:rsidR="000616F2" w:rsidRPr="00713809">
        <w:rPr>
          <w:rFonts w:ascii="Calibri" w:hAnsi="Calibri" w:hint="eastAsia"/>
          <w:lang w:eastAsia="zh-CN"/>
        </w:rPr>
        <w:t>旨在使该国</w:t>
      </w:r>
      <w:r w:rsidRPr="000736BC">
        <w:rPr>
          <w:rFonts w:ascii="Calibri" w:hAnsi="Calibri" w:hint="eastAsia"/>
          <w:lang w:eastAsia="zh-CN"/>
        </w:rPr>
        <w:t>频谱划分政策与国际电联现行《无线电规则》</w:t>
      </w:r>
      <w:r w:rsidR="000616F2" w:rsidRPr="000616F2">
        <w:rPr>
          <w:rFonts w:ascii="Calibri" w:hAnsi="Calibri" w:hint="eastAsia"/>
          <w:lang w:eastAsia="zh-CN"/>
        </w:rPr>
        <w:t>保持一致</w:t>
      </w:r>
      <w:r w:rsidRPr="000736BC">
        <w:rPr>
          <w:rFonts w:ascii="Calibri" w:hAnsi="Calibri" w:hint="eastAsia"/>
          <w:lang w:eastAsia="zh-CN"/>
        </w:rPr>
        <w:t>。作为向东帝汶提供直接援助的一部分，这些会议</w:t>
      </w:r>
      <w:r w:rsidR="000A3E8F" w:rsidRPr="000A3E8F">
        <w:rPr>
          <w:rFonts w:ascii="Calibri" w:hAnsi="Calibri" w:hint="eastAsia"/>
          <w:lang w:eastAsia="zh-CN"/>
        </w:rPr>
        <w:t>重点讨论</w:t>
      </w:r>
      <w:r w:rsidR="000A3E8F">
        <w:rPr>
          <w:rFonts w:ascii="Calibri" w:hAnsi="Calibri" w:hint="eastAsia"/>
          <w:lang w:eastAsia="zh-CN"/>
        </w:rPr>
        <w:t>了</w:t>
      </w:r>
      <w:r>
        <w:rPr>
          <w:rFonts w:ascii="Calibri" w:hAnsi="Calibri" w:hint="eastAsia"/>
          <w:lang w:eastAsia="zh-CN"/>
        </w:rPr>
        <w:t>无线电频率</w:t>
      </w:r>
      <w:r w:rsidRPr="000736BC">
        <w:rPr>
          <w:rFonts w:ascii="Calibri" w:hAnsi="Calibri" w:hint="eastAsia"/>
          <w:lang w:eastAsia="zh-CN"/>
        </w:rPr>
        <w:t>（</w:t>
      </w:r>
      <w:r w:rsidRPr="000736BC">
        <w:rPr>
          <w:rFonts w:ascii="Calibri" w:hAnsi="Calibri" w:hint="eastAsia"/>
          <w:lang w:eastAsia="zh-CN"/>
        </w:rPr>
        <w:t>RF</w:t>
      </w:r>
      <w:r w:rsidRPr="000736BC">
        <w:rPr>
          <w:rFonts w:ascii="Calibri" w:hAnsi="Calibri" w:hint="eastAsia"/>
          <w:lang w:eastAsia="zh-CN"/>
        </w:rPr>
        <w:t>）监测、执行、频谱管理</w:t>
      </w:r>
      <w:r w:rsidR="000A3E8F" w:rsidRPr="000A3E8F">
        <w:rPr>
          <w:rFonts w:ascii="Calibri" w:hAnsi="Calibri" w:hint="eastAsia"/>
          <w:lang w:eastAsia="zh-CN"/>
        </w:rPr>
        <w:t>，并对《国家频率划分表》（</w:t>
      </w:r>
      <w:r w:rsidR="000A3E8F" w:rsidRPr="000A3E8F">
        <w:rPr>
          <w:rFonts w:ascii="Calibri" w:hAnsi="Calibri" w:hint="eastAsia"/>
          <w:lang w:eastAsia="zh-CN"/>
        </w:rPr>
        <w:t>NTFA</w:t>
      </w:r>
      <w:r w:rsidR="000A3E8F" w:rsidRPr="000A3E8F">
        <w:rPr>
          <w:rFonts w:ascii="Calibri" w:hAnsi="Calibri" w:hint="eastAsia"/>
          <w:lang w:eastAsia="zh-CN"/>
        </w:rPr>
        <w:t>）草案进行了说明</w:t>
      </w:r>
      <w:r w:rsidRPr="000736BC">
        <w:rPr>
          <w:rFonts w:ascii="Calibri" w:hAnsi="Calibri" w:hint="eastAsia"/>
          <w:lang w:eastAsia="zh-CN"/>
        </w:rPr>
        <w:t>。</w:t>
      </w:r>
    </w:p>
    <w:p w14:paraId="0BC68B7A" w14:textId="7EE8FB75" w:rsidR="00622881"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lang w:eastAsia="zh-CN"/>
        </w:rPr>
      </w:pPr>
      <w:r w:rsidRPr="000736BC">
        <w:rPr>
          <w:rFonts w:ascii="Calibri" w:hAnsi="Calibri" w:hint="eastAsia"/>
          <w:lang w:eastAsia="zh-CN"/>
        </w:rPr>
        <w:t>在亚美尼亚举办的</w:t>
      </w:r>
      <w:r w:rsidR="000A3E8F">
        <w:rPr>
          <w:rFonts w:ascii="Calibri" w:hAnsi="Calibri" w:hint="eastAsia"/>
          <w:lang w:eastAsia="zh-CN"/>
        </w:rPr>
        <w:t>“</w:t>
      </w:r>
      <w:r w:rsidRPr="000736BC">
        <w:rPr>
          <w:rFonts w:ascii="Calibri" w:hAnsi="Calibri" w:hint="eastAsia"/>
          <w:lang w:eastAsia="zh-CN"/>
        </w:rPr>
        <w:t>国际电联人工智能促进数字增长论坛</w:t>
      </w:r>
      <w:r w:rsidR="000A3E8F">
        <w:rPr>
          <w:rFonts w:ascii="Calibri" w:hAnsi="Calibri" w:hint="eastAsia"/>
          <w:lang w:eastAsia="zh-CN"/>
        </w:rPr>
        <w:t>”</w:t>
      </w:r>
      <w:r w:rsidRPr="000736BC">
        <w:rPr>
          <w:rFonts w:ascii="Calibri" w:hAnsi="Calibri" w:hint="eastAsia"/>
          <w:lang w:eastAsia="zh-CN"/>
        </w:rPr>
        <w:t>云集了政府、行业和国际专家，</w:t>
      </w:r>
      <w:r w:rsidR="000A3E8F">
        <w:rPr>
          <w:rFonts w:ascii="Calibri" w:hAnsi="Calibri" w:hint="eastAsia"/>
          <w:lang w:eastAsia="zh-CN"/>
        </w:rPr>
        <w:t>旨在</w:t>
      </w:r>
      <w:r w:rsidRPr="000736BC">
        <w:rPr>
          <w:rFonts w:ascii="Calibri" w:hAnsi="Calibri" w:hint="eastAsia"/>
          <w:lang w:eastAsia="zh-CN"/>
        </w:rPr>
        <w:t>加强关于人工智能政策、监管和行业应用的</w:t>
      </w:r>
      <w:r>
        <w:rPr>
          <w:rFonts w:ascii="Calibri" w:hAnsi="Calibri" w:hint="eastAsia"/>
          <w:lang w:eastAsia="zh-CN"/>
        </w:rPr>
        <w:t>国家</w:t>
      </w:r>
      <w:r w:rsidRPr="000736BC">
        <w:rPr>
          <w:rFonts w:ascii="Calibri" w:hAnsi="Calibri" w:hint="eastAsia"/>
          <w:lang w:eastAsia="zh-CN"/>
        </w:rPr>
        <w:t>对话，促进</w:t>
      </w:r>
      <w:r>
        <w:rPr>
          <w:rFonts w:ascii="Calibri" w:hAnsi="Calibri" w:hint="eastAsia"/>
          <w:lang w:eastAsia="zh-CN"/>
        </w:rPr>
        <w:t>利益攸关</w:t>
      </w:r>
      <w:r w:rsidR="00DC59DB">
        <w:rPr>
          <w:rFonts w:ascii="Calibri" w:hAnsi="Calibri" w:hint="eastAsia"/>
          <w:lang w:eastAsia="zh-CN"/>
        </w:rPr>
        <w:t>多</w:t>
      </w:r>
      <w:r>
        <w:rPr>
          <w:rFonts w:ascii="Calibri" w:hAnsi="Calibri" w:hint="eastAsia"/>
          <w:lang w:eastAsia="zh-CN"/>
        </w:rPr>
        <w:t>方在数字化转型方面开展协作</w:t>
      </w:r>
      <w:r w:rsidRPr="000736BC">
        <w:rPr>
          <w:rFonts w:ascii="Calibri" w:hAnsi="Calibri" w:hint="eastAsia"/>
          <w:lang w:eastAsia="zh-CN"/>
        </w:rPr>
        <w:t>。通过</w:t>
      </w:r>
      <w:r>
        <w:rPr>
          <w:rFonts w:ascii="Calibri" w:hAnsi="Calibri" w:hint="eastAsia"/>
          <w:lang w:eastAsia="zh-CN"/>
        </w:rPr>
        <w:t>围绕</w:t>
      </w:r>
      <w:r w:rsidRPr="000736BC">
        <w:rPr>
          <w:rFonts w:ascii="Calibri" w:hAnsi="Calibri" w:hint="eastAsia"/>
          <w:lang w:eastAsia="zh-CN"/>
        </w:rPr>
        <w:t>人工智能治理、新兴技术以及电信和网络安全用例</w:t>
      </w:r>
      <w:r>
        <w:rPr>
          <w:rFonts w:ascii="Calibri" w:hAnsi="Calibri" w:hint="eastAsia"/>
          <w:lang w:eastAsia="zh-CN"/>
        </w:rPr>
        <w:t>开展</w:t>
      </w:r>
      <w:r w:rsidRPr="000736BC">
        <w:rPr>
          <w:rFonts w:ascii="Calibri" w:hAnsi="Calibri" w:hint="eastAsia"/>
          <w:lang w:eastAsia="zh-CN"/>
        </w:rPr>
        <w:t>知识</w:t>
      </w:r>
      <w:r>
        <w:rPr>
          <w:rFonts w:ascii="Calibri" w:hAnsi="Calibri" w:hint="eastAsia"/>
          <w:lang w:eastAsia="zh-CN"/>
        </w:rPr>
        <w:t>交流</w:t>
      </w:r>
      <w:r w:rsidRPr="000736BC">
        <w:rPr>
          <w:rFonts w:ascii="Calibri" w:hAnsi="Calibri" w:hint="eastAsia"/>
          <w:lang w:eastAsia="zh-CN"/>
        </w:rPr>
        <w:t>，</w:t>
      </w:r>
      <w:r w:rsidR="00DC59DB">
        <w:rPr>
          <w:rFonts w:ascii="Calibri" w:hAnsi="Calibri" w:hint="eastAsia"/>
          <w:lang w:eastAsia="zh-CN"/>
        </w:rPr>
        <w:t>该</w:t>
      </w:r>
      <w:r>
        <w:rPr>
          <w:rFonts w:ascii="Calibri" w:hAnsi="Calibri" w:hint="eastAsia"/>
          <w:lang w:eastAsia="zh-CN"/>
        </w:rPr>
        <w:t>论坛</w:t>
      </w:r>
      <w:r w:rsidRPr="000736BC">
        <w:rPr>
          <w:rFonts w:ascii="Calibri" w:hAnsi="Calibri" w:hint="eastAsia"/>
          <w:lang w:eastAsia="zh-CN"/>
        </w:rPr>
        <w:t>增强了利益攸关方的能力，</w:t>
      </w:r>
      <w:r>
        <w:rPr>
          <w:rFonts w:ascii="Calibri" w:hAnsi="Calibri" w:hint="eastAsia"/>
          <w:lang w:eastAsia="zh-CN"/>
        </w:rPr>
        <w:t>促进了</w:t>
      </w:r>
      <w:r w:rsidRPr="000736BC">
        <w:rPr>
          <w:rFonts w:ascii="Calibri" w:hAnsi="Calibri" w:hint="eastAsia"/>
          <w:lang w:eastAsia="zh-CN"/>
        </w:rPr>
        <w:t>采用创新和值得信赖的人工智能解决方案</w:t>
      </w:r>
      <w:r>
        <w:rPr>
          <w:rFonts w:ascii="Calibri" w:hAnsi="Calibri" w:hint="eastAsia"/>
          <w:lang w:eastAsia="zh-CN"/>
        </w:rPr>
        <w:t>以</w:t>
      </w:r>
      <w:r w:rsidRPr="000736BC">
        <w:rPr>
          <w:rFonts w:ascii="Calibri" w:hAnsi="Calibri" w:hint="eastAsia"/>
          <w:lang w:eastAsia="zh-CN"/>
        </w:rPr>
        <w:t>推动可持续数字发展。</w:t>
      </w:r>
    </w:p>
    <w:p w14:paraId="48C433BD" w14:textId="37AC7B07" w:rsidR="000616F2" w:rsidRPr="000616F2" w:rsidRDefault="000616F2" w:rsidP="00713809">
      <w:pPr>
        <w:rPr>
          <w:b/>
          <w:lang w:eastAsia="zh-CN"/>
        </w:rPr>
        <w:sectPr w:rsidR="000616F2" w:rsidRPr="000616F2" w:rsidSect="005573EC">
          <w:headerReference w:type="default" r:id="rId15"/>
          <w:headerReference w:type="first" r:id="rId16"/>
          <w:pgSz w:w="11907" w:h="16840"/>
          <w:pgMar w:top="1418" w:right="1134" w:bottom="1134" w:left="1134" w:header="720" w:footer="720" w:gutter="0"/>
          <w:cols w:space="720"/>
          <w:docGrid w:linePitch="326"/>
        </w:sectPr>
      </w:pPr>
    </w:p>
    <w:p w14:paraId="38886A0B" w14:textId="77777777" w:rsidR="00521A20" w:rsidRDefault="00BB475A">
      <w:pPr>
        <w:pStyle w:val="Heading2"/>
        <w:rPr>
          <w:lang w:eastAsia="zh-CN"/>
        </w:rPr>
      </w:pPr>
      <w:r>
        <w:rPr>
          <w:rFonts w:hint="eastAsia"/>
          <w:lang w:eastAsia="zh-CN"/>
        </w:rPr>
        <w:lastRenderedPageBreak/>
        <w:t>3.2</w:t>
      </w:r>
      <w:r>
        <w:rPr>
          <w:rFonts w:hint="eastAsia"/>
          <w:lang w:eastAsia="zh-CN"/>
        </w:rPr>
        <w:tab/>
        <w:t>ITU-D</w:t>
      </w:r>
      <w:r>
        <w:rPr>
          <w:rFonts w:hint="eastAsia"/>
          <w:lang w:eastAsia="zh-CN"/>
        </w:rPr>
        <w:t>的重点工作</w:t>
      </w:r>
      <w:r>
        <w:rPr>
          <w:rFonts w:hint="eastAsia"/>
          <w:lang w:eastAsia="zh-CN"/>
        </w:rPr>
        <w:t>2</w:t>
      </w:r>
      <w:r>
        <w:rPr>
          <w:rFonts w:hint="eastAsia"/>
          <w:lang w:eastAsia="zh-CN"/>
        </w:rPr>
        <w:t>：数字化转型</w:t>
      </w:r>
    </w:p>
    <w:tbl>
      <w:tblPr>
        <w:tblW w:w="15451" w:type="dxa"/>
        <w:tblInd w:w="-714" w:type="dxa"/>
        <w:tblLook w:val="04A0" w:firstRow="1" w:lastRow="0" w:firstColumn="1" w:lastColumn="0" w:noHBand="0" w:noVBand="1"/>
      </w:tblPr>
      <w:tblGrid>
        <w:gridCol w:w="2127"/>
        <w:gridCol w:w="3260"/>
        <w:gridCol w:w="3119"/>
        <w:gridCol w:w="2268"/>
        <w:gridCol w:w="1559"/>
        <w:gridCol w:w="1559"/>
        <w:gridCol w:w="1559"/>
      </w:tblGrid>
      <w:tr w:rsidR="00521A20" w14:paraId="15852E94" w14:textId="77777777">
        <w:trPr>
          <w:cantSplit/>
          <w:trHeight w:val="600"/>
          <w:tblHeader/>
        </w:trPr>
        <w:tc>
          <w:tcPr>
            <w:tcW w:w="2127" w:type="dxa"/>
            <w:tcBorders>
              <w:top w:val="single" w:sz="4" w:space="0" w:color="44B3E1"/>
              <w:left w:val="single" w:sz="4" w:space="0" w:color="44B3E1"/>
              <w:bottom w:val="single" w:sz="4" w:space="0" w:color="44B3E1"/>
              <w:right w:val="nil"/>
            </w:tcBorders>
            <w:shd w:val="clear" w:color="auto" w:fill="156082"/>
            <w:noWrap/>
            <w:vAlign w:val="center"/>
          </w:tcPr>
          <w:p w14:paraId="64590042" w14:textId="77777777" w:rsidR="00521A20" w:rsidRDefault="00BB475A">
            <w:pPr>
              <w:overflowPunct/>
              <w:autoSpaceDE/>
              <w:autoSpaceDN/>
              <w:adjustRightInd/>
              <w:spacing w:before="0"/>
              <w:jc w:val="center"/>
              <w:textAlignment w:val="auto"/>
              <w:rPr>
                <w:rFonts w:ascii="Calibri" w:hAnsi="Calibri" w:cs="Calibri"/>
                <w:b/>
                <w:bCs/>
                <w:color w:val="FFFFFF"/>
                <w:sz w:val="20"/>
              </w:rPr>
            </w:pPr>
            <w:proofErr w:type="spellStart"/>
            <w:r>
              <w:rPr>
                <w:rFonts w:ascii="Calibri" w:hAnsi="Calibri" w:hint="eastAsia"/>
                <w:b/>
                <w:color w:val="FFFFFF"/>
                <w:sz w:val="20"/>
              </w:rPr>
              <w:t>重点工作</w:t>
            </w:r>
            <w:proofErr w:type="spellEnd"/>
            <w:r>
              <w:rPr>
                <w:rFonts w:ascii="Calibri" w:hAnsi="Calibri" w:hint="eastAsia"/>
                <w:b/>
                <w:color w:val="FFFFFF"/>
                <w:sz w:val="20"/>
              </w:rPr>
              <w:t>/</w:t>
            </w:r>
            <w:proofErr w:type="spellStart"/>
            <w:r>
              <w:rPr>
                <w:rFonts w:ascii="Calibri" w:hAnsi="Calibri" w:hint="eastAsia"/>
                <w:b/>
                <w:color w:val="FFFFFF"/>
                <w:sz w:val="20"/>
              </w:rPr>
              <w:t>主题</w:t>
            </w:r>
            <w:proofErr w:type="spellEnd"/>
          </w:p>
        </w:tc>
        <w:tc>
          <w:tcPr>
            <w:tcW w:w="3260" w:type="dxa"/>
            <w:tcBorders>
              <w:top w:val="single" w:sz="4" w:space="0" w:color="44B3E1"/>
              <w:left w:val="nil"/>
              <w:bottom w:val="single" w:sz="4" w:space="0" w:color="44B3E1"/>
              <w:right w:val="nil"/>
            </w:tcBorders>
            <w:shd w:val="clear" w:color="auto" w:fill="156082"/>
            <w:noWrap/>
            <w:vAlign w:val="center"/>
          </w:tcPr>
          <w:p w14:paraId="456BE321" w14:textId="77777777" w:rsidR="00521A20" w:rsidRDefault="00BB475A">
            <w:pPr>
              <w:overflowPunct/>
              <w:autoSpaceDE/>
              <w:autoSpaceDN/>
              <w:adjustRightInd/>
              <w:spacing w:before="0"/>
              <w:jc w:val="center"/>
              <w:textAlignment w:val="auto"/>
              <w:rPr>
                <w:rFonts w:ascii="Calibri" w:hAnsi="Calibri" w:cs="Calibri"/>
                <w:b/>
                <w:bCs/>
                <w:color w:val="FFFFFF"/>
                <w:sz w:val="20"/>
              </w:rPr>
            </w:pPr>
            <w:proofErr w:type="spellStart"/>
            <w:r>
              <w:rPr>
                <w:rFonts w:ascii="Calibri" w:hAnsi="Calibri" w:hint="eastAsia"/>
                <w:b/>
                <w:color w:val="FFFFFF"/>
                <w:sz w:val="20"/>
              </w:rPr>
              <w:t>成果</w:t>
            </w:r>
            <w:proofErr w:type="spellEnd"/>
          </w:p>
        </w:tc>
        <w:tc>
          <w:tcPr>
            <w:tcW w:w="3119" w:type="dxa"/>
            <w:tcBorders>
              <w:top w:val="single" w:sz="4" w:space="0" w:color="44B3E1"/>
              <w:left w:val="nil"/>
              <w:bottom w:val="single" w:sz="4" w:space="0" w:color="44B3E1"/>
              <w:right w:val="nil"/>
            </w:tcBorders>
            <w:shd w:val="clear" w:color="auto" w:fill="156082"/>
            <w:noWrap/>
            <w:vAlign w:val="center"/>
          </w:tcPr>
          <w:p w14:paraId="56F54C31" w14:textId="77777777" w:rsidR="00521A20" w:rsidRDefault="00BB475A">
            <w:pPr>
              <w:overflowPunct/>
              <w:autoSpaceDE/>
              <w:autoSpaceDN/>
              <w:adjustRightInd/>
              <w:spacing w:before="0"/>
              <w:jc w:val="center"/>
              <w:textAlignment w:val="auto"/>
              <w:rPr>
                <w:rFonts w:ascii="Calibri" w:hAnsi="Calibri" w:cs="Calibri"/>
                <w:b/>
                <w:bCs/>
                <w:color w:val="FFFFFF"/>
                <w:sz w:val="20"/>
              </w:rPr>
            </w:pPr>
            <w:proofErr w:type="spellStart"/>
            <w:r>
              <w:rPr>
                <w:rFonts w:ascii="Calibri" w:hAnsi="Calibri" w:hint="eastAsia"/>
                <w:b/>
                <w:color w:val="FFFFFF"/>
                <w:sz w:val="20"/>
              </w:rPr>
              <w:t>成果指标</w:t>
            </w:r>
            <w:proofErr w:type="spellEnd"/>
            <w:r>
              <w:rPr>
                <w:rStyle w:val="FootnoteReference"/>
                <w:rFonts w:cs="Calibri"/>
                <w:b/>
                <w:bCs/>
                <w:color w:val="FFFFFF"/>
                <w:lang w:eastAsia="en-GB"/>
              </w:rPr>
              <w:footnoteReference w:id="2"/>
            </w:r>
          </w:p>
        </w:tc>
        <w:tc>
          <w:tcPr>
            <w:tcW w:w="2268" w:type="dxa"/>
            <w:tcBorders>
              <w:top w:val="single" w:sz="4" w:space="0" w:color="44B3E1"/>
              <w:left w:val="nil"/>
              <w:bottom w:val="single" w:sz="4" w:space="0" w:color="44B3E1"/>
              <w:right w:val="nil"/>
            </w:tcBorders>
            <w:shd w:val="clear" w:color="auto" w:fill="156082"/>
            <w:vAlign w:val="center"/>
          </w:tcPr>
          <w:p w14:paraId="1B78E086" w14:textId="77777777" w:rsidR="00521A20" w:rsidRDefault="00BB475A">
            <w:pPr>
              <w:overflowPunct/>
              <w:autoSpaceDE/>
              <w:autoSpaceDN/>
              <w:adjustRightInd/>
              <w:spacing w:before="0"/>
              <w:jc w:val="center"/>
              <w:textAlignment w:val="auto"/>
              <w:rPr>
                <w:rFonts w:ascii="Calibri" w:hAnsi="Calibri" w:cs="Calibri"/>
                <w:b/>
                <w:bCs/>
                <w:color w:val="FFFFFF"/>
                <w:sz w:val="20"/>
                <w:lang w:eastAsia="zh-CN"/>
              </w:rPr>
            </w:pPr>
            <w:r>
              <w:rPr>
                <w:rFonts w:ascii="Calibri" w:hAnsi="Calibri" w:hint="eastAsia"/>
                <w:b/>
                <w:color w:val="FFFFFF"/>
                <w:sz w:val="20"/>
                <w:lang w:eastAsia="zh-CN"/>
              </w:rPr>
              <w:t>输出成果</w:t>
            </w:r>
            <w:r>
              <w:rPr>
                <w:rFonts w:ascii="Calibri" w:hAnsi="Calibri" w:hint="eastAsia"/>
                <w:b/>
                <w:color w:val="FFFFFF"/>
                <w:sz w:val="20"/>
                <w:lang w:eastAsia="zh-CN"/>
              </w:rPr>
              <w:br/>
            </w:r>
            <w:r>
              <w:rPr>
                <w:rFonts w:ascii="Calibri" w:hAnsi="Calibri" w:hint="eastAsia"/>
                <w:b/>
                <w:color w:val="FFFFFF"/>
                <w:sz w:val="20"/>
                <w:lang w:eastAsia="zh-CN"/>
              </w:rPr>
              <w:t>（</w:t>
            </w:r>
            <w:r>
              <w:rPr>
                <w:rFonts w:ascii="Calibri" w:hAnsi="Calibri" w:hint="eastAsia"/>
                <w:b/>
                <w:color w:val="FFFFFF"/>
                <w:sz w:val="20"/>
                <w:lang w:eastAsia="zh-CN"/>
              </w:rPr>
              <w:t xml:space="preserve">ITU-D </w:t>
            </w:r>
            <w:r>
              <w:rPr>
                <w:rFonts w:ascii="Calibri" w:hAnsi="Calibri" w:hint="eastAsia"/>
                <w:b/>
                <w:color w:val="FFFFFF"/>
                <w:sz w:val="20"/>
                <w:lang w:eastAsia="zh-CN"/>
              </w:rPr>
              <w:t>产品和服务）</w:t>
            </w:r>
          </w:p>
        </w:tc>
        <w:tc>
          <w:tcPr>
            <w:tcW w:w="1559" w:type="dxa"/>
            <w:tcBorders>
              <w:top w:val="single" w:sz="4" w:space="0" w:color="44B3E1"/>
              <w:left w:val="nil"/>
              <w:bottom w:val="single" w:sz="4" w:space="0" w:color="44B3E1"/>
              <w:right w:val="nil"/>
            </w:tcBorders>
            <w:shd w:val="clear" w:color="auto" w:fill="156082"/>
            <w:vAlign w:val="center"/>
          </w:tcPr>
          <w:p w14:paraId="074A3DAA" w14:textId="77777777" w:rsidR="00521A20" w:rsidRDefault="00BB475A">
            <w:pPr>
              <w:overflowPunct/>
              <w:autoSpaceDE/>
              <w:autoSpaceDN/>
              <w:adjustRightInd/>
              <w:spacing w:before="0"/>
              <w:jc w:val="center"/>
              <w:textAlignment w:val="auto"/>
              <w:rPr>
                <w:rFonts w:ascii="Calibri" w:hAnsi="Calibri" w:cs="Calibri"/>
                <w:b/>
                <w:bCs/>
                <w:color w:val="FFFFFF"/>
                <w:sz w:val="20"/>
              </w:rPr>
            </w:pPr>
            <w:r>
              <w:rPr>
                <w:rFonts w:ascii="Calibri" w:hAnsi="Calibri" w:hint="eastAsia"/>
                <w:b/>
                <w:color w:val="FFFFFF"/>
                <w:sz w:val="20"/>
              </w:rPr>
              <w:t>2026</w:t>
            </w:r>
            <w:proofErr w:type="spellStart"/>
            <w:r>
              <w:rPr>
                <w:rFonts w:ascii="Calibri" w:hAnsi="Calibri" w:hint="eastAsia"/>
                <w:b/>
                <w:color w:val="FFFFFF"/>
                <w:sz w:val="20"/>
              </w:rPr>
              <w:t>年预算（瑞郎</w:t>
            </w:r>
            <w:proofErr w:type="spellEnd"/>
            <w:r>
              <w:rPr>
                <w:rFonts w:ascii="Calibri" w:hAnsi="Calibri" w:hint="eastAsia"/>
                <w:b/>
                <w:color w:val="FFFFFF"/>
                <w:sz w:val="20"/>
              </w:rPr>
              <w:t>）</w:t>
            </w:r>
          </w:p>
        </w:tc>
        <w:tc>
          <w:tcPr>
            <w:tcW w:w="1559" w:type="dxa"/>
            <w:tcBorders>
              <w:top w:val="single" w:sz="4" w:space="0" w:color="44B3E1"/>
              <w:left w:val="nil"/>
              <w:bottom w:val="single" w:sz="4" w:space="0" w:color="44B3E1"/>
              <w:right w:val="nil"/>
            </w:tcBorders>
            <w:shd w:val="clear" w:color="auto" w:fill="156082"/>
            <w:vAlign w:val="center"/>
          </w:tcPr>
          <w:p w14:paraId="462C5316" w14:textId="77777777" w:rsidR="00521A20" w:rsidRDefault="00BB475A">
            <w:pPr>
              <w:overflowPunct/>
              <w:autoSpaceDE/>
              <w:autoSpaceDN/>
              <w:adjustRightInd/>
              <w:spacing w:before="0"/>
              <w:jc w:val="center"/>
              <w:textAlignment w:val="auto"/>
              <w:rPr>
                <w:rFonts w:ascii="Calibri" w:hAnsi="Calibri" w:cs="Calibri"/>
                <w:b/>
                <w:bCs/>
                <w:color w:val="FFFFFF"/>
                <w:sz w:val="20"/>
                <w:lang w:eastAsia="zh-CN"/>
              </w:rPr>
            </w:pPr>
            <w:r>
              <w:rPr>
                <w:rFonts w:ascii="Calibri" w:hAnsi="Calibri" w:hint="eastAsia"/>
                <w:b/>
                <w:color w:val="FFFFFF"/>
                <w:sz w:val="20"/>
                <w:lang w:eastAsia="zh-CN"/>
              </w:rPr>
              <w:t>占重点工作</w:t>
            </w:r>
            <w:r>
              <w:rPr>
                <w:rFonts w:ascii="Calibri" w:hAnsi="Calibri" w:hint="eastAsia"/>
                <w:b/>
                <w:color w:val="FFFFFF"/>
                <w:sz w:val="20"/>
                <w:lang w:eastAsia="zh-CN"/>
              </w:rPr>
              <w:t>/</w:t>
            </w:r>
            <w:r>
              <w:rPr>
                <w:rFonts w:ascii="Calibri" w:hAnsi="Calibri" w:hint="eastAsia"/>
                <w:b/>
                <w:color w:val="FFFFFF"/>
                <w:sz w:val="20"/>
                <w:lang w:eastAsia="zh-CN"/>
              </w:rPr>
              <w:t>推动因素总数的百分比</w:t>
            </w:r>
          </w:p>
        </w:tc>
        <w:tc>
          <w:tcPr>
            <w:tcW w:w="1559" w:type="dxa"/>
            <w:tcBorders>
              <w:top w:val="single" w:sz="4" w:space="0" w:color="44B3E1"/>
              <w:left w:val="nil"/>
              <w:bottom w:val="single" w:sz="4" w:space="0" w:color="44B3E1"/>
              <w:right w:val="single" w:sz="4" w:space="0" w:color="44B3E1"/>
            </w:tcBorders>
            <w:shd w:val="clear" w:color="auto" w:fill="156082"/>
            <w:vAlign w:val="center"/>
          </w:tcPr>
          <w:p w14:paraId="2D7C52E7" w14:textId="77777777" w:rsidR="00521A20" w:rsidRDefault="00BB475A">
            <w:pPr>
              <w:overflowPunct/>
              <w:autoSpaceDE/>
              <w:autoSpaceDN/>
              <w:adjustRightInd/>
              <w:spacing w:before="0"/>
              <w:jc w:val="center"/>
              <w:textAlignment w:val="auto"/>
              <w:rPr>
                <w:rFonts w:ascii="Calibri" w:hAnsi="Calibri" w:cs="Calibri"/>
                <w:b/>
                <w:bCs/>
                <w:color w:val="FFFFFF"/>
                <w:sz w:val="20"/>
              </w:rPr>
            </w:pPr>
            <w:proofErr w:type="spellStart"/>
            <w:r>
              <w:rPr>
                <w:rFonts w:ascii="Calibri" w:hAnsi="Calibri" w:hint="eastAsia"/>
                <w:b/>
                <w:color w:val="FFFFFF"/>
                <w:sz w:val="20"/>
              </w:rPr>
              <w:t>占总预算的百分比</w:t>
            </w:r>
            <w:proofErr w:type="spellEnd"/>
            <w:r>
              <w:rPr>
                <w:rFonts w:ascii="Calibri" w:hAnsi="Calibri" w:hint="eastAsia"/>
                <w:b/>
                <w:color w:val="FFFFFF"/>
                <w:sz w:val="20"/>
              </w:rPr>
              <w:t xml:space="preserve"> </w:t>
            </w:r>
          </w:p>
        </w:tc>
      </w:tr>
      <w:tr w:rsidR="00521A20" w14:paraId="406DD6F8" w14:textId="77777777">
        <w:trPr>
          <w:trHeight w:val="300"/>
        </w:trPr>
        <w:tc>
          <w:tcPr>
            <w:tcW w:w="2127" w:type="dxa"/>
            <w:tcBorders>
              <w:top w:val="single" w:sz="4" w:space="0" w:color="44B3E1"/>
              <w:left w:val="single" w:sz="4" w:space="0" w:color="44B3E1"/>
              <w:bottom w:val="single" w:sz="4" w:space="0" w:color="44B3E1"/>
              <w:right w:val="nil"/>
            </w:tcBorders>
            <w:shd w:val="clear" w:color="auto" w:fill="C0E6F5"/>
            <w:vAlign w:val="bottom"/>
          </w:tcPr>
          <w:p w14:paraId="3158A242" w14:textId="77777777" w:rsidR="00521A20" w:rsidRDefault="00BB475A">
            <w:pPr>
              <w:overflowPunct/>
              <w:autoSpaceDE/>
              <w:autoSpaceDN/>
              <w:adjustRightInd/>
              <w:spacing w:before="0"/>
              <w:textAlignment w:val="auto"/>
              <w:rPr>
                <w:rFonts w:ascii="Calibri" w:hAnsi="Calibri" w:cs="Calibri"/>
                <w:b/>
                <w:bCs/>
                <w:color w:val="000000"/>
                <w:sz w:val="20"/>
              </w:rPr>
            </w:pPr>
            <w:proofErr w:type="spellStart"/>
            <w:r>
              <w:rPr>
                <w:rFonts w:ascii="Calibri" w:hAnsi="Calibri" w:hint="eastAsia"/>
                <w:b/>
                <w:color w:val="000000"/>
                <w:sz w:val="20"/>
              </w:rPr>
              <w:t>所有数字化转型</w:t>
            </w:r>
            <w:proofErr w:type="spellEnd"/>
          </w:p>
        </w:tc>
        <w:tc>
          <w:tcPr>
            <w:tcW w:w="3260" w:type="dxa"/>
            <w:tcBorders>
              <w:top w:val="single" w:sz="4" w:space="0" w:color="44B3E1"/>
              <w:left w:val="nil"/>
              <w:bottom w:val="single" w:sz="4" w:space="0" w:color="44B3E1"/>
              <w:right w:val="nil"/>
            </w:tcBorders>
            <w:shd w:val="clear" w:color="auto" w:fill="C0E6F5"/>
            <w:noWrap/>
            <w:vAlign w:val="bottom"/>
          </w:tcPr>
          <w:p w14:paraId="30558430" w14:textId="77777777" w:rsidR="00521A20" w:rsidRDefault="00521A20">
            <w:pPr>
              <w:overflowPunct/>
              <w:autoSpaceDE/>
              <w:autoSpaceDN/>
              <w:adjustRightInd/>
              <w:spacing w:before="0"/>
              <w:textAlignment w:val="auto"/>
              <w:rPr>
                <w:rFonts w:ascii="Calibri" w:hAnsi="Calibri" w:cs="Calibri"/>
                <w:b/>
                <w:bCs/>
                <w:color w:val="000000"/>
                <w:sz w:val="20"/>
                <w:lang w:eastAsia="en-GB"/>
              </w:rPr>
            </w:pPr>
          </w:p>
        </w:tc>
        <w:tc>
          <w:tcPr>
            <w:tcW w:w="3119" w:type="dxa"/>
            <w:tcBorders>
              <w:top w:val="single" w:sz="4" w:space="0" w:color="44B3E1"/>
              <w:left w:val="nil"/>
              <w:bottom w:val="single" w:sz="4" w:space="0" w:color="44B3E1"/>
              <w:right w:val="nil"/>
            </w:tcBorders>
            <w:shd w:val="clear" w:color="auto" w:fill="C0E6F5"/>
            <w:noWrap/>
            <w:vAlign w:val="bottom"/>
          </w:tcPr>
          <w:p w14:paraId="5BBCE07B" w14:textId="77777777" w:rsidR="00521A20" w:rsidRDefault="00521A20">
            <w:pPr>
              <w:overflowPunct/>
              <w:autoSpaceDE/>
              <w:autoSpaceDN/>
              <w:adjustRightInd/>
              <w:spacing w:before="0"/>
              <w:textAlignment w:val="auto"/>
              <w:rPr>
                <w:rFonts w:ascii="Times New Roman" w:hAnsi="Times New Roman"/>
                <w:sz w:val="20"/>
                <w:lang w:eastAsia="en-GB"/>
              </w:rPr>
            </w:pPr>
          </w:p>
        </w:tc>
        <w:tc>
          <w:tcPr>
            <w:tcW w:w="2268" w:type="dxa"/>
            <w:tcBorders>
              <w:top w:val="single" w:sz="4" w:space="0" w:color="44B3E1"/>
              <w:left w:val="nil"/>
              <w:bottom w:val="single" w:sz="4" w:space="0" w:color="44B3E1"/>
              <w:right w:val="nil"/>
            </w:tcBorders>
            <w:shd w:val="clear" w:color="auto" w:fill="C0E6F5"/>
            <w:noWrap/>
            <w:vAlign w:val="bottom"/>
          </w:tcPr>
          <w:p w14:paraId="77FCAD9D" w14:textId="77777777" w:rsidR="00521A20" w:rsidRDefault="00521A20">
            <w:pPr>
              <w:overflowPunct/>
              <w:autoSpaceDE/>
              <w:autoSpaceDN/>
              <w:adjustRightInd/>
              <w:spacing w:before="0"/>
              <w:textAlignment w:val="auto"/>
              <w:rPr>
                <w:rFonts w:ascii="Times New Roman" w:hAnsi="Times New Roman"/>
                <w:sz w:val="20"/>
                <w:lang w:eastAsia="en-GB"/>
              </w:rPr>
            </w:pPr>
          </w:p>
        </w:tc>
        <w:tc>
          <w:tcPr>
            <w:tcW w:w="1559" w:type="dxa"/>
            <w:tcBorders>
              <w:top w:val="single" w:sz="4" w:space="0" w:color="44B3E1"/>
              <w:left w:val="nil"/>
              <w:bottom w:val="single" w:sz="4" w:space="0" w:color="44B3E1"/>
              <w:right w:val="nil"/>
            </w:tcBorders>
            <w:shd w:val="clear" w:color="auto" w:fill="C0E6F5"/>
            <w:noWrap/>
            <w:vAlign w:val="center"/>
          </w:tcPr>
          <w:p w14:paraId="339D658F" w14:textId="4B03BC94" w:rsidR="00521A20" w:rsidRDefault="00BB475A">
            <w:pPr>
              <w:overflowPunct/>
              <w:autoSpaceDE/>
              <w:autoSpaceDN/>
              <w:adjustRightInd/>
              <w:spacing w:before="0"/>
              <w:jc w:val="center"/>
              <w:textAlignment w:val="auto"/>
              <w:rPr>
                <w:rFonts w:ascii="Calibri" w:hAnsi="Calibri" w:cs="Calibri"/>
                <w:b/>
                <w:bCs/>
                <w:color w:val="000000"/>
                <w:sz w:val="20"/>
              </w:rPr>
            </w:pPr>
            <w:r>
              <w:rPr>
                <w:rFonts w:ascii="Calibri" w:hAnsi="Calibri" w:cs="Calibri"/>
                <w:b/>
                <w:bCs/>
                <w:color w:val="000000"/>
                <w:sz w:val="20"/>
                <w:lang w:eastAsia="en-GB"/>
              </w:rPr>
              <w:t>899,500</w:t>
            </w:r>
          </w:p>
        </w:tc>
        <w:tc>
          <w:tcPr>
            <w:tcW w:w="1559" w:type="dxa"/>
            <w:tcBorders>
              <w:top w:val="single" w:sz="4" w:space="0" w:color="44B3E1"/>
              <w:left w:val="nil"/>
              <w:bottom w:val="single" w:sz="4" w:space="0" w:color="44B3E1"/>
              <w:right w:val="nil"/>
            </w:tcBorders>
            <w:shd w:val="clear" w:color="auto" w:fill="C0E6F5"/>
            <w:vAlign w:val="center"/>
          </w:tcPr>
          <w:p w14:paraId="384DECCD" w14:textId="77777777" w:rsidR="00521A20" w:rsidRDefault="00521A20">
            <w:pPr>
              <w:overflowPunct/>
              <w:autoSpaceDE/>
              <w:autoSpaceDN/>
              <w:adjustRightInd/>
              <w:spacing w:before="0"/>
              <w:jc w:val="center"/>
              <w:textAlignment w:val="auto"/>
              <w:rPr>
                <w:rFonts w:ascii="Calibri" w:hAnsi="Calibri" w:cs="Calibri"/>
                <w:b/>
                <w:bCs/>
                <w:color w:val="000000"/>
                <w:sz w:val="20"/>
                <w:lang w:eastAsia="en-GB"/>
              </w:rPr>
            </w:pPr>
          </w:p>
        </w:tc>
        <w:tc>
          <w:tcPr>
            <w:tcW w:w="1559" w:type="dxa"/>
            <w:tcBorders>
              <w:top w:val="single" w:sz="4" w:space="0" w:color="44B3E1"/>
              <w:left w:val="nil"/>
              <w:bottom w:val="single" w:sz="4" w:space="0" w:color="44B3E1"/>
              <w:right w:val="single" w:sz="4" w:space="0" w:color="44B3E1"/>
            </w:tcBorders>
            <w:shd w:val="clear" w:color="auto" w:fill="C0E6F5"/>
            <w:noWrap/>
            <w:vAlign w:val="center"/>
          </w:tcPr>
          <w:p w14:paraId="208243C0" w14:textId="69664404" w:rsidR="00521A20" w:rsidRDefault="00BB475A">
            <w:pPr>
              <w:overflowPunct/>
              <w:autoSpaceDE/>
              <w:autoSpaceDN/>
              <w:adjustRightInd/>
              <w:spacing w:before="0"/>
              <w:jc w:val="center"/>
              <w:textAlignment w:val="auto"/>
              <w:rPr>
                <w:rFonts w:ascii="Calibri" w:hAnsi="Calibri" w:cs="Calibri"/>
                <w:b/>
                <w:bCs/>
                <w:color w:val="000000"/>
                <w:sz w:val="20"/>
              </w:rPr>
            </w:pPr>
            <w:r>
              <w:rPr>
                <w:rFonts w:ascii="Calibri" w:hAnsi="Calibri" w:cs="Calibri"/>
                <w:b/>
                <w:bCs/>
                <w:color w:val="000000"/>
                <w:sz w:val="20"/>
                <w:lang w:eastAsia="en-GB"/>
              </w:rPr>
              <w:t>23.59</w:t>
            </w:r>
            <w:r>
              <w:rPr>
                <w:rFonts w:ascii="Calibri" w:hAnsi="Calibri" w:hint="eastAsia"/>
                <w:b/>
                <w:color w:val="000000"/>
                <w:sz w:val="20"/>
              </w:rPr>
              <w:t>%</w:t>
            </w:r>
          </w:p>
        </w:tc>
      </w:tr>
      <w:tr w:rsidR="00521A20" w14:paraId="159E72B5" w14:textId="77777777">
        <w:trPr>
          <w:trHeight w:val="1499"/>
        </w:trPr>
        <w:tc>
          <w:tcPr>
            <w:tcW w:w="2127" w:type="dxa"/>
            <w:tcBorders>
              <w:top w:val="single" w:sz="4" w:space="0" w:color="44B3E1"/>
              <w:left w:val="single" w:sz="4" w:space="0" w:color="44B3E1"/>
              <w:bottom w:val="single" w:sz="4" w:space="0" w:color="44B3E1"/>
              <w:right w:val="nil"/>
            </w:tcBorders>
          </w:tcPr>
          <w:p w14:paraId="50DCC71A" w14:textId="77777777" w:rsidR="00521A20" w:rsidRDefault="00BB475A">
            <w:pPr>
              <w:overflowPunct/>
              <w:autoSpaceDE/>
              <w:autoSpaceDN/>
              <w:adjustRightInd/>
              <w:spacing w:before="0"/>
              <w:textAlignment w:val="auto"/>
              <w:rPr>
                <w:rFonts w:ascii="Calibri" w:hAnsi="Calibri" w:cs="Calibri"/>
                <w:b/>
                <w:bCs/>
                <w:color w:val="000000"/>
                <w:sz w:val="20"/>
              </w:rPr>
            </w:pPr>
            <w:proofErr w:type="spellStart"/>
            <w:r>
              <w:rPr>
                <w:rFonts w:ascii="Calibri" w:hAnsi="Calibri" w:hint="eastAsia"/>
                <w:b/>
                <w:color w:val="000000"/>
                <w:sz w:val="20"/>
              </w:rPr>
              <w:t>数字创新生态系统</w:t>
            </w:r>
            <w:proofErr w:type="spellEnd"/>
          </w:p>
        </w:tc>
        <w:tc>
          <w:tcPr>
            <w:tcW w:w="3260" w:type="dxa"/>
            <w:tcBorders>
              <w:top w:val="single" w:sz="4" w:space="0" w:color="44B3E1"/>
              <w:left w:val="nil"/>
              <w:bottom w:val="single" w:sz="4" w:space="0" w:color="44B3E1"/>
              <w:right w:val="nil"/>
            </w:tcBorders>
          </w:tcPr>
          <w:p w14:paraId="40CF1693"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•加强国家开发和采用本地电信</w:t>
            </w:r>
            <w:r>
              <w:rPr>
                <w:rFonts w:ascii="Calibri" w:hAnsi="Calibri" w:hint="eastAsia"/>
                <w:color w:val="000000"/>
                <w:sz w:val="20"/>
                <w:lang w:eastAsia="zh-CN"/>
              </w:rPr>
              <w:t>/ICT</w:t>
            </w:r>
            <w:r>
              <w:rPr>
                <w:rFonts w:ascii="Calibri" w:hAnsi="Calibri" w:hint="eastAsia"/>
                <w:color w:val="000000"/>
                <w:sz w:val="20"/>
                <w:lang w:eastAsia="zh-CN"/>
              </w:rPr>
              <w:t>的能力</w:t>
            </w:r>
            <w:r>
              <w:rPr>
                <w:rFonts w:ascii="Calibri" w:hAnsi="Calibri" w:hint="eastAsia"/>
                <w:color w:val="000000"/>
                <w:sz w:val="20"/>
                <w:lang w:eastAsia="zh-CN"/>
              </w:rPr>
              <w:br/>
            </w:r>
            <w:r>
              <w:rPr>
                <w:rFonts w:ascii="Calibri" w:hAnsi="Calibri" w:hint="eastAsia"/>
                <w:color w:val="000000"/>
                <w:sz w:val="20"/>
                <w:lang w:eastAsia="zh-CN"/>
              </w:rPr>
              <w:t>•加强开发电信</w:t>
            </w:r>
            <w:r>
              <w:rPr>
                <w:rFonts w:ascii="Calibri" w:hAnsi="Calibri" w:hint="eastAsia"/>
                <w:color w:val="000000"/>
                <w:sz w:val="20"/>
                <w:lang w:eastAsia="zh-CN"/>
              </w:rPr>
              <w:t>/ICT</w:t>
            </w:r>
            <w:r>
              <w:rPr>
                <w:rFonts w:ascii="Calibri" w:hAnsi="Calibri" w:hint="eastAsia"/>
                <w:color w:val="000000"/>
                <w:sz w:val="20"/>
                <w:lang w:eastAsia="zh-CN"/>
              </w:rPr>
              <w:t>创新和数字化举措并将其纳入国家发展议程的能力</w:t>
            </w:r>
          </w:p>
        </w:tc>
        <w:tc>
          <w:tcPr>
            <w:tcW w:w="3119" w:type="dxa"/>
            <w:tcBorders>
              <w:top w:val="single" w:sz="4" w:space="0" w:color="44B3E1"/>
              <w:left w:val="nil"/>
              <w:bottom w:val="single" w:sz="4" w:space="0" w:color="44B3E1"/>
              <w:right w:val="nil"/>
            </w:tcBorders>
          </w:tcPr>
          <w:p w14:paraId="63A1CEFB"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•采用与电信</w:t>
            </w:r>
            <w:r>
              <w:rPr>
                <w:rFonts w:ascii="Calibri" w:hAnsi="Calibri" w:hint="eastAsia"/>
                <w:color w:val="000000"/>
                <w:sz w:val="20"/>
                <w:lang w:eastAsia="zh-CN"/>
              </w:rPr>
              <w:t>/ICT</w:t>
            </w:r>
            <w:r>
              <w:rPr>
                <w:rFonts w:ascii="Calibri" w:hAnsi="Calibri" w:hint="eastAsia"/>
                <w:color w:val="000000"/>
                <w:sz w:val="20"/>
                <w:lang w:eastAsia="zh-CN"/>
              </w:rPr>
              <w:t>相关的创新战略和举措的成员国数量</w:t>
            </w:r>
            <w:r>
              <w:rPr>
                <w:rFonts w:ascii="Calibri" w:hAnsi="Calibri" w:hint="eastAsia"/>
                <w:color w:val="000000"/>
                <w:sz w:val="20"/>
                <w:lang w:eastAsia="zh-CN"/>
              </w:rPr>
              <w:br/>
            </w:r>
            <w:r>
              <w:rPr>
                <w:rFonts w:ascii="Calibri" w:hAnsi="Calibri" w:hint="eastAsia"/>
                <w:color w:val="000000"/>
                <w:sz w:val="20"/>
                <w:lang w:eastAsia="zh-CN"/>
              </w:rPr>
              <w:t>•在国家层面通过数字化转型</w:t>
            </w:r>
            <w:r>
              <w:rPr>
                <w:rFonts w:ascii="Calibri" w:hAnsi="Calibri" w:hint="eastAsia"/>
                <w:color w:val="000000"/>
                <w:sz w:val="20"/>
                <w:lang w:eastAsia="zh-CN"/>
              </w:rPr>
              <w:t>/</w:t>
            </w:r>
            <w:r>
              <w:rPr>
                <w:rFonts w:ascii="Calibri" w:hAnsi="Calibri" w:hint="eastAsia"/>
                <w:color w:val="000000"/>
                <w:sz w:val="20"/>
                <w:lang w:eastAsia="zh-CN"/>
              </w:rPr>
              <w:t>发展多行业政策的成员国数量</w:t>
            </w:r>
          </w:p>
        </w:tc>
        <w:tc>
          <w:tcPr>
            <w:tcW w:w="2268" w:type="dxa"/>
            <w:tcBorders>
              <w:top w:val="single" w:sz="4" w:space="0" w:color="44B3E1"/>
              <w:left w:val="nil"/>
              <w:bottom w:val="single" w:sz="4" w:space="0" w:color="44B3E1"/>
              <w:right w:val="nil"/>
            </w:tcBorders>
          </w:tcPr>
          <w:p w14:paraId="518E5B42"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•学习框架</w:t>
            </w:r>
            <w:r>
              <w:rPr>
                <w:rFonts w:ascii="Calibri" w:hAnsi="Calibri" w:hint="eastAsia"/>
                <w:color w:val="000000"/>
                <w:sz w:val="20"/>
                <w:lang w:eastAsia="zh-CN"/>
              </w:rPr>
              <w:br/>
            </w:r>
            <w:r>
              <w:rPr>
                <w:rFonts w:ascii="Calibri" w:hAnsi="Calibri" w:hint="eastAsia"/>
                <w:color w:val="000000"/>
                <w:sz w:val="20"/>
                <w:lang w:eastAsia="zh-CN"/>
              </w:rPr>
              <w:t>•示范政策和战略、工具包</w:t>
            </w:r>
            <w:r>
              <w:rPr>
                <w:rFonts w:ascii="Calibri" w:hAnsi="Calibri" w:hint="eastAsia"/>
                <w:color w:val="000000"/>
                <w:sz w:val="20"/>
                <w:lang w:eastAsia="zh-CN"/>
              </w:rPr>
              <w:br/>
            </w:r>
            <w:r>
              <w:rPr>
                <w:rFonts w:ascii="Calibri" w:hAnsi="Calibri" w:hint="eastAsia"/>
                <w:color w:val="000000"/>
                <w:sz w:val="20"/>
                <w:lang w:eastAsia="zh-CN"/>
              </w:rPr>
              <w:t>•技术干预</w:t>
            </w:r>
          </w:p>
        </w:tc>
        <w:tc>
          <w:tcPr>
            <w:tcW w:w="1559" w:type="dxa"/>
            <w:tcBorders>
              <w:top w:val="single" w:sz="4" w:space="0" w:color="44B3E1"/>
              <w:left w:val="nil"/>
              <w:bottom w:val="single" w:sz="4" w:space="0" w:color="44B3E1"/>
              <w:right w:val="nil"/>
            </w:tcBorders>
            <w:noWrap/>
          </w:tcPr>
          <w:p w14:paraId="5D4FD847" w14:textId="134C4DE2"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339</w:t>
            </w:r>
            <w:r>
              <w:rPr>
                <w:rFonts w:ascii="Calibri" w:hAnsi="Calibri" w:hint="eastAsia"/>
                <w:color w:val="000000"/>
                <w:sz w:val="20"/>
              </w:rPr>
              <w:t>,500</w:t>
            </w:r>
          </w:p>
        </w:tc>
        <w:tc>
          <w:tcPr>
            <w:tcW w:w="1559" w:type="dxa"/>
            <w:tcBorders>
              <w:top w:val="single" w:sz="4" w:space="0" w:color="44B3E1"/>
              <w:left w:val="nil"/>
              <w:bottom w:val="single" w:sz="4" w:space="0" w:color="44B3E1"/>
              <w:right w:val="nil"/>
            </w:tcBorders>
          </w:tcPr>
          <w:p w14:paraId="5B290BCF" w14:textId="71549750"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37.7</w:t>
            </w:r>
            <w:r>
              <w:rPr>
                <w:rFonts w:ascii="Calibri" w:hAnsi="Calibri" w:hint="eastAsia"/>
                <w:color w:val="000000"/>
                <w:sz w:val="20"/>
              </w:rPr>
              <w:t>%</w:t>
            </w:r>
          </w:p>
        </w:tc>
        <w:tc>
          <w:tcPr>
            <w:tcW w:w="1559" w:type="dxa"/>
            <w:tcBorders>
              <w:top w:val="single" w:sz="4" w:space="0" w:color="44B3E1"/>
              <w:left w:val="nil"/>
              <w:bottom w:val="single" w:sz="4" w:space="0" w:color="44B3E1"/>
              <w:right w:val="single" w:sz="4" w:space="0" w:color="44B3E1"/>
            </w:tcBorders>
            <w:noWrap/>
          </w:tcPr>
          <w:p w14:paraId="50B6F33E" w14:textId="553DCB73"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8.9</w:t>
            </w:r>
            <w:r>
              <w:rPr>
                <w:rFonts w:ascii="Calibri" w:hAnsi="Calibri" w:hint="eastAsia"/>
                <w:color w:val="000000"/>
                <w:sz w:val="20"/>
              </w:rPr>
              <w:t>%</w:t>
            </w:r>
          </w:p>
        </w:tc>
      </w:tr>
      <w:tr w:rsidR="00521A20" w14:paraId="21765A82" w14:textId="77777777">
        <w:trPr>
          <w:trHeight w:val="1800"/>
        </w:trPr>
        <w:tc>
          <w:tcPr>
            <w:tcW w:w="2127" w:type="dxa"/>
            <w:tcBorders>
              <w:top w:val="single" w:sz="4" w:space="0" w:color="44B3E1"/>
              <w:left w:val="single" w:sz="4" w:space="0" w:color="44B3E1"/>
              <w:bottom w:val="single" w:sz="4" w:space="0" w:color="44B3E1"/>
              <w:right w:val="nil"/>
            </w:tcBorders>
            <w:shd w:val="clear" w:color="auto" w:fill="C0E6F5"/>
          </w:tcPr>
          <w:p w14:paraId="7AA353C8" w14:textId="77777777" w:rsidR="00521A20" w:rsidRDefault="00BB475A">
            <w:pPr>
              <w:overflowPunct/>
              <w:autoSpaceDE/>
              <w:autoSpaceDN/>
              <w:adjustRightInd/>
              <w:spacing w:before="0"/>
              <w:textAlignment w:val="auto"/>
              <w:rPr>
                <w:rFonts w:ascii="Calibri" w:hAnsi="Calibri" w:cs="Calibri"/>
                <w:b/>
                <w:bCs/>
                <w:color w:val="000000"/>
                <w:sz w:val="20"/>
              </w:rPr>
            </w:pPr>
            <w:proofErr w:type="spellStart"/>
            <w:r>
              <w:rPr>
                <w:rFonts w:ascii="Calibri" w:hAnsi="Calibri" w:hint="eastAsia"/>
                <w:b/>
                <w:color w:val="000000"/>
                <w:sz w:val="20"/>
              </w:rPr>
              <w:t>数字服务和应用</w:t>
            </w:r>
            <w:proofErr w:type="spellEnd"/>
          </w:p>
        </w:tc>
        <w:tc>
          <w:tcPr>
            <w:tcW w:w="3260" w:type="dxa"/>
            <w:tcBorders>
              <w:top w:val="single" w:sz="4" w:space="0" w:color="44B3E1"/>
              <w:left w:val="nil"/>
              <w:bottom w:val="single" w:sz="4" w:space="0" w:color="44B3E1"/>
              <w:right w:val="nil"/>
            </w:tcBorders>
            <w:shd w:val="clear" w:color="auto" w:fill="C0E6F5"/>
          </w:tcPr>
          <w:p w14:paraId="66D20B2D"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•通过使用新的和新兴电信</w:t>
            </w:r>
            <w:r>
              <w:rPr>
                <w:rFonts w:ascii="Calibri" w:hAnsi="Calibri" w:hint="eastAsia"/>
                <w:color w:val="000000"/>
                <w:sz w:val="20"/>
                <w:lang w:eastAsia="zh-CN"/>
              </w:rPr>
              <w:t>/ICT</w:t>
            </w:r>
            <w:r>
              <w:rPr>
                <w:rFonts w:ascii="Calibri" w:hAnsi="Calibri" w:hint="eastAsia"/>
                <w:color w:val="000000"/>
                <w:sz w:val="20"/>
                <w:lang w:eastAsia="zh-CN"/>
              </w:rPr>
              <w:t>和服务，加速数字化转型和可持续发展的能力得到增强</w:t>
            </w:r>
          </w:p>
        </w:tc>
        <w:tc>
          <w:tcPr>
            <w:tcW w:w="3119" w:type="dxa"/>
            <w:tcBorders>
              <w:top w:val="single" w:sz="4" w:space="0" w:color="44B3E1"/>
              <w:left w:val="nil"/>
              <w:bottom w:val="single" w:sz="4" w:space="0" w:color="44B3E1"/>
              <w:right w:val="nil"/>
            </w:tcBorders>
            <w:shd w:val="clear" w:color="auto" w:fill="C0E6F5"/>
          </w:tcPr>
          <w:p w14:paraId="2303B05D" w14:textId="77777777" w:rsidR="00521A20" w:rsidRDefault="00BB475A">
            <w:pPr>
              <w:overflowPunct/>
              <w:autoSpaceDE/>
              <w:autoSpaceDN/>
              <w:adjustRightInd/>
              <w:spacing w:before="0"/>
              <w:textAlignment w:val="auto"/>
              <w:rPr>
                <w:rFonts w:ascii="Calibri" w:hAnsi="Calibri" w:cs="Calibri"/>
                <w:color w:val="000000" w:themeColor="text1"/>
                <w:sz w:val="20"/>
                <w:lang w:eastAsia="zh-CN"/>
              </w:rPr>
            </w:pPr>
            <w:r>
              <w:rPr>
                <w:rFonts w:ascii="Calibri" w:hAnsi="Calibri" w:hint="eastAsia"/>
                <w:color w:val="000000" w:themeColor="text1"/>
                <w:sz w:val="20"/>
                <w:lang w:eastAsia="zh-CN"/>
              </w:rPr>
              <w:t>•在国家层面通过数字行业战略的成员国数量</w:t>
            </w:r>
          </w:p>
          <w:p w14:paraId="5F91B2A7" w14:textId="77777777" w:rsidR="00521A20" w:rsidRDefault="00521A20">
            <w:pPr>
              <w:overflowPunct/>
              <w:autoSpaceDE/>
              <w:autoSpaceDN/>
              <w:adjustRightInd/>
              <w:spacing w:before="0"/>
              <w:textAlignment w:val="auto"/>
              <w:rPr>
                <w:rFonts w:ascii="Calibri" w:hAnsi="Calibri" w:cs="Calibri"/>
                <w:color w:val="000000" w:themeColor="text1"/>
                <w:sz w:val="20"/>
                <w:lang w:eastAsia="zh-CN"/>
              </w:rPr>
            </w:pPr>
          </w:p>
          <w:p w14:paraId="737FACD2"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2268" w:type="dxa"/>
            <w:tcBorders>
              <w:top w:val="single" w:sz="4" w:space="0" w:color="44B3E1"/>
              <w:left w:val="nil"/>
              <w:bottom w:val="single" w:sz="4" w:space="0" w:color="44B3E1"/>
              <w:right w:val="nil"/>
            </w:tcBorders>
            <w:shd w:val="clear" w:color="auto" w:fill="C0E6F5"/>
          </w:tcPr>
          <w:p w14:paraId="0415F3AC"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•学习框架</w:t>
            </w:r>
            <w:r>
              <w:rPr>
                <w:rFonts w:ascii="Calibri" w:hAnsi="Calibri" w:hint="eastAsia"/>
                <w:color w:val="000000"/>
                <w:sz w:val="20"/>
                <w:lang w:eastAsia="zh-CN"/>
              </w:rPr>
              <w:br/>
            </w:r>
            <w:r>
              <w:rPr>
                <w:rFonts w:ascii="Calibri" w:hAnsi="Calibri" w:hint="eastAsia"/>
                <w:color w:val="000000"/>
                <w:sz w:val="20"/>
                <w:lang w:eastAsia="zh-CN"/>
              </w:rPr>
              <w:t>•召集平台</w:t>
            </w:r>
            <w:r>
              <w:rPr>
                <w:rFonts w:ascii="Calibri" w:hAnsi="Calibri" w:hint="eastAsia"/>
                <w:color w:val="000000"/>
                <w:sz w:val="20"/>
                <w:lang w:eastAsia="zh-CN"/>
              </w:rPr>
              <w:br/>
            </w:r>
            <w:r>
              <w:rPr>
                <w:rFonts w:ascii="Calibri" w:hAnsi="Calibri" w:hint="eastAsia"/>
                <w:color w:val="000000"/>
                <w:sz w:val="20"/>
                <w:lang w:eastAsia="zh-CN"/>
              </w:rPr>
              <w:t>•示范政策和战略、工具包</w:t>
            </w:r>
            <w:r>
              <w:rPr>
                <w:rFonts w:ascii="Calibri" w:hAnsi="Calibri" w:hint="eastAsia"/>
                <w:color w:val="000000"/>
                <w:sz w:val="20"/>
                <w:lang w:eastAsia="zh-CN"/>
              </w:rPr>
              <w:br/>
            </w:r>
            <w:r>
              <w:rPr>
                <w:rFonts w:ascii="Calibri" w:hAnsi="Calibri" w:hint="eastAsia"/>
                <w:color w:val="000000"/>
                <w:sz w:val="20"/>
                <w:lang w:eastAsia="zh-CN"/>
              </w:rPr>
              <w:t>•技术干预</w:t>
            </w:r>
          </w:p>
        </w:tc>
        <w:tc>
          <w:tcPr>
            <w:tcW w:w="1559" w:type="dxa"/>
            <w:tcBorders>
              <w:top w:val="single" w:sz="4" w:space="0" w:color="44B3E1"/>
              <w:left w:val="nil"/>
              <w:bottom w:val="single" w:sz="4" w:space="0" w:color="44B3E1"/>
              <w:right w:val="nil"/>
            </w:tcBorders>
            <w:shd w:val="clear" w:color="auto" w:fill="C0E6F5"/>
            <w:noWrap/>
          </w:tcPr>
          <w:p w14:paraId="5931B8DE" w14:textId="3EB2F07D"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cs="Calibri"/>
                <w:color w:val="000000"/>
                <w:sz w:val="20"/>
                <w:lang w:eastAsia="en-GB"/>
              </w:rPr>
              <w:t>99,000</w:t>
            </w:r>
          </w:p>
        </w:tc>
        <w:tc>
          <w:tcPr>
            <w:tcW w:w="1559" w:type="dxa"/>
            <w:tcBorders>
              <w:top w:val="single" w:sz="4" w:space="0" w:color="44B3E1"/>
              <w:left w:val="nil"/>
              <w:bottom w:val="single" w:sz="4" w:space="0" w:color="44B3E1"/>
              <w:right w:val="nil"/>
            </w:tcBorders>
            <w:shd w:val="clear" w:color="auto" w:fill="C0E6F5"/>
          </w:tcPr>
          <w:p w14:paraId="638DFD01" w14:textId="71C0D2F5"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11.0</w:t>
            </w:r>
            <w:r>
              <w:rPr>
                <w:rFonts w:ascii="Calibri" w:hAnsi="Calibri" w:hint="eastAsia"/>
                <w:color w:val="000000"/>
                <w:sz w:val="20"/>
              </w:rPr>
              <w:t>%</w:t>
            </w:r>
          </w:p>
        </w:tc>
        <w:tc>
          <w:tcPr>
            <w:tcW w:w="1559" w:type="dxa"/>
            <w:tcBorders>
              <w:top w:val="single" w:sz="4" w:space="0" w:color="44B3E1"/>
              <w:left w:val="nil"/>
              <w:bottom w:val="single" w:sz="4" w:space="0" w:color="44B3E1"/>
              <w:right w:val="single" w:sz="4" w:space="0" w:color="44B3E1"/>
            </w:tcBorders>
            <w:shd w:val="clear" w:color="auto" w:fill="C0E6F5"/>
            <w:noWrap/>
          </w:tcPr>
          <w:p w14:paraId="592FFFD4" w14:textId="0D6A0242"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2.6</w:t>
            </w:r>
            <w:r>
              <w:rPr>
                <w:rFonts w:ascii="Calibri" w:hAnsi="Calibri" w:hint="eastAsia"/>
                <w:color w:val="000000"/>
                <w:sz w:val="20"/>
              </w:rPr>
              <w:t>%</w:t>
            </w:r>
          </w:p>
        </w:tc>
      </w:tr>
      <w:tr w:rsidR="00521A20" w14:paraId="7A814AB6" w14:textId="77777777">
        <w:trPr>
          <w:trHeight w:val="1802"/>
        </w:trPr>
        <w:tc>
          <w:tcPr>
            <w:tcW w:w="2127" w:type="dxa"/>
            <w:tcBorders>
              <w:top w:val="single" w:sz="4" w:space="0" w:color="44B3E1"/>
              <w:left w:val="single" w:sz="4" w:space="0" w:color="44B3E1"/>
              <w:bottom w:val="single" w:sz="4" w:space="0" w:color="44B3E1"/>
              <w:right w:val="nil"/>
            </w:tcBorders>
          </w:tcPr>
          <w:p w14:paraId="547AF5AE" w14:textId="77777777" w:rsidR="00521A20" w:rsidRDefault="00BB475A">
            <w:pPr>
              <w:overflowPunct/>
              <w:autoSpaceDE/>
              <w:autoSpaceDN/>
              <w:adjustRightInd/>
              <w:spacing w:before="0"/>
              <w:textAlignment w:val="auto"/>
              <w:rPr>
                <w:rFonts w:ascii="Calibri" w:hAnsi="Calibri" w:cs="Calibri"/>
                <w:b/>
                <w:bCs/>
                <w:color w:val="000000"/>
                <w:sz w:val="20"/>
              </w:rPr>
            </w:pPr>
            <w:proofErr w:type="spellStart"/>
            <w:r>
              <w:rPr>
                <w:rFonts w:ascii="Calibri" w:hAnsi="Calibri" w:hint="eastAsia"/>
                <w:b/>
                <w:color w:val="000000"/>
                <w:sz w:val="20"/>
              </w:rPr>
              <w:t>能力开发</w:t>
            </w:r>
            <w:proofErr w:type="spellEnd"/>
            <w:r>
              <w:rPr>
                <w:rFonts w:ascii="Calibri" w:hAnsi="Calibri" w:hint="eastAsia"/>
                <w:b/>
                <w:color w:val="000000"/>
                <w:sz w:val="20"/>
              </w:rPr>
              <w:t xml:space="preserve"> </w:t>
            </w:r>
          </w:p>
        </w:tc>
        <w:tc>
          <w:tcPr>
            <w:tcW w:w="3260" w:type="dxa"/>
            <w:tcBorders>
              <w:top w:val="single" w:sz="4" w:space="0" w:color="44B3E1"/>
              <w:left w:val="nil"/>
              <w:bottom w:val="single" w:sz="4" w:space="0" w:color="44B3E1"/>
              <w:right w:val="nil"/>
            </w:tcBorders>
          </w:tcPr>
          <w:p w14:paraId="0C3006DB" w14:textId="77777777" w:rsidR="00521A20" w:rsidRDefault="00BB475A">
            <w:pPr>
              <w:overflowPunct/>
              <w:autoSpaceDE/>
              <w:autoSpaceDN/>
              <w:adjustRightInd/>
              <w:spacing w:before="0"/>
              <w:textAlignment w:val="auto"/>
              <w:rPr>
                <w:rFonts w:ascii="Calibri" w:hAnsi="Calibri"/>
                <w:color w:val="000000"/>
                <w:sz w:val="20"/>
                <w:lang w:eastAsia="zh-CN"/>
              </w:rPr>
            </w:pPr>
            <w:r>
              <w:rPr>
                <w:rFonts w:ascii="Calibri" w:hAnsi="Calibri" w:hint="eastAsia"/>
                <w:color w:val="000000"/>
                <w:sz w:val="20"/>
                <w:lang w:eastAsia="zh-CN"/>
              </w:rPr>
              <w:t>•加强国际电联成员在电信</w:t>
            </w:r>
            <w:r>
              <w:rPr>
                <w:rFonts w:ascii="Calibri" w:hAnsi="Calibri" w:hint="eastAsia"/>
                <w:color w:val="000000"/>
                <w:sz w:val="20"/>
                <w:lang w:eastAsia="zh-CN"/>
              </w:rPr>
              <w:t>/ICT</w:t>
            </w:r>
            <w:r>
              <w:rPr>
                <w:rFonts w:ascii="Calibri" w:hAnsi="Calibri" w:hint="eastAsia"/>
                <w:color w:val="000000"/>
                <w:sz w:val="20"/>
                <w:lang w:eastAsia="zh-CN"/>
              </w:rPr>
              <w:t>方面的人员和机构能力，以促进数字化转型</w:t>
            </w:r>
            <w:r>
              <w:rPr>
                <w:rFonts w:ascii="Calibri" w:hAnsi="Calibri" w:hint="eastAsia"/>
                <w:color w:val="000000"/>
                <w:sz w:val="20"/>
                <w:lang w:eastAsia="zh-CN"/>
              </w:rPr>
              <w:br/>
            </w:r>
            <w:r>
              <w:rPr>
                <w:rFonts w:ascii="Calibri" w:hAnsi="Calibri" w:hint="eastAsia"/>
                <w:color w:val="000000"/>
                <w:sz w:val="20"/>
                <w:lang w:eastAsia="zh-CN"/>
              </w:rPr>
              <w:t>•数字技能和能力得到提高，实现数字化转型</w:t>
            </w:r>
          </w:p>
        </w:tc>
        <w:tc>
          <w:tcPr>
            <w:tcW w:w="3119" w:type="dxa"/>
            <w:tcBorders>
              <w:top w:val="single" w:sz="4" w:space="0" w:color="44B3E1"/>
              <w:left w:val="nil"/>
              <w:bottom w:val="single" w:sz="4" w:space="0" w:color="44B3E1"/>
              <w:right w:val="nil"/>
            </w:tcBorders>
          </w:tcPr>
          <w:p w14:paraId="2983AF97" w14:textId="77777777" w:rsidR="00521A20" w:rsidRDefault="00BB475A">
            <w:pPr>
              <w:overflowPunct/>
              <w:autoSpaceDE/>
              <w:autoSpaceDN/>
              <w:adjustRightInd/>
              <w:spacing w:before="0" w:after="240"/>
              <w:textAlignment w:val="auto"/>
              <w:rPr>
                <w:rFonts w:ascii="Calibri" w:hAnsi="Calibri" w:cs="Calibri"/>
                <w:color w:val="000000"/>
                <w:sz w:val="20"/>
                <w:lang w:eastAsia="zh-CN"/>
              </w:rPr>
            </w:pPr>
            <w:r>
              <w:rPr>
                <w:rFonts w:hint="eastAsia"/>
                <w:sz w:val="20"/>
                <w:lang w:eastAsia="zh-CN"/>
              </w:rPr>
              <w:t>•在国家层面制定数字技能战略的成员国数量</w:t>
            </w:r>
            <w:r>
              <w:rPr>
                <w:rFonts w:hint="eastAsia"/>
                <w:sz w:val="20"/>
                <w:lang w:eastAsia="zh-CN"/>
              </w:rPr>
              <w:br/>
            </w:r>
            <w:r>
              <w:rPr>
                <w:rFonts w:hint="eastAsia"/>
                <w:sz w:val="20"/>
                <w:lang w:eastAsia="zh-CN"/>
              </w:rPr>
              <w:t>•拥有基本数字技能的个人所占百分比</w:t>
            </w:r>
            <w:r>
              <w:rPr>
                <w:rFonts w:hint="eastAsia"/>
                <w:sz w:val="20"/>
                <w:lang w:eastAsia="zh-CN"/>
              </w:rPr>
              <w:br/>
            </w:r>
          </w:p>
        </w:tc>
        <w:tc>
          <w:tcPr>
            <w:tcW w:w="2268" w:type="dxa"/>
            <w:tcBorders>
              <w:top w:val="single" w:sz="4" w:space="0" w:color="44B3E1"/>
              <w:left w:val="nil"/>
              <w:bottom w:val="single" w:sz="4" w:space="0" w:color="44B3E1"/>
              <w:right w:val="nil"/>
            </w:tcBorders>
          </w:tcPr>
          <w:p w14:paraId="3BF3F7E4"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•示范政策和战略、工具包</w:t>
            </w:r>
            <w:r>
              <w:rPr>
                <w:rFonts w:ascii="Calibri" w:hAnsi="Calibri" w:hint="eastAsia"/>
                <w:color w:val="000000"/>
                <w:sz w:val="20"/>
                <w:lang w:eastAsia="zh-CN"/>
              </w:rPr>
              <w:br/>
            </w:r>
            <w:r>
              <w:rPr>
                <w:rFonts w:ascii="Calibri" w:hAnsi="Calibri" w:hint="eastAsia"/>
                <w:color w:val="000000"/>
                <w:sz w:val="20"/>
                <w:lang w:eastAsia="zh-CN"/>
              </w:rPr>
              <w:t>•技术干预</w:t>
            </w:r>
            <w:r>
              <w:rPr>
                <w:rFonts w:ascii="Calibri" w:hAnsi="Calibri" w:hint="eastAsia"/>
                <w:color w:val="000000"/>
                <w:sz w:val="20"/>
                <w:lang w:eastAsia="zh-CN"/>
              </w:rPr>
              <w:br/>
            </w:r>
            <w:r>
              <w:rPr>
                <w:rFonts w:ascii="Calibri" w:hAnsi="Calibri" w:hint="eastAsia"/>
                <w:color w:val="000000"/>
                <w:sz w:val="20"/>
                <w:lang w:eastAsia="zh-CN"/>
              </w:rPr>
              <w:t>•学习框架</w:t>
            </w:r>
            <w:r>
              <w:rPr>
                <w:rFonts w:ascii="Calibri" w:hAnsi="Calibri" w:hint="eastAsia"/>
                <w:color w:val="000000"/>
                <w:sz w:val="20"/>
                <w:lang w:eastAsia="zh-CN"/>
              </w:rPr>
              <w:t xml:space="preserve"> </w:t>
            </w:r>
          </w:p>
        </w:tc>
        <w:tc>
          <w:tcPr>
            <w:tcW w:w="1559" w:type="dxa"/>
            <w:tcBorders>
              <w:top w:val="single" w:sz="4" w:space="0" w:color="44B3E1"/>
              <w:left w:val="nil"/>
              <w:bottom w:val="single" w:sz="4" w:space="0" w:color="44B3E1"/>
              <w:right w:val="nil"/>
            </w:tcBorders>
            <w:noWrap/>
          </w:tcPr>
          <w:p w14:paraId="1979BCF9" w14:textId="36E55E31"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cs="Calibri"/>
                <w:color w:val="000000"/>
                <w:sz w:val="20"/>
                <w:lang w:eastAsia="en-GB"/>
              </w:rPr>
              <w:t>339,500</w:t>
            </w:r>
          </w:p>
        </w:tc>
        <w:tc>
          <w:tcPr>
            <w:tcW w:w="1559" w:type="dxa"/>
            <w:tcBorders>
              <w:top w:val="single" w:sz="4" w:space="0" w:color="44B3E1"/>
              <w:left w:val="nil"/>
              <w:bottom w:val="single" w:sz="4" w:space="0" w:color="44B3E1"/>
              <w:right w:val="nil"/>
            </w:tcBorders>
          </w:tcPr>
          <w:p w14:paraId="6E535972" w14:textId="185B4AD4"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rPr>
              <w:t>37.</w:t>
            </w:r>
            <w:r>
              <w:rPr>
                <w:rFonts w:ascii="Calibri" w:hAnsi="Calibri" w:hint="eastAsia"/>
                <w:color w:val="000000"/>
                <w:sz w:val="20"/>
                <w:lang w:val="en-US" w:eastAsia="zh-CN"/>
              </w:rPr>
              <w:t>7</w:t>
            </w:r>
            <w:r>
              <w:rPr>
                <w:rFonts w:ascii="Calibri" w:hAnsi="Calibri" w:hint="eastAsia"/>
                <w:color w:val="000000"/>
                <w:sz w:val="20"/>
              </w:rPr>
              <w:t>%</w:t>
            </w:r>
          </w:p>
        </w:tc>
        <w:tc>
          <w:tcPr>
            <w:tcW w:w="1559" w:type="dxa"/>
            <w:tcBorders>
              <w:top w:val="single" w:sz="4" w:space="0" w:color="44B3E1"/>
              <w:left w:val="nil"/>
              <w:bottom w:val="single" w:sz="4" w:space="0" w:color="44B3E1"/>
              <w:right w:val="single" w:sz="4" w:space="0" w:color="44B3E1"/>
            </w:tcBorders>
            <w:noWrap/>
          </w:tcPr>
          <w:p w14:paraId="0E9B6513" w14:textId="0152765E"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8.9</w:t>
            </w:r>
            <w:r>
              <w:rPr>
                <w:rFonts w:ascii="Calibri" w:hAnsi="Calibri" w:hint="eastAsia"/>
                <w:color w:val="000000"/>
                <w:sz w:val="20"/>
              </w:rPr>
              <w:t>%</w:t>
            </w:r>
          </w:p>
        </w:tc>
      </w:tr>
      <w:tr w:rsidR="00521A20" w14:paraId="0B6CFE72" w14:textId="77777777">
        <w:trPr>
          <w:trHeight w:val="1377"/>
        </w:trPr>
        <w:tc>
          <w:tcPr>
            <w:tcW w:w="2127" w:type="dxa"/>
            <w:tcBorders>
              <w:top w:val="single" w:sz="4" w:space="0" w:color="44B3E1"/>
              <w:left w:val="single" w:sz="4" w:space="0" w:color="44B3E1"/>
              <w:bottom w:val="single" w:sz="4" w:space="0" w:color="44B3E1"/>
              <w:right w:val="nil"/>
            </w:tcBorders>
            <w:shd w:val="clear" w:color="auto" w:fill="C0E6F5"/>
          </w:tcPr>
          <w:p w14:paraId="4D1C2CE4" w14:textId="77777777" w:rsidR="00521A20" w:rsidRDefault="00BB475A">
            <w:pPr>
              <w:overflowPunct/>
              <w:autoSpaceDE/>
              <w:autoSpaceDN/>
              <w:adjustRightInd/>
              <w:spacing w:before="0"/>
              <w:textAlignment w:val="auto"/>
              <w:rPr>
                <w:rFonts w:ascii="Calibri" w:hAnsi="Calibri" w:cs="Calibri"/>
                <w:b/>
                <w:bCs/>
                <w:color w:val="000000"/>
                <w:sz w:val="20"/>
                <w:lang w:eastAsia="zh-CN"/>
              </w:rPr>
            </w:pPr>
            <w:r>
              <w:rPr>
                <w:rFonts w:ascii="Calibri" w:hAnsi="Calibri" w:hint="eastAsia"/>
                <w:b/>
                <w:color w:val="000000"/>
                <w:sz w:val="20"/>
                <w:lang w:eastAsia="zh-CN"/>
              </w:rPr>
              <w:t>对环境可持续性的承诺</w:t>
            </w:r>
          </w:p>
        </w:tc>
        <w:tc>
          <w:tcPr>
            <w:tcW w:w="3260" w:type="dxa"/>
            <w:tcBorders>
              <w:top w:val="single" w:sz="4" w:space="0" w:color="44B3E1"/>
              <w:left w:val="nil"/>
              <w:bottom w:val="single" w:sz="4" w:space="0" w:color="44B3E1"/>
              <w:right w:val="nil"/>
            </w:tcBorders>
            <w:shd w:val="clear" w:color="auto" w:fill="C0E6F5"/>
          </w:tcPr>
          <w:p w14:paraId="4CF2FB92" w14:textId="77777777" w:rsidR="00521A20" w:rsidRDefault="00BB475A">
            <w:pPr>
              <w:overflowPunct/>
              <w:autoSpaceDE/>
              <w:autoSpaceDN/>
              <w:adjustRightInd/>
              <w:spacing w:before="0" w:after="240"/>
              <w:textAlignment w:val="auto"/>
              <w:rPr>
                <w:rFonts w:ascii="Calibri" w:hAnsi="Calibri" w:cs="Calibri"/>
                <w:color w:val="000000"/>
                <w:sz w:val="20"/>
                <w:lang w:eastAsia="zh-CN"/>
              </w:rPr>
            </w:pPr>
            <w:r>
              <w:rPr>
                <w:rFonts w:ascii="Calibri" w:hAnsi="Calibri" w:hint="eastAsia"/>
                <w:color w:val="000000"/>
                <w:sz w:val="20"/>
                <w:lang w:eastAsia="zh-CN"/>
              </w:rPr>
              <w:t>•增强制定有关环境可持续性的电信</w:t>
            </w:r>
            <w:r>
              <w:rPr>
                <w:rFonts w:ascii="Calibri" w:hAnsi="Calibri" w:hint="eastAsia"/>
                <w:color w:val="000000"/>
                <w:sz w:val="20"/>
                <w:lang w:eastAsia="zh-CN"/>
              </w:rPr>
              <w:t>/ICT</w:t>
            </w:r>
            <w:r>
              <w:rPr>
                <w:rFonts w:ascii="Calibri" w:hAnsi="Calibri" w:hint="eastAsia"/>
                <w:color w:val="000000"/>
                <w:sz w:val="20"/>
                <w:lang w:eastAsia="zh-CN"/>
              </w:rPr>
              <w:t>战略和解决方案的能力</w:t>
            </w:r>
            <w:r>
              <w:rPr>
                <w:rFonts w:ascii="Calibri" w:hAnsi="Calibri" w:hint="eastAsia"/>
                <w:color w:val="000000"/>
                <w:sz w:val="20"/>
                <w:lang w:eastAsia="zh-CN"/>
              </w:rPr>
              <w:t xml:space="preserve"> </w:t>
            </w:r>
          </w:p>
        </w:tc>
        <w:tc>
          <w:tcPr>
            <w:tcW w:w="3119" w:type="dxa"/>
            <w:tcBorders>
              <w:top w:val="single" w:sz="4" w:space="0" w:color="44B3E1"/>
              <w:left w:val="nil"/>
              <w:bottom w:val="single" w:sz="4" w:space="0" w:color="44B3E1"/>
              <w:right w:val="nil"/>
            </w:tcBorders>
            <w:shd w:val="clear" w:color="auto" w:fill="C0E6F5"/>
          </w:tcPr>
          <w:p w14:paraId="20A9FA97"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hint="eastAsia"/>
                <w:sz w:val="20"/>
                <w:lang w:eastAsia="zh-CN"/>
              </w:rPr>
              <w:t>•在国家层面通过电子废弃物政策、立法或法规的成员国数量</w:t>
            </w:r>
            <w:r>
              <w:rPr>
                <w:rFonts w:hint="eastAsia"/>
                <w:sz w:val="20"/>
                <w:lang w:eastAsia="zh-CN"/>
              </w:rPr>
              <w:br/>
            </w:r>
            <w:r>
              <w:rPr>
                <w:rFonts w:hint="eastAsia"/>
                <w:sz w:val="20"/>
                <w:lang w:eastAsia="zh-CN"/>
              </w:rPr>
              <w:t>•收集电子废弃物监测数据和电子废弃物产</w:t>
            </w:r>
            <w:proofErr w:type="gramStart"/>
            <w:r>
              <w:rPr>
                <w:rFonts w:hint="eastAsia"/>
                <w:sz w:val="20"/>
                <w:lang w:eastAsia="zh-CN"/>
              </w:rPr>
              <w:t>生数据</w:t>
            </w:r>
            <w:proofErr w:type="gramEnd"/>
            <w:r>
              <w:rPr>
                <w:rFonts w:hint="eastAsia"/>
                <w:sz w:val="20"/>
                <w:lang w:eastAsia="zh-CN"/>
              </w:rPr>
              <w:t>的成员国数量</w:t>
            </w:r>
            <w:r>
              <w:rPr>
                <w:rFonts w:hint="eastAsia"/>
                <w:sz w:val="20"/>
                <w:lang w:eastAsia="zh-CN"/>
              </w:rPr>
              <w:br/>
            </w:r>
            <w:r>
              <w:rPr>
                <w:rFonts w:hint="eastAsia"/>
                <w:sz w:val="20"/>
                <w:lang w:eastAsia="zh-CN"/>
              </w:rPr>
              <w:t>•采用有关环境可持续性的电信</w:t>
            </w:r>
            <w:r>
              <w:rPr>
                <w:rFonts w:hint="eastAsia"/>
                <w:sz w:val="20"/>
                <w:lang w:eastAsia="zh-CN"/>
              </w:rPr>
              <w:t>/ICT</w:t>
            </w:r>
            <w:r>
              <w:rPr>
                <w:rFonts w:hint="eastAsia"/>
                <w:sz w:val="20"/>
                <w:lang w:eastAsia="zh-CN"/>
              </w:rPr>
              <w:t>战略和解决方案的成员国数量</w:t>
            </w:r>
          </w:p>
        </w:tc>
        <w:tc>
          <w:tcPr>
            <w:tcW w:w="2268" w:type="dxa"/>
            <w:tcBorders>
              <w:top w:val="single" w:sz="4" w:space="0" w:color="44B3E1"/>
              <w:left w:val="nil"/>
              <w:bottom w:val="single" w:sz="4" w:space="0" w:color="44B3E1"/>
              <w:right w:val="nil"/>
            </w:tcBorders>
            <w:shd w:val="clear" w:color="auto" w:fill="C0E6F5"/>
          </w:tcPr>
          <w:p w14:paraId="33FF3192"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•学习框架</w:t>
            </w:r>
            <w:r>
              <w:rPr>
                <w:rFonts w:ascii="Calibri" w:hAnsi="Calibri" w:hint="eastAsia"/>
                <w:color w:val="000000"/>
                <w:sz w:val="20"/>
                <w:lang w:eastAsia="zh-CN"/>
              </w:rPr>
              <w:br/>
            </w:r>
            <w:r>
              <w:rPr>
                <w:rFonts w:ascii="Calibri" w:hAnsi="Calibri" w:hint="eastAsia"/>
                <w:color w:val="000000"/>
                <w:sz w:val="20"/>
                <w:lang w:eastAsia="zh-CN"/>
              </w:rPr>
              <w:t>•召集平台</w:t>
            </w:r>
            <w:r>
              <w:rPr>
                <w:rFonts w:ascii="Calibri" w:hAnsi="Calibri" w:hint="eastAsia"/>
                <w:color w:val="000000"/>
                <w:sz w:val="20"/>
                <w:lang w:eastAsia="zh-CN"/>
              </w:rPr>
              <w:br/>
            </w:r>
            <w:r>
              <w:rPr>
                <w:rFonts w:ascii="Calibri" w:hAnsi="Calibri" w:hint="eastAsia"/>
                <w:color w:val="000000"/>
                <w:sz w:val="20"/>
                <w:lang w:eastAsia="zh-CN"/>
              </w:rPr>
              <w:t>•示范政策和战略、工具包</w:t>
            </w:r>
            <w:r>
              <w:rPr>
                <w:rFonts w:ascii="Calibri" w:hAnsi="Calibri" w:hint="eastAsia"/>
                <w:color w:val="000000"/>
                <w:sz w:val="20"/>
                <w:lang w:eastAsia="zh-CN"/>
              </w:rPr>
              <w:br/>
            </w:r>
            <w:r>
              <w:rPr>
                <w:rFonts w:ascii="Calibri" w:hAnsi="Calibri" w:hint="eastAsia"/>
                <w:color w:val="000000"/>
                <w:sz w:val="20"/>
                <w:lang w:eastAsia="zh-CN"/>
              </w:rPr>
              <w:t>•统计数据</w:t>
            </w:r>
            <w:r>
              <w:rPr>
                <w:rFonts w:ascii="Calibri" w:hAnsi="Calibri" w:hint="eastAsia"/>
                <w:color w:val="000000"/>
                <w:sz w:val="20"/>
                <w:lang w:eastAsia="zh-CN"/>
              </w:rPr>
              <w:t xml:space="preserve"> </w:t>
            </w:r>
          </w:p>
        </w:tc>
        <w:tc>
          <w:tcPr>
            <w:tcW w:w="1559" w:type="dxa"/>
            <w:tcBorders>
              <w:top w:val="single" w:sz="4" w:space="0" w:color="44B3E1"/>
              <w:left w:val="nil"/>
              <w:bottom w:val="single" w:sz="4" w:space="0" w:color="44B3E1"/>
              <w:right w:val="nil"/>
            </w:tcBorders>
            <w:shd w:val="clear" w:color="auto" w:fill="C0E6F5"/>
            <w:noWrap/>
          </w:tcPr>
          <w:p w14:paraId="601D8926" w14:textId="5393B556"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rPr>
              <w:t>1</w:t>
            </w:r>
            <w:r>
              <w:rPr>
                <w:rFonts w:ascii="Calibri" w:hAnsi="Calibri" w:hint="eastAsia"/>
                <w:color w:val="000000"/>
                <w:sz w:val="20"/>
                <w:lang w:val="en-US" w:eastAsia="zh-CN"/>
              </w:rPr>
              <w:t>39</w:t>
            </w:r>
            <w:r>
              <w:rPr>
                <w:rFonts w:ascii="Calibri" w:hAnsi="Calibri" w:hint="eastAsia"/>
                <w:color w:val="000000"/>
                <w:sz w:val="20"/>
              </w:rPr>
              <w:t>,000</w:t>
            </w:r>
          </w:p>
        </w:tc>
        <w:tc>
          <w:tcPr>
            <w:tcW w:w="1559" w:type="dxa"/>
            <w:tcBorders>
              <w:top w:val="single" w:sz="4" w:space="0" w:color="44B3E1"/>
              <w:left w:val="nil"/>
              <w:bottom w:val="single" w:sz="4" w:space="0" w:color="44B3E1"/>
              <w:right w:val="nil"/>
            </w:tcBorders>
            <w:shd w:val="clear" w:color="auto" w:fill="C0E6F5"/>
          </w:tcPr>
          <w:p w14:paraId="68237236" w14:textId="64A07F21"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15.5</w:t>
            </w:r>
            <w:r>
              <w:rPr>
                <w:rFonts w:ascii="Calibri" w:hAnsi="Calibri" w:hint="eastAsia"/>
                <w:color w:val="000000"/>
                <w:sz w:val="20"/>
              </w:rPr>
              <w:t>%</w:t>
            </w:r>
          </w:p>
        </w:tc>
        <w:tc>
          <w:tcPr>
            <w:tcW w:w="1559" w:type="dxa"/>
            <w:tcBorders>
              <w:top w:val="single" w:sz="4" w:space="0" w:color="44B3E1"/>
              <w:left w:val="nil"/>
              <w:bottom w:val="single" w:sz="4" w:space="0" w:color="44B3E1"/>
              <w:right w:val="single" w:sz="4" w:space="0" w:color="44B3E1"/>
            </w:tcBorders>
            <w:shd w:val="clear" w:color="auto" w:fill="C0E6F5"/>
            <w:noWrap/>
          </w:tcPr>
          <w:p w14:paraId="32E161AD" w14:textId="7C3A06F3" w:rsidR="00521A20" w:rsidRDefault="00BB475A">
            <w:pPr>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3.6</w:t>
            </w:r>
            <w:r>
              <w:rPr>
                <w:rFonts w:ascii="Calibri" w:hAnsi="Calibri" w:hint="eastAsia"/>
                <w:color w:val="000000"/>
                <w:sz w:val="20"/>
              </w:rPr>
              <w:t>%</w:t>
            </w:r>
          </w:p>
        </w:tc>
      </w:tr>
    </w:tbl>
    <w:p w14:paraId="753C080D" w14:textId="77777777" w:rsidR="00521A20" w:rsidRDefault="00521A20">
      <w:pPr>
        <w:pStyle w:val="Heading2"/>
        <w:rPr>
          <w:lang w:eastAsia="zh-CN"/>
        </w:rPr>
        <w:sectPr w:rsidR="00521A20" w:rsidSect="005573EC">
          <w:headerReference w:type="default" r:id="rId17"/>
          <w:headerReference w:type="first" r:id="rId18"/>
          <w:pgSz w:w="16840" w:h="11907" w:orient="landscape"/>
          <w:pgMar w:top="1134" w:right="1418" w:bottom="1134" w:left="1134" w:header="720" w:footer="720" w:gutter="0"/>
          <w:cols w:space="720"/>
          <w:docGrid w:linePitch="326"/>
        </w:sectPr>
      </w:pPr>
    </w:p>
    <w:p w14:paraId="6990CECA" w14:textId="55F80BDA" w:rsidR="00622881" w:rsidRPr="00713809" w:rsidRDefault="00622881" w:rsidP="00BB475A">
      <w:pPr>
        <w:keepNext/>
        <w:keepLines/>
        <w:tabs>
          <w:tab w:val="clear" w:pos="1134"/>
          <w:tab w:val="clear" w:pos="1871"/>
          <w:tab w:val="clear" w:pos="2268"/>
          <w:tab w:val="left" w:pos="794"/>
          <w:tab w:val="left" w:pos="1191"/>
          <w:tab w:val="left" w:pos="1588"/>
          <w:tab w:val="left" w:pos="1985"/>
        </w:tabs>
        <w:outlineLvl w:val="2"/>
        <w:rPr>
          <w:rFonts w:ascii="Calibri" w:eastAsia="KaiTi" w:hAnsi="Calibri" w:cs="Calibri"/>
          <w:b/>
          <w:szCs w:val="24"/>
          <w:lang w:eastAsia="zh-CN"/>
        </w:rPr>
      </w:pPr>
      <w:r w:rsidRPr="00713809">
        <w:rPr>
          <w:rFonts w:ascii="Calibri" w:eastAsia="KaiTi" w:hAnsi="Calibri" w:cs="Calibri"/>
          <w:b/>
          <w:bCs/>
          <w:szCs w:val="24"/>
          <w:lang w:val="en-US" w:eastAsia="zh-CN"/>
        </w:rPr>
        <w:lastRenderedPageBreak/>
        <w:t>2026</w:t>
      </w:r>
      <w:r w:rsidRPr="00713809">
        <w:rPr>
          <w:rFonts w:ascii="Calibri" w:eastAsia="KaiTi" w:hAnsi="Calibri" w:cs="Calibri" w:hint="eastAsia"/>
          <w:b/>
          <w:bCs/>
          <w:szCs w:val="24"/>
          <w:lang w:val="en-US" w:eastAsia="zh-CN"/>
        </w:rPr>
        <w:t>年实施亮点：</w:t>
      </w:r>
      <w:r w:rsidRPr="00713809">
        <w:rPr>
          <w:rFonts w:ascii="Calibri" w:eastAsia="KaiTi" w:hAnsi="Calibri" w:cs="Calibri"/>
          <w:b/>
          <w:bCs/>
          <w:szCs w:val="24"/>
          <w:lang w:val="en-US" w:eastAsia="zh-CN"/>
        </w:rPr>
        <w:t>ITU-D</w:t>
      </w:r>
      <w:r w:rsidRPr="00713809">
        <w:rPr>
          <w:rFonts w:ascii="Calibri" w:eastAsia="KaiTi" w:hAnsi="Calibri" w:cs="Calibri" w:hint="eastAsia"/>
          <w:b/>
          <w:bCs/>
          <w:szCs w:val="24"/>
          <w:lang w:val="en-US" w:eastAsia="zh-CN"/>
        </w:rPr>
        <w:t>的重点工作</w:t>
      </w:r>
      <w:r w:rsidRPr="00713809">
        <w:rPr>
          <w:rFonts w:ascii="Calibri" w:eastAsia="KaiTi" w:hAnsi="Calibri" w:cs="Calibri"/>
          <w:b/>
          <w:bCs/>
          <w:szCs w:val="24"/>
          <w:lang w:val="en-US" w:eastAsia="zh-CN"/>
        </w:rPr>
        <w:t xml:space="preserve">2 </w:t>
      </w:r>
      <w:r w:rsidR="00173853" w:rsidRPr="00173853">
        <w:rPr>
          <w:rFonts w:ascii="Calibri" w:eastAsia="KaiTi" w:hAnsi="Calibri" w:cs="Calibri"/>
          <w:b/>
          <w:bCs/>
          <w:szCs w:val="24"/>
          <w:lang w:val="en-US" w:eastAsia="zh-CN"/>
        </w:rPr>
        <w:t>–</w:t>
      </w:r>
      <w:r w:rsidRPr="00713809">
        <w:rPr>
          <w:rFonts w:ascii="Calibri" w:eastAsia="KaiTi" w:hAnsi="Calibri" w:cs="Calibri"/>
          <w:b/>
          <w:bCs/>
          <w:szCs w:val="24"/>
          <w:lang w:val="en-US" w:eastAsia="zh-CN"/>
        </w:rPr>
        <w:t xml:space="preserve"> </w:t>
      </w:r>
      <w:r w:rsidRPr="00713809">
        <w:rPr>
          <w:rFonts w:ascii="Calibri" w:eastAsia="KaiTi" w:hAnsi="Calibri" w:cs="Calibri" w:hint="eastAsia"/>
          <w:b/>
          <w:bCs/>
          <w:szCs w:val="24"/>
          <w:lang w:val="en-US" w:eastAsia="zh-CN"/>
        </w:rPr>
        <w:t>数字化转型</w:t>
      </w:r>
    </w:p>
    <w:p w14:paraId="735A1D4E" w14:textId="77777777" w:rsidR="00622881" w:rsidRPr="001B50CC" w:rsidRDefault="00622881" w:rsidP="00BB475A">
      <w:pPr>
        <w:keepNext/>
        <w:keepLines/>
        <w:tabs>
          <w:tab w:val="clear" w:pos="1134"/>
          <w:tab w:val="clear" w:pos="1871"/>
          <w:tab w:val="clear" w:pos="2268"/>
          <w:tab w:val="left" w:pos="794"/>
          <w:tab w:val="left" w:pos="1191"/>
          <w:tab w:val="left" w:pos="1588"/>
          <w:tab w:val="left" w:pos="1985"/>
        </w:tabs>
        <w:outlineLvl w:val="2"/>
        <w:rPr>
          <w:rFonts w:ascii="Calibri" w:hAnsi="Calibri" w:cs="Calibri"/>
          <w:b/>
          <w:szCs w:val="24"/>
          <w:lang w:eastAsia="zh-CN"/>
        </w:rPr>
      </w:pPr>
      <w:r>
        <w:rPr>
          <w:rFonts w:ascii="Calibri" w:hAnsi="Calibri" w:cs="Calibri" w:hint="eastAsia"/>
          <w:b/>
          <w:szCs w:val="24"/>
          <w:lang w:eastAsia="zh-CN"/>
        </w:rPr>
        <w:t>数字创新生态系统</w:t>
      </w:r>
    </w:p>
    <w:p w14:paraId="63233830" w14:textId="2D60C61F" w:rsidR="00622881" w:rsidRPr="000736BC"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cs="Calibri"/>
          <w:lang w:eastAsia="zh-CN"/>
        </w:rPr>
      </w:pPr>
      <w:r w:rsidRPr="00713809">
        <w:rPr>
          <w:rFonts w:ascii="Calibri" w:hAnsi="Calibri" w:cs="Calibri" w:hint="eastAsia"/>
          <w:b/>
          <w:bCs/>
          <w:lang w:eastAsia="zh-CN"/>
        </w:rPr>
        <w:t>在非洲地区，</w:t>
      </w:r>
      <w:r w:rsidR="001637B4" w:rsidRPr="000736BC">
        <w:rPr>
          <w:rFonts w:ascii="Calibri" w:hAnsi="Calibri" w:cs="Calibri" w:hint="eastAsia"/>
          <w:lang w:eastAsia="zh-CN"/>
        </w:rPr>
        <w:t>非洲数字化转型中心</w:t>
      </w:r>
      <w:r w:rsidR="001637B4">
        <w:rPr>
          <w:rFonts w:ascii="Calibri" w:hAnsi="Calibri" w:cs="Calibri" w:hint="eastAsia"/>
          <w:lang w:eastAsia="zh-CN"/>
        </w:rPr>
        <w:t>在</w:t>
      </w:r>
      <w:r w:rsidRPr="000736BC">
        <w:rPr>
          <w:rFonts w:ascii="Calibri" w:hAnsi="Calibri" w:cs="Calibri" w:hint="eastAsia"/>
          <w:lang w:eastAsia="zh-CN"/>
        </w:rPr>
        <w:t>南非启动。该中心为</w:t>
      </w:r>
      <w:r>
        <w:rPr>
          <w:rFonts w:ascii="Calibri" w:hAnsi="Calibri" w:cs="Calibri" w:hint="eastAsia"/>
          <w:lang w:eastAsia="zh-CN"/>
        </w:rPr>
        <w:t>国家所有</w:t>
      </w:r>
      <w:r w:rsidRPr="000736BC">
        <w:rPr>
          <w:rFonts w:ascii="Calibri" w:hAnsi="Calibri" w:cs="Calibri" w:hint="eastAsia"/>
          <w:lang w:eastAsia="zh-CN"/>
        </w:rPr>
        <w:t>，加入了</w:t>
      </w:r>
      <w:r w:rsidR="001637B4">
        <w:rPr>
          <w:rFonts w:ascii="Calibri" w:hAnsi="Calibri" w:cs="Calibri" w:hint="eastAsia"/>
          <w:lang w:eastAsia="zh-CN"/>
        </w:rPr>
        <w:t>“</w:t>
      </w:r>
      <w:r w:rsidRPr="000736BC">
        <w:rPr>
          <w:rFonts w:ascii="Calibri" w:hAnsi="Calibri" w:cs="Calibri" w:hint="eastAsia"/>
          <w:lang w:eastAsia="zh-CN"/>
        </w:rPr>
        <w:t>数字化发展创新和创业联盟</w:t>
      </w:r>
      <w:r w:rsidR="001637B4">
        <w:rPr>
          <w:rFonts w:ascii="Calibri" w:hAnsi="Calibri" w:cs="Calibri" w:hint="eastAsia"/>
          <w:lang w:eastAsia="zh-CN"/>
        </w:rPr>
        <w:t>”旗下</w:t>
      </w:r>
      <w:r w:rsidRPr="000736BC">
        <w:rPr>
          <w:rFonts w:ascii="Calibri" w:hAnsi="Calibri" w:cs="Calibri" w:hint="eastAsia"/>
          <w:lang w:eastAsia="zh-CN"/>
        </w:rPr>
        <w:t>的国际电联加速中心全球网络。</w:t>
      </w:r>
    </w:p>
    <w:p w14:paraId="592F7735" w14:textId="2C5D77A1" w:rsidR="00622881" w:rsidRDefault="001637B4" w:rsidP="00BB475A">
      <w:pPr>
        <w:tabs>
          <w:tab w:val="clear" w:pos="1134"/>
          <w:tab w:val="clear" w:pos="1871"/>
          <w:tab w:val="clear" w:pos="2268"/>
          <w:tab w:val="left" w:pos="794"/>
          <w:tab w:val="left" w:pos="1191"/>
          <w:tab w:val="left" w:pos="1588"/>
          <w:tab w:val="left" w:pos="1985"/>
        </w:tabs>
        <w:ind w:firstLineChars="200" w:firstLine="480"/>
        <w:rPr>
          <w:rFonts w:ascii="Calibri" w:hAnsi="Calibri" w:cs="Calibri"/>
          <w:lang w:eastAsia="zh-CN"/>
        </w:rPr>
      </w:pPr>
      <w:r w:rsidRPr="001637B4">
        <w:rPr>
          <w:rFonts w:ascii="Calibri" w:hAnsi="Calibri" w:cs="Calibri" w:hint="eastAsia"/>
          <w:lang w:eastAsia="zh-CN"/>
        </w:rPr>
        <w:t>继</w:t>
      </w:r>
      <w:r w:rsidR="00B276F0">
        <w:rPr>
          <w:rFonts w:ascii="Calibri" w:hAnsi="Calibri" w:cs="Calibri" w:hint="eastAsia"/>
          <w:lang w:eastAsia="zh-CN"/>
        </w:rPr>
        <w:t>“</w:t>
      </w:r>
      <w:r w:rsidR="00B276F0" w:rsidRPr="00E9699C">
        <w:rPr>
          <w:rFonts w:ascii="Calibri" w:hAnsi="Calibri" w:cs="Calibri" w:hint="eastAsia"/>
          <w:lang w:eastAsia="zh-CN"/>
        </w:rPr>
        <w:t>为</w:t>
      </w:r>
      <w:proofErr w:type="spellStart"/>
      <w:r w:rsidR="00B276F0" w:rsidRPr="00E9699C">
        <w:rPr>
          <w:rFonts w:ascii="Calibri" w:hAnsi="Calibri" w:cs="Calibri" w:hint="eastAsia"/>
          <w:lang w:eastAsia="zh-CN"/>
        </w:rPr>
        <w:t>VaMoz</w:t>
      </w:r>
      <w:proofErr w:type="spellEnd"/>
      <w:r w:rsidR="00B276F0" w:rsidRPr="00E9699C">
        <w:rPr>
          <w:rFonts w:ascii="Calibri" w:hAnsi="Calibri" w:cs="Calibri" w:hint="eastAsia"/>
          <w:lang w:eastAsia="zh-CN"/>
        </w:rPr>
        <w:t xml:space="preserve"> Digital</w:t>
      </w:r>
      <w:r w:rsidR="00B276F0" w:rsidRPr="00E9699C">
        <w:rPr>
          <w:rFonts w:ascii="Calibri" w:hAnsi="Calibri" w:cs="Calibri" w:hint="eastAsia"/>
          <w:lang w:eastAsia="zh-CN"/>
        </w:rPr>
        <w:t>奠定基础</w:t>
      </w:r>
      <w:r w:rsidR="00B276F0">
        <w:rPr>
          <w:rFonts w:ascii="Calibri" w:hAnsi="Calibri" w:cs="Calibri" w:hint="eastAsia"/>
          <w:lang w:eastAsia="zh-CN"/>
        </w:rPr>
        <w:t>”</w:t>
      </w:r>
      <w:r w:rsidR="00B276F0" w:rsidRPr="000736BC">
        <w:rPr>
          <w:rFonts w:ascii="Calibri" w:hAnsi="Calibri" w:cs="Calibri" w:hint="eastAsia"/>
          <w:lang w:eastAsia="zh-CN"/>
        </w:rPr>
        <w:t>项目</w:t>
      </w:r>
      <w:r w:rsidRPr="001637B4">
        <w:rPr>
          <w:rFonts w:ascii="Calibri" w:hAnsi="Calibri" w:cs="Calibri" w:hint="eastAsia"/>
          <w:lang w:eastAsia="zh-CN"/>
        </w:rPr>
        <w:t>支持</w:t>
      </w:r>
      <w:r w:rsidR="00622881" w:rsidRPr="000736BC">
        <w:rPr>
          <w:rFonts w:ascii="Calibri" w:hAnsi="Calibri" w:cs="Calibri" w:hint="eastAsia"/>
          <w:lang w:eastAsia="zh-CN"/>
        </w:rPr>
        <w:t>莫桑比克</w:t>
      </w:r>
      <w:r w:rsidRPr="001637B4">
        <w:rPr>
          <w:rFonts w:ascii="Calibri" w:hAnsi="Calibri" w:cs="Calibri" w:hint="eastAsia"/>
          <w:lang w:eastAsia="zh-CN"/>
        </w:rPr>
        <w:t>制定</w:t>
      </w:r>
      <w:r w:rsidR="00622881">
        <w:rPr>
          <w:rFonts w:ascii="Calibri" w:hAnsi="Calibri" w:cs="Calibri" w:hint="eastAsia"/>
          <w:lang w:eastAsia="zh-CN"/>
        </w:rPr>
        <w:t>《</w:t>
      </w:r>
      <w:r w:rsidR="00622881" w:rsidRPr="000736BC">
        <w:rPr>
          <w:rFonts w:ascii="Calibri" w:hAnsi="Calibri" w:cs="Calibri" w:hint="eastAsia"/>
          <w:lang w:eastAsia="zh-CN"/>
        </w:rPr>
        <w:t>数字创新概况</w:t>
      </w:r>
      <w:r w:rsidR="00622881">
        <w:rPr>
          <w:rFonts w:ascii="Calibri" w:hAnsi="Calibri" w:cs="Calibri" w:hint="eastAsia"/>
          <w:lang w:eastAsia="zh-CN"/>
        </w:rPr>
        <w:t>》</w:t>
      </w:r>
      <w:r w:rsidR="00B276F0">
        <w:rPr>
          <w:rFonts w:ascii="Calibri" w:hAnsi="Calibri" w:cs="Calibri" w:hint="eastAsia"/>
          <w:lang w:eastAsia="zh-CN"/>
        </w:rPr>
        <w:t>后</w:t>
      </w:r>
      <w:r w:rsidR="00622881" w:rsidRPr="000736BC">
        <w:rPr>
          <w:rFonts w:ascii="Calibri" w:hAnsi="Calibri" w:cs="Calibri" w:hint="eastAsia"/>
          <w:lang w:eastAsia="zh-CN"/>
        </w:rPr>
        <w:t>，</w:t>
      </w:r>
      <w:r w:rsidR="00622881" w:rsidRPr="000736BC">
        <w:rPr>
          <w:rFonts w:ascii="Calibri" w:hAnsi="Calibri" w:cs="Calibri" w:hint="eastAsia"/>
          <w:lang w:eastAsia="zh-CN"/>
        </w:rPr>
        <w:t>3</w:t>
      </w:r>
      <w:r w:rsidR="00622881" w:rsidRPr="000736BC">
        <w:rPr>
          <w:rFonts w:ascii="Calibri" w:hAnsi="Calibri" w:cs="Calibri" w:hint="eastAsia"/>
          <w:lang w:eastAsia="zh-CN"/>
        </w:rPr>
        <w:t>月举行了技术</w:t>
      </w:r>
      <w:r w:rsidR="00B276F0">
        <w:rPr>
          <w:rFonts w:ascii="Calibri" w:hAnsi="Calibri" w:cs="Calibri" w:hint="eastAsia"/>
          <w:lang w:eastAsia="zh-CN"/>
        </w:rPr>
        <w:t>访谈</w:t>
      </w:r>
      <w:r w:rsidR="00622881" w:rsidRPr="000736BC">
        <w:rPr>
          <w:rFonts w:ascii="Calibri" w:hAnsi="Calibri" w:cs="Calibri" w:hint="eastAsia"/>
          <w:lang w:eastAsia="zh-CN"/>
        </w:rPr>
        <w:t>，以推进有针对性的机构创新能力干预</w:t>
      </w:r>
      <w:r w:rsidR="00622881">
        <w:rPr>
          <w:rFonts w:ascii="Calibri" w:hAnsi="Calibri" w:cs="Calibri" w:hint="eastAsia"/>
          <w:lang w:eastAsia="zh-CN"/>
        </w:rPr>
        <w:t>措施</w:t>
      </w:r>
      <w:r w:rsidR="00622881" w:rsidRPr="000736BC">
        <w:rPr>
          <w:rFonts w:ascii="Calibri" w:hAnsi="Calibri" w:cs="Calibri" w:hint="eastAsia"/>
          <w:lang w:eastAsia="zh-CN"/>
        </w:rPr>
        <w:t>。这些努力旨在支持莫桑比克正在进行的数字化转型</w:t>
      </w:r>
      <w:r w:rsidR="00622881">
        <w:rPr>
          <w:rFonts w:ascii="Calibri" w:hAnsi="Calibri" w:cs="Calibri" w:hint="eastAsia"/>
          <w:lang w:eastAsia="zh-CN"/>
        </w:rPr>
        <w:t>。</w:t>
      </w:r>
    </w:p>
    <w:p w14:paraId="0CFD0A11" w14:textId="0212E19B" w:rsidR="00622881"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cs="Calibri"/>
          <w:lang w:eastAsia="zh-CN"/>
        </w:rPr>
      </w:pPr>
      <w:r w:rsidRPr="00713809">
        <w:rPr>
          <w:rFonts w:ascii="Calibri" w:hAnsi="Calibri" w:cs="Calibri" w:hint="eastAsia"/>
          <w:b/>
          <w:bCs/>
          <w:lang w:eastAsia="zh-CN"/>
        </w:rPr>
        <w:t>在阿拉伯国家，</w:t>
      </w:r>
      <w:r w:rsidRPr="000736BC">
        <w:rPr>
          <w:rFonts w:ascii="Calibri" w:hAnsi="Calibri" w:cs="Calibri" w:hint="eastAsia"/>
          <w:lang w:eastAsia="zh-CN"/>
        </w:rPr>
        <w:t>电信发</w:t>
      </w:r>
      <w:r w:rsidRPr="00A94E8E">
        <w:rPr>
          <w:rFonts w:ascii="Calibri" w:hAnsi="Calibri" w:cs="Calibri" w:hint="eastAsia"/>
          <w:lang w:eastAsia="zh-CN"/>
        </w:rPr>
        <w:t>展局与阿卜杜勒齐兹国王科技城合作，于</w:t>
      </w:r>
      <w:r w:rsidRPr="00A94E8E">
        <w:rPr>
          <w:rFonts w:ascii="Calibri" w:hAnsi="Calibri" w:cs="Calibri" w:hint="eastAsia"/>
          <w:lang w:eastAsia="zh-CN"/>
        </w:rPr>
        <w:t>2</w:t>
      </w:r>
      <w:r w:rsidRPr="00A94E8E">
        <w:rPr>
          <w:rFonts w:ascii="Calibri" w:hAnsi="Calibri" w:cs="Calibri" w:hint="eastAsia"/>
          <w:lang w:eastAsia="zh-CN"/>
        </w:rPr>
        <w:t>月</w:t>
      </w:r>
      <w:r w:rsidRPr="00A94E8E">
        <w:rPr>
          <w:rFonts w:ascii="Calibri" w:hAnsi="Calibri" w:cs="Calibri" w:hint="eastAsia"/>
          <w:lang w:eastAsia="zh-CN"/>
        </w:rPr>
        <w:t>9</w:t>
      </w:r>
      <w:r w:rsidRPr="00A94E8E">
        <w:rPr>
          <w:rFonts w:ascii="Calibri" w:hAnsi="Calibri" w:cs="Calibri" w:hint="eastAsia"/>
          <w:lang w:eastAsia="zh-CN"/>
        </w:rPr>
        <w:t>日至</w:t>
      </w:r>
      <w:r w:rsidRPr="00A94E8E">
        <w:rPr>
          <w:rFonts w:ascii="Calibri" w:hAnsi="Calibri" w:cs="Calibri" w:hint="eastAsia"/>
          <w:lang w:eastAsia="zh-CN"/>
        </w:rPr>
        <w:t>12</w:t>
      </w:r>
      <w:r w:rsidRPr="00A94E8E">
        <w:rPr>
          <w:rFonts w:ascii="Calibri" w:hAnsi="Calibri" w:cs="Calibri" w:hint="eastAsia"/>
          <w:lang w:eastAsia="zh-CN"/>
        </w:rPr>
        <w:t>日在沙特阿拉伯利雅得联合举办了为期四天的训练营，支持该国的技术研究商业化。训练营汇集了</w:t>
      </w:r>
      <w:r w:rsidRPr="00A94E8E">
        <w:rPr>
          <w:rFonts w:ascii="Calibri" w:hAnsi="Calibri" w:cs="Calibri" w:hint="eastAsia"/>
          <w:lang w:eastAsia="zh-CN"/>
        </w:rPr>
        <w:t>16</w:t>
      </w:r>
      <w:r w:rsidRPr="00A94E8E">
        <w:rPr>
          <w:rFonts w:ascii="Calibri" w:hAnsi="Calibri" w:cs="Calibri" w:hint="eastAsia"/>
          <w:lang w:eastAsia="zh-CN"/>
        </w:rPr>
        <w:t>个研究团队的</w:t>
      </w:r>
      <w:r w:rsidRPr="00A94E8E">
        <w:rPr>
          <w:rFonts w:ascii="Calibri" w:hAnsi="Calibri" w:cs="Calibri" w:hint="eastAsia"/>
          <w:lang w:eastAsia="zh-CN"/>
        </w:rPr>
        <w:t>60</w:t>
      </w:r>
      <w:r w:rsidRPr="00A94E8E">
        <w:rPr>
          <w:rFonts w:ascii="Calibri" w:hAnsi="Calibri" w:cs="Calibri" w:hint="eastAsia"/>
          <w:lang w:eastAsia="zh-CN"/>
        </w:rPr>
        <w:t>名研究人员，其中</w:t>
      </w:r>
      <w:r w:rsidRPr="00A94E8E">
        <w:rPr>
          <w:rFonts w:ascii="Calibri" w:hAnsi="Calibri" w:cs="Calibri" w:hint="eastAsia"/>
          <w:lang w:eastAsia="zh-CN"/>
        </w:rPr>
        <w:t>49%</w:t>
      </w:r>
      <w:r w:rsidRPr="00A94E8E">
        <w:rPr>
          <w:rFonts w:ascii="Calibri" w:hAnsi="Calibri" w:cs="Calibri" w:hint="eastAsia"/>
          <w:lang w:eastAsia="zh-CN"/>
        </w:rPr>
        <w:t>为女性科学家。与会者</w:t>
      </w:r>
      <w:r w:rsidR="00B276F0" w:rsidRPr="001637B4">
        <w:rPr>
          <w:rFonts w:ascii="Calibri" w:hAnsi="Calibri" w:cs="Calibri" w:hint="eastAsia"/>
          <w:lang w:eastAsia="zh-CN"/>
        </w:rPr>
        <w:t>接受了</w:t>
      </w:r>
      <w:r w:rsidRPr="00A94E8E">
        <w:rPr>
          <w:rFonts w:ascii="Calibri" w:hAnsi="Calibri" w:cs="Calibri" w:hint="eastAsia"/>
          <w:lang w:eastAsia="zh-CN"/>
        </w:rPr>
        <w:t>国际电联</w:t>
      </w:r>
      <w:r w:rsidR="00B276F0">
        <w:rPr>
          <w:rFonts w:ascii="Calibri" w:hAnsi="Calibri" w:cs="Calibri" w:hint="eastAsia"/>
          <w:lang w:eastAsia="zh-CN"/>
        </w:rPr>
        <w:t>“</w:t>
      </w:r>
      <w:r w:rsidRPr="00A94E8E">
        <w:rPr>
          <w:rFonts w:ascii="Calibri" w:hAnsi="Calibri" w:cs="Calibri" w:hint="eastAsia"/>
          <w:lang w:eastAsia="zh-CN"/>
        </w:rPr>
        <w:t>加速创新研究和商业化工具包</w:t>
      </w:r>
      <w:r w:rsidR="00B276F0">
        <w:rPr>
          <w:rFonts w:ascii="Calibri" w:hAnsi="Calibri" w:cs="Calibri" w:hint="eastAsia"/>
          <w:lang w:eastAsia="zh-CN"/>
        </w:rPr>
        <w:t>”</w:t>
      </w:r>
      <w:r w:rsidRPr="00A94E8E">
        <w:rPr>
          <w:rFonts w:ascii="Calibri" w:hAnsi="Calibri" w:cs="Calibri" w:hint="eastAsia"/>
          <w:lang w:eastAsia="zh-CN"/>
        </w:rPr>
        <w:t>中</w:t>
      </w:r>
      <w:r w:rsidR="00B276F0" w:rsidRPr="001637B4">
        <w:rPr>
          <w:rFonts w:ascii="Calibri" w:hAnsi="Calibri" w:cs="Calibri" w:hint="eastAsia"/>
          <w:lang w:eastAsia="zh-CN"/>
        </w:rPr>
        <w:t>十余种</w:t>
      </w:r>
      <w:r w:rsidRPr="00A94E8E">
        <w:rPr>
          <w:rFonts w:ascii="Calibri" w:hAnsi="Calibri" w:cs="Calibri" w:hint="eastAsia"/>
          <w:lang w:eastAsia="zh-CN"/>
        </w:rPr>
        <w:t>实用工具</w:t>
      </w:r>
      <w:r w:rsidR="00B276F0">
        <w:rPr>
          <w:rFonts w:ascii="Calibri" w:hAnsi="Calibri" w:cs="Calibri" w:hint="eastAsia"/>
          <w:lang w:eastAsia="zh-CN"/>
        </w:rPr>
        <w:t>的</w:t>
      </w:r>
      <w:r w:rsidRPr="00A94E8E">
        <w:rPr>
          <w:rFonts w:ascii="Calibri" w:hAnsi="Calibri" w:cs="Calibri" w:hint="eastAsia"/>
          <w:lang w:eastAsia="zh-CN"/>
        </w:rPr>
        <w:t>指导。通过一系列有针对性的</w:t>
      </w:r>
      <w:r w:rsidR="00B276F0" w:rsidRPr="00B276F0">
        <w:rPr>
          <w:rFonts w:ascii="Calibri" w:hAnsi="Calibri" w:cs="Calibri"/>
          <w:lang w:eastAsia="zh-CN"/>
        </w:rPr>
        <w:t>实训讲习班</w:t>
      </w:r>
      <w:r w:rsidRPr="00A94E8E">
        <w:rPr>
          <w:rFonts w:ascii="Calibri" w:hAnsi="Calibri" w:cs="Calibri" w:hint="eastAsia"/>
          <w:lang w:eastAsia="zh-CN"/>
        </w:rPr>
        <w:t>，研究人员跨越理论层面，直接将这些工具应用</w:t>
      </w:r>
      <w:r w:rsidR="00134AE8">
        <w:rPr>
          <w:rFonts w:ascii="Calibri" w:hAnsi="Calibri" w:cs="Calibri" w:hint="eastAsia"/>
          <w:lang w:eastAsia="zh-CN"/>
        </w:rPr>
        <w:t>于其</w:t>
      </w:r>
      <w:r w:rsidRPr="00A94E8E">
        <w:rPr>
          <w:rFonts w:ascii="Calibri" w:hAnsi="Calibri" w:cs="Calibri" w:hint="eastAsia"/>
          <w:lang w:eastAsia="zh-CN"/>
        </w:rPr>
        <w:t>研究</w:t>
      </w:r>
      <w:r w:rsidR="00134AE8">
        <w:rPr>
          <w:rFonts w:ascii="Calibri" w:hAnsi="Calibri" w:cs="Calibri" w:hint="eastAsia"/>
          <w:lang w:eastAsia="zh-CN"/>
        </w:rPr>
        <w:t>构想</w:t>
      </w:r>
      <w:r w:rsidRPr="000736BC">
        <w:rPr>
          <w:rFonts w:ascii="Calibri" w:hAnsi="Calibri" w:cs="Calibri" w:hint="eastAsia"/>
          <w:lang w:eastAsia="zh-CN"/>
        </w:rPr>
        <w:t>和输出</w:t>
      </w:r>
      <w:r>
        <w:rPr>
          <w:rFonts w:ascii="Calibri" w:hAnsi="Calibri" w:cs="Calibri" w:hint="eastAsia"/>
          <w:lang w:eastAsia="zh-CN"/>
        </w:rPr>
        <w:t>成果</w:t>
      </w:r>
      <w:r w:rsidRPr="000736BC">
        <w:rPr>
          <w:rFonts w:ascii="Calibri" w:hAnsi="Calibri" w:cs="Calibri" w:hint="eastAsia"/>
          <w:lang w:eastAsia="zh-CN"/>
        </w:rPr>
        <w:t>中。该举措旨在弥合研究和</w:t>
      </w:r>
      <w:r>
        <w:rPr>
          <w:rFonts w:ascii="Calibri" w:hAnsi="Calibri" w:cs="Calibri" w:hint="eastAsia"/>
          <w:lang w:eastAsia="zh-CN"/>
        </w:rPr>
        <w:t>成熟市场</w:t>
      </w:r>
      <w:r w:rsidRPr="000736BC">
        <w:rPr>
          <w:rFonts w:ascii="Calibri" w:hAnsi="Calibri" w:cs="Calibri" w:hint="eastAsia"/>
          <w:lang w:eastAsia="zh-CN"/>
        </w:rPr>
        <w:t>解决方案之间的差距，使科学家能够将创新转化为可行的产品和服务。这些成果直接</w:t>
      </w:r>
      <w:r w:rsidR="00134AE8">
        <w:rPr>
          <w:rFonts w:ascii="Calibri" w:hAnsi="Calibri" w:cs="Calibri" w:hint="eastAsia"/>
          <w:lang w:eastAsia="zh-CN"/>
        </w:rPr>
        <w:t>助力</w:t>
      </w:r>
      <w:r w:rsidRPr="000736BC">
        <w:rPr>
          <w:rFonts w:ascii="Calibri" w:hAnsi="Calibri" w:cs="Calibri" w:hint="eastAsia"/>
          <w:lang w:eastAsia="zh-CN"/>
        </w:rPr>
        <w:t>国家创新优先事项，并通过加强研究商业化和包容性创新生态系统</w:t>
      </w:r>
      <w:r w:rsidR="00134AE8">
        <w:rPr>
          <w:rFonts w:ascii="Calibri" w:hAnsi="Calibri" w:cs="Calibri" w:hint="eastAsia"/>
          <w:lang w:eastAsia="zh-CN"/>
        </w:rPr>
        <w:t>，</w:t>
      </w:r>
      <w:r w:rsidRPr="000736BC">
        <w:rPr>
          <w:rFonts w:ascii="Calibri" w:hAnsi="Calibri" w:cs="Calibri" w:hint="eastAsia"/>
          <w:lang w:eastAsia="zh-CN"/>
        </w:rPr>
        <w:t>支持</w:t>
      </w:r>
      <w:r w:rsidR="00134AE8">
        <w:rPr>
          <w:rFonts w:ascii="Calibri" w:hAnsi="Calibri" w:cs="Calibri" w:hint="eastAsia"/>
          <w:lang w:eastAsia="zh-CN"/>
        </w:rPr>
        <w:t>“</w:t>
      </w:r>
      <w:r w:rsidRPr="000736BC">
        <w:rPr>
          <w:rFonts w:ascii="Calibri" w:hAnsi="Calibri" w:cs="Calibri" w:hint="eastAsia"/>
          <w:lang w:eastAsia="zh-CN"/>
        </w:rPr>
        <w:t>沙特</w:t>
      </w:r>
      <w:r w:rsidRPr="000736BC">
        <w:rPr>
          <w:rFonts w:ascii="Calibri" w:hAnsi="Calibri" w:cs="Calibri" w:hint="eastAsia"/>
          <w:lang w:eastAsia="zh-CN"/>
        </w:rPr>
        <w:t>2030</w:t>
      </w:r>
      <w:r w:rsidRPr="000736BC">
        <w:rPr>
          <w:rFonts w:ascii="Calibri" w:hAnsi="Calibri" w:cs="Calibri" w:hint="eastAsia"/>
          <w:lang w:eastAsia="zh-CN"/>
        </w:rPr>
        <w:t>年愿景</w:t>
      </w:r>
      <w:r w:rsidR="00134AE8">
        <w:rPr>
          <w:rFonts w:ascii="Calibri" w:hAnsi="Calibri" w:cs="Calibri" w:hint="eastAsia"/>
          <w:lang w:eastAsia="zh-CN"/>
        </w:rPr>
        <w:t>”</w:t>
      </w:r>
      <w:r w:rsidRPr="000736BC">
        <w:rPr>
          <w:rFonts w:ascii="Calibri" w:hAnsi="Calibri" w:cs="Calibri" w:hint="eastAsia"/>
          <w:lang w:eastAsia="zh-CN"/>
        </w:rPr>
        <w:t>的</w:t>
      </w:r>
      <w:r w:rsidR="00134AE8" w:rsidRPr="001637B4">
        <w:rPr>
          <w:rFonts w:ascii="Calibri" w:hAnsi="Calibri" w:cs="Calibri" w:hint="eastAsia"/>
          <w:lang w:eastAsia="zh-CN"/>
        </w:rPr>
        <w:t>宏伟目标</w:t>
      </w:r>
      <w:r w:rsidRPr="000736BC">
        <w:rPr>
          <w:rFonts w:ascii="Calibri" w:hAnsi="Calibri" w:cs="Calibri" w:hint="eastAsia"/>
          <w:lang w:eastAsia="zh-CN"/>
        </w:rPr>
        <w:t>。</w:t>
      </w:r>
    </w:p>
    <w:p w14:paraId="6277F189" w14:textId="6AC58A25" w:rsidR="00622881" w:rsidRPr="00DB4A38"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cs="Calibri"/>
          <w:lang w:eastAsia="zh-CN"/>
        </w:rPr>
      </w:pPr>
      <w:r w:rsidRPr="00713809">
        <w:rPr>
          <w:rFonts w:ascii="Calibri" w:hAnsi="Calibri" w:cs="Calibri" w:hint="eastAsia"/>
          <w:b/>
          <w:bCs/>
          <w:lang w:eastAsia="zh-CN"/>
        </w:rPr>
        <w:t>在独联体</w:t>
      </w:r>
      <w:r>
        <w:rPr>
          <w:rFonts w:ascii="Calibri" w:hAnsi="Calibri" w:cs="Calibri" w:hint="eastAsia"/>
          <w:b/>
          <w:bCs/>
          <w:lang w:eastAsia="zh-CN"/>
        </w:rPr>
        <w:t>国家</w:t>
      </w:r>
      <w:r w:rsidRPr="000736BC">
        <w:rPr>
          <w:rFonts w:ascii="Calibri" w:hAnsi="Calibri" w:cs="Calibri" w:hint="eastAsia"/>
          <w:lang w:eastAsia="zh-CN"/>
        </w:rPr>
        <w:t>，</w:t>
      </w:r>
      <w:r w:rsidR="00134AE8">
        <w:rPr>
          <w:rFonts w:ascii="Calibri" w:hAnsi="Calibri" w:cs="Calibri" w:hint="eastAsia"/>
          <w:lang w:eastAsia="zh-CN"/>
        </w:rPr>
        <w:t>主题为</w:t>
      </w:r>
      <w:r w:rsidRPr="000736BC">
        <w:rPr>
          <w:rFonts w:ascii="Calibri" w:hAnsi="Calibri" w:cs="Calibri" w:hint="eastAsia"/>
          <w:lang w:eastAsia="zh-CN"/>
        </w:rPr>
        <w:t>人工智能解决方案开发的</w:t>
      </w:r>
      <w:r>
        <w:rPr>
          <w:rFonts w:ascii="Calibri" w:hAnsi="Calibri" w:cs="Calibri" w:hint="eastAsia"/>
          <w:lang w:eastAsia="zh-CN"/>
        </w:rPr>
        <w:t>“</w:t>
      </w:r>
      <w:r w:rsidRPr="000736BC">
        <w:rPr>
          <w:rFonts w:ascii="Calibri" w:hAnsi="Calibri" w:cs="Calibri" w:hint="eastAsia"/>
          <w:lang w:eastAsia="zh-CN"/>
        </w:rPr>
        <w:t>人工智能编程马拉松：</w:t>
      </w:r>
      <w:r w:rsidRPr="000736BC">
        <w:rPr>
          <w:rFonts w:ascii="Calibri" w:hAnsi="Calibri" w:cs="Calibri" w:hint="eastAsia"/>
          <w:lang w:eastAsia="zh-CN"/>
        </w:rPr>
        <w:t>BSUIR 2026</w:t>
      </w:r>
      <w:r>
        <w:rPr>
          <w:rFonts w:ascii="Calibri" w:hAnsi="Calibri" w:cs="Calibri" w:hint="eastAsia"/>
          <w:lang w:eastAsia="zh-CN"/>
        </w:rPr>
        <w:t>”</w:t>
      </w:r>
      <w:r w:rsidRPr="000736BC">
        <w:rPr>
          <w:rFonts w:ascii="Calibri" w:hAnsi="Calibri" w:cs="Calibri" w:hint="eastAsia"/>
          <w:lang w:eastAsia="zh-CN"/>
        </w:rPr>
        <w:t>在</w:t>
      </w:r>
      <w:r w:rsidRPr="00DB4A38">
        <w:rPr>
          <w:rFonts w:ascii="Calibri" w:hAnsi="Calibri" w:cs="Calibri" w:hint="eastAsia"/>
          <w:lang w:eastAsia="zh-CN"/>
        </w:rPr>
        <w:t>白俄罗斯明斯克举行。此次活动是与白</w:t>
      </w:r>
      <w:r w:rsidR="00DB4A38" w:rsidRPr="00713809">
        <w:rPr>
          <w:rFonts w:ascii="Calibri" w:hAnsi="Calibri" w:cs="Calibri" w:hint="eastAsia"/>
          <w:lang w:eastAsia="zh-CN"/>
        </w:rPr>
        <w:t>俄</w:t>
      </w:r>
      <w:r w:rsidRPr="00DB4A38">
        <w:rPr>
          <w:rFonts w:ascii="Calibri" w:hAnsi="Calibri" w:cs="Calibri" w:hint="eastAsia"/>
          <w:lang w:eastAsia="zh-CN"/>
        </w:rPr>
        <w:t>罗斯国立信息和无线电电子大学合作举办的，来自白俄罗斯各技术大学的</w:t>
      </w:r>
      <w:r w:rsidRPr="00DB4A38">
        <w:rPr>
          <w:rFonts w:ascii="Calibri" w:hAnsi="Calibri" w:cs="Calibri" w:hint="eastAsia"/>
          <w:lang w:eastAsia="zh-CN"/>
        </w:rPr>
        <w:t>17</w:t>
      </w:r>
      <w:r w:rsidRPr="00DB4A38">
        <w:rPr>
          <w:rFonts w:ascii="Calibri" w:hAnsi="Calibri" w:cs="Calibri" w:hint="eastAsia"/>
          <w:lang w:eastAsia="zh-CN"/>
        </w:rPr>
        <w:t>个团队、</w:t>
      </w:r>
      <w:r w:rsidRPr="00DB4A38">
        <w:rPr>
          <w:rFonts w:ascii="Calibri" w:hAnsi="Calibri" w:cs="Calibri" w:hint="eastAsia"/>
          <w:lang w:eastAsia="zh-CN"/>
        </w:rPr>
        <w:t>50</w:t>
      </w:r>
      <w:r w:rsidRPr="00DB4A38">
        <w:rPr>
          <w:rFonts w:ascii="Calibri" w:hAnsi="Calibri" w:cs="Calibri" w:hint="eastAsia"/>
          <w:lang w:eastAsia="zh-CN"/>
        </w:rPr>
        <w:t>多名年轻人参与其中，</w:t>
      </w:r>
      <w:r w:rsidR="00134AE8" w:rsidRPr="00DB4A38">
        <w:rPr>
          <w:rFonts w:ascii="Calibri" w:hAnsi="Calibri" w:cs="Calibri" w:hint="eastAsia"/>
          <w:lang w:eastAsia="zh-CN"/>
        </w:rPr>
        <w:t>共</w:t>
      </w:r>
      <w:r w:rsidRPr="00DB4A38">
        <w:rPr>
          <w:rFonts w:ascii="Calibri" w:hAnsi="Calibri" w:cs="Calibri" w:hint="eastAsia"/>
          <w:lang w:eastAsia="zh-CN"/>
        </w:rPr>
        <w:t>同为电信行业开发人工智能解决方案。在</w:t>
      </w:r>
      <w:r w:rsidRPr="00713809">
        <w:rPr>
          <w:rFonts w:ascii="Calibri" w:hAnsi="Calibri" w:cs="Calibri" w:hint="eastAsia"/>
          <w:b/>
          <w:bCs/>
          <w:lang w:eastAsia="zh-CN"/>
        </w:rPr>
        <w:t>欧洲地区</w:t>
      </w:r>
      <w:r w:rsidRPr="00DB4A38">
        <w:rPr>
          <w:rFonts w:ascii="Calibri" w:hAnsi="Calibri" w:cs="Calibri" w:hint="eastAsia"/>
          <w:lang w:eastAsia="zh-CN"/>
        </w:rPr>
        <w:t>，</w:t>
      </w:r>
      <w:r w:rsidR="00134AE8">
        <w:fldChar w:fldCharType="begin"/>
      </w:r>
      <w:r w:rsidR="00134AE8">
        <w:rPr>
          <w:lang w:eastAsia="zh-CN"/>
        </w:rPr>
        <w:instrText>HYPERLINK "https://www.itu.int/en/ITU-D/Innovation/Documents/Publications/D-INNO-MALTA-2025-PDF-E.pdf"</w:instrText>
      </w:r>
      <w:r w:rsidR="00134AE8">
        <w:fldChar w:fldCharType="separate"/>
      </w:r>
      <w:r w:rsidR="00134AE8" w:rsidRPr="00DB4A38">
        <w:rPr>
          <w:rStyle w:val="Hyperlink"/>
          <w:rFonts w:ascii="Calibri" w:hAnsi="Calibri" w:cs="Calibri" w:hint="eastAsia"/>
          <w:lang w:eastAsia="zh-CN"/>
        </w:rPr>
        <w:t>《马耳他的创新格局：最佳做法和未来方向》</w:t>
      </w:r>
      <w:r w:rsidR="00134AE8">
        <w:fldChar w:fldCharType="end"/>
      </w:r>
      <w:r w:rsidR="00134AE8" w:rsidRPr="00DB4A38">
        <w:rPr>
          <w:rFonts w:ascii="Calibri" w:hAnsi="Calibri" w:cs="Calibri" w:hint="eastAsia"/>
          <w:lang w:eastAsia="zh-CN"/>
        </w:rPr>
        <w:t>报告于</w:t>
      </w:r>
      <w:r w:rsidRPr="00DB4A38">
        <w:rPr>
          <w:rFonts w:ascii="Calibri" w:hAnsi="Calibri" w:cs="Calibri" w:hint="eastAsia"/>
          <w:lang w:eastAsia="zh-CN"/>
        </w:rPr>
        <w:t>2026</w:t>
      </w:r>
      <w:r w:rsidRPr="00DB4A38">
        <w:rPr>
          <w:rFonts w:ascii="Calibri" w:hAnsi="Calibri" w:cs="Calibri" w:hint="eastAsia"/>
          <w:lang w:eastAsia="zh-CN"/>
        </w:rPr>
        <w:t>年</w:t>
      </w:r>
      <w:r w:rsidRPr="00DB4A38">
        <w:rPr>
          <w:rFonts w:ascii="Calibri" w:hAnsi="Calibri" w:cs="Calibri" w:hint="eastAsia"/>
          <w:lang w:eastAsia="zh-CN"/>
        </w:rPr>
        <w:t>3</w:t>
      </w:r>
      <w:r w:rsidRPr="00DB4A38">
        <w:rPr>
          <w:rFonts w:ascii="Calibri" w:hAnsi="Calibri" w:cs="Calibri" w:hint="eastAsia"/>
          <w:lang w:eastAsia="zh-CN"/>
        </w:rPr>
        <w:t>月发布，现已</w:t>
      </w:r>
      <w:r w:rsidR="00134AE8" w:rsidRPr="00DB4A38">
        <w:rPr>
          <w:rFonts w:ascii="Calibri" w:hAnsi="Calibri" w:cs="Calibri" w:hint="eastAsia"/>
          <w:lang w:eastAsia="zh-CN"/>
        </w:rPr>
        <w:t>可在</w:t>
      </w:r>
      <w:r w:rsidRPr="00DB4A38">
        <w:rPr>
          <w:rFonts w:ascii="Calibri" w:hAnsi="Calibri" w:cs="Calibri" w:hint="eastAsia"/>
          <w:lang w:eastAsia="zh-CN"/>
        </w:rPr>
        <w:t>创新网页上</w:t>
      </w:r>
      <w:r w:rsidR="00134AE8" w:rsidRPr="00DB4A38">
        <w:rPr>
          <w:rFonts w:ascii="Calibri" w:hAnsi="Calibri" w:cs="Calibri" w:hint="eastAsia"/>
          <w:lang w:eastAsia="zh-CN"/>
        </w:rPr>
        <w:t>查阅</w:t>
      </w:r>
      <w:r w:rsidRPr="00DB4A38">
        <w:rPr>
          <w:rFonts w:ascii="Calibri" w:hAnsi="Calibri" w:cs="Calibri" w:hint="eastAsia"/>
          <w:lang w:eastAsia="zh-CN"/>
        </w:rPr>
        <w:t>。</w:t>
      </w:r>
    </w:p>
    <w:p w14:paraId="2E79F9ED" w14:textId="77777777" w:rsidR="00622881" w:rsidRPr="00DB4A38" w:rsidRDefault="00622881" w:rsidP="00BB475A">
      <w:pPr>
        <w:keepNext/>
        <w:keepLines/>
        <w:tabs>
          <w:tab w:val="clear" w:pos="1134"/>
          <w:tab w:val="clear" w:pos="1871"/>
          <w:tab w:val="clear" w:pos="2268"/>
          <w:tab w:val="left" w:pos="794"/>
          <w:tab w:val="left" w:pos="1191"/>
          <w:tab w:val="left" w:pos="1588"/>
          <w:tab w:val="left" w:pos="1985"/>
        </w:tabs>
        <w:outlineLvl w:val="2"/>
        <w:rPr>
          <w:rFonts w:ascii="Calibri" w:hAnsi="Calibri" w:cs="Calibri"/>
          <w:b/>
          <w:bCs/>
          <w:color w:val="000000"/>
          <w:szCs w:val="24"/>
          <w:lang w:eastAsia="zh-CN"/>
        </w:rPr>
      </w:pPr>
      <w:r w:rsidRPr="00DB4A38">
        <w:rPr>
          <w:rFonts w:ascii="Calibri" w:hAnsi="Calibri" w:cs="Calibri" w:hint="eastAsia"/>
          <w:b/>
          <w:bCs/>
          <w:color w:val="000000"/>
          <w:szCs w:val="24"/>
          <w:lang w:eastAsia="zh-CN"/>
        </w:rPr>
        <w:t>数字服务和应用</w:t>
      </w:r>
    </w:p>
    <w:p w14:paraId="1875B4D1" w14:textId="55BBCE13" w:rsidR="00622881" w:rsidRPr="00DB4A38"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cs="Calibri"/>
          <w:lang w:eastAsia="zh-CN"/>
        </w:rPr>
      </w:pPr>
      <w:r w:rsidRPr="00713809">
        <w:rPr>
          <w:rFonts w:ascii="Calibri" w:hAnsi="Calibri" w:cs="Calibri" w:hint="eastAsia"/>
          <w:b/>
          <w:bCs/>
          <w:lang w:eastAsia="zh-CN"/>
        </w:rPr>
        <w:t>在非洲地区，</w:t>
      </w:r>
      <w:r w:rsidRPr="00DB4A38">
        <w:rPr>
          <w:rFonts w:ascii="Calibri" w:hAnsi="Calibri" w:cs="Calibri" w:hint="eastAsia"/>
          <w:lang w:eastAsia="zh-CN"/>
        </w:rPr>
        <w:t>冈比亚</w:t>
      </w:r>
      <w:r w:rsidR="00134AE8" w:rsidRPr="00DB4A38">
        <w:rPr>
          <w:rFonts w:ascii="Calibri" w:hAnsi="Calibri" w:cs="Calibri" w:hint="eastAsia"/>
          <w:lang w:eastAsia="zh-CN"/>
        </w:rPr>
        <w:t>在汇总</w:t>
      </w:r>
      <w:r w:rsidRPr="00DB4A38">
        <w:rPr>
          <w:rFonts w:ascii="Calibri" w:hAnsi="Calibri" w:cs="Calibri" w:hint="eastAsia"/>
          <w:lang w:eastAsia="zh-CN"/>
        </w:rPr>
        <w:t>财政、卫生、</w:t>
      </w:r>
      <w:r w:rsidRPr="00DB4A38">
        <w:rPr>
          <w:rFonts w:ascii="Calibri" w:hAnsi="Calibri" w:cs="Calibri" w:hint="eastAsia"/>
          <w:lang w:eastAsia="zh-CN"/>
        </w:rPr>
        <w:t>ICT</w:t>
      </w:r>
      <w:r w:rsidRPr="00DB4A38">
        <w:rPr>
          <w:rFonts w:ascii="Calibri" w:hAnsi="Calibri" w:cs="Calibri" w:hint="eastAsia"/>
          <w:lang w:eastAsia="zh-CN"/>
        </w:rPr>
        <w:t>、税务局</w:t>
      </w:r>
      <w:r w:rsidR="00134AE8" w:rsidRPr="00DB4A38">
        <w:rPr>
          <w:rFonts w:ascii="Calibri" w:hAnsi="Calibri" w:cs="Calibri" w:hint="eastAsia"/>
          <w:lang w:eastAsia="zh-CN"/>
        </w:rPr>
        <w:t>等跨部门</w:t>
      </w:r>
      <w:r w:rsidRPr="00DB4A38">
        <w:rPr>
          <w:rFonts w:ascii="Calibri" w:hAnsi="Calibri" w:cs="Calibri" w:hint="eastAsia"/>
          <w:lang w:eastAsia="zh-CN"/>
        </w:rPr>
        <w:t>意见</w:t>
      </w:r>
      <w:r w:rsidR="00134AE8" w:rsidRPr="00DB4A38">
        <w:rPr>
          <w:rFonts w:ascii="Calibri" w:hAnsi="Calibri" w:cs="Calibri" w:hint="eastAsia"/>
          <w:lang w:eastAsia="zh-CN"/>
        </w:rPr>
        <w:t>的基础上，</w:t>
      </w:r>
      <w:r w:rsidRPr="00DB4A38">
        <w:rPr>
          <w:rFonts w:ascii="Calibri" w:hAnsi="Calibri" w:cs="Calibri" w:hint="eastAsia"/>
          <w:lang w:eastAsia="zh-CN"/>
        </w:rPr>
        <w:t>验证了</w:t>
      </w:r>
      <w:r w:rsidR="00134AE8" w:rsidRPr="00DB4A38">
        <w:rPr>
          <w:rFonts w:ascii="Calibri" w:hAnsi="Calibri" w:cs="Calibri" w:hint="eastAsia"/>
          <w:lang w:eastAsia="zh-CN"/>
        </w:rPr>
        <w:t>“</w:t>
      </w:r>
      <w:r w:rsidRPr="00DB4A38">
        <w:rPr>
          <w:rFonts w:ascii="Calibri" w:hAnsi="Calibri" w:cs="Calibri" w:hint="eastAsia"/>
          <w:lang w:eastAsia="zh-CN"/>
        </w:rPr>
        <w:t>国家企业架构和数字化转型路线图</w:t>
      </w:r>
      <w:r w:rsidR="00134AE8" w:rsidRPr="00DB4A38">
        <w:rPr>
          <w:rFonts w:ascii="Calibri" w:hAnsi="Calibri" w:cs="Calibri" w:hint="eastAsia"/>
          <w:lang w:eastAsia="zh-CN"/>
        </w:rPr>
        <w:t>”</w:t>
      </w:r>
      <w:r w:rsidRPr="00DB4A38">
        <w:rPr>
          <w:rFonts w:ascii="Calibri" w:hAnsi="Calibri" w:cs="Calibri" w:hint="eastAsia"/>
          <w:lang w:eastAsia="zh-CN"/>
        </w:rPr>
        <w:t>。几内亚比绍举办了首次</w:t>
      </w:r>
      <w:proofErr w:type="spellStart"/>
      <w:r w:rsidRPr="00DB4A38">
        <w:rPr>
          <w:rFonts w:ascii="Calibri" w:hAnsi="Calibri" w:cs="Calibri" w:hint="eastAsia"/>
          <w:lang w:eastAsia="zh-CN"/>
        </w:rPr>
        <w:t>GovStack</w:t>
      </w:r>
      <w:proofErr w:type="spellEnd"/>
      <w:r w:rsidR="00134AE8" w:rsidRPr="00DB4A38">
        <w:rPr>
          <w:rFonts w:ascii="Calibri" w:hAnsi="Calibri" w:cs="Calibri" w:hint="eastAsia"/>
          <w:lang w:eastAsia="zh-CN"/>
        </w:rPr>
        <w:t>深度调研讲习班</w:t>
      </w:r>
      <w:r w:rsidRPr="00DB4A38">
        <w:rPr>
          <w:rFonts w:ascii="Calibri" w:hAnsi="Calibri" w:cs="Calibri" w:hint="eastAsia"/>
          <w:lang w:eastAsia="zh-CN"/>
        </w:rPr>
        <w:t>，</w:t>
      </w:r>
      <w:r w:rsidR="00134AE8" w:rsidRPr="00DB4A38">
        <w:rPr>
          <w:rFonts w:ascii="Calibri" w:hAnsi="Calibri" w:cs="Calibri" w:hint="eastAsia"/>
          <w:lang w:eastAsia="zh-CN"/>
        </w:rPr>
        <w:t>旨在</w:t>
      </w:r>
      <w:r w:rsidRPr="00DB4A38">
        <w:rPr>
          <w:rFonts w:ascii="Calibri" w:hAnsi="Calibri" w:cs="Calibri" w:hint="eastAsia"/>
          <w:lang w:eastAsia="zh-CN"/>
        </w:rPr>
        <w:t>定义可互操作的模块化数字政府服务。</w:t>
      </w:r>
      <w:r w:rsidR="00134AE8" w:rsidRPr="00DB4A38">
        <w:rPr>
          <w:rFonts w:ascii="Calibri" w:hAnsi="Calibri" w:cs="Calibri" w:hint="eastAsia"/>
          <w:lang w:eastAsia="zh-CN"/>
        </w:rPr>
        <w:t>“</w:t>
      </w:r>
      <w:r w:rsidRPr="00DB4A38">
        <w:rPr>
          <w:rFonts w:ascii="Calibri" w:hAnsi="Calibri" w:cs="Calibri" w:hint="eastAsia"/>
          <w:lang w:eastAsia="zh-CN"/>
        </w:rPr>
        <w:t>非洲之角</w:t>
      </w:r>
      <w:proofErr w:type="spellStart"/>
      <w:r w:rsidRPr="00DB4A38">
        <w:rPr>
          <w:rFonts w:ascii="Calibri" w:hAnsi="Calibri" w:cs="Calibri" w:hint="eastAsia"/>
          <w:lang w:eastAsia="zh-CN"/>
        </w:rPr>
        <w:t>GovStack</w:t>
      </w:r>
      <w:proofErr w:type="spellEnd"/>
      <w:r w:rsidRPr="00DB4A38">
        <w:rPr>
          <w:rFonts w:ascii="Calibri" w:hAnsi="Calibri" w:cs="Calibri" w:hint="eastAsia"/>
          <w:lang w:eastAsia="zh-CN"/>
        </w:rPr>
        <w:t>项目</w:t>
      </w:r>
      <w:r w:rsidR="00134AE8" w:rsidRPr="00DB4A38">
        <w:rPr>
          <w:rFonts w:ascii="Calibri" w:hAnsi="Calibri" w:cs="Calibri" w:hint="eastAsia"/>
          <w:lang w:eastAsia="zh-CN"/>
        </w:rPr>
        <w:t>”</w:t>
      </w:r>
      <w:r w:rsidRPr="00DB4A38">
        <w:rPr>
          <w:rFonts w:ascii="Calibri" w:hAnsi="Calibri" w:cs="Calibri" w:hint="eastAsia"/>
          <w:lang w:eastAsia="zh-CN"/>
        </w:rPr>
        <w:t>正处于收尾阶段，同时</w:t>
      </w:r>
      <w:r w:rsidR="00134AE8" w:rsidRPr="00DB4A38">
        <w:rPr>
          <w:rFonts w:ascii="Calibri" w:hAnsi="Calibri" w:cs="Calibri" w:hint="eastAsia"/>
          <w:lang w:eastAsia="zh-CN"/>
        </w:rPr>
        <w:t>，“</w:t>
      </w:r>
      <w:r w:rsidRPr="00DB4A38">
        <w:rPr>
          <w:rFonts w:ascii="Calibri" w:hAnsi="Calibri" w:cs="Calibri" w:hint="eastAsia"/>
          <w:lang w:eastAsia="zh-CN"/>
        </w:rPr>
        <w:t>斯威士兰</w:t>
      </w:r>
      <w:proofErr w:type="spellStart"/>
      <w:r w:rsidRPr="00DB4A38">
        <w:rPr>
          <w:rFonts w:ascii="Calibri" w:hAnsi="Calibri" w:cs="Calibri" w:hint="eastAsia"/>
          <w:lang w:eastAsia="zh-CN"/>
        </w:rPr>
        <w:t>GovStack</w:t>
      </w:r>
      <w:proofErr w:type="spellEnd"/>
      <w:r w:rsidRPr="00DB4A38">
        <w:rPr>
          <w:rFonts w:ascii="Calibri" w:hAnsi="Calibri" w:cs="Calibri" w:hint="eastAsia"/>
          <w:lang w:eastAsia="zh-CN"/>
        </w:rPr>
        <w:t>项目</w:t>
      </w:r>
      <w:r w:rsidR="00134AE8" w:rsidRPr="00DB4A38">
        <w:rPr>
          <w:rFonts w:ascii="Calibri" w:hAnsi="Calibri" w:cs="Calibri" w:hint="eastAsia"/>
          <w:lang w:eastAsia="zh-CN"/>
        </w:rPr>
        <w:t>”</w:t>
      </w:r>
      <w:r w:rsidRPr="00DB4A38">
        <w:rPr>
          <w:rFonts w:ascii="Calibri" w:hAnsi="Calibri" w:cs="Calibri" w:hint="eastAsia"/>
          <w:lang w:eastAsia="zh-CN"/>
        </w:rPr>
        <w:t>的最终报告已经完成，并</w:t>
      </w:r>
      <w:r w:rsidR="00134AE8" w:rsidRPr="00DB4A38">
        <w:rPr>
          <w:rFonts w:ascii="Calibri" w:hAnsi="Calibri" w:cs="Calibri" w:hint="eastAsia"/>
          <w:lang w:eastAsia="zh-CN"/>
        </w:rPr>
        <w:t>开展</w:t>
      </w:r>
      <w:r w:rsidRPr="00DB4A38">
        <w:rPr>
          <w:rFonts w:ascii="Calibri" w:hAnsi="Calibri" w:cs="Calibri" w:hint="eastAsia"/>
          <w:lang w:eastAsia="zh-CN"/>
        </w:rPr>
        <w:t>了</w:t>
      </w:r>
      <w:r w:rsidR="00134AE8" w:rsidRPr="00DB4A38">
        <w:rPr>
          <w:rFonts w:ascii="Calibri" w:hAnsi="Calibri" w:cs="Calibri" w:hint="eastAsia"/>
          <w:lang w:eastAsia="zh-CN"/>
        </w:rPr>
        <w:t>深度调研讲习班作为补充</w:t>
      </w:r>
      <w:r w:rsidRPr="00DB4A38">
        <w:rPr>
          <w:rFonts w:ascii="Calibri" w:hAnsi="Calibri" w:cs="Calibri" w:hint="eastAsia"/>
          <w:lang w:eastAsia="zh-CN"/>
        </w:rPr>
        <w:t>。</w:t>
      </w:r>
    </w:p>
    <w:p w14:paraId="76A686D8" w14:textId="61D785A8" w:rsidR="00622881" w:rsidRPr="00DB4A38"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cs="Calibri"/>
          <w:lang w:eastAsia="zh-CN"/>
        </w:rPr>
      </w:pPr>
      <w:r w:rsidRPr="00713809">
        <w:rPr>
          <w:rFonts w:ascii="Calibri" w:hAnsi="Calibri" w:cs="Calibri" w:hint="eastAsia"/>
          <w:b/>
          <w:bCs/>
          <w:lang w:eastAsia="zh-CN"/>
        </w:rPr>
        <w:t>在阿拉伯国家，</w:t>
      </w:r>
      <w:r w:rsidRPr="00DB4A38">
        <w:rPr>
          <w:rFonts w:ascii="Calibri" w:hAnsi="Calibri" w:cs="Calibri" w:hint="eastAsia"/>
          <w:lang w:eastAsia="zh-CN"/>
        </w:rPr>
        <w:t>电信发展局正在完成约旦</w:t>
      </w:r>
      <w:r w:rsidR="00134AE8" w:rsidRPr="00DB4A38">
        <w:rPr>
          <w:rFonts w:ascii="Calibri" w:hAnsi="Calibri" w:cs="Calibri" w:hint="eastAsia"/>
          <w:lang w:eastAsia="zh-CN"/>
        </w:rPr>
        <w:t>“</w:t>
      </w:r>
      <w:r w:rsidRPr="00DB4A38">
        <w:rPr>
          <w:rFonts w:ascii="Calibri" w:hAnsi="Calibri" w:cs="Calibri" w:hint="eastAsia"/>
          <w:lang w:eastAsia="zh-CN"/>
        </w:rPr>
        <w:t>沉浸式技术国家战略</w:t>
      </w:r>
      <w:r w:rsidR="00134AE8" w:rsidRPr="00DB4A38">
        <w:rPr>
          <w:rFonts w:ascii="Calibri" w:hAnsi="Calibri" w:cs="Calibri" w:hint="eastAsia"/>
          <w:lang w:eastAsia="zh-CN"/>
        </w:rPr>
        <w:t>”</w:t>
      </w:r>
      <w:r w:rsidRPr="00DB4A38">
        <w:rPr>
          <w:rFonts w:ascii="Calibri" w:hAnsi="Calibri" w:cs="Calibri" w:hint="eastAsia"/>
          <w:lang w:eastAsia="zh-CN"/>
        </w:rPr>
        <w:t>的最终定稿</w:t>
      </w:r>
      <w:r w:rsidR="00134AE8" w:rsidRPr="00DB4A38">
        <w:rPr>
          <w:rFonts w:ascii="Calibri" w:hAnsi="Calibri" w:cs="Calibri" w:hint="eastAsia"/>
          <w:lang w:eastAsia="zh-CN"/>
        </w:rPr>
        <w:t>工作</w:t>
      </w:r>
      <w:r w:rsidRPr="00DB4A38">
        <w:rPr>
          <w:rFonts w:ascii="Calibri" w:hAnsi="Calibri" w:cs="Calibri" w:hint="eastAsia"/>
          <w:lang w:eastAsia="zh-CN"/>
        </w:rPr>
        <w:t>。</w:t>
      </w:r>
    </w:p>
    <w:p w14:paraId="6D901343" w14:textId="77777777" w:rsidR="00622881" w:rsidRPr="00DB4A38"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cs="Calibri"/>
          <w:lang w:eastAsia="zh-CN"/>
        </w:rPr>
      </w:pPr>
      <w:r w:rsidRPr="00713809">
        <w:rPr>
          <w:rFonts w:ascii="Calibri" w:hAnsi="Calibri" w:cs="Calibri" w:hint="eastAsia"/>
          <w:b/>
          <w:bCs/>
          <w:lang w:eastAsia="zh-CN"/>
        </w:rPr>
        <w:t>在亚太地区，</w:t>
      </w:r>
      <w:r w:rsidRPr="00DB4A38">
        <w:rPr>
          <w:rFonts w:ascii="Calibri" w:hAnsi="Calibri" w:cs="Calibri" w:hint="eastAsia"/>
          <w:lang w:eastAsia="zh-CN"/>
        </w:rPr>
        <w:t>蒙古举行了关于加强机构间协调以促进该国采用</w:t>
      </w:r>
      <w:proofErr w:type="spellStart"/>
      <w:r w:rsidRPr="00DB4A38">
        <w:rPr>
          <w:rFonts w:ascii="Calibri" w:hAnsi="Calibri" w:cs="Calibri" w:hint="eastAsia"/>
          <w:lang w:eastAsia="zh-CN"/>
        </w:rPr>
        <w:t>GovStack</w:t>
      </w:r>
      <w:proofErr w:type="spellEnd"/>
      <w:r w:rsidRPr="00DB4A38">
        <w:rPr>
          <w:rFonts w:ascii="Calibri" w:hAnsi="Calibri" w:cs="Calibri" w:hint="eastAsia"/>
          <w:lang w:eastAsia="zh-CN"/>
        </w:rPr>
        <w:t>的高级别讨论。在图瓦</w:t>
      </w:r>
      <w:proofErr w:type="gramStart"/>
      <w:r w:rsidRPr="00DB4A38">
        <w:rPr>
          <w:rFonts w:ascii="Calibri" w:hAnsi="Calibri" w:cs="Calibri" w:hint="eastAsia"/>
          <w:lang w:eastAsia="zh-CN"/>
        </w:rPr>
        <w:t>卢</w:t>
      </w:r>
      <w:proofErr w:type="gramEnd"/>
      <w:r w:rsidRPr="00DB4A38">
        <w:rPr>
          <w:rFonts w:ascii="Calibri" w:hAnsi="Calibri" w:cs="Calibri" w:hint="eastAsia"/>
          <w:lang w:eastAsia="zh-CN"/>
        </w:rPr>
        <w:t>，一个</w:t>
      </w:r>
      <w:proofErr w:type="spellStart"/>
      <w:r w:rsidRPr="00DB4A38">
        <w:rPr>
          <w:rFonts w:ascii="Calibri" w:hAnsi="Calibri" w:cs="Calibri" w:hint="eastAsia"/>
          <w:lang w:eastAsia="zh-CN"/>
        </w:rPr>
        <w:t>GovStack</w:t>
      </w:r>
      <w:proofErr w:type="spellEnd"/>
      <w:r w:rsidRPr="00DB4A38">
        <w:rPr>
          <w:rFonts w:ascii="Calibri" w:hAnsi="Calibri" w:cs="Calibri" w:hint="eastAsia"/>
          <w:lang w:eastAsia="zh-CN"/>
        </w:rPr>
        <w:t>讲习班正在进行中。</w:t>
      </w:r>
    </w:p>
    <w:p w14:paraId="4B3FE8DA" w14:textId="5C084256" w:rsidR="00622881" w:rsidRPr="00DB4A38" w:rsidRDefault="00134AE8" w:rsidP="00BB475A">
      <w:pPr>
        <w:tabs>
          <w:tab w:val="clear" w:pos="1134"/>
          <w:tab w:val="clear" w:pos="1871"/>
          <w:tab w:val="clear" w:pos="2268"/>
          <w:tab w:val="left" w:pos="794"/>
          <w:tab w:val="left" w:pos="1191"/>
          <w:tab w:val="left" w:pos="1588"/>
          <w:tab w:val="left" w:pos="1985"/>
        </w:tabs>
        <w:ind w:firstLineChars="200" w:firstLine="480"/>
        <w:rPr>
          <w:rFonts w:ascii="Calibri" w:hAnsi="Calibri" w:cs="Calibri"/>
          <w:lang w:eastAsia="zh-CN"/>
        </w:rPr>
      </w:pPr>
      <w:r w:rsidRPr="00DB4A38">
        <w:rPr>
          <w:rFonts w:ascii="Calibri" w:hAnsi="Calibri" w:cs="Calibri" w:hint="eastAsia"/>
          <w:lang w:eastAsia="zh-CN"/>
        </w:rPr>
        <w:t>2</w:t>
      </w:r>
      <w:r w:rsidRPr="00DB4A38">
        <w:rPr>
          <w:rFonts w:ascii="Calibri" w:hAnsi="Calibri" w:cs="Calibri" w:hint="eastAsia"/>
          <w:lang w:eastAsia="zh-CN"/>
        </w:rPr>
        <w:t>月，</w:t>
      </w:r>
      <w:r w:rsidR="00622881" w:rsidRPr="00DB4A38">
        <w:rPr>
          <w:rFonts w:ascii="Calibri" w:hAnsi="Calibri" w:cs="Calibri" w:hint="eastAsia"/>
          <w:lang w:eastAsia="zh-CN"/>
        </w:rPr>
        <w:t>电信发展局在巴布亚新几内亚组织了一次全政府</w:t>
      </w:r>
      <w:proofErr w:type="spellStart"/>
      <w:r w:rsidR="00622881" w:rsidRPr="00DB4A38">
        <w:rPr>
          <w:rFonts w:ascii="Calibri" w:hAnsi="Calibri" w:cs="Calibri" w:hint="eastAsia"/>
          <w:lang w:eastAsia="zh-CN"/>
        </w:rPr>
        <w:t>GovStack</w:t>
      </w:r>
      <w:proofErr w:type="spellEnd"/>
      <w:r w:rsidR="00622881" w:rsidRPr="00DB4A38">
        <w:rPr>
          <w:rFonts w:ascii="Calibri" w:hAnsi="Calibri" w:cs="Calibri" w:hint="eastAsia"/>
          <w:lang w:eastAsia="zh-CN"/>
        </w:rPr>
        <w:t>讲习班，并讨论了欧盟</w:t>
      </w:r>
      <w:r w:rsidR="00622881" w:rsidRPr="00DB4A38">
        <w:rPr>
          <w:rFonts w:ascii="Calibri" w:hAnsi="Calibri" w:cs="Calibri" w:hint="eastAsia"/>
          <w:lang w:eastAsia="zh-CN"/>
        </w:rPr>
        <w:t>STREIT</w:t>
      </w:r>
      <w:r w:rsidR="00622881" w:rsidRPr="00DB4A38">
        <w:rPr>
          <w:rFonts w:ascii="Calibri" w:hAnsi="Calibri" w:cs="Calibri" w:hint="eastAsia"/>
          <w:lang w:eastAsia="zh-CN"/>
        </w:rPr>
        <w:t>项目的下一阶段</w:t>
      </w:r>
      <w:r w:rsidRPr="00DB4A38">
        <w:rPr>
          <w:rFonts w:ascii="Calibri" w:hAnsi="Calibri" w:cs="Calibri" w:hint="eastAsia"/>
          <w:lang w:eastAsia="zh-CN"/>
        </w:rPr>
        <w:t>规划</w:t>
      </w:r>
      <w:r w:rsidR="00675B8E" w:rsidRPr="00DB4A38">
        <w:rPr>
          <w:rFonts w:ascii="Calibri" w:hAnsi="Calibri" w:cs="Calibri" w:hint="eastAsia"/>
          <w:lang w:eastAsia="zh-CN"/>
        </w:rPr>
        <w:t>；</w:t>
      </w:r>
      <w:r w:rsidR="00622881" w:rsidRPr="00DB4A38">
        <w:rPr>
          <w:rFonts w:ascii="Calibri" w:hAnsi="Calibri" w:cs="Calibri" w:hint="eastAsia"/>
          <w:lang w:eastAsia="zh-CN"/>
        </w:rPr>
        <w:t>电信发展局已与粮农组织</w:t>
      </w:r>
      <w:r w:rsidRPr="00DB4A38">
        <w:rPr>
          <w:rFonts w:ascii="Calibri" w:hAnsi="Calibri" w:cs="Calibri" w:hint="eastAsia"/>
          <w:lang w:eastAsia="zh-CN"/>
        </w:rPr>
        <w:t>（</w:t>
      </w:r>
      <w:r w:rsidRPr="00DB4A38">
        <w:rPr>
          <w:rFonts w:ascii="Calibri" w:hAnsi="Calibri" w:cs="Calibri" w:hint="eastAsia"/>
          <w:lang w:eastAsia="zh-CN"/>
        </w:rPr>
        <w:t>FAO</w:t>
      </w:r>
      <w:r w:rsidRPr="00DB4A38">
        <w:rPr>
          <w:rFonts w:ascii="Calibri" w:hAnsi="Calibri" w:cs="Calibri" w:hint="eastAsia"/>
          <w:lang w:eastAsia="zh-CN"/>
        </w:rPr>
        <w:t>）</w:t>
      </w:r>
      <w:r w:rsidR="00622881" w:rsidRPr="00DB4A38">
        <w:rPr>
          <w:rFonts w:ascii="Calibri" w:hAnsi="Calibri" w:cs="Calibri" w:hint="eastAsia"/>
          <w:lang w:eastAsia="zh-CN"/>
        </w:rPr>
        <w:t>、开发署</w:t>
      </w:r>
      <w:r w:rsidRPr="00DB4A38">
        <w:rPr>
          <w:rFonts w:ascii="Calibri" w:hAnsi="Calibri" w:cs="Calibri" w:hint="eastAsia"/>
          <w:lang w:eastAsia="zh-CN"/>
        </w:rPr>
        <w:t>（</w:t>
      </w:r>
      <w:r w:rsidRPr="00DB4A38">
        <w:rPr>
          <w:rFonts w:ascii="Calibri" w:hAnsi="Calibri" w:cs="Calibri" w:hint="eastAsia"/>
          <w:lang w:eastAsia="zh-CN"/>
        </w:rPr>
        <w:t>UNDP</w:t>
      </w:r>
      <w:r w:rsidRPr="00DB4A38">
        <w:rPr>
          <w:rFonts w:ascii="Calibri" w:hAnsi="Calibri" w:cs="Calibri" w:hint="eastAsia"/>
          <w:lang w:eastAsia="zh-CN"/>
        </w:rPr>
        <w:t>）</w:t>
      </w:r>
      <w:r w:rsidR="00622881" w:rsidRPr="00DB4A38">
        <w:rPr>
          <w:rFonts w:ascii="Calibri" w:hAnsi="Calibri" w:cs="Calibri" w:hint="eastAsia"/>
          <w:lang w:eastAsia="zh-CN"/>
        </w:rPr>
        <w:t>和其他联合国机构在各国联合实施该项目，以支持数字农业、农村连通性、能力发展和数字素养。</w:t>
      </w:r>
    </w:p>
    <w:p w14:paraId="6DD4C23E" w14:textId="4CF29B58" w:rsidR="00622881"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cs="Calibri"/>
          <w:lang w:eastAsia="zh-CN"/>
        </w:rPr>
      </w:pPr>
      <w:r w:rsidRPr="00713809">
        <w:rPr>
          <w:rFonts w:ascii="Calibri" w:hAnsi="Calibri" w:cs="Calibri" w:hint="eastAsia"/>
          <w:b/>
          <w:bCs/>
          <w:lang w:eastAsia="zh-CN"/>
        </w:rPr>
        <w:t>在独联体国家，</w:t>
      </w:r>
      <w:r w:rsidRPr="00DB4A38">
        <w:rPr>
          <w:rFonts w:ascii="Calibri" w:hAnsi="Calibri" w:cs="Calibri" w:hint="eastAsia"/>
          <w:lang w:eastAsia="zh-CN"/>
        </w:rPr>
        <w:t>电信发展局于</w:t>
      </w:r>
      <w:r w:rsidRPr="00DB4A38">
        <w:rPr>
          <w:rFonts w:ascii="Calibri" w:hAnsi="Calibri" w:cs="Calibri" w:hint="eastAsia"/>
          <w:lang w:eastAsia="zh-CN"/>
        </w:rPr>
        <w:t>3</w:t>
      </w:r>
      <w:r w:rsidRPr="00DB4A38">
        <w:rPr>
          <w:rFonts w:ascii="Calibri" w:hAnsi="Calibri" w:cs="Calibri" w:hint="eastAsia"/>
          <w:lang w:eastAsia="zh-CN"/>
        </w:rPr>
        <w:t>月</w:t>
      </w:r>
      <w:r w:rsidRPr="00DB4A38">
        <w:rPr>
          <w:rFonts w:ascii="Calibri" w:hAnsi="Calibri" w:cs="Calibri" w:hint="eastAsia"/>
          <w:lang w:eastAsia="zh-CN"/>
        </w:rPr>
        <w:t>11</w:t>
      </w:r>
      <w:r w:rsidRPr="00DB4A38">
        <w:rPr>
          <w:rFonts w:ascii="Calibri" w:hAnsi="Calibri" w:cs="Calibri" w:hint="eastAsia"/>
          <w:lang w:eastAsia="zh-CN"/>
        </w:rPr>
        <w:t>日至</w:t>
      </w:r>
      <w:r w:rsidRPr="00DB4A38">
        <w:rPr>
          <w:rFonts w:ascii="Calibri" w:hAnsi="Calibri" w:cs="Calibri" w:hint="eastAsia"/>
          <w:lang w:eastAsia="zh-CN"/>
        </w:rPr>
        <w:t>12</w:t>
      </w:r>
      <w:r w:rsidRPr="00DB4A38">
        <w:rPr>
          <w:rFonts w:ascii="Calibri" w:hAnsi="Calibri" w:cs="Calibri" w:hint="eastAsia"/>
          <w:lang w:eastAsia="zh-CN"/>
        </w:rPr>
        <w:t>日与白俄罗斯国家电子服务中心合作举办了一次全国培训。来自哈萨克斯坦、阿塞拜疆和乌兹别克斯坦的专家</w:t>
      </w:r>
      <w:r w:rsidRPr="000736BC">
        <w:rPr>
          <w:rFonts w:ascii="Calibri" w:hAnsi="Calibri" w:cs="Calibri" w:hint="eastAsia"/>
          <w:lang w:eastAsia="zh-CN"/>
        </w:rPr>
        <w:t>分享了各自国家在关键领域的经验，包括将公共服务</w:t>
      </w:r>
      <w:r w:rsidR="00675B8E" w:rsidRPr="00675B8E">
        <w:rPr>
          <w:rFonts w:ascii="Calibri" w:hAnsi="Calibri" w:cs="Calibri" w:hint="eastAsia"/>
          <w:lang w:eastAsia="zh-CN"/>
        </w:rPr>
        <w:t>重塑</w:t>
      </w:r>
      <w:r w:rsidRPr="000736BC">
        <w:rPr>
          <w:rFonts w:ascii="Calibri" w:hAnsi="Calibri" w:cs="Calibri" w:hint="eastAsia"/>
          <w:lang w:eastAsia="zh-CN"/>
        </w:rPr>
        <w:t>为数字生活事件、</w:t>
      </w:r>
      <w:r w:rsidR="00675B8E" w:rsidRPr="00675B8E">
        <w:rPr>
          <w:rFonts w:ascii="Calibri" w:hAnsi="Calibri" w:cs="Calibri" w:hint="eastAsia"/>
          <w:lang w:eastAsia="zh-CN"/>
        </w:rPr>
        <w:t>提供主动式</w:t>
      </w:r>
      <w:r w:rsidRPr="000736BC">
        <w:rPr>
          <w:rFonts w:ascii="Calibri" w:hAnsi="Calibri" w:cs="Calibri" w:hint="eastAsia"/>
          <w:lang w:eastAsia="zh-CN"/>
        </w:rPr>
        <w:t>数字公共服务、数据管理以及基于“数据湖”分析的数据驱动决策。</w:t>
      </w:r>
    </w:p>
    <w:p w14:paraId="162CB691" w14:textId="123E5836" w:rsidR="00622881" w:rsidRPr="000736BC"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cs="Calibri"/>
          <w:lang w:eastAsia="zh-CN"/>
        </w:rPr>
      </w:pPr>
      <w:r w:rsidRPr="00713809">
        <w:rPr>
          <w:rFonts w:ascii="Calibri" w:hAnsi="Calibri" w:cs="Calibri" w:hint="eastAsia"/>
          <w:b/>
          <w:bCs/>
          <w:lang w:eastAsia="zh-CN"/>
        </w:rPr>
        <w:t>在欧洲地区，</w:t>
      </w:r>
      <w:r w:rsidR="00675B8E" w:rsidRPr="00713809">
        <w:rPr>
          <w:rFonts w:ascii="Calibri" w:hAnsi="Calibri" w:cs="Calibri" w:hint="eastAsia"/>
          <w:lang w:eastAsia="zh-CN"/>
        </w:rPr>
        <w:t>为使</w:t>
      </w:r>
      <w:proofErr w:type="spellStart"/>
      <w:r w:rsidRPr="00CC5906">
        <w:rPr>
          <w:rFonts w:ascii="Calibri" w:hAnsi="Calibri" w:cs="Calibri" w:hint="eastAsia"/>
          <w:lang w:eastAsia="zh-CN"/>
        </w:rPr>
        <w:t>GovStack</w:t>
      </w:r>
      <w:proofErr w:type="spellEnd"/>
      <w:r w:rsidRPr="00CC5906">
        <w:rPr>
          <w:rFonts w:ascii="Calibri" w:hAnsi="Calibri" w:cs="Calibri" w:hint="eastAsia"/>
          <w:lang w:eastAsia="zh-CN"/>
        </w:rPr>
        <w:t>与开发署可持续发展目标联合基金项目保持一致，电信发展局将在塞尔维亚提供能力建设、原型设计、沙箱和</w:t>
      </w:r>
      <w:proofErr w:type="spellStart"/>
      <w:r w:rsidRPr="00CC5906">
        <w:rPr>
          <w:rFonts w:ascii="Calibri" w:hAnsi="Calibri" w:cs="Calibri" w:hint="eastAsia"/>
          <w:lang w:eastAsia="zh-CN"/>
        </w:rPr>
        <w:t>GovSpecs</w:t>
      </w:r>
      <w:proofErr w:type="spellEnd"/>
      <w:r w:rsidRPr="00CC5906">
        <w:rPr>
          <w:rFonts w:ascii="Calibri" w:hAnsi="Calibri" w:cs="Calibri" w:hint="eastAsia"/>
          <w:lang w:eastAsia="zh-CN"/>
        </w:rPr>
        <w:t xml:space="preserve"> 2</w:t>
      </w:r>
      <w:r w:rsidRPr="00713809">
        <w:rPr>
          <w:rFonts w:ascii="Calibri" w:hAnsi="Calibri" w:cs="Calibri"/>
          <w:lang w:eastAsia="zh-CN"/>
        </w:rPr>
        <w:t>.</w:t>
      </w:r>
      <w:r w:rsidRPr="00CC5906">
        <w:rPr>
          <w:rFonts w:ascii="Calibri" w:hAnsi="Calibri" w:cs="Calibri" w:hint="eastAsia"/>
          <w:lang w:eastAsia="zh-CN"/>
        </w:rPr>
        <w:t>0</w:t>
      </w:r>
      <w:r w:rsidR="00675B8E" w:rsidRPr="00675B8E">
        <w:rPr>
          <w:rFonts w:ascii="Calibri" w:hAnsi="Calibri" w:cs="Calibri" w:hint="eastAsia"/>
          <w:lang w:eastAsia="zh-CN"/>
        </w:rPr>
        <w:t>支持</w:t>
      </w:r>
      <w:r w:rsidRPr="00CC5906">
        <w:rPr>
          <w:rFonts w:ascii="Calibri" w:hAnsi="Calibri" w:cs="Calibri" w:hint="eastAsia"/>
          <w:lang w:eastAsia="zh-CN"/>
        </w:rPr>
        <w:t>。</w:t>
      </w:r>
    </w:p>
    <w:p w14:paraId="4C649DD6" w14:textId="21128348" w:rsidR="00622881"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cs="Calibri"/>
          <w:lang w:eastAsia="zh-CN"/>
        </w:rPr>
      </w:pPr>
      <w:r w:rsidRPr="000736BC">
        <w:rPr>
          <w:rFonts w:ascii="Calibri" w:hAnsi="Calibri" w:cs="Calibri" w:hint="eastAsia"/>
          <w:lang w:eastAsia="zh-CN"/>
        </w:rPr>
        <w:t>总体而言，电信发展局继续推进开源和数字公共基础设施（</w:t>
      </w:r>
      <w:r w:rsidRPr="000736BC">
        <w:rPr>
          <w:rFonts w:ascii="Calibri" w:hAnsi="Calibri" w:cs="Calibri" w:hint="eastAsia"/>
          <w:lang w:eastAsia="zh-CN"/>
        </w:rPr>
        <w:t>DPI</w:t>
      </w:r>
      <w:r w:rsidRPr="000736BC">
        <w:rPr>
          <w:rFonts w:ascii="Calibri" w:hAnsi="Calibri" w:cs="Calibri" w:hint="eastAsia"/>
          <w:lang w:eastAsia="zh-CN"/>
        </w:rPr>
        <w:t>）。</w:t>
      </w:r>
      <w:r w:rsidRPr="000736BC">
        <w:rPr>
          <w:rFonts w:ascii="Calibri" w:hAnsi="Calibri" w:cs="Calibri" w:hint="eastAsia"/>
          <w:lang w:eastAsia="zh-CN"/>
        </w:rPr>
        <w:t>2026</w:t>
      </w:r>
      <w:r w:rsidRPr="000736BC">
        <w:rPr>
          <w:rFonts w:ascii="Calibri" w:hAnsi="Calibri" w:cs="Calibri" w:hint="eastAsia"/>
          <w:lang w:eastAsia="zh-CN"/>
        </w:rPr>
        <w:t>年第一季度，电信发展局</w:t>
      </w:r>
      <w:r w:rsidR="00675B8E">
        <w:rPr>
          <w:rFonts w:ascii="Calibri" w:hAnsi="Calibri" w:cs="Calibri" w:hint="eastAsia"/>
          <w:lang w:eastAsia="zh-CN"/>
        </w:rPr>
        <w:t>为</w:t>
      </w:r>
      <w:r w:rsidRPr="000736BC">
        <w:rPr>
          <w:rFonts w:ascii="Calibri" w:hAnsi="Calibri" w:cs="Calibri" w:hint="eastAsia"/>
          <w:lang w:eastAsia="zh-CN"/>
        </w:rPr>
        <w:t>肯尼亚政府提供了两次专门培训，</w:t>
      </w:r>
      <w:r w:rsidR="00675B8E" w:rsidRPr="00675B8E">
        <w:rPr>
          <w:rFonts w:ascii="Calibri" w:hAnsi="Calibri" w:cs="Calibri" w:hint="eastAsia"/>
          <w:lang w:eastAsia="zh-CN"/>
        </w:rPr>
        <w:t>支持其</w:t>
      </w:r>
      <w:r>
        <w:rPr>
          <w:rFonts w:ascii="Calibri" w:hAnsi="Calibri" w:cs="Calibri" w:hint="eastAsia"/>
          <w:lang w:eastAsia="zh-CN"/>
        </w:rPr>
        <w:t>在</w:t>
      </w:r>
      <w:r w:rsidR="00B62732" w:rsidRPr="00B62732">
        <w:rPr>
          <w:rFonts w:ascii="Calibri" w:hAnsi="Calibri" w:cs="Calibri"/>
          <w:lang w:eastAsia="zh-CN"/>
        </w:rPr>
        <w:t>开源生态系统赋能</w:t>
      </w:r>
      <w:r w:rsidR="00B62732">
        <w:rPr>
          <w:rFonts w:ascii="Calibri" w:hAnsi="Calibri" w:cs="Calibri" w:hint="eastAsia"/>
          <w:lang w:eastAsia="zh-CN"/>
        </w:rPr>
        <w:t>（</w:t>
      </w:r>
      <w:r w:rsidRPr="000736BC">
        <w:rPr>
          <w:rFonts w:ascii="Calibri" w:hAnsi="Calibri" w:cs="Calibri" w:hint="eastAsia"/>
          <w:lang w:eastAsia="zh-CN"/>
        </w:rPr>
        <w:t>OSEE</w:t>
      </w:r>
      <w:r w:rsidR="00B62732">
        <w:rPr>
          <w:rFonts w:ascii="Calibri" w:hAnsi="Calibri" w:cs="Calibri" w:hint="eastAsia"/>
          <w:lang w:eastAsia="zh-CN"/>
        </w:rPr>
        <w:t>）</w:t>
      </w:r>
      <w:r w:rsidR="00675B8E" w:rsidRPr="00675B8E">
        <w:rPr>
          <w:rFonts w:ascii="Calibri" w:hAnsi="Calibri" w:cs="Calibri" w:hint="eastAsia"/>
          <w:lang w:eastAsia="zh-CN"/>
        </w:rPr>
        <w:t>框架</w:t>
      </w:r>
      <w:r w:rsidRPr="000736BC">
        <w:rPr>
          <w:rFonts w:ascii="Calibri" w:hAnsi="Calibri" w:cs="Calibri" w:hint="eastAsia"/>
          <w:lang w:eastAsia="zh-CN"/>
        </w:rPr>
        <w:t>下</w:t>
      </w:r>
      <w:r w:rsidR="00675B8E" w:rsidRPr="00675B8E">
        <w:rPr>
          <w:rFonts w:ascii="Calibri" w:hAnsi="Calibri" w:cs="Calibri" w:hint="eastAsia"/>
          <w:lang w:eastAsia="zh-CN"/>
        </w:rPr>
        <w:t>制定</w:t>
      </w:r>
      <w:r w:rsidRPr="000736BC">
        <w:rPr>
          <w:rFonts w:ascii="Calibri" w:hAnsi="Calibri" w:cs="Calibri" w:hint="eastAsia"/>
          <w:lang w:eastAsia="zh-CN"/>
        </w:rPr>
        <w:t>DPI</w:t>
      </w:r>
      <w:r w:rsidRPr="000736BC">
        <w:rPr>
          <w:rFonts w:ascii="Calibri" w:hAnsi="Calibri" w:cs="Calibri" w:hint="eastAsia"/>
          <w:lang w:eastAsia="zh-CN"/>
        </w:rPr>
        <w:t>路线图，加强了作为</w:t>
      </w:r>
      <w:r w:rsidRPr="000736BC">
        <w:rPr>
          <w:rFonts w:ascii="Calibri" w:hAnsi="Calibri" w:cs="Calibri" w:hint="eastAsia"/>
          <w:lang w:eastAsia="zh-CN"/>
        </w:rPr>
        <w:t>DPI</w:t>
      </w:r>
      <w:r w:rsidRPr="000736BC">
        <w:rPr>
          <w:rFonts w:ascii="Calibri" w:hAnsi="Calibri" w:cs="Calibri" w:hint="eastAsia"/>
          <w:lang w:eastAsia="zh-CN"/>
        </w:rPr>
        <w:t>基础的开源、网络安全和系统管理</w:t>
      </w:r>
      <w:r>
        <w:rPr>
          <w:rFonts w:ascii="Calibri" w:hAnsi="Calibri" w:cs="Calibri" w:hint="eastAsia"/>
          <w:lang w:eastAsia="zh-CN"/>
        </w:rPr>
        <w:t>国家</w:t>
      </w:r>
      <w:r w:rsidRPr="000736BC">
        <w:rPr>
          <w:rFonts w:ascii="Calibri" w:hAnsi="Calibri" w:cs="Calibri" w:hint="eastAsia"/>
          <w:lang w:eastAsia="zh-CN"/>
        </w:rPr>
        <w:t>能力。</w:t>
      </w:r>
      <w:r w:rsidR="00675B8E" w:rsidRPr="00675B8E">
        <w:rPr>
          <w:rFonts w:ascii="Calibri" w:hAnsi="Calibri" w:cs="Calibri" w:hint="eastAsia"/>
          <w:lang w:eastAsia="zh-CN"/>
        </w:rPr>
        <w:t>此外，</w:t>
      </w:r>
      <w:r w:rsidR="00675B8E" w:rsidRPr="000736BC">
        <w:rPr>
          <w:rFonts w:ascii="Calibri" w:hAnsi="Calibri" w:cs="Calibri" w:hint="eastAsia"/>
          <w:lang w:eastAsia="zh-CN"/>
        </w:rPr>
        <w:t>电信发</w:t>
      </w:r>
      <w:r w:rsidR="00675B8E" w:rsidRPr="000736BC">
        <w:rPr>
          <w:rFonts w:ascii="Calibri" w:hAnsi="Calibri" w:cs="Calibri" w:hint="eastAsia"/>
          <w:lang w:eastAsia="zh-CN"/>
        </w:rPr>
        <w:lastRenderedPageBreak/>
        <w:t>展局</w:t>
      </w:r>
      <w:r w:rsidRPr="000736BC">
        <w:rPr>
          <w:rFonts w:ascii="Calibri" w:hAnsi="Calibri" w:cs="Calibri" w:hint="eastAsia"/>
          <w:lang w:eastAsia="zh-CN"/>
        </w:rPr>
        <w:t>继续加强与非洲、亚太地区</w:t>
      </w:r>
      <w:r w:rsidR="00B62732">
        <w:rPr>
          <w:rFonts w:ascii="Calibri" w:hAnsi="Calibri" w:cs="Calibri" w:hint="eastAsia"/>
          <w:lang w:eastAsia="zh-CN"/>
        </w:rPr>
        <w:t>以及</w:t>
      </w:r>
      <w:r w:rsidRPr="000736BC">
        <w:rPr>
          <w:rFonts w:ascii="Calibri" w:hAnsi="Calibri" w:cs="Calibri" w:hint="eastAsia"/>
          <w:lang w:eastAsia="zh-CN"/>
        </w:rPr>
        <w:t>中东和北非地区的试点和附属国家</w:t>
      </w:r>
      <w:r w:rsidR="00B62732">
        <w:rPr>
          <w:rFonts w:ascii="Calibri" w:hAnsi="Calibri" w:cs="Calibri" w:hint="eastAsia"/>
          <w:lang w:eastAsia="zh-CN"/>
        </w:rPr>
        <w:t>的</w:t>
      </w:r>
      <w:r w:rsidRPr="000736BC">
        <w:rPr>
          <w:rFonts w:ascii="Calibri" w:hAnsi="Calibri" w:cs="Calibri" w:hint="eastAsia"/>
          <w:lang w:eastAsia="zh-CN"/>
        </w:rPr>
        <w:t>接触，以支持</w:t>
      </w:r>
      <w:r w:rsidR="00B62732" w:rsidRPr="00B62732">
        <w:rPr>
          <w:rFonts w:ascii="Calibri" w:hAnsi="Calibri" w:cs="Calibri"/>
          <w:lang w:eastAsia="zh-CN"/>
        </w:rPr>
        <w:t>开源项目办公室</w:t>
      </w:r>
      <w:r w:rsidR="00B62732">
        <w:rPr>
          <w:rFonts w:ascii="Calibri" w:hAnsi="Calibri" w:cs="Calibri" w:hint="eastAsia"/>
          <w:lang w:eastAsia="zh-CN"/>
        </w:rPr>
        <w:t>（</w:t>
      </w:r>
      <w:r w:rsidRPr="000736BC">
        <w:rPr>
          <w:rFonts w:ascii="Calibri" w:hAnsi="Calibri" w:cs="Calibri" w:hint="eastAsia"/>
          <w:lang w:eastAsia="zh-CN"/>
        </w:rPr>
        <w:t>OSPO</w:t>
      </w:r>
      <w:r w:rsidR="00B62732">
        <w:rPr>
          <w:rFonts w:ascii="Calibri" w:hAnsi="Calibri" w:cs="Calibri" w:hint="eastAsia"/>
          <w:lang w:eastAsia="zh-CN"/>
        </w:rPr>
        <w:t>）</w:t>
      </w:r>
      <w:r w:rsidRPr="000736BC">
        <w:rPr>
          <w:rFonts w:ascii="Calibri" w:hAnsi="Calibri" w:cs="Calibri" w:hint="eastAsia"/>
          <w:lang w:eastAsia="zh-CN"/>
        </w:rPr>
        <w:t>的建立和可持续生态系统的发展。</w:t>
      </w:r>
    </w:p>
    <w:p w14:paraId="4B07E752" w14:textId="48E95179" w:rsidR="00622881"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cs="Calibri"/>
          <w:lang w:eastAsia="zh-CN"/>
        </w:rPr>
      </w:pPr>
      <w:r w:rsidRPr="000736BC">
        <w:rPr>
          <w:rFonts w:ascii="Calibri" w:hAnsi="Calibri" w:cs="Calibri" w:hint="eastAsia"/>
          <w:lang w:eastAsia="zh-CN"/>
        </w:rPr>
        <w:t>电信发展局还通过</w:t>
      </w:r>
      <w:r w:rsidRPr="001B50CC">
        <w:rPr>
          <w:rFonts w:ascii="Calibri" w:hAnsi="Calibri" w:cs="Calibri"/>
          <w:lang w:eastAsia="zh-CN"/>
        </w:rPr>
        <w:t>Open Source United</w:t>
      </w:r>
      <w:r w:rsidR="00B62732">
        <w:rPr>
          <w:rFonts w:ascii="Calibri" w:hAnsi="Calibri" w:cs="Calibri" w:hint="eastAsia"/>
          <w:lang w:eastAsia="zh-CN"/>
        </w:rPr>
        <w:t>举措</w:t>
      </w:r>
      <w:r w:rsidRPr="000736BC">
        <w:rPr>
          <w:rFonts w:ascii="Calibri" w:hAnsi="Calibri" w:cs="Calibri" w:hint="eastAsia"/>
          <w:lang w:eastAsia="zh-CN"/>
        </w:rPr>
        <w:t>促进</w:t>
      </w:r>
      <w:r w:rsidRPr="008E2DFA">
        <w:rPr>
          <w:rFonts w:ascii="Calibri" w:hAnsi="Calibri" w:cs="Calibri" w:hint="eastAsia"/>
          <w:lang w:eastAsia="zh-CN"/>
        </w:rPr>
        <w:t>联合国系统的</w:t>
      </w:r>
      <w:r w:rsidR="00B62732">
        <w:rPr>
          <w:rFonts w:ascii="Calibri" w:hAnsi="Calibri" w:cs="Calibri" w:hint="eastAsia"/>
          <w:lang w:eastAsia="zh-CN"/>
        </w:rPr>
        <w:t>一致性</w:t>
      </w:r>
      <w:r w:rsidRPr="008E2DFA">
        <w:rPr>
          <w:rFonts w:ascii="Calibri" w:hAnsi="Calibri" w:cs="Calibri" w:hint="eastAsia"/>
          <w:lang w:eastAsia="zh-CN"/>
        </w:rPr>
        <w:t>，积极</w:t>
      </w:r>
      <w:r w:rsidR="00B62732" w:rsidRPr="00675B8E">
        <w:rPr>
          <w:rFonts w:ascii="Calibri" w:hAnsi="Calibri" w:cs="Calibri" w:hint="eastAsia"/>
          <w:lang w:eastAsia="zh-CN"/>
        </w:rPr>
        <w:t>参与</w:t>
      </w:r>
      <w:r w:rsidR="00B62732">
        <w:rPr>
          <w:rFonts w:ascii="Calibri" w:hAnsi="Calibri" w:cs="Calibri" w:hint="eastAsia"/>
          <w:lang w:eastAsia="zh-CN"/>
        </w:rPr>
        <w:t>该举措的共组</w:t>
      </w:r>
      <w:r w:rsidRPr="008E2DFA">
        <w:rPr>
          <w:rFonts w:ascii="Calibri" w:hAnsi="Calibri" w:cs="Calibri" w:hint="eastAsia"/>
          <w:lang w:eastAsia="zh-CN"/>
        </w:rPr>
        <w:t>，包括担任实践社区副主席，支持</w:t>
      </w:r>
      <w:r w:rsidR="00B62732">
        <w:rPr>
          <w:rFonts w:ascii="Calibri" w:hAnsi="Calibri" w:cs="Calibri" w:hint="eastAsia"/>
          <w:lang w:eastAsia="zh-CN"/>
        </w:rPr>
        <w:t>在</w:t>
      </w:r>
      <w:r w:rsidRPr="008E2DFA">
        <w:rPr>
          <w:rFonts w:ascii="Calibri" w:hAnsi="Calibri" w:cs="Calibri" w:hint="eastAsia"/>
          <w:lang w:eastAsia="zh-CN"/>
        </w:rPr>
        <w:t>国际电联内部</w:t>
      </w:r>
      <w:r w:rsidR="00B62732" w:rsidRPr="00675B8E">
        <w:rPr>
          <w:rFonts w:ascii="Calibri" w:hAnsi="Calibri" w:cs="Calibri" w:hint="eastAsia"/>
          <w:lang w:eastAsia="zh-CN"/>
        </w:rPr>
        <w:t>启用由</w:t>
      </w:r>
      <w:r w:rsidRPr="008E2DFA">
        <w:rPr>
          <w:rFonts w:ascii="Calibri" w:hAnsi="Calibri" w:cs="Calibri" w:hint="eastAsia"/>
          <w:lang w:eastAsia="zh-CN"/>
        </w:rPr>
        <w:t>UNICC</w:t>
      </w:r>
      <w:r w:rsidRPr="008E2DFA">
        <w:rPr>
          <w:rFonts w:ascii="Calibri" w:hAnsi="Calibri" w:cs="Calibri" w:hint="eastAsia"/>
          <w:lang w:eastAsia="zh-CN"/>
        </w:rPr>
        <w:t>托管的开源代码存储库，</w:t>
      </w:r>
      <w:r w:rsidR="00B62732">
        <w:rPr>
          <w:rFonts w:ascii="Calibri" w:hAnsi="Calibri" w:cs="Calibri" w:hint="eastAsia"/>
          <w:lang w:eastAsia="zh-CN"/>
        </w:rPr>
        <w:t>从而</w:t>
      </w:r>
      <w:r w:rsidRPr="008E2DFA">
        <w:rPr>
          <w:rFonts w:ascii="Calibri" w:hAnsi="Calibri" w:cs="Calibri" w:hint="eastAsia"/>
          <w:lang w:eastAsia="zh-CN"/>
        </w:rPr>
        <w:t>加强整个联合国系统的开放、协作和主</w:t>
      </w:r>
      <w:r w:rsidRPr="000736BC">
        <w:rPr>
          <w:rFonts w:ascii="Calibri" w:hAnsi="Calibri" w:cs="Calibri" w:hint="eastAsia"/>
          <w:lang w:eastAsia="zh-CN"/>
        </w:rPr>
        <w:t>权数字实践。</w:t>
      </w:r>
    </w:p>
    <w:p w14:paraId="094200B2" w14:textId="410784C9" w:rsidR="00622881" w:rsidRPr="00713809"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cs="Calibri"/>
          <w:lang w:eastAsia="zh-CN"/>
        </w:rPr>
      </w:pPr>
      <w:r w:rsidRPr="000736BC">
        <w:rPr>
          <w:rFonts w:ascii="Calibri" w:hAnsi="Calibri" w:cs="Calibri"/>
          <w:lang w:val="zh-CN" w:eastAsia="zh-CN"/>
        </w:rPr>
        <w:t>此外，电信发展局</w:t>
      </w:r>
      <w:r w:rsidR="00B62732">
        <w:rPr>
          <w:rFonts w:ascii="Calibri" w:hAnsi="Calibri" w:cs="Calibri" w:hint="eastAsia"/>
          <w:lang w:val="zh-CN" w:eastAsia="zh-CN"/>
        </w:rPr>
        <w:t>还</w:t>
      </w:r>
      <w:r w:rsidRPr="000736BC">
        <w:rPr>
          <w:rFonts w:ascii="Calibri" w:hAnsi="Calibri" w:cs="Calibri"/>
          <w:lang w:val="zh-CN" w:eastAsia="zh-CN"/>
        </w:rPr>
        <w:t>继续通过</w:t>
      </w:r>
      <w:r w:rsidRPr="000736BC">
        <w:rPr>
          <w:rFonts w:ascii="Calibri" w:hAnsi="Calibri" w:cs="Calibri"/>
          <w:lang w:val="zh-CN" w:eastAsia="zh-CN"/>
        </w:rPr>
        <w:t>GenAIforGood</w:t>
      </w:r>
      <w:r w:rsidRPr="000736BC">
        <w:rPr>
          <w:rFonts w:ascii="Calibri" w:hAnsi="Calibri" w:cs="Calibri"/>
          <w:lang w:val="zh-CN" w:eastAsia="zh-CN"/>
        </w:rPr>
        <w:t>（多区域影响）</w:t>
      </w:r>
      <w:r w:rsidR="00B62732" w:rsidRPr="00675B8E">
        <w:rPr>
          <w:rFonts w:ascii="Calibri" w:hAnsi="Calibri" w:cs="Calibri" w:hint="eastAsia"/>
          <w:lang w:eastAsia="zh-CN"/>
        </w:rPr>
        <w:t>项目</w:t>
      </w:r>
      <w:r w:rsidRPr="000736BC">
        <w:rPr>
          <w:rFonts w:ascii="Calibri" w:hAnsi="Calibri" w:cs="Calibri"/>
          <w:lang w:val="zh-CN" w:eastAsia="zh-CN"/>
        </w:rPr>
        <w:t>推动</w:t>
      </w:r>
      <w:r w:rsidR="00B62732">
        <w:rPr>
          <w:rFonts w:ascii="Calibri" w:hAnsi="Calibri" w:cs="Calibri" w:hint="eastAsia"/>
          <w:lang w:val="zh-CN" w:eastAsia="zh-CN"/>
        </w:rPr>
        <w:t>聚焦</w:t>
      </w:r>
      <w:r w:rsidRPr="000736BC">
        <w:rPr>
          <w:rFonts w:ascii="Calibri" w:hAnsi="Calibri" w:cs="Calibri"/>
          <w:lang w:val="zh-CN" w:eastAsia="zh-CN"/>
        </w:rPr>
        <w:t>可持续发展目标的创新。</w:t>
      </w:r>
      <w:proofErr w:type="spellStart"/>
      <w:r w:rsidRPr="001B50CC">
        <w:rPr>
          <w:rFonts w:ascii="Calibri" w:hAnsi="Calibri" w:cs="Calibri"/>
          <w:lang w:eastAsia="zh-CN"/>
        </w:rPr>
        <w:t>GenAIforGood</w:t>
      </w:r>
      <w:proofErr w:type="spellEnd"/>
      <w:r w:rsidR="006A318B">
        <w:rPr>
          <w:rFonts w:ascii="Calibri" w:hAnsi="Calibri" w:cs="Calibri" w:hint="eastAsia"/>
          <w:lang w:eastAsia="zh-CN"/>
        </w:rPr>
        <w:t>项目</w:t>
      </w:r>
      <w:r w:rsidR="006A318B" w:rsidRPr="00675B8E">
        <w:rPr>
          <w:rFonts w:ascii="Calibri" w:hAnsi="Calibri" w:cs="Calibri" w:hint="eastAsia"/>
          <w:lang w:eastAsia="zh-CN"/>
        </w:rPr>
        <w:t>已</w:t>
      </w:r>
      <w:r w:rsidR="006A318B">
        <w:rPr>
          <w:rFonts w:ascii="Calibri" w:hAnsi="Calibri" w:cs="Calibri" w:hint="eastAsia"/>
          <w:lang w:eastAsia="zh-CN"/>
        </w:rPr>
        <w:t>在各国</w:t>
      </w:r>
      <w:r w:rsidR="006A318B" w:rsidRPr="00675B8E">
        <w:rPr>
          <w:rFonts w:ascii="Calibri" w:hAnsi="Calibri" w:cs="Calibri" w:hint="eastAsia"/>
          <w:lang w:eastAsia="zh-CN"/>
        </w:rPr>
        <w:t>取得</w:t>
      </w:r>
      <w:r w:rsidR="006A318B">
        <w:rPr>
          <w:rFonts w:ascii="Calibri" w:hAnsi="Calibri" w:cs="Calibri" w:hint="eastAsia"/>
          <w:lang w:eastAsia="zh-CN"/>
        </w:rPr>
        <w:t>了</w:t>
      </w:r>
      <w:r w:rsidR="006A318B" w:rsidRPr="00675B8E">
        <w:rPr>
          <w:rFonts w:ascii="Calibri" w:hAnsi="Calibri" w:cs="Calibri" w:hint="eastAsia"/>
          <w:lang w:eastAsia="zh-CN"/>
        </w:rPr>
        <w:t>实质性</w:t>
      </w:r>
      <w:r w:rsidRPr="000736BC">
        <w:rPr>
          <w:rFonts w:ascii="Calibri" w:hAnsi="Calibri" w:cs="Calibri"/>
          <w:lang w:val="zh-CN" w:eastAsia="zh-CN"/>
        </w:rPr>
        <w:t>进展，</w:t>
      </w:r>
      <w:r>
        <w:rPr>
          <w:rFonts w:ascii="Calibri" w:hAnsi="Calibri" w:cs="Calibri" w:hint="eastAsia"/>
          <w:lang w:val="zh-CN" w:eastAsia="zh-CN"/>
        </w:rPr>
        <w:t>形成了契合</w:t>
      </w:r>
      <w:r w:rsidRPr="000736BC">
        <w:rPr>
          <w:rFonts w:ascii="Calibri" w:hAnsi="Calibri" w:cs="Calibri"/>
          <w:lang w:val="zh-CN" w:eastAsia="zh-CN"/>
        </w:rPr>
        <w:t>可持续发展目标的具体国家用例：</w:t>
      </w:r>
    </w:p>
    <w:p w14:paraId="44216037" w14:textId="587DF972" w:rsidR="00622881" w:rsidRPr="00713809" w:rsidRDefault="00622881" w:rsidP="00BB475A">
      <w:pPr>
        <w:numPr>
          <w:ilvl w:val="0"/>
          <w:numId w:val="7"/>
        </w:numPr>
        <w:tabs>
          <w:tab w:val="clear" w:pos="873"/>
          <w:tab w:val="clear" w:pos="1871"/>
          <w:tab w:val="clear" w:pos="2268"/>
          <w:tab w:val="left" w:pos="1588"/>
          <w:tab w:val="left" w:pos="1985"/>
        </w:tabs>
        <w:spacing w:before="80"/>
        <w:ind w:left="1134" w:hanging="1134"/>
        <w:jc w:val="both"/>
        <w:rPr>
          <w:rFonts w:ascii="Calibri" w:hAnsi="Calibri" w:cs="Calibri"/>
          <w:lang w:eastAsia="zh-CN"/>
        </w:rPr>
      </w:pPr>
      <w:r w:rsidRPr="00713809">
        <w:rPr>
          <w:rFonts w:ascii="Calibri" w:hAnsi="Calibri" w:cs="Calibri" w:hint="eastAsia"/>
          <w:lang w:eastAsia="zh-CN"/>
        </w:rPr>
        <w:t>冈比亚（卫生）</w:t>
      </w:r>
      <w:r w:rsidRPr="00713809">
        <w:rPr>
          <w:rFonts w:ascii="Calibri" w:hAnsi="Calibri" w:cs="Calibri"/>
          <w:lang w:eastAsia="zh-CN"/>
        </w:rPr>
        <w:t xml:space="preserve">– </w:t>
      </w:r>
      <w:r w:rsidRPr="00713809">
        <w:rPr>
          <w:rFonts w:ascii="Calibri" w:hAnsi="Calibri" w:cs="Calibri" w:hint="eastAsia"/>
          <w:lang w:eastAsia="zh-CN"/>
        </w:rPr>
        <w:t>支持非传染性疾病</w:t>
      </w:r>
      <w:r w:rsidR="006A318B">
        <w:rPr>
          <w:rFonts w:ascii="Calibri" w:hAnsi="Calibri" w:cs="Calibri" w:hint="eastAsia"/>
          <w:lang w:eastAsia="zh-CN"/>
        </w:rPr>
        <w:t>的</w:t>
      </w:r>
      <w:r w:rsidR="006A318B" w:rsidRPr="000714B7">
        <w:rPr>
          <w:rFonts w:ascii="Calibri" w:hAnsi="Calibri" w:cs="Calibri" w:hint="eastAsia"/>
          <w:lang w:eastAsia="zh-CN"/>
        </w:rPr>
        <w:t>预防</w:t>
      </w:r>
    </w:p>
    <w:p w14:paraId="4F74F69F" w14:textId="72D5E9EE" w:rsidR="00622881" w:rsidRPr="00713809" w:rsidRDefault="00622881" w:rsidP="00BB475A">
      <w:pPr>
        <w:numPr>
          <w:ilvl w:val="0"/>
          <w:numId w:val="7"/>
        </w:numPr>
        <w:tabs>
          <w:tab w:val="clear" w:pos="873"/>
          <w:tab w:val="clear" w:pos="1871"/>
          <w:tab w:val="clear" w:pos="2268"/>
          <w:tab w:val="left" w:pos="1588"/>
          <w:tab w:val="left" w:pos="1985"/>
        </w:tabs>
        <w:spacing w:before="80"/>
        <w:ind w:left="1134" w:hanging="1134"/>
        <w:jc w:val="both"/>
        <w:rPr>
          <w:rFonts w:ascii="Calibri" w:hAnsi="Calibri" w:cs="Calibri"/>
          <w:lang w:eastAsia="zh-CN"/>
        </w:rPr>
      </w:pPr>
      <w:r w:rsidRPr="00713809">
        <w:rPr>
          <w:rFonts w:ascii="Calibri" w:hAnsi="Calibri" w:cs="Calibri" w:hint="eastAsia"/>
          <w:lang w:eastAsia="zh-CN"/>
        </w:rPr>
        <w:t>孟加拉</w:t>
      </w:r>
      <w:r w:rsidR="000060B7">
        <w:rPr>
          <w:rFonts w:ascii="Calibri" w:hAnsi="Calibri" w:cs="Calibri" w:hint="eastAsia"/>
          <w:lang w:eastAsia="zh-CN"/>
        </w:rPr>
        <w:t>国</w:t>
      </w:r>
      <w:r w:rsidRPr="00713809">
        <w:rPr>
          <w:rFonts w:ascii="Calibri" w:hAnsi="Calibri" w:cs="Calibri" w:hint="eastAsia"/>
          <w:lang w:eastAsia="zh-CN"/>
        </w:rPr>
        <w:t>（气候）</w:t>
      </w:r>
      <w:r w:rsidRPr="00713809">
        <w:rPr>
          <w:rFonts w:ascii="Calibri" w:hAnsi="Calibri" w:cs="Calibri"/>
          <w:lang w:eastAsia="zh-CN"/>
        </w:rPr>
        <w:t xml:space="preserve">– </w:t>
      </w:r>
      <w:r w:rsidRPr="00713809">
        <w:rPr>
          <w:rFonts w:ascii="Calibri" w:hAnsi="Calibri" w:cs="Calibri" w:hint="eastAsia"/>
          <w:lang w:eastAsia="zh-CN"/>
        </w:rPr>
        <w:t>增强气候</w:t>
      </w:r>
      <w:r>
        <w:rPr>
          <w:rFonts w:ascii="Calibri" w:hAnsi="Calibri" w:cs="Calibri" w:hint="eastAsia"/>
          <w:lang w:eastAsia="zh-CN"/>
        </w:rPr>
        <w:t>复原力</w:t>
      </w:r>
      <w:r w:rsidRPr="00713809">
        <w:rPr>
          <w:rFonts w:ascii="Calibri" w:hAnsi="Calibri" w:cs="Calibri" w:hint="eastAsia"/>
          <w:lang w:eastAsia="zh-CN"/>
        </w:rPr>
        <w:t>和</w:t>
      </w:r>
      <w:r>
        <w:rPr>
          <w:rFonts w:ascii="Calibri" w:hAnsi="Calibri" w:cs="Calibri" w:hint="eastAsia"/>
          <w:lang w:eastAsia="zh-CN"/>
        </w:rPr>
        <w:t>早期</w:t>
      </w:r>
      <w:r w:rsidRPr="00713809">
        <w:rPr>
          <w:rFonts w:ascii="Calibri" w:hAnsi="Calibri" w:cs="Calibri" w:hint="eastAsia"/>
          <w:lang w:eastAsia="zh-CN"/>
        </w:rPr>
        <w:t>预警能力</w:t>
      </w:r>
    </w:p>
    <w:p w14:paraId="55260707" w14:textId="77777777" w:rsidR="00622881" w:rsidRPr="00713809" w:rsidRDefault="00622881" w:rsidP="00BB475A">
      <w:pPr>
        <w:numPr>
          <w:ilvl w:val="0"/>
          <w:numId w:val="7"/>
        </w:numPr>
        <w:tabs>
          <w:tab w:val="clear" w:pos="873"/>
          <w:tab w:val="clear" w:pos="1871"/>
          <w:tab w:val="clear" w:pos="2268"/>
          <w:tab w:val="left" w:pos="1588"/>
          <w:tab w:val="left" w:pos="1985"/>
        </w:tabs>
        <w:spacing w:before="80"/>
        <w:ind w:left="1134" w:hanging="1134"/>
        <w:jc w:val="both"/>
        <w:rPr>
          <w:rFonts w:ascii="Calibri" w:hAnsi="Calibri" w:cs="Calibri"/>
          <w:lang w:eastAsia="zh-CN"/>
        </w:rPr>
      </w:pPr>
      <w:r w:rsidRPr="00713809">
        <w:rPr>
          <w:rFonts w:ascii="Calibri" w:hAnsi="Calibri" w:cs="Calibri" w:hint="eastAsia"/>
          <w:lang w:eastAsia="zh-CN"/>
        </w:rPr>
        <w:t>莱索托（农业）</w:t>
      </w:r>
      <w:r w:rsidRPr="00713809">
        <w:rPr>
          <w:rFonts w:ascii="Calibri" w:hAnsi="Calibri" w:cs="Calibri"/>
          <w:lang w:eastAsia="zh-CN"/>
        </w:rPr>
        <w:t xml:space="preserve">– </w:t>
      </w:r>
      <w:r w:rsidRPr="00713809">
        <w:rPr>
          <w:rFonts w:ascii="Calibri" w:hAnsi="Calibri" w:cs="Calibri" w:hint="eastAsia"/>
          <w:lang w:eastAsia="zh-CN"/>
        </w:rPr>
        <w:t>为小农户提供咨询服务</w:t>
      </w:r>
    </w:p>
    <w:p w14:paraId="2EE88C82" w14:textId="73D76FDD" w:rsidR="00622881"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cs="Calibri"/>
          <w:lang w:val="en-US" w:eastAsia="zh-CN"/>
        </w:rPr>
      </w:pPr>
      <w:r w:rsidRPr="000736BC">
        <w:rPr>
          <w:rFonts w:ascii="Calibri" w:hAnsi="Calibri" w:cs="Calibri"/>
          <w:lang w:val="zh-CN" w:eastAsia="zh-CN"/>
        </w:rPr>
        <w:t>该举措动员</w:t>
      </w:r>
      <w:r>
        <w:rPr>
          <w:rFonts w:ascii="Calibri" w:hAnsi="Calibri" w:cs="Calibri" w:hint="eastAsia"/>
          <w:lang w:val="zh-CN" w:eastAsia="zh-CN"/>
        </w:rPr>
        <w:t>了</w:t>
      </w:r>
      <w:r w:rsidRPr="000736BC">
        <w:rPr>
          <w:rFonts w:ascii="Calibri" w:hAnsi="Calibri" w:cs="Calibri"/>
          <w:lang w:val="zh-CN" w:eastAsia="zh-CN"/>
        </w:rPr>
        <w:t>全球创新，</w:t>
      </w:r>
      <w:r w:rsidR="006A318B" w:rsidRPr="00675B8E">
        <w:rPr>
          <w:rFonts w:ascii="Calibri" w:hAnsi="Calibri" w:cs="Calibri" w:hint="eastAsia"/>
          <w:lang w:eastAsia="zh-CN"/>
        </w:rPr>
        <w:t>旨在</w:t>
      </w:r>
      <w:r w:rsidRPr="000736BC">
        <w:rPr>
          <w:rFonts w:ascii="Calibri" w:hAnsi="Calibri" w:cs="Calibri"/>
          <w:lang w:val="zh-CN" w:eastAsia="zh-CN"/>
        </w:rPr>
        <w:t>实现可部署的包容性</w:t>
      </w:r>
      <w:r w:rsidRPr="000736BC">
        <w:rPr>
          <w:rFonts w:ascii="Calibri" w:hAnsi="Calibri" w:cs="Calibri"/>
          <w:lang w:val="zh-CN" w:eastAsia="zh-CN"/>
        </w:rPr>
        <w:t>DPI</w:t>
      </w:r>
      <w:r w:rsidRPr="000736BC">
        <w:rPr>
          <w:rFonts w:ascii="Calibri" w:hAnsi="Calibri" w:cs="Calibri"/>
          <w:lang w:val="zh-CN" w:eastAsia="zh-CN"/>
        </w:rPr>
        <w:t>解决方案。</w:t>
      </w:r>
    </w:p>
    <w:p w14:paraId="2A631F76" w14:textId="0ECC1EDA" w:rsidR="00622881"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cs="Calibri"/>
          <w:lang w:val="en-US" w:eastAsia="zh-CN"/>
        </w:rPr>
      </w:pPr>
      <w:r w:rsidRPr="000736BC">
        <w:rPr>
          <w:rFonts w:ascii="Calibri" w:hAnsi="Calibri" w:cs="Calibri" w:hint="eastAsia"/>
          <w:lang w:eastAsia="zh-CN"/>
        </w:rPr>
        <w:t>电信发展局发布了</w:t>
      </w:r>
      <w:r w:rsidRPr="000736BC">
        <w:rPr>
          <w:rFonts w:ascii="Calibri" w:hAnsi="Calibri" w:cs="Calibri" w:hint="eastAsia"/>
          <w:lang w:eastAsia="zh-CN"/>
        </w:rPr>
        <w:t>GENIE</w:t>
      </w:r>
      <w:r>
        <w:rPr>
          <w:rFonts w:ascii="Calibri" w:hAnsi="Calibri" w:cs="Calibri" w:hint="eastAsia"/>
          <w:lang w:eastAsia="zh-CN"/>
        </w:rPr>
        <w:t>.AI</w:t>
      </w:r>
      <w:r>
        <w:rPr>
          <w:rFonts w:ascii="Calibri" w:hAnsi="Calibri" w:cs="Calibri" w:hint="eastAsia"/>
          <w:lang w:eastAsia="zh-CN"/>
        </w:rPr>
        <w:t>，这</w:t>
      </w:r>
      <w:r w:rsidRPr="000736BC">
        <w:rPr>
          <w:rFonts w:ascii="Calibri" w:hAnsi="Calibri" w:cs="Calibri" w:hint="eastAsia"/>
          <w:lang w:eastAsia="zh-CN"/>
        </w:rPr>
        <w:t>是</w:t>
      </w:r>
      <w:proofErr w:type="spellStart"/>
      <w:r w:rsidRPr="000736BC">
        <w:rPr>
          <w:rFonts w:ascii="Calibri" w:hAnsi="Calibri" w:cs="Calibri" w:hint="eastAsia"/>
          <w:lang w:eastAsia="zh-CN"/>
        </w:rPr>
        <w:t>GovStack</w:t>
      </w:r>
      <w:proofErr w:type="spellEnd"/>
      <w:r w:rsidRPr="000736BC">
        <w:rPr>
          <w:rFonts w:ascii="Calibri" w:hAnsi="Calibri" w:cs="Calibri" w:hint="eastAsia"/>
          <w:lang w:eastAsia="zh-CN"/>
        </w:rPr>
        <w:t>生态系统中</w:t>
      </w:r>
      <w:r>
        <w:rPr>
          <w:rFonts w:ascii="Calibri" w:hAnsi="Calibri" w:cs="Calibri" w:hint="eastAsia"/>
          <w:lang w:eastAsia="zh-CN"/>
        </w:rPr>
        <w:t>首个</w:t>
      </w:r>
      <w:r w:rsidRPr="000736BC">
        <w:rPr>
          <w:rFonts w:ascii="Calibri" w:hAnsi="Calibri" w:cs="Calibri" w:hint="eastAsia"/>
          <w:lang w:eastAsia="zh-CN"/>
        </w:rPr>
        <w:t>开源生成式人工智能</w:t>
      </w:r>
      <w:r w:rsidRPr="000736BC">
        <w:rPr>
          <w:rFonts w:ascii="Calibri" w:hAnsi="Calibri" w:cs="Calibri" w:hint="eastAsia"/>
          <w:lang w:eastAsia="zh-CN"/>
        </w:rPr>
        <w:t>DPI</w:t>
      </w:r>
      <w:r w:rsidRPr="000736BC">
        <w:rPr>
          <w:rFonts w:ascii="Calibri" w:hAnsi="Calibri" w:cs="Calibri" w:hint="eastAsia"/>
          <w:lang w:eastAsia="zh-CN"/>
        </w:rPr>
        <w:t>组件，</w:t>
      </w:r>
      <w:r w:rsidR="006A318B" w:rsidRPr="006A318B">
        <w:rPr>
          <w:rFonts w:ascii="Calibri" w:hAnsi="Calibri" w:cs="Calibri" w:hint="eastAsia"/>
          <w:lang w:val="en-US" w:eastAsia="zh-CN"/>
        </w:rPr>
        <w:t>旨在助力</w:t>
      </w:r>
      <w:r w:rsidRPr="000736BC">
        <w:rPr>
          <w:rFonts w:ascii="Calibri" w:hAnsi="Calibri" w:cs="Calibri" w:hint="eastAsia"/>
          <w:lang w:eastAsia="zh-CN"/>
        </w:rPr>
        <w:t>各国</w:t>
      </w:r>
      <w:r w:rsidR="006A318B">
        <w:rPr>
          <w:rFonts w:ascii="Calibri" w:hAnsi="Calibri" w:cs="Calibri" w:hint="eastAsia"/>
          <w:lang w:eastAsia="zh-CN"/>
        </w:rPr>
        <w:t>为</w:t>
      </w:r>
      <w:r w:rsidRPr="000736BC">
        <w:rPr>
          <w:rFonts w:ascii="Calibri" w:hAnsi="Calibri" w:cs="Calibri" w:hint="eastAsia"/>
          <w:lang w:eastAsia="zh-CN"/>
        </w:rPr>
        <w:t>公共服务部署主权</w:t>
      </w:r>
      <w:r w:rsidR="006A318B">
        <w:rPr>
          <w:rFonts w:ascii="Calibri" w:hAnsi="Calibri" w:cs="Calibri" w:hint="eastAsia"/>
          <w:lang w:eastAsia="zh-CN"/>
        </w:rPr>
        <w:t>且</w:t>
      </w:r>
      <w:r w:rsidRPr="000736BC">
        <w:rPr>
          <w:rFonts w:ascii="Calibri" w:hAnsi="Calibri" w:cs="Calibri" w:hint="eastAsia"/>
          <w:lang w:eastAsia="zh-CN"/>
        </w:rPr>
        <w:t>负责任的人工智能解决方案。目前</w:t>
      </w:r>
      <w:r>
        <w:rPr>
          <w:rFonts w:ascii="Calibri" w:hAnsi="Calibri" w:cs="Calibri" w:hint="eastAsia"/>
          <w:lang w:eastAsia="zh-CN"/>
        </w:rPr>
        <w:t>，其初步原型</w:t>
      </w:r>
      <w:r w:rsidRPr="000736BC">
        <w:rPr>
          <w:rFonts w:ascii="Calibri" w:hAnsi="Calibri" w:cs="Calibri" w:hint="eastAsia"/>
          <w:lang w:eastAsia="zh-CN"/>
        </w:rPr>
        <w:t>正在肯尼亚、莱索托和萨尔瓦多实施，展示</w:t>
      </w:r>
      <w:r>
        <w:rPr>
          <w:rFonts w:ascii="Calibri" w:hAnsi="Calibri" w:cs="Calibri" w:hint="eastAsia"/>
          <w:lang w:eastAsia="zh-CN"/>
        </w:rPr>
        <w:t>了</w:t>
      </w:r>
      <w:r w:rsidRPr="000736BC">
        <w:rPr>
          <w:rFonts w:ascii="Calibri" w:hAnsi="Calibri" w:cs="Calibri" w:hint="eastAsia"/>
          <w:lang w:eastAsia="zh-CN"/>
        </w:rPr>
        <w:t>包容性和值得信赖的数字公共服务在现实世界中的应用。</w:t>
      </w:r>
    </w:p>
    <w:p w14:paraId="37BAA93D" w14:textId="6B46D1E7" w:rsidR="00622881"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cs="Calibri"/>
          <w:lang w:eastAsia="zh-CN"/>
        </w:rPr>
      </w:pPr>
      <w:r w:rsidRPr="000736BC">
        <w:rPr>
          <w:rFonts w:ascii="Calibri" w:hAnsi="Calibri" w:cs="Calibri" w:hint="eastAsia"/>
          <w:lang w:eastAsia="zh-CN"/>
        </w:rPr>
        <w:t>其他活动</w:t>
      </w:r>
      <w:r w:rsidR="006A318B">
        <w:rPr>
          <w:rFonts w:ascii="Calibri" w:hAnsi="Calibri" w:cs="Calibri" w:hint="eastAsia"/>
          <w:lang w:eastAsia="zh-CN"/>
        </w:rPr>
        <w:t>还</w:t>
      </w:r>
      <w:r w:rsidRPr="000736BC">
        <w:rPr>
          <w:rFonts w:ascii="Calibri" w:hAnsi="Calibri" w:cs="Calibri" w:hint="eastAsia"/>
          <w:lang w:eastAsia="zh-CN"/>
        </w:rPr>
        <w:t>包括通过政策</w:t>
      </w:r>
      <w:r w:rsidR="006A318B" w:rsidRPr="006A318B">
        <w:rPr>
          <w:rFonts w:ascii="Calibri" w:hAnsi="Calibri" w:cs="Calibri" w:hint="eastAsia"/>
          <w:lang w:val="en-US" w:eastAsia="zh-CN"/>
        </w:rPr>
        <w:t>咨询</w:t>
      </w:r>
      <w:r w:rsidRPr="000736BC">
        <w:rPr>
          <w:rFonts w:ascii="Calibri" w:hAnsi="Calibri" w:cs="Calibri" w:hint="eastAsia"/>
          <w:lang w:eastAsia="zh-CN"/>
        </w:rPr>
        <w:t>、能力建设和技术部署的综合交付</w:t>
      </w:r>
      <w:r w:rsidR="006A318B">
        <w:rPr>
          <w:rFonts w:ascii="Calibri" w:hAnsi="Calibri" w:cs="Calibri" w:hint="eastAsia"/>
          <w:lang w:eastAsia="zh-CN"/>
        </w:rPr>
        <w:t>，</w:t>
      </w:r>
      <w:r w:rsidRPr="000736BC">
        <w:rPr>
          <w:rFonts w:ascii="Calibri" w:hAnsi="Calibri" w:cs="Calibri" w:hint="eastAsia"/>
          <w:lang w:eastAsia="zh-CN"/>
        </w:rPr>
        <w:t>加强数字化转型的</w:t>
      </w:r>
      <w:r w:rsidRPr="0039501C">
        <w:rPr>
          <w:rFonts w:ascii="Calibri" w:hAnsi="Calibri" w:cs="Calibri" w:hint="eastAsia"/>
          <w:lang w:eastAsia="zh-CN"/>
        </w:rPr>
        <w:t>项目</w:t>
      </w:r>
      <w:r w:rsidR="006A318B" w:rsidRPr="006A318B">
        <w:rPr>
          <w:rFonts w:ascii="Calibri" w:hAnsi="Calibri" w:cs="Calibri" w:hint="eastAsia"/>
          <w:lang w:val="en-US" w:eastAsia="zh-CN"/>
        </w:rPr>
        <w:t>化路径</w:t>
      </w:r>
      <w:r w:rsidRPr="000736BC">
        <w:rPr>
          <w:rFonts w:ascii="Calibri" w:hAnsi="Calibri" w:cs="Calibri" w:hint="eastAsia"/>
          <w:lang w:eastAsia="zh-CN"/>
        </w:rPr>
        <w:t>，将国际电联定位为开放、可互操作和</w:t>
      </w:r>
      <w:proofErr w:type="gramStart"/>
      <w:r w:rsidRPr="000736BC">
        <w:rPr>
          <w:rFonts w:ascii="Calibri" w:hAnsi="Calibri" w:cs="Calibri" w:hint="eastAsia"/>
          <w:lang w:eastAsia="zh-CN"/>
        </w:rPr>
        <w:t>可</w:t>
      </w:r>
      <w:proofErr w:type="gramEnd"/>
      <w:r w:rsidRPr="000736BC">
        <w:rPr>
          <w:rFonts w:ascii="Calibri" w:hAnsi="Calibri" w:cs="Calibri" w:hint="eastAsia"/>
          <w:lang w:eastAsia="zh-CN"/>
        </w:rPr>
        <w:t>扩展</w:t>
      </w:r>
      <w:r w:rsidRPr="000736BC">
        <w:rPr>
          <w:rFonts w:ascii="Calibri" w:hAnsi="Calibri" w:cs="Calibri" w:hint="eastAsia"/>
          <w:lang w:eastAsia="zh-CN"/>
        </w:rPr>
        <w:t>DPI</w:t>
      </w:r>
      <w:r w:rsidRPr="000736BC">
        <w:rPr>
          <w:rFonts w:ascii="Calibri" w:hAnsi="Calibri" w:cs="Calibri" w:hint="eastAsia"/>
          <w:lang w:eastAsia="zh-CN"/>
        </w:rPr>
        <w:t>生态系统的主要推动者，为</w:t>
      </w:r>
      <w:r w:rsidR="006A318B" w:rsidRPr="006A318B">
        <w:rPr>
          <w:rFonts w:ascii="Calibri" w:hAnsi="Calibri" w:cs="Calibri" w:hint="eastAsia"/>
          <w:lang w:val="en-US" w:eastAsia="zh-CN"/>
        </w:rPr>
        <w:t>提升数字包容性、增强国家自主权及实现</w:t>
      </w:r>
      <w:r w:rsidRPr="000736BC">
        <w:rPr>
          <w:rFonts w:ascii="Calibri" w:hAnsi="Calibri" w:cs="Calibri" w:hint="eastAsia"/>
          <w:lang w:eastAsia="zh-CN"/>
        </w:rPr>
        <w:t>长期可持续性做出直接贡献。</w:t>
      </w:r>
    </w:p>
    <w:p w14:paraId="0EFB6BEB" w14:textId="77777777" w:rsidR="00622881" w:rsidRPr="001B50CC" w:rsidRDefault="00622881" w:rsidP="00BB475A">
      <w:pPr>
        <w:keepNext/>
        <w:keepLines/>
        <w:tabs>
          <w:tab w:val="clear" w:pos="1134"/>
          <w:tab w:val="clear" w:pos="1871"/>
          <w:tab w:val="clear" w:pos="2268"/>
          <w:tab w:val="left" w:pos="794"/>
          <w:tab w:val="left" w:pos="1191"/>
          <w:tab w:val="left" w:pos="1588"/>
          <w:tab w:val="left" w:pos="1985"/>
        </w:tabs>
        <w:outlineLvl w:val="2"/>
        <w:rPr>
          <w:rFonts w:ascii="Calibri" w:hAnsi="Calibri" w:cs="Calibri"/>
          <w:b/>
          <w:bCs/>
          <w:color w:val="000000"/>
          <w:szCs w:val="24"/>
          <w:lang w:eastAsia="zh-CN"/>
        </w:rPr>
      </w:pPr>
      <w:r>
        <w:rPr>
          <w:rFonts w:ascii="Calibri" w:hAnsi="Calibri" w:cs="Calibri" w:hint="eastAsia"/>
          <w:b/>
          <w:bCs/>
          <w:color w:val="000000"/>
          <w:szCs w:val="24"/>
          <w:lang w:eastAsia="zh-CN"/>
        </w:rPr>
        <w:t>能力开发</w:t>
      </w:r>
    </w:p>
    <w:p w14:paraId="5E67D948" w14:textId="16EF6BBA" w:rsidR="00622881" w:rsidRPr="000736BC"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cs="Calibri"/>
          <w:lang w:eastAsia="zh-CN"/>
        </w:rPr>
      </w:pPr>
      <w:r w:rsidRPr="000736BC">
        <w:rPr>
          <w:rFonts w:ascii="Calibri" w:hAnsi="Calibri" w:cs="Calibri" w:hint="eastAsia"/>
          <w:lang w:eastAsia="zh-CN"/>
        </w:rPr>
        <w:t>继</w:t>
      </w:r>
      <w:r w:rsidRPr="000736BC">
        <w:rPr>
          <w:rFonts w:ascii="Calibri" w:hAnsi="Calibri" w:cs="Calibri" w:hint="eastAsia"/>
          <w:lang w:eastAsia="zh-CN"/>
        </w:rPr>
        <w:t>2024</w:t>
      </w:r>
      <w:r w:rsidRPr="000736BC">
        <w:rPr>
          <w:rFonts w:ascii="Calibri" w:hAnsi="Calibri" w:cs="Calibri" w:hint="eastAsia"/>
          <w:lang w:eastAsia="zh-CN"/>
        </w:rPr>
        <w:t>年推出数字技能工具包后，</w:t>
      </w:r>
      <w:r w:rsidRPr="000736BC">
        <w:rPr>
          <w:rFonts w:ascii="Calibri" w:hAnsi="Calibri" w:cs="Calibri" w:hint="eastAsia"/>
          <w:lang w:eastAsia="zh-CN"/>
        </w:rPr>
        <w:t>3</w:t>
      </w:r>
      <w:r w:rsidRPr="000736BC">
        <w:rPr>
          <w:rFonts w:ascii="Calibri" w:hAnsi="Calibri" w:cs="Calibri" w:hint="eastAsia"/>
          <w:lang w:eastAsia="zh-CN"/>
        </w:rPr>
        <w:t>月</w:t>
      </w:r>
      <w:r w:rsidRPr="000736BC">
        <w:rPr>
          <w:rFonts w:ascii="Calibri" w:hAnsi="Calibri" w:cs="Calibri" w:hint="eastAsia"/>
          <w:lang w:eastAsia="zh-CN"/>
        </w:rPr>
        <w:t>19</w:t>
      </w:r>
      <w:r w:rsidRPr="000736BC">
        <w:rPr>
          <w:rFonts w:ascii="Calibri" w:hAnsi="Calibri" w:cs="Calibri" w:hint="eastAsia"/>
          <w:lang w:eastAsia="zh-CN"/>
        </w:rPr>
        <w:t>日，即</w:t>
      </w:r>
      <w:r w:rsidR="006045BF">
        <w:rPr>
          <w:rFonts w:ascii="Calibri" w:hAnsi="Calibri" w:cs="Calibri" w:hint="eastAsia"/>
          <w:lang w:eastAsia="zh-CN"/>
        </w:rPr>
        <w:t>在</w:t>
      </w:r>
      <w:r w:rsidRPr="000736BC">
        <w:rPr>
          <w:rFonts w:ascii="Calibri" w:hAnsi="Calibri" w:cs="Calibri" w:hint="eastAsia"/>
          <w:lang w:eastAsia="zh-CN"/>
        </w:rPr>
        <w:t>国际教育日</w:t>
      </w:r>
      <w:r w:rsidR="006045BF">
        <w:rPr>
          <w:rFonts w:ascii="Calibri" w:hAnsi="Calibri" w:cs="Calibri" w:hint="eastAsia"/>
          <w:lang w:eastAsia="zh-CN"/>
        </w:rPr>
        <w:t>这一天</w:t>
      </w:r>
      <w:r w:rsidRPr="000736BC">
        <w:rPr>
          <w:rFonts w:ascii="Calibri" w:hAnsi="Calibri" w:cs="Calibri" w:hint="eastAsia"/>
          <w:lang w:eastAsia="zh-CN"/>
        </w:rPr>
        <w:t>，</w:t>
      </w:r>
      <w:r w:rsidR="006045BF">
        <w:rPr>
          <w:rFonts w:ascii="Calibri" w:hAnsi="Calibri" w:cs="Calibri" w:hint="eastAsia"/>
          <w:lang w:eastAsia="zh-CN"/>
        </w:rPr>
        <w:t>正式</w:t>
      </w:r>
      <w:r w:rsidRPr="000736BC">
        <w:rPr>
          <w:rFonts w:ascii="Calibri" w:hAnsi="Calibri" w:cs="Calibri" w:hint="eastAsia"/>
          <w:lang w:eastAsia="zh-CN"/>
        </w:rPr>
        <w:t>推出了帮助</w:t>
      </w:r>
      <w:r w:rsidR="006045BF" w:rsidRPr="000736BC">
        <w:rPr>
          <w:rFonts w:ascii="Calibri" w:hAnsi="Calibri" w:cs="Calibri" w:hint="eastAsia"/>
          <w:lang w:eastAsia="zh-CN"/>
        </w:rPr>
        <w:t>学员</w:t>
      </w:r>
      <w:r w:rsidRPr="000736BC">
        <w:rPr>
          <w:rFonts w:ascii="Calibri" w:hAnsi="Calibri" w:cs="Calibri" w:hint="eastAsia"/>
          <w:lang w:eastAsia="zh-CN"/>
        </w:rPr>
        <w:t>将工具包建议付诸实践的电子学习课程。</w:t>
      </w:r>
    </w:p>
    <w:p w14:paraId="510780DD" w14:textId="2630E666" w:rsidR="00622881" w:rsidRPr="001B50CC"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cs="Calibri"/>
          <w:lang w:eastAsia="zh-CN"/>
        </w:rPr>
      </w:pPr>
      <w:r w:rsidRPr="00713809">
        <w:rPr>
          <w:rFonts w:ascii="Calibri" w:hAnsi="Calibri" w:cs="Calibri" w:hint="eastAsia"/>
          <w:b/>
          <w:bCs/>
          <w:lang w:eastAsia="zh-CN"/>
        </w:rPr>
        <w:t>在非洲地区，</w:t>
      </w:r>
      <w:r w:rsidRPr="000736BC">
        <w:rPr>
          <w:rFonts w:ascii="Calibri" w:hAnsi="Calibri" w:cs="Calibri" w:hint="eastAsia"/>
          <w:lang w:eastAsia="zh-CN"/>
        </w:rPr>
        <w:t>电信发展局、</w:t>
      </w:r>
      <w:r w:rsidRPr="000736BC">
        <w:rPr>
          <w:rFonts w:ascii="Calibri" w:hAnsi="Calibri" w:cs="Calibri" w:hint="eastAsia"/>
          <w:lang w:eastAsia="zh-CN"/>
        </w:rPr>
        <w:t>APC</w:t>
      </w:r>
      <w:r w:rsidRPr="000736BC">
        <w:rPr>
          <w:rFonts w:ascii="Calibri" w:hAnsi="Calibri" w:cs="Calibri" w:hint="eastAsia"/>
          <w:lang w:eastAsia="zh-CN"/>
        </w:rPr>
        <w:t>和</w:t>
      </w:r>
      <w:proofErr w:type="spellStart"/>
      <w:r w:rsidRPr="000736BC">
        <w:rPr>
          <w:rFonts w:ascii="Calibri" w:hAnsi="Calibri" w:cs="Calibri" w:hint="eastAsia"/>
          <w:lang w:eastAsia="zh-CN"/>
        </w:rPr>
        <w:t>Rhizomatica</w:t>
      </w:r>
      <w:proofErr w:type="spellEnd"/>
      <w:r w:rsidRPr="000736BC">
        <w:rPr>
          <w:rFonts w:ascii="Calibri" w:hAnsi="Calibri" w:cs="Calibri" w:hint="eastAsia"/>
          <w:lang w:eastAsia="zh-CN"/>
        </w:rPr>
        <w:t>于</w:t>
      </w:r>
      <w:r w:rsidRPr="000736BC">
        <w:rPr>
          <w:rFonts w:ascii="Calibri" w:hAnsi="Calibri" w:cs="Calibri" w:hint="eastAsia"/>
          <w:lang w:eastAsia="zh-CN"/>
        </w:rPr>
        <w:t>2</w:t>
      </w:r>
      <w:r w:rsidRPr="000736BC">
        <w:rPr>
          <w:rFonts w:ascii="Calibri" w:hAnsi="Calibri" w:cs="Calibri" w:hint="eastAsia"/>
          <w:lang w:eastAsia="zh-CN"/>
        </w:rPr>
        <w:t>月在肯尼亚</w:t>
      </w:r>
      <w:r w:rsidR="006045BF" w:rsidRPr="006045BF">
        <w:rPr>
          <w:rFonts w:ascii="Calibri" w:hAnsi="Calibri" w:cs="Calibri" w:hint="eastAsia"/>
          <w:lang w:eastAsia="zh-CN"/>
        </w:rPr>
        <w:t>共同</w:t>
      </w:r>
      <w:r w:rsidRPr="000736BC">
        <w:rPr>
          <w:rFonts w:ascii="Calibri" w:hAnsi="Calibri" w:cs="Calibri" w:hint="eastAsia"/>
          <w:lang w:eastAsia="zh-CN"/>
        </w:rPr>
        <w:t>组织了</w:t>
      </w:r>
      <w:r w:rsidRPr="000736BC">
        <w:rPr>
          <w:rFonts w:ascii="Calibri" w:hAnsi="Calibri" w:cs="Calibri" w:hint="eastAsia"/>
          <w:lang w:eastAsia="zh-CN"/>
        </w:rPr>
        <w:t>ICT</w:t>
      </w:r>
      <w:r w:rsidRPr="000736BC">
        <w:rPr>
          <w:rFonts w:ascii="Calibri" w:hAnsi="Calibri" w:cs="Calibri" w:hint="eastAsia"/>
          <w:lang w:eastAsia="zh-CN"/>
        </w:rPr>
        <w:t>网络管理人员训练营。来自</w:t>
      </w:r>
      <w:r w:rsidRPr="000736BC">
        <w:rPr>
          <w:rFonts w:ascii="Calibri" w:hAnsi="Calibri" w:cs="Calibri" w:hint="eastAsia"/>
          <w:lang w:eastAsia="zh-CN"/>
        </w:rPr>
        <w:t>18</w:t>
      </w:r>
      <w:r w:rsidRPr="000736BC">
        <w:rPr>
          <w:rFonts w:ascii="Calibri" w:hAnsi="Calibri" w:cs="Calibri" w:hint="eastAsia"/>
          <w:lang w:eastAsia="zh-CN"/>
        </w:rPr>
        <w:t>个撒哈拉以南非洲国家的</w:t>
      </w:r>
      <w:r w:rsidRPr="000736BC">
        <w:rPr>
          <w:rFonts w:ascii="Calibri" w:hAnsi="Calibri" w:cs="Calibri" w:hint="eastAsia"/>
          <w:lang w:eastAsia="zh-CN"/>
        </w:rPr>
        <w:t>44</w:t>
      </w:r>
      <w:r w:rsidRPr="000736BC">
        <w:rPr>
          <w:rFonts w:ascii="Calibri" w:hAnsi="Calibri" w:cs="Calibri" w:hint="eastAsia"/>
          <w:lang w:eastAsia="zh-CN"/>
        </w:rPr>
        <w:t>名学员参加并完成了该项目。</w:t>
      </w:r>
      <w:r>
        <w:rPr>
          <w:rFonts w:ascii="Calibri" w:hAnsi="Calibri" w:cs="Calibri" w:hint="eastAsia"/>
          <w:lang w:eastAsia="zh-CN"/>
        </w:rPr>
        <w:t>该</w:t>
      </w:r>
      <w:r w:rsidRPr="000736BC">
        <w:rPr>
          <w:rFonts w:ascii="Calibri" w:hAnsi="Calibri" w:cs="Calibri" w:hint="eastAsia"/>
          <w:lang w:eastAsia="zh-CN"/>
        </w:rPr>
        <w:t>培训</w:t>
      </w:r>
      <w:r w:rsidR="009E4F19" w:rsidRPr="006045BF">
        <w:rPr>
          <w:rFonts w:ascii="Calibri" w:hAnsi="Calibri" w:cs="Calibri" w:hint="eastAsia"/>
          <w:lang w:eastAsia="zh-CN"/>
        </w:rPr>
        <w:t>强化</w:t>
      </w:r>
      <w:r w:rsidRPr="000736BC">
        <w:rPr>
          <w:rFonts w:ascii="Calibri" w:hAnsi="Calibri" w:cs="Calibri" w:hint="eastAsia"/>
          <w:lang w:eastAsia="zh-CN"/>
        </w:rPr>
        <w:t>了</w:t>
      </w:r>
      <w:r w:rsidR="009E4F19" w:rsidRPr="000736BC">
        <w:rPr>
          <w:rFonts w:ascii="Calibri" w:hAnsi="Calibri" w:cs="Calibri" w:hint="eastAsia"/>
          <w:lang w:eastAsia="zh-CN"/>
        </w:rPr>
        <w:t>学员</w:t>
      </w:r>
      <w:r w:rsidRPr="000736BC">
        <w:rPr>
          <w:rFonts w:ascii="Calibri" w:hAnsi="Calibri" w:cs="Calibri" w:hint="eastAsia"/>
          <w:lang w:eastAsia="zh-CN"/>
        </w:rPr>
        <w:t>在网络管理、应急通信和</w:t>
      </w:r>
      <w:proofErr w:type="gramStart"/>
      <w:r w:rsidRPr="000736BC">
        <w:rPr>
          <w:rFonts w:ascii="Calibri" w:hAnsi="Calibri" w:cs="Calibri" w:hint="eastAsia"/>
          <w:lang w:eastAsia="zh-CN"/>
        </w:rPr>
        <w:t>可</w:t>
      </w:r>
      <w:proofErr w:type="gramEnd"/>
      <w:r w:rsidRPr="000736BC">
        <w:rPr>
          <w:rFonts w:ascii="Calibri" w:hAnsi="Calibri" w:cs="Calibri" w:hint="eastAsia"/>
          <w:lang w:eastAsia="zh-CN"/>
        </w:rPr>
        <w:t>持续</w:t>
      </w:r>
      <w:r w:rsidRPr="000736BC">
        <w:rPr>
          <w:rFonts w:ascii="Calibri" w:hAnsi="Calibri" w:cs="Calibri" w:hint="eastAsia"/>
          <w:lang w:eastAsia="zh-CN"/>
        </w:rPr>
        <w:t>ICT</w:t>
      </w:r>
      <w:r w:rsidRPr="000736BC">
        <w:rPr>
          <w:rFonts w:ascii="Calibri" w:hAnsi="Calibri" w:cs="Calibri" w:hint="eastAsia"/>
          <w:lang w:eastAsia="zh-CN"/>
        </w:rPr>
        <w:t>解决方案方面的实践技能，并</w:t>
      </w:r>
      <w:r w:rsidR="009E4F19" w:rsidRPr="006045BF">
        <w:rPr>
          <w:rFonts w:ascii="Calibri" w:hAnsi="Calibri" w:cs="Calibri" w:hint="eastAsia"/>
          <w:lang w:eastAsia="zh-CN"/>
        </w:rPr>
        <w:t>提升</w:t>
      </w:r>
      <w:r w:rsidRPr="000736BC">
        <w:rPr>
          <w:rFonts w:ascii="Calibri" w:hAnsi="Calibri" w:cs="Calibri" w:hint="eastAsia"/>
          <w:lang w:eastAsia="zh-CN"/>
        </w:rPr>
        <w:t>了他们在社区项目规划和复原力建设方面的能力。</w:t>
      </w:r>
    </w:p>
    <w:p w14:paraId="27E772BB" w14:textId="3478E910" w:rsidR="00622881" w:rsidRDefault="009E4F19" w:rsidP="00BB475A">
      <w:pPr>
        <w:tabs>
          <w:tab w:val="clear" w:pos="1134"/>
          <w:tab w:val="clear" w:pos="1871"/>
          <w:tab w:val="clear" w:pos="2268"/>
          <w:tab w:val="left" w:pos="794"/>
          <w:tab w:val="left" w:pos="1191"/>
          <w:tab w:val="left" w:pos="1588"/>
          <w:tab w:val="left" w:pos="1985"/>
        </w:tabs>
        <w:ind w:firstLineChars="200" w:firstLine="480"/>
        <w:rPr>
          <w:rFonts w:ascii="Calibri" w:hAnsi="Calibri" w:cs="Calibri"/>
          <w:lang w:eastAsia="zh-CN"/>
        </w:rPr>
      </w:pPr>
      <w:r w:rsidRPr="000736BC">
        <w:rPr>
          <w:rFonts w:ascii="Calibri" w:hAnsi="Calibri" w:cs="Calibri" w:hint="eastAsia"/>
          <w:lang w:eastAsia="zh-CN"/>
        </w:rPr>
        <w:t>2026</w:t>
      </w:r>
      <w:r w:rsidRPr="000736BC">
        <w:rPr>
          <w:rFonts w:ascii="Calibri" w:hAnsi="Calibri" w:cs="Calibri" w:hint="eastAsia"/>
          <w:lang w:eastAsia="zh-CN"/>
        </w:rPr>
        <w:t>年</w:t>
      </w:r>
      <w:r w:rsidRPr="000736BC">
        <w:rPr>
          <w:rFonts w:ascii="Calibri" w:hAnsi="Calibri" w:cs="Calibri" w:hint="eastAsia"/>
          <w:lang w:eastAsia="zh-CN"/>
        </w:rPr>
        <w:t>2</w:t>
      </w:r>
      <w:r w:rsidRPr="000736BC">
        <w:rPr>
          <w:rFonts w:ascii="Calibri" w:hAnsi="Calibri" w:cs="Calibri" w:hint="eastAsia"/>
          <w:lang w:eastAsia="zh-CN"/>
        </w:rPr>
        <w:t>月</w:t>
      </w:r>
      <w:r>
        <w:rPr>
          <w:rFonts w:ascii="Calibri" w:hAnsi="Calibri" w:cs="Calibri" w:hint="eastAsia"/>
          <w:lang w:eastAsia="zh-CN"/>
        </w:rPr>
        <w:t>，</w:t>
      </w:r>
      <w:r w:rsidR="00622881" w:rsidRPr="000736BC">
        <w:rPr>
          <w:rFonts w:ascii="Calibri" w:hAnsi="Calibri" w:cs="Calibri" w:hint="eastAsia"/>
          <w:lang w:eastAsia="zh-CN"/>
        </w:rPr>
        <w:t>电信发展局与</w:t>
      </w:r>
      <w:r w:rsidR="00622881">
        <w:rPr>
          <w:rFonts w:ascii="Calibri" w:hAnsi="Calibri" w:cs="Calibri" w:hint="eastAsia"/>
          <w:lang w:eastAsia="zh-CN"/>
        </w:rPr>
        <w:t>欧洲联盟</w:t>
      </w:r>
      <w:r w:rsidR="00622881" w:rsidRPr="000736BC">
        <w:rPr>
          <w:rFonts w:ascii="Calibri" w:hAnsi="Calibri" w:cs="Calibri" w:hint="eastAsia"/>
          <w:lang w:eastAsia="zh-CN"/>
        </w:rPr>
        <w:t>合作在埃塞俄比亚为</w:t>
      </w:r>
      <w:r w:rsidR="00622881" w:rsidRPr="00EC3731">
        <w:rPr>
          <w:rFonts w:ascii="Calibri" w:hAnsi="Calibri" w:cs="Calibri" w:hint="eastAsia"/>
          <w:lang w:eastAsia="zh-CN"/>
        </w:rPr>
        <w:t>政策制定者</w:t>
      </w:r>
      <w:r w:rsidR="00622881" w:rsidRPr="000736BC">
        <w:rPr>
          <w:rFonts w:ascii="Calibri" w:hAnsi="Calibri" w:cs="Calibri" w:hint="eastAsia"/>
          <w:lang w:eastAsia="zh-CN"/>
        </w:rPr>
        <w:t>、监管机构、民间</w:t>
      </w:r>
      <w:r w:rsidR="00622881">
        <w:rPr>
          <w:rFonts w:ascii="Calibri" w:hAnsi="Calibri" w:cs="Calibri" w:hint="eastAsia"/>
          <w:lang w:eastAsia="zh-CN"/>
        </w:rPr>
        <w:t>团体</w:t>
      </w:r>
      <w:r w:rsidR="00622881" w:rsidRPr="000736BC">
        <w:rPr>
          <w:rFonts w:ascii="Calibri" w:hAnsi="Calibri" w:cs="Calibri" w:hint="eastAsia"/>
          <w:lang w:eastAsia="zh-CN"/>
        </w:rPr>
        <w:t>领袖和专业人士</w:t>
      </w:r>
      <w:r w:rsidRPr="006045BF">
        <w:rPr>
          <w:rFonts w:ascii="Calibri" w:hAnsi="Calibri" w:cs="Calibri" w:hint="eastAsia"/>
          <w:lang w:eastAsia="zh-CN"/>
        </w:rPr>
        <w:t>举办</w:t>
      </w:r>
      <w:r w:rsidR="00622881" w:rsidRPr="000736BC">
        <w:rPr>
          <w:rFonts w:ascii="Calibri" w:hAnsi="Calibri" w:cs="Calibri" w:hint="eastAsia"/>
          <w:lang w:eastAsia="zh-CN"/>
        </w:rPr>
        <w:t>了混合培训课程。该课程将人工智能概念、伦理、网络安全和法律框架的在线课程与实践学习相结合。</w:t>
      </w:r>
      <w:r w:rsidRPr="006045BF">
        <w:rPr>
          <w:rFonts w:ascii="Calibri" w:hAnsi="Calibri" w:cs="Calibri" w:hint="eastAsia"/>
          <w:lang w:eastAsia="zh-CN"/>
        </w:rPr>
        <w:t>依托</w:t>
      </w:r>
      <w:r w:rsidR="00622881" w:rsidRPr="000736BC">
        <w:rPr>
          <w:rFonts w:ascii="Calibri" w:hAnsi="Calibri" w:cs="Calibri" w:hint="eastAsia"/>
          <w:lang w:eastAsia="zh-CN"/>
        </w:rPr>
        <w:t>同一项目，</w:t>
      </w:r>
      <w:r w:rsidRPr="006045BF">
        <w:rPr>
          <w:rFonts w:ascii="Calibri" w:hAnsi="Calibri" w:cs="Calibri" w:hint="eastAsia"/>
          <w:lang w:eastAsia="zh-CN"/>
        </w:rPr>
        <w:t>另一</w:t>
      </w:r>
      <w:r>
        <w:rPr>
          <w:rFonts w:ascii="Calibri" w:hAnsi="Calibri" w:cs="Calibri" w:hint="eastAsia"/>
          <w:lang w:eastAsia="zh-CN"/>
        </w:rPr>
        <w:t>场</w:t>
      </w:r>
      <w:r w:rsidRPr="000736BC">
        <w:rPr>
          <w:rFonts w:ascii="Calibri" w:hAnsi="Calibri" w:cs="Calibri" w:hint="eastAsia"/>
          <w:lang w:eastAsia="zh-CN"/>
        </w:rPr>
        <w:t>关于</w:t>
      </w:r>
      <w:r>
        <w:rPr>
          <w:rFonts w:ascii="Calibri" w:hAnsi="Calibri" w:cs="Calibri" w:hint="eastAsia"/>
          <w:lang w:eastAsia="zh-CN"/>
        </w:rPr>
        <w:t>促进</w:t>
      </w:r>
      <w:r w:rsidRPr="000736BC">
        <w:rPr>
          <w:rFonts w:ascii="Calibri" w:hAnsi="Calibri" w:cs="Calibri" w:hint="eastAsia"/>
          <w:lang w:eastAsia="zh-CN"/>
        </w:rPr>
        <w:t>循环经济的培训课程</w:t>
      </w:r>
      <w:r w:rsidR="00622881">
        <w:rPr>
          <w:rFonts w:ascii="Calibri" w:hAnsi="Calibri" w:cs="Calibri" w:hint="eastAsia"/>
          <w:lang w:eastAsia="zh-CN"/>
        </w:rPr>
        <w:t>于</w:t>
      </w:r>
      <w:r w:rsidR="00622881" w:rsidRPr="000736BC">
        <w:rPr>
          <w:rFonts w:ascii="Calibri" w:hAnsi="Calibri" w:cs="Calibri" w:hint="eastAsia"/>
          <w:lang w:eastAsia="zh-CN"/>
        </w:rPr>
        <w:t>2026</w:t>
      </w:r>
      <w:r w:rsidR="00622881" w:rsidRPr="000736BC">
        <w:rPr>
          <w:rFonts w:ascii="Calibri" w:hAnsi="Calibri" w:cs="Calibri" w:hint="eastAsia"/>
          <w:lang w:eastAsia="zh-CN"/>
        </w:rPr>
        <w:t>年</w:t>
      </w:r>
      <w:r w:rsidR="00622881" w:rsidRPr="000736BC">
        <w:rPr>
          <w:rFonts w:ascii="Calibri" w:hAnsi="Calibri" w:cs="Calibri" w:hint="eastAsia"/>
          <w:lang w:eastAsia="zh-CN"/>
        </w:rPr>
        <w:t>3</w:t>
      </w:r>
      <w:r w:rsidR="00622881" w:rsidRPr="000736BC">
        <w:rPr>
          <w:rFonts w:ascii="Calibri" w:hAnsi="Calibri" w:cs="Calibri" w:hint="eastAsia"/>
          <w:lang w:eastAsia="zh-CN"/>
        </w:rPr>
        <w:t>月</w:t>
      </w:r>
      <w:r>
        <w:rPr>
          <w:rFonts w:ascii="Calibri" w:hAnsi="Calibri" w:cs="Calibri" w:hint="eastAsia"/>
          <w:lang w:eastAsia="zh-CN"/>
        </w:rPr>
        <w:t>开展</w:t>
      </w:r>
      <w:r w:rsidR="00622881" w:rsidRPr="000736BC">
        <w:rPr>
          <w:rFonts w:ascii="Calibri" w:hAnsi="Calibri" w:cs="Calibri" w:hint="eastAsia"/>
          <w:lang w:eastAsia="zh-CN"/>
        </w:rPr>
        <w:t>，重点</w:t>
      </w:r>
      <w:r w:rsidRPr="006045BF">
        <w:rPr>
          <w:rFonts w:ascii="Calibri" w:hAnsi="Calibri" w:cs="Calibri" w:hint="eastAsia"/>
          <w:lang w:eastAsia="zh-CN"/>
        </w:rPr>
        <w:t>讨论了</w:t>
      </w:r>
      <w:r w:rsidR="00622881" w:rsidRPr="000736BC">
        <w:rPr>
          <w:rFonts w:ascii="Calibri" w:hAnsi="Calibri" w:cs="Calibri" w:hint="eastAsia"/>
          <w:lang w:eastAsia="zh-CN"/>
        </w:rPr>
        <w:t>电子废弃物政策和电子废弃物管理中的生产者责任</w:t>
      </w:r>
      <w:r w:rsidR="00622881">
        <w:rPr>
          <w:rFonts w:ascii="Calibri" w:hAnsi="Calibri" w:cs="Calibri" w:hint="eastAsia"/>
          <w:lang w:eastAsia="zh-CN"/>
        </w:rPr>
        <w:t>。</w:t>
      </w:r>
    </w:p>
    <w:p w14:paraId="75293E9B" w14:textId="17AC3FB9" w:rsidR="00622881" w:rsidRPr="001B50CC"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cs="Calibri"/>
          <w:lang w:eastAsia="zh-CN"/>
        </w:rPr>
      </w:pPr>
      <w:r w:rsidRPr="00713809">
        <w:rPr>
          <w:rFonts w:ascii="Calibri" w:hAnsi="Calibri" w:cs="Calibri" w:hint="eastAsia"/>
          <w:b/>
          <w:bCs/>
          <w:lang w:eastAsia="zh-CN"/>
        </w:rPr>
        <w:t>在独联体国家，</w:t>
      </w:r>
      <w:r w:rsidRPr="000736BC">
        <w:rPr>
          <w:rFonts w:ascii="Calibri" w:hAnsi="Calibri" w:cs="Calibri" w:hint="eastAsia"/>
          <w:lang w:eastAsia="zh-CN"/>
        </w:rPr>
        <w:t>3</w:t>
      </w:r>
      <w:r w:rsidRPr="000736BC">
        <w:rPr>
          <w:rFonts w:ascii="Calibri" w:hAnsi="Calibri" w:cs="Calibri" w:hint="eastAsia"/>
          <w:lang w:eastAsia="zh-CN"/>
        </w:rPr>
        <w:t>月</w:t>
      </w:r>
      <w:r w:rsidRPr="000736BC">
        <w:rPr>
          <w:rFonts w:ascii="Calibri" w:hAnsi="Calibri" w:cs="Calibri" w:hint="eastAsia"/>
          <w:lang w:eastAsia="zh-CN"/>
        </w:rPr>
        <w:t>24</w:t>
      </w:r>
      <w:r w:rsidRPr="000736BC">
        <w:rPr>
          <w:rFonts w:ascii="Calibri" w:hAnsi="Calibri" w:cs="Calibri" w:hint="eastAsia"/>
          <w:lang w:eastAsia="zh-CN"/>
        </w:rPr>
        <w:t>日举行了一次全国</w:t>
      </w:r>
      <w:r>
        <w:rPr>
          <w:rFonts w:ascii="Calibri" w:hAnsi="Calibri" w:cs="Calibri" w:hint="eastAsia"/>
          <w:lang w:eastAsia="zh-CN"/>
        </w:rPr>
        <w:t>咨询</w:t>
      </w:r>
      <w:r w:rsidRPr="000736BC">
        <w:rPr>
          <w:rFonts w:ascii="Calibri" w:hAnsi="Calibri" w:cs="Calibri" w:hint="eastAsia"/>
          <w:lang w:eastAsia="zh-CN"/>
        </w:rPr>
        <w:t>圆桌会议，深入讨论吉尔吉斯共和国“</w:t>
      </w:r>
      <w:proofErr w:type="spellStart"/>
      <w:r w:rsidRPr="000736BC">
        <w:rPr>
          <w:rFonts w:ascii="Calibri" w:hAnsi="Calibri" w:cs="Calibri" w:hint="eastAsia"/>
          <w:lang w:eastAsia="zh-CN"/>
        </w:rPr>
        <w:t>Sanarip</w:t>
      </w:r>
      <w:proofErr w:type="spellEnd"/>
      <w:r w:rsidRPr="000736BC">
        <w:rPr>
          <w:rFonts w:ascii="Calibri" w:hAnsi="Calibri" w:cs="Calibri" w:hint="eastAsia"/>
          <w:lang w:eastAsia="zh-CN"/>
        </w:rPr>
        <w:t xml:space="preserve"> </w:t>
      </w:r>
      <w:proofErr w:type="spellStart"/>
      <w:r w:rsidRPr="000736BC">
        <w:rPr>
          <w:rFonts w:ascii="Calibri" w:hAnsi="Calibri" w:cs="Calibri" w:hint="eastAsia"/>
          <w:lang w:eastAsia="zh-CN"/>
        </w:rPr>
        <w:t>kyzmatker</w:t>
      </w:r>
      <w:proofErr w:type="spellEnd"/>
      <w:r w:rsidRPr="000736BC">
        <w:rPr>
          <w:rFonts w:ascii="Calibri" w:hAnsi="Calibri" w:cs="Calibri" w:hint="eastAsia"/>
          <w:lang w:eastAsia="zh-CN"/>
        </w:rPr>
        <w:t>”国家和市政雇员数字技能评估的研究结果。本次活动是</w:t>
      </w:r>
      <w:r w:rsidR="00104614" w:rsidRPr="006045BF">
        <w:rPr>
          <w:rFonts w:ascii="Calibri" w:hAnsi="Calibri" w:cs="Calibri" w:hint="eastAsia"/>
          <w:lang w:eastAsia="zh-CN"/>
        </w:rPr>
        <w:t>此前</w:t>
      </w:r>
      <w:r w:rsidRPr="000736BC">
        <w:rPr>
          <w:rFonts w:ascii="Calibri" w:hAnsi="Calibri" w:cs="Calibri" w:hint="eastAsia"/>
          <w:lang w:eastAsia="zh-CN"/>
        </w:rPr>
        <w:t>与国际电联联合</w:t>
      </w:r>
      <w:r w:rsidR="00104614" w:rsidRPr="006045BF">
        <w:rPr>
          <w:rFonts w:ascii="Calibri" w:hAnsi="Calibri" w:cs="Calibri" w:hint="eastAsia"/>
          <w:lang w:eastAsia="zh-CN"/>
        </w:rPr>
        <w:t>开展的</w:t>
      </w:r>
      <w:r w:rsidRPr="000736BC">
        <w:rPr>
          <w:rFonts w:ascii="Calibri" w:hAnsi="Calibri" w:cs="Calibri" w:hint="eastAsia"/>
          <w:lang w:eastAsia="zh-CN"/>
        </w:rPr>
        <w:t>对受益国公务员机构和地方自治事务机构进行数字技能评估的</w:t>
      </w:r>
      <w:r>
        <w:rPr>
          <w:rFonts w:ascii="Calibri" w:hAnsi="Calibri" w:cs="Calibri" w:hint="eastAsia"/>
          <w:lang w:eastAsia="zh-CN"/>
        </w:rPr>
        <w:t>后续行动</w:t>
      </w:r>
      <w:r w:rsidRPr="000736BC">
        <w:rPr>
          <w:rFonts w:ascii="Calibri" w:hAnsi="Calibri" w:cs="Calibri" w:hint="eastAsia"/>
          <w:lang w:eastAsia="zh-CN"/>
        </w:rPr>
        <w:t>。圆桌会议汇聚了</w:t>
      </w:r>
      <w:r w:rsidRPr="000736BC">
        <w:rPr>
          <w:rFonts w:ascii="Calibri" w:hAnsi="Calibri" w:cs="Calibri" w:hint="eastAsia"/>
          <w:lang w:eastAsia="zh-CN"/>
        </w:rPr>
        <w:t>55</w:t>
      </w:r>
      <w:r w:rsidR="00104614" w:rsidRPr="006045BF">
        <w:rPr>
          <w:rFonts w:ascii="Calibri" w:hAnsi="Calibri" w:cs="Calibri" w:hint="eastAsia"/>
          <w:lang w:eastAsia="zh-CN"/>
        </w:rPr>
        <w:t>名</w:t>
      </w:r>
      <w:r w:rsidRPr="000736BC">
        <w:rPr>
          <w:rFonts w:ascii="Calibri" w:hAnsi="Calibri" w:cs="Calibri" w:hint="eastAsia"/>
          <w:lang w:eastAsia="zh-CN"/>
        </w:rPr>
        <w:t>与会者</w:t>
      </w:r>
      <w:r>
        <w:rPr>
          <w:rFonts w:ascii="Calibri" w:hAnsi="Calibri" w:cs="Calibri" w:hint="eastAsia"/>
          <w:lang w:eastAsia="zh-CN"/>
        </w:rPr>
        <w:t>，包括</w:t>
      </w:r>
      <w:r w:rsidRPr="000736BC">
        <w:rPr>
          <w:rFonts w:ascii="Calibri" w:hAnsi="Calibri" w:cs="Calibri" w:hint="eastAsia"/>
          <w:lang w:eastAsia="zh-CN"/>
        </w:rPr>
        <w:t>国家机构和地方政府</w:t>
      </w:r>
      <w:r w:rsidR="00104614" w:rsidRPr="006045BF">
        <w:rPr>
          <w:rFonts w:ascii="Calibri" w:hAnsi="Calibri" w:cs="Calibri" w:hint="eastAsia"/>
          <w:lang w:eastAsia="zh-CN"/>
        </w:rPr>
        <w:t>负责人</w:t>
      </w:r>
      <w:r w:rsidRPr="000736BC">
        <w:rPr>
          <w:rFonts w:ascii="Calibri" w:hAnsi="Calibri" w:cs="Calibri" w:hint="eastAsia"/>
          <w:lang w:eastAsia="zh-CN"/>
        </w:rPr>
        <w:t>、州和市</w:t>
      </w:r>
      <w:r>
        <w:rPr>
          <w:rFonts w:ascii="Calibri" w:hAnsi="Calibri" w:cs="Calibri" w:hint="eastAsia"/>
          <w:lang w:eastAsia="zh-CN"/>
        </w:rPr>
        <w:t>级</w:t>
      </w:r>
      <w:r w:rsidR="00104614" w:rsidRPr="006045BF">
        <w:rPr>
          <w:rFonts w:ascii="Calibri" w:hAnsi="Calibri" w:cs="Calibri" w:hint="eastAsia"/>
          <w:lang w:eastAsia="zh-CN"/>
        </w:rPr>
        <w:t>公职人员</w:t>
      </w:r>
      <w:r w:rsidRPr="000736BC">
        <w:rPr>
          <w:rFonts w:ascii="Calibri" w:hAnsi="Calibri" w:cs="Calibri" w:hint="eastAsia"/>
          <w:lang w:eastAsia="zh-CN"/>
        </w:rPr>
        <w:t>、数字技术领域的科学和教育界代表、</w:t>
      </w:r>
      <w:r w:rsidRPr="000736BC">
        <w:rPr>
          <w:rFonts w:ascii="Calibri" w:hAnsi="Calibri" w:cs="Calibri" w:hint="eastAsia"/>
          <w:lang w:eastAsia="zh-CN"/>
        </w:rPr>
        <w:t>IT</w:t>
      </w:r>
      <w:r w:rsidRPr="000736BC">
        <w:rPr>
          <w:rFonts w:ascii="Calibri" w:hAnsi="Calibri" w:cs="Calibri" w:hint="eastAsia"/>
          <w:lang w:eastAsia="zh-CN"/>
        </w:rPr>
        <w:t>商业环境代表和</w:t>
      </w:r>
      <w:r w:rsidRPr="000736BC">
        <w:rPr>
          <w:rFonts w:ascii="Calibri" w:hAnsi="Calibri" w:cs="Calibri" w:hint="eastAsia"/>
          <w:lang w:eastAsia="zh-CN"/>
        </w:rPr>
        <w:t>IT</w:t>
      </w:r>
      <w:r w:rsidRPr="000736BC">
        <w:rPr>
          <w:rFonts w:ascii="Calibri" w:hAnsi="Calibri" w:cs="Calibri" w:hint="eastAsia"/>
          <w:lang w:eastAsia="zh-CN"/>
        </w:rPr>
        <w:t>专家。该活动围绕三个相互关联的部分展开。第一部分介绍了当前数字能力水平的研究结果，这些结果</w:t>
      </w:r>
      <w:r>
        <w:rPr>
          <w:rFonts w:ascii="Calibri" w:hAnsi="Calibri" w:cs="Calibri" w:hint="eastAsia"/>
          <w:lang w:eastAsia="zh-CN"/>
        </w:rPr>
        <w:t>提供了</w:t>
      </w:r>
      <w:r w:rsidRPr="000736BC">
        <w:rPr>
          <w:rFonts w:ascii="Calibri" w:hAnsi="Calibri" w:cs="Calibri" w:hint="eastAsia"/>
          <w:lang w:eastAsia="zh-CN"/>
        </w:rPr>
        <w:t>发展</w:t>
      </w:r>
      <w:r>
        <w:rPr>
          <w:rFonts w:ascii="Calibri" w:hAnsi="Calibri" w:cs="Calibri" w:hint="eastAsia"/>
          <w:lang w:eastAsia="zh-CN"/>
        </w:rPr>
        <w:t>的</w:t>
      </w:r>
      <w:r w:rsidRPr="000736BC">
        <w:rPr>
          <w:rFonts w:ascii="Calibri" w:hAnsi="Calibri" w:cs="Calibri" w:hint="eastAsia"/>
          <w:lang w:eastAsia="zh-CN"/>
        </w:rPr>
        <w:t>基准</w:t>
      </w:r>
      <w:r w:rsidR="00104614">
        <w:rPr>
          <w:rFonts w:ascii="Calibri" w:hAnsi="Calibri" w:cs="Calibri" w:hint="eastAsia"/>
          <w:lang w:eastAsia="zh-CN"/>
        </w:rPr>
        <w:t>；</w:t>
      </w:r>
      <w:r w:rsidRPr="000736BC">
        <w:rPr>
          <w:rFonts w:ascii="Calibri" w:hAnsi="Calibri" w:cs="Calibri" w:hint="eastAsia"/>
          <w:lang w:eastAsia="zh-CN"/>
        </w:rPr>
        <w:t>在第二部分，向</w:t>
      </w:r>
      <w:r w:rsidR="00104614" w:rsidRPr="000736BC">
        <w:rPr>
          <w:rFonts w:ascii="Calibri" w:hAnsi="Calibri" w:cs="Calibri" w:hint="eastAsia"/>
          <w:lang w:eastAsia="zh-CN"/>
        </w:rPr>
        <w:t>与会者</w:t>
      </w:r>
      <w:r w:rsidRPr="000736BC">
        <w:rPr>
          <w:rFonts w:ascii="Calibri" w:hAnsi="Calibri" w:cs="Calibri" w:hint="eastAsia"/>
          <w:lang w:eastAsia="zh-CN"/>
        </w:rPr>
        <w:t>展示了根据国家数字能力框架制定的评估方法草案。第三部分包括对数字技能开发的制度条件和实施拟议解决方案的实用机制的讨论。</w:t>
      </w:r>
    </w:p>
    <w:p w14:paraId="5C8E1B7A" w14:textId="46155215" w:rsidR="006045BF" w:rsidRDefault="00622881" w:rsidP="00BB475A">
      <w:pPr>
        <w:tabs>
          <w:tab w:val="clear" w:pos="1134"/>
          <w:tab w:val="clear" w:pos="1871"/>
          <w:tab w:val="clear" w:pos="2268"/>
          <w:tab w:val="left" w:pos="794"/>
          <w:tab w:val="left" w:pos="1191"/>
          <w:tab w:val="left" w:pos="1588"/>
          <w:tab w:val="left" w:pos="1985"/>
        </w:tabs>
        <w:ind w:firstLineChars="200" w:firstLine="482"/>
        <w:rPr>
          <w:rFonts w:ascii="Calibri" w:hAnsi="Calibri" w:cs="Calibri"/>
          <w:lang w:eastAsia="zh-CN"/>
        </w:rPr>
      </w:pPr>
      <w:r w:rsidRPr="00713809">
        <w:rPr>
          <w:rFonts w:ascii="Calibri" w:hAnsi="Calibri" w:cs="Calibri" w:hint="eastAsia"/>
          <w:b/>
          <w:bCs/>
          <w:lang w:eastAsia="zh-CN"/>
        </w:rPr>
        <w:lastRenderedPageBreak/>
        <w:t>在欧洲地区，</w:t>
      </w:r>
      <w:r w:rsidRPr="000736BC">
        <w:rPr>
          <w:rFonts w:ascii="Calibri" w:hAnsi="Calibri" w:cs="Calibri" w:hint="eastAsia"/>
          <w:lang w:eastAsia="zh-CN"/>
        </w:rPr>
        <w:t>为阿尔巴尼亚公共部门工作人员开展数字技能评估的准备工作已于</w:t>
      </w:r>
      <w:r w:rsidRPr="000736BC">
        <w:rPr>
          <w:rFonts w:ascii="Calibri" w:hAnsi="Calibri" w:cs="Calibri" w:hint="eastAsia"/>
          <w:lang w:eastAsia="zh-CN"/>
        </w:rPr>
        <w:t>2</w:t>
      </w:r>
      <w:r w:rsidRPr="000736BC">
        <w:rPr>
          <w:rFonts w:ascii="Calibri" w:hAnsi="Calibri" w:cs="Calibri" w:hint="eastAsia"/>
          <w:lang w:eastAsia="zh-CN"/>
        </w:rPr>
        <w:t>月启动</w:t>
      </w:r>
      <w:r w:rsidR="00104614">
        <w:rPr>
          <w:rFonts w:ascii="Calibri" w:hAnsi="Calibri" w:cs="Calibri" w:hint="eastAsia"/>
          <w:lang w:eastAsia="zh-CN"/>
        </w:rPr>
        <w:t>。</w:t>
      </w:r>
      <w:r>
        <w:rPr>
          <w:rFonts w:ascii="Calibri" w:hAnsi="Calibri" w:cs="Calibri" w:hint="eastAsia"/>
          <w:lang w:eastAsia="zh-CN"/>
        </w:rPr>
        <w:t>此项工作是在</w:t>
      </w:r>
      <w:r w:rsidR="00104614">
        <w:rPr>
          <w:rFonts w:ascii="Calibri" w:hAnsi="Calibri" w:cs="Calibri" w:hint="eastAsia"/>
          <w:lang w:eastAsia="zh-CN"/>
        </w:rPr>
        <w:t>阿尔巴尼亚</w:t>
      </w:r>
      <w:r w:rsidR="00104614" w:rsidRPr="00104614">
        <w:rPr>
          <w:rFonts w:ascii="Calibri" w:hAnsi="Calibri" w:cs="Calibri"/>
          <w:lang w:eastAsia="zh-CN"/>
        </w:rPr>
        <w:t>数字农业与农村转型</w:t>
      </w:r>
      <w:r w:rsidR="00104614">
        <w:rPr>
          <w:rFonts w:ascii="Calibri" w:hAnsi="Calibri" w:cs="Calibri" w:hint="eastAsia"/>
          <w:lang w:eastAsia="zh-CN"/>
        </w:rPr>
        <w:t>（</w:t>
      </w:r>
      <w:r w:rsidRPr="000736BC">
        <w:rPr>
          <w:rFonts w:ascii="Calibri" w:hAnsi="Calibri" w:cs="Calibri" w:hint="eastAsia"/>
          <w:lang w:eastAsia="zh-CN"/>
        </w:rPr>
        <w:t>DART</w:t>
      </w:r>
      <w:r w:rsidR="00104614">
        <w:rPr>
          <w:rFonts w:ascii="Calibri" w:hAnsi="Calibri" w:cs="Calibri" w:hint="eastAsia"/>
          <w:lang w:eastAsia="zh-CN"/>
        </w:rPr>
        <w:t>）</w:t>
      </w:r>
      <w:r w:rsidRPr="000736BC">
        <w:rPr>
          <w:rFonts w:ascii="Calibri" w:hAnsi="Calibri" w:cs="Calibri" w:hint="eastAsia"/>
          <w:lang w:eastAsia="zh-CN"/>
        </w:rPr>
        <w:t>可持续发展目标联合基金项目</w:t>
      </w:r>
      <w:r>
        <w:rPr>
          <w:rFonts w:ascii="Calibri" w:hAnsi="Calibri" w:cs="Calibri" w:hint="eastAsia"/>
          <w:lang w:eastAsia="zh-CN"/>
        </w:rPr>
        <w:t>下开展的，</w:t>
      </w:r>
      <w:r w:rsidR="00104614" w:rsidRPr="00104614">
        <w:rPr>
          <w:rFonts w:ascii="Calibri" w:hAnsi="Calibri" w:cs="Calibri"/>
          <w:lang w:eastAsia="zh-CN"/>
        </w:rPr>
        <w:t>由</w:t>
      </w:r>
      <w:r>
        <w:rPr>
          <w:rFonts w:ascii="Calibri" w:hAnsi="Calibri" w:cs="Calibri" w:hint="eastAsia"/>
          <w:lang w:eastAsia="zh-CN"/>
        </w:rPr>
        <w:t>电信发展局</w:t>
      </w:r>
      <w:r w:rsidRPr="000736BC">
        <w:rPr>
          <w:rFonts w:ascii="Calibri" w:hAnsi="Calibri" w:cs="Calibri" w:hint="eastAsia"/>
          <w:lang w:eastAsia="zh-CN"/>
        </w:rPr>
        <w:t>与粮农组织和国际劳工组织在阿尔巴尼亚联合实施。</w:t>
      </w:r>
    </w:p>
    <w:p w14:paraId="087505B4" w14:textId="77777777" w:rsidR="00622881" w:rsidRPr="001B50CC" w:rsidRDefault="00622881" w:rsidP="00BB475A">
      <w:pPr>
        <w:tabs>
          <w:tab w:val="clear" w:pos="1134"/>
          <w:tab w:val="clear" w:pos="1871"/>
          <w:tab w:val="clear" w:pos="2268"/>
          <w:tab w:val="left" w:pos="794"/>
          <w:tab w:val="left" w:pos="1191"/>
          <w:tab w:val="left" w:pos="1588"/>
          <w:tab w:val="left" w:pos="1985"/>
        </w:tabs>
        <w:rPr>
          <w:rFonts w:ascii="Calibri" w:hAnsi="Calibri" w:cs="Calibri"/>
          <w:b/>
          <w:bCs/>
          <w:color w:val="000000"/>
          <w:szCs w:val="24"/>
          <w:lang w:eastAsia="zh-CN"/>
        </w:rPr>
      </w:pPr>
      <w:r>
        <w:rPr>
          <w:rFonts w:ascii="Calibri" w:hAnsi="Calibri" w:cs="Calibri" w:hint="eastAsia"/>
          <w:b/>
          <w:bCs/>
          <w:color w:val="000000"/>
          <w:szCs w:val="24"/>
          <w:lang w:eastAsia="zh-CN"/>
        </w:rPr>
        <w:t>对环境可持续性的承诺</w:t>
      </w:r>
    </w:p>
    <w:p w14:paraId="66113132" w14:textId="329BC56C" w:rsidR="005F097E" w:rsidRPr="003F6CAF" w:rsidRDefault="00622881" w:rsidP="00BB475A">
      <w:pPr>
        <w:tabs>
          <w:tab w:val="clear" w:pos="1134"/>
          <w:tab w:val="clear" w:pos="1871"/>
          <w:tab w:val="clear" w:pos="2268"/>
          <w:tab w:val="left" w:pos="794"/>
          <w:tab w:val="left" w:pos="1191"/>
          <w:tab w:val="left" w:pos="1588"/>
          <w:tab w:val="left" w:pos="1985"/>
        </w:tabs>
        <w:ind w:firstLineChars="200" w:firstLine="480"/>
        <w:rPr>
          <w:rFonts w:ascii="Calibri" w:hAnsi="Calibri"/>
          <w:lang w:eastAsia="zh-CN"/>
        </w:rPr>
      </w:pPr>
      <w:r w:rsidRPr="000736BC">
        <w:rPr>
          <w:rFonts w:ascii="Calibri" w:hAnsi="Calibri" w:hint="eastAsia"/>
          <w:lang w:eastAsia="zh-CN"/>
        </w:rPr>
        <w:t>在与哥伦比亚政府合作实施的“</w:t>
      </w:r>
      <w:r w:rsidRPr="003F6CAF">
        <w:rPr>
          <w:rFonts w:ascii="Calibri" w:hAnsi="Calibri" w:hint="eastAsia"/>
          <w:lang w:eastAsia="zh-CN"/>
        </w:rPr>
        <w:t>有关电子废弃物监管和技术公司参与的国际交流举措</w:t>
      </w:r>
      <w:r w:rsidRPr="000736BC">
        <w:rPr>
          <w:rFonts w:ascii="Calibri" w:hAnsi="Calibri" w:hint="eastAsia"/>
          <w:lang w:eastAsia="zh-CN"/>
        </w:rPr>
        <w:t>”框架内，电信发展局组织了</w:t>
      </w:r>
      <w:r w:rsidR="00C3786A">
        <w:rPr>
          <w:rFonts w:hint="eastAsia"/>
          <w:lang w:eastAsia="zh-CN"/>
        </w:rPr>
        <w:t>赴</w:t>
      </w:r>
      <w:r w:rsidRPr="000736BC">
        <w:rPr>
          <w:rFonts w:ascii="Calibri" w:hAnsi="Calibri" w:hint="eastAsia"/>
          <w:lang w:eastAsia="zh-CN"/>
        </w:rPr>
        <w:t>印度的考察</w:t>
      </w:r>
      <w:r>
        <w:rPr>
          <w:rFonts w:ascii="Calibri" w:hAnsi="Calibri" w:hint="eastAsia"/>
          <w:lang w:eastAsia="zh-CN"/>
        </w:rPr>
        <w:t>活动</w:t>
      </w:r>
      <w:r w:rsidRPr="000736BC">
        <w:rPr>
          <w:rFonts w:ascii="Calibri" w:hAnsi="Calibri" w:hint="eastAsia"/>
          <w:lang w:eastAsia="zh-CN"/>
        </w:rPr>
        <w:t>，作为</w:t>
      </w:r>
      <w:r w:rsidR="00C3786A" w:rsidRPr="000736BC">
        <w:rPr>
          <w:rFonts w:ascii="Calibri" w:hAnsi="Calibri" w:hint="eastAsia"/>
          <w:lang w:eastAsia="zh-CN"/>
        </w:rPr>
        <w:t>由</w:t>
      </w:r>
      <w:r w:rsidR="00C3786A" w:rsidRPr="00B870A0">
        <w:rPr>
          <w:rFonts w:ascii="Calibri" w:hAnsi="Calibri" w:hint="eastAsia"/>
          <w:lang w:eastAsia="zh-CN"/>
        </w:rPr>
        <w:t>哥伦比亚总统府国际合作署</w:t>
      </w:r>
      <w:r w:rsidR="00C3786A" w:rsidRPr="000736BC">
        <w:rPr>
          <w:rFonts w:ascii="Calibri" w:hAnsi="Calibri" w:hint="eastAsia"/>
          <w:lang w:eastAsia="zh-CN"/>
        </w:rPr>
        <w:t>和国际电联</w:t>
      </w:r>
      <w:r w:rsidR="00C3786A">
        <w:rPr>
          <w:rFonts w:ascii="Calibri" w:hAnsi="Calibri" w:hint="eastAsia"/>
          <w:lang w:eastAsia="zh-CN"/>
        </w:rPr>
        <w:t>共同</w:t>
      </w:r>
      <w:r w:rsidR="00C3786A" w:rsidRPr="000736BC">
        <w:rPr>
          <w:rFonts w:ascii="Calibri" w:hAnsi="Calibri" w:hint="eastAsia"/>
          <w:lang w:eastAsia="zh-CN"/>
        </w:rPr>
        <w:t>资助</w:t>
      </w:r>
      <w:r w:rsidR="00C3786A">
        <w:rPr>
          <w:rFonts w:ascii="Calibri" w:hAnsi="Calibri" w:hint="eastAsia"/>
          <w:lang w:eastAsia="zh-CN"/>
        </w:rPr>
        <w:t>的该框架</w:t>
      </w:r>
      <w:r w:rsidRPr="000736BC">
        <w:rPr>
          <w:rFonts w:ascii="Calibri" w:hAnsi="Calibri" w:hint="eastAsia"/>
          <w:lang w:eastAsia="zh-CN"/>
        </w:rPr>
        <w:t>的一部分。</w:t>
      </w:r>
      <w:proofErr w:type="gramStart"/>
      <w:r>
        <w:rPr>
          <w:rFonts w:ascii="Calibri" w:hAnsi="Calibri" w:hint="eastAsia"/>
          <w:lang w:eastAsia="zh-CN"/>
        </w:rPr>
        <w:t>该考察</w:t>
      </w:r>
      <w:proofErr w:type="gramEnd"/>
      <w:r>
        <w:rPr>
          <w:rFonts w:ascii="Calibri" w:hAnsi="Calibri" w:hint="eastAsia"/>
          <w:lang w:eastAsia="zh-CN"/>
        </w:rPr>
        <w:t>活动于</w:t>
      </w:r>
      <w:r w:rsidRPr="005448A5">
        <w:rPr>
          <w:rFonts w:ascii="Calibri" w:hAnsi="Calibri"/>
          <w:lang w:eastAsia="zh-CN"/>
        </w:rPr>
        <w:t>2026</w:t>
      </w:r>
      <w:r w:rsidRPr="005448A5">
        <w:rPr>
          <w:rFonts w:ascii="Calibri" w:hAnsi="Calibri" w:hint="eastAsia"/>
          <w:lang w:eastAsia="zh-CN"/>
        </w:rPr>
        <w:t>年</w:t>
      </w:r>
      <w:r w:rsidRPr="005448A5">
        <w:rPr>
          <w:rFonts w:ascii="Calibri" w:hAnsi="Calibri"/>
          <w:lang w:eastAsia="zh-CN"/>
        </w:rPr>
        <w:t>2</w:t>
      </w:r>
      <w:r w:rsidRPr="005448A5">
        <w:rPr>
          <w:rFonts w:ascii="Calibri" w:hAnsi="Calibri" w:hint="eastAsia"/>
          <w:lang w:eastAsia="zh-CN"/>
        </w:rPr>
        <w:t>月</w:t>
      </w:r>
      <w:r w:rsidRPr="005448A5">
        <w:rPr>
          <w:rFonts w:ascii="Calibri" w:hAnsi="Calibri"/>
          <w:lang w:eastAsia="zh-CN"/>
        </w:rPr>
        <w:t>9</w:t>
      </w:r>
      <w:r w:rsidRPr="005448A5">
        <w:rPr>
          <w:rFonts w:ascii="Calibri" w:hAnsi="Calibri" w:hint="eastAsia"/>
          <w:lang w:eastAsia="zh-CN"/>
        </w:rPr>
        <w:t>日至</w:t>
      </w:r>
      <w:r w:rsidRPr="005448A5">
        <w:rPr>
          <w:rFonts w:ascii="Calibri" w:hAnsi="Calibri"/>
          <w:lang w:eastAsia="zh-CN"/>
        </w:rPr>
        <w:t>13</w:t>
      </w:r>
      <w:r w:rsidRPr="005448A5">
        <w:rPr>
          <w:rFonts w:ascii="Calibri" w:hAnsi="Calibri" w:hint="eastAsia"/>
          <w:lang w:eastAsia="zh-CN"/>
        </w:rPr>
        <w:t>日</w:t>
      </w:r>
      <w:r w:rsidRPr="000736BC">
        <w:rPr>
          <w:rFonts w:ascii="Calibri" w:hAnsi="Calibri" w:hint="eastAsia"/>
          <w:lang w:eastAsia="zh-CN"/>
        </w:rPr>
        <w:t>在新德里举行</w:t>
      </w:r>
      <w:r>
        <w:rPr>
          <w:rFonts w:ascii="Calibri" w:hAnsi="Calibri" w:hint="eastAsia"/>
          <w:lang w:eastAsia="zh-CN"/>
        </w:rPr>
        <w:t>，</w:t>
      </w:r>
      <w:r w:rsidRPr="000736BC">
        <w:rPr>
          <w:rFonts w:ascii="Calibri" w:hAnsi="Calibri" w:hint="eastAsia"/>
          <w:lang w:eastAsia="zh-CN"/>
        </w:rPr>
        <w:t>汇集了来自</w:t>
      </w:r>
      <w:r w:rsidRPr="00713809">
        <w:rPr>
          <w:rFonts w:ascii="Calibri" w:hAnsi="Calibri" w:hint="eastAsia"/>
          <w:b/>
          <w:bCs/>
          <w:lang w:eastAsia="zh-CN"/>
        </w:rPr>
        <w:t>非洲、美洲和亚太地区</w:t>
      </w:r>
      <w:r w:rsidRPr="000736BC">
        <w:rPr>
          <w:rFonts w:ascii="Calibri" w:hAnsi="Calibri" w:hint="eastAsia"/>
          <w:lang w:eastAsia="zh-CN"/>
        </w:rPr>
        <w:t>的代表</w:t>
      </w:r>
      <w:r w:rsidR="005448A5">
        <w:rPr>
          <w:rFonts w:ascii="Calibri" w:hAnsi="Calibri" w:hint="eastAsia"/>
          <w:lang w:eastAsia="zh-CN"/>
        </w:rPr>
        <w:t>，</w:t>
      </w:r>
      <w:r w:rsidR="005448A5">
        <w:rPr>
          <w:rFonts w:hint="eastAsia"/>
          <w:lang w:eastAsia="zh-CN"/>
        </w:rPr>
        <w:t>参与国家</w:t>
      </w:r>
      <w:r w:rsidRPr="000736BC">
        <w:rPr>
          <w:rFonts w:ascii="Calibri" w:hAnsi="Calibri" w:hint="eastAsia"/>
          <w:lang w:eastAsia="zh-CN"/>
        </w:rPr>
        <w:t>包括印度、马来西亚、南非、尼日利亚、多米尼加共和国和哥伦比亚。</w:t>
      </w:r>
      <w:r w:rsidR="005448A5">
        <w:rPr>
          <w:rFonts w:hint="eastAsia"/>
          <w:lang w:eastAsia="zh-CN"/>
        </w:rPr>
        <w:t>此次交流的核心主题包括：</w:t>
      </w:r>
      <w:r w:rsidRPr="000736BC">
        <w:rPr>
          <w:rFonts w:ascii="Calibri" w:hAnsi="Calibri" w:hint="eastAsia"/>
          <w:lang w:eastAsia="zh-CN"/>
        </w:rPr>
        <w:t>监管框架、治理和系统架构</w:t>
      </w:r>
      <w:r>
        <w:rPr>
          <w:rFonts w:ascii="Calibri" w:hAnsi="Calibri" w:hint="eastAsia"/>
          <w:lang w:eastAsia="zh-CN"/>
        </w:rPr>
        <w:t>；</w:t>
      </w:r>
      <w:r w:rsidRPr="000736BC">
        <w:rPr>
          <w:rFonts w:ascii="Calibri" w:hAnsi="Calibri" w:hint="eastAsia"/>
          <w:lang w:eastAsia="zh-CN"/>
        </w:rPr>
        <w:t>电信部门的循环性和将非</w:t>
      </w:r>
      <w:r>
        <w:rPr>
          <w:rFonts w:ascii="Calibri" w:hAnsi="Calibri" w:hint="eastAsia"/>
          <w:lang w:eastAsia="zh-CN"/>
        </w:rPr>
        <w:t>正规</w:t>
      </w:r>
      <w:r w:rsidRPr="000736BC">
        <w:rPr>
          <w:rFonts w:ascii="Calibri" w:hAnsi="Calibri" w:hint="eastAsia"/>
          <w:lang w:eastAsia="zh-CN"/>
        </w:rPr>
        <w:t>部门纳入电子废弃物管理，以及电子废弃物管理的标准化和</w:t>
      </w:r>
      <w:r>
        <w:rPr>
          <w:rFonts w:ascii="Calibri" w:hAnsi="Calibri" w:hint="eastAsia"/>
          <w:lang w:eastAsia="zh-CN"/>
        </w:rPr>
        <w:t>实施</w:t>
      </w:r>
      <w:r w:rsidRPr="000736BC">
        <w:rPr>
          <w:rFonts w:ascii="Calibri" w:hAnsi="Calibri" w:hint="eastAsia"/>
          <w:lang w:eastAsia="zh-CN"/>
        </w:rPr>
        <w:t>。</w:t>
      </w:r>
    </w:p>
    <w:p w14:paraId="3B559993" w14:textId="161D5D02" w:rsidR="00521A20" w:rsidRDefault="00622881" w:rsidP="00BB475A">
      <w:pPr>
        <w:tabs>
          <w:tab w:val="clear" w:pos="1134"/>
          <w:tab w:val="clear" w:pos="1871"/>
          <w:tab w:val="clear" w:pos="2268"/>
          <w:tab w:val="left" w:pos="794"/>
          <w:tab w:val="left" w:pos="1191"/>
          <w:tab w:val="left" w:pos="1588"/>
          <w:tab w:val="left" w:pos="1985"/>
        </w:tabs>
        <w:ind w:firstLineChars="200" w:firstLine="480"/>
        <w:rPr>
          <w:lang w:eastAsia="zh-CN"/>
        </w:rPr>
      </w:pPr>
      <w:r w:rsidRPr="000736BC">
        <w:rPr>
          <w:rFonts w:hint="eastAsia"/>
          <w:lang w:eastAsia="zh-CN"/>
        </w:rPr>
        <w:t>2</w:t>
      </w:r>
      <w:r w:rsidRPr="000736BC">
        <w:rPr>
          <w:rFonts w:hint="eastAsia"/>
          <w:lang w:eastAsia="zh-CN"/>
        </w:rPr>
        <w:t>月</w:t>
      </w:r>
      <w:r>
        <w:rPr>
          <w:rFonts w:hint="eastAsia"/>
          <w:lang w:eastAsia="zh-CN"/>
        </w:rPr>
        <w:t>，电信发展局还</w:t>
      </w:r>
      <w:r w:rsidRPr="000736BC">
        <w:rPr>
          <w:rFonts w:hint="eastAsia"/>
          <w:lang w:eastAsia="zh-CN"/>
        </w:rPr>
        <w:t>重新启动了</w:t>
      </w:r>
      <w:r w:rsidR="005448A5" w:rsidRPr="005448A5">
        <w:rPr>
          <w:lang w:eastAsia="zh-CN"/>
        </w:rPr>
        <w:t>电信</w:t>
      </w:r>
      <w:r w:rsidR="005448A5" w:rsidRPr="005448A5">
        <w:rPr>
          <w:lang w:eastAsia="zh-CN"/>
        </w:rPr>
        <w:t>/ICT</w:t>
      </w:r>
      <w:r w:rsidR="005448A5" w:rsidRPr="005448A5">
        <w:rPr>
          <w:lang w:eastAsia="zh-CN"/>
        </w:rPr>
        <w:t>指标专家组</w:t>
      </w:r>
      <w:r w:rsidR="005448A5">
        <w:rPr>
          <w:rFonts w:hint="eastAsia"/>
          <w:lang w:eastAsia="zh-CN"/>
        </w:rPr>
        <w:t>（</w:t>
      </w:r>
      <w:r w:rsidRPr="000736BC">
        <w:rPr>
          <w:rFonts w:hint="eastAsia"/>
          <w:lang w:eastAsia="zh-CN"/>
        </w:rPr>
        <w:t>EGTI</w:t>
      </w:r>
      <w:r w:rsidR="005448A5">
        <w:rPr>
          <w:rFonts w:hint="eastAsia"/>
          <w:lang w:eastAsia="zh-CN"/>
        </w:rPr>
        <w:t>）</w:t>
      </w:r>
      <w:r w:rsidRPr="000736BC">
        <w:rPr>
          <w:rFonts w:hint="eastAsia"/>
          <w:lang w:eastAsia="zh-CN"/>
        </w:rPr>
        <w:t>国家温室气体排放监测指标分组，</w:t>
      </w:r>
      <w:r w:rsidR="005448A5">
        <w:rPr>
          <w:rFonts w:hint="eastAsia"/>
          <w:lang w:eastAsia="zh-CN"/>
        </w:rPr>
        <w:t>各方</w:t>
      </w:r>
      <w:r w:rsidRPr="000736BC">
        <w:rPr>
          <w:rFonts w:hint="eastAsia"/>
          <w:lang w:eastAsia="zh-CN"/>
        </w:rPr>
        <w:t>参与度很高（每</w:t>
      </w:r>
      <w:r w:rsidR="005448A5">
        <w:rPr>
          <w:rFonts w:hint="eastAsia"/>
          <w:lang w:eastAsia="zh-CN"/>
        </w:rPr>
        <w:t>场</w:t>
      </w:r>
      <w:r w:rsidRPr="000736BC">
        <w:rPr>
          <w:rFonts w:hint="eastAsia"/>
          <w:lang w:eastAsia="zh-CN"/>
        </w:rPr>
        <w:t>会议</w:t>
      </w:r>
      <w:r>
        <w:rPr>
          <w:rFonts w:hint="eastAsia"/>
          <w:lang w:eastAsia="zh-CN"/>
        </w:rPr>
        <w:t>有</w:t>
      </w:r>
      <w:r w:rsidRPr="000736BC">
        <w:rPr>
          <w:rFonts w:hint="eastAsia"/>
          <w:lang w:eastAsia="zh-CN"/>
        </w:rPr>
        <w:t>30</w:t>
      </w:r>
      <w:r>
        <w:rPr>
          <w:rFonts w:hint="eastAsia"/>
          <w:lang w:eastAsia="zh-CN"/>
        </w:rPr>
        <w:t>余</w:t>
      </w:r>
      <w:r w:rsidRPr="000736BC">
        <w:rPr>
          <w:rFonts w:hint="eastAsia"/>
          <w:lang w:eastAsia="zh-CN"/>
        </w:rPr>
        <w:t>名</w:t>
      </w:r>
      <w:r w:rsidR="005448A5">
        <w:rPr>
          <w:rFonts w:hint="eastAsia"/>
          <w:lang w:eastAsia="zh-CN"/>
        </w:rPr>
        <w:t>参与者</w:t>
      </w:r>
      <w:r w:rsidRPr="000736BC">
        <w:rPr>
          <w:rFonts w:hint="eastAsia"/>
          <w:lang w:eastAsia="zh-CN"/>
        </w:rPr>
        <w:t>）。葡萄牙（</w:t>
      </w:r>
      <w:proofErr w:type="spellStart"/>
      <w:r w:rsidRPr="000736BC">
        <w:rPr>
          <w:rFonts w:hint="eastAsia"/>
          <w:lang w:eastAsia="zh-CN"/>
        </w:rPr>
        <w:t>Anacom</w:t>
      </w:r>
      <w:proofErr w:type="spellEnd"/>
      <w:r w:rsidRPr="000736BC">
        <w:rPr>
          <w:rFonts w:hint="eastAsia"/>
          <w:lang w:eastAsia="zh-CN"/>
        </w:rPr>
        <w:t>）和马来西亚（</w:t>
      </w:r>
      <w:r w:rsidRPr="000736BC">
        <w:rPr>
          <w:rFonts w:hint="eastAsia"/>
          <w:lang w:eastAsia="zh-CN"/>
        </w:rPr>
        <w:t>MCMC</w:t>
      </w:r>
      <w:r w:rsidRPr="000736BC">
        <w:rPr>
          <w:rFonts w:hint="eastAsia"/>
          <w:lang w:eastAsia="zh-CN"/>
        </w:rPr>
        <w:t>）已表示有意试行该框架。</w:t>
      </w:r>
      <w:r w:rsidR="005448A5">
        <w:rPr>
          <w:rFonts w:hint="eastAsia"/>
          <w:lang w:eastAsia="zh-CN"/>
        </w:rPr>
        <w:t>在巴西，</w:t>
      </w:r>
      <w:r w:rsidR="005448A5">
        <w:rPr>
          <w:rFonts w:hint="eastAsia"/>
          <w:lang w:eastAsia="zh-CN"/>
        </w:rPr>
        <w:t>2</w:t>
      </w:r>
      <w:r w:rsidR="005448A5">
        <w:rPr>
          <w:rFonts w:hint="eastAsia"/>
          <w:lang w:eastAsia="zh-CN"/>
        </w:rPr>
        <w:t>月</w:t>
      </w:r>
      <w:r w:rsidR="005448A5">
        <w:rPr>
          <w:rFonts w:hint="eastAsia"/>
          <w:lang w:eastAsia="zh-CN"/>
        </w:rPr>
        <w:t>11</w:t>
      </w:r>
      <w:proofErr w:type="gramStart"/>
      <w:r w:rsidR="005448A5">
        <w:rPr>
          <w:rFonts w:hint="eastAsia"/>
          <w:lang w:eastAsia="zh-CN"/>
        </w:rPr>
        <w:t>日举行了关于“</w:t>
      </w:r>
      <w:proofErr w:type="gramEnd"/>
      <w:r w:rsidR="005448A5">
        <w:rPr>
          <w:rFonts w:hint="eastAsia"/>
          <w:lang w:eastAsia="zh-CN"/>
        </w:rPr>
        <w:t>ICT</w:t>
      </w:r>
      <w:proofErr w:type="gramStart"/>
      <w:r w:rsidR="005448A5">
        <w:rPr>
          <w:rFonts w:hint="eastAsia"/>
          <w:lang w:eastAsia="zh-CN"/>
        </w:rPr>
        <w:t>行业排放与能源指标”的在线研讨会</w:t>
      </w:r>
      <w:proofErr w:type="gramEnd"/>
      <w:r w:rsidR="005448A5">
        <w:rPr>
          <w:rFonts w:hint="eastAsia"/>
          <w:lang w:eastAsia="zh-CN"/>
        </w:rPr>
        <w:t>，共有</w:t>
      </w:r>
      <w:r w:rsidR="005448A5">
        <w:rPr>
          <w:rFonts w:hint="eastAsia"/>
          <w:lang w:eastAsia="zh-CN"/>
        </w:rPr>
        <w:t>36</w:t>
      </w:r>
      <w:r w:rsidR="005448A5">
        <w:rPr>
          <w:rFonts w:hint="eastAsia"/>
          <w:lang w:eastAsia="zh-CN"/>
        </w:rPr>
        <w:t>家企业参加；此外还举行了</w:t>
      </w:r>
      <w:r w:rsidR="005448A5">
        <w:rPr>
          <w:rFonts w:hint="eastAsia"/>
          <w:lang w:eastAsia="zh-CN"/>
        </w:rPr>
        <w:t>17</w:t>
      </w:r>
      <w:r w:rsidR="005448A5">
        <w:rPr>
          <w:rFonts w:hint="eastAsia"/>
          <w:lang w:eastAsia="zh-CN"/>
        </w:rPr>
        <w:t>场双边会议，迄今已收到</w:t>
      </w:r>
      <w:r w:rsidR="005448A5">
        <w:rPr>
          <w:rFonts w:hint="eastAsia"/>
          <w:lang w:eastAsia="zh-CN"/>
        </w:rPr>
        <w:t>6</w:t>
      </w:r>
      <w:r w:rsidR="005448A5">
        <w:rPr>
          <w:rFonts w:hint="eastAsia"/>
          <w:lang w:eastAsia="zh-CN"/>
        </w:rPr>
        <w:t>家企业提交的</w:t>
      </w:r>
      <w:r w:rsidRPr="000736BC">
        <w:rPr>
          <w:rFonts w:hint="eastAsia"/>
          <w:lang w:eastAsia="zh-CN"/>
        </w:rPr>
        <w:t>问卷调查表。</w:t>
      </w:r>
    </w:p>
    <w:p w14:paraId="7D77C922" w14:textId="5C9E5B0B" w:rsidR="00C3786A" w:rsidRDefault="00C3786A" w:rsidP="00713809">
      <w:pPr>
        <w:tabs>
          <w:tab w:val="clear" w:pos="1134"/>
          <w:tab w:val="clear" w:pos="1871"/>
          <w:tab w:val="clear" w:pos="2268"/>
          <w:tab w:val="left" w:pos="794"/>
          <w:tab w:val="left" w:pos="1191"/>
          <w:tab w:val="left" w:pos="1588"/>
          <w:tab w:val="left" w:pos="1985"/>
        </w:tabs>
        <w:spacing w:after="120"/>
        <w:ind w:firstLineChars="200" w:firstLine="480"/>
        <w:rPr>
          <w:bCs/>
          <w:lang w:eastAsia="zh-CN"/>
        </w:rPr>
        <w:sectPr w:rsidR="00C3786A" w:rsidSect="005573EC">
          <w:headerReference w:type="default" r:id="rId19"/>
          <w:headerReference w:type="first" r:id="rId20"/>
          <w:pgSz w:w="11907" w:h="16840"/>
          <w:pgMar w:top="1418" w:right="1134" w:bottom="1134" w:left="1134" w:header="720" w:footer="720" w:gutter="0"/>
          <w:cols w:space="720"/>
          <w:docGrid w:linePitch="326"/>
        </w:sectPr>
      </w:pPr>
    </w:p>
    <w:p w14:paraId="53346DB7" w14:textId="77777777" w:rsidR="00521A20" w:rsidRDefault="00BB475A">
      <w:pPr>
        <w:pStyle w:val="Heading2"/>
        <w:rPr>
          <w:lang w:eastAsia="zh-CN"/>
        </w:rPr>
      </w:pPr>
      <w:r>
        <w:rPr>
          <w:rFonts w:hint="eastAsia"/>
          <w:lang w:eastAsia="zh-CN"/>
        </w:rPr>
        <w:lastRenderedPageBreak/>
        <w:t>3.3</w:t>
      </w:r>
      <w:r>
        <w:rPr>
          <w:rFonts w:hint="eastAsia"/>
          <w:lang w:eastAsia="zh-CN"/>
        </w:rPr>
        <w:tab/>
        <w:t>ITU-D</w:t>
      </w:r>
      <w:r>
        <w:rPr>
          <w:rFonts w:hint="eastAsia"/>
          <w:lang w:eastAsia="zh-CN"/>
        </w:rPr>
        <w:t>的重点工作</w:t>
      </w:r>
      <w:r>
        <w:rPr>
          <w:rFonts w:hint="eastAsia"/>
          <w:lang w:eastAsia="zh-CN"/>
        </w:rPr>
        <w:t>3</w:t>
      </w:r>
      <w:r>
        <w:rPr>
          <w:rFonts w:hint="eastAsia"/>
          <w:lang w:eastAsia="zh-CN"/>
        </w:rPr>
        <w:t>：有利的政策和监管环境</w:t>
      </w:r>
    </w:p>
    <w:tbl>
      <w:tblPr>
        <w:tblW w:w="15451" w:type="dxa"/>
        <w:tblInd w:w="-714" w:type="dxa"/>
        <w:tblLook w:val="04A0" w:firstRow="1" w:lastRow="0" w:firstColumn="1" w:lastColumn="0" w:noHBand="0" w:noVBand="1"/>
      </w:tblPr>
      <w:tblGrid>
        <w:gridCol w:w="2127"/>
        <w:gridCol w:w="3260"/>
        <w:gridCol w:w="3119"/>
        <w:gridCol w:w="2268"/>
        <w:gridCol w:w="1559"/>
        <w:gridCol w:w="1559"/>
        <w:gridCol w:w="1559"/>
      </w:tblGrid>
      <w:tr w:rsidR="00521A20" w14:paraId="1A64F443" w14:textId="77777777">
        <w:trPr>
          <w:cantSplit/>
          <w:trHeight w:val="600"/>
          <w:tblHeader/>
        </w:trPr>
        <w:tc>
          <w:tcPr>
            <w:tcW w:w="2127" w:type="dxa"/>
            <w:tcBorders>
              <w:top w:val="single" w:sz="4" w:space="0" w:color="44B3E1"/>
              <w:left w:val="single" w:sz="4" w:space="0" w:color="44B3E1"/>
              <w:bottom w:val="single" w:sz="4" w:space="0" w:color="44B3E1"/>
              <w:right w:val="nil"/>
            </w:tcBorders>
            <w:shd w:val="clear" w:color="156082" w:fill="156082"/>
            <w:noWrap/>
            <w:vAlign w:val="center"/>
          </w:tcPr>
          <w:p w14:paraId="1D61DFEC" w14:textId="77777777" w:rsidR="00521A20" w:rsidRDefault="00BB475A">
            <w:pPr>
              <w:overflowPunct/>
              <w:autoSpaceDE/>
              <w:autoSpaceDN/>
              <w:adjustRightInd/>
              <w:spacing w:before="0"/>
              <w:jc w:val="center"/>
              <w:textAlignment w:val="auto"/>
              <w:rPr>
                <w:rFonts w:cstheme="minorHAnsi"/>
                <w:b/>
                <w:bCs/>
                <w:color w:val="FFFFFF"/>
                <w:sz w:val="20"/>
              </w:rPr>
            </w:pPr>
            <w:proofErr w:type="spellStart"/>
            <w:r>
              <w:rPr>
                <w:rFonts w:hint="eastAsia"/>
                <w:b/>
                <w:color w:val="FFFFFF"/>
                <w:sz w:val="20"/>
              </w:rPr>
              <w:t>重点工作</w:t>
            </w:r>
            <w:proofErr w:type="spellEnd"/>
            <w:r>
              <w:rPr>
                <w:rFonts w:hint="eastAsia"/>
                <w:b/>
                <w:color w:val="FFFFFF"/>
                <w:sz w:val="20"/>
              </w:rPr>
              <w:t>/</w:t>
            </w:r>
            <w:proofErr w:type="spellStart"/>
            <w:r>
              <w:rPr>
                <w:rFonts w:hint="eastAsia"/>
                <w:b/>
                <w:color w:val="FFFFFF"/>
                <w:sz w:val="20"/>
              </w:rPr>
              <w:t>主题</w:t>
            </w:r>
            <w:proofErr w:type="spellEnd"/>
          </w:p>
        </w:tc>
        <w:tc>
          <w:tcPr>
            <w:tcW w:w="3260" w:type="dxa"/>
            <w:tcBorders>
              <w:top w:val="single" w:sz="4" w:space="0" w:color="44B3E1"/>
              <w:left w:val="nil"/>
              <w:bottom w:val="single" w:sz="4" w:space="0" w:color="44B3E1"/>
              <w:right w:val="nil"/>
            </w:tcBorders>
            <w:shd w:val="clear" w:color="156082" w:fill="156082"/>
            <w:vAlign w:val="center"/>
          </w:tcPr>
          <w:p w14:paraId="4ED81D6D" w14:textId="77777777" w:rsidR="00521A20" w:rsidRDefault="00BB475A">
            <w:pPr>
              <w:overflowPunct/>
              <w:autoSpaceDE/>
              <w:autoSpaceDN/>
              <w:adjustRightInd/>
              <w:spacing w:before="0"/>
              <w:jc w:val="center"/>
              <w:textAlignment w:val="auto"/>
              <w:rPr>
                <w:rFonts w:cstheme="minorHAnsi"/>
                <w:b/>
                <w:bCs/>
                <w:color w:val="FFFFFF"/>
                <w:sz w:val="20"/>
              </w:rPr>
            </w:pPr>
            <w:proofErr w:type="spellStart"/>
            <w:r>
              <w:rPr>
                <w:rFonts w:hint="eastAsia"/>
                <w:b/>
                <w:color w:val="FFFFFF"/>
                <w:sz w:val="20"/>
              </w:rPr>
              <w:t>成果</w:t>
            </w:r>
            <w:proofErr w:type="spellEnd"/>
          </w:p>
        </w:tc>
        <w:tc>
          <w:tcPr>
            <w:tcW w:w="3119" w:type="dxa"/>
            <w:tcBorders>
              <w:top w:val="single" w:sz="4" w:space="0" w:color="44B3E1"/>
              <w:left w:val="nil"/>
              <w:bottom w:val="single" w:sz="4" w:space="0" w:color="44B3E1"/>
              <w:right w:val="nil"/>
            </w:tcBorders>
            <w:shd w:val="clear" w:color="156082" w:fill="156082"/>
            <w:vAlign w:val="center"/>
          </w:tcPr>
          <w:p w14:paraId="53EDBD62" w14:textId="77777777" w:rsidR="00521A20" w:rsidRDefault="00BB475A">
            <w:pPr>
              <w:overflowPunct/>
              <w:autoSpaceDE/>
              <w:autoSpaceDN/>
              <w:adjustRightInd/>
              <w:spacing w:before="0"/>
              <w:jc w:val="center"/>
              <w:textAlignment w:val="auto"/>
              <w:rPr>
                <w:rFonts w:cstheme="minorHAnsi"/>
                <w:b/>
                <w:bCs/>
                <w:color w:val="FFFFFF"/>
                <w:sz w:val="20"/>
              </w:rPr>
            </w:pPr>
            <w:proofErr w:type="spellStart"/>
            <w:r>
              <w:rPr>
                <w:rFonts w:hint="eastAsia"/>
                <w:b/>
                <w:color w:val="FFFFFF"/>
                <w:sz w:val="20"/>
              </w:rPr>
              <w:t>成果指标</w:t>
            </w:r>
            <w:proofErr w:type="spellEnd"/>
            <w:r>
              <w:rPr>
                <w:rFonts w:hint="eastAsia"/>
                <w:b/>
                <w:color w:val="FFFFFF"/>
                <w:sz w:val="20"/>
              </w:rPr>
              <w:t xml:space="preserve"> </w:t>
            </w:r>
          </w:p>
        </w:tc>
        <w:tc>
          <w:tcPr>
            <w:tcW w:w="2268" w:type="dxa"/>
            <w:tcBorders>
              <w:top w:val="single" w:sz="4" w:space="0" w:color="44B3E1"/>
              <w:left w:val="nil"/>
              <w:bottom w:val="single" w:sz="4" w:space="0" w:color="44B3E1"/>
              <w:right w:val="nil"/>
            </w:tcBorders>
            <w:shd w:val="clear" w:color="156082" w:fill="156082"/>
            <w:vAlign w:val="center"/>
          </w:tcPr>
          <w:p w14:paraId="628729D2" w14:textId="77777777" w:rsidR="00521A20" w:rsidRDefault="00BB475A">
            <w:pPr>
              <w:overflowPunct/>
              <w:autoSpaceDE/>
              <w:autoSpaceDN/>
              <w:adjustRightInd/>
              <w:spacing w:before="0"/>
              <w:jc w:val="center"/>
              <w:textAlignment w:val="auto"/>
              <w:rPr>
                <w:rFonts w:cstheme="minorHAnsi"/>
                <w:b/>
                <w:bCs/>
                <w:color w:val="FFFFFF"/>
                <w:sz w:val="20"/>
                <w:lang w:eastAsia="zh-CN"/>
              </w:rPr>
            </w:pPr>
            <w:r>
              <w:rPr>
                <w:rFonts w:hint="eastAsia"/>
                <w:b/>
                <w:color w:val="FFFFFF"/>
                <w:sz w:val="20"/>
                <w:lang w:eastAsia="zh-CN"/>
              </w:rPr>
              <w:t>输出成果</w:t>
            </w:r>
            <w:r>
              <w:rPr>
                <w:rFonts w:hint="eastAsia"/>
                <w:b/>
                <w:color w:val="FFFFFF"/>
                <w:sz w:val="20"/>
                <w:lang w:eastAsia="zh-CN"/>
              </w:rPr>
              <w:br/>
            </w:r>
            <w:r>
              <w:rPr>
                <w:rFonts w:hint="eastAsia"/>
                <w:b/>
                <w:color w:val="FFFFFF"/>
                <w:sz w:val="20"/>
                <w:lang w:eastAsia="zh-CN"/>
              </w:rPr>
              <w:t>（</w:t>
            </w:r>
            <w:r>
              <w:rPr>
                <w:rFonts w:hint="eastAsia"/>
                <w:b/>
                <w:color w:val="FFFFFF"/>
                <w:sz w:val="20"/>
                <w:lang w:eastAsia="zh-CN"/>
              </w:rPr>
              <w:t xml:space="preserve">ITU-D </w:t>
            </w:r>
            <w:r>
              <w:rPr>
                <w:rFonts w:hint="eastAsia"/>
                <w:b/>
                <w:color w:val="FFFFFF"/>
                <w:sz w:val="20"/>
                <w:lang w:eastAsia="zh-CN"/>
              </w:rPr>
              <w:t>产品和服务）</w:t>
            </w:r>
          </w:p>
        </w:tc>
        <w:tc>
          <w:tcPr>
            <w:tcW w:w="1559" w:type="dxa"/>
            <w:tcBorders>
              <w:top w:val="single" w:sz="4" w:space="0" w:color="44B3E1"/>
              <w:left w:val="nil"/>
              <w:bottom w:val="single" w:sz="4" w:space="0" w:color="44B3E1"/>
              <w:right w:val="nil"/>
            </w:tcBorders>
            <w:shd w:val="clear" w:color="156082" w:fill="156082"/>
            <w:vAlign w:val="center"/>
          </w:tcPr>
          <w:p w14:paraId="765C5998" w14:textId="77777777" w:rsidR="00521A20" w:rsidRDefault="00BB475A">
            <w:pPr>
              <w:overflowPunct/>
              <w:autoSpaceDE/>
              <w:autoSpaceDN/>
              <w:adjustRightInd/>
              <w:spacing w:before="0"/>
              <w:jc w:val="center"/>
              <w:textAlignment w:val="auto"/>
              <w:rPr>
                <w:rFonts w:cstheme="minorHAnsi"/>
                <w:b/>
                <w:bCs/>
                <w:color w:val="FFFFFF"/>
                <w:sz w:val="20"/>
              </w:rPr>
            </w:pPr>
            <w:r>
              <w:rPr>
                <w:rFonts w:hint="eastAsia"/>
                <w:b/>
                <w:color w:val="FFFFFF"/>
                <w:sz w:val="20"/>
              </w:rPr>
              <w:t>2026</w:t>
            </w:r>
            <w:proofErr w:type="spellStart"/>
            <w:r>
              <w:rPr>
                <w:rFonts w:hint="eastAsia"/>
                <w:b/>
                <w:color w:val="FFFFFF"/>
                <w:sz w:val="20"/>
              </w:rPr>
              <w:t>年预算（瑞郎</w:t>
            </w:r>
            <w:proofErr w:type="spellEnd"/>
            <w:r>
              <w:rPr>
                <w:rFonts w:hint="eastAsia"/>
                <w:b/>
                <w:color w:val="FFFFFF"/>
                <w:sz w:val="20"/>
              </w:rPr>
              <w:t>）</w:t>
            </w:r>
          </w:p>
        </w:tc>
        <w:tc>
          <w:tcPr>
            <w:tcW w:w="1559" w:type="dxa"/>
            <w:tcBorders>
              <w:top w:val="single" w:sz="4" w:space="0" w:color="44B3E1"/>
              <w:left w:val="nil"/>
              <w:bottom w:val="single" w:sz="4" w:space="0" w:color="44B3E1"/>
              <w:right w:val="nil"/>
            </w:tcBorders>
            <w:shd w:val="clear" w:color="156082" w:fill="156082"/>
            <w:vAlign w:val="center"/>
          </w:tcPr>
          <w:p w14:paraId="4FE6032B" w14:textId="77777777" w:rsidR="00521A20" w:rsidRDefault="00BB475A">
            <w:pPr>
              <w:overflowPunct/>
              <w:autoSpaceDE/>
              <w:autoSpaceDN/>
              <w:adjustRightInd/>
              <w:spacing w:before="0"/>
              <w:jc w:val="center"/>
              <w:textAlignment w:val="auto"/>
              <w:rPr>
                <w:rFonts w:cstheme="minorHAnsi"/>
                <w:b/>
                <w:bCs/>
                <w:color w:val="FFFFFF"/>
                <w:sz w:val="20"/>
                <w:lang w:eastAsia="zh-CN"/>
              </w:rPr>
            </w:pPr>
            <w:r>
              <w:rPr>
                <w:rFonts w:hint="eastAsia"/>
                <w:b/>
                <w:color w:val="FFFFFF"/>
                <w:sz w:val="20"/>
                <w:lang w:eastAsia="zh-CN"/>
              </w:rPr>
              <w:t>占重点工作</w:t>
            </w:r>
            <w:r>
              <w:rPr>
                <w:rFonts w:hint="eastAsia"/>
                <w:b/>
                <w:color w:val="FFFFFF"/>
                <w:sz w:val="20"/>
                <w:lang w:eastAsia="zh-CN"/>
              </w:rPr>
              <w:t>/</w:t>
            </w:r>
            <w:r>
              <w:rPr>
                <w:rFonts w:hint="eastAsia"/>
                <w:b/>
                <w:color w:val="FFFFFF"/>
                <w:sz w:val="20"/>
                <w:lang w:eastAsia="zh-CN"/>
              </w:rPr>
              <w:t>推动因素总数的百分比</w:t>
            </w:r>
          </w:p>
        </w:tc>
        <w:tc>
          <w:tcPr>
            <w:tcW w:w="1559" w:type="dxa"/>
            <w:tcBorders>
              <w:top w:val="single" w:sz="4" w:space="0" w:color="44B3E1"/>
              <w:left w:val="nil"/>
              <w:bottom w:val="single" w:sz="4" w:space="0" w:color="44B3E1"/>
              <w:right w:val="single" w:sz="4" w:space="0" w:color="44B3E1"/>
            </w:tcBorders>
            <w:shd w:val="clear" w:color="156082" w:fill="156082"/>
            <w:vAlign w:val="center"/>
          </w:tcPr>
          <w:p w14:paraId="461478A4" w14:textId="77777777" w:rsidR="00521A20" w:rsidRDefault="00BB475A">
            <w:pPr>
              <w:overflowPunct/>
              <w:autoSpaceDE/>
              <w:autoSpaceDN/>
              <w:adjustRightInd/>
              <w:spacing w:before="0"/>
              <w:jc w:val="center"/>
              <w:textAlignment w:val="auto"/>
              <w:rPr>
                <w:rFonts w:cstheme="minorHAnsi"/>
                <w:b/>
                <w:bCs/>
                <w:color w:val="FFFFFF"/>
                <w:sz w:val="20"/>
              </w:rPr>
            </w:pPr>
            <w:proofErr w:type="spellStart"/>
            <w:r>
              <w:rPr>
                <w:rFonts w:hint="eastAsia"/>
                <w:b/>
                <w:color w:val="FFFFFF"/>
                <w:sz w:val="20"/>
              </w:rPr>
              <w:t>占总预算的百分比</w:t>
            </w:r>
            <w:proofErr w:type="spellEnd"/>
          </w:p>
        </w:tc>
      </w:tr>
      <w:tr w:rsidR="00521A20" w14:paraId="645FF4CA" w14:textId="77777777">
        <w:trPr>
          <w:trHeight w:val="300"/>
        </w:trPr>
        <w:tc>
          <w:tcPr>
            <w:tcW w:w="5387" w:type="dxa"/>
            <w:gridSpan w:val="2"/>
            <w:tcBorders>
              <w:top w:val="single" w:sz="4" w:space="0" w:color="44B3E1"/>
              <w:left w:val="single" w:sz="4" w:space="0" w:color="44B3E1"/>
              <w:bottom w:val="single" w:sz="4" w:space="0" w:color="44B3E1"/>
              <w:right w:val="nil"/>
            </w:tcBorders>
            <w:shd w:val="clear" w:color="C0E6F5" w:fill="C0E6F5"/>
            <w:noWrap/>
          </w:tcPr>
          <w:p w14:paraId="2DFB6929" w14:textId="77777777" w:rsidR="00521A20" w:rsidRDefault="00BB475A">
            <w:pPr>
              <w:overflowPunct/>
              <w:autoSpaceDE/>
              <w:autoSpaceDN/>
              <w:adjustRightInd/>
              <w:spacing w:before="0"/>
              <w:textAlignment w:val="auto"/>
              <w:rPr>
                <w:rFonts w:cstheme="minorHAnsi"/>
                <w:b/>
                <w:bCs/>
                <w:color w:val="000000"/>
                <w:sz w:val="20"/>
                <w:lang w:eastAsia="zh-CN"/>
              </w:rPr>
            </w:pPr>
            <w:r>
              <w:rPr>
                <w:rFonts w:hint="eastAsia"/>
                <w:b/>
                <w:color w:val="000000"/>
                <w:sz w:val="20"/>
                <w:lang w:eastAsia="zh-CN"/>
              </w:rPr>
              <w:t>所有有利的政策和监管环境</w:t>
            </w:r>
          </w:p>
        </w:tc>
        <w:tc>
          <w:tcPr>
            <w:tcW w:w="3119" w:type="dxa"/>
            <w:tcBorders>
              <w:top w:val="single" w:sz="4" w:space="0" w:color="44B3E1"/>
              <w:left w:val="nil"/>
              <w:bottom w:val="single" w:sz="4" w:space="0" w:color="44B3E1"/>
              <w:right w:val="nil"/>
            </w:tcBorders>
            <w:shd w:val="clear" w:color="C0E6F5" w:fill="C0E6F5"/>
            <w:noWrap/>
          </w:tcPr>
          <w:p w14:paraId="20FE13ED" w14:textId="77777777" w:rsidR="00521A20" w:rsidRDefault="00521A20">
            <w:pPr>
              <w:overflowPunct/>
              <w:autoSpaceDE/>
              <w:autoSpaceDN/>
              <w:adjustRightInd/>
              <w:spacing w:before="0"/>
              <w:textAlignment w:val="auto"/>
              <w:rPr>
                <w:rFonts w:cstheme="minorHAnsi"/>
                <w:b/>
                <w:bCs/>
                <w:color w:val="000000"/>
                <w:sz w:val="20"/>
                <w:lang w:eastAsia="zh-CN"/>
              </w:rPr>
            </w:pPr>
          </w:p>
        </w:tc>
        <w:tc>
          <w:tcPr>
            <w:tcW w:w="2268" w:type="dxa"/>
            <w:tcBorders>
              <w:top w:val="single" w:sz="4" w:space="0" w:color="44B3E1"/>
              <w:left w:val="nil"/>
              <w:bottom w:val="single" w:sz="4" w:space="0" w:color="44B3E1"/>
              <w:right w:val="nil"/>
            </w:tcBorders>
            <w:shd w:val="clear" w:color="C0E6F5" w:fill="C0E6F5"/>
            <w:noWrap/>
          </w:tcPr>
          <w:p w14:paraId="4E4F3042" w14:textId="77777777" w:rsidR="00521A20" w:rsidRDefault="00521A20">
            <w:pPr>
              <w:overflowPunct/>
              <w:autoSpaceDE/>
              <w:autoSpaceDN/>
              <w:adjustRightInd/>
              <w:spacing w:before="0"/>
              <w:textAlignment w:val="auto"/>
              <w:rPr>
                <w:rFonts w:cstheme="minorHAnsi"/>
                <w:sz w:val="20"/>
                <w:lang w:eastAsia="zh-CN"/>
              </w:rPr>
            </w:pPr>
          </w:p>
        </w:tc>
        <w:tc>
          <w:tcPr>
            <w:tcW w:w="1559" w:type="dxa"/>
            <w:tcBorders>
              <w:top w:val="single" w:sz="4" w:space="0" w:color="44B3E1"/>
              <w:left w:val="nil"/>
              <w:bottom w:val="single" w:sz="4" w:space="0" w:color="44B3E1"/>
              <w:right w:val="nil"/>
            </w:tcBorders>
            <w:shd w:val="clear" w:color="C0E6F5" w:fill="C0E6F5"/>
            <w:noWrap/>
          </w:tcPr>
          <w:p w14:paraId="4EFB208D" w14:textId="7F85CD8B" w:rsidR="00521A20" w:rsidRDefault="00BB475A">
            <w:pPr>
              <w:overflowPunct/>
              <w:autoSpaceDE/>
              <w:autoSpaceDN/>
              <w:adjustRightInd/>
              <w:spacing w:before="0"/>
              <w:jc w:val="right"/>
              <w:textAlignment w:val="auto"/>
              <w:rPr>
                <w:rFonts w:cstheme="minorHAnsi"/>
                <w:b/>
                <w:bCs/>
                <w:color w:val="000000"/>
                <w:sz w:val="20"/>
              </w:rPr>
            </w:pPr>
            <w:r>
              <w:rPr>
                <w:rFonts w:cstheme="minorHAnsi"/>
                <w:b/>
                <w:bCs/>
                <w:color w:val="000000"/>
                <w:sz w:val="20"/>
                <w:lang w:eastAsia="en-GB"/>
              </w:rPr>
              <w:t>725,000</w:t>
            </w:r>
          </w:p>
        </w:tc>
        <w:tc>
          <w:tcPr>
            <w:tcW w:w="1559" w:type="dxa"/>
            <w:tcBorders>
              <w:top w:val="single" w:sz="4" w:space="0" w:color="44B3E1"/>
              <w:left w:val="nil"/>
              <w:bottom w:val="single" w:sz="4" w:space="0" w:color="44B3E1"/>
              <w:right w:val="nil"/>
            </w:tcBorders>
            <w:shd w:val="clear" w:color="C0E6F5" w:fill="C0E6F5"/>
            <w:noWrap/>
          </w:tcPr>
          <w:p w14:paraId="131CB37E" w14:textId="77777777" w:rsidR="00521A20" w:rsidRDefault="00521A20">
            <w:pPr>
              <w:overflowPunct/>
              <w:autoSpaceDE/>
              <w:autoSpaceDN/>
              <w:adjustRightInd/>
              <w:spacing w:before="0"/>
              <w:jc w:val="right"/>
              <w:textAlignment w:val="auto"/>
              <w:rPr>
                <w:rFonts w:cstheme="minorHAnsi"/>
                <w:b/>
                <w:bCs/>
                <w:color w:val="000000"/>
                <w:sz w:val="20"/>
                <w:lang w:eastAsia="en-GB"/>
              </w:rPr>
            </w:pPr>
          </w:p>
        </w:tc>
        <w:tc>
          <w:tcPr>
            <w:tcW w:w="1559" w:type="dxa"/>
            <w:tcBorders>
              <w:top w:val="single" w:sz="4" w:space="0" w:color="44B3E1"/>
              <w:left w:val="nil"/>
              <w:bottom w:val="single" w:sz="4" w:space="0" w:color="44B3E1"/>
              <w:right w:val="single" w:sz="4" w:space="0" w:color="44B3E1"/>
            </w:tcBorders>
            <w:shd w:val="clear" w:color="C0E6F5" w:fill="C0E6F5"/>
            <w:noWrap/>
          </w:tcPr>
          <w:p w14:paraId="4F1E9C53" w14:textId="4B2B5A10" w:rsidR="00521A20" w:rsidRDefault="00BB475A">
            <w:pPr>
              <w:overflowPunct/>
              <w:autoSpaceDE/>
              <w:autoSpaceDN/>
              <w:adjustRightInd/>
              <w:spacing w:before="0"/>
              <w:jc w:val="center"/>
              <w:textAlignment w:val="auto"/>
              <w:rPr>
                <w:rFonts w:cstheme="minorHAnsi"/>
                <w:b/>
                <w:bCs/>
                <w:color w:val="000000"/>
                <w:sz w:val="20"/>
              </w:rPr>
            </w:pPr>
            <w:r>
              <w:rPr>
                <w:rFonts w:hint="eastAsia"/>
                <w:b/>
                <w:color w:val="000000"/>
                <w:sz w:val="20"/>
                <w:lang w:val="en-US" w:eastAsia="zh-CN"/>
              </w:rPr>
              <w:t>19.01</w:t>
            </w:r>
            <w:r>
              <w:rPr>
                <w:rFonts w:hint="eastAsia"/>
                <w:b/>
                <w:color w:val="000000"/>
                <w:sz w:val="20"/>
              </w:rPr>
              <w:t>%</w:t>
            </w:r>
          </w:p>
        </w:tc>
      </w:tr>
      <w:tr w:rsidR="00521A20" w14:paraId="47754C59" w14:textId="77777777">
        <w:trPr>
          <w:trHeight w:val="1357"/>
        </w:trPr>
        <w:tc>
          <w:tcPr>
            <w:tcW w:w="2127" w:type="dxa"/>
            <w:tcBorders>
              <w:top w:val="single" w:sz="4" w:space="0" w:color="44B3E1"/>
              <w:left w:val="single" w:sz="4" w:space="0" w:color="44B3E1"/>
              <w:bottom w:val="single" w:sz="4" w:space="0" w:color="44B3E1"/>
              <w:right w:val="nil"/>
            </w:tcBorders>
            <w:noWrap/>
          </w:tcPr>
          <w:p w14:paraId="503EE504" w14:textId="77777777" w:rsidR="00521A20" w:rsidRDefault="00BB475A">
            <w:pPr>
              <w:overflowPunct/>
              <w:autoSpaceDE/>
              <w:autoSpaceDN/>
              <w:adjustRightInd/>
              <w:spacing w:before="0"/>
              <w:textAlignment w:val="auto"/>
              <w:rPr>
                <w:rFonts w:cstheme="minorHAnsi"/>
                <w:b/>
                <w:bCs/>
                <w:color w:val="000000"/>
                <w:sz w:val="20"/>
              </w:rPr>
            </w:pPr>
            <w:proofErr w:type="spellStart"/>
            <w:r>
              <w:rPr>
                <w:rFonts w:hint="eastAsia"/>
                <w:b/>
                <w:color w:val="000000"/>
                <w:sz w:val="20"/>
              </w:rPr>
              <w:t>政策和监管</w:t>
            </w:r>
            <w:proofErr w:type="spellEnd"/>
          </w:p>
        </w:tc>
        <w:tc>
          <w:tcPr>
            <w:tcW w:w="3260" w:type="dxa"/>
            <w:tcBorders>
              <w:top w:val="single" w:sz="4" w:space="0" w:color="44B3E1"/>
              <w:left w:val="nil"/>
              <w:bottom w:val="single" w:sz="4" w:space="0" w:color="44B3E1"/>
              <w:right w:val="nil"/>
            </w:tcBorders>
          </w:tcPr>
          <w:p w14:paraId="17E4990E" w14:textId="77777777" w:rsidR="00521A20" w:rsidRDefault="00BB475A">
            <w:pPr>
              <w:overflowPunct/>
              <w:autoSpaceDE/>
              <w:autoSpaceDN/>
              <w:adjustRightInd/>
              <w:spacing w:before="0"/>
              <w:textAlignment w:val="auto"/>
              <w:rPr>
                <w:rFonts w:cstheme="minorHAnsi"/>
                <w:color w:val="000000"/>
                <w:sz w:val="20"/>
                <w:lang w:eastAsia="zh-CN"/>
              </w:rPr>
            </w:pPr>
            <w:r>
              <w:rPr>
                <w:rFonts w:hint="eastAsia"/>
                <w:color w:val="000000"/>
                <w:sz w:val="20"/>
                <w:lang w:eastAsia="zh-CN"/>
              </w:rPr>
              <w:t>•成员国加强其有利于可持续发展和数字化转型的电信</w:t>
            </w:r>
            <w:r>
              <w:rPr>
                <w:rFonts w:hint="eastAsia"/>
                <w:color w:val="000000"/>
                <w:sz w:val="20"/>
                <w:lang w:eastAsia="zh-CN"/>
              </w:rPr>
              <w:t>/ICT</w:t>
            </w:r>
            <w:r>
              <w:rPr>
                <w:rFonts w:hint="eastAsia"/>
                <w:color w:val="000000"/>
                <w:sz w:val="20"/>
                <w:lang w:eastAsia="zh-CN"/>
              </w:rPr>
              <w:t>政策、法律和监管框架的能力</w:t>
            </w:r>
            <w:r>
              <w:rPr>
                <w:rFonts w:hint="eastAsia"/>
                <w:color w:val="000000"/>
                <w:sz w:val="20"/>
                <w:lang w:eastAsia="zh-CN"/>
              </w:rPr>
              <w:br/>
            </w:r>
            <w:r>
              <w:rPr>
                <w:rFonts w:hint="eastAsia"/>
                <w:color w:val="000000"/>
                <w:sz w:val="20"/>
                <w:lang w:eastAsia="zh-CN"/>
              </w:rPr>
              <w:t>•加强成员国更新天基电信</w:t>
            </w:r>
            <w:r>
              <w:rPr>
                <w:rFonts w:hint="eastAsia"/>
                <w:color w:val="000000"/>
                <w:sz w:val="20"/>
                <w:lang w:eastAsia="zh-CN"/>
              </w:rPr>
              <w:t>/ICT</w:t>
            </w:r>
            <w:r>
              <w:rPr>
                <w:rFonts w:hint="eastAsia"/>
                <w:color w:val="000000"/>
                <w:sz w:val="20"/>
                <w:lang w:eastAsia="zh-CN"/>
              </w:rPr>
              <w:t>监管框架的能力</w:t>
            </w:r>
          </w:p>
        </w:tc>
        <w:tc>
          <w:tcPr>
            <w:tcW w:w="3119" w:type="dxa"/>
            <w:tcBorders>
              <w:top w:val="single" w:sz="4" w:space="0" w:color="44B3E1"/>
              <w:left w:val="nil"/>
              <w:bottom w:val="single" w:sz="4" w:space="0" w:color="44B3E1"/>
              <w:right w:val="nil"/>
            </w:tcBorders>
          </w:tcPr>
          <w:p w14:paraId="37D07651" w14:textId="77777777" w:rsidR="00521A20" w:rsidRDefault="00BB475A">
            <w:pPr>
              <w:overflowPunct/>
              <w:autoSpaceDE/>
              <w:autoSpaceDN/>
              <w:adjustRightInd/>
              <w:spacing w:before="0"/>
              <w:textAlignment w:val="auto"/>
              <w:rPr>
                <w:color w:val="000000"/>
                <w:sz w:val="20"/>
                <w:lang w:eastAsia="zh-CN"/>
              </w:rPr>
            </w:pPr>
            <w:r>
              <w:rPr>
                <w:rFonts w:hint="eastAsia"/>
                <w:color w:val="000000"/>
                <w:sz w:val="20"/>
                <w:lang w:eastAsia="zh-CN"/>
              </w:rPr>
              <w:t>•向下一代监管（</w:t>
            </w:r>
            <w:r>
              <w:rPr>
                <w:rFonts w:hint="eastAsia"/>
                <w:color w:val="000000"/>
                <w:sz w:val="20"/>
                <w:lang w:eastAsia="zh-CN"/>
              </w:rPr>
              <w:t>G1-G4</w:t>
            </w:r>
            <w:r>
              <w:rPr>
                <w:rFonts w:hint="eastAsia"/>
                <w:color w:val="000000"/>
                <w:sz w:val="20"/>
                <w:lang w:eastAsia="zh-CN"/>
              </w:rPr>
              <w:t>）迈进和</w:t>
            </w:r>
            <w:r>
              <w:rPr>
                <w:rFonts w:hint="eastAsia"/>
                <w:color w:val="000000"/>
                <w:sz w:val="20"/>
                <w:lang w:eastAsia="zh-CN"/>
              </w:rPr>
              <w:t>/</w:t>
            </w:r>
            <w:r>
              <w:rPr>
                <w:rFonts w:hint="eastAsia"/>
                <w:color w:val="000000"/>
                <w:sz w:val="20"/>
                <w:lang w:eastAsia="zh-CN"/>
              </w:rPr>
              <w:t>或为应对数字化转型做好更高水平准备（</w:t>
            </w:r>
            <w:r>
              <w:rPr>
                <w:rFonts w:hint="eastAsia"/>
                <w:color w:val="000000"/>
                <w:sz w:val="20"/>
                <w:lang w:eastAsia="zh-CN"/>
              </w:rPr>
              <w:t>G5</w:t>
            </w:r>
            <w:r>
              <w:rPr>
                <w:rFonts w:hint="eastAsia"/>
                <w:color w:val="000000"/>
                <w:sz w:val="20"/>
                <w:lang w:eastAsia="zh-CN"/>
              </w:rPr>
              <w:t>）的国家数量。</w:t>
            </w:r>
            <w:r>
              <w:rPr>
                <w:rFonts w:hint="eastAsia"/>
                <w:color w:val="000000"/>
                <w:sz w:val="20"/>
                <w:lang w:eastAsia="zh-CN"/>
              </w:rPr>
              <w:br/>
            </w:r>
            <w:r>
              <w:rPr>
                <w:rFonts w:hint="eastAsia"/>
                <w:color w:val="000000"/>
                <w:sz w:val="20"/>
                <w:lang w:eastAsia="zh-CN"/>
              </w:rPr>
              <w:t>•已建立天基电信</w:t>
            </w:r>
            <w:r>
              <w:rPr>
                <w:rFonts w:hint="eastAsia"/>
                <w:color w:val="000000"/>
                <w:sz w:val="20"/>
                <w:lang w:eastAsia="zh-CN"/>
              </w:rPr>
              <w:t>/ICT</w:t>
            </w:r>
            <w:r>
              <w:rPr>
                <w:rFonts w:hint="eastAsia"/>
                <w:color w:val="000000"/>
                <w:sz w:val="20"/>
                <w:lang w:eastAsia="zh-CN"/>
              </w:rPr>
              <w:t>监管框架的成员国数量</w:t>
            </w:r>
          </w:p>
        </w:tc>
        <w:tc>
          <w:tcPr>
            <w:tcW w:w="2268" w:type="dxa"/>
            <w:tcBorders>
              <w:top w:val="single" w:sz="4" w:space="0" w:color="44B3E1"/>
              <w:left w:val="nil"/>
              <w:bottom w:val="single" w:sz="4" w:space="0" w:color="44B3E1"/>
              <w:right w:val="nil"/>
            </w:tcBorders>
          </w:tcPr>
          <w:p w14:paraId="5357DF29" w14:textId="77777777" w:rsidR="00521A20" w:rsidRDefault="00BB475A">
            <w:pPr>
              <w:overflowPunct/>
              <w:autoSpaceDE/>
              <w:autoSpaceDN/>
              <w:adjustRightInd/>
              <w:spacing w:before="0"/>
              <w:textAlignment w:val="auto"/>
              <w:rPr>
                <w:rFonts w:cstheme="minorHAnsi"/>
                <w:color w:val="000000"/>
                <w:sz w:val="20"/>
                <w:lang w:eastAsia="zh-CN"/>
              </w:rPr>
            </w:pPr>
            <w:r>
              <w:rPr>
                <w:rFonts w:hint="eastAsia"/>
                <w:color w:val="000000"/>
                <w:sz w:val="20"/>
                <w:lang w:eastAsia="zh-CN"/>
              </w:rPr>
              <w:t>•学习框架</w:t>
            </w:r>
            <w:r>
              <w:rPr>
                <w:rFonts w:hint="eastAsia"/>
                <w:color w:val="000000"/>
                <w:sz w:val="20"/>
                <w:lang w:eastAsia="zh-CN"/>
              </w:rPr>
              <w:br/>
            </w:r>
            <w:r>
              <w:rPr>
                <w:rFonts w:hint="eastAsia"/>
                <w:color w:val="000000"/>
                <w:sz w:val="20"/>
                <w:lang w:eastAsia="zh-CN"/>
              </w:rPr>
              <w:t>•召集平台</w:t>
            </w:r>
            <w:r>
              <w:rPr>
                <w:rFonts w:hint="eastAsia"/>
                <w:color w:val="000000"/>
                <w:sz w:val="20"/>
                <w:lang w:eastAsia="zh-CN"/>
              </w:rPr>
              <w:br/>
            </w:r>
            <w:r>
              <w:rPr>
                <w:rFonts w:hint="eastAsia"/>
                <w:color w:val="000000"/>
                <w:sz w:val="20"/>
                <w:lang w:eastAsia="zh-CN"/>
              </w:rPr>
              <w:t>•示范政策和战略、工具包</w:t>
            </w:r>
            <w:r>
              <w:rPr>
                <w:rFonts w:hint="eastAsia"/>
                <w:color w:val="000000"/>
                <w:sz w:val="20"/>
                <w:lang w:eastAsia="zh-CN"/>
              </w:rPr>
              <w:br/>
            </w:r>
            <w:r>
              <w:rPr>
                <w:rFonts w:hint="eastAsia"/>
                <w:color w:val="000000"/>
                <w:sz w:val="20"/>
                <w:lang w:eastAsia="zh-CN"/>
              </w:rPr>
              <w:t>•技术干预</w:t>
            </w:r>
          </w:p>
        </w:tc>
        <w:tc>
          <w:tcPr>
            <w:tcW w:w="1559" w:type="dxa"/>
            <w:tcBorders>
              <w:top w:val="single" w:sz="4" w:space="0" w:color="44B3E1"/>
              <w:left w:val="nil"/>
              <w:bottom w:val="single" w:sz="4" w:space="0" w:color="44B3E1"/>
              <w:right w:val="nil"/>
            </w:tcBorders>
            <w:noWrap/>
          </w:tcPr>
          <w:p w14:paraId="6D190AA6" w14:textId="592AE85C" w:rsidR="00521A20" w:rsidRDefault="00BB475A">
            <w:pPr>
              <w:overflowPunct/>
              <w:autoSpaceDE/>
              <w:autoSpaceDN/>
              <w:adjustRightInd/>
              <w:spacing w:before="0"/>
              <w:jc w:val="right"/>
              <w:textAlignment w:val="auto"/>
              <w:rPr>
                <w:rFonts w:cstheme="minorHAnsi"/>
                <w:color w:val="000000"/>
                <w:sz w:val="20"/>
              </w:rPr>
            </w:pPr>
            <w:r>
              <w:rPr>
                <w:rFonts w:hint="eastAsia"/>
                <w:color w:val="000000"/>
                <w:sz w:val="20"/>
                <w:lang w:val="en-US" w:eastAsia="zh-CN"/>
              </w:rPr>
              <w:t>370</w:t>
            </w:r>
            <w:r>
              <w:rPr>
                <w:rFonts w:hint="eastAsia"/>
                <w:color w:val="000000"/>
                <w:sz w:val="20"/>
              </w:rPr>
              <w:t>,000</w:t>
            </w:r>
          </w:p>
        </w:tc>
        <w:tc>
          <w:tcPr>
            <w:tcW w:w="1559" w:type="dxa"/>
            <w:tcBorders>
              <w:top w:val="single" w:sz="4" w:space="0" w:color="44B3E1"/>
              <w:left w:val="nil"/>
              <w:bottom w:val="single" w:sz="4" w:space="0" w:color="44B3E1"/>
              <w:right w:val="nil"/>
            </w:tcBorders>
            <w:noWrap/>
          </w:tcPr>
          <w:p w14:paraId="74BA6B93" w14:textId="5E20F560" w:rsidR="00521A20" w:rsidRDefault="00BB475A">
            <w:pPr>
              <w:overflowPunct/>
              <w:autoSpaceDE/>
              <w:autoSpaceDN/>
              <w:adjustRightInd/>
              <w:spacing w:before="0"/>
              <w:jc w:val="center"/>
              <w:textAlignment w:val="auto"/>
              <w:rPr>
                <w:rFonts w:cstheme="minorHAnsi"/>
                <w:color w:val="000000"/>
                <w:sz w:val="20"/>
              </w:rPr>
            </w:pPr>
            <w:r>
              <w:rPr>
                <w:rFonts w:hint="eastAsia"/>
                <w:color w:val="000000"/>
                <w:sz w:val="20"/>
                <w:lang w:val="en-US" w:eastAsia="zh-CN"/>
              </w:rPr>
              <w:t>51.0</w:t>
            </w:r>
            <w:r>
              <w:rPr>
                <w:rFonts w:hint="eastAsia"/>
                <w:color w:val="000000"/>
                <w:sz w:val="20"/>
              </w:rPr>
              <w:t>%</w:t>
            </w:r>
          </w:p>
        </w:tc>
        <w:tc>
          <w:tcPr>
            <w:tcW w:w="1559" w:type="dxa"/>
            <w:tcBorders>
              <w:top w:val="single" w:sz="4" w:space="0" w:color="44B3E1"/>
              <w:left w:val="nil"/>
              <w:bottom w:val="single" w:sz="4" w:space="0" w:color="44B3E1"/>
              <w:right w:val="single" w:sz="4" w:space="0" w:color="44B3E1"/>
            </w:tcBorders>
            <w:noWrap/>
          </w:tcPr>
          <w:p w14:paraId="2EBDEE8C" w14:textId="3172498E" w:rsidR="00521A20" w:rsidRDefault="00BB475A">
            <w:pPr>
              <w:overflowPunct/>
              <w:autoSpaceDE/>
              <w:autoSpaceDN/>
              <w:adjustRightInd/>
              <w:spacing w:before="0"/>
              <w:jc w:val="center"/>
              <w:textAlignment w:val="auto"/>
              <w:rPr>
                <w:rFonts w:cstheme="minorHAnsi"/>
                <w:color w:val="000000"/>
                <w:sz w:val="20"/>
              </w:rPr>
            </w:pPr>
            <w:r>
              <w:rPr>
                <w:rFonts w:hint="eastAsia"/>
                <w:color w:val="000000"/>
                <w:sz w:val="20"/>
                <w:lang w:val="en-US" w:eastAsia="zh-CN"/>
              </w:rPr>
              <w:t>9.7</w:t>
            </w:r>
            <w:r>
              <w:rPr>
                <w:rFonts w:hint="eastAsia"/>
                <w:color w:val="000000"/>
                <w:sz w:val="20"/>
              </w:rPr>
              <w:t>%</w:t>
            </w:r>
          </w:p>
        </w:tc>
      </w:tr>
      <w:tr w:rsidR="00521A20" w14:paraId="5B72C988" w14:textId="77777777">
        <w:trPr>
          <w:trHeight w:val="809"/>
        </w:trPr>
        <w:tc>
          <w:tcPr>
            <w:tcW w:w="2127" w:type="dxa"/>
            <w:tcBorders>
              <w:top w:val="single" w:sz="4" w:space="0" w:color="44B3E1"/>
              <w:left w:val="single" w:sz="4" w:space="0" w:color="44B3E1"/>
              <w:bottom w:val="single" w:sz="4" w:space="0" w:color="44B3E1"/>
              <w:right w:val="nil"/>
            </w:tcBorders>
            <w:shd w:val="clear" w:color="C0E6F5" w:fill="C0E6F5"/>
            <w:noWrap/>
          </w:tcPr>
          <w:p w14:paraId="79FEC3DA" w14:textId="77777777" w:rsidR="00521A20" w:rsidRDefault="00BB475A">
            <w:pPr>
              <w:overflowPunct/>
              <w:autoSpaceDE/>
              <w:autoSpaceDN/>
              <w:adjustRightInd/>
              <w:spacing w:before="0"/>
              <w:textAlignment w:val="auto"/>
              <w:rPr>
                <w:rFonts w:cstheme="minorHAnsi"/>
                <w:b/>
                <w:bCs/>
                <w:color w:val="000000"/>
                <w:sz w:val="20"/>
              </w:rPr>
            </w:pPr>
            <w:proofErr w:type="spellStart"/>
            <w:r>
              <w:rPr>
                <w:rFonts w:hint="eastAsia"/>
                <w:b/>
                <w:color w:val="000000"/>
                <w:sz w:val="20"/>
              </w:rPr>
              <w:t>提供数据和统计数字</w:t>
            </w:r>
            <w:proofErr w:type="spellEnd"/>
          </w:p>
        </w:tc>
        <w:tc>
          <w:tcPr>
            <w:tcW w:w="3260" w:type="dxa"/>
            <w:tcBorders>
              <w:top w:val="single" w:sz="4" w:space="0" w:color="44B3E1"/>
              <w:left w:val="nil"/>
              <w:bottom w:val="single" w:sz="4" w:space="0" w:color="44B3E1"/>
              <w:right w:val="nil"/>
            </w:tcBorders>
            <w:shd w:val="clear" w:color="C0E6F5" w:fill="C0E6F5"/>
          </w:tcPr>
          <w:p w14:paraId="3DAC7403" w14:textId="77777777" w:rsidR="00521A20" w:rsidRDefault="00BB475A">
            <w:pPr>
              <w:overflowPunct/>
              <w:autoSpaceDE/>
              <w:autoSpaceDN/>
              <w:adjustRightInd/>
              <w:spacing w:before="0"/>
              <w:textAlignment w:val="auto"/>
              <w:rPr>
                <w:rFonts w:cstheme="minorHAnsi"/>
                <w:color w:val="000000"/>
                <w:sz w:val="20"/>
                <w:lang w:eastAsia="zh-CN"/>
              </w:rPr>
            </w:pPr>
            <w:r>
              <w:rPr>
                <w:rFonts w:hint="eastAsia"/>
                <w:color w:val="000000"/>
                <w:sz w:val="20"/>
                <w:lang w:eastAsia="zh-CN"/>
              </w:rPr>
              <w:t>•成员国在商定的标准和方法基础上，利用新的和新兴技术和服务，编制和收集反映电信</w:t>
            </w:r>
            <w:r>
              <w:rPr>
                <w:rFonts w:hint="eastAsia"/>
                <w:color w:val="000000"/>
                <w:sz w:val="20"/>
                <w:lang w:eastAsia="zh-CN"/>
              </w:rPr>
              <w:t>/ICT</w:t>
            </w:r>
            <w:r>
              <w:rPr>
                <w:rFonts w:hint="eastAsia"/>
                <w:color w:val="000000"/>
                <w:sz w:val="20"/>
                <w:lang w:eastAsia="zh-CN"/>
              </w:rPr>
              <w:t>的发展和趋势的高质量国际可比统计数据的能力得到加强</w:t>
            </w:r>
          </w:p>
        </w:tc>
        <w:tc>
          <w:tcPr>
            <w:tcW w:w="3119" w:type="dxa"/>
            <w:tcBorders>
              <w:top w:val="single" w:sz="4" w:space="0" w:color="44B3E1"/>
              <w:left w:val="nil"/>
              <w:bottom w:val="single" w:sz="4" w:space="0" w:color="44B3E1"/>
              <w:right w:val="nil"/>
            </w:tcBorders>
            <w:shd w:val="clear" w:color="C0E6F5" w:fill="C0E6F5"/>
          </w:tcPr>
          <w:p w14:paraId="1BEB6DA2" w14:textId="087C92B9" w:rsidR="00521A20" w:rsidRDefault="00BB475A">
            <w:pPr>
              <w:overflowPunct/>
              <w:autoSpaceDE/>
              <w:autoSpaceDN/>
              <w:adjustRightInd/>
              <w:spacing w:before="0"/>
              <w:textAlignment w:val="auto"/>
              <w:rPr>
                <w:rFonts w:cstheme="minorHAnsi"/>
                <w:color w:val="000000"/>
                <w:sz w:val="20"/>
                <w:lang w:eastAsia="zh-CN"/>
              </w:rPr>
            </w:pPr>
            <w:r>
              <w:rPr>
                <w:rFonts w:hint="eastAsia"/>
                <w:color w:val="000000"/>
                <w:sz w:val="20"/>
                <w:lang w:eastAsia="zh-CN"/>
              </w:rPr>
              <w:t>•提交有效期不超过两年且包含至少</w:t>
            </w:r>
            <w:r>
              <w:rPr>
                <w:rFonts w:hint="eastAsia"/>
                <w:color w:val="000000"/>
                <w:sz w:val="20"/>
                <w:lang w:eastAsia="zh-CN"/>
              </w:rPr>
              <w:t>80%</w:t>
            </w:r>
            <w:r>
              <w:rPr>
                <w:rFonts w:hint="eastAsia"/>
                <w:color w:val="000000"/>
                <w:sz w:val="20"/>
                <w:lang w:eastAsia="zh-CN"/>
              </w:rPr>
              <w:t>的国际电联《世界电信指标问卷调查表》</w:t>
            </w:r>
            <w:r>
              <w:rPr>
                <w:rFonts w:hint="eastAsia"/>
                <w:color w:val="000000"/>
                <w:sz w:val="20"/>
                <w:lang w:val="en-US" w:eastAsia="zh-CN"/>
              </w:rPr>
              <w:t>核心</w:t>
            </w:r>
            <w:r>
              <w:rPr>
                <w:rFonts w:hint="eastAsia"/>
                <w:color w:val="000000"/>
                <w:sz w:val="20"/>
                <w:lang w:eastAsia="zh-CN"/>
              </w:rPr>
              <w:t>指标的成员国所占百分比</w:t>
            </w:r>
            <w:r>
              <w:rPr>
                <w:rFonts w:hint="eastAsia"/>
                <w:color w:val="000000"/>
                <w:sz w:val="20"/>
                <w:lang w:eastAsia="zh-CN"/>
              </w:rPr>
              <w:br/>
            </w:r>
            <w:r>
              <w:rPr>
                <w:rFonts w:hint="eastAsia"/>
                <w:color w:val="000000"/>
                <w:sz w:val="20"/>
                <w:lang w:eastAsia="zh-CN"/>
              </w:rPr>
              <w:t>•提交有效期不超过三年且至少包含</w:t>
            </w:r>
            <w:r>
              <w:rPr>
                <w:rFonts w:hint="eastAsia"/>
                <w:color w:val="000000"/>
                <w:sz w:val="20"/>
                <w:lang w:eastAsia="zh-CN"/>
              </w:rPr>
              <w:t>80%</w:t>
            </w:r>
            <w:r>
              <w:rPr>
                <w:rFonts w:hint="eastAsia"/>
                <w:color w:val="000000"/>
                <w:sz w:val="20"/>
                <w:lang w:eastAsia="zh-CN"/>
              </w:rPr>
              <w:t>的国际电</w:t>
            </w:r>
            <w:proofErr w:type="gramStart"/>
            <w:r>
              <w:rPr>
                <w:rFonts w:hint="eastAsia"/>
                <w:color w:val="000000"/>
                <w:sz w:val="20"/>
                <w:lang w:eastAsia="zh-CN"/>
              </w:rPr>
              <w:t>联家庭</w:t>
            </w:r>
            <w:proofErr w:type="gramEnd"/>
            <w:r>
              <w:rPr>
                <w:rFonts w:hint="eastAsia"/>
                <w:color w:val="000000"/>
                <w:sz w:val="20"/>
                <w:lang w:val="en-US" w:eastAsia="zh-CN"/>
              </w:rPr>
              <w:t>指标</w:t>
            </w:r>
            <w:r>
              <w:rPr>
                <w:rFonts w:hint="eastAsia"/>
                <w:color w:val="000000"/>
                <w:sz w:val="20"/>
                <w:lang w:eastAsia="zh-CN"/>
              </w:rPr>
              <w:t>问卷调查表指标的成员国所占百分比</w:t>
            </w:r>
            <w:r>
              <w:rPr>
                <w:rFonts w:hint="eastAsia"/>
                <w:color w:val="000000"/>
                <w:sz w:val="20"/>
                <w:lang w:eastAsia="zh-CN"/>
              </w:rPr>
              <w:br/>
            </w:r>
            <w:r>
              <w:rPr>
                <w:rFonts w:hint="eastAsia"/>
                <w:color w:val="000000"/>
                <w:sz w:val="20"/>
                <w:lang w:eastAsia="zh-CN"/>
              </w:rPr>
              <w:t>•提交不超过三年、按性别区分的有效数据，用于“使用互联网的个人比例”指标的成员国所占百分比</w:t>
            </w:r>
            <w:r>
              <w:rPr>
                <w:rFonts w:hint="eastAsia"/>
                <w:color w:val="000000"/>
                <w:sz w:val="20"/>
                <w:lang w:eastAsia="zh-CN"/>
              </w:rPr>
              <w:br/>
            </w:r>
            <w:r>
              <w:rPr>
                <w:rFonts w:hint="eastAsia"/>
                <w:color w:val="000000"/>
                <w:sz w:val="20"/>
                <w:lang w:eastAsia="zh-CN"/>
              </w:rPr>
              <w:t>•提交不超过三年、按地区（农村</w:t>
            </w:r>
            <w:r>
              <w:rPr>
                <w:rFonts w:hint="eastAsia"/>
                <w:color w:val="000000"/>
                <w:sz w:val="20"/>
                <w:lang w:eastAsia="zh-CN"/>
              </w:rPr>
              <w:t>/</w:t>
            </w:r>
            <w:r>
              <w:rPr>
                <w:rFonts w:hint="eastAsia"/>
                <w:color w:val="000000"/>
                <w:sz w:val="20"/>
                <w:lang w:eastAsia="zh-CN"/>
              </w:rPr>
              <w:t>城市）区分的有效数据，用于“使用互联网的个人比例”指标的成员国所占百分比</w:t>
            </w:r>
            <w:r>
              <w:rPr>
                <w:rFonts w:hint="eastAsia"/>
                <w:color w:val="000000"/>
                <w:sz w:val="20"/>
                <w:lang w:eastAsia="zh-CN"/>
              </w:rPr>
              <w:br/>
            </w:r>
            <w:r>
              <w:rPr>
                <w:rFonts w:hint="eastAsia"/>
                <w:color w:val="000000"/>
                <w:sz w:val="20"/>
                <w:lang w:eastAsia="zh-CN"/>
              </w:rPr>
              <w:t>•在可获取数据的成员国中，提交了三年内且涵盖</w:t>
            </w:r>
            <w:r>
              <w:rPr>
                <w:rFonts w:hint="eastAsia"/>
                <w:color w:val="000000"/>
                <w:sz w:val="20"/>
                <w:lang w:val="en-US" w:eastAsia="zh-CN"/>
              </w:rPr>
              <w:t>国际电</w:t>
            </w:r>
            <w:proofErr w:type="gramStart"/>
            <w:r>
              <w:rPr>
                <w:rFonts w:hint="eastAsia"/>
                <w:color w:val="000000"/>
                <w:sz w:val="20"/>
                <w:lang w:val="en-US" w:eastAsia="zh-CN"/>
              </w:rPr>
              <w:t>联家庭</w:t>
            </w:r>
            <w:proofErr w:type="gramEnd"/>
            <w:r>
              <w:rPr>
                <w:rFonts w:hint="eastAsia"/>
                <w:color w:val="000000"/>
                <w:sz w:val="20"/>
                <w:lang w:val="en-US" w:eastAsia="zh-CN"/>
              </w:rPr>
              <w:t>指标</w:t>
            </w:r>
            <w:r>
              <w:rPr>
                <w:rFonts w:hint="eastAsia"/>
                <w:color w:val="000000"/>
                <w:sz w:val="20"/>
                <w:lang w:eastAsia="zh-CN"/>
              </w:rPr>
              <w:t>问卷调查表中至少五项</w:t>
            </w:r>
            <w:r>
              <w:rPr>
                <w:rFonts w:hint="eastAsia"/>
                <w:color w:val="000000"/>
                <w:sz w:val="20"/>
                <w:lang w:eastAsia="zh-CN"/>
              </w:rPr>
              <w:t>ICT</w:t>
            </w:r>
            <w:r>
              <w:rPr>
                <w:rFonts w:hint="eastAsia"/>
                <w:color w:val="000000"/>
                <w:sz w:val="20"/>
                <w:lang w:eastAsia="zh-CN"/>
              </w:rPr>
              <w:t>技能的有效数据的成员国所占百分比</w:t>
            </w:r>
          </w:p>
        </w:tc>
        <w:tc>
          <w:tcPr>
            <w:tcW w:w="2268" w:type="dxa"/>
            <w:tcBorders>
              <w:top w:val="single" w:sz="4" w:space="0" w:color="44B3E1"/>
              <w:left w:val="nil"/>
              <w:bottom w:val="single" w:sz="4" w:space="0" w:color="44B3E1"/>
              <w:right w:val="nil"/>
            </w:tcBorders>
            <w:shd w:val="clear" w:color="C0E6F5" w:fill="C0E6F5"/>
          </w:tcPr>
          <w:p w14:paraId="31D9B1D3" w14:textId="77777777" w:rsidR="00521A20" w:rsidRDefault="00BB475A">
            <w:pPr>
              <w:overflowPunct/>
              <w:autoSpaceDE/>
              <w:autoSpaceDN/>
              <w:adjustRightInd/>
              <w:spacing w:before="0"/>
              <w:textAlignment w:val="auto"/>
              <w:rPr>
                <w:rFonts w:cstheme="minorHAnsi"/>
                <w:color w:val="000000"/>
                <w:sz w:val="20"/>
                <w:lang w:eastAsia="zh-CN"/>
              </w:rPr>
            </w:pPr>
            <w:r>
              <w:rPr>
                <w:rFonts w:hint="eastAsia"/>
                <w:color w:val="000000"/>
                <w:sz w:val="20"/>
                <w:lang w:eastAsia="zh-CN"/>
              </w:rPr>
              <w:t>•学习框架</w:t>
            </w:r>
            <w:r>
              <w:rPr>
                <w:rFonts w:hint="eastAsia"/>
                <w:color w:val="000000"/>
                <w:sz w:val="20"/>
                <w:lang w:eastAsia="zh-CN"/>
              </w:rPr>
              <w:br/>
            </w:r>
            <w:r>
              <w:rPr>
                <w:rFonts w:hint="eastAsia"/>
                <w:color w:val="000000"/>
                <w:sz w:val="20"/>
                <w:lang w:eastAsia="zh-CN"/>
              </w:rPr>
              <w:t>•召集平台</w:t>
            </w:r>
            <w:r>
              <w:rPr>
                <w:rFonts w:hint="eastAsia"/>
                <w:color w:val="000000"/>
                <w:sz w:val="20"/>
                <w:lang w:eastAsia="zh-CN"/>
              </w:rPr>
              <w:br/>
            </w:r>
            <w:r>
              <w:rPr>
                <w:rFonts w:hint="eastAsia"/>
                <w:color w:val="000000"/>
                <w:sz w:val="20"/>
                <w:lang w:eastAsia="zh-CN"/>
              </w:rPr>
              <w:t>•统计数据</w:t>
            </w:r>
            <w:r>
              <w:rPr>
                <w:rFonts w:hint="eastAsia"/>
                <w:color w:val="000000"/>
                <w:sz w:val="20"/>
                <w:lang w:eastAsia="zh-CN"/>
              </w:rPr>
              <w:t xml:space="preserve"> </w:t>
            </w:r>
          </w:p>
        </w:tc>
        <w:tc>
          <w:tcPr>
            <w:tcW w:w="1559" w:type="dxa"/>
            <w:tcBorders>
              <w:top w:val="single" w:sz="4" w:space="0" w:color="44B3E1"/>
              <w:left w:val="nil"/>
              <w:bottom w:val="single" w:sz="4" w:space="0" w:color="44B3E1"/>
              <w:right w:val="nil"/>
            </w:tcBorders>
            <w:shd w:val="clear" w:color="C0E6F5" w:fill="C0E6F5"/>
            <w:noWrap/>
          </w:tcPr>
          <w:p w14:paraId="0787BA8E" w14:textId="2E157749" w:rsidR="00521A20" w:rsidRDefault="00BB475A">
            <w:pPr>
              <w:overflowPunct/>
              <w:autoSpaceDE/>
              <w:autoSpaceDN/>
              <w:adjustRightInd/>
              <w:spacing w:before="0"/>
              <w:jc w:val="right"/>
              <w:textAlignment w:val="auto"/>
              <w:rPr>
                <w:rFonts w:cstheme="minorHAnsi"/>
                <w:color w:val="000000"/>
                <w:sz w:val="20"/>
              </w:rPr>
            </w:pPr>
            <w:r>
              <w:rPr>
                <w:rFonts w:cstheme="minorHAnsi"/>
                <w:color w:val="000000"/>
                <w:sz w:val="20"/>
                <w:lang w:eastAsia="en-GB"/>
              </w:rPr>
              <w:t>355,000</w:t>
            </w:r>
          </w:p>
        </w:tc>
        <w:tc>
          <w:tcPr>
            <w:tcW w:w="1559" w:type="dxa"/>
            <w:tcBorders>
              <w:top w:val="single" w:sz="4" w:space="0" w:color="44B3E1"/>
              <w:left w:val="nil"/>
              <w:bottom w:val="single" w:sz="4" w:space="0" w:color="44B3E1"/>
              <w:right w:val="nil"/>
            </w:tcBorders>
            <w:shd w:val="clear" w:color="C0E6F5" w:fill="C0E6F5"/>
            <w:noWrap/>
          </w:tcPr>
          <w:p w14:paraId="7D0C9753" w14:textId="088DE837" w:rsidR="00521A20" w:rsidRDefault="00BB475A">
            <w:pPr>
              <w:overflowPunct/>
              <w:autoSpaceDE/>
              <w:autoSpaceDN/>
              <w:adjustRightInd/>
              <w:spacing w:before="0"/>
              <w:jc w:val="center"/>
              <w:textAlignment w:val="auto"/>
              <w:rPr>
                <w:rFonts w:cstheme="minorHAnsi"/>
                <w:color w:val="000000"/>
                <w:sz w:val="20"/>
              </w:rPr>
            </w:pPr>
            <w:r>
              <w:rPr>
                <w:rFonts w:hint="eastAsia"/>
                <w:color w:val="000000"/>
                <w:sz w:val="20"/>
                <w:lang w:val="en-US" w:eastAsia="zh-CN"/>
              </w:rPr>
              <w:t>49.0</w:t>
            </w:r>
            <w:r>
              <w:rPr>
                <w:rFonts w:hint="eastAsia"/>
                <w:color w:val="000000"/>
                <w:sz w:val="20"/>
              </w:rPr>
              <w:t>%</w:t>
            </w:r>
          </w:p>
        </w:tc>
        <w:tc>
          <w:tcPr>
            <w:tcW w:w="1559" w:type="dxa"/>
            <w:tcBorders>
              <w:top w:val="single" w:sz="4" w:space="0" w:color="44B3E1"/>
              <w:left w:val="nil"/>
              <w:bottom w:val="single" w:sz="4" w:space="0" w:color="44B3E1"/>
              <w:right w:val="single" w:sz="4" w:space="0" w:color="44B3E1"/>
            </w:tcBorders>
            <w:shd w:val="clear" w:color="C0E6F5" w:fill="C0E6F5"/>
            <w:noWrap/>
          </w:tcPr>
          <w:p w14:paraId="67163EC4" w14:textId="47123E67" w:rsidR="00521A20" w:rsidRDefault="00BB475A">
            <w:pPr>
              <w:overflowPunct/>
              <w:autoSpaceDE/>
              <w:autoSpaceDN/>
              <w:adjustRightInd/>
              <w:spacing w:before="0"/>
              <w:jc w:val="center"/>
              <w:textAlignment w:val="auto"/>
              <w:rPr>
                <w:rFonts w:cstheme="minorHAnsi"/>
                <w:color w:val="000000"/>
                <w:sz w:val="20"/>
              </w:rPr>
            </w:pPr>
            <w:r>
              <w:rPr>
                <w:rFonts w:hint="eastAsia"/>
                <w:color w:val="000000"/>
                <w:sz w:val="20"/>
                <w:lang w:val="en-US" w:eastAsia="zh-CN"/>
              </w:rPr>
              <w:t>9.3</w:t>
            </w:r>
            <w:r>
              <w:rPr>
                <w:rFonts w:hint="eastAsia"/>
                <w:color w:val="000000"/>
                <w:sz w:val="20"/>
              </w:rPr>
              <w:t>%</w:t>
            </w:r>
          </w:p>
        </w:tc>
      </w:tr>
    </w:tbl>
    <w:p w14:paraId="74CA0F38" w14:textId="77777777" w:rsidR="00521A20" w:rsidRDefault="00521A20">
      <w:pPr>
        <w:spacing w:before="60" w:after="120"/>
        <w:rPr>
          <w:sz w:val="20"/>
          <w:lang w:val="en-US"/>
        </w:rPr>
        <w:sectPr w:rsidR="00521A20">
          <w:headerReference w:type="first" r:id="rId21"/>
          <w:footerReference w:type="first" r:id="rId22"/>
          <w:pgSz w:w="16840" w:h="11907" w:orient="landscape"/>
          <w:pgMar w:top="1134" w:right="1418" w:bottom="1134" w:left="1134" w:header="720" w:footer="720" w:gutter="0"/>
          <w:cols w:space="720"/>
          <w:titlePg/>
          <w:docGrid w:linePitch="326"/>
        </w:sectPr>
      </w:pPr>
    </w:p>
    <w:p w14:paraId="66E96EB5" w14:textId="57E22F48" w:rsidR="00622881" w:rsidRPr="00713809" w:rsidRDefault="00622881" w:rsidP="00BB475A">
      <w:pPr>
        <w:pStyle w:val="Heading3"/>
        <w:spacing w:before="120"/>
        <w:ind w:hangingChars="472"/>
        <w:rPr>
          <w:rFonts w:ascii="Calibri" w:eastAsia="STKaiti" w:hAnsi="Calibri" w:cs="Calibri"/>
          <w:b w:val="0"/>
          <w:szCs w:val="24"/>
          <w:lang w:eastAsia="zh-CN"/>
        </w:rPr>
      </w:pPr>
      <w:r w:rsidRPr="00713809">
        <w:rPr>
          <w:rFonts w:ascii="Calibri" w:eastAsia="STKaiti" w:hAnsi="Calibri" w:cs="Calibri"/>
          <w:bCs/>
          <w:szCs w:val="24"/>
          <w:lang w:eastAsia="zh-CN"/>
        </w:rPr>
        <w:lastRenderedPageBreak/>
        <w:t>2026</w:t>
      </w:r>
      <w:r w:rsidRPr="00713809">
        <w:rPr>
          <w:rFonts w:ascii="Calibri" w:eastAsia="STKaiti" w:hAnsi="Calibri" w:cs="Calibri" w:hint="eastAsia"/>
          <w:bCs/>
          <w:szCs w:val="24"/>
          <w:lang w:eastAsia="zh-CN"/>
        </w:rPr>
        <w:t>年实施亮点：</w:t>
      </w:r>
      <w:r w:rsidRPr="00713809">
        <w:rPr>
          <w:rFonts w:ascii="Calibri" w:eastAsia="STKaiti" w:hAnsi="Calibri" w:cs="Calibri"/>
          <w:lang w:eastAsia="zh-CN"/>
        </w:rPr>
        <w:t>ITU-D</w:t>
      </w:r>
      <w:r w:rsidRPr="00713809">
        <w:rPr>
          <w:rFonts w:ascii="Calibri" w:eastAsia="STKaiti" w:hAnsi="Calibri" w:cs="Calibri" w:hint="eastAsia"/>
          <w:lang w:eastAsia="zh-CN"/>
        </w:rPr>
        <w:t>的重点工作</w:t>
      </w:r>
      <w:r w:rsidRPr="00713809">
        <w:rPr>
          <w:rFonts w:ascii="Calibri" w:eastAsia="STKaiti" w:hAnsi="Calibri" w:cs="Calibri"/>
          <w:lang w:eastAsia="zh-CN"/>
        </w:rPr>
        <w:t>3</w:t>
      </w:r>
      <w:r w:rsidR="004A4655" w:rsidRPr="00374910">
        <w:rPr>
          <w:rFonts w:ascii="Calibri" w:eastAsia="KaiTi" w:hAnsi="Calibri" w:cs="Calibri"/>
          <w:b w:val="0"/>
          <w:bCs/>
          <w:szCs w:val="24"/>
          <w:lang w:val="en-US" w:eastAsia="zh-CN"/>
        </w:rPr>
        <w:t xml:space="preserve"> </w:t>
      </w:r>
      <w:r w:rsidR="005D1090" w:rsidRPr="005D1090">
        <w:rPr>
          <w:rFonts w:ascii="Calibri" w:eastAsia="KaiTi" w:hAnsi="Calibri" w:cs="Calibri"/>
          <w:szCs w:val="24"/>
          <w:lang w:val="en-US" w:eastAsia="zh-CN"/>
        </w:rPr>
        <w:t>–</w:t>
      </w:r>
      <w:r w:rsidR="004A4655" w:rsidRPr="00713809">
        <w:rPr>
          <w:rFonts w:ascii="Calibri" w:eastAsia="KaiTi" w:hAnsi="Calibri" w:cs="Calibri"/>
          <w:szCs w:val="24"/>
          <w:lang w:val="en-US" w:eastAsia="zh-CN"/>
        </w:rPr>
        <w:t xml:space="preserve"> </w:t>
      </w:r>
      <w:r w:rsidRPr="00713809">
        <w:rPr>
          <w:rFonts w:ascii="Calibri" w:eastAsia="STKaiti" w:hAnsi="Calibri" w:cs="Calibri" w:hint="eastAsia"/>
          <w:lang w:eastAsia="zh-CN"/>
        </w:rPr>
        <w:t>有利的政策和监管环境</w:t>
      </w:r>
    </w:p>
    <w:p w14:paraId="24491582" w14:textId="2D015786" w:rsidR="00622881" w:rsidRPr="003003BC" w:rsidRDefault="00622881" w:rsidP="00BB475A">
      <w:pPr>
        <w:pStyle w:val="Heading3"/>
        <w:spacing w:before="120"/>
        <w:ind w:left="1132" w:hangingChars="470" w:hanging="1132"/>
        <w:rPr>
          <w:szCs w:val="24"/>
          <w:lang w:eastAsia="zh-CN"/>
        </w:rPr>
      </w:pPr>
      <w:r>
        <w:rPr>
          <w:rFonts w:hint="eastAsia"/>
          <w:szCs w:val="24"/>
          <w:lang w:eastAsia="zh-CN"/>
        </w:rPr>
        <w:t>政策和监管</w:t>
      </w:r>
    </w:p>
    <w:p w14:paraId="22CAEA74" w14:textId="1B3CB905" w:rsidR="00622881" w:rsidRDefault="00622881" w:rsidP="00BB475A">
      <w:pPr>
        <w:ind w:firstLineChars="200" w:firstLine="480"/>
        <w:jc w:val="both"/>
        <w:rPr>
          <w:lang w:eastAsia="zh-CN"/>
        </w:rPr>
      </w:pPr>
      <w:r>
        <w:fldChar w:fldCharType="begin"/>
      </w:r>
      <w:r>
        <w:rPr>
          <w:lang w:eastAsia="zh-CN"/>
        </w:rPr>
        <w:instrText>HYPERLINK "https://www.itu.int/itu-d/meetings/gsr-26/"</w:instrText>
      </w:r>
      <w:r>
        <w:fldChar w:fldCharType="separate"/>
      </w:r>
      <w:r w:rsidRPr="00DF70E9">
        <w:rPr>
          <w:rStyle w:val="Hyperlink"/>
          <w:rFonts w:hint="eastAsia"/>
          <w:lang w:eastAsia="zh-CN"/>
        </w:rPr>
        <w:t>第</w:t>
      </w:r>
      <w:r w:rsidRPr="00DF70E9">
        <w:rPr>
          <w:rStyle w:val="Hyperlink"/>
          <w:lang w:eastAsia="zh-CN"/>
        </w:rPr>
        <w:t>24</w:t>
      </w:r>
      <w:r w:rsidRPr="00DF70E9">
        <w:rPr>
          <w:rStyle w:val="Hyperlink"/>
          <w:rFonts w:hint="eastAsia"/>
          <w:lang w:eastAsia="zh-CN"/>
        </w:rPr>
        <w:t>届全球监管机构专题研讨会（</w:t>
      </w:r>
      <w:r w:rsidRPr="00DF70E9">
        <w:rPr>
          <w:rStyle w:val="Hyperlink"/>
          <w:lang w:eastAsia="zh-CN"/>
        </w:rPr>
        <w:t>GSR-26</w:t>
      </w:r>
      <w:r w:rsidRPr="00DF70E9">
        <w:rPr>
          <w:rStyle w:val="Hyperlink"/>
          <w:rFonts w:hint="eastAsia"/>
          <w:lang w:eastAsia="zh-CN"/>
        </w:rPr>
        <w:t>）</w:t>
      </w:r>
      <w:r>
        <w:fldChar w:fldCharType="end"/>
      </w:r>
      <w:r w:rsidRPr="00300F6B">
        <w:rPr>
          <w:rFonts w:hint="eastAsia"/>
          <w:lang w:eastAsia="zh-CN"/>
        </w:rPr>
        <w:t>将于</w:t>
      </w:r>
      <w:r w:rsidRPr="00300F6B">
        <w:rPr>
          <w:lang w:eastAsia="zh-CN"/>
        </w:rPr>
        <w:t>2026</w:t>
      </w:r>
      <w:r w:rsidRPr="00300F6B">
        <w:rPr>
          <w:rFonts w:hint="eastAsia"/>
          <w:lang w:eastAsia="zh-CN"/>
        </w:rPr>
        <w:t>年</w:t>
      </w:r>
      <w:r w:rsidRPr="00300F6B">
        <w:rPr>
          <w:lang w:eastAsia="zh-CN"/>
        </w:rPr>
        <w:t>5</w:t>
      </w:r>
      <w:r w:rsidRPr="00300F6B">
        <w:rPr>
          <w:rFonts w:hint="eastAsia"/>
          <w:lang w:eastAsia="zh-CN"/>
        </w:rPr>
        <w:t>月</w:t>
      </w:r>
      <w:r w:rsidRPr="00300F6B">
        <w:rPr>
          <w:lang w:eastAsia="zh-CN"/>
        </w:rPr>
        <w:t>12</w:t>
      </w:r>
      <w:r w:rsidRPr="00300F6B">
        <w:rPr>
          <w:rFonts w:hint="eastAsia"/>
          <w:lang w:eastAsia="zh-CN"/>
        </w:rPr>
        <w:t>日至</w:t>
      </w:r>
      <w:r w:rsidRPr="00300F6B">
        <w:rPr>
          <w:lang w:eastAsia="zh-CN"/>
        </w:rPr>
        <w:t>15</w:t>
      </w:r>
      <w:r>
        <w:rPr>
          <w:rFonts w:hint="eastAsia"/>
          <w:lang w:eastAsia="zh-CN"/>
        </w:rPr>
        <w:t>日在土耳其安卡拉的信息</w:t>
      </w:r>
      <w:r w:rsidRPr="00300F6B">
        <w:rPr>
          <w:rFonts w:hint="eastAsia"/>
          <w:lang w:eastAsia="zh-CN"/>
        </w:rPr>
        <w:t>通信技术管理局（</w:t>
      </w:r>
      <w:r w:rsidRPr="00300F6B">
        <w:rPr>
          <w:lang w:eastAsia="zh-CN"/>
        </w:rPr>
        <w:t>BTK</w:t>
      </w:r>
      <w:r>
        <w:rPr>
          <w:rFonts w:hint="eastAsia"/>
          <w:lang w:eastAsia="zh-CN"/>
        </w:rPr>
        <w:t>）总部举行，由</w:t>
      </w:r>
      <w:r w:rsidRPr="00300F6B">
        <w:rPr>
          <w:lang w:eastAsia="zh-CN"/>
        </w:rPr>
        <w:t>BTK</w:t>
      </w:r>
      <w:r>
        <w:rPr>
          <w:rFonts w:hint="eastAsia"/>
          <w:lang w:eastAsia="zh-CN"/>
        </w:rPr>
        <w:t>局长</w:t>
      </w:r>
      <w:r w:rsidRPr="00300F6B">
        <w:rPr>
          <w:rFonts w:hint="eastAsia"/>
          <w:lang w:eastAsia="zh-CN"/>
        </w:rPr>
        <w:t>Ö</w:t>
      </w:r>
      <w:r w:rsidRPr="00300F6B">
        <w:rPr>
          <w:lang w:eastAsia="zh-CN"/>
        </w:rPr>
        <w:t>mer Abdullah Karagözoğlu</w:t>
      </w:r>
      <w:r w:rsidRPr="00300F6B">
        <w:rPr>
          <w:rFonts w:hint="eastAsia"/>
          <w:lang w:eastAsia="zh-CN"/>
        </w:rPr>
        <w:t>先生</w:t>
      </w:r>
      <w:r w:rsidR="005E1B86">
        <w:rPr>
          <w:rFonts w:hint="eastAsia"/>
          <w:lang w:eastAsia="zh-CN"/>
        </w:rPr>
        <w:t>担任主席</w:t>
      </w:r>
      <w:r w:rsidRPr="00300F6B">
        <w:rPr>
          <w:rFonts w:hint="eastAsia"/>
          <w:lang w:eastAsia="zh-CN"/>
        </w:rPr>
        <w:t>。</w:t>
      </w:r>
      <w:r>
        <w:rPr>
          <w:rFonts w:hint="eastAsia"/>
          <w:lang w:eastAsia="zh-CN"/>
        </w:rPr>
        <w:t>本届会议的总主题</w:t>
      </w:r>
      <w:r w:rsidR="005E1B86">
        <w:rPr>
          <w:rFonts w:hint="eastAsia"/>
          <w:lang w:eastAsia="zh-CN"/>
        </w:rPr>
        <w:t>为</w:t>
      </w:r>
      <w:r>
        <w:rPr>
          <w:rFonts w:hint="eastAsia"/>
          <w:lang w:eastAsia="zh-CN"/>
        </w:rPr>
        <w:t>“驾驭</w:t>
      </w:r>
      <w:r w:rsidRPr="0014125A">
        <w:rPr>
          <w:rFonts w:hint="eastAsia"/>
          <w:lang w:eastAsia="zh-CN"/>
        </w:rPr>
        <w:t>数字前沿”。为筹备</w:t>
      </w:r>
      <w:r w:rsidR="005E1B86">
        <w:rPr>
          <w:rFonts w:hint="eastAsia"/>
          <w:lang w:eastAsia="zh-CN"/>
        </w:rPr>
        <w:t>这一</w:t>
      </w:r>
      <w:r w:rsidRPr="0014125A">
        <w:rPr>
          <w:rFonts w:hint="eastAsia"/>
          <w:lang w:eastAsia="zh-CN"/>
        </w:rPr>
        <w:t>旗舰</w:t>
      </w:r>
      <w:r w:rsidR="005E1B86">
        <w:rPr>
          <w:rFonts w:hint="eastAsia"/>
          <w:lang w:eastAsia="zh-CN"/>
        </w:rPr>
        <w:t>盛会</w:t>
      </w:r>
      <w:r w:rsidRPr="0014125A">
        <w:rPr>
          <w:rFonts w:hint="eastAsia"/>
          <w:lang w:eastAsia="zh-CN"/>
        </w:rPr>
        <w:t>，</w:t>
      </w:r>
      <w:r w:rsidRPr="0014125A">
        <w:rPr>
          <w:rFonts w:hint="eastAsia"/>
          <w:lang w:eastAsia="zh-CN"/>
        </w:rPr>
        <w:t>GSR-26</w:t>
      </w:r>
      <w:r>
        <w:rPr>
          <w:rFonts w:hint="eastAsia"/>
          <w:lang w:eastAsia="zh-CN"/>
        </w:rPr>
        <w:t>围绕“监管治理要点：监管机构需要哪些新核心工具包来推动数字市场发挥作用”</w:t>
      </w:r>
      <w:r w:rsidR="005E1B86">
        <w:rPr>
          <w:rFonts w:hint="eastAsia"/>
          <w:lang w:eastAsia="zh-CN"/>
        </w:rPr>
        <w:t>这一</w:t>
      </w:r>
      <w:r>
        <w:rPr>
          <w:rFonts w:hint="eastAsia"/>
          <w:lang w:eastAsia="zh-CN"/>
        </w:rPr>
        <w:t>主题开展磋商，</w:t>
      </w:r>
      <w:r w:rsidRPr="0014125A">
        <w:rPr>
          <w:rFonts w:hint="eastAsia"/>
          <w:lang w:eastAsia="zh-CN"/>
        </w:rPr>
        <w:t>监管机构、监管协会和私营部门</w:t>
      </w:r>
      <w:r w:rsidR="005E1B86">
        <w:rPr>
          <w:rFonts w:hint="eastAsia"/>
          <w:lang w:eastAsia="zh-CN"/>
        </w:rPr>
        <w:t>提交</w:t>
      </w:r>
      <w:r w:rsidRPr="0014125A">
        <w:rPr>
          <w:rFonts w:hint="eastAsia"/>
          <w:lang w:eastAsia="zh-CN"/>
        </w:rPr>
        <w:t>的文稿将为</w:t>
      </w:r>
      <w:r w:rsidR="005E1B86">
        <w:rPr>
          <w:rFonts w:hint="eastAsia"/>
          <w:lang w:eastAsia="zh-CN"/>
        </w:rPr>
        <w:t>《</w:t>
      </w:r>
      <w:r w:rsidRPr="0014125A">
        <w:rPr>
          <w:rFonts w:hint="eastAsia"/>
          <w:lang w:eastAsia="zh-CN"/>
        </w:rPr>
        <w:t>GSR-26</w:t>
      </w:r>
      <w:r w:rsidRPr="0014125A">
        <w:rPr>
          <w:rFonts w:hint="eastAsia"/>
          <w:lang w:eastAsia="zh-CN"/>
        </w:rPr>
        <w:t>最佳做法导则</w:t>
      </w:r>
      <w:r w:rsidR="005E1B86">
        <w:rPr>
          <w:rFonts w:hint="eastAsia"/>
          <w:lang w:eastAsia="zh-CN"/>
        </w:rPr>
        <w:t>》</w:t>
      </w:r>
      <w:r w:rsidRPr="0014125A">
        <w:rPr>
          <w:rFonts w:hint="eastAsia"/>
          <w:lang w:eastAsia="zh-CN"/>
        </w:rPr>
        <w:t>提供</w:t>
      </w:r>
      <w:r w:rsidR="005E1B86">
        <w:rPr>
          <w:rFonts w:hint="eastAsia"/>
          <w:lang w:eastAsia="zh-CN"/>
        </w:rPr>
        <w:t>参考</w:t>
      </w:r>
      <w:r>
        <w:rPr>
          <w:rFonts w:hint="eastAsia"/>
          <w:lang w:eastAsia="zh-CN"/>
        </w:rPr>
        <w:t>，该导则</w:t>
      </w:r>
      <w:r w:rsidR="005E1B86">
        <w:rPr>
          <w:rFonts w:hint="eastAsia"/>
          <w:lang w:eastAsia="zh-CN"/>
        </w:rPr>
        <w:t>拟</w:t>
      </w:r>
      <w:r>
        <w:rPr>
          <w:rFonts w:hint="eastAsia"/>
          <w:lang w:eastAsia="zh-CN"/>
        </w:rPr>
        <w:t>于</w:t>
      </w:r>
      <w:r w:rsidRPr="00DE2560">
        <w:rPr>
          <w:rFonts w:hint="eastAsia"/>
          <w:lang w:eastAsia="zh-CN"/>
        </w:rPr>
        <w:t>5</w:t>
      </w:r>
      <w:r w:rsidRPr="00DE2560">
        <w:rPr>
          <w:rFonts w:hint="eastAsia"/>
          <w:lang w:eastAsia="zh-CN"/>
        </w:rPr>
        <w:t>月</w:t>
      </w:r>
      <w:r w:rsidRPr="00DE2560">
        <w:rPr>
          <w:rFonts w:hint="eastAsia"/>
          <w:lang w:eastAsia="zh-CN"/>
        </w:rPr>
        <w:t>13</w:t>
      </w:r>
      <w:r w:rsidRPr="00DE2560">
        <w:rPr>
          <w:rFonts w:hint="eastAsia"/>
          <w:lang w:eastAsia="zh-CN"/>
        </w:rPr>
        <w:t>日</w:t>
      </w:r>
      <w:r>
        <w:rPr>
          <w:rFonts w:hint="eastAsia"/>
          <w:lang w:eastAsia="zh-CN"/>
        </w:rPr>
        <w:t>举行的</w:t>
      </w:r>
      <w:r w:rsidRPr="00DE2560">
        <w:rPr>
          <w:rFonts w:hint="eastAsia"/>
          <w:lang w:eastAsia="zh-CN"/>
        </w:rPr>
        <w:t>监管机构</w:t>
      </w:r>
      <w:r>
        <w:rPr>
          <w:rFonts w:hint="eastAsia"/>
          <w:lang w:eastAsia="zh-CN"/>
        </w:rPr>
        <w:t>负责人</w:t>
      </w:r>
      <w:r w:rsidRPr="00DE2560">
        <w:rPr>
          <w:rFonts w:hint="eastAsia"/>
          <w:lang w:eastAsia="zh-CN"/>
        </w:rPr>
        <w:t>圆桌会议</w:t>
      </w:r>
      <w:r>
        <w:rPr>
          <w:rFonts w:hint="eastAsia"/>
          <w:lang w:eastAsia="zh-CN"/>
        </w:rPr>
        <w:t>上</w:t>
      </w:r>
      <w:r w:rsidRPr="00DE2560">
        <w:rPr>
          <w:rFonts w:hint="eastAsia"/>
          <w:lang w:eastAsia="zh-CN"/>
        </w:rPr>
        <w:t>通过</w:t>
      </w:r>
      <w:r w:rsidRPr="0014125A">
        <w:rPr>
          <w:rFonts w:hint="eastAsia"/>
          <w:lang w:eastAsia="zh-CN"/>
        </w:rPr>
        <w:t>。</w:t>
      </w:r>
      <w:r w:rsidR="005E1B86">
        <w:rPr>
          <w:rFonts w:hint="eastAsia"/>
          <w:lang w:eastAsia="zh-CN"/>
        </w:rPr>
        <w:t>在</w:t>
      </w:r>
      <w:r w:rsidR="005E1B86">
        <w:rPr>
          <w:rFonts w:hint="eastAsia"/>
          <w:lang w:eastAsia="zh-CN"/>
        </w:rPr>
        <w:t>GSR-26</w:t>
      </w:r>
      <w:r w:rsidR="005E1B86">
        <w:rPr>
          <w:rFonts w:hint="eastAsia"/>
          <w:lang w:eastAsia="zh-CN"/>
        </w:rPr>
        <w:t>正式开幕前还将举行一系列特别活动，</w:t>
      </w:r>
      <w:r>
        <w:rPr>
          <w:rFonts w:hint="eastAsia"/>
          <w:lang w:eastAsia="zh-CN"/>
        </w:rPr>
        <w:t>包括“衡量实现</w:t>
      </w:r>
      <w:r w:rsidRPr="004C19B0">
        <w:rPr>
          <w:rFonts w:hint="eastAsia"/>
          <w:lang w:eastAsia="zh-CN"/>
        </w:rPr>
        <w:t>普遍</w:t>
      </w:r>
      <w:bookmarkStart w:id="13" w:name="OLE_LINK22"/>
      <w:r w:rsidR="008F55A0">
        <w:rPr>
          <w:rFonts w:hint="eastAsia"/>
          <w:lang w:eastAsia="zh-CN"/>
        </w:rPr>
        <w:t>、</w:t>
      </w:r>
      <w:r w:rsidRPr="004C19B0">
        <w:rPr>
          <w:rFonts w:hint="eastAsia"/>
          <w:lang w:eastAsia="zh-CN"/>
        </w:rPr>
        <w:t>有意义的连接</w:t>
      </w:r>
      <w:bookmarkEnd w:id="13"/>
      <w:r>
        <w:rPr>
          <w:rFonts w:hint="eastAsia"/>
          <w:lang w:eastAsia="zh-CN"/>
        </w:rPr>
        <w:t>进展</w:t>
      </w:r>
      <w:r w:rsidRPr="004C19B0">
        <w:rPr>
          <w:rFonts w:hint="eastAsia"/>
          <w:lang w:eastAsia="zh-CN"/>
        </w:rPr>
        <w:t>：</w:t>
      </w:r>
      <w:r w:rsidRPr="004C19B0">
        <w:rPr>
          <w:rFonts w:hint="eastAsia"/>
          <w:lang w:eastAsia="zh-CN"/>
        </w:rPr>
        <w:t>ICT</w:t>
      </w:r>
      <w:r>
        <w:rPr>
          <w:rFonts w:hint="eastAsia"/>
          <w:lang w:eastAsia="zh-CN"/>
        </w:rPr>
        <w:t>统计</w:t>
      </w:r>
      <w:r w:rsidR="008F55A0">
        <w:rPr>
          <w:rFonts w:hint="eastAsia"/>
          <w:lang w:eastAsia="zh-CN"/>
        </w:rPr>
        <w:t>中</w:t>
      </w:r>
      <w:r w:rsidRPr="004C19B0">
        <w:rPr>
          <w:rFonts w:hint="eastAsia"/>
          <w:lang w:eastAsia="zh-CN"/>
        </w:rPr>
        <w:t>的挑战和良好做法”讲习班、“超越连接：利用国际电联</w:t>
      </w:r>
      <w:bookmarkStart w:id="14" w:name="OLE_LINK10"/>
      <w:r w:rsidRPr="004C19B0">
        <w:rPr>
          <w:rFonts w:hint="eastAsia"/>
          <w:lang w:eastAsia="zh-CN"/>
        </w:rPr>
        <w:t>全球经济模型研究</w:t>
      </w:r>
      <w:bookmarkEnd w:id="14"/>
      <w:r w:rsidRPr="004C19B0">
        <w:rPr>
          <w:rFonts w:hint="eastAsia"/>
          <w:lang w:eastAsia="zh-CN"/>
        </w:rPr>
        <w:t>（</w:t>
      </w:r>
      <w:r w:rsidRPr="004C19B0">
        <w:rPr>
          <w:rFonts w:hint="eastAsia"/>
          <w:lang w:eastAsia="zh-CN"/>
        </w:rPr>
        <w:t>GEMS</w:t>
      </w:r>
      <w:r>
        <w:rPr>
          <w:rFonts w:hint="eastAsia"/>
          <w:lang w:eastAsia="zh-CN"/>
        </w:rPr>
        <w:t>）和连接</w:t>
      </w:r>
      <w:r w:rsidRPr="004C19B0">
        <w:rPr>
          <w:rFonts w:hint="eastAsia"/>
          <w:lang w:eastAsia="zh-CN"/>
        </w:rPr>
        <w:t>规划平台（</w:t>
      </w:r>
      <w:r w:rsidRPr="004C19B0">
        <w:rPr>
          <w:rFonts w:hint="eastAsia"/>
          <w:lang w:eastAsia="zh-CN"/>
        </w:rPr>
        <w:t>CPP</w:t>
      </w:r>
      <w:r>
        <w:rPr>
          <w:rFonts w:hint="eastAsia"/>
          <w:lang w:eastAsia="zh-CN"/>
        </w:rPr>
        <w:t>）构建</w:t>
      </w:r>
      <w:r w:rsidRPr="004C19B0">
        <w:rPr>
          <w:rFonts w:hint="eastAsia"/>
          <w:lang w:eastAsia="zh-CN"/>
        </w:rPr>
        <w:t>社会经济未来</w:t>
      </w:r>
      <w:r>
        <w:rPr>
          <w:rFonts w:hint="eastAsia"/>
          <w:lang w:eastAsia="zh-CN"/>
        </w:rPr>
        <w:t>模型</w:t>
      </w:r>
      <w:r w:rsidRPr="004C19B0">
        <w:rPr>
          <w:rFonts w:hint="eastAsia"/>
          <w:lang w:eastAsia="zh-CN"/>
        </w:rPr>
        <w:t>”高管</w:t>
      </w:r>
      <w:r>
        <w:rPr>
          <w:rFonts w:hint="eastAsia"/>
          <w:lang w:eastAsia="zh-CN"/>
        </w:rPr>
        <w:t>大师讲堂</w:t>
      </w:r>
      <w:r w:rsidRPr="004C19B0">
        <w:rPr>
          <w:rFonts w:hint="eastAsia"/>
          <w:lang w:eastAsia="zh-CN"/>
        </w:rPr>
        <w:t>、区域监管协会（</w:t>
      </w:r>
      <w:r w:rsidRPr="004C19B0">
        <w:rPr>
          <w:rFonts w:hint="eastAsia"/>
          <w:lang w:eastAsia="zh-CN"/>
        </w:rPr>
        <w:t>RA</w:t>
      </w:r>
      <w:r w:rsidRPr="004C19B0">
        <w:rPr>
          <w:rFonts w:hint="eastAsia"/>
          <w:lang w:eastAsia="zh-CN"/>
        </w:rPr>
        <w:t>）</w:t>
      </w:r>
      <w:r w:rsidRPr="004C19B0">
        <w:rPr>
          <w:rFonts w:hint="eastAsia"/>
          <w:lang w:eastAsia="zh-CN"/>
        </w:rPr>
        <w:t>/</w:t>
      </w:r>
      <w:r w:rsidRPr="004C19B0">
        <w:rPr>
          <w:rFonts w:hint="eastAsia"/>
          <w:lang w:eastAsia="zh-CN"/>
        </w:rPr>
        <w:t>数字监管网络（</w:t>
      </w:r>
      <w:r w:rsidRPr="004C19B0">
        <w:rPr>
          <w:rFonts w:hint="eastAsia"/>
          <w:lang w:eastAsia="zh-CN"/>
        </w:rPr>
        <w:t>DRN</w:t>
      </w:r>
      <w:r w:rsidRPr="004C19B0">
        <w:rPr>
          <w:rFonts w:hint="eastAsia"/>
          <w:lang w:eastAsia="zh-CN"/>
        </w:rPr>
        <w:t>）会议，以及发展问题行业顾问组和私营部门首席监管官（</w:t>
      </w:r>
      <w:r w:rsidRPr="004C19B0">
        <w:rPr>
          <w:rFonts w:hint="eastAsia"/>
          <w:lang w:eastAsia="zh-CN"/>
        </w:rPr>
        <w:t>IAGDI-CRO</w:t>
      </w:r>
      <w:r w:rsidRPr="004C19B0">
        <w:rPr>
          <w:rFonts w:hint="eastAsia"/>
          <w:lang w:eastAsia="zh-CN"/>
        </w:rPr>
        <w:t>）</w:t>
      </w:r>
      <w:r>
        <w:rPr>
          <w:rFonts w:hint="eastAsia"/>
          <w:lang w:eastAsia="zh-CN"/>
        </w:rPr>
        <w:t>会议</w:t>
      </w:r>
      <w:r w:rsidRPr="004C19B0">
        <w:rPr>
          <w:rFonts w:hint="eastAsia"/>
          <w:lang w:eastAsia="zh-CN"/>
        </w:rPr>
        <w:t>。</w:t>
      </w:r>
    </w:p>
    <w:p w14:paraId="75053C2B" w14:textId="601B985A" w:rsidR="00E90B8E" w:rsidRPr="00DF70E9" w:rsidRDefault="00622881" w:rsidP="00BB475A">
      <w:pPr>
        <w:ind w:firstLineChars="200" w:firstLine="480"/>
        <w:jc w:val="both"/>
        <w:rPr>
          <w:lang w:eastAsia="zh-CN"/>
        </w:rPr>
      </w:pPr>
      <w:r>
        <w:rPr>
          <w:rFonts w:hint="eastAsia"/>
          <w:lang w:eastAsia="zh-CN"/>
        </w:rPr>
        <w:t>作为</w:t>
      </w:r>
      <w:r w:rsidR="00E90B8E">
        <w:rPr>
          <w:rFonts w:hint="eastAsia"/>
          <w:lang w:eastAsia="zh-CN"/>
        </w:rPr>
        <w:t>“</w:t>
      </w:r>
      <w:hyperlink r:id="rId23" w:history="1">
        <w:r w:rsidRPr="00D908B2">
          <w:rPr>
            <w:rStyle w:val="Hyperlink"/>
            <w:rFonts w:hint="eastAsia"/>
            <w:lang w:eastAsia="zh-CN"/>
          </w:rPr>
          <w:t>协作式数字监管国别审查</w:t>
        </w:r>
        <w:r w:rsidR="00E90B8E">
          <w:rPr>
            <w:rStyle w:val="Hyperlink"/>
            <w:rFonts w:hint="eastAsia"/>
            <w:lang w:eastAsia="zh-CN"/>
          </w:rPr>
          <w:t>”</w:t>
        </w:r>
        <w:r w:rsidRPr="00D908B2">
          <w:rPr>
            <w:rStyle w:val="Hyperlink"/>
            <w:rFonts w:hint="eastAsia"/>
            <w:lang w:eastAsia="zh-CN"/>
          </w:rPr>
          <w:t>系列</w:t>
        </w:r>
      </w:hyperlink>
      <w:r>
        <w:rPr>
          <w:rFonts w:hint="eastAsia"/>
          <w:lang w:eastAsia="zh-CN"/>
        </w:rPr>
        <w:t>的一部分，</w:t>
      </w:r>
      <w:r w:rsidRPr="00DF70E9">
        <w:rPr>
          <w:rFonts w:hint="eastAsia"/>
          <w:lang w:eastAsia="zh-CN"/>
        </w:rPr>
        <w:t>阿曼协作式数字监管国别审查</w:t>
      </w:r>
      <w:r>
        <w:rPr>
          <w:rFonts w:hint="eastAsia"/>
          <w:lang w:eastAsia="zh-CN"/>
        </w:rPr>
        <w:t>已</w:t>
      </w:r>
      <w:r w:rsidR="00E90B8E" w:rsidRPr="00E90B8E">
        <w:rPr>
          <w:lang w:eastAsia="zh-CN"/>
        </w:rPr>
        <w:t>正式</w:t>
      </w:r>
      <w:r>
        <w:rPr>
          <w:rFonts w:hint="eastAsia"/>
          <w:lang w:eastAsia="zh-CN"/>
        </w:rPr>
        <w:t>启动。该系列</w:t>
      </w:r>
      <w:r w:rsidR="00E90B8E" w:rsidRPr="00E90B8E">
        <w:rPr>
          <w:lang w:eastAsia="zh-CN"/>
        </w:rPr>
        <w:t>旨在</w:t>
      </w:r>
      <w:r w:rsidRPr="00DF70E9">
        <w:rPr>
          <w:rFonts w:hint="eastAsia"/>
          <w:lang w:eastAsia="zh-CN"/>
        </w:rPr>
        <w:t>对整个</w:t>
      </w:r>
      <w:r w:rsidRPr="00DF70E9">
        <w:rPr>
          <w:rFonts w:hint="eastAsia"/>
          <w:lang w:eastAsia="zh-CN"/>
        </w:rPr>
        <w:t>ICT</w:t>
      </w:r>
      <w:r w:rsidRPr="00DF70E9">
        <w:rPr>
          <w:rFonts w:hint="eastAsia"/>
          <w:lang w:eastAsia="zh-CN"/>
        </w:rPr>
        <w:t>和数字行业的监管治理框架、政策和做法进行</w:t>
      </w:r>
      <w:r>
        <w:rPr>
          <w:rFonts w:hint="eastAsia"/>
          <w:lang w:eastAsia="zh-CN"/>
        </w:rPr>
        <w:t>针对性评估。此次阿曼审查</w:t>
      </w:r>
      <w:r w:rsidR="00E90B8E">
        <w:rPr>
          <w:rFonts w:hint="eastAsia"/>
          <w:lang w:eastAsia="zh-CN"/>
        </w:rPr>
        <w:t>由</w:t>
      </w:r>
      <w:r w:rsidR="00E90B8E" w:rsidRPr="00E90B8E">
        <w:rPr>
          <w:lang w:eastAsia="zh-CN"/>
        </w:rPr>
        <w:t>电信发展局</w:t>
      </w:r>
      <w:r>
        <w:rPr>
          <w:rFonts w:hint="eastAsia"/>
          <w:lang w:eastAsia="zh-CN"/>
        </w:rPr>
        <w:t>与政府有关</w:t>
      </w:r>
      <w:r w:rsidRPr="00DF70E9">
        <w:rPr>
          <w:rFonts w:hint="eastAsia"/>
          <w:lang w:eastAsia="zh-CN"/>
        </w:rPr>
        <w:t>部门、国家利益攸关方和知名专家</w:t>
      </w:r>
      <w:r>
        <w:rPr>
          <w:rFonts w:hint="eastAsia"/>
          <w:lang w:eastAsia="zh-CN"/>
        </w:rPr>
        <w:t>合作开展</w:t>
      </w:r>
      <w:r w:rsidRPr="00DF70E9">
        <w:rPr>
          <w:rFonts w:hint="eastAsia"/>
          <w:lang w:eastAsia="zh-CN"/>
        </w:rPr>
        <w:t>，</w:t>
      </w:r>
      <w:r>
        <w:rPr>
          <w:rFonts w:hint="eastAsia"/>
          <w:lang w:eastAsia="zh-CN"/>
        </w:rPr>
        <w:t>并</w:t>
      </w:r>
      <w:r w:rsidRPr="00DF70E9">
        <w:rPr>
          <w:rFonts w:hint="eastAsia"/>
          <w:lang w:eastAsia="zh-CN"/>
        </w:rPr>
        <w:t>借鉴了国际电联的循</w:t>
      </w:r>
      <w:proofErr w:type="gramStart"/>
      <w:r w:rsidRPr="00DF70E9">
        <w:rPr>
          <w:rFonts w:hint="eastAsia"/>
          <w:lang w:eastAsia="zh-CN"/>
        </w:rPr>
        <w:t>证工具</w:t>
      </w:r>
      <w:proofErr w:type="gramEnd"/>
      <w:r w:rsidRPr="00DF70E9">
        <w:rPr>
          <w:rFonts w:hint="eastAsia"/>
          <w:lang w:eastAsia="zh-CN"/>
        </w:rPr>
        <w:t>和监管基准</w:t>
      </w:r>
      <w:r w:rsidR="00E90B8E" w:rsidRPr="00E90B8E">
        <w:rPr>
          <w:lang w:eastAsia="zh-CN"/>
        </w:rPr>
        <w:t>，旨在</w:t>
      </w:r>
      <w:r w:rsidRPr="00DF70E9">
        <w:rPr>
          <w:rFonts w:hint="eastAsia"/>
          <w:lang w:eastAsia="zh-CN"/>
        </w:rPr>
        <w:t>深入分析国家监管格局，并为推进跨</w:t>
      </w:r>
      <w:r w:rsidR="00E90B8E">
        <w:rPr>
          <w:rFonts w:hint="eastAsia"/>
          <w:lang w:eastAsia="zh-CN"/>
        </w:rPr>
        <w:t>部门</w:t>
      </w:r>
      <w:r w:rsidRPr="00DF70E9">
        <w:rPr>
          <w:rFonts w:hint="eastAsia"/>
          <w:lang w:eastAsia="zh-CN"/>
        </w:rPr>
        <w:t>数字化转型提出循证建议。</w:t>
      </w:r>
    </w:p>
    <w:p w14:paraId="25E7302C" w14:textId="77777777" w:rsidR="00622881" w:rsidRDefault="00622881" w:rsidP="00BB475A">
      <w:pPr>
        <w:ind w:firstLineChars="200" w:firstLine="480"/>
        <w:jc w:val="both"/>
        <w:rPr>
          <w:lang w:eastAsia="zh-CN"/>
        </w:rPr>
      </w:pPr>
      <w:r w:rsidRPr="000D7C15">
        <w:rPr>
          <w:rFonts w:hint="eastAsia"/>
          <w:lang w:eastAsia="zh-CN"/>
        </w:rPr>
        <w:t>与此同时，</w:t>
      </w:r>
      <w:r w:rsidRPr="000D7C15">
        <w:rPr>
          <w:rFonts w:hint="eastAsia"/>
          <w:lang w:eastAsia="zh-CN"/>
        </w:rPr>
        <w:t>2</w:t>
      </w:r>
      <w:r>
        <w:rPr>
          <w:rFonts w:hint="eastAsia"/>
          <w:lang w:eastAsia="zh-CN"/>
        </w:rPr>
        <w:t>月在塞内加尔举办了</w:t>
      </w:r>
      <w:r w:rsidRPr="000D7C15">
        <w:rPr>
          <w:rFonts w:hint="eastAsia"/>
          <w:lang w:eastAsia="zh-CN"/>
        </w:rPr>
        <w:t>卫星监管培训。在此基础上，</w:t>
      </w:r>
      <w:r>
        <w:rPr>
          <w:rFonts w:hint="eastAsia"/>
          <w:lang w:eastAsia="zh-CN"/>
        </w:rPr>
        <w:t>后续培训将分别</w:t>
      </w:r>
      <w:r w:rsidRPr="000D7C15">
        <w:rPr>
          <w:rFonts w:hint="eastAsia"/>
          <w:lang w:eastAsia="zh-CN"/>
        </w:rPr>
        <w:t>定于</w:t>
      </w:r>
      <w:r w:rsidRPr="000D7C15">
        <w:rPr>
          <w:rFonts w:hint="eastAsia"/>
          <w:lang w:eastAsia="zh-CN"/>
        </w:rPr>
        <w:t>2026</w:t>
      </w:r>
      <w:r w:rsidRPr="000D7C15">
        <w:rPr>
          <w:rFonts w:hint="eastAsia"/>
          <w:lang w:eastAsia="zh-CN"/>
        </w:rPr>
        <w:t>年</w:t>
      </w:r>
      <w:r w:rsidRPr="000D7C15">
        <w:rPr>
          <w:rFonts w:hint="eastAsia"/>
          <w:lang w:eastAsia="zh-CN"/>
        </w:rPr>
        <w:t>5</w:t>
      </w:r>
      <w:r w:rsidRPr="000D7C15">
        <w:rPr>
          <w:rFonts w:hint="eastAsia"/>
          <w:lang w:eastAsia="zh-CN"/>
        </w:rPr>
        <w:t>月</w:t>
      </w:r>
      <w:r w:rsidRPr="000D7C15">
        <w:rPr>
          <w:rFonts w:hint="eastAsia"/>
          <w:lang w:eastAsia="zh-CN"/>
        </w:rPr>
        <w:t>18</w:t>
      </w:r>
      <w:r w:rsidRPr="000D7C15">
        <w:rPr>
          <w:rFonts w:hint="eastAsia"/>
          <w:lang w:eastAsia="zh-CN"/>
        </w:rPr>
        <w:t>日至</w:t>
      </w:r>
      <w:r w:rsidRPr="000D7C15">
        <w:rPr>
          <w:rFonts w:hint="eastAsia"/>
          <w:lang w:eastAsia="zh-CN"/>
        </w:rPr>
        <w:t>21</w:t>
      </w:r>
      <w:r w:rsidRPr="000D7C15">
        <w:rPr>
          <w:rFonts w:hint="eastAsia"/>
          <w:lang w:eastAsia="zh-CN"/>
        </w:rPr>
        <w:t>日在印度尼西亚雅加达</w:t>
      </w:r>
      <w:r>
        <w:rPr>
          <w:rFonts w:hint="eastAsia"/>
          <w:lang w:eastAsia="zh-CN"/>
        </w:rPr>
        <w:t>举行，以及</w:t>
      </w:r>
      <w:r w:rsidRPr="000D7C15">
        <w:rPr>
          <w:rFonts w:hint="eastAsia"/>
          <w:lang w:eastAsia="zh-CN"/>
        </w:rPr>
        <w:t>2026</w:t>
      </w:r>
      <w:r w:rsidRPr="000D7C15">
        <w:rPr>
          <w:rFonts w:hint="eastAsia"/>
          <w:lang w:eastAsia="zh-CN"/>
        </w:rPr>
        <w:t>年</w:t>
      </w:r>
      <w:r w:rsidRPr="000D7C15">
        <w:rPr>
          <w:rFonts w:hint="eastAsia"/>
          <w:lang w:eastAsia="zh-CN"/>
        </w:rPr>
        <w:t>6</w:t>
      </w:r>
      <w:r w:rsidRPr="000D7C15">
        <w:rPr>
          <w:rFonts w:hint="eastAsia"/>
          <w:lang w:eastAsia="zh-CN"/>
        </w:rPr>
        <w:t>月</w:t>
      </w:r>
      <w:r w:rsidRPr="000D7C15">
        <w:rPr>
          <w:rFonts w:hint="eastAsia"/>
          <w:lang w:eastAsia="zh-CN"/>
        </w:rPr>
        <w:t>29</w:t>
      </w:r>
      <w:r w:rsidRPr="000D7C15">
        <w:rPr>
          <w:rFonts w:hint="eastAsia"/>
          <w:lang w:eastAsia="zh-CN"/>
        </w:rPr>
        <w:t>日至</w:t>
      </w:r>
      <w:r w:rsidRPr="000D7C15">
        <w:rPr>
          <w:rFonts w:hint="eastAsia"/>
          <w:lang w:eastAsia="zh-CN"/>
        </w:rPr>
        <w:t>7</w:t>
      </w:r>
      <w:r w:rsidRPr="000D7C15">
        <w:rPr>
          <w:rFonts w:hint="eastAsia"/>
          <w:lang w:eastAsia="zh-CN"/>
        </w:rPr>
        <w:t>月</w:t>
      </w:r>
      <w:r w:rsidRPr="000D7C15">
        <w:rPr>
          <w:rFonts w:hint="eastAsia"/>
          <w:lang w:eastAsia="zh-CN"/>
        </w:rPr>
        <w:t>2</w:t>
      </w:r>
      <w:r w:rsidRPr="000D7C15">
        <w:rPr>
          <w:rFonts w:hint="eastAsia"/>
          <w:lang w:eastAsia="zh-CN"/>
        </w:rPr>
        <w:t>日在埃塞俄比亚亚的斯亚贝巴举行。</w:t>
      </w:r>
    </w:p>
    <w:p w14:paraId="312FC281" w14:textId="5C2932AA" w:rsidR="00622881" w:rsidRPr="00E0720F" w:rsidRDefault="00E90B8E" w:rsidP="00BB475A">
      <w:pPr>
        <w:tabs>
          <w:tab w:val="left" w:pos="794"/>
          <w:tab w:val="left" w:pos="1191"/>
          <w:tab w:val="left" w:pos="1588"/>
          <w:tab w:val="left" w:pos="1985"/>
        </w:tabs>
        <w:ind w:firstLineChars="200" w:firstLine="480"/>
        <w:jc w:val="both"/>
        <w:rPr>
          <w:rFonts w:ascii="Calibri" w:hAnsi="Calibri"/>
          <w:lang w:eastAsia="zh-CN"/>
        </w:rPr>
      </w:pPr>
      <w:r>
        <w:rPr>
          <w:rFonts w:hint="eastAsia"/>
          <w:lang w:val="zh-CN" w:eastAsia="zh-CN"/>
        </w:rPr>
        <w:t>此外</w:t>
      </w:r>
      <w:r w:rsidR="00622881">
        <w:rPr>
          <w:lang w:val="zh-CN" w:eastAsia="zh-CN"/>
        </w:rPr>
        <w:t>，两年一度的国际电联</w:t>
      </w:r>
      <w:r w:rsidR="00622881">
        <w:rPr>
          <w:lang w:val="zh-CN" w:eastAsia="zh-CN"/>
        </w:rPr>
        <w:t>2026</w:t>
      </w:r>
      <w:r w:rsidR="00622881">
        <w:rPr>
          <w:lang w:val="zh-CN" w:eastAsia="zh-CN"/>
        </w:rPr>
        <w:t>年世界电信</w:t>
      </w:r>
      <w:r w:rsidR="00622881">
        <w:rPr>
          <w:lang w:val="zh-CN" w:eastAsia="zh-CN"/>
        </w:rPr>
        <w:t>/ICT</w:t>
      </w:r>
      <w:r w:rsidR="00622881">
        <w:rPr>
          <w:lang w:val="zh-CN" w:eastAsia="zh-CN"/>
        </w:rPr>
        <w:t>和</w:t>
      </w:r>
      <w:bookmarkStart w:id="15" w:name="OLE_LINK3"/>
      <w:r w:rsidR="00622881">
        <w:rPr>
          <w:lang w:val="zh-CN" w:eastAsia="zh-CN"/>
        </w:rPr>
        <w:t>数字监管调查</w:t>
      </w:r>
      <w:bookmarkEnd w:id="15"/>
      <w:r w:rsidR="001F2F90">
        <w:rPr>
          <w:rFonts w:hint="eastAsia"/>
          <w:lang w:val="zh-CN" w:eastAsia="zh-CN"/>
        </w:rPr>
        <w:t>已</w:t>
      </w:r>
      <w:r w:rsidR="00622881">
        <w:rPr>
          <w:lang w:val="zh-CN" w:eastAsia="zh-CN"/>
        </w:rPr>
        <w:t>于</w:t>
      </w:r>
      <w:r w:rsidR="00622881">
        <w:rPr>
          <w:lang w:val="zh-CN" w:eastAsia="zh-CN"/>
        </w:rPr>
        <w:t>2</w:t>
      </w:r>
      <w:r w:rsidR="00622881">
        <w:rPr>
          <w:lang w:val="zh-CN" w:eastAsia="zh-CN"/>
        </w:rPr>
        <w:t>月启动。</w:t>
      </w:r>
      <w:r w:rsidR="00622881">
        <w:rPr>
          <w:rFonts w:hint="eastAsia"/>
          <w:lang w:val="zh-CN" w:eastAsia="zh-CN"/>
        </w:rPr>
        <w:t>问卷调查表已</w:t>
      </w:r>
      <w:r w:rsidR="00622881" w:rsidRPr="00DB4A38">
        <w:rPr>
          <w:rFonts w:hint="eastAsia"/>
          <w:lang w:val="zh-CN" w:eastAsia="zh-CN"/>
        </w:rPr>
        <w:t>作</w:t>
      </w:r>
      <w:r w:rsidR="00622881">
        <w:rPr>
          <w:lang w:val="zh-CN" w:eastAsia="zh-CN"/>
        </w:rPr>
        <w:t>更新，以反映新出现的挑战，特别是与人工智能、太空经济以及监管创新</w:t>
      </w:r>
      <w:proofErr w:type="gramStart"/>
      <w:r w:rsidR="00622881">
        <w:rPr>
          <w:lang w:val="zh-CN" w:eastAsia="zh-CN"/>
        </w:rPr>
        <w:t>和沙盒相关</w:t>
      </w:r>
      <w:proofErr w:type="gramEnd"/>
      <w:r w:rsidR="00622881">
        <w:rPr>
          <w:lang w:val="zh-CN" w:eastAsia="zh-CN"/>
        </w:rPr>
        <w:t>的挑战。新的在线数据收集平台</w:t>
      </w:r>
      <w:r w:rsidR="001F2F90">
        <w:rPr>
          <w:rFonts w:hint="eastAsia"/>
          <w:lang w:val="zh-CN" w:eastAsia="zh-CN"/>
        </w:rPr>
        <w:t>以</w:t>
      </w:r>
      <w:r w:rsidR="001F2F90">
        <w:rPr>
          <w:lang w:val="zh-CN" w:eastAsia="zh-CN"/>
        </w:rPr>
        <w:t>英文版本</w:t>
      </w:r>
      <w:r w:rsidR="00622881">
        <w:rPr>
          <w:lang w:val="zh-CN" w:eastAsia="zh-CN"/>
        </w:rPr>
        <w:t>提供，</w:t>
      </w:r>
      <w:r w:rsidR="001F2F90" w:rsidRPr="00E90B8E">
        <w:rPr>
          <w:lang w:eastAsia="zh-CN"/>
        </w:rPr>
        <w:t>并可根据要求提供国际电联六种正式语文版本的离线</w:t>
      </w:r>
      <w:r w:rsidR="00622881">
        <w:rPr>
          <w:lang w:val="zh-CN" w:eastAsia="zh-CN"/>
        </w:rPr>
        <w:t>问卷调查表。</w:t>
      </w:r>
    </w:p>
    <w:p w14:paraId="1045A363" w14:textId="308A7D09" w:rsidR="00622881" w:rsidRPr="00E0720F" w:rsidRDefault="00622881" w:rsidP="00BB475A">
      <w:pPr>
        <w:tabs>
          <w:tab w:val="left" w:pos="794"/>
          <w:tab w:val="left" w:pos="1191"/>
          <w:tab w:val="left" w:pos="1588"/>
          <w:tab w:val="left" w:pos="1985"/>
        </w:tabs>
        <w:ind w:firstLineChars="200" w:firstLine="480"/>
        <w:jc w:val="both"/>
        <w:rPr>
          <w:rFonts w:ascii="Calibri" w:hAnsi="Calibri"/>
          <w:lang w:eastAsia="zh-CN"/>
        </w:rPr>
      </w:pPr>
      <w:r>
        <w:rPr>
          <w:lang w:val="zh-CN" w:eastAsia="zh-CN"/>
        </w:rPr>
        <w:t>为进一步加强国际电联的监管工具，</w:t>
      </w:r>
      <w:r w:rsidR="001F2F90" w:rsidRPr="001F2F90">
        <w:rPr>
          <w:lang w:eastAsia="zh-CN"/>
        </w:rPr>
        <w:t>原名</w:t>
      </w:r>
      <w:r w:rsidR="001F2F90">
        <w:rPr>
          <w:rFonts w:hint="eastAsia"/>
          <w:lang w:eastAsia="zh-CN"/>
        </w:rPr>
        <w:t>“</w:t>
      </w:r>
      <w:r>
        <w:rPr>
          <w:lang w:val="zh-CN" w:eastAsia="zh-CN"/>
        </w:rPr>
        <w:t>统一框架</w:t>
      </w:r>
      <w:r w:rsidR="001F2F90">
        <w:rPr>
          <w:rFonts w:hint="eastAsia"/>
          <w:lang w:val="zh-CN" w:eastAsia="zh-CN"/>
        </w:rPr>
        <w:t>”</w:t>
      </w:r>
      <w:r>
        <w:rPr>
          <w:lang w:val="zh-CN" w:eastAsia="zh-CN"/>
        </w:rPr>
        <w:t>的</w:t>
      </w:r>
      <w:hyperlink r:id="rId24" w:history="1">
        <w:r w:rsidRPr="00284983">
          <w:rPr>
            <w:rStyle w:val="Hyperlink"/>
            <w:lang w:val="zh-CN" w:eastAsia="zh-CN"/>
          </w:rPr>
          <w:t>数字就绪框架</w:t>
        </w:r>
      </w:hyperlink>
      <w:r>
        <w:rPr>
          <w:rFonts w:hint="eastAsia"/>
          <w:lang w:val="zh-CN" w:eastAsia="zh-CN"/>
        </w:rPr>
        <w:t>已纳入</w:t>
      </w:r>
      <w:r>
        <w:rPr>
          <w:lang w:val="zh-CN" w:eastAsia="zh-CN"/>
        </w:rPr>
        <w:t>G5</w:t>
      </w:r>
      <w:r>
        <w:rPr>
          <w:lang w:val="zh-CN" w:eastAsia="zh-CN"/>
        </w:rPr>
        <w:t>加速器平台。这一基准工具使监管机构和</w:t>
      </w:r>
      <w:r>
        <w:rPr>
          <w:rFonts w:hint="eastAsia"/>
          <w:lang w:val="zh-CN" w:eastAsia="zh-CN"/>
        </w:rPr>
        <w:t>政策制定者</w:t>
      </w:r>
      <w:r>
        <w:rPr>
          <w:lang w:val="zh-CN" w:eastAsia="zh-CN"/>
        </w:rPr>
        <w:t>能够评估国家法律、政策和治理框架对数字化转型的准备情况。</w:t>
      </w:r>
      <w:r>
        <w:rPr>
          <w:rFonts w:hint="eastAsia"/>
          <w:lang w:val="zh-CN" w:eastAsia="zh-CN"/>
        </w:rPr>
        <w:t>该</w:t>
      </w:r>
      <w:r>
        <w:rPr>
          <w:lang w:val="zh-CN" w:eastAsia="zh-CN"/>
        </w:rPr>
        <w:t>在线</w:t>
      </w:r>
      <w:r>
        <w:rPr>
          <w:rFonts w:hint="eastAsia"/>
          <w:lang w:val="zh-CN" w:eastAsia="zh-CN"/>
        </w:rPr>
        <w:t>平台</w:t>
      </w:r>
      <w:r w:rsidR="001F2F90" w:rsidRPr="001F2F90">
        <w:rPr>
          <w:lang w:eastAsia="zh-CN"/>
        </w:rPr>
        <w:t>提供</w:t>
      </w:r>
      <w:r>
        <w:rPr>
          <w:lang w:val="zh-CN" w:eastAsia="zh-CN"/>
        </w:rPr>
        <w:t>国家概况、</w:t>
      </w:r>
      <w:r>
        <w:rPr>
          <w:rFonts w:hint="eastAsia"/>
          <w:lang w:val="zh-CN" w:eastAsia="zh-CN"/>
        </w:rPr>
        <w:t>交互式</w:t>
      </w:r>
      <w:r>
        <w:rPr>
          <w:lang w:val="zh-CN" w:eastAsia="zh-CN"/>
        </w:rPr>
        <w:t>分析和地图</w:t>
      </w:r>
      <w:r>
        <w:rPr>
          <w:rFonts w:hint="eastAsia"/>
          <w:lang w:val="zh-CN" w:eastAsia="zh-CN"/>
        </w:rPr>
        <w:t>等功能</w:t>
      </w:r>
      <w:r>
        <w:rPr>
          <w:lang w:val="zh-CN" w:eastAsia="zh-CN"/>
        </w:rPr>
        <w:t>。</w:t>
      </w:r>
      <w:hyperlink r:id="rId25" w:tgtFrame="_blank" w:tooltip="https://app.gen5.digital/unified-framework/about" w:history="1"/>
    </w:p>
    <w:p w14:paraId="5A99BC3E" w14:textId="7278EBD7" w:rsidR="00622881" w:rsidRDefault="00622881" w:rsidP="00BB475A">
      <w:pPr>
        <w:ind w:firstLineChars="200" w:firstLine="480"/>
        <w:jc w:val="both"/>
        <w:rPr>
          <w:lang w:eastAsia="zh-CN"/>
        </w:rPr>
      </w:pPr>
      <w:r w:rsidRPr="0042491A">
        <w:rPr>
          <w:rFonts w:hint="eastAsia"/>
          <w:lang w:eastAsia="zh-CN"/>
        </w:rPr>
        <w:t>数字监管网络（</w:t>
      </w:r>
      <w:r w:rsidRPr="0042491A">
        <w:rPr>
          <w:rFonts w:hint="eastAsia"/>
          <w:lang w:eastAsia="zh-CN"/>
        </w:rPr>
        <w:t>DRN</w:t>
      </w:r>
      <w:r w:rsidRPr="0042491A">
        <w:rPr>
          <w:rFonts w:hint="eastAsia"/>
          <w:lang w:eastAsia="zh-CN"/>
        </w:rPr>
        <w:t>）于</w:t>
      </w:r>
      <w:r w:rsidRPr="0042491A">
        <w:rPr>
          <w:rFonts w:hint="eastAsia"/>
          <w:lang w:eastAsia="zh-CN"/>
        </w:rPr>
        <w:t>2</w:t>
      </w:r>
      <w:r w:rsidRPr="0042491A">
        <w:rPr>
          <w:rFonts w:hint="eastAsia"/>
          <w:lang w:eastAsia="zh-CN"/>
        </w:rPr>
        <w:t>月举行了春季会议。委员会就</w:t>
      </w:r>
      <w:r w:rsidR="001F2F90">
        <w:rPr>
          <w:rFonts w:hint="eastAsia"/>
          <w:lang w:eastAsia="zh-CN"/>
        </w:rPr>
        <w:t>《</w:t>
      </w:r>
      <w:r w:rsidRPr="0042491A">
        <w:rPr>
          <w:rFonts w:hint="eastAsia"/>
          <w:lang w:eastAsia="zh-CN"/>
        </w:rPr>
        <w:t>GSR</w:t>
      </w:r>
      <w:r w:rsidR="00E90B8E">
        <w:rPr>
          <w:rFonts w:hint="eastAsia"/>
          <w:lang w:eastAsia="zh-CN"/>
        </w:rPr>
        <w:t>-</w:t>
      </w:r>
      <w:r w:rsidRPr="0042491A">
        <w:rPr>
          <w:rFonts w:hint="eastAsia"/>
          <w:lang w:eastAsia="zh-CN"/>
        </w:rPr>
        <w:t>26</w:t>
      </w:r>
      <w:r w:rsidRPr="0042491A">
        <w:rPr>
          <w:rFonts w:hint="eastAsia"/>
          <w:lang w:eastAsia="zh-CN"/>
        </w:rPr>
        <w:t>最佳做法导则</w:t>
      </w:r>
      <w:r w:rsidR="001F2F90">
        <w:rPr>
          <w:rFonts w:hint="eastAsia"/>
          <w:lang w:eastAsia="zh-CN"/>
        </w:rPr>
        <w:t>》</w:t>
      </w:r>
      <w:r w:rsidRPr="0042491A">
        <w:rPr>
          <w:rFonts w:hint="eastAsia"/>
          <w:lang w:eastAsia="zh-CN"/>
        </w:rPr>
        <w:t>和新监管工具</w:t>
      </w:r>
      <w:r w:rsidR="001F2F90" w:rsidRPr="0042491A">
        <w:rPr>
          <w:rFonts w:hint="eastAsia"/>
          <w:lang w:eastAsia="zh-CN"/>
        </w:rPr>
        <w:t>（如将于</w:t>
      </w:r>
      <w:r w:rsidR="001F2F90" w:rsidRPr="0042491A">
        <w:rPr>
          <w:rFonts w:hint="eastAsia"/>
          <w:lang w:eastAsia="zh-CN"/>
        </w:rPr>
        <w:t>2026</w:t>
      </w:r>
      <w:r w:rsidR="001F2F90" w:rsidRPr="0042491A">
        <w:rPr>
          <w:rFonts w:hint="eastAsia"/>
          <w:lang w:eastAsia="zh-CN"/>
        </w:rPr>
        <w:t>年晚些时候</w:t>
      </w:r>
      <w:r w:rsidR="001F2F90">
        <w:rPr>
          <w:rFonts w:hint="eastAsia"/>
          <w:lang w:eastAsia="zh-CN"/>
        </w:rPr>
        <w:t>发布</w:t>
      </w:r>
      <w:r w:rsidR="001F2F90" w:rsidRPr="0042491A">
        <w:rPr>
          <w:rFonts w:hint="eastAsia"/>
          <w:lang w:eastAsia="zh-CN"/>
        </w:rPr>
        <w:t>的国际电</w:t>
      </w:r>
      <w:proofErr w:type="gramStart"/>
      <w:r w:rsidR="001F2F90" w:rsidRPr="0042491A">
        <w:rPr>
          <w:rFonts w:hint="eastAsia"/>
          <w:lang w:eastAsia="zh-CN"/>
        </w:rPr>
        <w:t>联全球</w:t>
      </w:r>
      <w:proofErr w:type="gramEnd"/>
      <w:r w:rsidR="001F2F90" w:rsidRPr="0042491A">
        <w:rPr>
          <w:rFonts w:hint="eastAsia"/>
          <w:lang w:eastAsia="zh-CN"/>
        </w:rPr>
        <w:t>经济模型研究（</w:t>
      </w:r>
      <w:r w:rsidR="001F2F90" w:rsidRPr="0042491A">
        <w:rPr>
          <w:rFonts w:hint="eastAsia"/>
          <w:lang w:eastAsia="zh-CN"/>
        </w:rPr>
        <w:t>GEMS</w:t>
      </w:r>
      <w:r w:rsidR="001F2F90" w:rsidRPr="0042491A">
        <w:rPr>
          <w:rFonts w:hint="eastAsia"/>
          <w:lang w:eastAsia="zh-CN"/>
        </w:rPr>
        <w:t>））</w:t>
      </w:r>
      <w:r w:rsidRPr="0042491A">
        <w:rPr>
          <w:rFonts w:hint="eastAsia"/>
          <w:lang w:eastAsia="zh-CN"/>
        </w:rPr>
        <w:t>的</w:t>
      </w:r>
      <w:r w:rsidR="001F2F90">
        <w:rPr>
          <w:rFonts w:hint="eastAsia"/>
          <w:lang w:eastAsia="zh-CN"/>
        </w:rPr>
        <w:t>推广</w:t>
      </w:r>
      <w:r w:rsidRPr="0042491A">
        <w:rPr>
          <w:rFonts w:hint="eastAsia"/>
          <w:lang w:eastAsia="zh-CN"/>
        </w:rPr>
        <w:t>提供了指导。</w:t>
      </w:r>
    </w:p>
    <w:p w14:paraId="56D787F7" w14:textId="4D8EA841" w:rsidR="00622881" w:rsidRDefault="00622881" w:rsidP="00BB475A">
      <w:pPr>
        <w:ind w:firstLineChars="200" w:firstLine="482"/>
        <w:jc w:val="both"/>
        <w:rPr>
          <w:lang w:eastAsia="zh-CN"/>
        </w:rPr>
      </w:pPr>
      <w:r w:rsidRPr="00967589">
        <w:rPr>
          <w:rFonts w:hint="eastAsia"/>
          <w:b/>
          <w:bCs/>
          <w:lang w:eastAsia="zh-CN"/>
        </w:rPr>
        <w:t>在非洲</w:t>
      </w:r>
      <w:r w:rsidR="001F2F90">
        <w:rPr>
          <w:rFonts w:hint="eastAsia"/>
          <w:b/>
          <w:bCs/>
          <w:lang w:eastAsia="zh-CN"/>
        </w:rPr>
        <w:t>地区</w:t>
      </w:r>
      <w:r w:rsidRPr="0042491A">
        <w:rPr>
          <w:rFonts w:hint="eastAsia"/>
          <w:lang w:eastAsia="zh-CN"/>
        </w:rPr>
        <w:t>，电信发展局支持莫桑比克政府设计、</w:t>
      </w:r>
      <w:r w:rsidR="001F2F90">
        <w:rPr>
          <w:rFonts w:hint="eastAsia"/>
          <w:lang w:eastAsia="zh-CN"/>
        </w:rPr>
        <w:t>启动并</w:t>
      </w:r>
      <w:r w:rsidRPr="0042491A">
        <w:rPr>
          <w:rFonts w:hint="eastAsia"/>
          <w:lang w:eastAsia="zh-CN"/>
        </w:rPr>
        <w:t>执行</w:t>
      </w:r>
      <w:r w:rsidR="001F2F90">
        <w:rPr>
          <w:rFonts w:hint="eastAsia"/>
          <w:lang w:eastAsia="zh-CN"/>
        </w:rPr>
        <w:t>了《</w:t>
      </w:r>
      <w:r w:rsidRPr="0042491A">
        <w:rPr>
          <w:rFonts w:hint="eastAsia"/>
          <w:lang w:eastAsia="zh-CN"/>
        </w:rPr>
        <w:t>国家数字化转型战略</w:t>
      </w:r>
      <w:r w:rsidR="001F2F90">
        <w:rPr>
          <w:rFonts w:hint="eastAsia"/>
          <w:lang w:eastAsia="zh-CN"/>
        </w:rPr>
        <w:t>》</w:t>
      </w:r>
      <w:r w:rsidRPr="0042491A">
        <w:rPr>
          <w:rFonts w:hint="eastAsia"/>
          <w:lang w:eastAsia="zh-CN"/>
        </w:rPr>
        <w:t>的全国性磋商和起草进程。继</w:t>
      </w:r>
      <w:r w:rsidRPr="0042491A">
        <w:rPr>
          <w:rFonts w:hint="eastAsia"/>
          <w:lang w:eastAsia="zh-CN"/>
        </w:rPr>
        <w:t>2</w:t>
      </w:r>
      <w:r w:rsidRPr="0042491A">
        <w:rPr>
          <w:rFonts w:hint="eastAsia"/>
          <w:lang w:eastAsia="zh-CN"/>
        </w:rPr>
        <w:t>月</w:t>
      </w:r>
      <w:r w:rsidRPr="0042491A">
        <w:rPr>
          <w:rFonts w:hint="eastAsia"/>
          <w:lang w:eastAsia="zh-CN"/>
        </w:rPr>
        <w:t>12</w:t>
      </w:r>
      <w:r w:rsidRPr="0042491A">
        <w:rPr>
          <w:rFonts w:hint="eastAsia"/>
          <w:lang w:eastAsia="zh-CN"/>
        </w:rPr>
        <w:t>日启动</w:t>
      </w:r>
      <w:r w:rsidR="001F2F90">
        <w:rPr>
          <w:rFonts w:hint="eastAsia"/>
          <w:lang w:eastAsia="zh-CN"/>
        </w:rPr>
        <w:t>该进程</w:t>
      </w:r>
      <w:r w:rsidRPr="0042491A">
        <w:rPr>
          <w:rFonts w:hint="eastAsia"/>
          <w:lang w:eastAsia="zh-CN"/>
        </w:rPr>
        <w:t>后，电信发展局协助赞比西亚</w:t>
      </w:r>
      <w:r w:rsidR="001F2F90">
        <w:rPr>
          <w:rFonts w:hint="eastAsia"/>
          <w:lang w:eastAsia="zh-CN"/>
        </w:rPr>
        <w:t>省</w:t>
      </w:r>
      <w:r w:rsidRPr="0042491A">
        <w:rPr>
          <w:rFonts w:hint="eastAsia"/>
          <w:lang w:eastAsia="zh-CN"/>
        </w:rPr>
        <w:t>、</w:t>
      </w:r>
      <w:bookmarkStart w:id="16" w:name="OLE_LINK12"/>
      <w:r w:rsidRPr="0042491A">
        <w:rPr>
          <w:rFonts w:hint="eastAsia"/>
          <w:lang w:eastAsia="zh-CN"/>
        </w:rPr>
        <w:t>德尔加杜角省</w:t>
      </w:r>
      <w:bookmarkEnd w:id="16"/>
      <w:r w:rsidRPr="0042491A">
        <w:rPr>
          <w:rFonts w:hint="eastAsia"/>
          <w:lang w:eastAsia="zh-CN"/>
        </w:rPr>
        <w:t>和马普托省开展了区域磋商</w:t>
      </w:r>
      <w:r w:rsidR="002941F3">
        <w:rPr>
          <w:rFonts w:hint="eastAsia"/>
          <w:lang w:eastAsia="zh-CN"/>
        </w:rPr>
        <w:t>，并举办了</w:t>
      </w:r>
      <w:r w:rsidRPr="0042491A">
        <w:rPr>
          <w:rFonts w:hint="eastAsia"/>
          <w:lang w:eastAsia="zh-CN"/>
        </w:rPr>
        <w:t>国家</w:t>
      </w:r>
      <w:r w:rsidR="002941F3">
        <w:rPr>
          <w:rFonts w:hint="eastAsia"/>
          <w:lang w:eastAsia="zh-CN"/>
        </w:rPr>
        <w:t>级</w:t>
      </w:r>
      <w:r w:rsidRPr="0042491A">
        <w:rPr>
          <w:rFonts w:hint="eastAsia"/>
          <w:lang w:eastAsia="zh-CN"/>
        </w:rPr>
        <w:t>磋商、起草和能力开发会议</w:t>
      </w:r>
      <w:r w:rsidR="002941F3">
        <w:rPr>
          <w:rFonts w:hint="eastAsia"/>
          <w:lang w:eastAsia="zh-CN"/>
        </w:rPr>
        <w:t>及</w:t>
      </w:r>
      <w:r w:rsidRPr="0042491A">
        <w:rPr>
          <w:rFonts w:hint="eastAsia"/>
          <w:lang w:eastAsia="zh-CN"/>
        </w:rPr>
        <w:t>相关活动，</w:t>
      </w:r>
      <w:r>
        <w:rPr>
          <w:rFonts w:hint="eastAsia"/>
          <w:lang w:eastAsia="zh-CN"/>
        </w:rPr>
        <w:t>助力</w:t>
      </w:r>
      <w:r w:rsidRPr="0042491A">
        <w:rPr>
          <w:rFonts w:hint="eastAsia"/>
          <w:lang w:eastAsia="zh-CN"/>
        </w:rPr>
        <w:t>确保</w:t>
      </w:r>
      <w:r>
        <w:rPr>
          <w:rFonts w:hint="eastAsia"/>
          <w:lang w:eastAsia="zh-CN"/>
        </w:rPr>
        <w:t>这一</w:t>
      </w:r>
      <w:r w:rsidRPr="0042491A">
        <w:rPr>
          <w:rFonts w:hint="eastAsia"/>
          <w:lang w:eastAsia="zh-CN"/>
        </w:rPr>
        <w:t>共同制定的战略</w:t>
      </w:r>
      <w:r>
        <w:rPr>
          <w:rFonts w:hint="eastAsia"/>
          <w:lang w:eastAsia="zh-CN"/>
        </w:rPr>
        <w:t>具备</w:t>
      </w:r>
      <w:r w:rsidRPr="0042491A">
        <w:rPr>
          <w:rFonts w:hint="eastAsia"/>
          <w:lang w:eastAsia="zh-CN"/>
        </w:rPr>
        <w:t>包容性、</w:t>
      </w:r>
      <w:r w:rsidR="002941F3">
        <w:rPr>
          <w:rFonts w:hint="eastAsia"/>
          <w:lang w:eastAsia="zh-CN"/>
        </w:rPr>
        <w:t>循证性，</w:t>
      </w:r>
      <w:r w:rsidRPr="0042491A">
        <w:rPr>
          <w:rFonts w:hint="eastAsia"/>
          <w:lang w:eastAsia="zh-CN"/>
        </w:rPr>
        <w:t>并与国际最佳做法保持一致。</w:t>
      </w:r>
      <w:r>
        <w:rPr>
          <w:rFonts w:hint="eastAsia"/>
          <w:lang w:eastAsia="zh-CN"/>
        </w:rPr>
        <w:t>此</w:t>
      </w:r>
      <w:r w:rsidRPr="0042491A">
        <w:rPr>
          <w:rFonts w:hint="eastAsia"/>
          <w:lang w:eastAsia="zh-CN"/>
        </w:rPr>
        <w:t>项工作通过</w:t>
      </w:r>
      <w:r>
        <w:rPr>
          <w:rFonts w:hint="eastAsia"/>
          <w:lang w:eastAsia="zh-CN"/>
        </w:rPr>
        <w:t>“</w:t>
      </w:r>
      <w:r w:rsidRPr="0042491A">
        <w:rPr>
          <w:rFonts w:hint="eastAsia"/>
          <w:lang w:eastAsia="zh-CN"/>
        </w:rPr>
        <w:t>为</w:t>
      </w:r>
      <w:proofErr w:type="spellStart"/>
      <w:r w:rsidRPr="0042491A">
        <w:rPr>
          <w:rFonts w:hint="eastAsia"/>
          <w:lang w:eastAsia="zh-CN"/>
        </w:rPr>
        <w:t>VaMoz</w:t>
      </w:r>
      <w:proofErr w:type="spellEnd"/>
      <w:r w:rsidRPr="0042491A">
        <w:rPr>
          <w:rFonts w:hint="eastAsia"/>
          <w:lang w:eastAsia="zh-CN"/>
        </w:rPr>
        <w:t xml:space="preserve"> Digital</w:t>
      </w:r>
      <w:r w:rsidRPr="0042491A">
        <w:rPr>
          <w:rFonts w:hint="eastAsia"/>
          <w:lang w:eastAsia="zh-CN"/>
        </w:rPr>
        <w:t>奠定基础</w:t>
      </w:r>
      <w:r>
        <w:rPr>
          <w:rFonts w:hint="eastAsia"/>
          <w:lang w:eastAsia="zh-CN"/>
        </w:rPr>
        <w:t>”</w:t>
      </w:r>
      <w:r w:rsidRPr="0042491A">
        <w:rPr>
          <w:rFonts w:hint="eastAsia"/>
          <w:lang w:eastAsia="zh-CN"/>
        </w:rPr>
        <w:t>项目</w:t>
      </w:r>
      <w:r>
        <w:rPr>
          <w:rFonts w:hint="eastAsia"/>
          <w:lang w:eastAsia="zh-CN"/>
        </w:rPr>
        <w:t>开展</w:t>
      </w:r>
      <w:r w:rsidRPr="0042491A">
        <w:rPr>
          <w:rFonts w:hint="eastAsia"/>
          <w:lang w:eastAsia="zh-CN"/>
        </w:rPr>
        <w:t>。</w:t>
      </w:r>
    </w:p>
    <w:p w14:paraId="2587E8B9" w14:textId="1861647B" w:rsidR="00622881" w:rsidRPr="00E0720F" w:rsidRDefault="00622881" w:rsidP="00BB475A">
      <w:pPr>
        <w:ind w:firstLineChars="200" w:firstLine="482"/>
        <w:jc w:val="both"/>
        <w:rPr>
          <w:bCs/>
          <w:lang w:eastAsia="zh-CN"/>
        </w:rPr>
      </w:pPr>
      <w:r w:rsidRPr="00A47E28">
        <w:rPr>
          <w:rFonts w:hint="eastAsia"/>
          <w:b/>
          <w:lang w:eastAsia="zh-CN"/>
        </w:rPr>
        <w:t>在美洲</w:t>
      </w:r>
      <w:r w:rsidR="002941F3">
        <w:rPr>
          <w:rFonts w:hint="eastAsia"/>
          <w:b/>
          <w:lang w:eastAsia="zh-CN"/>
        </w:rPr>
        <w:t>地区</w:t>
      </w:r>
      <w:r w:rsidRPr="00E0720F">
        <w:rPr>
          <w:rFonts w:hint="eastAsia"/>
          <w:bCs/>
          <w:lang w:eastAsia="zh-CN"/>
        </w:rPr>
        <w:t>，监管创新</w:t>
      </w:r>
      <w:r w:rsidR="002941F3">
        <w:rPr>
          <w:rFonts w:hint="eastAsia"/>
          <w:bCs/>
          <w:lang w:eastAsia="zh-CN"/>
        </w:rPr>
        <w:t>实施</w:t>
      </w:r>
      <w:r w:rsidRPr="00E0720F">
        <w:rPr>
          <w:rFonts w:hint="eastAsia"/>
          <w:bCs/>
          <w:lang w:eastAsia="zh-CN"/>
        </w:rPr>
        <w:t>技术援助项目取得进展。在伯利兹、萨尔瓦多和巴拿马</w:t>
      </w:r>
      <w:r>
        <w:rPr>
          <w:rFonts w:hint="eastAsia"/>
          <w:bCs/>
          <w:lang w:eastAsia="zh-CN"/>
        </w:rPr>
        <w:t>分别</w:t>
      </w:r>
      <w:r w:rsidRPr="00E0720F">
        <w:rPr>
          <w:rFonts w:hint="eastAsia"/>
          <w:bCs/>
          <w:lang w:eastAsia="zh-CN"/>
        </w:rPr>
        <w:t>举办了三</w:t>
      </w:r>
      <w:r w:rsidR="002941F3">
        <w:rPr>
          <w:rFonts w:hint="eastAsia"/>
          <w:bCs/>
          <w:lang w:eastAsia="zh-CN"/>
        </w:rPr>
        <w:t>场</w:t>
      </w:r>
      <w:r w:rsidRPr="00E0720F">
        <w:rPr>
          <w:rFonts w:hint="eastAsia"/>
          <w:bCs/>
          <w:lang w:eastAsia="zh-CN"/>
        </w:rPr>
        <w:t>国家</w:t>
      </w:r>
      <w:r>
        <w:rPr>
          <w:rFonts w:hint="eastAsia"/>
          <w:bCs/>
          <w:lang w:eastAsia="zh-CN"/>
        </w:rPr>
        <w:t>级</w:t>
      </w:r>
      <w:r w:rsidRPr="00E0720F">
        <w:rPr>
          <w:rFonts w:hint="eastAsia"/>
          <w:bCs/>
          <w:lang w:eastAsia="zh-CN"/>
        </w:rPr>
        <w:t>监管创新培训课程。</w:t>
      </w:r>
    </w:p>
    <w:p w14:paraId="69F7BA73" w14:textId="163ABD22" w:rsidR="00622881" w:rsidRDefault="00622881" w:rsidP="00BB475A">
      <w:pPr>
        <w:pStyle w:val="Heading3"/>
        <w:spacing w:before="120"/>
        <w:ind w:left="0" w:firstLineChars="200" w:firstLine="482"/>
        <w:jc w:val="both"/>
        <w:rPr>
          <w:b w:val="0"/>
          <w:lang w:val="zh-CN" w:eastAsia="zh-CN"/>
        </w:rPr>
      </w:pPr>
      <w:r w:rsidRPr="00A62342">
        <w:rPr>
          <w:bCs/>
          <w:lang w:val="zh-CN" w:eastAsia="zh-CN"/>
        </w:rPr>
        <w:lastRenderedPageBreak/>
        <w:t>在独联体国家</w:t>
      </w:r>
      <w:r>
        <w:rPr>
          <w:lang w:val="zh-CN" w:eastAsia="zh-CN"/>
        </w:rPr>
        <w:t>，</w:t>
      </w:r>
      <w:r w:rsidRPr="00713809">
        <w:rPr>
          <w:rFonts w:hint="eastAsia"/>
          <w:b w:val="0"/>
          <w:lang w:val="zh-CN" w:eastAsia="zh-CN"/>
        </w:rPr>
        <w:t>电信发展局在亚美尼亚举办了</w:t>
      </w:r>
      <w:r w:rsidRPr="00713809">
        <w:rPr>
          <w:b w:val="0"/>
          <w:lang w:val="zh-CN" w:eastAsia="zh-CN"/>
        </w:rPr>
        <w:t>ICT</w:t>
      </w:r>
      <w:r w:rsidRPr="00713809">
        <w:rPr>
          <w:rFonts w:hint="eastAsia"/>
          <w:b w:val="0"/>
          <w:lang w:val="zh-CN" w:eastAsia="zh-CN"/>
        </w:rPr>
        <w:t>监管讲习班。国家监管机构、行业专家和国际利益攸关方齐聚一堂，就频谱</w:t>
      </w:r>
      <w:r w:rsidR="002941F3">
        <w:rPr>
          <w:rFonts w:hint="eastAsia"/>
          <w:b w:val="0"/>
          <w:lang w:val="zh-CN" w:eastAsia="zh-CN"/>
        </w:rPr>
        <w:t>估值</w:t>
      </w:r>
      <w:r w:rsidRPr="00713809">
        <w:rPr>
          <w:rFonts w:hint="eastAsia"/>
          <w:b w:val="0"/>
          <w:lang w:val="zh-CN" w:eastAsia="zh-CN"/>
        </w:rPr>
        <w:t>、基础设施共享和从传统移动网络过渡等关键监管挑战加强对话。讲习班通过</w:t>
      </w:r>
      <w:r w:rsidR="002941F3" w:rsidRPr="00713809">
        <w:rPr>
          <w:rFonts w:hint="eastAsia"/>
          <w:b w:val="0"/>
          <w:lang w:val="zh-CN" w:eastAsia="zh-CN"/>
        </w:rPr>
        <w:t>分享</w:t>
      </w:r>
      <w:r w:rsidRPr="00713809">
        <w:rPr>
          <w:rFonts w:hint="eastAsia"/>
          <w:b w:val="0"/>
          <w:lang w:val="zh-CN" w:eastAsia="zh-CN"/>
        </w:rPr>
        <w:t>现代监管方法和国际最佳做法相关知识，提高了与会者的能力，为循</w:t>
      </w:r>
      <w:proofErr w:type="gramStart"/>
      <w:r w:rsidRPr="00713809">
        <w:rPr>
          <w:rFonts w:hint="eastAsia"/>
          <w:b w:val="0"/>
          <w:lang w:val="zh-CN" w:eastAsia="zh-CN"/>
        </w:rPr>
        <w:t>证决策</w:t>
      </w:r>
      <w:proofErr w:type="gramEnd"/>
      <w:r w:rsidRPr="00713809">
        <w:rPr>
          <w:rFonts w:hint="eastAsia"/>
          <w:b w:val="0"/>
          <w:lang w:val="zh-CN" w:eastAsia="zh-CN"/>
        </w:rPr>
        <w:t>提供支持，并</w:t>
      </w:r>
      <w:r w:rsidR="002941F3" w:rsidRPr="002941F3">
        <w:rPr>
          <w:rFonts w:hint="eastAsia"/>
          <w:b w:val="0"/>
          <w:lang w:val="zh-CN" w:eastAsia="zh-CN"/>
        </w:rPr>
        <w:t>助力构建</w:t>
      </w:r>
      <w:r w:rsidRPr="00713809">
        <w:rPr>
          <w:rFonts w:hint="eastAsia"/>
          <w:b w:val="0"/>
          <w:lang w:val="zh-CN" w:eastAsia="zh-CN"/>
        </w:rPr>
        <w:t>更高效、面向未来的</w:t>
      </w:r>
      <w:r w:rsidRPr="00713809">
        <w:rPr>
          <w:b w:val="0"/>
          <w:lang w:val="zh-CN" w:eastAsia="zh-CN"/>
        </w:rPr>
        <w:t>ICT</w:t>
      </w:r>
      <w:r w:rsidRPr="00713809">
        <w:rPr>
          <w:rFonts w:hint="eastAsia"/>
          <w:b w:val="0"/>
          <w:lang w:val="zh-CN" w:eastAsia="zh-CN"/>
        </w:rPr>
        <w:t>监管框架</w:t>
      </w:r>
      <w:r>
        <w:rPr>
          <w:rFonts w:hint="eastAsia"/>
          <w:b w:val="0"/>
          <w:lang w:val="zh-CN" w:eastAsia="zh-CN"/>
        </w:rPr>
        <w:t>。</w:t>
      </w:r>
    </w:p>
    <w:p w14:paraId="5FB8C549" w14:textId="77777777" w:rsidR="00622881" w:rsidRPr="00E40516" w:rsidRDefault="00622881" w:rsidP="00BB475A">
      <w:pPr>
        <w:pStyle w:val="Heading3"/>
        <w:spacing w:before="120"/>
        <w:ind w:left="1132" w:hangingChars="470" w:hanging="1132"/>
        <w:jc w:val="both"/>
        <w:rPr>
          <w:rFonts w:ascii="Calibri" w:hAnsi="Calibri" w:cs="Calibri"/>
          <w:bCs/>
          <w:color w:val="000000"/>
          <w:szCs w:val="24"/>
          <w:lang w:eastAsia="zh-CN"/>
        </w:rPr>
      </w:pPr>
      <w:r w:rsidRPr="00E40516">
        <w:rPr>
          <w:rFonts w:ascii="Calibri" w:hAnsi="Calibri" w:cs="Calibri" w:hint="eastAsia"/>
          <w:bCs/>
          <w:color w:val="000000"/>
          <w:szCs w:val="24"/>
          <w:lang w:eastAsia="zh-CN"/>
        </w:rPr>
        <w:t>提供数据和统计数字</w:t>
      </w:r>
    </w:p>
    <w:p w14:paraId="4E7576DB" w14:textId="05C231D2" w:rsidR="00622881" w:rsidRDefault="00622881" w:rsidP="00BB475A">
      <w:pPr>
        <w:ind w:firstLineChars="200" w:firstLine="480"/>
        <w:jc w:val="both"/>
        <w:rPr>
          <w:lang w:eastAsia="zh-CN"/>
        </w:rPr>
      </w:pPr>
      <w:r w:rsidRPr="00D23DED">
        <w:rPr>
          <w:rFonts w:hint="eastAsia"/>
          <w:lang w:eastAsia="zh-CN"/>
        </w:rPr>
        <w:t>3</w:t>
      </w:r>
      <w:r w:rsidRPr="00D23DED">
        <w:rPr>
          <w:rFonts w:hint="eastAsia"/>
          <w:lang w:eastAsia="zh-CN"/>
        </w:rPr>
        <w:t>月</w:t>
      </w:r>
      <w:r w:rsidRPr="00D23DED">
        <w:rPr>
          <w:rFonts w:hint="eastAsia"/>
          <w:lang w:eastAsia="zh-CN"/>
        </w:rPr>
        <w:t>5</w:t>
      </w:r>
      <w:r w:rsidRPr="00D23DED">
        <w:rPr>
          <w:rFonts w:hint="eastAsia"/>
          <w:lang w:eastAsia="zh-CN"/>
        </w:rPr>
        <w:t>日，电信发展局在联合国统计委员会第</w:t>
      </w:r>
      <w:r w:rsidRPr="00D23DED">
        <w:rPr>
          <w:rFonts w:hint="eastAsia"/>
          <w:lang w:eastAsia="zh-CN"/>
        </w:rPr>
        <w:t>57</w:t>
      </w:r>
      <w:r>
        <w:rPr>
          <w:rFonts w:hint="eastAsia"/>
          <w:lang w:eastAsia="zh-CN"/>
        </w:rPr>
        <w:t>届</w:t>
      </w:r>
      <w:r w:rsidRPr="00D23DED">
        <w:rPr>
          <w:rFonts w:hint="eastAsia"/>
          <w:lang w:eastAsia="zh-CN"/>
        </w:rPr>
        <w:t>会议</w:t>
      </w:r>
      <w:r w:rsidR="002941F3">
        <w:rPr>
          <w:rFonts w:hint="eastAsia"/>
          <w:lang w:eastAsia="zh-CN"/>
        </w:rPr>
        <w:t>期间</w:t>
      </w:r>
      <w:r w:rsidRPr="00D23DED">
        <w:rPr>
          <w:rFonts w:hint="eastAsia"/>
          <w:lang w:eastAsia="zh-CN"/>
        </w:rPr>
        <w:t>组织了一</w:t>
      </w:r>
      <w:r w:rsidR="002941F3">
        <w:rPr>
          <w:rFonts w:hint="eastAsia"/>
          <w:lang w:eastAsia="zh-CN"/>
        </w:rPr>
        <w:t>场主题为</w:t>
      </w:r>
      <w:r w:rsidRPr="00D23DED">
        <w:rPr>
          <w:rFonts w:hint="eastAsia"/>
          <w:lang w:eastAsia="zh-CN"/>
        </w:rPr>
        <w:t>“衡量有意义的</w:t>
      </w:r>
      <w:r w:rsidRPr="004C19B0">
        <w:rPr>
          <w:rFonts w:hint="eastAsia"/>
          <w:lang w:eastAsia="zh-CN"/>
        </w:rPr>
        <w:t>连接</w:t>
      </w:r>
      <w:r w:rsidRPr="00D23DED">
        <w:rPr>
          <w:rFonts w:hint="eastAsia"/>
          <w:lang w:eastAsia="zh-CN"/>
        </w:rPr>
        <w:t>”的会外活动</w:t>
      </w:r>
      <w:r w:rsidR="002941F3">
        <w:rPr>
          <w:rFonts w:hint="eastAsia"/>
          <w:lang w:eastAsia="zh-CN"/>
        </w:rPr>
        <w:t>。</w:t>
      </w:r>
      <w:r w:rsidRPr="00D23DED">
        <w:rPr>
          <w:rFonts w:hint="eastAsia"/>
          <w:lang w:eastAsia="zh-CN"/>
        </w:rPr>
        <w:t>发言</w:t>
      </w:r>
      <w:r w:rsidR="002941F3">
        <w:rPr>
          <w:rFonts w:hint="eastAsia"/>
          <w:lang w:eastAsia="zh-CN"/>
        </w:rPr>
        <w:t>嘉宾</w:t>
      </w:r>
      <w:r w:rsidRPr="00D23DED">
        <w:rPr>
          <w:rFonts w:hint="eastAsia"/>
          <w:lang w:eastAsia="zh-CN"/>
        </w:rPr>
        <w:t>包括</w:t>
      </w:r>
      <w:r w:rsidR="002941F3">
        <w:rPr>
          <w:rFonts w:hint="eastAsia"/>
          <w:lang w:eastAsia="zh-CN"/>
        </w:rPr>
        <w:t>来自</w:t>
      </w:r>
      <w:r w:rsidRPr="00D23DED">
        <w:rPr>
          <w:rFonts w:hint="eastAsia"/>
          <w:lang w:eastAsia="zh-CN"/>
        </w:rPr>
        <w:t>西班牙、阿根廷国家统计局</w:t>
      </w:r>
      <w:r>
        <w:rPr>
          <w:rFonts w:hint="eastAsia"/>
          <w:lang w:eastAsia="zh-CN"/>
        </w:rPr>
        <w:t>以及</w:t>
      </w:r>
      <w:r w:rsidRPr="00D23DED">
        <w:rPr>
          <w:rFonts w:hint="eastAsia"/>
          <w:lang w:eastAsia="zh-CN"/>
        </w:rPr>
        <w:t>联合国</w:t>
      </w:r>
      <w:r w:rsidRPr="00723097">
        <w:rPr>
          <w:rFonts w:hint="eastAsia"/>
          <w:lang w:eastAsia="zh-CN"/>
        </w:rPr>
        <w:t>毒品和犯罪问题办公室</w:t>
      </w:r>
      <w:r w:rsidR="002941F3">
        <w:rPr>
          <w:rFonts w:hint="eastAsia"/>
          <w:lang w:eastAsia="zh-CN"/>
        </w:rPr>
        <w:t>（</w:t>
      </w:r>
      <w:r>
        <w:rPr>
          <w:rFonts w:hint="eastAsia"/>
          <w:lang w:eastAsia="zh-CN"/>
        </w:rPr>
        <w:t>UNDOC</w:t>
      </w:r>
      <w:r w:rsidR="002941F3">
        <w:rPr>
          <w:rFonts w:hint="eastAsia"/>
          <w:lang w:eastAsia="zh-CN"/>
        </w:rPr>
        <w:t>）</w:t>
      </w:r>
      <w:r w:rsidRPr="00D23DED">
        <w:rPr>
          <w:rFonts w:hint="eastAsia"/>
          <w:lang w:eastAsia="zh-CN"/>
        </w:rPr>
        <w:t>的代表。</w:t>
      </w:r>
      <w:r w:rsidR="002941F3">
        <w:rPr>
          <w:rFonts w:hint="eastAsia"/>
          <w:lang w:eastAsia="zh-CN"/>
        </w:rPr>
        <w:t>活动主题为“</w:t>
      </w:r>
      <w:r>
        <w:fldChar w:fldCharType="begin"/>
      </w:r>
      <w:r>
        <w:rPr>
          <w:lang w:eastAsia="zh-CN"/>
        </w:rPr>
        <w:instrText>HYPERLINK "https://www.itu.int/itu-d/sites/projectumc/2026/02/25/umc-event-unsc2026/"</w:instrText>
      </w:r>
      <w:r>
        <w:fldChar w:fldCharType="separate"/>
      </w:r>
      <w:r w:rsidRPr="00630C5D">
        <w:rPr>
          <w:rStyle w:val="Hyperlink"/>
          <w:rFonts w:hint="eastAsia"/>
          <w:lang w:eastAsia="zh-CN"/>
        </w:rPr>
        <w:t>普遍和有意义的连接：加强国家</w:t>
      </w:r>
      <w:r w:rsidRPr="00630C5D">
        <w:rPr>
          <w:rStyle w:val="Hyperlink"/>
          <w:rFonts w:hint="eastAsia"/>
          <w:lang w:eastAsia="zh-CN"/>
        </w:rPr>
        <w:t>ICT</w:t>
      </w:r>
      <w:r w:rsidRPr="00630C5D">
        <w:rPr>
          <w:rStyle w:val="Hyperlink"/>
          <w:rFonts w:hint="eastAsia"/>
          <w:lang w:eastAsia="zh-CN"/>
        </w:rPr>
        <w:t>统计系统</w:t>
      </w:r>
      <w:r>
        <w:fldChar w:fldCharType="end"/>
      </w:r>
      <w:r w:rsidR="002941F3">
        <w:rPr>
          <w:rFonts w:hint="eastAsia"/>
          <w:lang w:eastAsia="zh-CN"/>
        </w:rPr>
        <w:t>”，</w:t>
      </w:r>
      <w:r w:rsidRPr="00D23DED">
        <w:rPr>
          <w:rFonts w:hint="eastAsia"/>
          <w:lang w:eastAsia="zh-CN"/>
        </w:rPr>
        <w:t>探讨了高质量数据对于加速实现普遍和有意义的连接（</w:t>
      </w:r>
      <w:r w:rsidRPr="00D23DED">
        <w:rPr>
          <w:rFonts w:hint="eastAsia"/>
          <w:lang w:eastAsia="zh-CN"/>
        </w:rPr>
        <w:t>UMC</w:t>
      </w:r>
      <w:r w:rsidRPr="00D23DED">
        <w:rPr>
          <w:rFonts w:hint="eastAsia"/>
          <w:lang w:eastAsia="zh-CN"/>
        </w:rPr>
        <w:t>）</w:t>
      </w:r>
      <w:r w:rsidR="002941F3">
        <w:rPr>
          <w:rFonts w:hint="eastAsia"/>
          <w:lang w:eastAsia="zh-CN"/>
        </w:rPr>
        <w:t>的必要性</w:t>
      </w:r>
      <w:r w:rsidRPr="00D23DED">
        <w:rPr>
          <w:rFonts w:hint="eastAsia"/>
          <w:lang w:eastAsia="zh-CN"/>
        </w:rPr>
        <w:t>，并讨论了各国和合作伙伴如何</w:t>
      </w:r>
      <w:r w:rsidR="002941F3">
        <w:rPr>
          <w:rFonts w:hint="eastAsia"/>
          <w:lang w:eastAsia="zh-CN"/>
        </w:rPr>
        <w:t>通过</w:t>
      </w:r>
      <w:r w:rsidRPr="00D23DED">
        <w:rPr>
          <w:rFonts w:hint="eastAsia"/>
          <w:lang w:eastAsia="zh-CN"/>
        </w:rPr>
        <w:t>加强</w:t>
      </w:r>
      <w:r w:rsidRPr="00D23DED">
        <w:rPr>
          <w:rFonts w:hint="eastAsia"/>
          <w:lang w:eastAsia="zh-CN"/>
        </w:rPr>
        <w:t>ICT</w:t>
      </w:r>
      <w:r w:rsidRPr="00D23DED">
        <w:rPr>
          <w:rFonts w:hint="eastAsia"/>
          <w:lang w:eastAsia="zh-CN"/>
        </w:rPr>
        <w:t>统计</w:t>
      </w:r>
      <w:r>
        <w:rPr>
          <w:rFonts w:hint="eastAsia"/>
          <w:lang w:eastAsia="zh-CN"/>
        </w:rPr>
        <w:t>工作</w:t>
      </w:r>
      <w:r w:rsidR="002941F3">
        <w:rPr>
          <w:rFonts w:hint="eastAsia"/>
          <w:lang w:eastAsia="zh-CN"/>
        </w:rPr>
        <w:t>来为制定</w:t>
      </w:r>
      <w:r w:rsidRPr="00D23DED">
        <w:rPr>
          <w:rFonts w:hint="eastAsia"/>
          <w:lang w:eastAsia="zh-CN"/>
        </w:rPr>
        <w:t>有效的数字政策提供</w:t>
      </w:r>
      <w:r w:rsidR="002941F3">
        <w:rPr>
          <w:rFonts w:hint="eastAsia"/>
          <w:lang w:eastAsia="zh-CN"/>
        </w:rPr>
        <w:t>决策依据</w:t>
      </w:r>
      <w:r w:rsidRPr="00D23DED">
        <w:rPr>
          <w:rFonts w:hint="eastAsia"/>
          <w:lang w:eastAsia="zh-CN"/>
        </w:rPr>
        <w:t>。</w:t>
      </w:r>
    </w:p>
    <w:p w14:paraId="0B5D9AA2" w14:textId="7BDE41A1" w:rsidR="00622881" w:rsidRDefault="00622881" w:rsidP="00BB475A">
      <w:pPr>
        <w:ind w:firstLineChars="200" w:firstLine="480"/>
        <w:jc w:val="both"/>
        <w:rPr>
          <w:lang w:eastAsia="zh-CN"/>
        </w:rPr>
      </w:pPr>
      <w:r w:rsidRPr="00D23DED">
        <w:rPr>
          <w:rFonts w:hint="eastAsia"/>
          <w:lang w:eastAsia="zh-CN"/>
        </w:rPr>
        <w:t>在能力建设方面，</w:t>
      </w:r>
      <w:r w:rsidRPr="00D23DED">
        <w:rPr>
          <w:rFonts w:hint="eastAsia"/>
          <w:lang w:eastAsia="zh-CN"/>
        </w:rPr>
        <w:t>2</w:t>
      </w:r>
      <w:r w:rsidRPr="00D23DED">
        <w:rPr>
          <w:rFonts w:hint="eastAsia"/>
          <w:lang w:eastAsia="zh-CN"/>
        </w:rPr>
        <w:t>月</w:t>
      </w:r>
      <w:r w:rsidRPr="00D23DED">
        <w:rPr>
          <w:rFonts w:hint="eastAsia"/>
          <w:lang w:eastAsia="zh-CN"/>
        </w:rPr>
        <w:t>19</w:t>
      </w:r>
      <w:r w:rsidRPr="00D23DED">
        <w:rPr>
          <w:rFonts w:hint="eastAsia"/>
          <w:lang w:eastAsia="zh-CN"/>
        </w:rPr>
        <w:t>日举行了关于衡量</w:t>
      </w:r>
      <w:r w:rsidRPr="00D23DED">
        <w:rPr>
          <w:rFonts w:hint="eastAsia"/>
          <w:lang w:eastAsia="zh-CN"/>
        </w:rPr>
        <w:t>ICT</w:t>
      </w:r>
      <w:r w:rsidRPr="00D23DED">
        <w:rPr>
          <w:rFonts w:hint="eastAsia"/>
          <w:lang w:eastAsia="zh-CN"/>
        </w:rPr>
        <w:t>服务价格的在线网络研讨会（</w:t>
      </w:r>
      <w:r>
        <w:fldChar w:fldCharType="begin"/>
      </w:r>
      <w:r>
        <w:rPr>
          <w:lang w:eastAsia="zh-CN"/>
        </w:rPr>
        <w:instrText>HYPERLINK "https://academy.itu.int/training-courses/full-catalogue/measuring-digital-development-ict-service-prices-data-collection"</w:instrText>
      </w:r>
      <w:r>
        <w:fldChar w:fldCharType="separate"/>
      </w:r>
      <w:r w:rsidRPr="003813B9">
        <w:rPr>
          <w:rStyle w:val="Hyperlink"/>
          <w:rFonts w:hint="eastAsia"/>
          <w:lang w:eastAsia="zh-CN"/>
        </w:rPr>
        <w:t>衡量数字化发展：</w:t>
      </w:r>
      <w:r w:rsidRPr="003813B9">
        <w:rPr>
          <w:rStyle w:val="Hyperlink"/>
          <w:rFonts w:hint="eastAsia"/>
          <w:lang w:eastAsia="zh-CN"/>
        </w:rPr>
        <w:t>ICT</w:t>
      </w:r>
      <w:r w:rsidRPr="003813B9">
        <w:rPr>
          <w:rStyle w:val="Hyperlink"/>
          <w:rFonts w:hint="eastAsia"/>
          <w:lang w:eastAsia="zh-CN"/>
        </w:rPr>
        <w:t>服务价格数据收集</w:t>
      </w:r>
      <w:r w:rsidRPr="003813B9">
        <w:rPr>
          <w:rStyle w:val="Hyperlink"/>
          <w:rFonts w:hint="eastAsia"/>
          <w:lang w:eastAsia="zh-CN"/>
        </w:rPr>
        <w:t>|</w:t>
      </w:r>
      <w:r w:rsidRPr="003813B9">
        <w:rPr>
          <w:rStyle w:val="Hyperlink"/>
          <w:rFonts w:hint="eastAsia"/>
          <w:lang w:eastAsia="zh-CN"/>
        </w:rPr>
        <w:t>国际电联学院</w:t>
      </w:r>
      <w:r>
        <w:fldChar w:fldCharType="end"/>
      </w:r>
      <w:r w:rsidRPr="00D23DED">
        <w:rPr>
          <w:rFonts w:hint="eastAsia"/>
          <w:lang w:eastAsia="zh-CN"/>
        </w:rPr>
        <w:t>）。</w:t>
      </w:r>
    </w:p>
    <w:p w14:paraId="210201FC" w14:textId="7CE0C893" w:rsidR="00622881" w:rsidRPr="00D23DED" w:rsidRDefault="00622881" w:rsidP="00BB475A">
      <w:pPr>
        <w:ind w:firstLineChars="200" w:firstLine="482"/>
        <w:jc w:val="both"/>
        <w:rPr>
          <w:lang w:eastAsia="zh-CN"/>
        </w:rPr>
      </w:pPr>
      <w:r w:rsidRPr="00F94758">
        <w:rPr>
          <w:rFonts w:hint="eastAsia"/>
          <w:b/>
          <w:bCs/>
          <w:lang w:eastAsia="zh-CN"/>
        </w:rPr>
        <w:t>在非洲</w:t>
      </w:r>
      <w:r w:rsidR="002941F3">
        <w:rPr>
          <w:rFonts w:hint="eastAsia"/>
          <w:b/>
          <w:bCs/>
          <w:lang w:eastAsia="zh-CN"/>
        </w:rPr>
        <w:t>地区</w:t>
      </w:r>
      <w:r w:rsidRPr="00D23DED">
        <w:rPr>
          <w:rFonts w:hint="eastAsia"/>
          <w:lang w:eastAsia="zh-CN"/>
        </w:rPr>
        <w:t>，</w:t>
      </w:r>
      <w:r w:rsidR="002941F3">
        <w:rPr>
          <w:rFonts w:hint="eastAsia"/>
          <w:lang w:eastAsia="zh-CN"/>
        </w:rPr>
        <w:t>由</w:t>
      </w:r>
      <w:r w:rsidRPr="00D23DED">
        <w:rPr>
          <w:rFonts w:hint="eastAsia"/>
          <w:lang w:eastAsia="zh-CN"/>
        </w:rPr>
        <w:t>国际电联与坦桑尼亚通信管理局（</w:t>
      </w:r>
      <w:r w:rsidRPr="00D23DED">
        <w:rPr>
          <w:rFonts w:hint="eastAsia"/>
          <w:lang w:eastAsia="zh-CN"/>
        </w:rPr>
        <w:t>TCRA</w:t>
      </w:r>
      <w:r w:rsidRPr="00D23DED">
        <w:rPr>
          <w:rFonts w:hint="eastAsia"/>
          <w:lang w:eastAsia="zh-CN"/>
        </w:rPr>
        <w:t>）</w:t>
      </w:r>
      <w:r w:rsidR="002941F3">
        <w:rPr>
          <w:rFonts w:hint="eastAsia"/>
          <w:lang w:eastAsia="zh-CN"/>
        </w:rPr>
        <w:t>共同主办、欧盟</w:t>
      </w:r>
      <w:r w:rsidR="00831C26">
        <w:rPr>
          <w:rFonts w:hint="eastAsia"/>
          <w:lang w:eastAsia="zh-CN"/>
        </w:rPr>
        <w:t>驻坦桑尼亚机构</w:t>
      </w:r>
      <w:r w:rsidR="002941F3">
        <w:rPr>
          <w:rFonts w:hint="eastAsia"/>
          <w:lang w:eastAsia="zh-CN"/>
        </w:rPr>
        <w:t>资助的“</w:t>
      </w:r>
      <w:r w:rsidRPr="00D23DED">
        <w:rPr>
          <w:rFonts w:hint="eastAsia"/>
          <w:lang w:eastAsia="zh-CN"/>
        </w:rPr>
        <w:t>促进和衡量</w:t>
      </w:r>
      <w:r>
        <w:fldChar w:fldCharType="begin"/>
      </w:r>
      <w:r>
        <w:rPr>
          <w:lang w:eastAsia="zh-CN"/>
        </w:rPr>
        <w:instrText>HYPERLINK "https://academy.itu.int/training-courses/full-catalogue/measuring-digital-development-ict-service-prices-data-collection"</w:instrText>
      </w:r>
      <w:r>
        <w:fldChar w:fldCharType="separate"/>
      </w:r>
      <w:r w:rsidRPr="007C29C5">
        <w:rPr>
          <w:rStyle w:val="Hyperlink"/>
          <w:rFonts w:hint="eastAsia"/>
          <w:lang w:eastAsia="zh-CN"/>
        </w:rPr>
        <w:t>普遍和有意义的连接（</w:t>
      </w:r>
      <w:r w:rsidRPr="007C29C5">
        <w:rPr>
          <w:rStyle w:val="Hyperlink"/>
          <w:rFonts w:hint="eastAsia"/>
          <w:lang w:eastAsia="zh-CN"/>
        </w:rPr>
        <w:t>UMC</w:t>
      </w:r>
      <w:r w:rsidRPr="007C29C5">
        <w:rPr>
          <w:rStyle w:val="Hyperlink"/>
          <w:rFonts w:hint="eastAsia"/>
          <w:lang w:eastAsia="zh-CN"/>
        </w:rPr>
        <w:t>）</w:t>
      </w:r>
      <w:r>
        <w:fldChar w:fldCharType="end"/>
      </w:r>
      <w:r w:rsidRPr="00D23DED">
        <w:rPr>
          <w:rFonts w:hint="eastAsia"/>
          <w:lang w:eastAsia="zh-CN"/>
        </w:rPr>
        <w:t>区域讲习班</w:t>
      </w:r>
      <w:r w:rsidR="00831C26">
        <w:rPr>
          <w:rFonts w:hint="eastAsia"/>
          <w:lang w:eastAsia="zh-CN"/>
        </w:rPr>
        <w:t>”</w:t>
      </w:r>
      <w:r w:rsidR="002941F3" w:rsidRPr="00D23DED">
        <w:rPr>
          <w:rFonts w:hint="eastAsia"/>
          <w:lang w:eastAsia="zh-CN"/>
        </w:rPr>
        <w:t>于</w:t>
      </w:r>
      <w:r w:rsidR="002941F3" w:rsidRPr="00D23DED">
        <w:rPr>
          <w:rFonts w:hint="eastAsia"/>
          <w:lang w:eastAsia="zh-CN"/>
        </w:rPr>
        <w:t>3</w:t>
      </w:r>
      <w:r w:rsidR="002941F3" w:rsidRPr="00D23DED">
        <w:rPr>
          <w:rFonts w:hint="eastAsia"/>
          <w:lang w:eastAsia="zh-CN"/>
        </w:rPr>
        <w:t>月在</w:t>
      </w:r>
      <w:r w:rsidR="002941F3" w:rsidRPr="00EB5434">
        <w:rPr>
          <w:rFonts w:hint="eastAsia"/>
          <w:lang w:eastAsia="zh-CN"/>
        </w:rPr>
        <w:t>坦桑尼亚</w:t>
      </w:r>
      <w:r w:rsidR="002941F3">
        <w:rPr>
          <w:rFonts w:hint="eastAsia"/>
          <w:lang w:eastAsia="zh-CN"/>
        </w:rPr>
        <w:t>举行</w:t>
      </w:r>
      <w:r w:rsidRPr="00D23DED">
        <w:rPr>
          <w:rFonts w:hint="eastAsia"/>
          <w:lang w:eastAsia="zh-CN"/>
        </w:rPr>
        <w:t>。该讲习班</w:t>
      </w:r>
      <w:r w:rsidR="00831C26">
        <w:rPr>
          <w:rFonts w:hint="eastAsia"/>
          <w:lang w:eastAsia="zh-CN"/>
        </w:rPr>
        <w:t>深入</w:t>
      </w:r>
      <w:r>
        <w:rPr>
          <w:rFonts w:hint="eastAsia"/>
          <w:lang w:eastAsia="zh-CN"/>
        </w:rPr>
        <w:t>介绍</w:t>
      </w:r>
      <w:r w:rsidRPr="00D23DED">
        <w:rPr>
          <w:rFonts w:hint="eastAsia"/>
          <w:lang w:eastAsia="zh-CN"/>
        </w:rPr>
        <w:t>了国际电联在统计</w:t>
      </w:r>
      <w:r w:rsidR="00831C26">
        <w:rPr>
          <w:rFonts w:hint="eastAsia"/>
          <w:lang w:eastAsia="zh-CN"/>
        </w:rPr>
        <w:t>领域</w:t>
      </w:r>
      <w:r w:rsidRPr="00D23DED">
        <w:rPr>
          <w:rFonts w:hint="eastAsia"/>
          <w:lang w:eastAsia="zh-CN"/>
        </w:rPr>
        <w:t>的工作，包括方法制定、数据收集和估算、传播和分析，并探讨了</w:t>
      </w:r>
      <w:r w:rsidR="00831C26">
        <w:rPr>
          <w:rFonts w:hint="eastAsia"/>
          <w:lang w:eastAsia="zh-CN"/>
        </w:rPr>
        <w:t>区域内</w:t>
      </w:r>
      <w:r w:rsidRPr="00D23DED">
        <w:rPr>
          <w:rFonts w:hint="eastAsia"/>
          <w:lang w:eastAsia="zh-CN"/>
        </w:rPr>
        <w:t>UMC</w:t>
      </w:r>
      <w:r w:rsidRPr="00D23DED">
        <w:rPr>
          <w:rFonts w:hint="eastAsia"/>
          <w:lang w:eastAsia="zh-CN"/>
        </w:rPr>
        <w:t>数据的可用性、目标的实现情况以及数字鸿沟。</w:t>
      </w:r>
    </w:p>
    <w:p w14:paraId="6512DECF" w14:textId="63CD0AE1" w:rsidR="00622881" w:rsidRPr="00D23DED" w:rsidRDefault="00622881" w:rsidP="00BB475A">
      <w:pPr>
        <w:ind w:firstLineChars="200" w:firstLine="482"/>
        <w:jc w:val="both"/>
        <w:rPr>
          <w:lang w:eastAsia="zh-CN"/>
        </w:rPr>
      </w:pPr>
      <w:r w:rsidRPr="00697569">
        <w:rPr>
          <w:rFonts w:hint="eastAsia"/>
          <w:b/>
          <w:bCs/>
          <w:lang w:eastAsia="zh-CN"/>
        </w:rPr>
        <w:t>在独联体国家</w:t>
      </w:r>
      <w:r w:rsidRPr="00D23DED">
        <w:rPr>
          <w:rFonts w:hint="eastAsia"/>
          <w:lang w:eastAsia="zh-CN"/>
        </w:rPr>
        <w:t>，电信发展局</w:t>
      </w:r>
      <w:r w:rsidR="00831C26">
        <w:rPr>
          <w:rFonts w:hint="eastAsia"/>
          <w:lang w:eastAsia="zh-CN"/>
        </w:rPr>
        <w:t>与</w:t>
      </w:r>
      <w:r w:rsidRPr="00D23DED">
        <w:rPr>
          <w:rFonts w:hint="eastAsia"/>
          <w:lang w:eastAsia="zh-CN"/>
        </w:rPr>
        <w:t>阿塞拜疆创新和数字发展</w:t>
      </w:r>
      <w:r>
        <w:rPr>
          <w:rFonts w:hint="eastAsia"/>
          <w:lang w:eastAsia="zh-CN"/>
        </w:rPr>
        <w:t>机构</w:t>
      </w:r>
      <w:r w:rsidRPr="00D23DED">
        <w:rPr>
          <w:rFonts w:hint="eastAsia"/>
          <w:lang w:eastAsia="zh-CN"/>
        </w:rPr>
        <w:t>目前正在讨论一份项目文件，旨在评估</w:t>
      </w:r>
      <w:r w:rsidR="00831C26">
        <w:rPr>
          <w:rFonts w:hint="eastAsia"/>
          <w:lang w:eastAsia="zh-CN"/>
        </w:rPr>
        <w:t>该国</w:t>
      </w:r>
      <w:r w:rsidRPr="00D23DED">
        <w:rPr>
          <w:rFonts w:hint="eastAsia"/>
          <w:lang w:eastAsia="zh-CN"/>
        </w:rPr>
        <w:t>民众和公共部门工作人员的数字技能，并在国家层面正式</w:t>
      </w:r>
      <w:r w:rsidR="00831C26">
        <w:rPr>
          <w:rFonts w:hint="eastAsia"/>
          <w:lang w:eastAsia="zh-CN"/>
        </w:rPr>
        <w:t>采纳</w:t>
      </w:r>
      <w:r w:rsidRPr="00D23DED">
        <w:rPr>
          <w:rFonts w:hint="eastAsia"/>
          <w:lang w:eastAsia="zh-CN"/>
        </w:rPr>
        <w:t>国际电联的方法。</w:t>
      </w:r>
    </w:p>
    <w:p w14:paraId="30B6F954" w14:textId="77777777" w:rsidR="00521A20" w:rsidRDefault="00521A20">
      <w:pPr>
        <w:spacing w:before="60" w:after="120"/>
        <w:rPr>
          <w:sz w:val="20"/>
          <w:lang w:val="en-US" w:eastAsia="zh-CN"/>
        </w:rPr>
        <w:sectPr w:rsidR="00521A20">
          <w:headerReference w:type="first" r:id="rId26"/>
          <w:pgSz w:w="11907" w:h="16840"/>
          <w:pgMar w:top="1418" w:right="1134" w:bottom="1134" w:left="1134" w:header="720" w:footer="720" w:gutter="0"/>
          <w:cols w:space="720"/>
          <w:titlePg/>
          <w:docGrid w:linePitch="326"/>
        </w:sectPr>
      </w:pPr>
    </w:p>
    <w:p w14:paraId="68AE9434" w14:textId="77777777" w:rsidR="00521A20" w:rsidRDefault="00BB475A">
      <w:pPr>
        <w:pStyle w:val="Heading2"/>
        <w:rPr>
          <w:lang w:eastAsia="zh-CN"/>
        </w:rPr>
      </w:pPr>
      <w:r>
        <w:rPr>
          <w:rFonts w:hint="eastAsia"/>
          <w:lang w:eastAsia="zh-CN"/>
        </w:rPr>
        <w:lastRenderedPageBreak/>
        <w:t>3.4</w:t>
      </w:r>
      <w:r>
        <w:rPr>
          <w:rFonts w:hint="eastAsia"/>
          <w:lang w:eastAsia="zh-CN"/>
        </w:rPr>
        <w:tab/>
        <w:t>ITU-D</w:t>
      </w:r>
      <w:r>
        <w:rPr>
          <w:rFonts w:hint="eastAsia"/>
          <w:lang w:eastAsia="zh-CN"/>
        </w:rPr>
        <w:t>的重点工作</w:t>
      </w:r>
      <w:r>
        <w:rPr>
          <w:rFonts w:hint="eastAsia"/>
          <w:lang w:eastAsia="zh-CN"/>
        </w:rPr>
        <w:t>4</w:t>
      </w:r>
      <w:r>
        <w:rPr>
          <w:rFonts w:hint="eastAsia"/>
          <w:lang w:eastAsia="zh-CN"/>
        </w:rPr>
        <w:t>：资源筹措、伙伴关系和国际合作</w:t>
      </w:r>
    </w:p>
    <w:tbl>
      <w:tblPr>
        <w:tblW w:w="15451" w:type="dxa"/>
        <w:tblInd w:w="-714" w:type="dxa"/>
        <w:tblLook w:val="04A0" w:firstRow="1" w:lastRow="0" w:firstColumn="1" w:lastColumn="0" w:noHBand="0" w:noVBand="1"/>
      </w:tblPr>
      <w:tblGrid>
        <w:gridCol w:w="2127"/>
        <w:gridCol w:w="3260"/>
        <w:gridCol w:w="3119"/>
        <w:gridCol w:w="2268"/>
        <w:gridCol w:w="1559"/>
        <w:gridCol w:w="1559"/>
        <w:gridCol w:w="1559"/>
      </w:tblGrid>
      <w:tr w:rsidR="00521A20" w14:paraId="378B35A2" w14:textId="77777777">
        <w:trPr>
          <w:trHeight w:val="600"/>
        </w:trPr>
        <w:tc>
          <w:tcPr>
            <w:tcW w:w="2127" w:type="dxa"/>
            <w:tcBorders>
              <w:top w:val="single" w:sz="4" w:space="0" w:color="44B3E1"/>
              <w:left w:val="single" w:sz="4" w:space="0" w:color="44B3E1"/>
              <w:bottom w:val="single" w:sz="4" w:space="0" w:color="44B3E1"/>
              <w:right w:val="nil"/>
            </w:tcBorders>
            <w:shd w:val="clear" w:color="auto" w:fill="156082"/>
            <w:vAlign w:val="center"/>
          </w:tcPr>
          <w:p w14:paraId="0C786B35" w14:textId="77777777" w:rsidR="00521A20" w:rsidRDefault="00BB475A">
            <w:pPr>
              <w:overflowPunct/>
              <w:autoSpaceDE/>
              <w:autoSpaceDN/>
              <w:adjustRightInd/>
              <w:spacing w:before="0"/>
              <w:jc w:val="center"/>
              <w:textAlignment w:val="auto"/>
              <w:rPr>
                <w:rFonts w:cstheme="minorHAnsi"/>
                <w:b/>
                <w:bCs/>
                <w:color w:val="FFFFFF"/>
                <w:sz w:val="20"/>
              </w:rPr>
            </w:pPr>
            <w:proofErr w:type="spellStart"/>
            <w:r>
              <w:rPr>
                <w:rFonts w:hint="eastAsia"/>
                <w:b/>
                <w:color w:val="FFFFFF"/>
                <w:sz w:val="20"/>
              </w:rPr>
              <w:t>重点工作</w:t>
            </w:r>
            <w:proofErr w:type="spellEnd"/>
            <w:r>
              <w:rPr>
                <w:rFonts w:hint="eastAsia"/>
                <w:b/>
                <w:color w:val="FFFFFF"/>
                <w:sz w:val="20"/>
              </w:rPr>
              <w:t>/</w:t>
            </w:r>
            <w:proofErr w:type="spellStart"/>
            <w:r>
              <w:rPr>
                <w:rFonts w:hint="eastAsia"/>
                <w:b/>
                <w:color w:val="FFFFFF"/>
                <w:sz w:val="20"/>
              </w:rPr>
              <w:t>主题</w:t>
            </w:r>
            <w:proofErr w:type="spellEnd"/>
          </w:p>
        </w:tc>
        <w:tc>
          <w:tcPr>
            <w:tcW w:w="3260" w:type="dxa"/>
            <w:tcBorders>
              <w:top w:val="single" w:sz="4" w:space="0" w:color="44B3E1"/>
              <w:left w:val="nil"/>
              <w:bottom w:val="single" w:sz="4" w:space="0" w:color="44B3E1"/>
              <w:right w:val="nil"/>
            </w:tcBorders>
            <w:shd w:val="clear" w:color="auto" w:fill="156082"/>
            <w:vAlign w:val="center"/>
          </w:tcPr>
          <w:p w14:paraId="02B57B57" w14:textId="77777777" w:rsidR="00521A20" w:rsidRDefault="00BB475A">
            <w:pPr>
              <w:overflowPunct/>
              <w:autoSpaceDE/>
              <w:autoSpaceDN/>
              <w:adjustRightInd/>
              <w:spacing w:before="0"/>
              <w:jc w:val="center"/>
              <w:textAlignment w:val="auto"/>
              <w:rPr>
                <w:rFonts w:cstheme="minorHAnsi"/>
                <w:b/>
                <w:bCs/>
                <w:color w:val="FFFFFF"/>
                <w:sz w:val="20"/>
              </w:rPr>
            </w:pPr>
            <w:proofErr w:type="spellStart"/>
            <w:r>
              <w:rPr>
                <w:rFonts w:hint="eastAsia"/>
                <w:b/>
                <w:color w:val="FFFFFF"/>
                <w:sz w:val="20"/>
              </w:rPr>
              <w:t>成果</w:t>
            </w:r>
            <w:proofErr w:type="spellEnd"/>
          </w:p>
        </w:tc>
        <w:tc>
          <w:tcPr>
            <w:tcW w:w="3119" w:type="dxa"/>
            <w:tcBorders>
              <w:top w:val="single" w:sz="4" w:space="0" w:color="44B3E1"/>
              <w:left w:val="nil"/>
              <w:bottom w:val="single" w:sz="4" w:space="0" w:color="44B3E1"/>
              <w:right w:val="nil"/>
            </w:tcBorders>
            <w:shd w:val="clear" w:color="auto" w:fill="156082"/>
            <w:vAlign w:val="center"/>
          </w:tcPr>
          <w:p w14:paraId="07497D18" w14:textId="77777777" w:rsidR="00521A20" w:rsidRDefault="00BB475A">
            <w:pPr>
              <w:overflowPunct/>
              <w:autoSpaceDE/>
              <w:autoSpaceDN/>
              <w:adjustRightInd/>
              <w:spacing w:before="0"/>
              <w:jc w:val="center"/>
              <w:textAlignment w:val="auto"/>
              <w:rPr>
                <w:rFonts w:cstheme="minorHAnsi"/>
                <w:b/>
                <w:bCs/>
                <w:color w:val="FFFFFF"/>
                <w:sz w:val="20"/>
              </w:rPr>
            </w:pPr>
            <w:proofErr w:type="spellStart"/>
            <w:r>
              <w:rPr>
                <w:rFonts w:hint="eastAsia"/>
                <w:b/>
                <w:color w:val="FFFFFF" w:themeColor="background1"/>
                <w:sz w:val="20"/>
              </w:rPr>
              <w:t>输出成果指标</w:t>
            </w:r>
            <w:proofErr w:type="spellEnd"/>
            <w:r>
              <w:rPr>
                <w:rStyle w:val="FootnoteReference"/>
                <w:rFonts w:cstheme="minorHAnsi"/>
                <w:b/>
                <w:color w:val="FFFFFF" w:themeColor="background1"/>
                <w:lang w:eastAsia="en-GB"/>
              </w:rPr>
              <w:footnoteReference w:id="3"/>
            </w:r>
          </w:p>
        </w:tc>
        <w:tc>
          <w:tcPr>
            <w:tcW w:w="2268" w:type="dxa"/>
            <w:tcBorders>
              <w:top w:val="single" w:sz="4" w:space="0" w:color="44B3E1"/>
              <w:left w:val="nil"/>
              <w:bottom w:val="single" w:sz="4" w:space="0" w:color="44B3E1"/>
              <w:right w:val="nil"/>
            </w:tcBorders>
            <w:shd w:val="clear" w:color="auto" w:fill="156082"/>
            <w:vAlign w:val="center"/>
          </w:tcPr>
          <w:p w14:paraId="2950B5F3" w14:textId="77777777" w:rsidR="00521A20" w:rsidRDefault="00BB475A">
            <w:pPr>
              <w:overflowPunct/>
              <w:autoSpaceDE/>
              <w:autoSpaceDN/>
              <w:adjustRightInd/>
              <w:spacing w:before="0"/>
              <w:jc w:val="center"/>
              <w:textAlignment w:val="auto"/>
              <w:rPr>
                <w:rFonts w:cstheme="minorHAnsi"/>
                <w:b/>
                <w:bCs/>
                <w:color w:val="FFFFFF"/>
                <w:sz w:val="20"/>
                <w:lang w:eastAsia="zh-CN"/>
              </w:rPr>
            </w:pPr>
            <w:r>
              <w:rPr>
                <w:rFonts w:hint="eastAsia"/>
                <w:b/>
                <w:color w:val="FFFFFF"/>
                <w:sz w:val="20"/>
                <w:lang w:eastAsia="zh-CN"/>
              </w:rPr>
              <w:t>输出成果</w:t>
            </w:r>
            <w:r>
              <w:rPr>
                <w:rFonts w:hint="eastAsia"/>
                <w:b/>
                <w:color w:val="FFFFFF"/>
                <w:sz w:val="20"/>
                <w:lang w:eastAsia="zh-CN"/>
              </w:rPr>
              <w:br/>
            </w:r>
            <w:r>
              <w:rPr>
                <w:rFonts w:hint="eastAsia"/>
                <w:b/>
                <w:color w:val="FFFFFF"/>
                <w:sz w:val="20"/>
                <w:lang w:eastAsia="zh-CN"/>
              </w:rPr>
              <w:t>（</w:t>
            </w:r>
            <w:r>
              <w:rPr>
                <w:rFonts w:hint="eastAsia"/>
                <w:b/>
                <w:color w:val="FFFFFF"/>
                <w:sz w:val="20"/>
                <w:lang w:eastAsia="zh-CN"/>
              </w:rPr>
              <w:t xml:space="preserve">ITU-D </w:t>
            </w:r>
            <w:r>
              <w:rPr>
                <w:rFonts w:hint="eastAsia"/>
                <w:b/>
                <w:color w:val="FFFFFF"/>
                <w:sz w:val="20"/>
                <w:lang w:eastAsia="zh-CN"/>
              </w:rPr>
              <w:t>产品和服务）</w:t>
            </w:r>
          </w:p>
        </w:tc>
        <w:tc>
          <w:tcPr>
            <w:tcW w:w="1559" w:type="dxa"/>
            <w:tcBorders>
              <w:top w:val="single" w:sz="4" w:space="0" w:color="44B3E1"/>
              <w:left w:val="nil"/>
              <w:bottom w:val="single" w:sz="4" w:space="0" w:color="44B3E1"/>
              <w:right w:val="nil"/>
            </w:tcBorders>
            <w:shd w:val="clear" w:color="auto" w:fill="156082"/>
            <w:vAlign w:val="center"/>
          </w:tcPr>
          <w:p w14:paraId="1860E68A" w14:textId="77777777" w:rsidR="00521A20" w:rsidRDefault="00BB475A">
            <w:pPr>
              <w:overflowPunct/>
              <w:autoSpaceDE/>
              <w:autoSpaceDN/>
              <w:adjustRightInd/>
              <w:spacing w:before="0"/>
              <w:jc w:val="center"/>
              <w:textAlignment w:val="auto"/>
              <w:rPr>
                <w:rFonts w:cstheme="minorHAnsi"/>
                <w:b/>
                <w:bCs/>
                <w:color w:val="FFFFFF"/>
                <w:sz w:val="20"/>
              </w:rPr>
            </w:pPr>
            <w:r>
              <w:rPr>
                <w:rFonts w:hint="eastAsia"/>
                <w:b/>
                <w:color w:val="FFFFFF"/>
                <w:sz w:val="20"/>
              </w:rPr>
              <w:t>2026</w:t>
            </w:r>
            <w:proofErr w:type="spellStart"/>
            <w:r>
              <w:rPr>
                <w:rFonts w:hint="eastAsia"/>
                <w:b/>
                <w:color w:val="FFFFFF"/>
                <w:sz w:val="20"/>
              </w:rPr>
              <w:t>年预算（瑞郎</w:t>
            </w:r>
            <w:proofErr w:type="spellEnd"/>
            <w:r>
              <w:rPr>
                <w:rFonts w:hint="eastAsia"/>
                <w:b/>
                <w:color w:val="FFFFFF"/>
                <w:sz w:val="20"/>
              </w:rPr>
              <w:t>）</w:t>
            </w:r>
          </w:p>
        </w:tc>
        <w:tc>
          <w:tcPr>
            <w:tcW w:w="1559" w:type="dxa"/>
            <w:tcBorders>
              <w:top w:val="single" w:sz="4" w:space="0" w:color="44B3E1"/>
              <w:left w:val="nil"/>
              <w:bottom w:val="single" w:sz="4" w:space="0" w:color="44B3E1"/>
              <w:right w:val="nil"/>
            </w:tcBorders>
            <w:shd w:val="clear" w:color="auto" w:fill="156082"/>
            <w:vAlign w:val="center"/>
          </w:tcPr>
          <w:p w14:paraId="5878FA5C" w14:textId="77777777" w:rsidR="00521A20" w:rsidRDefault="00BB475A">
            <w:pPr>
              <w:overflowPunct/>
              <w:autoSpaceDE/>
              <w:autoSpaceDN/>
              <w:adjustRightInd/>
              <w:spacing w:before="0"/>
              <w:jc w:val="center"/>
              <w:textAlignment w:val="auto"/>
              <w:rPr>
                <w:rFonts w:cstheme="minorHAnsi"/>
                <w:b/>
                <w:bCs/>
                <w:color w:val="FFFFFF"/>
                <w:sz w:val="20"/>
                <w:lang w:eastAsia="zh-CN"/>
              </w:rPr>
            </w:pPr>
            <w:r>
              <w:rPr>
                <w:rFonts w:hint="eastAsia"/>
                <w:b/>
                <w:color w:val="FFFFFF"/>
                <w:sz w:val="20"/>
                <w:lang w:eastAsia="zh-CN"/>
              </w:rPr>
              <w:t>占重点工作</w:t>
            </w:r>
            <w:r>
              <w:rPr>
                <w:rFonts w:hint="eastAsia"/>
                <w:b/>
                <w:color w:val="FFFFFF"/>
                <w:sz w:val="20"/>
                <w:lang w:eastAsia="zh-CN"/>
              </w:rPr>
              <w:t>/</w:t>
            </w:r>
            <w:r>
              <w:rPr>
                <w:rFonts w:hint="eastAsia"/>
                <w:b/>
                <w:color w:val="FFFFFF"/>
                <w:sz w:val="20"/>
                <w:lang w:eastAsia="zh-CN"/>
              </w:rPr>
              <w:t>推动因素总数的百分比</w:t>
            </w:r>
          </w:p>
        </w:tc>
        <w:tc>
          <w:tcPr>
            <w:tcW w:w="1559" w:type="dxa"/>
            <w:tcBorders>
              <w:top w:val="single" w:sz="4" w:space="0" w:color="44B3E1"/>
              <w:left w:val="nil"/>
              <w:bottom w:val="single" w:sz="4" w:space="0" w:color="44B3E1"/>
              <w:right w:val="single" w:sz="4" w:space="0" w:color="44B3E1"/>
            </w:tcBorders>
            <w:shd w:val="clear" w:color="auto" w:fill="156082"/>
            <w:vAlign w:val="center"/>
          </w:tcPr>
          <w:p w14:paraId="342982C9" w14:textId="77777777" w:rsidR="00521A20" w:rsidRDefault="00BB475A">
            <w:pPr>
              <w:overflowPunct/>
              <w:autoSpaceDE/>
              <w:autoSpaceDN/>
              <w:adjustRightInd/>
              <w:spacing w:before="0"/>
              <w:jc w:val="center"/>
              <w:textAlignment w:val="auto"/>
              <w:rPr>
                <w:rFonts w:cstheme="minorHAnsi"/>
                <w:b/>
                <w:bCs/>
                <w:color w:val="FFFFFF"/>
                <w:sz w:val="20"/>
              </w:rPr>
            </w:pPr>
            <w:proofErr w:type="spellStart"/>
            <w:r>
              <w:rPr>
                <w:rFonts w:hint="eastAsia"/>
                <w:b/>
                <w:color w:val="FFFFFF"/>
                <w:sz w:val="20"/>
              </w:rPr>
              <w:t>占总预算的百分比</w:t>
            </w:r>
            <w:proofErr w:type="spellEnd"/>
          </w:p>
        </w:tc>
      </w:tr>
      <w:tr w:rsidR="00521A20" w14:paraId="3EA225DA" w14:textId="77777777">
        <w:trPr>
          <w:trHeight w:val="300"/>
        </w:trPr>
        <w:tc>
          <w:tcPr>
            <w:tcW w:w="8506" w:type="dxa"/>
            <w:gridSpan w:val="3"/>
            <w:tcBorders>
              <w:top w:val="single" w:sz="4" w:space="0" w:color="44B3E1"/>
              <w:left w:val="single" w:sz="4" w:space="0" w:color="44B3E1"/>
              <w:bottom w:val="single" w:sz="4" w:space="0" w:color="44B3E1"/>
              <w:right w:val="nil"/>
            </w:tcBorders>
            <w:shd w:val="clear" w:color="auto" w:fill="C0E6F5"/>
            <w:noWrap/>
            <w:vAlign w:val="bottom"/>
          </w:tcPr>
          <w:p w14:paraId="72954ECE" w14:textId="77777777" w:rsidR="00521A20" w:rsidRDefault="00BB475A">
            <w:pPr>
              <w:overflowPunct/>
              <w:autoSpaceDE/>
              <w:autoSpaceDN/>
              <w:adjustRightInd/>
              <w:spacing w:before="0"/>
              <w:textAlignment w:val="auto"/>
              <w:rPr>
                <w:rFonts w:cstheme="minorHAnsi"/>
                <w:b/>
                <w:bCs/>
                <w:color w:val="000000"/>
                <w:sz w:val="20"/>
                <w:lang w:eastAsia="zh-CN"/>
              </w:rPr>
            </w:pPr>
            <w:r>
              <w:rPr>
                <w:rFonts w:hint="eastAsia"/>
                <w:b/>
                <w:color w:val="000000"/>
                <w:sz w:val="20"/>
                <w:lang w:eastAsia="zh-CN"/>
              </w:rPr>
              <w:t>所有资源筹措、伙伴关系和国际合作</w:t>
            </w:r>
          </w:p>
        </w:tc>
        <w:tc>
          <w:tcPr>
            <w:tcW w:w="2268" w:type="dxa"/>
            <w:tcBorders>
              <w:top w:val="single" w:sz="4" w:space="0" w:color="44B3E1"/>
              <w:left w:val="nil"/>
              <w:bottom w:val="single" w:sz="4" w:space="0" w:color="44B3E1"/>
              <w:right w:val="nil"/>
            </w:tcBorders>
            <w:shd w:val="clear" w:color="auto" w:fill="C0E6F5"/>
            <w:noWrap/>
            <w:vAlign w:val="bottom"/>
          </w:tcPr>
          <w:p w14:paraId="64FD3590" w14:textId="77777777" w:rsidR="00521A20" w:rsidRDefault="00521A20">
            <w:pPr>
              <w:overflowPunct/>
              <w:autoSpaceDE/>
              <w:autoSpaceDN/>
              <w:adjustRightInd/>
              <w:spacing w:before="0"/>
              <w:textAlignment w:val="auto"/>
              <w:rPr>
                <w:rFonts w:cstheme="minorHAnsi"/>
                <w:b/>
                <w:bCs/>
                <w:color w:val="000000"/>
                <w:sz w:val="20"/>
                <w:lang w:eastAsia="zh-CN"/>
              </w:rPr>
            </w:pPr>
          </w:p>
        </w:tc>
        <w:tc>
          <w:tcPr>
            <w:tcW w:w="1559" w:type="dxa"/>
            <w:tcBorders>
              <w:top w:val="single" w:sz="4" w:space="0" w:color="44B3E1"/>
              <w:left w:val="nil"/>
              <w:bottom w:val="single" w:sz="4" w:space="0" w:color="44B3E1"/>
              <w:right w:val="nil"/>
            </w:tcBorders>
            <w:shd w:val="clear" w:color="auto" w:fill="C0E6F5"/>
            <w:noWrap/>
            <w:vAlign w:val="center"/>
          </w:tcPr>
          <w:p w14:paraId="60FCB18C" w14:textId="4C274363" w:rsidR="00521A20" w:rsidRDefault="00BB475A">
            <w:pPr>
              <w:overflowPunct/>
              <w:autoSpaceDE/>
              <w:autoSpaceDN/>
              <w:adjustRightInd/>
              <w:spacing w:before="0"/>
              <w:jc w:val="center"/>
              <w:textAlignment w:val="auto"/>
              <w:rPr>
                <w:rFonts w:cstheme="minorHAnsi"/>
                <w:b/>
                <w:bCs/>
                <w:color w:val="000000"/>
                <w:sz w:val="20"/>
              </w:rPr>
            </w:pPr>
            <w:r>
              <w:rPr>
                <w:rFonts w:cstheme="minorHAnsi"/>
                <w:b/>
                <w:bCs/>
                <w:color w:val="000000"/>
                <w:sz w:val="20"/>
                <w:lang w:eastAsia="en-GB"/>
              </w:rPr>
              <w:t>319,385</w:t>
            </w:r>
          </w:p>
        </w:tc>
        <w:tc>
          <w:tcPr>
            <w:tcW w:w="1559" w:type="dxa"/>
            <w:tcBorders>
              <w:top w:val="single" w:sz="4" w:space="0" w:color="44B3E1"/>
              <w:left w:val="nil"/>
              <w:bottom w:val="single" w:sz="4" w:space="0" w:color="44B3E1"/>
              <w:right w:val="nil"/>
            </w:tcBorders>
            <w:shd w:val="clear" w:color="auto" w:fill="C0E6F5"/>
            <w:noWrap/>
            <w:vAlign w:val="bottom"/>
          </w:tcPr>
          <w:p w14:paraId="593438B3" w14:textId="77777777" w:rsidR="00521A20" w:rsidRDefault="00521A20">
            <w:pPr>
              <w:overflowPunct/>
              <w:autoSpaceDE/>
              <w:autoSpaceDN/>
              <w:adjustRightInd/>
              <w:spacing w:before="0"/>
              <w:jc w:val="center"/>
              <w:textAlignment w:val="auto"/>
              <w:rPr>
                <w:rFonts w:cstheme="minorHAnsi"/>
                <w:b/>
                <w:bCs/>
                <w:color w:val="000000"/>
                <w:sz w:val="20"/>
                <w:lang w:eastAsia="en-GB"/>
              </w:rPr>
            </w:pPr>
          </w:p>
        </w:tc>
        <w:tc>
          <w:tcPr>
            <w:tcW w:w="1559" w:type="dxa"/>
            <w:tcBorders>
              <w:top w:val="single" w:sz="4" w:space="0" w:color="44B3E1"/>
              <w:left w:val="nil"/>
              <w:bottom w:val="single" w:sz="4" w:space="0" w:color="44B3E1"/>
              <w:right w:val="single" w:sz="4" w:space="0" w:color="44B3E1"/>
            </w:tcBorders>
            <w:shd w:val="clear" w:color="auto" w:fill="C0E6F5"/>
            <w:noWrap/>
            <w:vAlign w:val="center"/>
          </w:tcPr>
          <w:p w14:paraId="437019FF" w14:textId="19510B27" w:rsidR="00521A20" w:rsidRDefault="00BB475A">
            <w:pPr>
              <w:overflowPunct/>
              <w:autoSpaceDE/>
              <w:autoSpaceDN/>
              <w:adjustRightInd/>
              <w:spacing w:before="0"/>
              <w:jc w:val="center"/>
              <w:textAlignment w:val="auto"/>
              <w:rPr>
                <w:rFonts w:cstheme="minorHAnsi"/>
                <w:b/>
                <w:bCs/>
                <w:color w:val="000000"/>
                <w:sz w:val="20"/>
              </w:rPr>
            </w:pPr>
            <w:r>
              <w:rPr>
                <w:rFonts w:hint="eastAsia"/>
                <w:b/>
                <w:color w:val="000000"/>
                <w:sz w:val="20"/>
                <w:lang w:val="en-US" w:eastAsia="zh-CN"/>
              </w:rPr>
              <w:t>8.38</w:t>
            </w:r>
            <w:r>
              <w:rPr>
                <w:rFonts w:hint="eastAsia"/>
                <w:b/>
                <w:color w:val="000000"/>
                <w:sz w:val="20"/>
              </w:rPr>
              <w:t>%</w:t>
            </w:r>
          </w:p>
        </w:tc>
      </w:tr>
      <w:tr w:rsidR="00521A20" w14:paraId="67F0B2D7" w14:textId="77777777">
        <w:trPr>
          <w:trHeight w:val="4500"/>
        </w:trPr>
        <w:tc>
          <w:tcPr>
            <w:tcW w:w="2127" w:type="dxa"/>
            <w:tcBorders>
              <w:top w:val="single" w:sz="4" w:space="0" w:color="44B3E1"/>
              <w:left w:val="single" w:sz="4" w:space="0" w:color="44B3E1"/>
              <w:bottom w:val="single" w:sz="4" w:space="0" w:color="44B3E1"/>
              <w:right w:val="nil"/>
            </w:tcBorders>
            <w:noWrap/>
          </w:tcPr>
          <w:p w14:paraId="6D92EA58" w14:textId="77777777" w:rsidR="00521A20" w:rsidRDefault="00BB475A">
            <w:pPr>
              <w:overflowPunct/>
              <w:autoSpaceDE/>
              <w:autoSpaceDN/>
              <w:adjustRightInd/>
              <w:spacing w:before="0"/>
              <w:textAlignment w:val="auto"/>
              <w:rPr>
                <w:rFonts w:cstheme="minorHAnsi"/>
                <w:b/>
                <w:bCs/>
                <w:color w:val="000000"/>
                <w:sz w:val="20"/>
              </w:rPr>
            </w:pPr>
            <w:proofErr w:type="spellStart"/>
            <w:r>
              <w:rPr>
                <w:rFonts w:hint="eastAsia"/>
                <w:b/>
                <w:color w:val="000000"/>
                <w:sz w:val="20"/>
              </w:rPr>
              <w:t>跨领域</w:t>
            </w:r>
            <w:proofErr w:type="spellEnd"/>
          </w:p>
        </w:tc>
        <w:tc>
          <w:tcPr>
            <w:tcW w:w="3260" w:type="dxa"/>
            <w:tcBorders>
              <w:top w:val="single" w:sz="4" w:space="0" w:color="44B3E1"/>
              <w:left w:val="nil"/>
              <w:bottom w:val="single" w:sz="4" w:space="0" w:color="44B3E1"/>
              <w:right w:val="nil"/>
            </w:tcBorders>
          </w:tcPr>
          <w:p w14:paraId="38351D1E" w14:textId="77777777" w:rsidR="00521A20" w:rsidRDefault="00BB475A">
            <w:pPr>
              <w:overflowPunct/>
              <w:autoSpaceDE/>
              <w:autoSpaceDN/>
              <w:adjustRightInd/>
              <w:spacing w:before="0"/>
              <w:textAlignment w:val="auto"/>
              <w:rPr>
                <w:color w:val="000000"/>
                <w:sz w:val="20"/>
                <w:lang w:eastAsia="zh-CN"/>
              </w:rPr>
            </w:pPr>
            <w:r>
              <w:rPr>
                <w:rFonts w:hint="eastAsia"/>
                <w:color w:val="000000"/>
                <w:sz w:val="20"/>
                <w:lang w:eastAsia="zh-CN"/>
              </w:rPr>
              <w:t>•通过与包括国际和区域性金融和发展机构在内的合作，强化资源筹措战略</w:t>
            </w:r>
            <w:r>
              <w:rPr>
                <w:rFonts w:hint="eastAsia"/>
                <w:color w:val="000000"/>
                <w:sz w:val="20"/>
                <w:lang w:eastAsia="zh-CN"/>
              </w:rPr>
              <w:br/>
            </w:r>
            <w:r>
              <w:rPr>
                <w:rFonts w:hint="eastAsia"/>
                <w:color w:val="000000"/>
                <w:sz w:val="20"/>
                <w:lang w:eastAsia="zh-CN"/>
              </w:rPr>
              <w:t>•加强联合国全系统的联合规划、协作和合作，以及与国际和区域层面的金融和发展机构的合作</w:t>
            </w:r>
            <w:r>
              <w:rPr>
                <w:rFonts w:hint="eastAsia"/>
                <w:color w:val="000000"/>
                <w:sz w:val="20"/>
                <w:lang w:eastAsia="zh-CN"/>
              </w:rPr>
              <w:br/>
            </w:r>
            <w:r>
              <w:rPr>
                <w:rFonts w:hint="eastAsia"/>
                <w:color w:val="000000"/>
                <w:sz w:val="20"/>
                <w:lang w:eastAsia="zh-CN"/>
              </w:rPr>
              <w:t>•加强对</w:t>
            </w:r>
            <w:r>
              <w:rPr>
                <w:rFonts w:hint="eastAsia"/>
                <w:color w:val="000000"/>
                <w:sz w:val="20"/>
                <w:lang w:eastAsia="zh-CN"/>
              </w:rPr>
              <w:t>LDC</w:t>
            </w:r>
            <w:r>
              <w:rPr>
                <w:rFonts w:hint="eastAsia"/>
                <w:color w:val="000000"/>
                <w:sz w:val="20"/>
                <w:lang w:eastAsia="zh-CN"/>
              </w:rPr>
              <w:t>、</w:t>
            </w:r>
            <w:r>
              <w:rPr>
                <w:rFonts w:hint="eastAsia"/>
                <w:color w:val="000000"/>
                <w:sz w:val="20"/>
                <w:lang w:eastAsia="zh-CN"/>
              </w:rPr>
              <w:t>LLDC</w:t>
            </w:r>
            <w:r>
              <w:rPr>
                <w:rFonts w:hint="eastAsia"/>
                <w:color w:val="000000"/>
                <w:sz w:val="20"/>
                <w:lang w:eastAsia="zh-CN"/>
              </w:rPr>
              <w:t>和</w:t>
            </w:r>
            <w:r>
              <w:rPr>
                <w:rFonts w:hint="eastAsia"/>
                <w:color w:val="000000"/>
                <w:sz w:val="20"/>
                <w:lang w:eastAsia="zh-CN"/>
              </w:rPr>
              <w:t>SIDS</w:t>
            </w:r>
            <w:r>
              <w:rPr>
                <w:rFonts w:hint="eastAsia"/>
                <w:color w:val="000000"/>
                <w:sz w:val="20"/>
                <w:lang w:eastAsia="zh-CN"/>
              </w:rPr>
              <w:t>的支持。</w:t>
            </w:r>
          </w:p>
        </w:tc>
        <w:tc>
          <w:tcPr>
            <w:tcW w:w="3119" w:type="dxa"/>
            <w:tcBorders>
              <w:top w:val="single" w:sz="4" w:space="0" w:color="44B3E1"/>
              <w:left w:val="nil"/>
              <w:bottom w:val="single" w:sz="4" w:space="0" w:color="44B3E1"/>
              <w:right w:val="nil"/>
            </w:tcBorders>
          </w:tcPr>
          <w:p w14:paraId="68AAD825" w14:textId="77777777" w:rsidR="00521A20" w:rsidRDefault="00BB475A">
            <w:pPr>
              <w:overflowPunct/>
              <w:autoSpaceDE/>
              <w:autoSpaceDN/>
              <w:adjustRightInd/>
              <w:spacing w:before="0"/>
              <w:textAlignment w:val="auto"/>
              <w:rPr>
                <w:rFonts w:cstheme="minorBidi"/>
                <w:color w:val="000000"/>
                <w:sz w:val="20"/>
                <w:lang w:eastAsia="zh-CN"/>
              </w:rPr>
            </w:pPr>
            <w:r>
              <w:rPr>
                <w:rFonts w:hint="eastAsia"/>
                <w:sz w:val="20"/>
                <w:lang w:eastAsia="zh-CN"/>
              </w:rPr>
              <w:t>•电信发展局筹集的项目资金合计</w:t>
            </w:r>
            <w:r>
              <w:rPr>
                <w:rFonts w:hint="eastAsia"/>
                <w:sz w:val="20"/>
                <w:lang w:eastAsia="zh-CN"/>
              </w:rPr>
              <w:br/>
            </w:r>
            <w:r>
              <w:rPr>
                <w:rFonts w:hint="eastAsia"/>
                <w:sz w:val="20"/>
                <w:lang w:eastAsia="zh-CN"/>
              </w:rPr>
              <w:t>•项目资金的内部</w:t>
            </w:r>
            <w:r>
              <w:rPr>
                <w:rFonts w:hint="eastAsia"/>
                <w:sz w:val="20"/>
                <w:lang w:eastAsia="zh-CN"/>
              </w:rPr>
              <w:t>/</w:t>
            </w:r>
            <w:r>
              <w:rPr>
                <w:rFonts w:hint="eastAsia"/>
                <w:sz w:val="20"/>
                <w:lang w:eastAsia="zh-CN"/>
              </w:rPr>
              <w:t>外部来源比例</w:t>
            </w:r>
            <w:r>
              <w:rPr>
                <w:rFonts w:hint="eastAsia"/>
                <w:sz w:val="20"/>
                <w:lang w:eastAsia="zh-CN"/>
              </w:rPr>
              <w:br/>
            </w:r>
            <w:r>
              <w:rPr>
                <w:rFonts w:hint="eastAsia"/>
                <w:sz w:val="20"/>
                <w:lang w:eastAsia="zh-CN"/>
              </w:rPr>
              <w:t>•为</w:t>
            </w:r>
            <w:r>
              <w:rPr>
                <w:rFonts w:hint="eastAsia"/>
                <w:sz w:val="20"/>
                <w:lang w:eastAsia="zh-CN"/>
              </w:rPr>
              <w:t>ITU-D</w:t>
            </w:r>
            <w:r>
              <w:rPr>
                <w:rFonts w:hint="eastAsia"/>
                <w:sz w:val="20"/>
                <w:lang w:eastAsia="zh-CN"/>
              </w:rPr>
              <w:t>项目做出贡献的合作伙伴总数</w:t>
            </w:r>
            <w:r>
              <w:rPr>
                <w:rFonts w:hint="eastAsia"/>
                <w:sz w:val="20"/>
                <w:lang w:eastAsia="zh-CN"/>
              </w:rPr>
              <w:br/>
            </w:r>
            <w:r>
              <w:rPr>
                <w:rFonts w:hint="eastAsia"/>
                <w:sz w:val="20"/>
                <w:lang w:eastAsia="zh-CN"/>
              </w:rPr>
              <w:t>•国际电联与合作伙伴签署的支持落实</w:t>
            </w:r>
            <w:r>
              <w:rPr>
                <w:rFonts w:hint="eastAsia"/>
                <w:sz w:val="20"/>
                <w:lang w:eastAsia="zh-CN"/>
              </w:rPr>
              <w:t>ITU-D</w:t>
            </w:r>
            <w:r>
              <w:rPr>
                <w:rFonts w:hint="eastAsia"/>
                <w:sz w:val="20"/>
                <w:lang w:eastAsia="zh-CN"/>
              </w:rPr>
              <w:t>行动计划的</w:t>
            </w:r>
            <w:r>
              <w:rPr>
                <w:rFonts w:hint="eastAsia"/>
                <w:sz w:val="20"/>
                <w:lang w:eastAsia="zh-CN"/>
              </w:rPr>
              <w:t>ICT</w:t>
            </w:r>
            <w:r>
              <w:rPr>
                <w:rFonts w:hint="eastAsia"/>
                <w:sz w:val="20"/>
                <w:lang w:eastAsia="zh-CN"/>
              </w:rPr>
              <w:t>发展协议的数量</w:t>
            </w:r>
            <w:r>
              <w:rPr>
                <w:rFonts w:hint="eastAsia"/>
                <w:sz w:val="20"/>
                <w:lang w:eastAsia="zh-CN"/>
              </w:rPr>
              <w:br/>
            </w:r>
            <w:r>
              <w:rPr>
                <w:rFonts w:hint="eastAsia"/>
                <w:color w:val="000000" w:themeColor="text1"/>
                <w:sz w:val="20"/>
                <w:lang w:eastAsia="zh-CN"/>
              </w:rPr>
              <w:t>•电信发展局制定的影响评估报告数量</w:t>
            </w:r>
            <w:r>
              <w:rPr>
                <w:rFonts w:hint="eastAsia"/>
                <w:color w:val="000000" w:themeColor="text1"/>
                <w:sz w:val="20"/>
                <w:lang w:eastAsia="zh-CN"/>
              </w:rPr>
              <w:br/>
            </w:r>
            <w:r>
              <w:rPr>
                <w:rFonts w:hint="eastAsia"/>
                <w:color w:val="000000" w:themeColor="text1"/>
                <w:sz w:val="20"/>
                <w:lang w:eastAsia="zh-CN"/>
              </w:rPr>
              <w:t>•</w:t>
            </w:r>
            <w:r>
              <w:rPr>
                <w:rFonts w:hint="eastAsia"/>
                <w:color w:val="000000" w:themeColor="text1"/>
                <w:sz w:val="20"/>
                <w:lang w:eastAsia="zh-CN"/>
              </w:rPr>
              <w:t>LDC</w:t>
            </w:r>
            <w:r>
              <w:rPr>
                <w:rFonts w:hint="eastAsia"/>
                <w:color w:val="000000" w:themeColor="text1"/>
                <w:sz w:val="20"/>
                <w:lang w:eastAsia="zh-CN"/>
              </w:rPr>
              <w:t>、</w:t>
            </w:r>
            <w:r>
              <w:rPr>
                <w:rFonts w:hint="eastAsia"/>
                <w:color w:val="000000" w:themeColor="text1"/>
                <w:sz w:val="20"/>
                <w:lang w:eastAsia="zh-CN"/>
              </w:rPr>
              <w:t>LLDC</w:t>
            </w:r>
            <w:r>
              <w:rPr>
                <w:rFonts w:hint="eastAsia"/>
                <w:color w:val="000000" w:themeColor="text1"/>
                <w:sz w:val="20"/>
                <w:lang w:eastAsia="zh-CN"/>
              </w:rPr>
              <w:t>和</w:t>
            </w:r>
            <w:r>
              <w:rPr>
                <w:rFonts w:hint="eastAsia"/>
                <w:color w:val="000000" w:themeColor="text1"/>
                <w:sz w:val="20"/>
                <w:lang w:eastAsia="zh-CN"/>
              </w:rPr>
              <w:t>SIDS</w:t>
            </w:r>
            <w:r>
              <w:rPr>
                <w:rFonts w:hint="eastAsia"/>
                <w:color w:val="000000" w:themeColor="text1"/>
                <w:sz w:val="20"/>
                <w:lang w:eastAsia="zh-CN"/>
              </w:rPr>
              <w:t>中得到资金支持的</w:t>
            </w:r>
            <w:r>
              <w:rPr>
                <w:rFonts w:hint="eastAsia"/>
                <w:color w:val="000000" w:themeColor="text1"/>
                <w:sz w:val="20"/>
                <w:lang w:eastAsia="zh-CN"/>
              </w:rPr>
              <w:t>ITU-D</w:t>
            </w:r>
            <w:r>
              <w:rPr>
                <w:rFonts w:hint="eastAsia"/>
                <w:color w:val="000000" w:themeColor="text1"/>
                <w:sz w:val="20"/>
                <w:lang w:eastAsia="zh-CN"/>
              </w:rPr>
              <w:t>项目数</w:t>
            </w:r>
            <w:r>
              <w:rPr>
                <w:rFonts w:hint="eastAsia"/>
                <w:color w:val="000000" w:themeColor="text1"/>
                <w:sz w:val="20"/>
                <w:lang w:eastAsia="zh-CN"/>
              </w:rPr>
              <w:br/>
            </w:r>
            <w:r>
              <w:rPr>
                <w:rFonts w:hint="eastAsia"/>
                <w:color w:val="000000" w:themeColor="text1"/>
                <w:sz w:val="20"/>
                <w:lang w:eastAsia="zh-CN"/>
              </w:rPr>
              <w:t>•</w:t>
            </w:r>
            <w:r>
              <w:rPr>
                <w:rFonts w:hint="eastAsia"/>
                <w:color w:val="000000" w:themeColor="text1"/>
                <w:sz w:val="20"/>
                <w:lang w:eastAsia="zh-CN"/>
              </w:rPr>
              <w:t>LDC</w:t>
            </w:r>
            <w:r>
              <w:rPr>
                <w:rFonts w:hint="eastAsia"/>
                <w:color w:val="000000" w:themeColor="text1"/>
                <w:sz w:val="20"/>
                <w:lang w:eastAsia="zh-CN"/>
              </w:rPr>
              <w:t>、</w:t>
            </w:r>
            <w:r>
              <w:rPr>
                <w:rFonts w:hint="eastAsia"/>
                <w:color w:val="000000" w:themeColor="text1"/>
                <w:sz w:val="20"/>
                <w:lang w:eastAsia="zh-CN"/>
              </w:rPr>
              <w:t>LLDC</w:t>
            </w:r>
            <w:r>
              <w:rPr>
                <w:rFonts w:hint="eastAsia"/>
                <w:color w:val="000000" w:themeColor="text1"/>
                <w:sz w:val="20"/>
                <w:lang w:eastAsia="zh-CN"/>
              </w:rPr>
              <w:t>和</w:t>
            </w:r>
            <w:r>
              <w:rPr>
                <w:rFonts w:hint="eastAsia"/>
                <w:color w:val="000000" w:themeColor="text1"/>
                <w:sz w:val="20"/>
                <w:lang w:eastAsia="zh-CN"/>
              </w:rPr>
              <w:t>SIDS</w:t>
            </w:r>
            <w:r>
              <w:rPr>
                <w:rFonts w:hint="eastAsia"/>
                <w:color w:val="000000" w:themeColor="text1"/>
                <w:sz w:val="20"/>
                <w:lang w:eastAsia="zh-CN"/>
              </w:rPr>
              <w:t>的项目资金额</w:t>
            </w:r>
          </w:p>
        </w:tc>
        <w:tc>
          <w:tcPr>
            <w:tcW w:w="2268" w:type="dxa"/>
            <w:tcBorders>
              <w:top w:val="single" w:sz="4" w:space="0" w:color="44B3E1"/>
              <w:left w:val="nil"/>
              <w:bottom w:val="single" w:sz="4" w:space="0" w:color="44B3E1"/>
              <w:right w:val="nil"/>
            </w:tcBorders>
          </w:tcPr>
          <w:p w14:paraId="7D32F1E2" w14:textId="77777777" w:rsidR="00521A20" w:rsidRDefault="00BB475A">
            <w:pPr>
              <w:overflowPunct/>
              <w:autoSpaceDE/>
              <w:autoSpaceDN/>
              <w:adjustRightInd/>
              <w:spacing w:before="0"/>
              <w:textAlignment w:val="auto"/>
              <w:rPr>
                <w:rFonts w:cstheme="minorHAnsi"/>
                <w:color w:val="000000"/>
                <w:sz w:val="20"/>
              </w:rPr>
            </w:pPr>
            <w:r>
              <w:rPr>
                <w:rFonts w:hint="eastAsia"/>
                <w:color w:val="000000"/>
                <w:sz w:val="20"/>
              </w:rPr>
              <w:t>•</w:t>
            </w:r>
            <w:proofErr w:type="spellStart"/>
            <w:r>
              <w:rPr>
                <w:rFonts w:hint="eastAsia"/>
                <w:color w:val="000000"/>
                <w:sz w:val="20"/>
              </w:rPr>
              <w:t>召集平台</w:t>
            </w:r>
            <w:proofErr w:type="spellEnd"/>
            <w:r>
              <w:rPr>
                <w:rFonts w:hint="eastAsia"/>
                <w:color w:val="000000"/>
                <w:sz w:val="20"/>
              </w:rPr>
              <w:t xml:space="preserve"> </w:t>
            </w:r>
          </w:p>
        </w:tc>
        <w:tc>
          <w:tcPr>
            <w:tcW w:w="1559" w:type="dxa"/>
            <w:tcBorders>
              <w:top w:val="single" w:sz="4" w:space="0" w:color="44B3E1"/>
              <w:left w:val="nil"/>
              <w:bottom w:val="single" w:sz="4" w:space="0" w:color="44B3E1"/>
              <w:right w:val="nil"/>
            </w:tcBorders>
            <w:noWrap/>
          </w:tcPr>
          <w:p w14:paraId="26766144" w14:textId="55259702" w:rsidR="00521A20" w:rsidRDefault="00BB475A">
            <w:pPr>
              <w:overflowPunct/>
              <w:autoSpaceDE/>
              <w:autoSpaceDN/>
              <w:adjustRightInd/>
              <w:spacing w:before="0"/>
              <w:jc w:val="center"/>
              <w:textAlignment w:val="auto"/>
              <w:rPr>
                <w:rFonts w:cstheme="minorHAnsi"/>
                <w:color w:val="000000"/>
                <w:sz w:val="20"/>
              </w:rPr>
            </w:pPr>
            <w:r>
              <w:rPr>
                <w:rFonts w:cstheme="minorHAnsi"/>
                <w:b/>
                <w:bCs/>
                <w:color w:val="000000"/>
                <w:sz w:val="20"/>
                <w:lang w:eastAsia="en-GB"/>
              </w:rPr>
              <w:t>319,385</w:t>
            </w:r>
          </w:p>
        </w:tc>
        <w:tc>
          <w:tcPr>
            <w:tcW w:w="1559" w:type="dxa"/>
            <w:tcBorders>
              <w:top w:val="single" w:sz="4" w:space="0" w:color="44B3E1"/>
              <w:left w:val="nil"/>
              <w:bottom w:val="single" w:sz="4" w:space="0" w:color="44B3E1"/>
              <w:right w:val="nil"/>
            </w:tcBorders>
            <w:noWrap/>
          </w:tcPr>
          <w:p w14:paraId="267E326A" w14:textId="77777777" w:rsidR="00521A20" w:rsidRDefault="00BB475A">
            <w:pPr>
              <w:overflowPunct/>
              <w:autoSpaceDE/>
              <w:autoSpaceDN/>
              <w:adjustRightInd/>
              <w:spacing w:before="0"/>
              <w:jc w:val="center"/>
              <w:textAlignment w:val="auto"/>
              <w:rPr>
                <w:rFonts w:cstheme="minorHAnsi"/>
                <w:color w:val="000000"/>
                <w:sz w:val="20"/>
              </w:rPr>
            </w:pPr>
            <w:r>
              <w:rPr>
                <w:rFonts w:hint="eastAsia"/>
                <w:color w:val="000000"/>
                <w:sz w:val="20"/>
              </w:rPr>
              <w:t>100%</w:t>
            </w:r>
          </w:p>
        </w:tc>
        <w:tc>
          <w:tcPr>
            <w:tcW w:w="1559" w:type="dxa"/>
            <w:tcBorders>
              <w:top w:val="single" w:sz="4" w:space="0" w:color="44B3E1"/>
              <w:left w:val="nil"/>
              <w:bottom w:val="single" w:sz="4" w:space="0" w:color="44B3E1"/>
              <w:right w:val="single" w:sz="4" w:space="0" w:color="44B3E1"/>
            </w:tcBorders>
            <w:noWrap/>
          </w:tcPr>
          <w:p w14:paraId="5260D5A3" w14:textId="1E1EF847" w:rsidR="00521A20" w:rsidRDefault="00BB475A">
            <w:pPr>
              <w:overflowPunct/>
              <w:autoSpaceDE/>
              <w:autoSpaceDN/>
              <w:adjustRightInd/>
              <w:spacing w:before="0"/>
              <w:jc w:val="center"/>
              <w:textAlignment w:val="auto"/>
              <w:rPr>
                <w:rFonts w:cstheme="minorHAnsi"/>
                <w:color w:val="000000"/>
                <w:sz w:val="20"/>
              </w:rPr>
            </w:pPr>
            <w:r>
              <w:rPr>
                <w:rFonts w:hint="eastAsia"/>
                <w:color w:val="000000"/>
                <w:sz w:val="20"/>
                <w:lang w:val="en-US" w:eastAsia="zh-CN"/>
              </w:rPr>
              <w:t>8.4</w:t>
            </w:r>
            <w:r>
              <w:rPr>
                <w:rFonts w:hint="eastAsia"/>
                <w:color w:val="000000"/>
                <w:sz w:val="20"/>
              </w:rPr>
              <w:t>%</w:t>
            </w:r>
          </w:p>
        </w:tc>
      </w:tr>
    </w:tbl>
    <w:p w14:paraId="1809E023" w14:textId="77777777" w:rsidR="00521A20" w:rsidRDefault="00521A20"/>
    <w:p w14:paraId="532C6B9F" w14:textId="77777777" w:rsidR="00521A20" w:rsidRDefault="00BB475A">
      <w:pPr>
        <w:overflowPunct/>
        <w:autoSpaceDE/>
        <w:autoSpaceDN/>
        <w:adjustRightInd/>
        <w:spacing w:before="0"/>
        <w:textAlignment w:val="auto"/>
        <w:sectPr w:rsidR="00521A20">
          <w:headerReference w:type="first" r:id="rId27"/>
          <w:pgSz w:w="16840" w:h="11907" w:orient="landscape"/>
          <w:pgMar w:top="1134" w:right="1418" w:bottom="1134" w:left="1134" w:header="720" w:footer="720" w:gutter="0"/>
          <w:cols w:space="720"/>
          <w:titlePg/>
          <w:docGrid w:linePitch="326"/>
        </w:sectPr>
      </w:pPr>
      <w:r>
        <w:rPr>
          <w:rFonts w:hint="eastAsia"/>
        </w:rPr>
        <w:br w:type="page"/>
      </w:r>
    </w:p>
    <w:p w14:paraId="419692FC" w14:textId="09EA7625" w:rsidR="00622881" w:rsidRPr="00713809" w:rsidRDefault="00622881" w:rsidP="005573EC">
      <w:pPr>
        <w:pStyle w:val="Heading3"/>
        <w:spacing w:before="120"/>
        <w:ind w:hangingChars="472"/>
        <w:rPr>
          <w:rFonts w:ascii="Calibri" w:eastAsia="STKaiti" w:hAnsi="Calibri" w:cs="Calibri"/>
          <w:bCs/>
          <w:szCs w:val="24"/>
          <w:lang w:val="en-US" w:eastAsia="zh-CN"/>
        </w:rPr>
      </w:pPr>
      <w:r w:rsidRPr="00713809">
        <w:rPr>
          <w:rFonts w:ascii="Calibri" w:eastAsia="STKaiti" w:hAnsi="Calibri" w:cs="Calibri"/>
          <w:bCs/>
          <w:lang w:eastAsia="zh-CN"/>
        </w:rPr>
        <w:lastRenderedPageBreak/>
        <w:t>2026</w:t>
      </w:r>
      <w:r w:rsidRPr="00713809">
        <w:rPr>
          <w:rFonts w:ascii="Calibri" w:eastAsia="STKaiti" w:hAnsi="Calibri" w:cs="Calibri" w:hint="eastAsia"/>
          <w:bCs/>
          <w:lang w:eastAsia="zh-CN"/>
        </w:rPr>
        <w:t>年实施亮点：</w:t>
      </w:r>
      <w:r w:rsidRPr="00713809">
        <w:rPr>
          <w:rFonts w:ascii="Calibri" w:eastAsia="STKaiti" w:hAnsi="Calibri" w:cs="Calibri"/>
          <w:bCs/>
          <w:lang w:eastAsia="zh-CN"/>
        </w:rPr>
        <w:t>ITU-D</w:t>
      </w:r>
      <w:r w:rsidRPr="00713809">
        <w:rPr>
          <w:rFonts w:ascii="Calibri" w:eastAsia="STKaiti" w:hAnsi="Calibri" w:cs="Calibri" w:hint="eastAsia"/>
          <w:bCs/>
          <w:lang w:eastAsia="zh-CN"/>
        </w:rPr>
        <w:t>的重点工作</w:t>
      </w:r>
      <w:r w:rsidRPr="00713809">
        <w:rPr>
          <w:rFonts w:ascii="Calibri" w:eastAsia="STKaiti" w:hAnsi="Calibri" w:cs="Calibri"/>
          <w:bCs/>
          <w:lang w:eastAsia="zh-CN"/>
        </w:rPr>
        <w:t>4</w:t>
      </w:r>
      <w:r w:rsidR="004A4655" w:rsidRPr="00713809">
        <w:rPr>
          <w:rFonts w:ascii="Calibri" w:eastAsia="STKaiti" w:hAnsi="Calibri" w:cs="Calibri" w:hint="eastAsia"/>
          <w:bCs/>
          <w:lang w:eastAsia="zh-CN"/>
        </w:rPr>
        <w:t xml:space="preserve"> </w:t>
      </w:r>
      <w:r w:rsidR="00317700" w:rsidRPr="00317700">
        <w:rPr>
          <w:rFonts w:ascii="Calibri" w:eastAsia="STKaiti" w:hAnsi="Calibri" w:cs="Calibri"/>
          <w:bCs/>
          <w:szCs w:val="24"/>
          <w:lang w:val="en-US" w:eastAsia="zh-CN"/>
        </w:rPr>
        <w:t>–</w:t>
      </w:r>
      <w:r w:rsidR="004A4655" w:rsidRPr="00713809">
        <w:rPr>
          <w:rFonts w:ascii="Calibri" w:eastAsia="STKaiti" w:hAnsi="Calibri" w:cs="Calibri"/>
          <w:bCs/>
          <w:szCs w:val="24"/>
          <w:lang w:val="en-US" w:eastAsia="zh-CN"/>
        </w:rPr>
        <w:t xml:space="preserve"> </w:t>
      </w:r>
      <w:r w:rsidRPr="00713809">
        <w:rPr>
          <w:rFonts w:ascii="Calibri" w:eastAsia="STKaiti" w:hAnsi="Calibri" w:cs="Calibri" w:hint="eastAsia"/>
          <w:bCs/>
          <w:lang w:eastAsia="zh-CN"/>
        </w:rPr>
        <w:t>资源筹措、伙伴关系和国际合作</w:t>
      </w:r>
    </w:p>
    <w:p w14:paraId="48919FD1" w14:textId="77777777" w:rsidR="00622881" w:rsidRPr="00F95FF8" w:rsidRDefault="00622881" w:rsidP="005573EC">
      <w:pPr>
        <w:pStyle w:val="Heading3"/>
        <w:spacing w:before="120"/>
        <w:ind w:left="1132" w:hangingChars="470" w:hanging="1132"/>
        <w:rPr>
          <w:rFonts w:cstheme="minorHAnsi"/>
          <w:bCs/>
          <w:color w:val="000000"/>
          <w:szCs w:val="24"/>
          <w:lang w:eastAsia="zh-CN"/>
        </w:rPr>
      </w:pPr>
      <w:r w:rsidRPr="00F74B1A">
        <w:rPr>
          <w:rFonts w:cstheme="minorHAnsi" w:hint="eastAsia"/>
          <w:bCs/>
          <w:color w:val="000000"/>
          <w:szCs w:val="24"/>
          <w:lang w:eastAsia="zh-CN"/>
        </w:rPr>
        <w:t>伙伴关系和国际合作</w:t>
      </w:r>
    </w:p>
    <w:p w14:paraId="15ACFFB4" w14:textId="421DD7A6" w:rsidR="00622881" w:rsidRDefault="00622881" w:rsidP="005573EC">
      <w:pPr>
        <w:ind w:firstLineChars="200" w:firstLine="480"/>
        <w:jc w:val="both"/>
        <w:rPr>
          <w:lang w:eastAsia="zh-CN"/>
        </w:rPr>
      </w:pPr>
      <w:r w:rsidRPr="00F74B1A">
        <w:rPr>
          <w:rFonts w:hint="eastAsia"/>
          <w:lang w:eastAsia="zh-CN"/>
        </w:rPr>
        <w:t>自</w:t>
      </w:r>
      <w:r w:rsidRPr="00F74B1A">
        <w:rPr>
          <w:rFonts w:hint="eastAsia"/>
          <w:lang w:eastAsia="zh-CN"/>
        </w:rPr>
        <w:t>2026</w:t>
      </w:r>
      <w:r w:rsidRPr="00F74B1A">
        <w:rPr>
          <w:rFonts w:hint="eastAsia"/>
          <w:lang w:eastAsia="zh-CN"/>
        </w:rPr>
        <w:t>年</w:t>
      </w:r>
      <w:r w:rsidRPr="00F74B1A">
        <w:rPr>
          <w:rFonts w:hint="eastAsia"/>
          <w:lang w:eastAsia="zh-CN"/>
        </w:rPr>
        <w:t>1</w:t>
      </w:r>
      <w:r w:rsidRPr="00F74B1A">
        <w:rPr>
          <w:rFonts w:hint="eastAsia"/>
          <w:lang w:eastAsia="zh-CN"/>
        </w:rPr>
        <w:t>月以来，</w:t>
      </w:r>
      <w:r w:rsidR="00674F16" w:rsidRPr="008E0A5C">
        <w:rPr>
          <w:rFonts w:hint="eastAsia"/>
          <w:lang w:eastAsia="zh-CN"/>
        </w:rPr>
        <w:t>电信发展局</w:t>
      </w:r>
      <w:r w:rsidRPr="00F74B1A">
        <w:rPr>
          <w:rFonts w:hint="eastAsia"/>
          <w:lang w:eastAsia="zh-CN"/>
        </w:rPr>
        <w:t>已与广泛的合作伙伴签署了</w:t>
      </w:r>
      <w:r w:rsidRPr="00F74B1A">
        <w:rPr>
          <w:rFonts w:hint="eastAsia"/>
          <w:lang w:eastAsia="zh-CN"/>
        </w:rPr>
        <w:t>14</w:t>
      </w:r>
      <w:r w:rsidRPr="00F74B1A">
        <w:rPr>
          <w:rFonts w:hint="eastAsia"/>
          <w:lang w:eastAsia="zh-CN"/>
        </w:rPr>
        <w:t>项新的伙伴关系协议，总价值约为</w:t>
      </w:r>
      <w:r w:rsidRPr="00F74B1A">
        <w:rPr>
          <w:rFonts w:hint="eastAsia"/>
          <w:lang w:eastAsia="zh-CN"/>
        </w:rPr>
        <w:t>150</w:t>
      </w:r>
      <w:r w:rsidRPr="00F74B1A">
        <w:rPr>
          <w:rFonts w:hint="eastAsia"/>
          <w:lang w:eastAsia="zh-CN"/>
        </w:rPr>
        <w:t>万美元。更多详情</w:t>
      </w:r>
      <w:r>
        <w:rPr>
          <w:rFonts w:hint="eastAsia"/>
          <w:lang w:eastAsia="zh-CN"/>
        </w:rPr>
        <w:t>见</w:t>
      </w:r>
      <w:r>
        <w:fldChar w:fldCharType="begin"/>
      </w:r>
      <w:r>
        <w:rPr>
          <w:lang w:eastAsia="zh-CN"/>
        </w:rPr>
        <w:instrText>HYPERLINK "https://www.itu.int/itu-d/sites/partnerships/home/partnerships/"</w:instrText>
      </w:r>
      <w:r>
        <w:fldChar w:fldCharType="separate"/>
      </w:r>
      <w:r w:rsidRPr="00496911">
        <w:rPr>
          <w:rStyle w:val="Hyperlink"/>
          <w:rFonts w:hint="eastAsia"/>
          <w:lang w:eastAsia="zh-CN"/>
        </w:rPr>
        <w:t>ITU-D</w:t>
      </w:r>
      <w:r w:rsidRPr="00496911">
        <w:rPr>
          <w:rStyle w:val="Hyperlink"/>
          <w:rFonts w:hint="eastAsia"/>
          <w:lang w:eastAsia="zh-CN"/>
        </w:rPr>
        <w:t>伙伴关系</w:t>
      </w:r>
      <w:r>
        <w:fldChar w:fldCharType="end"/>
      </w:r>
      <w:r w:rsidRPr="00F74B1A">
        <w:rPr>
          <w:rFonts w:hint="eastAsia"/>
          <w:lang w:eastAsia="zh-CN"/>
        </w:rPr>
        <w:t>网页。</w:t>
      </w:r>
    </w:p>
    <w:p w14:paraId="28DA49A6" w14:textId="05A886B5" w:rsidR="00622881" w:rsidRDefault="00622881" w:rsidP="005573EC">
      <w:pPr>
        <w:ind w:firstLineChars="200" w:firstLine="482"/>
        <w:jc w:val="both"/>
        <w:rPr>
          <w:lang w:eastAsia="zh-CN"/>
        </w:rPr>
      </w:pPr>
      <w:r w:rsidRPr="00EE4C4E">
        <w:rPr>
          <w:rFonts w:hint="eastAsia"/>
          <w:b/>
          <w:bCs/>
          <w:lang w:eastAsia="zh-CN"/>
        </w:rPr>
        <w:t>在非洲</w:t>
      </w:r>
      <w:r w:rsidR="00C01DE1">
        <w:rPr>
          <w:rFonts w:hint="eastAsia"/>
          <w:b/>
          <w:bCs/>
          <w:lang w:eastAsia="zh-CN"/>
        </w:rPr>
        <w:t>地区</w:t>
      </w:r>
      <w:r w:rsidRPr="00F74B1A">
        <w:rPr>
          <w:rFonts w:hint="eastAsia"/>
          <w:lang w:eastAsia="zh-CN"/>
        </w:rPr>
        <w:t>，</w:t>
      </w:r>
      <w:r>
        <w:fldChar w:fldCharType="begin"/>
      </w:r>
      <w:r>
        <w:rPr>
          <w:lang w:eastAsia="zh-CN"/>
        </w:rPr>
        <w:instrText>HYPERLINK "http://itu.int/go/RDF-AFR-26"</w:instrText>
      </w:r>
      <w:r>
        <w:fldChar w:fldCharType="separate"/>
      </w:r>
      <w:r w:rsidRPr="00B52FAE">
        <w:rPr>
          <w:rStyle w:val="Hyperlink"/>
          <w:rFonts w:hint="eastAsia"/>
          <w:lang w:eastAsia="zh-CN"/>
        </w:rPr>
        <w:t>2026</w:t>
      </w:r>
      <w:r w:rsidRPr="00B52FAE">
        <w:rPr>
          <w:rStyle w:val="Hyperlink"/>
          <w:rFonts w:hint="eastAsia"/>
          <w:lang w:eastAsia="zh-CN"/>
        </w:rPr>
        <w:t>年</w:t>
      </w:r>
      <w:r w:rsidR="00674F16" w:rsidRPr="00674F16">
        <w:rPr>
          <w:rStyle w:val="Hyperlink"/>
          <w:rFonts w:hint="eastAsia"/>
          <w:lang w:eastAsia="zh-CN"/>
        </w:rPr>
        <w:t>非洲</w:t>
      </w:r>
      <w:r w:rsidRPr="00B52FAE">
        <w:rPr>
          <w:rStyle w:val="Hyperlink"/>
          <w:rFonts w:hint="eastAsia"/>
          <w:lang w:eastAsia="zh-CN"/>
        </w:rPr>
        <w:t>区域性发展论坛（</w:t>
      </w:r>
      <w:r w:rsidRPr="00B52FAE">
        <w:rPr>
          <w:rStyle w:val="Hyperlink"/>
          <w:rFonts w:hint="eastAsia"/>
          <w:lang w:eastAsia="zh-CN"/>
        </w:rPr>
        <w:t>RDF-AFR</w:t>
      </w:r>
      <w:r w:rsidRPr="00B52FAE">
        <w:rPr>
          <w:rStyle w:val="Hyperlink"/>
          <w:rFonts w:hint="eastAsia"/>
          <w:lang w:eastAsia="zh-CN"/>
        </w:rPr>
        <w:t>）</w:t>
      </w:r>
      <w:r>
        <w:fldChar w:fldCharType="end"/>
      </w:r>
      <w:r w:rsidRPr="00F74B1A">
        <w:rPr>
          <w:rFonts w:hint="eastAsia"/>
          <w:lang w:eastAsia="zh-CN"/>
        </w:rPr>
        <w:t>的筹备工作正在</w:t>
      </w:r>
      <w:r w:rsidR="00674F16">
        <w:rPr>
          <w:rFonts w:hint="eastAsia"/>
          <w:lang w:eastAsia="zh-CN"/>
        </w:rPr>
        <w:t>有序</w:t>
      </w:r>
      <w:r w:rsidRPr="00F74B1A">
        <w:rPr>
          <w:rFonts w:hint="eastAsia"/>
          <w:lang w:eastAsia="zh-CN"/>
        </w:rPr>
        <w:t>进行。该论坛将于</w:t>
      </w:r>
      <w:r w:rsidRPr="00F74B1A">
        <w:rPr>
          <w:rFonts w:hint="eastAsia"/>
          <w:lang w:eastAsia="zh-CN"/>
        </w:rPr>
        <w:t>5</w:t>
      </w:r>
      <w:r w:rsidRPr="00F74B1A">
        <w:rPr>
          <w:rFonts w:hint="eastAsia"/>
          <w:lang w:eastAsia="zh-CN"/>
        </w:rPr>
        <w:t>月</w:t>
      </w:r>
      <w:r w:rsidRPr="00F74B1A">
        <w:rPr>
          <w:rFonts w:hint="eastAsia"/>
          <w:lang w:eastAsia="zh-CN"/>
        </w:rPr>
        <w:t>25</w:t>
      </w:r>
      <w:r>
        <w:rPr>
          <w:rFonts w:hint="eastAsia"/>
          <w:lang w:eastAsia="zh-CN"/>
        </w:rPr>
        <w:t>日至</w:t>
      </w:r>
      <w:r w:rsidRPr="00F74B1A">
        <w:rPr>
          <w:rFonts w:hint="eastAsia"/>
          <w:lang w:eastAsia="zh-CN"/>
        </w:rPr>
        <w:t>26</w:t>
      </w:r>
      <w:r w:rsidRPr="00F74B1A">
        <w:rPr>
          <w:rFonts w:hint="eastAsia"/>
          <w:lang w:eastAsia="zh-CN"/>
        </w:rPr>
        <w:t>日在</w:t>
      </w:r>
      <w:bookmarkStart w:id="17" w:name="OLE_LINK30"/>
      <w:r w:rsidRPr="00F74B1A">
        <w:rPr>
          <w:rFonts w:hint="eastAsia"/>
          <w:lang w:eastAsia="zh-CN"/>
        </w:rPr>
        <w:t>津巴布韦维多利亚瀑布</w:t>
      </w:r>
      <w:bookmarkEnd w:id="17"/>
      <w:r>
        <w:rPr>
          <w:rFonts w:hint="eastAsia"/>
          <w:lang w:eastAsia="zh-CN"/>
        </w:rPr>
        <w:t>城</w:t>
      </w:r>
      <w:r w:rsidRPr="00F74B1A">
        <w:rPr>
          <w:rFonts w:hint="eastAsia"/>
          <w:lang w:eastAsia="zh-CN"/>
        </w:rPr>
        <w:t>举行，旨在</w:t>
      </w:r>
      <w:r>
        <w:rPr>
          <w:rFonts w:hint="eastAsia"/>
          <w:lang w:eastAsia="zh-CN"/>
        </w:rPr>
        <w:t>为</w:t>
      </w:r>
      <w:r w:rsidRPr="00F74B1A">
        <w:rPr>
          <w:rFonts w:hint="eastAsia"/>
          <w:lang w:eastAsia="zh-CN"/>
        </w:rPr>
        <w:t>讨论和交流非洲正在进行</w:t>
      </w:r>
      <w:r w:rsidR="00674F16">
        <w:rPr>
          <w:rFonts w:hint="eastAsia"/>
          <w:lang w:eastAsia="zh-CN"/>
        </w:rPr>
        <w:t>及</w:t>
      </w:r>
      <w:r w:rsidRPr="00F74B1A">
        <w:rPr>
          <w:rFonts w:hint="eastAsia"/>
          <w:lang w:eastAsia="zh-CN"/>
        </w:rPr>
        <w:t>计划中的举措</w:t>
      </w:r>
      <w:r>
        <w:rPr>
          <w:rFonts w:hint="eastAsia"/>
          <w:lang w:eastAsia="zh-CN"/>
        </w:rPr>
        <w:t>提供平台</w:t>
      </w:r>
      <w:r w:rsidRPr="00F74B1A">
        <w:rPr>
          <w:rFonts w:hint="eastAsia"/>
          <w:lang w:eastAsia="zh-CN"/>
        </w:rPr>
        <w:t>，</w:t>
      </w:r>
      <w:r>
        <w:rPr>
          <w:rFonts w:hint="eastAsia"/>
          <w:lang w:eastAsia="zh-CN"/>
        </w:rPr>
        <w:t>从而落实</w:t>
      </w:r>
      <w:r w:rsidRPr="00F74B1A">
        <w:rPr>
          <w:rFonts w:hint="eastAsia"/>
          <w:lang w:eastAsia="zh-CN"/>
        </w:rPr>
        <w:t>区域性举措，推进</w:t>
      </w:r>
      <w:r>
        <w:rPr>
          <w:rFonts w:hint="eastAsia"/>
          <w:lang w:eastAsia="zh-CN"/>
        </w:rPr>
        <w:t>普遍和</w:t>
      </w:r>
      <w:r w:rsidRPr="00F74B1A">
        <w:rPr>
          <w:rFonts w:hint="eastAsia"/>
          <w:lang w:eastAsia="zh-CN"/>
        </w:rPr>
        <w:t>有意义的连接，</w:t>
      </w:r>
      <w:r w:rsidR="00674F16">
        <w:rPr>
          <w:rFonts w:hint="eastAsia"/>
          <w:lang w:eastAsia="zh-CN"/>
        </w:rPr>
        <w:t>并</w:t>
      </w:r>
      <w:r w:rsidRPr="00F74B1A">
        <w:rPr>
          <w:rFonts w:hint="eastAsia"/>
          <w:lang w:eastAsia="zh-CN"/>
        </w:rPr>
        <w:t>推动可持续数字化转型，支持社会经济发展。</w:t>
      </w:r>
      <w:r w:rsidR="00853E68">
        <w:rPr>
          <w:rFonts w:hint="eastAsia"/>
          <w:lang w:eastAsia="zh-CN"/>
        </w:rPr>
        <w:t>届时</w:t>
      </w:r>
      <w:r>
        <w:rPr>
          <w:rFonts w:hint="eastAsia"/>
          <w:lang w:eastAsia="zh-CN"/>
        </w:rPr>
        <w:t>还</w:t>
      </w:r>
      <w:r w:rsidRPr="00F74B1A">
        <w:rPr>
          <w:rFonts w:hint="eastAsia"/>
          <w:lang w:eastAsia="zh-CN"/>
        </w:rPr>
        <w:t>将举办国家</w:t>
      </w:r>
      <w:r>
        <w:rPr>
          <w:rFonts w:hint="eastAsia"/>
          <w:lang w:eastAsia="zh-CN"/>
        </w:rPr>
        <w:t>和</w:t>
      </w:r>
      <w:r w:rsidRPr="00F74B1A">
        <w:rPr>
          <w:rFonts w:hint="eastAsia"/>
          <w:lang w:eastAsia="zh-CN"/>
        </w:rPr>
        <w:t>区域需求</w:t>
      </w:r>
      <w:r w:rsidR="00853E68">
        <w:rPr>
          <w:rFonts w:hint="eastAsia"/>
          <w:lang w:eastAsia="zh-CN"/>
        </w:rPr>
        <w:t>的“</w:t>
      </w:r>
      <w:r w:rsidR="00853E68" w:rsidRPr="00853E68">
        <w:rPr>
          <w:lang w:eastAsia="zh-CN"/>
        </w:rPr>
        <w:t>伙伴关系促进互联互通（</w:t>
      </w:r>
      <w:r w:rsidR="00853E68" w:rsidRPr="00853E68">
        <w:rPr>
          <w:lang w:eastAsia="zh-CN"/>
        </w:rPr>
        <w:t>P2C</w:t>
      </w:r>
      <w:r w:rsidR="00853E68" w:rsidRPr="00853E68">
        <w:rPr>
          <w:lang w:eastAsia="zh-CN"/>
        </w:rPr>
        <w:t>）</w:t>
      </w:r>
      <w:r w:rsidR="00853E68">
        <w:rPr>
          <w:rFonts w:hint="eastAsia"/>
          <w:lang w:eastAsia="zh-CN"/>
        </w:rPr>
        <w:t>”</w:t>
      </w:r>
      <w:r w:rsidR="00853E68" w:rsidRPr="00F74B1A">
        <w:rPr>
          <w:rFonts w:hint="eastAsia"/>
          <w:lang w:eastAsia="zh-CN"/>
        </w:rPr>
        <w:t>合作伙伴</w:t>
      </w:r>
      <w:r>
        <w:rPr>
          <w:rFonts w:hint="eastAsia"/>
          <w:lang w:eastAsia="zh-CN"/>
        </w:rPr>
        <w:t>对接</w:t>
      </w:r>
      <w:r w:rsidRPr="00F74B1A">
        <w:rPr>
          <w:rFonts w:hint="eastAsia"/>
          <w:lang w:eastAsia="zh-CN"/>
        </w:rPr>
        <w:t>会。</w:t>
      </w:r>
      <w:r w:rsidRPr="008E0A5C">
        <w:rPr>
          <w:rFonts w:hint="eastAsia"/>
          <w:b/>
          <w:bCs/>
          <w:lang w:eastAsia="zh-CN"/>
        </w:rPr>
        <w:t>在亚太地区</w:t>
      </w:r>
      <w:r w:rsidRPr="008E0A5C">
        <w:rPr>
          <w:rFonts w:hint="eastAsia"/>
          <w:lang w:eastAsia="zh-CN"/>
        </w:rPr>
        <w:t>，电信发展局参加了</w:t>
      </w:r>
      <w:r w:rsidRPr="008E0A5C">
        <w:rPr>
          <w:lang w:eastAsia="zh-CN"/>
        </w:rPr>
        <w:t>2</w:t>
      </w:r>
      <w:r w:rsidRPr="008E0A5C">
        <w:rPr>
          <w:rFonts w:hint="eastAsia"/>
          <w:lang w:eastAsia="zh-CN"/>
        </w:rPr>
        <w:t>月</w:t>
      </w:r>
      <w:r w:rsidRPr="008E0A5C">
        <w:rPr>
          <w:lang w:eastAsia="zh-CN"/>
        </w:rPr>
        <w:t>24</w:t>
      </w:r>
      <w:r w:rsidRPr="008E0A5C">
        <w:rPr>
          <w:rFonts w:hint="eastAsia"/>
          <w:lang w:eastAsia="zh-CN"/>
        </w:rPr>
        <w:t>日至</w:t>
      </w:r>
      <w:r w:rsidRPr="008E0A5C">
        <w:rPr>
          <w:lang w:eastAsia="zh-CN"/>
        </w:rPr>
        <w:t>27</w:t>
      </w:r>
      <w:r w:rsidRPr="008E0A5C">
        <w:rPr>
          <w:rFonts w:hint="eastAsia"/>
          <w:lang w:eastAsia="zh-CN"/>
        </w:rPr>
        <w:t>日在泰国曼谷联合国会议中心（</w:t>
      </w:r>
      <w:r w:rsidRPr="008E0A5C">
        <w:rPr>
          <w:lang w:eastAsia="zh-CN"/>
        </w:rPr>
        <w:t>UNCC</w:t>
      </w:r>
      <w:r w:rsidRPr="008E0A5C">
        <w:rPr>
          <w:rFonts w:hint="eastAsia"/>
          <w:lang w:eastAsia="zh-CN"/>
        </w:rPr>
        <w:t>）举行的第</w:t>
      </w:r>
      <w:r w:rsidRPr="008E0A5C">
        <w:rPr>
          <w:lang w:eastAsia="zh-CN"/>
        </w:rPr>
        <w:t>13</w:t>
      </w:r>
      <w:r w:rsidRPr="008E0A5C">
        <w:rPr>
          <w:rFonts w:hint="eastAsia"/>
          <w:lang w:eastAsia="zh-CN"/>
        </w:rPr>
        <w:t>届亚太可持续发展论坛（</w:t>
      </w:r>
      <w:r w:rsidRPr="008E0A5C">
        <w:rPr>
          <w:lang w:eastAsia="zh-CN"/>
        </w:rPr>
        <w:t>APFSD</w:t>
      </w:r>
      <w:r w:rsidRPr="008E0A5C">
        <w:rPr>
          <w:rFonts w:hint="eastAsia"/>
          <w:lang w:eastAsia="zh-CN"/>
        </w:rPr>
        <w:t>）</w:t>
      </w:r>
      <w:r w:rsidR="00853E68">
        <w:rPr>
          <w:rFonts w:hint="eastAsia"/>
          <w:lang w:eastAsia="zh-CN"/>
        </w:rPr>
        <w:t>。本届论坛的</w:t>
      </w:r>
      <w:r w:rsidRPr="008E0A5C">
        <w:rPr>
          <w:rFonts w:hint="eastAsia"/>
          <w:lang w:eastAsia="zh-CN"/>
        </w:rPr>
        <w:t>主题为“</w:t>
      </w:r>
      <w:bookmarkStart w:id="18" w:name="OLE_LINK33"/>
      <w:r w:rsidRPr="008E0A5C">
        <w:rPr>
          <w:rFonts w:hint="eastAsia"/>
          <w:lang w:eastAsia="zh-CN"/>
        </w:rPr>
        <w:t>为实现</w:t>
      </w:r>
      <w:r w:rsidR="003D6BF3">
        <w:rPr>
          <w:rFonts w:hint="eastAsia"/>
          <w:lang w:eastAsia="zh-CN"/>
        </w:rPr>
        <w:t>《</w:t>
      </w:r>
      <w:r w:rsidRPr="008E0A5C">
        <w:rPr>
          <w:lang w:eastAsia="zh-CN"/>
        </w:rPr>
        <w:t>2030</w:t>
      </w:r>
      <w:r w:rsidRPr="008E0A5C">
        <w:rPr>
          <w:rFonts w:hint="eastAsia"/>
          <w:lang w:eastAsia="zh-CN"/>
        </w:rPr>
        <w:t>年议程</w:t>
      </w:r>
      <w:r w:rsidR="003D6BF3">
        <w:rPr>
          <w:rFonts w:hint="eastAsia"/>
          <w:lang w:eastAsia="zh-CN"/>
        </w:rPr>
        <w:t>》</w:t>
      </w:r>
      <w:r w:rsidRPr="008E0A5C">
        <w:rPr>
          <w:rFonts w:hint="eastAsia"/>
          <w:lang w:eastAsia="zh-CN"/>
        </w:rPr>
        <w:t>及其可持续发展目标</w:t>
      </w:r>
      <w:r>
        <w:rPr>
          <w:rFonts w:hint="eastAsia"/>
          <w:lang w:eastAsia="zh-CN"/>
        </w:rPr>
        <w:t>，</w:t>
      </w:r>
      <w:r w:rsidRPr="008E0A5C">
        <w:rPr>
          <w:rFonts w:hint="eastAsia"/>
          <w:lang w:eastAsia="zh-CN"/>
        </w:rPr>
        <w:t>采取变革性、公平、创新和协调的行动，</w:t>
      </w:r>
      <w:r w:rsidR="00853E68">
        <w:rPr>
          <w:rFonts w:hint="eastAsia"/>
          <w:lang w:eastAsia="zh-CN"/>
        </w:rPr>
        <w:t>共创全民</w:t>
      </w:r>
      <w:r w:rsidRPr="008E0A5C">
        <w:rPr>
          <w:rFonts w:hint="eastAsia"/>
          <w:lang w:eastAsia="zh-CN"/>
        </w:rPr>
        <w:t>可持续未来</w:t>
      </w:r>
      <w:bookmarkEnd w:id="18"/>
      <w:r w:rsidRPr="008E0A5C">
        <w:rPr>
          <w:rFonts w:hint="eastAsia"/>
          <w:lang w:eastAsia="zh-CN"/>
        </w:rPr>
        <w:t>”。作为年度政府间论坛，</w:t>
      </w:r>
      <w:r w:rsidRPr="008E0A5C">
        <w:rPr>
          <w:lang w:eastAsia="zh-CN"/>
        </w:rPr>
        <w:t>APFSD</w:t>
      </w:r>
      <w:r w:rsidRPr="008E0A5C">
        <w:rPr>
          <w:rFonts w:hint="eastAsia"/>
          <w:lang w:eastAsia="zh-CN"/>
        </w:rPr>
        <w:t>支持在区域层面跟进和审查</w:t>
      </w:r>
      <w:r w:rsidR="00C84509">
        <w:rPr>
          <w:rFonts w:hint="eastAsia"/>
          <w:lang w:eastAsia="zh-CN"/>
        </w:rPr>
        <w:t>《</w:t>
      </w:r>
      <w:r w:rsidRPr="008E0A5C">
        <w:rPr>
          <w:lang w:eastAsia="zh-CN"/>
        </w:rPr>
        <w:t>2030</w:t>
      </w:r>
      <w:r w:rsidRPr="008E0A5C">
        <w:rPr>
          <w:rFonts w:hint="eastAsia"/>
          <w:lang w:eastAsia="zh-CN"/>
        </w:rPr>
        <w:t>年可持续发展议程</w:t>
      </w:r>
      <w:r w:rsidR="00C84509">
        <w:rPr>
          <w:rFonts w:hint="eastAsia"/>
          <w:lang w:eastAsia="zh-CN"/>
        </w:rPr>
        <w:t>》</w:t>
      </w:r>
      <w:r w:rsidRPr="008E0A5C">
        <w:rPr>
          <w:rFonts w:hint="eastAsia"/>
          <w:lang w:eastAsia="zh-CN"/>
        </w:rPr>
        <w:t>和可持续发展目标的进展情况，旨在通过确定区域趋势和分享最佳做法，为亚太国家实现可持续发展目标提供信息、赋能和支持。</w:t>
      </w:r>
      <w:r w:rsidRPr="00F74B1A">
        <w:rPr>
          <w:rFonts w:hint="eastAsia"/>
          <w:lang w:eastAsia="zh-CN"/>
        </w:rPr>
        <w:t>根据</w:t>
      </w:r>
      <w:r w:rsidRPr="00F74B1A">
        <w:rPr>
          <w:rFonts w:hint="eastAsia"/>
          <w:lang w:eastAsia="zh-CN"/>
        </w:rPr>
        <w:t>2026</w:t>
      </w:r>
      <w:r w:rsidRPr="00F74B1A">
        <w:rPr>
          <w:rFonts w:hint="eastAsia"/>
          <w:lang w:eastAsia="zh-CN"/>
        </w:rPr>
        <w:t>年高级别政治论坛（</w:t>
      </w:r>
      <w:r w:rsidRPr="00F74B1A">
        <w:rPr>
          <w:rFonts w:hint="eastAsia"/>
          <w:lang w:eastAsia="zh-CN"/>
        </w:rPr>
        <w:t>HLPF</w:t>
      </w:r>
      <w:r w:rsidRPr="00F74B1A">
        <w:rPr>
          <w:rFonts w:hint="eastAsia"/>
          <w:lang w:eastAsia="zh-CN"/>
        </w:rPr>
        <w:t>）的重点，第</w:t>
      </w:r>
      <w:r w:rsidRPr="00F74B1A">
        <w:rPr>
          <w:rFonts w:hint="eastAsia"/>
          <w:lang w:eastAsia="zh-CN"/>
        </w:rPr>
        <w:t>13</w:t>
      </w:r>
      <w:r w:rsidRPr="00F74B1A">
        <w:rPr>
          <w:rFonts w:hint="eastAsia"/>
          <w:lang w:eastAsia="zh-CN"/>
        </w:rPr>
        <w:t>届</w:t>
      </w:r>
      <w:r w:rsidRPr="00F74B1A">
        <w:rPr>
          <w:rFonts w:hint="eastAsia"/>
          <w:lang w:eastAsia="zh-CN"/>
        </w:rPr>
        <w:t>APFSD</w:t>
      </w:r>
      <w:r w:rsidRPr="00F74B1A">
        <w:rPr>
          <w:rFonts w:hint="eastAsia"/>
          <w:lang w:eastAsia="zh-CN"/>
        </w:rPr>
        <w:t>评估了</w:t>
      </w:r>
      <w:r w:rsidRPr="00F74B1A">
        <w:rPr>
          <w:rFonts w:hint="eastAsia"/>
          <w:lang w:eastAsia="zh-CN"/>
        </w:rPr>
        <w:t>2026</w:t>
      </w:r>
      <w:r w:rsidRPr="00F74B1A">
        <w:rPr>
          <w:rFonts w:hint="eastAsia"/>
          <w:lang w:eastAsia="zh-CN"/>
        </w:rPr>
        <w:t>年正在审查的可持续发展目标的进展情况</w:t>
      </w:r>
      <w:r>
        <w:rPr>
          <w:rFonts w:hint="eastAsia"/>
          <w:lang w:eastAsia="zh-CN"/>
        </w:rPr>
        <w:t>，包括</w:t>
      </w:r>
      <w:r w:rsidRPr="00F74B1A">
        <w:rPr>
          <w:rFonts w:hint="eastAsia"/>
          <w:lang w:eastAsia="zh-CN"/>
        </w:rPr>
        <w:t>目标</w:t>
      </w:r>
      <w:r w:rsidRPr="00F74B1A">
        <w:rPr>
          <w:rFonts w:hint="eastAsia"/>
          <w:lang w:eastAsia="zh-CN"/>
        </w:rPr>
        <w:t>6</w:t>
      </w:r>
      <w:r w:rsidRPr="00F74B1A">
        <w:rPr>
          <w:rFonts w:hint="eastAsia"/>
          <w:lang w:eastAsia="zh-CN"/>
        </w:rPr>
        <w:t>、</w:t>
      </w:r>
      <w:r w:rsidRPr="00F74B1A">
        <w:rPr>
          <w:rFonts w:hint="eastAsia"/>
          <w:lang w:eastAsia="zh-CN"/>
        </w:rPr>
        <w:t>7</w:t>
      </w:r>
      <w:r w:rsidRPr="00F74B1A">
        <w:rPr>
          <w:rFonts w:hint="eastAsia"/>
          <w:lang w:eastAsia="zh-CN"/>
        </w:rPr>
        <w:t>、</w:t>
      </w:r>
      <w:r w:rsidRPr="00F74B1A">
        <w:rPr>
          <w:rFonts w:hint="eastAsia"/>
          <w:lang w:eastAsia="zh-CN"/>
        </w:rPr>
        <w:t>9</w:t>
      </w:r>
      <w:r w:rsidRPr="00F74B1A">
        <w:rPr>
          <w:rFonts w:hint="eastAsia"/>
          <w:lang w:eastAsia="zh-CN"/>
        </w:rPr>
        <w:t>、</w:t>
      </w:r>
      <w:r w:rsidRPr="00F74B1A">
        <w:rPr>
          <w:rFonts w:hint="eastAsia"/>
          <w:lang w:eastAsia="zh-CN"/>
        </w:rPr>
        <w:t>11</w:t>
      </w:r>
      <w:r w:rsidRPr="00F74B1A">
        <w:rPr>
          <w:rFonts w:hint="eastAsia"/>
          <w:lang w:eastAsia="zh-CN"/>
        </w:rPr>
        <w:t>和</w:t>
      </w:r>
      <w:r w:rsidRPr="00F74B1A">
        <w:rPr>
          <w:rFonts w:hint="eastAsia"/>
          <w:lang w:eastAsia="zh-CN"/>
        </w:rPr>
        <w:t>17</w:t>
      </w:r>
      <w:r w:rsidRPr="00F74B1A">
        <w:rPr>
          <w:rFonts w:hint="eastAsia"/>
          <w:lang w:eastAsia="zh-CN"/>
        </w:rPr>
        <w:t>。电信发展局与其他联合国机构一道，通过主持关于“促进创新”议题的分组讨论，为可持续发展目标</w:t>
      </w:r>
      <w:r w:rsidRPr="00F74B1A">
        <w:rPr>
          <w:rFonts w:hint="eastAsia"/>
          <w:lang w:eastAsia="zh-CN"/>
        </w:rPr>
        <w:t>9</w:t>
      </w:r>
      <w:r w:rsidRPr="00F74B1A">
        <w:rPr>
          <w:rFonts w:hint="eastAsia"/>
          <w:lang w:eastAsia="zh-CN"/>
        </w:rPr>
        <w:t>（工业、创新和基础设施）</w:t>
      </w:r>
      <w:r w:rsidR="00853E68" w:rsidRPr="00F74B1A">
        <w:rPr>
          <w:rFonts w:hint="eastAsia"/>
          <w:lang w:eastAsia="zh-CN"/>
        </w:rPr>
        <w:t>圆桌会议</w:t>
      </w:r>
      <w:r w:rsidRPr="00F74B1A">
        <w:rPr>
          <w:rFonts w:hint="eastAsia"/>
          <w:lang w:eastAsia="zh-CN"/>
        </w:rPr>
        <w:t>做出贡献，并为可持续发展目标</w:t>
      </w:r>
      <w:r w:rsidRPr="00F74B1A">
        <w:rPr>
          <w:rFonts w:hint="eastAsia"/>
          <w:lang w:eastAsia="zh-CN"/>
        </w:rPr>
        <w:t>9</w:t>
      </w:r>
      <w:r w:rsidRPr="00A54EC6">
        <w:rPr>
          <w:rFonts w:hint="eastAsia"/>
          <w:lang w:eastAsia="zh-CN"/>
        </w:rPr>
        <w:t>目标</w:t>
      </w:r>
      <w:r w:rsidRPr="00F74B1A">
        <w:rPr>
          <w:rFonts w:hint="eastAsia"/>
          <w:lang w:eastAsia="zh-CN"/>
        </w:rPr>
        <w:t>概况提供了</w:t>
      </w:r>
      <w:r>
        <w:rPr>
          <w:rFonts w:hint="eastAsia"/>
          <w:lang w:eastAsia="zh-CN"/>
        </w:rPr>
        <w:t>相关</w:t>
      </w:r>
      <w:r w:rsidRPr="00F74B1A">
        <w:rPr>
          <w:rFonts w:hint="eastAsia"/>
          <w:lang w:eastAsia="zh-CN"/>
        </w:rPr>
        <w:t>意见。</w:t>
      </w:r>
    </w:p>
    <w:p w14:paraId="5948340E" w14:textId="1EA6BCEC" w:rsidR="00622881" w:rsidRDefault="00622881" w:rsidP="005573EC">
      <w:pPr>
        <w:ind w:firstLineChars="200" w:firstLine="480"/>
        <w:jc w:val="both"/>
        <w:rPr>
          <w:lang w:eastAsia="zh-CN"/>
        </w:rPr>
      </w:pPr>
      <w:r w:rsidRPr="00F74B1A">
        <w:rPr>
          <w:rFonts w:hint="eastAsia"/>
          <w:lang w:eastAsia="zh-CN"/>
        </w:rPr>
        <w:t>电信发展局还参加了</w:t>
      </w:r>
      <w:r w:rsidRPr="00F74B1A">
        <w:rPr>
          <w:rFonts w:hint="eastAsia"/>
          <w:lang w:eastAsia="zh-CN"/>
        </w:rPr>
        <w:t>2026</w:t>
      </w:r>
      <w:r w:rsidRPr="00F74B1A">
        <w:rPr>
          <w:rFonts w:hint="eastAsia"/>
          <w:lang w:eastAsia="zh-CN"/>
        </w:rPr>
        <w:t>年</w:t>
      </w:r>
      <w:r w:rsidRPr="00F74B1A">
        <w:rPr>
          <w:rFonts w:hint="eastAsia"/>
          <w:lang w:eastAsia="zh-CN"/>
        </w:rPr>
        <w:t>2</w:t>
      </w:r>
      <w:r w:rsidRPr="00F74B1A">
        <w:rPr>
          <w:rFonts w:hint="eastAsia"/>
          <w:lang w:eastAsia="zh-CN"/>
        </w:rPr>
        <w:t>月</w:t>
      </w:r>
      <w:r w:rsidRPr="00F74B1A">
        <w:rPr>
          <w:rFonts w:hint="eastAsia"/>
          <w:lang w:eastAsia="zh-CN"/>
        </w:rPr>
        <w:t>16</w:t>
      </w:r>
      <w:r w:rsidRPr="00F74B1A">
        <w:rPr>
          <w:rFonts w:hint="eastAsia"/>
          <w:lang w:eastAsia="zh-CN"/>
        </w:rPr>
        <w:t>日在泰国曼谷举行的信息通信技术</w:t>
      </w:r>
      <w:r w:rsidR="00853E68">
        <w:rPr>
          <w:rFonts w:hint="eastAsia"/>
          <w:lang w:eastAsia="zh-CN"/>
        </w:rPr>
        <w:t>（</w:t>
      </w:r>
      <w:r w:rsidR="00853E68">
        <w:rPr>
          <w:rFonts w:hint="eastAsia"/>
          <w:lang w:eastAsia="zh-CN"/>
        </w:rPr>
        <w:t>ICT</w:t>
      </w:r>
      <w:r w:rsidR="00853E68">
        <w:rPr>
          <w:rFonts w:hint="eastAsia"/>
          <w:lang w:eastAsia="zh-CN"/>
        </w:rPr>
        <w:t>）</w:t>
      </w:r>
      <w:r w:rsidRPr="007960C7">
        <w:rPr>
          <w:rFonts w:hint="eastAsia"/>
          <w:lang w:eastAsia="zh-CN"/>
        </w:rPr>
        <w:t>区域性跨机构工作组</w:t>
      </w:r>
      <w:r w:rsidRPr="00F74B1A">
        <w:rPr>
          <w:rFonts w:hint="eastAsia"/>
          <w:lang w:eastAsia="zh-CN"/>
        </w:rPr>
        <w:t>第</w:t>
      </w:r>
      <w:r w:rsidRPr="00F74B1A">
        <w:rPr>
          <w:rFonts w:hint="eastAsia"/>
          <w:lang w:eastAsia="zh-CN"/>
        </w:rPr>
        <w:t>30</w:t>
      </w:r>
      <w:r w:rsidRPr="00F74B1A">
        <w:rPr>
          <w:rFonts w:hint="eastAsia"/>
          <w:lang w:eastAsia="zh-CN"/>
        </w:rPr>
        <w:t>次会议。此次会议由亚太电信组织（</w:t>
      </w:r>
      <w:r w:rsidRPr="00F74B1A">
        <w:rPr>
          <w:rFonts w:hint="eastAsia"/>
          <w:lang w:eastAsia="zh-CN"/>
        </w:rPr>
        <w:t>APT</w:t>
      </w:r>
      <w:r w:rsidRPr="00F74B1A">
        <w:rPr>
          <w:rFonts w:hint="eastAsia"/>
          <w:lang w:eastAsia="zh-CN"/>
        </w:rPr>
        <w:t>）主办，七个国际组织（</w:t>
      </w:r>
      <w:r w:rsidR="00853E68">
        <w:rPr>
          <w:rFonts w:hint="eastAsia"/>
          <w:lang w:eastAsia="zh-CN"/>
        </w:rPr>
        <w:t>国际电联</w:t>
      </w:r>
      <w:r w:rsidRPr="00F74B1A">
        <w:rPr>
          <w:rFonts w:hint="eastAsia"/>
          <w:lang w:eastAsia="zh-CN"/>
        </w:rPr>
        <w:t>、</w:t>
      </w:r>
      <w:r w:rsidRPr="00F74B1A">
        <w:rPr>
          <w:rFonts w:hint="eastAsia"/>
          <w:lang w:eastAsia="zh-CN"/>
        </w:rPr>
        <w:t>APT</w:t>
      </w:r>
      <w:r w:rsidRPr="00F74B1A">
        <w:rPr>
          <w:rFonts w:hint="eastAsia"/>
          <w:lang w:eastAsia="zh-CN"/>
        </w:rPr>
        <w:t>、</w:t>
      </w:r>
      <w:r w:rsidR="00853E68" w:rsidRPr="00853E68">
        <w:rPr>
          <w:lang w:eastAsia="zh-CN"/>
        </w:rPr>
        <w:t>联合国亚太经社理事会</w:t>
      </w:r>
      <w:r w:rsidR="00853E68">
        <w:rPr>
          <w:rFonts w:hint="eastAsia"/>
          <w:lang w:eastAsia="zh-CN"/>
        </w:rPr>
        <w:t>（</w:t>
      </w:r>
      <w:r w:rsidR="00853E68" w:rsidRPr="005405D4">
        <w:rPr>
          <w:lang w:eastAsia="zh-CN"/>
        </w:rPr>
        <w:t>UNESCAP</w:t>
      </w:r>
      <w:r w:rsidR="00853E68">
        <w:rPr>
          <w:rFonts w:hint="eastAsia"/>
          <w:lang w:eastAsia="zh-CN"/>
        </w:rPr>
        <w:t>）</w:t>
      </w:r>
      <w:r w:rsidRPr="00F74B1A">
        <w:rPr>
          <w:rFonts w:hint="eastAsia"/>
          <w:lang w:eastAsia="zh-CN"/>
        </w:rPr>
        <w:t>、</w:t>
      </w:r>
      <w:r w:rsidR="00853E68">
        <w:rPr>
          <w:rFonts w:hint="eastAsia"/>
          <w:lang w:eastAsia="zh-CN"/>
        </w:rPr>
        <w:t>国际民航组织（</w:t>
      </w:r>
      <w:r w:rsidR="00853E68">
        <w:rPr>
          <w:rFonts w:hint="eastAsia"/>
          <w:lang w:eastAsia="zh-CN"/>
        </w:rPr>
        <w:t>ICAO</w:t>
      </w:r>
      <w:r w:rsidR="00853E68">
        <w:rPr>
          <w:rFonts w:hint="eastAsia"/>
          <w:lang w:eastAsia="zh-CN"/>
        </w:rPr>
        <w:t>）</w:t>
      </w:r>
      <w:r w:rsidRPr="00F74B1A">
        <w:rPr>
          <w:rFonts w:hint="eastAsia"/>
          <w:lang w:eastAsia="zh-CN"/>
        </w:rPr>
        <w:t>、</w:t>
      </w:r>
      <w:r w:rsidRPr="00F74B1A">
        <w:rPr>
          <w:rFonts w:hint="eastAsia"/>
          <w:lang w:eastAsia="zh-CN"/>
        </w:rPr>
        <w:t>WMO</w:t>
      </w:r>
      <w:r w:rsidRPr="00F74B1A">
        <w:rPr>
          <w:rFonts w:hint="eastAsia"/>
          <w:lang w:eastAsia="zh-CN"/>
        </w:rPr>
        <w:t>、</w:t>
      </w:r>
      <w:r w:rsidR="00853E68" w:rsidRPr="00853E68">
        <w:rPr>
          <w:lang w:eastAsia="zh-CN"/>
        </w:rPr>
        <w:t>世界粮食计划署</w:t>
      </w:r>
      <w:r w:rsidR="00853E68">
        <w:rPr>
          <w:rFonts w:hint="eastAsia"/>
          <w:lang w:eastAsia="zh-CN"/>
        </w:rPr>
        <w:t>（</w:t>
      </w:r>
      <w:r w:rsidR="00853E68">
        <w:rPr>
          <w:rFonts w:hint="eastAsia"/>
          <w:lang w:eastAsia="zh-CN"/>
        </w:rPr>
        <w:t>WFP</w:t>
      </w:r>
      <w:r w:rsidR="00853E68">
        <w:rPr>
          <w:rFonts w:hint="eastAsia"/>
          <w:lang w:eastAsia="zh-CN"/>
        </w:rPr>
        <w:t>）</w:t>
      </w:r>
      <w:r w:rsidRPr="00F74B1A">
        <w:rPr>
          <w:rFonts w:hint="eastAsia"/>
          <w:lang w:eastAsia="zh-CN"/>
        </w:rPr>
        <w:t>、</w:t>
      </w:r>
      <w:r w:rsidR="00853E68" w:rsidRPr="00853E68">
        <w:rPr>
          <w:lang w:eastAsia="zh-CN"/>
        </w:rPr>
        <w:t>联合国大学</w:t>
      </w:r>
      <w:r w:rsidR="00853E68">
        <w:rPr>
          <w:rFonts w:hint="eastAsia"/>
          <w:lang w:eastAsia="zh-CN"/>
        </w:rPr>
        <w:t>（</w:t>
      </w:r>
      <w:r w:rsidRPr="00F74B1A">
        <w:rPr>
          <w:rFonts w:hint="eastAsia"/>
          <w:lang w:eastAsia="zh-CN"/>
        </w:rPr>
        <w:t>UNU</w:t>
      </w:r>
      <w:r w:rsidR="00853E68">
        <w:rPr>
          <w:rFonts w:hint="eastAsia"/>
          <w:lang w:eastAsia="zh-CN"/>
        </w:rPr>
        <w:t>）</w:t>
      </w:r>
      <w:r w:rsidRPr="00F74B1A">
        <w:rPr>
          <w:rFonts w:hint="eastAsia"/>
          <w:lang w:eastAsia="zh-CN"/>
        </w:rPr>
        <w:t>）参</w:t>
      </w:r>
      <w:r>
        <w:rPr>
          <w:rFonts w:hint="eastAsia"/>
          <w:lang w:eastAsia="zh-CN"/>
        </w:rPr>
        <w:t>会</w:t>
      </w:r>
      <w:r w:rsidRPr="00F74B1A">
        <w:rPr>
          <w:rFonts w:hint="eastAsia"/>
          <w:lang w:eastAsia="zh-CN"/>
        </w:rPr>
        <w:t>，</w:t>
      </w:r>
      <w:r w:rsidR="00853E68">
        <w:rPr>
          <w:rFonts w:hint="eastAsia"/>
          <w:lang w:eastAsia="zh-CN"/>
        </w:rPr>
        <w:t>共同探讨了</w:t>
      </w:r>
      <w:r w:rsidRPr="00F74B1A">
        <w:rPr>
          <w:rFonts w:hint="eastAsia"/>
          <w:lang w:eastAsia="zh-CN"/>
        </w:rPr>
        <w:t>ICT</w:t>
      </w:r>
      <w:r>
        <w:rPr>
          <w:rFonts w:hint="eastAsia"/>
          <w:lang w:eastAsia="zh-CN"/>
        </w:rPr>
        <w:t>相关</w:t>
      </w:r>
      <w:r w:rsidRPr="00F74B1A">
        <w:rPr>
          <w:rFonts w:hint="eastAsia"/>
          <w:lang w:eastAsia="zh-CN"/>
        </w:rPr>
        <w:t>举措和合作机遇。会议期间，</w:t>
      </w:r>
      <w:r>
        <w:rPr>
          <w:rFonts w:hint="eastAsia"/>
          <w:lang w:eastAsia="zh-CN"/>
        </w:rPr>
        <w:t>各</w:t>
      </w:r>
      <w:r w:rsidRPr="00F74B1A">
        <w:rPr>
          <w:rFonts w:hint="eastAsia"/>
          <w:lang w:eastAsia="zh-CN"/>
        </w:rPr>
        <w:t>组织介绍了</w:t>
      </w:r>
      <w:r w:rsidRPr="00F74B1A">
        <w:rPr>
          <w:rFonts w:hint="eastAsia"/>
          <w:lang w:eastAsia="zh-CN"/>
        </w:rPr>
        <w:t>2026</w:t>
      </w:r>
      <w:r w:rsidRPr="00F74B1A">
        <w:rPr>
          <w:rFonts w:hint="eastAsia"/>
          <w:lang w:eastAsia="zh-CN"/>
        </w:rPr>
        <w:t>年的最新情况和计划</w:t>
      </w:r>
      <w:r>
        <w:rPr>
          <w:rFonts w:hint="eastAsia"/>
          <w:lang w:eastAsia="zh-CN"/>
        </w:rPr>
        <w:t>开展</w:t>
      </w:r>
      <w:r w:rsidRPr="00F74B1A">
        <w:rPr>
          <w:rFonts w:hint="eastAsia"/>
          <w:lang w:eastAsia="zh-CN"/>
        </w:rPr>
        <w:t>的活动，并讨论了潜在合作领域。电信发展局</w:t>
      </w:r>
      <w:r w:rsidR="00853E68">
        <w:rPr>
          <w:rFonts w:hint="eastAsia"/>
          <w:lang w:eastAsia="zh-CN"/>
        </w:rPr>
        <w:t>重点</w:t>
      </w:r>
      <w:r w:rsidRPr="00F74B1A">
        <w:rPr>
          <w:rFonts w:hint="eastAsia"/>
          <w:lang w:eastAsia="zh-CN"/>
        </w:rPr>
        <w:t>强调了</w:t>
      </w:r>
      <w:r w:rsidRPr="002E028E">
        <w:rPr>
          <w:rFonts w:hint="eastAsia"/>
          <w:lang w:eastAsia="zh-CN"/>
        </w:rPr>
        <w:t>2025</w:t>
      </w:r>
      <w:r w:rsidRPr="002E028E">
        <w:rPr>
          <w:rFonts w:hint="eastAsia"/>
          <w:lang w:eastAsia="zh-CN"/>
        </w:rPr>
        <w:t>年世界电信发展大会</w:t>
      </w:r>
      <w:r>
        <w:rPr>
          <w:rFonts w:hint="eastAsia"/>
          <w:lang w:eastAsia="zh-CN"/>
        </w:rPr>
        <w:t>（</w:t>
      </w:r>
      <w:r w:rsidRPr="00F74B1A">
        <w:rPr>
          <w:rFonts w:hint="eastAsia"/>
          <w:lang w:eastAsia="zh-CN"/>
        </w:rPr>
        <w:t>WTDC-25</w:t>
      </w:r>
      <w:r>
        <w:rPr>
          <w:rFonts w:hint="eastAsia"/>
          <w:lang w:eastAsia="zh-CN"/>
        </w:rPr>
        <w:t>）</w:t>
      </w:r>
      <w:r w:rsidRPr="00F74B1A">
        <w:rPr>
          <w:rFonts w:hint="eastAsia"/>
          <w:lang w:eastAsia="zh-CN"/>
        </w:rPr>
        <w:t>的成果，特别是《巴库行动计划》和</w:t>
      </w:r>
      <w:r w:rsidR="0094633F" w:rsidRPr="0094633F">
        <w:rPr>
          <w:rFonts w:hint="eastAsia"/>
          <w:lang w:eastAsia="zh-CN"/>
        </w:rPr>
        <w:t>2026-2029</w:t>
      </w:r>
      <w:r w:rsidR="0094633F" w:rsidRPr="0094633F">
        <w:rPr>
          <w:rFonts w:hint="eastAsia"/>
          <w:lang w:eastAsia="zh-CN"/>
        </w:rPr>
        <w:t>年亚太区域性举措</w:t>
      </w:r>
      <w:r w:rsidRPr="00F74B1A">
        <w:rPr>
          <w:rFonts w:hint="eastAsia"/>
          <w:lang w:eastAsia="zh-CN"/>
        </w:rPr>
        <w:t>，并介绍了国际电联亚太区域代表处的</w:t>
      </w:r>
      <w:r>
        <w:rPr>
          <w:rFonts w:hint="eastAsia"/>
          <w:lang w:eastAsia="zh-CN"/>
        </w:rPr>
        <w:t>重点工作</w:t>
      </w:r>
      <w:r w:rsidRPr="00F74B1A">
        <w:rPr>
          <w:rFonts w:hint="eastAsia"/>
          <w:lang w:eastAsia="zh-CN"/>
        </w:rPr>
        <w:t>。</w:t>
      </w:r>
    </w:p>
    <w:p w14:paraId="4201D341" w14:textId="0174A559" w:rsidR="00622881" w:rsidRDefault="00622881" w:rsidP="005573EC">
      <w:pPr>
        <w:ind w:firstLineChars="200" w:firstLine="480"/>
        <w:jc w:val="both"/>
        <w:rPr>
          <w:lang w:eastAsia="zh-CN"/>
        </w:rPr>
      </w:pPr>
      <w:r w:rsidRPr="00B54C98">
        <w:rPr>
          <w:rFonts w:hint="eastAsia"/>
          <w:lang w:eastAsia="zh-CN"/>
        </w:rPr>
        <w:t>此外，电信发展局参加</w:t>
      </w:r>
      <w:r>
        <w:rPr>
          <w:rFonts w:hint="eastAsia"/>
          <w:lang w:eastAsia="zh-CN"/>
        </w:rPr>
        <w:t>并推动</w:t>
      </w:r>
      <w:r w:rsidRPr="00B54C98">
        <w:rPr>
          <w:rFonts w:hint="eastAsia"/>
          <w:lang w:eastAsia="zh-CN"/>
        </w:rPr>
        <w:t>了</w:t>
      </w:r>
      <w:r w:rsidRPr="00B54C98">
        <w:rPr>
          <w:rFonts w:hint="eastAsia"/>
          <w:lang w:eastAsia="zh-CN"/>
        </w:rPr>
        <w:t>1</w:t>
      </w:r>
      <w:r w:rsidRPr="00B54C98">
        <w:rPr>
          <w:rFonts w:hint="eastAsia"/>
          <w:lang w:eastAsia="zh-CN"/>
        </w:rPr>
        <w:t>月</w:t>
      </w:r>
      <w:r w:rsidRPr="00B54C98">
        <w:rPr>
          <w:rFonts w:hint="eastAsia"/>
          <w:lang w:eastAsia="zh-CN"/>
        </w:rPr>
        <w:t>12</w:t>
      </w:r>
      <w:r>
        <w:rPr>
          <w:rFonts w:hint="eastAsia"/>
          <w:lang w:eastAsia="zh-CN"/>
        </w:rPr>
        <w:t>日至</w:t>
      </w:r>
      <w:r w:rsidRPr="00B54C98">
        <w:rPr>
          <w:rFonts w:hint="eastAsia"/>
          <w:lang w:eastAsia="zh-CN"/>
        </w:rPr>
        <w:t>18</w:t>
      </w:r>
      <w:r w:rsidRPr="00B54C98">
        <w:rPr>
          <w:rFonts w:hint="eastAsia"/>
          <w:lang w:eastAsia="zh-CN"/>
        </w:rPr>
        <w:t>日在越南河内举行的东盟数字</w:t>
      </w:r>
      <w:r w:rsidR="0094633F">
        <w:rPr>
          <w:rFonts w:hint="eastAsia"/>
          <w:lang w:eastAsia="zh-CN"/>
        </w:rPr>
        <w:t>高级官员</w:t>
      </w:r>
      <w:r w:rsidRPr="00B54C98">
        <w:rPr>
          <w:rFonts w:hint="eastAsia"/>
          <w:lang w:eastAsia="zh-CN"/>
        </w:rPr>
        <w:t>会议和</w:t>
      </w:r>
      <w:r w:rsidR="0094633F" w:rsidRPr="00B54C98">
        <w:rPr>
          <w:rFonts w:hint="eastAsia"/>
          <w:lang w:eastAsia="zh-CN"/>
        </w:rPr>
        <w:t>东盟数字</w:t>
      </w:r>
      <w:r w:rsidRPr="00B54C98">
        <w:rPr>
          <w:rFonts w:hint="eastAsia"/>
          <w:lang w:eastAsia="zh-CN"/>
        </w:rPr>
        <w:t>部长级会议。会议认可了电信发展局在基础设施、应急通信、网络安全、数字包容、能力</w:t>
      </w:r>
      <w:r w:rsidR="0094633F">
        <w:rPr>
          <w:rFonts w:hint="eastAsia"/>
          <w:lang w:eastAsia="zh-CN"/>
        </w:rPr>
        <w:t>建设</w:t>
      </w:r>
      <w:r w:rsidRPr="00B54C98">
        <w:rPr>
          <w:rFonts w:hint="eastAsia"/>
          <w:lang w:eastAsia="zh-CN"/>
        </w:rPr>
        <w:t>以及政策监管等关键领域向东盟国家和秘书处提供的广泛支持。会议还就未来几年新的合作</w:t>
      </w:r>
      <w:r>
        <w:rPr>
          <w:rFonts w:hint="eastAsia"/>
          <w:lang w:eastAsia="zh-CN"/>
        </w:rPr>
        <w:t>重点</w:t>
      </w:r>
      <w:r w:rsidRPr="00B54C98">
        <w:rPr>
          <w:rFonts w:hint="eastAsia"/>
          <w:lang w:eastAsia="zh-CN"/>
        </w:rPr>
        <w:t>领域达成了一致。</w:t>
      </w:r>
    </w:p>
    <w:p w14:paraId="5B123A1B" w14:textId="77777777" w:rsidR="00622881" w:rsidRPr="00B1163C" w:rsidRDefault="00622881" w:rsidP="005573EC">
      <w:pPr>
        <w:ind w:firstLineChars="200" w:firstLine="482"/>
        <w:jc w:val="both"/>
        <w:rPr>
          <w:lang w:eastAsia="zh-CN"/>
        </w:rPr>
      </w:pPr>
      <w:r w:rsidRPr="008937B8">
        <w:rPr>
          <w:rFonts w:hint="eastAsia"/>
          <w:b/>
          <w:lang w:eastAsia="zh-CN"/>
        </w:rPr>
        <w:t>在独联体国家</w:t>
      </w:r>
      <w:r w:rsidRPr="00B54C98">
        <w:rPr>
          <w:rFonts w:hint="eastAsia"/>
          <w:lang w:eastAsia="zh-CN"/>
        </w:rPr>
        <w:t>，</w:t>
      </w:r>
      <w:r w:rsidRPr="00B54C98">
        <w:rPr>
          <w:rFonts w:hint="eastAsia"/>
          <w:lang w:eastAsia="zh-CN"/>
        </w:rPr>
        <w:t>2026</w:t>
      </w:r>
      <w:r w:rsidRPr="00B54C98">
        <w:rPr>
          <w:rFonts w:hint="eastAsia"/>
          <w:lang w:eastAsia="zh-CN"/>
        </w:rPr>
        <w:t>年独联体国家区域</w:t>
      </w:r>
      <w:r>
        <w:rPr>
          <w:rFonts w:hint="eastAsia"/>
          <w:lang w:eastAsia="zh-CN"/>
        </w:rPr>
        <w:t>性</w:t>
      </w:r>
      <w:r w:rsidRPr="00B54C98">
        <w:rPr>
          <w:rFonts w:hint="eastAsia"/>
          <w:lang w:eastAsia="zh-CN"/>
        </w:rPr>
        <w:t>发展论坛（</w:t>
      </w:r>
      <w:r w:rsidRPr="00B54C98">
        <w:rPr>
          <w:rFonts w:hint="eastAsia"/>
          <w:lang w:eastAsia="zh-CN"/>
        </w:rPr>
        <w:t>RDF-CIS</w:t>
      </w:r>
      <w:r w:rsidRPr="00B54C98">
        <w:rPr>
          <w:rFonts w:hint="eastAsia"/>
          <w:lang w:eastAsia="zh-CN"/>
        </w:rPr>
        <w:t>）计划于</w:t>
      </w:r>
      <w:r w:rsidRPr="00B54C98">
        <w:rPr>
          <w:rFonts w:hint="eastAsia"/>
          <w:lang w:eastAsia="zh-CN"/>
        </w:rPr>
        <w:t>9</w:t>
      </w:r>
      <w:r w:rsidRPr="00B54C98">
        <w:rPr>
          <w:rFonts w:hint="eastAsia"/>
          <w:lang w:eastAsia="zh-CN"/>
        </w:rPr>
        <w:t>月</w:t>
      </w:r>
      <w:r w:rsidRPr="00B54C98">
        <w:rPr>
          <w:rFonts w:hint="eastAsia"/>
          <w:lang w:eastAsia="zh-CN"/>
        </w:rPr>
        <w:t>29</w:t>
      </w:r>
      <w:r w:rsidRPr="00B54C98">
        <w:rPr>
          <w:rFonts w:hint="eastAsia"/>
          <w:lang w:eastAsia="zh-CN"/>
        </w:rPr>
        <w:t>日至</w:t>
      </w:r>
      <w:r w:rsidRPr="00B54C98">
        <w:rPr>
          <w:rFonts w:hint="eastAsia"/>
          <w:lang w:eastAsia="zh-CN"/>
        </w:rPr>
        <w:t>30</w:t>
      </w:r>
      <w:r w:rsidRPr="00B54C98">
        <w:rPr>
          <w:rFonts w:hint="eastAsia"/>
          <w:lang w:eastAsia="zh-CN"/>
        </w:rPr>
        <w:t>日在塔吉克斯坦杜尚别举行。</w:t>
      </w:r>
    </w:p>
    <w:p w14:paraId="654C0150" w14:textId="1CFE7E6E" w:rsidR="00622881" w:rsidRDefault="00622881" w:rsidP="005573EC">
      <w:pPr>
        <w:ind w:firstLineChars="200" w:firstLine="482"/>
        <w:jc w:val="both"/>
        <w:rPr>
          <w:bCs/>
          <w:lang w:eastAsia="zh-CN"/>
        </w:rPr>
      </w:pPr>
      <w:r w:rsidRPr="00C00A8E">
        <w:rPr>
          <w:rFonts w:hint="eastAsia"/>
          <w:b/>
          <w:bCs/>
          <w:lang w:eastAsia="zh-CN"/>
        </w:rPr>
        <w:t>在欧洲</w:t>
      </w:r>
      <w:r w:rsidR="00C01DE1">
        <w:rPr>
          <w:rFonts w:hint="eastAsia"/>
          <w:b/>
          <w:bCs/>
          <w:lang w:eastAsia="zh-CN"/>
        </w:rPr>
        <w:t>地区</w:t>
      </w:r>
      <w:r w:rsidRPr="00187E62">
        <w:rPr>
          <w:rFonts w:hint="eastAsia"/>
          <w:bCs/>
          <w:lang w:eastAsia="zh-CN"/>
        </w:rPr>
        <w:t>，电信发展局与欧洲邮电主管部门大会（</w:t>
      </w:r>
      <w:r w:rsidRPr="00187E62">
        <w:rPr>
          <w:bCs/>
          <w:lang w:eastAsia="zh-CN"/>
        </w:rPr>
        <w:t>CEPT</w:t>
      </w:r>
      <w:r w:rsidRPr="00187E62">
        <w:rPr>
          <w:rFonts w:hint="eastAsia"/>
          <w:bCs/>
          <w:lang w:eastAsia="zh-CN"/>
        </w:rPr>
        <w:t>）密切合作</w:t>
      </w:r>
      <w:r>
        <w:rPr>
          <w:rFonts w:hint="eastAsia"/>
          <w:bCs/>
          <w:lang w:eastAsia="zh-CN"/>
        </w:rPr>
        <w:t>组织了</w:t>
      </w:r>
      <w:hyperlink r:id="rId28" w:history="1">
        <w:r w:rsidRPr="00187E62">
          <w:rPr>
            <w:rStyle w:val="Hyperlink"/>
            <w:rFonts w:hint="eastAsia"/>
            <w:bCs/>
            <w:lang w:eastAsia="zh-CN"/>
          </w:rPr>
          <w:t>欧洲区域</w:t>
        </w:r>
        <w:r w:rsidRPr="005F0CCB">
          <w:rPr>
            <w:rStyle w:val="Hyperlink"/>
            <w:rFonts w:hint="eastAsia"/>
            <w:bCs/>
            <w:lang w:eastAsia="zh-CN"/>
          </w:rPr>
          <w:t>性</w:t>
        </w:r>
        <w:r w:rsidRPr="00187E62">
          <w:rPr>
            <w:rStyle w:val="Hyperlink"/>
            <w:rFonts w:hint="eastAsia"/>
            <w:bCs/>
            <w:lang w:eastAsia="zh-CN"/>
          </w:rPr>
          <w:t>发展论坛（</w:t>
        </w:r>
        <w:r w:rsidRPr="00187E62">
          <w:rPr>
            <w:rStyle w:val="Hyperlink"/>
            <w:bCs/>
            <w:lang w:eastAsia="zh-CN"/>
          </w:rPr>
          <w:t>RDF-EUR</w:t>
        </w:r>
        <w:r w:rsidRPr="00187E62">
          <w:rPr>
            <w:rStyle w:val="Hyperlink"/>
            <w:rFonts w:hint="eastAsia"/>
            <w:bCs/>
            <w:lang w:eastAsia="zh-CN"/>
          </w:rPr>
          <w:t>）</w:t>
        </w:r>
      </w:hyperlink>
      <w:r>
        <w:rPr>
          <w:rFonts w:hint="eastAsia"/>
          <w:bCs/>
          <w:lang w:eastAsia="zh-CN"/>
        </w:rPr>
        <w:t>，并</w:t>
      </w:r>
      <w:r w:rsidRPr="00187E62">
        <w:rPr>
          <w:rFonts w:hint="eastAsia"/>
          <w:bCs/>
          <w:lang w:eastAsia="zh-CN"/>
        </w:rPr>
        <w:t>由捷克共和国工业和贸易部主办。该论坛于</w:t>
      </w:r>
      <w:r w:rsidRPr="00187E62">
        <w:rPr>
          <w:bCs/>
          <w:lang w:eastAsia="zh-CN"/>
        </w:rPr>
        <w:t>3</w:t>
      </w:r>
      <w:r w:rsidRPr="00187E62">
        <w:rPr>
          <w:rFonts w:hint="eastAsia"/>
          <w:bCs/>
          <w:lang w:eastAsia="zh-CN"/>
        </w:rPr>
        <w:t>月</w:t>
      </w:r>
      <w:r w:rsidRPr="00187E62">
        <w:rPr>
          <w:bCs/>
          <w:lang w:eastAsia="zh-CN"/>
        </w:rPr>
        <w:t>24</w:t>
      </w:r>
      <w:r w:rsidRPr="00187E62">
        <w:rPr>
          <w:rFonts w:hint="eastAsia"/>
          <w:bCs/>
          <w:lang w:eastAsia="zh-CN"/>
        </w:rPr>
        <w:t>日在捷克共和国布拉格以混合形式举行，</w:t>
      </w:r>
      <w:r w:rsidR="0042281B" w:rsidRPr="0042281B">
        <w:rPr>
          <w:rFonts w:hint="eastAsia"/>
          <w:bCs/>
          <w:lang w:eastAsia="zh-CN"/>
        </w:rPr>
        <w:t>紧接</w:t>
      </w:r>
      <w:r w:rsidRPr="00187E62">
        <w:rPr>
          <w:bCs/>
          <w:lang w:eastAsia="zh-CN"/>
        </w:rPr>
        <w:t>CEPT</w:t>
      </w:r>
      <w:r w:rsidRPr="00187E62">
        <w:rPr>
          <w:rFonts w:hint="eastAsia"/>
          <w:bCs/>
          <w:lang w:eastAsia="zh-CN"/>
        </w:rPr>
        <w:t>国际电</w:t>
      </w:r>
      <w:proofErr w:type="gramStart"/>
      <w:r w:rsidRPr="00187E62">
        <w:rPr>
          <w:rFonts w:hint="eastAsia"/>
          <w:bCs/>
          <w:lang w:eastAsia="zh-CN"/>
        </w:rPr>
        <w:t>联政策</w:t>
      </w:r>
      <w:proofErr w:type="gramEnd"/>
      <w:r w:rsidRPr="00187E62">
        <w:rPr>
          <w:rFonts w:hint="eastAsia"/>
          <w:bCs/>
          <w:lang w:eastAsia="zh-CN"/>
        </w:rPr>
        <w:t>委员会（</w:t>
      </w:r>
      <w:r w:rsidRPr="00187E62">
        <w:rPr>
          <w:bCs/>
          <w:lang w:eastAsia="zh-CN"/>
        </w:rPr>
        <w:t>Com-ITU</w:t>
      </w:r>
      <w:r w:rsidRPr="00187E62">
        <w:rPr>
          <w:rFonts w:hint="eastAsia"/>
          <w:bCs/>
          <w:lang w:eastAsia="zh-CN"/>
        </w:rPr>
        <w:t>）会议</w:t>
      </w:r>
      <w:r w:rsidR="0042281B" w:rsidRPr="0042281B">
        <w:rPr>
          <w:rFonts w:hint="eastAsia"/>
          <w:bCs/>
          <w:lang w:eastAsia="zh-CN"/>
        </w:rPr>
        <w:t>之后</w:t>
      </w:r>
      <w:r>
        <w:rPr>
          <w:rFonts w:hint="eastAsia"/>
          <w:bCs/>
          <w:lang w:eastAsia="zh-CN"/>
        </w:rPr>
        <w:t>举办</w:t>
      </w:r>
      <w:r w:rsidRPr="00187E62">
        <w:rPr>
          <w:rFonts w:hint="eastAsia"/>
          <w:bCs/>
          <w:lang w:eastAsia="zh-CN"/>
        </w:rPr>
        <w:t>。</w:t>
      </w:r>
      <w:r w:rsidRPr="00187E62">
        <w:rPr>
          <w:bCs/>
          <w:lang w:eastAsia="zh-CN"/>
        </w:rPr>
        <w:t>2026</w:t>
      </w:r>
      <w:r w:rsidRPr="00187E62">
        <w:rPr>
          <w:rFonts w:hint="eastAsia"/>
          <w:bCs/>
          <w:lang w:eastAsia="zh-CN"/>
        </w:rPr>
        <w:t>年</w:t>
      </w:r>
      <w:r w:rsidRPr="00187E62">
        <w:rPr>
          <w:bCs/>
          <w:lang w:eastAsia="zh-CN"/>
        </w:rPr>
        <w:t>3</w:t>
      </w:r>
      <w:r w:rsidRPr="00187E62">
        <w:rPr>
          <w:rFonts w:hint="eastAsia"/>
          <w:bCs/>
          <w:lang w:eastAsia="zh-CN"/>
        </w:rPr>
        <w:t>月</w:t>
      </w:r>
      <w:r w:rsidRPr="00187E62">
        <w:rPr>
          <w:bCs/>
          <w:lang w:eastAsia="zh-CN"/>
        </w:rPr>
        <w:t>24</w:t>
      </w:r>
      <w:r w:rsidRPr="00187E62">
        <w:rPr>
          <w:rFonts w:hint="eastAsia"/>
          <w:bCs/>
          <w:lang w:eastAsia="zh-CN"/>
        </w:rPr>
        <w:t>日在捷克共和国布拉格举行的国际电联年度</w:t>
      </w:r>
      <w:r w:rsidRPr="00187E62">
        <w:rPr>
          <w:bCs/>
          <w:lang w:eastAsia="zh-CN"/>
        </w:rPr>
        <w:t>RDF-EUR</w:t>
      </w:r>
      <w:r>
        <w:rPr>
          <w:rFonts w:hint="eastAsia"/>
          <w:bCs/>
          <w:lang w:eastAsia="zh-CN"/>
        </w:rPr>
        <w:t>吸引了</w:t>
      </w:r>
      <w:r w:rsidRPr="00187E62">
        <w:rPr>
          <w:rFonts w:hint="eastAsia"/>
          <w:bCs/>
          <w:lang w:eastAsia="zh-CN"/>
        </w:rPr>
        <w:t>来自</w:t>
      </w:r>
      <w:r w:rsidRPr="00187E62">
        <w:rPr>
          <w:bCs/>
          <w:lang w:eastAsia="zh-CN"/>
        </w:rPr>
        <w:t>26</w:t>
      </w:r>
      <w:r w:rsidRPr="00187E62">
        <w:rPr>
          <w:rFonts w:hint="eastAsia"/>
          <w:bCs/>
          <w:lang w:eastAsia="zh-CN"/>
        </w:rPr>
        <w:t>个成员国、区域组织、联合国专门机构、部门成员、学术界和其他利益攸关方的</w:t>
      </w:r>
      <w:r w:rsidRPr="00187E62">
        <w:rPr>
          <w:bCs/>
          <w:lang w:eastAsia="zh-CN"/>
        </w:rPr>
        <w:t>80</w:t>
      </w:r>
      <w:r w:rsidRPr="00187E62">
        <w:rPr>
          <w:rFonts w:hint="eastAsia"/>
          <w:bCs/>
          <w:lang w:eastAsia="zh-CN"/>
        </w:rPr>
        <w:t>多名</w:t>
      </w:r>
      <w:r>
        <w:rPr>
          <w:rFonts w:hint="eastAsia"/>
          <w:bCs/>
          <w:lang w:eastAsia="zh-CN"/>
        </w:rPr>
        <w:t>代表参会</w:t>
      </w:r>
      <w:r w:rsidRPr="00187E62">
        <w:rPr>
          <w:rFonts w:hint="eastAsia"/>
          <w:bCs/>
          <w:lang w:eastAsia="zh-CN"/>
        </w:rPr>
        <w:t>，</w:t>
      </w:r>
      <w:r w:rsidR="0042281B" w:rsidRPr="0042281B">
        <w:rPr>
          <w:rFonts w:hint="eastAsia"/>
          <w:bCs/>
          <w:lang w:eastAsia="zh-CN"/>
        </w:rPr>
        <w:t>共同商讨</w:t>
      </w:r>
      <w:r w:rsidRPr="00187E62">
        <w:rPr>
          <w:rFonts w:hint="eastAsia"/>
          <w:bCs/>
          <w:lang w:eastAsia="zh-CN"/>
        </w:rPr>
        <w:t>区域</w:t>
      </w:r>
      <w:r>
        <w:rPr>
          <w:rFonts w:hint="eastAsia"/>
          <w:bCs/>
          <w:lang w:eastAsia="zh-CN"/>
        </w:rPr>
        <w:t>发展优先事项</w:t>
      </w:r>
      <w:r w:rsidRPr="00187E62">
        <w:rPr>
          <w:rFonts w:hint="eastAsia"/>
          <w:bCs/>
          <w:lang w:eastAsia="zh-CN"/>
        </w:rPr>
        <w:t>以及</w:t>
      </w:r>
      <w:r w:rsidRPr="00187E62">
        <w:rPr>
          <w:bCs/>
          <w:lang w:eastAsia="zh-CN"/>
        </w:rPr>
        <w:t>WTDC-25</w:t>
      </w:r>
      <w:r w:rsidRPr="00187E62">
        <w:rPr>
          <w:rFonts w:hint="eastAsia"/>
          <w:bCs/>
          <w:lang w:eastAsia="zh-CN"/>
        </w:rPr>
        <w:t>通过的新区域性举措的实施情况。论坛最后</w:t>
      </w:r>
      <w:r>
        <w:rPr>
          <w:rFonts w:hint="eastAsia"/>
          <w:bCs/>
          <w:lang w:eastAsia="zh-CN"/>
        </w:rPr>
        <w:t>形成了</w:t>
      </w:r>
      <w:r w:rsidRPr="00187E62">
        <w:rPr>
          <w:rFonts w:hint="eastAsia"/>
          <w:bCs/>
          <w:lang w:eastAsia="zh-CN"/>
        </w:rPr>
        <w:t>国际电联欧洲区域性举措</w:t>
      </w:r>
      <w:r w:rsidR="0042281B" w:rsidRPr="00187E62">
        <w:rPr>
          <w:rFonts w:hint="eastAsia"/>
          <w:bCs/>
          <w:lang w:eastAsia="zh-CN"/>
        </w:rPr>
        <w:t>实施</w:t>
      </w:r>
      <w:r w:rsidRPr="00187E62">
        <w:rPr>
          <w:rFonts w:hint="eastAsia"/>
          <w:bCs/>
          <w:lang w:eastAsia="zh-CN"/>
        </w:rPr>
        <w:t>路线图</w:t>
      </w:r>
      <w:r>
        <w:rPr>
          <w:rFonts w:hint="eastAsia"/>
          <w:bCs/>
          <w:lang w:eastAsia="zh-CN"/>
        </w:rPr>
        <w:t>，为落实</w:t>
      </w:r>
      <w:r w:rsidRPr="00187E62">
        <w:rPr>
          <w:bCs/>
          <w:lang w:eastAsia="zh-CN"/>
        </w:rPr>
        <w:t>WTDC-25</w:t>
      </w:r>
      <w:r w:rsidRPr="00187E62">
        <w:rPr>
          <w:rFonts w:hint="eastAsia"/>
          <w:bCs/>
          <w:lang w:eastAsia="zh-CN"/>
        </w:rPr>
        <w:t>《巴库行动计划》中通过的区域性举措</w:t>
      </w:r>
      <w:r>
        <w:rPr>
          <w:rFonts w:hint="eastAsia"/>
          <w:bCs/>
          <w:lang w:eastAsia="zh-CN"/>
        </w:rPr>
        <w:t>提供总体指导</w:t>
      </w:r>
      <w:r w:rsidRPr="00187E62">
        <w:rPr>
          <w:rFonts w:hint="eastAsia"/>
          <w:bCs/>
          <w:lang w:eastAsia="zh-CN"/>
        </w:rPr>
        <w:t>。欧洲区域性举措侧重于数字基础设施、数字化转型、数字包容性和技能发展、网络安全和数字创新。会议</w:t>
      </w:r>
      <w:r w:rsidR="0042281B" w:rsidRPr="0042281B">
        <w:rPr>
          <w:rFonts w:hint="eastAsia"/>
          <w:bCs/>
          <w:lang w:eastAsia="zh-CN"/>
        </w:rPr>
        <w:t>期间</w:t>
      </w:r>
      <w:r w:rsidRPr="00187E62">
        <w:rPr>
          <w:rFonts w:hint="eastAsia"/>
          <w:bCs/>
          <w:lang w:eastAsia="zh-CN"/>
        </w:rPr>
        <w:t>讨论</w:t>
      </w:r>
      <w:r>
        <w:rPr>
          <w:rFonts w:hint="eastAsia"/>
          <w:bCs/>
          <w:lang w:eastAsia="zh-CN"/>
        </w:rPr>
        <w:t>并</w:t>
      </w:r>
      <w:r w:rsidRPr="00187E62">
        <w:rPr>
          <w:rFonts w:hint="eastAsia"/>
          <w:bCs/>
          <w:lang w:eastAsia="zh-CN"/>
        </w:rPr>
        <w:t>审议了</w:t>
      </w:r>
      <w:r w:rsidRPr="00187E62">
        <w:rPr>
          <w:bCs/>
          <w:lang w:eastAsia="zh-CN"/>
        </w:rPr>
        <w:t>60</w:t>
      </w:r>
      <w:r w:rsidRPr="00187E62">
        <w:rPr>
          <w:rFonts w:hint="eastAsia"/>
          <w:bCs/>
          <w:lang w:eastAsia="zh-CN"/>
        </w:rPr>
        <w:t>多份书面文稿，</w:t>
      </w:r>
      <w:r w:rsidR="0042281B" w:rsidRPr="0042281B">
        <w:rPr>
          <w:rFonts w:hint="eastAsia"/>
          <w:bCs/>
          <w:lang w:eastAsia="zh-CN"/>
        </w:rPr>
        <w:t>促成</w:t>
      </w:r>
      <w:r w:rsidRPr="00187E62">
        <w:rPr>
          <w:rFonts w:hint="eastAsia"/>
          <w:bCs/>
          <w:lang w:eastAsia="zh-CN"/>
        </w:rPr>
        <w:t>了</w:t>
      </w:r>
      <w:r w:rsidRPr="003D51F3">
        <w:rPr>
          <w:rFonts w:hint="eastAsia"/>
          <w:bCs/>
          <w:lang w:eastAsia="zh-CN"/>
        </w:rPr>
        <w:t>多个利益攸关多方</w:t>
      </w:r>
      <w:r w:rsidRPr="00187E62">
        <w:rPr>
          <w:rFonts w:hint="eastAsia"/>
          <w:bCs/>
          <w:lang w:eastAsia="zh-CN"/>
        </w:rPr>
        <w:t>伙伴关系。</w:t>
      </w:r>
      <w:r w:rsidR="0042281B" w:rsidRPr="0042281B">
        <w:rPr>
          <w:rFonts w:hint="eastAsia"/>
          <w:bCs/>
          <w:lang w:eastAsia="zh-CN"/>
        </w:rPr>
        <w:t>这些成果在</w:t>
      </w:r>
      <w:r w:rsidRPr="00187E62">
        <w:rPr>
          <w:rFonts w:hint="eastAsia"/>
          <w:bCs/>
          <w:lang w:eastAsia="zh-CN"/>
        </w:rPr>
        <w:t>区域伙伴关系促进互联互通圆桌会议</w:t>
      </w:r>
      <w:r w:rsidR="0022031C" w:rsidRPr="0042281B">
        <w:rPr>
          <w:rFonts w:hint="eastAsia"/>
          <w:bCs/>
          <w:lang w:eastAsia="zh-CN"/>
        </w:rPr>
        <w:t>上进行了展示</w:t>
      </w:r>
      <w:r w:rsidRPr="00187E62">
        <w:rPr>
          <w:rFonts w:hint="eastAsia"/>
          <w:bCs/>
          <w:lang w:eastAsia="zh-CN"/>
        </w:rPr>
        <w:t>，并</w:t>
      </w:r>
      <w:r w:rsidR="0022031C" w:rsidRPr="0042281B">
        <w:rPr>
          <w:rFonts w:hint="eastAsia"/>
          <w:bCs/>
          <w:lang w:eastAsia="zh-CN"/>
        </w:rPr>
        <w:t>正式</w:t>
      </w:r>
      <w:r w:rsidRPr="00187E62">
        <w:rPr>
          <w:rFonts w:hint="eastAsia"/>
          <w:bCs/>
          <w:lang w:eastAsia="zh-CN"/>
        </w:rPr>
        <w:t>纳入了欧洲区域路线图。</w:t>
      </w:r>
    </w:p>
    <w:p w14:paraId="08A4E81C" w14:textId="77777777" w:rsidR="00622881" w:rsidRPr="00BC2B7C" w:rsidRDefault="00622881" w:rsidP="005573EC">
      <w:pPr>
        <w:pStyle w:val="Heading3"/>
        <w:spacing w:before="120"/>
        <w:ind w:left="1132" w:hangingChars="470" w:hanging="1132"/>
        <w:jc w:val="both"/>
        <w:rPr>
          <w:rFonts w:cstheme="minorHAnsi"/>
          <w:bCs/>
          <w:color w:val="000000"/>
          <w:szCs w:val="24"/>
          <w:lang w:eastAsia="zh-CN"/>
        </w:rPr>
      </w:pPr>
      <w:r w:rsidRPr="00BC2B7C">
        <w:rPr>
          <w:rFonts w:cstheme="minorHAnsi" w:hint="eastAsia"/>
          <w:bCs/>
          <w:color w:val="000000"/>
          <w:szCs w:val="24"/>
          <w:lang w:eastAsia="zh-CN"/>
        </w:rPr>
        <w:lastRenderedPageBreak/>
        <w:t>ITU-D</w:t>
      </w:r>
      <w:r w:rsidRPr="00BC2B7C">
        <w:rPr>
          <w:rFonts w:cstheme="minorHAnsi" w:hint="eastAsia"/>
          <w:bCs/>
          <w:color w:val="000000"/>
          <w:szCs w:val="24"/>
          <w:lang w:eastAsia="zh-CN"/>
        </w:rPr>
        <w:t>项目</w:t>
      </w:r>
    </w:p>
    <w:p w14:paraId="39692C00" w14:textId="4EDFA36C" w:rsidR="00622881" w:rsidRPr="006776C2" w:rsidRDefault="00622881" w:rsidP="005573EC">
      <w:pPr>
        <w:ind w:firstLineChars="200" w:firstLine="480"/>
        <w:jc w:val="both"/>
        <w:rPr>
          <w:lang w:eastAsia="zh-CN"/>
        </w:rPr>
      </w:pPr>
      <w:r w:rsidRPr="00DF511A">
        <w:rPr>
          <w:rFonts w:hint="eastAsia"/>
          <w:lang w:eastAsia="zh-CN"/>
        </w:rPr>
        <w:t>自</w:t>
      </w:r>
      <w:r w:rsidRPr="00DF511A">
        <w:rPr>
          <w:rFonts w:hint="eastAsia"/>
          <w:lang w:eastAsia="zh-CN"/>
        </w:rPr>
        <w:t>2026</w:t>
      </w:r>
      <w:r w:rsidRPr="00DF511A">
        <w:rPr>
          <w:rFonts w:hint="eastAsia"/>
          <w:lang w:eastAsia="zh-CN"/>
        </w:rPr>
        <w:t>年</w:t>
      </w:r>
      <w:r w:rsidRPr="00DF511A">
        <w:rPr>
          <w:rFonts w:hint="eastAsia"/>
          <w:lang w:eastAsia="zh-CN"/>
        </w:rPr>
        <w:t>1</w:t>
      </w:r>
      <w:r w:rsidRPr="00DF511A">
        <w:rPr>
          <w:rFonts w:hint="eastAsia"/>
          <w:lang w:eastAsia="zh-CN"/>
        </w:rPr>
        <w:t>月以来，</w:t>
      </w:r>
      <w:r>
        <w:rPr>
          <w:rFonts w:hint="eastAsia"/>
          <w:lang w:eastAsia="zh-CN"/>
        </w:rPr>
        <w:t>共</w:t>
      </w:r>
      <w:r w:rsidRPr="00DF511A">
        <w:rPr>
          <w:rFonts w:hint="eastAsia"/>
          <w:lang w:eastAsia="zh-CN"/>
        </w:rPr>
        <w:t>签署</w:t>
      </w:r>
      <w:r>
        <w:rPr>
          <w:rFonts w:hint="eastAsia"/>
          <w:lang w:eastAsia="zh-CN"/>
        </w:rPr>
        <w:t>了</w:t>
      </w:r>
      <w:r w:rsidRPr="00DF511A">
        <w:rPr>
          <w:rFonts w:hint="eastAsia"/>
          <w:lang w:eastAsia="zh-CN"/>
        </w:rPr>
        <w:t>4</w:t>
      </w:r>
      <w:r w:rsidRPr="00DF511A">
        <w:rPr>
          <w:rFonts w:hint="eastAsia"/>
          <w:lang w:eastAsia="zh-CN"/>
        </w:rPr>
        <w:t>个新项目，</w:t>
      </w:r>
      <w:r w:rsidR="0022031C">
        <w:rPr>
          <w:rFonts w:hint="eastAsia"/>
          <w:lang w:eastAsia="zh-CN"/>
        </w:rPr>
        <w:t>总</w:t>
      </w:r>
      <w:r w:rsidRPr="00DF511A">
        <w:rPr>
          <w:rFonts w:hint="eastAsia"/>
          <w:lang w:eastAsia="zh-CN"/>
        </w:rPr>
        <w:t>价值</w:t>
      </w:r>
      <w:r w:rsidR="0022031C">
        <w:rPr>
          <w:rFonts w:hint="eastAsia"/>
          <w:lang w:eastAsia="zh-CN"/>
        </w:rPr>
        <w:t>达</w:t>
      </w:r>
      <w:r w:rsidRPr="00DF511A">
        <w:rPr>
          <w:rFonts w:hint="eastAsia"/>
          <w:lang w:eastAsia="zh-CN"/>
        </w:rPr>
        <w:t>622,4</w:t>
      </w:r>
      <w:r w:rsidRPr="001963DA">
        <w:rPr>
          <w:rFonts w:hint="eastAsia"/>
          <w:lang w:eastAsia="zh-CN"/>
        </w:rPr>
        <w:t>09</w:t>
      </w:r>
      <w:r w:rsidR="00DB4A38" w:rsidRPr="00713809">
        <w:rPr>
          <w:rFonts w:hint="eastAsia"/>
          <w:lang w:eastAsia="zh-CN"/>
        </w:rPr>
        <w:t>瑞郎</w:t>
      </w:r>
      <w:r w:rsidRPr="001963DA">
        <w:rPr>
          <w:rFonts w:hint="eastAsia"/>
          <w:lang w:eastAsia="zh-CN"/>
        </w:rPr>
        <w:t>；同时签署了</w:t>
      </w:r>
      <w:r w:rsidRPr="001963DA">
        <w:rPr>
          <w:rFonts w:hint="eastAsia"/>
          <w:lang w:eastAsia="zh-CN"/>
        </w:rPr>
        <w:t>12</w:t>
      </w:r>
      <w:r w:rsidRPr="001963DA">
        <w:rPr>
          <w:rFonts w:hint="eastAsia"/>
          <w:lang w:eastAsia="zh-CN"/>
        </w:rPr>
        <w:t>份</w:t>
      </w:r>
      <w:r w:rsidR="0022031C" w:rsidRPr="001963DA">
        <w:rPr>
          <w:rFonts w:hint="eastAsia"/>
          <w:lang w:eastAsia="zh-CN"/>
        </w:rPr>
        <w:t>项目</w:t>
      </w:r>
      <w:r w:rsidRPr="001963DA">
        <w:rPr>
          <w:rFonts w:hint="eastAsia"/>
          <w:lang w:eastAsia="zh-CN"/>
        </w:rPr>
        <w:t>补遗，价值</w:t>
      </w:r>
      <w:r w:rsidR="0022031C" w:rsidRPr="001963DA">
        <w:rPr>
          <w:rFonts w:hint="eastAsia"/>
          <w:lang w:eastAsia="zh-CN"/>
        </w:rPr>
        <w:t>为</w:t>
      </w:r>
      <w:r w:rsidRPr="001963DA">
        <w:rPr>
          <w:rFonts w:hint="eastAsia"/>
          <w:lang w:eastAsia="zh-CN"/>
        </w:rPr>
        <w:t>612,012</w:t>
      </w:r>
      <w:r w:rsidR="00DB4A38" w:rsidRPr="00713809">
        <w:rPr>
          <w:rFonts w:hint="eastAsia"/>
          <w:lang w:eastAsia="zh-CN"/>
        </w:rPr>
        <w:t>瑞郎</w:t>
      </w:r>
      <w:r w:rsidRPr="001963DA">
        <w:rPr>
          <w:rFonts w:hint="eastAsia"/>
          <w:lang w:eastAsia="zh-CN"/>
        </w:rPr>
        <w:t>。</w:t>
      </w:r>
      <w:r w:rsidR="0022031C" w:rsidRPr="001963DA">
        <w:rPr>
          <w:lang w:eastAsia="zh-CN"/>
        </w:rPr>
        <w:t>截至目前，</w:t>
      </w:r>
      <w:r w:rsidRPr="001963DA">
        <w:rPr>
          <w:rFonts w:hint="eastAsia"/>
          <w:lang w:eastAsia="zh-CN"/>
        </w:rPr>
        <w:t>项目筹</w:t>
      </w:r>
      <w:r w:rsidR="0022031C" w:rsidRPr="001963DA">
        <w:rPr>
          <w:rFonts w:hint="eastAsia"/>
          <w:lang w:eastAsia="zh-CN"/>
        </w:rPr>
        <w:t>资</w:t>
      </w:r>
      <w:r w:rsidRPr="001963DA">
        <w:rPr>
          <w:rFonts w:hint="eastAsia"/>
          <w:lang w:eastAsia="zh-CN"/>
        </w:rPr>
        <w:t>总额已达</w:t>
      </w:r>
      <w:r w:rsidRPr="001963DA">
        <w:rPr>
          <w:rFonts w:hint="eastAsia"/>
          <w:lang w:eastAsia="zh-CN"/>
        </w:rPr>
        <w:t>123</w:t>
      </w:r>
      <w:proofErr w:type="gramStart"/>
      <w:r w:rsidRPr="001963DA">
        <w:rPr>
          <w:rFonts w:hint="eastAsia"/>
          <w:lang w:eastAsia="zh-CN"/>
        </w:rPr>
        <w:t>万</w:t>
      </w:r>
      <w:r w:rsidR="00DB4A38" w:rsidRPr="00713809">
        <w:rPr>
          <w:rFonts w:hint="eastAsia"/>
          <w:lang w:eastAsia="zh-CN"/>
        </w:rPr>
        <w:t>瑞</w:t>
      </w:r>
      <w:proofErr w:type="gramEnd"/>
      <w:r w:rsidR="00DB4A38" w:rsidRPr="00713809">
        <w:rPr>
          <w:rFonts w:hint="eastAsia"/>
          <w:lang w:eastAsia="zh-CN"/>
        </w:rPr>
        <w:t>郎</w:t>
      </w:r>
      <w:r w:rsidRPr="00DF511A">
        <w:rPr>
          <w:rFonts w:hint="eastAsia"/>
          <w:lang w:eastAsia="zh-CN"/>
        </w:rPr>
        <w:t>。总体而言，</w:t>
      </w:r>
      <w:r>
        <w:rPr>
          <w:rFonts w:hint="eastAsia"/>
          <w:lang w:eastAsia="zh-CN"/>
        </w:rPr>
        <w:t>这些</w:t>
      </w:r>
      <w:r w:rsidRPr="00DF511A">
        <w:rPr>
          <w:rFonts w:hint="eastAsia"/>
          <w:lang w:eastAsia="zh-CN"/>
        </w:rPr>
        <w:t>项目已</w:t>
      </w:r>
      <w:r>
        <w:rPr>
          <w:rFonts w:hint="eastAsia"/>
          <w:lang w:eastAsia="zh-CN"/>
        </w:rPr>
        <w:t>开始推动</w:t>
      </w:r>
      <w:r w:rsidRPr="00DF511A">
        <w:rPr>
          <w:rFonts w:hint="eastAsia"/>
          <w:lang w:eastAsia="zh-CN"/>
        </w:rPr>
        <w:t>落实</w:t>
      </w:r>
      <w:r w:rsidRPr="00DF511A">
        <w:rPr>
          <w:rFonts w:hint="eastAsia"/>
          <w:lang w:eastAsia="zh-CN"/>
        </w:rPr>
        <w:t>WTDC-25</w:t>
      </w:r>
      <w:r w:rsidRPr="00DF511A">
        <w:rPr>
          <w:rFonts w:hint="eastAsia"/>
          <w:lang w:eastAsia="zh-CN"/>
        </w:rPr>
        <w:t>的成果，特别是在数字包容性、网络安全以及政策监管等主题领域。参与的合作伙伴包括塞内加尔</w:t>
      </w:r>
      <w:r w:rsidRPr="00CB2EF0">
        <w:rPr>
          <w:rFonts w:hint="eastAsia"/>
          <w:lang w:eastAsia="zh-CN"/>
        </w:rPr>
        <w:t>电信和邮政管理局</w:t>
      </w:r>
      <w:r>
        <w:rPr>
          <w:rFonts w:hint="eastAsia"/>
          <w:lang w:eastAsia="zh-CN"/>
        </w:rPr>
        <w:t>（</w:t>
      </w:r>
      <w:r w:rsidRPr="00DF511A">
        <w:rPr>
          <w:rFonts w:hint="eastAsia"/>
          <w:lang w:eastAsia="zh-CN"/>
        </w:rPr>
        <w:t>ARTP</w:t>
      </w:r>
      <w:r>
        <w:rPr>
          <w:rFonts w:hint="eastAsia"/>
          <w:lang w:eastAsia="zh-CN"/>
        </w:rPr>
        <w:t>）</w:t>
      </w:r>
      <w:r w:rsidRPr="00DF511A">
        <w:rPr>
          <w:rFonts w:hint="eastAsia"/>
          <w:lang w:eastAsia="zh-CN"/>
        </w:rPr>
        <w:t>、约旦</w:t>
      </w:r>
      <w:r w:rsidRPr="007308AF">
        <w:rPr>
          <w:rFonts w:hint="eastAsia"/>
          <w:lang w:eastAsia="zh-CN"/>
        </w:rPr>
        <w:t>电信监管委员会</w:t>
      </w:r>
      <w:r>
        <w:rPr>
          <w:rFonts w:hint="eastAsia"/>
          <w:lang w:eastAsia="zh-CN"/>
        </w:rPr>
        <w:t>（</w:t>
      </w:r>
      <w:r w:rsidRPr="00DF511A">
        <w:rPr>
          <w:rFonts w:hint="eastAsia"/>
          <w:lang w:eastAsia="zh-CN"/>
        </w:rPr>
        <w:t>TRC</w:t>
      </w:r>
      <w:r>
        <w:rPr>
          <w:rFonts w:hint="eastAsia"/>
          <w:lang w:eastAsia="zh-CN"/>
        </w:rPr>
        <w:t>）</w:t>
      </w:r>
      <w:r w:rsidR="0022031C">
        <w:rPr>
          <w:rFonts w:hint="eastAsia"/>
          <w:lang w:eastAsia="zh-CN"/>
        </w:rPr>
        <w:t>以及英国</w:t>
      </w:r>
      <w:r w:rsidRPr="005A4679">
        <w:rPr>
          <w:rFonts w:hint="eastAsia"/>
          <w:lang w:eastAsia="zh-CN"/>
        </w:rPr>
        <w:t>外交、联邦和发展事务部</w:t>
      </w:r>
      <w:r>
        <w:rPr>
          <w:rFonts w:hint="eastAsia"/>
          <w:lang w:eastAsia="zh-CN"/>
        </w:rPr>
        <w:t>（</w:t>
      </w:r>
      <w:r w:rsidRPr="00DF511A">
        <w:rPr>
          <w:rFonts w:hint="eastAsia"/>
          <w:lang w:eastAsia="zh-CN"/>
        </w:rPr>
        <w:t>FCDO</w:t>
      </w:r>
      <w:r>
        <w:rPr>
          <w:rFonts w:hint="eastAsia"/>
          <w:lang w:eastAsia="zh-CN"/>
        </w:rPr>
        <w:t>）</w:t>
      </w:r>
      <w:r w:rsidRPr="00DF511A">
        <w:rPr>
          <w:rFonts w:hint="eastAsia"/>
          <w:lang w:eastAsia="zh-CN"/>
        </w:rPr>
        <w:t>。</w:t>
      </w:r>
    </w:p>
    <w:p w14:paraId="12C9CDD3" w14:textId="77777777" w:rsidR="00622881" w:rsidRPr="002E25F8" w:rsidRDefault="00622881" w:rsidP="005573EC">
      <w:pPr>
        <w:pStyle w:val="Heading3"/>
        <w:spacing w:before="120"/>
        <w:ind w:left="1132" w:hangingChars="470" w:hanging="1132"/>
        <w:jc w:val="both"/>
        <w:rPr>
          <w:rFonts w:cstheme="minorHAnsi"/>
          <w:bCs/>
          <w:color w:val="000000"/>
          <w:szCs w:val="24"/>
          <w:lang w:eastAsia="zh-CN"/>
        </w:rPr>
      </w:pPr>
      <w:r w:rsidRPr="00DF511A">
        <w:rPr>
          <w:rFonts w:cstheme="minorHAnsi" w:hint="eastAsia"/>
          <w:bCs/>
          <w:color w:val="000000"/>
          <w:szCs w:val="24"/>
          <w:lang w:eastAsia="zh-CN"/>
        </w:rPr>
        <w:t>ITU-D</w:t>
      </w:r>
      <w:r w:rsidRPr="00DF511A">
        <w:rPr>
          <w:rFonts w:cstheme="minorHAnsi" w:hint="eastAsia"/>
          <w:bCs/>
          <w:color w:val="000000"/>
          <w:szCs w:val="24"/>
          <w:lang w:eastAsia="zh-CN"/>
        </w:rPr>
        <w:t>研究组</w:t>
      </w:r>
    </w:p>
    <w:p w14:paraId="62E9D89D" w14:textId="748D44DE" w:rsidR="00622881" w:rsidRDefault="00622881" w:rsidP="005573EC">
      <w:pPr>
        <w:ind w:firstLineChars="200" w:firstLine="480"/>
        <w:jc w:val="both"/>
        <w:rPr>
          <w:lang w:eastAsia="zh-CN"/>
        </w:rPr>
      </w:pPr>
      <w:r>
        <w:rPr>
          <w:rFonts w:hint="eastAsia"/>
          <w:lang w:eastAsia="zh-CN"/>
        </w:rPr>
        <w:t>ITU-D</w:t>
      </w:r>
      <w:r>
        <w:rPr>
          <w:rFonts w:hint="eastAsia"/>
          <w:lang w:eastAsia="zh-CN"/>
        </w:rPr>
        <w:t>第</w:t>
      </w:r>
      <w:r>
        <w:rPr>
          <w:rFonts w:hint="eastAsia"/>
          <w:lang w:eastAsia="zh-CN"/>
        </w:rPr>
        <w:t>1</w:t>
      </w:r>
      <w:r>
        <w:rPr>
          <w:rFonts w:hint="eastAsia"/>
          <w:lang w:eastAsia="zh-CN"/>
        </w:rPr>
        <w:t>研究组（</w:t>
      </w:r>
      <w:r w:rsidRPr="00BE7E97">
        <w:rPr>
          <w:rFonts w:hint="eastAsia"/>
          <w:lang w:eastAsia="zh-CN"/>
        </w:rPr>
        <w:t>促进弥合数字鸿沟的普遍和有意义的连通性</w:t>
      </w:r>
      <w:r>
        <w:rPr>
          <w:rFonts w:hint="eastAsia"/>
          <w:lang w:eastAsia="zh-CN"/>
        </w:rPr>
        <w:t>）和</w:t>
      </w:r>
      <w:r>
        <w:rPr>
          <w:rFonts w:hint="eastAsia"/>
          <w:lang w:eastAsia="zh-CN"/>
        </w:rPr>
        <w:t>ITU-D</w:t>
      </w:r>
      <w:r>
        <w:rPr>
          <w:rFonts w:hint="eastAsia"/>
          <w:lang w:eastAsia="zh-CN"/>
        </w:rPr>
        <w:t>第</w:t>
      </w:r>
      <w:r>
        <w:rPr>
          <w:rFonts w:hint="eastAsia"/>
          <w:lang w:eastAsia="zh-CN"/>
        </w:rPr>
        <w:t>2</w:t>
      </w:r>
      <w:r>
        <w:rPr>
          <w:rFonts w:hint="eastAsia"/>
          <w:lang w:eastAsia="zh-CN"/>
        </w:rPr>
        <w:t>研究组（数字化转型）的第一次会议将于</w:t>
      </w:r>
      <w:r>
        <w:rPr>
          <w:rFonts w:hint="eastAsia"/>
          <w:lang w:eastAsia="zh-CN"/>
        </w:rPr>
        <w:t>2026</w:t>
      </w:r>
      <w:r>
        <w:rPr>
          <w:rFonts w:hint="eastAsia"/>
          <w:lang w:eastAsia="zh-CN"/>
        </w:rPr>
        <w:t>年</w:t>
      </w:r>
      <w:r>
        <w:rPr>
          <w:rFonts w:hint="eastAsia"/>
          <w:lang w:eastAsia="zh-CN"/>
        </w:rPr>
        <w:t>4</w:t>
      </w:r>
      <w:r>
        <w:rPr>
          <w:rFonts w:hint="eastAsia"/>
          <w:lang w:eastAsia="zh-CN"/>
        </w:rPr>
        <w:t>月</w:t>
      </w:r>
      <w:r>
        <w:rPr>
          <w:rFonts w:hint="eastAsia"/>
          <w:lang w:eastAsia="zh-CN"/>
        </w:rPr>
        <w:t>13</w:t>
      </w:r>
      <w:r>
        <w:rPr>
          <w:rFonts w:hint="eastAsia"/>
          <w:lang w:eastAsia="zh-CN"/>
        </w:rPr>
        <w:t>日至</w:t>
      </w:r>
      <w:r>
        <w:rPr>
          <w:rFonts w:hint="eastAsia"/>
          <w:lang w:eastAsia="zh-CN"/>
        </w:rPr>
        <w:t>24</w:t>
      </w:r>
      <w:r>
        <w:rPr>
          <w:rFonts w:hint="eastAsia"/>
          <w:lang w:eastAsia="zh-CN"/>
        </w:rPr>
        <w:t>日在</w:t>
      </w:r>
      <w:r w:rsidR="0022031C">
        <w:rPr>
          <w:rFonts w:hint="eastAsia"/>
          <w:lang w:eastAsia="zh-CN"/>
        </w:rPr>
        <w:t>国际电联</w:t>
      </w:r>
      <w:r>
        <w:rPr>
          <w:rFonts w:hint="eastAsia"/>
          <w:lang w:eastAsia="zh-CN"/>
        </w:rPr>
        <w:t>日内瓦总部举行。</w:t>
      </w:r>
    </w:p>
    <w:p w14:paraId="4027EB62" w14:textId="6A97E24C" w:rsidR="00622881" w:rsidRPr="00A053FD" w:rsidRDefault="00622881" w:rsidP="005573EC">
      <w:pPr>
        <w:ind w:firstLineChars="200" w:firstLine="480"/>
        <w:jc w:val="both"/>
        <w:rPr>
          <w:lang w:eastAsia="zh-CN"/>
        </w:rPr>
      </w:pPr>
      <w:r>
        <w:rPr>
          <w:rFonts w:hint="eastAsia"/>
          <w:lang w:eastAsia="zh-CN"/>
        </w:rPr>
        <w:t>ITU-D</w:t>
      </w:r>
      <w:r>
        <w:rPr>
          <w:rFonts w:hint="eastAsia"/>
          <w:lang w:eastAsia="zh-CN"/>
        </w:rPr>
        <w:t>第</w:t>
      </w:r>
      <w:r>
        <w:rPr>
          <w:rFonts w:hint="eastAsia"/>
          <w:lang w:eastAsia="zh-CN"/>
        </w:rPr>
        <w:t>1</w:t>
      </w:r>
      <w:r w:rsidR="0022031C">
        <w:rPr>
          <w:rFonts w:hint="eastAsia"/>
          <w:lang w:eastAsia="zh-CN"/>
        </w:rPr>
        <w:t>研究组</w:t>
      </w:r>
      <w:r>
        <w:rPr>
          <w:rFonts w:hint="eastAsia"/>
          <w:lang w:eastAsia="zh-CN"/>
        </w:rPr>
        <w:t>和第</w:t>
      </w:r>
      <w:r>
        <w:rPr>
          <w:rFonts w:hint="eastAsia"/>
          <w:lang w:eastAsia="zh-CN"/>
        </w:rPr>
        <w:t>2</w:t>
      </w:r>
      <w:r>
        <w:rPr>
          <w:rFonts w:hint="eastAsia"/>
          <w:lang w:eastAsia="zh-CN"/>
        </w:rPr>
        <w:t>研究组会议将讨论的重要事项</w:t>
      </w:r>
      <w:r w:rsidR="0022031C">
        <w:rPr>
          <w:rFonts w:hint="eastAsia"/>
          <w:lang w:eastAsia="zh-CN"/>
        </w:rPr>
        <w:t>包括</w:t>
      </w:r>
      <w:r>
        <w:rPr>
          <w:rFonts w:hint="eastAsia"/>
          <w:lang w:eastAsia="zh-CN"/>
        </w:rPr>
        <w:t>：</w:t>
      </w:r>
    </w:p>
    <w:p w14:paraId="567DDB1A" w14:textId="5FD15BF1" w:rsidR="00622881" w:rsidRPr="00DF511A" w:rsidRDefault="00622881" w:rsidP="005573EC">
      <w:pPr>
        <w:numPr>
          <w:ilvl w:val="0"/>
          <w:numId w:val="8"/>
        </w:numPr>
        <w:tabs>
          <w:tab w:val="clear" w:pos="1134"/>
          <w:tab w:val="clear" w:pos="1871"/>
          <w:tab w:val="clear" w:pos="2268"/>
          <w:tab w:val="left" w:pos="1588"/>
          <w:tab w:val="left" w:pos="1985"/>
        </w:tabs>
        <w:ind w:left="1133" w:hangingChars="472" w:hanging="1133"/>
        <w:jc w:val="both"/>
        <w:rPr>
          <w:lang w:val="en-US" w:eastAsia="zh-CN"/>
        </w:rPr>
      </w:pPr>
      <w:r w:rsidRPr="00DF511A">
        <w:rPr>
          <w:rFonts w:hint="eastAsia"/>
          <w:lang w:val="en-US" w:eastAsia="zh-CN"/>
        </w:rPr>
        <w:t>为</w:t>
      </w:r>
      <w:r w:rsidRPr="00DF511A">
        <w:rPr>
          <w:rFonts w:hint="eastAsia"/>
          <w:lang w:val="en-US" w:eastAsia="zh-CN"/>
        </w:rPr>
        <w:t>WTDC-25</w:t>
      </w:r>
      <w:r w:rsidRPr="00DF511A">
        <w:rPr>
          <w:rFonts w:hint="eastAsia"/>
          <w:lang w:val="en-US" w:eastAsia="zh-CN"/>
        </w:rPr>
        <w:t>批准的所有研究课题任命</w:t>
      </w:r>
      <w:r w:rsidR="0022031C">
        <w:rPr>
          <w:rFonts w:hint="eastAsia"/>
          <w:lang w:val="en-US" w:eastAsia="zh-CN"/>
        </w:rPr>
        <w:t>正副</w:t>
      </w:r>
      <w:r w:rsidRPr="00DF511A">
        <w:rPr>
          <w:rFonts w:hint="eastAsia"/>
          <w:lang w:val="en-US" w:eastAsia="zh-CN"/>
        </w:rPr>
        <w:t>报告人</w:t>
      </w:r>
      <w:r w:rsidR="0022031C">
        <w:rPr>
          <w:rFonts w:hint="eastAsia"/>
          <w:lang w:val="en-US" w:eastAsia="zh-CN"/>
        </w:rPr>
        <w:t>；</w:t>
      </w:r>
    </w:p>
    <w:p w14:paraId="354B5FBE" w14:textId="050BE77F" w:rsidR="00622881" w:rsidRPr="00DF511A" w:rsidRDefault="00622881" w:rsidP="005573EC">
      <w:pPr>
        <w:numPr>
          <w:ilvl w:val="0"/>
          <w:numId w:val="8"/>
        </w:numPr>
        <w:tabs>
          <w:tab w:val="clear" w:pos="1134"/>
          <w:tab w:val="clear" w:pos="1871"/>
          <w:tab w:val="clear" w:pos="2268"/>
          <w:tab w:val="left" w:pos="1588"/>
          <w:tab w:val="left" w:pos="1985"/>
        </w:tabs>
        <w:ind w:left="1133" w:hangingChars="472" w:hanging="1133"/>
        <w:jc w:val="both"/>
        <w:rPr>
          <w:lang w:val="en-US" w:eastAsia="zh-CN"/>
        </w:rPr>
      </w:pPr>
      <w:r>
        <w:rPr>
          <w:rFonts w:hint="eastAsia"/>
          <w:lang w:val="en-US" w:eastAsia="zh-CN"/>
        </w:rPr>
        <w:t>于</w:t>
      </w:r>
      <w:r w:rsidRPr="00DF511A">
        <w:rPr>
          <w:rFonts w:hint="eastAsia"/>
          <w:lang w:val="en-US" w:eastAsia="zh-CN"/>
        </w:rPr>
        <w:t>4</w:t>
      </w:r>
      <w:r w:rsidRPr="00DF511A">
        <w:rPr>
          <w:rFonts w:hint="eastAsia"/>
          <w:lang w:val="en-US" w:eastAsia="zh-CN"/>
        </w:rPr>
        <w:t>月</w:t>
      </w:r>
      <w:r w:rsidRPr="00DF511A">
        <w:rPr>
          <w:rFonts w:hint="eastAsia"/>
          <w:lang w:val="en-US" w:eastAsia="zh-CN"/>
        </w:rPr>
        <w:t>13</w:t>
      </w:r>
      <w:r w:rsidRPr="00DF511A">
        <w:rPr>
          <w:rFonts w:hint="eastAsia"/>
          <w:lang w:val="en-US" w:eastAsia="zh-CN"/>
        </w:rPr>
        <w:t>日下午</w:t>
      </w:r>
      <w:r>
        <w:rPr>
          <w:rFonts w:hint="eastAsia"/>
          <w:lang w:val="en-US" w:eastAsia="zh-CN"/>
        </w:rPr>
        <w:t>为所有代表举行入门培训</w:t>
      </w:r>
      <w:r w:rsidR="0022031C">
        <w:rPr>
          <w:rFonts w:hint="eastAsia"/>
          <w:lang w:val="en-US" w:eastAsia="zh-CN"/>
        </w:rPr>
        <w:t>；</w:t>
      </w:r>
    </w:p>
    <w:p w14:paraId="27A4DA0F" w14:textId="6BEF2EBA" w:rsidR="00622881" w:rsidRPr="00DF511A" w:rsidRDefault="00622881" w:rsidP="005573EC">
      <w:pPr>
        <w:numPr>
          <w:ilvl w:val="0"/>
          <w:numId w:val="8"/>
        </w:numPr>
        <w:tabs>
          <w:tab w:val="clear" w:pos="1134"/>
          <w:tab w:val="clear" w:pos="1871"/>
          <w:tab w:val="clear" w:pos="2268"/>
          <w:tab w:val="left" w:pos="1588"/>
          <w:tab w:val="left" w:pos="1985"/>
        </w:tabs>
        <w:ind w:left="1133" w:hangingChars="472" w:hanging="1133"/>
        <w:jc w:val="both"/>
        <w:rPr>
          <w:lang w:val="en-US" w:eastAsia="zh-CN"/>
        </w:rPr>
      </w:pPr>
      <w:r w:rsidRPr="00DF511A">
        <w:rPr>
          <w:rFonts w:hint="eastAsia"/>
          <w:lang w:val="en-US" w:eastAsia="zh-CN"/>
        </w:rPr>
        <w:t>根据</w:t>
      </w:r>
      <w:r w:rsidRPr="00DF511A">
        <w:rPr>
          <w:rFonts w:hint="eastAsia"/>
          <w:lang w:val="en-US" w:eastAsia="zh-CN"/>
        </w:rPr>
        <w:t>WTDC-25</w:t>
      </w:r>
      <w:r w:rsidRPr="00DF511A">
        <w:rPr>
          <w:rFonts w:hint="eastAsia"/>
          <w:lang w:val="en-US" w:eastAsia="zh-CN"/>
        </w:rPr>
        <w:t>批准的职责范围，制定和批准</w:t>
      </w:r>
      <w:r>
        <w:rPr>
          <w:rFonts w:hint="eastAsia"/>
          <w:lang w:val="en-US" w:eastAsia="zh-CN"/>
        </w:rPr>
        <w:t>各</w:t>
      </w:r>
      <w:r w:rsidRPr="00DF511A">
        <w:rPr>
          <w:rFonts w:hint="eastAsia"/>
          <w:lang w:val="en-US" w:eastAsia="zh-CN"/>
        </w:rPr>
        <w:t>研究课题的工作计划</w:t>
      </w:r>
      <w:r w:rsidR="0022031C">
        <w:rPr>
          <w:rFonts w:hint="eastAsia"/>
          <w:lang w:val="en-US" w:eastAsia="zh-CN"/>
        </w:rPr>
        <w:t>；</w:t>
      </w:r>
    </w:p>
    <w:p w14:paraId="7A4E49B6" w14:textId="1158ECA2" w:rsidR="00622881" w:rsidRPr="00DF511A" w:rsidRDefault="00622881" w:rsidP="005573EC">
      <w:pPr>
        <w:numPr>
          <w:ilvl w:val="0"/>
          <w:numId w:val="8"/>
        </w:numPr>
        <w:tabs>
          <w:tab w:val="clear" w:pos="1134"/>
          <w:tab w:val="clear" w:pos="1871"/>
          <w:tab w:val="clear" w:pos="2268"/>
          <w:tab w:val="left" w:pos="1588"/>
          <w:tab w:val="left" w:pos="1985"/>
        </w:tabs>
        <w:ind w:left="1133" w:hangingChars="472" w:hanging="1133"/>
        <w:jc w:val="both"/>
        <w:rPr>
          <w:lang w:val="en-US" w:eastAsia="zh-CN"/>
        </w:rPr>
      </w:pPr>
      <w:r>
        <w:rPr>
          <w:rFonts w:hint="eastAsia"/>
          <w:lang w:val="en-US" w:eastAsia="zh-CN"/>
        </w:rPr>
        <w:t>分析</w:t>
      </w:r>
      <w:r w:rsidR="0022031C">
        <w:rPr>
          <w:rFonts w:hint="eastAsia"/>
          <w:lang w:val="en-US" w:eastAsia="zh-CN"/>
        </w:rPr>
        <w:t>已</w:t>
      </w:r>
      <w:r w:rsidRPr="00DF511A">
        <w:rPr>
          <w:rFonts w:hint="eastAsia"/>
          <w:lang w:val="en-US" w:eastAsia="zh-CN"/>
        </w:rPr>
        <w:t>收到的文稿</w:t>
      </w:r>
      <w:r w:rsidR="0022031C">
        <w:rPr>
          <w:rFonts w:hint="eastAsia"/>
          <w:lang w:val="en-US" w:eastAsia="zh-CN"/>
        </w:rPr>
        <w:t>；</w:t>
      </w:r>
    </w:p>
    <w:p w14:paraId="286ECA46" w14:textId="6D4639FF" w:rsidR="00622881" w:rsidRPr="00DF511A" w:rsidRDefault="00622881" w:rsidP="005573EC">
      <w:pPr>
        <w:numPr>
          <w:ilvl w:val="0"/>
          <w:numId w:val="8"/>
        </w:numPr>
        <w:tabs>
          <w:tab w:val="clear" w:pos="1134"/>
          <w:tab w:val="clear" w:pos="1871"/>
          <w:tab w:val="clear" w:pos="2268"/>
          <w:tab w:val="left" w:pos="1588"/>
          <w:tab w:val="left" w:pos="1985"/>
        </w:tabs>
        <w:ind w:left="1133" w:hangingChars="472" w:hanging="1133"/>
        <w:jc w:val="both"/>
        <w:rPr>
          <w:lang w:val="en-US" w:eastAsia="zh-CN"/>
        </w:rPr>
      </w:pPr>
      <w:r>
        <w:rPr>
          <w:rFonts w:hint="eastAsia"/>
          <w:lang w:val="en-US" w:eastAsia="zh-CN"/>
        </w:rPr>
        <w:t>起草</w:t>
      </w:r>
      <w:r w:rsidRPr="00DF511A">
        <w:rPr>
          <w:rFonts w:hint="eastAsia"/>
          <w:lang w:val="en-US" w:eastAsia="zh-CN"/>
        </w:rPr>
        <w:t>对外联络声明和研究课题会议报告</w:t>
      </w:r>
      <w:r w:rsidR="0022031C">
        <w:rPr>
          <w:rFonts w:hint="eastAsia"/>
          <w:lang w:val="en-US" w:eastAsia="zh-CN"/>
        </w:rPr>
        <w:t>；</w:t>
      </w:r>
    </w:p>
    <w:p w14:paraId="3D529C59" w14:textId="4C16DEC2" w:rsidR="00622881" w:rsidRPr="00DF511A" w:rsidRDefault="00622881" w:rsidP="005573EC">
      <w:pPr>
        <w:numPr>
          <w:ilvl w:val="0"/>
          <w:numId w:val="8"/>
        </w:numPr>
        <w:tabs>
          <w:tab w:val="clear" w:pos="1134"/>
          <w:tab w:val="clear" w:pos="1871"/>
          <w:tab w:val="clear" w:pos="2268"/>
          <w:tab w:val="left" w:pos="1588"/>
          <w:tab w:val="left" w:pos="1985"/>
        </w:tabs>
        <w:ind w:left="1133" w:hangingChars="472" w:hanging="1133"/>
        <w:jc w:val="both"/>
        <w:rPr>
          <w:lang w:val="en-US" w:eastAsia="zh-CN"/>
        </w:rPr>
      </w:pPr>
      <w:r w:rsidRPr="00DF511A">
        <w:rPr>
          <w:rFonts w:hint="eastAsia"/>
          <w:lang w:val="en-US" w:eastAsia="zh-CN"/>
        </w:rPr>
        <w:t>规划未来的中期</w:t>
      </w:r>
      <w:r>
        <w:rPr>
          <w:rFonts w:hint="eastAsia"/>
          <w:lang w:val="en-US" w:eastAsia="zh-CN"/>
        </w:rPr>
        <w:t>可</w:t>
      </w:r>
      <w:r w:rsidRPr="00DF511A">
        <w:rPr>
          <w:rFonts w:hint="eastAsia"/>
          <w:lang w:val="en-US" w:eastAsia="zh-CN"/>
        </w:rPr>
        <w:t>交付成果和讲习班</w:t>
      </w:r>
      <w:r w:rsidRPr="00DF511A">
        <w:rPr>
          <w:rFonts w:hint="eastAsia"/>
          <w:lang w:val="en-US" w:eastAsia="zh-CN"/>
        </w:rPr>
        <w:t>/</w:t>
      </w:r>
      <w:r w:rsidRPr="00DF511A">
        <w:rPr>
          <w:rFonts w:hint="eastAsia"/>
          <w:lang w:val="en-US" w:eastAsia="zh-CN"/>
        </w:rPr>
        <w:t>网络研讨会</w:t>
      </w:r>
      <w:r w:rsidR="0022031C">
        <w:rPr>
          <w:rFonts w:hint="eastAsia"/>
          <w:lang w:val="en-US" w:eastAsia="zh-CN"/>
        </w:rPr>
        <w:t>。</w:t>
      </w:r>
    </w:p>
    <w:p w14:paraId="2544CFA9" w14:textId="120152AC" w:rsidR="00622881" w:rsidRPr="00A053FD" w:rsidRDefault="00622881" w:rsidP="005573EC">
      <w:pPr>
        <w:ind w:firstLineChars="200" w:firstLine="480"/>
        <w:jc w:val="both"/>
        <w:rPr>
          <w:lang w:eastAsia="zh-CN"/>
        </w:rPr>
      </w:pPr>
      <w:r w:rsidRPr="00781FEA">
        <w:rPr>
          <w:rFonts w:hint="eastAsia"/>
          <w:lang w:eastAsia="zh-CN"/>
        </w:rPr>
        <w:t>截至</w:t>
      </w:r>
      <w:r w:rsidRPr="00781FEA">
        <w:rPr>
          <w:rFonts w:hint="eastAsia"/>
          <w:lang w:eastAsia="zh-CN"/>
        </w:rPr>
        <w:t>3</w:t>
      </w:r>
      <w:r w:rsidRPr="00781FEA">
        <w:rPr>
          <w:rFonts w:hint="eastAsia"/>
          <w:lang w:eastAsia="zh-CN"/>
        </w:rPr>
        <w:t>月</w:t>
      </w:r>
      <w:r w:rsidRPr="00781FEA">
        <w:rPr>
          <w:rFonts w:hint="eastAsia"/>
          <w:lang w:eastAsia="zh-CN"/>
        </w:rPr>
        <w:t>27</w:t>
      </w:r>
      <w:r w:rsidRPr="00781FEA">
        <w:rPr>
          <w:rFonts w:hint="eastAsia"/>
          <w:lang w:eastAsia="zh-CN"/>
        </w:rPr>
        <w:t>日，</w:t>
      </w:r>
      <w:r>
        <w:rPr>
          <w:rFonts w:hint="eastAsia"/>
          <w:lang w:eastAsia="zh-CN"/>
        </w:rPr>
        <w:t>第</w:t>
      </w:r>
      <w:r>
        <w:rPr>
          <w:rFonts w:hint="eastAsia"/>
          <w:lang w:eastAsia="zh-CN"/>
        </w:rPr>
        <w:t>1</w:t>
      </w:r>
      <w:r>
        <w:rPr>
          <w:rFonts w:hint="eastAsia"/>
          <w:lang w:eastAsia="zh-CN"/>
        </w:rPr>
        <w:t>研究组</w:t>
      </w:r>
      <w:r w:rsidRPr="00781FEA">
        <w:rPr>
          <w:rFonts w:hint="eastAsia"/>
          <w:lang w:eastAsia="zh-CN"/>
        </w:rPr>
        <w:t>已有</w:t>
      </w:r>
      <w:r w:rsidRPr="00781FEA">
        <w:rPr>
          <w:rFonts w:hint="eastAsia"/>
          <w:lang w:eastAsia="zh-CN"/>
        </w:rPr>
        <w:t>206</w:t>
      </w:r>
      <w:r w:rsidRPr="00781FEA">
        <w:rPr>
          <w:rFonts w:hint="eastAsia"/>
          <w:lang w:eastAsia="zh-CN"/>
        </w:rPr>
        <w:t>名代表注册，处理</w:t>
      </w:r>
      <w:r w:rsidR="0022031C" w:rsidRPr="00781FEA">
        <w:rPr>
          <w:rFonts w:hint="eastAsia"/>
          <w:lang w:eastAsia="zh-CN"/>
        </w:rPr>
        <w:t>文稿</w:t>
      </w:r>
      <w:r w:rsidRPr="00781FEA">
        <w:rPr>
          <w:rFonts w:hint="eastAsia"/>
          <w:lang w:eastAsia="zh-CN"/>
        </w:rPr>
        <w:t>70</w:t>
      </w:r>
      <w:r w:rsidRPr="00781FEA">
        <w:rPr>
          <w:rFonts w:hint="eastAsia"/>
          <w:lang w:eastAsia="zh-CN"/>
        </w:rPr>
        <w:t>份</w:t>
      </w:r>
      <w:r>
        <w:rPr>
          <w:rFonts w:hint="eastAsia"/>
          <w:lang w:eastAsia="zh-CN"/>
        </w:rPr>
        <w:t>；</w:t>
      </w:r>
      <w:r w:rsidRPr="00781FEA">
        <w:rPr>
          <w:rFonts w:hint="eastAsia"/>
          <w:lang w:eastAsia="zh-CN"/>
        </w:rPr>
        <w:t>第</w:t>
      </w:r>
      <w:r w:rsidRPr="00781FEA">
        <w:rPr>
          <w:rFonts w:hint="eastAsia"/>
          <w:lang w:eastAsia="zh-CN"/>
        </w:rPr>
        <w:t>2</w:t>
      </w:r>
      <w:r w:rsidRPr="00781FEA">
        <w:rPr>
          <w:rFonts w:hint="eastAsia"/>
          <w:lang w:eastAsia="zh-CN"/>
        </w:rPr>
        <w:t>研究组共有</w:t>
      </w:r>
      <w:r w:rsidRPr="00781FEA">
        <w:rPr>
          <w:rFonts w:hint="eastAsia"/>
          <w:lang w:eastAsia="zh-CN"/>
        </w:rPr>
        <w:t>181</w:t>
      </w:r>
      <w:r w:rsidRPr="00781FEA">
        <w:rPr>
          <w:rFonts w:hint="eastAsia"/>
          <w:lang w:eastAsia="zh-CN"/>
        </w:rPr>
        <w:t>名代表注册</w:t>
      </w:r>
      <w:r>
        <w:rPr>
          <w:rFonts w:hint="eastAsia"/>
          <w:lang w:eastAsia="zh-CN"/>
        </w:rPr>
        <w:t>，处理</w:t>
      </w:r>
      <w:r w:rsidR="0022031C" w:rsidRPr="00781FEA">
        <w:rPr>
          <w:rFonts w:hint="eastAsia"/>
          <w:lang w:eastAsia="zh-CN"/>
        </w:rPr>
        <w:t>文稿</w:t>
      </w:r>
      <w:r w:rsidRPr="00781FEA">
        <w:rPr>
          <w:rFonts w:hint="eastAsia"/>
          <w:lang w:eastAsia="zh-CN"/>
        </w:rPr>
        <w:t>36</w:t>
      </w:r>
      <w:r w:rsidRPr="00781FEA">
        <w:rPr>
          <w:rFonts w:hint="eastAsia"/>
          <w:lang w:eastAsia="zh-CN"/>
        </w:rPr>
        <w:t>份。</w:t>
      </w:r>
    </w:p>
    <w:p w14:paraId="5BDF4B41" w14:textId="57CD56B1" w:rsidR="00622881" w:rsidRPr="00A053FD" w:rsidRDefault="00622881" w:rsidP="005573EC">
      <w:pPr>
        <w:ind w:firstLineChars="200" w:firstLine="480"/>
        <w:jc w:val="both"/>
        <w:rPr>
          <w:lang w:eastAsia="zh-CN"/>
        </w:rPr>
      </w:pPr>
      <w:r w:rsidRPr="00781FEA">
        <w:rPr>
          <w:rFonts w:hint="eastAsia"/>
          <w:lang w:eastAsia="zh-CN"/>
        </w:rPr>
        <w:t>有关研究组会议的信息（包括注册、时间管理计划、议程和文稿）可查阅</w:t>
      </w:r>
      <w:proofErr w:type="gramStart"/>
      <w:r w:rsidRPr="00781FEA">
        <w:rPr>
          <w:rFonts w:hint="eastAsia"/>
          <w:lang w:eastAsia="zh-CN"/>
        </w:rPr>
        <w:t>各会议</w:t>
      </w:r>
      <w:proofErr w:type="gramEnd"/>
      <w:r w:rsidRPr="00781FEA">
        <w:rPr>
          <w:rFonts w:hint="eastAsia"/>
          <w:lang w:eastAsia="zh-CN"/>
        </w:rPr>
        <w:t>网站</w:t>
      </w:r>
      <w:r w:rsidR="0022031C">
        <w:rPr>
          <w:rFonts w:hint="eastAsia"/>
          <w:lang w:eastAsia="zh-CN"/>
        </w:rPr>
        <w:t>：</w:t>
      </w:r>
      <w:hyperlink r:id="rId29" w:history="1">
        <w:r w:rsidRPr="00896D0F">
          <w:rPr>
            <w:rStyle w:val="Hyperlink"/>
            <w:rFonts w:hint="eastAsia"/>
            <w:lang w:eastAsia="zh-CN"/>
          </w:rPr>
          <w:t>第</w:t>
        </w:r>
        <w:r w:rsidRPr="00896D0F">
          <w:rPr>
            <w:rStyle w:val="Hyperlink"/>
            <w:rFonts w:hint="eastAsia"/>
            <w:lang w:eastAsia="zh-CN"/>
          </w:rPr>
          <w:t>1</w:t>
        </w:r>
        <w:r w:rsidRPr="00896D0F">
          <w:rPr>
            <w:rStyle w:val="Hyperlink"/>
            <w:rFonts w:hint="eastAsia"/>
            <w:lang w:eastAsia="zh-CN"/>
          </w:rPr>
          <w:t>研究组</w:t>
        </w:r>
      </w:hyperlink>
      <w:r w:rsidRPr="00781FEA">
        <w:rPr>
          <w:rFonts w:hint="eastAsia"/>
          <w:lang w:eastAsia="zh-CN"/>
        </w:rPr>
        <w:t>和</w:t>
      </w:r>
      <w:hyperlink r:id="rId30" w:history="1">
        <w:r w:rsidRPr="00896D0F">
          <w:rPr>
            <w:rStyle w:val="Hyperlink"/>
            <w:rFonts w:hint="eastAsia"/>
            <w:lang w:eastAsia="zh-CN"/>
          </w:rPr>
          <w:t>第</w:t>
        </w:r>
        <w:r w:rsidRPr="00896D0F">
          <w:rPr>
            <w:rStyle w:val="Hyperlink"/>
            <w:rFonts w:hint="eastAsia"/>
            <w:lang w:eastAsia="zh-CN"/>
          </w:rPr>
          <w:t>2</w:t>
        </w:r>
        <w:r w:rsidRPr="00896D0F">
          <w:rPr>
            <w:rStyle w:val="Hyperlink"/>
            <w:rFonts w:hint="eastAsia"/>
            <w:lang w:eastAsia="zh-CN"/>
          </w:rPr>
          <w:t>研究组</w:t>
        </w:r>
      </w:hyperlink>
    </w:p>
    <w:p w14:paraId="2056D3AF" w14:textId="77777777" w:rsidR="00622881" w:rsidRPr="00A053FD" w:rsidRDefault="00622881" w:rsidP="005573EC">
      <w:pPr>
        <w:ind w:firstLineChars="200" w:firstLine="480"/>
        <w:jc w:val="both"/>
        <w:rPr>
          <w:lang w:eastAsia="zh-CN"/>
        </w:rPr>
      </w:pPr>
      <w:r w:rsidRPr="00781FEA">
        <w:rPr>
          <w:rFonts w:hint="eastAsia"/>
          <w:lang w:eastAsia="zh-CN"/>
        </w:rPr>
        <w:t>各研究组的管理班子将</w:t>
      </w:r>
      <w:r>
        <w:rPr>
          <w:rFonts w:hint="eastAsia"/>
          <w:lang w:eastAsia="zh-CN"/>
        </w:rPr>
        <w:t>分别召开线下会议：</w:t>
      </w:r>
      <w:r w:rsidRPr="00781FEA">
        <w:rPr>
          <w:rFonts w:hint="eastAsia"/>
          <w:lang w:eastAsia="zh-CN"/>
        </w:rPr>
        <w:t>第</w:t>
      </w:r>
      <w:r w:rsidRPr="00781FEA">
        <w:rPr>
          <w:rFonts w:hint="eastAsia"/>
          <w:lang w:eastAsia="zh-CN"/>
        </w:rPr>
        <w:t>1</w:t>
      </w:r>
      <w:r w:rsidRPr="00781FEA">
        <w:rPr>
          <w:rFonts w:hint="eastAsia"/>
          <w:lang w:eastAsia="zh-CN"/>
        </w:rPr>
        <w:t>研究组</w:t>
      </w:r>
      <w:r>
        <w:rPr>
          <w:rFonts w:hint="eastAsia"/>
          <w:lang w:eastAsia="zh-CN"/>
        </w:rPr>
        <w:t>会议于</w:t>
      </w:r>
      <w:r w:rsidRPr="00781FEA">
        <w:rPr>
          <w:rFonts w:hint="eastAsia"/>
          <w:lang w:eastAsia="zh-CN"/>
        </w:rPr>
        <w:t>4</w:t>
      </w:r>
      <w:r w:rsidRPr="00781FEA">
        <w:rPr>
          <w:rFonts w:hint="eastAsia"/>
          <w:lang w:eastAsia="zh-CN"/>
        </w:rPr>
        <w:t>月</w:t>
      </w:r>
      <w:r w:rsidRPr="00781FEA">
        <w:rPr>
          <w:rFonts w:hint="eastAsia"/>
          <w:lang w:eastAsia="zh-CN"/>
        </w:rPr>
        <w:t>13</w:t>
      </w:r>
      <w:r w:rsidRPr="00781FEA">
        <w:rPr>
          <w:rFonts w:hint="eastAsia"/>
          <w:lang w:eastAsia="zh-CN"/>
        </w:rPr>
        <w:t>日和</w:t>
      </w:r>
      <w:r w:rsidRPr="00781FEA">
        <w:rPr>
          <w:rFonts w:hint="eastAsia"/>
          <w:lang w:eastAsia="zh-CN"/>
        </w:rPr>
        <w:t>16</w:t>
      </w:r>
      <w:r w:rsidRPr="00781FEA">
        <w:rPr>
          <w:rFonts w:hint="eastAsia"/>
          <w:lang w:eastAsia="zh-CN"/>
        </w:rPr>
        <w:t>日召开，第</w:t>
      </w:r>
      <w:r w:rsidRPr="00781FEA">
        <w:rPr>
          <w:rFonts w:hint="eastAsia"/>
          <w:lang w:eastAsia="zh-CN"/>
        </w:rPr>
        <w:t>2</w:t>
      </w:r>
      <w:r w:rsidRPr="00781FEA">
        <w:rPr>
          <w:rFonts w:hint="eastAsia"/>
          <w:lang w:eastAsia="zh-CN"/>
        </w:rPr>
        <w:t>研究组</w:t>
      </w:r>
      <w:r>
        <w:rPr>
          <w:rFonts w:hint="eastAsia"/>
          <w:lang w:eastAsia="zh-CN"/>
        </w:rPr>
        <w:t>会议</w:t>
      </w:r>
      <w:r w:rsidRPr="00781FEA">
        <w:rPr>
          <w:rFonts w:hint="eastAsia"/>
          <w:lang w:eastAsia="zh-CN"/>
        </w:rPr>
        <w:t>于</w:t>
      </w:r>
      <w:r w:rsidRPr="00781FEA">
        <w:rPr>
          <w:rFonts w:hint="eastAsia"/>
          <w:lang w:eastAsia="zh-CN"/>
        </w:rPr>
        <w:t>4</w:t>
      </w:r>
      <w:r w:rsidRPr="00781FEA">
        <w:rPr>
          <w:rFonts w:hint="eastAsia"/>
          <w:lang w:eastAsia="zh-CN"/>
        </w:rPr>
        <w:t>月</w:t>
      </w:r>
      <w:r w:rsidRPr="00781FEA">
        <w:rPr>
          <w:rFonts w:hint="eastAsia"/>
          <w:lang w:eastAsia="zh-CN"/>
        </w:rPr>
        <w:t>20</w:t>
      </w:r>
      <w:r w:rsidRPr="00781FEA">
        <w:rPr>
          <w:rFonts w:hint="eastAsia"/>
          <w:lang w:eastAsia="zh-CN"/>
        </w:rPr>
        <w:t>和</w:t>
      </w:r>
      <w:r w:rsidRPr="00781FEA">
        <w:rPr>
          <w:rFonts w:hint="eastAsia"/>
          <w:lang w:eastAsia="zh-CN"/>
        </w:rPr>
        <w:t>22</w:t>
      </w:r>
      <w:r w:rsidRPr="00781FEA">
        <w:rPr>
          <w:rFonts w:hint="eastAsia"/>
          <w:lang w:eastAsia="zh-CN"/>
        </w:rPr>
        <w:t>日召开。</w:t>
      </w:r>
    </w:p>
    <w:p w14:paraId="3E039699" w14:textId="7D2307C3" w:rsidR="00622881" w:rsidRPr="00A053FD" w:rsidRDefault="00622881" w:rsidP="005573EC">
      <w:pPr>
        <w:ind w:firstLineChars="200" w:firstLine="480"/>
        <w:jc w:val="both"/>
        <w:rPr>
          <w:lang w:eastAsia="zh-CN"/>
        </w:rPr>
      </w:pPr>
      <w:r w:rsidRPr="00781FEA">
        <w:rPr>
          <w:rFonts w:hint="eastAsia"/>
          <w:lang w:eastAsia="zh-CN"/>
        </w:rPr>
        <w:t>由电信发展局主任主持的第</w:t>
      </w:r>
      <w:r w:rsidRPr="00781FEA">
        <w:rPr>
          <w:rFonts w:hint="eastAsia"/>
          <w:lang w:eastAsia="zh-CN"/>
        </w:rPr>
        <w:t>1</w:t>
      </w:r>
      <w:r w:rsidR="0022031C" w:rsidRPr="00781FEA">
        <w:rPr>
          <w:rFonts w:hint="eastAsia"/>
          <w:lang w:eastAsia="zh-CN"/>
        </w:rPr>
        <w:t>研究组</w:t>
      </w:r>
      <w:r w:rsidRPr="00781FEA">
        <w:rPr>
          <w:rFonts w:hint="eastAsia"/>
          <w:lang w:eastAsia="zh-CN"/>
        </w:rPr>
        <w:t>和第</w:t>
      </w:r>
      <w:r w:rsidRPr="00781FEA">
        <w:rPr>
          <w:rFonts w:hint="eastAsia"/>
          <w:lang w:eastAsia="zh-CN"/>
        </w:rPr>
        <w:t>2</w:t>
      </w:r>
      <w:r w:rsidRPr="00781FEA">
        <w:rPr>
          <w:rFonts w:hint="eastAsia"/>
          <w:lang w:eastAsia="zh-CN"/>
        </w:rPr>
        <w:t>研究组管理</w:t>
      </w:r>
      <w:r>
        <w:rPr>
          <w:rFonts w:hint="eastAsia"/>
          <w:lang w:eastAsia="zh-CN"/>
        </w:rPr>
        <w:t>班子</w:t>
      </w:r>
      <w:r w:rsidRPr="00781FEA">
        <w:rPr>
          <w:rFonts w:hint="eastAsia"/>
          <w:lang w:eastAsia="zh-CN"/>
        </w:rPr>
        <w:t>联席会议将于</w:t>
      </w:r>
      <w:r w:rsidRPr="00781FEA">
        <w:rPr>
          <w:rFonts w:hint="eastAsia"/>
          <w:lang w:eastAsia="zh-CN"/>
        </w:rPr>
        <w:t>2026</w:t>
      </w:r>
      <w:r w:rsidRPr="00781FEA">
        <w:rPr>
          <w:rFonts w:hint="eastAsia"/>
          <w:lang w:eastAsia="zh-CN"/>
        </w:rPr>
        <w:t>年</w:t>
      </w:r>
      <w:r w:rsidRPr="00781FEA">
        <w:rPr>
          <w:rFonts w:hint="eastAsia"/>
          <w:lang w:eastAsia="zh-CN"/>
        </w:rPr>
        <w:t>4</w:t>
      </w:r>
      <w:r w:rsidRPr="00781FEA">
        <w:rPr>
          <w:rFonts w:hint="eastAsia"/>
          <w:lang w:eastAsia="zh-CN"/>
        </w:rPr>
        <w:t>月</w:t>
      </w:r>
      <w:r w:rsidRPr="00781FEA">
        <w:rPr>
          <w:rFonts w:hint="eastAsia"/>
          <w:lang w:eastAsia="zh-CN"/>
        </w:rPr>
        <w:t>17</w:t>
      </w:r>
      <w:r w:rsidRPr="00781FEA">
        <w:rPr>
          <w:rFonts w:hint="eastAsia"/>
          <w:lang w:eastAsia="zh-CN"/>
        </w:rPr>
        <w:t>日举行。</w:t>
      </w:r>
    </w:p>
    <w:p w14:paraId="2AB54400" w14:textId="6AA63F86" w:rsidR="00622881" w:rsidRDefault="00622881" w:rsidP="005573EC">
      <w:pPr>
        <w:ind w:firstLineChars="200" w:firstLine="480"/>
        <w:jc w:val="both"/>
        <w:rPr>
          <w:lang w:eastAsia="zh-CN"/>
        </w:rPr>
      </w:pPr>
      <w:r w:rsidRPr="00781FEA">
        <w:rPr>
          <w:rFonts w:hint="eastAsia"/>
          <w:lang w:eastAsia="zh-CN"/>
        </w:rPr>
        <w:t>更多信息见</w:t>
      </w:r>
      <w:r w:rsidR="00BB475A">
        <w:fldChar w:fldCharType="begin"/>
      </w:r>
      <w:r w:rsidR="00BB475A">
        <w:rPr>
          <w:lang w:eastAsia="zh-CN"/>
        </w:rPr>
        <w:instrText xml:space="preserve"> HYPERLINK "https://www.itu.int/en/ITU-D/Study-Groups/2026-2029/Pages/default.aspx" </w:instrText>
      </w:r>
      <w:r w:rsidR="00BB475A">
        <w:fldChar w:fldCharType="separate"/>
      </w:r>
      <w:r w:rsidRPr="00CC4165">
        <w:rPr>
          <w:rStyle w:val="Hyperlink"/>
          <w:rFonts w:hint="eastAsia"/>
          <w:lang w:eastAsia="zh-CN"/>
        </w:rPr>
        <w:t>2023-2029</w:t>
      </w:r>
      <w:r w:rsidRPr="00CC4165">
        <w:rPr>
          <w:rStyle w:val="Hyperlink"/>
          <w:rFonts w:hint="eastAsia"/>
          <w:lang w:eastAsia="zh-CN"/>
        </w:rPr>
        <w:t>年研究期</w:t>
      </w:r>
      <w:r w:rsidR="00BB475A">
        <w:rPr>
          <w:rStyle w:val="Hyperlink"/>
          <w:lang w:eastAsia="zh-CN"/>
        </w:rPr>
        <w:fldChar w:fldCharType="end"/>
      </w:r>
      <w:r w:rsidRPr="00781FEA">
        <w:rPr>
          <w:rFonts w:hint="eastAsia"/>
          <w:lang w:eastAsia="zh-CN"/>
        </w:rPr>
        <w:t>网页</w:t>
      </w:r>
      <w:r w:rsidR="00C01DE1">
        <w:rPr>
          <w:rFonts w:hint="eastAsia"/>
          <w:lang w:eastAsia="zh-CN"/>
        </w:rPr>
        <w:t>。</w:t>
      </w:r>
    </w:p>
    <w:p w14:paraId="06FE745E" w14:textId="77777777" w:rsidR="00622881" w:rsidRPr="002E25F8" w:rsidRDefault="00622881" w:rsidP="005573EC">
      <w:pPr>
        <w:pStyle w:val="Heading3"/>
        <w:spacing w:before="120"/>
        <w:ind w:left="1132" w:hangingChars="470" w:hanging="1132"/>
        <w:jc w:val="both"/>
        <w:rPr>
          <w:rFonts w:ascii="Calibri" w:hAnsi="Calibri" w:cs="Calibri"/>
          <w:color w:val="000000"/>
          <w:lang w:eastAsia="zh-CN"/>
        </w:rPr>
      </w:pPr>
      <w:r w:rsidRPr="00781FEA">
        <w:rPr>
          <w:rFonts w:ascii="Calibri" w:hAnsi="Calibri" w:cs="Calibri" w:hint="eastAsia"/>
          <w:color w:val="000000" w:themeColor="text1"/>
          <w:lang w:eastAsia="zh-CN"/>
        </w:rPr>
        <w:t>伙伴关系促进互联互通数字联盟（</w:t>
      </w:r>
      <w:r w:rsidRPr="00781FEA">
        <w:rPr>
          <w:rFonts w:ascii="Calibri" w:hAnsi="Calibri" w:cs="Calibri" w:hint="eastAsia"/>
          <w:color w:val="000000" w:themeColor="text1"/>
          <w:lang w:eastAsia="zh-CN"/>
        </w:rPr>
        <w:t>P2C</w:t>
      </w:r>
      <w:r w:rsidRPr="00781FEA">
        <w:rPr>
          <w:rFonts w:ascii="Calibri" w:hAnsi="Calibri" w:cs="Calibri" w:hint="eastAsia"/>
          <w:color w:val="000000" w:themeColor="text1"/>
          <w:lang w:eastAsia="zh-CN"/>
        </w:rPr>
        <w:t>）</w:t>
      </w:r>
    </w:p>
    <w:p w14:paraId="6AC2EEBF" w14:textId="12748217" w:rsidR="00622881" w:rsidRDefault="00622881" w:rsidP="005573EC">
      <w:pPr>
        <w:ind w:firstLineChars="200" w:firstLine="480"/>
        <w:jc w:val="both"/>
        <w:rPr>
          <w:lang w:val="en-US" w:eastAsia="zh-CN"/>
        </w:rPr>
      </w:pPr>
      <w:r w:rsidRPr="00781FEA">
        <w:rPr>
          <w:rFonts w:hint="eastAsia"/>
          <w:lang w:val="en-US" w:eastAsia="zh-CN"/>
        </w:rPr>
        <w:t>在</w:t>
      </w:r>
      <w:r w:rsidRPr="00781FEA">
        <w:rPr>
          <w:rFonts w:hint="eastAsia"/>
          <w:lang w:val="en-US" w:eastAsia="zh-CN"/>
        </w:rPr>
        <w:t>3</w:t>
      </w:r>
      <w:r w:rsidRPr="00781FEA">
        <w:rPr>
          <w:rFonts w:hint="eastAsia"/>
          <w:lang w:val="en-US" w:eastAsia="zh-CN"/>
        </w:rPr>
        <w:t>月于捷克共和国布拉格举行的</w:t>
      </w:r>
      <w:r>
        <w:rPr>
          <w:rFonts w:hint="eastAsia"/>
          <w:lang w:val="en-US" w:eastAsia="zh-CN"/>
        </w:rPr>
        <w:t>欧洲区域性发展论坛</w:t>
      </w:r>
      <w:r w:rsidRPr="00781FEA">
        <w:rPr>
          <w:rFonts w:hint="eastAsia"/>
          <w:lang w:val="en-US" w:eastAsia="zh-CN"/>
        </w:rPr>
        <w:t>上，举</w:t>
      </w:r>
      <w:r>
        <w:rPr>
          <w:rFonts w:hint="eastAsia"/>
          <w:lang w:val="en-US" w:eastAsia="zh-CN"/>
        </w:rPr>
        <w:t>办</w:t>
      </w:r>
      <w:r w:rsidRPr="00781FEA">
        <w:rPr>
          <w:rFonts w:hint="eastAsia"/>
          <w:lang w:val="en-US" w:eastAsia="zh-CN"/>
        </w:rPr>
        <w:t>了两场</w:t>
      </w:r>
      <w:r w:rsidRPr="00781FEA">
        <w:rPr>
          <w:rFonts w:hint="eastAsia"/>
          <w:lang w:val="en-US" w:eastAsia="zh-CN"/>
        </w:rPr>
        <w:t>P2C</w:t>
      </w:r>
      <w:r>
        <w:rPr>
          <w:rFonts w:hint="eastAsia"/>
          <w:lang w:val="en-US" w:eastAsia="zh-CN"/>
        </w:rPr>
        <w:t>对接</w:t>
      </w:r>
      <w:r w:rsidRPr="00781FEA">
        <w:rPr>
          <w:rFonts w:hint="eastAsia"/>
          <w:lang w:val="en-US" w:eastAsia="zh-CN"/>
        </w:rPr>
        <w:t>圆桌会议</w:t>
      </w:r>
      <w:r>
        <w:rPr>
          <w:rFonts w:hint="eastAsia"/>
          <w:lang w:val="en-US" w:eastAsia="zh-CN"/>
        </w:rPr>
        <w:t>。会议基于</w:t>
      </w:r>
      <w:r w:rsidRPr="00781FEA">
        <w:rPr>
          <w:rFonts w:hint="eastAsia"/>
          <w:lang w:val="en-US" w:eastAsia="zh-CN"/>
        </w:rPr>
        <w:t>讨论</w:t>
      </w:r>
      <w:r>
        <w:rPr>
          <w:rFonts w:hint="eastAsia"/>
          <w:lang w:val="en-US" w:eastAsia="zh-CN"/>
        </w:rPr>
        <w:t>成果以及</w:t>
      </w:r>
      <w:r w:rsidRPr="00781FEA">
        <w:rPr>
          <w:rFonts w:hint="eastAsia"/>
          <w:lang w:val="en-US" w:eastAsia="zh-CN"/>
        </w:rPr>
        <w:t>利益</w:t>
      </w:r>
      <w:proofErr w:type="gramStart"/>
      <w:r w:rsidRPr="00781FEA">
        <w:rPr>
          <w:rFonts w:hint="eastAsia"/>
          <w:lang w:val="en-US" w:eastAsia="zh-CN"/>
        </w:rPr>
        <w:t>攸关方针</w:t>
      </w:r>
      <w:proofErr w:type="gramEnd"/>
      <w:r w:rsidRPr="00781FEA">
        <w:rPr>
          <w:rFonts w:hint="eastAsia"/>
          <w:lang w:val="en-US" w:eastAsia="zh-CN"/>
        </w:rPr>
        <w:t>对区域磋商</w:t>
      </w:r>
      <w:r>
        <w:rPr>
          <w:rFonts w:hint="eastAsia"/>
          <w:lang w:val="en-US" w:eastAsia="zh-CN"/>
        </w:rPr>
        <w:t>提交</w:t>
      </w:r>
      <w:r w:rsidRPr="00781FEA">
        <w:rPr>
          <w:rFonts w:hint="eastAsia"/>
          <w:lang w:val="en-US" w:eastAsia="zh-CN"/>
        </w:rPr>
        <w:t>的</w:t>
      </w:r>
      <w:r w:rsidRPr="00781FEA">
        <w:rPr>
          <w:rFonts w:hint="eastAsia"/>
          <w:lang w:val="en-US" w:eastAsia="zh-CN"/>
        </w:rPr>
        <w:t>60</w:t>
      </w:r>
      <w:r w:rsidRPr="00781FEA">
        <w:rPr>
          <w:rFonts w:hint="eastAsia"/>
          <w:lang w:val="en-US" w:eastAsia="zh-CN"/>
        </w:rPr>
        <w:t>多份文稿，</w:t>
      </w:r>
      <w:r>
        <w:rPr>
          <w:rFonts w:hint="eastAsia"/>
          <w:lang w:val="en-US" w:eastAsia="zh-CN"/>
        </w:rPr>
        <w:t>为各方参与</w:t>
      </w:r>
      <w:r w:rsidRPr="00781FEA">
        <w:rPr>
          <w:rFonts w:hint="eastAsia"/>
          <w:lang w:val="en-US" w:eastAsia="zh-CN"/>
        </w:rPr>
        <w:t>国际电</w:t>
      </w:r>
      <w:proofErr w:type="gramStart"/>
      <w:r w:rsidRPr="00781FEA">
        <w:rPr>
          <w:rFonts w:hint="eastAsia"/>
          <w:lang w:val="en-US" w:eastAsia="zh-CN"/>
        </w:rPr>
        <w:t>联</w:t>
      </w:r>
      <w:r>
        <w:rPr>
          <w:rFonts w:hint="eastAsia"/>
          <w:lang w:val="en-US" w:eastAsia="zh-CN"/>
        </w:rPr>
        <w:t>区域</w:t>
      </w:r>
      <w:proofErr w:type="gramEnd"/>
      <w:r>
        <w:rPr>
          <w:rFonts w:hint="eastAsia"/>
          <w:lang w:val="en-US" w:eastAsia="zh-CN"/>
        </w:rPr>
        <w:t>层面</w:t>
      </w:r>
      <w:r w:rsidRPr="00781FEA">
        <w:rPr>
          <w:rFonts w:hint="eastAsia"/>
          <w:lang w:val="en-US" w:eastAsia="zh-CN"/>
        </w:rPr>
        <w:t>的活动</w:t>
      </w:r>
      <w:r>
        <w:rPr>
          <w:rFonts w:hint="eastAsia"/>
          <w:lang w:val="en-US" w:eastAsia="zh-CN"/>
        </w:rPr>
        <w:t>、</w:t>
      </w:r>
      <w:r w:rsidRPr="00781FEA">
        <w:rPr>
          <w:rFonts w:hint="eastAsia"/>
          <w:lang w:val="en-US" w:eastAsia="zh-CN"/>
        </w:rPr>
        <w:t>并在实施期（</w:t>
      </w:r>
      <w:r w:rsidRPr="00781FEA">
        <w:rPr>
          <w:rFonts w:hint="eastAsia"/>
          <w:lang w:val="en-US" w:eastAsia="zh-CN"/>
        </w:rPr>
        <w:t>2026-2029</w:t>
      </w:r>
      <w:r w:rsidRPr="00781FEA">
        <w:rPr>
          <w:rFonts w:hint="eastAsia"/>
          <w:lang w:val="en-US" w:eastAsia="zh-CN"/>
        </w:rPr>
        <w:t>年）</w:t>
      </w:r>
      <w:r>
        <w:rPr>
          <w:rFonts w:hint="eastAsia"/>
          <w:lang w:val="en-US" w:eastAsia="zh-CN"/>
        </w:rPr>
        <w:t>反映区域</w:t>
      </w:r>
      <w:r w:rsidRPr="00781FEA">
        <w:rPr>
          <w:rFonts w:hint="eastAsia"/>
          <w:lang w:val="en-US" w:eastAsia="zh-CN"/>
        </w:rPr>
        <w:t>战略需求</w:t>
      </w:r>
      <w:r>
        <w:rPr>
          <w:rFonts w:hint="eastAsia"/>
          <w:lang w:val="en-US" w:eastAsia="zh-CN"/>
        </w:rPr>
        <w:t>提供了机会</w:t>
      </w:r>
      <w:r w:rsidRPr="00781FEA">
        <w:rPr>
          <w:rFonts w:hint="eastAsia"/>
          <w:lang w:val="en-US" w:eastAsia="zh-CN"/>
        </w:rPr>
        <w:t>。</w:t>
      </w:r>
      <w:r>
        <w:rPr>
          <w:rFonts w:hint="eastAsia"/>
          <w:lang w:val="en-US" w:eastAsia="zh-CN"/>
        </w:rPr>
        <w:t>此次对接工作最终</w:t>
      </w:r>
      <w:r w:rsidR="0022031C">
        <w:rPr>
          <w:rFonts w:hint="eastAsia"/>
          <w:lang w:eastAsia="zh-CN"/>
        </w:rPr>
        <w:t>促成</w:t>
      </w:r>
      <w:r>
        <w:rPr>
          <w:rFonts w:hint="eastAsia"/>
          <w:lang w:val="en-US" w:eastAsia="zh-CN"/>
        </w:rPr>
        <w:t>了</w:t>
      </w:r>
      <w:r w:rsidRPr="00781FEA">
        <w:rPr>
          <w:rFonts w:hint="eastAsia"/>
          <w:lang w:val="en-US" w:eastAsia="zh-CN"/>
        </w:rPr>
        <w:t>国际电联欧洲区域性举措</w:t>
      </w:r>
      <w:r w:rsidR="0022031C" w:rsidRPr="00781FEA">
        <w:rPr>
          <w:rFonts w:hint="eastAsia"/>
          <w:lang w:val="en-US" w:eastAsia="zh-CN"/>
        </w:rPr>
        <w:t>实施</w:t>
      </w:r>
      <w:r w:rsidRPr="00781FEA">
        <w:rPr>
          <w:rFonts w:hint="eastAsia"/>
          <w:lang w:val="en-US" w:eastAsia="zh-CN"/>
        </w:rPr>
        <w:t>路线图</w:t>
      </w:r>
      <w:r w:rsidR="0022031C">
        <w:rPr>
          <w:rFonts w:hint="eastAsia"/>
          <w:lang w:val="en-US" w:eastAsia="zh-CN"/>
        </w:rPr>
        <w:t>的制定</w:t>
      </w:r>
      <w:r w:rsidRPr="00781FEA">
        <w:rPr>
          <w:rFonts w:hint="eastAsia"/>
          <w:lang w:val="en-US" w:eastAsia="zh-CN"/>
        </w:rPr>
        <w:t>。</w:t>
      </w:r>
    </w:p>
    <w:p w14:paraId="534E02DB" w14:textId="551EBE7F" w:rsidR="00622881" w:rsidRPr="00713809" w:rsidRDefault="00622881" w:rsidP="005573EC">
      <w:pPr>
        <w:ind w:firstLineChars="200" w:firstLine="480"/>
        <w:jc w:val="both"/>
        <w:rPr>
          <w:b/>
          <w:bCs/>
          <w:lang w:eastAsia="zh-CN"/>
        </w:rPr>
      </w:pPr>
      <w:r w:rsidRPr="00781FEA">
        <w:rPr>
          <w:rFonts w:hint="eastAsia"/>
          <w:lang w:val="en-US" w:eastAsia="zh-CN"/>
        </w:rPr>
        <w:t>更多</w:t>
      </w:r>
      <w:r w:rsidRPr="00781FEA">
        <w:rPr>
          <w:rFonts w:hint="eastAsia"/>
          <w:lang w:val="en-US" w:eastAsia="zh-CN"/>
        </w:rPr>
        <w:t>P2C</w:t>
      </w:r>
      <w:r>
        <w:rPr>
          <w:rFonts w:hint="eastAsia"/>
          <w:lang w:val="en-US" w:eastAsia="zh-CN"/>
        </w:rPr>
        <w:t>对接会议将</w:t>
      </w:r>
      <w:r w:rsidRPr="00781FEA">
        <w:rPr>
          <w:rFonts w:hint="eastAsia"/>
          <w:lang w:val="en-US" w:eastAsia="zh-CN"/>
        </w:rPr>
        <w:t>在</w:t>
      </w:r>
      <w:r w:rsidR="0022031C" w:rsidRPr="00781FEA">
        <w:rPr>
          <w:rFonts w:hint="eastAsia"/>
          <w:lang w:val="en-US" w:eastAsia="zh-CN"/>
        </w:rPr>
        <w:t>2026</w:t>
      </w:r>
      <w:r w:rsidR="0022031C" w:rsidRPr="00781FEA">
        <w:rPr>
          <w:rFonts w:hint="eastAsia"/>
          <w:lang w:val="en-US" w:eastAsia="zh-CN"/>
        </w:rPr>
        <w:t>年</w:t>
      </w:r>
      <w:r w:rsidRPr="00781FEA">
        <w:rPr>
          <w:rFonts w:hint="eastAsia"/>
          <w:lang w:val="en-US" w:eastAsia="zh-CN"/>
        </w:rPr>
        <w:t>即将举行的</w:t>
      </w:r>
      <w:r>
        <w:rPr>
          <w:rFonts w:hint="eastAsia"/>
          <w:lang w:val="en-US" w:eastAsia="zh-CN"/>
        </w:rPr>
        <w:t>各</w:t>
      </w:r>
      <w:r w:rsidRPr="00781FEA">
        <w:rPr>
          <w:rFonts w:hint="eastAsia"/>
          <w:lang w:val="en-US" w:eastAsia="zh-CN"/>
        </w:rPr>
        <w:t>区域</w:t>
      </w:r>
      <w:r>
        <w:rPr>
          <w:rFonts w:hint="eastAsia"/>
          <w:lang w:val="en-US" w:eastAsia="zh-CN"/>
        </w:rPr>
        <w:t>性</w:t>
      </w:r>
      <w:r w:rsidRPr="00781FEA">
        <w:rPr>
          <w:rFonts w:hint="eastAsia"/>
          <w:lang w:val="en-US" w:eastAsia="zh-CN"/>
        </w:rPr>
        <w:t>发展论坛</w:t>
      </w:r>
      <w:r>
        <w:rPr>
          <w:rFonts w:hint="eastAsia"/>
          <w:lang w:val="en-US" w:eastAsia="zh-CN"/>
        </w:rPr>
        <w:t>期间开展</w:t>
      </w:r>
      <w:r w:rsidRPr="00781FEA">
        <w:rPr>
          <w:rFonts w:hint="eastAsia"/>
          <w:lang w:val="en-US" w:eastAsia="zh-CN"/>
        </w:rPr>
        <w:t>，以支持落实</w:t>
      </w:r>
      <w:r w:rsidRPr="00781FEA">
        <w:rPr>
          <w:rFonts w:hint="eastAsia"/>
          <w:lang w:val="en-US" w:eastAsia="zh-CN"/>
        </w:rPr>
        <w:t>WTDC-25</w:t>
      </w:r>
      <w:r w:rsidRPr="00781FEA">
        <w:rPr>
          <w:rFonts w:hint="eastAsia"/>
          <w:lang w:val="en-US" w:eastAsia="zh-CN"/>
        </w:rPr>
        <w:t>通过的</w:t>
      </w:r>
      <w:r w:rsidR="0022031C">
        <w:rPr>
          <w:rFonts w:hint="eastAsia"/>
          <w:lang w:eastAsia="zh-CN"/>
        </w:rPr>
        <w:t>各项</w:t>
      </w:r>
      <w:r w:rsidRPr="00781FEA">
        <w:rPr>
          <w:rFonts w:hint="eastAsia"/>
          <w:lang w:val="en-US" w:eastAsia="zh-CN"/>
        </w:rPr>
        <w:t>区域性举措。</w:t>
      </w:r>
    </w:p>
    <w:p w14:paraId="59AFE2D6" w14:textId="77777777" w:rsidR="0022031C" w:rsidRDefault="0022031C">
      <w:pPr>
        <w:overflowPunct/>
        <w:autoSpaceDE/>
        <w:autoSpaceDN/>
        <w:adjustRightInd/>
        <w:spacing w:before="0"/>
        <w:textAlignment w:val="auto"/>
        <w:rPr>
          <w:lang w:eastAsia="zh-CN"/>
        </w:rPr>
        <w:sectPr w:rsidR="0022031C" w:rsidSect="005573EC">
          <w:headerReference w:type="default" r:id="rId31"/>
          <w:headerReference w:type="first" r:id="rId32"/>
          <w:pgSz w:w="11907" w:h="16840"/>
          <w:pgMar w:top="1418" w:right="1134" w:bottom="1134" w:left="1134" w:header="720" w:footer="720" w:gutter="0"/>
          <w:cols w:space="720"/>
          <w:docGrid w:linePitch="326"/>
        </w:sectPr>
      </w:pPr>
    </w:p>
    <w:p w14:paraId="67A29112" w14:textId="77777777" w:rsidR="00521A20" w:rsidRDefault="00BB475A">
      <w:pPr>
        <w:pStyle w:val="Heading2"/>
        <w:rPr>
          <w:lang w:eastAsia="zh-CN"/>
        </w:rPr>
      </w:pPr>
      <w:r>
        <w:rPr>
          <w:rFonts w:hint="eastAsia"/>
          <w:lang w:eastAsia="zh-CN"/>
        </w:rPr>
        <w:lastRenderedPageBreak/>
        <w:t>3.5</w:t>
      </w:r>
      <w:r>
        <w:rPr>
          <w:rFonts w:hint="eastAsia"/>
          <w:lang w:eastAsia="zh-CN"/>
        </w:rPr>
        <w:tab/>
        <w:t>ITU-D</w:t>
      </w:r>
      <w:r>
        <w:rPr>
          <w:rFonts w:hint="eastAsia"/>
          <w:lang w:eastAsia="zh-CN"/>
        </w:rPr>
        <w:t>的重点工作</w:t>
      </w:r>
      <w:r>
        <w:rPr>
          <w:rFonts w:hint="eastAsia"/>
          <w:lang w:eastAsia="zh-CN"/>
        </w:rPr>
        <w:t>5</w:t>
      </w:r>
      <w:r>
        <w:rPr>
          <w:rFonts w:hint="eastAsia"/>
          <w:lang w:eastAsia="zh-CN"/>
        </w:rPr>
        <w:t>：包容、安全和可靠的电信</w:t>
      </w:r>
      <w:r>
        <w:rPr>
          <w:rFonts w:hint="eastAsia"/>
          <w:lang w:eastAsia="zh-CN"/>
        </w:rPr>
        <w:t>/ICT</w:t>
      </w:r>
      <w:r>
        <w:rPr>
          <w:rFonts w:hint="eastAsia"/>
          <w:lang w:eastAsia="zh-CN"/>
        </w:rPr>
        <w:t>促进可持续发展</w:t>
      </w:r>
    </w:p>
    <w:tbl>
      <w:tblPr>
        <w:tblW w:w="15451" w:type="dxa"/>
        <w:tblInd w:w="-714" w:type="dxa"/>
        <w:tblLook w:val="04A0" w:firstRow="1" w:lastRow="0" w:firstColumn="1" w:lastColumn="0" w:noHBand="0" w:noVBand="1"/>
      </w:tblPr>
      <w:tblGrid>
        <w:gridCol w:w="2127"/>
        <w:gridCol w:w="3260"/>
        <w:gridCol w:w="3119"/>
        <w:gridCol w:w="2268"/>
        <w:gridCol w:w="1559"/>
        <w:gridCol w:w="1559"/>
        <w:gridCol w:w="1559"/>
      </w:tblGrid>
      <w:tr w:rsidR="00521A20" w14:paraId="01990511" w14:textId="77777777">
        <w:trPr>
          <w:cantSplit/>
          <w:trHeight w:val="600"/>
          <w:tblHeader/>
        </w:trPr>
        <w:tc>
          <w:tcPr>
            <w:tcW w:w="2127" w:type="dxa"/>
            <w:tcBorders>
              <w:top w:val="single" w:sz="4" w:space="0" w:color="44B3E1"/>
              <w:left w:val="single" w:sz="4" w:space="0" w:color="44B3E1"/>
              <w:bottom w:val="single" w:sz="4" w:space="0" w:color="44B3E1"/>
              <w:right w:val="nil"/>
            </w:tcBorders>
            <w:shd w:val="clear" w:color="auto" w:fill="156082"/>
          </w:tcPr>
          <w:p w14:paraId="62A44943" w14:textId="77777777" w:rsidR="00521A20" w:rsidRDefault="00BB475A">
            <w:pPr>
              <w:overflowPunct/>
              <w:autoSpaceDE/>
              <w:autoSpaceDN/>
              <w:adjustRightInd/>
              <w:spacing w:before="0"/>
              <w:jc w:val="center"/>
              <w:textAlignment w:val="auto"/>
              <w:rPr>
                <w:rFonts w:cstheme="minorHAnsi"/>
                <w:b/>
                <w:color w:val="FFFFFF"/>
                <w:sz w:val="20"/>
              </w:rPr>
            </w:pPr>
            <w:proofErr w:type="spellStart"/>
            <w:r>
              <w:rPr>
                <w:rFonts w:hint="eastAsia"/>
                <w:b/>
                <w:color w:val="FFFFFF"/>
                <w:sz w:val="20"/>
              </w:rPr>
              <w:t>重点工作</w:t>
            </w:r>
            <w:proofErr w:type="spellEnd"/>
            <w:r>
              <w:rPr>
                <w:rFonts w:hint="eastAsia"/>
                <w:b/>
                <w:color w:val="FFFFFF"/>
                <w:sz w:val="20"/>
              </w:rPr>
              <w:t>/</w:t>
            </w:r>
            <w:proofErr w:type="spellStart"/>
            <w:r>
              <w:rPr>
                <w:rFonts w:hint="eastAsia"/>
                <w:b/>
                <w:color w:val="FFFFFF"/>
                <w:sz w:val="20"/>
              </w:rPr>
              <w:t>主题</w:t>
            </w:r>
            <w:proofErr w:type="spellEnd"/>
          </w:p>
        </w:tc>
        <w:tc>
          <w:tcPr>
            <w:tcW w:w="3260" w:type="dxa"/>
            <w:tcBorders>
              <w:top w:val="single" w:sz="4" w:space="0" w:color="44B3E1"/>
              <w:left w:val="nil"/>
              <w:bottom w:val="single" w:sz="4" w:space="0" w:color="44B3E1"/>
              <w:right w:val="nil"/>
            </w:tcBorders>
            <w:shd w:val="clear" w:color="auto" w:fill="156082"/>
          </w:tcPr>
          <w:p w14:paraId="539B747E" w14:textId="77777777" w:rsidR="00521A20" w:rsidRDefault="00BB475A">
            <w:pPr>
              <w:overflowPunct/>
              <w:autoSpaceDE/>
              <w:autoSpaceDN/>
              <w:adjustRightInd/>
              <w:spacing w:before="0"/>
              <w:jc w:val="center"/>
              <w:textAlignment w:val="auto"/>
              <w:rPr>
                <w:rFonts w:cstheme="minorHAnsi"/>
                <w:b/>
                <w:color w:val="FFFFFF"/>
                <w:sz w:val="20"/>
              </w:rPr>
            </w:pPr>
            <w:proofErr w:type="spellStart"/>
            <w:r>
              <w:rPr>
                <w:rFonts w:hint="eastAsia"/>
                <w:b/>
                <w:color w:val="FFFFFF"/>
                <w:sz w:val="20"/>
              </w:rPr>
              <w:t>成果</w:t>
            </w:r>
            <w:proofErr w:type="spellEnd"/>
          </w:p>
        </w:tc>
        <w:tc>
          <w:tcPr>
            <w:tcW w:w="3119" w:type="dxa"/>
            <w:tcBorders>
              <w:top w:val="single" w:sz="4" w:space="0" w:color="44B3E1"/>
              <w:left w:val="nil"/>
              <w:bottom w:val="single" w:sz="4" w:space="0" w:color="44B3E1"/>
              <w:right w:val="nil"/>
            </w:tcBorders>
            <w:shd w:val="clear" w:color="auto" w:fill="156082"/>
          </w:tcPr>
          <w:p w14:paraId="0DD0E7DC" w14:textId="77777777" w:rsidR="00521A20" w:rsidRDefault="00BB475A">
            <w:pPr>
              <w:overflowPunct/>
              <w:autoSpaceDE/>
              <w:autoSpaceDN/>
              <w:adjustRightInd/>
              <w:spacing w:before="0"/>
              <w:jc w:val="center"/>
              <w:textAlignment w:val="auto"/>
              <w:rPr>
                <w:rFonts w:cstheme="minorHAnsi"/>
                <w:b/>
                <w:color w:val="FFFFFF"/>
                <w:sz w:val="20"/>
              </w:rPr>
            </w:pPr>
            <w:proofErr w:type="spellStart"/>
            <w:r>
              <w:rPr>
                <w:rFonts w:hint="eastAsia"/>
                <w:b/>
                <w:color w:val="FFFFFF"/>
                <w:sz w:val="20"/>
              </w:rPr>
              <w:t>成果指标</w:t>
            </w:r>
            <w:proofErr w:type="spellEnd"/>
          </w:p>
        </w:tc>
        <w:tc>
          <w:tcPr>
            <w:tcW w:w="2268" w:type="dxa"/>
            <w:tcBorders>
              <w:top w:val="single" w:sz="4" w:space="0" w:color="44B3E1"/>
              <w:left w:val="nil"/>
              <w:bottom w:val="single" w:sz="4" w:space="0" w:color="44B3E1"/>
              <w:right w:val="nil"/>
            </w:tcBorders>
            <w:shd w:val="clear" w:color="auto" w:fill="156082"/>
          </w:tcPr>
          <w:p w14:paraId="225B8D7C" w14:textId="77777777" w:rsidR="00521A20" w:rsidRDefault="00BB475A">
            <w:pPr>
              <w:overflowPunct/>
              <w:autoSpaceDE/>
              <w:autoSpaceDN/>
              <w:adjustRightInd/>
              <w:spacing w:before="0"/>
              <w:jc w:val="center"/>
              <w:textAlignment w:val="auto"/>
              <w:rPr>
                <w:rFonts w:cstheme="minorHAnsi"/>
                <w:b/>
                <w:color w:val="FFFFFF"/>
                <w:sz w:val="20"/>
                <w:lang w:eastAsia="zh-CN"/>
              </w:rPr>
            </w:pPr>
            <w:r>
              <w:rPr>
                <w:rFonts w:hint="eastAsia"/>
                <w:b/>
                <w:color w:val="FFFFFF"/>
                <w:sz w:val="20"/>
                <w:lang w:eastAsia="zh-CN"/>
              </w:rPr>
              <w:t>输出成果</w:t>
            </w:r>
            <w:r>
              <w:rPr>
                <w:rFonts w:hint="eastAsia"/>
                <w:b/>
                <w:color w:val="FFFFFF"/>
                <w:sz w:val="20"/>
                <w:lang w:eastAsia="zh-CN"/>
              </w:rPr>
              <w:br/>
            </w:r>
            <w:r>
              <w:rPr>
                <w:rFonts w:hint="eastAsia"/>
                <w:b/>
                <w:color w:val="FFFFFF"/>
                <w:sz w:val="20"/>
                <w:lang w:eastAsia="zh-CN"/>
              </w:rPr>
              <w:t>（</w:t>
            </w:r>
            <w:r>
              <w:rPr>
                <w:rFonts w:hint="eastAsia"/>
                <w:b/>
                <w:color w:val="FFFFFF"/>
                <w:sz w:val="20"/>
                <w:lang w:eastAsia="zh-CN"/>
              </w:rPr>
              <w:t xml:space="preserve">ITU-D </w:t>
            </w:r>
            <w:r>
              <w:rPr>
                <w:rFonts w:hint="eastAsia"/>
                <w:b/>
                <w:color w:val="FFFFFF"/>
                <w:sz w:val="20"/>
                <w:lang w:eastAsia="zh-CN"/>
              </w:rPr>
              <w:t>产品和服务）</w:t>
            </w:r>
          </w:p>
        </w:tc>
        <w:tc>
          <w:tcPr>
            <w:tcW w:w="1559" w:type="dxa"/>
            <w:tcBorders>
              <w:top w:val="single" w:sz="4" w:space="0" w:color="44B3E1"/>
              <w:left w:val="nil"/>
              <w:bottom w:val="single" w:sz="4" w:space="0" w:color="44B3E1"/>
              <w:right w:val="nil"/>
            </w:tcBorders>
            <w:shd w:val="clear" w:color="auto" w:fill="156082"/>
          </w:tcPr>
          <w:p w14:paraId="2D4F881E" w14:textId="77777777" w:rsidR="00521A20" w:rsidRDefault="00BB475A">
            <w:pPr>
              <w:overflowPunct/>
              <w:autoSpaceDE/>
              <w:autoSpaceDN/>
              <w:adjustRightInd/>
              <w:spacing w:before="0"/>
              <w:jc w:val="center"/>
              <w:textAlignment w:val="auto"/>
              <w:rPr>
                <w:rFonts w:cstheme="minorHAnsi"/>
                <w:b/>
                <w:color w:val="FFFFFF"/>
                <w:sz w:val="20"/>
              </w:rPr>
            </w:pPr>
            <w:r>
              <w:rPr>
                <w:rFonts w:hint="eastAsia"/>
                <w:b/>
                <w:color w:val="FFFFFF"/>
                <w:sz w:val="20"/>
              </w:rPr>
              <w:t>2026</w:t>
            </w:r>
            <w:proofErr w:type="spellStart"/>
            <w:r>
              <w:rPr>
                <w:rFonts w:hint="eastAsia"/>
                <w:b/>
                <w:color w:val="FFFFFF"/>
                <w:sz w:val="20"/>
              </w:rPr>
              <w:t>年预算（瑞郎</w:t>
            </w:r>
            <w:proofErr w:type="spellEnd"/>
            <w:r>
              <w:rPr>
                <w:rFonts w:hint="eastAsia"/>
                <w:b/>
                <w:color w:val="FFFFFF"/>
                <w:sz w:val="20"/>
              </w:rPr>
              <w:t>）</w:t>
            </w:r>
          </w:p>
        </w:tc>
        <w:tc>
          <w:tcPr>
            <w:tcW w:w="1559" w:type="dxa"/>
            <w:tcBorders>
              <w:top w:val="single" w:sz="4" w:space="0" w:color="44B3E1"/>
              <w:left w:val="nil"/>
              <w:bottom w:val="single" w:sz="4" w:space="0" w:color="44B3E1"/>
              <w:right w:val="nil"/>
            </w:tcBorders>
            <w:shd w:val="clear" w:color="auto" w:fill="156082"/>
          </w:tcPr>
          <w:p w14:paraId="5F25B7F8" w14:textId="77777777" w:rsidR="00521A20" w:rsidRDefault="00BB475A">
            <w:pPr>
              <w:overflowPunct/>
              <w:autoSpaceDE/>
              <w:autoSpaceDN/>
              <w:adjustRightInd/>
              <w:spacing w:before="0"/>
              <w:jc w:val="center"/>
              <w:textAlignment w:val="auto"/>
              <w:rPr>
                <w:rFonts w:cstheme="minorHAnsi"/>
                <w:b/>
                <w:color w:val="FFFFFF"/>
                <w:sz w:val="20"/>
                <w:lang w:eastAsia="zh-CN"/>
              </w:rPr>
            </w:pPr>
            <w:r>
              <w:rPr>
                <w:rFonts w:hint="eastAsia"/>
                <w:b/>
                <w:color w:val="FFFFFF"/>
                <w:sz w:val="20"/>
                <w:lang w:eastAsia="zh-CN"/>
              </w:rPr>
              <w:t>占重点工作</w:t>
            </w:r>
            <w:r>
              <w:rPr>
                <w:rFonts w:hint="eastAsia"/>
                <w:b/>
                <w:color w:val="FFFFFF"/>
                <w:sz w:val="20"/>
                <w:lang w:eastAsia="zh-CN"/>
              </w:rPr>
              <w:t>/</w:t>
            </w:r>
            <w:r>
              <w:rPr>
                <w:rFonts w:hint="eastAsia"/>
                <w:b/>
                <w:color w:val="FFFFFF"/>
                <w:sz w:val="20"/>
                <w:lang w:eastAsia="zh-CN"/>
              </w:rPr>
              <w:t>推动因素总数的百分比</w:t>
            </w:r>
          </w:p>
        </w:tc>
        <w:tc>
          <w:tcPr>
            <w:tcW w:w="1559" w:type="dxa"/>
            <w:tcBorders>
              <w:top w:val="single" w:sz="4" w:space="0" w:color="44B3E1"/>
              <w:left w:val="nil"/>
              <w:bottom w:val="single" w:sz="4" w:space="0" w:color="44B3E1"/>
              <w:right w:val="single" w:sz="4" w:space="0" w:color="44B3E1"/>
            </w:tcBorders>
            <w:shd w:val="clear" w:color="auto" w:fill="156082"/>
          </w:tcPr>
          <w:p w14:paraId="450F9377" w14:textId="77777777" w:rsidR="00521A20" w:rsidRDefault="00BB475A">
            <w:pPr>
              <w:overflowPunct/>
              <w:autoSpaceDE/>
              <w:autoSpaceDN/>
              <w:adjustRightInd/>
              <w:spacing w:before="0"/>
              <w:jc w:val="center"/>
              <w:textAlignment w:val="auto"/>
              <w:rPr>
                <w:rFonts w:cstheme="minorHAnsi"/>
                <w:b/>
                <w:color w:val="FFFFFF"/>
                <w:sz w:val="20"/>
              </w:rPr>
            </w:pPr>
            <w:proofErr w:type="spellStart"/>
            <w:r>
              <w:rPr>
                <w:rFonts w:hint="eastAsia"/>
                <w:b/>
                <w:color w:val="FFFFFF"/>
                <w:sz w:val="20"/>
              </w:rPr>
              <w:t>占总预算的百分比</w:t>
            </w:r>
            <w:proofErr w:type="spellEnd"/>
          </w:p>
        </w:tc>
      </w:tr>
      <w:tr w:rsidR="00521A20" w14:paraId="5A445BF7" w14:textId="77777777">
        <w:trPr>
          <w:trHeight w:val="300"/>
        </w:trPr>
        <w:tc>
          <w:tcPr>
            <w:tcW w:w="8506" w:type="dxa"/>
            <w:gridSpan w:val="3"/>
            <w:tcBorders>
              <w:top w:val="single" w:sz="4" w:space="0" w:color="44B3E1"/>
              <w:left w:val="single" w:sz="4" w:space="0" w:color="44B3E1"/>
              <w:bottom w:val="single" w:sz="4" w:space="0" w:color="44B3E1"/>
              <w:right w:val="nil"/>
            </w:tcBorders>
            <w:shd w:val="clear" w:color="auto" w:fill="C0E6F5"/>
            <w:noWrap/>
          </w:tcPr>
          <w:p w14:paraId="6663FF91" w14:textId="77777777" w:rsidR="00521A20" w:rsidRDefault="00BB475A">
            <w:pPr>
              <w:overflowPunct/>
              <w:autoSpaceDE/>
              <w:autoSpaceDN/>
              <w:adjustRightInd/>
              <w:spacing w:before="0"/>
              <w:textAlignment w:val="auto"/>
              <w:rPr>
                <w:rFonts w:cstheme="minorHAnsi"/>
                <w:b/>
                <w:color w:val="000000"/>
                <w:sz w:val="20"/>
                <w:lang w:eastAsia="zh-CN"/>
              </w:rPr>
            </w:pPr>
            <w:r>
              <w:rPr>
                <w:rFonts w:hint="eastAsia"/>
                <w:b/>
                <w:color w:val="000000"/>
                <w:sz w:val="20"/>
                <w:lang w:eastAsia="zh-CN"/>
              </w:rPr>
              <w:t>所有包容、安全和可靠的电信</w:t>
            </w:r>
            <w:r>
              <w:rPr>
                <w:rFonts w:hint="eastAsia"/>
                <w:b/>
                <w:color w:val="000000"/>
                <w:sz w:val="20"/>
                <w:lang w:eastAsia="zh-CN"/>
              </w:rPr>
              <w:t>/ICT</w:t>
            </w:r>
            <w:r>
              <w:rPr>
                <w:rFonts w:hint="eastAsia"/>
                <w:b/>
                <w:color w:val="000000"/>
                <w:sz w:val="20"/>
                <w:lang w:eastAsia="zh-CN"/>
              </w:rPr>
              <w:t>促进可持续发展</w:t>
            </w:r>
          </w:p>
        </w:tc>
        <w:tc>
          <w:tcPr>
            <w:tcW w:w="2268" w:type="dxa"/>
            <w:tcBorders>
              <w:top w:val="single" w:sz="4" w:space="0" w:color="44B3E1"/>
              <w:left w:val="nil"/>
              <w:bottom w:val="single" w:sz="4" w:space="0" w:color="44B3E1"/>
              <w:right w:val="nil"/>
            </w:tcBorders>
            <w:shd w:val="clear" w:color="auto" w:fill="C0E6F5"/>
            <w:noWrap/>
          </w:tcPr>
          <w:p w14:paraId="255045D4" w14:textId="77777777" w:rsidR="00521A20" w:rsidRDefault="00521A20">
            <w:pPr>
              <w:overflowPunct/>
              <w:autoSpaceDE/>
              <w:autoSpaceDN/>
              <w:adjustRightInd/>
              <w:spacing w:before="0"/>
              <w:textAlignment w:val="auto"/>
              <w:rPr>
                <w:rFonts w:cstheme="minorHAnsi"/>
                <w:b/>
                <w:color w:val="000000"/>
                <w:sz w:val="20"/>
                <w:lang w:eastAsia="zh-CN"/>
              </w:rPr>
            </w:pPr>
          </w:p>
        </w:tc>
        <w:tc>
          <w:tcPr>
            <w:tcW w:w="1559" w:type="dxa"/>
            <w:tcBorders>
              <w:top w:val="single" w:sz="4" w:space="0" w:color="44B3E1"/>
              <w:left w:val="nil"/>
              <w:bottom w:val="single" w:sz="4" w:space="0" w:color="44B3E1"/>
              <w:right w:val="nil"/>
            </w:tcBorders>
            <w:shd w:val="clear" w:color="auto" w:fill="C0E6F5"/>
            <w:noWrap/>
          </w:tcPr>
          <w:p w14:paraId="1393A764" w14:textId="77777777" w:rsidR="00521A20" w:rsidRDefault="00BB475A">
            <w:pPr>
              <w:overflowPunct/>
              <w:autoSpaceDE/>
              <w:autoSpaceDN/>
              <w:adjustRightInd/>
              <w:spacing w:before="0"/>
              <w:jc w:val="center"/>
              <w:textAlignment w:val="auto"/>
              <w:rPr>
                <w:rFonts w:cstheme="minorHAnsi"/>
                <w:b/>
                <w:color w:val="000000"/>
                <w:sz w:val="20"/>
              </w:rPr>
            </w:pPr>
            <w:r>
              <w:rPr>
                <w:rFonts w:hint="eastAsia"/>
                <w:b/>
                <w:color w:val="000000"/>
                <w:sz w:val="20"/>
              </w:rPr>
              <w:t>736,500</w:t>
            </w:r>
          </w:p>
        </w:tc>
        <w:tc>
          <w:tcPr>
            <w:tcW w:w="1559" w:type="dxa"/>
            <w:tcBorders>
              <w:top w:val="single" w:sz="4" w:space="0" w:color="44B3E1"/>
              <w:left w:val="nil"/>
              <w:bottom w:val="single" w:sz="4" w:space="0" w:color="44B3E1"/>
              <w:right w:val="nil"/>
            </w:tcBorders>
            <w:shd w:val="clear" w:color="auto" w:fill="C0E6F5"/>
            <w:noWrap/>
          </w:tcPr>
          <w:p w14:paraId="228964D9" w14:textId="77777777" w:rsidR="00521A20" w:rsidRDefault="00521A20">
            <w:pPr>
              <w:overflowPunct/>
              <w:autoSpaceDE/>
              <w:autoSpaceDN/>
              <w:adjustRightInd/>
              <w:spacing w:before="0"/>
              <w:jc w:val="center"/>
              <w:textAlignment w:val="auto"/>
              <w:rPr>
                <w:rFonts w:cstheme="minorHAnsi"/>
                <w:b/>
                <w:color w:val="000000"/>
                <w:sz w:val="20"/>
                <w:lang w:eastAsia="en-GB"/>
              </w:rPr>
            </w:pPr>
          </w:p>
        </w:tc>
        <w:tc>
          <w:tcPr>
            <w:tcW w:w="1559" w:type="dxa"/>
            <w:tcBorders>
              <w:top w:val="single" w:sz="4" w:space="0" w:color="44B3E1"/>
              <w:left w:val="nil"/>
              <w:bottom w:val="single" w:sz="4" w:space="0" w:color="44B3E1"/>
              <w:right w:val="single" w:sz="4" w:space="0" w:color="44B3E1"/>
            </w:tcBorders>
            <w:shd w:val="clear" w:color="auto" w:fill="C0E6F5"/>
            <w:noWrap/>
          </w:tcPr>
          <w:p w14:paraId="0BEE912E" w14:textId="77777777" w:rsidR="00521A20" w:rsidRDefault="00BB475A">
            <w:pPr>
              <w:overflowPunct/>
              <w:autoSpaceDE/>
              <w:autoSpaceDN/>
              <w:adjustRightInd/>
              <w:spacing w:before="0"/>
              <w:jc w:val="center"/>
              <w:textAlignment w:val="auto"/>
              <w:rPr>
                <w:rFonts w:cstheme="minorHAnsi"/>
                <w:b/>
                <w:color w:val="000000"/>
                <w:sz w:val="20"/>
              </w:rPr>
            </w:pPr>
            <w:r>
              <w:rPr>
                <w:rFonts w:hint="eastAsia"/>
                <w:b/>
                <w:color w:val="000000"/>
                <w:sz w:val="20"/>
              </w:rPr>
              <w:t>19.32%</w:t>
            </w:r>
          </w:p>
        </w:tc>
      </w:tr>
      <w:tr w:rsidR="00521A20" w14:paraId="6C9B6DA3" w14:textId="77777777">
        <w:trPr>
          <w:trHeight w:val="3332"/>
        </w:trPr>
        <w:tc>
          <w:tcPr>
            <w:tcW w:w="2127" w:type="dxa"/>
            <w:tcBorders>
              <w:top w:val="single" w:sz="4" w:space="0" w:color="44B3E1"/>
              <w:left w:val="single" w:sz="4" w:space="0" w:color="44B3E1"/>
              <w:bottom w:val="single" w:sz="4" w:space="0" w:color="44B3E1"/>
              <w:right w:val="nil"/>
            </w:tcBorders>
            <w:noWrap/>
          </w:tcPr>
          <w:p w14:paraId="0B88ECCC" w14:textId="77777777" w:rsidR="00521A20" w:rsidRDefault="00BB475A">
            <w:pPr>
              <w:overflowPunct/>
              <w:autoSpaceDE/>
              <w:autoSpaceDN/>
              <w:adjustRightInd/>
              <w:spacing w:before="0"/>
              <w:textAlignment w:val="auto"/>
              <w:rPr>
                <w:rFonts w:cstheme="minorHAnsi"/>
                <w:b/>
                <w:color w:val="000000"/>
                <w:sz w:val="20"/>
              </w:rPr>
            </w:pPr>
            <w:proofErr w:type="spellStart"/>
            <w:r>
              <w:rPr>
                <w:rFonts w:hint="eastAsia"/>
                <w:b/>
                <w:color w:val="000000"/>
                <w:sz w:val="20"/>
              </w:rPr>
              <w:t>网络安全</w:t>
            </w:r>
            <w:proofErr w:type="spellEnd"/>
          </w:p>
        </w:tc>
        <w:tc>
          <w:tcPr>
            <w:tcW w:w="3260" w:type="dxa"/>
            <w:tcBorders>
              <w:top w:val="single" w:sz="4" w:space="0" w:color="44B3E1"/>
              <w:left w:val="nil"/>
              <w:bottom w:val="single" w:sz="4" w:space="0" w:color="44B3E1"/>
              <w:right w:val="nil"/>
            </w:tcBorders>
          </w:tcPr>
          <w:p w14:paraId="1EF10E53" w14:textId="77777777" w:rsidR="00521A20" w:rsidRDefault="00BB475A">
            <w:pPr>
              <w:overflowPunct/>
              <w:autoSpaceDE/>
              <w:autoSpaceDN/>
              <w:adjustRightInd/>
              <w:spacing w:before="0"/>
              <w:textAlignment w:val="auto"/>
              <w:rPr>
                <w:rFonts w:cstheme="minorHAnsi"/>
                <w:color w:val="000000"/>
                <w:sz w:val="20"/>
                <w:lang w:eastAsia="zh-CN"/>
              </w:rPr>
            </w:pPr>
            <w:r>
              <w:rPr>
                <w:rFonts w:hint="eastAsia"/>
                <w:color w:val="000000"/>
                <w:sz w:val="20"/>
                <w:lang w:eastAsia="zh-CN"/>
              </w:rPr>
              <w:t>•提高网络安全问题素养和意识</w:t>
            </w:r>
            <w:r>
              <w:rPr>
                <w:rFonts w:hint="eastAsia"/>
                <w:color w:val="000000"/>
                <w:sz w:val="20"/>
                <w:lang w:eastAsia="zh-CN"/>
              </w:rPr>
              <w:br/>
            </w:r>
            <w:r>
              <w:rPr>
                <w:rFonts w:hint="eastAsia"/>
                <w:color w:val="000000"/>
                <w:sz w:val="20"/>
                <w:lang w:eastAsia="zh-CN"/>
              </w:rPr>
              <w:t>•加强应对网络事件和网络攻击的能力</w:t>
            </w:r>
            <w:r>
              <w:rPr>
                <w:rFonts w:hint="eastAsia"/>
                <w:color w:val="000000"/>
                <w:sz w:val="20"/>
                <w:lang w:eastAsia="zh-CN"/>
              </w:rPr>
              <w:br/>
            </w:r>
            <w:r>
              <w:rPr>
                <w:rFonts w:hint="eastAsia"/>
                <w:color w:val="000000"/>
                <w:sz w:val="20"/>
                <w:lang w:eastAsia="zh-CN"/>
              </w:rPr>
              <w:t>•加强保护上网儿童</w:t>
            </w:r>
          </w:p>
        </w:tc>
        <w:tc>
          <w:tcPr>
            <w:tcW w:w="3119" w:type="dxa"/>
            <w:tcBorders>
              <w:top w:val="single" w:sz="4" w:space="0" w:color="44B3E1"/>
              <w:left w:val="nil"/>
              <w:bottom w:val="single" w:sz="4" w:space="0" w:color="44B3E1"/>
              <w:right w:val="nil"/>
            </w:tcBorders>
          </w:tcPr>
          <w:p w14:paraId="20BF532E" w14:textId="77777777" w:rsidR="00521A20" w:rsidRDefault="00BB475A">
            <w:pPr>
              <w:overflowPunct/>
              <w:autoSpaceDE/>
              <w:autoSpaceDN/>
              <w:adjustRightInd/>
              <w:spacing w:before="0"/>
              <w:textAlignment w:val="auto"/>
              <w:rPr>
                <w:rFonts w:cstheme="minorHAnsi"/>
                <w:color w:val="000000" w:themeColor="text1"/>
                <w:sz w:val="20"/>
                <w:lang w:eastAsia="zh-CN"/>
              </w:rPr>
            </w:pPr>
            <w:r>
              <w:rPr>
                <w:rFonts w:hint="eastAsia"/>
                <w:sz w:val="20"/>
                <w:lang w:eastAsia="zh-CN"/>
              </w:rPr>
              <w:t>•已将网络安全战略纳入国家发展议程的成员国数量</w:t>
            </w:r>
            <w:r>
              <w:rPr>
                <w:rFonts w:hint="eastAsia"/>
                <w:sz w:val="20"/>
                <w:lang w:eastAsia="zh-CN"/>
              </w:rPr>
              <w:br/>
            </w:r>
            <w:r>
              <w:rPr>
                <w:rFonts w:hint="eastAsia"/>
                <w:sz w:val="20"/>
                <w:lang w:eastAsia="zh-CN"/>
              </w:rPr>
              <w:t>•建立计算机事件响应团队（</w:t>
            </w:r>
            <w:r>
              <w:rPr>
                <w:rFonts w:hint="eastAsia"/>
                <w:sz w:val="20"/>
                <w:lang w:eastAsia="zh-CN"/>
              </w:rPr>
              <w:t>CIRT</w:t>
            </w:r>
            <w:r>
              <w:rPr>
                <w:rFonts w:hint="eastAsia"/>
                <w:sz w:val="20"/>
                <w:lang w:eastAsia="zh-CN"/>
              </w:rPr>
              <w:t>）的成员国数量</w:t>
            </w:r>
            <w:r>
              <w:rPr>
                <w:rFonts w:hint="eastAsia"/>
                <w:sz w:val="20"/>
                <w:lang w:eastAsia="zh-CN"/>
              </w:rPr>
              <w:br/>
            </w:r>
            <w:r>
              <w:rPr>
                <w:rFonts w:hint="eastAsia"/>
                <w:sz w:val="20"/>
                <w:lang w:eastAsia="zh-CN"/>
              </w:rPr>
              <w:t>•国家</w:t>
            </w:r>
            <w:r>
              <w:rPr>
                <w:rFonts w:hint="eastAsia"/>
                <w:sz w:val="20"/>
                <w:lang w:eastAsia="zh-CN"/>
              </w:rPr>
              <w:t>CIRTS</w:t>
            </w:r>
            <w:r>
              <w:rPr>
                <w:rFonts w:hint="eastAsia"/>
                <w:sz w:val="20"/>
                <w:lang w:eastAsia="zh-CN"/>
              </w:rPr>
              <w:t>（或同等机构）作为相关区域或全球合作举措成员或参与者的成员国百分比</w:t>
            </w:r>
            <w:r>
              <w:rPr>
                <w:rFonts w:hint="eastAsia"/>
                <w:sz w:val="20"/>
                <w:lang w:eastAsia="zh-CN"/>
              </w:rPr>
              <w:br/>
            </w:r>
            <w:r>
              <w:rPr>
                <w:rFonts w:hint="eastAsia"/>
                <w:sz w:val="20"/>
                <w:lang w:eastAsia="zh-CN"/>
              </w:rPr>
              <w:t>•制定了保护上网儿童政策</w:t>
            </w:r>
            <w:r>
              <w:rPr>
                <w:rFonts w:hint="eastAsia"/>
                <w:sz w:val="20"/>
                <w:lang w:eastAsia="zh-CN"/>
              </w:rPr>
              <w:t>/</w:t>
            </w:r>
            <w:r>
              <w:rPr>
                <w:rFonts w:hint="eastAsia"/>
                <w:sz w:val="20"/>
                <w:lang w:eastAsia="zh-CN"/>
              </w:rPr>
              <w:t>战略的成员国数量</w:t>
            </w:r>
            <w:r>
              <w:rPr>
                <w:rFonts w:hint="eastAsia"/>
                <w:sz w:val="20"/>
                <w:lang w:eastAsia="zh-CN"/>
              </w:rPr>
              <w:t xml:space="preserve"> </w:t>
            </w:r>
          </w:p>
          <w:p w14:paraId="66E6DB0F" w14:textId="77777777" w:rsidR="00521A20" w:rsidRDefault="00BB475A">
            <w:pPr>
              <w:overflowPunct/>
              <w:autoSpaceDE/>
              <w:autoSpaceDN/>
              <w:adjustRightInd/>
              <w:spacing w:before="0"/>
              <w:textAlignment w:val="auto"/>
              <w:rPr>
                <w:rFonts w:cstheme="minorHAnsi"/>
                <w:color w:val="000000"/>
                <w:sz w:val="20"/>
                <w:lang w:eastAsia="zh-CN"/>
              </w:rPr>
            </w:pPr>
            <w:r>
              <w:rPr>
                <w:rFonts w:hint="eastAsia"/>
                <w:sz w:val="20"/>
                <w:lang w:eastAsia="zh-CN"/>
              </w:rPr>
              <w:t>•设立了在线儿童支持系统（如帮助热线、转介系统）的成员国数量</w:t>
            </w:r>
          </w:p>
        </w:tc>
        <w:tc>
          <w:tcPr>
            <w:tcW w:w="2268" w:type="dxa"/>
            <w:tcBorders>
              <w:top w:val="single" w:sz="4" w:space="0" w:color="44B3E1"/>
              <w:left w:val="nil"/>
              <w:bottom w:val="single" w:sz="4" w:space="0" w:color="44B3E1"/>
              <w:right w:val="nil"/>
            </w:tcBorders>
          </w:tcPr>
          <w:p w14:paraId="416EB600" w14:textId="77777777" w:rsidR="00521A20" w:rsidRDefault="00BB475A">
            <w:pPr>
              <w:overflowPunct/>
              <w:autoSpaceDE/>
              <w:autoSpaceDN/>
              <w:adjustRightInd/>
              <w:spacing w:before="0"/>
              <w:textAlignment w:val="auto"/>
              <w:rPr>
                <w:rFonts w:cstheme="minorHAnsi"/>
                <w:color w:val="000000"/>
                <w:sz w:val="20"/>
                <w:lang w:eastAsia="zh-CN"/>
              </w:rPr>
            </w:pPr>
            <w:r>
              <w:rPr>
                <w:rFonts w:hint="eastAsia"/>
                <w:color w:val="000000"/>
                <w:sz w:val="20"/>
                <w:lang w:eastAsia="zh-CN"/>
              </w:rPr>
              <w:t>•召集平台</w:t>
            </w:r>
            <w:r>
              <w:rPr>
                <w:rFonts w:hint="eastAsia"/>
                <w:color w:val="000000"/>
                <w:sz w:val="20"/>
                <w:lang w:eastAsia="zh-CN"/>
              </w:rPr>
              <w:br/>
            </w:r>
            <w:r>
              <w:rPr>
                <w:rFonts w:hint="eastAsia"/>
                <w:color w:val="000000"/>
                <w:sz w:val="20"/>
                <w:lang w:eastAsia="zh-CN"/>
              </w:rPr>
              <w:t>•学习框架</w:t>
            </w:r>
            <w:r>
              <w:rPr>
                <w:rFonts w:hint="eastAsia"/>
                <w:color w:val="000000"/>
                <w:sz w:val="20"/>
                <w:lang w:eastAsia="zh-CN"/>
              </w:rPr>
              <w:br/>
            </w:r>
            <w:r>
              <w:rPr>
                <w:rFonts w:hint="eastAsia"/>
                <w:color w:val="000000"/>
                <w:sz w:val="20"/>
                <w:lang w:eastAsia="zh-CN"/>
              </w:rPr>
              <w:t>•示范政策和战略、工具包</w:t>
            </w:r>
            <w:r>
              <w:rPr>
                <w:rFonts w:hint="eastAsia"/>
                <w:color w:val="000000"/>
                <w:sz w:val="20"/>
                <w:lang w:eastAsia="zh-CN"/>
              </w:rPr>
              <w:br/>
            </w:r>
            <w:r>
              <w:rPr>
                <w:rFonts w:hint="eastAsia"/>
                <w:color w:val="000000"/>
                <w:sz w:val="20"/>
                <w:lang w:eastAsia="zh-CN"/>
              </w:rPr>
              <w:t>•技术干预</w:t>
            </w:r>
            <w:r>
              <w:rPr>
                <w:rFonts w:hint="eastAsia"/>
                <w:color w:val="000000"/>
                <w:sz w:val="20"/>
                <w:lang w:eastAsia="zh-CN"/>
              </w:rPr>
              <w:br/>
            </w:r>
            <w:r>
              <w:rPr>
                <w:rFonts w:hint="eastAsia"/>
                <w:color w:val="000000"/>
                <w:sz w:val="20"/>
                <w:lang w:eastAsia="zh-CN"/>
              </w:rPr>
              <w:t>•统计数据</w:t>
            </w:r>
            <w:r>
              <w:rPr>
                <w:rFonts w:hint="eastAsia"/>
                <w:color w:val="000000"/>
                <w:sz w:val="20"/>
                <w:lang w:eastAsia="zh-CN"/>
              </w:rPr>
              <w:t xml:space="preserve"> </w:t>
            </w:r>
          </w:p>
        </w:tc>
        <w:tc>
          <w:tcPr>
            <w:tcW w:w="1559" w:type="dxa"/>
            <w:tcBorders>
              <w:top w:val="single" w:sz="4" w:space="0" w:color="44B3E1"/>
              <w:left w:val="nil"/>
              <w:bottom w:val="single" w:sz="4" w:space="0" w:color="44B3E1"/>
              <w:right w:val="nil"/>
            </w:tcBorders>
            <w:noWrap/>
          </w:tcPr>
          <w:p w14:paraId="4F48F8E3" w14:textId="77777777" w:rsidR="00521A20" w:rsidRDefault="00BB475A">
            <w:pPr>
              <w:overflowPunct/>
              <w:autoSpaceDE/>
              <w:autoSpaceDN/>
              <w:adjustRightInd/>
              <w:spacing w:before="0"/>
              <w:jc w:val="center"/>
              <w:textAlignment w:val="auto"/>
              <w:rPr>
                <w:rFonts w:cstheme="minorHAnsi"/>
                <w:color w:val="000000"/>
                <w:sz w:val="20"/>
              </w:rPr>
            </w:pPr>
            <w:r>
              <w:rPr>
                <w:rFonts w:hint="eastAsia"/>
                <w:color w:val="000000"/>
                <w:sz w:val="20"/>
              </w:rPr>
              <w:t>465,000</w:t>
            </w:r>
          </w:p>
        </w:tc>
        <w:tc>
          <w:tcPr>
            <w:tcW w:w="1559" w:type="dxa"/>
            <w:tcBorders>
              <w:top w:val="single" w:sz="4" w:space="0" w:color="44B3E1"/>
              <w:left w:val="nil"/>
              <w:bottom w:val="single" w:sz="4" w:space="0" w:color="44B3E1"/>
              <w:right w:val="nil"/>
            </w:tcBorders>
            <w:noWrap/>
          </w:tcPr>
          <w:p w14:paraId="3D8102F8" w14:textId="77777777" w:rsidR="00521A20" w:rsidRDefault="00BB475A">
            <w:pPr>
              <w:overflowPunct/>
              <w:autoSpaceDE/>
              <w:autoSpaceDN/>
              <w:adjustRightInd/>
              <w:spacing w:before="0"/>
              <w:jc w:val="center"/>
              <w:textAlignment w:val="auto"/>
              <w:rPr>
                <w:rFonts w:cstheme="minorHAnsi"/>
                <w:color w:val="000000"/>
                <w:sz w:val="20"/>
              </w:rPr>
            </w:pPr>
            <w:r>
              <w:rPr>
                <w:rFonts w:hint="eastAsia"/>
                <w:color w:val="000000"/>
                <w:sz w:val="20"/>
              </w:rPr>
              <w:t>63.1%</w:t>
            </w:r>
          </w:p>
        </w:tc>
        <w:tc>
          <w:tcPr>
            <w:tcW w:w="1559" w:type="dxa"/>
            <w:tcBorders>
              <w:top w:val="single" w:sz="4" w:space="0" w:color="44B3E1"/>
              <w:left w:val="nil"/>
              <w:bottom w:val="single" w:sz="4" w:space="0" w:color="44B3E1"/>
              <w:right w:val="single" w:sz="4" w:space="0" w:color="44B3E1"/>
            </w:tcBorders>
            <w:noWrap/>
          </w:tcPr>
          <w:p w14:paraId="195BAA28" w14:textId="77777777" w:rsidR="00521A20" w:rsidRDefault="00BB475A">
            <w:pPr>
              <w:overflowPunct/>
              <w:autoSpaceDE/>
              <w:autoSpaceDN/>
              <w:adjustRightInd/>
              <w:spacing w:before="0"/>
              <w:jc w:val="center"/>
              <w:textAlignment w:val="auto"/>
              <w:rPr>
                <w:rFonts w:cstheme="minorHAnsi"/>
                <w:color w:val="000000"/>
                <w:sz w:val="20"/>
              </w:rPr>
            </w:pPr>
            <w:r>
              <w:rPr>
                <w:rFonts w:hint="eastAsia"/>
                <w:color w:val="000000"/>
                <w:sz w:val="20"/>
              </w:rPr>
              <w:t>12.2%</w:t>
            </w:r>
          </w:p>
        </w:tc>
      </w:tr>
      <w:tr w:rsidR="00521A20" w14:paraId="5591F22A" w14:textId="77777777">
        <w:trPr>
          <w:trHeight w:val="70"/>
        </w:trPr>
        <w:tc>
          <w:tcPr>
            <w:tcW w:w="2127" w:type="dxa"/>
            <w:tcBorders>
              <w:top w:val="single" w:sz="4" w:space="0" w:color="44B3E1"/>
              <w:left w:val="single" w:sz="4" w:space="0" w:color="44B3E1"/>
              <w:bottom w:val="single" w:sz="4" w:space="0" w:color="44B3E1"/>
              <w:right w:val="nil"/>
            </w:tcBorders>
            <w:shd w:val="clear" w:color="auto" w:fill="C0E6F5"/>
            <w:noWrap/>
          </w:tcPr>
          <w:p w14:paraId="21C9ED65" w14:textId="77777777" w:rsidR="00521A20" w:rsidRDefault="00BB475A">
            <w:pPr>
              <w:overflowPunct/>
              <w:autoSpaceDE/>
              <w:autoSpaceDN/>
              <w:adjustRightInd/>
              <w:spacing w:before="0"/>
              <w:textAlignment w:val="auto"/>
              <w:rPr>
                <w:rFonts w:cstheme="minorHAnsi"/>
                <w:b/>
                <w:color w:val="000000"/>
                <w:sz w:val="20"/>
              </w:rPr>
            </w:pPr>
            <w:proofErr w:type="spellStart"/>
            <w:r>
              <w:rPr>
                <w:rFonts w:hint="eastAsia"/>
                <w:b/>
                <w:color w:val="000000"/>
                <w:sz w:val="20"/>
              </w:rPr>
              <w:t>数字包容性</w:t>
            </w:r>
            <w:proofErr w:type="spellEnd"/>
          </w:p>
        </w:tc>
        <w:tc>
          <w:tcPr>
            <w:tcW w:w="3260" w:type="dxa"/>
            <w:tcBorders>
              <w:top w:val="single" w:sz="4" w:space="0" w:color="44B3E1"/>
              <w:left w:val="nil"/>
              <w:bottom w:val="single" w:sz="4" w:space="0" w:color="44B3E1"/>
              <w:right w:val="nil"/>
            </w:tcBorders>
            <w:shd w:val="clear" w:color="auto" w:fill="C0E6F5"/>
          </w:tcPr>
          <w:p w14:paraId="5AA4F3D0" w14:textId="77777777" w:rsidR="00521A20" w:rsidRDefault="00BB475A">
            <w:pPr>
              <w:overflowPunct/>
              <w:autoSpaceDE/>
              <w:autoSpaceDN/>
              <w:adjustRightInd/>
              <w:spacing w:before="0"/>
              <w:textAlignment w:val="auto"/>
              <w:rPr>
                <w:rFonts w:cstheme="minorHAnsi"/>
                <w:sz w:val="20"/>
                <w:lang w:eastAsia="zh-CN"/>
              </w:rPr>
            </w:pPr>
            <w:r>
              <w:rPr>
                <w:rFonts w:hint="eastAsia"/>
                <w:color w:val="000000"/>
                <w:sz w:val="20"/>
                <w:lang w:eastAsia="zh-CN"/>
              </w:rPr>
              <w:t>•</w:t>
            </w:r>
            <w:r>
              <w:rPr>
                <w:rFonts w:hint="eastAsia"/>
                <w:sz w:val="18"/>
                <w:szCs w:val="18"/>
                <w:lang w:eastAsia="zh-CN"/>
              </w:rPr>
              <w:t>国际电联成员在制定数字包容性战略、政策和做法方面的能力得到加强，特别是用于增强妇女和女童以及残疾人权能的战略、政策和做法</w:t>
            </w:r>
          </w:p>
          <w:p w14:paraId="052A4E47" w14:textId="77777777" w:rsidR="00521A20" w:rsidRDefault="00521A20">
            <w:pPr>
              <w:overflowPunct/>
              <w:autoSpaceDE/>
              <w:autoSpaceDN/>
              <w:adjustRightInd/>
              <w:spacing w:before="0"/>
              <w:textAlignment w:val="auto"/>
              <w:rPr>
                <w:rFonts w:cstheme="minorHAnsi"/>
                <w:color w:val="000000"/>
                <w:sz w:val="20"/>
                <w:lang w:val="en-US" w:eastAsia="zh-CN"/>
              </w:rPr>
            </w:pPr>
          </w:p>
        </w:tc>
        <w:tc>
          <w:tcPr>
            <w:tcW w:w="3119" w:type="dxa"/>
            <w:tcBorders>
              <w:top w:val="single" w:sz="4" w:space="0" w:color="44B3E1"/>
              <w:left w:val="nil"/>
              <w:bottom w:val="single" w:sz="4" w:space="0" w:color="44B3E1"/>
              <w:right w:val="nil"/>
            </w:tcBorders>
            <w:shd w:val="clear" w:color="auto" w:fill="C0E6F5"/>
          </w:tcPr>
          <w:p w14:paraId="4309B9DB" w14:textId="77777777" w:rsidR="00521A20" w:rsidRDefault="00BB475A">
            <w:pPr>
              <w:overflowPunct/>
              <w:autoSpaceDE/>
              <w:autoSpaceDN/>
              <w:adjustRightInd/>
              <w:spacing w:before="0"/>
              <w:textAlignment w:val="auto"/>
              <w:rPr>
                <w:rFonts w:cstheme="minorBidi"/>
                <w:color w:val="000000"/>
                <w:sz w:val="20"/>
                <w:lang w:eastAsia="zh-CN"/>
              </w:rPr>
            </w:pPr>
            <w:r>
              <w:rPr>
                <w:rFonts w:hint="eastAsia"/>
                <w:lang w:eastAsia="zh-CN"/>
              </w:rPr>
              <w:t>•</w:t>
            </w:r>
            <w:r>
              <w:rPr>
                <w:rFonts w:hint="eastAsia"/>
                <w:color w:val="000000" w:themeColor="text1"/>
                <w:sz w:val="20"/>
                <w:lang w:eastAsia="zh-CN"/>
              </w:rPr>
              <w:t>已在国家层面制定数字包容性政策和战略的成员国数量</w:t>
            </w:r>
            <w:r>
              <w:rPr>
                <w:rFonts w:hint="eastAsia"/>
                <w:color w:val="000000" w:themeColor="text1"/>
                <w:sz w:val="20"/>
                <w:lang w:eastAsia="zh-CN"/>
              </w:rPr>
              <w:br/>
            </w:r>
            <w:r>
              <w:rPr>
                <w:rFonts w:hint="eastAsia"/>
                <w:color w:val="000000" w:themeColor="text1"/>
                <w:sz w:val="20"/>
                <w:lang w:eastAsia="zh-CN"/>
              </w:rPr>
              <w:t>•在过去两年中实施了数字包容性举措的成员国数量</w:t>
            </w:r>
          </w:p>
        </w:tc>
        <w:tc>
          <w:tcPr>
            <w:tcW w:w="2268" w:type="dxa"/>
            <w:tcBorders>
              <w:top w:val="single" w:sz="4" w:space="0" w:color="44B3E1"/>
              <w:left w:val="nil"/>
              <w:bottom w:val="single" w:sz="4" w:space="0" w:color="44B3E1"/>
              <w:right w:val="nil"/>
            </w:tcBorders>
            <w:shd w:val="clear" w:color="auto" w:fill="C0E6F5"/>
          </w:tcPr>
          <w:p w14:paraId="672BEC02" w14:textId="77777777" w:rsidR="00521A20" w:rsidRDefault="00BB475A">
            <w:pPr>
              <w:overflowPunct/>
              <w:autoSpaceDE/>
              <w:autoSpaceDN/>
              <w:adjustRightInd/>
              <w:spacing w:before="0"/>
              <w:textAlignment w:val="auto"/>
              <w:rPr>
                <w:rFonts w:cstheme="minorHAnsi"/>
                <w:color w:val="000000"/>
                <w:sz w:val="20"/>
                <w:lang w:eastAsia="zh-CN"/>
              </w:rPr>
            </w:pPr>
            <w:r>
              <w:rPr>
                <w:rFonts w:hint="eastAsia"/>
                <w:color w:val="000000"/>
                <w:sz w:val="20"/>
                <w:lang w:eastAsia="zh-CN"/>
              </w:rPr>
              <w:t>•学习框架</w:t>
            </w:r>
            <w:r>
              <w:rPr>
                <w:rFonts w:hint="eastAsia"/>
                <w:color w:val="000000"/>
                <w:sz w:val="20"/>
                <w:lang w:eastAsia="zh-CN"/>
              </w:rPr>
              <w:br/>
            </w:r>
            <w:r>
              <w:rPr>
                <w:rFonts w:hint="eastAsia"/>
                <w:color w:val="000000"/>
                <w:sz w:val="20"/>
                <w:lang w:eastAsia="zh-CN"/>
              </w:rPr>
              <w:t>•召集平台</w:t>
            </w:r>
            <w:r>
              <w:rPr>
                <w:rFonts w:hint="eastAsia"/>
                <w:color w:val="000000"/>
                <w:sz w:val="20"/>
                <w:lang w:eastAsia="zh-CN"/>
              </w:rPr>
              <w:br/>
            </w:r>
            <w:r>
              <w:rPr>
                <w:rFonts w:hint="eastAsia"/>
                <w:color w:val="000000"/>
                <w:sz w:val="20"/>
                <w:lang w:eastAsia="zh-CN"/>
              </w:rPr>
              <w:t>•示范政策和战略、工具包</w:t>
            </w:r>
            <w:r>
              <w:rPr>
                <w:rFonts w:hint="eastAsia"/>
                <w:color w:val="000000"/>
                <w:sz w:val="20"/>
                <w:lang w:eastAsia="zh-CN"/>
              </w:rPr>
              <w:br/>
            </w:r>
            <w:r>
              <w:rPr>
                <w:rFonts w:hint="eastAsia"/>
                <w:color w:val="000000"/>
                <w:sz w:val="20"/>
                <w:lang w:eastAsia="zh-CN"/>
              </w:rPr>
              <w:t>•技术干预</w:t>
            </w:r>
          </w:p>
        </w:tc>
        <w:tc>
          <w:tcPr>
            <w:tcW w:w="1559" w:type="dxa"/>
            <w:tcBorders>
              <w:top w:val="single" w:sz="4" w:space="0" w:color="44B3E1"/>
              <w:left w:val="nil"/>
              <w:bottom w:val="single" w:sz="4" w:space="0" w:color="44B3E1"/>
              <w:right w:val="nil"/>
            </w:tcBorders>
            <w:shd w:val="clear" w:color="auto" w:fill="C0E6F5"/>
            <w:noWrap/>
          </w:tcPr>
          <w:p w14:paraId="1B0A06AF" w14:textId="77777777" w:rsidR="00521A20" w:rsidRDefault="00BB475A">
            <w:pPr>
              <w:overflowPunct/>
              <w:autoSpaceDE/>
              <w:autoSpaceDN/>
              <w:adjustRightInd/>
              <w:spacing w:before="0"/>
              <w:jc w:val="center"/>
              <w:textAlignment w:val="auto"/>
              <w:rPr>
                <w:rFonts w:cstheme="minorHAnsi"/>
                <w:color w:val="000000"/>
                <w:sz w:val="20"/>
              </w:rPr>
            </w:pPr>
            <w:r>
              <w:rPr>
                <w:rFonts w:hint="eastAsia"/>
                <w:color w:val="000000"/>
                <w:sz w:val="20"/>
              </w:rPr>
              <w:t>271,500</w:t>
            </w:r>
          </w:p>
        </w:tc>
        <w:tc>
          <w:tcPr>
            <w:tcW w:w="1559" w:type="dxa"/>
            <w:tcBorders>
              <w:top w:val="single" w:sz="4" w:space="0" w:color="44B3E1"/>
              <w:left w:val="nil"/>
              <w:bottom w:val="single" w:sz="4" w:space="0" w:color="44B3E1"/>
              <w:right w:val="nil"/>
            </w:tcBorders>
            <w:shd w:val="clear" w:color="auto" w:fill="C0E6F5"/>
            <w:noWrap/>
          </w:tcPr>
          <w:p w14:paraId="6AAF2803" w14:textId="77777777" w:rsidR="00521A20" w:rsidRDefault="00BB475A">
            <w:pPr>
              <w:overflowPunct/>
              <w:autoSpaceDE/>
              <w:autoSpaceDN/>
              <w:adjustRightInd/>
              <w:spacing w:before="0"/>
              <w:jc w:val="center"/>
              <w:textAlignment w:val="auto"/>
              <w:rPr>
                <w:rFonts w:cstheme="minorHAnsi"/>
                <w:color w:val="000000"/>
                <w:sz w:val="20"/>
              </w:rPr>
            </w:pPr>
            <w:r>
              <w:rPr>
                <w:rFonts w:hint="eastAsia"/>
                <w:color w:val="000000"/>
                <w:sz w:val="20"/>
              </w:rPr>
              <w:t>36.9%</w:t>
            </w:r>
          </w:p>
        </w:tc>
        <w:tc>
          <w:tcPr>
            <w:tcW w:w="1559" w:type="dxa"/>
            <w:tcBorders>
              <w:top w:val="single" w:sz="4" w:space="0" w:color="44B3E1"/>
              <w:left w:val="nil"/>
              <w:bottom w:val="single" w:sz="4" w:space="0" w:color="44B3E1"/>
              <w:right w:val="single" w:sz="4" w:space="0" w:color="44B3E1"/>
            </w:tcBorders>
            <w:shd w:val="clear" w:color="auto" w:fill="C0E6F5"/>
            <w:noWrap/>
          </w:tcPr>
          <w:p w14:paraId="5C9EDD05" w14:textId="77777777" w:rsidR="00521A20" w:rsidRDefault="00BB475A">
            <w:pPr>
              <w:overflowPunct/>
              <w:autoSpaceDE/>
              <w:autoSpaceDN/>
              <w:adjustRightInd/>
              <w:spacing w:before="0"/>
              <w:jc w:val="center"/>
              <w:textAlignment w:val="auto"/>
              <w:rPr>
                <w:rFonts w:cstheme="minorHAnsi"/>
                <w:color w:val="000000"/>
                <w:sz w:val="20"/>
              </w:rPr>
            </w:pPr>
            <w:r>
              <w:rPr>
                <w:rFonts w:hint="eastAsia"/>
                <w:color w:val="000000"/>
                <w:sz w:val="20"/>
              </w:rPr>
              <w:t>7.1%</w:t>
            </w:r>
          </w:p>
        </w:tc>
      </w:tr>
    </w:tbl>
    <w:p w14:paraId="6A68EFD0" w14:textId="77777777" w:rsidR="00521A20" w:rsidRDefault="00521A20">
      <w:pPr>
        <w:pStyle w:val="Heading1"/>
        <w:sectPr w:rsidR="00521A20">
          <w:headerReference w:type="first" r:id="rId33"/>
          <w:pgSz w:w="16840" w:h="11907" w:orient="landscape"/>
          <w:pgMar w:top="1134" w:right="1418" w:bottom="1134" w:left="1134" w:header="720" w:footer="720" w:gutter="0"/>
          <w:cols w:space="720"/>
          <w:titlePg/>
          <w:docGrid w:linePitch="326"/>
        </w:sectPr>
      </w:pPr>
    </w:p>
    <w:p w14:paraId="696D4359" w14:textId="59E79E33" w:rsidR="00152CAC" w:rsidRPr="00713809" w:rsidRDefault="00622881" w:rsidP="005573EC">
      <w:pPr>
        <w:rPr>
          <w:rFonts w:ascii="Calibri" w:eastAsia="STKaiti" w:hAnsi="Calibri" w:cs="Calibri"/>
          <w:lang w:eastAsia="zh-CN"/>
        </w:rPr>
      </w:pPr>
      <w:r w:rsidRPr="00713809">
        <w:rPr>
          <w:rFonts w:ascii="Calibri" w:eastAsia="STKaiti" w:hAnsi="Calibri" w:cs="Calibri"/>
          <w:b/>
          <w:lang w:eastAsia="zh-CN"/>
        </w:rPr>
        <w:lastRenderedPageBreak/>
        <w:t>2026</w:t>
      </w:r>
      <w:r w:rsidRPr="00713809">
        <w:rPr>
          <w:rFonts w:ascii="Calibri" w:eastAsia="STKaiti" w:hAnsi="Calibri" w:cs="Calibri" w:hint="eastAsia"/>
          <w:b/>
          <w:lang w:eastAsia="zh-CN"/>
        </w:rPr>
        <w:t>年实施亮点：</w:t>
      </w:r>
      <w:r w:rsidRPr="00713809">
        <w:rPr>
          <w:rFonts w:ascii="Calibri" w:eastAsia="STKaiti" w:hAnsi="Calibri" w:cs="Calibri"/>
          <w:b/>
          <w:lang w:eastAsia="zh-CN"/>
        </w:rPr>
        <w:t>ITU-D</w:t>
      </w:r>
      <w:r>
        <w:rPr>
          <w:rFonts w:ascii="Calibri" w:eastAsia="STKaiti" w:hAnsi="Calibri" w:cs="Calibri" w:hint="eastAsia"/>
          <w:b/>
          <w:lang w:eastAsia="zh-CN"/>
        </w:rPr>
        <w:t>的</w:t>
      </w:r>
      <w:r w:rsidRPr="00713809">
        <w:rPr>
          <w:rFonts w:ascii="Calibri" w:eastAsia="STKaiti" w:hAnsi="Calibri" w:cs="Calibri" w:hint="eastAsia"/>
          <w:b/>
          <w:lang w:eastAsia="zh-CN"/>
        </w:rPr>
        <w:t>重点工作</w:t>
      </w:r>
      <w:r w:rsidRPr="00713809">
        <w:rPr>
          <w:rFonts w:ascii="Calibri" w:eastAsia="STKaiti" w:hAnsi="Calibri" w:cs="Calibri"/>
          <w:b/>
          <w:lang w:eastAsia="zh-CN"/>
        </w:rPr>
        <w:t>5</w:t>
      </w:r>
      <w:r w:rsidR="00016609" w:rsidRPr="00374910">
        <w:rPr>
          <w:rFonts w:ascii="Calibri" w:eastAsia="KaiTi" w:hAnsi="Calibri" w:cs="Calibri"/>
          <w:b/>
          <w:bCs/>
          <w:szCs w:val="24"/>
          <w:lang w:val="en-US" w:eastAsia="zh-CN"/>
        </w:rPr>
        <w:t xml:space="preserve"> </w:t>
      </w:r>
      <w:r w:rsidR="00963A67" w:rsidRPr="00963A67">
        <w:rPr>
          <w:rFonts w:ascii="Calibri" w:eastAsia="KaiTi" w:hAnsi="Calibri" w:cs="Calibri"/>
          <w:b/>
          <w:bCs/>
          <w:szCs w:val="24"/>
          <w:lang w:val="en-US" w:eastAsia="zh-CN"/>
        </w:rPr>
        <w:t>–</w:t>
      </w:r>
      <w:r w:rsidR="00016609">
        <w:rPr>
          <w:rFonts w:ascii="Calibri" w:eastAsia="KaiTi" w:hAnsi="Calibri" w:cs="Calibri" w:hint="eastAsia"/>
          <w:b/>
          <w:bCs/>
          <w:szCs w:val="24"/>
          <w:lang w:val="en-US" w:eastAsia="zh-CN"/>
        </w:rPr>
        <w:t xml:space="preserve"> </w:t>
      </w:r>
      <w:r w:rsidRPr="00713809">
        <w:rPr>
          <w:rFonts w:ascii="Calibri" w:eastAsia="STKaiti" w:hAnsi="Calibri" w:cs="Calibri" w:hint="eastAsia"/>
          <w:b/>
          <w:lang w:eastAsia="zh-CN"/>
        </w:rPr>
        <w:t>包容、安全和可靠的电信</w:t>
      </w:r>
      <w:r w:rsidRPr="00713809">
        <w:rPr>
          <w:rFonts w:ascii="Calibri" w:eastAsia="STKaiti" w:hAnsi="Calibri" w:cs="Calibri"/>
          <w:b/>
          <w:lang w:eastAsia="zh-CN"/>
        </w:rPr>
        <w:t>/ICT</w:t>
      </w:r>
      <w:r w:rsidRPr="00713809">
        <w:rPr>
          <w:rFonts w:ascii="Calibri" w:eastAsia="STKaiti" w:hAnsi="Calibri" w:cs="Calibri" w:hint="eastAsia"/>
          <w:b/>
          <w:lang w:eastAsia="zh-CN"/>
        </w:rPr>
        <w:t>促进可持续发展</w:t>
      </w:r>
      <w:r w:rsidR="00152CAC">
        <w:rPr>
          <w:rFonts w:ascii="Calibri" w:eastAsia="STKaiti" w:hAnsi="Calibri" w:cs="Calibri" w:hint="eastAsia"/>
          <w:b/>
          <w:lang w:eastAsia="zh-CN"/>
        </w:rPr>
        <w:t xml:space="preserve"> </w:t>
      </w:r>
    </w:p>
    <w:p w14:paraId="5318564C" w14:textId="72EB96E6" w:rsidR="00622881" w:rsidRDefault="00622881" w:rsidP="005573EC">
      <w:pPr>
        <w:ind w:firstLineChars="200" w:firstLine="480"/>
        <w:jc w:val="both"/>
        <w:rPr>
          <w:lang w:eastAsia="zh-CN"/>
        </w:rPr>
      </w:pPr>
      <w:r w:rsidRPr="00F43E9B">
        <w:rPr>
          <w:rFonts w:hint="eastAsia"/>
          <w:lang w:eastAsia="zh-CN"/>
        </w:rPr>
        <w:t>第四</w:t>
      </w:r>
      <w:r w:rsidR="009011B4">
        <w:rPr>
          <w:rFonts w:hint="eastAsia"/>
          <w:lang w:eastAsia="zh-CN"/>
        </w:rPr>
        <w:t>期</w:t>
      </w:r>
      <w:r w:rsidRPr="00F43E9B">
        <w:rPr>
          <w:rFonts w:hint="eastAsia"/>
          <w:lang w:eastAsia="zh-CN"/>
        </w:rPr>
        <w:t>“</w:t>
      </w:r>
      <w:r w:rsidRPr="004A187F">
        <w:rPr>
          <w:rFonts w:hint="eastAsia"/>
          <w:lang w:eastAsia="zh-CN"/>
        </w:rPr>
        <w:t>妇女网络足迹</w:t>
      </w:r>
      <w:r w:rsidRPr="00F43E9B">
        <w:rPr>
          <w:rFonts w:hint="eastAsia"/>
          <w:lang w:eastAsia="zh-CN"/>
        </w:rPr>
        <w:t>”于</w:t>
      </w:r>
      <w:r>
        <w:rPr>
          <w:rFonts w:hint="eastAsia"/>
          <w:lang w:eastAsia="zh-CN"/>
        </w:rPr>
        <w:t>3</w:t>
      </w:r>
      <w:r w:rsidRPr="00F43E9B">
        <w:rPr>
          <w:rFonts w:hint="eastAsia"/>
          <w:lang w:eastAsia="zh-CN"/>
        </w:rPr>
        <w:t>月启动，</w:t>
      </w:r>
      <w:r>
        <w:rPr>
          <w:rFonts w:hint="eastAsia"/>
          <w:lang w:eastAsia="zh-CN"/>
        </w:rPr>
        <w:t>将</w:t>
      </w:r>
      <w:r w:rsidRPr="00F43E9B">
        <w:rPr>
          <w:rFonts w:hint="eastAsia"/>
          <w:lang w:eastAsia="zh-CN"/>
        </w:rPr>
        <w:t>亚太</w:t>
      </w:r>
      <w:r w:rsidR="009011B4">
        <w:rPr>
          <w:rFonts w:hint="eastAsia"/>
          <w:lang w:eastAsia="zh-CN"/>
        </w:rPr>
        <w:t>地区</w:t>
      </w:r>
      <w:r w:rsidRPr="00F43E9B">
        <w:rPr>
          <w:rFonts w:hint="eastAsia"/>
          <w:lang w:eastAsia="zh-CN"/>
        </w:rPr>
        <w:t>国家</w:t>
      </w:r>
      <w:r>
        <w:rPr>
          <w:rFonts w:hint="eastAsia"/>
          <w:lang w:eastAsia="zh-CN"/>
        </w:rPr>
        <w:t>纳入其中，并新增</w:t>
      </w:r>
      <w:r w:rsidR="009011B4">
        <w:rPr>
          <w:rFonts w:hint="eastAsia"/>
          <w:lang w:eastAsia="zh-CN"/>
        </w:rPr>
        <w:t>了“</w:t>
      </w:r>
      <w:r>
        <w:rPr>
          <w:rFonts w:hint="eastAsia"/>
          <w:lang w:eastAsia="zh-CN"/>
        </w:rPr>
        <w:t>网络与</w:t>
      </w:r>
      <w:r w:rsidR="009011B4">
        <w:rPr>
          <w:rFonts w:hint="eastAsia"/>
          <w:lang w:eastAsia="zh-CN"/>
        </w:rPr>
        <w:t>人工智能</w:t>
      </w:r>
      <w:r w:rsidR="000A4464" w:rsidRPr="00F43E9B">
        <w:rPr>
          <w:rFonts w:hint="eastAsia"/>
          <w:lang w:eastAsia="zh-CN"/>
        </w:rPr>
        <w:t>”</w:t>
      </w:r>
      <w:r w:rsidR="009011B4">
        <w:rPr>
          <w:rFonts w:hint="eastAsia"/>
          <w:lang w:eastAsia="zh-CN"/>
        </w:rPr>
        <w:t>赛道</w:t>
      </w:r>
      <w:r w:rsidRPr="00F43E9B">
        <w:rPr>
          <w:rFonts w:hint="eastAsia"/>
          <w:lang w:eastAsia="zh-CN"/>
        </w:rPr>
        <w:t>，</w:t>
      </w:r>
      <w:r>
        <w:rPr>
          <w:rFonts w:hint="eastAsia"/>
          <w:lang w:eastAsia="zh-CN"/>
        </w:rPr>
        <w:t>以</w:t>
      </w:r>
      <w:r w:rsidRPr="00F43E9B">
        <w:rPr>
          <w:rFonts w:hint="eastAsia"/>
          <w:lang w:eastAsia="zh-CN"/>
        </w:rPr>
        <w:t>反映不断变化的网络安全格局。</w:t>
      </w:r>
    </w:p>
    <w:p w14:paraId="67B37228" w14:textId="1567D7AA" w:rsidR="00622881" w:rsidRPr="00713809" w:rsidRDefault="00622881" w:rsidP="005573EC">
      <w:pPr>
        <w:ind w:firstLineChars="200" w:firstLine="480"/>
        <w:jc w:val="both"/>
        <w:rPr>
          <w:iCs/>
          <w:lang w:eastAsia="zh-CN"/>
        </w:rPr>
      </w:pPr>
      <w:r w:rsidRPr="00713809">
        <w:rPr>
          <w:rFonts w:hint="eastAsia"/>
          <w:iCs/>
          <w:lang w:eastAsia="zh-CN"/>
        </w:rPr>
        <w:t>国际电联与其他联合国实体及各利益攸关方共同签署了《关于</w:t>
      </w:r>
      <w:r w:rsidR="009011B4">
        <w:rPr>
          <w:rFonts w:hint="eastAsia"/>
          <w:lang w:eastAsia="zh-CN"/>
        </w:rPr>
        <w:t>人工智能</w:t>
      </w:r>
      <w:r w:rsidRPr="00713809">
        <w:rPr>
          <w:rFonts w:hint="eastAsia"/>
          <w:iCs/>
          <w:lang w:eastAsia="zh-CN"/>
        </w:rPr>
        <w:t>与儿童权利的联合声明》。</w:t>
      </w:r>
    </w:p>
    <w:p w14:paraId="6A2F4C7C" w14:textId="4BC94AB5" w:rsidR="00622881" w:rsidRDefault="00622881" w:rsidP="005573EC">
      <w:pPr>
        <w:ind w:firstLineChars="200" w:firstLine="482"/>
        <w:jc w:val="both"/>
        <w:rPr>
          <w:lang w:eastAsia="zh-CN"/>
        </w:rPr>
      </w:pPr>
      <w:r w:rsidRPr="00713809">
        <w:rPr>
          <w:rFonts w:hint="eastAsia"/>
          <w:b/>
          <w:lang w:eastAsia="zh-CN"/>
        </w:rPr>
        <w:t>在非洲</w:t>
      </w:r>
      <w:r w:rsidR="00695C48">
        <w:rPr>
          <w:rFonts w:hint="eastAsia"/>
          <w:b/>
          <w:lang w:eastAsia="zh-CN"/>
        </w:rPr>
        <w:t>地区</w:t>
      </w:r>
      <w:r w:rsidRPr="00F43E9B">
        <w:rPr>
          <w:rFonts w:hint="eastAsia"/>
          <w:lang w:eastAsia="zh-CN"/>
        </w:rPr>
        <w:t>，</w:t>
      </w:r>
      <w:r w:rsidRPr="00F43E9B">
        <w:rPr>
          <w:rFonts w:hint="eastAsia"/>
          <w:lang w:eastAsia="zh-CN"/>
        </w:rPr>
        <w:t>1</w:t>
      </w:r>
      <w:r w:rsidRPr="00F43E9B">
        <w:rPr>
          <w:rFonts w:hint="eastAsia"/>
          <w:lang w:eastAsia="zh-CN"/>
        </w:rPr>
        <w:t>月</w:t>
      </w:r>
      <w:r>
        <w:rPr>
          <w:rFonts w:hint="eastAsia"/>
          <w:lang w:eastAsia="zh-CN"/>
        </w:rPr>
        <w:t>，在</w:t>
      </w:r>
      <w:r w:rsidRPr="00F43E9B">
        <w:rPr>
          <w:rFonts w:hint="eastAsia"/>
          <w:lang w:eastAsia="zh-CN"/>
        </w:rPr>
        <w:t>刚果民主共和国举办了一场讲习班，旨在支持加</w:t>
      </w:r>
      <w:r w:rsidRPr="00152D71">
        <w:rPr>
          <w:rFonts w:hint="eastAsia"/>
          <w:lang w:eastAsia="zh-CN"/>
        </w:rPr>
        <w:t>强</w:t>
      </w:r>
      <w:r w:rsidRPr="00713809">
        <w:rPr>
          <w:rFonts w:hint="eastAsia"/>
          <w:lang w:eastAsia="zh-CN"/>
        </w:rPr>
        <w:t>国家层面</w:t>
      </w:r>
      <w:r w:rsidRPr="00152D71">
        <w:rPr>
          <w:rFonts w:hint="eastAsia"/>
          <w:lang w:eastAsia="zh-CN"/>
        </w:rPr>
        <w:t>行业</w:t>
      </w:r>
      <w:r w:rsidR="009011B4" w:rsidRPr="009011B4">
        <w:rPr>
          <w:lang w:eastAsia="zh-CN"/>
        </w:rPr>
        <w:t>国家计算机事件响应团队</w:t>
      </w:r>
      <w:r w:rsidR="009011B4">
        <w:rPr>
          <w:rFonts w:hint="eastAsia"/>
          <w:lang w:eastAsia="zh-CN"/>
        </w:rPr>
        <w:t>（</w:t>
      </w:r>
      <w:r w:rsidRPr="00152D71">
        <w:rPr>
          <w:rFonts w:hint="eastAsia"/>
          <w:lang w:eastAsia="zh-CN"/>
        </w:rPr>
        <w:t>CIRT</w:t>
      </w:r>
      <w:r w:rsidR="009011B4">
        <w:rPr>
          <w:rFonts w:hint="eastAsia"/>
          <w:lang w:eastAsia="zh-CN"/>
        </w:rPr>
        <w:t>）</w:t>
      </w:r>
      <w:r w:rsidRPr="00152D71">
        <w:rPr>
          <w:rFonts w:hint="eastAsia"/>
          <w:lang w:eastAsia="zh-CN"/>
        </w:rPr>
        <w:t>建设的协调统一。</w:t>
      </w:r>
      <w:r w:rsidRPr="00152D71">
        <w:rPr>
          <w:rFonts w:hint="eastAsia"/>
          <w:lang w:eastAsia="zh-CN"/>
        </w:rPr>
        <w:t>2</w:t>
      </w:r>
      <w:r w:rsidRPr="00152D71">
        <w:rPr>
          <w:rFonts w:hint="eastAsia"/>
          <w:lang w:eastAsia="zh-CN"/>
        </w:rPr>
        <w:t>月，</w:t>
      </w:r>
      <w:r w:rsidR="009011B4" w:rsidRPr="00781FEA">
        <w:rPr>
          <w:rFonts w:hint="eastAsia"/>
          <w:lang w:eastAsia="zh-CN"/>
        </w:rPr>
        <w:t>电信发展局</w:t>
      </w:r>
      <w:r w:rsidRPr="00152D71">
        <w:rPr>
          <w:rFonts w:hint="eastAsia"/>
          <w:lang w:eastAsia="zh-CN"/>
        </w:rPr>
        <w:t>为莫桑比克提供了行业</w:t>
      </w:r>
      <w:r w:rsidRPr="00152D71">
        <w:rPr>
          <w:rFonts w:hint="eastAsia"/>
          <w:lang w:eastAsia="zh-CN"/>
        </w:rPr>
        <w:t>CIRT</w:t>
      </w:r>
      <w:r w:rsidRPr="00152D71">
        <w:rPr>
          <w:rFonts w:hint="eastAsia"/>
          <w:lang w:eastAsia="zh-CN"/>
        </w:rPr>
        <w:t>建设方面的技术支持，</w:t>
      </w:r>
      <w:r w:rsidRPr="00F43E9B">
        <w:rPr>
          <w:rFonts w:hint="eastAsia"/>
          <w:lang w:eastAsia="zh-CN"/>
        </w:rPr>
        <w:t>培训了</w:t>
      </w:r>
      <w:r w:rsidRPr="00F43E9B">
        <w:rPr>
          <w:rFonts w:hint="eastAsia"/>
          <w:lang w:eastAsia="zh-CN"/>
        </w:rPr>
        <w:t>60</w:t>
      </w:r>
      <w:r w:rsidRPr="00F43E9B">
        <w:rPr>
          <w:rFonts w:hint="eastAsia"/>
          <w:lang w:eastAsia="zh-CN"/>
        </w:rPr>
        <w:t>名利益攸关方，并加强了机构间协调。目前</w:t>
      </w:r>
      <w:r w:rsidR="009011B4">
        <w:rPr>
          <w:rFonts w:hint="eastAsia"/>
          <w:lang w:eastAsia="zh-CN"/>
        </w:rPr>
        <w:t>，</w:t>
      </w:r>
      <w:r w:rsidRPr="00F43E9B">
        <w:rPr>
          <w:rFonts w:hint="eastAsia"/>
          <w:lang w:eastAsia="zh-CN"/>
        </w:rPr>
        <w:t>正筹备于</w:t>
      </w:r>
      <w:r w:rsidRPr="00F43E9B">
        <w:rPr>
          <w:rFonts w:hint="eastAsia"/>
          <w:lang w:eastAsia="zh-CN"/>
        </w:rPr>
        <w:t>6</w:t>
      </w:r>
      <w:r w:rsidRPr="00F43E9B">
        <w:rPr>
          <w:rFonts w:hint="eastAsia"/>
          <w:lang w:eastAsia="zh-CN"/>
        </w:rPr>
        <w:t>月</w:t>
      </w:r>
      <w:r w:rsidRPr="00F43E9B">
        <w:rPr>
          <w:rFonts w:hint="eastAsia"/>
          <w:lang w:eastAsia="zh-CN"/>
        </w:rPr>
        <w:t>30</w:t>
      </w:r>
      <w:r w:rsidRPr="00F43E9B">
        <w:rPr>
          <w:rFonts w:hint="eastAsia"/>
          <w:lang w:eastAsia="zh-CN"/>
        </w:rPr>
        <w:t>日至</w:t>
      </w:r>
      <w:r w:rsidRPr="00F43E9B">
        <w:rPr>
          <w:rFonts w:hint="eastAsia"/>
          <w:lang w:eastAsia="zh-CN"/>
        </w:rPr>
        <w:t>7</w:t>
      </w:r>
      <w:r w:rsidRPr="00F43E9B">
        <w:rPr>
          <w:rFonts w:hint="eastAsia"/>
          <w:lang w:eastAsia="zh-CN"/>
        </w:rPr>
        <w:t>月</w:t>
      </w:r>
      <w:r w:rsidRPr="00F43E9B">
        <w:rPr>
          <w:rFonts w:hint="eastAsia"/>
          <w:lang w:eastAsia="zh-CN"/>
        </w:rPr>
        <w:t>3</w:t>
      </w:r>
      <w:r w:rsidRPr="00F43E9B">
        <w:rPr>
          <w:rFonts w:hint="eastAsia"/>
          <w:lang w:eastAsia="zh-CN"/>
        </w:rPr>
        <w:t>日在津巴布韦举行非洲区域</w:t>
      </w:r>
      <w:r w:rsidR="009011B4">
        <w:rPr>
          <w:rFonts w:hint="eastAsia"/>
          <w:lang w:eastAsia="zh-CN"/>
        </w:rPr>
        <w:t>性</w:t>
      </w:r>
      <w:r w:rsidRPr="00F43E9B">
        <w:rPr>
          <w:rFonts w:hint="eastAsia"/>
          <w:lang w:eastAsia="zh-CN"/>
        </w:rPr>
        <w:t>网络演练。</w:t>
      </w:r>
    </w:p>
    <w:p w14:paraId="339616BA" w14:textId="390A3660" w:rsidR="00622881" w:rsidRPr="00E25801" w:rsidRDefault="00622881" w:rsidP="005573EC">
      <w:pPr>
        <w:ind w:firstLineChars="200" w:firstLine="482"/>
        <w:jc w:val="both"/>
        <w:rPr>
          <w:lang w:eastAsia="zh-CN"/>
        </w:rPr>
      </w:pPr>
      <w:r w:rsidRPr="00713809">
        <w:rPr>
          <w:rFonts w:hint="eastAsia"/>
          <w:b/>
          <w:lang w:eastAsia="zh-CN"/>
        </w:rPr>
        <w:t>在美洲</w:t>
      </w:r>
      <w:r w:rsidR="00695C48">
        <w:rPr>
          <w:rFonts w:hint="eastAsia"/>
          <w:b/>
          <w:lang w:eastAsia="zh-CN"/>
        </w:rPr>
        <w:t>地区</w:t>
      </w:r>
      <w:r>
        <w:rPr>
          <w:rFonts w:hint="eastAsia"/>
          <w:lang w:eastAsia="zh-CN"/>
        </w:rPr>
        <w:t>，通过</w:t>
      </w:r>
      <w:r w:rsidRPr="00F43E9B">
        <w:rPr>
          <w:rFonts w:hint="eastAsia"/>
          <w:lang w:eastAsia="zh-CN"/>
        </w:rPr>
        <w:t>在巴哈马建立</w:t>
      </w:r>
      <w:r w:rsidRPr="00F43E9B">
        <w:rPr>
          <w:rFonts w:hint="eastAsia"/>
          <w:lang w:eastAsia="zh-CN"/>
        </w:rPr>
        <w:t>CIRT</w:t>
      </w:r>
      <w:r>
        <w:rPr>
          <w:rFonts w:hint="eastAsia"/>
          <w:lang w:eastAsia="zh-CN"/>
        </w:rPr>
        <w:t>项目</w:t>
      </w:r>
      <w:r w:rsidRPr="00F43E9B">
        <w:rPr>
          <w:rFonts w:hint="eastAsia"/>
          <w:lang w:eastAsia="zh-CN"/>
        </w:rPr>
        <w:t>的最后阶段，</w:t>
      </w:r>
      <w:r w:rsidR="009011B4" w:rsidRPr="00781FEA">
        <w:rPr>
          <w:rFonts w:hint="eastAsia"/>
          <w:lang w:eastAsia="zh-CN"/>
        </w:rPr>
        <w:t>电信发展局</w:t>
      </w:r>
      <w:r w:rsidRPr="00F43E9B">
        <w:rPr>
          <w:rFonts w:hint="eastAsia"/>
          <w:lang w:eastAsia="zh-CN"/>
        </w:rPr>
        <w:t>于</w:t>
      </w:r>
      <w:r w:rsidRPr="00F43E9B">
        <w:rPr>
          <w:rFonts w:hint="eastAsia"/>
          <w:lang w:eastAsia="zh-CN"/>
        </w:rPr>
        <w:t>3</w:t>
      </w:r>
      <w:r w:rsidRPr="00F43E9B">
        <w:rPr>
          <w:rFonts w:hint="eastAsia"/>
          <w:lang w:eastAsia="zh-CN"/>
        </w:rPr>
        <w:t>月</w:t>
      </w:r>
      <w:r w:rsidRPr="00F43E9B">
        <w:rPr>
          <w:rFonts w:hint="eastAsia"/>
          <w:lang w:eastAsia="zh-CN"/>
        </w:rPr>
        <w:t>16</w:t>
      </w:r>
      <w:r w:rsidRPr="00F43E9B">
        <w:rPr>
          <w:rFonts w:hint="eastAsia"/>
          <w:lang w:eastAsia="zh-CN"/>
        </w:rPr>
        <w:t>日至</w:t>
      </w:r>
      <w:r w:rsidRPr="00F43E9B">
        <w:rPr>
          <w:rFonts w:hint="eastAsia"/>
          <w:lang w:eastAsia="zh-CN"/>
        </w:rPr>
        <w:t>24</w:t>
      </w:r>
      <w:r w:rsidRPr="00F43E9B">
        <w:rPr>
          <w:rFonts w:hint="eastAsia"/>
          <w:lang w:eastAsia="zh-CN"/>
        </w:rPr>
        <w:t>日部署了数字取证工具并开展了现场培训。该项目将于</w:t>
      </w:r>
      <w:r w:rsidRPr="00F43E9B">
        <w:rPr>
          <w:rFonts w:hint="eastAsia"/>
          <w:lang w:eastAsia="zh-CN"/>
        </w:rPr>
        <w:t>4</w:t>
      </w:r>
      <w:r w:rsidRPr="00F43E9B">
        <w:rPr>
          <w:rFonts w:hint="eastAsia"/>
          <w:lang w:eastAsia="zh-CN"/>
        </w:rPr>
        <w:t>月在线培训</w:t>
      </w:r>
      <w:r>
        <w:rPr>
          <w:rFonts w:hint="eastAsia"/>
          <w:lang w:eastAsia="zh-CN"/>
        </w:rPr>
        <w:t>计划</w:t>
      </w:r>
      <w:r w:rsidRPr="00F43E9B">
        <w:rPr>
          <w:rFonts w:hint="eastAsia"/>
          <w:lang w:eastAsia="zh-CN"/>
        </w:rPr>
        <w:t>的最后几场</w:t>
      </w:r>
      <w:r>
        <w:rPr>
          <w:rFonts w:hint="eastAsia"/>
          <w:lang w:eastAsia="zh-CN"/>
        </w:rPr>
        <w:t>课程后</w:t>
      </w:r>
      <w:r w:rsidR="009011B4">
        <w:rPr>
          <w:rFonts w:hint="eastAsia"/>
          <w:lang w:eastAsia="zh-CN"/>
        </w:rPr>
        <w:t>结项</w:t>
      </w:r>
      <w:r w:rsidRPr="00F43E9B">
        <w:rPr>
          <w:rFonts w:hint="eastAsia"/>
          <w:lang w:eastAsia="zh-CN"/>
        </w:rPr>
        <w:t>。</w:t>
      </w:r>
    </w:p>
    <w:p w14:paraId="1FF2A3B5" w14:textId="7169887D" w:rsidR="00622881" w:rsidRDefault="00622881" w:rsidP="005573EC">
      <w:pPr>
        <w:ind w:firstLineChars="200" w:firstLine="482"/>
        <w:jc w:val="both"/>
        <w:rPr>
          <w:lang w:eastAsia="zh-CN"/>
        </w:rPr>
      </w:pPr>
      <w:r w:rsidRPr="00713809">
        <w:rPr>
          <w:rFonts w:hint="eastAsia"/>
          <w:b/>
          <w:lang w:eastAsia="zh-CN"/>
        </w:rPr>
        <w:t>在亚太</w:t>
      </w:r>
      <w:r w:rsidR="00695C48">
        <w:rPr>
          <w:rFonts w:hint="eastAsia"/>
          <w:b/>
          <w:lang w:eastAsia="zh-CN"/>
        </w:rPr>
        <w:t>地区</w:t>
      </w:r>
      <w:r w:rsidRPr="00F43E9B">
        <w:rPr>
          <w:rFonts w:hint="eastAsia"/>
          <w:lang w:eastAsia="zh-CN"/>
        </w:rPr>
        <w:t>，</w:t>
      </w:r>
      <w:r w:rsidR="00695C48" w:rsidRPr="00781FEA">
        <w:rPr>
          <w:rFonts w:hint="eastAsia"/>
          <w:lang w:eastAsia="zh-CN"/>
        </w:rPr>
        <w:t>电信发展局</w:t>
      </w:r>
      <w:r w:rsidRPr="00F43E9B">
        <w:rPr>
          <w:rFonts w:hint="eastAsia"/>
          <w:lang w:eastAsia="zh-CN"/>
        </w:rPr>
        <w:t>于</w:t>
      </w:r>
      <w:r w:rsidRPr="00F43E9B">
        <w:rPr>
          <w:rFonts w:hint="eastAsia"/>
          <w:lang w:eastAsia="zh-CN"/>
        </w:rPr>
        <w:t>1</w:t>
      </w:r>
      <w:r w:rsidRPr="00F43E9B">
        <w:rPr>
          <w:rFonts w:hint="eastAsia"/>
          <w:lang w:eastAsia="zh-CN"/>
        </w:rPr>
        <w:t>月</w:t>
      </w:r>
      <w:r w:rsidRPr="00F43E9B">
        <w:rPr>
          <w:rFonts w:hint="eastAsia"/>
          <w:lang w:eastAsia="zh-CN"/>
        </w:rPr>
        <w:t>13</w:t>
      </w:r>
      <w:r w:rsidRPr="00F43E9B">
        <w:rPr>
          <w:rFonts w:hint="eastAsia"/>
          <w:lang w:eastAsia="zh-CN"/>
        </w:rPr>
        <w:t>日至</w:t>
      </w:r>
      <w:r w:rsidRPr="00F43E9B">
        <w:rPr>
          <w:rFonts w:hint="eastAsia"/>
          <w:lang w:eastAsia="zh-CN"/>
        </w:rPr>
        <w:t>16</w:t>
      </w:r>
      <w:r>
        <w:rPr>
          <w:rFonts w:hint="eastAsia"/>
          <w:lang w:eastAsia="zh-CN"/>
        </w:rPr>
        <w:t>日在伊斯兰堡举</w:t>
      </w:r>
      <w:r w:rsidR="00EE4A29">
        <w:rPr>
          <w:rFonts w:hint="eastAsia"/>
          <w:lang w:eastAsia="zh-CN"/>
        </w:rPr>
        <w:t>行</w:t>
      </w:r>
      <w:r>
        <w:rPr>
          <w:rFonts w:hint="eastAsia"/>
          <w:lang w:eastAsia="zh-CN"/>
        </w:rPr>
        <w:t>的</w:t>
      </w:r>
      <w:r w:rsidR="00EE4A29">
        <w:rPr>
          <w:rFonts w:hint="eastAsia"/>
          <w:lang w:eastAsia="zh-CN"/>
        </w:rPr>
        <w:t>“</w:t>
      </w:r>
      <w:r w:rsidRPr="00F43E9B">
        <w:rPr>
          <w:rFonts w:hint="eastAsia"/>
          <w:lang w:eastAsia="zh-CN"/>
        </w:rPr>
        <w:t>巴基斯坦</w:t>
      </w:r>
      <w:r w:rsidRPr="00F43E9B">
        <w:rPr>
          <w:rFonts w:hint="eastAsia"/>
          <w:lang w:eastAsia="zh-CN"/>
        </w:rPr>
        <w:t>-</w:t>
      </w:r>
      <w:r w:rsidRPr="00F43E9B">
        <w:rPr>
          <w:rFonts w:hint="eastAsia"/>
          <w:lang w:eastAsia="zh-CN"/>
        </w:rPr>
        <w:t>联合国裁军研究所（</w:t>
      </w:r>
      <w:r w:rsidRPr="00F43E9B">
        <w:rPr>
          <w:rFonts w:hint="eastAsia"/>
          <w:lang w:eastAsia="zh-CN"/>
        </w:rPr>
        <w:t>UNIDIR</w:t>
      </w:r>
      <w:r w:rsidRPr="00F43E9B">
        <w:rPr>
          <w:rFonts w:hint="eastAsia"/>
          <w:lang w:eastAsia="zh-CN"/>
        </w:rPr>
        <w:t>）网络能力建设与政策</w:t>
      </w:r>
      <w:r>
        <w:rPr>
          <w:rFonts w:hint="eastAsia"/>
          <w:lang w:eastAsia="zh-CN"/>
        </w:rPr>
        <w:t>培训</w:t>
      </w:r>
      <w:r w:rsidR="00EE4A29">
        <w:rPr>
          <w:rFonts w:hint="eastAsia"/>
          <w:lang w:eastAsia="zh-CN"/>
        </w:rPr>
        <w:t>”</w:t>
      </w:r>
      <w:r w:rsidRPr="00F43E9B">
        <w:rPr>
          <w:rFonts w:hint="eastAsia"/>
          <w:lang w:eastAsia="zh-CN"/>
        </w:rPr>
        <w:t>期间开展了培训。</w:t>
      </w:r>
      <w:r>
        <w:rPr>
          <w:rFonts w:hint="eastAsia"/>
          <w:lang w:eastAsia="zh-CN"/>
        </w:rPr>
        <w:t>该培训由</w:t>
      </w:r>
      <w:r w:rsidR="00EE4A29" w:rsidRPr="00781FEA">
        <w:rPr>
          <w:rFonts w:hint="eastAsia"/>
          <w:lang w:eastAsia="zh-CN"/>
        </w:rPr>
        <w:t>电信发展局</w:t>
      </w:r>
      <w:r w:rsidRPr="00F43E9B">
        <w:rPr>
          <w:rFonts w:hint="eastAsia"/>
          <w:lang w:eastAsia="zh-CN"/>
        </w:rPr>
        <w:t>与</w:t>
      </w:r>
      <w:r w:rsidRPr="00F43E9B">
        <w:rPr>
          <w:rFonts w:hint="eastAsia"/>
          <w:lang w:eastAsia="zh-CN"/>
        </w:rPr>
        <w:t>UNIDIR</w:t>
      </w:r>
      <w:r w:rsidRPr="00F43E9B">
        <w:rPr>
          <w:rFonts w:hint="eastAsia"/>
          <w:lang w:eastAsia="zh-CN"/>
        </w:rPr>
        <w:t>及巴基斯坦外交部</w:t>
      </w:r>
      <w:r w:rsidR="00EE4A29">
        <w:rPr>
          <w:rFonts w:hint="eastAsia"/>
          <w:lang w:eastAsia="zh-CN"/>
        </w:rPr>
        <w:t>联合</w:t>
      </w:r>
      <w:r w:rsidRPr="00F43E9B">
        <w:rPr>
          <w:rFonts w:hint="eastAsia"/>
          <w:lang w:eastAsia="zh-CN"/>
        </w:rPr>
        <w:t>组织，并得到加拿大的支持，重点</w:t>
      </w:r>
      <w:r>
        <w:rPr>
          <w:rFonts w:hint="eastAsia"/>
          <w:lang w:eastAsia="zh-CN"/>
        </w:rPr>
        <w:t>关注</w:t>
      </w:r>
      <w:r w:rsidRPr="00F43E9B">
        <w:rPr>
          <w:rFonts w:hint="eastAsia"/>
          <w:lang w:eastAsia="zh-CN"/>
        </w:rPr>
        <w:t>加强</w:t>
      </w:r>
      <w:r w:rsidRPr="00AD6D14">
        <w:rPr>
          <w:rFonts w:hint="eastAsia"/>
          <w:lang w:eastAsia="zh-CN"/>
        </w:rPr>
        <w:t>国家</w:t>
      </w:r>
      <w:r w:rsidRPr="00713809">
        <w:rPr>
          <w:lang w:eastAsia="zh-CN"/>
        </w:rPr>
        <w:t>CIRT</w:t>
      </w:r>
      <w:r w:rsidRPr="00AD6D14">
        <w:rPr>
          <w:rFonts w:hint="eastAsia"/>
          <w:lang w:eastAsia="zh-CN"/>
        </w:rPr>
        <w:t>和</w:t>
      </w:r>
      <w:r>
        <w:rPr>
          <w:rFonts w:hint="eastAsia"/>
          <w:lang w:eastAsia="zh-CN"/>
        </w:rPr>
        <w:t>关键信息基础设施保护、国家网络安全战略，以及为事件</w:t>
      </w:r>
      <w:proofErr w:type="gramStart"/>
      <w:r>
        <w:rPr>
          <w:rFonts w:hint="eastAsia"/>
          <w:lang w:eastAsia="zh-CN"/>
        </w:rPr>
        <w:t>响应</w:t>
      </w:r>
      <w:r w:rsidRPr="00F43E9B">
        <w:rPr>
          <w:rFonts w:hint="eastAsia"/>
          <w:lang w:eastAsia="zh-CN"/>
        </w:rPr>
        <w:t>员</w:t>
      </w:r>
      <w:proofErr w:type="gramEnd"/>
      <w:r w:rsidRPr="00F43E9B">
        <w:rPr>
          <w:rFonts w:hint="eastAsia"/>
          <w:lang w:eastAsia="zh-CN"/>
        </w:rPr>
        <w:t>提供技术培训。</w:t>
      </w:r>
    </w:p>
    <w:p w14:paraId="3A7F0AD4" w14:textId="71803075" w:rsidR="00622881" w:rsidRDefault="00622881" w:rsidP="005573EC">
      <w:pPr>
        <w:ind w:firstLineChars="200" w:firstLine="480"/>
        <w:jc w:val="both"/>
        <w:rPr>
          <w:lang w:eastAsia="zh-CN"/>
        </w:rPr>
      </w:pPr>
      <w:r w:rsidRPr="00F43E9B">
        <w:rPr>
          <w:rFonts w:hint="eastAsia"/>
          <w:lang w:eastAsia="zh-CN"/>
        </w:rPr>
        <w:t>此外，</w:t>
      </w:r>
      <w:r w:rsidR="00695C48" w:rsidRPr="00781FEA">
        <w:rPr>
          <w:rFonts w:hint="eastAsia"/>
          <w:lang w:eastAsia="zh-CN"/>
        </w:rPr>
        <w:t>电信发展局</w:t>
      </w:r>
      <w:r w:rsidRPr="00F43E9B">
        <w:rPr>
          <w:rFonts w:hint="eastAsia"/>
          <w:lang w:eastAsia="zh-CN"/>
        </w:rPr>
        <w:t>与大韩民国合作，为亚太</w:t>
      </w:r>
      <w:r w:rsidR="00EE4A29">
        <w:rPr>
          <w:rFonts w:hint="eastAsia"/>
          <w:lang w:eastAsia="zh-CN"/>
        </w:rPr>
        <w:t>地区</w:t>
      </w:r>
      <w:r w:rsidRPr="00F43E9B">
        <w:rPr>
          <w:rFonts w:hint="eastAsia"/>
          <w:lang w:eastAsia="zh-CN"/>
        </w:rPr>
        <w:t>和独联体</w:t>
      </w:r>
      <w:r w:rsidR="00EE4A29">
        <w:rPr>
          <w:rFonts w:hint="eastAsia"/>
          <w:lang w:eastAsia="zh-CN"/>
        </w:rPr>
        <w:t>国家</w:t>
      </w:r>
      <w:r w:rsidRPr="00F43E9B">
        <w:rPr>
          <w:rFonts w:hint="eastAsia"/>
          <w:lang w:eastAsia="zh-CN"/>
        </w:rPr>
        <w:t>的网络安全专家组织了关于</w:t>
      </w:r>
      <w:r w:rsidRPr="00F43E9B">
        <w:rPr>
          <w:rFonts w:hint="eastAsia"/>
          <w:lang w:eastAsia="zh-CN"/>
        </w:rPr>
        <w:t>ITU-T</w:t>
      </w:r>
      <w:r w:rsidRPr="00F43E9B">
        <w:rPr>
          <w:rFonts w:hint="eastAsia"/>
          <w:lang w:eastAsia="zh-CN"/>
        </w:rPr>
        <w:t>网络安</w:t>
      </w:r>
      <w:r w:rsidRPr="00AB5E7E">
        <w:rPr>
          <w:rFonts w:hint="eastAsia"/>
          <w:lang w:eastAsia="zh-CN"/>
        </w:rPr>
        <w:t>全标准的跨区域培训。基于</w:t>
      </w:r>
      <w:r w:rsidRPr="00AB5E7E">
        <w:rPr>
          <w:rFonts w:hint="eastAsia"/>
          <w:lang w:eastAsia="zh-CN"/>
        </w:rPr>
        <w:t>ITU-T</w:t>
      </w:r>
      <w:r w:rsidRPr="00AB5E7E">
        <w:rPr>
          <w:rFonts w:hint="eastAsia"/>
          <w:lang w:eastAsia="zh-CN"/>
        </w:rPr>
        <w:t>建议书</w:t>
      </w:r>
      <w:r w:rsidR="00EE4A29">
        <w:rPr>
          <w:rFonts w:hint="eastAsia"/>
          <w:lang w:eastAsia="zh-CN"/>
        </w:rPr>
        <w:t>：“</w:t>
      </w:r>
      <w:r w:rsidRPr="00AB5E7E">
        <w:rPr>
          <w:rFonts w:hint="eastAsia"/>
          <w:lang w:eastAsia="zh-CN"/>
        </w:rPr>
        <w:t>数据保护</w:t>
      </w:r>
      <w:r w:rsidR="00EE4A29">
        <w:rPr>
          <w:rFonts w:hint="eastAsia"/>
          <w:lang w:eastAsia="zh-CN"/>
        </w:rPr>
        <w:t>”</w:t>
      </w:r>
      <w:r w:rsidRPr="00AB5E7E">
        <w:rPr>
          <w:rFonts w:hint="eastAsia"/>
          <w:lang w:eastAsia="zh-CN"/>
        </w:rPr>
        <w:t>（</w:t>
      </w:r>
      <w:r w:rsidRPr="00AB5E7E">
        <w:rPr>
          <w:rFonts w:hint="eastAsia"/>
          <w:lang w:eastAsia="zh-CN"/>
        </w:rPr>
        <w:t>X.1220/</w:t>
      </w:r>
      <w:proofErr w:type="spellStart"/>
      <w:r w:rsidRPr="00AB5E7E">
        <w:rPr>
          <w:rFonts w:hint="eastAsia"/>
          <w:lang w:eastAsia="zh-CN"/>
        </w:rPr>
        <w:t>X.nspam</w:t>
      </w:r>
      <w:proofErr w:type="spellEnd"/>
      <w:r w:rsidRPr="00AB5E7E">
        <w:rPr>
          <w:rFonts w:hint="eastAsia"/>
          <w:lang w:eastAsia="zh-CN"/>
        </w:rPr>
        <w:t>）和</w:t>
      </w:r>
      <w:r w:rsidR="00EE4A29">
        <w:rPr>
          <w:rFonts w:hint="eastAsia"/>
          <w:lang w:eastAsia="zh-CN"/>
        </w:rPr>
        <w:t>“</w:t>
      </w:r>
      <w:r w:rsidRPr="00AB5E7E">
        <w:rPr>
          <w:rFonts w:hint="eastAsia"/>
          <w:lang w:eastAsia="zh-CN"/>
        </w:rPr>
        <w:t>无密码认证</w:t>
      </w:r>
      <w:r w:rsidR="00EE4A29">
        <w:rPr>
          <w:rFonts w:hint="eastAsia"/>
          <w:lang w:eastAsia="zh-CN"/>
        </w:rPr>
        <w:t>”</w:t>
      </w:r>
      <w:r w:rsidRPr="00AB5E7E">
        <w:rPr>
          <w:rFonts w:hint="eastAsia"/>
          <w:lang w:eastAsia="zh-CN"/>
        </w:rPr>
        <w:t>（</w:t>
      </w:r>
      <w:r w:rsidRPr="00AB5E7E">
        <w:rPr>
          <w:rFonts w:hint="eastAsia"/>
          <w:lang w:eastAsia="zh-CN"/>
        </w:rPr>
        <w:t>X.1280</w:t>
      </w:r>
      <w:r w:rsidRPr="00AB5E7E">
        <w:rPr>
          <w:rFonts w:hint="eastAsia"/>
          <w:lang w:eastAsia="zh-CN"/>
        </w:rPr>
        <w:t>），大韩民国电信技术协会（</w:t>
      </w:r>
      <w:r w:rsidRPr="00AB5E7E">
        <w:rPr>
          <w:rFonts w:hint="eastAsia"/>
          <w:lang w:eastAsia="zh-CN"/>
        </w:rPr>
        <w:t>TTA</w:t>
      </w:r>
      <w:r w:rsidRPr="00AB5E7E">
        <w:rPr>
          <w:rFonts w:hint="eastAsia"/>
          <w:lang w:eastAsia="zh-CN"/>
        </w:rPr>
        <w:t>）及无密码联盟与</w:t>
      </w:r>
      <w:r w:rsidR="00350AB9" w:rsidRPr="00781FEA">
        <w:rPr>
          <w:rFonts w:hint="eastAsia"/>
          <w:lang w:eastAsia="zh-CN"/>
        </w:rPr>
        <w:t>电信发展局</w:t>
      </w:r>
      <w:r w:rsidRPr="00AB5E7E">
        <w:rPr>
          <w:rFonts w:hint="eastAsia"/>
          <w:lang w:eastAsia="zh-CN"/>
        </w:rPr>
        <w:t>合作，于</w:t>
      </w:r>
      <w:r w:rsidRPr="00AB5E7E">
        <w:rPr>
          <w:rFonts w:hint="eastAsia"/>
          <w:lang w:eastAsia="zh-CN"/>
        </w:rPr>
        <w:t>2026</w:t>
      </w:r>
      <w:r w:rsidRPr="00AB5E7E">
        <w:rPr>
          <w:rFonts w:hint="eastAsia"/>
          <w:lang w:eastAsia="zh-CN"/>
        </w:rPr>
        <w:t>年</w:t>
      </w:r>
      <w:r w:rsidRPr="00AB5E7E">
        <w:rPr>
          <w:rFonts w:hint="eastAsia"/>
          <w:lang w:eastAsia="zh-CN"/>
        </w:rPr>
        <w:t>2</w:t>
      </w:r>
      <w:r w:rsidRPr="00AB5E7E">
        <w:rPr>
          <w:rFonts w:hint="eastAsia"/>
          <w:lang w:eastAsia="zh-CN"/>
        </w:rPr>
        <w:t>月</w:t>
      </w:r>
      <w:r w:rsidRPr="00AB5E7E">
        <w:rPr>
          <w:rFonts w:hint="eastAsia"/>
          <w:lang w:eastAsia="zh-CN"/>
        </w:rPr>
        <w:t>11</w:t>
      </w:r>
      <w:r w:rsidRPr="00AB5E7E">
        <w:rPr>
          <w:rFonts w:hint="eastAsia"/>
          <w:lang w:eastAsia="zh-CN"/>
        </w:rPr>
        <w:t>日至</w:t>
      </w:r>
      <w:r w:rsidRPr="00AB5E7E">
        <w:rPr>
          <w:rFonts w:hint="eastAsia"/>
          <w:lang w:eastAsia="zh-CN"/>
        </w:rPr>
        <w:t>13</w:t>
      </w:r>
      <w:r w:rsidRPr="00AB5E7E">
        <w:rPr>
          <w:rFonts w:hint="eastAsia"/>
          <w:lang w:eastAsia="zh-CN"/>
        </w:rPr>
        <w:t>日在曼谷开</w:t>
      </w:r>
      <w:r w:rsidRPr="00F43E9B">
        <w:rPr>
          <w:rFonts w:hint="eastAsia"/>
          <w:lang w:eastAsia="zh-CN"/>
        </w:rPr>
        <w:t>展了此次重要培训。</w:t>
      </w:r>
    </w:p>
    <w:p w14:paraId="36CF4A12" w14:textId="5DCFFD80" w:rsidR="00622881" w:rsidRPr="00722983" w:rsidRDefault="00622881" w:rsidP="005573EC">
      <w:pPr>
        <w:ind w:firstLineChars="200" w:firstLine="482"/>
        <w:jc w:val="both"/>
        <w:rPr>
          <w:lang w:eastAsia="zh-CN"/>
        </w:rPr>
      </w:pPr>
      <w:r w:rsidRPr="00713809">
        <w:rPr>
          <w:rFonts w:hint="eastAsia"/>
          <w:b/>
          <w:lang w:eastAsia="zh-CN"/>
        </w:rPr>
        <w:t>在独联体</w:t>
      </w:r>
      <w:r w:rsidR="00C477E4">
        <w:rPr>
          <w:rFonts w:hint="eastAsia"/>
          <w:b/>
          <w:lang w:eastAsia="zh-CN"/>
        </w:rPr>
        <w:t>国家</w:t>
      </w:r>
      <w:r w:rsidRPr="00AD6D14">
        <w:rPr>
          <w:rFonts w:hint="eastAsia"/>
          <w:lang w:eastAsia="zh-CN"/>
        </w:rPr>
        <w:t>，</w:t>
      </w:r>
      <w:r w:rsidRPr="00F43E9B">
        <w:rPr>
          <w:rFonts w:hint="eastAsia"/>
          <w:lang w:eastAsia="zh-CN"/>
        </w:rPr>
        <w:t>国</w:t>
      </w:r>
      <w:r w:rsidRPr="00AB5E7E">
        <w:rPr>
          <w:rFonts w:hint="eastAsia"/>
          <w:lang w:eastAsia="zh-CN"/>
        </w:rPr>
        <w:t>际电联与世界银行的联合项目支持吉尔吉斯共和国建立了国家</w:t>
      </w:r>
      <w:r w:rsidR="00350AB9">
        <w:rPr>
          <w:rFonts w:hint="eastAsia"/>
          <w:lang w:eastAsia="zh-CN"/>
        </w:rPr>
        <w:t>级</w:t>
      </w:r>
      <w:r w:rsidRPr="00AB5E7E">
        <w:rPr>
          <w:rFonts w:hint="eastAsia"/>
          <w:lang w:eastAsia="zh-CN"/>
        </w:rPr>
        <w:t>CIRT</w:t>
      </w:r>
      <w:r w:rsidRPr="00AB5E7E">
        <w:rPr>
          <w:rFonts w:hint="eastAsia"/>
          <w:lang w:eastAsia="zh-CN"/>
        </w:rPr>
        <w:t>，增强了该国检测、响应和缓解网络安全威胁的机构能力。通过提供技术基础设施、培训和运作指导，该举措增强了国家网络复原力，并</w:t>
      </w:r>
      <w:r w:rsidR="00350AB9">
        <w:rPr>
          <w:rFonts w:hint="eastAsia"/>
          <w:lang w:eastAsia="zh-CN"/>
        </w:rPr>
        <w:t>遵循</w:t>
      </w:r>
      <w:r w:rsidRPr="00AB5E7E">
        <w:rPr>
          <w:rFonts w:hint="eastAsia"/>
          <w:lang w:eastAsia="zh-CN"/>
        </w:rPr>
        <w:t>国际最佳做法</w:t>
      </w:r>
      <w:r w:rsidR="00350AB9">
        <w:rPr>
          <w:rFonts w:hint="eastAsia"/>
          <w:lang w:eastAsia="zh-CN"/>
        </w:rPr>
        <w:t>，</w:t>
      </w:r>
      <w:r w:rsidRPr="00AB5E7E">
        <w:rPr>
          <w:rFonts w:hint="eastAsia"/>
          <w:lang w:eastAsia="zh-CN"/>
        </w:rPr>
        <w:t>助力构建更加安全且可信的数字环境。</w:t>
      </w:r>
      <w:r w:rsidRPr="00AB5E7E">
        <w:rPr>
          <w:rFonts w:hint="eastAsia"/>
          <w:lang w:eastAsia="zh-CN"/>
        </w:rPr>
        <w:t>3</w:t>
      </w:r>
      <w:r w:rsidRPr="00AB5E7E">
        <w:rPr>
          <w:rFonts w:hint="eastAsia"/>
          <w:lang w:eastAsia="zh-CN"/>
        </w:rPr>
        <w:t>月</w:t>
      </w:r>
      <w:r w:rsidRPr="00AB5E7E">
        <w:rPr>
          <w:rFonts w:hint="eastAsia"/>
          <w:lang w:eastAsia="zh-CN"/>
        </w:rPr>
        <w:t>12</w:t>
      </w:r>
      <w:r w:rsidRPr="00AB5E7E">
        <w:rPr>
          <w:rFonts w:hint="eastAsia"/>
          <w:lang w:eastAsia="zh-CN"/>
        </w:rPr>
        <w:t>日，该</w:t>
      </w:r>
      <w:r w:rsidRPr="00AB5E7E">
        <w:rPr>
          <w:rFonts w:hint="eastAsia"/>
          <w:lang w:eastAsia="zh-CN"/>
        </w:rPr>
        <w:t>CIRT</w:t>
      </w:r>
      <w:r w:rsidRPr="00AB5E7E">
        <w:rPr>
          <w:rFonts w:hint="eastAsia"/>
          <w:lang w:eastAsia="zh-CN"/>
        </w:rPr>
        <w:t>在比什凯克</w:t>
      </w:r>
      <w:r w:rsidRPr="00713809">
        <w:rPr>
          <w:rFonts w:hint="eastAsia"/>
          <w:lang w:eastAsia="zh-CN"/>
        </w:rPr>
        <w:t>正式揭幕</w:t>
      </w:r>
      <w:r w:rsidRPr="00AB5E7E">
        <w:rPr>
          <w:rFonts w:hint="eastAsia"/>
          <w:lang w:eastAsia="zh-CN"/>
        </w:rPr>
        <w:t>。</w:t>
      </w:r>
    </w:p>
    <w:p w14:paraId="49597353" w14:textId="4ED4AECA" w:rsidR="00622881" w:rsidRDefault="00695C48" w:rsidP="005573EC">
      <w:pPr>
        <w:ind w:firstLineChars="200" w:firstLine="480"/>
        <w:jc w:val="both"/>
        <w:rPr>
          <w:lang w:eastAsia="zh-CN"/>
        </w:rPr>
      </w:pPr>
      <w:r w:rsidRPr="00781FEA">
        <w:rPr>
          <w:rFonts w:hint="eastAsia"/>
          <w:lang w:eastAsia="zh-CN"/>
        </w:rPr>
        <w:t>电信发展局</w:t>
      </w:r>
      <w:r w:rsidR="00622881" w:rsidRPr="00AB5E7E">
        <w:rPr>
          <w:rFonts w:hint="eastAsia"/>
          <w:lang w:eastAsia="zh-CN"/>
        </w:rPr>
        <w:t>就塔吉克斯坦建立行业</w:t>
      </w:r>
      <w:r w:rsidR="00622881" w:rsidRPr="00AB5E7E">
        <w:rPr>
          <w:rFonts w:hint="eastAsia"/>
          <w:lang w:eastAsia="zh-CN"/>
        </w:rPr>
        <w:t>CIRT</w:t>
      </w:r>
      <w:r w:rsidR="00350AB9">
        <w:rPr>
          <w:rFonts w:hint="eastAsia"/>
          <w:lang w:eastAsia="zh-CN"/>
        </w:rPr>
        <w:t>发布</w:t>
      </w:r>
      <w:r w:rsidR="00622881" w:rsidRPr="00AB5E7E">
        <w:rPr>
          <w:rFonts w:hint="eastAsia"/>
          <w:lang w:eastAsia="zh-CN"/>
        </w:rPr>
        <w:t>的评估报告</w:t>
      </w:r>
      <w:r w:rsidR="00622881" w:rsidRPr="00F43E9B">
        <w:rPr>
          <w:rFonts w:hint="eastAsia"/>
          <w:lang w:eastAsia="zh-CN"/>
        </w:rPr>
        <w:t>，深入分析了该国网络安全</w:t>
      </w:r>
      <w:r w:rsidR="00622881">
        <w:rPr>
          <w:rFonts w:hint="eastAsia"/>
          <w:lang w:eastAsia="zh-CN"/>
        </w:rPr>
        <w:t>就绪</w:t>
      </w:r>
      <w:r w:rsidR="00622881" w:rsidRPr="00F43E9B">
        <w:rPr>
          <w:rFonts w:hint="eastAsia"/>
          <w:lang w:eastAsia="zh-CN"/>
        </w:rPr>
        <w:t>情况，识别了</w:t>
      </w:r>
      <w:r w:rsidR="00350AB9" w:rsidRPr="00F43E9B">
        <w:rPr>
          <w:rFonts w:hint="eastAsia"/>
          <w:lang w:eastAsia="zh-CN"/>
        </w:rPr>
        <w:t>实施</w:t>
      </w:r>
      <w:r w:rsidR="00350AB9">
        <w:rPr>
          <w:rFonts w:hint="eastAsia"/>
          <w:lang w:eastAsia="zh-CN"/>
        </w:rPr>
        <w:t>过程中</w:t>
      </w:r>
      <w:r w:rsidR="00350AB9" w:rsidRPr="00F43E9B">
        <w:rPr>
          <w:rFonts w:hint="eastAsia"/>
          <w:lang w:eastAsia="zh-CN"/>
        </w:rPr>
        <w:t>的</w:t>
      </w:r>
      <w:r w:rsidR="00622881" w:rsidRPr="00F43E9B">
        <w:rPr>
          <w:rFonts w:hint="eastAsia"/>
          <w:lang w:eastAsia="zh-CN"/>
        </w:rPr>
        <w:t>关键差距、机构需求及战略优先事项。该报告通过勾勒建立有效</w:t>
      </w:r>
      <w:r w:rsidR="00622881" w:rsidRPr="00F43E9B">
        <w:rPr>
          <w:rFonts w:hint="eastAsia"/>
          <w:lang w:eastAsia="zh-CN"/>
        </w:rPr>
        <w:t>CIRT</w:t>
      </w:r>
      <w:r w:rsidR="00622881">
        <w:rPr>
          <w:rFonts w:hint="eastAsia"/>
          <w:lang w:eastAsia="zh-CN"/>
        </w:rPr>
        <w:t>的路线图，为循</w:t>
      </w:r>
      <w:proofErr w:type="gramStart"/>
      <w:r w:rsidR="00622881">
        <w:rPr>
          <w:rFonts w:hint="eastAsia"/>
          <w:lang w:eastAsia="zh-CN"/>
        </w:rPr>
        <w:t>证决策</w:t>
      </w:r>
      <w:proofErr w:type="gramEnd"/>
      <w:r w:rsidR="00622881">
        <w:rPr>
          <w:rFonts w:hint="eastAsia"/>
          <w:lang w:eastAsia="zh-CN"/>
        </w:rPr>
        <w:t>提供</w:t>
      </w:r>
      <w:r w:rsidR="00622881" w:rsidRPr="00F43E9B">
        <w:rPr>
          <w:rFonts w:hint="eastAsia"/>
          <w:lang w:eastAsia="zh-CN"/>
        </w:rPr>
        <w:t>支持，有助于</w:t>
      </w:r>
      <w:r w:rsidR="00622881" w:rsidRPr="00AB5E7E">
        <w:rPr>
          <w:rFonts w:hint="eastAsia"/>
          <w:lang w:eastAsia="zh-CN"/>
        </w:rPr>
        <w:t>增强国家网络复原力，并按照国际最佳做法加强对关键数字基础设施的保护。</w:t>
      </w:r>
    </w:p>
    <w:p w14:paraId="07AA0861" w14:textId="6367D46A" w:rsidR="00622881" w:rsidRDefault="00622881" w:rsidP="005573EC">
      <w:pPr>
        <w:ind w:firstLineChars="200" w:firstLine="480"/>
        <w:jc w:val="both"/>
        <w:rPr>
          <w:lang w:eastAsia="zh-CN"/>
        </w:rPr>
      </w:pPr>
      <w:r w:rsidRPr="00F43E9B">
        <w:rPr>
          <w:rFonts w:hint="eastAsia"/>
          <w:lang w:eastAsia="zh-CN"/>
        </w:rPr>
        <w:t>3</w:t>
      </w:r>
      <w:r w:rsidRPr="00F43E9B">
        <w:rPr>
          <w:rFonts w:hint="eastAsia"/>
          <w:lang w:eastAsia="zh-CN"/>
        </w:rPr>
        <w:t>月</w:t>
      </w:r>
      <w:r w:rsidRPr="00F43E9B">
        <w:rPr>
          <w:rFonts w:hint="eastAsia"/>
          <w:lang w:eastAsia="zh-CN"/>
        </w:rPr>
        <w:t>12</w:t>
      </w:r>
      <w:r w:rsidRPr="00F43E9B">
        <w:rPr>
          <w:rFonts w:hint="eastAsia"/>
          <w:lang w:eastAsia="zh-CN"/>
        </w:rPr>
        <w:t>日</w:t>
      </w:r>
      <w:r w:rsidRPr="00AB5E7E">
        <w:rPr>
          <w:rFonts w:hint="eastAsia"/>
          <w:lang w:eastAsia="zh-CN"/>
        </w:rPr>
        <w:t>，</w:t>
      </w:r>
      <w:r w:rsidR="00695C48" w:rsidRPr="00781FEA">
        <w:rPr>
          <w:rFonts w:hint="eastAsia"/>
          <w:lang w:eastAsia="zh-CN"/>
        </w:rPr>
        <w:t>电信发展局</w:t>
      </w:r>
      <w:r w:rsidRPr="00713809">
        <w:rPr>
          <w:rFonts w:hint="eastAsia"/>
          <w:lang w:eastAsia="zh-CN"/>
        </w:rPr>
        <w:t>与亚美尼亚共和国高新技术产业部、亚美尼亚信息系统局（</w:t>
      </w:r>
      <w:r w:rsidRPr="00713809">
        <w:rPr>
          <w:lang w:eastAsia="zh-CN"/>
        </w:rPr>
        <w:t>ISAA</w:t>
      </w:r>
      <w:r w:rsidRPr="00713809">
        <w:rPr>
          <w:rFonts w:hint="eastAsia"/>
          <w:lang w:eastAsia="zh-CN"/>
        </w:rPr>
        <w:t>）、</w:t>
      </w:r>
      <w:proofErr w:type="gramStart"/>
      <w:r w:rsidRPr="00713809">
        <w:rPr>
          <w:rFonts w:hint="eastAsia"/>
          <w:lang w:eastAsia="zh-CN"/>
        </w:rPr>
        <w:t>亚美尼亚运营商联盟及“为了女士”俱乐部联合举办了</w:t>
      </w:r>
      <w:proofErr w:type="gramEnd"/>
      <w:r w:rsidRPr="00AB5E7E">
        <w:rPr>
          <w:rFonts w:hint="eastAsia"/>
          <w:lang w:eastAsia="zh-CN"/>
        </w:rPr>
        <w:t>“</w:t>
      </w:r>
      <w:proofErr w:type="gramStart"/>
      <w:r w:rsidRPr="00AB5E7E">
        <w:rPr>
          <w:rFonts w:hint="eastAsia"/>
          <w:lang w:eastAsia="zh-CN"/>
        </w:rPr>
        <w:t>儿童上网安全是我们的共同</w:t>
      </w:r>
      <w:r w:rsidRPr="00713809">
        <w:rPr>
          <w:rFonts w:hint="eastAsia"/>
          <w:lang w:eastAsia="zh-CN"/>
        </w:rPr>
        <w:t>责任”</w:t>
      </w:r>
      <w:r w:rsidR="00350AB9">
        <w:rPr>
          <w:rFonts w:hint="eastAsia"/>
          <w:lang w:eastAsia="zh-CN"/>
        </w:rPr>
        <w:t>专题</w:t>
      </w:r>
      <w:r w:rsidRPr="00713809">
        <w:rPr>
          <w:rFonts w:hint="eastAsia"/>
          <w:lang w:eastAsia="zh-CN"/>
        </w:rPr>
        <w:t>会议</w:t>
      </w:r>
      <w:proofErr w:type="gramEnd"/>
      <w:r w:rsidRPr="00AB5E7E">
        <w:rPr>
          <w:rFonts w:hint="eastAsia"/>
          <w:lang w:eastAsia="zh-CN"/>
        </w:rPr>
        <w:t>。</w:t>
      </w:r>
      <w:r w:rsidRPr="00713809">
        <w:rPr>
          <w:rFonts w:hint="eastAsia"/>
          <w:lang w:eastAsia="zh-CN"/>
        </w:rPr>
        <w:t>会议</w:t>
      </w:r>
      <w:r w:rsidRPr="00AB5E7E">
        <w:rPr>
          <w:rFonts w:hint="eastAsia"/>
          <w:lang w:eastAsia="zh-CN"/>
        </w:rPr>
        <w:t>汇聚了教育工作者、</w:t>
      </w:r>
      <w:r w:rsidR="00350AB9">
        <w:rPr>
          <w:rFonts w:hint="eastAsia"/>
          <w:lang w:eastAsia="zh-CN"/>
        </w:rPr>
        <w:t>家长</w:t>
      </w:r>
      <w:r w:rsidRPr="00AB5E7E">
        <w:rPr>
          <w:rFonts w:hint="eastAsia"/>
          <w:lang w:eastAsia="zh-CN"/>
        </w:rPr>
        <w:t>及其他感兴趣的参与者，共同探讨与儿童上网安全</w:t>
      </w:r>
      <w:r w:rsidR="00350AB9">
        <w:rPr>
          <w:rFonts w:hint="eastAsia"/>
          <w:lang w:eastAsia="zh-CN"/>
        </w:rPr>
        <w:t>领域面临的</w:t>
      </w:r>
      <w:r w:rsidRPr="00AB5E7E">
        <w:rPr>
          <w:rFonts w:hint="eastAsia"/>
          <w:lang w:eastAsia="zh-CN"/>
        </w:rPr>
        <w:t>挑战及</w:t>
      </w:r>
      <w:r w:rsidR="00350AB9">
        <w:rPr>
          <w:rFonts w:hint="eastAsia"/>
          <w:lang w:eastAsia="zh-CN"/>
        </w:rPr>
        <w:t>潜在</w:t>
      </w:r>
      <w:r w:rsidRPr="00AB5E7E">
        <w:rPr>
          <w:rFonts w:hint="eastAsia"/>
          <w:lang w:eastAsia="zh-CN"/>
        </w:rPr>
        <w:t>的解决</w:t>
      </w:r>
      <w:r w:rsidRPr="00F43E9B">
        <w:rPr>
          <w:rFonts w:hint="eastAsia"/>
          <w:lang w:eastAsia="zh-CN"/>
        </w:rPr>
        <w:t>方案。</w:t>
      </w:r>
    </w:p>
    <w:p w14:paraId="211020D2" w14:textId="77777777" w:rsidR="00622881" w:rsidRPr="006D37DE" w:rsidRDefault="00622881" w:rsidP="005573EC">
      <w:pPr>
        <w:jc w:val="both"/>
        <w:rPr>
          <w:rFonts w:ascii="Calibri" w:hAnsi="Calibri" w:cs="Calibri"/>
          <w:b/>
          <w:color w:val="000000"/>
          <w:szCs w:val="24"/>
          <w:lang w:eastAsia="zh-CN"/>
        </w:rPr>
      </w:pPr>
      <w:r w:rsidRPr="00F43E9B">
        <w:rPr>
          <w:rFonts w:ascii="Calibri" w:hAnsi="Calibri" w:cs="Calibri" w:hint="eastAsia"/>
          <w:b/>
          <w:color w:val="000000"/>
          <w:szCs w:val="24"/>
          <w:lang w:eastAsia="zh-CN"/>
        </w:rPr>
        <w:t>数字包容性</w:t>
      </w:r>
    </w:p>
    <w:p w14:paraId="02C7D8E2" w14:textId="637FF053" w:rsidR="00622881" w:rsidRDefault="00695C48" w:rsidP="005573EC">
      <w:pPr>
        <w:ind w:firstLineChars="200" w:firstLine="480"/>
        <w:jc w:val="both"/>
        <w:rPr>
          <w:lang w:eastAsia="zh-CN"/>
        </w:rPr>
      </w:pPr>
      <w:r w:rsidRPr="00781FEA">
        <w:rPr>
          <w:rFonts w:hint="eastAsia"/>
          <w:lang w:eastAsia="zh-CN"/>
        </w:rPr>
        <w:t>电信发展局</w:t>
      </w:r>
      <w:r w:rsidR="00622881" w:rsidRPr="00F43E9B">
        <w:rPr>
          <w:rFonts w:hint="eastAsia"/>
          <w:lang w:eastAsia="zh-CN"/>
        </w:rPr>
        <w:t>发布了</w:t>
      </w:r>
      <w:hyperlink r:id="rId34" w:history="1">
        <w:r w:rsidR="00622881" w:rsidRPr="005D280A">
          <w:rPr>
            <w:rStyle w:val="Hyperlink"/>
            <w:rFonts w:hint="eastAsia"/>
            <w:lang w:eastAsia="zh-CN"/>
          </w:rPr>
          <w:t>《将</w:t>
        </w:r>
        <w:r w:rsidR="00622881" w:rsidRPr="005D280A">
          <w:rPr>
            <w:rStyle w:val="Hyperlink"/>
            <w:rFonts w:hint="eastAsia"/>
            <w:lang w:eastAsia="zh-CN"/>
          </w:rPr>
          <w:t>I</w:t>
        </w:r>
        <w:r w:rsidR="00622881" w:rsidRPr="005D280A">
          <w:rPr>
            <w:rStyle w:val="Hyperlink"/>
            <w:lang w:eastAsia="zh-CN"/>
          </w:rPr>
          <w:t>CT</w:t>
        </w:r>
        <w:r w:rsidR="00622881" w:rsidRPr="005D280A">
          <w:rPr>
            <w:rStyle w:val="Hyperlink"/>
            <w:rFonts w:hint="eastAsia"/>
            <w:lang w:eastAsia="zh-CN"/>
          </w:rPr>
          <w:t>无障碍获取纳入战略主流》报告</w:t>
        </w:r>
      </w:hyperlink>
      <w:r w:rsidR="00622881" w:rsidRPr="00F43E9B">
        <w:rPr>
          <w:rFonts w:hint="eastAsia"/>
          <w:lang w:eastAsia="zh-CN"/>
        </w:rPr>
        <w:t>，旨在支持国际电联成员国推进建设一个无障碍的数字世界。该出版物提供了实用指导、实施策略及基于标准的工具，以确保</w:t>
      </w:r>
      <w:r w:rsidR="00622881">
        <w:rPr>
          <w:rFonts w:hint="eastAsia"/>
          <w:lang w:eastAsia="zh-CN"/>
        </w:rPr>
        <w:t>I</w:t>
      </w:r>
      <w:r w:rsidR="00622881">
        <w:rPr>
          <w:lang w:eastAsia="zh-CN"/>
        </w:rPr>
        <w:t>CT</w:t>
      </w:r>
      <w:r w:rsidR="00622881" w:rsidRPr="00F43E9B">
        <w:rPr>
          <w:rFonts w:hint="eastAsia"/>
          <w:lang w:eastAsia="zh-CN"/>
        </w:rPr>
        <w:t>无障碍</w:t>
      </w:r>
      <w:r w:rsidR="00622881">
        <w:rPr>
          <w:rFonts w:hint="eastAsia"/>
          <w:lang w:eastAsia="zh-CN"/>
        </w:rPr>
        <w:t>获取的合</w:t>
      </w:r>
      <w:proofErr w:type="gramStart"/>
      <w:r w:rsidR="00622881">
        <w:rPr>
          <w:rFonts w:hint="eastAsia"/>
          <w:lang w:eastAsia="zh-CN"/>
        </w:rPr>
        <w:t>规</w:t>
      </w:r>
      <w:proofErr w:type="gramEnd"/>
      <w:r w:rsidR="00622881">
        <w:rPr>
          <w:rFonts w:hint="eastAsia"/>
          <w:lang w:eastAsia="zh-CN"/>
        </w:rPr>
        <w:t>性。报告</w:t>
      </w:r>
      <w:r w:rsidR="00622881" w:rsidRPr="00F43E9B">
        <w:rPr>
          <w:rFonts w:hint="eastAsia"/>
          <w:lang w:eastAsia="zh-CN"/>
        </w:rPr>
        <w:t>呼吁</w:t>
      </w:r>
      <w:r w:rsidR="00B62366">
        <w:rPr>
          <w:rFonts w:hint="eastAsia"/>
          <w:lang w:eastAsia="zh-CN"/>
        </w:rPr>
        <w:t>从源头起</w:t>
      </w:r>
      <w:r w:rsidR="00622881" w:rsidRPr="00F43E9B">
        <w:rPr>
          <w:rFonts w:hint="eastAsia"/>
          <w:lang w:eastAsia="zh-CN"/>
        </w:rPr>
        <w:t>将无障碍</w:t>
      </w:r>
      <w:r w:rsidR="00622881">
        <w:rPr>
          <w:rFonts w:hint="eastAsia"/>
          <w:lang w:eastAsia="zh-CN"/>
        </w:rPr>
        <w:t>获取</w:t>
      </w:r>
      <w:r w:rsidR="00622881" w:rsidRPr="00F43E9B">
        <w:rPr>
          <w:rFonts w:hint="eastAsia"/>
          <w:lang w:eastAsia="zh-CN"/>
        </w:rPr>
        <w:t>嵌入所有</w:t>
      </w:r>
      <w:r w:rsidR="00622881">
        <w:rPr>
          <w:rFonts w:hint="eastAsia"/>
          <w:lang w:eastAsia="zh-CN"/>
        </w:rPr>
        <w:t>I</w:t>
      </w:r>
      <w:r w:rsidR="00622881">
        <w:rPr>
          <w:lang w:eastAsia="zh-CN"/>
        </w:rPr>
        <w:t>CT</w:t>
      </w:r>
      <w:r w:rsidR="00622881" w:rsidRPr="00F43E9B">
        <w:rPr>
          <w:rFonts w:hint="eastAsia"/>
          <w:lang w:eastAsia="zh-CN"/>
        </w:rPr>
        <w:t>产品和服务，并将其要求纳入政策监管、技术开发、设备设计及数字服务的主流。</w:t>
      </w:r>
    </w:p>
    <w:p w14:paraId="47D7F93E" w14:textId="1AEBE8CC" w:rsidR="00622881" w:rsidRDefault="00622881" w:rsidP="005573EC">
      <w:pPr>
        <w:ind w:firstLineChars="200" w:firstLine="482"/>
        <w:jc w:val="both"/>
        <w:rPr>
          <w:lang w:eastAsia="zh-CN"/>
        </w:rPr>
      </w:pPr>
      <w:r w:rsidRPr="00713809">
        <w:rPr>
          <w:rFonts w:hint="eastAsia"/>
          <w:b/>
          <w:lang w:eastAsia="zh-CN"/>
        </w:rPr>
        <w:t>“连通的一代”青年领袖计划</w:t>
      </w:r>
      <w:r w:rsidRPr="00F43E9B">
        <w:rPr>
          <w:rFonts w:hint="eastAsia"/>
          <w:lang w:eastAsia="zh-CN"/>
        </w:rPr>
        <w:t>（</w:t>
      </w:r>
      <w:r w:rsidRPr="00F43E9B">
        <w:rPr>
          <w:rFonts w:hint="eastAsia"/>
          <w:lang w:eastAsia="zh-CN"/>
        </w:rPr>
        <w:t>GCYLP</w:t>
      </w:r>
      <w:r w:rsidRPr="00F43E9B">
        <w:rPr>
          <w:rFonts w:hint="eastAsia"/>
          <w:lang w:eastAsia="zh-CN"/>
        </w:rPr>
        <w:t>）</w:t>
      </w:r>
      <w:r w:rsidRPr="00F43E9B">
        <w:rPr>
          <w:rFonts w:hint="eastAsia"/>
          <w:lang w:eastAsia="zh-CN"/>
        </w:rPr>
        <w:t>2026</w:t>
      </w:r>
      <w:r>
        <w:rPr>
          <w:lang w:eastAsia="zh-CN"/>
        </w:rPr>
        <w:t>–</w:t>
      </w:r>
      <w:r w:rsidRPr="00F43E9B">
        <w:rPr>
          <w:rFonts w:hint="eastAsia"/>
          <w:lang w:eastAsia="zh-CN"/>
        </w:rPr>
        <w:t>2027</w:t>
      </w:r>
      <w:r w:rsidRPr="00F43E9B">
        <w:rPr>
          <w:rFonts w:hint="eastAsia"/>
          <w:lang w:eastAsia="zh-CN"/>
        </w:rPr>
        <w:t>年周期的第三批学员招募已启动，截至</w:t>
      </w:r>
      <w:r w:rsidRPr="00F43E9B">
        <w:rPr>
          <w:rFonts w:hint="eastAsia"/>
          <w:lang w:eastAsia="zh-CN"/>
        </w:rPr>
        <w:t>3</w:t>
      </w:r>
      <w:r w:rsidRPr="00F43E9B">
        <w:rPr>
          <w:rFonts w:hint="eastAsia"/>
          <w:lang w:eastAsia="zh-CN"/>
        </w:rPr>
        <w:t>月</w:t>
      </w:r>
      <w:r w:rsidRPr="00F43E9B">
        <w:rPr>
          <w:rFonts w:hint="eastAsia"/>
          <w:lang w:eastAsia="zh-CN"/>
        </w:rPr>
        <w:t>30</w:t>
      </w:r>
      <w:r w:rsidRPr="00F43E9B">
        <w:rPr>
          <w:rFonts w:hint="eastAsia"/>
          <w:lang w:eastAsia="zh-CN"/>
        </w:rPr>
        <w:t>日，</w:t>
      </w:r>
      <w:r w:rsidR="00B62366" w:rsidRPr="00712C58">
        <w:rPr>
          <w:rFonts w:hint="eastAsia"/>
          <w:lang w:eastAsia="zh-CN"/>
        </w:rPr>
        <w:t>全球</w:t>
      </w:r>
      <w:r w:rsidR="00B62366">
        <w:rPr>
          <w:rFonts w:hint="eastAsia"/>
          <w:lang w:eastAsia="zh-CN"/>
        </w:rPr>
        <w:t>申请量已达</w:t>
      </w:r>
      <w:r w:rsidRPr="00E220AA">
        <w:rPr>
          <w:rFonts w:hint="eastAsia"/>
          <w:lang w:eastAsia="zh-CN"/>
        </w:rPr>
        <w:t>约</w:t>
      </w:r>
      <w:r w:rsidRPr="00E220AA">
        <w:rPr>
          <w:rFonts w:hint="eastAsia"/>
          <w:lang w:eastAsia="zh-CN"/>
        </w:rPr>
        <w:t>6</w:t>
      </w:r>
      <w:r w:rsidR="00B62366">
        <w:rPr>
          <w:rFonts w:hint="eastAsia"/>
          <w:lang w:eastAsia="zh-CN"/>
        </w:rPr>
        <w:t>,</w:t>
      </w:r>
      <w:r w:rsidRPr="00E220AA">
        <w:rPr>
          <w:rFonts w:hint="eastAsia"/>
          <w:lang w:eastAsia="zh-CN"/>
        </w:rPr>
        <w:t>500</w:t>
      </w:r>
      <w:r w:rsidRPr="00E220AA">
        <w:rPr>
          <w:rFonts w:hint="eastAsia"/>
          <w:lang w:eastAsia="zh-CN"/>
        </w:rPr>
        <w:t>份。该</w:t>
      </w:r>
      <w:r w:rsidRPr="00F43E9B">
        <w:rPr>
          <w:rFonts w:hint="eastAsia"/>
          <w:lang w:eastAsia="zh-CN"/>
        </w:rPr>
        <w:t>计划每年</w:t>
      </w:r>
      <w:r w:rsidR="00B62366">
        <w:rPr>
          <w:rFonts w:hint="eastAsia"/>
          <w:lang w:eastAsia="zh-CN"/>
        </w:rPr>
        <w:t>持续</w:t>
      </w:r>
      <w:r w:rsidRPr="00F43E9B">
        <w:rPr>
          <w:rFonts w:hint="eastAsia"/>
          <w:lang w:eastAsia="zh-CN"/>
        </w:rPr>
        <w:t>支持</w:t>
      </w:r>
      <w:r w:rsidRPr="00F43E9B">
        <w:rPr>
          <w:rFonts w:hint="eastAsia"/>
          <w:lang w:eastAsia="zh-CN"/>
        </w:rPr>
        <w:t>30</w:t>
      </w:r>
      <w:r w:rsidRPr="00F43E9B">
        <w:rPr>
          <w:rFonts w:hint="eastAsia"/>
          <w:lang w:eastAsia="zh-CN"/>
        </w:rPr>
        <w:t>名</w:t>
      </w:r>
      <w:r w:rsidR="00B62366">
        <w:rPr>
          <w:rFonts w:hint="eastAsia"/>
          <w:lang w:eastAsia="zh-CN"/>
        </w:rPr>
        <w:t>青年创新者</w:t>
      </w:r>
      <w:r w:rsidRPr="00E220AA">
        <w:rPr>
          <w:rFonts w:hint="eastAsia"/>
          <w:lang w:eastAsia="zh-CN"/>
        </w:rPr>
        <w:t>，提供导师</w:t>
      </w:r>
      <w:r w:rsidRPr="00E220AA">
        <w:rPr>
          <w:rFonts w:hint="eastAsia"/>
          <w:lang w:eastAsia="zh-CN"/>
        </w:rPr>
        <w:lastRenderedPageBreak/>
        <w:t>指导、培训及</w:t>
      </w:r>
      <w:r w:rsidRPr="00E220AA">
        <w:rPr>
          <w:rFonts w:hint="eastAsia"/>
          <w:lang w:eastAsia="zh-CN"/>
        </w:rPr>
        <w:t>5</w:t>
      </w:r>
      <w:r w:rsidR="00B62366">
        <w:rPr>
          <w:rFonts w:hint="eastAsia"/>
          <w:lang w:eastAsia="zh-CN"/>
        </w:rPr>
        <w:t>,</w:t>
      </w:r>
      <w:r w:rsidRPr="00E220AA">
        <w:rPr>
          <w:rFonts w:hint="eastAsia"/>
          <w:lang w:eastAsia="zh-CN"/>
        </w:rPr>
        <w:t>000</w:t>
      </w:r>
      <w:r w:rsidRPr="00E220AA">
        <w:rPr>
          <w:rFonts w:hint="eastAsia"/>
          <w:lang w:eastAsia="zh-CN"/>
        </w:rPr>
        <w:t>美元的启动</w:t>
      </w:r>
      <w:r w:rsidR="00B62366">
        <w:rPr>
          <w:rFonts w:hint="eastAsia"/>
          <w:lang w:eastAsia="zh-CN"/>
        </w:rPr>
        <w:t>资助</w:t>
      </w:r>
      <w:r w:rsidRPr="00E220AA">
        <w:rPr>
          <w:rFonts w:hint="eastAsia"/>
          <w:lang w:eastAsia="zh-CN"/>
        </w:rPr>
        <w:t>金，并根据项目影响提供额外资助机会。</w:t>
      </w:r>
      <w:r w:rsidR="00B62366">
        <w:rPr>
          <w:rFonts w:hint="eastAsia"/>
          <w:lang w:eastAsia="zh-CN"/>
        </w:rPr>
        <w:t>入选</w:t>
      </w:r>
      <w:r w:rsidRPr="00E220AA">
        <w:rPr>
          <w:rFonts w:hint="eastAsia"/>
          <w:lang w:eastAsia="zh-CN"/>
        </w:rPr>
        <w:t>成员将参加</w:t>
      </w:r>
      <w:r w:rsidRPr="00E220AA">
        <w:rPr>
          <w:rFonts w:hint="eastAsia"/>
          <w:lang w:eastAsia="zh-CN"/>
        </w:rPr>
        <w:t>2026</w:t>
      </w:r>
      <w:r w:rsidRPr="00E220AA">
        <w:rPr>
          <w:rFonts w:hint="eastAsia"/>
          <w:lang w:eastAsia="zh-CN"/>
        </w:rPr>
        <w:t>年</w:t>
      </w:r>
      <w:r w:rsidRPr="00E220AA">
        <w:rPr>
          <w:rFonts w:hint="eastAsia"/>
          <w:lang w:eastAsia="zh-CN"/>
        </w:rPr>
        <w:t>9</w:t>
      </w:r>
      <w:r w:rsidRPr="00E220AA">
        <w:rPr>
          <w:rFonts w:hint="eastAsia"/>
          <w:lang w:eastAsia="zh-CN"/>
        </w:rPr>
        <w:t>月在日内瓦举办的</w:t>
      </w:r>
      <w:r w:rsidR="00B62366">
        <w:rPr>
          <w:rFonts w:hint="eastAsia"/>
          <w:lang w:eastAsia="zh-CN"/>
        </w:rPr>
        <w:t>“</w:t>
      </w:r>
      <w:r w:rsidRPr="00E220AA">
        <w:rPr>
          <w:rFonts w:hint="eastAsia"/>
          <w:lang w:eastAsia="zh-CN"/>
        </w:rPr>
        <w:t>全球发展周</w:t>
      </w:r>
      <w:r w:rsidR="00B62366">
        <w:rPr>
          <w:rFonts w:hint="eastAsia"/>
          <w:lang w:eastAsia="zh-CN"/>
        </w:rPr>
        <w:t>”</w:t>
      </w:r>
      <w:r w:rsidRPr="00E220AA">
        <w:rPr>
          <w:rFonts w:hint="eastAsia"/>
          <w:lang w:eastAsia="zh-CN"/>
        </w:rPr>
        <w:t>，</w:t>
      </w:r>
      <w:r w:rsidR="00B62366">
        <w:rPr>
          <w:rFonts w:hint="eastAsia"/>
          <w:lang w:eastAsia="zh-CN"/>
        </w:rPr>
        <w:t>以</w:t>
      </w:r>
      <w:r w:rsidRPr="00E220AA">
        <w:rPr>
          <w:rFonts w:hint="eastAsia"/>
          <w:lang w:eastAsia="zh-CN"/>
        </w:rPr>
        <w:t>进一步加强</w:t>
      </w:r>
      <w:r w:rsidR="00B62366">
        <w:rPr>
          <w:rFonts w:hint="eastAsia"/>
          <w:lang w:eastAsia="zh-CN"/>
        </w:rPr>
        <w:t>其</w:t>
      </w:r>
      <w:r w:rsidRPr="00E220AA">
        <w:rPr>
          <w:rFonts w:hint="eastAsia"/>
          <w:lang w:eastAsia="zh-CN"/>
        </w:rPr>
        <w:t>领导力和创新能力。</w:t>
      </w:r>
    </w:p>
    <w:p w14:paraId="4381A0A2" w14:textId="77777777" w:rsidR="00622881" w:rsidRDefault="00622881" w:rsidP="005573EC">
      <w:pPr>
        <w:ind w:firstLineChars="200" w:firstLine="480"/>
        <w:jc w:val="both"/>
        <w:rPr>
          <w:lang w:eastAsia="zh-CN"/>
        </w:rPr>
      </w:pPr>
      <w:r w:rsidRPr="00F43E9B">
        <w:rPr>
          <w:rFonts w:hint="eastAsia"/>
          <w:lang w:eastAsia="zh-CN"/>
        </w:rPr>
        <w:t>与此同时，新一批</w:t>
      </w:r>
      <w:r w:rsidRPr="00713809">
        <w:rPr>
          <w:rFonts w:hint="eastAsia"/>
          <w:b/>
          <w:lang w:eastAsia="zh-CN"/>
        </w:rPr>
        <w:t>“连通的一代”青年特使（</w:t>
      </w:r>
      <w:r w:rsidRPr="00713809">
        <w:rPr>
          <w:b/>
          <w:lang w:eastAsia="zh-CN"/>
        </w:rPr>
        <w:t>GCYE</w:t>
      </w:r>
      <w:r w:rsidRPr="00713809">
        <w:rPr>
          <w:rFonts w:hint="eastAsia"/>
          <w:b/>
          <w:lang w:eastAsia="zh-CN"/>
        </w:rPr>
        <w:t>）</w:t>
      </w:r>
      <w:r w:rsidRPr="00713809">
        <w:rPr>
          <w:rFonts w:hint="eastAsia"/>
          <w:lang w:eastAsia="zh-CN"/>
        </w:rPr>
        <w:t>举措</w:t>
      </w:r>
      <w:r w:rsidRPr="00F43E9B">
        <w:rPr>
          <w:rFonts w:hint="eastAsia"/>
          <w:lang w:eastAsia="zh-CN"/>
        </w:rPr>
        <w:t>已于</w:t>
      </w:r>
      <w:r w:rsidRPr="00F43E9B">
        <w:rPr>
          <w:rFonts w:hint="eastAsia"/>
          <w:lang w:eastAsia="zh-CN"/>
        </w:rPr>
        <w:t>3</w:t>
      </w:r>
      <w:r w:rsidRPr="00F43E9B">
        <w:rPr>
          <w:rFonts w:hint="eastAsia"/>
          <w:lang w:eastAsia="zh-CN"/>
        </w:rPr>
        <w:t>月</w:t>
      </w:r>
      <w:r w:rsidRPr="00F43E9B">
        <w:rPr>
          <w:rFonts w:hint="eastAsia"/>
          <w:lang w:eastAsia="zh-CN"/>
        </w:rPr>
        <w:t>9</w:t>
      </w:r>
      <w:r w:rsidRPr="00F43E9B">
        <w:rPr>
          <w:rFonts w:hint="eastAsia"/>
          <w:lang w:eastAsia="zh-CN"/>
        </w:rPr>
        <w:t>日启动，提名截止日期为</w:t>
      </w:r>
      <w:r w:rsidRPr="00F43E9B">
        <w:rPr>
          <w:rFonts w:hint="eastAsia"/>
          <w:lang w:eastAsia="zh-CN"/>
        </w:rPr>
        <w:t>4</w:t>
      </w:r>
      <w:r w:rsidRPr="00F43E9B">
        <w:rPr>
          <w:rFonts w:hint="eastAsia"/>
          <w:lang w:eastAsia="zh-CN"/>
        </w:rPr>
        <w:t>月</w:t>
      </w:r>
      <w:r w:rsidRPr="00F43E9B">
        <w:rPr>
          <w:rFonts w:hint="eastAsia"/>
          <w:lang w:eastAsia="zh-CN"/>
        </w:rPr>
        <w:t>30</w:t>
      </w:r>
      <w:r w:rsidRPr="00F43E9B">
        <w:rPr>
          <w:rFonts w:hint="eastAsia"/>
          <w:lang w:eastAsia="zh-CN"/>
        </w:rPr>
        <w:t>日。</w:t>
      </w:r>
    </w:p>
    <w:p w14:paraId="5EFC40EA" w14:textId="1F358140" w:rsidR="00622881" w:rsidRDefault="00622881" w:rsidP="005573EC">
      <w:pPr>
        <w:ind w:firstLineChars="200" w:firstLine="482"/>
        <w:jc w:val="both"/>
        <w:rPr>
          <w:lang w:eastAsia="zh-CN"/>
        </w:rPr>
      </w:pPr>
      <w:r w:rsidRPr="00713809">
        <w:rPr>
          <w:rFonts w:hint="eastAsia"/>
          <w:b/>
          <w:lang w:eastAsia="zh-CN"/>
        </w:rPr>
        <w:t>在非洲</w:t>
      </w:r>
      <w:r w:rsidR="00695C48">
        <w:rPr>
          <w:rFonts w:hint="eastAsia"/>
          <w:b/>
          <w:lang w:eastAsia="zh-CN"/>
        </w:rPr>
        <w:t>地区</w:t>
      </w:r>
      <w:r w:rsidRPr="00F43E9B">
        <w:rPr>
          <w:rFonts w:hint="eastAsia"/>
          <w:lang w:eastAsia="zh-CN"/>
        </w:rPr>
        <w:t>，</w:t>
      </w:r>
      <w:r w:rsidR="00B62366" w:rsidRPr="008E08FE">
        <w:rPr>
          <w:rFonts w:hint="eastAsia"/>
          <w:bCs/>
          <w:lang w:eastAsia="zh-CN"/>
        </w:rPr>
        <w:t>继</w:t>
      </w:r>
      <w:r w:rsidR="00B62366" w:rsidRPr="00781FEA">
        <w:rPr>
          <w:rFonts w:hint="eastAsia"/>
          <w:lang w:eastAsia="zh-CN"/>
        </w:rPr>
        <w:t>电信发展局</w:t>
      </w:r>
      <w:r>
        <w:rPr>
          <w:rFonts w:hint="eastAsia"/>
          <w:lang w:eastAsia="zh-CN"/>
        </w:rPr>
        <w:t>在</w:t>
      </w:r>
      <w:r w:rsidRPr="00F43E9B">
        <w:rPr>
          <w:rFonts w:hint="eastAsia"/>
          <w:lang w:eastAsia="zh-CN"/>
        </w:rPr>
        <w:t>莫桑比克开展</w:t>
      </w:r>
      <w:r>
        <w:rPr>
          <w:rFonts w:hint="eastAsia"/>
          <w:lang w:eastAsia="zh-CN"/>
        </w:rPr>
        <w:t>数字包容性评估</w:t>
      </w:r>
      <w:r w:rsidR="00B62366">
        <w:rPr>
          <w:rFonts w:hint="eastAsia"/>
          <w:lang w:eastAsia="zh-CN"/>
        </w:rPr>
        <w:t>（</w:t>
      </w:r>
      <w:r w:rsidRPr="00F43E9B">
        <w:rPr>
          <w:rFonts w:hint="eastAsia"/>
          <w:lang w:eastAsia="zh-CN"/>
        </w:rPr>
        <w:t>重点关注残疾人</w:t>
      </w:r>
      <w:r>
        <w:rPr>
          <w:rFonts w:hint="eastAsia"/>
          <w:lang w:eastAsia="zh-CN"/>
        </w:rPr>
        <w:t>（</w:t>
      </w:r>
      <w:proofErr w:type="spellStart"/>
      <w:r>
        <w:rPr>
          <w:rFonts w:hint="eastAsia"/>
          <w:lang w:eastAsia="zh-CN"/>
        </w:rPr>
        <w:t>PwD</w:t>
      </w:r>
      <w:proofErr w:type="spellEnd"/>
      <w:r>
        <w:rPr>
          <w:rFonts w:hint="eastAsia"/>
          <w:lang w:eastAsia="zh-CN"/>
        </w:rPr>
        <w:t>）</w:t>
      </w:r>
      <w:r w:rsidRPr="00F43E9B">
        <w:rPr>
          <w:rFonts w:hint="eastAsia"/>
          <w:lang w:eastAsia="zh-CN"/>
        </w:rPr>
        <w:t>和弱势群体</w:t>
      </w:r>
      <w:r w:rsidR="00B62366">
        <w:rPr>
          <w:rFonts w:hint="eastAsia"/>
          <w:lang w:eastAsia="zh-CN"/>
        </w:rPr>
        <w:t>）后</w:t>
      </w:r>
      <w:r>
        <w:rPr>
          <w:rFonts w:hint="eastAsia"/>
          <w:lang w:eastAsia="zh-CN"/>
        </w:rPr>
        <w:t>，</w:t>
      </w:r>
      <w:r w:rsidRPr="00F43E9B">
        <w:rPr>
          <w:rFonts w:hint="eastAsia"/>
          <w:lang w:eastAsia="zh-CN"/>
        </w:rPr>
        <w:t>启动了一系列提高认识的网络研讨会。</w:t>
      </w:r>
      <w:r w:rsidRPr="00F43E9B">
        <w:rPr>
          <w:rFonts w:hint="eastAsia"/>
          <w:lang w:eastAsia="zh-CN"/>
        </w:rPr>
        <w:t>2</w:t>
      </w:r>
      <w:r w:rsidRPr="00F43E9B">
        <w:rPr>
          <w:rFonts w:hint="eastAsia"/>
          <w:lang w:eastAsia="zh-CN"/>
        </w:rPr>
        <w:t>月和</w:t>
      </w:r>
      <w:r w:rsidRPr="00F43E9B">
        <w:rPr>
          <w:rFonts w:hint="eastAsia"/>
          <w:lang w:eastAsia="zh-CN"/>
        </w:rPr>
        <w:t>3</w:t>
      </w:r>
      <w:r w:rsidRPr="00F43E9B">
        <w:rPr>
          <w:rFonts w:hint="eastAsia"/>
          <w:lang w:eastAsia="zh-CN"/>
        </w:rPr>
        <w:t>月分别举办了两场网络研讨会，汇聚了公共和私营部门的利益攸关方，共同推进包容性数字化转型。</w:t>
      </w:r>
    </w:p>
    <w:p w14:paraId="0E533797" w14:textId="1AED6F0E" w:rsidR="00622881" w:rsidRPr="00713809" w:rsidRDefault="00622881" w:rsidP="005573EC">
      <w:pPr>
        <w:ind w:firstLineChars="200" w:firstLine="482"/>
        <w:jc w:val="both"/>
        <w:rPr>
          <w:lang w:eastAsia="zh-CN"/>
        </w:rPr>
      </w:pPr>
      <w:r w:rsidRPr="00713809">
        <w:rPr>
          <w:rFonts w:hint="eastAsia"/>
          <w:b/>
          <w:lang w:eastAsia="zh-CN"/>
        </w:rPr>
        <w:t>在亚太</w:t>
      </w:r>
      <w:r w:rsidR="00695C48">
        <w:rPr>
          <w:rFonts w:hint="eastAsia"/>
          <w:b/>
          <w:lang w:eastAsia="zh-CN"/>
        </w:rPr>
        <w:t>地区</w:t>
      </w:r>
      <w:r w:rsidRPr="00F43E9B">
        <w:rPr>
          <w:rFonts w:hint="eastAsia"/>
          <w:lang w:eastAsia="zh-CN"/>
        </w:rPr>
        <w:t>，</w:t>
      </w:r>
      <w:r w:rsidRPr="00F43E9B">
        <w:rPr>
          <w:rFonts w:hint="eastAsia"/>
          <w:lang w:eastAsia="zh-CN"/>
        </w:rPr>
        <w:t>2</w:t>
      </w:r>
      <w:r w:rsidRPr="00F43E9B">
        <w:rPr>
          <w:rFonts w:hint="eastAsia"/>
          <w:lang w:eastAsia="zh-CN"/>
        </w:rPr>
        <w:t>月</w:t>
      </w:r>
      <w:r w:rsidRPr="00F43E9B">
        <w:rPr>
          <w:rFonts w:hint="eastAsia"/>
          <w:lang w:eastAsia="zh-CN"/>
        </w:rPr>
        <w:t>16</w:t>
      </w:r>
      <w:r w:rsidRPr="00F43E9B">
        <w:rPr>
          <w:rFonts w:hint="eastAsia"/>
          <w:lang w:eastAsia="zh-CN"/>
        </w:rPr>
        <w:t>日</w:t>
      </w:r>
      <w:r w:rsidRPr="005D280A">
        <w:rPr>
          <w:rFonts w:hint="eastAsia"/>
          <w:lang w:eastAsia="zh-CN"/>
        </w:rPr>
        <w:t>，</w:t>
      </w:r>
      <w:r w:rsidR="00695C48" w:rsidRPr="00781FEA">
        <w:rPr>
          <w:rFonts w:hint="eastAsia"/>
          <w:lang w:eastAsia="zh-CN"/>
        </w:rPr>
        <w:t>电信发展局</w:t>
      </w:r>
      <w:r w:rsidRPr="005D280A">
        <w:rPr>
          <w:rFonts w:hint="eastAsia"/>
          <w:lang w:eastAsia="zh-CN"/>
        </w:rPr>
        <w:t>与印度全国妇女委员会（</w:t>
      </w:r>
      <w:r w:rsidRPr="005D280A">
        <w:rPr>
          <w:rFonts w:hint="eastAsia"/>
          <w:lang w:eastAsia="zh-CN"/>
        </w:rPr>
        <w:t>NCW</w:t>
      </w:r>
      <w:r w:rsidRPr="005D280A">
        <w:rPr>
          <w:rFonts w:hint="eastAsia"/>
          <w:lang w:eastAsia="zh-CN"/>
        </w:rPr>
        <w:t>）及</w:t>
      </w:r>
      <w:r w:rsidRPr="00F43E9B">
        <w:rPr>
          <w:rFonts w:hint="eastAsia"/>
          <w:lang w:eastAsia="zh-CN"/>
        </w:rPr>
        <w:t>联合国训练研究所（</w:t>
      </w:r>
      <w:r w:rsidRPr="00F43E9B">
        <w:rPr>
          <w:rFonts w:hint="eastAsia"/>
          <w:lang w:eastAsia="zh-CN"/>
        </w:rPr>
        <w:t>UNITAR</w:t>
      </w:r>
      <w:r w:rsidRPr="00F43E9B">
        <w:rPr>
          <w:rFonts w:hint="eastAsia"/>
          <w:lang w:eastAsia="zh-CN"/>
        </w:rPr>
        <w:t>）合作，在印度新德里</w:t>
      </w:r>
      <w:r w:rsidRPr="00305660">
        <w:rPr>
          <w:rFonts w:hint="eastAsia"/>
          <w:lang w:eastAsia="zh-CN"/>
        </w:rPr>
        <w:t>巴拉特·曼达帕姆会展中心</w:t>
      </w:r>
      <w:r w:rsidRPr="00F43E9B">
        <w:rPr>
          <w:rFonts w:hint="eastAsia"/>
          <w:lang w:eastAsia="zh-CN"/>
        </w:rPr>
        <w:t>举办的</w:t>
      </w:r>
      <w:r w:rsidR="00B62366">
        <w:rPr>
          <w:rFonts w:hint="eastAsia"/>
          <w:lang w:eastAsia="zh-CN"/>
        </w:rPr>
        <w:t>“</w:t>
      </w:r>
      <w:r w:rsidRPr="00F43E9B">
        <w:rPr>
          <w:rFonts w:hint="eastAsia"/>
          <w:lang w:eastAsia="zh-CN"/>
        </w:rPr>
        <w:t>印度</w:t>
      </w:r>
      <w:r w:rsidR="00B62366">
        <w:rPr>
          <w:rFonts w:hint="eastAsia"/>
          <w:lang w:eastAsia="zh-CN"/>
        </w:rPr>
        <w:t>人工智能</w:t>
      </w:r>
      <w:r w:rsidRPr="00F43E9B">
        <w:rPr>
          <w:rFonts w:hint="eastAsia"/>
          <w:lang w:eastAsia="zh-CN"/>
        </w:rPr>
        <w:t>影响</w:t>
      </w:r>
      <w:r>
        <w:rPr>
          <w:rFonts w:hint="eastAsia"/>
          <w:lang w:eastAsia="zh-CN"/>
        </w:rPr>
        <w:t>力</w:t>
      </w:r>
      <w:r w:rsidRPr="00F43E9B">
        <w:rPr>
          <w:rFonts w:hint="eastAsia"/>
          <w:lang w:eastAsia="zh-CN"/>
        </w:rPr>
        <w:t>峰会</w:t>
      </w:r>
      <w:r w:rsidR="00B62366">
        <w:rPr>
          <w:rFonts w:hint="eastAsia"/>
          <w:lang w:eastAsia="zh-CN"/>
        </w:rPr>
        <w:t>”</w:t>
      </w:r>
      <w:r w:rsidRPr="00F43E9B">
        <w:rPr>
          <w:rFonts w:hint="eastAsia"/>
          <w:lang w:eastAsia="zh-CN"/>
        </w:rPr>
        <w:t>期间，联合举办了一场题为“</w:t>
      </w:r>
      <w:r w:rsidR="00B62366">
        <w:rPr>
          <w:rFonts w:hint="eastAsia"/>
          <w:lang w:eastAsia="zh-CN"/>
        </w:rPr>
        <w:t>人工智能</w:t>
      </w:r>
      <w:r w:rsidRPr="00F43E9B">
        <w:rPr>
          <w:rFonts w:hint="eastAsia"/>
          <w:lang w:eastAsia="zh-CN"/>
        </w:rPr>
        <w:t>与经济权力</w:t>
      </w:r>
      <w:r>
        <w:rPr>
          <w:rFonts w:hint="eastAsia"/>
          <w:lang w:eastAsia="zh-CN"/>
        </w:rPr>
        <w:t>：</w:t>
      </w:r>
      <w:r w:rsidR="00B62366">
        <w:rPr>
          <w:rFonts w:hint="eastAsia"/>
          <w:lang w:eastAsia="zh-CN"/>
        </w:rPr>
        <w:t>妇女</w:t>
      </w:r>
      <w:r w:rsidRPr="005D280A">
        <w:rPr>
          <w:rFonts w:hint="eastAsia"/>
          <w:lang w:eastAsia="zh-CN"/>
        </w:rPr>
        <w:t>领导繁荣的路</w:t>
      </w:r>
      <w:r w:rsidRPr="00F43E9B">
        <w:rPr>
          <w:rFonts w:hint="eastAsia"/>
          <w:lang w:eastAsia="zh-CN"/>
        </w:rPr>
        <w:t>线图”</w:t>
      </w:r>
      <w:r w:rsidR="00B62366">
        <w:rPr>
          <w:rFonts w:hint="eastAsia"/>
          <w:lang w:eastAsia="zh-CN"/>
        </w:rPr>
        <w:t>专题</w:t>
      </w:r>
      <w:r w:rsidRPr="00F43E9B">
        <w:rPr>
          <w:rFonts w:hint="eastAsia"/>
          <w:lang w:eastAsia="zh-CN"/>
        </w:rPr>
        <w:t>会议。讨论强调了在</w:t>
      </w:r>
      <w:r w:rsidR="00B62366">
        <w:rPr>
          <w:rFonts w:hint="eastAsia"/>
          <w:lang w:eastAsia="zh-CN"/>
        </w:rPr>
        <w:t>人工智能</w:t>
      </w:r>
      <w:r w:rsidRPr="00F43E9B">
        <w:rPr>
          <w:rFonts w:hint="eastAsia"/>
          <w:lang w:eastAsia="zh-CN"/>
        </w:rPr>
        <w:t>生态系统中</w:t>
      </w:r>
      <w:r>
        <w:rPr>
          <w:rFonts w:hint="eastAsia"/>
          <w:lang w:eastAsia="zh-CN"/>
        </w:rPr>
        <w:t>赋能妇女</w:t>
      </w:r>
      <w:r w:rsidRPr="00F43E9B">
        <w:rPr>
          <w:rFonts w:hint="eastAsia"/>
          <w:lang w:eastAsia="zh-CN"/>
        </w:rPr>
        <w:t>成为创造者、创新者和</w:t>
      </w:r>
      <w:r>
        <w:rPr>
          <w:rFonts w:hint="eastAsia"/>
          <w:lang w:eastAsia="zh-CN"/>
        </w:rPr>
        <w:t>所有</w:t>
      </w:r>
      <w:r w:rsidRPr="00F43E9B">
        <w:rPr>
          <w:rFonts w:hint="eastAsia"/>
          <w:lang w:eastAsia="zh-CN"/>
        </w:rPr>
        <w:t>者的重要性，重点</w:t>
      </w:r>
      <w:r>
        <w:rPr>
          <w:rFonts w:hint="eastAsia"/>
          <w:lang w:eastAsia="zh-CN"/>
        </w:rPr>
        <w:t>关注</w:t>
      </w:r>
      <w:r w:rsidRPr="00F43E9B">
        <w:rPr>
          <w:rFonts w:hint="eastAsia"/>
          <w:lang w:eastAsia="zh-CN"/>
        </w:rPr>
        <w:t>能力建设、</w:t>
      </w:r>
      <w:r w:rsidR="00B62366">
        <w:rPr>
          <w:rFonts w:hint="eastAsia"/>
          <w:lang w:eastAsia="zh-CN"/>
        </w:rPr>
        <w:t>人工智能</w:t>
      </w:r>
      <w:r w:rsidRPr="00F43E9B">
        <w:rPr>
          <w:rFonts w:hint="eastAsia"/>
          <w:lang w:eastAsia="zh-CN"/>
        </w:rPr>
        <w:t>素养、数字伦理和网络安全意识，</w:t>
      </w:r>
      <w:r w:rsidR="00B62366" w:rsidRPr="00403BDE">
        <w:rPr>
          <w:rFonts w:hint="eastAsia"/>
          <w:bCs/>
          <w:lang w:eastAsia="zh-CN"/>
        </w:rPr>
        <w:t>同时</w:t>
      </w:r>
      <w:r>
        <w:rPr>
          <w:rFonts w:hint="eastAsia"/>
          <w:lang w:eastAsia="zh-CN"/>
        </w:rPr>
        <w:t>强调</w:t>
      </w:r>
      <w:r w:rsidR="00B62366">
        <w:rPr>
          <w:rFonts w:hint="eastAsia"/>
          <w:lang w:eastAsia="zh-CN"/>
        </w:rPr>
        <w:t>必须</w:t>
      </w:r>
      <w:r w:rsidRPr="00F43E9B">
        <w:rPr>
          <w:rFonts w:hint="eastAsia"/>
          <w:lang w:eastAsia="zh-CN"/>
        </w:rPr>
        <w:t>应对深度伪造等数字风险、加强平台问责制</w:t>
      </w:r>
      <w:r w:rsidR="00B62366">
        <w:rPr>
          <w:rFonts w:hint="eastAsia"/>
          <w:lang w:eastAsia="zh-CN"/>
        </w:rPr>
        <w:t>，</w:t>
      </w:r>
      <w:r>
        <w:rPr>
          <w:rFonts w:hint="eastAsia"/>
          <w:lang w:eastAsia="zh-CN"/>
        </w:rPr>
        <w:t>并</w:t>
      </w:r>
      <w:r w:rsidRPr="00F43E9B">
        <w:rPr>
          <w:rFonts w:hint="eastAsia"/>
          <w:lang w:eastAsia="zh-CN"/>
        </w:rPr>
        <w:t>确保</w:t>
      </w:r>
      <w:r>
        <w:rPr>
          <w:rFonts w:hint="eastAsia"/>
          <w:lang w:eastAsia="zh-CN"/>
        </w:rPr>
        <w:t>出台</w:t>
      </w:r>
      <w:r w:rsidRPr="00F43E9B">
        <w:rPr>
          <w:rFonts w:hint="eastAsia"/>
          <w:lang w:eastAsia="zh-CN"/>
        </w:rPr>
        <w:t>保护</w:t>
      </w:r>
      <w:r>
        <w:rPr>
          <w:rFonts w:hint="eastAsia"/>
          <w:lang w:eastAsia="zh-CN"/>
        </w:rPr>
        <w:t>妇女上网安全的支持性政策</w:t>
      </w:r>
      <w:r w:rsidRPr="00F43E9B">
        <w:rPr>
          <w:rFonts w:hint="eastAsia"/>
          <w:lang w:eastAsia="zh-CN"/>
        </w:rPr>
        <w:t>。</w:t>
      </w:r>
    </w:p>
    <w:p w14:paraId="29884285" w14:textId="4BBF3929" w:rsidR="00622881" w:rsidRDefault="00622881" w:rsidP="005573EC">
      <w:pPr>
        <w:ind w:firstLineChars="200" w:firstLine="482"/>
        <w:jc w:val="both"/>
        <w:rPr>
          <w:lang w:eastAsia="zh-CN"/>
        </w:rPr>
      </w:pPr>
      <w:r w:rsidRPr="00713809">
        <w:rPr>
          <w:rFonts w:hint="eastAsia"/>
          <w:b/>
          <w:lang w:eastAsia="zh-CN"/>
        </w:rPr>
        <w:t>在独联体</w:t>
      </w:r>
      <w:r w:rsidR="00C477E4">
        <w:rPr>
          <w:rFonts w:hint="eastAsia"/>
          <w:b/>
          <w:lang w:eastAsia="zh-CN"/>
        </w:rPr>
        <w:t>国家</w:t>
      </w:r>
      <w:r w:rsidRPr="00F43E9B">
        <w:rPr>
          <w:rFonts w:hint="eastAsia"/>
          <w:lang w:eastAsia="zh-CN"/>
        </w:rPr>
        <w:t>，</w:t>
      </w:r>
      <w:r>
        <w:rPr>
          <w:lang w:eastAsia="zh-CN"/>
        </w:rPr>
        <w:t>2</w:t>
      </w:r>
      <w:r w:rsidRPr="00F43E9B">
        <w:rPr>
          <w:rFonts w:hint="eastAsia"/>
          <w:lang w:eastAsia="zh-CN"/>
        </w:rPr>
        <w:t>月</w:t>
      </w:r>
      <w:r w:rsidRPr="00F43E9B">
        <w:rPr>
          <w:rFonts w:hint="eastAsia"/>
          <w:lang w:eastAsia="zh-CN"/>
        </w:rPr>
        <w:t>3</w:t>
      </w:r>
      <w:r w:rsidRPr="00F43E9B">
        <w:rPr>
          <w:rFonts w:hint="eastAsia"/>
          <w:lang w:eastAsia="zh-CN"/>
        </w:rPr>
        <w:t>日至</w:t>
      </w:r>
      <w:r w:rsidRPr="00F43E9B">
        <w:rPr>
          <w:rFonts w:hint="eastAsia"/>
          <w:lang w:eastAsia="zh-CN"/>
        </w:rPr>
        <w:t>4</w:t>
      </w:r>
      <w:r w:rsidRPr="00F43E9B">
        <w:rPr>
          <w:rFonts w:hint="eastAsia"/>
          <w:lang w:eastAsia="zh-CN"/>
        </w:rPr>
        <w:t>日，</w:t>
      </w:r>
      <w:r>
        <w:rPr>
          <w:rFonts w:hint="eastAsia"/>
          <w:lang w:eastAsia="zh-CN"/>
        </w:rPr>
        <w:t>在吉尔吉斯斯坦的</w:t>
      </w:r>
      <w:r w:rsidRPr="002E0F87">
        <w:rPr>
          <w:rFonts w:hint="eastAsia"/>
          <w:lang w:eastAsia="zh-CN"/>
        </w:rPr>
        <w:t>伊斯卡克·拉扎科夫</w:t>
      </w:r>
      <w:r w:rsidRPr="00F43E9B">
        <w:rPr>
          <w:rFonts w:hint="eastAsia"/>
          <w:lang w:eastAsia="zh-CN"/>
        </w:rPr>
        <w:t>吉尔吉斯国立技术大学举行</w:t>
      </w:r>
      <w:r>
        <w:rPr>
          <w:rFonts w:hint="eastAsia"/>
          <w:lang w:eastAsia="zh-CN"/>
        </w:rPr>
        <w:t>了</w:t>
      </w:r>
      <w:proofErr w:type="gramStart"/>
      <w:r w:rsidRPr="00F43E9B">
        <w:rPr>
          <w:rFonts w:hint="eastAsia"/>
          <w:lang w:eastAsia="zh-CN"/>
        </w:rPr>
        <w:t>一</w:t>
      </w:r>
      <w:proofErr w:type="gramEnd"/>
      <w:r w:rsidRPr="00F43E9B">
        <w:rPr>
          <w:rFonts w:hint="eastAsia"/>
          <w:lang w:eastAsia="zh-CN"/>
        </w:rPr>
        <w:t>场面向工程领域的包容性编程马拉松</w:t>
      </w:r>
      <w:r>
        <w:rPr>
          <w:rFonts w:hint="eastAsia"/>
          <w:lang w:eastAsia="zh-CN"/>
        </w:rPr>
        <w:t>，主题为</w:t>
      </w:r>
      <w:r w:rsidRPr="00F43E9B">
        <w:rPr>
          <w:rFonts w:hint="eastAsia"/>
          <w:lang w:eastAsia="zh-CN"/>
        </w:rPr>
        <w:t>“</w:t>
      </w:r>
      <w:r w:rsidR="00B62366" w:rsidRPr="00B62366">
        <w:rPr>
          <w:lang w:eastAsia="zh-CN"/>
        </w:rPr>
        <w:t>ICT4ALL</w:t>
      </w:r>
      <w:r>
        <w:rPr>
          <w:rFonts w:hint="eastAsia"/>
          <w:lang w:eastAsia="zh-CN"/>
        </w:rPr>
        <w:t>：无国界数字解决方案”</w:t>
      </w:r>
      <w:r w:rsidRPr="00F43E9B">
        <w:rPr>
          <w:rFonts w:hint="eastAsia"/>
          <w:lang w:eastAsia="zh-CN"/>
        </w:rPr>
        <w:t>。该活动为实际应用辅助技术</w:t>
      </w:r>
      <w:r>
        <w:rPr>
          <w:rFonts w:hint="eastAsia"/>
          <w:lang w:eastAsia="zh-CN"/>
        </w:rPr>
        <w:t>提供了平台，这些技术旨在</w:t>
      </w:r>
      <w:r w:rsidRPr="00F43E9B">
        <w:rPr>
          <w:rFonts w:hint="eastAsia"/>
          <w:lang w:eastAsia="zh-CN"/>
        </w:rPr>
        <w:t>改善</w:t>
      </w:r>
      <w:r>
        <w:rPr>
          <w:rFonts w:hint="eastAsia"/>
          <w:lang w:eastAsia="zh-CN"/>
        </w:rPr>
        <w:t>视觉障碍者的</w:t>
      </w:r>
      <w:r w:rsidRPr="00F43E9B">
        <w:rPr>
          <w:rFonts w:hint="eastAsia"/>
          <w:lang w:eastAsia="zh-CN"/>
        </w:rPr>
        <w:t>生活质量。此次活动</w:t>
      </w:r>
      <w:r>
        <w:rPr>
          <w:rFonts w:hint="eastAsia"/>
          <w:lang w:eastAsia="zh-CN"/>
        </w:rPr>
        <w:t>推动</w:t>
      </w:r>
      <w:r w:rsidRPr="00F43E9B">
        <w:rPr>
          <w:rFonts w:hint="eastAsia"/>
          <w:lang w:eastAsia="zh-CN"/>
        </w:rPr>
        <w:t>了有效的知识</w:t>
      </w:r>
      <w:r>
        <w:rPr>
          <w:rFonts w:hint="eastAsia"/>
          <w:lang w:eastAsia="zh-CN"/>
        </w:rPr>
        <w:t>传授：学生带来</w:t>
      </w:r>
      <w:r w:rsidR="00B022DC">
        <w:rPr>
          <w:rFonts w:hint="eastAsia"/>
          <w:lang w:eastAsia="zh-CN"/>
        </w:rPr>
        <w:t>了</w:t>
      </w:r>
      <w:r w:rsidRPr="00F43E9B">
        <w:rPr>
          <w:rFonts w:hint="eastAsia"/>
          <w:lang w:eastAsia="zh-CN"/>
        </w:rPr>
        <w:t>现代微控制器</w:t>
      </w:r>
      <w:r>
        <w:rPr>
          <w:rFonts w:hint="eastAsia"/>
          <w:lang w:eastAsia="zh-CN"/>
        </w:rPr>
        <w:t>和编程方面的能力，</w:t>
      </w:r>
      <w:r w:rsidR="00B62366" w:rsidRPr="00374910">
        <w:rPr>
          <w:rFonts w:hint="eastAsia"/>
          <w:bCs/>
          <w:lang w:eastAsia="zh-CN"/>
        </w:rPr>
        <w:t>资深</w:t>
      </w:r>
      <w:r>
        <w:rPr>
          <w:rFonts w:hint="eastAsia"/>
          <w:lang w:eastAsia="zh-CN"/>
        </w:rPr>
        <w:t>专家提供</w:t>
      </w:r>
      <w:r w:rsidR="00B022DC">
        <w:rPr>
          <w:rFonts w:hint="eastAsia"/>
          <w:lang w:eastAsia="zh-CN"/>
        </w:rPr>
        <w:t>了</w:t>
      </w:r>
      <w:r>
        <w:rPr>
          <w:rFonts w:hint="eastAsia"/>
          <w:lang w:eastAsia="zh-CN"/>
        </w:rPr>
        <w:t>工程专业知识，而受益者则</w:t>
      </w:r>
      <w:r w:rsidR="00B62366">
        <w:rPr>
          <w:rFonts w:hint="eastAsia"/>
          <w:lang w:eastAsia="zh-CN"/>
        </w:rPr>
        <w:t>分享</w:t>
      </w:r>
      <w:r w:rsidR="00B022DC">
        <w:rPr>
          <w:rFonts w:hint="eastAsia"/>
          <w:lang w:eastAsia="zh-CN"/>
        </w:rPr>
        <w:t>有</w:t>
      </w:r>
      <w:r w:rsidR="00B022DC" w:rsidRPr="00F43E9B">
        <w:rPr>
          <w:rFonts w:hint="eastAsia"/>
          <w:lang w:eastAsia="zh-CN"/>
        </w:rPr>
        <w:t>特殊需求人士</w:t>
      </w:r>
      <w:r w:rsidR="00B022DC">
        <w:rPr>
          <w:rFonts w:hint="eastAsia"/>
          <w:lang w:eastAsia="zh-CN"/>
        </w:rPr>
        <w:t>的</w:t>
      </w:r>
      <w:r w:rsidRPr="00F43E9B">
        <w:rPr>
          <w:rFonts w:hint="eastAsia"/>
          <w:lang w:eastAsia="zh-CN"/>
        </w:rPr>
        <w:t>生活经验及在日常生活中面临的挑战。</w:t>
      </w:r>
    </w:p>
    <w:p w14:paraId="2CCF17B7" w14:textId="2FAE831F" w:rsidR="005573EC" w:rsidRDefault="00622881" w:rsidP="000A0514">
      <w:pPr>
        <w:ind w:firstLineChars="200" w:firstLine="482"/>
        <w:rPr>
          <w:b/>
          <w:sz w:val="28"/>
          <w:lang w:eastAsia="zh-CN"/>
        </w:rPr>
      </w:pPr>
      <w:r w:rsidRPr="00713809">
        <w:rPr>
          <w:rFonts w:ascii="Calibri" w:eastAsiaTheme="minorEastAsia" w:hAnsi="Calibri" w:cs="Calibri" w:hint="eastAsia"/>
          <w:b/>
          <w:lang w:eastAsia="zh-CN"/>
        </w:rPr>
        <w:t>在欧洲</w:t>
      </w:r>
      <w:r w:rsidR="00695C48">
        <w:rPr>
          <w:rFonts w:ascii="Calibri" w:eastAsiaTheme="minorEastAsia" w:hAnsi="Calibri" w:cs="Calibri" w:hint="eastAsia"/>
          <w:b/>
          <w:lang w:eastAsia="zh-CN"/>
        </w:rPr>
        <w:t>地区</w:t>
      </w:r>
      <w:r w:rsidRPr="00713809">
        <w:rPr>
          <w:rFonts w:ascii="Calibri" w:eastAsiaTheme="minorEastAsia" w:hAnsi="Calibri" w:cs="Calibri" w:hint="eastAsia"/>
          <w:lang w:eastAsia="zh-CN"/>
        </w:rPr>
        <w:t>，</w:t>
      </w:r>
      <w:r w:rsidR="00695C48" w:rsidRPr="00781FEA">
        <w:rPr>
          <w:rFonts w:hint="eastAsia"/>
          <w:lang w:eastAsia="zh-CN"/>
        </w:rPr>
        <w:t>电信发展局</w:t>
      </w:r>
      <w:r w:rsidRPr="00AD6D14">
        <w:rPr>
          <w:rFonts w:ascii="Calibri" w:eastAsiaTheme="minorEastAsia" w:hAnsi="Calibri" w:cs="Calibri"/>
          <w:lang w:eastAsia="zh-CN"/>
        </w:rPr>
        <w:t>向摩尔多瓦</w:t>
      </w:r>
      <w:r>
        <w:rPr>
          <w:rFonts w:ascii="Calibri" w:eastAsiaTheme="minorEastAsia" w:hAnsi="Calibri" w:cs="Calibri" w:hint="eastAsia"/>
          <w:lang w:eastAsia="zh-CN"/>
        </w:rPr>
        <w:t>提供</w:t>
      </w:r>
      <w:r w:rsidRPr="00713809">
        <w:rPr>
          <w:rFonts w:ascii="Calibri" w:eastAsiaTheme="minorEastAsia" w:hAnsi="Calibri" w:cs="Calibri" w:hint="eastAsia"/>
          <w:lang w:eastAsia="zh-CN"/>
        </w:rPr>
        <w:t>了</w:t>
      </w:r>
      <w:r>
        <w:rPr>
          <w:rFonts w:ascii="Calibri" w:eastAsiaTheme="minorEastAsia" w:hAnsi="Calibri" w:cs="Calibri" w:hint="eastAsia"/>
          <w:lang w:eastAsia="zh-CN"/>
        </w:rPr>
        <w:t>该国的</w:t>
      </w:r>
      <w:r w:rsidRPr="00AD6D14">
        <w:rPr>
          <w:rFonts w:ascii="Calibri" w:eastAsiaTheme="minorEastAsia" w:hAnsi="Calibri" w:cs="Calibri"/>
          <w:lang w:eastAsia="zh-CN"/>
        </w:rPr>
        <w:t>政策与法规</w:t>
      </w:r>
      <w:r w:rsidRPr="00713809">
        <w:rPr>
          <w:rFonts w:ascii="Calibri" w:eastAsiaTheme="minorEastAsia" w:hAnsi="Calibri" w:cs="Calibri" w:hint="eastAsia"/>
          <w:lang w:eastAsia="zh-CN"/>
        </w:rPr>
        <w:t>评估报告，重点关注数字无障碍</w:t>
      </w:r>
      <w:r>
        <w:rPr>
          <w:rFonts w:ascii="Calibri" w:eastAsiaTheme="minorEastAsia" w:hAnsi="Calibri" w:cs="Calibri" w:hint="eastAsia"/>
          <w:lang w:eastAsia="zh-CN"/>
        </w:rPr>
        <w:t>获取</w:t>
      </w:r>
      <w:r w:rsidRPr="00713809">
        <w:rPr>
          <w:rFonts w:ascii="Calibri" w:eastAsiaTheme="minorEastAsia" w:hAnsi="Calibri" w:cs="Calibri" w:hint="eastAsia"/>
          <w:lang w:eastAsia="zh-CN"/>
        </w:rPr>
        <w:t>问题。</w:t>
      </w:r>
    </w:p>
    <w:p w14:paraId="5B041DEE" w14:textId="4967C3CB" w:rsidR="00521A20" w:rsidRDefault="00BB475A" w:rsidP="005573EC">
      <w:pPr>
        <w:pStyle w:val="Heading1"/>
        <w:rPr>
          <w:lang w:eastAsia="zh-CN"/>
        </w:rPr>
      </w:pPr>
      <w:r>
        <w:rPr>
          <w:rFonts w:hint="eastAsia"/>
          <w:lang w:eastAsia="zh-CN"/>
        </w:rPr>
        <w:t>4</w:t>
      </w:r>
      <w:r>
        <w:rPr>
          <w:lang w:eastAsia="zh-CN"/>
        </w:rPr>
        <w:tab/>
      </w:r>
      <w:r>
        <w:rPr>
          <w:rFonts w:hint="eastAsia"/>
          <w:lang w:eastAsia="zh-CN"/>
        </w:rPr>
        <w:t>输出成果</w:t>
      </w:r>
    </w:p>
    <w:p w14:paraId="47FD2A26" w14:textId="77777777" w:rsidR="00521A20" w:rsidRDefault="00BB475A">
      <w:pPr>
        <w:ind w:firstLineChars="200" w:firstLine="480"/>
        <w:rPr>
          <w:lang w:eastAsia="zh-CN"/>
        </w:rPr>
      </w:pPr>
      <w:r>
        <w:rPr>
          <w:rFonts w:hint="eastAsia"/>
          <w:lang w:eastAsia="zh-CN"/>
        </w:rPr>
        <w:t>为实现</w:t>
      </w:r>
      <w:r>
        <w:rPr>
          <w:rFonts w:hint="eastAsia"/>
          <w:lang w:eastAsia="zh-CN"/>
        </w:rPr>
        <w:t>WTDC-25</w:t>
      </w:r>
      <w:r>
        <w:rPr>
          <w:rFonts w:hint="eastAsia"/>
          <w:lang w:eastAsia="zh-CN"/>
        </w:rPr>
        <w:t>为各</w:t>
      </w:r>
      <w:r>
        <w:rPr>
          <w:rFonts w:hint="eastAsia"/>
          <w:lang w:eastAsia="zh-CN"/>
        </w:rPr>
        <w:t>ITU-D</w:t>
      </w:r>
      <w:r>
        <w:rPr>
          <w:rFonts w:hint="eastAsia"/>
          <w:lang w:eastAsia="zh-CN"/>
        </w:rPr>
        <w:t>重点工作领域设定的成果，电信发展局将持续开发产品与服务，以支持在国家、区域及国际层面落实相关工作。这些产品与服务（输出成果）具有跨领域特性，共同促进落实所有重点工作。</w:t>
      </w:r>
    </w:p>
    <w:p w14:paraId="5646C2DA" w14:textId="77777777" w:rsidR="00521A20" w:rsidRDefault="00BB475A">
      <w:pPr>
        <w:ind w:firstLineChars="200" w:firstLine="480"/>
        <w:rPr>
          <w:lang w:eastAsia="zh-CN"/>
        </w:rPr>
      </w:pPr>
      <w:r>
        <w:rPr>
          <w:rFonts w:hint="eastAsia"/>
          <w:lang w:eastAsia="zh-CN"/>
        </w:rPr>
        <w:t>ITU-D</w:t>
      </w:r>
      <w:r>
        <w:rPr>
          <w:rFonts w:hint="eastAsia"/>
          <w:lang w:eastAsia="zh-CN"/>
        </w:rPr>
        <w:t>的主要输出成果类别包括：</w:t>
      </w:r>
    </w:p>
    <w:p w14:paraId="73AE173C" w14:textId="77777777" w:rsidR="00521A20" w:rsidRDefault="00BB475A">
      <w:pPr>
        <w:pStyle w:val="enumlev1"/>
        <w:rPr>
          <w:lang w:eastAsia="zh-CN"/>
        </w:rPr>
      </w:pPr>
      <w:r>
        <w:rPr>
          <w:rFonts w:ascii="Calibri" w:hAnsi="Calibri"/>
          <w:lang w:eastAsia="zh-CN"/>
        </w:rPr>
        <w:t>–</w:t>
      </w:r>
      <w:r>
        <w:rPr>
          <w:rFonts w:ascii="Calibri" w:hAnsi="Calibri"/>
          <w:lang w:eastAsia="zh-CN"/>
        </w:rPr>
        <w:tab/>
      </w:r>
      <w:r>
        <w:rPr>
          <w:rFonts w:hint="eastAsia"/>
          <w:b/>
          <w:bCs/>
          <w:lang w:eastAsia="zh-CN"/>
        </w:rPr>
        <w:t>示范政策和战略</w:t>
      </w:r>
      <w:r>
        <w:rPr>
          <w:rFonts w:hint="eastAsia"/>
          <w:lang w:eastAsia="zh-CN"/>
        </w:rPr>
        <w:br/>
      </w:r>
      <w:r>
        <w:rPr>
          <w:rFonts w:hint="eastAsia"/>
          <w:lang w:eastAsia="zh-CN"/>
        </w:rPr>
        <w:t>电信发展局制定指导和政策框架，以支持成员国设计适合本国国情的国家电信</w:t>
      </w:r>
      <w:r>
        <w:rPr>
          <w:rFonts w:hint="eastAsia"/>
          <w:lang w:eastAsia="zh-CN"/>
        </w:rPr>
        <w:t>/ICT</w:t>
      </w:r>
      <w:r>
        <w:rPr>
          <w:rFonts w:hint="eastAsia"/>
          <w:lang w:eastAsia="zh-CN"/>
        </w:rPr>
        <w:t>框架和战略计划。具体示例包括但不限于：《国家应急通信计划》（</w:t>
      </w:r>
      <w:r>
        <w:rPr>
          <w:rFonts w:hint="eastAsia"/>
          <w:lang w:eastAsia="zh-CN"/>
        </w:rPr>
        <w:t>NETP</w:t>
      </w:r>
      <w:r>
        <w:rPr>
          <w:rFonts w:hint="eastAsia"/>
          <w:lang w:eastAsia="zh-CN"/>
        </w:rPr>
        <w:t>）、创新手册、广播导则和战略、国家网络安全战略、数字包容性政策导则和国家战略、监管政策指导，以及支持数字化转型和投资的政策建议等。</w:t>
      </w:r>
    </w:p>
    <w:p w14:paraId="78BE442A" w14:textId="72380B3B" w:rsidR="00521A20" w:rsidRDefault="00BB475A">
      <w:pPr>
        <w:pStyle w:val="enumlev1"/>
        <w:rPr>
          <w:lang w:eastAsia="zh-CN"/>
        </w:rPr>
      </w:pPr>
      <w:r>
        <w:rPr>
          <w:rFonts w:ascii="Calibri" w:hAnsi="Calibri"/>
          <w:lang w:eastAsia="zh-CN"/>
        </w:rPr>
        <w:t>–</w:t>
      </w:r>
      <w:r>
        <w:rPr>
          <w:rFonts w:ascii="Calibri" w:hAnsi="Calibri"/>
          <w:lang w:eastAsia="zh-CN"/>
        </w:rPr>
        <w:tab/>
      </w:r>
      <w:r>
        <w:rPr>
          <w:rFonts w:hint="eastAsia"/>
          <w:b/>
          <w:bCs/>
          <w:lang w:eastAsia="zh-CN"/>
        </w:rPr>
        <w:t>工具包和分析工具</w:t>
      </w:r>
      <w:r>
        <w:rPr>
          <w:rFonts w:hint="eastAsia"/>
          <w:lang w:eastAsia="zh-CN"/>
        </w:rPr>
        <w:br/>
      </w:r>
      <w:r>
        <w:rPr>
          <w:rFonts w:hint="eastAsia"/>
          <w:lang w:eastAsia="zh-CN"/>
        </w:rPr>
        <w:t>电信发展局提供各类实用工具和数字平台，以支持规划、基础设施部署、政策评估和决策。具体示例包括：</w:t>
      </w:r>
      <w:r>
        <w:rPr>
          <w:rFonts w:hint="eastAsia"/>
          <w:lang w:val="en-US" w:eastAsia="zh-CN"/>
        </w:rPr>
        <w:t>将于</w:t>
      </w:r>
      <w:r>
        <w:rPr>
          <w:rFonts w:hint="eastAsia"/>
          <w:lang w:val="en-US" w:eastAsia="zh-CN"/>
        </w:rPr>
        <w:t>2026</w:t>
      </w:r>
      <w:r>
        <w:rPr>
          <w:rFonts w:hint="eastAsia"/>
          <w:lang w:val="en-US" w:eastAsia="zh-CN"/>
        </w:rPr>
        <w:t>年全球监管机构专题研讨会（</w:t>
      </w:r>
      <w:r>
        <w:rPr>
          <w:rFonts w:hint="eastAsia"/>
          <w:lang w:val="en-US" w:eastAsia="zh-CN"/>
        </w:rPr>
        <w:t>GSR-26</w:t>
      </w:r>
      <w:r>
        <w:rPr>
          <w:rFonts w:hint="eastAsia"/>
          <w:lang w:val="en-US" w:eastAsia="zh-CN"/>
        </w:rPr>
        <w:t>）上发布的</w:t>
      </w:r>
      <w:r>
        <w:rPr>
          <w:rFonts w:hint="eastAsia"/>
          <w:lang w:eastAsia="zh-CN"/>
        </w:rPr>
        <w:t>连接规划平台（</w:t>
      </w:r>
      <w:r>
        <w:rPr>
          <w:rFonts w:hint="eastAsia"/>
          <w:lang w:eastAsia="zh-CN"/>
        </w:rPr>
        <w:t>CPP</w:t>
      </w:r>
      <w:r>
        <w:rPr>
          <w:rFonts w:hint="eastAsia"/>
          <w:lang w:eastAsia="zh-CN"/>
        </w:rPr>
        <w:t>）、</w:t>
      </w:r>
      <w:r>
        <w:rPr>
          <w:rFonts w:hint="eastAsia"/>
          <w:lang w:val="en-US" w:eastAsia="zh-CN"/>
        </w:rPr>
        <w:t>数字化转型方法和</w:t>
      </w:r>
      <w:r>
        <w:rPr>
          <w:rFonts w:hint="eastAsia"/>
          <w:lang w:eastAsia="zh-CN"/>
        </w:rPr>
        <w:t>宽带覆盖地图，这些工具提供地理空间分析、创新工具包、基础设施可视化、连接建模以及统计洞察，用于支持基础设施规划和投资决策；用于促进面向所有人的数字包容性的数字无障碍获取工具包；以及其他数字生态系统规划和监管工具包。</w:t>
      </w:r>
    </w:p>
    <w:p w14:paraId="364A0AB3" w14:textId="1DAAB62F" w:rsidR="00521A20" w:rsidRDefault="00BB475A">
      <w:pPr>
        <w:pStyle w:val="enumlev1"/>
        <w:rPr>
          <w:lang w:eastAsia="zh-CN"/>
        </w:rPr>
      </w:pPr>
      <w:r>
        <w:rPr>
          <w:rFonts w:ascii="Calibri" w:hAnsi="Calibri"/>
          <w:lang w:eastAsia="zh-CN"/>
        </w:rPr>
        <w:t>–</w:t>
      </w:r>
      <w:r>
        <w:rPr>
          <w:rFonts w:ascii="Calibri" w:hAnsi="Calibri"/>
          <w:lang w:eastAsia="zh-CN"/>
        </w:rPr>
        <w:tab/>
      </w:r>
      <w:r>
        <w:rPr>
          <w:rFonts w:hint="eastAsia"/>
          <w:b/>
          <w:bCs/>
          <w:lang w:eastAsia="zh-CN"/>
        </w:rPr>
        <w:t>召集平台</w:t>
      </w:r>
      <w:r>
        <w:rPr>
          <w:rFonts w:hint="eastAsia"/>
          <w:b/>
          <w:bCs/>
          <w:lang w:eastAsia="zh-CN"/>
        </w:rPr>
        <w:br/>
      </w:r>
      <w:r>
        <w:rPr>
          <w:rFonts w:hint="eastAsia"/>
          <w:lang w:eastAsia="zh-CN"/>
        </w:rPr>
        <w:t>电信发展局组织全球和区域论坛，包括利益攸关多方对话，以促进知识交流、伙伴关系发展以及政府、行业和发展伙伴之间的协调。具体示例包括全球监管机构</w:t>
      </w:r>
      <w:r>
        <w:rPr>
          <w:rFonts w:hint="eastAsia"/>
          <w:lang w:eastAsia="zh-CN"/>
        </w:rPr>
        <w:lastRenderedPageBreak/>
        <w:t>专题研讨会（</w:t>
      </w:r>
      <w:r>
        <w:rPr>
          <w:rFonts w:hint="eastAsia"/>
          <w:lang w:eastAsia="zh-CN"/>
        </w:rPr>
        <w:t>GSR</w:t>
      </w:r>
      <w:r>
        <w:rPr>
          <w:rFonts w:hint="eastAsia"/>
          <w:lang w:eastAsia="zh-CN"/>
        </w:rPr>
        <w:t>）、全球创新论坛（</w:t>
      </w:r>
      <w:r>
        <w:rPr>
          <w:rFonts w:hint="eastAsia"/>
          <w:lang w:eastAsia="zh-CN"/>
        </w:rPr>
        <w:t>GIF</w:t>
      </w:r>
      <w:r>
        <w:rPr>
          <w:rFonts w:hint="eastAsia"/>
          <w:lang w:eastAsia="zh-CN"/>
        </w:rPr>
        <w:t>）、数字技能论坛（</w:t>
      </w:r>
      <w:r>
        <w:rPr>
          <w:rFonts w:hint="eastAsia"/>
          <w:lang w:eastAsia="zh-CN"/>
        </w:rPr>
        <w:t>DSF</w:t>
      </w:r>
      <w:r>
        <w:rPr>
          <w:rFonts w:hint="eastAsia"/>
          <w:lang w:eastAsia="zh-CN"/>
        </w:rPr>
        <w:t>）、区域性发展论坛（</w:t>
      </w:r>
      <w:r>
        <w:rPr>
          <w:rFonts w:hint="eastAsia"/>
          <w:lang w:eastAsia="zh-CN"/>
        </w:rPr>
        <w:t>RDF</w:t>
      </w:r>
      <w:r>
        <w:rPr>
          <w:rFonts w:hint="eastAsia"/>
          <w:lang w:eastAsia="zh-CN"/>
        </w:rPr>
        <w:t>）、世界电信</w:t>
      </w:r>
      <w:r>
        <w:rPr>
          <w:rFonts w:hint="eastAsia"/>
          <w:lang w:eastAsia="zh-CN"/>
        </w:rPr>
        <w:t>/ICT</w:t>
      </w:r>
      <w:r>
        <w:rPr>
          <w:rFonts w:hint="eastAsia"/>
          <w:lang w:eastAsia="zh-CN"/>
        </w:rPr>
        <w:t>指标专题研讨会（</w:t>
      </w:r>
      <w:r>
        <w:rPr>
          <w:rFonts w:hint="eastAsia"/>
          <w:lang w:eastAsia="zh-CN"/>
        </w:rPr>
        <w:t>WTIS</w:t>
      </w:r>
      <w:r>
        <w:rPr>
          <w:rFonts w:hint="eastAsia"/>
          <w:lang w:eastAsia="zh-CN"/>
        </w:rPr>
        <w:t>）、</w:t>
      </w:r>
      <w:r w:rsidR="00EB2C29" w:rsidRPr="00EB2C29">
        <w:rPr>
          <w:rFonts w:hint="eastAsia"/>
          <w:lang w:eastAsia="zh-CN"/>
        </w:rPr>
        <w:t>无障碍世界</w:t>
      </w:r>
      <w:r>
        <w:rPr>
          <w:rFonts w:hint="eastAsia"/>
          <w:lang w:eastAsia="zh-CN"/>
        </w:rPr>
        <w:t>等。</w:t>
      </w:r>
    </w:p>
    <w:p w14:paraId="51895037" w14:textId="77777777" w:rsidR="00521A20" w:rsidRDefault="00BB475A">
      <w:pPr>
        <w:pStyle w:val="enumlev1"/>
        <w:rPr>
          <w:lang w:eastAsia="zh-CN"/>
        </w:rPr>
      </w:pPr>
      <w:r>
        <w:rPr>
          <w:rFonts w:ascii="Calibri" w:hAnsi="Calibri"/>
          <w:lang w:eastAsia="zh-CN"/>
        </w:rPr>
        <w:t>–</w:t>
      </w:r>
      <w:r>
        <w:rPr>
          <w:rFonts w:ascii="Calibri" w:hAnsi="Calibri"/>
          <w:lang w:eastAsia="zh-CN"/>
        </w:rPr>
        <w:tab/>
      </w:r>
      <w:r>
        <w:rPr>
          <w:rFonts w:hint="eastAsia"/>
          <w:b/>
          <w:bCs/>
          <w:lang w:eastAsia="zh-CN"/>
        </w:rPr>
        <w:t>学习框架与能力建设资源</w:t>
      </w:r>
      <w:r>
        <w:rPr>
          <w:rFonts w:hint="eastAsia"/>
          <w:lang w:eastAsia="zh-CN"/>
        </w:rPr>
        <w:br/>
      </w:r>
      <w:r>
        <w:rPr>
          <w:rFonts w:hint="eastAsia"/>
          <w:lang w:eastAsia="zh-CN"/>
        </w:rPr>
        <w:t>电信发展局通过其能力建设举措，提供面授培训活动、在线自定进度或导师指导的结构化培训计划和课程，并开发知识资源，包括帮助政策制定者、监管机构和从业人员加强个人和机构技能的专题报告和工具包。其中包括：数字化转型实验室开发的学习框架、国际电联学院课程及其他学习机制、讲习班、高管培训课程等。</w:t>
      </w:r>
    </w:p>
    <w:p w14:paraId="1BD729FF" w14:textId="391BF3EE" w:rsidR="00521A20" w:rsidRDefault="00BB475A">
      <w:pPr>
        <w:pStyle w:val="enumlev1"/>
        <w:rPr>
          <w:lang w:eastAsia="zh-CN"/>
        </w:rPr>
      </w:pPr>
      <w:r>
        <w:rPr>
          <w:rFonts w:ascii="Calibri" w:hAnsi="Calibri"/>
          <w:lang w:eastAsia="zh-CN"/>
        </w:rPr>
        <w:t>–</w:t>
      </w:r>
      <w:r>
        <w:rPr>
          <w:rFonts w:ascii="Calibri" w:hAnsi="Calibri"/>
          <w:lang w:eastAsia="zh-CN"/>
        </w:rPr>
        <w:tab/>
      </w:r>
      <w:r>
        <w:rPr>
          <w:rFonts w:hint="eastAsia"/>
          <w:b/>
          <w:bCs/>
          <w:lang w:eastAsia="zh-CN"/>
        </w:rPr>
        <w:t>统计数据、研究与知识产品</w:t>
      </w:r>
      <w:r>
        <w:rPr>
          <w:rFonts w:hint="eastAsia"/>
          <w:lang w:eastAsia="zh-CN"/>
        </w:rPr>
        <w:br/>
      </w:r>
      <w:r>
        <w:rPr>
          <w:rFonts w:hint="eastAsia"/>
          <w:lang w:eastAsia="zh-CN"/>
        </w:rPr>
        <w:t>电信发展局编制数据、指标和分析性出版物，为循证决策提供支持。具体示例包括</w:t>
      </w:r>
      <w:r>
        <w:rPr>
          <w:rFonts w:hint="eastAsia"/>
          <w:lang w:eastAsia="zh-CN"/>
        </w:rPr>
        <w:t>ICT</w:t>
      </w:r>
      <w:r>
        <w:rPr>
          <w:rFonts w:hint="eastAsia"/>
          <w:lang w:eastAsia="zh-CN"/>
        </w:rPr>
        <w:t>指标、《数字创新概况》、战略前瞻报告、协作式监管国别审查、数字监管平台、全球电子废弃物监测报告、</w:t>
      </w:r>
      <w:r w:rsidR="00EB2C29" w:rsidRPr="00EB2C29">
        <w:rPr>
          <w:rFonts w:hint="eastAsia"/>
          <w:lang w:eastAsia="zh-CN"/>
        </w:rPr>
        <w:t>绿色数字企业报告</w:t>
      </w:r>
      <w:r>
        <w:rPr>
          <w:rFonts w:hint="eastAsia"/>
          <w:lang w:eastAsia="zh-CN"/>
        </w:rPr>
        <w:t>，以及其他评估国家数字生态系统和创新能力的各类专题研究。</w:t>
      </w:r>
    </w:p>
    <w:p w14:paraId="2872D136" w14:textId="77777777" w:rsidR="00521A20" w:rsidRDefault="00BB475A">
      <w:pPr>
        <w:pStyle w:val="enumlev1"/>
        <w:rPr>
          <w:lang w:eastAsia="zh-CN"/>
        </w:rPr>
      </w:pPr>
      <w:r>
        <w:rPr>
          <w:rFonts w:ascii="Calibri" w:hAnsi="Calibri"/>
          <w:lang w:eastAsia="zh-CN"/>
        </w:rPr>
        <w:t>–</w:t>
      </w:r>
      <w:r>
        <w:rPr>
          <w:rFonts w:ascii="Calibri" w:hAnsi="Calibri"/>
          <w:lang w:eastAsia="zh-CN"/>
        </w:rPr>
        <w:tab/>
      </w:r>
      <w:r>
        <w:rPr>
          <w:rFonts w:hint="eastAsia"/>
          <w:b/>
          <w:bCs/>
          <w:lang w:eastAsia="zh-CN"/>
        </w:rPr>
        <w:t>技术干预与实施支持</w:t>
      </w:r>
      <w:r>
        <w:rPr>
          <w:rFonts w:hint="eastAsia"/>
          <w:lang w:eastAsia="zh-CN"/>
        </w:rPr>
        <w:br/>
      </w:r>
      <w:r>
        <w:rPr>
          <w:rFonts w:hint="eastAsia"/>
          <w:lang w:eastAsia="zh-CN"/>
        </w:rPr>
        <w:t>电信发展局提供直接技术援助、咨询服务和试点举措，支持各国实施国家</w:t>
      </w:r>
      <w:r>
        <w:rPr>
          <w:rFonts w:hint="eastAsia"/>
          <w:lang w:eastAsia="zh-CN"/>
        </w:rPr>
        <w:t>ICT</w:t>
      </w:r>
      <w:r>
        <w:rPr>
          <w:rFonts w:hint="eastAsia"/>
          <w:lang w:eastAsia="zh-CN"/>
        </w:rPr>
        <w:t>政策和战略。这些干预措施有助于成员国部署基础设施、推动数字包容、培育数字创新环境、</w:t>
      </w:r>
      <w:r>
        <w:rPr>
          <w:rFonts w:hint="eastAsia"/>
          <w:lang w:val="en-US" w:eastAsia="zh-CN"/>
        </w:rPr>
        <w:t>助力环境可持续发展</w:t>
      </w:r>
      <w:r>
        <w:rPr>
          <w:rFonts w:hint="eastAsia"/>
          <w:lang w:eastAsia="zh-CN"/>
        </w:rPr>
        <w:t>、加强网络安全和数字服务交付，以促进包容性数字化转型。</w:t>
      </w:r>
    </w:p>
    <w:p w14:paraId="57D0D996" w14:textId="77777777" w:rsidR="00521A20" w:rsidRDefault="00BB475A">
      <w:pPr>
        <w:ind w:firstLineChars="200" w:firstLine="480"/>
        <w:rPr>
          <w:lang w:eastAsia="zh-CN"/>
        </w:rPr>
      </w:pPr>
      <w:r>
        <w:rPr>
          <w:rFonts w:hint="eastAsia"/>
          <w:lang w:eastAsia="zh-CN"/>
        </w:rPr>
        <w:t>电信发展局将通过跨领域输出成果指标，监测输出成果的交付情况及其对实现</w:t>
      </w:r>
      <w:r>
        <w:rPr>
          <w:rFonts w:hint="eastAsia"/>
          <w:lang w:eastAsia="zh-CN"/>
        </w:rPr>
        <w:t>ITU-D</w:t>
      </w:r>
      <w:r>
        <w:rPr>
          <w:rFonts w:hint="eastAsia"/>
          <w:lang w:eastAsia="zh-CN"/>
        </w:rPr>
        <w:t>重点工作成果的贡献，包括：</w:t>
      </w:r>
    </w:p>
    <w:tbl>
      <w:tblPr>
        <w:tblW w:w="5000" w:type="pct"/>
        <w:tblLook w:val="04A0" w:firstRow="1" w:lastRow="0" w:firstColumn="1" w:lastColumn="0" w:noHBand="0" w:noVBand="1"/>
      </w:tblPr>
      <w:tblGrid>
        <w:gridCol w:w="2647"/>
        <w:gridCol w:w="6992"/>
      </w:tblGrid>
      <w:tr w:rsidR="00521A20" w14:paraId="3B1B9EB5" w14:textId="77777777">
        <w:trPr>
          <w:tblHeader/>
        </w:trPr>
        <w:tc>
          <w:tcPr>
            <w:tcW w:w="1373" w:type="pct"/>
            <w:tcBorders>
              <w:top w:val="nil"/>
              <w:left w:val="nil"/>
              <w:bottom w:val="single" w:sz="4" w:space="0" w:color="C0E6F5"/>
              <w:right w:val="nil"/>
            </w:tcBorders>
            <w:shd w:val="clear" w:color="104861" w:fill="104861"/>
            <w:noWrap/>
          </w:tcPr>
          <w:p w14:paraId="02382896" w14:textId="77777777" w:rsidR="00521A20" w:rsidRDefault="00BB475A">
            <w:pPr>
              <w:overflowPunct/>
              <w:autoSpaceDE/>
              <w:autoSpaceDN/>
              <w:adjustRightInd/>
              <w:spacing w:after="120"/>
              <w:textAlignment w:val="auto"/>
              <w:rPr>
                <w:rFonts w:ascii="Calibri" w:hAnsi="Calibri" w:cs="Calibri"/>
                <w:b/>
                <w:bCs/>
                <w:color w:val="FFFFFF"/>
                <w:sz w:val="20"/>
              </w:rPr>
            </w:pPr>
            <w:r>
              <w:rPr>
                <w:rFonts w:ascii="Calibri" w:hAnsi="Calibri" w:hint="eastAsia"/>
                <w:b/>
                <w:color w:val="FFFFFF"/>
                <w:sz w:val="20"/>
              </w:rPr>
              <w:t>ITU-D</w:t>
            </w:r>
            <w:proofErr w:type="spellStart"/>
            <w:r>
              <w:rPr>
                <w:rFonts w:ascii="Calibri" w:hAnsi="Calibri" w:hint="eastAsia"/>
                <w:b/>
                <w:color w:val="FFFFFF"/>
                <w:sz w:val="20"/>
              </w:rPr>
              <w:t>产品</w:t>
            </w:r>
            <w:proofErr w:type="spellEnd"/>
            <w:r>
              <w:rPr>
                <w:rFonts w:ascii="Calibri" w:hAnsi="Calibri" w:hint="eastAsia"/>
                <w:b/>
                <w:color w:val="FFFFFF"/>
                <w:sz w:val="20"/>
              </w:rPr>
              <w:t>/</w:t>
            </w:r>
            <w:proofErr w:type="spellStart"/>
            <w:r>
              <w:rPr>
                <w:rFonts w:ascii="Calibri" w:hAnsi="Calibri" w:hint="eastAsia"/>
                <w:b/>
                <w:color w:val="FFFFFF"/>
                <w:sz w:val="20"/>
              </w:rPr>
              <w:t>服务</w:t>
            </w:r>
            <w:proofErr w:type="spellEnd"/>
          </w:p>
        </w:tc>
        <w:tc>
          <w:tcPr>
            <w:tcW w:w="3627" w:type="pct"/>
            <w:tcBorders>
              <w:top w:val="nil"/>
              <w:left w:val="nil"/>
              <w:bottom w:val="single" w:sz="4" w:space="0" w:color="C0E6F5"/>
              <w:right w:val="nil"/>
            </w:tcBorders>
            <w:shd w:val="clear" w:color="104861" w:fill="104861"/>
            <w:noWrap/>
          </w:tcPr>
          <w:p w14:paraId="3F79B4D8" w14:textId="77777777" w:rsidR="00521A20" w:rsidRDefault="00BB475A">
            <w:pPr>
              <w:overflowPunct/>
              <w:autoSpaceDE/>
              <w:autoSpaceDN/>
              <w:adjustRightInd/>
              <w:spacing w:after="120"/>
              <w:textAlignment w:val="auto"/>
              <w:rPr>
                <w:rFonts w:ascii="Calibri" w:hAnsi="Calibri" w:cs="Calibri"/>
                <w:b/>
                <w:bCs/>
                <w:color w:val="FFFFFF"/>
                <w:sz w:val="20"/>
              </w:rPr>
            </w:pPr>
            <w:proofErr w:type="spellStart"/>
            <w:r>
              <w:rPr>
                <w:rFonts w:ascii="Calibri" w:hAnsi="Calibri" w:hint="eastAsia"/>
                <w:b/>
                <w:color w:val="FFFFFF"/>
                <w:sz w:val="20"/>
              </w:rPr>
              <w:t>指标</w:t>
            </w:r>
            <w:proofErr w:type="spellEnd"/>
            <w:r>
              <w:rPr>
                <w:rStyle w:val="FootnoteReference"/>
                <w:rFonts w:cs="Calibri"/>
                <w:b/>
                <w:bCs/>
                <w:color w:val="FFFFFF"/>
                <w:lang w:eastAsia="en-GB"/>
              </w:rPr>
              <w:footnoteReference w:id="4"/>
            </w:r>
          </w:p>
        </w:tc>
      </w:tr>
      <w:tr w:rsidR="00521A20" w14:paraId="40ED0411" w14:textId="77777777">
        <w:tc>
          <w:tcPr>
            <w:tcW w:w="1373" w:type="pct"/>
            <w:vMerge w:val="restart"/>
            <w:tcBorders>
              <w:top w:val="single" w:sz="4" w:space="0" w:color="C0E6F5"/>
              <w:left w:val="nil"/>
              <w:right w:val="nil"/>
            </w:tcBorders>
            <w:shd w:val="clear" w:color="44B3E1" w:fill="44B3E1"/>
            <w:noWrap/>
          </w:tcPr>
          <w:p w14:paraId="2DA4673D" w14:textId="77777777" w:rsidR="00521A20" w:rsidRDefault="00BB475A">
            <w:pPr>
              <w:overflowPunct/>
              <w:autoSpaceDE/>
              <w:autoSpaceDN/>
              <w:adjustRightInd/>
              <w:spacing w:before="0" w:after="240"/>
              <w:textAlignment w:val="auto"/>
              <w:rPr>
                <w:rFonts w:ascii="Calibri" w:hAnsi="Calibri" w:cs="Calibri"/>
                <w:b/>
                <w:bCs/>
                <w:color w:val="FFFFFF"/>
                <w:sz w:val="20"/>
              </w:rPr>
            </w:pPr>
            <w:proofErr w:type="spellStart"/>
            <w:r>
              <w:rPr>
                <w:rFonts w:ascii="Calibri" w:hAnsi="Calibri" w:hint="eastAsia"/>
                <w:b/>
                <w:color w:val="FFFFFF"/>
                <w:sz w:val="20"/>
              </w:rPr>
              <w:t>技术干预</w:t>
            </w:r>
            <w:proofErr w:type="spellEnd"/>
          </w:p>
        </w:tc>
        <w:tc>
          <w:tcPr>
            <w:tcW w:w="3627" w:type="pct"/>
            <w:tcBorders>
              <w:top w:val="single" w:sz="4" w:space="0" w:color="C0E6F5"/>
              <w:left w:val="nil"/>
              <w:bottom w:val="single" w:sz="4" w:space="0" w:color="C0E6F5"/>
              <w:right w:val="nil"/>
            </w:tcBorders>
            <w:noWrap/>
          </w:tcPr>
          <w:p w14:paraId="17194EB4"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签署的</w:t>
            </w:r>
            <w:r>
              <w:rPr>
                <w:rFonts w:ascii="Calibri" w:hAnsi="Calibri" w:hint="eastAsia"/>
                <w:color w:val="000000"/>
                <w:sz w:val="20"/>
                <w:lang w:eastAsia="zh-CN"/>
              </w:rPr>
              <w:t>ITU-D</w:t>
            </w:r>
            <w:r>
              <w:rPr>
                <w:rFonts w:ascii="Calibri" w:hAnsi="Calibri" w:hint="eastAsia"/>
                <w:color w:val="000000"/>
                <w:sz w:val="20"/>
                <w:lang w:eastAsia="zh-CN"/>
              </w:rPr>
              <w:t>项目数量</w:t>
            </w:r>
          </w:p>
        </w:tc>
      </w:tr>
      <w:tr w:rsidR="00521A20" w14:paraId="3ECABD2E" w14:textId="77777777">
        <w:tc>
          <w:tcPr>
            <w:tcW w:w="1373" w:type="pct"/>
            <w:vMerge/>
            <w:tcBorders>
              <w:left w:val="nil"/>
              <w:right w:val="nil"/>
            </w:tcBorders>
            <w:shd w:val="clear" w:color="44B3E1" w:fill="44B3E1"/>
            <w:noWrap/>
          </w:tcPr>
          <w:p w14:paraId="5FC1CE40"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2912516E"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获得技术援助的成员国数量</w:t>
            </w:r>
          </w:p>
        </w:tc>
      </w:tr>
      <w:tr w:rsidR="00521A20" w14:paraId="2BEEB267" w14:textId="77777777">
        <w:tc>
          <w:tcPr>
            <w:tcW w:w="1373" w:type="pct"/>
            <w:vMerge/>
            <w:tcBorders>
              <w:left w:val="nil"/>
              <w:right w:val="nil"/>
            </w:tcBorders>
            <w:shd w:val="clear" w:color="44B3E1" w:fill="44B3E1"/>
            <w:noWrap/>
          </w:tcPr>
          <w:p w14:paraId="02C86DD9"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5E2AD308"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实施的决议</w:t>
            </w:r>
            <w:r>
              <w:rPr>
                <w:rFonts w:ascii="Calibri" w:hAnsi="Calibri" w:hint="eastAsia"/>
                <w:color w:val="000000"/>
                <w:sz w:val="20"/>
                <w:lang w:eastAsia="zh-CN"/>
              </w:rPr>
              <w:t>/</w:t>
            </w:r>
            <w:r>
              <w:rPr>
                <w:rFonts w:ascii="Calibri" w:hAnsi="Calibri" w:hint="eastAsia"/>
                <w:color w:val="000000"/>
                <w:sz w:val="20"/>
                <w:lang w:eastAsia="zh-CN"/>
              </w:rPr>
              <w:t>建议</w:t>
            </w:r>
            <w:r>
              <w:rPr>
                <w:rFonts w:ascii="Calibri" w:hAnsi="Calibri" w:hint="eastAsia"/>
                <w:color w:val="000000"/>
                <w:sz w:val="20"/>
                <w:lang w:eastAsia="zh-CN"/>
              </w:rPr>
              <w:t>/</w:t>
            </w:r>
            <w:r>
              <w:rPr>
                <w:rFonts w:ascii="Calibri" w:hAnsi="Calibri" w:hint="eastAsia"/>
                <w:color w:val="000000"/>
                <w:sz w:val="20"/>
                <w:lang w:eastAsia="zh-CN"/>
              </w:rPr>
              <w:t>决定数量</w:t>
            </w:r>
          </w:p>
        </w:tc>
      </w:tr>
      <w:tr w:rsidR="00521A20" w14:paraId="4BC44F44" w14:textId="77777777">
        <w:tc>
          <w:tcPr>
            <w:tcW w:w="1373" w:type="pct"/>
            <w:vMerge/>
            <w:tcBorders>
              <w:left w:val="nil"/>
              <w:bottom w:val="single" w:sz="4" w:space="0" w:color="C0E6F5"/>
              <w:right w:val="nil"/>
            </w:tcBorders>
            <w:shd w:val="clear" w:color="44B3E1" w:fill="44B3E1"/>
            <w:noWrap/>
          </w:tcPr>
          <w:p w14:paraId="7F3ED163"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27F3B71B" w14:textId="77777777" w:rsidR="00521A20" w:rsidRDefault="00BB475A">
            <w:pPr>
              <w:overflowPunct/>
              <w:autoSpaceDE/>
              <w:autoSpaceDN/>
              <w:adjustRightInd/>
              <w:spacing w:before="0"/>
              <w:textAlignment w:val="auto"/>
              <w:rPr>
                <w:rFonts w:ascii="Calibri" w:hAnsi="Calibri" w:cs="Calibri"/>
                <w:color w:val="000000"/>
                <w:sz w:val="20"/>
              </w:rPr>
            </w:pPr>
            <w:proofErr w:type="spellStart"/>
            <w:r>
              <w:rPr>
                <w:rFonts w:ascii="Calibri" w:hAnsi="Calibri" w:hint="eastAsia"/>
                <w:color w:val="000000"/>
                <w:sz w:val="20"/>
              </w:rPr>
              <w:t>实施的软件工具数量</w:t>
            </w:r>
            <w:proofErr w:type="spellEnd"/>
          </w:p>
        </w:tc>
      </w:tr>
      <w:tr w:rsidR="00521A20" w14:paraId="302E1FCD" w14:textId="77777777">
        <w:tc>
          <w:tcPr>
            <w:tcW w:w="1373" w:type="pct"/>
            <w:vMerge w:val="restart"/>
            <w:tcBorders>
              <w:top w:val="single" w:sz="4" w:space="0" w:color="C0E6F5"/>
              <w:left w:val="nil"/>
              <w:right w:val="nil"/>
            </w:tcBorders>
            <w:shd w:val="clear" w:color="44B3E1" w:fill="44B3E1"/>
            <w:noWrap/>
          </w:tcPr>
          <w:p w14:paraId="4521AFFB" w14:textId="77777777" w:rsidR="00521A20" w:rsidRDefault="00BB475A">
            <w:pPr>
              <w:overflowPunct/>
              <w:autoSpaceDE/>
              <w:autoSpaceDN/>
              <w:adjustRightInd/>
              <w:spacing w:before="0"/>
              <w:textAlignment w:val="auto"/>
              <w:rPr>
                <w:rFonts w:ascii="Calibri" w:hAnsi="Calibri" w:cs="Calibri"/>
                <w:b/>
                <w:bCs/>
                <w:color w:val="FFFFFF"/>
                <w:sz w:val="20"/>
              </w:rPr>
            </w:pPr>
            <w:proofErr w:type="spellStart"/>
            <w:r>
              <w:rPr>
                <w:rFonts w:ascii="Calibri" w:hAnsi="Calibri" w:hint="eastAsia"/>
                <w:b/>
                <w:color w:val="FFFFFF"/>
                <w:sz w:val="20"/>
              </w:rPr>
              <w:t>统计数据</w:t>
            </w:r>
            <w:proofErr w:type="spellEnd"/>
          </w:p>
        </w:tc>
        <w:tc>
          <w:tcPr>
            <w:tcW w:w="3627" w:type="pct"/>
            <w:tcBorders>
              <w:top w:val="single" w:sz="4" w:space="0" w:color="C0E6F5"/>
              <w:left w:val="nil"/>
              <w:bottom w:val="single" w:sz="4" w:space="0" w:color="C0E6F5"/>
              <w:right w:val="nil"/>
            </w:tcBorders>
            <w:noWrap/>
          </w:tcPr>
          <w:p w14:paraId="38690694" w14:textId="77777777" w:rsidR="00521A20" w:rsidRDefault="00BB475A">
            <w:pPr>
              <w:overflowPunct/>
              <w:autoSpaceDE/>
              <w:autoSpaceDN/>
              <w:adjustRightInd/>
              <w:spacing w:before="0"/>
              <w:textAlignment w:val="auto"/>
              <w:rPr>
                <w:rFonts w:ascii="Calibri" w:hAnsi="Calibri" w:cs="Calibri"/>
                <w:color w:val="000000"/>
                <w:sz w:val="20"/>
                <w:lang w:val="en-US" w:eastAsia="zh-CN"/>
              </w:rPr>
            </w:pPr>
            <w:r>
              <w:rPr>
                <w:rFonts w:ascii="Calibri" w:hAnsi="Calibri" w:hint="eastAsia"/>
                <w:color w:val="000000"/>
                <w:sz w:val="20"/>
                <w:lang w:eastAsia="zh-CN"/>
              </w:rPr>
              <w:t>公布的数据集中的数据点数量</w:t>
            </w:r>
          </w:p>
        </w:tc>
      </w:tr>
      <w:tr w:rsidR="00521A20" w14:paraId="13F734C6" w14:textId="77777777">
        <w:tc>
          <w:tcPr>
            <w:tcW w:w="1373" w:type="pct"/>
            <w:vMerge/>
            <w:tcBorders>
              <w:left w:val="nil"/>
              <w:right w:val="nil"/>
            </w:tcBorders>
            <w:shd w:val="clear" w:color="44B3E1" w:fill="44B3E1"/>
            <w:noWrap/>
          </w:tcPr>
          <w:p w14:paraId="7486D29D"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734AB463"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跟踪监控排放、能源使用和气候承诺的数字公司数量</w:t>
            </w:r>
          </w:p>
        </w:tc>
      </w:tr>
      <w:tr w:rsidR="00521A20" w14:paraId="55B3D1BB" w14:textId="77777777">
        <w:tc>
          <w:tcPr>
            <w:tcW w:w="1373" w:type="pct"/>
            <w:vMerge/>
            <w:tcBorders>
              <w:left w:val="nil"/>
              <w:right w:val="nil"/>
            </w:tcBorders>
            <w:shd w:val="clear" w:color="44B3E1" w:fill="44B3E1"/>
            <w:noWrap/>
          </w:tcPr>
          <w:p w14:paraId="0DB05EAF"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422D0F61"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参与由电信发展局领导的能力开发活动的人数</w:t>
            </w:r>
          </w:p>
        </w:tc>
      </w:tr>
      <w:tr w:rsidR="00521A20" w14:paraId="2521DE4F" w14:textId="77777777">
        <w:tc>
          <w:tcPr>
            <w:tcW w:w="1373" w:type="pct"/>
            <w:vMerge/>
            <w:tcBorders>
              <w:left w:val="nil"/>
              <w:right w:val="nil"/>
            </w:tcBorders>
            <w:shd w:val="clear" w:color="44B3E1" w:fill="44B3E1"/>
            <w:noWrap/>
          </w:tcPr>
          <w:p w14:paraId="6E81D670"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060C68EC" w14:textId="77777777" w:rsidR="00521A20" w:rsidRDefault="00BB475A">
            <w:pPr>
              <w:overflowPunct/>
              <w:autoSpaceDE/>
              <w:autoSpaceDN/>
              <w:adjustRightInd/>
              <w:spacing w:before="0"/>
              <w:textAlignment w:val="auto"/>
              <w:rPr>
                <w:rFonts w:ascii="Calibri" w:hAnsi="Calibri" w:cs="Calibri"/>
                <w:color w:val="000000"/>
                <w:sz w:val="20"/>
              </w:rPr>
            </w:pPr>
            <w:proofErr w:type="spellStart"/>
            <w:r>
              <w:rPr>
                <w:rFonts w:ascii="Calibri" w:hAnsi="Calibri" w:hint="eastAsia"/>
                <w:color w:val="000000"/>
                <w:sz w:val="20"/>
              </w:rPr>
              <w:t>参与的成员国数量</w:t>
            </w:r>
            <w:proofErr w:type="spellEnd"/>
          </w:p>
        </w:tc>
      </w:tr>
      <w:tr w:rsidR="00521A20" w14:paraId="714FF771" w14:textId="77777777">
        <w:tc>
          <w:tcPr>
            <w:tcW w:w="1373" w:type="pct"/>
            <w:vMerge/>
            <w:tcBorders>
              <w:left w:val="nil"/>
              <w:right w:val="nil"/>
            </w:tcBorders>
            <w:shd w:val="clear" w:color="44B3E1" w:fill="44B3E1"/>
            <w:noWrap/>
          </w:tcPr>
          <w:p w14:paraId="1F5A357F" w14:textId="77777777" w:rsidR="00521A20" w:rsidRDefault="00521A20">
            <w:pPr>
              <w:overflowPunct/>
              <w:autoSpaceDE/>
              <w:autoSpaceDN/>
              <w:adjustRightInd/>
              <w:spacing w:before="0"/>
              <w:textAlignment w:val="auto"/>
              <w:rPr>
                <w:rFonts w:ascii="Calibri" w:hAnsi="Calibri" w:cs="Calibri"/>
                <w:color w:val="000000"/>
                <w:sz w:val="20"/>
                <w:lang w:eastAsia="en-GB"/>
              </w:rPr>
            </w:pPr>
          </w:p>
        </w:tc>
        <w:tc>
          <w:tcPr>
            <w:tcW w:w="3627" w:type="pct"/>
            <w:tcBorders>
              <w:top w:val="single" w:sz="4" w:space="0" w:color="C0E6F5"/>
              <w:left w:val="nil"/>
              <w:bottom w:val="single" w:sz="4" w:space="0" w:color="C0E6F5"/>
              <w:right w:val="nil"/>
            </w:tcBorders>
            <w:noWrap/>
          </w:tcPr>
          <w:p w14:paraId="62C316D6"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电信发展局牵头活动的参与人数</w:t>
            </w:r>
            <w:r>
              <w:rPr>
                <w:rFonts w:ascii="Calibri" w:hAnsi="Calibri" w:hint="eastAsia"/>
                <w:color w:val="000000"/>
                <w:sz w:val="20"/>
                <w:lang w:eastAsia="zh-CN"/>
              </w:rPr>
              <w:br/>
            </w:r>
            <w:r>
              <w:rPr>
                <w:rFonts w:ascii="Calibri" w:hAnsi="Calibri" w:hint="eastAsia"/>
                <w:color w:val="000000"/>
                <w:sz w:val="20"/>
                <w:lang w:eastAsia="zh-CN"/>
              </w:rPr>
              <w:t>（包括</w:t>
            </w:r>
            <w:r>
              <w:rPr>
                <w:rFonts w:ascii="Calibri" w:hAnsi="Calibri" w:hint="eastAsia"/>
                <w:color w:val="000000"/>
                <w:sz w:val="20"/>
                <w:lang w:eastAsia="zh-CN"/>
              </w:rPr>
              <w:t>RDF</w:t>
            </w:r>
            <w:r>
              <w:rPr>
                <w:rFonts w:ascii="Calibri" w:hAnsi="Calibri" w:hint="eastAsia"/>
                <w:color w:val="000000"/>
                <w:sz w:val="20"/>
                <w:lang w:eastAsia="zh-CN"/>
              </w:rPr>
              <w:t>、</w:t>
            </w:r>
            <w:r>
              <w:rPr>
                <w:rFonts w:ascii="Calibri" w:hAnsi="Calibri" w:hint="eastAsia"/>
                <w:color w:val="000000"/>
                <w:sz w:val="20"/>
                <w:lang w:eastAsia="zh-CN"/>
              </w:rPr>
              <w:t>GSR</w:t>
            </w:r>
            <w:r>
              <w:rPr>
                <w:rFonts w:ascii="Calibri" w:hAnsi="Calibri" w:hint="eastAsia"/>
                <w:color w:val="000000"/>
                <w:sz w:val="20"/>
                <w:lang w:eastAsia="zh-CN"/>
              </w:rPr>
              <w:t>、</w:t>
            </w:r>
            <w:r>
              <w:rPr>
                <w:rFonts w:ascii="Calibri" w:hAnsi="Calibri" w:hint="eastAsia"/>
                <w:color w:val="000000"/>
                <w:sz w:val="20"/>
                <w:lang w:eastAsia="zh-CN"/>
              </w:rPr>
              <w:t>GIF</w:t>
            </w:r>
            <w:r>
              <w:rPr>
                <w:rFonts w:ascii="Calibri" w:hAnsi="Calibri" w:hint="eastAsia"/>
                <w:color w:val="000000"/>
                <w:sz w:val="20"/>
                <w:lang w:eastAsia="zh-CN"/>
              </w:rPr>
              <w:t>、</w:t>
            </w:r>
            <w:r>
              <w:rPr>
                <w:rFonts w:ascii="Calibri" w:hAnsi="Calibri" w:hint="eastAsia"/>
                <w:color w:val="000000"/>
                <w:sz w:val="20"/>
                <w:lang w:eastAsia="zh-CN"/>
              </w:rPr>
              <w:t>DSF</w:t>
            </w:r>
            <w:r>
              <w:rPr>
                <w:rFonts w:ascii="Calibri" w:hAnsi="Calibri" w:hint="eastAsia"/>
                <w:color w:val="000000"/>
                <w:sz w:val="20"/>
                <w:lang w:eastAsia="zh-CN"/>
              </w:rPr>
              <w:t>、</w:t>
            </w:r>
            <w:r>
              <w:rPr>
                <w:rFonts w:ascii="Calibri" w:hAnsi="Calibri" w:hint="eastAsia"/>
                <w:color w:val="000000"/>
                <w:sz w:val="20"/>
                <w:lang w:eastAsia="zh-CN"/>
              </w:rPr>
              <w:t>WTIS</w:t>
            </w:r>
            <w:r>
              <w:rPr>
                <w:rFonts w:ascii="Calibri" w:hAnsi="Calibri" w:hint="eastAsia"/>
                <w:color w:val="000000"/>
                <w:sz w:val="20"/>
                <w:lang w:eastAsia="zh-CN"/>
              </w:rPr>
              <w:t>、</w:t>
            </w:r>
            <w:r>
              <w:rPr>
                <w:rFonts w:ascii="Calibri" w:hAnsi="Calibri" w:hint="eastAsia"/>
                <w:color w:val="000000"/>
                <w:sz w:val="20"/>
                <w:lang w:eastAsia="zh-CN"/>
              </w:rPr>
              <w:t>EGTI</w:t>
            </w:r>
            <w:r>
              <w:rPr>
                <w:rFonts w:ascii="Calibri" w:hAnsi="Calibri" w:hint="eastAsia"/>
                <w:color w:val="000000"/>
                <w:sz w:val="20"/>
                <w:lang w:eastAsia="zh-CN"/>
              </w:rPr>
              <w:t>、</w:t>
            </w:r>
            <w:r>
              <w:rPr>
                <w:rFonts w:ascii="Calibri" w:hAnsi="Calibri" w:hint="eastAsia"/>
                <w:color w:val="000000"/>
                <w:sz w:val="20"/>
                <w:lang w:eastAsia="zh-CN"/>
              </w:rPr>
              <w:t>GIICT</w:t>
            </w:r>
            <w:r>
              <w:rPr>
                <w:rFonts w:ascii="Calibri" w:hAnsi="Calibri" w:hint="eastAsia"/>
                <w:color w:val="000000"/>
                <w:sz w:val="20"/>
                <w:lang w:eastAsia="zh-CN"/>
              </w:rPr>
              <w:t>和</w:t>
            </w:r>
            <w:r>
              <w:rPr>
                <w:rFonts w:ascii="Calibri" w:hAnsi="Calibri" w:hint="eastAsia"/>
                <w:color w:val="000000"/>
                <w:sz w:val="20"/>
                <w:lang w:eastAsia="zh-CN"/>
              </w:rPr>
              <w:t>GYF</w:t>
            </w:r>
            <w:r>
              <w:rPr>
                <w:rFonts w:ascii="Calibri" w:hAnsi="Calibri" w:hint="eastAsia"/>
                <w:color w:val="000000"/>
                <w:sz w:val="20"/>
                <w:lang w:eastAsia="zh-CN"/>
              </w:rPr>
              <w:t>等）</w:t>
            </w:r>
          </w:p>
        </w:tc>
      </w:tr>
      <w:tr w:rsidR="00521A20" w14:paraId="5F3108E4" w14:textId="77777777">
        <w:tc>
          <w:tcPr>
            <w:tcW w:w="1373" w:type="pct"/>
            <w:vMerge/>
            <w:tcBorders>
              <w:left w:val="nil"/>
              <w:bottom w:val="single" w:sz="4" w:space="0" w:color="C0E6F5"/>
              <w:right w:val="nil"/>
            </w:tcBorders>
            <w:shd w:val="clear" w:color="44B3E1" w:fill="44B3E1"/>
            <w:noWrap/>
          </w:tcPr>
          <w:p w14:paraId="23D492E1"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2D1379B6"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国际电</w:t>
            </w:r>
            <w:proofErr w:type="gramStart"/>
            <w:r>
              <w:rPr>
                <w:rFonts w:ascii="Calibri" w:hAnsi="Calibri" w:hint="eastAsia"/>
                <w:color w:val="000000"/>
                <w:sz w:val="20"/>
                <w:lang w:eastAsia="zh-CN"/>
              </w:rPr>
              <w:t>联数据</w:t>
            </w:r>
            <w:proofErr w:type="gramEnd"/>
            <w:r>
              <w:rPr>
                <w:rFonts w:ascii="Calibri" w:hAnsi="Calibri" w:hint="eastAsia"/>
                <w:color w:val="000000"/>
                <w:sz w:val="20"/>
                <w:lang w:eastAsia="zh-CN"/>
              </w:rPr>
              <w:t>中心每周的用户数量</w:t>
            </w:r>
          </w:p>
        </w:tc>
      </w:tr>
      <w:tr w:rsidR="00521A20" w14:paraId="39729BBE" w14:textId="77777777">
        <w:tc>
          <w:tcPr>
            <w:tcW w:w="1373" w:type="pct"/>
            <w:vMerge w:val="restart"/>
            <w:tcBorders>
              <w:top w:val="single" w:sz="4" w:space="0" w:color="C0E6F5"/>
              <w:left w:val="nil"/>
              <w:right w:val="nil"/>
            </w:tcBorders>
            <w:shd w:val="clear" w:color="44B3E1" w:fill="44B3E1"/>
            <w:noWrap/>
          </w:tcPr>
          <w:p w14:paraId="772F017F" w14:textId="77777777" w:rsidR="00521A20" w:rsidRDefault="00BB475A">
            <w:pPr>
              <w:overflowPunct/>
              <w:autoSpaceDE/>
              <w:autoSpaceDN/>
              <w:adjustRightInd/>
              <w:spacing w:before="0" w:after="240"/>
              <w:textAlignment w:val="auto"/>
              <w:rPr>
                <w:rFonts w:ascii="Calibri" w:hAnsi="Calibri" w:cs="Calibri"/>
                <w:b/>
                <w:bCs/>
                <w:color w:val="FFFFFF"/>
                <w:sz w:val="20"/>
                <w:lang w:eastAsia="zh-CN"/>
              </w:rPr>
            </w:pPr>
            <w:r>
              <w:rPr>
                <w:rFonts w:ascii="Calibri" w:hAnsi="Calibri" w:hint="eastAsia"/>
                <w:b/>
                <w:color w:val="FFFFFF"/>
                <w:sz w:val="20"/>
                <w:lang w:eastAsia="zh-CN"/>
              </w:rPr>
              <w:t>示范政策和战略、工具包</w:t>
            </w:r>
          </w:p>
        </w:tc>
        <w:tc>
          <w:tcPr>
            <w:tcW w:w="3627" w:type="pct"/>
            <w:tcBorders>
              <w:top w:val="single" w:sz="4" w:space="0" w:color="C0E6F5"/>
              <w:left w:val="nil"/>
              <w:bottom w:val="single" w:sz="4" w:space="0" w:color="C0E6F5"/>
              <w:right w:val="nil"/>
            </w:tcBorders>
            <w:noWrap/>
          </w:tcPr>
          <w:p w14:paraId="615949D7" w14:textId="77777777" w:rsidR="00521A20" w:rsidRDefault="00BB475A">
            <w:pPr>
              <w:overflowPunct/>
              <w:autoSpaceDE/>
              <w:autoSpaceDN/>
              <w:adjustRightInd/>
              <w:spacing w:before="0"/>
              <w:textAlignment w:val="auto"/>
              <w:rPr>
                <w:rFonts w:ascii="Calibri" w:hAnsi="Calibri" w:cs="Calibri"/>
                <w:color w:val="000000"/>
                <w:sz w:val="20"/>
              </w:rPr>
            </w:pPr>
            <w:proofErr w:type="spellStart"/>
            <w:r>
              <w:rPr>
                <w:rFonts w:ascii="Calibri" w:hAnsi="Calibri" w:hint="eastAsia"/>
                <w:color w:val="000000"/>
                <w:sz w:val="20"/>
              </w:rPr>
              <w:t>援助的成员国数量</w:t>
            </w:r>
            <w:proofErr w:type="spellEnd"/>
          </w:p>
        </w:tc>
      </w:tr>
      <w:tr w:rsidR="00521A20" w14:paraId="0FE14B62" w14:textId="77777777">
        <w:tc>
          <w:tcPr>
            <w:tcW w:w="1373" w:type="pct"/>
            <w:vMerge/>
            <w:tcBorders>
              <w:left w:val="nil"/>
              <w:bottom w:val="single" w:sz="4" w:space="0" w:color="C0E6F5"/>
              <w:right w:val="nil"/>
            </w:tcBorders>
            <w:shd w:val="clear" w:color="44B3E1" w:fill="44B3E1"/>
            <w:noWrap/>
          </w:tcPr>
          <w:p w14:paraId="7CCD8B4E" w14:textId="77777777" w:rsidR="00521A20" w:rsidRDefault="00521A20">
            <w:pPr>
              <w:overflowPunct/>
              <w:autoSpaceDE/>
              <w:autoSpaceDN/>
              <w:adjustRightInd/>
              <w:spacing w:before="0"/>
              <w:textAlignment w:val="auto"/>
              <w:rPr>
                <w:rFonts w:ascii="Calibri" w:hAnsi="Calibri" w:cs="Calibri"/>
                <w:color w:val="000000"/>
                <w:sz w:val="20"/>
                <w:lang w:eastAsia="en-GB"/>
              </w:rPr>
            </w:pPr>
          </w:p>
        </w:tc>
        <w:tc>
          <w:tcPr>
            <w:tcW w:w="3627" w:type="pct"/>
            <w:tcBorders>
              <w:top w:val="single" w:sz="4" w:space="0" w:color="C0E6F5"/>
              <w:left w:val="nil"/>
              <w:bottom w:val="single" w:sz="4" w:space="0" w:color="C0E6F5"/>
              <w:right w:val="nil"/>
            </w:tcBorders>
            <w:noWrap/>
          </w:tcPr>
          <w:p w14:paraId="746633E2"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开发的工具</w:t>
            </w:r>
            <w:r>
              <w:rPr>
                <w:rFonts w:ascii="Calibri" w:hAnsi="Calibri" w:hint="eastAsia"/>
                <w:color w:val="000000"/>
                <w:sz w:val="20"/>
                <w:lang w:eastAsia="zh-CN"/>
              </w:rPr>
              <w:t>/</w:t>
            </w:r>
            <w:r>
              <w:rPr>
                <w:rFonts w:ascii="Calibri" w:hAnsi="Calibri" w:hint="eastAsia"/>
                <w:color w:val="000000"/>
                <w:sz w:val="20"/>
                <w:lang w:eastAsia="zh-CN"/>
              </w:rPr>
              <w:t>框架</w:t>
            </w:r>
            <w:r>
              <w:rPr>
                <w:rFonts w:ascii="Calibri" w:hAnsi="Calibri" w:hint="eastAsia"/>
                <w:color w:val="000000"/>
                <w:sz w:val="20"/>
                <w:lang w:eastAsia="zh-CN"/>
              </w:rPr>
              <w:t>/</w:t>
            </w:r>
            <w:r>
              <w:rPr>
                <w:rFonts w:ascii="Calibri" w:hAnsi="Calibri" w:hint="eastAsia"/>
                <w:color w:val="000000"/>
                <w:sz w:val="20"/>
                <w:lang w:eastAsia="zh-CN"/>
              </w:rPr>
              <w:t>资源数量</w:t>
            </w:r>
            <w:r>
              <w:rPr>
                <w:rFonts w:ascii="Calibri" w:hAnsi="Calibri" w:hint="eastAsia"/>
                <w:color w:val="000000"/>
                <w:sz w:val="20"/>
                <w:lang w:eastAsia="zh-CN"/>
              </w:rPr>
              <w:br/>
            </w:r>
            <w:r>
              <w:rPr>
                <w:rFonts w:ascii="Calibri" w:hAnsi="Calibri" w:hint="eastAsia"/>
                <w:color w:val="000000"/>
                <w:sz w:val="20"/>
                <w:lang w:eastAsia="zh-CN"/>
              </w:rPr>
              <w:t>（包括政策、战略、国家概况、地图、导则、工具包、出版物等）</w:t>
            </w:r>
          </w:p>
        </w:tc>
      </w:tr>
      <w:tr w:rsidR="00521A20" w14:paraId="5D2529DB" w14:textId="77777777">
        <w:tc>
          <w:tcPr>
            <w:tcW w:w="1373" w:type="pct"/>
            <w:vMerge w:val="restart"/>
            <w:tcBorders>
              <w:top w:val="single" w:sz="4" w:space="0" w:color="C0E6F5"/>
              <w:left w:val="nil"/>
              <w:right w:val="nil"/>
            </w:tcBorders>
            <w:shd w:val="clear" w:color="44B3E1" w:fill="44B3E1"/>
            <w:noWrap/>
          </w:tcPr>
          <w:p w14:paraId="51159FD4" w14:textId="77777777" w:rsidR="00521A20" w:rsidRDefault="00BB475A">
            <w:pPr>
              <w:overflowPunct/>
              <w:autoSpaceDE/>
              <w:autoSpaceDN/>
              <w:adjustRightInd/>
              <w:spacing w:before="0"/>
              <w:textAlignment w:val="auto"/>
              <w:rPr>
                <w:rFonts w:ascii="Calibri" w:hAnsi="Calibri" w:cs="Calibri"/>
                <w:b/>
                <w:bCs/>
                <w:color w:val="FFFFFF"/>
                <w:sz w:val="20"/>
              </w:rPr>
            </w:pPr>
            <w:proofErr w:type="spellStart"/>
            <w:r>
              <w:rPr>
                <w:rFonts w:ascii="Calibri" w:hAnsi="Calibri" w:hint="eastAsia"/>
                <w:b/>
                <w:color w:val="FFFFFF"/>
                <w:sz w:val="20"/>
              </w:rPr>
              <w:t>学习框架</w:t>
            </w:r>
            <w:proofErr w:type="spellEnd"/>
          </w:p>
        </w:tc>
        <w:tc>
          <w:tcPr>
            <w:tcW w:w="3627" w:type="pct"/>
            <w:tcBorders>
              <w:top w:val="single" w:sz="4" w:space="0" w:color="C0E6F5"/>
              <w:left w:val="nil"/>
              <w:bottom w:val="single" w:sz="4" w:space="0" w:color="C0E6F5"/>
              <w:right w:val="nil"/>
            </w:tcBorders>
            <w:noWrap/>
          </w:tcPr>
          <w:p w14:paraId="45A16ED1"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参与由电信发展局领导的能力开发活动的人数</w:t>
            </w:r>
          </w:p>
        </w:tc>
      </w:tr>
      <w:tr w:rsidR="00521A20" w14:paraId="1305DA68" w14:textId="77777777">
        <w:tc>
          <w:tcPr>
            <w:tcW w:w="1373" w:type="pct"/>
            <w:vMerge/>
            <w:tcBorders>
              <w:left w:val="nil"/>
              <w:right w:val="nil"/>
            </w:tcBorders>
            <w:shd w:val="clear" w:color="44B3E1" w:fill="44B3E1"/>
            <w:noWrap/>
          </w:tcPr>
          <w:p w14:paraId="75C39FE8"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6CDA6FF4"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接受</w:t>
            </w:r>
            <w:proofErr w:type="gramStart"/>
            <w:r>
              <w:rPr>
                <w:rFonts w:ascii="Calibri" w:hAnsi="Calibri" w:hint="eastAsia"/>
                <w:color w:val="000000"/>
                <w:sz w:val="20"/>
                <w:lang w:eastAsia="zh-CN"/>
              </w:rPr>
              <w:t>过基本</w:t>
            </w:r>
            <w:proofErr w:type="gramEnd"/>
            <w:r>
              <w:rPr>
                <w:rFonts w:ascii="Calibri" w:hAnsi="Calibri" w:hint="eastAsia"/>
                <w:color w:val="000000"/>
                <w:sz w:val="20"/>
                <w:lang w:eastAsia="zh-CN"/>
              </w:rPr>
              <w:t>和中级数字技能培训的人数</w:t>
            </w:r>
          </w:p>
        </w:tc>
      </w:tr>
      <w:tr w:rsidR="00521A20" w14:paraId="090A5F2A" w14:textId="77777777">
        <w:tc>
          <w:tcPr>
            <w:tcW w:w="1373" w:type="pct"/>
            <w:vMerge/>
            <w:tcBorders>
              <w:left w:val="nil"/>
              <w:right w:val="nil"/>
            </w:tcBorders>
            <w:shd w:val="clear" w:color="44B3E1" w:fill="44B3E1"/>
            <w:noWrap/>
          </w:tcPr>
          <w:p w14:paraId="62987782"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0E2DAB1E"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国际电联学院的用户数量</w:t>
            </w:r>
          </w:p>
        </w:tc>
      </w:tr>
      <w:tr w:rsidR="00521A20" w14:paraId="03ED77DD" w14:textId="77777777">
        <w:tc>
          <w:tcPr>
            <w:tcW w:w="1373" w:type="pct"/>
            <w:vMerge/>
            <w:tcBorders>
              <w:left w:val="nil"/>
              <w:bottom w:val="single" w:sz="4" w:space="0" w:color="C0E6F5"/>
              <w:right w:val="nil"/>
            </w:tcBorders>
            <w:shd w:val="clear" w:color="44B3E1" w:fill="44B3E1"/>
            <w:noWrap/>
          </w:tcPr>
          <w:p w14:paraId="6DF189C0"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663E6D21"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接受过电信</w:t>
            </w:r>
            <w:r>
              <w:rPr>
                <w:rFonts w:ascii="Calibri" w:hAnsi="Calibri" w:hint="eastAsia"/>
                <w:color w:val="000000"/>
                <w:sz w:val="20"/>
                <w:lang w:eastAsia="zh-CN"/>
              </w:rPr>
              <w:t>/</w:t>
            </w:r>
            <w:r>
              <w:rPr>
                <w:rFonts w:ascii="Calibri" w:hAnsi="Calibri" w:hint="eastAsia"/>
                <w:color w:val="000000"/>
                <w:sz w:val="20"/>
                <w:lang w:eastAsia="zh-CN"/>
              </w:rPr>
              <w:t>信息通信技术（</w:t>
            </w:r>
            <w:r>
              <w:rPr>
                <w:rFonts w:ascii="Calibri" w:hAnsi="Calibri" w:hint="eastAsia"/>
                <w:color w:val="000000"/>
                <w:sz w:val="20"/>
                <w:lang w:eastAsia="zh-CN"/>
              </w:rPr>
              <w:t>ICT</w:t>
            </w:r>
            <w:r>
              <w:rPr>
                <w:rFonts w:ascii="Calibri" w:hAnsi="Calibri" w:hint="eastAsia"/>
                <w:color w:val="000000"/>
                <w:sz w:val="20"/>
                <w:lang w:eastAsia="zh-CN"/>
              </w:rPr>
              <w:t>）议题培训和认证的专业人员数量</w:t>
            </w:r>
          </w:p>
        </w:tc>
      </w:tr>
      <w:tr w:rsidR="00521A20" w14:paraId="3109673F" w14:textId="77777777">
        <w:tc>
          <w:tcPr>
            <w:tcW w:w="1373" w:type="pct"/>
            <w:vMerge w:val="restart"/>
            <w:tcBorders>
              <w:top w:val="single" w:sz="4" w:space="0" w:color="C0E6F5"/>
              <w:left w:val="nil"/>
              <w:right w:val="nil"/>
            </w:tcBorders>
            <w:shd w:val="clear" w:color="44B3E1" w:fill="44B3E1"/>
            <w:noWrap/>
          </w:tcPr>
          <w:p w14:paraId="481C09D7" w14:textId="77777777" w:rsidR="00521A20" w:rsidRDefault="00BB475A">
            <w:pPr>
              <w:overflowPunct/>
              <w:autoSpaceDE/>
              <w:autoSpaceDN/>
              <w:adjustRightInd/>
              <w:spacing w:before="0" w:after="240"/>
              <w:textAlignment w:val="auto"/>
              <w:rPr>
                <w:rFonts w:ascii="Calibri" w:hAnsi="Calibri" w:cs="Calibri"/>
                <w:b/>
                <w:bCs/>
                <w:color w:val="FFFFFF"/>
                <w:sz w:val="20"/>
              </w:rPr>
            </w:pPr>
            <w:proofErr w:type="spellStart"/>
            <w:r>
              <w:rPr>
                <w:rFonts w:ascii="Calibri" w:hAnsi="Calibri" w:hint="eastAsia"/>
                <w:b/>
                <w:color w:val="FFFFFF"/>
                <w:sz w:val="20"/>
              </w:rPr>
              <w:t>召集平台</w:t>
            </w:r>
            <w:proofErr w:type="spellEnd"/>
          </w:p>
        </w:tc>
        <w:tc>
          <w:tcPr>
            <w:tcW w:w="3627" w:type="pct"/>
            <w:tcBorders>
              <w:top w:val="single" w:sz="4" w:space="0" w:color="C0E6F5"/>
              <w:left w:val="nil"/>
              <w:bottom w:val="single" w:sz="4" w:space="0" w:color="C0E6F5"/>
              <w:right w:val="nil"/>
            </w:tcBorders>
            <w:noWrap/>
          </w:tcPr>
          <w:p w14:paraId="76B24B8D"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LDC</w:t>
            </w:r>
            <w:r>
              <w:rPr>
                <w:rFonts w:ascii="Calibri" w:hAnsi="Calibri" w:hint="eastAsia"/>
                <w:color w:val="000000"/>
                <w:sz w:val="20"/>
                <w:lang w:eastAsia="zh-CN"/>
              </w:rPr>
              <w:t>、</w:t>
            </w:r>
            <w:r>
              <w:rPr>
                <w:rFonts w:ascii="Calibri" w:hAnsi="Calibri" w:hint="eastAsia"/>
                <w:color w:val="000000"/>
                <w:sz w:val="20"/>
                <w:lang w:eastAsia="zh-CN"/>
              </w:rPr>
              <w:t>LLDC</w:t>
            </w:r>
            <w:r>
              <w:rPr>
                <w:rFonts w:ascii="Calibri" w:hAnsi="Calibri" w:hint="eastAsia"/>
                <w:color w:val="000000"/>
                <w:sz w:val="20"/>
                <w:lang w:eastAsia="zh-CN"/>
              </w:rPr>
              <w:t>和</w:t>
            </w:r>
            <w:r>
              <w:rPr>
                <w:rFonts w:ascii="Calibri" w:hAnsi="Calibri" w:hint="eastAsia"/>
                <w:color w:val="000000"/>
                <w:sz w:val="20"/>
                <w:lang w:eastAsia="zh-CN"/>
              </w:rPr>
              <w:t>SIDS</w:t>
            </w:r>
            <w:r>
              <w:rPr>
                <w:rFonts w:ascii="Calibri" w:hAnsi="Calibri" w:hint="eastAsia"/>
                <w:color w:val="000000"/>
                <w:sz w:val="20"/>
                <w:lang w:eastAsia="zh-CN"/>
              </w:rPr>
              <w:t>的项目资金额</w:t>
            </w:r>
          </w:p>
        </w:tc>
      </w:tr>
      <w:tr w:rsidR="00521A20" w14:paraId="3D359BF6" w14:textId="77777777">
        <w:tc>
          <w:tcPr>
            <w:tcW w:w="1373" w:type="pct"/>
            <w:vMerge/>
            <w:tcBorders>
              <w:left w:val="nil"/>
              <w:right w:val="nil"/>
            </w:tcBorders>
            <w:shd w:val="clear" w:color="44B3E1" w:fill="44B3E1"/>
            <w:noWrap/>
          </w:tcPr>
          <w:p w14:paraId="50CA9BA6"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07C21F40"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制定的最佳做法</w:t>
            </w:r>
            <w:r>
              <w:rPr>
                <w:rFonts w:ascii="Calibri" w:hAnsi="Calibri" w:hint="eastAsia"/>
                <w:color w:val="000000"/>
                <w:sz w:val="20"/>
                <w:lang w:eastAsia="zh-CN"/>
              </w:rPr>
              <w:t>/</w:t>
            </w:r>
            <w:r>
              <w:rPr>
                <w:rFonts w:ascii="Calibri" w:hAnsi="Calibri" w:hint="eastAsia"/>
                <w:color w:val="000000"/>
                <w:sz w:val="20"/>
                <w:lang w:eastAsia="zh-CN"/>
              </w:rPr>
              <w:t>指南数量</w:t>
            </w:r>
          </w:p>
        </w:tc>
      </w:tr>
      <w:tr w:rsidR="00521A20" w14:paraId="59E3D6C2" w14:textId="77777777">
        <w:tc>
          <w:tcPr>
            <w:tcW w:w="1373" w:type="pct"/>
            <w:vMerge/>
            <w:tcBorders>
              <w:left w:val="nil"/>
              <w:right w:val="nil"/>
            </w:tcBorders>
            <w:shd w:val="clear" w:color="44B3E1" w:fill="44B3E1"/>
            <w:noWrap/>
          </w:tcPr>
          <w:p w14:paraId="4CAD11AB"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268BBD24" w14:textId="77777777" w:rsidR="00521A20" w:rsidRDefault="00BB475A">
            <w:pPr>
              <w:overflowPunct/>
              <w:autoSpaceDE/>
              <w:autoSpaceDN/>
              <w:adjustRightInd/>
              <w:spacing w:before="0"/>
              <w:textAlignment w:val="auto"/>
              <w:rPr>
                <w:rFonts w:ascii="Calibri" w:hAnsi="Calibri" w:cs="Calibri"/>
                <w:color w:val="000000"/>
                <w:sz w:val="20"/>
                <w:lang w:val="en-US"/>
              </w:rPr>
            </w:pPr>
            <w:r>
              <w:rPr>
                <w:rFonts w:ascii="Calibri" w:hAnsi="Calibri" w:hint="eastAsia"/>
                <w:color w:val="000000"/>
                <w:sz w:val="20"/>
              </w:rPr>
              <w:t>LDC</w:t>
            </w:r>
            <w:r>
              <w:rPr>
                <w:rFonts w:ascii="Calibri" w:hAnsi="Calibri" w:hint="eastAsia"/>
                <w:color w:val="000000"/>
                <w:sz w:val="20"/>
              </w:rPr>
              <w:t>、</w:t>
            </w:r>
            <w:r>
              <w:rPr>
                <w:rFonts w:ascii="Calibri" w:hAnsi="Calibri" w:hint="eastAsia"/>
                <w:color w:val="000000"/>
                <w:sz w:val="20"/>
              </w:rPr>
              <w:t>LLDC</w:t>
            </w:r>
            <w:r>
              <w:rPr>
                <w:rFonts w:ascii="Calibri" w:hAnsi="Calibri" w:hint="eastAsia"/>
                <w:color w:val="000000"/>
                <w:sz w:val="20"/>
              </w:rPr>
              <w:t>和</w:t>
            </w:r>
            <w:r>
              <w:rPr>
                <w:rFonts w:ascii="Calibri" w:hAnsi="Calibri" w:hint="eastAsia"/>
                <w:color w:val="000000"/>
                <w:sz w:val="20"/>
              </w:rPr>
              <w:t>SIDS</w:t>
            </w:r>
            <w:proofErr w:type="spellStart"/>
            <w:r>
              <w:rPr>
                <w:rFonts w:ascii="Calibri" w:hAnsi="Calibri" w:hint="eastAsia"/>
                <w:color w:val="000000"/>
                <w:sz w:val="20"/>
              </w:rPr>
              <w:t>中得到资金支持的</w:t>
            </w:r>
            <w:proofErr w:type="spellEnd"/>
            <w:r>
              <w:rPr>
                <w:rFonts w:ascii="Calibri" w:hAnsi="Calibri" w:hint="eastAsia"/>
                <w:color w:val="000000"/>
                <w:sz w:val="20"/>
              </w:rPr>
              <w:t>ITU-D</w:t>
            </w:r>
            <w:proofErr w:type="spellStart"/>
            <w:r>
              <w:rPr>
                <w:rFonts w:ascii="Calibri" w:hAnsi="Calibri" w:hint="eastAsia"/>
                <w:color w:val="000000"/>
                <w:sz w:val="20"/>
              </w:rPr>
              <w:t>项目数</w:t>
            </w:r>
            <w:proofErr w:type="spellEnd"/>
          </w:p>
        </w:tc>
      </w:tr>
      <w:tr w:rsidR="00521A20" w14:paraId="5C3D9CC1" w14:textId="77777777">
        <w:tc>
          <w:tcPr>
            <w:tcW w:w="1373" w:type="pct"/>
            <w:vMerge/>
            <w:tcBorders>
              <w:left w:val="nil"/>
              <w:right w:val="nil"/>
            </w:tcBorders>
            <w:shd w:val="clear" w:color="44B3E1" w:fill="44B3E1"/>
            <w:noWrap/>
          </w:tcPr>
          <w:p w14:paraId="14B2B1A9" w14:textId="77777777" w:rsidR="00521A20" w:rsidRDefault="00521A20">
            <w:pPr>
              <w:overflowPunct/>
              <w:autoSpaceDE/>
              <w:autoSpaceDN/>
              <w:adjustRightInd/>
              <w:spacing w:before="0"/>
              <w:textAlignment w:val="auto"/>
              <w:rPr>
                <w:rFonts w:ascii="Calibri" w:hAnsi="Calibri" w:cs="Calibri"/>
                <w:color w:val="000000"/>
                <w:sz w:val="20"/>
                <w:lang w:eastAsia="en-GB"/>
              </w:rPr>
            </w:pPr>
          </w:p>
        </w:tc>
        <w:tc>
          <w:tcPr>
            <w:tcW w:w="3627" w:type="pct"/>
            <w:tcBorders>
              <w:top w:val="single" w:sz="4" w:space="0" w:color="C0E6F5"/>
              <w:left w:val="nil"/>
              <w:bottom w:val="single" w:sz="4" w:space="0" w:color="C0E6F5"/>
              <w:right w:val="nil"/>
            </w:tcBorders>
            <w:noWrap/>
          </w:tcPr>
          <w:p w14:paraId="26566A6D"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国际电联与合作伙伴签署的支持落实</w:t>
            </w:r>
            <w:r>
              <w:rPr>
                <w:rFonts w:ascii="Calibri" w:hAnsi="Calibri" w:hint="eastAsia"/>
                <w:color w:val="000000"/>
                <w:sz w:val="20"/>
                <w:lang w:eastAsia="zh-CN"/>
              </w:rPr>
              <w:t>ITU-D</w:t>
            </w:r>
            <w:r>
              <w:rPr>
                <w:rFonts w:ascii="Calibri" w:hAnsi="Calibri" w:hint="eastAsia"/>
                <w:color w:val="000000"/>
                <w:sz w:val="20"/>
                <w:lang w:eastAsia="zh-CN"/>
              </w:rPr>
              <w:t>行动计划的</w:t>
            </w:r>
            <w:r>
              <w:rPr>
                <w:rFonts w:ascii="Calibri" w:hAnsi="Calibri" w:hint="eastAsia"/>
                <w:color w:val="000000"/>
                <w:sz w:val="20"/>
                <w:lang w:eastAsia="zh-CN"/>
              </w:rPr>
              <w:t>ICT</w:t>
            </w:r>
            <w:r>
              <w:rPr>
                <w:rFonts w:ascii="Calibri" w:hAnsi="Calibri" w:hint="eastAsia"/>
                <w:color w:val="000000"/>
                <w:sz w:val="20"/>
                <w:lang w:eastAsia="zh-CN"/>
              </w:rPr>
              <w:t>发展协议的数量</w:t>
            </w:r>
          </w:p>
        </w:tc>
      </w:tr>
      <w:tr w:rsidR="00521A20" w14:paraId="470ABAD3" w14:textId="77777777">
        <w:tc>
          <w:tcPr>
            <w:tcW w:w="1373" w:type="pct"/>
            <w:vMerge/>
            <w:tcBorders>
              <w:left w:val="nil"/>
              <w:right w:val="nil"/>
            </w:tcBorders>
            <w:shd w:val="clear" w:color="44B3E1" w:fill="44B3E1"/>
            <w:noWrap/>
          </w:tcPr>
          <w:p w14:paraId="42B38B0E"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7CEA63FC"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电信发展局制定的影响评估报告数量</w:t>
            </w:r>
          </w:p>
        </w:tc>
      </w:tr>
      <w:tr w:rsidR="00521A20" w14:paraId="0AD5318F" w14:textId="77777777">
        <w:tc>
          <w:tcPr>
            <w:tcW w:w="1373" w:type="pct"/>
            <w:vMerge/>
            <w:tcBorders>
              <w:left w:val="nil"/>
              <w:right w:val="nil"/>
            </w:tcBorders>
            <w:shd w:val="clear" w:color="44B3E1" w:fill="44B3E1"/>
            <w:noWrap/>
          </w:tcPr>
          <w:p w14:paraId="01AE094C"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0CA75785" w14:textId="77777777" w:rsidR="00521A20" w:rsidRDefault="00BB475A">
            <w:pPr>
              <w:overflowPunct/>
              <w:autoSpaceDE/>
              <w:autoSpaceDN/>
              <w:adjustRightInd/>
              <w:spacing w:before="0"/>
              <w:textAlignment w:val="auto"/>
              <w:rPr>
                <w:rFonts w:ascii="Calibri" w:hAnsi="Calibri" w:cs="Calibri"/>
                <w:color w:val="000000"/>
                <w:sz w:val="20"/>
              </w:rPr>
            </w:pPr>
            <w:proofErr w:type="spellStart"/>
            <w:r>
              <w:rPr>
                <w:rFonts w:ascii="Calibri" w:hAnsi="Calibri" w:hint="eastAsia"/>
                <w:color w:val="000000"/>
                <w:sz w:val="20"/>
              </w:rPr>
              <w:t>参与的成员国数量</w:t>
            </w:r>
            <w:proofErr w:type="spellEnd"/>
            <w:r>
              <w:rPr>
                <w:rFonts w:ascii="Calibri" w:hAnsi="Calibri" w:hint="eastAsia"/>
                <w:color w:val="000000"/>
                <w:sz w:val="20"/>
              </w:rPr>
              <w:t xml:space="preserve"> </w:t>
            </w:r>
          </w:p>
        </w:tc>
      </w:tr>
      <w:tr w:rsidR="00521A20" w14:paraId="0518345C" w14:textId="77777777">
        <w:tc>
          <w:tcPr>
            <w:tcW w:w="1373" w:type="pct"/>
            <w:vMerge/>
            <w:tcBorders>
              <w:left w:val="nil"/>
              <w:right w:val="nil"/>
            </w:tcBorders>
            <w:shd w:val="clear" w:color="44B3E1" w:fill="44B3E1"/>
            <w:noWrap/>
          </w:tcPr>
          <w:p w14:paraId="2FDAF3D0" w14:textId="77777777" w:rsidR="00521A20" w:rsidRDefault="00521A20">
            <w:pPr>
              <w:overflowPunct/>
              <w:autoSpaceDE/>
              <w:autoSpaceDN/>
              <w:adjustRightInd/>
              <w:spacing w:before="0"/>
              <w:textAlignment w:val="auto"/>
              <w:rPr>
                <w:rFonts w:ascii="Calibri" w:hAnsi="Calibri" w:cs="Calibri"/>
                <w:color w:val="000000"/>
                <w:sz w:val="20"/>
                <w:lang w:eastAsia="en-GB"/>
              </w:rPr>
            </w:pPr>
          </w:p>
        </w:tc>
        <w:tc>
          <w:tcPr>
            <w:tcW w:w="3627" w:type="pct"/>
            <w:tcBorders>
              <w:top w:val="single" w:sz="4" w:space="0" w:color="C0E6F5"/>
              <w:left w:val="nil"/>
              <w:bottom w:val="single" w:sz="4" w:space="0" w:color="C0E6F5"/>
              <w:right w:val="nil"/>
            </w:tcBorders>
            <w:noWrap/>
          </w:tcPr>
          <w:p w14:paraId="7DC837F9" w14:textId="77777777" w:rsidR="00521A20" w:rsidRDefault="00BB475A">
            <w:pPr>
              <w:overflowPunct/>
              <w:autoSpaceDE/>
              <w:autoSpaceDN/>
              <w:adjustRightInd/>
              <w:spacing w:before="0"/>
              <w:textAlignment w:val="auto"/>
              <w:rPr>
                <w:rFonts w:ascii="Calibri" w:hAnsi="Calibri" w:cs="Calibri"/>
                <w:color w:val="000000"/>
                <w:sz w:val="20"/>
              </w:rPr>
            </w:pPr>
            <w:r>
              <w:rPr>
                <w:rFonts w:ascii="Calibri" w:hAnsi="Calibri" w:hint="eastAsia"/>
                <w:color w:val="000000"/>
                <w:sz w:val="20"/>
              </w:rPr>
              <w:t>ITU-D</w:t>
            </w:r>
            <w:proofErr w:type="spellStart"/>
            <w:r>
              <w:rPr>
                <w:rFonts w:ascii="Calibri" w:hAnsi="Calibri" w:hint="eastAsia"/>
                <w:color w:val="000000"/>
                <w:sz w:val="20"/>
              </w:rPr>
              <w:t>新成员数量</w:t>
            </w:r>
            <w:proofErr w:type="spellEnd"/>
          </w:p>
        </w:tc>
      </w:tr>
      <w:tr w:rsidR="00521A20" w14:paraId="31584ED7" w14:textId="77777777">
        <w:tc>
          <w:tcPr>
            <w:tcW w:w="1373" w:type="pct"/>
            <w:vMerge/>
            <w:tcBorders>
              <w:left w:val="nil"/>
              <w:right w:val="nil"/>
            </w:tcBorders>
            <w:shd w:val="clear" w:color="44B3E1" w:fill="44B3E1"/>
            <w:noWrap/>
          </w:tcPr>
          <w:p w14:paraId="0C9D6C4A" w14:textId="77777777" w:rsidR="00521A20" w:rsidRDefault="00521A20">
            <w:pPr>
              <w:overflowPunct/>
              <w:autoSpaceDE/>
              <w:autoSpaceDN/>
              <w:adjustRightInd/>
              <w:spacing w:before="0"/>
              <w:textAlignment w:val="auto"/>
              <w:rPr>
                <w:rFonts w:ascii="Calibri" w:hAnsi="Calibri" w:cs="Calibri"/>
                <w:color w:val="000000"/>
                <w:sz w:val="20"/>
                <w:lang w:eastAsia="en-GB"/>
              </w:rPr>
            </w:pPr>
          </w:p>
        </w:tc>
        <w:tc>
          <w:tcPr>
            <w:tcW w:w="3627" w:type="pct"/>
            <w:tcBorders>
              <w:top w:val="single" w:sz="4" w:space="0" w:color="C0E6F5"/>
              <w:left w:val="nil"/>
              <w:bottom w:val="single" w:sz="4" w:space="0" w:color="C0E6F5"/>
              <w:right w:val="nil"/>
            </w:tcBorders>
            <w:noWrap/>
          </w:tcPr>
          <w:p w14:paraId="0E501593"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电信发展局牵头活动的参与人数</w:t>
            </w:r>
            <w:r>
              <w:rPr>
                <w:rFonts w:ascii="Calibri" w:hAnsi="Calibri" w:hint="eastAsia"/>
                <w:color w:val="000000"/>
                <w:sz w:val="20"/>
                <w:lang w:eastAsia="zh-CN"/>
              </w:rPr>
              <w:br/>
            </w:r>
            <w:r>
              <w:rPr>
                <w:rFonts w:ascii="Calibri" w:hAnsi="Calibri" w:hint="eastAsia"/>
                <w:color w:val="000000"/>
                <w:sz w:val="20"/>
                <w:lang w:eastAsia="zh-CN"/>
              </w:rPr>
              <w:t>（包括</w:t>
            </w:r>
            <w:r>
              <w:rPr>
                <w:rFonts w:ascii="Calibri" w:hAnsi="Calibri" w:hint="eastAsia"/>
                <w:color w:val="000000"/>
                <w:sz w:val="20"/>
                <w:lang w:eastAsia="zh-CN"/>
              </w:rPr>
              <w:t>RDF</w:t>
            </w:r>
            <w:r>
              <w:rPr>
                <w:rFonts w:ascii="Calibri" w:hAnsi="Calibri" w:hint="eastAsia"/>
                <w:color w:val="000000"/>
                <w:sz w:val="20"/>
                <w:lang w:eastAsia="zh-CN"/>
              </w:rPr>
              <w:t>、</w:t>
            </w:r>
            <w:r>
              <w:rPr>
                <w:rFonts w:ascii="Calibri" w:hAnsi="Calibri" w:hint="eastAsia"/>
                <w:color w:val="000000"/>
                <w:sz w:val="20"/>
                <w:lang w:eastAsia="zh-CN"/>
              </w:rPr>
              <w:t>GSR</w:t>
            </w:r>
            <w:r>
              <w:rPr>
                <w:rFonts w:ascii="Calibri" w:hAnsi="Calibri" w:hint="eastAsia"/>
                <w:color w:val="000000"/>
                <w:sz w:val="20"/>
                <w:lang w:eastAsia="zh-CN"/>
              </w:rPr>
              <w:t>、</w:t>
            </w:r>
            <w:r>
              <w:rPr>
                <w:rFonts w:ascii="Calibri" w:hAnsi="Calibri" w:hint="eastAsia"/>
                <w:color w:val="000000"/>
                <w:sz w:val="20"/>
                <w:lang w:eastAsia="zh-CN"/>
              </w:rPr>
              <w:t>GIF</w:t>
            </w:r>
            <w:r>
              <w:rPr>
                <w:rFonts w:ascii="Calibri" w:hAnsi="Calibri" w:hint="eastAsia"/>
                <w:color w:val="000000"/>
                <w:sz w:val="20"/>
                <w:lang w:eastAsia="zh-CN"/>
              </w:rPr>
              <w:t>、</w:t>
            </w:r>
            <w:r>
              <w:rPr>
                <w:rFonts w:ascii="Calibri" w:hAnsi="Calibri" w:hint="eastAsia"/>
                <w:color w:val="000000"/>
                <w:sz w:val="20"/>
                <w:lang w:eastAsia="zh-CN"/>
              </w:rPr>
              <w:t>DSF</w:t>
            </w:r>
            <w:r>
              <w:rPr>
                <w:rFonts w:ascii="Calibri" w:hAnsi="Calibri" w:hint="eastAsia"/>
                <w:color w:val="000000"/>
                <w:sz w:val="20"/>
                <w:lang w:eastAsia="zh-CN"/>
              </w:rPr>
              <w:t>、</w:t>
            </w:r>
            <w:r>
              <w:rPr>
                <w:rFonts w:ascii="Calibri" w:hAnsi="Calibri" w:hint="eastAsia"/>
                <w:color w:val="000000"/>
                <w:sz w:val="20"/>
                <w:lang w:eastAsia="zh-CN"/>
              </w:rPr>
              <w:t>WTIS</w:t>
            </w:r>
            <w:r>
              <w:rPr>
                <w:rFonts w:ascii="Calibri" w:hAnsi="Calibri" w:hint="eastAsia"/>
                <w:color w:val="000000"/>
                <w:sz w:val="20"/>
                <w:lang w:eastAsia="zh-CN"/>
              </w:rPr>
              <w:t>、</w:t>
            </w:r>
            <w:r>
              <w:rPr>
                <w:rFonts w:ascii="Calibri" w:hAnsi="Calibri" w:hint="eastAsia"/>
                <w:color w:val="000000"/>
                <w:sz w:val="20"/>
                <w:lang w:eastAsia="zh-CN"/>
              </w:rPr>
              <w:t>EGTI</w:t>
            </w:r>
            <w:r>
              <w:rPr>
                <w:rFonts w:ascii="Calibri" w:hAnsi="Calibri" w:hint="eastAsia"/>
                <w:color w:val="000000"/>
                <w:sz w:val="20"/>
                <w:lang w:eastAsia="zh-CN"/>
              </w:rPr>
              <w:t>、</w:t>
            </w:r>
            <w:r>
              <w:rPr>
                <w:rFonts w:ascii="Calibri" w:hAnsi="Calibri" w:hint="eastAsia"/>
                <w:color w:val="000000"/>
                <w:sz w:val="20"/>
                <w:lang w:eastAsia="zh-CN"/>
              </w:rPr>
              <w:t>GIICT</w:t>
            </w:r>
            <w:r>
              <w:rPr>
                <w:rFonts w:ascii="Calibri" w:hAnsi="Calibri" w:hint="eastAsia"/>
                <w:color w:val="000000"/>
                <w:sz w:val="20"/>
                <w:lang w:eastAsia="zh-CN"/>
              </w:rPr>
              <w:t>和</w:t>
            </w:r>
            <w:r>
              <w:rPr>
                <w:rFonts w:ascii="Calibri" w:hAnsi="Calibri" w:hint="eastAsia"/>
                <w:color w:val="000000"/>
                <w:sz w:val="20"/>
                <w:lang w:eastAsia="zh-CN"/>
              </w:rPr>
              <w:t>GYF</w:t>
            </w:r>
            <w:r>
              <w:rPr>
                <w:rFonts w:ascii="Calibri" w:hAnsi="Calibri" w:hint="eastAsia"/>
                <w:color w:val="000000"/>
                <w:sz w:val="20"/>
                <w:lang w:eastAsia="zh-CN"/>
              </w:rPr>
              <w:t>等）</w:t>
            </w:r>
            <w:r>
              <w:rPr>
                <w:rFonts w:ascii="Calibri" w:hAnsi="Calibri" w:hint="eastAsia"/>
                <w:color w:val="000000"/>
                <w:sz w:val="20"/>
                <w:lang w:eastAsia="zh-CN"/>
              </w:rPr>
              <w:t xml:space="preserve"> </w:t>
            </w:r>
          </w:p>
        </w:tc>
      </w:tr>
      <w:tr w:rsidR="00521A20" w14:paraId="5D434BB6" w14:textId="77777777">
        <w:tc>
          <w:tcPr>
            <w:tcW w:w="1373" w:type="pct"/>
            <w:vMerge/>
            <w:tcBorders>
              <w:left w:val="nil"/>
              <w:right w:val="nil"/>
            </w:tcBorders>
            <w:shd w:val="clear" w:color="44B3E1" w:fill="44B3E1"/>
            <w:noWrap/>
          </w:tcPr>
          <w:p w14:paraId="23D56EEA"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4E0CD48F" w14:textId="77777777" w:rsidR="00521A20" w:rsidRDefault="00BB475A">
            <w:pPr>
              <w:overflowPunct/>
              <w:autoSpaceDE/>
              <w:autoSpaceDN/>
              <w:adjustRightInd/>
              <w:spacing w:before="0"/>
              <w:textAlignment w:val="auto"/>
              <w:rPr>
                <w:rFonts w:ascii="Calibri" w:hAnsi="Calibri" w:cs="Calibri"/>
                <w:color w:val="000000"/>
                <w:sz w:val="20"/>
              </w:rPr>
            </w:pPr>
            <w:proofErr w:type="spellStart"/>
            <w:r>
              <w:rPr>
                <w:rFonts w:ascii="Calibri" w:hAnsi="Calibri" w:hint="eastAsia"/>
                <w:color w:val="000000"/>
                <w:sz w:val="20"/>
              </w:rPr>
              <w:t>签署的伙伴关系数量</w:t>
            </w:r>
            <w:proofErr w:type="spellEnd"/>
          </w:p>
        </w:tc>
      </w:tr>
      <w:tr w:rsidR="00521A20" w14:paraId="27E53658" w14:textId="77777777">
        <w:tc>
          <w:tcPr>
            <w:tcW w:w="1373" w:type="pct"/>
            <w:vMerge/>
            <w:tcBorders>
              <w:left w:val="nil"/>
              <w:right w:val="nil"/>
            </w:tcBorders>
            <w:shd w:val="clear" w:color="44B3E1" w:fill="44B3E1"/>
            <w:noWrap/>
          </w:tcPr>
          <w:p w14:paraId="79BC762E" w14:textId="77777777" w:rsidR="00521A20" w:rsidRDefault="00521A20">
            <w:pPr>
              <w:overflowPunct/>
              <w:autoSpaceDE/>
              <w:autoSpaceDN/>
              <w:adjustRightInd/>
              <w:spacing w:before="0"/>
              <w:textAlignment w:val="auto"/>
              <w:rPr>
                <w:rFonts w:ascii="Calibri" w:hAnsi="Calibri" w:cs="Calibri"/>
                <w:color w:val="000000"/>
                <w:sz w:val="20"/>
                <w:lang w:eastAsia="en-GB"/>
              </w:rPr>
            </w:pPr>
          </w:p>
        </w:tc>
        <w:tc>
          <w:tcPr>
            <w:tcW w:w="3627" w:type="pct"/>
            <w:tcBorders>
              <w:top w:val="single" w:sz="4" w:space="0" w:color="C0E6F5"/>
              <w:left w:val="nil"/>
              <w:bottom w:val="single" w:sz="4" w:space="0" w:color="C0E6F5"/>
              <w:right w:val="nil"/>
            </w:tcBorders>
            <w:noWrap/>
          </w:tcPr>
          <w:p w14:paraId="4E0EC696"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项目资金的内部</w:t>
            </w:r>
            <w:r>
              <w:rPr>
                <w:rFonts w:ascii="Calibri" w:hAnsi="Calibri" w:hint="eastAsia"/>
                <w:color w:val="000000"/>
                <w:sz w:val="20"/>
                <w:lang w:eastAsia="zh-CN"/>
              </w:rPr>
              <w:t>/</w:t>
            </w:r>
            <w:r>
              <w:rPr>
                <w:rFonts w:ascii="Calibri" w:hAnsi="Calibri" w:hint="eastAsia"/>
                <w:color w:val="000000"/>
                <w:sz w:val="20"/>
                <w:lang w:eastAsia="zh-CN"/>
              </w:rPr>
              <w:t>外部来源比例</w:t>
            </w:r>
          </w:p>
        </w:tc>
      </w:tr>
      <w:tr w:rsidR="00521A20" w14:paraId="51D6CED1" w14:textId="77777777">
        <w:tc>
          <w:tcPr>
            <w:tcW w:w="1373" w:type="pct"/>
            <w:vMerge/>
            <w:tcBorders>
              <w:left w:val="nil"/>
              <w:right w:val="nil"/>
            </w:tcBorders>
            <w:shd w:val="clear" w:color="44B3E1" w:fill="44B3E1"/>
            <w:noWrap/>
          </w:tcPr>
          <w:p w14:paraId="1F629D3F"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2537341C"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为</w:t>
            </w:r>
            <w:r>
              <w:rPr>
                <w:rFonts w:ascii="Calibri" w:hAnsi="Calibri" w:hint="eastAsia"/>
                <w:color w:val="000000"/>
                <w:sz w:val="20"/>
                <w:lang w:eastAsia="zh-CN"/>
              </w:rPr>
              <w:t>ITU-D</w:t>
            </w:r>
            <w:r>
              <w:rPr>
                <w:rFonts w:ascii="Calibri" w:hAnsi="Calibri" w:hint="eastAsia"/>
                <w:color w:val="000000"/>
                <w:sz w:val="20"/>
                <w:lang w:eastAsia="zh-CN"/>
              </w:rPr>
              <w:t>项目做出贡献的合作伙伴总数</w:t>
            </w:r>
          </w:p>
        </w:tc>
      </w:tr>
      <w:tr w:rsidR="00521A20" w14:paraId="1C4C79D6" w14:textId="77777777">
        <w:tc>
          <w:tcPr>
            <w:tcW w:w="1373" w:type="pct"/>
            <w:vMerge/>
            <w:tcBorders>
              <w:left w:val="nil"/>
              <w:bottom w:val="single" w:sz="4" w:space="0" w:color="C0E6F5"/>
              <w:right w:val="nil"/>
            </w:tcBorders>
            <w:shd w:val="clear" w:color="44B3E1" w:fill="44B3E1"/>
            <w:noWrap/>
          </w:tcPr>
          <w:p w14:paraId="38C90E0E" w14:textId="77777777" w:rsidR="00521A20" w:rsidRDefault="00521A20">
            <w:pPr>
              <w:overflowPunct/>
              <w:autoSpaceDE/>
              <w:autoSpaceDN/>
              <w:adjustRightInd/>
              <w:spacing w:before="0"/>
              <w:textAlignment w:val="auto"/>
              <w:rPr>
                <w:rFonts w:ascii="Calibri" w:hAnsi="Calibri" w:cs="Calibri"/>
                <w:color w:val="000000"/>
                <w:sz w:val="20"/>
                <w:lang w:eastAsia="zh-CN"/>
              </w:rPr>
            </w:pPr>
          </w:p>
        </w:tc>
        <w:tc>
          <w:tcPr>
            <w:tcW w:w="3627" w:type="pct"/>
            <w:tcBorders>
              <w:top w:val="single" w:sz="4" w:space="0" w:color="C0E6F5"/>
              <w:left w:val="nil"/>
              <w:bottom w:val="single" w:sz="4" w:space="0" w:color="C0E6F5"/>
              <w:right w:val="nil"/>
            </w:tcBorders>
            <w:noWrap/>
          </w:tcPr>
          <w:p w14:paraId="142CF8AB" w14:textId="77777777" w:rsidR="00521A20" w:rsidRDefault="00BB475A">
            <w:pPr>
              <w:overflowPunct/>
              <w:autoSpaceDE/>
              <w:autoSpaceDN/>
              <w:adjustRightInd/>
              <w:spacing w:before="0"/>
              <w:textAlignment w:val="auto"/>
              <w:rPr>
                <w:rFonts w:ascii="Calibri" w:hAnsi="Calibri" w:cs="Calibri"/>
                <w:color w:val="000000"/>
                <w:sz w:val="20"/>
                <w:lang w:eastAsia="zh-CN"/>
              </w:rPr>
            </w:pPr>
            <w:r>
              <w:rPr>
                <w:rFonts w:ascii="Calibri" w:hAnsi="Calibri" w:hint="eastAsia"/>
                <w:color w:val="000000"/>
                <w:sz w:val="20"/>
                <w:lang w:eastAsia="zh-CN"/>
              </w:rPr>
              <w:t>电信发展局筹集的项目资金合计</w:t>
            </w:r>
          </w:p>
        </w:tc>
      </w:tr>
    </w:tbl>
    <w:p w14:paraId="5DE8D493" w14:textId="77777777" w:rsidR="00521A20" w:rsidRDefault="00BB475A">
      <w:pPr>
        <w:pStyle w:val="Heading1"/>
        <w:rPr>
          <w:rFonts w:eastAsia="Calibri"/>
          <w:szCs w:val="24"/>
          <w:lang w:eastAsia="zh-CN"/>
        </w:rPr>
      </w:pPr>
      <w:r>
        <w:rPr>
          <w:rFonts w:eastAsiaTheme="minorEastAsia" w:hint="eastAsia"/>
          <w:lang w:eastAsia="zh-CN"/>
        </w:rPr>
        <w:t>5</w:t>
      </w:r>
      <w:r>
        <w:rPr>
          <w:rFonts w:eastAsiaTheme="minorEastAsia"/>
          <w:lang w:eastAsia="zh-CN"/>
        </w:rPr>
        <w:tab/>
      </w:r>
      <w:r>
        <w:rPr>
          <w:rFonts w:hint="eastAsia"/>
          <w:lang w:eastAsia="zh-CN"/>
        </w:rPr>
        <w:t>推动因素：组织卓越性</w:t>
      </w:r>
    </w:p>
    <w:p w14:paraId="482FF37A" w14:textId="77777777" w:rsidR="00521A20" w:rsidRDefault="00BB475A">
      <w:pPr>
        <w:ind w:firstLineChars="200" w:firstLine="480"/>
        <w:rPr>
          <w:lang w:eastAsia="zh-CN"/>
        </w:rPr>
      </w:pPr>
      <w:r>
        <w:rPr>
          <w:rFonts w:hint="eastAsia"/>
          <w:lang w:eastAsia="zh-CN"/>
        </w:rPr>
        <w:t>WTDC-25</w:t>
      </w:r>
      <w:proofErr w:type="gramStart"/>
      <w:r>
        <w:rPr>
          <w:rFonts w:hint="eastAsia"/>
          <w:lang w:eastAsia="zh-CN"/>
        </w:rPr>
        <w:t>将“组织卓越性”确立为促进落实并支持实现</w:t>
      </w:r>
      <w:proofErr w:type="gramEnd"/>
      <w:r>
        <w:rPr>
          <w:rFonts w:hint="eastAsia"/>
          <w:lang w:eastAsia="zh-CN"/>
        </w:rPr>
        <w:t>ITU-D</w:t>
      </w:r>
      <w:r>
        <w:rPr>
          <w:rFonts w:hint="eastAsia"/>
          <w:lang w:eastAsia="zh-CN"/>
        </w:rPr>
        <w:t>重点工作成果的推动机制。该机制侧重于优化并提升运营效率与效能，使电信发展局能够对电信</w:t>
      </w:r>
      <w:r>
        <w:rPr>
          <w:rFonts w:hint="eastAsia"/>
          <w:lang w:eastAsia="zh-CN"/>
        </w:rPr>
        <w:t>/ICT</w:t>
      </w:r>
      <w:r>
        <w:rPr>
          <w:rFonts w:hint="eastAsia"/>
          <w:lang w:eastAsia="zh-CN"/>
        </w:rPr>
        <w:t>领域的变革作出快速响应，并更好地满足各国和成员的需求。这涉及通过文化与技能转型计划，强化内部流程、加速决策、促进跨职能协作、鼓励创新，并提升绩效与人才管理。关键领域包括：</w:t>
      </w:r>
    </w:p>
    <w:p w14:paraId="729C749F" w14:textId="77777777" w:rsidR="00521A20" w:rsidRDefault="00BB475A">
      <w:pPr>
        <w:pStyle w:val="enumlev1"/>
        <w:rPr>
          <w:lang w:eastAsia="zh-CN"/>
        </w:rPr>
      </w:pPr>
      <w:r>
        <w:rPr>
          <w:rFonts w:ascii="Calibri" w:hAnsi="Calibri"/>
          <w:lang w:eastAsia="zh-CN"/>
        </w:rPr>
        <w:t>–</w:t>
      </w:r>
      <w:r>
        <w:rPr>
          <w:rFonts w:ascii="Calibri" w:hAnsi="Calibri"/>
          <w:lang w:eastAsia="zh-CN"/>
        </w:rPr>
        <w:tab/>
      </w:r>
      <w:r>
        <w:rPr>
          <w:rFonts w:hint="eastAsia"/>
          <w:b/>
          <w:bCs/>
          <w:lang w:eastAsia="zh-CN"/>
        </w:rPr>
        <w:t>成员驱动的方法：</w:t>
      </w:r>
      <w:r>
        <w:rPr>
          <w:rFonts w:hint="eastAsia"/>
          <w:lang w:eastAsia="zh-CN"/>
        </w:rPr>
        <w:t>优先考虑所有成员的需求，特别是发展中国家的需求，并加强与业界及新成员的互动。</w:t>
      </w:r>
    </w:p>
    <w:p w14:paraId="7732E7C7" w14:textId="77777777" w:rsidR="00521A20" w:rsidRDefault="00BB475A">
      <w:pPr>
        <w:pStyle w:val="enumlev1"/>
        <w:rPr>
          <w:lang w:eastAsia="zh-CN"/>
        </w:rPr>
      </w:pPr>
      <w:r>
        <w:rPr>
          <w:rFonts w:ascii="Calibri" w:hAnsi="Calibri"/>
          <w:lang w:eastAsia="zh-CN"/>
        </w:rPr>
        <w:t>–</w:t>
      </w:r>
      <w:r>
        <w:rPr>
          <w:rFonts w:ascii="Calibri" w:hAnsi="Calibri"/>
          <w:lang w:eastAsia="zh-CN"/>
        </w:rPr>
        <w:tab/>
      </w:r>
      <w:r>
        <w:rPr>
          <w:rFonts w:hint="eastAsia"/>
          <w:b/>
          <w:bCs/>
          <w:lang w:eastAsia="zh-CN"/>
        </w:rPr>
        <w:t>区域代表处：</w:t>
      </w:r>
      <w:r>
        <w:rPr>
          <w:rFonts w:hint="eastAsia"/>
          <w:lang w:eastAsia="zh-CN"/>
        </w:rPr>
        <w:t>赋予区域代表处和地区办事处更大权限，以加强地方响应、方案实施、伙伴关系，以及进展、资源使用和影响方面的报告工作。</w:t>
      </w:r>
    </w:p>
    <w:p w14:paraId="76F2AC69" w14:textId="77777777" w:rsidR="00521A20" w:rsidRDefault="00BB475A">
      <w:pPr>
        <w:pStyle w:val="enumlev1"/>
        <w:rPr>
          <w:lang w:eastAsia="zh-CN"/>
        </w:rPr>
      </w:pPr>
      <w:r>
        <w:rPr>
          <w:rFonts w:ascii="Calibri" w:hAnsi="Calibri"/>
          <w:lang w:eastAsia="zh-CN"/>
        </w:rPr>
        <w:t>–</w:t>
      </w:r>
      <w:r>
        <w:rPr>
          <w:rFonts w:ascii="Calibri" w:hAnsi="Calibri"/>
          <w:lang w:eastAsia="zh-CN"/>
        </w:rPr>
        <w:tab/>
      </w:r>
      <w:r>
        <w:rPr>
          <w:rFonts w:hint="eastAsia"/>
          <w:b/>
          <w:bCs/>
          <w:lang w:eastAsia="zh-CN"/>
        </w:rPr>
        <w:t>项目管理：</w:t>
      </w:r>
      <w:r>
        <w:rPr>
          <w:rFonts w:hint="eastAsia"/>
          <w:lang w:eastAsia="zh-CN"/>
        </w:rPr>
        <w:t>提升能力、工具和做法，确保发展项目以高效和负责的方式进行规划、执行、监测并及时完成。</w:t>
      </w:r>
    </w:p>
    <w:p w14:paraId="56CD205E" w14:textId="77777777" w:rsidR="00521A20" w:rsidRDefault="00BB475A">
      <w:pPr>
        <w:pStyle w:val="enumlev1"/>
        <w:rPr>
          <w:lang w:eastAsia="zh-CN"/>
        </w:rPr>
      </w:pPr>
      <w:r>
        <w:rPr>
          <w:rFonts w:ascii="Calibri" w:hAnsi="Calibri"/>
          <w:lang w:eastAsia="zh-CN"/>
        </w:rPr>
        <w:t>–</w:t>
      </w:r>
      <w:r>
        <w:rPr>
          <w:rFonts w:ascii="Calibri" w:hAnsi="Calibri"/>
          <w:lang w:eastAsia="zh-CN"/>
        </w:rPr>
        <w:tab/>
      </w:r>
      <w:r>
        <w:rPr>
          <w:rFonts w:hint="eastAsia"/>
          <w:b/>
          <w:bCs/>
          <w:lang w:eastAsia="zh-CN"/>
        </w:rPr>
        <w:t>支持性服务：</w:t>
      </w:r>
      <w:r>
        <w:rPr>
          <w:rFonts w:hint="eastAsia"/>
          <w:lang w:eastAsia="zh-CN"/>
        </w:rPr>
        <w:t>加强行政和运作职能，如通信、与会补贴、活动支持、文件处理、绩效监督、人力资源、预算支持，以及国际电联各部门间的协调。</w:t>
      </w:r>
    </w:p>
    <w:p w14:paraId="165FA977" w14:textId="77777777" w:rsidR="00521A20" w:rsidRDefault="00BB475A">
      <w:pPr>
        <w:ind w:firstLineChars="200" w:firstLine="480"/>
        <w:rPr>
          <w:lang w:eastAsia="zh-CN"/>
        </w:rPr>
      </w:pPr>
      <w:r>
        <w:rPr>
          <w:rFonts w:hint="eastAsia"/>
          <w:lang w:eastAsia="zh-CN"/>
        </w:rPr>
        <w:t>已为上述领域分配专项资金，以确保</w:t>
      </w:r>
      <w:r>
        <w:rPr>
          <w:rFonts w:hint="eastAsia"/>
          <w:lang w:eastAsia="zh-CN"/>
        </w:rPr>
        <w:t>ITU-D</w:t>
      </w:r>
      <w:r>
        <w:rPr>
          <w:rFonts w:hint="eastAsia"/>
          <w:lang w:eastAsia="zh-CN"/>
        </w:rPr>
        <w:t>各项计划和战略成果的有效交付。</w:t>
      </w:r>
    </w:p>
    <w:tbl>
      <w:tblPr>
        <w:tblW w:w="8844" w:type="dxa"/>
        <w:jc w:val="center"/>
        <w:tblLook w:val="04A0" w:firstRow="1" w:lastRow="0" w:firstColumn="1" w:lastColumn="0" w:noHBand="0" w:noVBand="1"/>
      </w:tblPr>
      <w:tblGrid>
        <w:gridCol w:w="2562"/>
        <w:gridCol w:w="1369"/>
        <w:gridCol w:w="2710"/>
        <w:gridCol w:w="2203"/>
      </w:tblGrid>
      <w:tr w:rsidR="00521A20" w14:paraId="729F544E" w14:textId="77777777">
        <w:trPr>
          <w:trHeight w:val="304"/>
          <w:jc w:val="center"/>
        </w:trPr>
        <w:tc>
          <w:tcPr>
            <w:tcW w:w="2562" w:type="dxa"/>
            <w:tcBorders>
              <w:top w:val="single" w:sz="4" w:space="0" w:color="44B3E1"/>
              <w:left w:val="single" w:sz="4" w:space="0" w:color="44B3E1"/>
              <w:bottom w:val="single" w:sz="4" w:space="0" w:color="44B3E1"/>
              <w:right w:val="nil"/>
            </w:tcBorders>
            <w:shd w:val="clear" w:color="156082" w:fill="156082"/>
          </w:tcPr>
          <w:p w14:paraId="6EF5029C" w14:textId="77777777" w:rsidR="00521A20" w:rsidRDefault="00BB475A">
            <w:pPr>
              <w:keepNext/>
              <w:overflowPunct/>
              <w:autoSpaceDE/>
              <w:autoSpaceDN/>
              <w:adjustRightInd/>
              <w:spacing w:before="0"/>
              <w:jc w:val="center"/>
              <w:textAlignment w:val="auto"/>
              <w:rPr>
                <w:rFonts w:ascii="Calibri" w:hAnsi="Calibri" w:cs="Calibri"/>
                <w:b/>
                <w:bCs/>
                <w:color w:val="FFFFFF"/>
                <w:sz w:val="20"/>
              </w:rPr>
            </w:pPr>
            <w:proofErr w:type="spellStart"/>
            <w:r>
              <w:rPr>
                <w:rFonts w:ascii="Calibri" w:hAnsi="Calibri" w:hint="eastAsia"/>
                <w:b/>
                <w:color w:val="FFFFFF"/>
                <w:sz w:val="20"/>
              </w:rPr>
              <w:t>推动因素</w:t>
            </w:r>
            <w:proofErr w:type="spellEnd"/>
            <w:r>
              <w:rPr>
                <w:rFonts w:ascii="Calibri" w:hAnsi="Calibri" w:hint="eastAsia"/>
                <w:b/>
                <w:color w:val="FFFFFF"/>
                <w:sz w:val="20"/>
              </w:rPr>
              <w:t xml:space="preserve"> </w:t>
            </w:r>
          </w:p>
        </w:tc>
        <w:tc>
          <w:tcPr>
            <w:tcW w:w="1369" w:type="dxa"/>
            <w:tcBorders>
              <w:top w:val="single" w:sz="4" w:space="0" w:color="44B3E1"/>
              <w:left w:val="nil"/>
              <w:bottom w:val="single" w:sz="4" w:space="0" w:color="44B3E1"/>
              <w:right w:val="nil"/>
            </w:tcBorders>
            <w:shd w:val="clear" w:color="156082" w:fill="156082"/>
            <w:noWrap/>
          </w:tcPr>
          <w:p w14:paraId="48720658" w14:textId="77777777" w:rsidR="00521A20" w:rsidRDefault="00BB475A">
            <w:pPr>
              <w:keepNext/>
              <w:overflowPunct/>
              <w:autoSpaceDE/>
              <w:autoSpaceDN/>
              <w:adjustRightInd/>
              <w:spacing w:before="0"/>
              <w:jc w:val="center"/>
              <w:textAlignment w:val="auto"/>
              <w:rPr>
                <w:rFonts w:ascii="Calibri" w:hAnsi="Calibri" w:cs="Calibri"/>
                <w:b/>
                <w:bCs/>
                <w:color w:val="FFFFFF"/>
                <w:sz w:val="20"/>
              </w:rPr>
            </w:pPr>
            <w:r>
              <w:rPr>
                <w:rFonts w:ascii="Calibri" w:hAnsi="Calibri" w:hint="eastAsia"/>
                <w:b/>
                <w:color w:val="FFFFFF"/>
                <w:sz w:val="20"/>
              </w:rPr>
              <w:t>2026</w:t>
            </w:r>
            <w:proofErr w:type="spellStart"/>
            <w:r>
              <w:rPr>
                <w:rFonts w:ascii="Calibri" w:hAnsi="Calibri" w:hint="eastAsia"/>
                <w:b/>
                <w:color w:val="FFFFFF"/>
                <w:sz w:val="20"/>
              </w:rPr>
              <w:t>年预算（瑞郎</w:t>
            </w:r>
            <w:proofErr w:type="spellEnd"/>
            <w:r>
              <w:rPr>
                <w:rFonts w:ascii="Calibri" w:hAnsi="Calibri" w:hint="eastAsia"/>
                <w:b/>
                <w:color w:val="FFFFFF"/>
                <w:sz w:val="20"/>
              </w:rPr>
              <w:t>）</w:t>
            </w:r>
          </w:p>
        </w:tc>
        <w:tc>
          <w:tcPr>
            <w:tcW w:w="2710" w:type="dxa"/>
            <w:tcBorders>
              <w:top w:val="single" w:sz="4" w:space="0" w:color="44B3E1"/>
              <w:left w:val="nil"/>
              <w:bottom w:val="single" w:sz="4" w:space="0" w:color="44B3E1"/>
              <w:right w:val="nil"/>
            </w:tcBorders>
            <w:shd w:val="clear" w:color="156082" w:fill="156082"/>
            <w:noWrap/>
          </w:tcPr>
          <w:p w14:paraId="596A388E" w14:textId="0A0DD4EE" w:rsidR="00521A20" w:rsidRDefault="00BB475A">
            <w:pPr>
              <w:keepNext/>
              <w:overflowPunct/>
              <w:autoSpaceDE/>
              <w:autoSpaceDN/>
              <w:adjustRightInd/>
              <w:spacing w:before="0"/>
              <w:jc w:val="center"/>
              <w:textAlignment w:val="auto"/>
              <w:rPr>
                <w:rFonts w:ascii="Calibri" w:hAnsi="Calibri" w:cs="Calibri"/>
                <w:b/>
                <w:bCs/>
                <w:color w:val="FFFFFF"/>
                <w:sz w:val="20"/>
                <w:lang w:eastAsia="zh-CN"/>
              </w:rPr>
            </w:pPr>
            <w:r>
              <w:rPr>
                <w:rFonts w:ascii="Calibri" w:hAnsi="Calibri" w:hint="eastAsia"/>
                <w:b/>
                <w:color w:val="FFFFFF"/>
                <w:sz w:val="20"/>
                <w:lang w:eastAsia="zh-CN"/>
              </w:rPr>
              <w:t>占重点工作</w:t>
            </w:r>
            <w:r w:rsidR="006931BA">
              <w:rPr>
                <w:rFonts w:ascii="Calibri" w:hAnsi="Calibri" w:hint="eastAsia"/>
                <w:b/>
                <w:color w:val="FFFFFF"/>
                <w:sz w:val="20"/>
                <w:lang w:eastAsia="zh-CN"/>
              </w:rPr>
              <w:t>/</w:t>
            </w:r>
            <w:r>
              <w:rPr>
                <w:rFonts w:ascii="Calibri" w:hAnsi="Calibri" w:hint="eastAsia"/>
                <w:b/>
                <w:color w:val="FFFFFF"/>
                <w:sz w:val="20"/>
                <w:lang w:eastAsia="zh-CN"/>
              </w:rPr>
              <w:t>推动因素总数的百分比</w:t>
            </w:r>
          </w:p>
        </w:tc>
        <w:tc>
          <w:tcPr>
            <w:tcW w:w="2203" w:type="dxa"/>
            <w:tcBorders>
              <w:top w:val="single" w:sz="4" w:space="0" w:color="44B3E1"/>
              <w:left w:val="nil"/>
              <w:bottom w:val="single" w:sz="4" w:space="0" w:color="44B3E1"/>
              <w:right w:val="single" w:sz="4" w:space="0" w:color="44B3E1"/>
            </w:tcBorders>
            <w:shd w:val="clear" w:color="156082" w:fill="156082"/>
            <w:noWrap/>
          </w:tcPr>
          <w:p w14:paraId="5B089094" w14:textId="0069B68D" w:rsidR="00521A20" w:rsidRDefault="00BB475A">
            <w:pPr>
              <w:keepNext/>
              <w:overflowPunct/>
              <w:autoSpaceDE/>
              <w:autoSpaceDN/>
              <w:adjustRightInd/>
              <w:spacing w:before="0"/>
              <w:jc w:val="center"/>
              <w:textAlignment w:val="auto"/>
              <w:rPr>
                <w:rFonts w:ascii="Calibri" w:hAnsi="Calibri" w:cs="Calibri"/>
                <w:b/>
                <w:bCs/>
                <w:color w:val="FFFFFF"/>
                <w:sz w:val="20"/>
              </w:rPr>
            </w:pPr>
            <w:proofErr w:type="spellStart"/>
            <w:r>
              <w:rPr>
                <w:rFonts w:ascii="Calibri" w:hAnsi="Calibri" w:hint="eastAsia"/>
                <w:b/>
                <w:color w:val="FFFFFF"/>
                <w:sz w:val="20"/>
              </w:rPr>
              <w:t>占总</w:t>
            </w:r>
            <w:proofErr w:type="spellEnd"/>
            <w:r>
              <w:rPr>
                <w:rFonts w:ascii="Calibri" w:hAnsi="Calibri" w:hint="eastAsia"/>
                <w:b/>
                <w:color w:val="FFFFFF"/>
                <w:sz w:val="20"/>
                <w:lang w:val="en-US" w:eastAsia="zh-CN"/>
              </w:rPr>
              <w:t>额</w:t>
            </w:r>
            <w:proofErr w:type="spellStart"/>
            <w:r>
              <w:rPr>
                <w:rFonts w:ascii="Calibri" w:hAnsi="Calibri" w:hint="eastAsia"/>
                <w:b/>
                <w:color w:val="FFFFFF"/>
                <w:sz w:val="20"/>
              </w:rPr>
              <w:t>的百分比</w:t>
            </w:r>
            <w:proofErr w:type="spellEnd"/>
          </w:p>
        </w:tc>
      </w:tr>
      <w:tr w:rsidR="00521A20" w14:paraId="7A950418" w14:textId="77777777">
        <w:trPr>
          <w:trHeight w:val="304"/>
          <w:jc w:val="center"/>
        </w:trPr>
        <w:tc>
          <w:tcPr>
            <w:tcW w:w="2562" w:type="dxa"/>
            <w:tcBorders>
              <w:top w:val="single" w:sz="4" w:space="0" w:color="44B3E1"/>
              <w:left w:val="single" w:sz="4" w:space="0" w:color="44B3E1"/>
              <w:bottom w:val="single" w:sz="4" w:space="0" w:color="44B3E1"/>
              <w:right w:val="nil"/>
            </w:tcBorders>
            <w:shd w:val="clear" w:color="C0E6F5" w:fill="C0E6F5"/>
          </w:tcPr>
          <w:p w14:paraId="65722CAB" w14:textId="77777777" w:rsidR="00521A20" w:rsidRDefault="00BB475A">
            <w:pPr>
              <w:keepNext/>
              <w:overflowPunct/>
              <w:autoSpaceDE/>
              <w:autoSpaceDN/>
              <w:adjustRightInd/>
              <w:spacing w:before="0"/>
              <w:textAlignment w:val="auto"/>
              <w:rPr>
                <w:rFonts w:ascii="Calibri" w:hAnsi="Calibri" w:cs="Calibri"/>
                <w:b/>
                <w:bCs/>
                <w:color w:val="000000"/>
                <w:sz w:val="20"/>
              </w:rPr>
            </w:pPr>
            <w:proofErr w:type="spellStart"/>
            <w:r>
              <w:rPr>
                <w:rFonts w:ascii="Calibri" w:hAnsi="Calibri" w:hint="eastAsia"/>
                <w:b/>
                <w:color w:val="000000"/>
                <w:sz w:val="20"/>
              </w:rPr>
              <w:t>组织卓越性</w:t>
            </w:r>
            <w:proofErr w:type="spellEnd"/>
          </w:p>
        </w:tc>
        <w:tc>
          <w:tcPr>
            <w:tcW w:w="1369" w:type="dxa"/>
            <w:tcBorders>
              <w:top w:val="single" w:sz="4" w:space="0" w:color="44B3E1"/>
              <w:left w:val="nil"/>
              <w:bottom w:val="single" w:sz="4" w:space="0" w:color="44B3E1"/>
              <w:right w:val="nil"/>
            </w:tcBorders>
            <w:shd w:val="clear" w:color="C0E6F5" w:fill="C0E6F5"/>
            <w:noWrap/>
          </w:tcPr>
          <w:p w14:paraId="68289188" w14:textId="213F719F" w:rsidR="00521A20" w:rsidRDefault="00BB475A">
            <w:pPr>
              <w:keepNext/>
              <w:overflowPunct/>
              <w:autoSpaceDE/>
              <w:autoSpaceDN/>
              <w:adjustRightInd/>
              <w:spacing w:before="0"/>
              <w:jc w:val="right"/>
              <w:textAlignment w:val="auto"/>
              <w:rPr>
                <w:rFonts w:ascii="Aptos Narrow" w:hAnsi="Aptos Narrow"/>
                <w:b/>
                <w:bCs/>
                <w:color w:val="000000"/>
                <w:sz w:val="20"/>
              </w:rPr>
            </w:pPr>
            <w:r>
              <w:rPr>
                <w:rFonts w:ascii="Aptos Narrow" w:hAnsi="Aptos Narrow" w:hint="eastAsia"/>
                <w:b/>
                <w:color w:val="000000"/>
                <w:sz w:val="20"/>
                <w:lang w:val="en-US" w:eastAsia="zh-CN"/>
              </w:rPr>
              <w:t>580</w:t>
            </w:r>
            <w:r>
              <w:rPr>
                <w:rFonts w:ascii="Aptos Narrow" w:hAnsi="Aptos Narrow" w:hint="eastAsia"/>
                <w:b/>
                <w:color w:val="000000"/>
                <w:sz w:val="20"/>
              </w:rPr>
              <w:t>,</w:t>
            </w:r>
            <w:r>
              <w:rPr>
                <w:rFonts w:ascii="Aptos Narrow" w:hAnsi="Aptos Narrow" w:hint="eastAsia"/>
                <w:b/>
                <w:color w:val="000000"/>
                <w:sz w:val="20"/>
                <w:lang w:val="en-US" w:eastAsia="zh-CN"/>
              </w:rPr>
              <w:t>6</w:t>
            </w:r>
            <w:r>
              <w:rPr>
                <w:rFonts w:ascii="Aptos Narrow" w:hAnsi="Aptos Narrow" w:hint="eastAsia"/>
                <w:b/>
                <w:color w:val="000000"/>
                <w:sz w:val="20"/>
              </w:rPr>
              <w:t>15</w:t>
            </w:r>
          </w:p>
        </w:tc>
        <w:tc>
          <w:tcPr>
            <w:tcW w:w="2710" w:type="dxa"/>
            <w:tcBorders>
              <w:top w:val="single" w:sz="4" w:space="0" w:color="44B3E1"/>
              <w:left w:val="nil"/>
              <w:bottom w:val="single" w:sz="4" w:space="0" w:color="44B3E1"/>
              <w:right w:val="nil"/>
            </w:tcBorders>
            <w:shd w:val="clear" w:color="C0E6F5" w:fill="C0E6F5"/>
            <w:noWrap/>
          </w:tcPr>
          <w:p w14:paraId="77640072" w14:textId="77777777" w:rsidR="00521A20" w:rsidRDefault="00521A20">
            <w:pPr>
              <w:keepNext/>
              <w:overflowPunct/>
              <w:autoSpaceDE/>
              <w:autoSpaceDN/>
              <w:adjustRightInd/>
              <w:spacing w:before="0"/>
              <w:jc w:val="right"/>
              <w:textAlignment w:val="auto"/>
              <w:rPr>
                <w:rFonts w:ascii="Aptos Narrow" w:hAnsi="Aptos Narrow"/>
                <w:b/>
                <w:bCs/>
                <w:color w:val="000000"/>
                <w:sz w:val="20"/>
                <w:lang w:eastAsia="en-GB"/>
              </w:rPr>
            </w:pPr>
          </w:p>
        </w:tc>
        <w:tc>
          <w:tcPr>
            <w:tcW w:w="2203" w:type="dxa"/>
            <w:tcBorders>
              <w:top w:val="single" w:sz="4" w:space="0" w:color="44B3E1"/>
              <w:left w:val="nil"/>
              <w:bottom w:val="single" w:sz="4" w:space="0" w:color="44B3E1"/>
              <w:right w:val="single" w:sz="4" w:space="0" w:color="44B3E1"/>
            </w:tcBorders>
            <w:shd w:val="clear" w:color="C0E6F5" w:fill="C0E6F5"/>
            <w:noWrap/>
          </w:tcPr>
          <w:p w14:paraId="527200C9" w14:textId="19F6A254" w:rsidR="00521A20" w:rsidRDefault="00BB475A">
            <w:pPr>
              <w:keepNext/>
              <w:overflowPunct/>
              <w:autoSpaceDE/>
              <w:autoSpaceDN/>
              <w:adjustRightInd/>
              <w:spacing w:before="0"/>
              <w:jc w:val="center"/>
              <w:textAlignment w:val="auto"/>
              <w:rPr>
                <w:rFonts w:ascii="Aptos Narrow" w:hAnsi="Aptos Narrow"/>
                <w:b/>
                <w:bCs/>
                <w:color w:val="000000"/>
                <w:sz w:val="20"/>
              </w:rPr>
            </w:pPr>
            <w:r>
              <w:rPr>
                <w:rFonts w:ascii="Aptos Narrow" w:hAnsi="Aptos Narrow" w:hint="eastAsia"/>
                <w:b/>
                <w:color w:val="000000"/>
                <w:sz w:val="20"/>
                <w:lang w:val="en-US" w:eastAsia="zh-CN"/>
              </w:rPr>
              <w:t>15.23</w:t>
            </w:r>
            <w:r>
              <w:rPr>
                <w:rFonts w:ascii="Aptos Narrow" w:hAnsi="Aptos Narrow" w:hint="eastAsia"/>
                <w:b/>
                <w:color w:val="000000"/>
                <w:sz w:val="20"/>
              </w:rPr>
              <w:t>%</w:t>
            </w:r>
          </w:p>
        </w:tc>
      </w:tr>
      <w:tr w:rsidR="00521A20" w14:paraId="2D7B1CB8" w14:textId="77777777">
        <w:trPr>
          <w:trHeight w:val="304"/>
          <w:jc w:val="center"/>
        </w:trPr>
        <w:tc>
          <w:tcPr>
            <w:tcW w:w="2562" w:type="dxa"/>
            <w:tcBorders>
              <w:top w:val="single" w:sz="4" w:space="0" w:color="44B3E1"/>
              <w:left w:val="single" w:sz="4" w:space="0" w:color="44B3E1"/>
              <w:bottom w:val="single" w:sz="4" w:space="0" w:color="44B3E1"/>
              <w:right w:val="nil"/>
            </w:tcBorders>
          </w:tcPr>
          <w:p w14:paraId="41CB0E32" w14:textId="77777777" w:rsidR="00521A20" w:rsidRDefault="00BB475A">
            <w:pPr>
              <w:keepNext/>
              <w:overflowPunct/>
              <w:autoSpaceDE/>
              <w:autoSpaceDN/>
              <w:adjustRightInd/>
              <w:spacing w:before="0"/>
              <w:textAlignment w:val="auto"/>
              <w:rPr>
                <w:rFonts w:ascii="Calibri" w:hAnsi="Calibri" w:cs="Calibri"/>
                <w:color w:val="000000"/>
                <w:sz w:val="20"/>
              </w:rPr>
            </w:pPr>
            <w:proofErr w:type="spellStart"/>
            <w:r>
              <w:rPr>
                <w:rFonts w:ascii="Calibri" w:hAnsi="Calibri" w:hint="eastAsia"/>
                <w:color w:val="000000"/>
                <w:sz w:val="20"/>
              </w:rPr>
              <w:t>成员驱动</w:t>
            </w:r>
            <w:proofErr w:type="spellEnd"/>
          </w:p>
        </w:tc>
        <w:tc>
          <w:tcPr>
            <w:tcW w:w="1369" w:type="dxa"/>
            <w:tcBorders>
              <w:top w:val="single" w:sz="4" w:space="0" w:color="44B3E1"/>
              <w:left w:val="nil"/>
              <w:bottom w:val="single" w:sz="4" w:space="0" w:color="44B3E1"/>
              <w:right w:val="nil"/>
            </w:tcBorders>
            <w:noWrap/>
          </w:tcPr>
          <w:p w14:paraId="25EC6936" w14:textId="25BE2185" w:rsidR="00521A20" w:rsidRDefault="00BB475A">
            <w:pPr>
              <w:keepNext/>
              <w:overflowPunct/>
              <w:autoSpaceDE/>
              <w:autoSpaceDN/>
              <w:adjustRightInd/>
              <w:spacing w:before="0"/>
              <w:jc w:val="right"/>
              <w:textAlignment w:val="auto"/>
              <w:rPr>
                <w:rFonts w:ascii="Aptos Narrow" w:hAnsi="Aptos Narrow"/>
                <w:color w:val="000000"/>
                <w:sz w:val="20"/>
              </w:rPr>
            </w:pPr>
            <w:r>
              <w:rPr>
                <w:rFonts w:ascii="Aptos Narrow" w:hAnsi="Aptos Narrow" w:hint="eastAsia"/>
                <w:color w:val="000000"/>
                <w:sz w:val="20"/>
                <w:lang w:val="en-US" w:eastAsia="zh-CN"/>
              </w:rPr>
              <w:t>185</w:t>
            </w:r>
            <w:r>
              <w:rPr>
                <w:rFonts w:ascii="Aptos Narrow" w:hAnsi="Aptos Narrow" w:hint="eastAsia"/>
                <w:color w:val="000000"/>
                <w:sz w:val="20"/>
              </w:rPr>
              <w:t>,000</w:t>
            </w:r>
          </w:p>
        </w:tc>
        <w:tc>
          <w:tcPr>
            <w:tcW w:w="2710" w:type="dxa"/>
            <w:tcBorders>
              <w:top w:val="single" w:sz="4" w:space="0" w:color="44B3E1"/>
              <w:left w:val="nil"/>
              <w:bottom w:val="single" w:sz="4" w:space="0" w:color="44B3E1"/>
              <w:right w:val="nil"/>
            </w:tcBorders>
            <w:noWrap/>
          </w:tcPr>
          <w:p w14:paraId="798CF64F" w14:textId="0A18BD37" w:rsidR="00521A20" w:rsidRDefault="00BB475A">
            <w:pPr>
              <w:keepNext/>
              <w:overflowPunct/>
              <w:autoSpaceDE/>
              <w:autoSpaceDN/>
              <w:adjustRightInd/>
              <w:spacing w:before="0"/>
              <w:jc w:val="center"/>
              <w:textAlignment w:val="auto"/>
              <w:rPr>
                <w:rFonts w:ascii="Aptos Narrow" w:hAnsi="Aptos Narrow"/>
                <w:color w:val="000000"/>
                <w:sz w:val="20"/>
              </w:rPr>
            </w:pPr>
            <w:r>
              <w:rPr>
                <w:rFonts w:ascii="Aptos Narrow" w:hAnsi="Aptos Narrow" w:hint="eastAsia"/>
                <w:color w:val="000000"/>
                <w:sz w:val="20"/>
                <w:lang w:val="en-US" w:eastAsia="zh-CN"/>
              </w:rPr>
              <w:t>31.9</w:t>
            </w:r>
            <w:r>
              <w:rPr>
                <w:rFonts w:ascii="Aptos Narrow" w:hAnsi="Aptos Narrow" w:hint="eastAsia"/>
                <w:color w:val="000000"/>
                <w:sz w:val="20"/>
              </w:rPr>
              <w:t>%</w:t>
            </w:r>
          </w:p>
        </w:tc>
        <w:tc>
          <w:tcPr>
            <w:tcW w:w="2203" w:type="dxa"/>
            <w:tcBorders>
              <w:top w:val="single" w:sz="4" w:space="0" w:color="44B3E1"/>
              <w:left w:val="nil"/>
              <w:bottom w:val="single" w:sz="4" w:space="0" w:color="44B3E1"/>
              <w:right w:val="single" w:sz="4" w:space="0" w:color="44B3E1"/>
            </w:tcBorders>
            <w:noWrap/>
          </w:tcPr>
          <w:p w14:paraId="2FD22FA8" w14:textId="721FAEE9" w:rsidR="00521A20" w:rsidRDefault="00BB475A">
            <w:pPr>
              <w:keepNext/>
              <w:overflowPunct/>
              <w:autoSpaceDE/>
              <w:autoSpaceDN/>
              <w:adjustRightInd/>
              <w:spacing w:before="0"/>
              <w:jc w:val="center"/>
              <w:textAlignment w:val="auto"/>
              <w:rPr>
                <w:rFonts w:ascii="Aptos Narrow" w:hAnsi="Aptos Narrow"/>
                <w:color w:val="000000"/>
                <w:sz w:val="20"/>
              </w:rPr>
            </w:pPr>
            <w:r>
              <w:rPr>
                <w:rFonts w:ascii="Aptos Narrow" w:hAnsi="Aptos Narrow" w:hint="eastAsia"/>
                <w:color w:val="000000"/>
                <w:sz w:val="20"/>
                <w:lang w:val="en-US" w:eastAsia="zh-CN"/>
              </w:rPr>
              <w:t>4.9</w:t>
            </w:r>
            <w:r>
              <w:rPr>
                <w:rFonts w:ascii="Aptos Narrow" w:hAnsi="Aptos Narrow" w:hint="eastAsia"/>
                <w:color w:val="000000"/>
                <w:sz w:val="20"/>
              </w:rPr>
              <w:t>%</w:t>
            </w:r>
          </w:p>
        </w:tc>
      </w:tr>
      <w:tr w:rsidR="00521A20" w14:paraId="6AE04AD7" w14:textId="77777777">
        <w:trPr>
          <w:trHeight w:val="304"/>
          <w:jc w:val="center"/>
        </w:trPr>
        <w:tc>
          <w:tcPr>
            <w:tcW w:w="2562" w:type="dxa"/>
            <w:tcBorders>
              <w:top w:val="single" w:sz="4" w:space="0" w:color="44B3E1"/>
              <w:left w:val="single" w:sz="4" w:space="0" w:color="44B3E1"/>
              <w:bottom w:val="single" w:sz="4" w:space="0" w:color="44B3E1"/>
              <w:right w:val="nil"/>
            </w:tcBorders>
          </w:tcPr>
          <w:p w14:paraId="685A18AC" w14:textId="77777777" w:rsidR="00521A20" w:rsidRDefault="00BB475A">
            <w:pPr>
              <w:keepNext/>
              <w:overflowPunct/>
              <w:autoSpaceDE/>
              <w:autoSpaceDN/>
              <w:adjustRightInd/>
              <w:spacing w:before="0"/>
              <w:textAlignment w:val="auto"/>
              <w:rPr>
                <w:rFonts w:ascii="Calibri" w:hAnsi="Calibri" w:cs="Calibri"/>
                <w:color w:val="000000"/>
                <w:sz w:val="20"/>
              </w:rPr>
            </w:pPr>
            <w:proofErr w:type="spellStart"/>
            <w:r>
              <w:rPr>
                <w:rFonts w:ascii="Calibri" w:hAnsi="Calibri" w:hint="eastAsia"/>
                <w:color w:val="000000"/>
                <w:sz w:val="20"/>
              </w:rPr>
              <w:t>支持性服务</w:t>
            </w:r>
            <w:proofErr w:type="spellEnd"/>
          </w:p>
        </w:tc>
        <w:tc>
          <w:tcPr>
            <w:tcW w:w="1369" w:type="dxa"/>
            <w:tcBorders>
              <w:top w:val="single" w:sz="4" w:space="0" w:color="44B3E1"/>
              <w:left w:val="nil"/>
              <w:bottom w:val="single" w:sz="4" w:space="0" w:color="44B3E1"/>
              <w:right w:val="nil"/>
            </w:tcBorders>
            <w:noWrap/>
          </w:tcPr>
          <w:p w14:paraId="6371692E" w14:textId="448608DF" w:rsidR="00521A20" w:rsidRDefault="00BB475A">
            <w:pPr>
              <w:keepNext/>
              <w:overflowPunct/>
              <w:autoSpaceDE/>
              <w:autoSpaceDN/>
              <w:adjustRightInd/>
              <w:spacing w:before="0"/>
              <w:jc w:val="right"/>
              <w:textAlignment w:val="auto"/>
              <w:rPr>
                <w:rFonts w:ascii="Aptos Narrow" w:hAnsi="Aptos Narrow"/>
                <w:color w:val="000000"/>
                <w:sz w:val="20"/>
              </w:rPr>
            </w:pPr>
            <w:r>
              <w:rPr>
                <w:rFonts w:ascii="Aptos Narrow" w:hAnsi="Aptos Narrow" w:hint="eastAsia"/>
                <w:color w:val="000000"/>
                <w:sz w:val="20"/>
                <w:lang w:val="en-US" w:eastAsia="zh-CN"/>
              </w:rPr>
              <w:t>365</w:t>
            </w:r>
            <w:r>
              <w:rPr>
                <w:rFonts w:ascii="Aptos Narrow" w:hAnsi="Aptos Narrow" w:hint="eastAsia"/>
                <w:color w:val="000000"/>
                <w:sz w:val="20"/>
              </w:rPr>
              <w:t>,615</w:t>
            </w:r>
          </w:p>
        </w:tc>
        <w:tc>
          <w:tcPr>
            <w:tcW w:w="2710" w:type="dxa"/>
            <w:tcBorders>
              <w:top w:val="single" w:sz="4" w:space="0" w:color="44B3E1"/>
              <w:left w:val="nil"/>
              <w:bottom w:val="single" w:sz="4" w:space="0" w:color="44B3E1"/>
              <w:right w:val="nil"/>
            </w:tcBorders>
            <w:noWrap/>
          </w:tcPr>
          <w:p w14:paraId="10DCFCBB" w14:textId="650F1FF6" w:rsidR="00521A20" w:rsidRDefault="00BB475A">
            <w:pPr>
              <w:keepNext/>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63.0</w:t>
            </w:r>
            <w:r>
              <w:rPr>
                <w:rFonts w:ascii="Calibri" w:hAnsi="Calibri" w:hint="eastAsia"/>
                <w:color w:val="000000"/>
                <w:sz w:val="20"/>
              </w:rPr>
              <w:t>%</w:t>
            </w:r>
          </w:p>
        </w:tc>
        <w:tc>
          <w:tcPr>
            <w:tcW w:w="2203" w:type="dxa"/>
            <w:tcBorders>
              <w:top w:val="single" w:sz="4" w:space="0" w:color="44B3E1"/>
              <w:left w:val="nil"/>
              <w:bottom w:val="single" w:sz="4" w:space="0" w:color="44B3E1"/>
              <w:right w:val="single" w:sz="4" w:space="0" w:color="44B3E1"/>
            </w:tcBorders>
            <w:noWrap/>
          </w:tcPr>
          <w:p w14:paraId="08D83E72" w14:textId="104A0F1D" w:rsidR="00521A20" w:rsidRDefault="00BB475A">
            <w:pPr>
              <w:keepNext/>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9.6</w:t>
            </w:r>
            <w:r>
              <w:rPr>
                <w:rFonts w:ascii="Calibri" w:hAnsi="Calibri" w:hint="eastAsia"/>
                <w:color w:val="000000"/>
                <w:sz w:val="20"/>
              </w:rPr>
              <w:t>%</w:t>
            </w:r>
          </w:p>
        </w:tc>
      </w:tr>
      <w:tr w:rsidR="00521A20" w14:paraId="465A5123" w14:textId="77777777">
        <w:trPr>
          <w:trHeight w:val="304"/>
          <w:jc w:val="center"/>
        </w:trPr>
        <w:tc>
          <w:tcPr>
            <w:tcW w:w="2562" w:type="dxa"/>
            <w:tcBorders>
              <w:top w:val="single" w:sz="4" w:space="0" w:color="44B3E1"/>
              <w:left w:val="single" w:sz="4" w:space="0" w:color="44B3E1"/>
              <w:bottom w:val="single" w:sz="4" w:space="0" w:color="44B3E1"/>
              <w:right w:val="nil"/>
            </w:tcBorders>
            <w:shd w:val="clear" w:color="C0E6F5" w:fill="C0E6F5"/>
          </w:tcPr>
          <w:p w14:paraId="39A4197C" w14:textId="77777777" w:rsidR="00521A20" w:rsidRDefault="00BB475A">
            <w:pPr>
              <w:keepNext/>
              <w:overflowPunct/>
              <w:autoSpaceDE/>
              <w:autoSpaceDN/>
              <w:adjustRightInd/>
              <w:spacing w:before="0"/>
              <w:textAlignment w:val="auto"/>
              <w:rPr>
                <w:rFonts w:ascii="Calibri" w:hAnsi="Calibri" w:cs="Calibri"/>
                <w:color w:val="000000"/>
                <w:sz w:val="20"/>
              </w:rPr>
            </w:pPr>
            <w:proofErr w:type="spellStart"/>
            <w:r>
              <w:rPr>
                <w:rFonts w:ascii="Calibri" w:hAnsi="Calibri" w:hint="eastAsia"/>
                <w:color w:val="000000"/>
                <w:sz w:val="20"/>
              </w:rPr>
              <w:t>项目管理</w:t>
            </w:r>
            <w:proofErr w:type="spellEnd"/>
            <w:r>
              <w:rPr>
                <w:rFonts w:ascii="Calibri" w:hAnsi="Calibri" w:hint="eastAsia"/>
                <w:color w:val="000000"/>
                <w:sz w:val="20"/>
              </w:rPr>
              <w:t xml:space="preserve"> </w:t>
            </w:r>
          </w:p>
        </w:tc>
        <w:tc>
          <w:tcPr>
            <w:tcW w:w="1369" w:type="dxa"/>
            <w:tcBorders>
              <w:top w:val="single" w:sz="4" w:space="0" w:color="44B3E1"/>
              <w:left w:val="nil"/>
              <w:bottom w:val="single" w:sz="4" w:space="0" w:color="44B3E1"/>
              <w:right w:val="nil"/>
            </w:tcBorders>
            <w:shd w:val="clear" w:color="C0E6F5" w:fill="C0E6F5"/>
            <w:noWrap/>
          </w:tcPr>
          <w:p w14:paraId="67727BCB" w14:textId="043290D9" w:rsidR="00521A20" w:rsidRDefault="00BB475A">
            <w:pPr>
              <w:keepNext/>
              <w:overflowPunct/>
              <w:autoSpaceDE/>
              <w:autoSpaceDN/>
              <w:adjustRightInd/>
              <w:spacing w:before="0"/>
              <w:jc w:val="right"/>
              <w:textAlignment w:val="auto"/>
              <w:rPr>
                <w:rFonts w:ascii="Calibri" w:hAnsi="Calibri" w:cs="Calibri"/>
                <w:color w:val="000000"/>
                <w:sz w:val="20"/>
              </w:rPr>
            </w:pPr>
            <w:r>
              <w:rPr>
                <w:rFonts w:ascii="Calibri" w:hAnsi="Calibri" w:hint="eastAsia"/>
                <w:color w:val="000000"/>
                <w:sz w:val="20"/>
                <w:lang w:val="en-US" w:eastAsia="zh-CN"/>
              </w:rPr>
              <w:t>3</w:t>
            </w:r>
            <w:r>
              <w:rPr>
                <w:rFonts w:ascii="Calibri" w:hAnsi="Calibri" w:hint="eastAsia"/>
                <w:color w:val="000000"/>
                <w:sz w:val="20"/>
              </w:rPr>
              <w:t>0,000</w:t>
            </w:r>
          </w:p>
        </w:tc>
        <w:tc>
          <w:tcPr>
            <w:tcW w:w="2710" w:type="dxa"/>
            <w:tcBorders>
              <w:top w:val="single" w:sz="4" w:space="0" w:color="44B3E1"/>
              <w:left w:val="nil"/>
              <w:bottom w:val="single" w:sz="4" w:space="0" w:color="44B3E1"/>
              <w:right w:val="nil"/>
            </w:tcBorders>
            <w:shd w:val="clear" w:color="C0E6F5" w:fill="C0E6F5"/>
            <w:noWrap/>
          </w:tcPr>
          <w:p w14:paraId="2E03FB1B" w14:textId="22EB88FC" w:rsidR="00521A20" w:rsidRDefault="00BB475A">
            <w:pPr>
              <w:keepNext/>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5.2</w:t>
            </w:r>
            <w:r>
              <w:rPr>
                <w:rFonts w:ascii="Calibri" w:hAnsi="Calibri" w:hint="eastAsia"/>
                <w:color w:val="000000"/>
                <w:sz w:val="20"/>
              </w:rPr>
              <w:t>%</w:t>
            </w:r>
          </w:p>
        </w:tc>
        <w:tc>
          <w:tcPr>
            <w:tcW w:w="2203" w:type="dxa"/>
            <w:tcBorders>
              <w:top w:val="single" w:sz="4" w:space="0" w:color="44B3E1"/>
              <w:left w:val="nil"/>
              <w:bottom w:val="single" w:sz="4" w:space="0" w:color="44B3E1"/>
              <w:right w:val="single" w:sz="4" w:space="0" w:color="44B3E1"/>
            </w:tcBorders>
            <w:shd w:val="clear" w:color="C0E6F5" w:fill="C0E6F5"/>
            <w:noWrap/>
          </w:tcPr>
          <w:p w14:paraId="69C504E9" w14:textId="40F2EF35" w:rsidR="00521A20" w:rsidRDefault="00BB475A">
            <w:pPr>
              <w:keepNext/>
              <w:overflowPunct/>
              <w:autoSpaceDE/>
              <w:autoSpaceDN/>
              <w:adjustRightInd/>
              <w:spacing w:before="0"/>
              <w:jc w:val="center"/>
              <w:textAlignment w:val="auto"/>
              <w:rPr>
                <w:rFonts w:ascii="Calibri" w:hAnsi="Calibri" w:cs="Calibri"/>
                <w:color w:val="000000"/>
                <w:sz w:val="20"/>
              </w:rPr>
            </w:pPr>
            <w:r>
              <w:rPr>
                <w:rFonts w:ascii="Calibri" w:hAnsi="Calibri" w:hint="eastAsia"/>
                <w:color w:val="000000"/>
                <w:sz w:val="20"/>
                <w:lang w:val="en-US" w:eastAsia="zh-CN"/>
              </w:rPr>
              <w:t>0.8</w:t>
            </w:r>
            <w:r>
              <w:rPr>
                <w:rFonts w:ascii="Calibri" w:hAnsi="Calibri" w:hint="eastAsia"/>
                <w:color w:val="000000"/>
                <w:sz w:val="20"/>
              </w:rPr>
              <w:t>%</w:t>
            </w:r>
          </w:p>
        </w:tc>
      </w:tr>
    </w:tbl>
    <w:p w14:paraId="0B5B5896" w14:textId="56A732E4" w:rsidR="00521A20" w:rsidRPr="00622881" w:rsidRDefault="00622881" w:rsidP="005573EC">
      <w:pPr>
        <w:pStyle w:val="Heading3"/>
        <w:spacing w:before="120"/>
        <w:ind w:left="357" w:hanging="357"/>
        <w:rPr>
          <w:rFonts w:ascii="Calibri" w:hAnsi="Calibri" w:cs="Calibri"/>
          <w:bCs/>
          <w:color w:val="000000" w:themeColor="text1"/>
          <w:szCs w:val="24"/>
          <w:lang w:eastAsia="en-GB"/>
        </w:rPr>
      </w:pPr>
      <w:proofErr w:type="spellStart"/>
      <w:r w:rsidRPr="00622881">
        <w:rPr>
          <w:rFonts w:hint="eastAsia"/>
          <w:bCs/>
          <w:lang w:eastAsia="en-GB"/>
        </w:rPr>
        <w:t>成员驱动</w:t>
      </w:r>
      <w:proofErr w:type="spellEnd"/>
    </w:p>
    <w:p w14:paraId="24E15B74" w14:textId="046DFB88" w:rsidR="00622881" w:rsidRDefault="00622881" w:rsidP="005573EC">
      <w:pPr>
        <w:ind w:firstLineChars="200" w:firstLine="480"/>
        <w:jc w:val="both"/>
        <w:rPr>
          <w:lang w:eastAsia="zh-CN"/>
        </w:rPr>
      </w:pPr>
      <w:r>
        <w:rPr>
          <w:rFonts w:hint="eastAsia"/>
          <w:lang w:eastAsia="zh-CN"/>
        </w:rPr>
        <w:t>为加强</w:t>
      </w:r>
      <w:r w:rsidRPr="00843346">
        <w:rPr>
          <w:rFonts w:hint="eastAsia"/>
          <w:lang w:eastAsia="zh-CN"/>
        </w:rPr>
        <w:t>部门成员、部门准成员和学术成员</w:t>
      </w:r>
      <w:r w:rsidRPr="00F63618">
        <w:rPr>
          <w:rFonts w:hint="eastAsia"/>
          <w:lang w:eastAsia="zh-CN"/>
        </w:rPr>
        <w:t>的外联与</w:t>
      </w:r>
      <w:r>
        <w:rPr>
          <w:rFonts w:hint="eastAsia"/>
          <w:lang w:eastAsia="zh-CN"/>
        </w:rPr>
        <w:t>参与</w:t>
      </w:r>
      <w:r w:rsidRPr="00F63618">
        <w:rPr>
          <w:rFonts w:hint="eastAsia"/>
          <w:lang w:eastAsia="zh-CN"/>
        </w:rPr>
        <w:t>，</w:t>
      </w:r>
      <w:r w:rsidR="006931BA" w:rsidRPr="006931BA">
        <w:rPr>
          <w:rFonts w:hint="eastAsia"/>
          <w:lang w:eastAsia="zh-CN"/>
        </w:rPr>
        <w:t>电信发展局</w:t>
      </w:r>
      <w:r w:rsidRPr="00F63618">
        <w:rPr>
          <w:rFonts w:hint="eastAsia"/>
          <w:lang w:eastAsia="zh-CN"/>
        </w:rPr>
        <w:t>与</w:t>
      </w:r>
      <w:r w:rsidRPr="00843346">
        <w:rPr>
          <w:rFonts w:hint="eastAsia"/>
          <w:lang w:eastAsia="zh-CN"/>
        </w:rPr>
        <w:t>经认可运营机构</w:t>
      </w:r>
      <w:r w:rsidRPr="00F63618">
        <w:rPr>
          <w:rFonts w:hint="eastAsia"/>
          <w:lang w:eastAsia="zh-CN"/>
        </w:rPr>
        <w:t>（</w:t>
      </w:r>
      <w:r w:rsidRPr="00F63618">
        <w:rPr>
          <w:rFonts w:hint="eastAsia"/>
          <w:lang w:eastAsia="zh-CN"/>
        </w:rPr>
        <w:t>ROA</w:t>
      </w:r>
      <w:r w:rsidRPr="00F63618">
        <w:rPr>
          <w:rFonts w:hint="eastAsia"/>
          <w:lang w:eastAsia="zh-CN"/>
        </w:rPr>
        <w:t>）、科学或工业组织（</w:t>
      </w:r>
      <w:r w:rsidRPr="00F63618">
        <w:rPr>
          <w:rFonts w:hint="eastAsia"/>
          <w:lang w:eastAsia="zh-CN"/>
        </w:rPr>
        <w:t>SIO</w:t>
      </w:r>
      <w:r w:rsidRPr="00F63618">
        <w:rPr>
          <w:rFonts w:hint="eastAsia"/>
          <w:lang w:eastAsia="zh-CN"/>
        </w:rPr>
        <w:t>）以及</w:t>
      </w:r>
      <w:r w:rsidRPr="00F63618">
        <w:rPr>
          <w:rFonts w:hint="eastAsia"/>
          <w:lang w:eastAsia="zh-CN"/>
        </w:rPr>
        <w:t>ITU-D</w:t>
      </w:r>
      <w:r>
        <w:rPr>
          <w:rFonts w:hint="eastAsia"/>
          <w:lang w:eastAsia="zh-CN"/>
        </w:rPr>
        <w:t>部门成员的其他实体</w:t>
      </w:r>
      <w:r w:rsidR="006931BA">
        <w:rPr>
          <w:rFonts w:hint="eastAsia"/>
          <w:lang w:eastAsia="zh-CN"/>
        </w:rPr>
        <w:t>社群</w:t>
      </w:r>
      <w:r>
        <w:rPr>
          <w:rFonts w:hint="eastAsia"/>
          <w:lang w:eastAsia="zh-CN"/>
        </w:rPr>
        <w:t>合作，举办了“</w:t>
      </w:r>
      <w:r w:rsidRPr="00713809">
        <w:rPr>
          <w:rFonts w:hint="eastAsia"/>
          <w:b/>
          <w:lang w:eastAsia="zh-CN"/>
        </w:rPr>
        <w:t>了解成员系列活动</w:t>
      </w:r>
      <w:r>
        <w:rPr>
          <w:rFonts w:hint="eastAsia"/>
          <w:lang w:eastAsia="zh-CN"/>
        </w:rPr>
        <w:t>”的</w:t>
      </w:r>
      <w:r w:rsidRPr="00F63618">
        <w:rPr>
          <w:rFonts w:hint="eastAsia"/>
          <w:lang w:eastAsia="zh-CN"/>
        </w:rPr>
        <w:t>首次会议。</w:t>
      </w:r>
      <w:r w:rsidR="006931BA">
        <w:rPr>
          <w:rFonts w:hint="eastAsia"/>
          <w:lang w:eastAsia="zh-CN"/>
        </w:rPr>
        <w:t>此次</w:t>
      </w:r>
      <w:r w:rsidRPr="00F63618">
        <w:rPr>
          <w:rFonts w:hint="eastAsia"/>
          <w:lang w:eastAsia="zh-CN"/>
        </w:rPr>
        <w:t>会议汇聚了来自</w:t>
      </w:r>
      <w:r w:rsidRPr="00F63618">
        <w:rPr>
          <w:rFonts w:hint="eastAsia"/>
          <w:lang w:eastAsia="zh-CN"/>
        </w:rPr>
        <w:t>30</w:t>
      </w:r>
      <w:r w:rsidRPr="00F63618">
        <w:rPr>
          <w:rFonts w:hint="eastAsia"/>
          <w:lang w:eastAsia="zh-CN"/>
        </w:rPr>
        <w:t>个</w:t>
      </w:r>
      <w:r w:rsidRPr="00F63618">
        <w:rPr>
          <w:rFonts w:hint="eastAsia"/>
          <w:lang w:eastAsia="zh-CN"/>
        </w:rPr>
        <w:t>ITU-D</w:t>
      </w:r>
      <w:r w:rsidRPr="00F63618">
        <w:rPr>
          <w:rFonts w:hint="eastAsia"/>
          <w:lang w:eastAsia="zh-CN"/>
        </w:rPr>
        <w:t>部门成员的</w:t>
      </w:r>
      <w:r w:rsidRPr="00F63618">
        <w:rPr>
          <w:rFonts w:hint="eastAsia"/>
          <w:lang w:eastAsia="zh-CN"/>
        </w:rPr>
        <w:t>50</w:t>
      </w:r>
      <w:r w:rsidRPr="00F63618">
        <w:rPr>
          <w:rFonts w:hint="eastAsia"/>
          <w:lang w:eastAsia="zh-CN"/>
        </w:rPr>
        <w:t>多名</w:t>
      </w:r>
      <w:r>
        <w:rPr>
          <w:rFonts w:hint="eastAsia"/>
          <w:lang w:eastAsia="zh-CN"/>
        </w:rPr>
        <w:t>参与</w:t>
      </w:r>
      <w:r w:rsidRPr="00F63618">
        <w:rPr>
          <w:rFonts w:hint="eastAsia"/>
          <w:lang w:eastAsia="zh-CN"/>
        </w:rPr>
        <w:t>者，</w:t>
      </w:r>
      <w:r>
        <w:rPr>
          <w:rFonts w:hint="eastAsia"/>
          <w:lang w:eastAsia="zh-CN"/>
        </w:rPr>
        <w:t>共同讨论</w:t>
      </w:r>
      <w:r w:rsidR="006931BA" w:rsidRPr="006931BA">
        <w:rPr>
          <w:rFonts w:hint="eastAsia"/>
          <w:lang w:eastAsia="zh-CN"/>
        </w:rPr>
        <w:t>电信发展局</w:t>
      </w:r>
      <w:r w:rsidRPr="00F63618">
        <w:rPr>
          <w:rFonts w:hint="eastAsia"/>
          <w:lang w:eastAsia="zh-CN"/>
        </w:rPr>
        <w:t>正在开展的工作以及</w:t>
      </w:r>
      <w:r w:rsidRPr="00F63618">
        <w:rPr>
          <w:rFonts w:hint="eastAsia"/>
          <w:lang w:eastAsia="zh-CN"/>
        </w:rPr>
        <w:t>ITU-D</w:t>
      </w:r>
      <w:r w:rsidRPr="00F63618">
        <w:rPr>
          <w:rFonts w:hint="eastAsia"/>
          <w:lang w:eastAsia="zh-CN"/>
        </w:rPr>
        <w:t>部门成员</w:t>
      </w:r>
      <w:r w:rsidR="006931BA">
        <w:rPr>
          <w:rFonts w:hint="eastAsia"/>
          <w:lang w:eastAsia="zh-CN"/>
        </w:rPr>
        <w:t>关注的发展机遇</w:t>
      </w:r>
      <w:r w:rsidRPr="00F63618">
        <w:rPr>
          <w:rFonts w:hint="eastAsia"/>
          <w:lang w:eastAsia="zh-CN"/>
        </w:rPr>
        <w:t>。</w:t>
      </w:r>
    </w:p>
    <w:p w14:paraId="3049646F" w14:textId="6CDDEAAF" w:rsidR="00521A20" w:rsidRDefault="00622881" w:rsidP="005573EC">
      <w:pPr>
        <w:ind w:firstLineChars="200" w:firstLine="480"/>
        <w:jc w:val="both"/>
        <w:rPr>
          <w:lang w:eastAsia="zh-CN"/>
        </w:rPr>
      </w:pPr>
      <w:r w:rsidRPr="00F63618">
        <w:rPr>
          <w:rFonts w:hint="eastAsia"/>
          <w:lang w:eastAsia="zh-CN"/>
        </w:rPr>
        <w:t>ITU-D</w:t>
      </w:r>
      <w:r w:rsidR="006931BA">
        <w:rPr>
          <w:rFonts w:hint="eastAsia"/>
          <w:lang w:eastAsia="zh-CN"/>
        </w:rPr>
        <w:t>近日迎来了</w:t>
      </w:r>
      <w:r>
        <w:rPr>
          <w:rFonts w:hint="eastAsia"/>
          <w:lang w:eastAsia="zh-CN"/>
        </w:rPr>
        <w:t>一个新部门成员</w:t>
      </w:r>
      <w:r w:rsidR="00097CBF">
        <w:rPr>
          <w:rFonts w:hint="eastAsia"/>
          <w:lang w:eastAsia="zh-CN"/>
        </w:rPr>
        <w:t xml:space="preserve"> </w:t>
      </w:r>
      <w:r w:rsidR="00097CBF">
        <w:rPr>
          <w:lang w:eastAsia="zh-CN"/>
        </w:rPr>
        <w:t>–</w:t>
      </w:r>
      <w:r w:rsidR="00097CBF">
        <w:rPr>
          <w:rFonts w:hint="eastAsia"/>
          <w:lang w:eastAsia="zh-CN"/>
        </w:rPr>
        <w:t xml:space="preserve"> </w:t>
      </w:r>
      <w:r w:rsidRPr="00F63618">
        <w:rPr>
          <w:rFonts w:hint="eastAsia"/>
          <w:lang w:eastAsia="zh-CN"/>
        </w:rPr>
        <w:t>伊拉克</w:t>
      </w:r>
      <w:r w:rsidRPr="00B80BDF">
        <w:rPr>
          <w:rFonts w:hint="eastAsia"/>
          <w:lang w:eastAsia="zh-CN"/>
        </w:rPr>
        <w:t>信息通信技术</w:t>
      </w:r>
      <w:r w:rsidRPr="00F63618">
        <w:rPr>
          <w:rFonts w:hint="eastAsia"/>
          <w:lang w:eastAsia="zh-CN"/>
        </w:rPr>
        <w:t>协会（</w:t>
      </w:r>
      <w:r w:rsidRPr="00F63618">
        <w:rPr>
          <w:rFonts w:hint="eastAsia"/>
          <w:lang w:eastAsia="zh-CN"/>
        </w:rPr>
        <w:t>IAICT</w:t>
      </w:r>
      <w:r>
        <w:rPr>
          <w:rFonts w:hint="eastAsia"/>
          <w:lang w:eastAsia="zh-CN"/>
        </w:rPr>
        <w:t>）</w:t>
      </w:r>
      <w:r w:rsidR="006931BA">
        <w:rPr>
          <w:rFonts w:hint="eastAsia"/>
          <w:lang w:eastAsia="zh-CN"/>
        </w:rPr>
        <w:t>，</w:t>
      </w:r>
      <w:r>
        <w:rPr>
          <w:rFonts w:hint="eastAsia"/>
          <w:lang w:eastAsia="zh-CN"/>
        </w:rPr>
        <w:t>以及</w:t>
      </w:r>
      <w:r w:rsidRPr="00F63618">
        <w:rPr>
          <w:rFonts w:hint="eastAsia"/>
          <w:lang w:eastAsia="zh-CN"/>
        </w:rPr>
        <w:t>两</w:t>
      </w:r>
      <w:r>
        <w:rPr>
          <w:rFonts w:hint="eastAsia"/>
          <w:lang w:eastAsia="zh-CN"/>
        </w:rPr>
        <w:t>个新学术成员</w:t>
      </w:r>
      <w:r w:rsidR="00097CBF">
        <w:rPr>
          <w:rFonts w:hint="eastAsia"/>
          <w:lang w:eastAsia="zh-CN"/>
        </w:rPr>
        <w:t xml:space="preserve"> </w:t>
      </w:r>
      <w:r w:rsidR="00097CBF">
        <w:rPr>
          <w:lang w:eastAsia="zh-CN"/>
        </w:rPr>
        <w:t>–</w:t>
      </w:r>
      <w:r w:rsidR="00097CBF">
        <w:rPr>
          <w:rFonts w:hint="eastAsia"/>
          <w:lang w:eastAsia="zh-CN"/>
        </w:rPr>
        <w:t xml:space="preserve"> </w:t>
      </w:r>
      <w:r>
        <w:rPr>
          <w:rFonts w:hint="eastAsia"/>
          <w:lang w:eastAsia="zh-CN"/>
        </w:rPr>
        <w:t>中国西安电子科技大学和</w:t>
      </w:r>
      <w:r w:rsidRPr="00F63618">
        <w:rPr>
          <w:rFonts w:hint="eastAsia"/>
          <w:lang w:eastAsia="zh-CN"/>
        </w:rPr>
        <w:t>希腊</w:t>
      </w:r>
      <w:r>
        <w:rPr>
          <w:rFonts w:hint="eastAsia"/>
          <w:lang w:eastAsia="zh-CN"/>
        </w:rPr>
        <w:t>帕特雷</w:t>
      </w:r>
      <w:r w:rsidRPr="00F63618">
        <w:rPr>
          <w:rFonts w:hint="eastAsia"/>
          <w:lang w:eastAsia="zh-CN"/>
        </w:rPr>
        <w:t>大学</w:t>
      </w:r>
      <w:r>
        <w:rPr>
          <w:rFonts w:hint="eastAsia"/>
          <w:lang w:eastAsia="zh-CN"/>
        </w:rPr>
        <w:t>电气与计算机工程系</w:t>
      </w:r>
      <w:r w:rsidRPr="00F63618">
        <w:rPr>
          <w:rFonts w:hint="eastAsia"/>
          <w:lang w:eastAsia="zh-CN"/>
        </w:rPr>
        <w:t>。</w:t>
      </w:r>
    </w:p>
    <w:p w14:paraId="0A9EC29B" w14:textId="7A8D0F00" w:rsidR="00521A20" w:rsidRDefault="00622881" w:rsidP="005573EC">
      <w:pPr>
        <w:pStyle w:val="Heading3"/>
        <w:spacing w:before="120"/>
        <w:ind w:left="357" w:hanging="357"/>
        <w:jc w:val="both"/>
        <w:rPr>
          <w:rFonts w:ascii="Calibri" w:hAnsi="Calibri" w:cs="Calibri"/>
          <w:color w:val="000000" w:themeColor="text1"/>
          <w:szCs w:val="24"/>
          <w:lang w:eastAsia="zh-CN"/>
        </w:rPr>
      </w:pPr>
      <w:r w:rsidRPr="00713809">
        <w:rPr>
          <w:rFonts w:hint="eastAsia"/>
          <w:bCs/>
          <w:lang w:eastAsia="zh-CN"/>
        </w:rPr>
        <w:t>区域代表处</w:t>
      </w:r>
    </w:p>
    <w:p w14:paraId="079C6457" w14:textId="298B2382" w:rsidR="00521A20" w:rsidRDefault="00CE328D" w:rsidP="005573EC">
      <w:pPr>
        <w:ind w:firstLineChars="200" w:firstLine="480"/>
        <w:jc w:val="both"/>
        <w:rPr>
          <w:szCs w:val="24"/>
          <w:lang w:eastAsia="zh-CN"/>
        </w:rPr>
      </w:pPr>
      <w:r w:rsidRPr="006931BA">
        <w:rPr>
          <w:rFonts w:hint="eastAsia"/>
          <w:lang w:eastAsia="zh-CN"/>
        </w:rPr>
        <w:t>电信发展局</w:t>
      </w:r>
      <w:r w:rsidR="00622881">
        <w:rPr>
          <w:rFonts w:hint="eastAsia"/>
          <w:szCs w:val="24"/>
          <w:lang w:eastAsia="zh-CN"/>
        </w:rPr>
        <w:t>持续</w:t>
      </w:r>
      <w:r w:rsidR="00622881" w:rsidRPr="00F63618">
        <w:rPr>
          <w:rFonts w:hint="eastAsia"/>
          <w:szCs w:val="24"/>
          <w:lang w:eastAsia="zh-CN"/>
        </w:rPr>
        <w:t>与国际电联无线电通信局（</w:t>
      </w:r>
      <w:r w:rsidR="00622881" w:rsidRPr="00F63618">
        <w:rPr>
          <w:rFonts w:hint="eastAsia"/>
          <w:szCs w:val="24"/>
          <w:lang w:eastAsia="zh-CN"/>
        </w:rPr>
        <w:t>BR</w:t>
      </w:r>
      <w:r w:rsidR="00622881" w:rsidRPr="00F63618">
        <w:rPr>
          <w:rFonts w:hint="eastAsia"/>
          <w:szCs w:val="24"/>
          <w:lang w:eastAsia="zh-CN"/>
        </w:rPr>
        <w:t>）、</w:t>
      </w:r>
      <w:r w:rsidR="00622881" w:rsidRPr="002B52B6">
        <w:rPr>
          <w:rFonts w:hint="eastAsia"/>
          <w:lang w:eastAsia="zh-CN"/>
        </w:rPr>
        <w:t>电信标准化局</w:t>
      </w:r>
      <w:r w:rsidR="00622881" w:rsidRPr="00F63618">
        <w:rPr>
          <w:rFonts w:hint="eastAsia"/>
          <w:szCs w:val="24"/>
          <w:lang w:eastAsia="zh-CN"/>
        </w:rPr>
        <w:t>（</w:t>
      </w:r>
      <w:r w:rsidR="00622881" w:rsidRPr="00F63618">
        <w:rPr>
          <w:rFonts w:hint="eastAsia"/>
          <w:szCs w:val="24"/>
          <w:lang w:eastAsia="zh-CN"/>
        </w:rPr>
        <w:t>TSB</w:t>
      </w:r>
      <w:r w:rsidR="00622881">
        <w:rPr>
          <w:rFonts w:hint="eastAsia"/>
          <w:szCs w:val="24"/>
          <w:lang w:eastAsia="zh-CN"/>
        </w:rPr>
        <w:t>）和国际电联</w:t>
      </w:r>
      <w:r w:rsidR="00622881" w:rsidRPr="00F63618">
        <w:rPr>
          <w:rFonts w:hint="eastAsia"/>
          <w:szCs w:val="24"/>
          <w:lang w:eastAsia="zh-CN"/>
        </w:rPr>
        <w:t>总秘书处</w:t>
      </w:r>
      <w:r>
        <w:rPr>
          <w:rFonts w:hint="eastAsia"/>
          <w:szCs w:val="24"/>
          <w:lang w:eastAsia="zh-CN"/>
        </w:rPr>
        <w:t>保持</w:t>
      </w:r>
      <w:r w:rsidR="00622881" w:rsidRPr="00F63618">
        <w:rPr>
          <w:rFonts w:hint="eastAsia"/>
          <w:szCs w:val="24"/>
          <w:lang w:eastAsia="zh-CN"/>
        </w:rPr>
        <w:t>密切合作，加强区域代表处建设，旨在以及时、有效和有影响力的方式</w:t>
      </w:r>
      <w:r>
        <w:rPr>
          <w:rFonts w:hint="eastAsia"/>
          <w:szCs w:val="24"/>
          <w:lang w:eastAsia="zh-CN"/>
        </w:rPr>
        <w:t>提升</w:t>
      </w:r>
      <w:r w:rsidR="00622881" w:rsidRPr="00F63618">
        <w:rPr>
          <w:rFonts w:hint="eastAsia"/>
          <w:szCs w:val="24"/>
          <w:lang w:eastAsia="zh-CN"/>
        </w:rPr>
        <w:t>向成员国提供的服务，包括项目实施及其他运作规划活动。</w:t>
      </w:r>
      <w:r w:rsidRPr="006931BA">
        <w:rPr>
          <w:rFonts w:hint="eastAsia"/>
          <w:lang w:eastAsia="zh-CN"/>
        </w:rPr>
        <w:t>电信发展局</w:t>
      </w:r>
      <w:r w:rsidR="00622881">
        <w:rPr>
          <w:rFonts w:hint="eastAsia"/>
          <w:szCs w:val="24"/>
          <w:lang w:eastAsia="zh-CN"/>
        </w:rPr>
        <w:t>持续将</w:t>
      </w:r>
      <w:r w:rsidR="00622881" w:rsidRPr="00F63618">
        <w:rPr>
          <w:rFonts w:hint="eastAsia"/>
          <w:szCs w:val="24"/>
          <w:lang w:eastAsia="zh-CN"/>
        </w:rPr>
        <w:t>学习与发展作为优先事项，以确</w:t>
      </w:r>
      <w:r w:rsidR="00622881" w:rsidRPr="00E220AA">
        <w:rPr>
          <w:rFonts w:hint="eastAsia"/>
          <w:szCs w:val="24"/>
          <w:lang w:eastAsia="zh-CN"/>
        </w:rPr>
        <w:t>保区域代表处的工作人员</w:t>
      </w:r>
      <w:r>
        <w:rPr>
          <w:rFonts w:hint="eastAsia"/>
          <w:szCs w:val="24"/>
          <w:lang w:eastAsia="zh-CN"/>
        </w:rPr>
        <w:t>具备</w:t>
      </w:r>
      <w:r w:rsidR="00622881" w:rsidRPr="00E220AA">
        <w:rPr>
          <w:rFonts w:hint="eastAsia"/>
          <w:szCs w:val="24"/>
          <w:lang w:eastAsia="zh-CN"/>
        </w:rPr>
        <w:t>为国际电联成员提供更优质服务所需的技能。</w:t>
      </w:r>
      <w:r w:rsidR="00622881" w:rsidRPr="00E220AA">
        <w:rPr>
          <w:rFonts w:hint="eastAsia"/>
          <w:szCs w:val="24"/>
          <w:lang w:eastAsia="zh-CN"/>
        </w:rPr>
        <w:lastRenderedPageBreak/>
        <w:t>2026</w:t>
      </w:r>
      <w:r w:rsidR="00622881" w:rsidRPr="00E220AA">
        <w:rPr>
          <w:rFonts w:hint="eastAsia"/>
          <w:szCs w:val="24"/>
          <w:lang w:eastAsia="zh-CN"/>
        </w:rPr>
        <w:t>年</w:t>
      </w:r>
      <w:r w:rsidR="00622881" w:rsidRPr="00E220AA">
        <w:rPr>
          <w:rFonts w:hint="eastAsia"/>
          <w:szCs w:val="24"/>
          <w:lang w:eastAsia="zh-CN"/>
        </w:rPr>
        <w:t>3</w:t>
      </w:r>
      <w:r w:rsidR="00622881" w:rsidRPr="00E220AA">
        <w:rPr>
          <w:rFonts w:hint="eastAsia"/>
          <w:szCs w:val="24"/>
          <w:lang w:eastAsia="zh-CN"/>
        </w:rPr>
        <w:t>月，</w:t>
      </w:r>
      <w:r w:rsidRPr="006931BA">
        <w:rPr>
          <w:rFonts w:hint="eastAsia"/>
          <w:lang w:eastAsia="zh-CN"/>
        </w:rPr>
        <w:t>电信发展局</w:t>
      </w:r>
      <w:r w:rsidR="00622881" w:rsidRPr="00E220AA">
        <w:rPr>
          <w:rFonts w:hint="eastAsia"/>
          <w:szCs w:val="24"/>
          <w:lang w:eastAsia="zh-CN"/>
        </w:rPr>
        <w:t>在</w:t>
      </w:r>
      <w:r w:rsidR="00622881">
        <w:rPr>
          <w:rFonts w:hint="eastAsia"/>
          <w:szCs w:val="24"/>
          <w:lang w:eastAsia="zh-CN"/>
        </w:rPr>
        <w:t>日内瓦组织了一次培训，来自所有</w:t>
      </w:r>
      <w:r w:rsidR="00622881" w:rsidRPr="00F63618">
        <w:rPr>
          <w:rFonts w:hint="eastAsia"/>
          <w:szCs w:val="24"/>
          <w:lang w:eastAsia="zh-CN"/>
        </w:rPr>
        <w:t>六个区域</w:t>
      </w:r>
      <w:r w:rsidR="00622881">
        <w:rPr>
          <w:rFonts w:hint="eastAsia"/>
          <w:szCs w:val="24"/>
          <w:lang w:eastAsia="zh-CN"/>
        </w:rPr>
        <w:t>代表处</w:t>
      </w:r>
      <w:r w:rsidR="00622881" w:rsidRPr="00F63618">
        <w:rPr>
          <w:rFonts w:hint="eastAsia"/>
          <w:szCs w:val="24"/>
          <w:lang w:eastAsia="zh-CN"/>
        </w:rPr>
        <w:t>的工作人员均参加了此次培训。全年将继续</w:t>
      </w:r>
      <w:r w:rsidRPr="00CE328D">
        <w:rPr>
          <w:rFonts w:hint="eastAsia"/>
          <w:szCs w:val="24"/>
          <w:lang w:eastAsia="zh-CN"/>
        </w:rPr>
        <w:t>开展各类</w:t>
      </w:r>
      <w:r w:rsidR="00622881" w:rsidRPr="00F63618">
        <w:rPr>
          <w:rFonts w:hint="eastAsia"/>
          <w:szCs w:val="24"/>
          <w:lang w:eastAsia="zh-CN"/>
        </w:rPr>
        <w:t>有针对性的培训活动。</w:t>
      </w:r>
    </w:p>
    <w:p w14:paraId="1367ACC2" w14:textId="6602E51F" w:rsidR="00521A20" w:rsidRDefault="00622881" w:rsidP="005573EC">
      <w:pPr>
        <w:pStyle w:val="Heading3"/>
        <w:spacing w:before="120"/>
        <w:ind w:left="357" w:hanging="357"/>
        <w:rPr>
          <w:rFonts w:ascii="Calibri" w:hAnsi="Calibri" w:cs="Calibri"/>
          <w:color w:val="000000" w:themeColor="text1"/>
          <w:szCs w:val="24"/>
          <w:lang w:eastAsia="zh-CN"/>
        </w:rPr>
      </w:pPr>
      <w:r w:rsidRPr="00713809">
        <w:rPr>
          <w:rFonts w:hint="eastAsia"/>
          <w:bCs/>
          <w:lang w:eastAsia="zh-CN"/>
        </w:rPr>
        <w:t>支持</w:t>
      </w:r>
      <w:r w:rsidRPr="00622881">
        <w:rPr>
          <w:rFonts w:hint="eastAsia"/>
          <w:bCs/>
          <w:lang w:eastAsia="zh-CN"/>
        </w:rPr>
        <w:t>性</w:t>
      </w:r>
      <w:r w:rsidRPr="00713809">
        <w:rPr>
          <w:rFonts w:hint="eastAsia"/>
          <w:bCs/>
          <w:lang w:eastAsia="zh-CN"/>
        </w:rPr>
        <w:t>服务与项目管理</w:t>
      </w:r>
    </w:p>
    <w:p w14:paraId="11E7742C" w14:textId="77777777" w:rsidR="00521A20" w:rsidRDefault="00BB475A" w:rsidP="005573EC">
      <w:pPr>
        <w:ind w:firstLineChars="200" w:firstLine="480"/>
        <w:rPr>
          <w:lang w:eastAsia="zh-CN"/>
        </w:rPr>
      </w:pPr>
      <w:r>
        <w:rPr>
          <w:rFonts w:hint="eastAsia"/>
          <w:lang w:eastAsia="zh-CN"/>
        </w:rPr>
        <w:t>电信发展局正在各关键职能部门开展一项结构化的</w:t>
      </w:r>
      <w:r>
        <w:rPr>
          <w:rFonts w:hint="eastAsia"/>
          <w:b/>
          <w:bCs/>
          <w:lang w:eastAsia="zh-CN"/>
        </w:rPr>
        <w:t>内部流程摸底</w:t>
      </w:r>
      <w:r>
        <w:rPr>
          <w:rFonts w:hint="eastAsia"/>
          <w:lang w:eastAsia="zh-CN"/>
        </w:rPr>
        <w:t>举措，作为电信发展局持续提升运作效率、透明度和问责制工作的一部分。该举措通过分阶段、循证的方式实施，确保在充分理解当前做法的基础上提出改进建议。作为</w:t>
      </w:r>
      <w:r>
        <w:rPr>
          <w:rFonts w:hint="eastAsia"/>
          <w:lang w:eastAsia="zh-CN"/>
        </w:rPr>
        <w:t>2024</w:t>
      </w:r>
      <w:r>
        <w:rPr>
          <w:rFonts w:hint="eastAsia"/>
          <w:lang w:eastAsia="zh-CN"/>
        </w:rPr>
        <w:t>年所进行的重组的补充，此项工作有望提升工作质量、加强协调，并使运营活动更好地与电信发展局的战略目标保持一致。</w:t>
      </w:r>
    </w:p>
    <w:p w14:paraId="5D4952F5" w14:textId="77777777" w:rsidR="000E3AFA" w:rsidRDefault="000E3AFA" w:rsidP="000E3AFA">
      <w:pPr>
        <w:rPr>
          <w:lang w:eastAsia="zh-CN"/>
        </w:rPr>
      </w:pPr>
    </w:p>
    <w:p w14:paraId="1DC30005" w14:textId="77777777" w:rsidR="00521A20" w:rsidRDefault="00BB475A">
      <w:pPr>
        <w:jc w:val="center"/>
        <w:rPr>
          <w:szCs w:val="24"/>
        </w:rPr>
      </w:pPr>
      <w:r>
        <w:rPr>
          <w:szCs w:val="24"/>
        </w:rPr>
        <w:t>_______________</w:t>
      </w:r>
    </w:p>
    <w:sectPr w:rsidR="00521A20" w:rsidSect="005573EC">
      <w:headerReference w:type="default" r:id="rId35"/>
      <w:headerReference w:type="first" r:id="rId36"/>
      <w:pgSz w:w="11907" w:h="16840"/>
      <w:pgMar w:top="1418"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0B99" w14:textId="77777777" w:rsidR="009505A2" w:rsidRDefault="009505A2">
      <w:pPr>
        <w:spacing w:before="0"/>
      </w:pPr>
      <w:r>
        <w:separator/>
      </w:r>
    </w:p>
  </w:endnote>
  <w:endnote w:type="continuationSeparator" w:id="0">
    <w:p w14:paraId="58B958BC" w14:textId="77777777" w:rsidR="009505A2" w:rsidRDefault="009505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Che">
    <w:charset w:val="81"/>
    <w:family w:val="modern"/>
    <w:pitch w:val="fixed"/>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671D93" w:rsidRPr="004D495C" w14:paraId="454A9F1D" w14:textId="77777777" w:rsidTr="00B6796F">
      <w:trPr>
        <w:trHeight w:val="274"/>
      </w:trPr>
      <w:tc>
        <w:tcPr>
          <w:tcW w:w="1526" w:type="dxa"/>
          <w:tcBorders>
            <w:top w:val="single" w:sz="4" w:space="0" w:color="auto"/>
          </w:tcBorders>
        </w:tcPr>
        <w:p w14:paraId="0B4C354D" w14:textId="6A9412CB" w:rsidR="00671D93" w:rsidRPr="004D495C" w:rsidRDefault="00671D93" w:rsidP="00671D93">
          <w:pPr>
            <w:pStyle w:val="FirstFooter"/>
            <w:tabs>
              <w:tab w:val="left" w:pos="1559"/>
              <w:tab w:val="left" w:pos="3828"/>
            </w:tabs>
            <w:rPr>
              <w:sz w:val="18"/>
              <w:szCs w:val="18"/>
              <w:lang w:eastAsia="zh-CN"/>
            </w:rPr>
          </w:pPr>
          <w:r>
            <w:rPr>
              <w:rFonts w:hint="eastAsia"/>
              <w:sz w:val="18"/>
              <w:szCs w:val="18"/>
              <w:lang w:val="en-US" w:eastAsia="zh-CN"/>
            </w:rPr>
            <w:t>联系人：</w:t>
          </w:r>
        </w:p>
      </w:tc>
      <w:tc>
        <w:tcPr>
          <w:tcW w:w="2410" w:type="dxa"/>
          <w:tcBorders>
            <w:top w:val="single" w:sz="4" w:space="0" w:color="auto"/>
          </w:tcBorders>
        </w:tcPr>
        <w:p w14:paraId="05A572D7" w14:textId="3C9B1150" w:rsidR="00671D93" w:rsidRPr="004D495C" w:rsidRDefault="00671D93" w:rsidP="00671D93">
          <w:pPr>
            <w:pStyle w:val="FirstFooter"/>
            <w:tabs>
              <w:tab w:val="left" w:pos="2302"/>
            </w:tabs>
            <w:rPr>
              <w:sz w:val="18"/>
              <w:szCs w:val="18"/>
              <w:lang w:val="en-US"/>
            </w:rPr>
          </w:pPr>
          <w:proofErr w:type="spellStart"/>
          <w:r w:rsidRPr="007945DA">
            <w:rPr>
              <w:rFonts w:hint="eastAsia"/>
            </w:rPr>
            <w:t>名称</w:t>
          </w:r>
          <w:proofErr w:type="spellEnd"/>
          <w:r w:rsidRPr="007945DA">
            <w:rPr>
              <w:rFonts w:hint="eastAsia"/>
            </w:rPr>
            <w:t>/</w:t>
          </w:r>
          <w:proofErr w:type="spellStart"/>
          <w:r w:rsidRPr="007945DA">
            <w:rPr>
              <w:rFonts w:hint="eastAsia"/>
            </w:rPr>
            <w:t>组织</w:t>
          </w:r>
          <w:proofErr w:type="spellEnd"/>
          <w:r w:rsidRPr="007945DA">
            <w:rPr>
              <w:rFonts w:hint="eastAsia"/>
            </w:rPr>
            <w:t>/</w:t>
          </w:r>
          <w:proofErr w:type="spellStart"/>
          <w:r w:rsidRPr="007945DA">
            <w:rPr>
              <w:rFonts w:hint="eastAsia"/>
            </w:rPr>
            <w:t>实体</w:t>
          </w:r>
          <w:proofErr w:type="spellEnd"/>
          <w:r w:rsidRPr="007945DA">
            <w:rPr>
              <w:rFonts w:hint="eastAsia"/>
            </w:rPr>
            <w:t>：</w:t>
          </w:r>
        </w:p>
      </w:tc>
      <w:tc>
        <w:tcPr>
          <w:tcW w:w="5987" w:type="dxa"/>
          <w:tcBorders>
            <w:top w:val="single" w:sz="4" w:space="0" w:color="auto"/>
          </w:tcBorders>
        </w:tcPr>
        <w:p w14:paraId="3733477F" w14:textId="5A8D5036" w:rsidR="00671D93" w:rsidRPr="00927A83" w:rsidRDefault="00671D93" w:rsidP="00671D93">
          <w:pPr>
            <w:pStyle w:val="FirstFooter"/>
            <w:tabs>
              <w:tab w:val="left" w:pos="2302"/>
            </w:tabs>
            <w:rPr>
              <w:sz w:val="18"/>
              <w:szCs w:val="18"/>
              <w:lang w:val="en-US"/>
            </w:rPr>
          </w:pPr>
          <w:proofErr w:type="spellStart"/>
          <w:r w:rsidRPr="00671D93">
            <w:rPr>
              <w:rFonts w:hint="eastAsia"/>
              <w:sz w:val="18"/>
              <w:szCs w:val="18"/>
              <w:lang w:val="en-US"/>
            </w:rPr>
            <w:t>电信发展局副主任</w:t>
          </w:r>
          <w:r w:rsidRPr="00671D93">
            <w:rPr>
              <w:rFonts w:hint="eastAsia"/>
              <w:sz w:val="18"/>
              <w:szCs w:val="18"/>
              <w:lang w:val="en-US"/>
            </w:rPr>
            <w:t>Archana</w:t>
          </w:r>
          <w:proofErr w:type="spellEnd"/>
          <w:r w:rsidRPr="00671D93">
            <w:rPr>
              <w:rFonts w:hint="eastAsia"/>
              <w:sz w:val="18"/>
              <w:szCs w:val="18"/>
              <w:lang w:val="en-US"/>
            </w:rPr>
            <w:t xml:space="preserve"> </w:t>
          </w:r>
          <w:proofErr w:type="spellStart"/>
          <w:r w:rsidRPr="00671D93">
            <w:rPr>
              <w:rFonts w:hint="eastAsia"/>
              <w:sz w:val="18"/>
              <w:szCs w:val="18"/>
              <w:lang w:val="en-US"/>
            </w:rPr>
            <w:t>Gulati</w:t>
          </w:r>
          <w:r w:rsidRPr="00671D93">
            <w:rPr>
              <w:rFonts w:hint="eastAsia"/>
              <w:sz w:val="18"/>
              <w:szCs w:val="18"/>
              <w:lang w:val="en-US"/>
            </w:rPr>
            <w:t>女士</w:t>
          </w:r>
          <w:proofErr w:type="spellEnd"/>
        </w:p>
      </w:tc>
      <w:bookmarkStart w:id="10" w:name="OrgName"/>
      <w:bookmarkEnd w:id="10"/>
    </w:tr>
    <w:tr w:rsidR="00671D93" w:rsidRPr="004D495C" w14:paraId="7FE87988" w14:textId="77777777" w:rsidTr="003B653D">
      <w:tc>
        <w:tcPr>
          <w:tcW w:w="1526" w:type="dxa"/>
        </w:tcPr>
        <w:p w14:paraId="5AC6FC6B" w14:textId="77777777" w:rsidR="00671D93" w:rsidRPr="004D495C" w:rsidRDefault="00671D93" w:rsidP="00671D93">
          <w:pPr>
            <w:pStyle w:val="FirstFooter"/>
            <w:tabs>
              <w:tab w:val="left" w:pos="1559"/>
              <w:tab w:val="left" w:pos="3828"/>
            </w:tabs>
            <w:rPr>
              <w:sz w:val="20"/>
              <w:lang w:val="en-US"/>
            </w:rPr>
          </w:pPr>
        </w:p>
      </w:tc>
      <w:tc>
        <w:tcPr>
          <w:tcW w:w="2410" w:type="dxa"/>
        </w:tcPr>
        <w:p w14:paraId="1ECE6964" w14:textId="60020C39" w:rsidR="00671D93" w:rsidRPr="004D495C" w:rsidRDefault="00671D93" w:rsidP="00671D93">
          <w:pPr>
            <w:pStyle w:val="FirstFooter"/>
            <w:tabs>
              <w:tab w:val="left" w:pos="2302"/>
            </w:tabs>
            <w:rPr>
              <w:sz w:val="18"/>
              <w:szCs w:val="18"/>
              <w:lang w:val="en-US"/>
            </w:rPr>
          </w:pPr>
          <w:proofErr w:type="spellStart"/>
          <w:r w:rsidRPr="007945DA">
            <w:rPr>
              <w:rFonts w:hint="eastAsia"/>
            </w:rPr>
            <w:t>电话号码</w:t>
          </w:r>
          <w:proofErr w:type="spellEnd"/>
          <w:r w:rsidRPr="007945DA">
            <w:rPr>
              <w:rFonts w:hint="eastAsia"/>
            </w:rPr>
            <w:t>：</w:t>
          </w:r>
        </w:p>
      </w:tc>
      <w:tc>
        <w:tcPr>
          <w:tcW w:w="5987" w:type="dxa"/>
        </w:tcPr>
        <w:p w14:paraId="6FADF6F8" w14:textId="77777777" w:rsidR="00671D93" w:rsidRPr="00D8064E" w:rsidRDefault="00671D93" w:rsidP="00671D93">
          <w:pPr>
            <w:pStyle w:val="FirstFooter"/>
            <w:tabs>
              <w:tab w:val="left" w:pos="2302"/>
            </w:tabs>
            <w:rPr>
              <w:sz w:val="18"/>
              <w:szCs w:val="18"/>
              <w:lang w:val="en-US"/>
            </w:rPr>
          </w:pPr>
          <w:r w:rsidRPr="002F4DD5">
            <w:rPr>
              <w:sz w:val="18"/>
              <w:szCs w:val="18"/>
            </w:rPr>
            <w:t>+41 22 730 6475</w:t>
          </w:r>
        </w:p>
      </w:tc>
      <w:bookmarkStart w:id="11" w:name="PhoneNo"/>
      <w:bookmarkEnd w:id="11"/>
    </w:tr>
    <w:tr w:rsidR="00671D93" w:rsidRPr="004D495C" w14:paraId="469B7759" w14:textId="77777777" w:rsidTr="003B653D">
      <w:tc>
        <w:tcPr>
          <w:tcW w:w="1526" w:type="dxa"/>
        </w:tcPr>
        <w:p w14:paraId="148B56E9" w14:textId="77777777" w:rsidR="00671D93" w:rsidRPr="004D495C" w:rsidRDefault="00671D93" w:rsidP="00671D93">
          <w:pPr>
            <w:pStyle w:val="FirstFooter"/>
            <w:tabs>
              <w:tab w:val="left" w:pos="1559"/>
              <w:tab w:val="left" w:pos="3828"/>
            </w:tabs>
            <w:rPr>
              <w:sz w:val="20"/>
              <w:lang w:val="en-US"/>
            </w:rPr>
          </w:pPr>
        </w:p>
      </w:tc>
      <w:tc>
        <w:tcPr>
          <w:tcW w:w="2410" w:type="dxa"/>
        </w:tcPr>
        <w:p w14:paraId="4091EFE7" w14:textId="78A39C1B" w:rsidR="00671D93" w:rsidRPr="004D495C" w:rsidRDefault="00671D93" w:rsidP="00671D93">
          <w:pPr>
            <w:pStyle w:val="FirstFooter"/>
            <w:tabs>
              <w:tab w:val="left" w:pos="2302"/>
            </w:tabs>
            <w:rPr>
              <w:sz w:val="18"/>
              <w:szCs w:val="18"/>
              <w:lang w:val="en-US"/>
            </w:rPr>
          </w:pPr>
          <w:proofErr w:type="spellStart"/>
          <w:r w:rsidRPr="007945DA">
            <w:rPr>
              <w:rFonts w:hint="eastAsia"/>
            </w:rPr>
            <w:t>电子邮件</w:t>
          </w:r>
          <w:proofErr w:type="spellEnd"/>
          <w:r w:rsidRPr="007945DA">
            <w:rPr>
              <w:rFonts w:hint="eastAsia"/>
            </w:rPr>
            <w:t>：</w:t>
          </w:r>
        </w:p>
      </w:tc>
      <w:tc>
        <w:tcPr>
          <w:tcW w:w="5987" w:type="dxa"/>
        </w:tcPr>
        <w:p w14:paraId="39AD40CB" w14:textId="77777777" w:rsidR="00671D93" w:rsidRPr="0023206A" w:rsidRDefault="00671D93" w:rsidP="00671D93">
          <w:pPr>
            <w:pStyle w:val="FirstFooter"/>
            <w:tabs>
              <w:tab w:val="left" w:pos="2302"/>
            </w:tabs>
            <w:rPr>
              <w:sz w:val="18"/>
              <w:szCs w:val="18"/>
            </w:rPr>
          </w:pPr>
          <w:hyperlink r:id="rId1" w:history="1">
            <w:r w:rsidRPr="0023206A">
              <w:rPr>
                <w:rStyle w:val="Hyperlink"/>
                <w:sz w:val="18"/>
                <w:szCs w:val="18"/>
              </w:rPr>
              <w:t>archana.gulati@itu.int</w:t>
            </w:r>
          </w:hyperlink>
          <w:r w:rsidRPr="0023206A">
            <w:rPr>
              <w:sz w:val="18"/>
              <w:szCs w:val="18"/>
            </w:rPr>
            <w:t xml:space="preserve"> </w:t>
          </w:r>
        </w:p>
      </w:tc>
      <w:bookmarkStart w:id="12" w:name="Email"/>
      <w:bookmarkEnd w:id="12"/>
    </w:tr>
  </w:tbl>
  <w:p w14:paraId="37993327" w14:textId="77777777" w:rsidR="00671D93" w:rsidRDefault="00671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2D07" w14:textId="77777777" w:rsidR="005D1090" w:rsidRDefault="005D1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BE23" w14:textId="77777777" w:rsidR="009505A2" w:rsidRDefault="009505A2">
      <w:pPr>
        <w:spacing w:before="0"/>
      </w:pPr>
      <w:r>
        <w:separator/>
      </w:r>
    </w:p>
  </w:footnote>
  <w:footnote w:type="continuationSeparator" w:id="0">
    <w:p w14:paraId="4BC22378" w14:textId="77777777" w:rsidR="009505A2" w:rsidRDefault="009505A2">
      <w:pPr>
        <w:spacing w:before="0"/>
      </w:pPr>
      <w:r>
        <w:continuationSeparator/>
      </w:r>
    </w:p>
  </w:footnote>
  <w:footnote w:id="1">
    <w:p w14:paraId="15AE943B" w14:textId="4F659B08" w:rsidR="00BB475A" w:rsidRDefault="00BB475A">
      <w:pPr>
        <w:pStyle w:val="FootnoteText"/>
        <w:spacing w:before="0"/>
        <w:rPr>
          <w:sz w:val="20"/>
          <w:lang w:eastAsia="zh-CN"/>
        </w:rPr>
      </w:pPr>
      <w:r>
        <w:rPr>
          <w:rStyle w:val="FootnoteReference"/>
          <w:sz w:val="20"/>
        </w:rPr>
        <w:footnoteRef/>
      </w:r>
      <w:r>
        <w:rPr>
          <w:rFonts w:hint="eastAsia"/>
          <w:lang w:eastAsia="zh-CN"/>
        </w:rPr>
        <w:t xml:space="preserve"> </w:t>
      </w:r>
      <w:r>
        <w:rPr>
          <w:rFonts w:hint="eastAsia"/>
          <w:lang w:eastAsia="zh-CN"/>
        </w:rPr>
        <w:t>见本文件第</w:t>
      </w:r>
      <w:r w:rsidRPr="00DB4A38">
        <w:rPr>
          <w:lang w:val="en-US" w:eastAsia="zh-CN"/>
        </w:rPr>
        <w:t>30</w:t>
      </w:r>
      <w:r>
        <w:rPr>
          <w:rFonts w:hint="eastAsia"/>
          <w:lang w:eastAsia="zh-CN"/>
        </w:rPr>
        <w:t>页的输出成果指标。</w:t>
      </w:r>
    </w:p>
  </w:footnote>
  <w:footnote w:id="2">
    <w:p w14:paraId="6579641D" w14:textId="77777777" w:rsidR="00BB475A" w:rsidRDefault="00BB475A">
      <w:pPr>
        <w:overflowPunct/>
        <w:autoSpaceDE/>
        <w:autoSpaceDN/>
        <w:adjustRightInd/>
        <w:spacing w:before="0"/>
        <w:textAlignment w:val="auto"/>
        <w:rPr>
          <w:sz w:val="20"/>
          <w:lang w:eastAsia="zh-CN"/>
        </w:rPr>
      </w:pPr>
      <w:r>
        <w:rPr>
          <w:rStyle w:val="FootnoteReference"/>
          <w:sz w:val="20"/>
        </w:rPr>
        <w:footnoteRef/>
      </w:r>
      <w:r>
        <w:rPr>
          <w:rFonts w:hint="eastAsia"/>
          <w:lang w:eastAsia="zh-CN"/>
        </w:rPr>
        <w:t xml:space="preserve"> </w:t>
      </w:r>
      <w:r>
        <w:rPr>
          <w:rFonts w:hint="eastAsia"/>
          <w:lang w:eastAsia="zh-CN"/>
        </w:rPr>
        <w:t>成果指标目前正按照</w:t>
      </w:r>
      <w:r>
        <w:rPr>
          <w:rFonts w:hint="eastAsia"/>
          <w:lang w:eastAsia="zh-CN"/>
        </w:rPr>
        <w:t>ITU</w:t>
      </w:r>
      <w:r>
        <w:rPr>
          <w:rFonts w:hint="eastAsia"/>
          <w:lang w:eastAsia="zh-CN"/>
        </w:rPr>
        <w:t>战略规划加以完善，以便更好地反映所实现的结果</w:t>
      </w:r>
      <w:r>
        <w:rPr>
          <w:rFonts w:hint="eastAsia"/>
          <w:sz w:val="20"/>
          <w:lang w:eastAsia="zh-CN"/>
        </w:rPr>
        <w:t>。</w:t>
      </w:r>
    </w:p>
    <w:p w14:paraId="7D028DB7" w14:textId="77777777" w:rsidR="00BB475A" w:rsidRDefault="00BB475A">
      <w:pPr>
        <w:pStyle w:val="FootnoteText"/>
        <w:spacing w:before="0"/>
        <w:rPr>
          <w:sz w:val="20"/>
          <w:lang w:val="en-US" w:eastAsia="zh-CN"/>
        </w:rPr>
      </w:pPr>
    </w:p>
  </w:footnote>
  <w:footnote w:id="3">
    <w:p w14:paraId="660395DF" w14:textId="77777777" w:rsidR="00BB475A" w:rsidRDefault="00BB475A">
      <w:pPr>
        <w:pStyle w:val="FootnoteText"/>
        <w:spacing w:before="0"/>
        <w:rPr>
          <w:szCs w:val="24"/>
          <w:lang w:eastAsia="zh-CN"/>
        </w:rPr>
      </w:pPr>
      <w:r>
        <w:rPr>
          <w:rStyle w:val="FootnoteReference"/>
          <w:sz w:val="20"/>
        </w:rPr>
        <w:footnoteRef/>
      </w:r>
      <w:r>
        <w:rPr>
          <w:rFonts w:hint="eastAsia"/>
          <w:lang w:eastAsia="zh-CN"/>
        </w:rPr>
        <w:t xml:space="preserve"> </w:t>
      </w:r>
      <w:r>
        <w:rPr>
          <w:rFonts w:hint="eastAsia"/>
          <w:lang w:eastAsia="zh-CN"/>
        </w:rPr>
        <w:t>本重点工作通过电信发展局在资源筹措、吸引新合作伙伴和维持既有合作伙伴关系方面的努力来实现。</w:t>
      </w:r>
      <w:r>
        <w:rPr>
          <w:rFonts w:hint="eastAsia"/>
          <w:szCs w:val="24"/>
          <w:lang w:eastAsia="zh-CN"/>
        </w:rPr>
        <w:t>因此，进展情况通过“输出成果”指标来衡量。</w:t>
      </w:r>
    </w:p>
  </w:footnote>
  <w:footnote w:id="4">
    <w:p w14:paraId="32997789" w14:textId="03728960" w:rsidR="00BB475A" w:rsidRDefault="00BB475A">
      <w:pPr>
        <w:spacing w:before="0"/>
        <w:rPr>
          <w:sz w:val="20"/>
          <w:lang w:eastAsia="zh-CN"/>
        </w:rPr>
      </w:pPr>
      <w:r>
        <w:rPr>
          <w:rStyle w:val="FootnoteReference"/>
          <w:sz w:val="20"/>
        </w:rPr>
        <w:footnoteRef/>
      </w:r>
      <w:r>
        <w:rPr>
          <w:rFonts w:hint="eastAsia"/>
          <w:lang w:eastAsia="zh-CN"/>
        </w:rPr>
        <w:t xml:space="preserve"> </w:t>
      </w:r>
      <w:r>
        <w:rPr>
          <w:rFonts w:hint="eastAsia"/>
          <w:lang w:eastAsia="zh-CN"/>
        </w:rPr>
        <w:t>指标</w:t>
      </w:r>
      <w:r>
        <w:rPr>
          <w:rFonts w:hint="eastAsia"/>
          <w:lang w:val="en-US" w:eastAsia="zh-CN"/>
        </w:rPr>
        <w:t>的</w:t>
      </w:r>
      <w:r>
        <w:rPr>
          <w:rFonts w:hint="eastAsia"/>
          <w:lang w:eastAsia="zh-CN"/>
        </w:rPr>
        <w:t>具体目标</w:t>
      </w:r>
      <w:r>
        <w:rPr>
          <w:rFonts w:hint="eastAsia"/>
          <w:lang w:val="en-US" w:eastAsia="zh-CN"/>
        </w:rPr>
        <w:t>可在本文件附件</w:t>
      </w:r>
      <w:r>
        <w:rPr>
          <w:rFonts w:hint="eastAsia"/>
          <w:lang w:val="en-US" w:eastAsia="zh-CN"/>
        </w:rPr>
        <w:t>2</w:t>
      </w:r>
      <w:r>
        <w:rPr>
          <w:rFonts w:hint="eastAsia"/>
          <w:lang w:val="en-US" w:eastAsia="zh-CN"/>
        </w:rPr>
        <w:t>所载的</w:t>
      </w:r>
      <w:r>
        <w:rPr>
          <w:rFonts w:hint="eastAsia"/>
          <w:lang w:eastAsia="zh-CN"/>
        </w:rPr>
        <w:t>ITU-D</w:t>
      </w:r>
      <w:r>
        <w:rPr>
          <w:rFonts w:hint="eastAsia"/>
          <w:lang w:eastAsia="zh-CN"/>
        </w:rPr>
        <w:t>运作规划（</w:t>
      </w:r>
      <w:r>
        <w:rPr>
          <w:rFonts w:hint="eastAsia"/>
          <w:lang w:eastAsia="zh-CN"/>
        </w:rPr>
        <w:t>OP</w:t>
      </w:r>
      <w:r>
        <w:rPr>
          <w:rFonts w:hint="eastAsia"/>
          <w:lang w:eastAsia="zh-CN"/>
        </w:rPr>
        <w:t>）交互式信息概览</w:t>
      </w:r>
      <w:r>
        <w:rPr>
          <w:rFonts w:hint="eastAsia"/>
          <w:lang w:val="en-US" w:eastAsia="zh-CN"/>
        </w:rPr>
        <w:t>中找到</w:t>
      </w:r>
      <w:r>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1B53" w14:textId="5FF34113" w:rsidR="00BB475A" w:rsidRDefault="005573EC" w:rsidP="00D03117">
    <w:pPr>
      <w:tabs>
        <w:tab w:val="clear" w:pos="1134"/>
        <w:tab w:val="clear" w:pos="1871"/>
        <w:tab w:val="clear" w:pos="2268"/>
        <w:tab w:val="center" w:pos="4820"/>
        <w:tab w:val="right" w:pos="9638"/>
        <w:tab w:val="right" w:pos="14003"/>
      </w:tabs>
      <w:ind w:right="1"/>
    </w:pPr>
    <w:r>
      <w:rPr>
        <w:sz w:val="22"/>
        <w:szCs w:val="22"/>
      </w:rPr>
      <w:tab/>
    </w:r>
    <w:r>
      <w:rPr>
        <w:rFonts w:ascii="Calibri" w:hAnsi="Calibri" w:cs="Calibri"/>
        <w:sz w:val="22"/>
        <w:szCs w:val="22"/>
      </w:rPr>
      <w:t>TDAG-26/</w:t>
    </w:r>
    <w:r>
      <w:rPr>
        <w:rFonts w:ascii="Calibri" w:eastAsiaTheme="minorEastAsia" w:hAnsi="Calibri" w:cs="Calibri"/>
        <w:sz w:val="22"/>
        <w:szCs w:val="22"/>
        <w:lang w:eastAsia="zh-CN"/>
      </w:rPr>
      <w:t>2(Add.</w:t>
    </w:r>
    <w:proofErr w:type="gramStart"/>
    <w:r>
      <w:rPr>
        <w:rFonts w:ascii="Calibri" w:eastAsiaTheme="minorEastAsia" w:hAnsi="Calibri" w:cs="Calibri"/>
        <w:sz w:val="22"/>
        <w:szCs w:val="22"/>
        <w:lang w:eastAsia="zh-CN"/>
      </w:rPr>
      <w:t>2</w:t>
    </w:r>
    <w:r>
      <w:rPr>
        <w:sz w:val="22"/>
        <w:szCs w:val="22"/>
        <w:lang w:val="pt-BR"/>
      </w:rPr>
      <w:t>)(</w:t>
    </w:r>
    <w:proofErr w:type="gramEnd"/>
    <w:r>
      <w:rPr>
        <w:sz w:val="22"/>
        <w:szCs w:val="22"/>
        <w:lang w:val="pt-BR"/>
      </w:rPr>
      <w:t>Rev.</w:t>
    </w:r>
    <w:r w:rsidR="00671D93">
      <w:rPr>
        <w:rFonts w:hint="eastAsia"/>
        <w:sz w:val="22"/>
        <w:szCs w:val="22"/>
        <w:lang w:val="pt-BR" w:eastAsia="zh-CN"/>
      </w:rPr>
      <w:t>2</w:t>
    </w:r>
    <w:r>
      <w:rPr>
        <w:rFonts w:ascii="Calibri" w:eastAsiaTheme="minorEastAsia" w:hAnsi="Calibri" w:cs="Calibri"/>
        <w:sz w:val="22"/>
        <w:szCs w:val="22"/>
        <w:lang w:eastAsia="zh-CN"/>
      </w:rPr>
      <w:t>)</w:t>
    </w:r>
    <w:r>
      <w:rPr>
        <w:rFonts w:ascii="Calibri" w:hAnsi="Calibri" w:cs="Calibri"/>
        <w:sz w:val="22"/>
        <w:szCs w:val="22"/>
      </w:rPr>
      <w:t>-</w:t>
    </w:r>
    <w:r>
      <w:rPr>
        <w:rFonts w:ascii="Calibri" w:eastAsiaTheme="minorEastAsia" w:hAnsi="Calibri" w:cs="Calibri"/>
        <w:sz w:val="22"/>
        <w:szCs w:val="22"/>
        <w:lang w:eastAsia="zh-CN"/>
      </w:rPr>
      <w:t>C</w:t>
    </w:r>
    <w:r>
      <w:rPr>
        <w:sz w:val="22"/>
        <w:szCs w:val="22"/>
      </w:rPr>
      <w:tab/>
    </w:r>
    <w:r>
      <w:rPr>
        <w:rFonts w:asciiTheme="minorEastAsia" w:eastAsiaTheme="minorEastAsia" w:hAnsiTheme="minorEastAsia" w:hint="eastAsia"/>
        <w:sz w:val="22"/>
        <w:szCs w:val="22"/>
        <w:lang w:eastAsia="zh-CN"/>
      </w:rPr>
      <w:t>第</w:t>
    </w:r>
    <w:r>
      <w:rPr>
        <w:sz w:val="22"/>
        <w:szCs w:val="22"/>
      </w:rPr>
      <w:fldChar w:fldCharType="begin"/>
    </w:r>
    <w:r>
      <w:rPr>
        <w:sz w:val="22"/>
        <w:szCs w:val="22"/>
      </w:rPr>
      <w:instrText xml:space="preserve"> PAGE </w:instrText>
    </w:r>
    <w:r>
      <w:rPr>
        <w:sz w:val="22"/>
        <w:szCs w:val="22"/>
      </w:rPr>
      <w:fldChar w:fldCharType="separate"/>
    </w:r>
    <w:r w:rsidR="00C67E4B">
      <w:rPr>
        <w:noProof/>
        <w:sz w:val="22"/>
        <w:szCs w:val="22"/>
      </w:rPr>
      <w:t>6</w:t>
    </w:r>
    <w:r>
      <w:rPr>
        <w:sz w:val="22"/>
        <w:szCs w:val="22"/>
      </w:rPr>
      <w:fldChar w:fldCharType="end"/>
    </w:r>
    <w:r>
      <w:rPr>
        <w:rFonts w:asciiTheme="minorEastAsia" w:eastAsiaTheme="minorEastAsia" w:hAnsiTheme="minorEastAsia" w:hint="eastAsia"/>
        <w:sz w:val="22"/>
        <w:szCs w:val="22"/>
        <w:lang w:eastAsia="zh-CN"/>
      </w:rPr>
      <w:t>页</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652A" w14:textId="74D74938" w:rsidR="00C67E4B" w:rsidRPr="00CA6534" w:rsidRDefault="00BB475A" w:rsidP="00CA6534">
    <w:pPr>
      <w:tabs>
        <w:tab w:val="clear" w:pos="1134"/>
        <w:tab w:val="clear" w:pos="1871"/>
        <w:tab w:val="clear" w:pos="2268"/>
        <w:tab w:val="center" w:pos="7371"/>
        <w:tab w:val="right" w:pos="14287"/>
      </w:tabs>
      <w:spacing w:before="0"/>
      <w:rPr>
        <w:smallCaps/>
        <w:spacing w:val="24"/>
        <w:sz w:val="22"/>
        <w:szCs w:val="22"/>
        <w:lang w:val="es-ES_tradnl"/>
      </w:rPr>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w:t>
    </w:r>
    <w:r w:rsidR="00CA6534">
      <w:rPr>
        <w:rFonts w:ascii="Calibri" w:hAnsi="Calibri" w:cs="Calibri" w:hint="eastAsia"/>
        <w:sz w:val="22"/>
        <w:szCs w:val="22"/>
        <w:lang w:val="es-ES_tradnl" w:eastAsia="zh-CN"/>
      </w:rPr>
      <w:t>2</w:t>
    </w:r>
    <w:r>
      <w:rPr>
        <w:rFonts w:ascii="Calibri" w:hAnsi="Calibri" w:cs="Calibri"/>
        <w:sz w:val="22"/>
        <w:szCs w:val="22"/>
        <w:lang w:val="es-ES_tradnl"/>
      </w:rPr>
      <w:t>)-C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sidR="00C67E4B">
      <w:rPr>
        <w:noProof/>
        <w:sz w:val="22"/>
        <w:szCs w:val="22"/>
        <w:lang w:val="es-ES_tradnl"/>
      </w:rPr>
      <w:t>14</w:t>
    </w:r>
    <w:r>
      <w:rPr>
        <w:sz w:val="22"/>
        <w:szCs w:val="22"/>
      </w:rPr>
      <w:fldChar w:fldCharType="end"/>
    </w:r>
    <w:r>
      <w:rPr>
        <w:rFonts w:asciiTheme="minorEastAsia" w:eastAsiaTheme="minorEastAsia" w:hAnsiTheme="minorEastAsia" w:hint="eastAsia"/>
        <w:sz w:val="22"/>
        <w:szCs w:val="22"/>
        <w:lang w:val="es-ES_tradnl" w:eastAsia="zh-CN"/>
      </w:rPr>
      <w:t>页</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D4E9" w14:textId="6FD27650" w:rsidR="00BB475A" w:rsidRDefault="00BB475A" w:rsidP="00BB475A">
    <w:pPr>
      <w:tabs>
        <w:tab w:val="clear" w:pos="1134"/>
        <w:tab w:val="clear" w:pos="1871"/>
        <w:tab w:val="clear" w:pos="2268"/>
        <w:tab w:val="center" w:pos="4820"/>
        <w:tab w:val="right" w:pos="14003"/>
      </w:tabs>
      <w:ind w:right="1"/>
      <w:rPr>
        <w:smallCaps/>
        <w:spacing w:val="24"/>
        <w:sz w:val="22"/>
        <w:szCs w:val="22"/>
        <w:lang w:val="es-ES_tradnl"/>
      </w:rPr>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w:t>
    </w:r>
    <w:r w:rsidR="003B0226">
      <w:rPr>
        <w:rFonts w:ascii="Calibri" w:hAnsi="Calibri" w:cs="Calibri" w:hint="eastAsia"/>
        <w:sz w:val="22"/>
        <w:szCs w:val="22"/>
        <w:lang w:val="es-ES_tradnl" w:eastAsia="zh-CN"/>
      </w:rPr>
      <w:t>2</w:t>
    </w:r>
    <w:r>
      <w:rPr>
        <w:rFonts w:ascii="Calibri" w:hAnsi="Calibri" w:cs="Calibri"/>
        <w:sz w:val="22"/>
        <w:szCs w:val="22"/>
        <w:lang w:val="es-ES_tradnl"/>
      </w:rPr>
      <w:t>)-C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sidR="00C67E4B">
      <w:rPr>
        <w:noProof/>
        <w:sz w:val="22"/>
        <w:szCs w:val="22"/>
        <w:lang w:val="es-ES_tradnl"/>
      </w:rPr>
      <w:t>15</w:t>
    </w:r>
    <w:r>
      <w:rPr>
        <w:sz w:val="22"/>
        <w:szCs w:val="22"/>
      </w:rPr>
      <w:fldChar w:fldCharType="end"/>
    </w:r>
    <w:r>
      <w:rPr>
        <w:rFonts w:asciiTheme="minorEastAsia" w:eastAsiaTheme="minorEastAsia" w:hAnsiTheme="minorEastAsia" w:hint="eastAsia"/>
        <w:sz w:val="22"/>
        <w:szCs w:val="22"/>
        <w:lang w:val="es-ES_tradnl" w:eastAsia="zh-CN"/>
      </w:rPr>
      <w:t>页</w:t>
    </w:r>
  </w:p>
  <w:p w14:paraId="402FE2DC" w14:textId="77777777" w:rsidR="00BB475A" w:rsidRDefault="00BB475A">
    <w:pPr>
      <w:pStyle w:val="Header"/>
      <w:tabs>
        <w:tab w:val="center" w:pos="7371"/>
        <w:tab w:val="right" w:pos="14288"/>
      </w:tabs>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F88B" w14:textId="594DB144" w:rsidR="005573EC" w:rsidRPr="00FC3D72" w:rsidRDefault="005573EC" w:rsidP="00FC3D72">
    <w:pPr>
      <w:tabs>
        <w:tab w:val="clear" w:pos="1134"/>
        <w:tab w:val="clear" w:pos="1871"/>
        <w:tab w:val="clear" w:pos="2268"/>
        <w:tab w:val="center" w:pos="7371"/>
        <w:tab w:val="right" w:pos="14287"/>
      </w:tabs>
      <w:spacing w:before="0"/>
      <w:rPr>
        <w:smallCaps/>
        <w:spacing w:val="24"/>
        <w:sz w:val="22"/>
        <w:szCs w:val="22"/>
        <w:lang w:val="es-ES_tradnl"/>
      </w:rPr>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w:t>
    </w:r>
    <w:r w:rsidR="00FC3D72">
      <w:rPr>
        <w:rFonts w:ascii="Calibri" w:hAnsi="Calibri" w:cs="Calibri" w:hint="eastAsia"/>
        <w:sz w:val="22"/>
        <w:szCs w:val="22"/>
        <w:lang w:val="es-ES_tradnl" w:eastAsia="zh-CN"/>
      </w:rPr>
      <w:t>2</w:t>
    </w:r>
    <w:r>
      <w:rPr>
        <w:rFonts w:ascii="Calibri" w:hAnsi="Calibri" w:cs="Calibri"/>
        <w:sz w:val="22"/>
        <w:szCs w:val="22"/>
        <w:lang w:val="es-ES_tradnl"/>
      </w:rPr>
      <w:t>)-C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sidR="00C67E4B">
      <w:rPr>
        <w:noProof/>
        <w:sz w:val="22"/>
        <w:szCs w:val="22"/>
        <w:lang w:val="es-ES_tradnl"/>
      </w:rPr>
      <w:t>17</w:t>
    </w:r>
    <w:r>
      <w:rPr>
        <w:sz w:val="22"/>
        <w:szCs w:val="22"/>
      </w:rPr>
      <w:fldChar w:fldCharType="end"/>
    </w:r>
    <w:r>
      <w:rPr>
        <w:rFonts w:asciiTheme="minorEastAsia" w:eastAsiaTheme="minorEastAsia" w:hAnsiTheme="minorEastAsia" w:hint="eastAsia"/>
        <w:sz w:val="22"/>
        <w:szCs w:val="22"/>
        <w:lang w:val="es-ES_tradnl" w:eastAsia="zh-CN"/>
      </w:rPr>
      <w:t>页</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4C3C" w14:textId="658668B9" w:rsidR="00893CA7" w:rsidRPr="00317700" w:rsidRDefault="005573EC" w:rsidP="00317700">
    <w:pPr>
      <w:tabs>
        <w:tab w:val="clear" w:pos="1134"/>
        <w:tab w:val="clear" w:pos="1871"/>
        <w:tab w:val="clear" w:pos="2268"/>
        <w:tab w:val="center" w:pos="4820"/>
        <w:tab w:val="right" w:pos="14003"/>
      </w:tabs>
      <w:ind w:right="1"/>
      <w:rPr>
        <w:rFonts w:asciiTheme="minorEastAsia" w:eastAsiaTheme="minorEastAsia" w:hAnsiTheme="minorEastAsia"/>
        <w:sz w:val="22"/>
        <w:szCs w:val="22"/>
        <w:lang w:val="es-ES_tradnl" w:eastAsia="zh-CN"/>
      </w:rPr>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w:t>
    </w:r>
    <w:r w:rsidR="00317700">
      <w:rPr>
        <w:rFonts w:ascii="Calibri" w:hAnsi="Calibri" w:cs="Calibri" w:hint="eastAsia"/>
        <w:sz w:val="22"/>
        <w:szCs w:val="22"/>
        <w:lang w:val="es-ES_tradnl" w:eastAsia="zh-CN"/>
      </w:rPr>
      <w:t>2</w:t>
    </w:r>
    <w:r>
      <w:rPr>
        <w:rFonts w:ascii="Calibri" w:hAnsi="Calibri" w:cs="Calibri"/>
        <w:sz w:val="22"/>
        <w:szCs w:val="22"/>
        <w:lang w:val="es-ES_tradnl"/>
      </w:rPr>
      <w:t>)-C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sidR="00C67E4B">
      <w:rPr>
        <w:noProof/>
        <w:sz w:val="22"/>
        <w:szCs w:val="22"/>
        <w:lang w:val="es-ES_tradnl"/>
      </w:rPr>
      <w:t>19</w:t>
    </w:r>
    <w:r>
      <w:rPr>
        <w:sz w:val="22"/>
        <w:szCs w:val="22"/>
      </w:rPr>
      <w:fldChar w:fldCharType="end"/>
    </w:r>
    <w:r>
      <w:rPr>
        <w:rFonts w:asciiTheme="minorEastAsia" w:eastAsiaTheme="minorEastAsia" w:hAnsiTheme="minorEastAsia" w:hint="eastAsia"/>
        <w:sz w:val="22"/>
        <w:szCs w:val="22"/>
        <w:lang w:val="es-ES_tradnl" w:eastAsia="zh-CN"/>
      </w:rPr>
      <w:t>页</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1AB8" w14:textId="241F684F" w:rsidR="00BB475A" w:rsidRDefault="00BB475A" w:rsidP="00BB475A">
    <w:pPr>
      <w:tabs>
        <w:tab w:val="clear" w:pos="1134"/>
        <w:tab w:val="clear" w:pos="1871"/>
        <w:tab w:val="clear" w:pos="2268"/>
        <w:tab w:val="center" w:pos="4820"/>
        <w:tab w:val="right" w:pos="14003"/>
      </w:tabs>
      <w:ind w:right="1"/>
      <w:rPr>
        <w:smallCaps/>
        <w:spacing w:val="24"/>
        <w:sz w:val="22"/>
        <w:szCs w:val="22"/>
        <w:lang w:val="es-ES_tradnl"/>
      </w:rPr>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Rev.1)-C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sidR="005573EC">
      <w:rPr>
        <w:noProof/>
        <w:sz w:val="22"/>
        <w:szCs w:val="22"/>
        <w:lang w:val="es-ES_tradnl"/>
      </w:rPr>
      <w:t>22</w:t>
    </w:r>
    <w:r>
      <w:rPr>
        <w:sz w:val="22"/>
        <w:szCs w:val="22"/>
      </w:rPr>
      <w:fldChar w:fldCharType="end"/>
    </w:r>
    <w:r>
      <w:rPr>
        <w:rFonts w:asciiTheme="minorEastAsia" w:eastAsiaTheme="minorEastAsia" w:hAnsiTheme="minorEastAsia" w:hint="eastAsia"/>
        <w:sz w:val="22"/>
        <w:szCs w:val="22"/>
        <w:lang w:val="es-ES_tradnl" w:eastAsia="zh-CN"/>
      </w:rPr>
      <w:t>页</w:t>
    </w:r>
  </w:p>
  <w:p w14:paraId="193AE907" w14:textId="77777777" w:rsidR="00BB475A" w:rsidRDefault="00BB475A">
    <w:pPr>
      <w:pStyle w:val="Header"/>
      <w:tabs>
        <w:tab w:val="center" w:pos="7371"/>
        <w:tab w:val="right" w:pos="14288"/>
      </w:tabs>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140D" w14:textId="15770886" w:rsidR="005573EC" w:rsidRPr="00B6796F" w:rsidRDefault="005573EC" w:rsidP="00B6796F">
    <w:pPr>
      <w:tabs>
        <w:tab w:val="clear" w:pos="1134"/>
        <w:tab w:val="clear" w:pos="1871"/>
        <w:tab w:val="clear" w:pos="2268"/>
        <w:tab w:val="center" w:pos="7371"/>
        <w:tab w:val="right" w:pos="14287"/>
      </w:tabs>
      <w:spacing w:before="0"/>
      <w:rPr>
        <w:rFonts w:asciiTheme="minorEastAsia" w:eastAsiaTheme="minorEastAsia" w:hAnsiTheme="minorEastAsia"/>
        <w:sz w:val="22"/>
        <w:szCs w:val="22"/>
        <w:lang w:val="es-ES_tradnl" w:eastAsia="zh-CN"/>
      </w:rPr>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w:t>
    </w:r>
    <w:r w:rsidR="00B6796F">
      <w:rPr>
        <w:rFonts w:ascii="Calibri" w:hAnsi="Calibri" w:cs="Calibri" w:hint="eastAsia"/>
        <w:sz w:val="22"/>
        <w:szCs w:val="22"/>
        <w:lang w:val="es-ES_tradnl" w:eastAsia="zh-CN"/>
      </w:rPr>
      <w:t>2</w:t>
    </w:r>
    <w:r>
      <w:rPr>
        <w:rFonts w:ascii="Calibri" w:hAnsi="Calibri" w:cs="Calibri"/>
        <w:sz w:val="22"/>
        <w:szCs w:val="22"/>
        <w:lang w:val="es-ES_tradnl"/>
      </w:rPr>
      <w:t>)-C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sidR="00C67E4B">
      <w:rPr>
        <w:noProof/>
        <w:sz w:val="22"/>
        <w:szCs w:val="22"/>
        <w:lang w:val="es-ES_tradnl"/>
      </w:rPr>
      <w:t>20</w:t>
    </w:r>
    <w:r>
      <w:rPr>
        <w:sz w:val="22"/>
        <w:szCs w:val="22"/>
      </w:rPr>
      <w:fldChar w:fldCharType="end"/>
    </w:r>
    <w:r>
      <w:rPr>
        <w:rFonts w:asciiTheme="minorEastAsia" w:eastAsiaTheme="minorEastAsia" w:hAnsiTheme="minorEastAsia" w:hint="eastAsia"/>
        <w:sz w:val="22"/>
        <w:szCs w:val="22"/>
        <w:lang w:val="es-ES_tradnl" w:eastAsia="zh-CN"/>
      </w:rPr>
      <w:t>页</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6FBA" w14:textId="0ADB5219" w:rsidR="005573EC" w:rsidRPr="00B63C40" w:rsidRDefault="005573EC" w:rsidP="00B63C40">
    <w:pPr>
      <w:tabs>
        <w:tab w:val="clear" w:pos="1134"/>
        <w:tab w:val="clear" w:pos="1871"/>
        <w:tab w:val="clear" w:pos="2268"/>
        <w:tab w:val="center" w:pos="4820"/>
        <w:tab w:val="right" w:pos="14003"/>
      </w:tabs>
      <w:ind w:right="1"/>
      <w:rPr>
        <w:rFonts w:asciiTheme="minorEastAsia" w:eastAsiaTheme="minorEastAsia" w:hAnsiTheme="minorEastAsia"/>
        <w:sz w:val="22"/>
        <w:szCs w:val="22"/>
        <w:lang w:eastAsia="zh-CN"/>
      </w:rPr>
    </w:pPr>
    <w:r>
      <w:rPr>
        <w:sz w:val="22"/>
        <w:szCs w:val="22"/>
      </w:rPr>
      <w:tab/>
    </w:r>
    <w:r>
      <w:rPr>
        <w:rFonts w:ascii="Calibri" w:hAnsi="Calibri" w:cs="Calibri"/>
        <w:sz w:val="22"/>
        <w:szCs w:val="22"/>
      </w:rPr>
      <w:t>TDAG-26/</w:t>
    </w:r>
    <w:r>
      <w:rPr>
        <w:rFonts w:ascii="Calibri" w:eastAsiaTheme="minorEastAsia" w:hAnsi="Calibri" w:cs="Calibri"/>
        <w:sz w:val="22"/>
        <w:szCs w:val="22"/>
        <w:lang w:eastAsia="zh-CN"/>
      </w:rPr>
      <w:t>2(Add.</w:t>
    </w:r>
    <w:proofErr w:type="gramStart"/>
    <w:r>
      <w:rPr>
        <w:rFonts w:ascii="Calibri" w:eastAsiaTheme="minorEastAsia" w:hAnsi="Calibri" w:cs="Calibri"/>
        <w:sz w:val="22"/>
        <w:szCs w:val="22"/>
        <w:lang w:eastAsia="zh-CN"/>
      </w:rPr>
      <w:t>2</w:t>
    </w:r>
    <w:r>
      <w:rPr>
        <w:sz w:val="22"/>
        <w:szCs w:val="22"/>
        <w:lang w:val="pt-BR"/>
      </w:rPr>
      <w:t>)(</w:t>
    </w:r>
    <w:proofErr w:type="gramEnd"/>
    <w:r>
      <w:rPr>
        <w:sz w:val="22"/>
        <w:szCs w:val="22"/>
        <w:lang w:val="pt-BR"/>
      </w:rPr>
      <w:t>Rev.</w:t>
    </w:r>
    <w:r w:rsidR="00B6796F">
      <w:rPr>
        <w:rFonts w:hint="eastAsia"/>
        <w:sz w:val="22"/>
        <w:szCs w:val="22"/>
        <w:lang w:val="pt-BR" w:eastAsia="zh-CN"/>
      </w:rPr>
      <w:t>2</w:t>
    </w:r>
    <w:r>
      <w:rPr>
        <w:rFonts w:ascii="Calibri" w:eastAsiaTheme="minorEastAsia" w:hAnsi="Calibri" w:cs="Calibri"/>
        <w:sz w:val="22"/>
        <w:szCs w:val="22"/>
        <w:lang w:eastAsia="zh-CN"/>
      </w:rPr>
      <w:t>)</w:t>
    </w:r>
    <w:r>
      <w:rPr>
        <w:rFonts w:ascii="Calibri" w:hAnsi="Calibri" w:cs="Calibri"/>
        <w:sz w:val="22"/>
        <w:szCs w:val="22"/>
      </w:rPr>
      <w:t>-</w:t>
    </w:r>
    <w:r>
      <w:rPr>
        <w:rFonts w:ascii="Calibri" w:eastAsiaTheme="minorEastAsia" w:hAnsi="Calibri" w:cs="Calibri"/>
        <w:sz w:val="22"/>
        <w:szCs w:val="22"/>
        <w:lang w:eastAsia="zh-CN"/>
      </w:rPr>
      <w:t>C</w:t>
    </w:r>
    <w:r>
      <w:rPr>
        <w:sz w:val="22"/>
        <w:szCs w:val="22"/>
      </w:rPr>
      <w:tab/>
    </w:r>
    <w:r>
      <w:rPr>
        <w:rFonts w:asciiTheme="minorEastAsia" w:eastAsiaTheme="minorEastAsia" w:hAnsiTheme="minorEastAsia" w:hint="eastAsia"/>
        <w:sz w:val="22"/>
        <w:szCs w:val="22"/>
        <w:lang w:eastAsia="zh-CN"/>
      </w:rPr>
      <w:t>第</w:t>
    </w:r>
    <w:r>
      <w:rPr>
        <w:sz w:val="22"/>
        <w:szCs w:val="22"/>
      </w:rPr>
      <w:fldChar w:fldCharType="begin"/>
    </w:r>
    <w:r>
      <w:rPr>
        <w:sz w:val="22"/>
        <w:szCs w:val="22"/>
      </w:rPr>
      <w:instrText xml:space="preserve"> PAGE </w:instrText>
    </w:r>
    <w:r>
      <w:rPr>
        <w:sz w:val="22"/>
        <w:szCs w:val="22"/>
      </w:rPr>
      <w:fldChar w:fldCharType="separate"/>
    </w:r>
    <w:r w:rsidR="00C67E4B">
      <w:rPr>
        <w:noProof/>
        <w:sz w:val="22"/>
        <w:szCs w:val="22"/>
      </w:rPr>
      <w:t>25</w:t>
    </w:r>
    <w:r>
      <w:rPr>
        <w:sz w:val="22"/>
        <w:szCs w:val="22"/>
      </w:rPr>
      <w:fldChar w:fldCharType="end"/>
    </w:r>
    <w:r>
      <w:rPr>
        <w:rFonts w:asciiTheme="minorEastAsia" w:eastAsiaTheme="minorEastAsia" w:hAnsiTheme="minorEastAsia" w:hint="eastAsia"/>
        <w:sz w:val="22"/>
        <w:szCs w:val="22"/>
        <w:lang w:eastAsia="zh-CN"/>
      </w:rPr>
      <w:t>页</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813A" w14:textId="3B6D944E" w:rsidR="00BB475A" w:rsidRDefault="00BB475A" w:rsidP="00713809">
    <w:pPr>
      <w:tabs>
        <w:tab w:val="center" w:pos="4820"/>
        <w:tab w:val="right" w:pos="14003"/>
      </w:tabs>
      <w:ind w:right="1"/>
      <w:jc w:val="center"/>
      <w:rPr>
        <w:smallCaps/>
        <w:spacing w:val="24"/>
        <w:sz w:val="22"/>
        <w:szCs w:val="22"/>
      </w:rPr>
    </w:pPr>
  </w:p>
  <w:p w14:paraId="6B13ECAE" w14:textId="77777777" w:rsidR="00BB475A" w:rsidRDefault="00BB4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E346" w14:textId="0786422E" w:rsidR="00C67E4B" w:rsidRPr="00600B4A" w:rsidRDefault="005573EC" w:rsidP="000B1DEB">
    <w:pPr>
      <w:tabs>
        <w:tab w:val="clear" w:pos="1134"/>
        <w:tab w:val="clear" w:pos="1871"/>
        <w:tab w:val="clear" w:pos="2268"/>
        <w:tab w:val="center" w:pos="7371"/>
        <w:tab w:val="right" w:pos="14288"/>
      </w:tabs>
      <w:spacing w:before="0"/>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w:t>
    </w:r>
    <w:r w:rsidR="000B1DEB">
      <w:rPr>
        <w:rFonts w:ascii="Calibri" w:hAnsi="Calibri" w:cs="Calibri" w:hint="eastAsia"/>
        <w:sz w:val="22"/>
        <w:szCs w:val="22"/>
        <w:lang w:val="es-ES_tradnl" w:eastAsia="zh-CN"/>
      </w:rPr>
      <w:t>2</w:t>
    </w:r>
    <w:r>
      <w:rPr>
        <w:rFonts w:ascii="Calibri" w:hAnsi="Calibri" w:cs="Calibri"/>
        <w:sz w:val="22"/>
        <w:szCs w:val="22"/>
        <w:lang w:val="es-ES_tradnl"/>
      </w:rPr>
      <w:t>)-C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sidR="00C67E4B">
      <w:rPr>
        <w:noProof/>
        <w:sz w:val="22"/>
        <w:szCs w:val="22"/>
        <w:lang w:val="es-ES_tradnl"/>
      </w:rPr>
      <w:t>7</w:t>
    </w:r>
    <w:r>
      <w:rPr>
        <w:sz w:val="22"/>
        <w:szCs w:val="22"/>
      </w:rPr>
      <w:fldChar w:fldCharType="end"/>
    </w:r>
    <w:r>
      <w:rPr>
        <w:rFonts w:asciiTheme="minorEastAsia" w:eastAsiaTheme="minorEastAsia" w:hAnsiTheme="minorEastAsia" w:hint="eastAsia"/>
        <w:sz w:val="22"/>
        <w:szCs w:val="22"/>
        <w:lang w:val="es-ES_tradnl"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5196" w14:textId="0D2F0974" w:rsidR="00BB475A" w:rsidRDefault="00BB475A" w:rsidP="005573EC">
    <w:pPr>
      <w:tabs>
        <w:tab w:val="clear" w:pos="1134"/>
        <w:tab w:val="clear" w:pos="1871"/>
        <w:tab w:val="clear" w:pos="2268"/>
        <w:tab w:val="center" w:pos="7371"/>
        <w:tab w:val="right" w:pos="14288"/>
      </w:tabs>
      <w:spacing w:before="0"/>
      <w:rPr>
        <w:smallCaps/>
        <w:spacing w:val="24"/>
        <w:sz w:val="22"/>
        <w:szCs w:val="22"/>
        <w:lang w:val="es-ES_tradnl"/>
      </w:rPr>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Rev.1)-C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sidR="005573EC">
      <w:rPr>
        <w:noProof/>
        <w:sz w:val="22"/>
        <w:szCs w:val="22"/>
        <w:lang w:val="es-ES_tradnl"/>
      </w:rPr>
      <w:t>8</w:t>
    </w:r>
    <w:r>
      <w:rPr>
        <w:sz w:val="22"/>
        <w:szCs w:val="22"/>
      </w:rPr>
      <w:fldChar w:fldCharType="end"/>
    </w:r>
    <w:r>
      <w:rPr>
        <w:rFonts w:asciiTheme="minorEastAsia" w:eastAsiaTheme="minorEastAsia" w:hAnsiTheme="minorEastAsia" w:hint="eastAsia"/>
        <w:sz w:val="22"/>
        <w:szCs w:val="22"/>
        <w:lang w:val="es-ES_tradnl" w:eastAsia="zh-CN"/>
      </w:rPr>
      <w:t>页</w:t>
    </w:r>
  </w:p>
  <w:p w14:paraId="7D2726FC" w14:textId="2511FF05" w:rsidR="00BB475A" w:rsidRDefault="00BB475A" w:rsidP="005573EC">
    <w:pPr>
      <w:pStyle w:val="Header"/>
      <w:tabs>
        <w:tab w:val="center" w:pos="7371"/>
        <w:tab w:val="right" w:pos="14288"/>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1CB4" w14:textId="4C7BD221" w:rsidR="005573EC" w:rsidRPr="001C4C89" w:rsidRDefault="005573EC" w:rsidP="001C4C89">
    <w:pPr>
      <w:tabs>
        <w:tab w:val="clear" w:pos="1134"/>
        <w:tab w:val="clear" w:pos="1871"/>
        <w:tab w:val="clear" w:pos="2268"/>
        <w:tab w:val="center" w:pos="4830"/>
        <w:tab w:val="right" w:pos="14288"/>
      </w:tabs>
      <w:rPr>
        <w:rFonts w:asciiTheme="minorEastAsia" w:eastAsiaTheme="minorEastAsia" w:hAnsiTheme="minorEastAsia"/>
        <w:sz w:val="22"/>
        <w:szCs w:val="22"/>
        <w:lang w:val="es-ES_tradnl" w:eastAsia="zh-CN"/>
      </w:rPr>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w:t>
    </w:r>
    <w:r w:rsidR="001C4C89">
      <w:rPr>
        <w:rFonts w:ascii="Calibri" w:hAnsi="Calibri" w:cs="Calibri" w:hint="eastAsia"/>
        <w:sz w:val="22"/>
        <w:szCs w:val="22"/>
        <w:lang w:val="es-ES_tradnl" w:eastAsia="zh-CN"/>
      </w:rPr>
      <w:t>2</w:t>
    </w:r>
    <w:r>
      <w:rPr>
        <w:rFonts w:ascii="Calibri" w:hAnsi="Calibri" w:cs="Calibri"/>
        <w:sz w:val="22"/>
        <w:szCs w:val="22"/>
        <w:lang w:val="es-ES_tradnl"/>
      </w:rPr>
      <w:t>)-C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sidR="00C67E4B">
      <w:rPr>
        <w:noProof/>
        <w:sz w:val="22"/>
        <w:szCs w:val="22"/>
        <w:lang w:val="es-ES_tradnl"/>
      </w:rPr>
      <w:t>9</w:t>
    </w:r>
    <w:r>
      <w:rPr>
        <w:sz w:val="22"/>
        <w:szCs w:val="22"/>
      </w:rPr>
      <w:fldChar w:fldCharType="end"/>
    </w:r>
    <w:r>
      <w:rPr>
        <w:rFonts w:asciiTheme="minorEastAsia" w:eastAsiaTheme="minorEastAsia" w:hAnsiTheme="minorEastAsia" w:hint="eastAsia"/>
        <w:sz w:val="22"/>
        <w:szCs w:val="22"/>
        <w:lang w:val="es-ES_tradnl"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F985" w14:textId="09CB3D9B" w:rsidR="005573EC" w:rsidRDefault="005573EC" w:rsidP="005573EC">
    <w:pPr>
      <w:tabs>
        <w:tab w:val="clear" w:pos="1134"/>
        <w:tab w:val="clear" w:pos="1871"/>
        <w:tab w:val="clear" w:pos="2268"/>
        <w:tab w:val="center" w:pos="4788"/>
        <w:tab w:val="right" w:pos="14288"/>
      </w:tabs>
      <w:rPr>
        <w:rFonts w:asciiTheme="minorEastAsia" w:eastAsiaTheme="minorEastAsia" w:hAnsiTheme="minorEastAsia"/>
        <w:sz w:val="22"/>
        <w:szCs w:val="22"/>
        <w:lang w:val="es-ES_tradnl" w:eastAsia="zh-CN"/>
      </w:rPr>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Rev.1)-C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Pr>
        <w:noProof/>
        <w:sz w:val="22"/>
        <w:szCs w:val="22"/>
        <w:lang w:val="es-ES_tradnl"/>
      </w:rPr>
      <w:t>10</w:t>
    </w:r>
    <w:r>
      <w:rPr>
        <w:sz w:val="22"/>
        <w:szCs w:val="22"/>
      </w:rPr>
      <w:fldChar w:fldCharType="end"/>
    </w:r>
    <w:r>
      <w:rPr>
        <w:rFonts w:asciiTheme="minorEastAsia" w:eastAsiaTheme="minorEastAsia" w:hAnsiTheme="minorEastAsia" w:hint="eastAsia"/>
        <w:sz w:val="22"/>
        <w:szCs w:val="22"/>
        <w:lang w:val="es-ES_tradnl" w:eastAsia="zh-CN"/>
      </w:rPr>
      <w:t>页</w:t>
    </w:r>
  </w:p>
  <w:p w14:paraId="1666BD75" w14:textId="77777777" w:rsidR="005573EC" w:rsidRPr="005573EC" w:rsidRDefault="005573EC" w:rsidP="005573EC">
    <w:pPr>
      <w:tabs>
        <w:tab w:val="clear" w:pos="1134"/>
        <w:tab w:val="clear" w:pos="1871"/>
        <w:tab w:val="clear" w:pos="2268"/>
        <w:tab w:val="center" w:pos="4788"/>
        <w:tab w:val="right" w:pos="14288"/>
      </w:tabs>
      <w:rPr>
        <w:rFonts w:asciiTheme="minorEastAsia" w:eastAsiaTheme="minorEastAsia" w:hAnsiTheme="minorEastAsia"/>
        <w:sz w:val="22"/>
        <w:szCs w:val="22"/>
        <w:lang w:val="es-ES_tradnl"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D2B7" w14:textId="50A0A851" w:rsidR="00C67E4B" w:rsidRPr="00946FBD" w:rsidRDefault="005573EC" w:rsidP="00946FBD">
    <w:pPr>
      <w:tabs>
        <w:tab w:val="clear" w:pos="1134"/>
        <w:tab w:val="clear" w:pos="1871"/>
        <w:tab w:val="clear" w:pos="2268"/>
        <w:tab w:val="center" w:pos="7371"/>
        <w:tab w:val="right" w:pos="14288"/>
      </w:tabs>
      <w:spacing w:before="0"/>
      <w:rPr>
        <w:rFonts w:asciiTheme="minorEastAsia" w:eastAsiaTheme="minorEastAsia" w:hAnsiTheme="minorEastAsia"/>
        <w:sz w:val="22"/>
        <w:szCs w:val="22"/>
        <w:lang w:val="es-ES_tradnl" w:eastAsia="zh-CN"/>
      </w:rPr>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w:t>
    </w:r>
    <w:r w:rsidR="00946FBD">
      <w:rPr>
        <w:rFonts w:ascii="Calibri" w:hAnsi="Calibri" w:cs="Calibri" w:hint="eastAsia"/>
        <w:sz w:val="22"/>
        <w:szCs w:val="22"/>
        <w:lang w:val="es-ES_tradnl" w:eastAsia="zh-CN"/>
      </w:rPr>
      <w:t>2</w:t>
    </w:r>
    <w:r>
      <w:rPr>
        <w:rFonts w:ascii="Calibri" w:hAnsi="Calibri" w:cs="Calibri"/>
        <w:sz w:val="22"/>
        <w:szCs w:val="22"/>
        <w:lang w:val="es-ES_tradnl"/>
      </w:rPr>
      <w:t>)-C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sidR="00C67E4B">
      <w:rPr>
        <w:noProof/>
        <w:sz w:val="22"/>
        <w:szCs w:val="22"/>
        <w:lang w:val="es-ES_tradnl"/>
      </w:rPr>
      <w:t>10</w:t>
    </w:r>
    <w:r>
      <w:rPr>
        <w:sz w:val="22"/>
        <w:szCs w:val="22"/>
      </w:rPr>
      <w:fldChar w:fldCharType="end"/>
    </w:r>
    <w:r>
      <w:rPr>
        <w:rFonts w:asciiTheme="minorEastAsia" w:eastAsiaTheme="minorEastAsia" w:hAnsiTheme="minorEastAsia" w:hint="eastAsia"/>
        <w:sz w:val="22"/>
        <w:szCs w:val="22"/>
        <w:lang w:val="es-ES_tradnl" w:eastAsia="zh-CN"/>
      </w:rPr>
      <w:t>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51EF" w14:textId="1678567D" w:rsidR="005573EC" w:rsidRDefault="005573EC" w:rsidP="005573EC">
    <w:pPr>
      <w:tabs>
        <w:tab w:val="clear" w:pos="1134"/>
        <w:tab w:val="clear" w:pos="1871"/>
        <w:tab w:val="clear" w:pos="2268"/>
        <w:tab w:val="center" w:pos="4788"/>
        <w:tab w:val="right" w:pos="14288"/>
      </w:tabs>
      <w:spacing w:before="0"/>
      <w:rPr>
        <w:rFonts w:asciiTheme="minorEastAsia" w:eastAsiaTheme="minorEastAsia" w:hAnsiTheme="minorEastAsia"/>
        <w:sz w:val="22"/>
        <w:szCs w:val="22"/>
        <w:lang w:val="es-ES_tradnl" w:eastAsia="zh-CN"/>
      </w:rPr>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Rev.1)-C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Pr>
        <w:noProof/>
        <w:sz w:val="22"/>
        <w:szCs w:val="22"/>
        <w:lang w:val="es-ES_tradnl"/>
      </w:rPr>
      <w:t>12</w:t>
    </w:r>
    <w:r>
      <w:rPr>
        <w:sz w:val="22"/>
        <w:szCs w:val="22"/>
      </w:rPr>
      <w:fldChar w:fldCharType="end"/>
    </w:r>
    <w:r>
      <w:rPr>
        <w:rFonts w:asciiTheme="minorEastAsia" w:eastAsiaTheme="minorEastAsia" w:hAnsiTheme="minorEastAsia" w:hint="eastAsia"/>
        <w:sz w:val="22"/>
        <w:szCs w:val="22"/>
        <w:lang w:val="es-ES_tradnl" w:eastAsia="zh-CN"/>
      </w:rPr>
      <w:t>页</w:t>
    </w:r>
  </w:p>
  <w:p w14:paraId="2681059B" w14:textId="77777777" w:rsidR="005573EC" w:rsidRPr="005573EC" w:rsidRDefault="005573EC" w:rsidP="005573EC">
    <w:pPr>
      <w:tabs>
        <w:tab w:val="clear" w:pos="1134"/>
        <w:tab w:val="clear" w:pos="1871"/>
        <w:tab w:val="clear" w:pos="2268"/>
        <w:tab w:val="center" w:pos="4788"/>
        <w:tab w:val="right" w:pos="14288"/>
      </w:tabs>
      <w:rPr>
        <w:rFonts w:asciiTheme="minorEastAsia" w:eastAsiaTheme="minorEastAsia" w:hAnsiTheme="minorEastAsia"/>
        <w:sz w:val="22"/>
        <w:szCs w:val="22"/>
        <w:lang w:val="es-ES_tradnl" w:eastAsia="zh-C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63FF" w14:textId="7D475E93" w:rsidR="005573EC" w:rsidRPr="00173853" w:rsidRDefault="005573EC" w:rsidP="00173853">
    <w:pPr>
      <w:tabs>
        <w:tab w:val="clear" w:pos="1134"/>
        <w:tab w:val="clear" w:pos="1871"/>
        <w:tab w:val="clear" w:pos="2268"/>
        <w:tab w:val="center" w:pos="4788"/>
        <w:tab w:val="right" w:pos="14288"/>
      </w:tabs>
      <w:rPr>
        <w:rFonts w:asciiTheme="minorEastAsia" w:eastAsiaTheme="minorEastAsia" w:hAnsiTheme="minorEastAsia"/>
        <w:sz w:val="22"/>
        <w:szCs w:val="22"/>
        <w:lang w:val="es-ES_tradnl" w:eastAsia="zh-CN"/>
      </w:rPr>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w:t>
    </w:r>
    <w:r w:rsidR="00173853">
      <w:rPr>
        <w:rFonts w:ascii="Calibri" w:hAnsi="Calibri" w:cs="Calibri" w:hint="eastAsia"/>
        <w:sz w:val="22"/>
        <w:szCs w:val="22"/>
        <w:lang w:val="es-ES_tradnl" w:eastAsia="zh-CN"/>
      </w:rPr>
      <w:t>2</w:t>
    </w:r>
    <w:r>
      <w:rPr>
        <w:rFonts w:ascii="Calibri" w:hAnsi="Calibri" w:cs="Calibri"/>
        <w:sz w:val="22"/>
        <w:szCs w:val="22"/>
        <w:lang w:val="es-ES_tradnl"/>
      </w:rPr>
      <w:t>)-C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sidR="00C67E4B">
      <w:rPr>
        <w:noProof/>
        <w:sz w:val="22"/>
        <w:szCs w:val="22"/>
        <w:lang w:val="es-ES_tradnl"/>
      </w:rPr>
      <w:t>16</w:t>
    </w:r>
    <w:r>
      <w:rPr>
        <w:sz w:val="22"/>
        <w:szCs w:val="22"/>
      </w:rPr>
      <w:fldChar w:fldCharType="end"/>
    </w:r>
    <w:r>
      <w:rPr>
        <w:rFonts w:asciiTheme="minorEastAsia" w:eastAsiaTheme="minorEastAsia" w:hAnsiTheme="minorEastAsia" w:hint="eastAsia"/>
        <w:sz w:val="22"/>
        <w:szCs w:val="22"/>
        <w:lang w:val="es-ES_tradnl" w:eastAsia="zh-CN"/>
      </w:rPr>
      <w:t>页</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919D" w14:textId="0933EF04" w:rsidR="005573EC" w:rsidRDefault="005573EC" w:rsidP="005573EC">
    <w:pPr>
      <w:tabs>
        <w:tab w:val="clear" w:pos="1134"/>
        <w:tab w:val="clear" w:pos="1871"/>
        <w:tab w:val="clear" w:pos="2268"/>
        <w:tab w:val="center" w:pos="4788"/>
        <w:tab w:val="right" w:pos="14288"/>
      </w:tabs>
      <w:rPr>
        <w:rFonts w:asciiTheme="minorEastAsia" w:eastAsiaTheme="minorEastAsia" w:hAnsiTheme="minorEastAsia"/>
        <w:sz w:val="22"/>
        <w:szCs w:val="22"/>
        <w:lang w:val="es-ES_tradnl" w:eastAsia="zh-CN"/>
      </w:rPr>
    </w:pPr>
    <w:r>
      <w:rPr>
        <w:sz w:val="22"/>
        <w:szCs w:val="22"/>
      </w:rPr>
      <w:tab/>
    </w:r>
    <w:r>
      <w:rPr>
        <w:rFonts w:ascii="Calibri" w:hAnsi="Calibri" w:cs="Calibri"/>
        <w:sz w:val="22"/>
        <w:szCs w:val="22"/>
        <w:lang w:val="es-ES_tradnl"/>
      </w:rPr>
      <w:t>TDAG-26/2(Add.</w:t>
    </w:r>
    <w:proofErr w:type="gramStart"/>
    <w:r>
      <w:rPr>
        <w:rFonts w:ascii="Calibri" w:hAnsi="Calibri" w:cs="Calibri"/>
        <w:sz w:val="22"/>
        <w:szCs w:val="22"/>
        <w:lang w:val="es-ES_tradnl"/>
      </w:rPr>
      <w:t>2)(</w:t>
    </w:r>
    <w:proofErr w:type="gramEnd"/>
    <w:r>
      <w:rPr>
        <w:rFonts w:ascii="Calibri" w:hAnsi="Calibri" w:cs="Calibri"/>
        <w:sz w:val="22"/>
        <w:szCs w:val="22"/>
        <w:lang w:val="es-ES_tradnl"/>
      </w:rPr>
      <w:t>Rev.1)-C</w:t>
    </w:r>
    <w:r>
      <w:rPr>
        <w:sz w:val="22"/>
        <w:szCs w:val="22"/>
        <w:lang w:val="es-ES_tradnl"/>
      </w:rPr>
      <w:tab/>
    </w:r>
    <w:r>
      <w:rPr>
        <w:rFonts w:asciiTheme="minorEastAsia" w:eastAsiaTheme="minorEastAsia" w:hAnsiTheme="minorEastAsia" w:hint="eastAsia"/>
        <w:sz w:val="22"/>
        <w:szCs w:val="22"/>
        <w:lang w:val="es-ES_tradnl" w:eastAsia="zh-CN"/>
      </w:rPr>
      <w:t>第</w:t>
    </w:r>
    <w:r>
      <w:rPr>
        <w:sz w:val="22"/>
        <w:szCs w:val="22"/>
      </w:rPr>
      <w:fldChar w:fldCharType="begin"/>
    </w:r>
    <w:r>
      <w:rPr>
        <w:sz w:val="22"/>
        <w:szCs w:val="22"/>
        <w:lang w:val="es-ES_tradnl"/>
      </w:rPr>
      <w:instrText xml:space="preserve"> PAGE </w:instrText>
    </w:r>
    <w:r>
      <w:rPr>
        <w:sz w:val="22"/>
        <w:szCs w:val="22"/>
      </w:rPr>
      <w:fldChar w:fldCharType="separate"/>
    </w:r>
    <w:r>
      <w:rPr>
        <w:noProof/>
        <w:sz w:val="22"/>
        <w:szCs w:val="22"/>
        <w:lang w:val="es-ES_tradnl"/>
      </w:rPr>
      <w:t>12</w:t>
    </w:r>
    <w:r>
      <w:rPr>
        <w:sz w:val="22"/>
        <w:szCs w:val="22"/>
      </w:rPr>
      <w:fldChar w:fldCharType="end"/>
    </w:r>
    <w:r>
      <w:rPr>
        <w:rFonts w:asciiTheme="minorEastAsia" w:eastAsiaTheme="minorEastAsia" w:hAnsiTheme="minorEastAsia" w:hint="eastAsia"/>
        <w:sz w:val="22"/>
        <w:szCs w:val="22"/>
        <w:lang w:val="es-ES_tradnl" w:eastAsia="zh-CN"/>
      </w:rPr>
      <w:t>页</w:t>
    </w:r>
  </w:p>
  <w:p w14:paraId="3EF3748B" w14:textId="77777777" w:rsidR="005573EC" w:rsidRDefault="005573EC" w:rsidP="005573EC">
    <w:pPr>
      <w:tabs>
        <w:tab w:val="clear" w:pos="1134"/>
        <w:tab w:val="clear" w:pos="1871"/>
        <w:tab w:val="clear" w:pos="2268"/>
        <w:tab w:val="center" w:pos="4788"/>
        <w:tab w:val="right" w:pos="14288"/>
      </w:tabs>
      <w:spacing w:before="0"/>
      <w:rPr>
        <w:rFonts w:asciiTheme="minorEastAsia" w:eastAsiaTheme="minorEastAsia" w:hAnsiTheme="minorEastAsia"/>
        <w:sz w:val="22"/>
        <w:szCs w:val="22"/>
        <w:lang w:val="es-ES_tradnl"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AC5"/>
    <w:multiLevelType w:val="multilevel"/>
    <w:tmpl w:val="00707AC5"/>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1" w15:restartNumberingAfterBreak="0">
    <w:nsid w:val="00850BAA"/>
    <w:multiLevelType w:val="multilevel"/>
    <w:tmpl w:val="00850BAA"/>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2" w15:restartNumberingAfterBreak="0">
    <w:nsid w:val="165162EC"/>
    <w:multiLevelType w:val="multilevel"/>
    <w:tmpl w:val="A52AB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5B2A62"/>
    <w:multiLevelType w:val="multilevel"/>
    <w:tmpl w:val="3C5B2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CEF5D9C"/>
    <w:multiLevelType w:val="multilevel"/>
    <w:tmpl w:val="3CEF5D9C"/>
    <w:lvl w:ilvl="0">
      <w:numFmt w:val="bullet"/>
      <w:lvlText w:val="•"/>
      <w:lvlJc w:val="left"/>
      <w:pPr>
        <w:ind w:left="440" w:hanging="440"/>
      </w:pPr>
      <w:rPr>
        <w:rFonts w:ascii="Calibri" w:eastAsiaTheme="minorHAnsi"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49CA14DF"/>
    <w:multiLevelType w:val="multilevel"/>
    <w:tmpl w:val="49CA14DF"/>
    <w:lvl w:ilvl="0">
      <w:numFmt w:val="bullet"/>
      <w:lvlText w:val="•"/>
      <w:lvlJc w:val="left"/>
      <w:pPr>
        <w:ind w:left="809" w:hanging="440"/>
      </w:pPr>
      <w:rPr>
        <w:rFonts w:ascii="Calibri" w:eastAsiaTheme="minorHAnsi" w:hAnsi="Calibri" w:cs="Calibri" w:hint="default"/>
      </w:rPr>
    </w:lvl>
    <w:lvl w:ilvl="1">
      <w:start w:val="1"/>
      <w:numFmt w:val="bullet"/>
      <w:lvlText w:val=""/>
      <w:lvlJc w:val="left"/>
      <w:pPr>
        <w:ind w:left="1249" w:hanging="440"/>
      </w:pPr>
      <w:rPr>
        <w:rFonts w:ascii="Wingdings" w:hAnsi="Wingdings" w:hint="default"/>
      </w:rPr>
    </w:lvl>
    <w:lvl w:ilvl="2">
      <w:start w:val="1"/>
      <w:numFmt w:val="bullet"/>
      <w:lvlText w:val=""/>
      <w:lvlJc w:val="left"/>
      <w:pPr>
        <w:ind w:left="1689" w:hanging="440"/>
      </w:pPr>
      <w:rPr>
        <w:rFonts w:ascii="Wingdings" w:hAnsi="Wingdings" w:hint="default"/>
      </w:rPr>
    </w:lvl>
    <w:lvl w:ilvl="3">
      <w:start w:val="1"/>
      <w:numFmt w:val="bullet"/>
      <w:lvlText w:val=""/>
      <w:lvlJc w:val="left"/>
      <w:pPr>
        <w:ind w:left="2129" w:hanging="440"/>
      </w:pPr>
      <w:rPr>
        <w:rFonts w:ascii="Wingdings" w:hAnsi="Wingdings" w:hint="default"/>
      </w:rPr>
    </w:lvl>
    <w:lvl w:ilvl="4">
      <w:start w:val="1"/>
      <w:numFmt w:val="bullet"/>
      <w:lvlText w:val=""/>
      <w:lvlJc w:val="left"/>
      <w:pPr>
        <w:ind w:left="2569" w:hanging="440"/>
      </w:pPr>
      <w:rPr>
        <w:rFonts w:ascii="Wingdings" w:hAnsi="Wingdings" w:hint="default"/>
      </w:rPr>
    </w:lvl>
    <w:lvl w:ilvl="5">
      <w:start w:val="1"/>
      <w:numFmt w:val="bullet"/>
      <w:lvlText w:val=""/>
      <w:lvlJc w:val="left"/>
      <w:pPr>
        <w:ind w:left="3009" w:hanging="440"/>
      </w:pPr>
      <w:rPr>
        <w:rFonts w:ascii="Wingdings" w:hAnsi="Wingdings" w:hint="default"/>
      </w:rPr>
    </w:lvl>
    <w:lvl w:ilvl="6">
      <w:start w:val="1"/>
      <w:numFmt w:val="bullet"/>
      <w:lvlText w:val=""/>
      <w:lvlJc w:val="left"/>
      <w:pPr>
        <w:ind w:left="3449" w:hanging="440"/>
      </w:pPr>
      <w:rPr>
        <w:rFonts w:ascii="Wingdings" w:hAnsi="Wingdings" w:hint="default"/>
      </w:rPr>
    </w:lvl>
    <w:lvl w:ilvl="7">
      <w:start w:val="1"/>
      <w:numFmt w:val="bullet"/>
      <w:lvlText w:val=""/>
      <w:lvlJc w:val="left"/>
      <w:pPr>
        <w:ind w:left="3889" w:hanging="440"/>
      </w:pPr>
      <w:rPr>
        <w:rFonts w:ascii="Wingdings" w:hAnsi="Wingdings" w:hint="default"/>
      </w:rPr>
    </w:lvl>
    <w:lvl w:ilvl="8">
      <w:start w:val="1"/>
      <w:numFmt w:val="bullet"/>
      <w:lvlText w:val=""/>
      <w:lvlJc w:val="left"/>
      <w:pPr>
        <w:ind w:left="4329" w:hanging="440"/>
      </w:pPr>
      <w:rPr>
        <w:rFonts w:ascii="Wingdings" w:hAnsi="Wingdings" w:hint="default"/>
      </w:rPr>
    </w:lvl>
  </w:abstractNum>
  <w:abstractNum w:abstractNumId="6" w15:restartNumberingAfterBreak="0">
    <w:nsid w:val="5270679B"/>
    <w:multiLevelType w:val="multilevel"/>
    <w:tmpl w:val="5270679B"/>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7" w15:restartNumberingAfterBreak="0">
    <w:nsid w:val="53762F1B"/>
    <w:multiLevelType w:val="multilevel"/>
    <w:tmpl w:val="53762F1B"/>
    <w:lvl w:ilvl="0">
      <w:start w:val="1"/>
      <w:numFmt w:val="bullet"/>
      <w:lvlText w:val=""/>
      <w:lvlJc w:val="left"/>
      <w:pPr>
        <w:tabs>
          <w:tab w:val="left" w:pos="873"/>
        </w:tabs>
        <w:ind w:left="873" w:hanging="360"/>
      </w:pPr>
      <w:rPr>
        <w:rFonts w:ascii="Symbol" w:hAnsi="Symbol" w:hint="default"/>
        <w:sz w:val="20"/>
      </w:rPr>
    </w:lvl>
    <w:lvl w:ilvl="1">
      <w:start w:val="1"/>
      <w:numFmt w:val="bullet"/>
      <w:lvlText w:val="o"/>
      <w:lvlJc w:val="left"/>
      <w:pPr>
        <w:tabs>
          <w:tab w:val="left" w:pos="1593"/>
        </w:tabs>
        <w:ind w:left="1593" w:hanging="360"/>
      </w:pPr>
      <w:rPr>
        <w:rFonts w:ascii="Courier New" w:hAnsi="Courier New" w:cs="Times New Roman" w:hint="default"/>
        <w:sz w:val="20"/>
      </w:rPr>
    </w:lvl>
    <w:lvl w:ilvl="2">
      <w:start w:val="1"/>
      <w:numFmt w:val="bullet"/>
      <w:lvlText w:val=""/>
      <w:lvlJc w:val="left"/>
      <w:pPr>
        <w:tabs>
          <w:tab w:val="left" w:pos="2313"/>
        </w:tabs>
        <w:ind w:left="2313" w:hanging="360"/>
      </w:pPr>
      <w:rPr>
        <w:rFonts w:ascii="Wingdings" w:hAnsi="Wingdings" w:hint="default"/>
        <w:sz w:val="20"/>
      </w:rPr>
    </w:lvl>
    <w:lvl w:ilvl="3">
      <w:start w:val="1"/>
      <w:numFmt w:val="bullet"/>
      <w:lvlText w:val=""/>
      <w:lvlJc w:val="left"/>
      <w:pPr>
        <w:tabs>
          <w:tab w:val="left" w:pos="3033"/>
        </w:tabs>
        <w:ind w:left="3033" w:hanging="360"/>
      </w:pPr>
      <w:rPr>
        <w:rFonts w:ascii="Wingdings" w:hAnsi="Wingdings" w:hint="default"/>
        <w:sz w:val="20"/>
      </w:rPr>
    </w:lvl>
    <w:lvl w:ilvl="4">
      <w:start w:val="1"/>
      <w:numFmt w:val="bullet"/>
      <w:lvlText w:val=""/>
      <w:lvlJc w:val="left"/>
      <w:pPr>
        <w:tabs>
          <w:tab w:val="left" w:pos="3753"/>
        </w:tabs>
        <w:ind w:left="3753" w:hanging="360"/>
      </w:pPr>
      <w:rPr>
        <w:rFonts w:ascii="Wingdings" w:hAnsi="Wingdings" w:hint="default"/>
        <w:sz w:val="20"/>
      </w:rPr>
    </w:lvl>
    <w:lvl w:ilvl="5">
      <w:start w:val="1"/>
      <w:numFmt w:val="bullet"/>
      <w:lvlText w:val=""/>
      <w:lvlJc w:val="left"/>
      <w:pPr>
        <w:tabs>
          <w:tab w:val="left" w:pos="4473"/>
        </w:tabs>
        <w:ind w:left="4473" w:hanging="360"/>
      </w:pPr>
      <w:rPr>
        <w:rFonts w:ascii="Wingdings" w:hAnsi="Wingdings" w:hint="default"/>
        <w:sz w:val="20"/>
      </w:rPr>
    </w:lvl>
    <w:lvl w:ilvl="6">
      <w:start w:val="1"/>
      <w:numFmt w:val="bullet"/>
      <w:lvlText w:val=""/>
      <w:lvlJc w:val="left"/>
      <w:pPr>
        <w:tabs>
          <w:tab w:val="left" w:pos="5193"/>
        </w:tabs>
        <w:ind w:left="5193" w:hanging="360"/>
      </w:pPr>
      <w:rPr>
        <w:rFonts w:ascii="Wingdings" w:hAnsi="Wingdings" w:hint="default"/>
        <w:sz w:val="20"/>
      </w:rPr>
    </w:lvl>
    <w:lvl w:ilvl="7">
      <w:start w:val="1"/>
      <w:numFmt w:val="bullet"/>
      <w:lvlText w:val=""/>
      <w:lvlJc w:val="left"/>
      <w:pPr>
        <w:tabs>
          <w:tab w:val="left" w:pos="5913"/>
        </w:tabs>
        <w:ind w:left="5913" w:hanging="360"/>
      </w:pPr>
      <w:rPr>
        <w:rFonts w:ascii="Wingdings" w:hAnsi="Wingdings" w:hint="default"/>
        <w:sz w:val="20"/>
      </w:rPr>
    </w:lvl>
    <w:lvl w:ilvl="8">
      <w:start w:val="1"/>
      <w:numFmt w:val="bullet"/>
      <w:lvlText w:val=""/>
      <w:lvlJc w:val="left"/>
      <w:pPr>
        <w:tabs>
          <w:tab w:val="left" w:pos="6633"/>
        </w:tabs>
        <w:ind w:left="6633" w:hanging="360"/>
      </w:pPr>
      <w:rPr>
        <w:rFonts w:ascii="Wingdings" w:hAnsi="Wingdings" w:hint="default"/>
        <w:sz w:val="20"/>
      </w:rPr>
    </w:lvl>
  </w:abstractNum>
  <w:abstractNum w:abstractNumId="8" w15:restartNumberingAfterBreak="0">
    <w:nsid w:val="715D4764"/>
    <w:multiLevelType w:val="multilevel"/>
    <w:tmpl w:val="715D4764"/>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num w:numId="1" w16cid:durableId="130635991">
    <w:abstractNumId w:val="5"/>
  </w:num>
  <w:num w:numId="2" w16cid:durableId="21517674">
    <w:abstractNumId w:val="4"/>
  </w:num>
  <w:num w:numId="3" w16cid:durableId="366640249">
    <w:abstractNumId w:val="0"/>
  </w:num>
  <w:num w:numId="4" w16cid:durableId="1899971575">
    <w:abstractNumId w:val="1"/>
  </w:num>
  <w:num w:numId="5" w16cid:durableId="622273182">
    <w:abstractNumId w:val="6"/>
  </w:num>
  <w:num w:numId="6" w16cid:durableId="1761174743">
    <w:abstractNumId w:val="8"/>
  </w:num>
  <w:num w:numId="7" w16cid:durableId="1416396643">
    <w:abstractNumId w:val="7"/>
  </w:num>
  <w:num w:numId="8" w16cid:durableId="1433823479">
    <w:abstractNumId w:val="3"/>
  </w:num>
  <w:num w:numId="9" w16cid:durableId="787821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10241"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060B7"/>
    <w:rsid w:val="00011ECB"/>
    <w:rsid w:val="000150B0"/>
    <w:rsid w:val="00015E52"/>
    <w:rsid w:val="00016609"/>
    <w:rsid w:val="00022A29"/>
    <w:rsid w:val="00025926"/>
    <w:rsid w:val="00025965"/>
    <w:rsid w:val="000355FD"/>
    <w:rsid w:val="0003589F"/>
    <w:rsid w:val="0005184F"/>
    <w:rsid w:val="00051E39"/>
    <w:rsid w:val="00053725"/>
    <w:rsid w:val="00054B72"/>
    <w:rsid w:val="0005581A"/>
    <w:rsid w:val="0005619C"/>
    <w:rsid w:val="0005747E"/>
    <w:rsid w:val="000604E5"/>
    <w:rsid w:val="000616F2"/>
    <w:rsid w:val="000617DF"/>
    <w:rsid w:val="0006550B"/>
    <w:rsid w:val="0007000B"/>
    <w:rsid w:val="000735FD"/>
    <w:rsid w:val="00074109"/>
    <w:rsid w:val="00074C4D"/>
    <w:rsid w:val="00075488"/>
    <w:rsid w:val="00075C63"/>
    <w:rsid w:val="00076288"/>
    <w:rsid w:val="00077239"/>
    <w:rsid w:val="000778CA"/>
    <w:rsid w:val="000805BB"/>
    <w:rsid w:val="00080905"/>
    <w:rsid w:val="00081C9D"/>
    <w:rsid w:val="000822BE"/>
    <w:rsid w:val="000829BB"/>
    <w:rsid w:val="00082B11"/>
    <w:rsid w:val="000840A7"/>
    <w:rsid w:val="00085C6A"/>
    <w:rsid w:val="00086491"/>
    <w:rsid w:val="000904F9"/>
    <w:rsid w:val="000909ED"/>
    <w:rsid w:val="00091346"/>
    <w:rsid w:val="00091C80"/>
    <w:rsid w:val="0009581F"/>
    <w:rsid w:val="00095901"/>
    <w:rsid w:val="00097074"/>
    <w:rsid w:val="00097CBF"/>
    <w:rsid w:val="000A0514"/>
    <w:rsid w:val="000A385C"/>
    <w:rsid w:val="000A3B54"/>
    <w:rsid w:val="000A3E8F"/>
    <w:rsid w:val="000A4464"/>
    <w:rsid w:val="000A59AE"/>
    <w:rsid w:val="000B1DEB"/>
    <w:rsid w:val="000B7245"/>
    <w:rsid w:val="000B738A"/>
    <w:rsid w:val="000C03F4"/>
    <w:rsid w:val="000C17EA"/>
    <w:rsid w:val="000C2592"/>
    <w:rsid w:val="000C42BA"/>
    <w:rsid w:val="000C4FD1"/>
    <w:rsid w:val="000D1759"/>
    <w:rsid w:val="000D38EB"/>
    <w:rsid w:val="000D4875"/>
    <w:rsid w:val="000D6891"/>
    <w:rsid w:val="000D6E8D"/>
    <w:rsid w:val="000E00E6"/>
    <w:rsid w:val="000E3AFA"/>
    <w:rsid w:val="000E6229"/>
    <w:rsid w:val="000E71F8"/>
    <w:rsid w:val="000F29EC"/>
    <w:rsid w:val="000F38EA"/>
    <w:rsid w:val="000F542E"/>
    <w:rsid w:val="000F641B"/>
    <w:rsid w:val="000F73FF"/>
    <w:rsid w:val="000F7F1C"/>
    <w:rsid w:val="00102175"/>
    <w:rsid w:val="00102343"/>
    <w:rsid w:val="001029B3"/>
    <w:rsid w:val="00104614"/>
    <w:rsid w:val="00105DCD"/>
    <w:rsid w:val="001066B3"/>
    <w:rsid w:val="001114AC"/>
    <w:rsid w:val="0011455C"/>
    <w:rsid w:val="00114584"/>
    <w:rsid w:val="00114CF7"/>
    <w:rsid w:val="00115411"/>
    <w:rsid w:val="00115B33"/>
    <w:rsid w:val="00116B95"/>
    <w:rsid w:val="00117233"/>
    <w:rsid w:val="00123B68"/>
    <w:rsid w:val="00124AF4"/>
    <w:rsid w:val="00124CAA"/>
    <w:rsid w:val="00125E69"/>
    <w:rsid w:val="00126F2E"/>
    <w:rsid w:val="00126F49"/>
    <w:rsid w:val="00127EBC"/>
    <w:rsid w:val="00127FC6"/>
    <w:rsid w:val="00132EA7"/>
    <w:rsid w:val="00133976"/>
    <w:rsid w:val="00134AE8"/>
    <w:rsid w:val="001424DC"/>
    <w:rsid w:val="00143A87"/>
    <w:rsid w:val="00144E69"/>
    <w:rsid w:val="00146F6F"/>
    <w:rsid w:val="0014714E"/>
    <w:rsid w:val="00147DA1"/>
    <w:rsid w:val="00152957"/>
    <w:rsid w:val="00152CAC"/>
    <w:rsid w:val="001637B4"/>
    <w:rsid w:val="00166196"/>
    <w:rsid w:val="001664A7"/>
    <w:rsid w:val="00166A6D"/>
    <w:rsid w:val="00167327"/>
    <w:rsid w:val="00167A9D"/>
    <w:rsid w:val="00170C5A"/>
    <w:rsid w:val="00171758"/>
    <w:rsid w:val="00173853"/>
    <w:rsid w:val="0017500F"/>
    <w:rsid w:val="00176991"/>
    <w:rsid w:val="00180444"/>
    <w:rsid w:val="001832B9"/>
    <w:rsid w:val="00185737"/>
    <w:rsid w:val="00187BD9"/>
    <w:rsid w:val="0019060A"/>
    <w:rsid w:val="00190B55"/>
    <w:rsid w:val="00191F5C"/>
    <w:rsid w:val="00192FA9"/>
    <w:rsid w:val="00193E7E"/>
    <w:rsid w:val="00194CFB"/>
    <w:rsid w:val="001961B3"/>
    <w:rsid w:val="001963DA"/>
    <w:rsid w:val="001A1FFD"/>
    <w:rsid w:val="001A3858"/>
    <w:rsid w:val="001A4BD2"/>
    <w:rsid w:val="001A6D88"/>
    <w:rsid w:val="001B2ED3"/>
    <w:rsid w:val="001B643A"/>
    <w:rsid w:val="001B6675"/>
    <w:rsid w:val="001B66FE"/>
    <w:rsid w:val="001B7EA3"/>
    <w:rsid w:val="001C3B5F"/>
    <w:rsid w:val="001C4C89"/>
    <w:rsid w:val="001C61EA"/>
    <w:rsid w:val="001D058F"/>
    <w:rsid w:val="001D2025"/>
    <w:rsid w:val="001D520B"/>
    <w:rsid w:val="001E0384"/>
    <w:rsid w:val="001E24AF"/>
    <w:rsid w:val="001E252D"/>
    <w:rsid w:val="001E2614"/>
    <w:rsid w:val="001E43DC"/>
    <w:rsid w:val="001F2F90"/>
    <w:rsid w:val="002009EA"/>
    <w:rsid w:val="00202CA0"/>
    <w:rsid w:val="00207A5D"/>
    <w:rsid w:val="002154A6"/>
    <w:rsid w:val="002162CD"/>
    <w:rsid w:val="00216478"/>
    <w:rsid w:val="0022031C"/>
    <w:rsid w:val="00220634"/>
    <w:rsid w:val="00221C1D"/>
    <w:rsid w:val="002226B9"/>
    <w:rsid w:val="002228D4"/>
    <w:rsid w:val="00224B7C"/>
    <w:rsid w:val="00224CDD"/>
    <w:rsid w:val="002255B3"/>
    <w:rsid w:val="0023164A"/>
    <w:rsid w:val="002319F6"/>
    <w:rsid w:val="0023409C"/>
    <w:rsid w:val="002346C7"/>
    <w:rsid w:val="002351D4"/>
    <w:rsid w:val="00235C5F"/>
    <w:rsid w:val="00236E8A"/>
    <w:rsid w:val="00240BC8"/>
    <w:rsid w:val="002420D0"/>
    <w:rsid w:val="00242487"/>
    <w:rsid w:val="00243411"/>
    <w:rsid w:val="00244EFA"/>
    <w:rsid w:val="00246B32"/>
    <w:rsid w:val="00251A53"/>
    <w:rsid w:val="0025489C"/>
    <w:rsid w:val="0026406F"/>
    <w:rsid w:val="002653F2"/>
    <w:rsid w:val="00266589"/>
    <w:rsid w:val="00267792"/>
    <w:rsid w:val="002712A9"/>
    <w:rsid w:val="00271316"/>
    <w:rsid w:val="00272417"/>
    <w:rsid w:val="00274CC3"/>
    <w:rsid w:val="00276414"/>
    <w:rsid w:val="00283F74"/>
    <w:rsid w:val="00286C1D"/>
    <w:rsid w:val="00286C4C"/>
    <w:rsid w:val="002941F3"/>
    <w:rsid w:val="00294BF6"/>
    <w:rsid w:val="00294D5A"/>
    <w:rsid w:val="002955DA"/>
    <w:rsid w:val="00295A71"/>
    <w:rsid w:val="00296313"/>
    <w:rsid w:val="00296DA0"/>
    <w:rsid w:val="00297006"/>
    <w:rsid w:val="002A0A7A"/>
    <w:rsid w:val="002A0D8C"/>
    <w:rsid w:val="002A27F8"/>
    <w:rsid w:val="002A51DF"/>
    <w:rsid w:val="002A684E"/>
    <w:rsid w:val="002B074A"/>
    <w:rsid w:val="002B10D5"/>
    <w:rsid w:val="002B3296"/>
    <w:rsid w:val="002B3C84"/>
    <w:rsid w:val="002B52B6"/>
    <w:rsid w:val="002B5490"/>
    <w:rsid w:val="002C12ED"/>
    <w:rsid w:val="002C49BA"/>
    <w:rsid w:val="002C4B75"/>
    <w:rsid w:val="002C73F6"/>
    <w:rsid w:val="002C7D5E"/>
    <w:rsid w:val="002D58BE"/>
    <w:rsid w:val="002E4D1D"/>
    <w:rsid w:val="002E51E0"/>
    <w:rsid w:val="002E5411"/>
    <w:rsid w:val="002E7A84"/>
    <w:rsid w:val="002F1BD0"/>
    <w:rsid w:val="003013EE"/>
    <w:rsid w:val="00304031"/>
    <w:rsid w:val="0030459F"/>
    <w:rsid w:val="00304997"/>
    <w:rsid w:val="00311808"/>
    <w:rsid w:val="00311851"/>
    <w:rsid w:val="00311CD5"/>
    <w:rsid w:val="00316725"/>
    <w:rsid w:val="00316A69"/>
    <w:rsid w:val="00317700"/>
    <w:rsid w:val="003231C6"/>
    <w:rsid w:val="00323E49"/>
    <w:rsid w:val="003247A5"/>
    <w:rsid w:val="00325939"/>
    <w:rsid w:val="003273BC"/>
    <w:rsid w:val="00331F05"/>
    <w:rsid w:val="00335759"/>
    <w:rsid w:val="00337750"/>
    <w:rsid w:val="0034384D"/>
    <w:rsid w:val="00345D42"/>
    <w:rsid w:val="00346224"/>
    <w:rsid w:val="0034636C"/>
    <w:rsid w:val="0035089A"/>
    <w:rsid w:val="00350AB9"/>
    <w:rsid w:val="003511BC"/>
    <w:rsid w:val="00356083"/>
    <w:rsid w:val="00361609"/>
    <w:rsid w:val="00363C3B"/>
    <w:rsid w:val="00364098"/>
    <w:rsid w:val="00364761"/>
    <w:rsid w:val="00366978"/>
    <w:rsid w:val="0037003F"/>
    <w:rsid w:val="00372BCF"/>
    <w:rsid w:val="00373365"/>
    <w:rsid w:val="00377BD3"/>
    <w:rsid w:val="003807EA"/>
    <w:rsid w:val="003829D8"/>
    <w:rsid w:val="0038304D"/>
    <w:rsid w:val="00384088"/>
    <w:rsid w:val="0038489B"/>
    <w:rsid w:val="00385BE9"/>
    <w:rsid w:val="0039169B"/>
    <w:rsid w:val="00392277"/>
    <w:rsid w:val="00394B90"/>
    <w:rsid w:val="003968CC"/>
    <w:rsid w:val="003A03FF"/>
    <w:rsid w:val="003A04F5"/>
    <w:rsid w:val="003A22FC"/>
    <w:rsid w:val="003A5137"/>
    <w:rsid w:val="003A6BAC"/>
    <w:rsid w:val="003A6BED"/>
    <w:rsid w:val="003A7F8C"/>
    <w:rsid w:val="003B0226"/>
    <w:rsid w:val="003B08DA"/>
    <w:rsid w:val="003B11F9"/>
    <w:rsid w:val="003B2B56"/>
    <w:rsid w:val="003B532E"/>
    <w:rsid w:val="003B6306"/>
    <w:rsid w:val="003B6602"/>
    <w:rsid w:val="003B6F14"/>
    <w:rsid w:val="003B6F60"/>
    <w:rsid w:val="003C1870"/>
    <w:rsid w:val="003C6136"/>
    <w:rsid w:val="003D0F8B"/>
    <w:rsid w:val="003D2CDF"/>
    <w:rsid w:val="003D31C8"/>
    <w:rsid w:val="003D39F2"/>
    <w:rsid w:val="003D51F3"/>
    <w:rsid w:val="003D5A63"/>
    <w:rsid w:val="003D6425"/>
    <w:rsid w:val="003D66A7"/>
    <w:rsid w:val="003D6851"/>
    <w:rsid w:val="003D6BF3"/>
    <w:rsid w:val="003D7EE8"/>
    <w:rsid w:val="003E29B0"/>
    <w:rsid w:val="003F0A6C"/>
    <w:rsid w:val="003F0F49"/>
    <w:rsid w:val="003F1363"/>
    <w:rsid w:val="00403C69"/>
    <w:rsid w:val="00404E75"/>
    <w:rsid w:val="00405EC2"/>
    <w:rsid w:val="00406278"/>
    <w:rsid w:val="00406297"/>
    <w:rsid w:val="004069A4"/>
    <w:rsid w:val="00412C81"/>
    <w:rsid w:val="004131D4"/>
    <w:rsid w:val="0041348E"/>
    <w:rsid w:val="00414895"/>
    <w:rsid w:val="004208C6"/>
    <w:rsid w:val="00421605"/>
    <w:rsid w:val="0042281B"/>
    <w:rsid w:val="004269E6"/>
    <w:rsid w:val="004312EB"/>
    <w:rsid w:val="00433357"/>
    <w:rsid w:val="00435762"/>
    <w:rsid w:val="00435E45"/>
    <w:rsid w:val="004364D9"/>
    <w:rsid w:val="00437819"/>
    <w:rsid w:val="00437A8D"/>
    <w:rsid w:val="00440C4F"/>
    <w:rsid w:val="00441E8B"/>
    <w:rsid w:val="004445FD"/>
    <w:rsid w:val="00446FBA"/>
    <w:rsid w:val="00447308"/>
    <w:rsid w:val="00447990"/>
    <w:rsid w:val="00447CEA"/>
    <w:rsid w:val="004500BC"/>
    <w:rsid w:val="00451B1B"/>
    <w:rsid w:val="00452B54"/>
    <w:rsid w:val="00452DCA"/>
    <w:rsid w:val="004552B4"/>
    <w:rsid w:val="00460CF8"/>
    <w:rsid w:val="00462253"/>
    <w:rsid w:val="00462CB2"/>
    <w:rsid w:val="004631CC"/>
    <w:rsid w:val="00467DB2"/>
    <w:rsid w:val="00472E98"/>
    <w:rsid w:val="00472FC1"/>
    <w:rsid w:val="004755BA"/>
    <w:rsid w:val="004765FF"/>
    <w:rsid w:val="00481E58"/>
    <w:rsid w:val="0048520E"/>
    <w:rsid w:val="00486163"/>
    <w:rsid w:val="00491F42"/>
    <w:rsid w:val="00492075"/>
    <w:rsid w:val="0049304E"/>
    <w:rsid w:val="00495290"/>
    <w:rsid w:val="004969AD"/>
    <w:rsid w:val="00496E2A"/>
    <w:rsid w:val="004A0244"/>
    <w:rsid w:val="004A3FF4"/>
    <w:rsid w:val="004A4655"/>
    <w:rsid w:val="004A7674"/>
    <w:rsid w:val="004A783D"/>
    <w:rsid w:val="004B0EC1"/>
    <w:rsid w:val="004B13CB"/>
    <w:rsid w:val="004B2466"/>
    <w:rsid w:val="004B2A9A"/>
    <w:rsid w:val="004B3C6F"/>
    <w:rsid w:val="004B4FDF"/>
    <w:rsid w:val="004B4FF2"/>
    <w:rsid w:val="004B716F"/>
    <w:rsid w:val="004B7C16"/>
    <w:rsid w:val="004B7E77"/>
    <w:rsid w:val="004C3355"/>
    <w:rsid w:val="004D04E2"/>
    <w:rsid w:val="004D4243"/>
    <w:rsid w:val="004D5D5C"/>
    <w:rsid w:val="004D752D"/>
    <w:rsid w:val="004D7763"/>
    <w:rsid w:val="004E27DE"/>
    <w:rsid w:val="004E2F10"/>
    <w:rsid w:val="004E3276"/>
    <w:rsid w:val="004E4F74"/>
    <w:rsid w:val="004E5959"/>
    <w:rsid w:val="004E704A"/>
    <w:rsid w:val="004F051F"/>
    <w:rsid w:val="004F3D95"/>
    <w:rsid w:val="004F660E"/>
    <w:rsid w:val="004F7270"/>
    <w:rsid w:val="005004A4"/>
    <w:rsid w:val="0050139F"/>
    <w:rsid w:val="0050712D"/>
    <w:rsid w:val="00510692"/>
    <w:rsid w:val="00510F4D"/>
    <w:rsid w:val="00516722"/>
    <w:rsid w:val="00517624"/>
    <w:rsid w:val="00520565"/>
    <w:rsid w:val="00521223"/>
    <w:rsid w:val="005215D3"/>
    <w:rsid w:val="00521A20"/>
    <w:rsid w:val="00523934"/>
    <w:rsid w:val="00523D3E"/>
    <w:rsid w:val="00524DF1"/>
    <w:rsid w:val="005252E6"/>
    <w:rsid w:val="0052716E"/>
    <w:rsid w:val="00531317"/>
    <w:rsid w:val="00533CBA"/>
    <w:rsid w:val="00536513"/>
    <w:rsid w:val="00536DB4"/>
    <w:rsid w:val="00541D24"/>
    <w:rsid w:val="00543159"/>
    <w:rsid w:val="0054377E"/>
    <w:rsid w:val="0054450F"/>
    <w:rsid w:val="005448A5"/>
    <w:rsid w:val="0055140B"/>
    <w:rsid w:val="00552F9E"/>
    <w:rsid w:val="00554C4F"/>
    <w:rsid w:val="005573EC"/>
    <w:rsid w:val="00561D72"/>
    <w:rsid w:val="00564430"/>
    <w:rsid w:val="00564BA1"/>
    <w:rsid w:val="00564F36"/>
    <w:rsid w:val="00566EEB"/>
    <w:rsid w:val="00570FA3"/>
    <w:rsid w:val="00571767"/>
    <w:rsid w:val="00576FB4"/>
    <w:rsid w:val="00581664"/>
    <w:rsid w:val="00585238"/>
    <w:rsid w:val="005855FC"/>
    <w:rsid w:val="00586EB9"/>
    <w:rsid w:val="00592321"/>
    <w:rsid w:val="005933B2"/>
    <w:rsid w:val="00593B87"/>
    <w:rsid w:val="005964AB"/>
    <w:rsid w:val="005975FA"/>
    <w:rsid w:val="005A2BEB"/>
    <w:rsid w:val="005A3485"/>
    <w:rsid w:val="005A5E0C"/>
    <w:rsid w:val="005A6739"/>
    <w:rsid w:val="005B0278"/>
    <w:rsid w:val="005B0742"/>
    <w:rsid w:val="005B25C3"/>
    <w:rsid w:val="005B2DD6"/>
    <w:rsid w:val="005B41B7"/>
    <w:rsid w:val="005B44F5"/>
    <w:rsid w:val="005B6D88"/>
    <w:rsid w:val="005C099A"/>
    <w:rsid w:val="005C0AB0"/>
    <w:rsid w:val="005C116F"/>
    <w:rsid w:val="005C13B5"/>
    <w:rsid w:val="005C26D1"/>
    <w:rsid w:val="005C3173"/>
    <w:rsid w:val="005C31A5"/>
    <w:rsid w:val="005C3248"/>
    <w:rsid w:val="005C3F17"/>
    <w:rsid w:val="005C4740"/>
    <w:rsid w:val="005C6709"/>
    <w:rsid w:val="005D0BEA"/>
    <w:rsid w:val="005D1090"/>
    <w:rsid w:val="005D4916"/>
    <w:rsid w:val="005E0641"/>
    <w:rsid w:val="005E0D2B"/>
    <w:rsid w:val="005E10C9"/>
    <w:rsid w:val="005E1B86"/>
    <w:rsid w:val="005E61DD"/>
    <w:rsid w:val="005E6321"/>
    <w:rsid w:val="005E6AE2"/>
    <w:rsid w:val="005F097E"/>
    <w:rsid w:val="005F5413"/>
    <w:rsid w:val="00600B4A"/>
    <w:rsid w:val="00600B9C"/>
    <w:rsid w:val="006023DF"/>
    <w:rsid w:val="00602CFD"/>
    <w:rsid w:val="006045BF"/>
    <w:rsid w:val="006055F7"/>
    <w:rsid w:val="0060693B"/>
    <w:rsid w:val="006117C6"/>
    <w:rsid w:val="00611CD2"/>
    <w:rsid w:val="00615582"/>
    <w:rsid w:val="00615AB9"/>
    <w:rsid w:val="00617602"/>
    <w:rsid w:val="00620ECD"/>
    <w:rsid w:val="00621FDD"/>
    <w:rsid w:val="00622881"/>
    <w:rsid w:val="00622B63"/>
    <w:rsid w:val="0062421D"/>
    <w:rsid w:val="00624A81"/>
    <w:rsid w:val="0062697F"/>
    <w:rsid w:val="00627881"/>
    <w:rsid w:val="00636181"/>
    <w:rsid w:val="00637E99"/>
    <w:rsid w:val="006422AD"/>
    <w:rsid w:val="006430DA"/>
    <w:rsid w:val="0064322F"/>
    <w:rsid w:val="006449A5"/>
    <w:rsid w:val="00644F99"/>
    <w:rsid w:val="006463EE"/>
    <w:rsid w:val="00646F7F"/>
    <w:rsid w:val="00657DE0"/>
    <w:rsid w:val="006608C4"/>
    <w:rsid w:val="006612C2"/>
    <w:rsid w:val="00661FB8"/>
    <w:rsid w:val="00665B75"/>
    <w:rsid w:val="00667F38"/>
    <w:rsid w:val="0067199F"/>
    <w:rsid w:val="00671D93"/>
    <w:rsid w:val="006747D8"/>
    <w:rsid w:val="00674AEF"/>
    <w:rsid w:val="00674F16"/>
    <w:rsid w:val="00675B8E"/>
    <w:rsid w:val="00675DB5"/>
    <w:rsid w:val="00676ED7"/>
    <w:rsid w:val="00677048"/>
    <w:rsid w:val="00680225"/>
    <w:rsid w:val="006815EC"/>
    <w:rsid w:val="00685313"/>
    <w:rsid w:val="00690B44"/>
    <w:rsid w:val="006912F3"/>
    <w:rsid w:val="006931BA"/>
    <w:rsid w:val="00695C48"/>
    <w:rsid w:val="00696E7A"/>
    <w:rsid w:val="006A0D14"/>
    <w:rsid w:val="006A2BAF"/>
    <w:rsid w:val="006A318B"/>
    <w:rsid w:val="006A47E5"/>
    <w:rsid w:val="006A6E9B"/>
    <w:rsid w:val="006A747C"/>
    <w:rsid w:val="006B1038"/>
    <w:rsid w:val="006B502E"/>
    <w:rsid w:val="006B73C2"/>
    <w:rsid w:val="006B7C2A"/>
    <w:rsid w:val="006C03CD"/>
    <w:rsid w:val="006C0C9F"/>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3ED4"/>
    <w:rsid w:val="00705932"/>
    <w:rsid w:val="00713809"/>
    <w:rsid w:val="007149F9"/>
    <w:rsid w:val="0071531C"/>
    <w:rsid w:val="0071541F"/>
    <w:rsid w:val="007167D5"/>
    <w:rsid w:val="00720DD1"/>
    <w:rsid w:val="007265FE"/>
    <w:rsid w:val="00730009"/>
    <w:rsid w:val="00733A30"/>
    <w:rsid w:val="00735BD4"/>
    <w:rsid w:val="007372E2"/>
    <w:rsid w:val="007379E5"/>
    <w:rsid w:val="00743072"/>
    <w:rsid w:val="00745AEE"/>
    <w:rsid w:val="00747028"/>
    <w:rsid w:val="007479EA"/>
    <w:rsid w:val="00747A98"/>
    <w:rsid w:val="00750F10"/>
    <w:rsid w:val="0075242F"/>
    <w:rsid w:val="00756ADC"/>
    <w:rsid w:val="00761CEF"/>
    <w:rsid w:val="00762982"/>
    <w:rsid w:val="007654FE"/>
    <w:rsid w:val="00765BA5"/>
    <w:rsid w:val="007664D4"/>
    <w:rsid w:val="00767F2F"/>
    <w:rsid w:val="00770D7E"/>
    <w:rsid w:val="007742CA"/>
    <w:rsid w:val="0077509B"/>
    <w:rsid w:val="00776DB1"/>
    <w:rsid w:val="0077768B"/>
    <w:rsid w:val="0077794B"/>
    <w:rsid w:val="00787D0F"/>
    <w:rsid w:val="00792DB8"/>
    <w:rsid w:val="00793BB0"/>
    <w:rsid w:val="00794ABD"/>
    <w:rsid w:val="00795C00"/>
    <w:rsid w:val="0079605E"/>
    <w:rsid w:val="007A7FAF"/>
    <w:rsid w:val="007B12EB"/>
    <w:rsid w:val="007B2EB6"/>
    <w:rsid w:val="007B3BF6"/>
    <w:rsid w:val="007B4578"/>
    <w:rsid w:val="007C0A4D"/>
    <w:rsid w:val="007C2360"/>
    <w:rsid w:val="007C5A7B"/>
    <w:rsid w:val="007D06F0"/>
    <w:rsid w:val="007D35D0"/>
    <w:rsid w:val="007D3C25"/>
    <w:rsid w:val="007D45E3"/>
    <w:rsid w:val="007D5320"/>
    <w:rsid w:val="007D714B"/>
    <w:rsid w:val="007E065B"/>
    <w:rsid w:val="007E0A1D"/>
    <w:rsid w:val="007E28A9"/>
    <w:rsid w:val="007E713F"/>
    <w:rsid w:val="007E7819"/>
    <w:rsid w:val="007E799D"/>
    <w:rsid w:val="007F236E"/>
    <w:rsid w:val="007F2668"/>
    <w:rsid w:val="007F26E3"/>
    <w:rsid w:val="007F535C"/>
    <w:rsid w:val="007F54EB"/>
    <w:rsid w:val="007F735C"/>
    <w:rsid w:val="00800972"/>
    <w:rsid w:val="00804475"/>
    <w:rsid w:val="0081159E"/>
    <w:rsid w:val="00811633"/>
    <w:rsid w:val="00814C00"/>
    <w:rsid w:val="00821CEF"/>
    <w:rsid w:val="0082398D"/>
    <w:rsid w:val="00823BDC"/>
    <w:rsid w:val="00831C26"/>
    <w:rsid w:val="00832828"/>
    <w:rsid w:val="008332CB"/>
    <w:rsid w:val="008334AF"/>
    <w:rsid w:val="0083645A"/>
    <w:rsid w:val="0083797D"/>
    <w:rsid w:val="00837AB9"/>
    <w:rsid w:val="00837F76"/>
    <w:rsid w:val="00840B0F"/>
    <w:rsid w:val="00840FD0"/>
    <w:rsid w:val="008428F4"/>
    <w:rsid w:val="0084590A"/>
    <w:rsid w:val="00845C0D"/>
    <w:rsid w:val="008529D3"/>
    <w:rsid w:val="00853E68"/>
    <w:rsid w:val="00854840"/>
    <w:rsid w:val="0085555B"/>
    <w:rsid w:val="00855FDC"/>
    <w:rsid w:val="00860F8A"/>
    <w:rsid w:val="0086299C"/>
    <w:rsid w:val="00863096"/>
    <w:rsid w:val="00863578"/>
    <w:rsid w:val="00863FC4"/>
    <w:rsid w:val="00867B8E"/>
    <w:rsid w:val="008711AE"/>
    <w:rsid w:val="00872FC8"/>
    <w:rsid w:val="00874817"/>
    <w:rsid w:val="00877397"/>
    <w:rsid w:val="00877D80"/>
    <w:rsid w:val="008801D3"/>
    <w:rsid w:val="00880325"/>
    <w:rsid w:val="008806F3"/>
    <w:rsid w:val="00881DBB"/>
    <w:rsid w:val="00882996"/>
    <w:rsid w:val="00883866"/>
    <w:rsid w:val="008845D0"/>
    <w:rsid w:val="0089140B"/>
    <w:rsid w:val="0089151A"/>
    <w:rsid w:val="00893B2C"/>
    <w:rsid w:val="00893CA7"/>
    <w:rsid w:val="00894F96"/>
    <w:rsid w:val="008A0BFE"/>
    <w:rsid w:val="008A2753"/>
    <w:rsid w:val="008A3933"/>
    <w:rsid w:val="008A7165"/>
    <w:rsid w:val="008B20A4"/>
    <w:rsid w:val="008B3713"/>
    <w:rsid w:val="008B43F2"/>
    <w:rsid w:val="008B54AB"/>
    <w:rsid w:val="008B54D9"/>
    <w:rsid w:val="008B61EA"/>
    <w:rsid w:val="008B63AA"/>
    <w:rsid w:val="008B6CFF"/>
    <w:rsid w:val="008C28A0"/>
    <w:rsid w:val="008C3D02"/>
    <w:rsid w:val="008C4ADD"/>
    <w:rsid w:val="008D06CB"/>
    <w:rsid w:val="008D279B"/>
    <w:rsid w:val="008D2B46"/>
    <w:rsid w:val="008D678E"/>
    <w:rsid w:val="008E33DA"/>
    <w:rsid w:val="008E6182"/>
    <w:rsid w:val="008E64D8"/>
    <w:rsid w:val="008E6B36"/>
    <w:rsid w:val="008E7DF8"/>
    <w:rsid w:val="008F04EE"/>
    <w:rsid w:val="008F238A"/>
    <w:rsid w:val="008F3284"/>
    <w:rsid w:val="008F36FB"/>
    <w:rsid w:val="008F5328"/>
    <w:rsid w:val="008F55A0"/>
    <w:rsid w:val="009006A0"/>
    <w:rsid w:val="00900E22"/>
    <w:rsid w:val="009011B4"/>
    <w:rsid w:val="009023DF"/>
    <w:rsid w:val="0090293E"/>
    <w:rsid w:val="0091016B"/>
    <w:rsid w:val="00910408"/>
    <w:rsid w:val="00910B26"/>
    <w:rsid w:val="00912004"/>
    <w:rsid w:val="00917B50"/>
    <w:rsid w:val="009238B9"/>
    <w:rsid w:val="009274B4"/>
    <w:rsid w:val="00934743"/>
    <w:rsid w:val="00934EA2"/>
    <w:rsid w:val="00935F06"/>
    <w:rsid w:val="009373C9"/>
    <w:rsid w:val="00941B98"/>
    <w:rsid w:val="00942FC1"/>
    <w:rsid w:val="00943545"/>
    <w:rsid w:val="00944A5C"/>
    <w:rsid w:val="00944A99"/>
    <w:rsid w:val="0094633F"/>
    <w:rsid w:val="00946FBD"/>
    <w:rsid w:val="009505A2"/>
    <w:rsid w:val="00951816"/>
    <w:rsid w:val="00952A66"/>
    <w:rsid w:val="00953C32"/>
    <w:rsid w:val="00963A67"/>
    <w:rsid w:val="00964C68"/>
    <w:rsid w:val="009737F9"/>
    <w:rsid w:val="00980710"/>
    <w:rsid w:val="00980AD1"/>
    <w:rsid w:val="00980AD6"/>
    <w:rsid w:val="009828A4"/>
    <w:rsid w:val="00985001"/>
    <w:rsid w:val="00986EBB"/>
    <w:rsid w:val="009907F3"/>
    <w:rsid w:val="00990A55"/>
    <w:rsid w:val="00992F9A"/>
    <w:rsid w:val="009944BE"/>
    <w:rsid w:val="00996913"/>
    <w:rsid w:val="00996ACA"/>
    <w:rsid w:val="00997678"/>
    <w:rsid w:val="009A04EC"/>
    <w:rsid w:val="009A234F"/>
    <w:rsid w:val="009A291A"/>
    <w:rsid w:val="009B28F2"/>
    <w:rsid w:val="009B5126"/>
    <w:rsid w:val="009B71C3"/>
    <w:rsid w:val="009B75FF"/>
    <w:rsid w:val="009C39A2"/>
    <w:rsid w:val="009C4D44"/>
    <w:rsid w:val="009C56E5"/>
    <w:rsid w:val="009C6F7B"/>
    <w:rsid w:val="009D3343"/>
    <w:rsid w:val="009D3429"/>
    <w:rsid w:val="009E3F7C"/>
    <w:rsid w:val="009E45A8"/>
    <w:rsid w:val="009E4F19"/>
    <w:rsid w:val="009E5FC8"/>
    <w:rsid w:val="009E687A"/>
    <w:rsid w:val="009E72E7"/>
    <w:rsid w:val="009F1542"/>
    <w:rsid w:val="00A00AC6"/>
    <w:rsid w:val="00A03C5C"/>
    <w:rsid w:val="00A04FB0"/>
    <w:rsid w:val="00A066F1"/>
    <w:rsid w:val="00A1280A"/>
    <w:rsid w:val="00A141AF"/>
    <w:rsid w:val="00A15958"/>
    <w:rsid w:val="00A16D29"/>
    <w:rsid w:val="00A20E5E"/>
    <w:rsid w:val="00A2101B"/>
    <w:rsid w:val="00A21E18"/>
    <w:rsid w:val="00A235FD"/>
    <w:rsid w:val="00A2618D"/>
    <w:rsid w:val="00A27146"/>
    <w:rsid w:val="00A30305"/>
    <w:rsid w:val="00A31315"/>
    <w:rsid w:val="00A31D2D"/>
    <w:rsid w:val="00A32267"/>
    <w:rsid w:val="00A32291"/>
    <w:rsid w:val="00A33D45"/>
    <w:rsid w:val="00A34772"/>
    <w:rsid w:val="00A35D6D"/>
    <w:rsid w:val="00A4049B"/>
    <w:rsid w:val="00A42FD7"/>
    <w:rsid w:val="00A43642"/>
    <w:rsid w:val="00A44D51"/>
    <w:rsid w:val="00A4600A"/>
    <w:rsid w:val="00A524E6"/>
    <w:rsid w:val="00A538A6"/>
    <w:rsid w:val="00A54C25"/>
    <w:rsid w:val="00A54EC6"/>
    <w:rsid w:val="00A56C71"/>
    <w:rsid w:val="00A612BB"/>
    <w:rsid w:val="00A62F73"/>
    <w:rsid w:val="00A65363"/>
    <w:rsid w:val="00A65740"/>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F7D"/>
    <w:rsid w:val="00AA05FD"/>
    <w:rsid w:val="00AA0B18"/>
    <w:rsid w:val="00AA1653"/>
    <w:rsid w:val="00AA4774"/>
    <w:rsid w:val="00AA62CF"/>
    <w:rsid w:val="00AA666F"/>
    <w:rsid w:val="00AA7A11"/>
    <w:rsid w:val="00AB15BE"/>
    <w:rsid w:val="00AB4006"/>
    <w:rsid w:val="00AB4927"/>
    <w:rsid w:val="00AB4EF9"/>
    <w:rsid w:val="00AC007A"/>
    <w:rsid w:val="00AC034F"/>
    <w:rsid w:val="00AC1A8E"/>
    <w:rsid w:val="00AC4C17"/>
    <w:rsid w:val="00AC4DB5"/>
    <w:rsid w:val="00AC5286"/>
    <w:rsid w:val="00AD0AEB"/>
    <w:rsid w:val="00AD14A2"/>
    <w:rsid w:val="00AD4C7B"/>
    <w:rsid w:val="00AF09AB"/>
    <w:rsid w:val="00AF17A2"/>
    <w:rsid w:val="00AF2081"/>
    <w:rsid w:val="00AF2664"/>
    <w:rsid w:val="00AF57EF"/>
    <w:rsid w:val="00B004E5"/>
    <w:rsid w:val="00B022DC"/>
    <w:rsid w:val="00B053F3"/>
    <w:rsid w:val="00B10A09"/>
    <w:rsid w:val="00B124F9"/>
    <w:rsid w:val="00B13FFC"/>
    <w:rsid w:val="00B15F9D"/>
    <w:rsid w:val="00B17325"/>
    <w:rsid w:val="00B17BDC"/>
    <w:rsid w:val="00B20035"/>
    <w:rsid w:val="00B20480"/>
    <w:rsid w:val="00B20F6D"/>
    <w:rsid w:val="00B21BEA"/>
    <w:rsid w:val="00B2212C"/>
    <w:rsid w:val="00B232A2"/>
    <w:rsid w:val="00B247C3"/>
    <w:rsid w:val="00B27180"/>
    <w:rsid w:val="00B276F0"/>
    <w:rsid w:val="00B27EA8"/>
    <w:rsid w:val="00B30ECC"/>
    <w:rsid w:val="00B35A1C"/>
    <w:rsid w:val="00B35BC5"/>
    <w:rsid w:val="00B36A3C"/>
    <w:rsid w:val="00B4012B"/>
    <w:rsid w:val="00B41367"/>
    <w:rsid w:val="00B423AE"/>
    <w:rsid w:val="00B43D73"/>
    <w:rsid w:val="00B44083"/>
    <w:rsid w:val="00B441B1"/>
    <w:rsid w:val="00B45C98"/>
    <w:rsid w:val="00B50520"/>
    <w:rsid w:val="00B5544A"/>
    <w:rsid w:val="00B62366"/>
    <w:rsid w:val="00B62732"/>
    <w:rsid w:val="00B639E9"/>
    <w:rsid w:val="00B63C40"/>
    <w:rsid w:val="00B6598C"/>
    <w:rsid w:val="00B66F17"/>
    <w:rsid w:val="00B6796F"/>
    <w:rsid w:val="00B71863"/>
    <w:rsid w:val="00B7345F"/>
    <w:rsid w:val="00B77294"/>
    <w:rsid w:val="00B817CD"/>
    <w:rsid w:val="00B81D00"/>
    <w:rsid w:val="00B825BC"/>
    <w:rsid w:val="00B830CC"/>
    <w:rsid w:val="00B850F8"/>
    <w:rsid w:val="00B86916"/>
    <w:rsid w:val="00B87DA1"/>
    <w:rsid w:val="00B905DE"/>
    <w:rsid w:val="00B9105F"/>
    <w:rsid w:val="00B911B2"/>
    <w:rsid w:val="00B917E9"/>
    <w:rsid w:val="00B92195"/>
    <w:rsid w:val="00B92520"/>
    <w:rsid w:val="00B951D0"/>
    <w:rsid w:val="00B95DA2"/>
    <w:rsid w:val="00B97C6E"/>
    <w:rsid w:val="00BA1FEA"/>
    <w:rsid w:val="00BA231A"/>
    <w:rsid w:val="00BA2D00"/>
    <w:rsid w:val="00BA2FE8"/>
    <w:rsid w:val="00BB1F53"/>
    <w:rsid w:val="00BB29C8"/>
    <w:rsid w:val="00BB3A95"/>
    <w:rsid w:val="00BB42AD"/>
    <w:rsid w:val="00BB4491"/>
    <w:rsid w:val="00BB475A"/>
    <w:rsid w:val="00BB66DD"/>
    <w:rsid w:val="00BB6DD0"/>
    <w:rsid w:val="00BC00FB"/>
    <w:rsid w:val="00BC0382"/>
    <w:rsid w:val="00BC1DBF"/>
    <w:rsid w:val="00BC31AC"/>
    <w:rsid w:val="00BC401E"/>
    <w:rsid w:val="00BC6488"/>
    <w:rsid w:val="00BC79C8"/>
    <w:rsid w:val="00BD11D6"/>
    <w:rsid w:val="00BD239D"/>
    <w:rsid w:val="00BD31E7"/>
    <w:rsid w:val="00BD50BD"/>
    <w:rsid w:val="00BD618D"/>
    <w:rsid w:val="00BD62C6"/>
    <w:rsid w:val="00BE2068"/>
    <w:rsid w:val="00BE34A3"/>
    <w:rsid w:val="00BE7042"/>
    <w:rsid w:val="00BE7870"/>
    <w:rsid w:val="00BF095D"/>
    <w:rsid w:val="00BF32A7"/>
    <w:rsid w:val="00BF3618"/>
    <w:rsid w:val="00BF4F16"/>
    <w:rsid w:val="00BF65C9"/>
    <w:rsid w:val="00C0018F"/>
    <w:rsid w:val="00C01DE1"/>
    <w:rsid w:val="00C02828"/>
    <w:rsid w:val="00C03779"/>
    <w:rsid w:val="00C05634"/>
    <w:rsid w:val="00C07431"/>
    <w:rsid w:val="00C07B4E"/>
    <w:rsid w:val="00C10393"/>
    <w:rsid w:val="00C14872"/>
    <w:rsid w:val="00C14874"/>
    <w:rsid w:val="00C166D0"/>
    <w:rsid w:val="00C16D39"/>
    <w:rsid w:val="00C20466"/>
    <w:rsid w:val="00C214ED"/>
    <w:rsid w:val="00C227EF"/>
    <w:rsid w:val="00C234E6"/>
    <w:rsid w:val="00C24E20"/>
    <w:rsid w:val="00C275F9"/>
    <w:rsid w:val="00C324A8"/>
    <w:rsid w:val="00C349B4"/>
    <w:rsid w:val="00C35C13"/>
    <w:rsid w:val="00C36662"/>
    <w:rsid w:val="00C3786A"/>
    <w:rsid w:val="00C40DF2"/>
    <w:rsid w:val="00C477E4"/>
    <w:rsid w:val="00C54517"/>
    <w:rsid w:val="00C55DBA"/>
    <w:rsid w:val="00C56E3C"/>
    <w:rsid w:val="00C60AEF"/>
    <w:rsid w:val="00C6240E"/>
    <w:rsid w:val="00C6439C"/>
    <w:rsid w:val="00C64CD8"/>
    <w:rsid w:val="00C6689D"/>
    <w:rsid w:val="00C67E4B"/>
    <w:rsid w:val="00C720B0"/>
    <w:rsid w:val="00C73347"/>
    <w:rsid w:val="00C75E0E"/>
    <w:rsid w:val="00C75FF8"/>
    <w:rsid w:val="00C76A6C"/>
    <w:rsid w:val="00C80652"/>
    <w:rsid w:val="00C80A64"/>
    <w:rsid w:val="00C84509"/>
    <w:rsid w:val="00C87447"/>
    <w:rsid w:val="00C90579"/>
    <w:rsid w:val="00C976EE"/>
    <w:rsid w:val="00C97C68"/>
    <w:rsid w:val="00CA18A2"/>
    <w:rsid w:val="00CA1A47"/>
    <w:rsid w:val="00CA36C5"/>
    <w:rsid w:val="00CA48CF"/>
    <w:rsid w:val="00CA6534"/>
    <w:rsid w:val="00CB1404"/>
    <w:rsid w:val="00CB1D84"/>
    <w:rsid w:val="00CB3537"/>
    <w:rsid w:val="00CB40E5"/>
    <w:rsid w:val="00CB615D"/>
    <w:rsid w:val="00CB6664"/>
    <w:rsid w:val="00CB7AB6"/>
    <w:rsid w:val="00CC247A"/>
    <w:rsid w:val="00CC41F6"/>
    <w:rsid w:val="00CD2733"/>
    <w:rsid w:val="00CD2A68"/>
    <w:rsid w:val="00CD2BC1"/>
    <w:rsid w:val="00CD3139"/>
    <w:rsid w:val="00CD4117"/>
    <w:rsid w:val="00CD5BDF"/>
    <w:rsid w:val="00CD7BC2"/>
    <w:rsid w:val="00CD7EC4"/>
    <w:rsid w:val="00CE328D"/>
    <w:rsid w:val="00CE5ACA"/>
    <w:rsid w:val="00CE5E47"/>
    <w:rsid w:val="00CE7A25"/>
    <w:rsid w:val="00CF020F"/>
    <w:rsid w:val="00CF269A"/>
    <w:rsid w:val="00CF2A29"/>
    <w:rsid w:val="00CF2B5B"/>
    <w:rsid w:val="00CF33C0"/>
    <w:rsid w:val="00CF4A84"/>
    <w:rsid w:val="00D00E2A"/>
    <w:rsid w:val="00D03117"/>
    <w:rsid w:val="00D05768"/>
    <w:rsid w:val="00D0723D"/>
    <w:rsid w:val="00D10D23"/>
    <w:rsid w:val="00D12A27"/>
    <w:rsid w:val="00D14CE0"/>
    <w:rsid w:val="00D217E0"/>
    <w:rsid w:val="00D233CB"/>
    <w:rsid w:val="00D27D0F"/>
    <w:rsid w:val="00D3233A"/>
    <w:rsid w:val="00D33DC1"/>
    <w:rsid w:val="00D36333"/>
    <w:rsid w:val="00D42CDE"/>
    <w:rsid w:val="00D42FEE"/>
    <w:rsid w:val="00D43861"/>
    <w:rsid w:val="00D44DE2"/>
    <w:rsid w:val="00D45A9C"/>
    <w:rsid w:val="00D53EAE"/>
    <w:rsid w:val="00D541E4"/>
    <w:rsid w:val="00D5651D"/>
    <w:rsid w:val="00D56836"/>
    <w:rsid w:val="00D61378"/>
    <w:rsid w:val="00D62D8E"/>
    <w:rsid w:val="00D634E2"/>
    <w:rsid w:val="00D67A2E"/>
    <w:rsid w:val="00D71278"/>
    <w:rsid w:val="00D724BE"/>
    <w:rsid w:val="00D730C1"/>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1086"/>
    <w:rsid w:val="00DB2FB8"/>
    <w:rsid w:val="00DB4598"/>
    <w:rsid w:val="00DB4A38"/>
    <w:rsid w:val="00DB4E0A"/>
    <w:rsid w:val="00DB71F7"/>
    <w:rsid w:val="00DB750F"/>
    <w:rsid w:val="00DC19DC"/>
    <w:rsid w:val="00DC2A65"/>
    <w:rsid w:val="00DC3758"/>
    <w:rsid w:val="00DC3FC1"/>
    <w:rsid w:val="00DC4ACB"/>
    <w:rsid w:val="00DC574F"/>
    <w:rsid w:val="00DC59DB"/>
    <w:rsid w:val="00DC6EEA"/>
    <w:rsid w:val="00DD08B4"/>
    <w:rsid w:val="00DD44AF"/>
    <w:rsid w:val="00DE2AC3"/>
    <w:rsid w:val="00DE434C"/>
    <w:rsid w:val="00DE5692"/>
    <w:rsid w:val="00DE5E67"/>
    <w:rsid w:val="00DE7766"/>
    <w:rsid w:val="00DE79F1"/>
    <w:rsid w:val="00DF02A0"/>
    <w:rsid w:val="00DF1E46"/>
    <w:rsid w:val="00DF21DF"/>
    <w:rsid w:val="00DF2D60"/>
    <w:rsid w:val="00DF6F8E"/>
    <w:rsid w:val="00E02014"/>
    <w:rsid w:val="00E03C94"/>
    <w:rsid w:val="00E03CF8"/>
    <w:rsid w:val="00E06603"/>
    <w:rsid w:val="00E06AEA"/>
    <w:rsid w:val="00E07105"/>
    <w:rsid w:val="00E11115"/>
    <w:rsid w:val="00E12074"/>
    <w:rsid w:val="00E1307C"/>
    <w:rsid w:val="00E16F6F"/>
    <w:rsid w:val="00E17BAD"/>
    <w:rsid w:val="00E21B22"/>
    <w:rsid w:val="00E22899"/>
    <w:rsid w:val="00E239BD"/>
    <w:rsid w:val="00E241C9"/>
    <w:rsid w:val="00E26226"/>
    <w:rsid w:val="00E31B77"/>
    <w:rsid w:val="00E36E67"/>
    <w:rsid w:val="00E378D8"/>
    <w:rsid w:val="00E4021C"/>
    <w:rsid w:val="00E4059F"/>
    <w:rsid w:val="00E4165C"/>
    <w:rsid w:val="00E422AC"/>
    <w:rsid w:val="00E425D0"/>
    <w:rsid w:val="00E45D05"/>
    <w:rsid w:val="00E528F8"/>
    <w:rsid w:val="00E5442B"/>
    <w:rsid w:val="00E55816"/>
    <w:rsid w:val="00E55AEF"/>
    <w:rsid w:val="00E61442"/>
    <w:rsid w:val="00E64B4B"/>
    <w:rsid w:val="00E66A93"/>
    <w:rsid w:val="00E71B64"/>
    <w:rsid w:val="00E81961"/>
    <w:rsid w:val="00E82877"/>
    <w:rsid w:val="00E83BBB"/>
    <w:rsid w:val="00E84088"/>
    <w:rsid w:val="00E90B8E"/>
    <w:rsid w:val="00E90BE9"/>
    <w:rsid w:val="00E976C1"/>
    <w:rsid w:val="00EA025D"/>
    <w:rsid w:val="00EA07F0"/>
    <w:rsid w:val="00EA12E5"/>
    <w:rsid w:val="00EA2136"/>
    <w:rsid w:val="00EA36A2"/>
    <w:rsid w:val="00EA3D99"/>
    <w:rsid w:val="00EA44C3"/>
    <w:rsid w:val="00EA66A4"/>
    <w:rsid w:val="00EB00F7"/>
    <w:rsid w:val="00EB0E5E"/>
    <w:rsid w:val="00EB2238"/>
    <w:rsid w:val="00EB2C29"/>
    <w:rsid w:val="00EB4C45"/>
    <w:rsid w:val="00EC00DF"/>
    <w:rsid w:val="00EC0FC2"/>
    <w:rsid w:val="00EC3585"/>
    <w:rsid w:val="00EC6B65"/>
    <w:rsid w:val="00ED2532"/>
    <w:rsid w:val="00ED29AB"/>
    <w:rsid w:val="00ED335C"/>
    <w:rsid w:val="00ED44A8"/>
    <w:rsid w:val="00ED5AAF"/>
    <w:rsid w:val="00EE3198"/>
    <w:rsid w:val="00EE4646"/>
    <w:rsid w:val="00EE4A29"/>
    <w:rsid w:val="00EE67EC"/>
    <w:rsid w:val="00EF33D5"/>
    <w:rsid w:val="00EF481F"/>
    <w:rsid w:val="00EF4D25"/>
    <w:rsid w:val="00EF5692"/>
    <w:rsid w:val="00F000EA"/>
    <w:rsid w:val="00F02766"/>
    <w:rsid w:val="00F03EB7"/>
    <w:rsid w:val="00F04067"/>
    <w:rsid w:val="00F0520E"/>
    <w:rsid w:val="00F05BD4"/>
    <w:rsid w:val="00F07F46"/>
    <w:rsid w:val="00F11A98"/>
    <w:rsid w:val="00F13242"/>
    <w:rsid w:val="00F1463E"/>
    <w:rsid w:val="00F15368"/>
    <w:rsid w:val="00F15465"/>
    <w:rsid w:val="00F15E05"/>
    <w:rsid w:val="00F16F35"/>
    <w:rsid w:val="00F20CA2"/>
    <w:rsid w:val="00F21A1D"/>
    <w:rsid w:val="00F277F9"/>
    <w:rsid w:val="00F339E3"/>
    <w:rsid w:val="00F340C8"/>
    <w:rsid w:val="00F349CB"/>
    <w:rsid w:val="00F354F7"/>
    <w:rsid w:val="00F357E0"/>
    <w:rsid w:val="00F45892"/>
    <w:rsid w:val="00F53615"/>
    <w:rsid w:val="00F579D6"/>
    <w:rsid w:val="00F61818"/>
    <w:rsid w:val="00F623D9"/>
    <w:rsid w:val="00F64274"/>
    <w:rsid w:val="00F64DBC"/>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4FEF"/>
    <w:rsid w:val="00F971FB"/>
    <w:rsid w:val="00FA256E"/>
    <w:rsid w:val="00FA4CD4"/>
    <w:rsid w:val="00FA4DE2"/>
    <w:rsid w:val="00FA579C"/>
    <w:rsid w:val="00FA668B"/>
    <w:rsid w:val="00FB20E0"/>
    <w:rsid w:val="00FB34B9"/>
    <w:rsid w:val="00FC0BEF"/>
    <w:rsid w:val="00FC24DA"/>
    <w:rsid w:val="00FC3D72"/>
    <w:rsid w:val="00FC4678"/>
    <w:rsid w:val="00FC6545"/>
    <w:rsid w:val="00FC7A4A"/>
    <w:rsid w:val="00FD0183"/>
    <w:rsid w:val="00FD037B"/>
    <w:rsid w:val="00FD2546"/>
    <w:rsid w:val="00FD772E"/>
    <w:rsid w:val="00FE3346"/>
    <w:rsid w:val="00FE3926"/>
    <w:rsid w:val="00FE48BE"/>
    <w:rsid w:val="00FE7205"/>
    <w:rsid w:val="00FE78C7"/>
    <w:rsid w:val="00FF21ED"/>
    <w:rsid w:val="00FF2A26"/>
    <w:rsid w:val="00FF3D55"/>
    <w:rsid w:val="00FF43AC"/>
    <w:rsid w:val="00FF7C84"/>
    <w:rsid w:val="035E72C4"/>
    <w:rsid w:val="16A81439"/>
    <w:rsid w:val="1D7354F0"/>
    <w:rsid w:val="237B0990"/>
    <w:rsid w:val="2B065A3B"/>
    <w:rsid w:val="2E016928"/>
    <w:rsid w:val="32CA11BE"/>
    <w:rsid w:val="38814143"/>
    <w:rsid w:val="450A1FDF"/>
    <w:rsid w:val="46FA7351"/>
    <w:rsid w:val="616F0CE2"/>
    <w:rsid w:val="657C5671"/>
    <w:rsid w:val="687705EE"/>
    <w:rsid w:val="6DE57B95"/>
    <w:rsid w:val="72AC39B3"/>
    <w:rsid w:val="77B75398"/>
    <w:rsid w:val="7CC73588"/>
    <w:rsid w:val="7F7156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1F22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semiHidden="1" w:unhideWhenUsed="1"/>
    <w:lsdException w:name="footnote text" w:uiPriority="99" w:qFormat="1"/>
    <w:lsdException w:name="annotation text"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qFormat/>
  </w:style>
  <w:style w:type="paragraph" w:styleId="TOC4">
    <w:name w:val="toc 4"/>
    <w:basedOn w:val="TOC3"/>
    <w:qFormat/>
  </w:style>
  <w:style w:type="paragraph" w:styleId="TOC3">
    <w:name w:val="toc 3"/>
    <w:basedOn w:val="TOC2"/>
    <w:qFormat/>
  </w:style>
  <w:style w:type="paragraph" w:styleId="TOC2">
    <w:name w:val="toc 2"/>
    <w:basedOn w:val="TOC1"/>
    <w:qFormat/>
    <w:pPr>
      <w:spacing w:before="120"/>
    </w:pPr>
  </w:style>
  <w:style w:type="paragraph" w:styleId="TOC1">
    <w:name w:val="toc 1"/>
    <w:basedOn w:val="Normal"/>
    <w:qFormat/>
    <w:pPr>
      <w:keepLines/>
      <w:tabs>
        <w:tab w:val="clear" w:pos="1134"/>
        <w:tab w:val="clear" w:pos="2268"/>
        <w:tab w:val="left" w:leader="dot" w:pos="7938"/>
        <w:tab w:val="center" w:pos="9526"/>
      </w:tabs>
      <w:spacing w:before="240"/>
      <w:ind w:left="567" w:hanging="567"/>
    </w:pPr>
  </w:style>
  <w:style w:type="paragraph" w:styleId="NormalIndent">
    <w:name w:val="Normal Indent"/>
    <w:basedOn w:val="Normal"/>
    <w:pPr>
      <w:ind w:left="1134"/>
    </w:pPr>
  </w:style>
  <w:style w:type="paragraph" w:styleId="CommentText">
    <w:name w:val="annotation text"/>
    <w:basedOn w:val="Normal"/>
    <w:link w:val="CommentTextChar"/>
    <w:unhideWhenUsed/>
    <w:rPr>
      <w:sz w:val="20"/>
    </w:rPr>
  </w:style>
  <w:style w:type="paragraph" w:styleId="TOC5">
    <w:name w:val="toc 5"/>
    <w:basedOn w:val="TOC4"/>
    <w:qFormat/>
  </w:style>
  <w:style w:type="paragraph" w:styleId="TOC8">
    <w:name w:val="toc 8"/>
    <w:basedOn w:val="TOC4"/>
  </w:style>
  <w:style w:type="paragraph" w:styleId="BalloonText">
    <w:name w:val="Balloon Text"/>
    <w:basedOn w:val="Normal"/>
    <w:link w:val="BalloonTextChar"/>
    <w:pPr>
      <w:spacing w:before="0"/>
    </w:pPr>
    <w:rPr>
      <w:rFonts w:ascii="Tahoma" w:hAnsi="Tahoma" w:cs="Tahoma"/>
      <w:sz w:val="16"/>
      <w:szCs w:val="16"/>
    </w:rPr>
  </w:style>
  <w:style w:type="paragraph" w:styleId="Footer">
    <w:name w:val="footer"/>
    <w:basedOn w:val="Normal"/>
    <w:link w:val="FooterChar"/>
    <w:pPr>
      <w:tabs>
        <w:tab w:val="clear" w:pos="1134"/>
        <w:tab w:val="clear" w:pos="2268"/>
        <w:tab w:val="left" w:pos="5954"/>
        <w:tab w:val="right" w:pos="9639"/>
      </w:tabs>
      <w:spacing w:before="0"/>
    </w:pPr>
    <w:rPr>
      <w:caps/>
      <w:sz w:val="16"/>
    </w:rPr>
  </w:style>
  <w:style w:type="paragraph" w:styleId="Header">
    <w:name w:val="header"/>
    <w:basedOn w:val="Normal"/>
    <w:link w:val="HeaderChar"/>
    <w:qFormat/>
    <w:pPr>
      <w:spacing w:before="0"/>
      <w:jc w:val="center"/>
    </w:pPr>
    <w:rPr>
      <w:sz w:val="18"/>
    </w:rPr>
  </w:style>
  <w:style w:type="paragraph" w:styleId="FootnoteText">
    <w:name w:val="footnote text"/>
    <w:basedOn w:val="Normal"/>
    <w:link w:val="FootnoteTextChar"/>
    <w:uiPriority w:val="99"/>
    <w:qFormat/>
    <w:pPr>
      <w:keepLines/>
      <w:tabs>
        <w:tab w:val="left" w:pos="255"/>
      </w:tabs>
    </w:pPr>
  </w:style>
  <w:style w:type="paragraph" w:styleId="TOC6">
    <w:name w:val="toc 6"/>
    <w:basedOn w:val="TOC4"/>
    <w:qFormat/>
  </w:style>
  <w:style w:type="paragraph" w:styleId="HTMLPreformatted">
    <w:name w:val="HTML Preformatted"/>
    <w:basedOn w:val="Normal"/>
    <w:link w:val="HTMLPreformattedChar"/>
    <w:uiPriority w:val="99"/>
    <w:unhideWhenUsed/>
    <w:qFormat/>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Pr>
      <w:color w:val="800080" w:themeColor="followedHyperlink"/>
      <w:u w:val="single"/>
    </w:rPr>
  </w:style>
  <w:style w:type="character" w:styleId="Hyperlink">
    <w:name w:val="Hyperlink"/>
    <w:aliases w:val="CEO_Hyperlink,超级链接,超?级链,Style 58,超????,하이퍼링크2,超链接1,超?级链?,Style?,S,하이퍼링크21,ECC Hyperlink"/>
    <w:uiPriority w:val="99"/>
    <w:qFormat/>
    <w:rPr>
      <w:color w:val="0000FF"/>
      <w:u w:val="single"/>
    </w:rPr>
  </w:style>
  <w:style w:type="character" w:styleId="CommentReference">
    <w:name w:val="annotation reference"/>
    <w:basedOn w:val="DefaultParagraphFont"/>
    <w:semiHidden/>
    <w:unhideWhenUsed/>
    <w:rPr>
      <w:sz w:val="16"/>
      <w:szCs w:val="16"/>
    </w:rPr>
  </w:style>
  <w:style w:type="character" w:styleId="FootnoteReference">
    <w:name w:val="footnote reference"/>
    <w:basedOn w:val="DefaultParagraphFont"/>
    <w:qFormat/>
    <w:rPr>
      <w:rFonts w:asciiTheme="minorHAnsi" w:hAnsiTheme="minorHAnsi"/>
      <w:position w:val="6"/>
      <w:sz w:val="18"/>
    </w:rPr>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nnexNo">
    <w:name w:val="Annex_No"/>
    <w:basedOn w:val="Normal"/>
    <w:next w:val="Normal"/>
    <w:qFormat/>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qFormat/>
    <w:pPr>
      <w:keepNext/>
      <w:keepLines/>
      <w:spacing w:before="240" w:after="280"/>
      <w:jc w:val="center"/>
    </w:pPr>
    <w:rPr>
      <w:b/>
      <w:sz w:val="28"/>
    </w:rPr>
  </w:style>
  <w:style w:type="character" w:customStyle="1" w:styleId="Appdef">
    <w:name w:val="App_def"/>
    <w:basedOn w:val="DefaultParagraphFont"/>
    <w:qFormat/>
    <w:rPr>
      <w:rFonts w:asciiTheme="minorHAnsi" w:hAnsiTheme="minorHAnsi"/>
      <w:b/>
    </w:rPr>
  </w:style>
  <w:style w:type="character" w:customStyle="1" w:styleId="Appref">
    <w:name w:val="App_ref"/>
    <w:basedOn w:val="DefaultParagraphFont"/>
    <w:qFormat/>
    <w:rPr>
      <w:rFonts w:asciiTheme="minorHAnsi" w:hAnsiTheme="minorHAnsi"/>
    </w:rPr>
  </w:style>
  <w:style w:type="paragraph" w:customStyle="1" w:styleId="AppendixNo">
    <w:name w:val="Appendix_No"/>
    <w:basedOn w:val="AnnexNo"/>
    <w:next w:val="Annexref"/>
    <w:qFormat/>
  </w:style>
  <w:style w:type="paragraph" w:customStyle="1" w:styleId="ApptoAnnex">
    <w:name w:val="App_to_Annex"/>
    <w:basedOn w:val="AppendixNo"/>
    <w:next w:val="Normal"/>
    <w:qFormat/>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character" w:customStyle="1" w:styleId="Artdef">
    <w:name w:val="Art_def"/>
    <w:basedOn w:val="DefaultParagraphFont"/>
    <w:rPr>
      <w:rFonts w:asciiTheme="minorHAnsi" w:hAnsiTheme="minorHAnsi"/>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rPr>
      <w:rFonts w:asciiTheme="minorHAnsi" w:hAnsiTheme="minorHAnsi"/>
    </w:rPr>
  </w:style>
  <w:style w:type="paragraph" w:customStyle="1" w:styleId="Arttitle">
    <w:name w:val="Art_title"/>
    <w:basedOn w:val="Normal"/>
    <w:next w:val="Normal"/>
    <w:pPr>
      <w:keepNext/>
      <w:keepLines/>
      <w:spacing w:before="240"/>
      <w:jc w:val="center"/>
    </w:pPr>
    <w:rPr>
      <w:b/>
      <w:sz w:val="28"/>
    </w:rPr>
  </w:style>
  <w:style w:type="paragraph" w:customStyle="1" w:styleId="Call">
    <w:name w:val="Call"/>
    <w:basedOn w:val="Normal"/>
    <w:next w:val="Normal"/>
    <w:pPr>
      <w:keepNext/>
      <w:keepLines/>
      <w:spacing w:before="160"/>
      <w:ind w:left="1134"/>
    </w:pPr>
    <w:rPr>
      <w:rFonts w:eastAsia="STKaiti"/>
    </w:rPr>
  </w:style>
  <w:style w:type="paragraph" w:customStyle="1" w:styleId="ChapNo">
    <w:name w:val="Chap_No"/>
    <w:basedOn w:val="ArtNo"/>
    <w:next w:val="Normal"/>
    <w:rPr>
      <w:b/>
    </w:rPr>
  </w:style>
  <w:style w:type="paragraph" w:customStyle="1" w:styleId="Chaptitle">
    <w:name w:val="Chap_title"/>
    <w:basedOn w:val="Arttitle"/>
    <w:next w:val="Normal"/>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
    <w:name w:val="Figure"/>
    <w:basedOn w:val="Normal"/>
    <w:next w:val="Normal"/>
    <w:pPr>
      <w:keepNext/>
      <w:keepLines/>
      <w:jc w:val="center"/>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Normal"/>
    <w:pPr>
      <w:keepNext/>
      <w:keepLines/>
      <w:spacing w:before="480" w:after="120"/>
      <w:jc w:val="center"/>
    </w:pPr>
    <w:rPr>
      <w:caps/>
      <w:sz w:val="20"/>
    </w:rPr>
  </w:style>
  <w:style w:type="paragraph" w:customStyle="1" w:styleId="Figuretitle">
    <w:name w:val="Figure_title"/>
    <w:basedOn w:val="Normal"/>
    <w:next w:val="Normal"/>
    <w:pPr>
      <w:keepNext/>
      <w:keepLines/>
      <w:spacing w:before="0" w:after="480"/>
      <w:jc w:val="center"/>
    </w:pPr>
    <w:rPr>
      <w:b/>
      <w:sz w:val="20"/>
    </w:rPr>
  </w:style>
  <w:style w:type="paragraph" w:customStyle="1" w:styleId="Figurewithouttitle">
    <w:name w:val="Figure_without_title"/>
    <w:basedOn w:val="FigureNo"/>
    <w:next w:val="Normal"/>
    <w:pPr>
      <w:keepNext w:val="0"/>
    </w:pPr>
  </w:style>
  <w:style w:type="character" w:customStyle="1" w:styleId="FooterChar">
    <w:name w:val="Footer Char"/>
    <w:basedOn w:val="DefaultParagraphFont"/>
    <w:link w:val="Footer"/>
    <w:rPr>
      <w:rFonts w:ascii="Times New Roman" w:hAnsi="Times New Roman"/>
      <w:caps/>
      <w:sz w:val="16"/>
      <w:lang w:val="en-GB" w:eastAsia="en-U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rPr>
  </w:style>
  <w:style w:type="character" w:customStyle="1" w:styleId="FootnoteTextChar">
    <w:name w:val="Footnote Text Char"/>
    <w:basedOn w:val="DefaultParagraphFont"/>
    <w:link w:val="FootnoteText"/>
    <w:uiPriority w:val="99"/>
    <w:qFormat/>
    <w:rPr>
      <w:rFonts w:ascii="Times New Roman" w:hAnsi="Times New Roman"/>
      <w:sz w:val="24"/>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Normalaftertitle">
    <w:name w:val="Normal after title"/>
    <w:basedOn w:val="Normal"/>
    <w:next w:val="Normal"/>
    <w:link w:val="NormalaftertitleChar"/>
    <w:qFormat/>
    <w:pPr>
      <w:spacing w:before="280"/>
    </w:pPr>
  </w:style>
  <w:style w:type="paragraph" w:customStyle="1" w:styleId="Section1">
    <w:name w:val="Section_1"/>
    <w:basedOn w:val="Normal"/>
    <w:qFormat/>
    <w:pPr>
      <w:tabs>
        <w:tab w:val="clear" w:pos="1134"/>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Section3">
    <w:name w:val="Section_3"/>
    <w:basedOn w:val="Section1"/>
    <w:qFormat/>
    <w:rPr>
      <w:b w:val="0"/>
    </w:rPr>
  </w:style>
  <w:style w:type="paragraph" w:customStyle="1" w:styleId="SectionNo">
    <w:name w:val="Section_No"/>
    <w:basedOn w:val="AnnexNo"/>
    <w:next w:val="Normal"/>
    <w:qFormat/>
  </w:style>
  <w:style w:type="paragraph" w:customStyle="1" w:styleId="Sectiontitle">
    <w:name w:val="Section_title"/>
    <w:basedOn w:val="Annextitle"/>
    <w:next w:val="Normalaftertitle"/>
    <w:qFormat/>
  </w:style>
  <w:style w:type="paragraph" w:customStyle="1" w:styleId="Source">
    <w:name w:val="Source"/>
    <w:basedOn w:val="Normal"/>
    <w:next w:val="Normal"/>
    <w:qFormat/>
    <w:pPr>
      <w:spacing w:before="840"/>
      <w:jc w:val="center"/>
    </w:pPr>
    <w:rPr>
      <w:b/>
      <w:sz w:val="28"/>
    </w:rPr>
  </w:style>
  <w:style w:type="paragraph" w:customStyle="1" w:styleId="SpecialFooter">
    <w:name w:val="Special Footer"/>
    <w:basedOn w:val="Footer"/>
    <w:qFormat/>
    <w:pPr>
      <w:tabs>
        <w:tab w:val="left" w:pos="1134"/>
        <w:tab w:val="left" w:pos="2268"/>
      </w:tabs>
      <w:jc w:val="both"/>
    </w:pPr>
    <w:rPr>
      <w:caps w:val="0"/>
    </w:rPr>
  </w:style>
  <w:style w:type="paragraph" w:customStyle="1" w:styleId="Subsection1">
    <w:name w:val="Subsection_1"/>
    <w:basedOn w:val="Section1"/>
    <w:next w:val="Normalaftertitle"/>
    <w:qFormat/>
  </w:style>
  <w:style w:type="character" w:customStyle="1" w:styleId="Tablefreq">
    <w:name w:val="Table_freq"/>
    <w:basedOn w:val="DefaultParagraphFont"/>
    <w:qFormat/>
    <w:rPr>
      <w:rFonts w:asciiTheme="minorHAnsi" w:hAnsiTheme="minorHAnsi"/>
      <w:b/>
      <w:color w:val="auto"/>
      <w:sz w:val="20"/>
    </w:rPr>
  </w:style>
  <w:style w:type="paragraph" w:customStyle="1" w:styleId="Tablehead">
    <w:name w:val="Table_head"/>
    <w:basedOn w:val="Normal"/>
    <w:qFormat/>
    <w:pPr>
      <w:keepNext/>
      <w:spacing w:before="80" w:after="80"/>
      <w:jc w:val="center"/>
    </w:pPr>
    <w:rPr>
      <w:rFonts w:cs="Times New Roman Bold"/>
      <w:b/>
      <w:sz w:val="20"/>
    </w:rPr>
  </w:style>
  <w:style w:type="paragraph" w:customStyle="1" w:styleId="Tablelegend">
    <w:name w:val="Table_legend"/>
    <w:basedOn w:val="Normal"/>
    <w:qFormat/>
    <w:rPr>
      <w:sz w:val="20"/>
    </w:rPr>
  </w:style>
  <w:style w:type="paragraph" w:customStyle="1" w:styleId="TableNo">
    <w:name w:val="Table_No"/>
    <w:basedOn w:val="Normal"/>
    <w:next w:val="Normal"/>
    <w:qFormat/>
    <w:pPr>
      <w:keepNext/>
      <w:spacing w:before="560" w:after="120"/>
      <w:jc w:val="center"/>
    </w:pPr>
    <w:rPr>
      <w:caps/>
      <w:sz w:val="20"/>
    </w:rPr>
  </w:style>
  <w:style w:type="paragraph" w:customStyle="1" w:styleId="Tableref">
    <w:name w:val="Table_ref"/>
    <w:basedOn w:val="Normal"/>
    <w:next w:val="Normal"/>
    <w:qFormat/>
    <w:pPr>
      <w:keepNext/>
      <w:spacing w:before="560"/>
      <w:jc w:val="center"/>
    </w:pPr>
    <w:rPr>
      <w:sz w:val="20"/>
    </w:rPr>
  </w:style>
  <w:style w:type="paragraph" w:customStyle="1" w:styleId="Normalend">
    <w:name w:val="Normal_end"/>
    <w:basedOn w:val="Normal"/>
    <w:next w:val="Normal"/>
    <w:qFormat/>
    <w:rPr>
      <w:lang w:val="en-US"/>
    </w:rPr>
  </w:style>
  <w:style w:type="paragraph" w:customStyle="1" w:styleId="Proposal">
    <w:name w:val="Proposal"/>
    <w:basedOn w:val="Normal"/>
    <w:next w:val="Normal"/>
    <w:pPr>
      <w:keepNext/>
      <w:spacing w:before="240"/>
    </w:pPr>
    <w:rPr>
      <w:rFonts w:hAnsi="Times New Roman Bold"/>
    </w:rPr>
  </w:style>
  <w:style w:type="paragraph" w:customStyle="1" w:styleId="Reasons">
    <w:name w:val="Reasons"/>
    <w:basedOn w:val="Normal"/>
    <w:pPr>
      <w:tabs>
        <w:tab w:val="clear" w:pos="2268"/>
        <w:tab w:val="left" w:pos="1588"/>
        <w:tab w:val="left" w:pos="1985"/>
      </w:tabs>
    </w:pPr>
  </w:style>
  <w:style w:type="paragraph" w:customStyle="1" w:styleId="Questiondate">
    <w:name w:val="Question_date"/>
    <w:basedOn w:val="Normal"/>
    <w:next w:val="Normalaftertitle"/>
    <w:pPr>
      <w:keepNext/>
      <w:keepLines/>
      <w:jc w:val="right"/>
    </w:pPr>
    <w:rPr>
      <w:sz w:val="22"/>
    </w:rPr>
  </w:style>
  <w:style w:type="paragraph" w:customStyle="1" w:styleId="QuestionNo">
    <w:name w:val="Question_No"/>
    <w:basedOn w:val="Normal"/>
    <w:next w:val="Normal"/>
    <w:qFormat/>
    <w:pPr>
      <w:keepNext/>
      <w:keepLines/>
      <w:spacing w:before="480"/>
      <w:jc w:val="center"/>
    </w:pPr>
    <w:rPr>
      <w:caps/>
      <w:sz w:val="28"/>
    </w:rPr>
  </w:style>
  <w:style w:type="paragraph" w:customStyle="1" w:styleId="Questiontitle">
    <w:name w:val="Question_title"/>
    <w:basedOn w:val="Normal"/>
    <w:next w:val="Normal"/>
    <w:qFormat/>
    <w:pPr>
      <w:keepNext/>
      <w:keepLines/>
      <w:spacing w:before="240"/>
      <w:jc w:val="center"/>
    </w:pPr>
    <w:rPr>
      <w:b/>
      <w:sz w:val="28"/>
    </w:rPr>
  </w:style>
  <w:style w:type="paragraph" w:customStyle="1" w:styleId="Title1">
    <w:name w:val="Title 1"/>
    <w:basedOn w:val="Source"/>
    <w:next w:val="Normal"/>
    <w:pPr>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pPr>
      <w:spacing w:before="240"/>
    </w:pPr>
    <w:rPr>
      <w:caps w:val="0"/>
    </w:rPr>
  </w:style>
  <w:style w:type="paragraph" w:customStyle="1" w:styleId="Title4">
    <w:name w:val="Title 4"/>
    <w:basedOn w:val="Title3"/>
    <w:next w:val="Heading1"/>
    <w:rPr>
      <w:b/>
    </w:rPr>
  </w:style>
  <w:style w:type="paragraph" w:customStyle="1" w:styleId="Tabletext">
    <w:name w:val="Table_text"/>
    <w:basedOn w:val="Normal"/>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pPr>
      <w:keepNext/>
      <w:keepLines/>
      <w:spacing w:before="0" w:after="120"/>
      <w:jc w:val="center"/>
    </w:pPr>
    <w:rPr>
      <w:b/>
      <w:sz w:val="20"/>
    </w:rPr>
  </w:style>
  <w:style w:type="paragraph" w:customStyle="1" w:styleId="Headingi">
    <w:name w:val="Heading_i"/>
    <w:basedOn w:val="Normal"/>
    <w:next w:val="Normal"/>
    <w:qFormat/>
    <w:pPr>
      <w:spacing w:before="160"/>
    </w:pPr>
    <w:rPr>
      <w:rFonts w:eastAsia="STKaiti"/>
    </w:rPr>
  </w:style>
  <w:style w:type="paragraph" w:customStyle="1" w:styleId="Headingb">
    <w:name w:val="Heading_b"/>
    <w:basedOn w:val="Normal"/>
    <w:next w:val="Normal"/>
    <w:qFormat/>
    <w:pPr>
      <w:spacing w:before="160"/>
    </w:pPr>
    <w:rPr>
      <w:rFonts w:cs="Times New Roman Bold"/>
      <w:b/>
      <w:lang w:val="fr-CH"/>
    </w:rPr>
  </w:style>
  <w:style w:type="paragraph" w:customStyle="1" w:styleId="Note">
    <w:name w:val="Note"/>
    <w:basedOn w:val="Normal"/>
    <w:next w:val="Normal"/>
    <w:pPr>
      <w:tabs>
        <w:tab w:val="left" w:pos="284"/>
      </w:tabs>
      <w:spacing w:before="80"/>
    </w:pPr>
  </w:style>
  <w:style w:type="paragraph" w:customStyle="1" w:styleId="Part1">
    <w:name w:val="Part_1"/>
    <w:basedOn w:val="Section1"/>
    <w:next w:val="Section1"/>
    <w:qFormat/>
  </w:style>
  <w:style w:type="paragraph" w:customStyle="1" w:styleId="PartNo">
    <w:name w:val="Part_No"/>
    <w:basedOn w:val="AnnexNo"/>
    <w:next w:val="Normal"/>
  </w:style>
  <w:style w:type="paragraph" w:customStyle="1" w:styleId="Partref">
    <w:name w:val="Part_ref"/>
    <w:basedOn w:val="Annexref"/>
    <w:next w:val="Normal"/>
  </w:style>
  <w:style w:type="paragraph" w:customStyle="1" w:styleId="Parttitle">
    <w:name w:val="Part_title"/>
    <w:basedOn w:val="Annextitle"/>
    <w:next w:val="Normalaftertitle"/>
  </w:style>
  <w:style w:type="paragraph" w:customStyle="1" w:styleId="Recdate">
    <w:name w:val="Rec_date"/>
    <w:basedOn w:val="Normal"/>
    <w:next w:val="Normalaftertitle"/>
    <w:pPr>
      <w:keepNext/>
      <w:keepLines/>
      <w:jc w:val="right"/>
    </w:pPr>
    <w:rPr>
      <w:sz w:val="22"/>
    </w:rPr>
  </w:style>
  <w:style w:type="paragraph" w:customStyle="1" w:styleId="RecNo">
    <w:name w:val="Rec_No"/>
    <w:basedOn w:val="Normal"/>
    <w:next w:val="Normal"/>
    <w:pPr>
      <w:keepNext/>
      <w:keepLines/>
      <w:spacing w:before="480"/>
      <w:jc w:val="center"/>
    </w:pPr>
    <w:rPr>
      <w:caps/>
      <w:sz w:val="28"/>
    </w:rPr>
  </w:style>
  <w:style w:type="paragraph" w:customStyle="1" w:styleId="Rectitle">
    <w:name w:val="Rec_title"/>
    <w:basedOn w:val="RecNo"/>
    <w:next w:val="Normal"/>
    <w:pPr>
      <w:spacing w:before="240"/>
    </w:pPr>
    <w:rPr>
      <w:b/>
      <w:caps w:val="0"/>
    </w:rPr>
  </w:style>
  <w:style w:type="paragraph" w:customStyle="1" w:styleId="ResNo">
    <w:name w:val="Res_No"/>
    <w:basedOn w:val="RecNo"/>
    <w:next w:val="Normal"/>
  </w:style>
  <w:style w:type="paragraph" w:customStyle="1" w:styleId="Restitle">
    <w:name w:val="Res_title"/>
    <w:basedOn w:val="Rectitle"/>
    <w:next w:val="Normal"/>
  </w:style>
  <w:style w:type="paragraph" w:customStyle="1" w:styleId="AppArtNo">
    <w:name w:val="App_Art_No"/>
    <w:basedOn w:val="ArtNo"/>
    <w:qFormat/>
  </w:style>
  <w:style w:type="paragraph" w:customStyle="1" w:styleId="AppArttitle">
    <w:name w:val="App_Art_title"/>
    <w:basedOn w:val="Arttitle"/>
    <w:qFormat/>
  </w:style>
  <w:style w:type="paragraph" w:styleId="ListParagraph">
    <w:name w:val="List Paragraph"/>
    <w:basedOn w:val="Normal"/>
    <w:link w:val="ListParagraphChar"/>
    <w:uiPriority w:val="34"/>
    <w:qFormat/>
    <w:pPr>
      <w:ind w:left="720"/>
      <w:contextualSpacing/>
    </w:pPr>
  </w:style>
  <w:style w:type="paragraph" w:customStyle="1" w:styleId="Opiniontitle">
    <w:name w:val="Opinion_title"/>
    <w:basedOn w:val="Rectitle"/>
    <w:next w:val="Normalaftertitle"/>
    <w:qFormat/>
  </w:style>
  <w:style w:type="paragraph" w:customStyle="1" w:styleId="OpinionNo">
    <w:name w:val="Opinion_No"/>
    <w:basedOn w:val="RecNo"/>
    <w:next w:val="Opiniontitle"/>
    <w:qFormat/>
  </w:style>
  <w:style w:type="paragraph" w:customStyle="1" w:styleId="Volumetitle">
    <w:name w:val="Volume_title"/>
    <w:basedOn w:val="Normal"/>
    <w:qFormat/>
    <w:pPr>
      <w:tabs>
        <w:tab w:val="clear" w:pos="1134"/>
        <w:tab w:val="clear" w:pos="2268"/>
      </w:tabs>
      <w:overflowPunct/>
      <w:autoSpaceDE/>
      <w:autoSpaceDN/>
      <w:adjustRightInd/>
      <w:spacing w:before="0"/>
      <w:textAlignment w:val="auto"/>
    </w:pPr>
    <w:rPr>
      <w:b/>
      <w:sz w:val="28"/>
      <w:lang w:val="en-US"/>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paragraph" w:customStyle="1" w:styleId="Committee">
    <w:name w:val="Committee"/>
    <w:basedOn w:val="Normal"/>
    <w:qFormat/>
    <w:pPr>
      <w:framePr w:hSpace="180" w:wrap="around" w:hAnchor="margin" w:y="-675"/>
      <w:tabs>
        <w:tab w:val="left" w:pos="851"/>
      </w:tabs>
      <w:spacing w:before="0" w:line="240" w:lineRule="atLeast"/>
    </w:pPr>
    <w:rPr>
      <w:rFonts w:cstheme="minorHAnsi"/>
      <w:b/>
      <w:szCs w:val="24"/>
    </w:rPr>
  </w:style>
  <w:style w:type="character" w:customStyle="1" w:styleId="NormalaftertitleChar">
    <w:name w:val="Normal after title Char"/>
    <w:basedOn w:val="DefaultParagraphFont"/>
    <w:link w:val="Normalaftertitle"/>
    <w:locked/>
    <w:rPr>
      <w:rFonts w:asciiTheme="minorHAnsi" w:hAnsiTheme="minorHAnsi"/>
      <w:sz w:val="24"/>
      <w:lang w:val="en-GB" w:eastAsia="en-US"/>
    </w:rPr>
  </w:style>
  <w:style w:type="character" w:customStyle="1" w:styleId="ListParagraphChar">
    <w:name w:val="List Paragraph Char"/>
    <w:link w:val="ListParagraph"/>
    <w:uiPriority w:val="34"/>
    <w:qFormat/>
    <w:rPr>
      <w:rFonts w:asciiTheme="minorHAnsi" w:hAnsiTheme="minorHAnsi"/>
      <w:sz w:val="24"/>
      <w:lang w:val="en-GB" w:eastAsia="en-US"/>
    </w:rPr>
  </w:style>
  <w:style w:type="paragraph" w:customStyle="1" w:styleId="Default">
    <w:name w:val="Default"/>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CommentTextChar">
    <w:name w:val="Comment Text Char"/>
    <w:basedOn w:val="DefaultParagraphFont"/>
    <w:link w:val="CommentText"/>
    <w:rPr>
      <w:rFonts w:asciiTheme="minorHAnsi" w:hAnsiTheme="minorHAnsi"/>
      <w:lang w:val="en-GB" w:eastAsia="en-US"/>
    </w:rPr>
  </w:style>
  <w:style w:type="character" w:customStyle="1" w:styleId="CommentSubjectChar">
    <w:name w:val="Comment Subject Char"/>
    <w:basedOn w:val="CommentTextChar"/>
    <w:link w:val="CommentSubject"/>
    <w:semiHidden/>
    <w:rPr>
      <w:rFonts w:asciiTheme="minorHAnsi" w:hAnsiTheme="minorHAnsi"/>
      <w:b/>
      <w:bCs/>
      <w:lang w:val="en-GB" w:eastAsia="en-US"/>
    </w:rPr>
  </w:style>
  <w:style w:type="paragraph" w:customStyle="1" w:styleId="1">
    <w:name w:val="修订1"/>
    <w:hidden/>
    <w:uiPriority w:val="99"/>
    <w:semiHidden/>
    <w:rPr>
      <w:rFonts w:asciiTheme="minorHAnsi" w:eastAsia="Batang" w:hAnsiTheme="minorHAnsi"/>
      <w:sz w:val="24"/>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EOAgendaItemN">
    <w:name w:val="CEO_AgendaItemN°"/>
    <w:basedOn w:val="Normal"/>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TMLPreformattedChar">
    <w:name w:val="HTML Preformatted Char"/>
    <w:basedOn w:val="DefaultParagraphFont"/>
    <w:link w:val="HTMLPreformatted"/>
    <w:uiPriority w:val="99"/>
    <w:qFormat/>
    <w:rPr>
      <w:rFonts w:ascii="GulimChe" w:eastAsia="GulimChe" w:hAnsi="GulimChe"/>
      <w:sz w:val="24"/>
      <w:szCs w:val="24"/>
      <w:lang w:val="zh-CN"/>
    </w:rPr>
  </w:style>
  <w:style w:type="character" w:customStyle="1" w:styleId="10">
    <w:name w:val="未处理的提及1"/>
    <w:basedOn w:val="DefaultParagraphFont"/>
    <w:uiPriority w:val="99"/>
    <w:semiHidden/>
    <w:unhideWhenUsed/>
    <w:rPr>
      <w:color w:val="605E5C"/>
      <w:shd w:val="clear" w:color="auto" w:fill="E1DFDD"/>
    </w:rPr>
  </w:style>
  <w:style w:type="table" w:customStyle="1" w:styleId="GridTable4-Accent11">
    <w:name w:val="Grid Table 4 - Accent 11"/>
    <w:basedOn w:val="TableNormal"/>
    <w:uiPriority w:val="49"/>
    <w:rPr>
      <w:rFonts w:ascii="Calibri"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enumlev1Batang">
    <w:name w:val="样式 enumlev1 + Batang"/>
    <w:basedOn w:val="enumlev1"/>
    <w:rPr>
      <w:rFonts w:ascii="Calibri" w:hAnsi="Calibri"/>
    </w:rPr>
  </w:style>
  <w:style w:type="paragraph" w:styleId="Revision">
    <w:name w:val="Revision"/>
    <w:hidden/>
    <w:uiPriority w:val="99"/>
    <w:unhideWhenUsed/>
    <w:rsid w:val="00622881"/>
    <w:rPr>
      <w:rFonts w:asciiTheme="minorHAnsi" w:hAnsiTheme="minorHAnsi"/>
      <w:sz w:val="24"/>
      <w:lang w:val="en-GB" w:eastAsia="en-US"/>
    </w:rPr>
  </w:style>
  <w:style w:type="character" w:customStyle="1" w:styleId="Heading3Char">
    <w:name w:val="Heading 3 Char"/>
    <w:basedOn w:val="DefaultParagraphFont"/>
    <w:link w:val="Heading3"/>
    <w:rsid w:val="00622881"/>
    <w:rPr>
      <w:rFonts w:asciiTheme="minorHAnsi" w:hAnsiTheme="minorHAnsi"/>
      <w:b/>
      <w:sz w:val="24"/>
      <w:lang w:val="en-GB" w:eastAsia="en-US"/>
    </w:rPr>
  </w:style>
  <w:style w:type="character" w:customStyle="1" w:styleId="2">
    <w:name w:val="未处理的提及2"/>
    <w:basedOn w:val="DefaultParagraphFont"/>
    <w:uiPriority w:val="99"/>
    <w:semiHidden/>
    <w:unhideWhenUsed/>
    <w:rsid w:val="00674F16"/>
    <w:rPr>
      <w:color w:val="605E5C"/>
      <w:shd w:val="clear" w:color="auto" w:fill="E1DFDD"/>
    </w:rPr>
  </w:style>
  <w:style w:type="character" w:styleId="UnresolvedMention">
    <w:name w:val="Unresolved Mention"/>
    <w:basedOn w:val="DefaultParagraphFont"/>
    <w:uiPriority w:val="99"/>
    <w:semiHidden/>
    <w:unhideWhenUsed/>
    <w:rsid w:val="00193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06694">
      <w:bodyDiv w:val="1"/>
      <w:marLeft w:val="0"/>
      <w:marRight w:val="0"/>
      <w:marTop w:val="0"/>
      <w:marBottom w:val="0"/>
      <w:divBdr>
        <w:top w:val="none" w:sz="0" w:space="0" w:color="auto"/>
        <w:left w:val="none" w:sz="0" w:space="0" w:color="auto"/>
        <w:bottom w:val="none" w:sz="0" w:space="0" w:color="auto"/>
        <w:right w:val="none" w:sz="0" w:space="0" w:color="auto"/>
      </w:divBdr>
    </w:div>
    <w:div w:id="1048067490">
      <w:bodyDiv w:val="1"/>
      <w:marLeft w:val="0"/>
      <w:marRight w:val="0"/>
      <w:marTop w:val="0"/>
      <w:marBottom w:val="0"/>
      <w:divBdr>
        <w:top w:val="none" w:sz="0" w:space="0" w:color="auto"/>
        <w:left w:val="none" w:sz="0" w:space="0" w:color="auto"/>
        <w:bottom w:val="none" w:sz="0" w:space="0" w:color="auto"/>
        <w:right w:val="none" w:sz="0" w:space="0" w:color="auto"/>
      </w:divBdr>
    </w:div>
    <w:div w:id="1264268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customXml" Target="../customXml/item3.xml"/><Relationship Id="rId21" Type="http://schemas.openxmlformats.org/officeDocument/2006/relationships/header" Target="header10.xml"/><Relationship Id="rId34" Type="http://schemas.openxmlformats.org/officeDocument/2006/relationships/hyperlink" Target="chrome-extension://efaidnbmnnnibpcajpcglclefindmkaj/https:/www.itu.int/itu-d/sites/digital-inclusion-accessibility-for-all/wp-content/uploads/sites/67/2026/02/d-phcb-ict_access-2025-pdf-e-2.pd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yperlink" Target="https://www.itu.int/net4/ITU-D/CDS/sg/blkmeetings.asp?lg=1&amp;stg=&amp;sp=2026&amp;blk=29194"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app.gen5.digital/unified-framework/about" TargetMode="External"/><Relationship Id="rId32" Type="http://schemas.openxmlformats.org/officeDocument/2006/relationships/header" Target="header14.xml"/><Relationship Id="rId37" Type="http://schemas.openxmlformats.org/officeDocument/2006/relationships/fontTable" Target="fontTable.xml"/><Relationship Id="rId40"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itu.int/en/ITU-D/Regulatory-Market/Pages/collaborative-regulation-country-reviews/default.aspx" TargetMode="External"/><Relationship Id="rId28" Type="http://schemas.openxmlformats.org/officeDocument/2006/relationships/hyperlink" Target="https://www.itu.int/itu-d/meetings/rdf/home/rdf-2026/europe/home/" TargetMode="External"/><Relationship Id="rId36" Type="http://schemas.openxmlformats.org/officeDocument/2006/relationships/header" Target="header17.xml"/><Relationship Id="rId10" Type="http://schemas.openxmlformats.org/officeDocument/2006/relationships/image" Target="media/image2.png"/><Relationship Id="rId19" Type="http://schemas.openxmlformats.org/officeDocument/2006/relationships/header" Target="header8.xml"/><Relationship Id="rId31" Type="http://schemas.openxmlformats.org/officeDocument/2006/relationships/header" Target="header1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2.xml"/><Relationship Id="rId27" Type="http://schemas.openxmlformats.org/officeDocument/2006/relationships/header" Target="header12.xml"/><Relationship Id="rId30" Type="http://schemas.openxmlformats.org/officeDocument/2006/relationships/hyperlink" Target="https://www.itu.int/net4/ITU-D/CDS/sg/blkmeetings.asp?lg=1&amp;stg=&amp;sp=2026&amp;blk=29195" TargetMode="External"/><Relationship Id="rId35" Type="http://schemas.openxmlformats.org/officeDocument/2006/relationships/header" Target="header1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https://app.gen5.digital/unified-framework/about" TargetMode="External"/><Relationship Id="rId33" Type="http://schemas.openxmlformats.org/officeDocument/2006/relationships/header" Target="header15.xml"/><Relationship Id="rId3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Props1.xml><?xml version="1.0" encoding="utf-8"?>
<ds:datastoreItem xmlns:ds="http://schemas.openxmlformats.org/officeDocument/2006/customXml" ds:itemID="{893E0DA7-7319-4797-B8B7-16480944BA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DD6B98E-756B-4456-8E84-FD41FACB0146}"/>
</file>

<file path=customXml/itemProps4.xml><?xml version="1.0" encoding="utf-8"?>
<ds:datastoreItem xmlns:ds="http://schemas.openxmlformats.org/officeDocument/2006/customXml" ds:itemID="{3071E8EA-38AF-47BB-88CF-32342E3BFDA3}"/>
</file>

<file path=customXml/itemProps5.xml><?xml version="1.0" encoding="utf-8"?>
<ds:datastoreItem xmlns:ds="http://schemas.openxmlformats.org/officeDocument/2006/customXml" ds:itemID="{02320080-7CE8-4E5B-8E1C-83F120BCB544}"/>
</file>

<file path=docProps/app.xml><?xml version="1.0" encoding="utf-8"?>
<Properties xmlns="http://schemas.openxmlformats.org/officeDocument/2006/extended-properties" xmlns:vt="http://schemas.openxmlformats.org/officeDocument/2006/docPropsVTypes">
  <Template>Normal.dotm</Template>
  <TotalTime>0</TotalTime>
  <Pages>25</Pages>
  <Words>3701</Words>
  <Characters>21099</Characters>
  <Application>Microsoft Office Word</Application>
  <DocSecurity>0</DocSecurity>
  <Lines>175</Lines>
  <Paragraphs>49</Paragraphs>
  <ScaleCrop>false</ScaleCrop>
  <Manager/>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2026-04-07T09:50:00Z</dcterms:created>
  <dcterms:modified xsi:type="dcterms:W3CDTF">2026-04-07T09:50:00Z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0x0101000421F7F6C5263B4B928A068E40912AB8</vt:lpwstr>
  </property>
</Properties>
</file>