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4.xml" ContentType="application/vnd.openxmlformats-officedocument.wordprocessingml.head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jc w:val="center"/>
        <w:tblLayout w:type="fixed"/>
        <w:tblLook w:val="0000" w:firstRow="0" w:lastRow="0" w:firstColumn="0" w:lastColumn="0" w:noHBand="0" w:noVBand="0"/>
        <w:tblCaption w:val="معلومات عن الوثيقة (لجنة الدراسات، الاجتماع، المسألة، المصدر، العنوان)"/>
      </w:tblPr>
      <w:tblGrid>
        <w:gridCol w:w="6659"/>
        <w:gridCol w:w="1559"/>
        <w:gridCol w:w="1420"/>
      </w:tblGrid>
      <w:tr w:rsidR="00105EF4" w:rsidRPr="00783A69" w14:paraId="230C2DC5" w14:textId="77777777" w:rsidTr="004F5BCA">
        <w:trPr>
          <w:cantSplit/>
          <w:trHeight w:val="1310"/>
          <w:jc w:val="center"/>
        </w:trPr>
        <w:tc>
          <w:tcPr>
            <w:tcW w:w="8219" w:type="dxa"/>
            <w:gridSpan w:val="2"/>
            <w:tcBorders>
              <w:bottom w:val="single" w:sz="12" w:space="0" w:color="auto"/>
            </w:tcBorders>
            <w:vAlign w:val="center"/>
          </w:tcPr>
          <w:p w14:paraId="5BAB1386" w14:textId="77777777" w:rsidR="00105EF4" w:rsidRDefault="00105EF4" w:rsidP="00AD1E92">
            <w:pPr>
              <w:jc w:val="left"/>
              <w:rPr>
                <w:b/>
                <w:bCs/>
                <w:sz w:val="32"/>
                <w:szCs w:val="32"/>
                <w:lang w:bidi="ar-EG"/>
              </w:rPr>
            </w:pPr>
            <w:r w:rsidRPr="00C85CB5">
              <w:rPr>
                <w:rFonts w:hint="cs"/>
                <w:b/>
                <w:bCs/>
                <w:sz w:val="32"/>
                <w:szCs w:val="32"/>
                <w:rtl/>
                <w:lang w:bidi="ar-EG"/>
              </w:rPr>
              <w:t xml:space="preserve">الفريق الاستشاري لتنمية الاتصالات </w:t>
            </w:r>
            <w:r w:rsidRPr="00C85CB5">
              <w:rPr>
                <w:b/>
                <w:bCs/>
                <w:sz w:val="32"/>
                <w:szCs w:val="32"/>
                <w:lang w:bidi="ar-EG"/>
              </w:rPr>
              <w:t>(TDAG)</w:t>
            </w:r>
          </w:p>
          <w:p w14:paraId="4D18D691" w14:textId="77777777" w:rsidR="00105EF4" w:rsidRPr="00457D22" w:rsidRDefault="00105EF4" w:rsidP="00AD1E92">
            <w:pPr>
              <w:jc w:val="left"/>
              <w:rPr>
                <w:b/>
                <w:bCs/>
                <w:sz w:val="28"/>
                <w:szCs w:val="28"/>
                <w:rtl/>
                <w:lang w:bidi="ar-EG"/>
              </w:rPr>
            </w:pPr>
            <w:r w:rsidRPr="00457D22">
              <w:rPr>
                <w:b/>
                <w:bCs/>
                <w:sz w:val="26"/>
                <w:szCs w:val="26"/>
                <w:rtl/>
              </w:rPr>
              <w:t xml:space="preserve">الاجتماع </w:t>
            </w:r>
            <w:r>
              <w:rPr>
                <w:rFonts w:hint="cs"/>
                <w:b/>
                <w:bCs/>
                <w:sz w:val="26"/>
                <w:szCs w:val="26"/>
                <w:rtl/>
              </w:rPr>
              <w:t xml:space="preserve">الثالث </w:t>
            </w:r>
            <w:r w:rsidRPr="00457D22">
              <w:rPr>
                <w:b/>
                <w:bCs/>
                <w:sz w:val="26"/>
                <w:szCs w:val="26"/>
                <w:rtl/>
              </w:rPr>
              <w:t xml:space="preserve">والثلاثون، جنيف، سويسرا، </w:t>
            </w:r>
            <w:r>
              <w:rPr>
                <w:b/>
                <w:bCs/>
                <w:sz w:val="26"/>
                <w:szCs w:val="26"/>
              </w:rPr>
              <w:t>10-7</w:t>
            </w:r>
            <w:r>
              <w:rPr>
                <w:rFonts w:hint="cs"/>
                <w:b/>
                <w:bCs/>
                <w:sz w:val="26"/>
                <w:szCs w:val="26"/>
                <w:rtl/>
                <w:lang w:bidi="ar-EG"/>
              </w:rPr>
              <w:t xml:space="preserve"> أبريل </w:t>
            </w:r>
            <w:r>
              <w:rPr>
                <w:b/>
                <w:bCs/>
                <w:sz w:val="26"/>
                <w:szCs w:val="26"/>
              </w:rPr>
              <w:t>2026</w:t>
            </w:r>
          </w:p>
        </w:tc>
        <w:tc>
          <w:tcPr>
            <w:tcW w:w="1420" w:type="dxa"/>
            <w:tcBorders>
              <w:bottom w:val="single" w:sz="12" w:space="0" w:color="auto"/>
            </w:tcBorders>
            <w:vAlign w:val="center"/>
          </w:tcPr>
          <w:p w14:paraId="4CEC5F2D" w14:textId="77777777" w:rsidR="00105EF4" w:rsidRPr="00783A69" w:rsidRDefault="00105EF4" w:rsidP="00AD1E92">
            <w:pPr>
              <w:jc w:val="center"/>
              <w:rPr>
                <w:lang w:val="en-GB" w:bidi="ar-EG"/>
              </w:rPr>
            </w:pPr>
            <w:bookmarkStart w:id="0" w:name="ditulogo"/>
            <w:bookmarkEnd w:id="0"/>
            <w:r>
              <w:rPr>
                <w:noProof/>
                <w:lang w:val="fr-FR" w:eastAsia="fr-FR"/>
              </w:rPr>
              <w:drawing>
                <wp:inline distT="0" distB="0" distL="0" distR="0" wp14:anchorId="7AC2DE13" wp14:editId="20CE8BD8">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CA08BA" w:rsidRPr="00783A69" w14:paraId="5524F5D3" w14:textId="77777777" w:rsidTr="00AD1E92">
        <w:trPr>
          <w:cantSplit/>
          <w:jc w:val="center"/>
        </w:trPr>
        <w:tc>
          <w:tcPr>
            <w:tcW w:w="6660" w:type="dxa"/>
            <w:tcBorders>
              <w:top w:val="single" w:sz="12" w:space="0" w:color="auto"/>
            </w:tcBorders>
          </w:tcPr>
          <w:p w14:paraId="2544B20A" w14:textId="77777777" w:rsidR="00CA08BA" w:rsidRPr="00783A69" w:rsidRDefault="00CA08BA" w:rsidP="00B93B7B">
            <w:pPr>
              <w:spacing w:before="20" w:after="20" w:line="300" w:lineRule="exact"/>
              <w:rPr>
                <w:b/>
                <w:bCs/>
                <w:rtl/>
                <w:lang w:bidi="ar-EG"/>
              </w:rPr>
            </w:pPr>
          </w:p>
        </w:tc>
        <w:tc>
          <w:tcPr>
            <w:tcW w:w="2979" w:type="dxa"/>
            <w:gridSpan w:val="2"/>
            <w:tcBorders>
              <w:top w:val="single" w:sz="12" w:space="0" w:color="auto"/>
            </w:tcBorders>
          </w:tcPr>
          <w:p w14:paraId="576EEA72" w14:textId="77777777" w:rsidR="00CA08BA" w:rsidRPr="00C85CB5" w:rsidRDefault="00CA08BA" w:rsidP="00B93B7B">
            <w:pPr>
              <w:spacing w:before="20" w:after="20" w:line="300" w:lineRule="exact"/>
              <w:rPr>
                <w:b/>
                <w:bCs/>
                <w:highlight w:val="yellow"/>
                <w:rtl/>
                <w:lang w:bidi="ar-EG"/>
              </w:rPr>
            </w:pPr>
          </w:p>
        </w:tc>
      </w:tr>
      <w:tr w:rsidR="00783A69" w:rsidRPr="00783A69" w14:paraId="0A22D63E" w14:textId="77777777" w:rsidTr="00AD1E92">
        <w:trPr>
          <w:cantSplit/>
          <w:jc w:val="center"/>
        </w:trPr>
        <w:tc>
          <w:tcPr>
            <w:tcW w:w="6660" w:type="dxa"/>
          </w:tcPr>
          <w:p w14:paraId="05F77466" w14:textId="77777777" w:rsidR="00783A69" w:rsidRPr="00783A69" w:rsidRDefault="00783A69" w:rsidP="00B93B7B">
            <w:pPr>
              <w:spacing w:before="20" w:after="20" w:line="300" w:lineRule="exact"/>
              <w:rPr>
                <w:b/>
                <w:bCs/>
                <w:rtl/>
                <w:lang w:bidi="ar-EG"/>
              </w:rPr>
            </w:pPr>
          </w:p>
        </w:tc>
        <w:tc>
          <w:tcPr>
            <w:tcW w:w="2979" w:type="dxa"/>
            <w:gridSpan w:val="2"/>
          </w:tcPr>
          <w:p w14:paraId="0139313E" w14:textId="2F60EF2E" w:rsidR="00783A69" w:rsidRPr="00153471" w:rsidRDefault="00173234" w:rsidP="00173234">
            <w:pPr>
              <w:spacing w:before="20" w:after="20" w:line="300" w:lineRule="exact"/>
              <w:jc w:val="left"/>
              <w:rPr>
                <w:b/>
                <w:bCs/>
                <w:rtl/>
                <w:lang w:bidi="ar-SY"/>
              </w:rPr>
            </w:pPr>
            <w:r>
              <w:rPr>
                <w:rFonts w:hint="cs"/>
                <w:b/>
                <w:bCs/>
                <w:rtl/>
                <w:lang w:bidi="ar-EG"/>
              </w:rPr>
              <w:t xml:space="preserve">المراجعة </w:t>
            </w:r>
            <w:r w:rsidR="0053709C">
              <w:rPr>
                <w:b/>
                <w:bCs/>
                <w:lang w:bidi="ar-EG"/>
              </w:rPr>
              <w:t>2</w:t>
            </w:r>
            <w:r>
              <w:rPr>
                <w:b/>
                <w:bCs/>
                <w:rtl/>
                <w:lang w:bidi="ar-EG"/>
              </w:rPr>
              <w:br/>
            </w:r>
            <w:r>
              <w:rPr>
                <w:rFonts w:hint="cs"/>
                <w:b/>
                <w:bCs/>
                <w:rtl/>
                <w:lang w:bidi="ar-EG"/>
              </w:rPr>
              <w:t>ل</w:t>
            </w:r>
            <w:r w:rsidR="00783A69" w:rsidRPr="00153471">
              <w:rPr>
                <w:rFonts w:hint="cs"/>
                <w:b/>
                <w:bCs/>
                <w:rtl/>
                <w:lang w:bidi="ar-EG"/>
              </w:rPr>
              <w:t xml:space="preserve">لوثيقة </w:t>
            </w:r>
            <w:r w:rsidR="00783A69" w:rsidRPr="00153471">
              <w:rPr>
                <w:b/>
                <w:bCs/>
                <w:lang w:bidi="ar-EG"/>
              </w:rPr>
              <w:t>TDAG-</w:t>
            </w:r>
            <w:r w:rsidR="006B266A">
              <w:rPr>
                <w:b/>
                <w:bCs/>
                <w:lang w:bidi="ar-EG"/>
              </w:rPr>
              <w:t>2</w:t>
            </w:r>
            <w:r w:rsidR="00105EF4">
              <w:rPr>
                <w:b/>
                <w:bCs/>
                <w:lang w:bidi="ar-EG"/>
              </w:rPr>
              <w:t>6</w:t>
            </w:r>
            <w:r w:rsidR="008562F3" w:rsidRPr="006B266A">
              <w:rPr>
                <w:b/>
                <w:bCs/>
                <w:lang w:bidi="ar-EG"/>
              </w:rPr>
              <w:t>/</w:t>
            </w:r>
            <w:r w:rsidR="00C23B5E">
              <w:rPr>
                <w:b/>
                <w:bCs/>
                <w:lang w:bidi="ar-EG"/>
              </w:rPr>
              <w:t>2(Add.2)</w:t>
            </w:r>
            <w:r w:rsidR="00783A69" w:rsidRPr="00153471">
              <w:rPr>
                <w:b/>
                <w:bCs/>
                <w:lang w:bidi="ar-EG"/>
              </w:rPr>
              <w:t>-A</w:t>
            </w:r>
          </w:p>
        </w:tc>
      </w:tr>
      <w:tr w:rsidR="00783A69" w:rsidRPr="00783A69" w14:paraId="78E36D46" w14:textId="77777777" w:rsidTr="00AD1E92">
        <w:trPr>
          <w:cantSplit/>
          <w:jc w:val="center"/>
        </w:trPr>
        <w:tc>
          <w:tcPr>
            <w:tcW w:w="6660" w:type="dxa"/>
          </w:tcPr>
          <w:p w14:paraId="7581BD45" w14:textId="77777777" w:rsidR="00783A69" w:rsidRPr="00783A69" w:rsidRDefault="00783A69" w:rsidP="00B93B7B">
            <w:pPr>
              <w:spacing w:before="20" w:after="20" w:line="300" w:lineRule="exact"/>
              <w:rPr>
                <w:b/>
                <w:bCs/>
              </w:rPr>
            </w:pPr>
          </w:p>
        </w:tc>
        <w:tc>
          <w:tcPr>
            <w:tcW w:w="2979" w:type="dxa"/>
            <w:gridSpan w:val="2"/>
          </w:tcPr>
          <w:p w14:paraId="0D4706FA" w14:textId="6FF48F3A" w:rsidR="00783A69" w:rsidRPr="00C85CB5" w:rsidRDefault="0053709C" w:rsidP="00B319BC">
            <w:pPr>
              <w:spacing w:before="20" w:after="20" w:line="300" w:lineRule="exact"/>
              <w:rPr>
                <w:b/>
                <w:bCs/>
                <w:highlight w:val="yellow"/>
                <w:rtl/>
              </w:rPr>
            </w:pPr>
            <w:r>
              <w:rPr>
                <w:rFonts w:hint="cs"/>
                <w:b/>
                <w:bCs/>
                <w:rtl/>
                <w:lang w:bidi="ar-EG"/>
              </w:rPr>
              <w:t>6</w:t>
            </w:r>
            <w:r w:rsidR="00783A69" w:rsidRPr="006B266A">
              <w:rPr>
                <w:rFonts w:hint="cs"/>
                <w:b/>
                <w:bCs/>
                <w:rtl/>
                <w:lang w:bidi="ar-EG"/>
              </w:rPr>
              <w:t xml:space="preserve"> </w:t>
            </w:r>
            <w:r w:rsidR="00173234">
              <w:rPr>
                <w:rFonts w:hint="cs"/>
                <w:b/>
                <w:bCs/>
                <w:rtl/>
                <w:lang w:bidi="ar-EG"/>
              </w:rPr>
              <w:t>أبريل</w:t>
            </w:r>
            <w:r w:rsidR="00783A69" w:rsidRPr="006B266A">
              <w:rPr>
                <w:rFonts w:hint="cs"/>
                <w:b/>
                <w:bCs/>
                <w:rtl/>
                <w:lang w:bidi="ar-EG"/>
              </w:rPr>
              <w:t xml:space="preserve"> </w:t>
            </w:r>
            <w:r w:rsidR="00105EF4">
              <w:rPr>
                <w:b/>
                <w:bCs/>
                <w:lang w:bidi="ar-EG"/>
              </w:rPr>
              <w:t>2026</w:t>
            </w:r>
          </w:p>
        </w:tc>
      </w:tr>
      <w:tr w:rsidR="00783A69" w:rsidRPr="00783A69" w14:paraId="41BACD9A" w14:textId="77777777" w:rsidTr="00AD1E92">
        <w:trPr>
          <w:cantSplit/>
          <w:jc w:val="center"/>
        </w:trPr>
        <w:tc>
          <w:tcPr>
            <w:tcW w:w="6660" w:type="dxa"/>
          </w:tcPr>
          <w:p w14:paraId="47E40912" w14:textId="77777777" w:rsidR="00783A69" w:rsidRPr="00783A69" w:rsidRDefault="00783A69" w:rsidP="00B93B7B">
            <w:pPr>
              <w:spacing w:before="20" w:after="20" w:line="300" w:lineRule="exact"/>
              <w:rPr>
                <w:b/>
                <w:bCs/>
                <w:lang w:bidi="ar-EG"/>
              </w:rPr>
            </w:pPr>
          </w:p>
        </w:tc>
        <w:tc>
          <w:tcPr>
            <w:tcW w:w="2979" w:type="dxa"/>
            <w:gridSpan w:val="2"/>
          </w:tcPr>
          <w:p w14:paraId="123CCE16" w14:textId="77777777" w:rsidR="00783A69" w:rsidRPr="00153471" w:rsidRDefault="00783A69" w:rsidP="00B93B7B">
            <w:pPr>
              <w:spacing w:before="20" w:after="20" w:line="300" w:lineRule="exact"/>
              <w:rPr>
                <w:b/>
                <w:bCs/>
                <w:rtl/>
                <w:lang w:bidi="ar-EG"/>
              </w:rPr>
            </w:pPr>
            <w:r w:rsidRPr="00153471">
              <w:rPr>
                <w:rFonts w:hint="cs"/>
                <w:b/>
                <w:bCs/>
                <w:rtl/>
                <w:lang w:bidi="ar-EG"/>
              </w:rPr>
              <w:t>الأصل: بالإنكليزية</w:t>
            </w:r>
          </w:p>
        </w:tc>
      </w:tr>
      <w:tr w:rsidR="00783A69" w:rsidRPr="00783A69" w14:paraId="42C65193" w14:textId="77777777" w:rsidTr="00EE5CF2">
        <w:trPr>
          <w:cantSplit/>
          <w:jc w:val="center"/>
        </w:trPr>
        <w:tc>
          <w:tcPr>
            <w:tcW w:w="9639" w:type="dxa"/>
            <w:gridSpan w:val="3"/>
          </w:tcPr>
          <w:p w14:paraId="366E5BD9" w14:textId="77F4FE5D" w:rsidR="00783A69" w:rsidRPr="00783A69" w:rsidRDefault="00C23B5E" w:rsidP="00EE5CF2">
            <w:pPr>
              <w:pStyle w:val="Source"/>
            </w:pPr>
            <w:r w:rsidRPr="00C23B5E">
              <w:rPr>
                <w:sz w:val="28"/>
                <w:szCs w:val="28"/>
                <w:rtl/>
                <w:lang w:bidi="ar-EG"/>
              </w:rPr>
              <w:t>مدير مكتب تنمية الاتصالات</w:t>
            </w:r>
          </w:p>
        </w:tc>
      </w:tr>
      <w:tr w:rsidR="00783A69" w:rsidRPr="00783A69" w14:paraId="68C787EB" w14:textId="77777777" w:rsidTr="00EE5CF2">
        <w:trPr>
          <w:cantSplit/>
          <w:jc w:val="center"/>
        </w:trPr>
        <w:tc>
          <w:tcPr>
            <w:tcW w:w="9639" w:type="dxa"/>
            <w:gridSpan w:val="3"/>
          </w:tcPr>
          <w:p w14:paraId="4D3441A7" w14:textId="024A7BC7" w:rsidR="00783A69" w:rsidRPr="00783A69" w:rsidRDefault="00C23B5E" w:rsidP="00EE5CF2">
            <w:pPr>
              <w:pStyle w:val="Title1"/>
              <w:rPr>
                <w:lang w:bidi="ar-EG"/>
              </w:rPr>
            </w:pPr>
            <w:r w:rsidRPr="00C23B5E">
              <w:rPr>
                <w:rtl/>
                <w:lang w:bidi="ar-EG"/>
              </w:rPr>
              <w:t>إطار التأثير لتنفيذ خطة عمل باكو (</w:t>
            </w:r>
            <w:r w:rsidRPr="00C23B5E">
              <w:rPr>
                <w:lang w:bidi="ar-EG"/>
              </w:rPr>
              <w:t>BAP</w:t>
            </w:r>
            <w:r w:rsidRPr="00C23B5E">
              <w:rPr>
                <w:rtl/>
                <w:lang w:bidi="ar-EG"/>
              </w:rPr>
              <w:t>)</w:t>
            </w:r>
          </w:p>
        </w:tc>
      </w:tr>
    </w:tbl>
    <w:p w14:paraId="49B643EC" w14:textId="77777777" w:rsidR="00EE5CF2" w:rsidRDefault="00EE5CF2"/>
    <w:tbl>
      <w:tblPr>
        <w:bidiVisual/>
        <w:tblW w:w="5008" w:type="pct"/>
        <w:jc w:val="center"/>
        <w:tblLayout w:type="fixed"/>
        <w:tblLook w:val="0000" w:firstRow="0" w:lastRow="0" w:firstColumn="0" w:lastColumn="0" w:noHBand="0" w:noVBand="0"/>
        <w:tblCaption w:val="معلومات عن الوثيقة (لجنة الدراسات، الاجتماع، المسألة، المصدر، العنوان)"/>
      </w:tblPr>
      <w:tblGrid>
        <w:gridCol w:w="9637"/>
      </w:tblGrid>
      <w:tr w:rsidR="00783A69" w:rsidRPr="00153471" w14:paraId="46ACE052" w14:textId="77777777" w:rsidTr="007D6B69">
        <w:trPr>
          <w:cantSplit/>
          <w:jc w:val="center"/>
        </w:trPr>
        <w:tc>
          <w:tcPr>
            <w:tcW w:w="9638" w:type="dxa"/>
            <w:tcBorders>
              <w:top w:val="single" w:sz="6" w:space="0" w:color="auto"/>
              <w:left w:val="single" w:sz="6" w:space="0" w:color="auto"/>
              <w:bottom w:val="single" w:sz="6" w:space="0" w:color="auto"/>
              <w:right w:val="single" w:sz="6" w:space="0" w:color="auto"/>
            </w:tcBorders>
            <w:vAlign w:val="center"/>
          </w:tcPr>
          <w:p w14:paraId="705890BE" w14:textId="77777777" w:rsidR="00783A69" w:rsidRPr="00153471" w:rsidRDefault="00783A69" w:rsidP="00DF0BE8">
            <w:pPr>
              <w:rPr>
                <w:b/>
                <w:bCs/>
                <w:rtl/>
                <w:lang w:bidi="ar-SY"/>
              </w:rPr>
            </w:pPr>
            <w:r w:rsidRPr="00153471">
              <w:rPr>
                <w:rFonts w:hint="cs"/>
                <w:b/>
                <w:bCs/>
                <w:rtl/>
                <w:lang w:bidi="ar-SY"/>
              </w:rPr>
              <w:t>ملخص</w:t>
            </w:r>
            <w:r w:rsidR="005874F2" w:rsidRPr="00153471">
              <w:rPr>
                <w:rFonts w:hint="cs"/>
                <w:b/>
                <w:bCs/>
                <w:rtl/>
                <w:lang w:bidi="ar-SY"/>
              </w:rPr>
              <w:t>:</w:t>
            </w:r>
          </w:p>
          <w:p w14:paraId="10B5CB54" w14:textId="23BCF9B7" w:rsidR="00783A69" w:rsidRPr="006B266A" w:rsidRDefault="0021786A" w:rsidP="00DF0BE8">
            <w:pPr>
              <w:rPr>
                <w:rtl/>
                <w:lang w:val="en-GB"/>
              </w:rPr>
            </w:pPr>
            <w:r w:rsidRPr="0021786A">
              <w:rPr>
                <w:rtl/>
                <w:lang w:val="en-GB" w:bidi="ar-EG"/>
              </w:rPr>
              <w:t>تقدم الوثيقة إطار تأثير لتنفيذ خطة عمل باكو (</w:t>
            </w:r>
            <w:r w:rsidRPr="0021786A">
              <w:rPr>
                <w:lang w:val="en-GB" w:bidi="ar-EG"/>
              </w:rPr>
              <w:t>BAP</w:t>
            </w:r>
            <w:r w:rsidRPr="0021786A">
              <w:rPr>
                <w:rtl/>
                <w:lang w:val="en-GB" w:bidi="ar-EG"/>
              </w:rPr>
              <w:t>). وتتضمن أولويات قطاع تنمية الاتصالات و</w:t>
            </w:r>
            <w:r w:rsidR="002F6EBB">
              <w:rPr>
                <w:rFonts w:hint="cs"/>
                <w:rtl/>
                <w:lang w:val="en-GB" w:bidi="ar-EG"/>
              </w:rPr>
              <w:t xml:space="preserve">محصلاتها </w:t>
            </w:r>
            <w:r w:rsidRPr="0021786A">
              <w:rPr>
                <w:rtl/>
                <w:lang w:val="en-GB" w:bidi="ar-EG"/>
              </w:rPr>
              <w:t xml:space="preserve">المتوقعة، والعوامل التمكينية، والمنتجات والخدمات التي يتعين تقديمها، ومجموعة من مؤشرات </w:t>
            </w:r>
            <w:r w:rsidR="002F6EBB">
              <w:rPr>
                <w:rFonts w:hint="cs"/>
                <w:rtl/>
                <w:lang w:val="en-GB" w:bidi="ar-EG"/>
              </w:rPr>
              <w:t>المحصلات</w:t>
            </w:r>
            <w:r w:rsidRPr="0021786A">
              <w:rPr>
                <w:rtl/>
                <w:lang w:val="en-GB" w:bidi="ar-EG"/>
              </w:rPr>
              <w:t>. وتعرض الوثيقة أيضاً الخطة التشغيلية لقطاع تنمية الاتصالات لعام 2026 (</w:t>
            </w:r>
            <w:r w:rsidRPr="0021786A">
              <w:rPr>
                <w:lang w:val="en-GB" w:bidi="ar-EG"/>
              </w:rPr>
              <w:t>OP-26</w:t>
            </w:r>
            <w:r w:rsidRPr="0021786A">
              <w:rPr>
                <w:rtl/>
                <w:lang w:val="en-GB" w:bidi="ar-EG"/>
              </w:rPr>
              <w:t>) وتخصيص</w:t>
            </w:r>
            <w:r w:rsidR="002F6EBB">
              <w:rPr>
                <w:rFonts w:hint="cs"/>
                <w:rtl/>
                <w:lang w:val="en-GB" w:bidi="ar-EG"/>
              </w:rPr>
              <w:t>ات</w:t>
            </w:r>
            <w:r w:rsidRPr="0021786A">
              <w:rPr>
                <w:rtl/>
                <w:lang w:val="en-GB" w:bidi="ar-EG"/>
              </w:rPr>
              <w:t xml:space="preserve"> </w:t>
            </w:r>
            <w:r w:rsidR="002F6EBB">
              <w:rPr>
                <w:rFonts w:hint="cs"/>
                <w:rtl/>
                <w:lang w:val="en-GB" w:bidi="ar-EG"/>
              </w:rPr>
              <w:t xml:space="preserve">التمويل </w:t>
            </w:r>
            <w:r w:rsidRPr="0021786A">
              <w:rPr>
                <w:rtl/>
                <w:lang w:val="en-GB" w:bidi="ar-EG"/>
              </w:rPr>
              <w:t>في إطار كل أولوية وعامل تمكيني لقطاع تنمية الاتصالات، فضلاً عن أبرز النقاط في عملية التنفيذ لخطة عمل باكو في الفترة من يناير إلى مارس 2026.</w:t>
            </w:r>
          </w:p>
          <w:p w14:paraId="29460433" w14:textId="77777777" w:rsidR="00783A69" w:rsidRPr="00E43176" w:rsidRDefault="00783A69" w:rsidP="00DF0BE8">
            <w:pPr>
              <w:rPr>
                <w:rtl/>
                <w:lang w:bidi="ar-SY"/>
              </w:rPr>
            </w:pPr>
            <w:r w:rsidRPr="00153471">
              <w:rPr>
                <w:rFonts w:hint="cs"/>
                <w:b/>
                <w:bCs/>
                <w:rtl/>
                <w:lang w:bidi="ar-SY"/>
              </w:rPr>
              <w:t>الإجراء المطلوب</w:t>
            </w:r>
            <w:r w:rsidR="005874F2" w:rsidRPr="00153471">
              <w:rPr>
                <w:rFonts w:hint="cs"/>
                <w:b/>
                <w:bCs/>
                <w:rtl/>
                <w:lang w:bidi="ar-SY"/>
              </w:rPr>
              <w:t>:</w:t>
            </w:r>
          </w:p>
          <w:p w14:paraId="7E1BD238" w14:textId="420F5CDF" w:rsidR="004F0F62" w:rsidRPr="004F0F62" w:rsidRDefault="00105EF4" w:rsidP="00DF0BE8">
            <w:pPr>
              <w:rPr>
                <w:color w:val="000000"/>
                <w:rtl/>
                <w:lang w:bidi="ar-EG"/>
              </w:rPr>
            </w:pPr>
            <w:r w:rsidRPr="00105EF4">
              <w:rPr>
                <w:color w:val="000000"/>
                <w:rtl/>
              </w:rPr>
              <w:t>يُدعى الفريق الاستشاري لتنمية الاتصالات إلى </w:t>
            </w:r>
            <w:r w:rsidR="002F6EBB">
              <w:rPr>
                <w:rFonts w:hint="cs"/>
                <w:color w:val="000000"/>
                <w:rtl/>
              </w:rPr>
              <w:t>النظر في</w:t>
            </w:r>
            <w:r w:rsidRPr="00105EF4">
              <w:rPr>
                <w:color w:val="000000"/>
                <w:rtl/>
              </w:rPr>
              <w:t xml:space="preserve"> </w:t>
            </w:r>
            <w:r w:rsidR="002F6EBB">
              <w:rPr>
                <w:rFonts w:hint="cs"/>
                <w:color w:val="000000"/>
                <w:rtl/>
              </w:rPr>
              <w:t xml:space="preserve">هذه </w:t>
            </w:r>
            <w:r w:rsidRPr="00105EF4">
              <w:rPr>
                <w:color w:val="000000"/>
                <w:rtl/>
              </w:rPr>
              <w:t>الوثيقة وتقديم التوجيهات التي يراها مناسبة.</w:t>
            </w:r>
          </w:p>
          <w:p w14:paraId="0C5CA94E" w14:textId="77777777" w:rsidR="00783A69" w:rsidRPr="00153471" w:rsidRDefault="00783A69" w:rsidP="00DF0BE8">
            <w:pPr>
              <w:rPr>
                <w:b/>
                <w:bCs/>
                <w:rtl/>
                <w:lang w:bidi="ar-SY"/>
              </w:rPr>
            </w:pPr>
            <w:r w:rsidRPr="00153471">
              <w:rPr>
                <w:rFonts w:hint="cs"/>
                <w:b/>
                <w:bCs/>
                <w:rtl/>
                <w:lang w:bidi="ar-SY"/>
              </w:rPr>
              <w:t>المراجع</w:t>
            </w:r>
            <w:r w:rsidR="005874F2" w:rsidRPr="00153471">
              <w:rPr>
                <w:rFonts w:hint="cs"/>
                <w:b/>
                <w:bCs/>
                <w:rtl/>
                <w:lang w:bidi="ar-SY"/>
              </w:rPr>
              <w:t>:</w:t>
            </w:r>
          </w:p>
          <w:p w14:paraId="0C2FA828" w14:textId="7DDF5319" w:rsidR="00C23B5E" w:rsidRPr="00C23B5E" w:rsidRDefault="00D33490" w:rsidP="00DF0BE8">
            <w:pPr>
              <w:rPr>
                <w:rtl/>
                <w:lang w:val="en-GB" w:bidi="ar-EG"/>
              </w:rPr>
            </w:pPr>
            <w:hyperlink r:id="rId9" w:history="1">
              <w:r w:rsidR="00C23B5E">
                <w:rPr>
                  <w:rtl/>
                </w:rPr>
                <w:t xml:space="preserve"> </w:t>
              </w:r>
              <w:r w:rsidR="00C23B5E" w:rsidRPr="00C23B5E">
                <w:rPr>
                  <w:rStyle w:val="Hyperlink"/>
                  <w:rtl/>
                  <w:lang w:val="en-GB" w:bidi="ar-EG"/>
                </w:rPr>
                <w:t>الفريق الاستشاري لتنمية الاتصالات</w:t>
              </w:r>
              <w:r w:rsidR="0021786A">
                <w:rPr>
                  <w:rStyle w:val="Hyperlink"/>
                  <w:rFonts w:hint="cs"/>
                  <w:rtl/>
                  <w:lang w:val="en-GB" w:bidi="ar-EG"/>
                </w:rPr>
                <w:t xml:space="preserve"> لعام</w:t>
              </w:r>
              <w:r w:rsidR="006D45AB">
                <w:rPr>
                  <w:rStyle w:val="Hyperlink"/>
                  <w:rFonts w:hint="cs"/>
                  <w:rtl/>
                  <w:lang w:val="en-GB"/>
                </w:rPr>
                <w:t xml:space="preserve"> </w:t>
              </w:r>
              <w:r w:rsidR="00C23B5E">
                <w:rPr>
                  <w:rStyle w:val="Hyperlink"/>
                  <w:rFonts w:hint="cs"/>
                  <w:rtl/>
                  <w:lang w:val="en-GB"/>
                </w:rPr>
                <w:t>2026</w:t>
              </w:r>
              <w:r w:rsidR="006D45AB">
                <w:rPr>
                  <w:rStyle w:val="Hyperlink"/>
                  <w:rFonts w:hint="cs"/>
                  <w:rtl/>
                  <w:lang w:val="en-GB" w:bidi="ar-EG"/>
                </w:rPr>
                <w:t xml:space="preserve"> </w:t>
              </w:r>
              <w:r w:rsidR="00C23B5E" w:rsidRPr="00C23B5E">
                <w:rPr>
                  <w:rStyle w:val="Hyperlink"/>
                  <w:lang w:val="en-GB" w:bidi="ar-EG"/>
                </w:rPr>
                <w:t>(TDAG</w:t>
              </w:r>
              <w:r w:rsidR="00C23B5E">
                <w:rPr>
                  <w:rStyle w:val="Hyperlink"/>
                  <w:lang w:val="en-GB" w:bidi="ar-EG"/>
                </w:rPr>
                <w:t>-26</w:t>
              </w:r>
              <w:r w:rsidR="00C23B5E" w:rsidRPr="00C23B5E">
                <w:rPr>
                  <w:rStyle w:val="Hyperlink"/>
                  <w:lang w:val="en-GB" w:bidi="ar-EG"/>
                </w:rPr>
                <w:t>)</w:t>
              </w:r>
              <w:r w:rsidR="00C23B5E" w:rsidRPr="00C23B5E">
                <w:rPr>
                  <w:rStyle w:val="Hyperlink"/>
                  <w:rtl/>
                  <w:lang w:val="en-GB" w:bidi="ar-EG"/>
                </w:rPr>
                <w:t>، الوثيقة 2</w:t>
              </w:r>
            </w:hyperlink>
          </w:p>
          <w:p w14:paraId="59D7CBA8" w14:textId="3848BC1F" w:rsidR="00783A69" w:rsidRPr="00153471" w:rsidRDefault="00D33490" w:rsidP="00DF0BE8">
            <w:pPr>
              <w:rPr>
                <w:rtl/>
              </w:rPr>
            </w:pPr>
            <w:hyperlink r:id="rId10" w:history="1">
              <w:r w:rsidR="00C23B5E" w:rsidRPr="00C23B5E">
                <w:rPr>
                  <w:rStyle w:val="Hyperlink"/>
                  <w:rtl/>
                  <w:lang w:val="en-GB" w:bidi="ar-EG"/>
                </w:rPr>
                <w:t>خطة عمل باكو للمؤتمر العالمي لتنمية الاتصالات لعام 2025 (</w:t>
              </w:r>
              <w:r w:rsidR="00C23B5E" w:rsidRPr="00C23B5E">
                <w:rPr>
                  <w:rStyle w:val="Hyperlink"/>
                  <w:lang w:val="en-GB" w:bidi="ar-EG"/>
                </w:rPr>
                <w:t>WTDC-25</w:t>
              </w:r>
              <w:r w:rsidR="00C23B5E" w:rsidRPr="00C23B5E">
                <w:rPr>
                  <w:rStyle w:val="Hyperlink"/>
                  <w:rtl/>
                  <w:lang w:val="en-GB" w:bidi="ar-EG"/>
                </w:rPr>
                <w:t>)</w:t>
              </w:r>
            </w:hyperlink>
          </w:p>
        </w:tc>
      </w:tr>
    </w:tbl>
    <w:p w14:paraId="71268007" w14:textId="77777777" w:rsidR="00882A17" w:rsidRDefault="00882A17" w:rsidP="00C23B5E">
      <w:pPr>
        <w:rPr>
          <w:lang w:bidi="ar-EG"/>
        </w:rPr>
      </w:pPr>
      <w:r>
        <w:rPr>
          <w:rtl/>
          <w:lang w:bidi="ar-EG"/>
        </w:rPr>
        <w:br w:type="page"/>
      </w:r>
    </w:p>
    <w:p w14:paraId="49148D17" w14:textId="7CAC1FB0" w:rsidR="00C23B5E" w:rsidRPr="00C23B5E" w:rsidRDefault="00460797" w:rsidP="00460797">
      <w:pPr>
        <w:pStyle w:val="Heading1"/>
        <w:rPr>
          <w:lang w:val="ar-SA" w:bidi="ar-EG"/>
        </w:rPr>
      </w:pPr>
      <w:r>
        <w:lastRenderedPageBreak/>
        <w:t>1</w:t>
      </w:r>
      <w:r w:rsidR="00A60560">
        <w:tab/>
      </w:r>
      <w:r w:rsidR="00752870" w:rsidRPr="00752870">
        <w:rPr>
          <w:rtl/>
        </w:rPr>
        <w:t xml:space="preserve">رؤية واستراتيجية تنفيذ خطة عمل باكو للفترة </w:t>
      </w:r>
      <w:r w:rsidR="00985C70">
        <w:t>2029-2026</w:t>
      </w:r>
    </w:p>
    <w:p w14:paraId="1AC5E960" w14:textId="314DD94B" w:rsidR="00C23B5E" w:rsidRPr="00C23B5E" w:rsidRDefault="00C23B5E" w:rsidP="00C23B5E">
      <w:pPr>
        <w:rPr>
          <w:lang w:val="ar-SA" w:bidi="ar-EG"/>
        </w:rPr>
      </w:pPr>
      <w:r w:rsidRPr="00C23B5E">
        <w:rPr>
          <w:rtl/>
        </w:rPr>
        <w:t xml:space="preserve">اعتمد المؤتمر العالمي لتنمية الاتصالات الذي عقد في باكو، أذربيجان في عام 2025 (WTDC-25) </w:t>
      </w:r>
      <w:hyperlink r:id="rId11" w:history="1">
        <w:r w:rsidRPr="000676D0">
          <w:rPr>
            <w:rStyle w:val="Hyperlink"/>
            <w:rtl/>
          </w:rPr>
          <w:t>خطة عمل باكو</w:t>
        </w:r>
      </w:hyperlink>
      <w:r w:rsidRPr="000676D0">
        <w:rPr>
          <w:rtl/>
        </w:rPr>
        <w:t xml:space="preserve"> </w:t>
      </w:r>
      <w:r w:rsidRPr="000676D0">
        <w:rPr>
          <w:lang w:bidi="ar-EG"/>
        </w:rPr>
        <w:t>(BAP)</w:t>
      </w:r>
      <w:r w:rsidRPr="00C23B5E">
        <w:rPr>
          <w:rtl/>
        </w:rPr>
        <w:t xml:space="preserve"> التي</w:t>
      </w:r>
      <w:r w:rsidR="00460797">
        <w:rPr>
          <w:rFonts w:hint="eastAsia"/>
          <w:rtl/>
        </w:rPr>
        <w:t> </w:t>
      </w:r>
      <w:r w:rsidRPr="00C23B5E">
        <w:rPr>
          <w:rtl/>
        </w:rPr>
        <w:t xml:space="preserve">تحدد اتجاه عمل قطاع تنمية الاتصالات بالاتحاد </w:t>
      </w:r>
      <w:r w:rsidRPr="00C23B5E">
        <w:rPr>
          <w:lang w:bidi="ar-EG"/>
        </w:rPr>
        <w:t>(ITU-D)</w:t>
      </w:r>
      <w:r w:rsidRPr="00C23B5E">
        <w:rPr>
          <w:rtl/>
        </w:rPr>
        <w:t xml:space="preserve"> حتى المؤتمر العالمي التالي لتنمية الاتصالات وترسم مساراً للتنمية الرقمية يتماشى بشكل وثيق مع خطة عمل القمة العالمية لمجتمع المعلومات </w:t>
      </w:r>
      <w:r w:rsidRPr="00C23B5E">
        <w:rPr>
          <w:lang w:bidi="ar-EG"/>
        </w:rPr>
        <w:t>(WSIS)</w:t>
      </w:r>
      <w:r w:rsidRPr="00C23B5E">
        <w:rPr>
          <w:rtl/>
        </w:rPr>
        <w:t xml:space="preserve"> وكذلك أهداف التنمية المستدامة </w:t>
      </w:r>
      <w:r w:rsidRPr="00C23B5E">
        <w:rPr>
          <w:lang w:bidi="ar-EG"/>
        </w:rPr>
        <w:t>(SDG)</w:t>
      </w:r>
      <w:r w:rsidRPr="00C23B5E">
        <w:rPr>
          <w:rtl/>
        </w:rPr>
        <w:t xml:space="preserve"> التي حددتها الأمم المتحدة لعام 2030.</w:t>
      </w:r>
    </w:p>
    <w:p w14:paraId="02FED837" w14:textId="77777777" w:rsidR="00F10980" w:rsidRDefault="00C23B5E" w:rsidP="00C23B5E">
      <w:pPr>
        <w:rPr>
          <w:rtl/>
        </w:rPr>
      </w:pPr>
      <w:r w:rsidRPr="00C23B5E">
        <w:rPr>
          <w:rtl/>
        </w:rPr>
        <w:t xml:space="preserve">وتستند الاستراتيجية العامة لتنفيذ خطة عمل باكو </w:t>
      </w:r>
      <w:r w:rsidRPr="00C23B5E">
        <w:rPr>
          <w:lang w:bidi="ar-EG"/>
        </w:rPr>
        <w:t>BAP</w:t>
      </w:r>
      <w:r w:rsidRPr="00C23B5E">
        <w:rPr>
          <w:rtl/>
        </w:rPr>
        <w:t xml:space="preserve"> إلى ما يلي</w:t>
      </w:r>
      <w:r w:rsidRPr="00C23B5E">
        <w:rPr>
          <w:lang w:bidi="ar-EG"/>
        </w:rPr>
        <w:t>:</w:t>
      </w:r>
    </w:p>
    <w:p w14:paraId="378DA278" w14:textId="5BC93CCD" w:rsidR="00F10980" w:rsidRDefault="00460797" w:rsidP="00460797">
      <w:pPr>
        <w:pStyle w:val="enumlev1"/>
        <w:rPr>
          <w:rtl/>
        </w:rPr>
      </w:pPr>
      <w:r>
        <w:rPr>
          <w:rtl/>
        </w:rPr>
        <w:t>‒</w:t>
      </w:r>
      <w:r>
        <w:tab/>
      </w:r>
      <w:r w:rsidR="00C23B5E" w:rsidRPr="00C23B5E">
        <w:rPr>
          <w:rtl/>
        </w:rPr>
        <w:t xml:space="preserve">اتساق وتكامل إجراءات </w:t>
      </w:r>
      <w:r w:rsidR="00EB6F39">
        <w:rPr>
          <w:rFonts w:hint="cs"/>
          <w:rtl/>
        </w:rPr>
        <w:t xml:space="preserve">ونواتج </w:t>
      </w:r>
      <w:r w:rsidR="00C23B5E" w:rsidRPr="00C23B5E">
        <w:rPr>
          <w:rtl/>
        </w:rPr>
        <w:t xml:space="preserve">الخطة التشغيلية </w:t>
      </w:r>
      <w:r w:rsidR="000676D0">
        <w:rPr>
          <w:rFonts w:hint="cs"/>
          <w:rtl/>
        </w:rPr>
        <w:t>و</w:t>
      </w:r>
      <w:r w:rsidR="002F6EBB">
        <w:rPr>
          <w:rFonts w:hint="cs"/>
          <w:rtl/>
        </w:rPr>
        <w:t xml:space="preserve">محصلات </w:t>
      </w:r>
      <w:r w:rsidR="00EB6F39">
        <w:rPr>
          <w:rFonts w:hint="cs"/>
          <w:rtl/>
        </w:rPr>
        <w:t xml:space="preserve">أولويات </w:t>
      </w:r>
      <w:r w:rsidR="00C23B5E" w:rsidRPr="00C23B5E">
        <w:rPr>
          <w:rtl/>
        </w:rPr>
        <w:t>قطاع تنمية الاتصالات ومشاريعه ومبادراته الإقليمية وقرارات قطاع تنمية الاتصالات وكذلك الغايات الاستراتيجية للاتحاد؛</w:t>
      </w:r>
    </w:p>
    <w:p w14:paraId="76A5A429" w14:textId="1B1C4330" w:rsidR="00C23B5E" w:rsidRPr="00C23B5E" w:rsidRDefault="00460797" w:rsidP="00460797">
      <w:pPr>
        <w:pStyle w:val="enumlev1"/>
        <w:rPr>
          <w:lang w:val="ar-SA" w:bidi="ar-EG"/>
        </w:rPr>
      </w:pPr>
      <w:r>
        <w:rPr>
          <w:rtl/>
        </w:rPr>
        <w:t>‒</w:t>
      </w:r>
      <w:r>
        <w:tab/>
      </w:r>
      <w:r w:rsidR="00C23B5E" w:rsidRPr="00C23B5E">
        <w:rPr>
          <w:rtl/>
        </w:rPr>
        <w:t xml:space="preserve">تعزيز التعاون الشامل للوظائف والقائم على </w:t>
      </w:r>
      <w:r w:rsidR="000676D0">
        <w:rPr>
          <w:rFonts w:hint="cs"/>
          <w:rtl/>
        </w:rPr>
        <w:t>النتائج</w:t>
      </w:r>
      <w:r w:rsidR="00C23B5E" w:rsidRPr="00C23B5E">
        <w:rPr>
          <w:rtl/>
        </w:rPr>
        <w:t xml:space="preserve"> بين الأفرقة، بما في ذلك المكاتب الإقليمية ومكاتب المناطق، بهدف زيادة كفاءة منتجات وخدمات قطاع تنمية الاتصالات وتأثيرها على البلدان المستفيدة والوكالات الحكومية وأصحاب المصلحة الوطنيين والمجتمعات المحلية؛</w:t>
      </w:r>
    </w:p>
    <w:p w14:paraId="4B97BC8B" w14:textId="6D6D0259" w:rsidR="00C23B5E" w:rsidRPr="00460797" w:rsidRDefault="00460797" w:rsidP="00460797">
      <w:pPr>
        <w:pStyle w:val="enumlev1"/>
        <w:rPr>
          <w:spacing w:val="-4"/>
          <w:lang w:val="ar-SA" w:bidi="ar-EG"/>
        </w:rPr>
      </w:pPr>
      <w:r w:rsidRPr="00460797">
        <w:rPr>
          <w:spacing w:val="-4"/>
          <w:rtl/>
        </w:rPr>
        <w:t>‒</w:t>
      </w:r>
      <w:r w:rsidRPr="00460797">
        <w:rPr>
          <w:spacing w:val="-4"/>
        </w:rPr>
        <w:tab/>
      </w:r>
      <w:r w:rsidR="00C23B5E" w:rsidRPr="00460797">
        <w:rPr>
          <w:spacing w:val="-4"/>
          <w:rtl/>
        </w:rPr>
        <w:t xml:space="preserve">أوجه تآزر قوية في التنفيذ مع مكتب الاتصالات الراديوية </w:t>
      </w:r>
      <w:r w:rsidR="00C23B5E" w:rsidRPr="00460797">
        <w:rPr>
          <w:spacing w:val="-4"/>
          <w:lang w:bidi="ar-EG"/>
        </w:rPr>
        <w:t>(BR)</w:t>
      </w:r>
      <w:r w:rsidR="00C23B5E" w:rsidRPr="00460797">
        <w:rPr>
          <w:spacing w:val="-4"/>
          <w:rtl/>
        </w:rPr>
        <w:t xml:space="preserve"> ومكتب تقييس الاتصالات </w:t>
      </w:r>
      <w:r w:rsidR="00C23B5E" w:rsidRPr="00460797">
        <w:rPr>
          <w:spacing w:val="-4"/>
          <w:lang w:bidi="ar-EG"/>
        </w:rPr>
        <w:t>(TSB)</w:t>
      </w:r>
      <w:r w:rsidR="00C23B5E" w:rsidRPr="00460797">
        <w:rPr>
          <w:spacing w:val="-4"/>
          <w:rtl/>
        </w:rPr>
        <w:t xml:space="preserve"> والأمانة العامة في الاتحاد؛</w:t>
      </w:r>
    </w:p>
    <w:p w14:paraId="1728FFE2" w14:textId="321ED288" w:rsidR="00C23B5E" w:rsidRPr="00C23B5E" w:rsidRDefault="00460797" w:rsidP="00460797">
      <w:pPr>
        <w:pStyle w:val="enumlev1"/>
        <w:rPr>
          <w:lang w:val="ar-SA" w:bidi="ar-EG"/>
        </w:rPr>
      </w:pPr>
      <w:r>
        <w:rPr>
          <w:rtl/>
        </w:rPr>
        <w:t>‒</w:t>
      </w:r>
      <w:r>
        <w:tab/>
      </w:r>
      <w:r w:rsidR="00C23B5E" w:rsidRPr="00C23B5E">
        <w:rPr>
          <w:rtl/>
        </w:rPr>
        <w:t xml:space="preserve">مواصلة تحقيق تكامل أكبر خلال دورة التنفيذ الحالية بين تنفيذ المشاريع وإجراءات </w:t>
      </w:r>
      <w:r w:rsidR="002F6EBB">
        <w:rPr>
          <w:rFonts w:hint="cs"/>
          <w:rtl/>
        </w:rPr>
        <w:t xml:space="preserve">الخطة </w:t>
      </w:r>
      <w:r w:rsidR="00C23B5E" w:rsidRPr="00C23B5E">
        <w:rPr>
          <w:rtl/>
        </w:rPr>
        <w:t>التشغيلية والمبادرات الإقليمية وجهود الشركاء لضمان تقديم نواتج جيدة في الوقت المناسب وعلى نحو فعال.</w:t>
      </w:r>
    </w:p>
    <w:p w14:paraId="1AED3D59" w14:textId="0BB5117B" w:rsidR="00C23B5E" w:rsidRPr="00C23B5E" w:rsidRDefault="000676D0" w:rsidP="00460797">
      <w:pPr>
        <w:pStyle w:val="Heading2"/>
        <w:rPr>
          <w:lang w:val="ar-SA" w:bidi="ar-EG"/>
        </w:rPr>
      </w:pPr>
      <w:r>
        <w:t>1</w:t>
      </w:r>
      <w:r w:rsidR="00460797">
        <w:t>.1</w:t>
      </w:r>
      <w:r w:rsidR="00460797">
        <w:tab/>
      </w:r>
      <w:r w:rsidR="00C23B5E" w:rsidRPr="00C23B5E">
        <w:rPr>
          <w:rtl/>
        </w:rPr>
        <w:t>وضع إطار للخطة التشغيلية لقطاع تنمية الاتصالات لعام 2026 (OP-26)</w:t>
      </w:r>
    </w:p>
    <w:p w14:paraId="1A57344F" w14:textId="46DCE0F7" w:rsidR="00C23B5E" w:rsidRPr="00C23B5E" w:rsidRDefault="00C23B5E" w:rsidP="00C23B5E">
      <w:pPr>
        <w:rPr>
          <w:lang w:val="ar-SA" w:bidi="ar-EG"/>
        </w:rPr>
      </w:pPr>
      <w:r w:rsidRPr="00C23B5E">
        <w:rPr>
          <w:rtl/>
        </w:rPr>
        <w:t xml:space="preserve">تتماشى الخطة التشغيلية </w:t>
      </w:r>
      <w:r w:rsidRPr="00C23B5E">
        <w:rPr>
          <w:lang w:bidi="ar-EG"/>
        </w:rPr>
        <w:t>(OP)</w:t>
      </w:r>
      <w:r w:rsidRPr="00C23B5E">
        <w:rPr>
          <w:rtl/>
        </w:rPr>
        <w:t xml:space="preserve"> لقطاع تنمية الاتصالات لعام 2026 مع هيكل خطة عمل باكو </w:t>
      </w:r>
      <w:r w:rsidRPr="00C23B5E">
        <w:rPr>
          <w:lang w:bidi="ar-EG"/>
        </w:rPr>
        <w:t>BAP</w:t>
      </w:r>
      <w:r w:rsidRPr="00C23B5E">
        <w:rPr>
          <w:rtl/>
        </w:rPr>
        <w:t xml:space="preserve"> وكذلك الخطة الاستراتيجية للاتحاد للفترة </w:t>
      </w:r>
      <w:r w:rsidR="00594CB1">
        <w:t>2027-2024</w:t>
      </w:r>
      <w:r w:rsidRPr="00C23B5E">
        <w:rPr>
          <w:rtl/>
        </w:rPr>
        <w:t xml:space="preserve">. </w:t>
      </w:r>
      <w:r w:rsidR="000676D0" w:rsidRPr="000676D0">
        <w:rPr>
          <w:rtl/>
        </w:rPr>
        <w:t xml:space="preserve">ويحدد هيكل خطة عمل باكو أولويات قطاع تنمية الاتصالات وما يقابلها من </w:t>
      </w:r>
      <w:r w:rsidR="002F6EBB">
        <w:rPr>
          <w:rFonts w:hint="cs"/>
          <w:rtl/>
        </w:rPr>
        <w:t>محصلات</w:t>
      </w:r>
      <w:r w:rsidR="000676D0" w:rsidRPr="000676D0">
        <w:rPr>
          <w:rtl/>
        </w:rPr>
        <w:t xml:space="preserve"> وعوامل تمكينية، ومنتجات قطاع تنمية الاتصالات وخدماته، فضلاً عن مؤشرات قياس التقدم المحرز. وسيكون إطار التأثير لتنفيذ خطة عمل باكو للخطة التشغيلية لعام 2026 بمثابة أساس للخطة التشغيلية لقطاع تنمية الاتصالات للفترة </w:t>
      </w:r>
      <w:r w:rsidR="00796B05">
        <w:t>2029-2026</w:t>
      </w:r>
      <w:r w:rsidRPr="00C23B5E">
        <w:rPr>
          <w:rtl/>
        </w:rPr>
        <w:t xml:space="preserve"> بمجرد موافقة المجلس على ميزانية الاتحاد للفترة </w:t>
      </w:r>
      <w:r w:rsidR="00796B05">
        <w:t>2030-2027</w:t>
      </w:r>
      <w:r w:rsidRPr="00C23B5E">
        <w:rPr>
          <w:rtl/>
        </w:rPr>
        <w:t>.</w:t>
      </w:r>
    </w:p>
    <w:p w14:paraId="143E5C30" w14:textId="77777777" w:rsidR="00F10980" w:rsidRDefault="00C23B5E" w:rsidP="00C23B5E">
      <w:pPr>
        <w:rPr>
          <w:rtl/>
        </w:rPr>
      </w:pPr>
      <w:r w:rsidRPr="00C23B5E">
        <w:rPr>
          <w:rtl/>
        </w:rPr>
        <w:t xml:space="preserve">وتألفت عملية التخطيط للخطة التشغيلية لعام 2026 من تحديد مبادئ التأطير لبدء الأعمال، وضمان التوافق مع خطة عمل باكو </w:t>
      </w:r>
      <w:r w:rsidRPr="00C23B5E">
        <w:rPr>
          <w:lang w:bidi="ar-EG"/>
        </w:rPr>
        <w:t>BAP</w:t>
      </w:r>
      <w:r w:rsidRPr="00C23B5E">
        <w:rPr>
          <w:rtl/>
        </w:rPr>
        <w:t xml:space="preserve"> والتماسك العام (الشكل 1). وخضعت الإجراءات المقترحة لمشاورات شاملة مع الدول الأعضاء وهي تتماشى مع أولويات كل منطقة.</w:t>
      </w:r>
    </w:p>
    <w:p w14:paraId="75BF8A36" w14:textId="58F487B4" w:rsidR="00C23B5E" w:rsidRPr="00C23B5E" w:rsidRDefault="00C23B5E" w:rsidP="0062274F">
      <w:pPr>
        <w:pStyle w:val="Figuretitle"/>
        <w:spacing w:before="240" w:after="120"/>
        <w:rPr>
          <w:lang w:val="ar-SA" w:bidi="ar-EG"/>
        </w:rPr>
      </w:pPr>
      <w:r w:rsidRPr="00C23B5E">
        <w:rPr>
          <w:rtl/>
        </w:rPr>
        <w:t>الشكل 1</w:t>
      </w:r>
      <w:r w:rsidRPr="00C23B5E">
        <w:rPr>
          <w:lang w:bidi="ar-EG"/>
        </w:rPr>
        <w:t>:</w:t>
      </w:r>
      <w:r w:rsidRPr="00C23B5E">
        <w:rPr>
          <w:rtl/>
        </w:rPr>
        <w:t xml:space="preserve"> التخطيط التشغيلي لعام 2026</w:t>
      </w:r>
      <w:r w:rsidRPr="00C23B5E">
        <w:rPr>
          <w:lang w:bidi="ar-EG"/>
        </w:rPr>
        <w:t>:</w:t>
      </w:r>
      <w:r w:rsidRPr="00C23B5E">
        <w:rPr>
          <w:rtl/>
        </w:rPr>
        <w:t xml:space="preserve"> </w:t>
      </w:r>
      <w:r w:rsidR="002F6EBB">
        <w:rPr>
          <w:rFonts w:hint="cs"/>
          <w:rtl/>
        </w:rPr>
        <w:t>المحصلات</w:t>
      </w:r>
      <w:r w:rsidR="00EB6F39">
        <w:rPr>
          <w:rFonts w:hint="cs"/>
          <w:rtl/>
        </w:rPr>
        <w:t xml:space="preserve"> </w:t>
      </w:r>
      <w:r w:rsidR="002F6EBB">
        <w:rPr>
          <w:rFonts w:hint="cs"/>
          <w:rtl/>
        </w:rPr>
        <w:t>والنواتج</w:t>
      </w:r>
      <w:r w:rsidR="00EB6F39">
        <w:rPr>
          <w:rFonts w:hint="cs"/>
          <w:rtl/>
        </w:rPr>
        <w:t xml:space="preserve"> </w:t>
      </w:r>
      <w:r w:rsidRPr="00C23B5E">
        <w:rPr>
          <w:rtl/>
        </w:rPr>
        <w:t>والإجراءات</w:t>
      </w:r>
    </w:p>
    <w:p w14:paraId="502635B3" w14:textId="7272D329" w:rsidR="00C23B5E" w:rsidRPr="00C23B5E" w:rsidRDefault="002F6EBB" w:rsidP="00460797">
      <w:pPr>
        <w:pStyle w:val="Figure"/>
      </w:pPr>
      <w:r>
        <w:rPr>
          <w:noProof/>
        </w:rPr>
        <w:drawing>
          <wp:inline distT="0" distB="0" distL="0" distR="0" wp14:anchorId="476F379A" wp14:editId="6C076321">
            <wp:extent cx="5621020" cy="2133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21020" cy="2133600"/>
                    </a:xfrm>
                    <a:prstGeom prst="rect">
                      <a:avLst/>
                    </a:prstGeom>
                    <a:noFill/>
                  </pic:spPr>
                </pic:pic>
              </a:graphicData>
            </a:graphic>
          </wp:inline>
        </w:drawing>
      </w:r>
    </w:p>
    <w:p w14:paraId="64E6E612" w14:textId="083A3740" w:rsidR="00C23B5E" w:rsidRPr="00C23B5E" w:rsidRDefault="00B944C6" w:rsidP="00C23B5E">
      <w:pPr>
        <w:rPr>
          <w:spacing w:val="-2"/>
          <w:lang w:val="ar-SA" w:bidi="ar-EG"/>
        </w:rPr>
      </w:pPr>
      <w:r w:rsidRPr="00B944C6">
        <w:rPr>
          <w:spacing w:val="-2"/>
          <w:rtl/>
        </w:rPr>
        <w:t xml:space="preserve">وفقاً لخطة عمل باكو، تضع الخطة التشغيلية لعام 2026 إجراءات لتحقيق النواتج والمؤشرات المقابلة القابلة للقياس بما يتماشى مع </w:t>
      </w:r>
      <w:r w:rsidR="002F6EBB">
        <w:rPr>
          <w:rFonts w:hint="cs"/>
          <w:spacing w:val="-2"/>
          <w:rtl/>
        </w:rPr>
        <w:t>محصلات</w:t>
      </w:r>
      <w:r w:rsidRPr="00B944C6">
        <w:rPr>
          <w:spacing w:val="-2"/>
          <w:rtl/>
        </w:rPr>
        <w:t xml:space="preserve"> أولويات قطاع تنمية الاتصالات، مع مراعاة الخبرة المكتسبة من تنفيذ خطة عمل كيغالي (</w:t>
      </w:r>
      <w:r w:rsidRPr="00B944C6">
        <w:rPr>
          <w:spacing w:val="-2"/>
        </w:rPr>
        <w:t>KAP</w:t>
      </w:r>
      <w:r w:rsidRPr="00B944C6">
        <w:rPr>
          <w:spacing w:val="-2"/>
          <w:rtl/>
        </w:rPr>
        <w:t>)، وضمان استمرارية تقديم الخدمات إلى أعضاء الاتحاد. وسيمكن إطار التنفيذ الجديد، المستند إلى مبادئ الإدارة القائمة على النتائج (</w:t>
      </w:r>
      <w:r w:rsidRPr="00B944C6">
        <w:rPr>
          <w:spacing w:val="-2"/>
        </w:rPr>
        <w:t>RBM</w:t>
      </w:r>
      <w:r w:rsidRPr="00B944C6">
        <w:rPr>
          <w:spacing w:val="-2"/>
          <w:rtl/>
        </w:rPr>
        <w:t xml:space="preserve">)، من رصد وتقييم تنفيذ </w:t>
      </w:r>
      <w:r w:rsidR="002F6EBB">
        <w:rPr>
          <w:rFonts w:hint="cs"/>
          <w:spacing w:val="-2"/>
          <w:rtl/>
        </w:rPr>
        <w:t>محصلات</w:t>
      </w:r>
      <w:r w:rsidRPr="00B944C6">
        <w:rPr>
          <w:spacing w:val="-2"/>
          <w:rtl/>
        </w:rPr>
        <w:t xml:space="preserve"> أولويات قطاع تنمية الاتصالات بشكل سليم.</w:t>
      </w:r>
    </w:p>
    <w:p w14:paraId="09153CC6" w14:textId="67720F89" w:rsidR="00C23B5E" w:rsidRPr="00C23B5E" w:rsidRDefault="00460797" w:rsidP="00460797">
      <w:pPr>
        <w:pStyle w:val="Heading1"/>
        <w:rPr>
          <w:lang w:val="ar-SA" w:bidi="ar-EG"/>
        </w:rPr>
      </w:pPr>
      <w:r>
        <w:lastRenderedPageBreak/>
        <w:t>2</w:t>
      </w:r>
      <w:r>
        <w:tab/>
      </w:r>
      <w:r w:rsidR="00C23B5E" w:rsidRPr="00C23B5E">
        <w:rPr>
          <w:rtl/>
        </w:rPr>
        <w:t xml:space="preserve">دورة التنفيذ </w:t>
      </w:r>
      <w:r w:rsidR="00B41945">
        <w:t>2029-2026</w:t>
      </w:r>
      <w:r w:rsidR="00B41945">
        <w:rPr>
          <w:rFonts w:hint="cs"/>
          <w:rtl/>
        </w:rPr>
        <w:t xml:space="preserve">: </w:t>
      </w:r>
      <w:r w:rsidR="00C23B5E" w:rsidRPr="00C23B5E">
        <w:rPr>
          <w:rtl/>
        </w:rPr>
        <w:t>توزيع الموارد للخطة التشغيلية لعام 2026</w:t>
      </w:r>
    </w:p>
    <w:p w14:paraId="7968C410" w14:textId="3D0D8304" w:rsidR="00F10980" w:rsidRDefault="00460797" w:rsidP="00460797">
      <w:pPr>
        <w:pStyle w:val="Heading2"/>
        <w:rPr>
          <w:rtl/>
        </w:rPr>
      </w:pPr>
      <w:r>
        <w:t>1.2</w:t>
      </w:r>
      <w:r>
        <w:tab/>
      </w:r>
      <w:r w:rsidR="00C23B5E" w:rsidRPr="00C23B5E">
        <w:rPr>
          <w:rtl/>
        </w:rPr>
        <w:t xml:space="preserve">التخصيص العام </w:t>
      </w:r>
      <w:r w:rsidR="002F6EBB">
        <w:rPr>
          <w:rFonts w:hint="cs"/>
          <w:rtl/>
        </w:rPr>
        <w:t>للتمويل</w:t>
      </w:r>
      <w:r w:rsidR="00C23B5E" w:rsidRPr="00C23B5E">
        <w:rPr>
          <w:rtl/>
        </w:rPr>
        <w:t xml:space="preserve"> لتنفيذ الخطة التشغيلية لعام 2026</w:t>
      </w:r>
    </w:p>
    <w:p w14:paraId="577EBBD9" w14:textId="25252B6A" w:rsidR="00C23B5E" w:rsidRPr="00C23B5E" w:rsidRDefault="00B944C6" w:rsidP="00C23B5E">
      <w:pPr>
        <w:rPr>
          <w:lang w:val="ar-SA" w:bidi="ar-EG"/>
        </w:rPr>
      </w:pPr>
      <w:r w:rsidRPr="00B944C6">
        <w:rPr>
          <w:rtl/>
        </w:rPr>
        <w:t>مع مراعاة الهيكل الجديد لخطة عمل باكو والدروس المستفادة من تنفيذ خطة عمل كيغالي، حُددت مخصصات التمويل في إطار الخطة التشغيلية لعام 2026 (الجدول 1) من خلال المشاورات الداخلية بين المقر والمكاتب الإقليمية ومكاتب المناطق، فضلاً عن المشاورات مع الدول الأعضاء، وبما يتماشى مع أولويات كل منطقة.</w:t>
      </w:r>
    </w:p>
    <w:p w14:paraId="1FE2073C" w14:textId="274049D2" w:rsidR="00F10980" w:rsidRDefault="00C23B5E" w:rsidP="00C23B5E">
      <w:pPr>
        <w:rPr>
          <w:rtl/>
        </w:rPr>
      </w:pPr>
      <w:r w:rsidRPr="00C23B5E">
        <w:rPr>
          <w:rtl/>
        </w:rPr>
        <w:t xml:space="preserve">ومن المهم ملاحظة أن الأرقام الواردة أدناه تمثل حصراً </w:t>
      </w:r>
      <w:r w:rsidR="002F6EBB">
        <w:rPr>
          <w:rFonts w:hint="cs"/>
          <w:rtl/>
        </w:rPr>
        <w:t>التمويل</w:t>
      </w:r>
      <w:r w:rsidRPr="00C23B5E">
        <w:rPr>
          <w:rtl/>
        </w:rPr>
        <w:t xml:space="preserve"> المتاح للإجراءات والخدمات الخارجية في إطار الخطة التشغيلية لعام 2026. ويقدم موظفون داخليون عدداً من منتجات وخدمات قطاع تنمية الاتصالات دون تكبد تكاليف إضافية وبالتالي لا</w:t>
      </w:r>
      <w:r w:rsidR="007A652C">
        <w:rPr>
          <w:rFonts w:hint="cs"/>
          <w:rtl/>
        </w:rPr>
        <w:t> </w:t>
      </w:r>
      <w:r w:rsidRPr="00C23B5E">
        <w:rPr>
          <w:rtl/>
        </w:rPr>
        <w:t>يبين ذلك في الجدول 1.</w:t>
      </w:r>
    </w:p>
    <w:p w14:paraId="7F2E0541" w14:textId="6AB0C2FC" w:rsidR="00C23B5E" w:rsidRDefault="00C23B5E" w:rsidP="0062274F">
      <w:pPr>
        <w:pStyle w:val="Tabletitle"/>
        <w:spacing w:before="240" w:after="120"/>
      </w:pPr>
      <w:r w:rsidRPr="00C23B5E">
        <w:rPr>
          <w:rtl/>
        </w:rPr>
        <w:t>الجدول 1</w:t>
      </w:r>
      <w:r w:rsidR="00460797">
        <w:rPr>
          <w:rFonts w:hint="cs"/>
          <w:rtl/>
        </w:rPr>
        <w:t xml:space="preserve">: </w:t>
      </w:r>
      <w:r w:rsidRPr="00C23B5E">
        <w:rPr>
          <w:rtl/>
        </w:rPr>
        <w:t xml:space="preserve">توزيع </w:t>
      </w:r>
      <w:r w:rsidR="002F6EBB">
        <w:rPr>
          <w:rFonts w:hint="cs"/>
          <w:rtl/>
        </w:rPr>
        <w:t>التمويل</w:t>
      </w:r>
      <w:r w:rsidRPr="00C23B5E">
        <w:rPr>
          <w:rtl/>
        </w:rPr>
        <w:t xml:space="preserve"> المخصص في إطار الخطة التشغيلية لعام 2026 حسب أولويات قطاع تنمية الاتصالات</w:t>
      </w:r>
    </w:p>
    <w:p w14:paraId="7C020C0A" w14:textId="330E2C81" w:rsidR="00180AAB" w:rsidRDefault="00676A3E" w:rsidP="00180AAB">
      <w:pPr>
        <w:pStyle w:val="Figure"/>
      </w:pPr>
      <w:r>
        <w:rPr>
          <w:noProof/>
        </w:rPr>
        <w:drawing>
          <wp:inline distT="0" distB="0" distL="0" distR="0" wp14:anchorId="4F71EB71" wp14:editId="19288AE9">
            <wp:extent cx="6120000" cy="2223446"/>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20000" cy="2223446"/>
                    </a:xfrm>
                    <a:prstGeom prst="rect">
                      <a:avLst/>
                    </a:prstGeom>
                    <a:noFill/>
                  </pic:spPr>
                </pic:pic>
              </a:graphicData>
            </a:graphic>
          </wp:inline>
        </w:drawing>
      </w:r>
    </w:p>
    <w:p w14:paraId="6A6D31F0" w14:textId="190CEC94" w:rsidR="00C23B5E" w:rsidRPr="00951C43" w:rsidRDefault="00C23B5E" w:rsidP="00951C43">
      <w:pPr>
        <w:pStyle w:val="Tablelegend"/>
        <w:rPr>
          <w:lang w:bidi="ar-EG"/>
        </w:rPr>
      </w:pPr>
      <w:r w:rsidRPr="00951C43">
        <w:rPr>
          <w:rtl/>
          <w:lang w:bidi="ar-SA"/>
        </w:rPr>
        <w:t>ملاحظات:</w:t>
      </w:r>
      <w:r w:rsidR="00951C43" w:rsidRPr="00951C43">
        <w:rPr>
          <w:rtl/>
        </w:rPr>
        <w:tab/>
      </w:r>
      <w:r w:rsidR="00951C43" w:rsidRPr="00951C43">
        <w:rPr>
          <w:rtl/>
        </w:rPr>
        <w:br/>
      </w:r>
      <w:r w:rsidR="00951C43">
        <w:rPr>
          <w:rFonts w:hint="cs"/>
          <w:rtl/>
          <w:lang w:bidi="ar-EG"/>
        </w:rPr>
        <w:t>"</w:t>
      </w:r>
      <w:r w:rsidRPr="00951C43">
        <w:rPr>
          <w:lang w:bidi="ar-EG"/>
        </w:rPr>
        <w:t>P</w:t>
      </w:r>
      <w:r w:rsidR="00951C43">
        <w:rPr>
          <w:rFonts w:hint="cs"/>
          <w:rtl/>
          <w:lang w:bidi="ar-EG"/>
        </w:rPr>
        <w:t>"</w:t>
      </w:r>
      <w:r w:rsidRPr="00951C43">
        <w:rPr>
          <w:rtl/>
          <w:lang w:bidi="ar-SA"/>
        </w:rPr>
        <w:t xml:space="preserve"> تعني أولوية قطاع تنمية الاتصالات؛ </w:t>
      </w:r>
      <w:r w:rsidR="00951C43">
        <w:rPr>
          <w:rFonts w:hint="cs"/>
          <w:rtl/>
          <w:lang w:bidi="ar-SA"/>
        </w:rPr>
        <w:t>"</w:t>
      </w:r>
      <w:r w:rsidRPr="00951C43">
        <w:rPr>
          <w:lang w:bidi="ar-EG"/>
        </w:rPr>
        <w:t>E</w:t>
      </w:r>
      <w:r w:rsidR="00951C43">
        <w:rPr>
          <w:rFonts w:hint="cs"/>
          <w:rtl/>
          <w:lang w:bidi="ar-EG"/>
        </w:rPr>
        <w:t>"</w:t>
      </w:r>
      <w:r w:rsidRPr="00951C43">
        <w:rPr>
          <w:rtl/>
          <w:lang w:bidi="ar-SA"/>
        </w:rPr>
        <w:t xml:space="preserve"> تعني عامل </w:t>
      </w:r>
      <w:r w:rsidR="00EB6F39">
        <w:rPr>
          <w:rFonts w:hint="cs"/>
          <w:rtl/>
          <w:lang w:bidi="ar-SA"/>
        </w:rPr>
        <w:t>تمكيني</w:t>
      </w:r>
    </w:p>
    <w:p w14:paraId="7A21A285" w14:textId="12485A95" w:rsidR="00C23B5E" w:rsidRPr="00C23B5E" w:rsidRDefault="00951C43" w:rsidP="00951C43">
      <w:pPr>
        <w:pStyle w:val="Heading2"/>
      </w:pPr>
      <w:r>
        <w:t>2.2</w:t>
      </w:r>
      <w:r>
        <w:tab/>
      </w:r>
      <w:r w:rsidR="002F6EBB">
        <w:rPr>
          <w:rFonts w:hint="cs"/>
          <w:rtl/>
        </w:rPr>
        <w:t>مخصصات التمويل</w:t>
      </w:r>
      <w:r w:rsidR="00C23B5E" w:rsidRPr="00C23B5E">
        <w:rPr>
          <w:rtl/>
        </w:rPr>
        <w:t xml:space="preserve"> </w:t>
      </w:r>
      <w:r w:rsidR="002F6EBB">
        <w:rPr>
          <w:rFonts w:hint="cs"/>
          <w:rtl/>
        </w:rPr>
        <w:t xml:space="preserve">في </w:t>
      </w:r>
      <w:r w:rsidR="00C23B5E" w:rsidRPr="00C23B5E">
        <w:rPr>
          <w:rtl/>
        </w:rPr>
        <w:t>الخطة التشغيلية لعام 2026 حسب المنطقة المستفيدة</w:t>
      </w:r>
    </w:p>
    <w:p w14:paraId="293B09A7" w14:textId="4B0DE50C" w:rsidR="00F10980" w:rsidRDefault="00C23B5E" w:rsidP="00C23B5E">
      <w:pPr>
        <w:rPr>
          <w:rtl/>
        </w:rPr>
      </w:pPr>
      <w:r w:rsidRPr="00C23B5E">
        <w:rPr>
          <w:rtl/>
        </w:rPr>
        <w:t>استناداً إلى الخبرة المكتسبة من تنفيذ خطة عمل كيغالي والاحتياجات المحددة من خلال المشاورات مع الدول الأعضاء، خصص أكثر من نصف ميزانية الخطة التشغيلية لعام 2026 (56 في المائة) ل</w:t>
      </w:r>
      <w:r w:rsidR="00EB6F39">
        <w:rPr>
          <w:rFonts w:hint="cs"/>
          <w:rtl/>
        </w:rPr>
        <w:t xml:space="preserve">نواتج </w:t>
      </w:r>
      <w:r w:rsidRPr="00C23B5E">
        <w:rPr>
          <w:rtl/>
        </w:rPr>
        <w:t>ذات تركيز عالمي وإجراءات متعددة المناطق، يتوقع أن تحدث تأثيراً واسع النطاق وتزيد من الكفاءات التشغيلية.</w:t>
      </w:r>
    </w:p>
    <w:p w14:paraId="3F6488F7" w14:textId="38B5A115" w:rsidR="00F10980" w:rsidRPr="00BF139C" w:rsidRDefault="00C23B5E" w:rsidP="00C23B5E">
      <w:pPr>
        <w:rPr>
          <w:spacing w:val="-2"/>
          <w:rtl/>
        </w:rPr>
      </w:pPr>
      <w:r w:rsidRPr="00C23B5E">
        <w:rPr>
          <w:spacing w:val="-2"/>
          <w:rtl/>
        </w:rPr>
        <w:t xml:space="preserve">وخصص ما يقرب من 7 في المائة من التمويل لكل منطقة لدعم تقديم </w:t>
      </w:r>
      <w:r w:rsidR="00EB6F39">
        <w:rPr>
          <w:rFonts w:hint="cs"/>
          <w:spacing w:val="-2"/>
          <w:rtl/>
        </w:rPr>
        <w:t>النواتج</w:t>
      </w:r>
      <w:r w:rsidRPr="00C23B5E">
        <w:rPr>
          <w:spacing w:val="-2"/>
          <w:rtl/>
        </w:rPr>
        <w:t xml:space="preserve"> بما يتماشى مع الأولويات الإقليمية، بما يضمن التوزيع العادل للموارد. ولتعزيز التنفيذ، ستُلتمس أوجه التآزر بين </w:t>
      </w:r>
      <w:r w:rsidR="00EB6F39">
        <w:rPr>
          <w:rFonts w:hint="cs"/>
          <w:spacing w:val="-2"/>
          <w:rtl/>
        </w:rPr>
        <w:t>النواتج</w:t>
      </w:r>
      <w:r w:rsidRPr="00C23B5E">
        <w:rPr>
          <w:spacing w:val="-2"/>
          <w:rtl/>
        </w:rPr>
        <w:t xml:space="preserve"> الإقليمية، وكذلك بين </w:t>
      </w:r>
      <w:r w:rsidR="005443F3">
        <w:rPr>
          <w:rFonts w:hint="cs"/>
          <w:spacing w:val="-2"/>
          <w:rtl/>
        </w:rPr>
        <w:t>النواتج</w:t>
      </w:r>
      <w:r w:rsidRPr="00C23B5E">
        <w:rPr>
          <w:spacing w:val="-2"/>
          <w:rtl/>
        </w:rPr>
        <w:t xml:space="preserve"> الإقليمية والعالمية، </w:t>
      </w:r>
      <w:r w:rsidR="005443F3">
        <w:rPr>
          <w:rFonts w:hint="cs"/>
          <w:spacing w:val="-2"/>
          <w:rtl/>
        </w:rPr>
        <w:t xml:space="preserve">وكذلك نواتج </w:t>
      </w:r>
      <w:r w:rsidRPr="00C23B5E">
        <w:rPr>
          <w:spacing w:val="-2"/>
          <w:rtl/>
        </w:rPr>
        <w:t xml:space="preserve">مكتبي الاتحاد الآخرين والأمانة العامة. وسيتضخم تأثير تنفيذ خطة عمل </w:t>
      </w:r>
      <w:r w:rsidR="002F6EBB">
        <w:rPr>
          <w:rFonts w:hint="cs"/>
          <w:spacing w:val="-2"/>
          <w:rtl/>
        </w:rPr>
        <w:t>باكو</w:t>
      </w:r>
      <w:r w:rsidRPr="00C23B5E">
        <w:rPr>
          <w:spacing w:val="-2"/>
          <w:rtl/>
        </w:rPr>
        <w:t xml:space="preserve"> في المناطق وعلى</w:t>
      </w:r>
      <w:r w:rsidR="00BF139C" w:rsidRPr="00BF139C">
        <w:rPr>
          <w:rFonts w:hint="cs"/>
          <w:spacing w:val="-2"/>
          <w:rtl/>
        </w:rPr>
        <w:t> </w:t>
      </w:r>
      <w:r w:rsidRPr="00C23B5E">
        <w:rPr>
          <w:spacing w:val="-2"/>
          <w:rtl/>
        </w:rPr>
        <w:t>الصعيد العالمي بفعل الشراكات مع الكيانات والمشاريع الوطنية والإقليمية والعالمية التي ينفذها المكتب.</w:t>
      </w:r>
    </w:p>
    <w:p w14:paraId="55F855B8" w14:textId="1A9ABB9E" w:rsidR="00C23B5E" w:rsidRPr="00C23B5E" w:rsidRDefault="00C23B5E" w:rsidP="00675CFD">
      <w:pPr>
        <w:pStyle w:val="Figuretitle"/>
        <w:spacing w:before="240" w:after="120"/>
        <w:rPr>
          <w:lang w:val="ar-SA" w:bidi="ar-EG"/>
        </w:rPr>
      </w:pPr>
      <w:r w:rsidRPr="00C23B5E">
        <w:rPr>
          <w:rtl/>
        </w:rPr>
        <w:lastRenderedPageBreak/>
        <w:t>الشكل 2</w:t>
      </w:r>
      <w:r w:rsidR="00951C43">
        <w:rPr>
          <w:rFonts w:hint="cs"/>
          <w:rtl/>
        </w:rPr>
        <w:t xml:space="preserve">: </w:t>
      </w:r>
      <w:r w:rsidRPr="00C23B5E">
        <w:rPr>
          <w:rtl/>
        </w:rPr>
        <w:t>تفصيل</w:t>
      </w:r>
      <w:r w:rsidR="008451F8">
        <w:rPr>
          <w:rFonts w:hint="cs"/>
          <w:rtl/>
          <w:lang w:bidi="ar-EG"/>
        </w:rPr>
        <w:t>*</w:t>
      </w:r>
      <w:r w:rsidRPr="00C23B5E">
        <w:rPr>
          <w:rtl/>
        </w:rPr>
        <w:t xml:space="preserve"> </w:t>
      </w:r>
      <w:r w:rsidR="005443F3">
        <w:rPr>
          <w:rFonts w:hint="cs"/>
          <w:rtl/>
        </w:rPr>
        <w:t>نواتج</w:t>
      </w:r>
      <w:r w:rsidRPr="00C23B5E">
        <w:rPr>
          <w:rtl/>
        </w:rPr>
        <w:t xml:space="preserve"> الخطة التشغيلية لعام 2026 حسب المنطقة المستفيدة</w:t>
      </w:r>
      <w:r w:rsidR="00B4341E">
        <w:rPr>
          <w:rtl/>
        </w:rPr>
        <w:br/>
      </w:r>
      <w:r w:rsidRPr="00C23B5E">
        <w:rPr>
          <w:rtl/>
        </w:rPr>
        <w:t>(تراكمي لجميع أولويات قطاع تنمية الاتصالات والعوامل التمكينية)</w:t>
      </w:r>
    </w:p>
    <w:p w14:paraId="32FD5148" w14:textId="7060336C" w:rsidR="00C23B5E" w:rsidRPr="00C23B5E" w:rsidRDefault="008451F8" w:rsidP="00951C43">
      <w:pPr>
        <w:pStyle w:val="Figure"/>
      </w:pPr>
      <w:r>
        <w:rPr>
          <w:noProof/>
        </w:rPr>
        <w:drawing>
          <wp:inline distT="0" distB="0" distL="0" distR="0" wp14:anchorId="24A044B5" wp14:editId="35A19A44">
            <wp:extent cx="5400000" cy="3340800"/>
            <wp:effectExtent l="0" t="0" r="0" b="0"/>
            <wp:docPr id="1268881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00" cy="3340800"/>
                    </a:xfrm>
                    <a:prstGeom prst="rect">
                      <a:avLst/>
                    </a:prstGeom>
                    <a:noFill/>
                  </pic:spPr>
                </pic:pic>
              </a:graphicData>
            </a:graphic>
          </wp:inline>
        </w:drawing>
      </w:r>
    </w:p>
    <w:p w14:paraId="3B23FE0A" w14:textId="7C14F770" w:rsidR="00C23B5E" w:rsidRPr="00C23B5E" w:rsidRDefault="00675CFD" w:rsidP="00675CFD">
      <w:pPr>
        <w:pStyle w:val="Figurelegend"/>
        <w:tabs>
          <w:tab w:val="clear" w:pos="794"/>
          <w:tab w:val="left" w:pos="2267"/>
        </w:tabs>
        <w:rPr>
          <w:lang w:val="ar-SA" w:bidi="ar-EG"/>
        </w:rPr>
      </w:pPr>
      <w:r>
        <w:rPr>
          <w:rtl/>
        </w:rPr>
        <w:tab/>
      </w:r>
      <w:r w:rsidR="00C23B5E" w:rsidRPr="00C23B5E">
        <w:rPr>
          <w:rtl/>
        </w:rPr>
        <w:t>* كنسبة مئوية من ميزانية الخطة التشغيلية لعام 2026</w:t>
      </w:r>
    </w:p>
    <w:p w14:paraId="6ED59907" w14:textId="238F0CF5" w:rsidR="00C23B5E" w:rsidRPr="00C23B5E" w:rsidRDefault="005A22EE" w:rsidP="00951C43">
      <w:pPr>
        <w:pStyle w:val="Heading2"/>
      </w:pPr>
      <w:r>
        <w:rPr>
          <w:rFonts w:hint="cs"/>
          <w:rtl/>
        </w:rPr>
        <w:t>3.2</w:t>
      </w:r>
      <w:r w:rsidR="00C23B5E" w:rsidRPr="00C23B5E">
        <w:rPr>
          <w:rtl/>
        </w:rPr>
        <w:tab/>
        <w:t>الروابط بين أولويات قطاع تنمية الاتصالات وأولويات الاتحاد المواضيعية</w:t>
      </w:r>
    </w:p>
    <w:p w14:paraId="5803339E" w14:textId="6ABF7C68" w:rsidR="00F10980" w:rsidRDefault="00C23B5E" w:rsidP="00951C43">
      <w:pPr>
        <w:rPr>
          <w:rtl/>
        </w:rPr>
      </w:pPr>
      <w:r w:rsidRPr="00C23B5E">
        <w:rPr>
          <w:rtl/>
        </w:rPr>
        <w:t xml:space="preserve">تشكل خطة عمل باكو الأساس لوضع الخطة التشغيلية لقطاع تنمية الاتصالات لرصد وتحقيق الأولويات التي حددتها الدول الأعضاء في المؤتمر العالمي لتنمية الاتصالات لعام 2025 طوال دورة التنفيذ </w:t>
      </w:r>
      <w:r w:rsidR="007D6B69">
        <w:t>2029-2026</w:t>
      </w:r>
      <w:r w:rsidRPr="00C23B5E">
        <w:rPr>
          <w:rtl/>
        </w:rPr>
        <w:t xml:space="preserve">. وهي قائمة على النتائج وتوجه تنفيذ هذه الأولويات بما يتماشى مع الأولويات المواضيعية وعروض المنتجات والخدمات والعوامل التمكينية المحددة في الخطة الاستراتيجية للاتحاد للفترة </w:t>
      </w:r>
      <w:r w:rsidR="007D6B69">
        <w:t>2027-2024</w:t>
      </w:r>
      <w:r w:rsidRPr="00C23B5E">
        <w:rPr>
          <w:rtl/>
        </w:rPr>
        <w:t xml:space="preserve"> ضمن الحدود المنصوص عليها في الخطط المالية للأطر الزمنية المعنية.</w:t>
      </w:r>
    </w:p>
    <w:p w14:paraId="5EEA8547" w14:textId="6B938633" w:rsidR="00C23B5E" w:rsidRPr="00C23B5E" w:rsidRDefault="00C23B5E" w:rsidP="00951C43">
      <w:pPr>
        <w:rPr>
          <w:lang w:val="ar-SA" w:bidi="ar-EG"/>
        </w:rPr>
      </w:pPr>
      <w:r w:rsidRPr="00C23B5E">
        <w:rPr>
          <w:rtl/>
        </w:rPr>
        <w:t xml:space="preserve">وهناك روابط قوية بين أولويات قطاع تنمية الاتصالات على النحو المحدد في خطة عمل الاتحاد والأولويات المواضيعية المحددة في الخطة الاستراتيجية للاتحاد للفترة </w:t>
      </w:r>
      <w:r w:rsidR="007D6B69">
        <w:t>2027-2024</w:t>
      </w:r>
      <w:r w:rsidRPr="00C23B5E">
        <w:rPr>
          <w:rtl/>
        </w:rPr>
        <w:t>، على النحو المبين في الجدول أدناه.</w:t>
      </w:r>
    </w:p>
    <w:p w14:paraId="6607EF86" w14:textId="06F9740B" w:rsidR="00C23B5E" w:rsidRDefault="008F1A3A" w:rsidP="00675CFD">
      <w:pPr>
        <w:pStyle w:val="Figuretitle"/>
        <w:spacing w:before="240" w:after="120"/>
        <w:rPr>
          <w:rtl/>
        </w:rPr>
      </w:pPr>
      <w:r>
        <w:rPr>
          <w:rFonts w:hint="cs"/>
          <w:rtl/>
        </w:rPr>
        <w:lastRenderedPageBreak/>
        <w:t>الجدول</w:t>
      </w:r>
      <w:r w:rsidR="00951C43">
        <w:rPr>
          <w:rFonts w:hint="cs"/>
          <w:rtl/>
        </w:rPr>
        <w:t xml:space="preserve"> </w:t>
      </w:r>
      <w:r>
        <w:rPr>
          <w:rFonts w:hint="cs"/>
          <w:rtl/>
        </w:rPr>
        <w:t>2</w:t>
      </w:r>
      <w:r w:rsidR="00951C43">
        <w:rPr>
          <w:rFonts w:hint="cs"/>
          <w:rtl/>
        </w:rPr>
        <w:t xml:space="preserve">: </w:t>
      </w:r>
      <w:r w:rsidR="00C23B5E" w:rsidRPr="00951C43">
        <w:rPr>
          <w:rtl/>
        </w:rPr>
        <w:t xml:space="preserve">الروابط بين أولويات قطاع تنمية الاتصالات </w:t>
      </w:r>
      <w:r w:rsidRPr="008F1A3A">
        <w:rPr>
          <w:rtl/>
        </w:rPr>
        <w:t xml:space="preserve">والعوامل التمكينية، </w:t>
      </w:r>
      <w:r w:rsidR="00C23B5E" w:rsidRPr="00951C43">
        <w:rPr>
          <w:rtl/>
        </w:rPr>
        <w:t>وأولويات الاتحاد المواضيعية</w:t>
      </w:r>
    </w:p>
    <w:p w14:paraId="78D19FE3" w14:textId="5F825592" w:rsidR="00CD2791" w:rsidRDefault="00676A3E" w:rsidP="00BF3304">
      <w:pPr>
        <w:pStyle w:val="Figure"/>
      </w:pPr>
      <w:r>
        <w:rPr>
          <w:noProof/>
        </w:rPr>
        <w:drawing>
          <wp:inline distT="0" distB="0" distL="0" distR="0" wp14:anchorId="4D8528C4" wp14:editId="1AF69CAD">
            <wp:extent cx="6120000" cy="315386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000" cy="3153860"/>
                    </a:xfrm>
                    <a:prstGeom prst="rect">
                      <a:avLst/>
                    </a:prstGeom>
                    <a:noFill/>
                  </pic:spPr>
                </pic:pic>
              </a:graphicData>
            </a:graphic>
          </wp:inline>
        </w:drawing>
      </w:r>
    </w:p>
    <w:p w14:paraId="2520FA12" w14:textId="737BD7C0" w:rsidR="00C23B5E" w:rsidRPr="00C23B5E" w:rsidRDefault="00C23B5E" w:rsidP="00951C43">
      <w:pPr>
        <w:pStyle w:val="Note"/>
        <w:rPr>
          <w:lang w:val="ar-SA" w:bidi="ar-EG"/>
        </w:rPr>
      </w:pPr>
      <w:r w:rsidRPr="00C23B5E">
        <w:rPr>
          <w:rtl/>
        </w:rPr>
        <w:t>ملاحظة: ترد المواضيع/البرامج ذات الصلة التي يضطلع من خلالها بالإجراءات والنواتج الواردة بين قوسين بجوار كل أولوية/عامل تمكيني لقطاع تنمية الاتصالات.</w:t>
      </w:r>
    </w:p>
    <w:p w14:paraId="7D265DC6" w14:textId="13A59B14" w:rsidR="00C23B5E" w:rsidRPr="00C23B5E" w:rsidRDefault="005A22EE" w:rsidP="005A22EE">
      <w:pPr>
        <w:pStyle w:val="Heading2"/>
      </w:pPr>
      <w:r>
        <w:rPr>
          <w:rFonts w:hint="cs"/>
          <w:rtl/>
        </w:rPr>
        <w:t>4.2</w:t>
      </w:r>
      <w:r>
        <w:rPr>
          <w:rtl/>
        </w:rPr>
        <w:tab/>
      </w:r>
      <w:r w:rsidR="00C23B5E" w:rsidRPr="00C23B5E">
        <w:rPr>
          <w:rtl/>
        </w:rPr>
        <w:t>تنفيذ الخطة التشغيلية لعام 2026</w:t>
      </w:r>
      <w:r w:rsidR="00C23B5E" w:rsidRPr="00C23B5E">
        <w:t>:</w:t>
      </w:r>
      <w:r w:rsidR="00C23B5E" w:rsidRPr="00C23B5E">
        <w:rPr>
          <w:rtl/>
        </w:rPr>
        <w:t xml:space="preserve"> تقسيم المسؤوليات ورفع التقارير</w:t>
      </w:r>
    </w:p>
    <w:p w14:paraId="68B71E82" w14:textId="574D147F" w:rsidR="00F10980" w:rsidRDefault="00C23B5E" w:rsidP="00C23B5E">
      <w:pPr>
        <w:rPr>
          <w:rtl/>
        </w:rPr>
      </w:pPr>
      <w:r w:rsidRPr="00C23B5E">
        <w:rPr>
          <w:rtl/>
        </w:rPr>
        <w:t xml:space="preserve">ستقدم الدوائر المسؤولة في مكتب تنمية الاتصالات </w:t>
      </w:r>
      <w:r w:rsidRPr="00C23B5E">
        <w:rPr>
          <w:lang w:bidi="ar-EG"/>
        </w:rPr>
        <w:t>(BDT)</w:t>
      </w:r>
      <w:r w:rsidRPr="00C23B5E">
        <w:rPr>
          <w:rtl/>
        </w:rPr>
        <w:t xml:space="preserve"> والمكاتب الإقليمية </w:t>
      </w:r>
      <w:r w:rsidR="005443F3">
        <w:rPr>
          <w:rFonts w:hint="cs"/>
          <w:rtl/>
        </w:rPr>
        <w:t>النواتج</w:t>
      </w:r>
      <w:r w:rsidRPr="00C23B5E">
        <w:rPr>
          <w:rtl/>
        </w:rPr>
        <w:t xml:space="preserve"> المحددة في الخطة التشغيلية لعام</w:t>
      </w:r>
      <w:r w:rsidR="005A22EE">
        <w:rPr>
          <w:rFonts w:hint="cs"/>
          <w:rtl/>
        </w:rPr>
        <w:t> </w:t>
      </w:r>
      <w:r w:rsidRPr="00C23B5E">
        <w:rPr>
          <w:rtl/>
        </w:rPr>
        <w:t>2026. ويقدم مكتب تنمية الاتصالات والأمانة العامة خدمات الدعم، وفقاً لاتفاقات مستوى الخدمة السنوية المتفق عليها (لتوفير الخدمات الداخلية). ويرد وصف خدمات الدعم التي تقدمها الأمانة العامة في الخطة التشغيلية للأمانة العامة.</w:t>
      </w:r>
    </w:p>
    <w:p w14:paraId="49CDF50F" w14:textId="76A4C019" w:rsidR="00C23B5E" w:rsidRPr="00C23B5E" w:rsidRDefault="00C23B5E" w:rsidP="00C23B5E">
      <w:pPr>
        <w:rPr>
          <w:lang w:val="ar-SA" w:bidi="ar-EG"/>
        </w:rPr>
      </w:pPr>
      <w:r w:rsidRPr="00C23B5E">
        <w:rPr>
          <w:rtl/>
        </w:rPr>
        <w:t xml:space="preserve">وتخطط إدارة الاتحاد وترصد وتقيم تحقيق </w:t>
      </w:r>
      <w:r w:rsidR="005443F3">
        <w:rPr>
          <w:rFonts w:hint="cs"/>
          <w:rtl/>
        </w:rPr>
        <w:t>النواتج</w:t>
      </w:r>
      <w:r w:rsidR="005443F3" w:rsidRPr="00C23B5E">
        <w:rPr>
          <w:rtl/>
        </w:rPr>
        <w:t xml:space="preserve"> </w:t>
      </w:r>
      <w:r w:rsidRPr="00C23B5E">
        <w:rPr>
          <w:rtl/>
        </w:rPr>
        <w:t xml:space="preserve">(منتجات وخدمات قطاع تنمية الاتصالات) وخدمات الدعم ذات الصلة استناداً إلى </w:t>
      </w:r>
      <w:r w:rsidR="002F6EBB">
        <w:rPr>
          <w:rFonts w:hint="cs"/>
          <w:spacing w:val="-2"/>
          <w:rtl/>
        </w:rPr>
        <w:t>محصلات</w:t>
      </w:r>
      <w:r w:rsidR="002F6EBB" w:rsidRPr="00C23B5E">
        <w:rPr>
          <w:rtl/>
        </w:rPr>
        <w:t xml:space="preserve"> </w:t>
      </w:r>
      <w:r w:rsidRPr="00C23B5E">
        <w:rPr>
          <w:rtl/>
        </w:rPr>
        <w:t xml:space="preserve">أولويات قطاع تنمية الاتصالات والعوامل التمكينية المحددة في خطة عمل </w:t>
      </w:r>
      <w:r w:rsidR="00C07ED7">
        <w:rPr>
          <w:rFonts w:hint="cs"/>
          <w:rtl/>
        </w:rPr>
        <w:t>باكو</w:t>
      </w:r>
      <w:r w:rsidRPr="00C23B5E">
        <w:rPr>
          <w:rtl/>
        </w:rPr>
        <w:t xml:space="preserve"> والمتماشية مع أهداف الخطة الاستراتيجية للاتحاد. إضافةً إلى ذلك:</w:t>
      </w:r>
    </w:p>
    <w:p w14:paraId="12A86FAE" w14:textId="6AF95F67" w:rsidR="00F10980" w:rsidRPr="008F1A3A" w:rsidRDefault="003D47FA" w:rsidP="003D47FA">
      <w:pPr>
        <w:pStyle w:val="enumlev1"/>
        <w:rPr>
          <w:spacing w:val="-2"/>
          <w:rtl/>
        </w:rPr>
      </w:pPr>
      <w:r w:rsidRPr="008F1A3A">
        <w:rPr>
          <w:spacing w:val="-2"/>
          <w:rtl/>
        </w:rPr>
        <w:t>‒</w:t>
      </w:r>
      <w:r w:rsidRPr="008F1A3A">
        <w:rPr>
          <w:spacing w:val="-2"/>
        </w:rPr>
        <w:tab/>
      </w:r>
      <w:r w:rsidR="00C23B5E" w:rsidRPr="008F1A3A">
        <w:rPr>
          <w:spacing w:val="-2"/>
          <w:rtl/>
        </w:rPr>
        <w:t xml:space="preserve">سيقدم </w:t>
      </w:r>
      <w:r w:rsidR="008F1A3A" w:rsidRPr="008F1A3A">
        <w:rPr>
          <w:spacing w:val="-2"/>
          <w:rtl/>
        </w:rPr>
        <w:t xml:space="preserve">التقرير السنوي إلى الفريق الاستشاري لتنمية الاتصالات بشأن تنفيذ خطة عمل باكو تقريراً عن المنتجات والخدمات التي يقدمها مكتب تنمية الاتصالات، إسهاماً في تحقيق </w:t>
      </w:r>
      <w:r w:rsidR="002F6EBB">
        <w:rPr>
          <w:rFonts w:hint="cs"/>
          <w:spacing w:val="-2"/>
          <w:rtl/>
        </w:rPr>
        <w:t>المحصلات</w:t>
      </w:r>
      <w:r w:rsidR="008F1A3A" w:rsidRPr="008F1A3A">
        <w:rPr>
          <w:spacing w:val="-2"/>
          <w:rtl/>
        </w:rPr>
        <w:t xml:space="preserve"> التي حددتها الدول الأعضاء في خطة عمل</w:t>
      </w:r>
      <w:r w:rsidR="00C07ED7">
        <w:rPr>
          <w:rFonts w:hint="cs"/>
          <w:spacing w:val="-2"/>
          <w:rtl/>
        </w:rPr>
        <w:t> </w:t>
      </w:r>
      <w:r w:rsidR="008F1A3A" w:rsidRPr="008F1A3A">
        <w:rPr>
          <w:spacing w:val="-2"/>
          <w:rtl/>
        </w:rPr>
        <w:t>باكو</w:t>
      </w:r>
      <w:r w:rsidR="00C23B5E" w:rsidRPr="008F1A3A">
        <w:rPr>
          <w:spacing w:val="-2"/>
          <w:rtl/>
        </w:rPr>
        <w:t>.</w:t>
      </w:r>
    </w:p>
    <w:p w14:paraId="0BD8DAD8" w14:textId="77777777" w:rsidR="00F10980" w:rsidRDefault="003D47FA" w:rsidP="003D47FA">
      <w:pPr>
        <w:pStyle w:val="enumlev1"/>
        <w:rPr>
          <w:rtl/>
        </w:rPr>
      </w:pPr>
      <w:r>
        <w:rPr>
          <w:rtl/>
        </w:rPr>
        <w:t>‒</w:t>
      </w:r>
      <w:r>
        <w:tab/>
      </w:r>
      <w:r w:rsidR="00C23B5E" w:rsidRPr="00C23B5E">
        <w:rPr>
          <w:rtl/>
        </w:rPr>
        <w:t>وسيقدم التقرير السنوي إلى المجلس بشأن تنفيذ الخطة الاستراتيجية للاتحاد تقريراً عن التقدم المحرز في مجالات الأولويات المواضيعية وتحقيق الغايات الاستراتيجية للاتحاد.</w:t>
      </w:r>
    </w:p>
    <w:p w14:paraId="71851A08" w14:textId="62D12081" w:rsidR="00C23B5E" w:rsidRPr="00C23B5E" w:rsidRDefault="003D47FA" w:rsidP="003D47FA">
      <w:pPr>
        <w:pStyle w:val="enumlev1"/>
        <w:rPr>
          <w:lang w:val="ar-SA" w:bidi="ar-EG"/>
        </w:rPr>
      </w:pPr>
      <w:r>
        <w:rPr>
          <w:rtl/>
        </w:rPr>
        <w:t>‒</w:t>
      </w:r>
      <w:r>
        <w:tab/>
      </w:r>
      <w:r w:rsidR="00C23B5E" w:rsidRPr="00C23B5E">
        <w:rPr>
          <w:rtl/>
        </w:rPr>
        <w:t>وقد بدأ تنفيذ خطة عمل باكو في يناير 2026 وسيستمر حتى نهاية عام 2029. وسيقدم تقرير عن تنفيذ العمل الجاري إلى اجتماع الفريق الاستشاري TDAG-27.</w:t>
      </w:r>
    </w:p>
    <w:p w14:paraId="1A449D2B" w14:textId="33F71935" w:rsidR="00C23B5E" w:rsidRPr="00C23B5E" w:rsidRDefault="003D47FA" w:rsidP="003D47FA">
      <w:pPr>
        <w:pStyle w:val="Heading2"/>
      </w:pPr>
      <w:r>
        <w:t>5.2</w:t>
      </w:r>
      <w:r w:rsidR="00C23B5E" w:rsidRPr="00C23B5E">
        <w:rPr>
          <w:rtl/>
        </w:rPr>
        <w:tab/>
        <w:t>تحليل المخاطر</w:t>
      </w:r>
    </w:p>
    <w:p w14:paraId="554E42A0" w14:textId="4C29C03F" w:rsidR="00C23B5E" w:rsidRPr="00C23B5E" w:rsidRDefault="00C23B5E" w:rsidP="00C23B5E">
      <w:pPr>
        <w:rPr>
          <w:lang w:val="ar-SA" w:bidi="ar-EG"/>
        </w:rPr>
      </w:pPr>
      <w:r w:rsidRPr="00C23B5E">
        <w:rPr>
          <w:rtl/>
        </w:rPr>
        <w:t xml:space="preserve">وفيما يتعلق بإدارة المخاطر، فإلى جانب المخاطر التشغيلية المدرجة في الخطة التشغيلية لعام 2026، التي ستستعرضها الإدارة العليا دورياً، ستقوم كل إدارة ومكتب إقليمي بتحديد وتقييم وإدارة المخاطر المرتبطة بتسليم </w:t>
      </w:r>
      <w:r w:rsidR="005443F3">
        <w:rPr>
          <w:rFonts w:hint="cs"/>
          <w:rtl/>
        </w:rPr>
        <w:t>النواتج</w:t>
      </w:r>
      <w:r w:rsidR="005443F3" w:rsidRPr="00C23B5E">
        <w:rPr>
          <w:rtl/>
        </w:rPr>
        <w:t xml:space="preserve"> </w:t>
      </w:r>
      <w:r w:rsidRPr="00C23B5E">
        <w:rPr>
          <w:rtl/>
        </w:rPr>
        <w:t>وخدمات الدعم ذات الصلة، باتباع نهج متعدد المستويات لإدارة المخاطر.</w:t>
      </w:r>
    </w:p>
    <w:p w14:paraId="365EE352" w14:textId="649D8E9D" w:rsidR="00C23B5E" w:rsidRDefault="00C23B5E" w:rsidP="00C23B5E">
      <w:r w:rsidRPr="00C23B5E">
        <w:rPr>
          <w:rtl/>
        </w:rPr>
        <w:t xml:space="preserve">يحدد الجدول أدناه المخاطر التشغيلية الرئيسية للفترة </w:t>
      </w:r>
      <w:r w:rsidR="00942B16">
        <w:t>2029-2026</w:t>
      </w:r>
      <w:r w:rsidRPr="00C23B5E">
        <w:rPr>
          <w:rtl/>
        </w:rPr>
        <w:t>. وسيعاد تقييم هذه المخاطر على أساس منتظم لمراعاة التغيرات في البيئة الداخلية والخارجية التي يحتمل أن يكون لها تأثير على تنفيذ الخطط التشغيلية لقطاع تنمية الاتصالات.</w:t>
      </w:r>
    </w:p>
    <w:tbl>
      <w:tblPr>
        <w:tblStyle w:val="GridTable4-Accent11"/>
        <w:bidiVisual/>
        <w:tblW w:w="4960" w:type="pct"/>
        <w:tblInd w:w="35" w:type="dxa"/>
        <w:tblLayout w:type="fixed"/>
        <w:tblLook w:val="06A0" w:firstRow="1" w:lastRow="0" w:firstColumn="1" w:lastColumn="0" w:noHBand="1" w:noVBand="1"/>
      </w:tblPr>
      <w:tblGrid>
        <w:gridCol w:w="1483"/>
        <w:gridCol w:w="1857"/>
        <w:gridCol w:w="982"/>
        <w:gridCol w:w="1263"/>
        <w:gridCol w:w="3966"/>
      </w:tblGrid>
      <w:tr w:rsidR="006F5791" w:rsidRPr="006F5791" w14:paraId="1F99296F" w14:textId="77777777" w:rsidTr="005458D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85" w:type="dxa"/>
          </w:tcPr>
          <w:p w14:paraId="0CD8A710" w14:textId="3D67BB14" w:rsidR="003D47FA" w:rsidRPr="006F5791" w:rsidRDefault="003D47FA" w:rsidP="005458D7">
            <w:pPr>
              <w:pStyle w:val="TableHead"/>
              <w:jc w:val="both"/>
              <w:rPr>
                <w:rFonts w:ascii="Calibri" w:hAnsi="Calibri"/>
                <w:b/>
                <w:bCs/>
                <w:position w:val="2"/>
                <w:lang w:eastAsia="zh-CN"/>
              </w:rPr>
            </w:pPr>
            <w:r w:rsidRPr="006F5791">
              <w:rPr>
                <w:b/>
                <w:bCs/>
                <w:position w:val="2"/>
                <w:rtl/>
              </w:rPr>
              <w:lastRenderedPageBreak/>
              <w:t>المنظور</w:t>
            </w:r>
          </w:p>
        </w:tc>
        <w:tc>
          <w:tcPr>
            <w:tcW w:w="1859" w:type="dxa"/>
          </w:tcPr>
          <w:p w14:paraId="6E8DD332" w14:textId="19531373" w:rsidR="003D47FA" w:rsidRPr="006F5791" w:rsidRDefault="003D47FA" w:rsidP="005458D7">
            <w:pPr>
              <w:pStyle w:val="TableHead"/>
              <w:jc w:val="both"/>
              <w:cnfStyle w:val="100000000000" w:firstRow="1" w:lastRow="0" w:firstColumn="0" w:lastColumn="0" w:oddVBand="0" w:evenVBand="0" w:oddHBand="0" w:evenHBand="0" w:firstRowFirstColumn="0" w:firstRowLastColumn="0" w:lastRowFirstColumn="0" w:lastRowLastColumn="0"/>
              <w:rPr>
                <w:rFonts w:ascii="Calibri" w:hAnsi="Calibri"/>
                <w:b/>
                <w:bCs/>
                <w:position w:val="2"/>
                <w:lang w:eastAsia="zh-CN"/>
              </w:rPr>
            </w:pPr>
            <w:r w:rsidRPr="006F5791">
              <w:rPr>
                <w:b/>
                <w:bCs/>
                <w:position w:val="2"/>
                <w:rtl/>
              </w:rPr>
              <w:t>وصف المخاطر</w:t>
            </w:r>
          </w:p>
        </w:tc>
        <w:tc>
          <w:tcPr>
            <w:tcW w:w="983" w:type="dxa"/>
          </w:tcPr>
          <w:p w14:paraId="51EC22D1" w14:textId="4E15663A" w:rsidR="003D47FA" w:rsidRPr="006F5791" w:rsidRDefault="003D47FA" w:rsidP="005458D7">
            <w:pPr>
              <w:pStyle w:val="TableHead"/>
              <w:jc w:val="both"/>
              <w:cnfStyle w:val="100000000000" w:firstRow="1" w:lastRow="0" w:firstColumn="0" w:lastColumn="0" w:oddVBand="0" w:evenVBand="0" w:oddHBand="0" w:evenHBand="0" w:firstRowFirstColumn="0" w:firstRowLastColumn="0" w:lastRowFirstColumn="0" w:lastRowLastColumn="0"/>
              <w:rPr>
                <w:rFonts w:ascii="Calibri" w:hAnsi="Calibri"/>
                <w:b/>
                <w:bCs/>
                <w:position w:val="2"/>
                <w:lang w:eastAsia="zh-CN"/>
              </w:rPr>
            </w:pPr>
            <w:r w:rsidRPr="006F5791">
              <w:rPr>
                <w:b/>
                <w:bCs/>
                <w:position w:val="2"/>
                <w:rtl/>
              </w:rPr>
              <w:t>الاحتمالية</w:t>
            </w:r>
          </w:p>
        </w:tc>
        <w:tc>
          <w:tcPr>
            <w:tcW w:w="1264" w:type="dxa"/>
          </w:tcPr>
          <w:p w14:paraId="6B009D4A" w14:textId="5CBED01B" w:rsidR="003D47FA" w:rsidRPr="005458D7" w:rsidRDefault="003D47FA" w:rsidP="005458D7">
            <w:pPr>
              <w:pStyle w:val="TableHead"/>
              <w:jc w:val="both"/>
              <w:cnfStyle w:val="100000000000" w:firstRow="1" w:lastRow="0" w:firstColumn="0" w:lastColumn="0" w:oddVBand="0" w:evenVBand="0" w:oddHBand="0" w:evenHBand="0" w:firstRowFirstColumn="0" w:firstRowLastColumn="0" w:lastRowFirstColumn="0" w:lastRowLastColumn="0"/>
              <w:rPr>
                <w:rFonts w:ascii="Calibri" w:hAnsi="Calibri"/>
                <w:b/>
                <w:bCs/>
                <w:spacing w:val="-4"/>
                <w:position w:val="2"/>
                <w:lang w:eastAsia="zh-CN"/>
              </w:rPr>
            </w:pPr>
            <w:r w:rsidRPr="005458D7">
              <w:rPr>
                <w:b/>
                <w:bCs/>
                <w:spacing w:val="-4"/>
                <w:position w:val="2"/>
                <w:rtl/>
              </w:rPr>
              <w:t>مستوى التأثير</w:t>
            </w:r>
          </w:p>
        </w:tc>
        <w:tc>
          <w:tcPr>
            <w:tcW w:w="3970" w:type="dxa"/>
          </w:tcPr>
          <w:p w14:paraId="119F1945" w14:textId="5323F8ED" w:rsidR="003D47FA" w:rsidRPr="006F5791" w:rsidRDefault="003D47FA" w:rsidP="005458D7">
            <w:pPr>
              <w:pStyle w:val="TableHead"/>
              <w:jc w:val="both"/>
              <w:cnfStyle w:val="100000000000" w:firstRow="1" w:lastRow="0" w:firstColumn="0" w:lastColumn="0" w:oddVBand="0" w:evenVBand="0" w:oddHBand="0" w:evenHBand="0" w:firstRowFirstColumn="0" w:firstRowLastColumn="0" w:lastRowFirstColumn="0" w:lastRowLastColumn="0"/>
              <w:rPr>
                <w:rFonts w:ascii="Calibri" w:hAnsi="Calibri"/>
                <w:b/>
                <w:bCs/>
                <w:lang w:eastAsia="zh-CN"/>
              </w:rPr>
            </w:pPr>
            <w:r w:rsidRPr="006F5791">
              <w:rPr>
                <w:b/>
                <w:bCs/>
                <w:rtl/>
              </w:rPr>
              <w:t>تخفيف الأثر</w:t>
            </w:r>
          </w:p>
        </w:tc>
      </w:tr>
      <w:tr w:rsidR="006F5791" w:rsidRPr="006F5791" w14:paraId="7A2BB25F" w14:textId="77777777" w:rsidTr="005458D7">
        <w:tc>
          <w:tcPr>
            <w:cnfStyle w:val="001000000000" w:firstRow="0" w:lastRow="0" w:firstColumn="1" w:lastColumn="0" w:oddVBand="0" w:evenVBand="0" w:oddHBand="0" w:evenHBand="0" w:firstRowFirstColumn="0" w:firstRowLastColumn="0" w:lastRowFirstColumn="0" w:lastRowLastColumn="0"/>
            <w:tcW w:w="1485" w:type="dxa"/>
          </w:tcPr>
          <w:p w14:paraId="51D75819" w14:textId="284AED76" w:rsidR="003D47FA" w:rsidRPr="006F5791" w:rsidRDefault="003D47FA" w:rsidP="006F5791">
            <w:pPr>
              <w:pStyle w:val="Tabletexte"/>
              <w:spacing w:before="40" w:after="40"/>
              <w:rPr>
                <w:rFonts w:ascii="Calibri" w:hAnsi="Calibri" w:cs="Calibri"/>
                <w:position w:val="2"/>
                <w:lang w:eastAsia="zh-CN"/>
              </w:rPr>
            </w:pPr>
            <w:r w:rsidRPr="006F5791">
              <w:rPr>
                <w:position w:val="2"/>
                <w:rtl/>
              </w:rPr>
              <w:t>الماليات</w:t>
            </w:r>
          </w:p>
        </w:tc>
        <w:tc>
          <w:tcPr>
            <w:tcW w:w="1859" w:type="dxa"/>
          </w:tcPr>
          <w:p w14:paraId="4D5B8994" w14:textId="5872C7A7" w:rsidR="003D47FA" w:rsidRPr="006F5791" w:rsidRDefault="003D47FA" w:rsidP="006F5791">
            <w:pPr>
              <w:pStyle w:val="Tabletexte"/>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spacing w:val="-4"/>
                <w:position w:val="2"/>
                <w:lang w:eastAsia="zh-CN"/>
              </w:rPr>
            </w:pPr>
            <w:r w:rsidRPr="006F5791">
              <w:rPr>
                <w:spacing w:val="-4"/>
                <w:position w:val="2"/>
                <w:rtl/>
              </w:rPr>
              <w:t>نقص الموارد/تمويل غير كاف</w:t>
            </w:r>
          </w:p>
        </w:tc>
        <w:tc>
          <w:tcPr>
            <w:tcW w:w="983" w:type="dxa"/>
          </w:tcPr>
          <w:p w14:paraId="4BB9CC14" w14:textId="723CBBD6" w:rsidR="003D47FA" w:rsidRPr="006F5791" w:rsidRDefault="003D47FA" w:rsidP="006F5791">
            <w:pPr>
              <w:pStyle w:val="Tabletexte"/>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position w:val="2"/>
                <w:lang w:eastAsia="zh-CN"/>
              </w:rPr>
            </w:pPr>
            <w:r w:rsidRPr="006F5791">
              <w:rPr>
                <w:position w:val="2"/>
                <w:rtl/>
              </w:rPr>
              <w:t xml:space="preserve">متوسط </w:t>
            </w:r>
          </w:p>
        </w:tc>
        <w:tc>
          <w:tcPr>
            <w:tcW w:w="1264" w:type="dxa"/>
          </w:tcPr>
          <w:p w14:paraId="31D708E3" w14:textId="37BD16B2" w:rsidR="003D47FA" w:rsidRPr="006F5791" w:rsidRDefault="003D47FA" w:rsidP="006F5791">
            <w:pPr>
              <w:pStyle w:val="Tabletexte"/>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position w:val="2"/>
                <w:lang w:val="fr-CH" w:eastAsia="zh-CN"/>
              </w:rPr>
            </w:pPr>
            <w:r w:rsidRPr="006F5791">
              <w:rPr>
                <w:position w:val="2"/>
                <w:rtl/>
              </w:rPr>
              <w:t>مرتفع</w:t>
            </w:r>
          </w:p>
        </w:tc>
        <w:tc>
          <w:tcPr>
            <w:tcW w:w="3970" w:type="dxa"/>
          </w:tcPr>
          <w:p w14:paraId="1D3F3899" w14:textId="16D70CBE" w:rsidR="003D47FA" w:rsidRPr="006F5791" w:rsidRDefault="006F5791" w:rsidP="006F5791">
            <w:pPr>
              <w:pStyle w:val="Tabletexte"/>
              <w:spacing w:before="40" w:after="40"/>
              <w:ind w:left="309" w:hanging="309"/>
              <w:cnfStyle w:val="000000000000" w:firstRow="0" w:lastRow="0" w:firstColumn="0" w:lastColumn="0" w:oddVBand="0" w:evenVBand="0" w:oddHBand="0" w:evenHBand="0" w:firstRowFirstColumn="0" w:firstRowLastColumn="0" w:lastRowFirstColumn="0" w:lastRowLastColumn="0"/>
              <w:rPr>
                <w:position w:val="2"/>
                <w:lang w:val="ar-SA" w:bidi="ar-EG"/>
              </w:rPr>
            </w:pPr>
            <w:r>
              <w:rPr>
                <w:position w:val="2"/>
              </w:rPr>
              <w:sym w:font="Wingdings 2" w:char="F097"/>
            </w:r>
            <w:r w:rsidRPr="006F5791">
              <w:rPr>
                <w:position w:val="2"/>
                <w:rtl/>
              </w:rPr>
              <w:tab/>
            </w:r>
            <w:r w:rsidR="003D47FA" w:rsidRPr="006F5791">
              <w:rPr>
                <w:position w:val="2"/>
                <w:rtl/>
              </w:rPr>
              <w:t>إعداد توقعات الميزانية المناسبة</w:t>
            </w:r>
          </w:p>
          <w:p w14:paraId="1D6B0799" w14:textId="5922C757" w:rsidR="003D47FA" w:rsidRPr="006F5791" w:rsidRDefault="006F5791" w:rsidP="006F5791">
            <w:pPr>
              <w:pStyle w:val="Tabletexte"/>
              <w:spacing w:before="40" w:after="40"/>
              <w:ind w:left="309" w:hanging="309"/>
              <w:cnfStyle w:val="000000000000" w:firstRow="0" w:lastRow="0" w:firstColumn="0" w:lastColumn="0" w:oddVBand="0" w:evenVBand="0" w:oddHBand="0" w:evenHBand="0" w:firstRowFirstColumn="0" w:firstRowLastColumn="0" w:lastRowFirstColumn="0" w:lastRowLastColumn="0"/>
              <w:rPr>
                <w:position w:val="2"/>
                <w:lang w:val="ar-SA" w:bidi="ar-EG"/>
              </w:rPr>
            </w:pPr>
            <w:r>
              <w:rPr>
                <w:position w:val="2"/>
              </w:rPr>
              <w:sym w:font="Wingdings 2" w:char="F097"/>
            </w:r>
            <w:r w:rsidRPr="006F5791">
              <w:rPr>
                <w:position w:val="2"/>
                <w:rtl/>
              </w:rPr>
              <w:tab/>
            </w:r>
            <w:r w:rsidR="003D47FA" w:rsidRPr="006F5791">
              <w:rPr>
                <w:position w:val="2"/>
                <w:rtl/>
              </w:rPr>
              <w:t>وضع استراتيجيات تنفيذ ملائمة لخفض التكاليف وتحسين الكفاءة</w:t>
            </w:r>
          </w:p>
          <w:p w14:paraId="2E0F2D09" w14:textId="47EDE01E" w:rsidR="003D47FA" w:rsidRPr="005458D7" w:rsidRDefault="006F5791" w:rsidP="006F5791">
            <w:pPr>
              <w:pStyle w:val="Tabletexte"/>
              <w:spacing w:before="40" w:after="40"/>
              <w:ind w:left="309" w:hanging="309"/>
              <w:cnfStyle w:val="000000000000" w:firstRow="0" w:lastRow="0" w:firstColumn="0" w:lastColumn="0" w:oddVBand="0" w:evenVBand="0" w:oddHBand="0" w:evenHBand="0" w:firstRowFirstColumn="0" w:firstRowLastColumn="0" w:lastRowFirstColumn="0" w:lastRowLastColumn="0"/>
              <w:rPr>
                <w:position w:val="2"/>
                <w:lang w:val="ar-SA" w:bidi="ar-EG"/>
              </w:rPr>
            </w:pPr>
            <w:r w:rsidRPr="005458D7">
              <w:rPr>
                <w:position w:val="2"/>
              </w:rPr>
              <w:sym w:font="Wingdings 2" w:char="F097"/>
            </w:r>
            <w:r w:rsidRPr="005458D7">
              <w:rPr>
                <w:position w:val="2"/>
                <w:rtl/>
              </w:rPr>
              <w:tab/>
            </w:r>
            <w:r w:rsidR="003D47FA" w:rsidRPr="005458D7">
              <w:rPr>
                <w:position w:val="2"/>
                <w:rtl/>
              </w:rPr>
              <w:t>حشد موارد إضافية/خارجة عن الميزانية حسب</w:t>
            </w:r>
            <w:r w:rsidR="005458D7">
              <w:rPr>
                <w:rFonts w:hint="eastAsia"/>
                <w:position w:val="2"/>
                <w:rtl/>
                <w:lang w:bidi="ar-SA"/>
              </w:rPr>
              <w:t> </w:t>
            </w:r>
            <w:r w:rsidR="003D47FA" w:rsidRPr="005458D7">
              <w:rPr>
                <w:position w:val="2"/>
                <w:rtl/>
              </w:rPr>
              <w:t>الاقتضاء</w:t>
            </w:r>
          </w:p>
          <w:p w14:paraId="5C2E6027" w14:textId="70701A8E" w:rsidR="003D47FA" w:rsidRPr="006F5791" w:rsidRDefault="006F5791" w:rsidP="006F5791">
            <w:pPr>
              <w:pStyle w:val="Tabletexte"/>
              <w:spacing w:before="40" w:after="40"/>
              <w:ind w:left="309" w:hanging="309"/>
              <w:cnfStyle w:val="000000000000" w:firstRow="0" w:lastRow="0" w:firstColumn="0" w:lastColumn="0" w:oddVBand="0" w:evenVBand="0" w:oddHBand="0" w:evenHBand="0" w:firstRowFirstColumn="0" w:firstRowLastColumn="0" w:lastRowFirstColumn="0" w:lastRowLastColumn="0"/>
              <w:rPr>
                <w:rFonts w:ascii="Calibri" w:hAnsi="Calibri" w:cs="Calibri"/>
                <w:position w:val="2"/>
                <w:lang w:eastAsia="zh-CN"/>
              </w:rPr>
            </w:pPr>
            <w:r>
              <w:rPr>
                <w:position w:val="2"/>
              </w:rPr>
              <w:sym w:font="Wingdings 2" w:char="F097"/>
            </w:r>
            <w:r w:rsidRPr="006F5791">
              <w:rPr>
                <w:position w:val="2"/>
                <w:rtl/>
              </w:rPr>
              <w:tab/>
            </w:r>
            <w:r w:rsidR="003D47FA" w:rsidRPr="006F5791">
              <w:rPr>
                <w:position w:val="2"/>
                <w:rtl/>
              </w:rPr>
              <w:t>إقامة شراكات جديدة</w:t>
            </w:r>
          </w:p>
        </w:tc>
      </w:tr>
      <w:tr w:rsidR="006F5791" w:rsidRPr="006F5791" w14:paraId="6949AAED" w14:textId="77777777" w:rsidTr="005458D7">
        <w:tc>
          <w:tcPr>
            <w:cnfStyle w:val="001000000000" w:firstRow="0" w:lastRow="0" w:firstColumn="1" w:lastColumn="0" w:oddVBand="0" w:evenVBand="0" w:oddHBand="0" w:evenHBand="0" w:firstRowFirstColumn="0" w:firstRowLastColumn="0" w:lastRowFirstColumn="0" w:lastRowLastColumn="0"/>
            <w:tcW w:w="1485" w:type="dxa"/>
          </w:tcPr>
          <w:p w14:paraId="7966F087" w14:textId="4621E287" w:rsidR="003D47FA" w:rsidRPr="006F5791" w:rsidRDefault="003D47FA" w:rsidP="006F5791">
            <w:pPr>
              <w:pStyle w:val="Tabletexte"/>
              <w:spacing w:before="40" w:after="40"/>
              <w:rPr>
                <w:rFonts w:ascii="Calibri" w:hAnsi="Calibri" w:cs="Calibri"/>
                <w:position w:val="2"/>
                <w:lang w:val="fr-CH" w:eastAsia="zh-CN"/>
              </w:rPr>
            </w:pPr>
            <w:r w:rsidRPr="006F5791">
              <w:rPr>
                <w:position w:val="2"/>
                <w:rtl/>
              </w:rPr>
              <w:t>الموارد البشرية</w:t>
            </w:r>
          </w:p>
        </w:tc>
        <w:tc>
          <w:tcPr>
            <w:tcW w:w="1859" w:type="dxa"/>
          </w:tcPr>
          <w:p w14:paraId="7D265B5B" w14:textId="1429088C" w:rsidR="003D47FA" w:rsidRPr="006F5791" w:rsidRDefault="003D47FA" w:rsidP="006F5791">
            <w:pPr>
              <w:pStyle w:val="Tabletexte"/>
              <w:spacing w:before="40" w:after="40"/>
              <w:cnfStyle w:val="000000000000" w:firstRow="0" w:lastRow="0" w:firstColumn="0" w:lastColumn="0" w:oddVBand="0" w:evenVBand="0" w:oddHBand="0" w:evenHBand="0" w:firstRowFirstColumn="0" w:firstRowLastColumn="0" w:lastRowFirstColumn="0" w:lastRowLastColumn="0"/>
              <w:rPr>
                <w:rFonts w:ascii="Calibri" w:hAnsi="Calibri"/>
                <w:spacing w:val="-4"/>
                <w:position w:val="2"/>
                <w:lang w:eastAsia="zh-CN"/>
              </w:rPr>
            </w:pPr>
            <w:r w:rsidRPr="006F5791">
              <w:rPr>
                <w:spacing w:val="-4"/>
                <w:position w:val="2"/>
                <w:rtl/>
              </w:rPr>
              <w:t>نقص الخبراء المؤهلين في مجال النشاط</w:t>
            </w:r>
          </w:p>
        </w:tc>
        <w:tc>
          <w:tcPr>
            <w:tcW w:w="983" w:type="dxa"/>
          </w:tcPr>
          <w:p w14:paraId="438BBD0D" w14:textId="115F83D8" w:rsidR="003D47FA" w:rsidRPr="006F5791" w:rsidRDefault="003D47FA" w:rsidP="006F5791">
            <w:pPr>
              <w:pStyle w:val="Tabletexte"/>
              <w:spacing w:before="40" w:after="40"/>
              <w:cnfStyle w:val="000000000000" w:firstRow="0" w:lastRow="0" w:firstColumn="0" w:lastColumn="0" w:oddVBand="0" w:evenVBand="0" w:oddHBand="0" w:evenHBand="0" w:firstRowFirstColumn="0" w:firstRowLastColumn="0" w:lastRowFirstColumn="0" w:lastRowLastColumn="0"/>
              <w:rPr>
                <w:rFonts w:ascii="Calibri" w:hAnsi="Calibri"/>
                <w:position w:val="2"/>
                <w:lang w:val="fr-CH" w:eastAsia="zh-CN"/>
              </w:rPr>
            </w:pPr>
            <w:r w:rsidRPr="006F5791">
              <w:rPr>
                <w:position w:val="2"/>
                <w:rtl/>
              </w:rPr>
              <w:t>مرتفع</w:t>
            </w:r>
          </w:p>
        </w:tc>
        <w:tc>
          <w:tcPr>
            <w:tcW w:w="1264" w:type="dxa"/>
          </w:tcPr>
          <w:p w14:paraId="62E07376" w14:textId="0F246517" w:rsidR="003D47FA" w:rsidRPr="006F5791" w:rsidRDefault="003D47FA" w:rsidP="006F5791">
            <w:pPr>
              <w:pStyle w:val="Tabletexte"/>
              <w:spacing w:before="40" w:after="40"/>
              <w:cnfStyle w:val="000000000000" w:firstRow="0" w:lastRow="0" w:firstColumn="0" w:lastColumn="0" w:oddVBand="0" w:evenVBand="0" w:oddHBand="0" w:evenHBand="0" w:firstRowFirstColumn="0" w:firstRowLastColumn="0" w:lastRowFirstColumn="0" w:lastRowLastColumn="0"/>
              <w:rPr>
                <w:rFonts w:ascii="Calibri" w:hAnsi="Calibri"/>
                <w:position w:val="2"/>
                <w:lang w:val="fr-CH" w:eastAsia="zh-CN"/>
              </w:rPr>
            </w:pPr>
            <w:r w:rsidRPr="006F5791">
              <w:rPr>
                <w:position w:val="2"/>
                <w:rtl/>
              </w:rPr>
              <w:t>مرتفع</w:t>
            </w:r>
          </w:p>
        </w:tc>
        <w:tc>
          <w:tcPr>
            <w:tcW w:w="3970" w:type="dxa"/>
          </w:tcPr>
          <w:p w14:paraId="73EE6C90" w14:textId="46ED5902" w:rsidR="003D47FA" w:rsidRPr="006F5791" w:rsidRDefault="006F5791" w:rsidP="006F5791">
            <w:pPr>
              <w:pStyle w:val="Tabletexte"/>
              <w:spacing w:before="40" w:after="40"/>
              <w:ind w:left="309" w:hanging="309"/>
              <w:cnfStyle w:val="000000000000" w:firstRow="0" w:lastRow="0" w:firstColumn="0" w:lastColumn="0" w:oddVBand="0" w:evenVBand="0" w:oddHBand="0" w:evenHBand="0" w:firstRowFirstColumn="0" w:firstRowLastColumn="0" w:lastRowFirstColumn="0" w:lastRowLastColumn="0"/>
              <w:rPr>
                <w:position w:val="2"/>
                <w:lang w:val="ar-SA" w:bidi="ar-EG"/>
              </w:rPr>
            </w:pPr>
            <w:r>
              <w:rPr>
                <w:position w:val="2"/>
              </w:rPr>
              <w:sym w:font="Wingdings 2" w:char="F097"/>
            </w:r>
            <w:r w:rsidRPr="006F5791">
              <w:rPr>
                <w:position w:val="2"/>
                <w:rtl/>
              </w:rPr>
              <w:tab/>
            </w:r>
            <w:r w:rsidR="003D47FA" w:rsidRPr="006F5791">
              <w:rPr>
                <w:position w:val="2"/>
                <w:rtl/>
              </w:rPr>
              <w:t>توقع متطلبات الموارد وبدء عمليات التوظيف والشراء في الوقت المناسب</w:t>
            </w:r>
          </w:p>
          <w:p w14:paraId="1CC7CEDF" w14:textId="1A7C768C" w:rsidR="003D47FA" w:rsidRPr="006F5791" w:rsidRDefault="006F5791" w:rsidP="006F5791">
            <w:pPr>
              <w:pStyle w:val="Tabletexte"/>
              <w:spacing w:before="40" w:after="40"/>
              <w:ind w:left="309" w:hanging="309"/>
              <w:cnfStyle w:val="000000000000" w:firstRow="0" w:lastRow="0" w:firstColumn="0" w:lastColumn="0" w:oddVBand="0" w:evenVBand="0" w:oddHBand="0" w:evenHBand="0" w:firstRowFirstColumn="0" w:firstRowLastColumn="0" w:lastRowFirstColumn="0" w:lastRowLastColumn="0"/>
              <w:rPr>
                <w:position w:val="2"/>
                <w:lang w:val="ar-SA" w:bidi="ar-EG"/>
              </w:rPr>
            </w:pPr>
            <w:r>
              <w:rPr>
                <w:position w:val="2"/>
              </w:rPr>
              <w:sym w:font="Wingdings 2" w:char="F097"/>
            </w:r>
            <w:r w:rsidRPr="006F5791">
              <w:rPr>
                <w:position w:val="2"/>
                <w:rtl/>
              </w:rPr>
              <w:tab/>
            </w:r>
            <w:r w:rsidR="003D47FA" w:rsidRPr="006F5791">
              <w:rPr>
                <w:position w:val="2"/>
                <w:rtl/>
              </w:rPr>
              <w:t>وضع قائمة بأسماء الخبراء ومواكبة تحديثها ومواصلة تطويرها</w:t>
            </w:r>
          </w:p>
          <w:p w14:paraId="69BF41BC" w14:textId="0BBBB452" w:rsidR="003D47FA" w:rsidRPr="006F5791" w:rsidRDefault="006F5791" w:rsidP="006F5791">
            <w:pPr>
              <w:pStyle w:val="Tabletexte"/>
              <w:spacing w:before="40" w:after="40"/>
              <w:ind w:left="309" w:hanging="309"/>
              <w:cnfStyle w:val="000000000000" w:firstRow="0" w:lastRow="0" w:firstColumn="0" w:lastColumn="0" w:oddVBand="0" w:evenVBand="0" w:oddHBand="0" w:evenHBand="0" w:firstRowFirstColumn="0" w:firstRowLastColumn="0" w:lastRowFirstColumn="0" w:lastRowLastColumn="0"/>
              <w:rPr>
                <w:rFonts w:ascii="Calibri" w:hAnsi="Calibri"/>
                <w:position w:val="2"/>
                <w:lang w:eastAsia="zh-CN"/>
              </w:rPr>
            </w:pPr>
            <w:r>
              <w:rPr>
                <w:position w:val="2"/>
              </w:rPr>
              <w:sym w:font="Wingdings 2" w:char="F097"/>
            </w:r>
            <w:r w:rsidRPr="006F5791">
              <w:rPr>
                <w:position w:val="2"/>
                <w:rtl/>
              </w:rPr>
              <w:tab/>
            </w:r>
            <w:r w:rsidR="003D47FA" w:rsidRPr="006F5791">
              <w:rPr>
                <w:position w:val="2"/>
                <w:rtl/>
              </w:rPr>
              <w:t>تعزيز الخبرات الداخلية في المجالات الرئيسية</w:t>
            </w:r>
          </w:p>
        </w:tc>
      </w:tr>
      <w:tr w:rsidR="006F5791" w:rsidRPr="006F5791" w14:paraId="20E8406A" w14:textId="77777777" w:rsidTr="005458D7">
        <w:tc>
          <w:tcPr>
            <w:cnfStyle w:val="001000000000" w:firstRow="0" w:lastRow="0" w:firstColumn="1" w:lastColumn="0" w:oddVBand="0" w:evenVBand="0" w:oddHBand="0" w:evenHBand="0" w:firstRowFirstColumn="0" w:firstRowLastColumn="0" w:lastRowFirstColumn="0" w:lastRowLastColumn="0"/>
            <w:tcW w:w="1485" w:type="dxa"/>
          </w:tcPr>
          <w:p w14:paraId="4A2F39F0" w14:textId="03A98628" w:rsidR="003D47FA" w:rsidRPr="006F5791" w:rsidRDefault="003D47FA" w:rsidP="006F5791">
            <w:pPr>
              <w:pStyle w:val="Tabletexte"/>
              <w:spacing w:before="40" w:after="40"/>
              <w:rPr>
                <w:rFonts w:ascii="Calibri" w:hAnsi="Calibri" w:cs="Calibri"/>
                <w:spacing w:val="-8"/>
                <w:position w:val="2"/>
                <w:lang w:val="fr-CH" w:eastAsia="zh-CN"/>
              </w:rPr>
            </w:pPr>
            <w:r w:rsidRPr="006F5791">
              <w:rPr>
                <w:spacing w:val="-8"/>
                <w:position w:val="2"/>
                <w:rtl/>
              </w:rPr>
              <w:t>أصحاب المصلحة/الشركاء</w:t>
            </w:r>
          </w:p>
        </w:tc>
        <w:tc>
          <w:tcPr>
            <w:tcW w:w="1859" w:type="dxa"/>
          </w:tcPr>
          <w:p w14:paraId="10CE7EFD" w14:textId="3F64BAB8" w:rsidR="003D47FA" w:rsidRPr="005458D7" w:rsidRDefault="003D47FA" w:rsidP="006F5791">
            <w:pPr>
              <w:pStyle w:val="Tabletexte"/>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spacing w:val="-6"/>
                <w:position w:val="2"/>
                <w:lang w:eastAsia="zh-CN"/>
              </w:rPr>
            </w:pPr>
            <w:r w:rsidRPr="005458D7">
              <w:rPr>
                <w:spacing w:val="-6"/>
                <w:position w:val="2"/>
                <w:rtl/>
              </w:rPr>
              <w:t>الافتقار إلى الدعم/الالتزام من الشركاء والبلدان</w:t>
            </w:r>
          </w:p>
        </w:tc>
        <w:tc>
          <w:tcPr>
            <w:tcW w:w="983" w:type="dxa"/>
          </w:tcPr>
          <w:p w14:paraId="5CEA585F" w14:textId="6C369757" w:rsidR="003D47FA" w:rsidRPr="006F5791" w:rsidRDefault="003D47FA" w:rsidP="006F5791">
            <w:pPr>
              <w:pStyle w:val="Tabletexte"/>
              <w:spacing w:before="40" w:after="40"/>
              <w:cnfStyle w:val="000000000000" w:firstRow="0" w:lastRow="0" w:firstColumn="0" w:lastColumn="0" w:oddVBand="0" w:evenVBand="0" w:oddHBand="0" w:evenHBand="0" w:firstRowFirstColumn="0" w:firstRowLastColumn="0" w:lastRowFirstColumn="0" w:lastRowLastColumn="0"/>
              <w:rPr>
                <w:rFonts w:ascii="Calibri" w:hAnsi="Calibri"/>
                <w:position w:val="2"/>
                <w:lang w:val="fr-CH" w:eastAsia="zh-CN"/>
              </w:rPr>
            </w:pPr>
            <w:r w:rsidRPr="006F5791">
              <w:rPr>
                <w:position w:val="2"/>
                <w:rtl/>
              </w:rPr>
              <w:t>متوسط</w:t>
            </w:r>
          </w:p>
        </w:tc>
        <w:tc>
          <w:tcPr>
            <w:tcW w:w="1264" w:type="dxa"/>
          </w:tcPr>
          <w:p w14:paraId="254D11A6" w14:textId="3EAD869B" w:rsidR="003D47FA" w:rsidRPr="006F5791" w:rsidRDefault="003D47FA" w:rsidP="006F5791">
            <w:pPr>
              <w:pStyle w:val="Tabletexte"/>
              <w:spacing w:before="40" w:after="40"/>
              <w:cnfStyle w:val="000000000000" w:firstRow="0" w:lastRow="0" w:firstColumn="0" w:lastColumn="0" w:oddVBand="0" w:evenVBand="0" w:oddHBand="0" w:evenHBand="0" w:firstRowFirstColumn="0" w:firstRowLastColumn="0" w:lastRowFirstColumn="0" w:lastRowLastColumn="0"/>
              <w:rPr>
                <w:rFonts w:ascii="Calibri" w:hAnsi="Calibri"/>
                <w:position w:val="2"/>
                <w:lang w:val="fr-CH" w:eastAsia="zh-CN"/>
              </w:rPr>
            </w:pPr>
            <w:r w:rsidRPr="006F5791">
              <w:rPr>
                <w:position w:val="2"/>
                <w:rtl/>
              </w:rPr>
              <w:t>متوسط</w:t>
            </w:r>
          </w:p>
        </w:tc>
        <w:tc>
          <w:tcPr>
            <w:tcW w:w="3970" w:type="dxa"/>
          </w:tcPr>
          <w:p w14:paraId="1B1EC256" w14:textId="328CE80C" w:rsidR="003D47FA" w:rsidRPr="006F5791" w:rsidRDefault="006F5791" w:rsidP="006F5791">
            <w:pPr>
              <w:pStyle w:val="Tabletexte"/>
              <w:spacing w:before="40" w:after="40"/>
              <w:ind w:left="309" w:hanging="309"/>
              <w:cnfStyle w:val="000000000000" w:firstRow="0" w:lastRow="0" w:firstColumn="0" w:lastColumn="0" w:oddVBand="0" w:evenVBand="0" w:oddHBand="0" w:evenHBand="0" w:firstRowFirstColumn="0" w:firstRowLastColumn="0" w:lastRowFirstColumn="0" w:lastRowLastColumn="0"/>
              <w:rPr>
                <w:position w:val="2"/>
                <w:lang w:val="ar-SA" w:bidi="ar-EG"/>
              </w:rPr>
            </w:pPr>
            <w:r>
              <w:rPr>
                <w:position w:val="2"/>
              </w:rPr>
              <w:sym w:font="Wingdings 2" w:char="F097"/>
            </w:r>
            <w:r w:rsidRPr="006F5791">
              <w:rPr>
                <w:position w:val="2"/>
                <w:rtl/>
              </w:rPr>
              <w:tab/>
            </w:r>
            <w:r w:rsidR="003D47FA" w:rsidRPr="006F5791">
              <w:rPr>
                <w:position w:val="2"/>
                <w:rtl/>
              </w:rPr>
              <w:t>ضمان وتحسين التعاون مع البلدان لضمان المستوى المناسب من مشاركة البلدان</w:t>
            </w:r>
          </w:p>
          <w:p w14:paraId="061227E0" w14:textId="08F0FE6B" w:rsidR="003D47FA" w:rsidRPr="006F5791" w:rsidRDefault="006F5791" w:rsidP="00C07ED7">
            <w:pPr>
              <w:pStyle w:val="Tabletexte"/>
              <w:spacing w:before="40" w:after="40"/>
              <w:ind w:left="309" w:hanging="309"/>
              <w:cnfStyle w:val="000000000000" w:firstRow="0" w:lastRow="0" w:firstColumn="0" w:lastColumn="0" w:oddVBand="0" w:evenVBand="0" w:oddHBand="0" w:evenHBand="0" w:firstRowFirstColumn="0" w:firstRowLastColumn="0" w:lastRowFirstColumn="0" w:lastRowLastColumn="0"/>
              <w:rPr>
                <w:position w:val="2"/>
                <w:lang w:val="ar-SA" w:bidi="ar-EG"/>
              </w:rPr>
            </w:pPr>
            <w:r>
              <w:rPr>
                <w:position w:val="2"/>
              </w:rPr>
              <w:sym w:font="Wingdings 2" w:char="F097"/>
            </w:r>
            <w:r w:rsidRPr="006F5791">
              <w:rPr>
                <w:position w:val="2"/>
                <w:rtl/>
              </w:rPr>
              <w:tab/>
            </w:r>
            <w:r w:rsidR="003D47FA" w:rsidRPr="006F5791">
              <w:rPr>
                <w:position w:val="2"/>
                <w:rtl/>
              </w:rPr>
              <w:t xml:space="preserve">التنسيق مع </w:t>
            </w:r>
            <w:r w:rsidR="00C07ED7" w:rsidRPr="00C07ED7">
              <w:rPr>
                <w:position w:val="2"/>
                <w:rtl/>
                <w:lang w:bidi="ar-SA"/>
              </w:rPr>
              <w:t>مكاتب المنسقين المقيمين التابعة للأمم المتحدة</w:t>
            </w:r>
            <w:r w:rsidR="00C07ED7">
              <w:rPr>
                <w:rFonts w:hint="cs"/>
                <w:position w:val="2"/>
                <w:rtl/>
                <w:lang w:bidi="ar-SA"/>
              </w:rPr>
              <w:t xml:space="preserve"> </w:t>
            </w:r>
            <w:r w:rsidR="003D47FA" w:rsidRPr="006F5791">
              <w:rPr>
                <w:position w:val="2"/>
                <w:rtl/>
              </w:rPr>
              <w:t>وإدارة الأمم المتحدة لشؤون السلامة والأمن لتقييم المخاطر الخاصة بكل بلد</w:t>
            </w:r>
          </w:p>
          <w:p w14:paraId="61309C47" w14:textId="2582D07C" w:rsidR="003D47FA" w:rsidRPr="006F5791" w:rsidRDefault="006F5791" w:rsidP="006F5791">
            <w:pPr>
              <w:pStyle w:val="Tabletexte"/>
              <w:spacing w:before="40" w:after="40"/>
              <w:ind w:left="309" w:hanging="309"/>
              <w:cnfStyle w:val="000000000000" w:firstRow="0" w:lastRow="0" w:firstColumn="0" w:lastColumn="0" w:oddVBand="0" w:evenVBand="0" w:oddHBand="0" w:evenHBand="0" w:firstRowFirstColumn="0" w:firstRowLastColumn="0" w:lastRowFirstColumn="0" w:lastRowLastColumn="0"/>
              <w:rPr>
                <w:rFonts w:ascii="Calibri" w:hAnsi="Calibri" w:cs="Calibri"/>
                <w:position w:val="2"/>
                <w:lang w:eastAsia="zh-CN"/>
              </w:rPr>
            </w:pPr>
            <w:r>
              <w:rPr>
                <w:position w:val="2"/>
              </w:rPr>
              <w:sym w:font="Wingdings 2" w:char="F097"/>
            </w:r>
            <w:r w:rsidRPr="006F5791">
              <w:rPr>
                <w:position w:val="2"/>
                <w:rtl/>
              </w:rPr>
              <w:tab/>
            </w:r>
            <w:r w:rsidR="003D47FA" w:rsidRPr="006F5791">
              <w:rPr>
                <w:position w:val="2"/>
                <w:rtl/>
              </w:rPr>
              <w:t>وضع آليات جديدة للتنفيذ وتنمية القدرات لتعزيز الملكية ال</w:t>
            </w:r>
            <w:r w:rsidR="00C07ED7">
              <w:rPr>
                <w:position w:val="2"/>
                <w:rtl/>
              </w:rPr>
              <w:t>قُطرية</w:t>
            </w:r>
            <w:r w:rsidR="003D47FA" w:rsidRPr="006F5791">
              <w:rPr>
                <w:position w:val="2"/>
                <w:rtl/>
              </w:rPr>
              <w:t xml:space="preserve"> واستدامة التدخلات</w:t>
            </w:r>
          </w:p>
        </w:tc>
      </w:tr>
      <w:tr w:rsidR="006F5791" w:rsidRPr="006F5791" w14:paraId="655D59A0" w14:textId="77777777" w:rsidTr="005458D7">
        <w:tc>
          <w:tcPr>
            <w:cnfStyle w:val="001000000000" w:firstRow="0" w:lastRow="0" w:firstColumn="1" w:lastColumn="0" w:oddVBand="0" w:evenVBand="0" w:oddHBand="0" w:evenHBand="0" w:firstRowFirstColumn="0" w:firstRowLastColumn="0" w:lastRowFirstColumn="0" w:lastRowLastColumn="0"/>
            <w:tcW w:w="1485" w:type="dxa"/>
          </w:tcPr>
          <w:p w14:paraId="08FBD636" w14:textId="745C1DD9" w:rsidR="003D47FA" w:rsidRPr="006F5791" w:rsidRDefault="003D47FA" w:rsidP="006F5791">
            <w:pPr>
              <w:pStyle w:val="Tabletexte"/>
              <w:spacing w:before="40" w:after="40"/>
              <w:rPr>
                <w:rFonts w:ascii="Calibri" w:hAnsi="Calibri" w:cs="Calibri"/>
                <w:position w:val="2"/>
                <w:lang w:val="fr-CH" w:eastAsia="zh-CN"/>
              </w:rPr>
            </w:pPr>
            <w:r w:rsidRPr="006F5791">
              <w:rPr>
                <w:position w:val="2"/>
                <w:rtl/>
              </w:rPr>
              <w:t>البيئة</w:t>
            </w:r>
          </w:p>
        </w:tc>
        <w:tc>
          <w:tcPr>
            <w:tcW w:w="1859" w:type="dxa"/>
          </w:tcPr>
          <w:p w14:paraId="405595D5" w14:textId="54561D1D" w:rsidR="003D47FA" w:rsidRPr="006F5791" w:rsidRDefault="003D47FA" w:rsidP="006F5791">
            <w:pPr>
              <w:pStyle w:val="Tabletexte"/>
              <w:spacing w:before="40" w:after="40"/>
              <w:cnfStyle w:val="000000000000" w:firstRow="0" w:lastRow="0" w:firstColumn="0" w:lastColumn="0" w:oddVBand="0" w:evenVBand="0" w:oddHBand="0" w:evenHBand="0" w:firstRowFirstColumn="0" w:firstRowLastColumn="0" w:lastRowFirstColumn="0" w:lastRowLastColumn="0"/>
              <w:rPr>
                <w:rFonts w:ascii="Calibri" w:hAnsi="Calibri"/>
                <w:position w:val="2"/>
                <w:lang w:eastAsia="zh-CN"/>
              </w:rPr>
            </w:pPr>
            <w:r w:rsidRPr="006F5791">
              <w:rPr>
                <w:position w:val="2"/>
                <w:rtl/>
              </w:rPr>
              <w:t>تأخر الأنشطة ال</w:t>
            </w:r>
            <w:r w:rsidR="00C07ED7">
              <w:rPr>
                <w:position w:val="2"/>
                <w:rtl/>
              </w:rPr>
              <w:t>قُطرية</w:t>
            </w:r>
            <w:r w:rsidRPr="006F5791">
              <w:rPr>
                <w:position w:val="2"/>
                <w:rtl/>
              </w:rPr>
              <w:t xml:space="preserve"> بسبب أحداث محلية غير متوقعة</w:t>
            </w:r>
          </w:p>
        </w:tc>
        <w:tc>
          <w:tcPr>
            <w:tcW w:w="983" w:type="dxa"/>
          </w:tcPr>
          <w:p w14:paraId="2E61D968" w14:textId="4BE559CF" w:rsidR="003D47FA" w:rsidRPr="006F5791" w:rsidRDefault="003D47FA" w:rsidP="006F5791">
            <w:pPr>
              <w:pStyle w:val="Tabletexte"/>
              <w:spacing w:before="40" w:after="40"/>
              <w:cnfStyle w:val="000000000000" w:firstRow="0" w:lastRow="0" w:firstColumn="0" w:lastColumn="0" w:oddVBand="0" w:evenVBand="0" w:oddHBand="0" w:evenHBand="0" w:firstRowFirstColumn="0" w:firstRowLastColumn="0" w:lastRowFirstColumn="0" w:lastRowLastColumn="0"/>
              <w:rPr>
                <w:rFonts w:ascii="Calibri" w:hAnsi="Calibri"/>
                <w:position w:val="2"/>
                <w:lang w:eastAsia="zh-CN"/>
              </w:rPr>
            </w:pPr>
            <w:r w:rsidRPr="006F5791">
              <w:rPr>
                <w:position w:val="2"/>
                <w:rtl/>
              </w:rPr>
              <w:t>متوسط</w:t>
            </w:r>
          </w:p>
        </w:tc>
        <w:tc>
          <w:tcPr>
            <w:tcW w:w="1264" w:type="dxa"/>
          </w:tcPr>
          <w:p w14:paraId="7ADE3A21" w14:textId="4DB7F71D" w:rsidR="003D47FA" w:rsidRPr="006F5791" w:rsidRDefault="003D47FA" w:rsidP="006F5791">
            <w:pPr>
              <w:pStyle w:val="Tabletexte"/>
              <w:spacing w:before="40" w:after="40"/>
              <w:cnfStyle w:val="000000000000" w:firstRow="0" w:lastRow="0" w:firstColumn="0" w:lastColumn="0" w:oddVBand="0" w:evenVBand="0" w:oddHBand="0" w:evenHBand="0" w:firstRowFirstColumn="0" w:firstRowLastColumn="0" w:lastRowFirstColumn="0" w:lastRowLastColumn="0"/>
              <w:rPr>
                <w:rFonts w:ascii="Calibri" w:hAnsi="Calibri"/>
                <w:position w:val="2"/>
                <w:lang w:val="fr-CH" w:eastAsia="zh-CN"/>
              </w:rPr>
            </w:pPr>
            <w:r w:rsidRPr="006F5791">
              <w:rPr>
                <w:position w:val="2"/>
                <w:rtl/>
              </w:rPr>
              <w:t>مرتفع</w:t>
            </w:r>
          </w:p>
        </w:tc>
        <w:tc>
          <w:tcPr>
            <w:tcW w:w="3970" w:type="dxa"/>
          </w:tcPr>
          <w:p w14:paraId="2066ACF5" w14:textId="06EA14FF" w:rsidR="003D47FA" w:rsidRPr="006F5791" w:rsidRDefault="006F5791" w:rsidP="006F5791">
            <w:pPr>
              <w:pStyle w:val="Tabletexte"/>
              <w:spacing w:before="40" w:after="40"/>
              <w:ind w:left="309" w:hanging="309"/>
              <w:cnfStyle w:val="000000000000" w:firstRow="0" w:lastRow="0" w:firstColumn="0" w:lastColumn="0" w:oddVBand="0" w:evenVBand="0" w:oddHBand="0" w:evenHBand="0" w:firstRowFirstColumn="0" w:firstRowLastColumn="0" w:lastRowFirstColumn="0" w:lastRowLastColumn="0"/>
              <w:rPr>
                <w:position w:val="2"/>
                <w:lang w:val="ar-SA" w:bidi="ar-EG"/>
              </w:rPr>
            </w:pPr>
            <w:r>
              <w:rPr>
                <w:position w:val="2"/>
              </w:rPr>
              <w:sym w:font="Wingdings 2" w:char="F097"/>
            </w:r>
            <w:r w:rsidRPr="006F5791">
              <w:rPr>
                <w:position w:val="2"/>
                <w:rtl/>
              </w:rPr>
              <w:tab/>
            </w:r>
            <w:r w:rsidR="003D47FA" w:rsidRPr="006F5791">
              <w:rPr>
                <w:position w:val="2"/>
                <w:rtl/>
              </w:rPr>
              <w:t>التواصل بفعالية مع الشركاء والمانحين</w:t>
            </w:r>
          </w:p>
          <w:p w14:paraId="3884BE7D" w14:textId="77777777" w:rsidR="00F10980" w:rsidRDefault="006F5791" w:rsidP="006F5791">
            <w:pPr>
              <w:pStyle w:val="Tabletexte"/>
              <w:spacing w:before="40" w:after="40"/>
              <w:ind w:left="309" w:hanging="309"/>
              <w:cnfStyle w:val="000000000000" w:firstRow="0" w:lastRow="0" w:firstColumn="0" w:lastColumn="0" w:oddVBand="0" w:evenVBand="0" w:oddHBand="0" w:evenHBand="0" w:firstRowFirstColumn="0" w:firstRowLastColumn="0" w:lastRowFirstColumn="0" w:lastRowLastColumn="0"/>
              <w:rPr>
                <w:position w:val="2"/>
                <w:rtl/>
              </w:rPr>
            </w:pPr>
            <w:r>
              <w:rPr>
                <w:position w:val="2"/>
              </w:rPr>
              <w:sym w:font="Wingdings 2" w:char="F097"/>
            </w:r>
            <w:r w:rsidRPr="006F5791">
              <w:rPr>
                <w:position w:val="2"/>
                <w:rtl/>
              </w:rPr>
              <w:tab/>
            </w:r>
            <w:r w:rsidR="003D47FA" w:rsidRPr="006F5791">
              <w:rPr>
                <w:position w:val="2"/>
                <w:rtl/>
              </w:rPr>
              <w:t>وضع آليات تنفيذ متكيفة ومتفاعلة</w:t>
            </w:r>
          </w:p>
          <w:p w14:paraId="1777AE10" w14:textId="19504C1D" w:rsidR="003D47FA" w:rsidRPr="006F5791" w:rsidRDefault="006F5791" w:rsidP="006F5791">
            <w:pPr>
              <w:pStyle w:val="Tabletexte"/>
              <w:spacing w:before="40" w:after="40"/>
              <w:ind w:left="309" w:hanging="309"/>
              <w:cnfStyle w:val="000000000000" w:firstRow="0" w:lastRow="0" w:firstColumn="0" w:lastColumn="0" w:oddVBand="0" w:evenVBand="0" w:oddHBand="0" w:evenHBand="0" w:firstRowFirstColumn="0" w:firstRowLastColumn="0" w:lastRowFirstColumn="0" w:lastRowLastColumn="0"/>
              <w:rPr>
                <w:rFonts w:ascii="Calibri" w:hAnsi="Calibri"/>
                <w:position w:val="2"/>
                <w:lang w:eastAsia="zh-CN"/>
              </w:rPr>
            </w:pPr>
            <w:r>
              <w:rPr>
                <w:position w:val="2"/>
              </w:rPr>
              <w:sym w:font="Wingdings 2" w:char="F097"/>
            </w:r>
            <w:r w:rsidRPr="006F5791">
              <w:rPr>
                <w:position w:val="2"/>
                <w:rtl/>
              </w:rPr>
              <w:tab/>
            </w:r>
            <w:r w:rsidR="003D47FA" w:rsidRPr="006F5791">
              <w:rPr>
                <w:position w:val="2"/>
                <w:rtl/>
              </w:rPr>
              <w:t>دمج إدارة المخاطر في تخطيط المشاريع والأنشطة</w:t>
            </w:r>
          </w:p>
        </w:tc>
      </w:tr>
    </w:tbl>
    <w:p w14:paraId="662C9ED1" w14:textId="640EA369" w:rsidR="00C23B5E" w:rsidRPr="00C23B5E" w:rsidRDefault="006F5791" w:rsidP="006F5791">
      <w:pPr>
        <w:pStyle w:val="Heading1"/>
      </w:pPr>
      <w:r>
        <w:t>3</w:t>
      </w:r>
      <w:r>
        <w:tab/>
      </w:r>
      <w:r w:rsidR="00C23B5E" w:rsidRPr="00C23B5E">
        <w:rPr>
          <w:rtl/>
        </w:rPr>
        <w:t xml:space="preserve">إطار التأثير لتنفيذ خطة عمل باكو في الفترة </w:t>
      </w:r>
      <w:r w:rsidR="005458D7">
        <w:t>2029-2026</w:t>
      </w:r>
    </w:p>
    <w:p w14:paraId="58D59C07" w14:textId="65C23050" w:rsidR="00C23B5E" w:rsidRPr="00C23B5E" w:rsidRDefault="00C23B5E" w:rsidP="00C23B5E">
      <w:pPr>
        <w:rPr>
          <w:lang w:val="ar-SA" w:bidi="ar-EG"/>
        </w:rPr>
      </w:pPr>
      <w:r w:rsidRPr="00C23B5E">
        <w:rPr>
          <w:rtl/>
        </w:rPr>
        <w:t xml:space="preserve">يتبع إطار التأثير لتنفيذ خطة عمل باكو سلسلة نتائج، على النحو المبين في الجداول أدناه، تربط أولويات قطاع تنمية الاتصالات </w:t>
      </w:r>
      <w:r w:rsidR="002F6EBB">
        <w:rPr>
          <w:rFonts w:hint="cs"/>
          <w:rtl/>
        </w:rPr>
        <w:t>بالمحصلات</w:t>
      </w:r>
      <w:r w:rsidR="00EB6F39">
        <w:rPr>
          <w:rFonts w:hint="cs"/>
          <w:rtl/>
        </w:rPr>
        <w:t xml:space="preserve"> </w:t>
      </w:r>
      <w:r w:rsidRPr="00C23B5E">
        <w:rPr>
          <w:rtl/>
        </w:rPr>
        <w:t xml:space="preserve">والمؤشرات </w:t>
      </w:r>
      <w:r w:rsidR="00EB6F39">
        <w:rPr>
          <w:rFonts w:hint="cs"/>
          <w:rtl/>
        </w:rPr>
        <w:t xml:space="preserve">والنواتج </w:t>
      </w:r>
      <w:r w:rsidRPr="00C23B5E">
        <w:rPr>
          <w:rtl/>
        </w:rPr>
        <w:t xml:space="preserve">ذات الصلة. وقد خططت الإجراءات في إطار الخطة التشغيلية لعام 2026 على أساس </w:t>
      </w:r>
      <w:r w:rsidR="002F6EBB">
        <w:rPr>
          <w:rFonts w:hint="cs"/>
          <w:spacing w:val="-2"/>
          <w:rtl/>
        </w:rPr>
        <w:t>المحصلات</w:t>
      </w:r>
      <w:r w:rsidR="002F6EBB" w:rsidRPr="00C23B5E">
        <w:rPr>
          <w:rtl/>
        </w:rPr>
        <w:t xml:space="preserve"> </w:t>
      </w:r>
      <w:r w:rsidRPr="00C23B5E">
        <w:rPr>
          <w:rtl/>
        </w:rPr>
        <w:t>والمؤشرات المحسنة المعتمدة في المؤتمر العالمي لتنمية الاتصالات لعام 2025، ما يضمن المواءمة بين التخطيط التشغيلي والمراقبة وإعداد التقارير.</w:t>
      </w:r>
    </w:p>
    <w:p w14:paraId="15CFAC29" w14:textId="2DFA3A9B" w:rsidR="00C23B5E" w:rsidRDefault="008F1A3A" w:rsidP="00C23B5E">
      <w:r w:rsidRPr="008F1A3A">
        <w:rPr>
          <w:rtl/>
        </w:rPr>
        <w:t xml:space="preserve">وستعد التقارير عن التقدم المحرز في مؤشرات </w:t>
      </w:r>
      <w:r w:rsidR="002F6EBB">
        <w:rPr>
          <w:rFonts w:hint="cs"/>
          <w:rtl/>
        </w:rPr>
        <w:t>المحصلات</w:t>
      </w:r>
      <w:r w:rsidRPr="008F1A3A">
        <w:rPr>
          <w:rtl/>
        </w:rPr>
        <w:t xml:space="preserve">، التي ترصد التغيرات والتأثيرات على المستوى القُطري التي يساهم فيها مكتب تنمية الاتصالات، في نهاية دورة خطة عمل باكو في عام 2029. وسيقدم تقرير سنوي إلى الفريق الاستشاري لتنمية الاتصالات عن التقدم المحرز في مؤشرات النواتج التي تقيس الإنجازات المتصلة بتطوير المنتجات أو الخدمات التي يطورها مكتب تنمية الاتصالات. ويمكن الاطلاع على المراجع الأساسية والغايات لمؤشرات </w:t>
      </w:r>
      <w:r w:rsidR="002F6EBB">
        <w:rPr>
          <w:rFonts w:hint="cs"/>
          <w:spacing w:val="-2"/>
          <w:rtl/>
        </w:rPr>
        <w:t>المحصلات</w:t>
      </w:r>
      <w:r w:rsidR="002F6EBB" w:rsidRPr="008F1A3A">
        <w:rPr>
          <w:rtl/>
        </w:rPr>
        <w:t xml:space="preserve"> </w:t>
      </w:r>
      <w:r w:rsidRPr="008F1A3A">
        <w:rPr>
          <w:rtl/>
        </w:rPr>
        <w:t xml:space="preserve">في </w:t>
      </w:r>
      <w:hyperlink r:id="rId16" w:history="1">
        <w:r w:rsidRPr="00A07633">
          <w:rPr>
            <w:rStyle w:val="Hyperlink"/>
            <w:rtl/>
          </w:rPr>
          <w:t>لوحات المعلومات</w:t>
        </w:r>
      </w:hyperlink>
      <w:r w:rsidRPr="008F1A3A">
        <w:rPr>
          <w:rtl/>
        </w:rPr>
        <w:t xml:space="preserve"> ذات الصلة الواردة في الملحق 2 بهذه الوثيقة.</w:t>
      </w:r>
    </w:p>
    <w:p w14:paraId="13B33546" w14:textId="77777777" w:rsidR="006F5791" w:rsidRPr="00C23B5E" w:rsidRDefault="006F5791" w:rsidP="00C23B5E">
      <w:pPr>
        <w:rPr>
          <w:lang w:val="ar-SA" w:bidi="ar-EG"/>
        </w:rPr>
      </w:pPr>
    </w:p>
    <w:p w14:paraId="5B0C5EC9" w14:textId="77777777" w:rsidR="00C23B5E" w:rsidRPr="00C23B5E" w:rsidRDefault="00C23B5E" w:rsidP="00C23B5E">
      <w:pPr>
        <w:rPr>
          <w:lang w:bidi="ar-EG"/>
        </w:rPr>
        <w:sectPr w:rsidR="00C23B5E" w:rsidRPr="00C23B5E" w:rsidSect="00DF0BE8">
          <w:headerReference w:type="default" r:id="rId17"/>
          <w:headerReference w:type="first" r:id="rId18"/>
          <w:footerReference w:type="first" r:id="rId19"/>
          <w:type w:val="oddPage"/>
          <w:pgSz w:w="11906" w:h="16838" w:code="9"/>
          <w:pgMar w:top="1418" w:right="1134" w:bottom="1134" w:left="1134" w:header="720" w:footer="720" w:gutter="0"/>
          <w:cols w:space="720"/>
          <w:titlePg/>
          <w:docGrid w:linePitch="326"/>
        </w:sectPr>
      </w:pPr>
    </w:p>
    <w:p w14:paraId="049D2036" w14:textId="339B893E" w:rsidR="00C23B5E" w:rsidRPr="00C23B5E" w:rsidRDefault="006F5791" w:rsidP="006F5791">
      <w:pPr>
        <w:pStyle w:val="Heading2"/>
      </w:pPr>
      <w:r>
        <w:lastRenderedPageBreak/>
        <w:t>1.3</w:t>
      </w:r>
      <w:r>
        <w:tab/>
      </w:r>
      <w:r w:rsidR="00C23B5E" w:rsidRPr="00C23B5E">
        <w:rPr>
          <w:rtl/>
        </w:rPr>
        <w:t>الأولوية 1 لقطاع تنمية الاتصالات: التوصيلية الميسورة التكلفة</w:t>
      </w:r>
    </w:p>
    <w:tbl>
      <w:tblPr>
        <w:tblpPr w:leftFromText="180" w:rightFromText="180" w:vertAnchor="text" w:tblpXSpec="right" w:tblpY="1"/>
        <w:tblOverlap w:val="never"/>
        <w:bidiVisual/>
        <w:tblW w:w="4981" w:type="pct"/>
        <w:tblLayout w:type="fixed"/>
        <w:tblLook w:val="04A0" w:firstRow="1" w:lastRow="0" w:firstColumn="1" w:lastColumn="0" w:noHBand="0" w:noVBand="1"/>
      </w:tblPr>
      <w:tblGrid>
        <w:gridCol w:w="1886"/>
        <w:gridCol w:w="2969"/>
        <w:gridCol w:w="2919"/>
        <w:gridCol w:w="2920"/>
        <w:gridCol w:w="1646"/>
        <w:gridCol w:w="1647"/>
        <w:gridCol w:w="1647"/>
      </w:tblGrid>
      <w:tr w:rsidR="00DF0BE8" w:rsidRPr="00C23B5E" w14:paraId="7BEBD503" w14:textId="77777777" w:rsidTr="006C3241">
        <w:trPr>
          <w:tblHeader/>
        </w:trPr>
        <w:tc>
          <w:tcPr>
            <w:tcW w:w="1685" w:type="dxa"/>
            <w:tcBorders>
              <w:top w:val="single" w:sz="4" w:space="0" w:color="44B3E1"/>
              <w:left w:val="single" w:sz="4" w:space="0" w:color="44B3E1"/>
              <w:bottom w:val="single" w:sz="4" w:space="0" w:color="44B3E1"/>
              <w:right w:val="nil"/>
            </w:tcBorders>
            <w:shd w:val="clear" w:color="auto" w:fill="156082"/>
            <w:vAlign w:val="center"/>
            <w:hideMark/>
          </w:tcPr>
          <w:p w14:paraId="1AE96D45" w14:textId="77777777" w:rsidR="00C23B5E" w:rsidRPr="007D6CBD" w:rsidRDefault="00C23B5E" w:rsidP="006C3241">
            <w:pPr>
              <w:pStyle w:val="TableHead"/>
              <w:rPr>
                <w:color w:val="FFFFFF" w:themeColor="background1"/>
                <w:position w:val="2"/>
                <w:lang w:val="ar-SA" w:bidi="ar-EG"/>
              </w:rPr>
            </w:pPr>
            <w:r w:rsidRPr="007D6CBD">
              <w:rPr>
                <w:color w:val="FFFFFF" w:themeColor="background1"/>
                <w:position w:val="2"/>
                <w:rtl/>
              </w:rPr>
              <w:t>الأولوية/الموضوع</w:t>
            </w:r>
          </w:p>
        </w:tc>
        <w:tc>
          <w:tcPr>
            <w:tcW w:w="2652" w:type="dxa"/>
            <w:tcBorders>
              <w:top w:val="single" w:sz="4" w:space="0" w:color="44B3E1"/>
              <w:left w:val="nil"/>
              <w:bottom w:val="single" w:sz="4" w:space="0" w:color="44B3E1"/>
              <w:right w:val="nil"/>
            </w:tcBorders>
            <w:shd w:val="clear" w:color="auto" w:fill="156082"/>
            <w:vAlign w:val="center"/>
            <w:hideMark/>
          </w:tcPr>
          <w:p w14:paraId="0811A5A5" w14:textId="0C734AE7" w:rsidR="00C23B5E" w:rsidRPr="007D6CBD" w:rsidRDefault="002F6EBB" w:rsidP="002F6EBB">
            <w:pPr>
              <w:pStyle w:val="TableHead"/>
              <w:rPr>
                <w:color w:val="FFFFFF" w:themeColor="background1"/>
                <w:position w:val="2"/>
                <w:lang w:val="ar-SA" w:bidi="ar-EG"/>
              </w:rPr>
            </w:pPr>
            <w:r w:rsidRPr="002F6EBB">
              <w:rPr>
                <w:rFonts w:hint="cs"/>
                <w:color w:val="FFFFFF" w:themeColor="background1"/>
                <w:position w:val="2"/>
                <w:rtl/>
              </w:rPr>
              <w:t>المحصلات</w:t>
            </w:r>
          </w:p>
        </w:tc>
        <w:tc>
          <w:tcPr>
            <w:tcW w:w="2607" w:type="dxa"/>
            <w:tcBorders>
              <w:top w:val="single" w:sz="4" w:space="0" w:color="44B3E1"/>
              <w:left w:val="nil"/>
              <w:bottom w:val="single" w:sz="4" w:space="0" w:color="44B3E1"/>
              <w:right w:val="nil"/>
            </w:tcBorders>
            <w:shd w:val="clear" w:color="auto" w:fill="156082"/>
            <w:vAlign w:val="center"/>
            <w:hideMark/>
          </w:tcPr>
          <w:p w14:paraId="280C598C" w14:textId="023C0720" w:rsidR="00C23B5E" w:rsidRPr="007D6CBD" w:rsidRDefault="00C23B5E" w:rsidP="002F6EBB">
            <w:pPr>
              <w:pStyle w:val="TableHead"/>
              <w:rPr>
                <w:color w:val="FFFFFF" w:themeColor="background1"/>
                <w:position w:val="2"/>
                <w:lang w:val="ar-SA" w:bidi="ar-EG"/>
              </w:rPr>
            </w:pPr>
            <w:r w:rsidRPr="007D6CBD">
              <w:rPr>
                <w:color w:val="FFFFFF" w:themeColor="background1"/>
                <w:position w:val="2"/>
                <w:rtl/>
              </w:rPr>
              <w:t>مؤشرات</w:t>
            </w:r>
            <w:r w:rsidR="002F6EBB" w:rsidRPr="002F6EBB">
              <w:rPr>
                <w:rFonts w:hint="cs"/>
                <w:b w:val="0"/>
                <w:bCs w:val="0"/>
                <w:spacing w:val="-2"/>
                <w:sz w:val="22"/>
                <w:szCs w:val="22"/>
                <w:rtl/>
              </w:rPr>
              <w:t xml:space="preserve"> </w:t>
            </w:r>
            <w:r w:rsidR="002F6EBB" w:rsidRPr="002F6EBB">
              <w:rPr>
                <w:rFonts w:hint="cs"/>
                <w:color w:val="FFFFFF" w:themeColor="background1"/>
                <w:position w:val="2"/>
                <w:rtl/>
              </w:rPr>
              <w:t>المحصلات</w:t>
            </w:r>
          </w:p>
        </w:tc>
        <w:tc>
          <w:tcPr>
            <w:tcW w:w="2608" w:type="dxa"/>
            <w:tcBorders>
              <w:top w:val="single" w:sz="4" w:space="0" w:color="44B3E1"/>
              <w:left w:val="nil"/>
              <w:bottom w:val="single" w:sz="4" w:space="0" w:color="44B3E1"/>
              <w:right w:val="nil"/>
            </w:tcBorders>
            <w:shd w:val="clear" w:color="auto" w:fill="156082"/>
            <w:vAlign w:val="center"/>
            <w:hideMark/>
          </w:tcPr>
          <w:p w14:paraId="7CD428F2" w14:textId="68529790" w:rsidR="00C23B5E" w:rsidRPr="007D6CBD" w:rsidRDefault="00EB6F39" w:rsidP="006C3241">
            <w:pPr>
              <w:pStyle w:val="TableHead"/>
              <w:rPr>
                <w:color w:val="FFFFFF" w:themeColor="background1"/>
                <w:position w:val="2"/>
                <w:lang w:bidi="ar-EG"/>
              </w:rPr>
            </w:pPr>
            <w:r>
              <w:rPr>
                <w:rFonts w:hint="cs"/>
                <w:color w:val="FFFFFF" w:themeColor="background1"/>
                <w:position w:val="2"/>
                <w:rtl/>
              </w:rPr>
              <w:t>النواتج</w:t>
            </w:r>
            <w:r w:rsidR="005B6579" w:rsidRPr="007D6CBD">
              <w:rPr>
                <w:rStyle w:val="FootnoteReference"/>
                <w:color w:val="FFFFFF" w:themeColor="background1"/>
                <w:rtl/>
              </w:rPr>
              <w:footnoteReference w:id="1"/>
            </w:r>
            <w:r w:rsidR="005B6579" w:rsidRPr="007D6CBD">
              <w:rPr>
                <w:color w:val="FFFFFF" w:themeColor="background1"/>
                <w:position w:val="2"/>
              </w:rPr>
              <w:br/>
            </w:r>
            <w:r w:rsidR="00C23B5E" w:rsidRPr="007D6CBD">
              <w:rPr>
                <w:color w:val="FFFFFF" w:themeColor="background1"/>
                <w:position w:val="2"/>
                <w:rtl/>
              </w:rPr>
              <w:t>(منتجات وخدمات</w:t>
            </w:r>
            <w:r w:rsidR="00C23B5E" w:rsidRPr="007D6CBD">
              <w:rPr>
                <w:color w:val="FFFFFF" w:themeColor="background1"/>
                <w:position w:val="2"/>
                <w:lang w:bidi="ar-EG"/>
              </w:rPr>
              <w:t xml:space="preserve"> </w:t>
            </w:r>
            <w:r w:rsidR="00C23B5E" w:rsidRPr="007D6CBD">
              <w:rPr>
                <w:color w:val="FFFFFF" w:themeColor="background1"/>
                <w:position w:val="2"/>
                <w:rtl/>
              </w:rPr>
              <w:t>قطاع تنمية الاتصالات في الاتحاد)</w:t>
            </w:r>
          </w:p>
        </w:tc>
        <w:tc>
          <w:tcPr>
            <w:tcW w:w="1470" w:type="dxa"/>
            <w:tcBorders>
              <w:top w:val="single" w:sz="4" w:space="0" w:color="44B3E1"/>
              <w:left w:val="nil"/>
              <w:bottom w:val="single" w:sz="4" w:space="0" w:color="44B3E1"/>
              <w:right w:val="nil"/>
            </w:tcBorders>
            <w:shd w:val="clear" w:color="auto" w:fill="156082"/>
            <w:vAlign w:val="center"/>
            <w:hideMark/>
          </w:tcPr>
          <w:p w14:paraId="7233CAFD" w14:textId="77777777" w:rsidR="00C23B5E" w:rsidRPr="007D6CBD" w:rsidRDefault="00C23B5E" w:rsidP="006C3241">
            <w:pPr>
              <w:pStyle w:val="TableHead"/>
              <w:rPr>
                <w:color w:val="FFFFFF" w:themeColor="background1"/>
                <w:position w:val="2"/>
                <w:lang w:bidi="ar-EG"/>
              </w:rPr>
            </w:pPr>
            <w:r w:rsidRPr="007D6CBD">
              <w:rPr>
                <w:color w:val="FFFFFF" w:themeColor="background1"/>
                <w:position w:val="2"/>
                <w:rtl/>
              </w:rPr>
              <w:t>ميزانية عام 2026 (بالفرنكات السويسرية)</w:t>
            </w:r>
          </w:p>
        </w:tc>
        <w:tc>
          <w:tcPr>
            <w:tcW w:w="1471" w:type="dxa"/>
            <w:tcBorders>
              <w:top w:val="single" w:sz="4" w:space="0" w:color="44B3E1"/>
              <w:left w:val="nil"/>
              <w:bottom w:val="single" w:sz="4" w:space="0" w:color="44B3E1"/>
              <w:right w:val="nil"/>
            </w:tcBorders>
            <w:shd w:val="clear" w:color="auto" w:fill="156082"/>
            <w:vAlign w:val="center"/>
            <w:hideMark/>
          </w:tcPr>
          <w:p w14:paraId="47FF4E83" w14:textId="3E1B000F" w:rsidR="00C23B5E" w:rsidRPr="007D6CBD" w:rsidRDefault="00C23B5E" w:rsidP="006C3241">
            <w:pPr>
              <w:pStyle w:val="TableHead"/>
              <w:rPr>
                <w:color w:val="FFFFFF" w:themeColor="background1"/>
                <w:position w:val="2"/>
                <w:lang w:val="ar-SA" w:bidi="ar-EG"/>
              </w:rPr>
            </w:pPr>
            <w:r w:rsidRPr="007D6CBD">
              <w:rPr>
                <w:color w:val="FFFFFF" w:themeColor="background1"/>
                <w:position w:val="2"/>
                <w:rtl/>
              </w:rPr>
              <w:t>النسبة المئوية للأولوية/</w:t>
            </w:r>
            <w:r w:rsidR="00560437" w:rsidRPr="00560437">
              <w:rPr>
                <w:color w:val="FFFFFF" w:themeColor="background1"/>
                <w:position w:val="2"/>
                <w:rtl/>
              </w:rPr>
              <w:t>إجمالي عامل التمكين</w:t>
            </w:r>
          </w:p>
        </w:tc>
        <w:tc>
          <w:tcPr>
            <w:tcW w:w="1471" w:type="dxa"/>
            <w:tcBorders>
              <w:top w:val="single" w:sz="4" w:space="0" w:color="44B3E1"/>
              <w:left w:val="nil"/>
              <w:bottom w:val="single" w:sz="4" w:space="0" w:color="44B3E1"/>
              <w:right w:val="single" w:sz="4" w:space="0" w:color="44B3E1"/>
            </w:tcBorders>
            <w:shd w:val="clear" w:color="auto" w:fill="156082"/>
            <w:vAlign w:val="center"/>
            <w:hideMark/>
          </w:tcPr>
          <w:p w14:paraId="2873C225" w14:textId="77777777" w:rsidR="00C23B5E" w:rsidRPr="007D6CBD" w:rsidRDefault="00C23B5E" w:rsidP="006C3241">
            <w:pPr>
              <w:pStyle w:val="TableHead"/>
              <w:rPr>
                <w:color w:val="FFFFFF" w:themeColor="background1"/>
                <w:position w:val="2"/>
                <w:lang w:val="ar-SA" w:bidi="ar-EG"/>
              </w:rPr>
            </w:pPr>
            <w:r w:rsidRPr="007D6CBD">
              <w:rPr>
                <w:color w:val="FFFFFF" w:themeColor="background1"/>
                <w:position w:val="2"/>
                <w:rtl/>
              </w:rPr>
              <w:t>النسبة المئوية من إجمالي الميزانية</w:t>
            </w:r>
          </w:p>
        </w:tc>
      </w:tr>
      <w:tr w:rsidR="00A30B90" w:rsidRPr="00C23B5E" w14:paraId="17336EC2" w14:textId="77777777" w:rsidTr="006C3241">
        <w:tc>
          <w:tcPr>
            <w:tcW w:w="4337" w:type="dxa"/>
            <w:gridSpan w:val="2"/>
            <w:tcBorders>
              <w:top w:val="single" w:sz="4" w:space="0" w:color="44B3E1"/>
              <w:left w:val="single" w:sz="4" w:space="0" w:color="44B3E1"/>
              <w:bottom w:val="single" w:sz="4" w:space="0" w:color="44B3E1"/>
              <w:right w:val="nil"/>
            </w:tcBorders>
            <w:shd w:val="clear" w:color="auto" w:fill="C0E6F5"/>
            <w:noWrap/>
            <w:hideMark/>
          </w:tcPr>
          <w:p w14:paraId="2157D08C" w14:textId="07761EBC" w:rsidR="00C23B5E" w:rsidRPr="007D6CBD" w:rsidRDefault="00C23B5E" w:rsidP="006C3241">
            <w:pPr>
              <w:pStyle w:val="Tabletexte"/>
              <w:rPr>
                <w:b/>
                <w:bCs/>
                <w:position w:val="2"/>
                <w:lang w:val="ar-SA" w:bidi="ar-EG"/>
              </w:rPr>
            </w:pPr>
            <w:r w:rsidRPr="007D6CBD">
              <w:rPr>
                <w:b/>
                <w:bCs/>
                <w:position w:val="2"/>
                <w:rtl/>
              </w:rPr>
              <w:t>التوصيلية ميسورة التكلفة</w:t>
            </w:r>
            <w:r w:rsidR="00C65B91">
              <w:rPr>
                <w:rFonts w:hint="cs"/>
                <w:b/>
                <w:bCs/>
                <w:position w:val="2"/>
                <w:rtl/>
              </w:rPr>
              <w:t xml:space="preserve"> (إجمالاً)</w:t>
            </w:r>
          </w:p>
        </w:tc>
        <w:tc>
          <w:tcPr>
            <w:tcW w:w="2607" w:type="dxa"/>
            <w:tcBorders>
              <w:top w:val="single" w:sz="4" w:space="0" w:color="44B3E1"/>
              <w:left w:val="nil"/>
              <w:bottom w:val="single" w:sz="4" w:space="0" w:color="44B3E1"/>
              <w:right w:val="nil"/>
            </w:tcBorders>
            <w:shd w:val="clear" w:color="auto" w:fill="C0E6F5"/>
            <w:noWrap/>
            <w:hideMark/>
          </w:tcPr>
          <w:p w14:paraId="40E85976" w14:textId="77777777" w:rsidR="00C23B5E" w:rsidRPr="007D6CBD" w:rsidRDefault="00C23B5E" w:rsidP="006C3241">
            <w:pPr>
              <w:pStyle w:val="Tabletexte"/>
              <w:rPr>
                <w:b/>
                <w:bCs/>
                <w:position w:val="2"/>
                <w:lang w:bidi="ar-EG"/>
              </w:rPr>
            </w:pPr>
          </w:p>
        </w:tc>
        <w:tc>
          <w:tcPr>
            <w:tcW w:w="2608" w:type="dxa"/>
            <w:tcBorders>
              <w:top w:val="single" w:sz="4" w:space="0" w:color="44B3E1"/>
              <w:left w:val="nil"/>
              <w:bottom w:val="single" w:sz="4" w:space="0" w:color="44B3E1"/>
              <w:right w:val="nil"/>
            </w:tcBorders>
            <w:shd w:val="clear" w:color="auto" w:fill="C0E6F5"/>
            <w:noWrap/>
            <w:hideMark/>
          </w:tcPr>
          <w:p w14:paraId="2CBCCC19" w14:textId="77777777" w:rsidR="00C23B5E" w:rsidRPr="007D6CBD" w:rsidRDefault="00C23B5E" w:rsidP="006C3241">
            <w:pPr>
              <w:pStyle w:val="Tabletexte"/>
              <w:rPr>
                <w:b/>
                <w:bCs/>
                <w:position w:val="2"/>
                <w:lang w:bidi="ar-EG"/>
              </w:rPr>
            </w:pPr>
          </w:p>
        </w:tc>
        <w:tc>
          <w:tcPr>
            <w:tcW w:w="1470" w:type="dxa"/>
            <w:tcBorders>
              <w:top w:val="single" w:sz="4" w:space="0" w:color="44B3E1"/>
              <w:left w:val="nil"/>
              <w:bottom w:val="single" w:sz="4" w:space="0" w:color="44B3E1"/>
              <w:right w:val="nil"/>
            </w:tcBorders>
            <w:shd w:val="clear" w:color="auto" w:fill="C0E6F5"/>
            <w:noWrap/>
            <w:hideMark/>
          </w:tcPr>
          <w:p w14:paraId="61EEB8D1" w14:textId="170E5BD4" w:rsidR="00C23B5E" w:rsidRPr="007D6CBD" w:rsidRDefault="00C65B91" w:rsidP="006C3241">
            <w:pPr>
              <w:pStyle w:val="Tabletexte"/>
              <w:rPr>
                <w:b/>
                <w:bCs/>
                <w:position w:val="2"/>
                <w:lang w:val="ar-SA" w:bidi="ar-EG"/>
              </w:rPr>
            </w:pPr>
            <w:r>
              <w:rPr>
                <w:b/>
                <w:bCs/>
                <w:position w:val="2"/>
              </w:rPr>
              <w:t>552 000</w:t>
            </w:r>
          </w:p>
        </w:tc>
        <w:tc>
          <w:tcPr>
            <w:tcW w:w="1471" w:type="dxa"/>
            <w:tcBorders>
              <w:top w:val="single" w:sz="4" w:space="0" w:color="44B3E1"/>
              <w:left w:val="nil"/>
              <w:bottom w:val="single" w:sz="4" w:space="0" w:color="44B3E1"/>
              <w:right w:val="nil"/>
            </w:tcBorders>
            <w:shd w:val="clear" w:color="auto" w:fill="C0E6F5"/>
            <w:noWrap/>
            <w:hideMark/>
          </w:tcPr>
          <w:p w14:paraId="1E350CAF" w14:textId="77777777" w:rsidR="00C23B5E" w:rsidRPr="007D6CBD" w:rsidRDefault="00C23B5E" w:rsidP="006C3241">
            <w:pPr>
              <w:pStyle w:val="Tabletexte"/>
              <w:rPr>
                <w:b/>
                <w:bCs/>
                <w:position w:val="2"/>
                <w:lang w:bidi="ar-EG"/>
              </w:rPr>
            </w:pPr>
          </w:p>
        </w:tc>
        <w:tc>
          <w:tcPr>
            <w:tcW w:w="1471" w:type="dxa"/>
            <w:tcBorders>
              <w:top w:val="single" w:sz="4" w:space="0" w:color="44B3E1"/>
              <w:left w:val="nil"/>
              <w:bottom w:val="single" w:sz="4" w:space="0" w:color="44B3E1"/>
              <w:right w:val="single" w:sz="4" w:space="0" w:color="44B3E1"/>
            </w:tcBorders>
            <w:shd w:val="clear" w:color="auto" w:fill="C0E6F5"/>
            <w:noWrap/>
            <w:hideMark/>
          </w:tcPr>
          <w:p w14:paraId="7434587B" w14:textId="562B783C" w:rsidR="00C23B5E" w:rsidRPr="007D6CBD" w:rsidRDefault="007D6CBD" w:rsidP="006C3241">
            <w:pPr>
              <w:pStyle w:val="Tabletexte"/>
              <w:rPr>
                <w:b/>
                <w:bCs/>
                <w:position w:val="2"/>
                <w:lang w:val="ar-SA" w:bidi="ar-EG"/>
              </w:rPr>
            </w:pPr>
            <w:r>
              <w:rPr>
                <w:b/>
                <w:bCs/>
                <w:position w:val="2"/>
                <w:lang w:bidi="ar-EG"/>
              </w:rPr>
              <w:t>%</w:t>
            </w:r>
            <w:r w:rsidR="00C65B91">
              <w:rPr>
                <w:b/>
                <w:bCs/>
                <w:position w:val="2"/>
                <w:lang w:bidi="ar-EG"/>
              </w:rPr>
              <w:t>14,48</w:t>
            </w:r>
          </w:p>
        </w:tc>
      </w:tr>
      <w:tr w:rsidR="005A1E71" w:rsidRPr="00C23B5E" w14:paraId="587C42CD" w14:textId="77777777" w:rsidTr="006C3241">
        <w:tc>
          <w:tcPr>
            <w:tcW w:w="1685" w:type="dxa"/>
            <w:tcBorders>
              <w:top w:val="single" w:sz="4" w:space="0" w:color="44B3E1"/>
              <w:left w:val="single" w:sz="4" w:space="0" w:color="44B3E1"/>
              <w:bottom w:val="single" w:sz="4" w:space="0" w:color="44B3E1"/>
              <w:right w:val="nil"/>
            </w:tcBorders>
            <w:hideMark/>
          </w:tcPr>
          <w:p w14:paraId="2B2CB68F" w14:textId="77777777" w:rsidR="00C23B5E" w:rsidRPr="007D6CBD" w:rsidRDefault="00C23B5E" w:rsidP="006C3241">
            <w:pPr>
              <w:pStyle w:val="Tabletexte"/>
              <w:jc w:val="left"/>
              <w:rPr>
                <w:b/>
                <w:bCs/>
                <w:position w:val="2"/>
                <w:lang w:val="ar-SA" w:bidi="ar-EG"/>
              </w:rPr>
            </w:pPr>
            <w:r w:rsidRPr="007D6CBD">
              <w:rPr>
                <w:b/>
                <w:bCs/>
                <w:position w:val="2"/>
                <w:rtl/>
              </w:rPr>
              <w:t>الاتصالات في حالات الطوارئ</w:t>
            </w:r>
          </w:p>
        </w:tc>
        <w:tc>
          <w:tcPr>
            <w:tcW w:w="2652" w:type="dxa"/>
            <w:tcBorders>
              <w:top w:val="single" w:sz="4" w:space="0" w:color="44B3E1"/>
              <w:left w:val="nil"/>
              <w:bottom w:val="single" w:sz="4" w:space="0" w:color="44B3E1"/>
              <w:right w:val="nil"/>
            </w:tcBorders>
            <w:hideMark/>
          </w:tcPr>
          <w:p w14:paraId="6D645A9F" w14:textId="6E7731D0" w:rsidR="00C23B5E" w:rsidRPr="007D6CBD" w:rsidRDefault="006F5791" w:rsidP="006C3241">
            <w:pPr>
              <w:pStyle w:val="Tabletexte"/>
              <w:ind w:left="317" w:hanging="317"/>
              <w:jc w:val="left"/>
              <w:rPr>
                <w:position w:val="2"/>
                <w:lang w:val="ar-SA" w:bidi="ar-EG"/>
              </w:rPr>
            </w:pPr>
            <w:r w:rsidRPr="007D6CBD">
              <w:rPr>
                <w:position w:val="2"/>
              </w:rPr>
              <w:sym w:font="Wingdings 2" w:char="F097"/>
            </w:r>
            <w:r w:rsidRPr="007D6CBD">
              <w:rPr>
                <w:position w:val="2"/>
                <w:rtl/>
              </w:rPr>
              <w:tab/>
            </w:r>
            <w:r w:rsidR="00C23B5E" w:rsidRPr="007D6CBD">
              <w:rPr>
                <w:position w:val="2"/>
                <w:rtl/>
              </w:rPr>
              <w:t>تعزيز قدرة الدول الأعضاء على استخدام الاتصالات/تكنولوجيا المعلومات والاتصالات من أجل الحد من مخاطر الكوارث وإدارتها ومن أجل ضمان تيسر الاتصالات في حالات الطوارئ</w:t>
            </w:r>
          </w:p>
        </w:tc>
        <w:tc>
          <w:tcPr>
            <w:tcW w:w="2607" w:type="dxa"/>
            <w:tcBorders>
              <w:top w:val="single" w:sz="4" w:space="0" w:color="44B3E1"/>
              <w:left w:val="nil"/>
              <w:bottom w:val="single" w:sz="4" w:space="0" w:color="44B3E1"/>
              <w:right w:val="nil"/>
            </w:tcBorders>
            <w:hideMark/>
          </w:tcPr>
          <w:p w14:paraId="3DF57B53" w14:textId="51360DF0" w:rsidR="00C23B5E" w:rsidRPr="007D6CBD" w:rsidRDefault="006F5791" w:rsidP="006C3241">
            <w:pPr>
              <w:pStyle w:val="Tabletexte"/>
              <w:ind w:left="317" w:hanging="317"/>
              <w:jc w:val="left"/>
              <w:rPr>
                <w:position w:val="2"/>
                <w:lang w:val="ar-SA" w:bidi="ar-EG"/>
              </w:rPr>
            </w:pPr>
            <w:r w:rsidRPr="007D6CBD">
              <w:rPr>
                <w:position w:val="2"/>
              </w:rPr>
              <w:sym w:font="Wingdings 2" w:char="F097"/>
            </w:r>
            <w:r w:rsidRPr="007D6CBD">
              <w:rPr>
                <w:position w:val="2"/>
                <w:rtl/>
              </w:rPr>
              <w:tab/>
            </w:r>
            <w:r w:rsidR="00C23B5E" w:rsidRPr="007D6CBD">
              <w:rPr>
                <w:position w:val="2"/>
                <w:rtl/>
              </w:rPr>
              <w:t>عدد الدول الأعضاء التي لديها خطة وطنية للاتصالات في حالات الطوارئ كجزء من استراتيجياتها الوطنية للحد من مخاطر الكوارث</w:t>
            </w:r>
          </w:p>
        </w:tc>
        <w:tc>
          <w:tcPr>
            <w:tcW w:w="2608" w:type="dxa"/>
            <w:tcBorders>
              <w:top w:val="single" w:sz="4" w:space="0" w:color="44B3E1"/>
              <w:left w:val="nil"/>
              <w:bottom w:val="single" w:sz="4" w:space="0" w:color="44B3E1"/>
              <w:right w:val="nil"/>
            </w:tcBorders>
            <w:hideMark/>
          </w:tcPr>
          <w:p w14:paraId="0D88F8D8" w14:textId="68865CF6" w:rsidR="00C23B5E" w:rsidRPr="005A1E71" w:rsidRDefault="006F5791" w:rsidP="006C3241">
            <w:pPr>
              <w:pStyle w:val="Tabletexte"/>
              <w:ind w:left="317" w:hanging="317"/>
              <w:jc w:val="left"/>
              <w:rPr>
                <w:spacing w:val="-4"/>
                <w:position w:val="2"/>
                <w:lang w:val="ar-SA" w:bidi="ar-EG"/>
              </w:rPr>
            </w:pPr>
            <w:r w:rsidRPr="005A1E71">
              <w:rPr>
                <w:spacing w:val="-4"/>
                <w:position w:val="2"/>
              </w:rPr>
              <w:sym w:font="Wingdings 2" w:char="F097"/>
            </w:r>
            <w:r w:rsidRPr="005A1E71">
              <w:rPr>
                <w:spacing w:val="-4"/>
                <w:position w:val="2"/>
                <w:rtl/>
              </w:rPr>
              <w:tab/>
            </w:r>
            <w:r w:rsidR="00C23B5E" w:rsidRPr="005A1E71">
              <w:rPr>
                <w:spacing w:val="-4"/>
                <w:position w:val="2"/>
                <w:rtl/>
              </w:rPr>
              <w:t>السياسات والاستراتيجيات النموذجية</w:t>
            </w:r>
            <w:r w:rsidRPr="005A1E71">
              <w:rPr>
                <w:spacing w:val="-4"/>
                <w:position w:val="2"/>
              </w:rPr>
              <w:t xml:space="preserve"> </w:t>
            </w:r>
            <w:r w:rsidR="00C23B5E" w:rsidRPr="005A1E71">
              <w:rPr>
                <w:spacing w:val="-4"/>
                <w:position w:val="2"/>
                <w:rtl/>
              </w:rPr>
              <w:t>ومجموعات الأدوات</w:t>
            </w:r>
          </w:p>
          <w:p w14:paraId="5ABF3A34" w14:textId="221DB3C5" w:rsidR="00C23B5E" w:rsidRPr="007D6CBD" w:rsidRDefault="006F5791" w:rsidP="006C3241">
            <w:pPr>
              <w:pStyle w:val="Tabletexte"/>
              <w:ind w:left="317" w:hanging="317"/>
              <w:jc w:val="left"/>
              <w:rPr>
                <w:position w:val="2"/>
                <w:rtl/>
              </w:rPr>
            </w:pPr>
            <w:r w:rsidRPr="007D6CBD">
              <w:rPr>
                <w:position w:val="2"/>
              </w:rPr>
              <w:sym w:font="Wingdings 2" w:char="F097"/>
            </w:r>
            <w:r w:rsidRPr="007D6CBD">
              <w:rPr>
                <w:position w:val="2"/>
                <w:rtl/>
              </w:rPr>
              <w:tab/>
            </w:r>
            <w:r w:rsidR="00C23B5E" w:rsidRPr="007D6CBD">
              <w:rPr>
                <w:position w:val="2"/>
                <w:rtl/>
              </w:rPr>
              <w:t>التدخلات التقنية</w:t>
            </w:r>
          </w:p>
          <w:p w14:paraId="7528BE85" w14:textId="2DA806E8" w:rsidR="00C23B5E" w:rsidRPr="007D6CBD" w:rsidRDefault="006F5791" w:rsidP="006C3241">
            <w:pPr>
              <w:pStyle w:val="Tabletexte"/>
              <w:ind w:left="317" w:hanging="317"/>
              <w:jc w:val="left"/>
              <w:rPr>
                <w:position w:val="2"/>
                <w:rtl/>
              </w:rPr>
            </w:pPr>
            <w:r w:rsidRPr="007D6CBD">
              <w:rPr>
                <w:position w:val="2"/>
              </w:rPr>
              <w:sym w:font="Wingdings 2" w:char="F097"/>
            </w:r>
            <w:r w:rsidRPr="007D6CBD">
              <w:rPr>
                <w:position w:val="2"/>
                <w:rtl/>
              </w:rPr>
              <w:tab/>
            </w:r>
            <w:r w:rsidR="00C23B5E" w:rsidRPr="007D6CBD">
              <w:rPr>
                <w:rFonts w:hint="eastAsia"/>
                <w:position w:val="2"/>
                <w:rtl/>
              </w:rPr>
              <w:t>منصات</w:t>
            </w:r>
            <w:r w:rsidR="00C23B5E" w:rsidRPr="007D6CBD">
              <w:rPr>
                <w:position w:val="2"/>
                <w:rtl/>
              </w:rPr>
              <w:t xml:space="preserve"> </w:t>
            </w:r>
            <w:r w:rsidR="00C23B5E" w:rsidRPr="007D6CBD">
              <w:rPr>
                <w:rFonts w:hint="eastAsia"/>
                <w:position w:val="2"/>
                <w:rtl/>
              </w:rPr>
              <w:t>عقد</w:t>
            </w:r>
            <w:r w:rsidR="00C23B5E" w:rsidRPr="007D6CBD">
              <w:rPr>
                <w:position w:val="2"/>
                <w:rtl/>
              </w:rPr>
              <w:t xml:space="preserve"> </w:t>
            </w:r>
            <w:r w:rsidR="00C23B5E" w:rsidRPr="007D6CBD">
              <w:rPr>
                <w:rFonts w:hint="eastAsia"/>
                <w:position w:val="2"/>
                <w:rtl/>
              </w:rPr>
              <w:t>الاجتماعات</w:t>
            </w:r>
          </w:p>
          <w:p w14:paraId="3721E828" w14:textId="37F784A2" w:rsidR="00C23B5E" w:rsidRPr="007D6CBD" w:rsidRDefault="006F5791" w:rsidP="006C3241">
            <w:pPr>
              <w:pStyle w:val="Tabletexte"/>
              <w:ind w:left="317" w:hanging="317"/>
              <w:jc w:val="left"/>
              <w:rPr>
                <w:position w:val="2"/>
                <w:lang w:val="ar-SA" w:bidi="ar-EG"/>
              </w:rPr>
            </w:pPr>
            <w:r w:rsidRPr="007D6CBD">
              <w:rPr>
                <w:position w:val="2"/>
              </w:rPr>
              <w:sym w:font="Wingdings 2" w:char="F097"/>
            </w:r>
            <w:r w:rsidRPr="007D6CBD">
              <w:rPr>
                <w:position w:val="2"/>
                <w:rtl/>
              </w:rPr>
              <w:tab/>
            </w:r>
            <w:r w:rsidR="00C23B5E" w:rsidRPr="007D6CBD">
              <w:rPr>
                <w:position w:val="2"/>
                <w:rtl/>
              </w:rPr>
              <w:t>أطر التعلم</w:t>
            </w:r>
          </w:p>
        </w:tc>
        <w:tc>
          <w:tcPr>
            <w:tcW w:w="1470" w:type="dxa"/>
            <w:tcBorders>
              <w:top w:val="single" w:sz="4" w:space="0" w:color="44B3E1"/>
              <w:left w:val="nil"/>
              <w:bottom w:val="single" w:sz="4" w:space="0" w:color="44B3E1"/>
              <w:right w:val="nil"/>
            </w:tcBorders>
            <w:noWrap/>
            <w:hideMark/>
          </w:tcPr>
          <w:p w14:paraId="2AD4197A" w14:textId="0D7A281A" w:rsidR="00C23B5E" w:rsidRPr="007D6CBD" w:rsidRDefault="007D6CBD" w:rsidP="006C3241">
            <w:pPr>
              <w:pStyle w:val="Tabletexte"/>
              <w:jc w:val="left"/>
              <w:rPr>
                <w:position w:val="2"/>
                <w:lang w:val="ar-SA" w:bidi="ar-EG"/>
              </w:rPr>
            </w:pPr>
            <w:r>
              <w:rPr>
                <w:position w:val="2"/>
              </w:rPr>
              <w:t>205 000</w:t>
            </w:r>
          </w:p>
        </w:tc>
        <w:tc>
          <w:tcPr>
            <w:tcW w:w="1471" w:type="dxa"/>
            <w:tcBorders>
              <w:top w:val="single" w:sz="4" w:space="0" w:color="44B3E1"/>
              <w:left w:val="nil"/>
              <w:bottom w:val="single" w:sz="4" w:space="0" w:color="44B3E1"/>
              <w:right w:val="nil"/>
            </w:tcBorders>
            <w:noWrap/>
            <w:hideMark/>
          </w:tcPr>
          <w:p w14:paraId="25E23A15" w14:textId="3D3B6AB8" w:rsidR="00C23B5E" w:rsidRPr="007D6CBD" w:rsidRDefault="007D6CBD" w:rsidP="006C3241">
            <w:pPr>
              <w:pStyle w:val="Tabletexte"/>
              <w:jc w:val="left"/>
              <w:rPr>
                <w:position w:val="2"/>
                <w:lang w:val="ar-SA" w:bidi="ar-EG"/>
              </w:rPr>
            </w:pPr>
            <w:r>
              <w:rPr>
                <w:position w:val="2"/>
                <w:lang w:bidi="ar-EG"/>
              </w:rPr>
              <w:t>%</w:t>
            </w:r>
            <w:r w:rsidR="00C65B91">
              <w:rPr>
                <w:position w:val="2"/>
                <w:lang w:bidi="ar-EG"/>
              </w:rPr>
              <w:t>37,1</w:t>
            </w:r>
          </w:p>
        </w:tc>
        <w:tc>
          <w:tcPr>
            <w:tcW w:w="1471" w:type="dxa"/>
            <w:tcBorders>
              <w:top w:val="single" w:sz="4" w:space="0" w:color="44B3E1"/>
              <w:left w:val="nil"/>
              <w:bottom w:val="single" w:sz="4" w:space="0" w:color="44B3E1"/>
              <w:right w:val="single" w:sz="4" w:space="0" w:color="44B3E1"/>
            </w:tcBorders>
            <w:noWrap/>
            <w:hideMark/>
          </w:tcPr>
          <w:p w14:paraId="72DB0C85" w14:textId="1850C535" w:rsidR="00C23B5E" w:rsidRPr="007D6CBD" w:rsidRDefault="007D6CBD" w:rsidP="006C3241">
            <w:pPr>
              <w:pStyle w:val="Tabletexte"/>
              <w:jc w:val="left"/>
              <w:rPr>
                <w:position w:val="2"/>
                <w:lang w:val="ar-SA" w:bidi="ar-EG"/>
              </w:rPr>
            </w:pPr>
            <w:r>
              <w:rPr>
                <w:position w:val="2"/>
              </w:rPr>
              <w:t>%</w:t>
            </w:r>
            <w:r w:rsidR="00C65B91">
              <w:rPr>
                <w:position w:val="2"/>
              </w:rPr>
              <w:t>5,4</w:t>
            </w:r>
          </w:p>
        </w:tc>
      </w:tr>
      <w:tr w:rsidR="00DF0BE8" w:rsidRPr="00C23B5E" w14:paraId="2674E290" w14:textId="77777777" w:rsidTr="006C3241">
        <w:tc>
          <w:tcPr>
            <w:tcW w:w="1685" w:type="dxa"/>
            <w:tcBorders>
              <w:top w:val="single" w:sz="4" w:space="0" w:color="44B3E1"/>
              <w:left w:val="single" w:sz="4" w:space="0" w:color="44B3E1"/>
              <w:bottom w:val="single" w:sz="4" w:space="0" w:color="44B3E1"/>
              <w:right w:val="nil"/>
            </w:tcBorders>
            <w:shd w:val="clear" w:color="auto" w:fill="C0E6F5"/>
            <w:hideMark/>
          </w:tcPr>
          <w:p w14:paraId="321B8F4F" w14:textId="77777777" w:rsidR="00C23B5E" w:rsidRPr="00C23B5E" w:rsidRDefault="00C23B5E" w:rsidP="006C3241">
            <w:pPr>
              <w:pStyle w:val="Tabletexte"/>
              <w:jc w:val="left"/>
              <w:rPr>
                <w:b/>
                <w:bCs/>
                <w:position w:val="2"/>
              </w:rPr>
            </w:pPr>
            <w:r w:rsidRPr="00C23B5E">
              <w:rPr>
                <w:b/>
                <w:bCs/>
                <w:position w:val="2"/>
                <w:rtl/>
              </w:rPr>
              <w:t>الشبكة والبنية التحتية الرقمية</w:t>
            </w:r>
          </w:p>
        </w:tc>
        <w:tc>
          <w:tcPr>
            <w:tcW w:w="2652" w:type="dxa"/>
            <w:tcBorders>
              <w:top w:val="single" w:sz="4" w:space="0" w:color="44B3E1"/>
              <w:left w:val="nil"/>
              <w:bottom w:val="single" w:sz="4" w:space="0" w:color="44B3E1"/>
              <w:right w:val="nil"/>
            </w:tcBorders>
            <w:shd w:val="clear" w:color="auto" w:fill="C0E6F5"/>
            <w:hideMark/>
          </w:tcPr>
          <w:p w14:paraId="329710D9" w14:textId="15C7FBED" w:rsidR="00F10980" w:rsidRPr="00B73AC7" w:rsidRDefault="00A30B90" w:rsidP="006C3241">
            <w:pPr>
              <w:pStyle w:val="Tabletexte"/>
              <w:ind w:left="317" w:hanging="317"/>
              <w:jc w:val="left"/>
              <w:rPr>
                <w:spacing w:val="-4"/>
                <w:position w:val="2"/>
                <w:rtl/>
              </w:rPr>
            </w:pPr>
            <w:r w:rsidRPr="00B73AC7">
              <w:rPr>
                <w:spacing w:val="-4"/>
                <w:position w:val="2"/>
              </w:rPr>
              <w:sym w:font="Wingdings 2" w:char="F097"/>
            </w:r>
            <w:r w:rsidRPr="00B73AC7">
              <w:rPr>
                <w:spacing w:val="-4"/>
                <w:position w:val="2"/>
                <w:rtl/>
              </w:rPr>
              <w:tab/>
            </w:r>
            <w:r w:rsidR="00C23B5E" w:rsidRPr="00C23B5E">
              <w:rPr>
                <w:spacing w:val="-4"/>
                <w:position w:val="2"/>
                <w:rtl/>
              </w:rPr>
              <w:t>تحسين توصيلية النطاق العريض في</w:t>
            </w:r>
            <w:r w:rsidR="00B73AC7">
              <w:rPr>
                <w:rFonts w:hint="eastAsia"/>
                <w:spacing w:val="-4"/>
                <w:position w:val="2"/>
                <w:rtl/>
                <w:lang w:bidi="ar-SA"/>
              </w:rPr>
              <w:t> </w:t>
            </w:r>
            <w:r w:rsidR="00C23B5E" w:rsidRPr="00C23B5E">
              <w:rPr>
                <w:spacing w:val="-4"/>
                <w:position w:val="2"/>
                <w:rtl/>
              </w:rPr>
              <w:t>البلدان النامية وأقل البلدان نمواً</w:t>
            </w:r>
            <w:r w:rsidR="00B73AC7">
              <w:rPr>
                <w:rFonts w:hint="eastAsia"/>
                <w:spacing w:val="-4"/>
                <w:position w:val="2"/>
                <w:rtl/>
                <w:lang w:bidi="ar-SA"/>
              </w:rPr>
              <w:t> </w:t>
            </w:r>
            <w:r w:rsidR="00B73AC7" w:rsidRPr="00B73AC7">
              <w:rPr>
                <w:spacing w:val="-4"/>
                <w:position w:val="2"/>
                <w:lang w:bidi="ar-SA"/>
              </w:rPr>
              <w:t>(LDC)</w:t>
            </w:r>
            <w:r w:rsidR="00C23B5E" w:rsidRPr="00C23B5E">
              <w:rPr>
                <w:spacing w:val="-4"/>
                <w:position w:val="2"/>
                <w:rtl/>
              </w:rPr>
              <w:t xml:space="preserve"> والدول الجزرية الصغيرة النامية</w:t>
            </w:r>
            <w:r w:rsidR="00B73AC7" w:rsidRPr="00B73AC7">
              <w:rPr>
                <w:rFonts w:hint="cs"/>
                <w:spacing w:val="-4"/>
                <w:position w:val="2"/>
                <w:rtl/>
                <w:lang w:bidi="ar-SA"/>
              </w:rPr>
              <w:t xml:space="preserve"> </w:t>
            </w:r>
            <w:r w:rsidR="00B73AC7" w:rsidRPr="00B73AC7">
              <w:rPr>
                <w:spacing w:val="-4"/>
                <w:position w:val="2"/>
                <w:lang w:bidi="ar-SA"/>
              </w:rPr>
              <w:t>(SIDS)</w:t>
            </w:r>
            <w:r w:rsidR="00C23B5E" w:rsidRPr="00C23B5E">
              <w:rPr>
                <w:spacing w:val="-4"/>
                <w:position w:val="2"/>
                <w:rtl/>
              </w:rPr>
              <w:t xml:space="preserve"> والبلدان النامية غير الساحلية</w:t>
            </w:r>
            <w:r w:rsidR="00B73AC7" w:rsidRPr="00B73AC7">
              <w:rPr>
                <w:rFonts w:hint="cs"/>
                <w:spacing w:val="-4"/>
                <w:position w:val="2"/>
                <w:rtl/>
                <w:lang w:bidi="ar-SA"/>
              </w:rPr>
              <w:t xml:space="preserve"> </w:t>
            </w:r>
            <w:r w:rsidR="00B73AC7" w:rsidRPr="00B73AC7">
              <w:rPr>
                <w:spacing w:val="-4"/>
                <w:position w:val="2"/>
                <w:lang w:bidi="ar-SA"/>
              </w:rPr>
              <w:t>(LLDC)</w:t>
            </w:r>
            <w:r w:rsidR="00C23B5E" w:rsidRPr="00C23B5E">
              <w:rPr>
                <w:spacing w:val="-4"/>
                <w:position w:val="2"/>
                <w:rtl/>
              </w:rPr>
              <w:t xml:space="preserve"> </w:t>
            </w:r>
            <w:r w:rsidR="00EC0202">
              <w:rPr>
                <w:rFonts w:hint="cs"/>
                <w:spacing w:val="-4"/>
                <w:position w:val="2"/>
                <w:rtl/>
              </w:rPr>
              <w:t>و</w:t>
            </w:r>
            <w:r w:rsidR="00C23B5E" w:rsidRPr="00C23B5E">
              <w:rPr>
                <w:spacing w:val="-4"/>
                <w:position w:val="2"/>
                <w:rtl/>
              </w:rPr>
              <w:t>البلدان ذات الاحتياجات الخاصة</w:t>
            </w:r>
          </w:p>
          <w:p w14:paraId="7EBD534F" w14:textId="4A5CD1DF" w:rsidR="00C23B5E" w:rsidRPr="00C23B5E" w:rsidRDefault="00A30B90" w:rsidP="006C3241">
            <w:pPr>
              <w:pStyle w:val="Tabletexte"/>
              <w:ind w:left="317" w:hanging="317"/>
              <w:jc w:val="left"/>
              <w:rPr>
                <w:position w:val="2"/>
              </w:rPr>
            </w:pPr>
            <w:r w:rsidRPr="007D6CBD">
              <w:rPr>
                <w:position w:val="2"/>
              </w:rPr>
              <w:sym w:font="Wingdings 2" w:char="F097"/>
            </w:r>
            <w:r w:rsidRPr="007D6CBD">
              <w:rPr>
                <w:position w:val="2"/>
                <w:rtl/>
              </w:rPr>
              <w:tab/>
            </w:r>
            <w:r w:rsidR="00C23B5E" w:rsidRPr="00C23B5E">
              <w:rPr>
                <w:position w:val="2"/>
                <w:rtl/>
              </w:rPr>
              <w:t xml:space="preserve">تحسين البنية التحتية للاتصالات/تكنولوجيا المعلومات والاتصالات وخدماتها، ولا سيما تغطية النطاق العريض وجودة الخدمات والقدرة على تحمل تكاليف الخدمات والأجهزة وفيما يتعلق بالمناطق الريفية والمناطق </w:t>
            </w:r>
            <w:r w:rsidR="00EC0202">
              <w:rPr>
                <w:rFonts w:hint="cs"/>
                <w:position w:val="2"/>
                <w:rtl/>
              </w:rPr>
              <w:t>التي تعاني نقص</w:t>
            </w:r>
            <w:r w:rsidR="00C23B5E" w:rsidRPr="00C23B5E">
              <w:rPr>
                <w:position w:val="2"/>
                <w:rtl/>
              </w:rPr>
              <w:t xml:space="preserve"> الخدمات</w:t>
            </w:r>
          </w:p>
        </w:tc>
        <w:tc>
          <w:tcPr>
            <w:tcW w:w="2607" w:type="dxa"/>
            <w:tcBorders>
              <w:top w:val="single" w:sz="4" w:space="0" w:color="44B3E1"/>
              <w:left w:val="nil"/>
              <w:bottom w:val="single" w:sz="4" w:space="0" w:color="44B3E1"/>
              <w:right w:val="nil"/>
            </w:tcBorders>
            <w:shd w:val="clear" w:color="auto" w:fill="C0E6F5"/>
            <w:hideMark/>
          </w:tcPr>
          <w:p w14:paraId="40320146" w14:textId="1A7D1685" w:rsidR="00C23B5E" w:rsidRPr="00C23B5E" w:rsidRDefault="00A30B90" w:rsidP="006C3241">
            <w:pPr>
              <w:pStyle w:val="Tabletexte"/>
              <w:ind w:left="317" w:hanging="317"/>
              <w:jc w:val="left"/>
              <w:rPr>
                <w:position w:val="2"/>
                <w:rtl/>
              </w:rPr>
            </w:pPr>
            <w:r w:rsidRPr="007D6CBD">
              <w:rPr>
                <w:position w:val="2"/>
              </w:rPr>
              <w:sym w:font="Wingdings 2" w:char="F097"/>
            </w:r>
            <w:r w:rsidRPr="007D6CBD">
              <w:rPr>
                <w:position w:val="2"/>
                <w:rtl/>
              </w:rPr>
              <w:tab/>
            </w:r>
            <w:r w:rsidR="00C23B5E" w:rsidRPr="002F6EBB">
              <w:rPr>
                <w:position w:val="2"/>
                <w:rtl/>
              </w:rPr>
              <w:t>عدد الدول الأعضاء التي لديها خطط للنطاق العريض</w:t>
            </w:r>
          </w:p>
          <w:p w14:paraId="5967B2C5" w14:textId="4BD5BE83" w:rsidR="00C23B5E" w:rsidRPr="00C23B5E" w:rsidRDefault="00A30B90" w:rsidP="006C3241">
            <w:pPr>
              <w:pStyle w:val="Tabletexte"/>
              <w:ind w:left="317" w:hanging="317"/>
              <w:jc w:val="left"/>
              <w:rPr>
                <w:position w:val="2"/>
                <w:rtl/>
              </w:rPr>
            </w:pPr>
            <w:r w:rsidRPr="007D6CBD">
              <w:rPr>
                <w:position w:val="2"/>
              </w:rPr>
              <w:sym w:font="Wingdings 2" w:char="F097"/>
            </w:r>
            <w:r w:rsidRPr="007D6CBD">
              <w:rPr>
                <w:position w:val="2"/>
                <w:rtl/>
              </w:rPr>
              <w:tab/>
            </w:r>
            <w:r w:rsidR="00C23B5E" w:rsidRPr="00C23B5E">
              <w:rPr>
                <w:position w:val="2"/>
                <w:rtl/>
              </w:rPr>
              <w:t>النسبة المئوية للأفراد الذين يستخدمون الإنترنت</w:t>
            </w:r>
          </w:p>
          <w:p w14:paraId="5352C23C" w14:textId="31D0300A" w:rsidR="00C23B5E" w:rsidRPr="00C23B5E" w:rsidRDefault="00A30B90" w:rsidP="006C3241">
            <w:pPr>
              <w:pStyle w:val="Tabletexte"/>
              <w:ind w:left="317" w:hanging="317"/>
              <w:jc w:val="left"/>
              <w:rPr>
                <w:position w:val="2"/>
              </w:rPr>
            </w:pPr>
            <w:r w:rsidRPr="007D6CBD">
              <w:rPr>
                <w:position w:val="2"/>
              </w:rPr>
              <w:sym w:font="Wingdings 2" w:char="F097"/>
            </w:r>
            <w:r w:rsidRPr="007D6CBD">
              <w:rPr>
                <w:position w:val="2"/>
                <w:rtl/>
              </w:rPr>
              <w:tab/>
            </w:r>
            <w:r w:rsidR="00C23B5E" w:rsidRPr="00C23B5E">
              <w:rPr>
                <w:position w:val="2"/>
                <w:rtl/>
              </w:rPr>
              <w:t xml:space="preserve">النسبة المئوية للأفراد الذين يمتلكون هاتفاً </w:t>
            </w:r>
            <w:r w:rsidR="00EC0202">
              <w:rPr>
                <w:rFonts w:hint="cs"/>
                <w:position w:val="2"/>
                <w:rtl/>
              </w:rPr>
              <w:t>متنقلاً</w:t>
            </w:r>
          </w:p>
          <w:p w14:paraId="28F264F8" w14:textId="23E8E3FF" w:rsidR="00C23B5E" w:rsidRPr="00C23B5E" w:rsidRDefault="00A30B90" w:rsidP="006C3241">
            <w:pPr>
              <w:pStyle w:val="Tabletexte"/>
              <w:ind w:left="317" w:hanging="317"/>
              <w:jc w:val="left"/>
              <w:rPr>
                <w:position w:val="2"/>
                <w:rtl/>
              </w:rPr>
            </w:pPr>
            <w:r w:rsidRPr="007D6CBD">
              <w:rPr>
                <w:position w:val="2"/>
              </w:rPr>
              <w:sym w:font="Wingdings 2" w:char="F097"/>
            </w:r>
            <w:r w:rsidRPr="007D6CBD">
              <w:rPr>
                <w:position w:val="2"/>
                <w:rtl/>
              </w:rPr>
              <w:tab/>
            </w:r>
            <w:r w:rsidR="00C23B5E" w:rsidRPr="00C23B5E">
              <w:rPr>
                <w:position w:val="2"/>
                <w:rtl/>
              </w:rPr>
              <w:t xml:space="preserve">النسبة المئوية لسكان </w:t>
            </w:r>
            <w:r w:rsidR="00EC0202">
              <w:rPr>
                <w:rFonts w:hint="cs"/>
                <w:position w:val="2"/>
                <w:rtl/>
              </w:rPr>
              <w:t xml:space="preserve">المناطق </w:t>
            </w:r>
            <w:r w:rsidR="00C23B5E" w:rsidRPr="00C23B5E">
              <w:rPr>
                <w:position w:val="2"/>
                <w:rtl/>
              </w:rPr>
              <w:t>الريف</w:t>
            </w:r>
            <w:r w:rsidR="00EC0202">
              <w:rPr>
                <w:rFonts w:hint="cs"/>
                <w:position w:val="2"/>
                <w:rtl/>
              </w:rPr>
              <w:t>ية</w:t>
            </w:r>
            <w:r w:rsidR="00C23B5E" w:rsidRPr="00C23B5E">
              <w:rPr>
                <w:position w:val="2"/>
                <w:rtl/>
              </w:rPr>
              <w:t xml:space="preserve"> في أقل البلدان نمواً والبلدان النامية غير الساحلية والدول الجزرية الصغيرة النامية المشمولة بشبكات الاتصالات المتنقلة الدولية-2000 ("الجيل الثالث") أو أعلى</w:t>
            </w:r>
          </w:p>
          <w:p w14:paraId="76184A85" w14:textId="6DDEF06B" w:rsidR="00C23B5E" w:rsidRPr="00C23B5E" w:rsidRDefault="00A30B90" w:rsidP="006C3241">
            <w:pPr>
              <w:pStyle w:val="Tabletexte"/>
              <w:keepLines/>
              <w:ind w:left="318" w:hanging="318"/>
              <w:jc w:val="left"/>
              <w:rPr>
                <w:position w:val="2"/>
              </w:rPr>
            </w:pPr>
            <w:r w:rsidRPr="007D6CBD">
              <w:rPr>
                <w:position w:val="2"/>
              </w:rPr>
              <w:sym w:font="Wingdings 2" w:char="F097"/>
            </w:r>
            <w:r w:rsidRPr="007D6CBD">
              <w:rPr>
                <w:position w:val="2"/>
                <w:rtl/>
              </w:rPr>
              <w:tab/>
            </w:r>
            <w:r w:rsidR="00C23B5E" w:rsidRPr="00C23B5E">
              <w:rPr>
                <w:position w:val="2"/>
                <w:rtl/>
              </w:rPr>
              <w:t>النسبة المئوية للدول الأعضاء التي لديها بيانات متاحة حيث تغطي شبكات الاتصالات المتنقلة الدولية المتقدمة (</w:t>
            </w:r>
            <w:r>
              <w:rPr>
                <w:rFonts w:hint="cs"/>
                <w:position w:val="2"/>
                <w:rtl/>
              </w:rPr>
              <w:t>"</w:t>
            </w:r>
            <w:r w:rsidR="00EC0202">
              <w:rPr>
                <w:rFonts w:hint="cs"/>
                <w:position w:val="2"/>
                <w:rtl/>
              </w:rPr>
              <w:t>الجيل الرابع</w:t>
            </w:r>
            <w:r>
              <w:rPr>
                <w:rFonts w:hint="cs"/>
                <w:position w:val="2"/>
                <w:rtl/>
              </w:rPr>
              <w:t>"</w:t>
            </w:r>
            <w:r w:rsidR="00C23B5E" w:rsidRPr="00C23B5E">
              <w:rPr>
                <w:position w:val="2"/>
                <w:rtl/>
              </w:rPr>
              <w:t xml:space="preserve">) </w:t>
            </w:r>
            <w:r w:rsidR="00476B78">
              <w:rPr>
                <w:rFonts w:hint="cs"/>
                <w:position w:val="2"/>
                <w:rtl/>
              </w:rPr>
              <w:lastRenderedPageBreak/>
              <w:t xml:space="preserve">أو أعلى </w:t>
            </w:r>
            <w:r w:rsidR="00C23B5E" w:rsidRPr="00C23B5E">
              <w:rPr>
                <w:position w:val="2"/>
                <w:rtl/>
              </w:rPr>
              <w:t>ما لا يقل عن 90 في المائة من سكان المناطق الريفية</w:t>
            </w:r>
          </w:p>
          <w:p w14:paraId="1CEFB4A6" w14:textId="1D801FD2" w:rsidR="00C23B5E" w:rsidRPr="006C3241" w:rsidRDefault="00A30B90" w:rsidP="006C3241">
            <w:pPr>
              <w:pStyle w:val="Tabletexte"/>
              <w:ind w:left="317" w:hanging="317"/>
              <w:jc w:val="left"/>
              <w:rPr>
                <w:position w:val="2"/>
                <w:lang w:val="en-GB"/>
              </w:rPr>
            </w:pPr>
            <w:r w:rsidRPr="007D6CBD">
              <w:rPr>
                <w:position w:val="2"/>
              </w:rPr>
              <w:sym w:font="Wingdings 2" w:char="F097"/>
            </w:r>
            <w:r w:rsidRPr="007D6CBD">
              <w:rPr>
                <w:position w:val="2"/>
                <w:rtl/>
              </w:rPr>
              <w:tab/>
            </w:r>
            <w:r w:rsidR="00C23B5E" w:rsidRPr="00C23B5E">
              <w:rPr>
                <w:position w:val="2"/>
                <w:rtl/>
              </w:rPr>
              <w:t xml:space="preserve">النسبة المئوية للدول الأعضاء التي لديها سلة </w:t>
            </w:r>
            <w:r w:rsidR="00EC0202">
              <w:rPr>
                <w:rFonts w:hint="cs"/>
                <w:position w:val="2"/>
                <w:rtl/>
              </w:rPr>
              <w:t>خدمات</w:t>
            </w:r>
            <w:r w:rsidR="00C23B5E" w:rsidRPr="00C23B5E">
              <w:rPr>
                <w:position w:val="2"/>
                <w:rtl/>
              </w:rPr>
              <w:t xml:space="preserve"> </w:t>
            </w:r>
            <w:r w:rsidR="00EC0202">
              <w:rPr>
                <w:rFonts w:hint="cs"/>
                <w:position w:val="2"/>
                <w:rtl/>
              </w:rPr>
              <w:t>ا</w:t>
            </w:r>
            <w:r w:rsidR="00C23B5E" w:rsidRPr="00C23B5E">
              <w:rPr>
                <w:position w:val="2"/>
                <w:rtl/>
              </w:rPr>
              <w:t>لنطاق العريض المتنقل الأساسية</w:t>
            </w:r>
            <w:r w:rsidR="006C3241">
              <w:rPr>
                <w:rFonts w:hint="cs"/>
                <w:position w:val="2"/>
                <w:rtl/>
              </w:rPr>
              <w:t xml:space="preserve"> للبيانات بما</w:t>
            </w:r>
            <w:r w:rsidR="00C23B5E" w:rsidRPr="00C23B5E">
              <w:rPr>
                <w:position w:val="2"/>
                <w:rtl/>
              </w:rPr>
              <w:t xml:space="preserve"> لا </w:t>
            </w:r>
            <w:r w:rsidR="006C3241">
              <w:rPr>
                <w:rFonts w:hint="cs"/>
                <w:position w:val="2"/>
                <w:rtl/>
              </w:rPr>
              <w:t>ي</w:t>
            </w:r>
            <w:r w:rsidR="00C23B5E" w:rsidRPr="00C23B5E">
              <w:rPr>
                <w:position w:val="2"/>
                <w:rtl/>
              </w:rPr>
              <w:t xml:space="preserve">تجاوز </w:t>
            </w:r>
            <w:r>
              <w:rPr>
                <w:position w:val="2"/>
              </w:rPr>
              <w:t>%2</w:t>
            </w:r>
            <w:r w:rsidR="00C23B5E" w:rsidRPr="00C23B5E">
              <w:rPr>
                <w:position w:val="2"/>
                <w:rtl/>
              </w:rPr>
              <w:t xml:space="preserve"> من </w:t>
            </w:r>
            <w:r w:rsidR="006C3241">
              <w:rPr>
                <w:rFonts w:hint="cs"/>
                <w:position w:val="2"/>
                <w:rtl/>
              </w:rPr>
              <w:t xml:space="preserve">نصيب الفرد من </w:t>
            </w:r>
            <w:r w:rsidR="00C23B5E" w:rsidRPr="00C23B5E">
              <w:rPr>
                <w:position w:val="2"/>
                <w:rtl/>
              </w:rPr>
              <w:t>الدخل القومي الإجمالي</w:t>
            </w:r>
            <w:r w:rsidR="006C3241">
              <w:rPr>
                <w:rFonts w:hint="cs"/>
                <w:position w:val="2"/>
                <w:rtl/>
              </w:rPr>
              <w:t xml:space="preserve"> </w:t>
            </w:r>
            <w:r w:rsidR="006C3241">
              <w:rPr>
                <w:position w:val="2"/>
                <w:lang w:val="en-GB"/>
              </w:rPr>
              <w:t>(GNI)</w:t>
            </w:r>
          </w:p>
          <w:p w14:paraId="32F2002C" w14:textId="17D9BEE7" w:rsidR="00C23B5E" w:rsidRPr="006C3241" w:rsidRDefault="00A30B90" w:rsidP="006C3241">
            <w:pPr>
              <w:pStyle w:val="Tabletexte"/>
              <w:ind w:left="317" w:hanging="317"/>
              <w:jc w:val="left"/>
              <w:rPr>
                <w:spacing w:val="-2"/>
                <w:position w:val="2"/>
              </w:rPr>
            </w:pPr>
            <w:r w:rsidRPr="006C3241">
              <w:rPr>
                <w:spacing w:val="-2"/>
                <w:position w:val="2"/>
              </w:rPr>
              <w:sym w:font="Wingdings 2" w:char="F097"/>
            </w:r>
            <w:r w:rsidRPr="006C3241">
              <w:rPr>
                <w:spacing w:val="-2"/>
                <w:position w:val="2"/>
                <w:rtl/>
              </w:rPr>
              <w:tab/>
            </w:r>
            <w:r w:rsidR="00C23B5E" w:rsidRPr="006C3241">
              <w:rPr>
                <w:spacing w:val="-2"/>
                <w:position w:val="2"/>
                <w:rtl/>
              </w:rPr>
              <w:t xml:space="preserve">النسبة المئوية للدول الأعضاء التي لديها </w:t>
            </w:r>
            <w:r w:rsidR="006C3241" w:rsidRPr="006C3241">
              <w:rPr>
                <w:spacing w:val="-2"/>
                <w:position w:val="2"/>
                <w:rtl/>
              </w:rPr>
              <w:t xml:space="preserve">سلة </w:t>
            </w:r>
            <w:r w:rsidR="006C3241" w:rsidRPr="006C3241">
              <w:rPr>
                <w:rFonts w:hint="cs"/>
                <w:spacing w:val="-2"/>
                <w:position w:val="2"/>
                <w:rtl/>
              </w:rPr>
              <w:t>خدمات</w:t>
            </w:r>
            <w:r w:rsidR="006C3241" w:rsidRPr="006C3241">
              <w:rPr>
                <w:spacing w:val="-2"/>
                <w:position w:val="2"/>
                <w:rtl/>
              </w:rPr>
              <w:t xml:space="preserve"> </w:t>
            </w:r>
            <w:r w:rsidR="006C3241" w:rsidRPr="006C3241">
              <w:rPr>
                <w:rFonts w:hint="cs"/>
                <w:spacing w:val="-2"/>
                <w:position w:val="2"/>
                <w:rtl/>
              </w:rPr>
              <w:t>ا</w:t>
            </w:r>
            <w:r w:rsidR="006C3241" w:rsidRPr="006C3241">
              <w:rPr>
                <w:spacing w:val="-2"/>
                <w:position w:val="2"/>
                <w:rtl/>
              </w:rPr>
              <w:t xml:space="preserve">لنطاق العريض </w:t>
            </w:r>
            <w:r w:rsidR="00476B78">
              <w:rPr>
                <w:rFonts w:hint="cs"/>
                <w:spacing w:val="-2"/>
                <w:position w:val="2"/>
                <w:rtl/>
              </w:rPr>
              <w:t>الثابت</w:t>
            </w:r>
            <w:r w:rsidR="006C3241" w:rsidRPr="006C3241">
              <w:rPr>
                <w:spacing w:val="-2"/>
                <w:position w:val="2"/>
                <w:rtl/>
              </w:rPr>
              <w:t xml:space="preserve"> الأساسية</w:t>
            </w:r>
            <w:r w:rsidR="006C3241" w:rsidRPr="006C3241">
              <w:rPr>
                <w:rFonts w:hint="cs"/>
                <w:spacing w:val="-2"/>
                <w:position w:val="2"/>
                <w:rtl/>
              </w:rPr>
              <w:t xml:space="preserve"> للبيانات بما</w:t>
            </w:r>
            <w:r w:rsidR="006C3241" w:rsidRPr="006C3241">
              <w:rPr>
                <w:spacing w:val="-2"/>
                <w:position w:val="2"/>
                <w:rtl/>
              </w:rPr>
              <w:t xml:space="preserve"> لا </w:t>
            </w:r>
            <w:r w:rsidR="006C3241" w:rsidRPr="006C3241">
              <w:rPr>
                <w:rFonts w:hint="cs"/>
                <w:spacing w:val="-2"/>
                <w:position w:val="2"/>
                <w:rtl/>
              </w:rPr>
              <w:t>ي</w:t>
            </w:r>
            <w:r w:rsidR="006C3241" w:rsidRPr="006C3241">
              <w:rPr>
                <w:spacing w:val="-2"/>
                <w:position w:val="2"/>
                <w:rtl/>
              </w:rPr>
              <w:t xml:space="preserve">تجاوز </w:t>
            </w:r>
            <w:r w:rsidR="006C3241" w:rsidRPr="006C3241">
              <w:rPr>
                <w:spacing w:val="-2"/>
                <w:position w:val="2"/>
              </w:rPr>
              <w:t>%2</w:t>
            </w:r>
            <w:r w:rsidR="006C3241" w:rsidRPr="006C3241">
              <w:rPr>
                <w:spacing w:val="-2"/>
                <w:position w:val="2"/>
                <w:rtl/>
              </w:rPr>
              <w:t xml:space="preserve"> من </w:t>
            </w:r>
            <w:r w:rsidR="006C3241" w:rsidRPr="006C3241">
              <w:rPr>
                <w:rFonts w:hint="cs"/>
                <w:spacing w:val="-2"/>
                <w:position w:val="2"/>
                <w:rtl/>
              </w:rPr>
              <w:t xml:space="preserve">نصيب الفرد من </w:t>
            </w:r>
            <w:r w:rsidR="006C3241" w:rsidRPr="006C3241">
              <w:rPr>
                <w:spacing w:val="-2"/>
                <w:position w:val="2"/>
                <w:rtl/>
              </w:rPr>
              <w:t>الدخل القومي الإجمالي</w:t>
            </w:r>
          </w:p>
        </w:tc>
        <w:tc>
          <w:tcPr>
            <w:tcW w:w="2608" w:type="dxa"/>
            <w:tcBorders>
              <w:top w:val="single" w:sz="4" w:space="0" w:color="44B3E1"/>
              <w:left w:val="nil"/>
              <w:bottom w:val="single" w:sz="4" w:space="0" w:color="44B3E1"/>
              <w:right w:val="nil"/>
            </w:tcBorders>
            <w:shd w:val="clear" w:color="auto" w:fill="C0E6F5"/>
            <w:hideMark/>
          </w:tcPr>
          <w:p w14:paraId="08FD76D9" w14:textId="7E374BDA" w:rsidR="00C23B5E" w:rsidRPr="00C23B5E" w:rsidRDefault="00A30B90" w:rsidP="006C3241">
            <w:pPr>
              <w:pStyle w:val="Tabletexte"/>
              <w:ind w:left="317" w:hanging="317"/>
              <w:jc w:val="left"/>
              <w:rPr>
                <w:position w:val="2"/>
                <w:rtl/>
              </w:rPr>
            </w:pPr>
            <w:r w:rsidRPr="007D6CBD">
              <w:rPr>
                <w:position w:val="2"/>
              </w:rPr>
              <w:lastRenderedPageBreak/>
              <w:sym w:font="Wingdings 2" w:char="F097"/>
            </w:r>
            <w:r w:rsidRPr="007D6CBD">
              <w:rPr>
                <w:position w:val="2"/>
                <w:rtl/>
              </w:rPr>
              <w:tab/>
            </w:r>
            <w:r w:rsidR="00C23B5E" w:rsidRPr="00C23B5E">
              <w:rPr>
                <w:position w:val="2"/>
                <w:rtl/>
              </w:rPr>
              <w:t>التدخلات التقنية</w:t>
            </w:r>
          </w:p>
          <w:p w14:paraId="7EC514A8" w14:textId="247C0A2E" w:rsidR="00C23B5E" w:rsidRPr="00956EF4" w:rsidRDefault="00A30B90" w:rsidP="006C3241">
            <w:pPr>
              <w:pStyle w:val="Tabletexte"/>
              <w:ind w:left="317" w:hanging="317"/>
              <w:jc w:val="left"/>
              <w:rPr>
                <w:position w:val="2"/>
                <w:rtl/>
              </w:rPr>
            </w:pPr>
            <w:r w:rsidRPr="00956EF4">
              <w:rPr>
                <w:position w:val="2"/>
              </w:rPr>
              <w:sym w:font="Wingdings 2" w:char="F097"/>
            </w:r>
            <w:r w:rsidRPr="00956EF4">
              <w:rPr>
                <w:position w:val="2"/>
                <w:rtl/>
              </w:rPr>
              <w:tab/>
            </w:r>
            <w:r w:rsidR="00C23B5E" w:rsidRPr="00956EF4">
              <w:rPr>
                <w:rFonts w:hint="eastAsia"/>
                <w:position w:val="2"/>
                <w:rtl/>
              </w:rPr>
              <w:t>منصات</w:t>
            </w:r>
            <w:r w:rsidR="00C23B5E" w:rsidRPr="00956EF4">
              <w:rPr>
                <w:position w:val="2"/>
                <w:rtl/>
              </w:rPr>
              <w:t xml:space="preserve"> </w:t>
            </w:r>
            <w:r w:rsidR="00C23B5E" w:rsidRPr="00956EF4">
              <w:rPr>
                <w:rFonts w:hint="eastAsia"/>
                <w:position w:val="2"/>
                <w:rtl/>
              </w:rPr>
              <w:t>عقد</w:t>
            </w:r>
            <w:r w:rsidR="00C23B5E" w:rsidRPr="00956EF4">
              <w:rPr>
                <w:position w:val="2"/>
                <w:rtl/>
              </w:rPr>
              <w:t xml:space="preserve"> </w:t>
            </w:r>
            <w:r w:rsidR="00C23B5E" w:rsidRPr="00956EF4">
              <w:rPr>
                <w:rFonts w:hint="eastAsia"/>
                <w:position w:val="2"/>
                <w:rtl/>
              </w:rPr>
              <w:t>الاجتماعات</w:t>
            </w:r>
          </w:p>
          <w:p w14:paraId="69B66937" w14:textId="4FC17614" w:rsidR="00C23B5E" w:rsidRPr="00956EF4" w:rsidRDefault="00A30B90" w:rsidP="006C3241">
            <w:pPr>
              <w:pStyle w:val="Tabletexte"/>
              <w:ind w:left="317" w:hanging="317"/>
              <w:jc w:val="left"/>
              <w:rPr>
                <w:position w:val="2"/>
              </w:rPr>
            </w:pPr>
            <w:r w:rsidRPr="00956EF4">
              <w:rPr>
                <w:position w:val="2"/>
              </w:rPr>
              <w:sym w:font="Wingdings 2" w:char="F097"/>
            </w:r>
            <w:r w:rsidRPr="00956EF4">
              <w:rPr>
                <w:position w:val="2"/>
                <w:rtl/>
              </w:rPr>
              <w:tab/>
            </w:r>
            <w:r w:rsidR="00C23B5E" w:rsidRPr="00956EF4">
              <w:rPr>
                <w:position w:val="2"/>
                <w:rtl/>
              </w:rPr>
              <w:t>أطر التعلم</w:t>
            </w:r>
          </w:p>
          <w:p w14:paraId="3A018200" w14:textId="77777777" w:rsidR="00B73AC7" w:rsidRPr="00C23B5E" w:rsidRDefault="00B73AC7" w:rsidP="006C3241">
            <w:pPr>
              <w:pStyle w:val="Tabletexte"/>
              <w:ind w:left="317" w:hanging="317"/>
              <w:jc w:val="left"/>
              <w:rPr>
                <w:position w:val="2"/>
                <w:rtl/>
              </w:rPr>
            </w:pPr>
            <w:r w:rsidRPr="00956EF4">
              <w:rPr>
                <w:position w:val="2"/>
              </w:rPr>
              <w:sym w:font="Wingdings 2" w:char="F097"/>
            </w:r>
            <w:r w:rsidRPr="00956EF4">
              <w:rPr>
                <w:position w:val="2"/>
                <w:rtl/>
              </w:rPr>
              <w:tab/>
            </w:r>
            <w:r w:rsidRPr="00956EF4">
              <w:rPr>
                <w:rFonts w:hint="eastAsia"/>
                <w:position w:val="2"/>
                <w:rtl/>
              </w:rPr>
              <w:t>منصات</w:t>
            </w:r>
            <w:r w:rsidRPr="00956EF4">
              <w:rPr>
                <w:position w:val="2"/>
                <w:rtl/>
              </w:rPr>
              <w:t xml:space="preserve"> </w:t>
            </w:r>
            <w:r w:rsidRPr="00956EF4">
              <w:rPr>
                <w:rFonts w:hint="eastAsia"/>
                <w:position w:val="2"/>
                <w:rtl/>
              </w:rPr>
              <w:t>عقد</w:t>
            </w:r>
            <w:r w:rsidRPr="00956EF4">
              <w:rPr>
                <w:position w:val="2"/>
                <w:rtl/>
              </w:rPr>
              <w:t xml:space="preserve"> </w:t>
            </w:r>
            <w:r w:rsidRPr="00956EF4">
              <w:rPr>
                <w:rFonts w:hint="eastAsia"/>
                <w:position w:val="2"/>
                <w:rtl/>
              </w:rPr>
              <w:t>الاجتماعات</w:t>
            </w:r>
          </w:p>
          <w:p w14:paraId="15EF4A4F" w14:textId="5A21B5A9" w:rsidR="00C23B5E" w:rsidRPr="00C23B5E" w:rsidRDefault="00A30B90" w:rsidP="006C3241">
            <w:pPr>
              <w:pStyle w:val="Tabletexte"/>
              <w:ind w:left="317" w:hanging="317"/>
              <w:jc w:val="left"/>
              <w:rPr>
                <w:position w:val="2"/>
              </w:rPr>
            </w:pPr>
            <w:r w:rsidRPr="007D6CBD">
              <w:rPr>
                <w:position w:val="2"/>
              </w:rPr>
              <w:sym w:font="Wingdings 2" w:char="F097"/>
            </w:r>
            <w:r w:rsidRPr="007D6CBD">
              <w:rPr>
                <w:position w:val="2"/>
                <w:rtl/>
              </w:rPr>
              <w:tab/>
            </w:r>
            <w:r w:rsidR="00C23B5E" w:rsidRPr="00C23B5E">
              <w:rPr>
                <w:spacing w:val="-4"/>
                <w:position w:val="2"/>
                <w:rtl/>
              </w:rPr>
              <w:t>السياسات والاستراتيجيات النموذجية، ومجموع</w:t>
            </w:r>
            <w:r w:rsidR="00EC0202">
              <w:rPr>
                <w:rFonts w:hint="cs"/>
                <w:spacing w:val="-4"/>
                <w:position w:val="2"/>
                <w:rtl/>
              </w:rPr>
              <w:t>ات</w:t>
            </w:r>
            <w:r w:rsidR="00C23B5E" w:rsidRPr="00C23B5E">
              <w:rPr>
                <w:spacing w:val="-4"/>
                <w:position w:val="2"/>
                <w:rtl/>
              </w:rPr>
              <w:t xml:space="preserve"> الأدوات</w:t>
            </w:r>
            <w:r w:rsidR="00C23B5E" w:rsidRPr="00C23B5E">
              <w:rPr>
                <w:position w:val="2"/>
                <w:rtl/>
              </w:rPr>
              <w:t xml:space="preserve"> </w:t>
            </w:r>
          </w:p>
        </w:tc>
        <w:tc>
          <w:tcPr>
            <w:tcW w:w="1470" w:type="dxa"/>
            <w:tcBorders>
              <w:top w:val="single" w:sz="4" w:space="0" w:color="44B3E1"/>
              <w:left w:val="nil"/>
              <w:bottom w:val="single" w:sz="4" w:space="0" w:color="44B3E1"/>
              <w:right w:val="nil"/>
            </w:tcBorders>
            <w:shd w:val="clear" w:color="auto" w:fill="C0E6F5"/>
            <w:noWrap/>
            <w:hideMark/>
          </w:tcPr>
          <w:p w14:paraId="18027EAF" w14:textId="2C93BD2A" w:rsidR="00C23B5E" w:rsidRPr="00C23B5E" w:rsidRDefault="00C65B91" w:rsidP="006C3241">
            <w:pPr>
              <w:pStyle w:val="Tabletexte"/>
              <w:jc w:val="left"/>
              <w:rPr>
                <w:b/>
                <w:bCs/>
                <w:position w:val="2"/>
              </w:rPr>
            </w:pPr>
            <w:r>
              <w:rPr>
                <w:b/>
                <w:bCs/>
                <w:position w:val="2"/>
              </w:rPr>
              <w:t>347 000</w:t>
            </w:r>
          </w:p>
        </w:tc>
        <w:tc>
          <w:tcPr>
            <w:tcW w:w="1471" w:type="dxa"/>
            <w:tcBorders>
              <w:top w:val="single" w:sz="4" w:space="0" w:color="44B3E1"/>
              <w:left w:val="nil"/>
              <w:bottom w:val="single" w:sz="4" w:space="0" w:color="44B3E1"/>
              <w:right w:val="nil"/>
            </w:tcBorders>
            <w:shd w:val="clear" w:color="auto" w:fill="C0E6F5"/>
            <w:noWrap/>
            <w:hideMark/>
          </w:tcPr>
          <w:p w14:paraId="32C2CC14" w14:textId="07BAD37A" w:rsidR="00C23B5E" w:rsidRPr="00C23B5E" w:rsidRDefault="00A30B90" w:rsidP="006C3241">
            <w:pPr>
              <w:pStyle w:val="Tabletexte"/>
              <w:jc w:val="left"/>
              <w:rPr>
                <w:position w:val="2"/>
              </w:rPr>
            </w:pPr>
            <w:r>
              <w:rPr>
                <w:position w:val="2"/>
              </w:rPr>
              <w:t>%</w:t>
            </w:r>
            <w:r w:rsidR="00C65B91">
              <w:rPr>
                <w:position w:val="2"/>
              </w:rPr>
              <w:t>62,9</w:t>
            </w:r>
          </w:p>
        </w:tc>
        <w:tc>
          <w:tcPr>
            <w:tcW w:w="1471" w:type="dxa"/>
            <w:tcBorders>
              <w:top w:val="single" w:sz="4" w:space="0" w:color="44B3E1"/>
              <w:left w:val="nil"/>
              <w:bottom w:val="single" w:sz="4" w:space="0" w:color="44B3E1"/>
              <w:right w:val="single" w:sz="4" w:space="0" w:color="44B3E1"/>
            </w:tcBorders>
            <w:shd w:val="clear" w:color="auto" w:fill="C0E6F5"/>
            <w:noWrap/>
            <w:hideMark/>
          </w:tcPr>
          <w:p w14:paraId="761BE032" w14:textId="6513A7A1" w:rsidR="00C23B5E" w:rsidRPr="00C23B5E" w:rsidRDefault="00A30B90" w:rsidP="006C3241">
            <w:pPr>
              <w:pStyle w:val="Tabletexte"/>
              <w:jc w:val="left"/>
              <w:rPr>
                <w:position w:val="2"/>
              </w:rPr>
            </w:pPr>
            <w:r>
              <w:rPr>
                <w:position w:val="2"/>
              </w:rPr>
              <w:t>%</w:t>
            </w:r>
            <w:r w:rsidR="00C65B91">
              <w:rPr>
                <w:position w:val="2"/>
              </w:rPr>
              <w:t>9,1</w:t>
            </w:r>
          </w:p>
        </w:tc>
      </w:tr>
    </w:tbl>
    <w:p w14:paraId="6F82C5F4" w14:textId="77777777" w:rsidR="006C3241" w:rsidRDefault="006C3241" w:rsidP="005A1E71">
      <w:pPr>
        <w:rPr>
          <w:rtl/>
        </w:rPr>
        <w:sectPr w:rsidR="006C3241" w:rsidSect="00DF0BE8">
          <w:headerReference w:type="default" r:id="rId20"/>
          <w:footerReference w:type="default" r:id="rId21"/>
          <w:headerReference w:type="first" r:id="rId22"/>
          <w:pgSz w:w="16838" w:h="11906" w:orient="landscape" w:code="9"/>
          <w:pgMar w:top="851" w:right="567" w:bottom="567" w:left="567" w:header="624" w:footer="624" w:gutter="0"/>
          <w:cols w:space="720"/>
          <w:docGrid w:linePitch="326"/>
        </w:sectPr>
      </w:pPr>
    </w:p>
    <w:p w14:paraId="5AB8AB41" w14:textId="77777777" w:rsidR="006C3241" w:rsidRDefault="006C3241" w:rsidP="00AF3939">
      <w:pPr>
        <w:pStyle w:val="HeadingI"/>
        <w:rPr>
          <w:rtl/>
        </w:rPr>
      </w:pPr>
      <w:r>
        <w:rPr>
          <w:rtl/>
        </w:rPr>
        <w:lastRenderedPageBreak/>
        <w:t>أبرز النقاط في عملية التنفيذ لعام 2026: الأولوية 1 لقطاع تنمية الاتصالات – التوصيلية الميسورة التكلفة</w:t>
      </w:r>
    </w:p>
    <w:p w14:paraId="798ED492" w14:textId="77777777" w:rsidR="006C3241" w:rsidRDefault="006C3241" w:rsidP="00AF3939">
      <w:pPr>
        <w:pStyle w:val="Headingb"/>
        <w:rPr>
          <w:rtl/>
        </w:rPr>
      </w:pPr>
      <w:r>
        <w:rPr>
          <w:rtl/>
        </w:rPr>
        <w:t>الاتصالات في حالات الطوارئ</w:t>
      </w:r>
    </w:p>
    <w:p w14:paraId="777DDDD2" w14:textId="6CFC196B" w:rsidR="006C3241" w:rsidRDefault="006C3241" w:rsidP="006C3241">
      <w:pPr>
        <w:rPr>
          <w:rtl/>
        </w:rPr>
      </w:pPr>
      <w:r w:rsidRPr="00AF3939">
        <w:rPr>
          <w:b/>
          <w:bCs/>
          <w:rtl/>
        </w:rPr>
        <w:t>في إفريقيا</w:t>
      </w:r>
      <w:r>
        <w:rPr>
          <w:rtl/>
        </w:rPr>
        <w:t>، اعتمدت رواندا خطة وطنية جديدة للاتصالات في حالات الطوارئ للمساعدة في تعزيز نظم الإنذار المبكر، وتحسين مستوى التأهب للكوارث، وتدعيم القدرة على الصمود على الصعيد الوطني. وفي السنغال، عُقدت ورشة العمل الوطنية</w:t>
      </w:r>
      <w:r w:rsidR="00476B78">
        <w:rPr>
          <w:rFonts w:hint="cs"/>
          <w:rtl/>
        </w:rPr>
        <w:t xml:space="preserve"> لإقرار الخطة الوطنية للاتصالات في حالات الطوارئ</w:t>
      </w:r>
      <w:r>
        <w:rPr>
          <w:rtl/>
        </w:rPr>
        <w:t xml:space="preserve"> في الفترة يومي 10 و11 فبراير، اجتمع بها أصحاب المصلحة على الصعيد الوطني في مجال الحد من مخاطر الكوارث، والاتصالات في حالات الطوارئ، من القطاعين العام والخاص. عززت ورشة العمل التي شارك في تنظيمها مكتب تنمية الاتصالات وهيئة تنظيم الاتصالات والبريد في السنغال، الجهود الجماعية الرامية إلى تسخير تكنولوجيا المعلومات والاتصالات للحد من مخاطر الكوارث، بما يضمن ألا يُترك أحد خلف الركب عند وقوع حالات الطوارئ. وفرت ورشة العمل كذلك منبراً للمشاركين لاستعراض الأطر القانونية والتنظيمية التي تمكِّن من استخدام التكنولوجيا لإدارة الكوارث، وتوضيح الأدوار المؤسسية وآليات التنسيق، وبناء فهم مشترك للكيفية التي تدعم الحلول الرقمية بها كل مرحلة من مراحل إدارة الكوارث، والاتفاق على خارطة طريق لتحسين مستوى الاتصالات في حالات الطوارئ في البلاد.</w:t>
      </w:r>
    </w:p>
    <w:p w14:paraId="32B3BA00" w14:textId="6D517D39" w:rsidR="006C3241" w:rsidRDefault="006C3241" w:rsidP="006C3241">
      <w:pPr>
        <w:rPr>
          <w:rtl/>
        </w:rPr>
      </w:pPr>
      <w:r>
        <w:rPr>
          <w:rtl/>
        </w:rPr>
        <w:t>وفي جمهورية الكونغو الديمقراطية، عُقدت ورشة العمل التشاورية الوطنية بشأن الإنذار المبكر للجميع (</w:t>
      </w:r>
      <w:r>
        <w:t>EW4All</w:t>
      </w:r>
      <w:r>
        <w:rPr>
          <w:rtl/>
        </w:rPr>
        <w:t>) يومي 28 و29 يناير لإطلاق المبادرة رسمياً في البلاد. وتولى تنظيم ورشة العمل مكتب تنمية الاتصالات بالتعاون مع الوكالات الرائدة الدعامة لركائز الإنذار المبكر للجميع، ومكتب الأمم المتحدة للحد من مخاطر الكوارث (</w:t>
      </w:r>
      <w:r>
        <w:t>UNDRR</w:t>
      </w:r>
      <w:r>
        <w:rPr>
          <w:rtl/>
        </w:rPr>
        <w:t>)، والمنظمة العالمية للأرصاد الجوية</w:t>
      </w:r>
      <w:r w:rsidR="00AF3939">
        <w:rPr>
          <w:rFonts w:hint="eastAsia"/>
          <w:rtl/>
          <w:lang w:bidi="ar-EG"/>
        </w:rPr>
        <w:t> </w:t>
      </w:r>
      <w:r>
        <w:rPr>
          <w:rtl/>
        </w:rPr>
        <w:t>(</w:t>
      </w:r>
      <w:r>
        <w:t>WMO</w:t>
      </w:r>
      <w:r>
        <w:rPr>
          <w:rtl/>
        </w:rPr>
        <w:t>)، والاتحاد الدولي لجمعيات الصليب الأحمر والهلال الأحمر (</w:t>
      </w:r>
      <w:r>
        <w:t>IFRC</w:t>
      </w:r>
      <w:r>
        <w:rPr>
          <w:rtl/>
        </w:rPr>
        <w:t>)، وتلقت الورشة دعماً من وزارة الداخلية، وهيئة تنظيم البريد والاتصالات في الكونغو، والوكالة الوطنية للأرصاد الجوية والاستشعار عن بُعد بالسواتل،</w:t>
      </w:r>
      <w:r w:rsidR="00C55646">
        <w:rPr>
          <w:rtl/>
        </w:rPr>
        <w:t xml:space="preserve"> </w:t>
      </w:r>
      <w:r>
        <w:rPr>
          <w:rtl/>
        </w:rPr>
        <w:t>وهيئة الممرات المائية. وقد أسهم عمل مكتب تنمية الاتصالات مع الحكومة، وشركاء الأمم المتحدة والمؤسسات الوطنية، في تحديد الثغرات الكائنة في</w:t>
      </w:r>
      <w:r w:rsidR="00AD1B14">
        <w:rPr>
          <w:rFonts w:hint="cs"/>
          <w:rtl/>
        </w:rPr>
        <w:t> </w:t>
      </w:r>
      <w:r>
        <w:rPr>
          <w:rtl/>
        </w:rPr>
        <w:t>الركائز الأربع للإنذار المبكر للجميع، وفي المشاركة في وضع خارطة طريق وطنية للتثقيف بالمخاطر، والتنبؤ، ونشر الإنذارات والاتصالات، والتأهب، ما يعزز المسار ال</w:t>
      </w:r>
      <w:r w:rsidR="00476B78">
        <w:rPr>
          <w:rFonts w:hint="cs"/>
          <w:rtl/>
        </w:rPr>
        <w:t>ذ</w:t>
      </w:r>
      <w:r>
        <w:rPr>
          <w:rtl/>
        </w:rPr>
        <w:t>ي تنتهجه البلاد نحو تعميم الإنذار المبكر للجميع.</w:t>
      </w:r>
    </w:p>
    <w:p w14:paraId="33F35D74" w14:textId="52B3AA4F" w:rsidR="006C3241" w:rsidRDefault="006C3241" w:rsidP="006C3241">
      <w:pPr>
        <w:rPr>
          <w:rtl/>
        </w:rPr>
      </w:pPr>
      <w:r>
        <w:rPr>
          <w:rtl/>
        </w:rPr>
        <w:t>وفي ملاوي، عُقدت ورشة العمل التشاورية الوطنية بشأن الإنذار المبكر للجميع (</w:t>
      </w:r>
      <w:r>
        <w:t>EW4All</w:t>
      </w:r>
      <w:r>
        <w:rPr>
          <w:rtl/>
        </w:rPr>
        <w:t>) يومي 11 و12 فبراير، على هامش الاجتماع التنسيقي للشركاء بشأن خدمات الإنذار المبكر في ملاوي، الذي استضافته مبادرة المخاطر المناخية ونظم الإنذار المبكر. نُظمت ورشة العمل بالتعاون مع الوكالات الرائدة الداعم لركائز الإنذار المبكر للجميع والشركاء الوطنيين، وكانت بمثابة منبراً للحكومة وشركاء الأمم المتحدة والمؤسسات للتعاون بشأن أهداف مبادرة الإنذار المبكر للجميع واستعراضها، وتحديد أصحاب المصلحة الرئيسيين، والاتفاق على الإجراءات ذات الأولوية والخطوات التالية الرامية إلى تعزيز نظم الإنذار المبكر التي تركز على</w:t>
      </w:r>
      <w:r w:rsidR="00747F25">
        <w:rPr>
          <w:rFonts w:hint="cs"/>
          <w:rtl/>
        </w:rPr>
        <w:t> </w:t>
      </w:r>
      <w:r>
        <w:rPr>
          <w:rtl/>
        </w:rPr>
        <w:t>الناس في جميع أنحاء ملاوي. وسلطت هيئة تنظيم الاتصالات في ملاوي الضوء على الدعم الذي تحصل عليه البلاد من مكتب تنمية الاتصالات بالاتحاد في مجال الاتصالات في حالات الطوارئ، مؤكدةً على الحاجة إلى تنفيذ الإذاعة الخلوية في إطار تعزيز النظام الوطني للإنذار المبكر.</w:t>
      </w:r>
    </w:p>
    <w:p w14:paraId="1A55019C" w14:textId="77777777" w:rsidR="006C3241" w:rsidRDefault="006C3241" w:rsidP="006C3241">
      <w:pPr>
        <w:rPr>
          <w:rtl/>
        </w:rPr>
      </w:pPr>
      <w:r w:rsidRPr="00747F25">
        <w:rPr>
          <w:b/>
          <w:bCs/>
          <w:rtl/>
        </w:rPr>
        <w:t>وفي الأمريكتين</w:t>
      </w:r>
      <w:r>
        <w:rPr>
          <w:rtl/>
        </w:rPr>
        <w:t>، سلَّم مكتب تنمية الاتصالات الخطة الوطنية للاتصالات في حالات الطوارئ (</w:t>
      </w:r>
      <w:r>
        <w:t>NETP</w:t>
      </w:r>
      <w:r>
        <w:rPr>
          <w:rtl/>
        </w:rPr>
        <w:t>) إلى المجلس الوطني للاتصالات (</w:t>
      </w:r>
      <w:r>
        <w:t>CONATEL</w:t>
      </w:r>
      <w:r>
        <w:rPr>
          <w:rtl/>
        </w:rPr>
        <w:t>) في هايتي. ويعزز هذا الإنجاز المهم التأهب للكوارث والتنسيق الوطني في هايتي، ويضمن أن تكون الاتصالات المنقذة للحياة ملائمة للغرض المتوخى منها، قبل وقوع الكوارث وفي أثناءها وبعدها، للمساعدة على حماية الأرواح وسبل كسب العيش، ولئلا يُترك أحد خلف الركب.</w:t>
      </w:r>
    </w:p>
    <w:p w14:paraId="4A2B88AD" w14:textId="77777777" w:rsidR="006C3241" w:rsidRDefault="006C3241" w:rsidP="006C3241">
      <w:pPr>
        <w:rPr>
          <w:rtl/>
        </w:rPr>
      </w:pPr>
      <w:r>
        <w:rPr>
          <w:rtl/>
        </w:rPr>
        <w:t>وتماشياً مع الأولويات الإقليمية، عرض مكتب تنمية الاتصالات التقدم الذي أحرزه بشأن الركيزة 3 من مبادرة الإنذار المبكر للجميع (</w:t>
      </w:r>
      <w:r>
        <w:t>EW4ALL</w:t>
      </w:r>
      <w:r>
        <w:rPr>
          <w:rtl/>
        </w:rPr>
        <w:t>) في أثناء المنتدى الإقليمي الثامن في مدينة بنما (17-19 مارس)، وأبرز التزام مكتب تنمية الاتصالات بالحد من مخاطر الكوارث وإدارتها الشاملة في جميع أنحاء أمريكا الوسطى.</w:t>
      </w:r>
    </w:p>
    <w:p w14:paraId="032727DF" w14:textId="3B6FE25F" w:rsidR="006C3241" w:rsidRDefault="006C3241" w:rsidP="006C3241">
      <w:pPr>
        <w:rPr>
          <w:rtl/>
        </w:rPr>
      </w:pPr>
      <w:r w:rsidRPr="00747F25">
        <w:rPr>
          <w:b/>
          <w:bCs/>
          <w:rtl/>
        </w:rPr>
        <w:t>وفي آسيا والمحيط الهادئ</w:t>
      </w:r>
      <w:r>
        <w:rPr>
          <w:rtl/>
        </w:rPr>
        <w:t>، عقد مكتب تنمية الاتصالات جلسة بشأن وضع خطة وطنية للاتصالات في حالات الطوارئ (</w:t>
      </w:r>
      <w:r>
        <w:t>NETP</w:t>
      </w:r>
      <w:r>
        <w:rPr>
          <w:rtl/>
        </w:rPr>
        <w:t>) لوزارة النقل والاتصالات وتكنولوجيا المعلومات في جمهورية جزر مارشال. تناولت الجلسة إطار الخطة وتنفيذها وإدماجها في</w:t>
      </w:r>
      <w:r w:rsidR="00747F25">
        <w:rPr>
          <w:rFonts w:hint="cs"/>
          <w:rtl/>
        </w:rPr>
        <w:t> </w:t>
      </w:r>
      <w:r>
        <w:rPr>
          <w:rtl/>
        </w:rPr>
        <w:t>المجموعة الوطنية للاتصالات في حالات الطوارئ ونظم الإنذار المبكر.</w:t>
      </w:r>
    </w:p>
    <w:p w14:paraId="10315362" w14:textId="1535CDE3" w:rsidR="006C3241" w:rsidRDefault="006C3241" w:rsidP="006C3241">
      <w:pPr>
        <w:rPr>
          <w:rtl/>
        </w:rPr>
      </w:pPr>
      <w:r>
        <w:rPr>
          <w:rtl/>
        </w:rPr>
        <w:t>علاوة</w:t>
      </w:r>
      <w:r w:rsidR="00536F40">
        <w:rPr>
          <w:rFonts w:hint="cs"/>
          <w:rtl/>
        </w:rPr>
        <w:t>ً</w:t>
      </w:r>
      <w:r>
        <w:rPr>
          <w:rtl/>
        </w:rPr>
        <w:t xml:space="preserve"> على ذلك، نظم مكتب تنمية الاتصالات، بالتعاون مع لجنة الأمم المتحدة الاقتصادية والاجتماعية لآسيا والمحيط الهادئ</w:t>
      </w:r>
      <w:r w:rsidR="00536F40">
        <w:rPr>
          <w:rFonts w:hint="cs"/>
          <w:rtl/>
        </w:rPr>
        <w:t> </w:t>
      </w:r>
      <w:r>
        <w:rPr>
          <w:rtl/>
        </w:rPr>
        <w:t>(</w:t>
      </w:r>
      <w:r>
        <w:t>ESCAP</w:t>
      </w:r>
      <w:r>
        <w:rPr>
          <w:rtl/>
        </w:rPr>
        <w:t>) وقادة ركائز مبادرة الإنذار المبكر للجميع، حلقة دراسية إلكترونية يوم 29 يناير حول تطورات التمويل في مبادرة الإنذار المبكر للجميع، في إطار سلسلة الحلقات الدراسية الإلكترونية المعنية بالإنذار المبكر للجميع في منطقة آسيا والمحيط الهادئ. وأبرز الحدث، الذي حضره أكثر من 100 مشارك، استراتيجيات تنفيذ نظام الإنذار المبكر المستدام، وأهميته.</w:t>
      </w:r>
    </w:p>
    <w:p w14:paraId="4F588103" w14:textId="01B6DAF0" w:rsidR="006C3241" w:rsidRDefault="006C3241" w:rsidP="00536F40">
      <w:pPr>
        <w:keepLines/>
        <w:rPr>
          <w:rtl/>
        </w:rPr>
      </w:pPr>
      <w:r w:rsidRPr="00536F40">
        <w:rPr>
          <w:b/>
          <w:bCs/>
          <w:rtl/>
        </w:rPr>
        <w:lastRenderedPageBreak/>
        <w:t>وفي كومنولث الدول المستقلة</w:t>
      </w:r>
      <w:r>
        <w:rPr>
          <w:rtl/>
        </w:rPr>
        <w:t xml:space="preserve">، عقدت أرمينيا ورشة عمل للتحقق من خارطة الطريق الوطنية للإنذار المبكر للجميع، لضمان حماية الناس كافة في كل مكان من خلال تنبيهات الإنذار المبكر التي تسهم في إنقاذ الأرواح. وقد عززت المبادرة القدرات الوطنية في مجال التثقيف بالمخاطر، والتنبؤ، ونشر الإنذارات والاستجابة، ودعمت وضع إطار متكامل للإنذار المبكر بما يتماشى مع المعايير العالمية، لتحسين القدرة على </w:t>
      </w:r>
      <w:r w:rsidR="00476B78">
        <w:rPr>
          <w:rFonts w:hint="cs"/>
          <w:rtl/>
        </w:rPr>
        <w:t xml:space="preserve">الصمود في مواجهة </w:t>
      </w:r>
      <w:r>
        <w:rPr>
          <w:rtl/>
        </w:rPr>
        <w:t>تغير المناخ وحماية المجتمعات المحلية من الكوارث.</w:t>
      </w:r>
    </w:p>
    <w:p w14:paraId="115A3998" w14:textId="4AA46180" w:rsidR="006C3241" w:rsidRDefault="006C3241" w:rsidP="006C3241">
      <w:pPr>
        <w:rPr>
          <w:rtl/>
        </w:rPr>
      </w:pPr>
      <w:r w:rsidRPr="00536F40">
        <w:rPr>
          <w:b/>
          <w:bCs/>
          <w:rtl/>
        </w:rPr>
        <w:t>وفي أوروبا</w:t>
      </w:r>
      <w:r>
        <w:rPr>
          <w:rtl/>
        </w:rPr>
        <w:t xml:space="preserve">، عُقدت ورشة عمل وطنية للتحقق من صلاحية نظم الإنذار في حالات الطوارئ في يناير في بودغوريتشا، الجبل الأسود. وأتاحت ورشة العمل الفرصة لأكثر من 40 ممثلاً عن المؤسسات المعنية لطرح التعليقات النهائية بشأن التقرير التقني ودراسة الجدوى لتنفيذ نظام إنذار عام يعتمد على الإذاعة الخلوية وقنوات الاتصال الأخرى، لإرسال رسائل الإنذار في الجبل الأسود. وبعد انعقاد ورشة العمل وطرح التعليقات المباشرة </w:t>
      </w:r>
      <w:r w:rsidR="00476B78">
        <w:rPr>
          <w:rFonts w:hint="cs"/>
          <w:rtl/>
        </w:rPr>
        <w:t>من</w:t>
      </w:r>
      <w:r>
        <w:rPr>
          <w:rtl/>
        </w:rPr>
        <w:t xml:space="preserve"> السلطات الوطنية المختصة، وُضعت اللمسات النهائية على الوثائق وسُلمت إلى وكالة الاتصالات الإلكترونية والخدمات البريدية (</w:t>
      </w:r>
      <w:r>
        <w:t>EKIP</w:t>
      </w:r>
      <w:r>
        <w:rPr>
          <w:rtl/>
        </w:rPr>
        <w:t>) بمناسبة انعقاد المنتدى الإقليمي الأوروبي للتنمية الذي انعقد تحت مظلة الاتحاد في مارس 2026.</w:t>
      </w:r>
    </w:p>
    <w:p w14:paraId="7CA2A1E3" w14:textId="77777777" w:rsidR="006C3241" w:rsidRDefault="006C3241" w:rsidP="00536F40">
      <w:pPr>
        <w:pStyle w:val="Headingb"/>
        <w:rPr>
          <w:rtl/>
        </w:rPr>
      </w:pPr>
      <w:r>
        <w:rPr>
          <w:rtl/>
        </w:rPr>
        <w:t>الشبكة والبنية التحتية</w:t>
      </w:r>
    </w:p>
    <w:p w14:paraId="062977A1" w14:textId="06D90E3B" w:rsidR="006C3241" w:rsidRDefault="006C3241" w:rsidP="006C3241">
      <w:pPr>
        <w:rPr>
          <w:rtl/>
        </w:rPr>
      </w:pPr>
      <w:r w:rsidRPr="00795D5B">
        <w:rPr>
          <w:b/>
          <w:bCs/>
          <w:rtl/>
        </w:rPr>
        <w:t>في إفريقيا</w:t>
      </w:r>
      <w:r>
        <w:rPr>
          <w:rtl/>
        </w:rPr>
        <w:t>، وفي إطار مشروع خرائط النطاق العريض لإفريقيا، دعم مكتب تنمية الاتصالات 11 تحليلاً سياساتياً وتنظيمياً على</w:t>
      </w:r>
      <w:r w:rsidR="00795D5B">
        <w:rPr>
          <w:rFonts w:hint="cs"/>
          <w:rtl/>
        </w:rPr>
        <w:t> </w:t>
      </w:r>
      <w:r>
        <w:rPr>
          <w:rtl/>
        </w:rPr>
        <w:t xml:space="preserve">الصعيد الوطني، تشكل الأساس لنظم رسم خرائط النطاق العريض. وقد استُكملت </w:t>
      </w:r>
      <w:proofErr w:type="spellStart"/>
      <w:r>
        <w:rPr>
          <w:rtl/>
        </w:rPr>
        <w:t>الإحاطات</w:t>
      </w:r>
      <w:proofErr w:type="spellEnd"/>
      <w:r>
        <w:rPr>
          <w:rtl/>
        </w:rPr>
        <w:t xml:space="preserve"> ال</w:t>
      </w:r>
      <w:r w:rsidR="00C07ED7">
        <w:rPr>
          <w:rtl/>
        </w:rPr>
        <w:t>قُطرية</w:t>
      </w:r>
      <w:r>
        <w:rPr>
          <w:rtl/>
        </w:rPr>
        <w:t xml:space="preserve"> لنيجيريا وبوتسوانا وكوت ديفوار وكينيا، بينما يجري العمل على الإحاطات الخاصة بكل من بنن وبوروندي وإثيوبيا </w:t>
      </w:r>
      <w:r w:rsidR="00795D5B">
        <w:rPr>
          <w:rFonts w:hint="cs"/>
          <w:rtl/>
        </w:rPr>
        <w:t xml:space="preserve">وملاوي </w:t>
      </w:r>
      <w:r>
        <w:rPr>
          <w:rtl/>
        </w:rPr>
        <w:t>وأوغندا وزامبيا وزيمبابوي.</w:t>
      </w:r>
    </w:p>
    <w:p w14:paraId="7FDF2032" w14:textId="2FA1A090" w:rsidR="006C3241" w:rsidRDefault="006C3241" w:rsidP="006C3241">
      <w:pPr>
        <w:rPr>
          <w:rtl/>
        </w:rPr>
      </w:pPr>
      <w:r>
        <w:rPr>
          <w:rtl/>
        </w:rPr>
        <w:t>وتنفيذاً للمبادرات الإقليمية، نظم مكتب تنمية الاتصالات بالاشتراك مع مؤسسة الإنترنت للأسماء والأرقام المخصصة (</w:t>
      </w:r>
      <w:r>
        <w:t>ICANN</w:t>
      </w:r>
      <w:r>
        <w:rPr>
          <w:rtl/>
        </w:rPr>
        <w:t>) والاتحاد الإفريقي للاتصالات (</w:t>
      </w:r>
      <w:r>
        <w:t>ATU</w:t>
      </w:r>
      <w:r>
        <w:rPr>
          <w:rtl/>
        </w:rPr>
        <w:t>) جلسة إعلامية تقنية في 25 فبراير بشأن تعزيز البنية التحتية الرقمية في إفريقيا. وأُطلقت دعوة إلى الدول الأعضاء للتعبير عن الاهتمام بأفكار المشاريع التي نوقشت بشأن المواضيع التقنية.</w:t>
      </w:r>
    </w:p>
    <w:p w14:paraId="2DE30DA9" w14:textId="581A8634" w:rsidR="006C3241" w:rsidRDefault="006C3241" w:rsidP="006C3241">
      <w:pPr>
        <w:rPr>
          <w:rtl/>
        </w:rPr>
      </w:pPr>
      <w:r w:rsidRPr="00795D5B">
        <w:rPr>
          <w:b/>
          <w:bCs/>
          <w:rtl/>
        </w:rPr>
        <w:t>وفي الأمريكتين</w:t>
      </w:r>
      <w:r>
        <w:rPr>
          <w:rtl/>
        </w:rPr>
        <w:t>، كان المعسكر التدريبي بشأن إدارة شبكات تكنولوجيا المعلومات والاتصالات في المجتمعات الريفية والنائية ومجتمعات الشعوب الأصلية، الذي عُقد في بويبلا بالمكسيك في الفترة من 18 إلى 25 مارس، بمثابة علامة فارقة في النهوض بالتوصيلية. وبناءً على المرحلة الإلكترونية الناجحة من التدريب، عززت المرحلة الحضورية المهارات التقنية والعملية للمشاركين في نشر الشبكات المجتمعية، والإذاعة، وحلول التوصيلية المستدامة. عزز هذا المعسكر التدريبي أيضاً التبادل الهادف بين القيادات المجتمعية والهيئات التنظيمية والأوساط الأكاديمية والشركاء من الجهات الإنمائية، بما في ذلك التعاون مع السلطات الوطنية مثل هيئة تنظيم الاتصالات (</w:t>
      </w:r>
      <w:r>
        <w:t>CRT</w:t>
      </w:r>
      <w:r>
        <w:rPr>
          <w:rtl/>
        </w:rPr>
        <w:t>) في المكسيك، واللجنة الوطنية للاتصالات (</w:t>
      </w:r>
      <w:r>
        <w:t>CONATEL</w:t>
      </w:r>
      <w:r>
        <w:rPr>
          <w:rtl/>
        </w:rPr>
        <w:t xml:space="preserve">) في باراغواي، والمعهد الدومينيكي </w:t>
      </w:r>
      <w:r w:rsidR="00476B78">
        <w:rPr>
          <w:rFonts w:hint="cs"/>
          <w:rtl/>
        </w:rPr>
        <w:t>ل</w:t>
      </w:r>
      <w:r>
        <w:rPr>
          <w:rtl/>
        </w:rPr>
        <w:t>لاتصالات (</w:t>
      </w:r>
      <w:r>
        <w:t>INDOTEL</w:t>
      </w:r>
      <w:r>
        <w:rPr>
          <w:rtl/>
        </w:rPr>
        <w:t>) في الجمهورية الدومينيكية. وسعت المبادرة إلى تعزيز التزام مكتب تنمية الاتصالات بالتوصيلية الشاملة التي تقودها المجتمعات المحلية في مختلف أنحاء الأمريكتين، وذلك من خلال جلسات التدريب العملي والتعلم من الأقران التي أسهمت في تمكين 50 جهة من أصحاب المصلحة.</w:t>
      </w:r>
    </w:p>
    <w:p w14:paraId="7A8FCAA8" w14:textId="1C4F076E" w:rsidR="006C3241" w:rsidRDefault="006C3241" w:rsidP="006C3241">
      <w:pPr>
        <w:rPr>
          <w:rtl/>
        </w:rPr>
      </w:pPr>
      <w:r>
        <w:rPr>
          <w:rtl/>
        </w:rPr>
        <w:t>علاوة</w:t>
      </w:r>
      <w:r>
        <w:rPr>
          <w:rFonts w:hint="cs"/>
          <w:rtl/>
        </w:rPr>
        <w:t>ً</w:t>
      </w:r>
      <w:r>
        <w:rPr>
          <w:rtl/>
        </w:rPr>
        <w:t xml:space="preserve"> على ذلك، أبرم مكتب تنمية الاتصالات اتفاق تعاون تقني مع إدارة كولومبيا (وزارة تكنولوجيا المعلومات والاتصالات) لبدء العمل على وضع خارطة طريق استراتيجية للنفاذ الشامل إلى خدمات التلفزيون.</w:t>
      </w:r>
    </w:p>
    <w:p w14:paraId="795E8D0F" w14:textId="1C536FCD" w:rsidR="006C3241" w:rsidRDefault="006C3241" w:rsidP="006C3241">
      <w:pPr>
        <w:rPr>
          <w:rtl/>
        </w:rPr>
      </w:pPr>
      <w:r w:rsidRPr="00795D5B">
        <w:rPr>
          <w:b/>
          <w:bCs/>
          <w:rtl/>
        </w:rPr>
        <w:t>وفي آسيا والمحيط الهادئ</w:t>
      </w:r>
      <w:r>
        <w:rPr>
          <w:rtl/>
        </w:rPr>
        <w:t>، عقد مكتب تنمية الاتصالات في الفترة من 10 إلى 11 فبراير جلسات مع الإدارات التقنية والقانونية والمالية في هيئة الاتصالات الوطنية في تيمور ليشتي (</w:t>
      </w:r>
      <w:r>
        <w:t>ANC</w:t>
      </w:r>
      <w:r>
        <w:rPr>
          <w:rtl/>
        </w:rPr>
        <w:t>) لمواءمة السياسات الوطنية لتوزيع الطيف مع لوائح الراديو الحالية الصادرة عن الاتحاد. ركزت الجلسات، التي نُظمت في إطار المساعدات المباشرة لتيمور ليشتي، على مراقبة الترددات الراديوية</w:t>
      </w:r>
      <w:r w:rsidR="00795D5B">
        <w:rPr>
          <w:rFonts w:hint="cs"/>
          <w:rtl/>
        </w:rPr>
        <w:t> </w:t>
      </w:r>
      <w:r>
        <w:rPr>
          <w:rtl/>
        </w:rPr>
        <w:t>(</w:t>
      </w:r>
      <w:r>
        <w:t>RF</w:t>
      </w:r>
      <w:r>
        <w:rPr>
          <w:rtl/>
        </w:rPr>
        <w:t>) وإنفاذها، وإدارة الطيف، وتقديم إيضاحات عن مشروع الجدول الوطني لتوزيع الترددات.</w:t>
      </w:r>
    </w:p>
    <w:p w14:paraId="4E1BDBE3" w14:textId="147D4AE2" w:rsidR="006C3241" w:rsidRDefault="006C3241" w:rsidP="006C3241">
      <w:r>
        <w:rPr>
          <w:rtl/>
        </w:rPr>
        <w:t>وجمع منتدى الاتحاد بشأن الذكاء الاصطناعي للنمو الرقمي في أرمينيا خبراء حكوميين ودوائر الصناعة وخبراء دوليين لتعزيز الحوار الوطني بشأن سياسات الذكاء الاصطناعي وتنظيمه وتطبيقاته القطاعية، وتعزيز التعاون بين أصحاب المصلحة المتعددين من أجل النهوض بالتحول الرقمي.</w:t>
      </w:r>
      <w:r w:rsidR="00C55646">
        <w:rPr>
          <w:rtl/>
        </w:rPr>
        <w:t xml:space="preserve"> </w:t>
      </w:r>
      <w:r>
        <w:rPr>
          <w:rtl/>
        </w:rPr>
        <w:t>وعزز هذا الحدث قدرات أصحاب المصلحة عن طريق تبادل المعارف بشأن حوكمة الذكاء الاصطناعي، والتكنولوجيات الناشئة، وحالات الاستعمال في مجالي الاتصالات والأمن السيبراني، ما يسهم في اعتماد حلول الذكاء الاصطناعي المبتكرة والجديرة بالثقة بغرض النهوض بالتنمية الرقمية المستدامة.</w:t>
      </w:r>
    </w:p>
    <w:p w14:paraId="3D3BD17F" w14:textId="77777777" w:rsidR="006C3241" w:rsidRDefault="006C3241" w:rsidP="005A1E71"/>
    <w:p w14:paraId="3E786EF5" w14:textId="77777777" w:rsidR="006C3241" w:rsidRDefault="006C3241" w:rsidP="005A1E71">
      <w:pPr>
        <w:rPr>
          <w:rtl/>
        </w:rPr>
        <w:sectPr w:rsidR="006C3241" w:rsidSect="006C3241">
          <w:headerReference w:type="default" r:id="rId23"/>
          <w:footerReference w:type="default" r:id="rId24"/>
          <w:pgSz w:w="11906" w:h="16838" w:code="9"/>
          <w:pgMar w:top="1418" w:right="1134" w:bottom="1134" w:left="1134" w:header="624" w:footer="624" w:gutter="0"/>
          <w:cols w:space="720"/>
          <w:docGrid w:linePitch="326"/>
        </w:sectPr>
      </w:pPr>
    </w:p>
    <w:p w14:paraId="6D2486A7" w14:textId="61353A60" w:rsidR="00C23B5E" w:rsidRPr="00C23B5E" w:rsidRDefault="000056BB" w:rsidP="000056BB">
      <w:pPr>
        <w:pStyle w:val="Heading2"/>
      </w:pPr>
      <w:r>
        <w:lastRenderedPageBreak/>
        <w:t>2.3</w:t>
      </w:r>
      <w:r w:rsidR="00C23B5E" w:rsidRPr="00C23B5E">
        <w:rPr>
          <w:rtl/>
        </w:rPr>
        <w:tab/>
        <w:t>الأولوية 2 لقطاع تنمية الاتصالات: التحول الرقمي</w:t>
      </w:r>
    </w:p>
    <w:tbl>
      <w:tblPr>
        <w:bidiVisual/>
        <w:tblW w:w="4963" w:type="pct"/>
        <w:tblInd w:w="50" w:type="dxa"/>
        <w:tblLayout w:type="fixed"/>
        <w:tblLook w:val="04A0" w:firstRow="1" w:lastRow="0" w:firstColumn="1" w:lastColumn="0" w:noHBand="0" w:noVBand="1"/>
      </w:tblPr>
      <w:tblGrid>
        <w:gridCol w:w="1861"/>
        <w:gridCol w:w="2941"/>
        <w:gridCol w:w="2943"/>
        <w:gridCol w:w="2943"/>
        <w:gridCol w:w="1630"/>
        <w:gridCol w:w="1630"/>
        <w:gridCol w:w="1630"/>
      </w:tblGrid>
      <w:tr w:rsidR="006C3241" w:rsidRPr="00C23B5E" w14:paraId="025BD94F" w14:textId="77777777" w:rsidTr="006C3241">
        <w:trPr>
          <w:tblHeader/>
        </w:trPr>
        <w:tc>
          <w:tcPr>
            <w:tcW w:w="1861" w:type="dxa"/>
            <w:tcBorders>
              <w:top w:val="single" w:sz="4" w:space="0" w:color="44B3E1"/>
              <w:left w:val="single" w:sz="4" w:space="0" w:color="44B3E1"/>
              <w:bottom w:val="single" w:sz="4" w:space="0" w:color="44B3E1"/>
              <w:right w:val="nil"/>
            </w:tcBorders>
            <w:shd w:val="clear" w:color="auto" w:fill="156082"/>
            <w:noWrap/>
            <w:vAlign w:val="center"/>
            <w:hideMark/>
          </w:tcPr>
          <w:p w14:paraId="2D4E946E" w14:textId="77777777" w:rsidR="006C3241" w:rsidRPr="00392896" w:rsidRDefault="006C3241" w:rsidP="006C3241">
            <w:pPr>
              <w:pStyle w:val="TableHead"/>
              <w:rPr>
                <w:color w:val="FFFFFF" w:themeColor="background1"/>
                <w:position w:val="2"/>
                <w:lang w:val="ar-SA" w:bidi="ar-EG"/>
              </w:rPr>
            </w:pPr>
            <w:r w:rsidRPr="00392896">
              <w:rPr>
                <w:color w:val="FFFFFF" w:themeColor="background1"/>
                <w:position w:val="2"/>
                <w:rtl/>
              </w:rPr>
              <w:t>الأولوية/الموضوع</w:t>
            </w:r>
          </w:p>
        </w:tc>
        <w:tc>
          <w:tcPr>
            <w:tcW w:w="2943" w:type="dxa"/>
            <w:tcBorders>
              <w:top w:val="single" w:sz="4" w:space="0" w:color="44B3E1"/>
              <w:left w:val="nil"/>
              <w:bottom w:val="single" w:sz="4" w:space="0" w:color="44B3E1"/>
              <w:right w:val="nil"/>
            </w:tcBorders>
            <w:shd w:val="clear" w:color="auto" w:fill="156082"/>
            <w:noWrap/>
            <w:vAlign w:val="center"/>
            <w:hideMark/>
          </w:tcPr>
          <w:p w14:paraId="3AA0F8D5" w14:textId="56461B7D" w:rsidR="006C3241" w:rsidRPr="00392896" w:rsidRDefault="002F6EBB" w:rsidP="002F6EBB">
            <w:pPr>
              <w:pStyle w:val="TableHead"/>
              <w:rPr>
                <w:color w:val="FFFFFF" w:themeColor="background1"/>
                <w:position w:val="2"/>
                <w:lang w:val="ar-SA" w:bidi="ar-EG"/>
              </w:rPr>
            </w:pPr>
            <w:r w:rsidRPr="002F6EBB">
              <w:rPr>
                <w:rFonts w:hint="cs"/>
                <w:color w:val="FFFFFF" w:themeColor="background1"/>
                <w:position w:val="2"/>
                <w:rtl/>
              </w:rPr>
              <w:t>المحصلات</w:t>
            </w:r>
          </w:p>
        </w:tc>
        <w:tc>
          <w:tcPr>
            <w:tcW w:w="2945" w:type="dxa"/>
            <w:tcBorders>
              <w:top w:val="single" w:sz="4" w:space="0" w:color="44B3E1"/>
              <w:left w:val="nil"/>
              <w:bottom w:val="single" w:sz="4" w:space="0" w:color="44B3E1"/>
              <w:right w:val="nil"/>
            </w:tcBorders>
            <w:shd w:val="clear" w:color="auto" w:fill="156082"/>
            <w:noWrap/>
            <w:vAlign w:val="center"/>
            <w:hideMark/>
          </w:tcPr>
          <w:p w14:paraId="4C76D80C" w14:textId="345CA47E" w:rsidR="006C3241" w:rsidRPr="00392896" w:rsidRDefault="006C3241" w:rsidP="006C3241">
            <w:pPr>
              <w:pStyle w:val="TableHead"/>
              <w:rPr>
                <w:color w:val="FFFFFF" w:themeColor="background1"/>
                <w:position w:val="2"/>
                <w:lang w:val="ar-SA" w:bidi="ar-EG"/>
              </w:rPr>
            </w:pPr>
            <w:r w:rsidRPr="00392896">
              <w:rPr>
                <w:color w:val="FFFFFF" w:themeColor="background1"/>
                <w:position w:val="2"/>
                <w:rtl/>
              </w:rPr>
              <w:t xml:space="preserve">مؤشرات </w:t>
            </w:r>
            <w:r w:rsidR="002F6EBB">
              <w:rPr>
                <w:rFonts w:hint="cs"/>
                <w:color w:val="FFFFFF" w:themeColor="background1"/>
                <w:position w:val="2"/>
                <w:rtl/>
              </w:rPr>
              <w:t>المحصلات</w:t>
            </w:r>
            <w:r w:rsidRPr="00CD218A">
              <w:rPr>
                <w:rStyle w:val="FootnoteReference"/>
                <w:color w:val="FFFFFF" w:themeColor="background1"/>
                <w:rtl/>
              </w:rPr>
              <w:footnoteReference w:id="2"/>
            </w:r>
          </w:p>
        </w:tc>
        <w:tc>
          <w:tcPr>
            <w:tcW w:w="2945" w:type="dxa"/>
            <w:tcBorders>
              <w:top w:val="single" w:sz="4" w:space="0" w:color="44B3E1"/>
              <w:left w:val="nil"/>
              <w:bottom w:val="single" w:sz="4" w:space="0" w:color="44B3E1"/>
              <w:right w:val="nil"/>
            </w:tcBorders>
            <w:shd w:val="clear" w:color="auto" w:fill="156082"/>
            <w:vAlign w:val="center"/>
            <w:hideMark/>
          </w:tcPr>
          <w:p w14:paraId="064B27F1" w14:textId="22FADE2C" w:rsidR="006C3241" w:rsidRPr="00392896" w:rsidRDefault="006C3241" w:rsidP="006C3241">
            <w:pPr>
              <w:pStyle w:val="TableHead"/>
              <w:rPr>
                <w:color w:val="FFFFFF" w:themeColor="background1"/>
                <w:position w:val="2"/>
                <w:lang w:val="ar-SA" w:bidi="ar-EG"/>
              </w:rPr>
            </w:pPr>
            <w:r>
              <w:rPr>
                <w:rFonts w:hint="cs"/>
                <w:color w:val="FFFFFF" w:themeColor="background1"/>
                <w:position w:val="2"/>
                <w:rtl/>
              </w:rPr>
              <w:t>النواتج</w:t>
            </w:r>
            <w:r w:rsidRPr="00392896">
              <w:rPr>
                <w:color w:val="FFFFFF" w:themeColor="background1"/>
                <w:position w:val="2"/>
              </w:rPr>
              <w:br/>
            </w:r>
            <w:r w:rsidRPr="00392896">
              <w:rPr>
                <w:color w:val="FFFFFF" w:themeColor="background1"/>
                <w:position w:val="2"/>
                <w:rtl/>
              </w:rPr>
              <w:t xml:space="preserve">(منتجات وخدمات قطاع تنمية الاتصالات </w:t>
            </w:r>
            <w:r>
              <w:rPr>
                <w:rFonts w:hint="cs"/>
                <w:color w:val="FFFFFF" w:themeColor="background1"/>
                <w:position w:val="2"/>
                <w:rtl/>
              </w:rPr>
              <w:t xml:space="preserve">في </w:t>
            </w:r>
            <w:r w:rsidRPr="00392896">
              <w:rPr>
                <w:color w:val="FFFFFF" w:themeColor="background1"/>
                <w:position w:val="2"/>
                <w:rtl/>
              </w:rPr>
              <w:t>الاتحاد)</w:t>
            </w:r>
          </w:p>
        </w:tc>
        <w:tc>
          <w:tcPr>
            <w:tcW w:w="1631" w:type="dxa"/>
            <w:tcBorders>
              <w:top w:val="single" w:sz="4" w:space="0" w:color="44B3E1"/>
              <w:left w:val="nil"/>
              <w:bottom w:val="single" w:sz="4" w:space="0" w:color="44B3E1"/>
              <w:right w:val="nil"/>
            </w:tcBorders>
            <w:shd w:val="clear" w:color="auto" w:fill="156082"/>
            <w:vAlign w:val="center"/>
            <w:hideMark/>
          </w:tcPr>
          <w:p w14:paraId="0C480B64" w14:textId="77777777" w:rsidR="006C3241" w:rsidRPr="00392896" w:rsidRDefault="006C3241" w:rsidP="006C3241">
            <w:pPr>
              <w:pStyle w:val="TableHead"/>
              <w:rPr>
                <w:color w:val="FFFFFF" w:themeColor="background1"/>
                <w:position w:val="2"/>
                <w:lang w:val="ar-SA" w:bidi="ar-EG"/>
              </w:rPr>
            </w:pPr>
            <w:r w:rsidRPr="00392896">
              <w:rPr>
                <w:color w:val="FFFFFF" w:themeColor="background1"/>
                <w:position w:val="2"/>
                <w:rtl/>
              </w:rPr>
              <w:t>ميزانية عام 2026 (بالفرنكات السويسرية)</w:t>
            </w:r>
          </w:p>
        </w:tc>
        <w:tc>
          <w:tcPr>
            <w:tcW w:w="1631" w:type="dxa"/>
            <w:tcBorders>
              <w:top w:val="single" w:sz="4" w:space="0" w:color="44B3E1"/>
              <w:left w:val="nil"/>
              <w:bottom w:val="single" w:sz="4" w:space="0" w:color="44B3E1"/>
              <w:right w:val="nil"/>
            </w:tcBorders>
            <w:shd w:val="clear" w:color="auto" w:fill="156082"/>
            <w:vAlign w:val="center"/>
            <w:hideMark/>
          </w:tcPr>
          <w:p w14:paraId="42E9AFB4" w14:textId="1E0ECCB8" w:rsidR="006C3241" w:rsidRPr="00392896" w:rsidRDefault="006C3241" w:rsidP="006C3241">
            <w:pPr>
              <w:pStyle w:val="TableHead"/>
              <w:rPr>
                <w:color w:val="FFFFFF" w:themeColor="background1"/>
                <w:position w:val="2"/>
                <w:lang w:val="ar-SA" w:bidi="ar-EG"/>
              </w:rPr>
            </w:pPr>
            <w:r w:rsidRPr="007D6CBD">
              <w:rPr>
                <w:color w:val="FFFFFF" w:themeColor="background1"/>
                <w:position w:val="2"/>
                <w:rtl/>
              </w:rPr>
              <w:t>النسبة المئوية للأولوية/</w:t>
            </w:r>
            <w:r w:rsidRPr="00560437">
              <w:rPr>
                <w:color w:val="FFFFFF" w:themeColor="background1"/>
                <w:position w:val="2"/>
                <w:rtl/>
              </w:rPr>
              <w:t>إجمالي عامل التمكين</w:t>
            </w:r>
          </w:p>
        </w:tc>
        <w:tc>
          <w:tcPr>
            <w:tcW w:w="1631" w:type="dxa"/>
            <w:tcBorders>
              <w:top w:val="single" w:sz="4" w:space="0" w:color="44B3E1"/>
              <w:left w:val="nil"/>
              <w:bottom w:val="single" w:sz="4" w:space="0" w:color="44B3E1"/>
              <w:right w:val="single" w:sz="4" w:space="0" w:color="44B3E1"/>
            </w:tcBorders>
            <w:shd w:val="clear" w:color="auto" w:fill="156082"/>
            <w:vAlign w:val="center"/>
            <w:hideMark/>
          </w:tcPr>
          <w:p w14:paraId="1A0664F5" w14:textId="77777777" w:rsidR="006C3241" w:rsidRPr="00392896" w:rsidRDefault="006C3241" w:rsidP="006C3241">
            <w:pPr>
              <w:pStyle w:val="TableHead"/>
              <w:rPr>
                <w:color w:val="FFFFFF" w:themeColor="background1"/>
                <w:position w:val="2"/>
                <w:lang w:val="ar-SA" w:bidi="ar-EG"/>
              </w:rPr>
            </w:pPr>
            <w:r w:rsidRPr="00392896">
              <w:rPr>
                <w:color w:val="FFFFFF" w:themeColor="background1"/>
                <w:position w:val="2"/>
                <w:rtl/>
              </w:rPr>
              <w:t xml:space="preserve">النسبة المئوية من إجمالي الميزانية </w:t>
            </w:r>
          </w:p>
        </w:tc>
      </w:tr>
      <w:tr w:rsidR="006C3241" w:rsidRPr="00C23B5E" w14:paraId="54C3EFC1" w14:textId="77777777" w:rsidTr="006C3241">
        <w:tc>
          <w:tcPr>
            <w:tcW w:w="4804" w:type="dxa"/>
            <w:gridSpan w:val="2"/>
            <w:tcBorders>
              <w:top w:val="single" w:sz="4" w:space="0" w:color="44B3E1"/>
              <w:left w:val="single" w:sz="4" w:space="0" w:color="44B3E1"/>
              <w:bottom w:val="single" w:sz="4" w:space="0" w:color="44B3E1"/>
              <w:right w:val="nil"/>
            </w:tcBorders>
            <w:shd w:val="clear" w:color="auto" w:fill="C0E6F5"/>
            <w:vAlign w:val="bottom"/>
            <w:hideMark/>
          </w:tcPr>
          <w:p w14:paraId="26BAFF4F" w14:textId="650D5DF2" w:rsidR="006C3241" w:rsidRPr="00392896" w:rsidRDefault="006C3241" w:rsidP="006C3241">
            <w:pPr>
              <w:pStyle w:val="Tabletexte"/>
              <w:rPr>
                <w:b/>
                <w:bCs/>
                <w:position w:val="2"/>
                <w:lang w:bidi="ar-EG"/>
              </w:rPr>
            </w:pPr>
            <w:r w:rsidRPr="00392896">
              <w:rPr>
                <w:b/>
                <w:bCs/>
                <w:position w:val="2"/>
                <w:rtl/>
              </w:rPr>
              <w:t>التحول الرقمي</w:t>
            </w:r>
            <w:r>
              <w:rPr>
                <w:rFonts w:hint="cs"/>
                <w:b/>
                <w:bCs/>
                <w:position w:val="2"/>
                <w:rtl/>
              </w:rPr>
              <w:t xml:space="preserve"> (إجمالاً)</w:t>
            </w:r>
          </w:p>
        </w:tc>
        <w:tc>
          <w:tcPr>
            <w:tcW w:w="2945" w:type="dxa"/>
            <w:tcBorders>
              <w:top w:val="single" w:sz="4" w:space="0" w:color="44B3E1"/>
              <w:left w:val="nil"/>
              <w:bottom w:val="single" w:sz="4" w:space="0" w:color="44B3E1"/>
              <w:right w:val="nil"/>
            </w:tcBorders>
            <w:shd w:val="clear" w:color="auto" w:fill="C0E6F5"/>
            <w:noWrap/>
            <w:vAlign w:val="bottom"/>
            <w:hideMark/>
          </w:tcPr>
          <w:p w14:paraId="6EE14B98" w14:textId="77777777" w:rsidR="006C3241" w:rsidRPr="00392896" w:rsidRDefault="006C3241" w:rsidP="006C3241">
            <w:pPr>
              <w:pStyle w:val="Tabletexte"/>
              <w:rPr>
                <w:b/>
                <w:bCs/>
                <w:position w:val="2"/>
                <w:lang w:bidi="ar-EG"/>
              </w:rPr>
            </w:pPr>
          </w:p>
        </w:tc>
        <w:tc>
          <w:tcPr>
            <w:tcW w:w="2945" w:type="dxa"/>
            <w:tcBorders>
              <w:top w:val="single" w:sz="4" w:space="0" w:color="44B3E1"/>
              <w:left w:val="nil"/>
              <w:bottom w:val="single" w:sz="4" w:space="0" w:color="44B3E1"/>
              <w:right w:val="nil"/>
            </w:tcBorders>
            <w:shd w:val="clear" w:color="auto" w:fill="C0E6F5"/>
            <w:noWrap/>
            <w:vAlign w:val="bottom"/>
            <w:hideMark/>
          </w:tcPr>
          <w:p w14:paraId="541DF483" w14:textId="77777777" w:rsidR="006C3241" w:rsidRPr="00392896" w:rsidRDefault="006C3241" w:rsidP="006C3241">
            <w:pPr>
              <w:pStyle w:val="Tabletexte"/>
              <w:rPr>
                <w:b/>
                <w:bCs/>
                <w:position w:val="2"/>
                <w:lang w:bidi="ar-EG"/>
              </w:rPr>
            </w:pPr>
          </w:p>
        </w:tc>
        <w:tc>
          <w:tcPr>
            <w:tcW w:w="1631" w:type="dxa"/>
            <w:tcBorders>
              <w:top w:val="single" w:sz="4" w:space="0" w:color="44B3E1"/>
              <w:left w:val="nil"/>
              <w:bottom w:val="single" w:sz="4" w:space="0" w:color="44B3E1"/>
              <w:right w:val="nil"/>
            </w:tcBorders>
            <w:shd w:val="clear" w:color="auto" w:fill="C0E6F5"/>
            <w:noWrap/>
            <w:vAlign w:val="center"/>
            <w:hideMark/>
          </w:tcPr>
          <w:p w14:paraId="1C3A2DD1" w14:textId="0AD38C89" w:rsidR="006C3241" w:rsidRPr="00392896" w:rsidRDefault="00AC68CA" w:rsidP="006C3241">
            <w:pPr>
              <w:pStyle w:val="Tabletexte"/>
              <w:rPr>
                <w:b/>
                <w:bCs/>
                <w:position w:val="2"/>
                <w:lang w:val="ar-SA" w:bidi="ar-EG"/>
              </w:rPr>
            </w:pPr>
            <w:r>
              <w:rPr>
                <w:b/>
                <w:bCs/>
                <w:position w:val="2"/>
              </w:rPr>
              <w:t>899 500</w:t>
            </w:r>
          </w:p>
        </w:tc>
        <w:tc>
          <w:tcPr>
            <w:tcW w:w="1631" w:type="dxa"/>
            <w:tcBorders>
              <w:top w:val="single" w:sz="4" w:space="0" w:color="44B3E1"/>
              <w:left w:val="nil"/>
              <w:bottom w:val="single" w:sz="4" w:space="0" w:color="44B3E1"/>
              <w:right w:val="nil"/>
            </w:tcBorders>
            <w:shd w:val="clear" w:color="auto" w:fill="C0E6F5"/>
            <w:vAlign w:val="center"/>
            <w:hideMark/>
          </w:tcPr>
          <w:p w14:paraId="7EFC77CC" w14:textId="77777777" w:rsidR="006C3241" w:rsidRPr="00392896" w:rsidRDefault="006C3241" w:rsidP="006C3241">
            <w:pPr>
              <w:pStyle w:val="Tabletexte"/>
              <w:rPr>
                <w:b/>
                <w:bCs/>
                <w:position w:val="2"/>
                <w:lang w:bidi="ar-EG"/>
              </w:rPr>
            </w:pPr>
          </w:p>
        </w:tc>
        <w:tc>
          <w:tcPr>
            <w:tcW w:w="1631" w:type="dxa"/>
            <w:tcBorders>
              <w:top w:val="single" w:sz="4" w:space="0" w:color="44B3E1"/>
              <w:left w:val="nil"/>
              <w:bottom w:val="single" w:sz="4" w:space="0" w:color="44B3E1"/>
              <w:right w:val="single" w:sz="4" w:space="0" w:color="44B3E1"/>
            </w:tcBorders>
            <w:shd w:val="clear" w:color="auto" w:fill="C0E6F5"/>
            <w:noWrap/>
            <w:vAlign w:val="center"/>
            <w:hideMark/>
          </w:tcPr>
          <w:p w14:paraId="368CDB40" w14:textId="5F7B7DE9" w:rsidR="006C3241" w:rsidRPr="00392896" w:rsidRDefault="006C3241" w:rsidP="006C3241">
            <w:pPr>
              <w:pStyle w:val="Tabletexte"/>
              <w:rPr>
                <w:b/>
                <w:bCs/>
                <w:position w:val="2"/>
                <w:lang w:val="ar-SA" w:bidi="ar-EG"/>
              </w:rPr>
            </w:pPr>
            <w:r>
              <w:rPr>
                <w:b/>
                <w:bCs/>
                <w:position w:val="2"/>
                <w:lang w:bidi="ar-EG"/>
              </w:rPr>
              <w:t>%</w:t>
            </w:r>
            <w:r w:rsidR="00AC68CA">
              <w:rPr>
                <w:b/>
                <w:bCs/>
                <w:position w:val="2"/>
                <w:lang w:bidi="ar-EG"/>
              </w:rPr>
              <w:t>23,</w:t>
            </w:r>
            <w:r w:rsidR="00F36C6E">
              <w:rPr>
                <w:b/>
                <w:bCs/>
                <w:position w:val="2"/>
                <w:lang w:bidi="ar-EG"/>
              </w:rPr>
              <w:t>59</w:t>
            </w:r>
          </w:p>
        </w:tc>
      </w:tr>
      <w:tr w:rsidR="006C3241" w:rsidRPr="00C23B5E" w14:paraId="5AD670B1" w14:textId="77777777" w:rsidTr="006C3241">
        <w:tc>
          <w:tcPr>
            <w:tcW w:w="1861" w:type="dxa"/>
            <w:tcBorders>
              <w:top w:val="single" w:sz="4" w:space="0" w:color="44B3E1"/>
              <w:left w:val="single" w:sz="4" w:space="0" w:color="44B3E1"/>
              <w:bottom w:val="single" w:sz="4" w:space="0" w:color="44B3E1"/>
              <w:right w:val="nil"/>
            </w:tcBorders>
            <w:hideMark/>
          </w:tcPr>
          <w:p w14:paraId="7BD1A038" w14:textId="77777777" w:rsidR="006C3241" w:rsidRPr="00392896" w:rsidRDefault="006C3241" w:rsidP="006C3241">
            <w:pPr>
              <w:pStyle w:val="Tabletexte"/>
              <w:jc w:val="left"/>
              <w:rPr>
                <w:b/>
                <w:bCs/>
                <w:position w:val="2"/>
                <w:lang w:val="ar-SA" w:bidi="ar-EG"/>
              </w:rPr>
            </w:pPr>
            <w:r w:rsidRPr="00392896">
              <w:rPr>
                <w:b/>
                <w:bCs/>
                <w:position w:val="2"/>
                <w:rtl/>
              </w:rPr>
              <w:t>النظام الإيكولوجي للابتكار الرقمي</w:t>
            </w:r>
          </w:p>
        </w:tc>
        <w:tc>
          <w:tcPr>
            <w:tcW w:w="2943" w:type="dxa"/>
            <w:tcBorders>
              <w:top w:val="single" w:sz="4" w:space="0" w:color="44B3E1"/>
              <w:left w:val="nil"/>
              <w:bottom w:val="single" w:sz="4" w:space="0" w:color="44B3E1"/>
              <w:right w:val="nil"/>
            </w:tcBorders>
            <w:hideMark/>
          </w:tcPr>
          <w:p w14:paraId="33FC6DC5" w14:textId="1204B36C" w:rsidR="006C3241" w:rsidRPr="00CD218A" w:rsidRDefault="006C3241" w:rsidP="006C3241">
            <w:pPr>
              <w:pStyle w:val="Tabletexte"/>
              <w:ind w:left="317" w:hanging="317"/>
              <w:jc w:val="left"/>
              <w:rPr>
                <w:spacing w:val="-4"/>
                <w:position w:val="2"/>
              </w:rPr>
            </w:pPr>
            <w:r w:rsidRPr="00CD218A">
              <w:rPr>
                <w:spacing w:val="-4"/>
                <w:position w:val="2"/>
              </w:rPr>
              <w:sym w:font="Wingdings 2" w:char="F097"/>
            </w:r>
            <w:r w:rsidRPr="00CD218A">
              <w:rPr>
                <w:spacing w:val="-4"/>
                <w:position w:val="2"/>
                <w:rtl/>
              </w:rPr>
              <w:tab/>
              <w:t>تعزيز القدرات الوطنية لتطوير الاتصالات/تكنولوجيات المعلومات والاتصالات المحلية واعتمادها</w:t>
            </w:r>
          </w:p>
          <w:p w14:paraId="760BE7EB" w14:textId="0B5F7493" w:rsidR="006C3241" w:rsidRPr="00392896" w:rsidRDefault="006C3241" w:rsidP="006C3241">
            <w:pPr>
              <w:pStyle w:val="Tabletexte"/>
              <w:ind w:left="317" w:hanging="317"/>
              <w:jc w:val="left"/>
              <w:rPr>
                <w:position w:val="2"/>
              </w:rPr>
            </w:pPr>
            <w:r w:rsidRPr="007D6CBD">
              <w:rPr>
                <w:position w:val="2"/>
              </w:rPr>
              <w:sym w:font="Wingdings 2" w:char="F097"/>
            </w:r>
            <w:r w:rsidRPr="00392896">
              <w:rPr>
                <w:spacing w:val="-6"/>
                <w:position w:val="2"/>
                <w:rtl/>
              </w:rPr>
              <w:tab/>
              <w:t>‏تقوية القدرة على وضع وإدماج الابتكار بشأن الاتصالات/تكنولوجيا المعلومات والاتصالات والرقمنة في خطط التنمية الوطنية</w:t>
            </w:r>
          </w:p>
        </w:tc>
        <w:tc>
          <w:tcPr>
            <w:tcW w:w="2945" w:type="dxa"/>
            <w:tcBorders>
              <w:top w:val="single" w:sz="4" w:space="0" w:color="44B3E1"/>
              <w:left w:val="nil"/>
              <w:bottom w:val="single" w:sz="4" w:space="0" w:color="44B3E1"/>
              <w:right w:val="nil"/>
            </w:tcBorders>
            <w:hideMark/>
          </w:tcPr>
          <w:p w14:paraId="41CD1BE8" w14:textId="417EA49F" w:rsidR="006C3241" w:rsidRPr="00392896" w:rsidRDefault="006C3241" w:rsidP="006C3241">
            <w:pPr>
              <w:pStyle w:val="Tabletexte"/>
              <w:ind w:left="317" w:hanging="317"/>
              <w:jc w:val="left"/>
              <w:rPr>
                <w:position w:val="2"/>
              </w:rPr>
            </w:pPr>
            <w:r w:rsidRPr="007D6CBD">
              <w:rPr>
                <w:position w:val="2"/>
              </w:rPr>
              <w:sym w:font="Wingdings 2" w:char="F097"/>
            </w:r>
            <w:r w:rsidRPr="007D6CBD">
              <w:rPr>
                <w:position w:val="2"/>
                <w:rtl/>
              </w:rPr>
              <w:tab/>
            </w:r>
            <w:r w:rsidRPr="00392896">
              <w:rPr>
                <w:spacing w:val="-6"/>
                <w:position w:val="2"/>
                <w:rtl/>
              </w:rPr>
              <w:t>عدد الدول الأعضاء التي اعتمدت استراتيجيات ومبادرات للابتكار تتعلق بالاتصالات/تكنولوجيا المعلومات والاتصالات</w:t>
            </w:r>
          </w:p>
          <w:p w14:paraId="74B45EBB" w14:textId="450858F4" w:rsidR="006C3241" w:rsidRPr="00392896" w:rsidRDefault="006C3241" w:rsidP="006C3241">
            <w:pPr>
              <w:pStyle w:val="Tabletexte"/>
              <w:ind w:left="317" w:hanging="317"/>
              <w:jc w:val="left"/>
              <w:rPr>
                <w:position w:val="2"/>
              </w:rPr>
            </w:pPr>
            <w:r w:rsidRPr="007D6CBD">
              <w:rPr>
                <w:position w:val="2"/>
              </w:rPr>
              <w:sym w:font="Wingdings 2" w:char="F097"/>
            </w:r>
            <w:r w:rsidRPr="007D6CBD">
              <w:rPr>
                <w:position w:val="2"/>
                <w:rtl/>
              </w:rPr>
              <w:tab/>
            </w:r>
            <w:r w:rsidRPr="00392896">
              <w:rPr>
                <w:spacing w:val="-6"/>
                <w:position w:val="2"/>
                <w:rtl/>
              </w:rPr>
              <w:t>عدد الدول الأعضاء التي اعتمدت سياسات متعددة القطاعات على المستوى الوطني بشأن التحول</w:t>
            </w:r>
            <w:r w:rsidR="00012C74">
              <w:rPr>
                <w:rFonts w:hint="cs"/>
                <w:spacing w:val="-6"/>
                <w:position w:val="2"/>
                <w:rtl/>
              </w:rPr>
              <w:t xml:space="preserve"> </w:t>
            </w:r>
            <w:r w:rsidR="00012C74">
              <w:rPr>
                <w:rFonts w:hint="cs"/>
                <w:spacing w:val="-6"/>
                <w:position w:val="2"/>
                <w:rtl/>
                <w:lang w:bidi="ar-EG"/>
              </w:rPr>
              <w:t>الرقمي</w:t>
            </w:r>
            <w:r w:rsidRPr="00392896">
              <w:rPr>
                <w:spacing w:val="-6"/>
                <w:position w:val="2"/>
                <w:rtl/>
              </w:rPr>
              <w:t>/التنمية الرقمية</w:t>
            </w:r>
          </w:p>
        </w:tc>
        <w:tc>
          <w:tcPr>
            <w:tcW w:w="2945" w:type="dxa"/>
            <w:tcBorders>
              <w:top w:val="single" w:sz="4" w:space="0" w:color="44B3E1"/>
              <w:left w:val="nil"/>
              <w:bottom w:val="single" w:sz="4" w:space="0" w:color="44B3E1"/>
              <w:right w:val="nil"/>
            </w:tcBorders>
            <w:hideMark/>
          </w:tcPr>
          <w:p w14:paraId="46A328C4" w14:textId="52DBF2DC" w:rsidR="006C3241" w:rsidRPr="00392896" w:rsidRDefault="006C3241" w:rsidP="006C3241">
            <w:pPr>
              <w:pStyle w:val="Tabletexte"/>
              <w:ind w:left="317" w:hanging="317"/>
              <w:jc w:val="left"/>
              <w:rPr>
                <w:position w:val="2"/>
                <w:rtl/>
              </w:rPr>
            </w:pPr>
            <w:r w:rsidRPr="007D6CBD">
              <w:rPr>
                <w:position w:val="2"/>
              </w:rPr>
              <w:sym w:font="Wingdings 2" w:char="F097"/>
            </w:r>
            <w:r w:rsidRPr="007D6CBD">
              <w:rPr>
                <w:position w:val="2"/>
                <w:rtl/>
              </w:rPr>
              <w:tab/>
            </w:r>
            <w:r w:rsidRPr="00392896">
              <w:rPr>
                <w:position w:val="2"/>
                <w:rtl/>
              </w:rPr>
              <w:t>أطر التعلم</w:t>
            </w:r>
          </w:p>
          <w:p w14:paraId="7C5FB25A" w14:textId="47B1282F" w:rsidR="006C3241" w:rsidRPr="00CD218A" w:rsidRDefault="006C3241" w:rsidP="006C3241">
            <w:pPr>
              <w:pStyle w:val="Tabletexte"/>
              <w:ind w:left="317" w:hanging="317"/>
              <w:jc w:val="left"/>
              <w:rPr>
                <w:spacing w:val="-4"/>
                <w:position w:val="2"/>
                <w:rtl/>
              </w:rPr>
            </w:pPr>
            <w:r w:rsidRPr="00CD218A">
              <w:rPr>
                <w:spacing w:val="-4"/>
                <w:position w:val="2"/>
              </w:rPr>
              <w:sym w:font="Wingdings 2" w:char="F097"/>
            </w:r>
            <w:r w:rsidRPr="00CD218A">
              <w:rPr>
                <w:spacing w:val="-4"/>
                <w:position w:val="2"/>
                <w:rtl/>
              </w:rPr>
              <w:tab/>
              <w:t>السياسات والاستراتيجيات النموذجية ومجموعات الأدوات</w:t>
            </w:r>
          </w:p>
          <w:p w14:paraId="7E4A2E03" w14:textId="4F8C3994" w:rsidR="006C3241" w:rsidRPr="00392896" w:rsidRDefault="006C3241" w:rsidP="006C3241">
            <w:pPr>
              <w:pStyle w:val="Tabletexte"/>
              <w:ind w:left="317" w:hanging="317"/>
              <w:jc w:val="left"/>
              <w:rPr>
                <w:position w:val="2"/>
              </w:rPr>
            </w:pPr>
            <w:r w:rsidRPr="007D6CBD">
              <w:rPr>
                <w:position w:val="2"/>
              </w:rPr>
              <w:sym w:font="Wingdings 2" w:char="F097"/>
            </w:r>
            <w:r w:rsidRPr="007D6CBD">
              <w:rPr>
                <w:position w:val="2"/>
                <w:rtl/>
              </w:rPr>
              <w:tab/>
            </w:r>
            <w:r w:rsidRPr="00392896">
              <w:rPr>
                <w:position w:val="2"/>
                <w:rtl/>
              </w:rPr>
              <w:t>التدخلات التقنية</w:t>
            </w:r>
          </w:p>
        </w:tc>
        <w:tc>
          <w:tcPr>
            <w:tcW w:w="1631" w:type="dxa"/>
            <w:tcBorders>
              <w:top w:val="single" w:sz="4" w:space="0" w:color="44B3E1"/>
              <w:left w:val="nil"/>
              <w:bottom w:val="single" w:sz="4" w:space="0" w:color="44B3E1"/>
              <w:right w:val="nil"/>
            </w:tcBorders>
            <w:noWrap/>
            <w:hideMark/>
          </w:tcPr>
          <w:p w14:paraId="7ED42B16" w14:textId="4238797C" w:rsidR="006C3241" w:rsidRPr="00392896" w:rsidRDefault="00AC68CA" w:rsidP="006C3241">
            <w:pPr>
              <w:pStyle w:val="Tabletexte"/>
              <w:jc w:val="left"/>
              <w:rPr>
                <w:position w:val="2"/>
              </w:rPr>
            </w:pPr>
            <w:r>
              <w:rPr>
                <w:position w:val="2"/>
              </w:rPr>
              <w:t>339 500</w:t>
            </w:r>
          </w:p>
        </w:tc>
        <w:tc>
          <w:tcPr>
            <w:tcW w:w="1631" w:type="dxa"/>
            <w:tcBorders>
              <w:top w:val="single" w:sz="4" w:space="0" w:color="44B3E1"/>
              <w:left w:val="nil"/>
              <w:bottom w:val="single" w:sz="4" w:space="0" w:color="44B3E1"/>
              <w:right w:val="nil"/>
            </w:tcBorders>
            <w:hideMark/>
          </w:tcPr>
          <w:p w14:paraId="2C85F0E4" w14:textId="37E527EE" w:rsidR="006C3241" w:rsidRPr="00392896" w:rsidRDefault="006C3241" w:rsidP="006C3241">
            <w:pPr>
              <w:pStyle w:val="Tabletexte"/>
              <w:jc w:val="left"/>
              <w:rPr>
                <w:position w:val="2"/>
              </w:rPr>
            </w:pPr>
            <w:r>
              <w:rPr>
                <w:position w:val="2"/>
              </w:rPr>
              <w:t>%</w:t>
            </w:r>
            <w:r w:rsidR="00AC68CA">
              <w:rPr>
                <w:position w:val="2"/>
              </w:rPr>
              <w:t>37,7</w:t>
            </w:r>
          </w:p>
        </w:tc>
        <w:tc>
          <w:tcPr>
            <w:tcW w:w="1631" w:type="dxa"/>
            <w:tcBorders>
              <w:top w:val="single" w:sz="4" w:space="0" w:color="44B3E1"/>
              <w:left w:val="nil"/>
              <w:bottom w:val="single" w:sz="4" w:space="0" w:color="44B3E1"/>
              <w:right w:val="single" w:sz="4" w:space="0" w:color="44B3E1"/>
            </w:tcBorders>
            <w:noWrap/>
            <w:hideMark/>
          </w:tcPr>
          <w:p w14:paraId="29772515" w14:textId="196DA083" w:rsidR="006C3241" w:rsidRPr="00392896" w:rsidRDefault="006C3241" w:rsidP="006C3241">
            <w:pPr>
              <w:pStyle w:val="Tabletexte"/>
              <w:jc w:val="left"/>
              <w:rPr>
                <w:position w:val="2"/>
              </w:rPr>
            </w:pPr>
            <w:r>
              <w:rPr>
                <w:position w:val="2"/>
              </w:rPr>
              <w:t>%</w:t>
            </w:r>
            <w:r w:rsidR="00AC68CA">
              <w:rPr>
                <w:position w:val="2"/>
              </w:rPr>
              <w:t>8,9</w:t>
            </w:r>
          </w:p>
        </w:tc>
      </w:tr>
      <w:tr w:rsidR="006C3241" w:rsidRPr="00C23B5E" w14:paraId="397E35A4" w14:textId="77777777" w:rsidTr="006C3241">
        <w:tc>
          <w:tcPr>
            <w:tcW w:w="1861" w:type="dxa"/>
            <w:tcBorders>
              <w:top w:val="single" w:sz="4" w:space="0" w:color="44B3E1"/>
              <w:left w:val="single" w:sz="4" w:space="0" w:color="44B3E1"/>
              <w:bottom w:val="single" w:sz="4" w:space="0" w:color="44B3E1"/>
              <w:right w:val="nil"/>
            </w:tcBorders>
            <w:shd w:val="clear" w:color="auto" w:fill="C0E6F5"/>
            <w:hideMark/>
          </w:tcPr>
          <w:p w14:paraId="6FAE1CE0" w14:textId="77777777" w:rsidR="006C3241" w:rsidRPr="00392896" w:rsidRDefault="006C3241" w:rsidP="006C3241">
            <w:pPr>
              <w:pStyle w:val="Tabletexte"/>
              <w:jc w:val="left"/>
              <w:rPr>
                <w:b/>
                <w:bCs/>
                <w:position w:val="2"/>
                <w:lang w:val="ar-SA" w:bidi="ar-EG"/>
              </w:rPr>
            </w:pPr>
            <w:r w:rsidRPr="00392896">
              <w:rPr>
                <w:b/>
                <w:bCs/>
                <w:position w:val="2"/>
                <w:rtl/>
              </w:rPr>
              <w:t>الخدمات والتطبيقات الرقمية</w:t>
            </w:r>
          </w:p>
        </w:tc>
        <w:tc>
          <w:tcPr>
            <w:tcW w:w="2943" w:type="dxa"/>
            <w:tcBorders>
              <w:top w:val="single" w:sz="4" w:space="0" w:color="44B3E1"/>
              <w:left w:val="nil"/>
              <w:bottom w:val="single" w:sz="4" w:space="0" w:color="44B3E1"/>
              <w:right w:val="nil"/>
            </w:tcBorders>
            <w:shd w:val="clear" w:color="auto" w:fill="C0E6F5"/>
            <w:hideMark/>
          </w:tcPr>
          <w:p w14:paraId="0596B0C5" w14:textId="361BA3F9" w:rsidR="006C3241" w:rsidRPr="00392896" w:rsidRDefault="006C3241" w:rsidP="006C3241">
            <w:pPr>
              <w:pStyle w:val="Tabletexte"/>
              <w:ind w:left="317" w:hanging="317"/>
              <w:jc w:val="left"/>
              <w:rPr>
                <w:spacing w:val="-4"/>
                <w:position w:val="2"/>
              </w:rPr>
            </w:pPr>
            <w:r w:rsidRPr="00392896">
              <w:rPr>
                <w:spacing w:val="-4"/>
                <w:position w:val="2"/>
              </w:rPr>
              <w:sym w:font="Wingdings 2" w:char="F097"/>
            </w:r>
            <w:r w:rsidRPr="00392896">
              <w:rPr>
                <w:spacing w:val="-4"/>
                <w:position w:val="2"/>
                <w:rtl/>
              </w:rPr>
              <w:tab/>
              <w:t>تعزيز القدرة على تسريع التحول الرقمي والتنمية المستدامة من خلال الاستفادة من الاتصالات/تكنولوجيا</w:t>
            </w:r>
            <w:r w:rsidR="001D53ED">
              <w:rPr>
                <w:rFonts w:hint="cs"/>
                <w:spacing w:val="-4"/>
                <w:position w:val="2"/>
                <w:rtl/>
              </w:rPr>
              <w:t>ت</w:t>
            </w:r>
            <w:r w:rsidRPr="00392896">
              <w:rPr>
                <w:spacing w:val="-4"/>
                <w:position w:val="2"/>
                <w:rtl/>
              </w:rPr>
              <w:t xml:space="preserve"> المعلومات والاتصالات وخدماتها الجديدة وتلك الناشئة واستخدامها</w:t>
            </w:r>
          </w:p>
        </w:tc>
        <w:tc>
          <w:tcPr>
            <w:tcW w:w="2945" w:type="dxa"/>
            <w:tcBorders>
              <w:top w:val="single" w:sz="4" w:space="0" w:color="44B3E1"/>
              <w:left w:val="nil"/>
              <w:bottom w:val="single" w:sz="4" w:space="0" w:color="44B3E1"/>
              <w:right w:val="nil"/>
            </w:tcBorders>
            <w:shd w:val="clear" w:color="auto" w:fill="C0E6F5"/>
            <w:hideMark/>
          </w:tcPr>
          <w:p w14:paraId="333CFCD2" w14:textId="783DE580" w:rsidR="006C3241" w:rsidRPr="00392896" w:rsidRDefault="006C3241" w:rsidP="006C3241">
            <w:pPr>
              <w:pStyle w:val="Tabletexte"/>
              <w:ind w:left="317" w:hanging="317"/>
              <w:jc w:val="left"/>
              <w:rPr>
                <w:position w:val="2"/>
              </w:rPr>
            </w:pPr>
            <w:r w:rsidRPr="007D6CBD">
              <w:rPr>
                <w:position w:val="2"/>
              </w:rPr>
              <w:sym w:font="Wingdings 2" w:char="F097"/>
            </w:r>
            <w:r w:rsidRPr="007D6CBD">
              <w:rPr>
                <w:position w:val="2"/>
                <w:rtl/>
              </w:rPr>
              <w:tab/>
            </w:r>
            <w:r w:rsidRPr="00392896">
              <w:rPr>
                <w:position w:val="2"/>
                <w:rtl/>
              </w:rPr>
              <w:t>عدد الدول الأعضاء التي اعتمدت استراتيجية قطاعية رقمية على الصعيد الوطني</w:t>
            </w:r>
          </w:p>
        </w:tc>
        <w:tc>
          <w:tcPr>
            <w:tcW w:w="2945" w:type="dxa"/>
            <w:tcBorders>
              <w:top w:val="single" w:sz="4" w:space="0" w:color="44B3E1"/>
              <w:left w:val="nil"/>
              <w:bottom w:val="single" w:sz="4" w:space="0" w:color="44B3E1"/>
              <w:right w:val="nil"/>
            </w:tcBorders>
            <w:shd w:val="clear" w:color="auto" w:fill="C0E6F5"/>
            <w:hideMark/>
          </w:tcPr>
          <w:p w14:paraId="632A0EE0" w14:textId="77777777" w:rsidR="006C3241" w:rsidRDefault="006C3241" w:rsidP="006C3241">
            <w:pPr>
              <w:pStyle w:val="Tabletexte"/>
              <w:ind w:left="317" w:hanging="317"/>
              <w:jc w:val="left"/>
              <w:rPr>
                <w:position w:val="2"/>
                <w:rtl/>
              </w:rPr>
            </w:pPr>
            <w:r w:rsidRPr="007D6CBD">
              <w:rPr>
                <w:position w:val="2"/>
              </w:rPr>
              <w:sym w:font="Wingdings 2" w:char="F097"/>
            </w:r>
            <w:r w:rsidRPr="007D6CBD">
              <w:rPr>
                <w:position w:val="2"/>
                <w:rtl/>
              </w:rPr>
              <w:tab/>
            </w:r>
            <w:r w:rsidRPr="00392896">
              <w:rPr>
                <w:position w:val="2"/>
                <w:rtl/>
              </w:rPr>
              <w:t>أطر التعلم</w:t>
            </w:r>
          </w:p>
          <w:p w14:paraId="5124B22B" w14:textId="686E1BB6" w:rsidR="006C3241" w:rsidRPr="00392896" w:rsidRDefault="006C3241" w:rsidP="006C3241">
            <w:pPr>
              <w:pStyle w:val="Tabletexte"/>
              <w:ind w:left="317" w:hanging="317"/>
              <w:jc w:val="left"/>
              <w:rPr>
                <w:position w:val="2"/>
                <w:rtl/>
              </w:rPr>
            </w:pPr>
            <w:r w:rsidRPr="007D6CBD">
              <w:rPr>
                <w:position w:val="2"/>
              </w:rPr>
              <w:sym w:font="Wingdings 2" w:char="F097"/>
            </w:r>
            <w:r w:rsidRPr="007D6CBD">
              <w:rPr>
                <w:position w:val="2"/>
                <w:rtl/>
              </w:rPr>
              <w:tab/>
            </w:r>
            <w:r w:rsidRPr="00392896">
              <w:rPr>
                <w:position w:val="2"/>
                <w:rtl/>
              </w:rPr>
              <w:t>منصات عقد الاجتماعات</w:t>
            </w:r>
          </w:p>
          <w:p w14:paraId="07D3EF8B" w14:textId="684085D7" w:rsidR="006C3241" w:rsidRPr="00392896" w:rsidRDefault="006C3241" w:rsidP="006C3241">
            <w:pPr>
              <w:pStyle w:val="Tabletexte"/>
              <w:ind w:left="317" w:hanging="317"/>
              <w:jc w:val="left"/>
              <w:rPr>
                <w:spacing w:val="-6"/>
                <w:position w:val="2"/>
                <w:rtl/>
              </w:rPr>
            </w:pPr>
            <w:r w:rsidRPr="00392896">
              <w:rPr>
                <w:spacing w:val="-6"/>
                <w:position w:val="2"/>
              </w:rPr>
              <w:sym w:font="Wingdings 2" w:char="F097"/>
            </w:r>
            <w:r w:rsidRPr="00392896">
              <w:rPr>
                <w:spacing w:val="-6"/>
                <w:position w:val="2"/>
                <w:rtl/>
              </w:rPr>
              <w:tab/>
              <w:t>السياسات والاستراتيجيات النموذجية ومجموعات الأدوات</w:t>
            </w:r>
          </w:p>
          <w:p w14:paraId="68996BC1" w14:textId="73B78C75" w:rsidR="006C3241" w:rsidRPr="00392896" w:rsidRDefault="006C3241" w:rsidP="006C3241">
            <w:pPr>
              <w:pStyle w:val="Tabletexte"/>
              <w:ind w:left="317" w:hanging="317"/>
              <w:jc w:val="left"/>
              <w:rPr>
                <w:position w:val="2"/>
              </w:rPr>
            </w:pPr>
            <w:r w:rsidRPr="007D6CBD">
              <w:rPr>
                <w:position w:val="2"/>
              </w:rPr>
              <w:sym w:font="Wingdings 2" w:char="F097"/>
            </w:r>
            <w:r w:rsidRPr="007D6CBD">
              <w:rPr>
                <w:position w:val="2"/>
                <w:rtl/>
              </w:rPr>
              <w:tab/>
            </w:r>
            <w:r w:rsidRPr="00392896">
              <w:rPr>
                <w:position w:val="2"/>
                <w:rtl/>
              </w:rPr>
              <w:t>التدخلات التقنية</w:t>
            </w:r>
          </w:p>
        </w:tc>
        <w:tc>
          <w:tcPr>
            <w:tcW w:w="1631" w:type="dxa"/>
            <w:tcBorders>
              <w:top w:val="single" w:sz="4" w:space="0" w:color="44B3E1"/>
              <w:left w:val="nil"/>
              <w:bottom w:val="single" w:sz="4" w:space="0" w:color="44B3E1"/>
              <w:right w:val="nil"/>
            </w:tcBorders>
            <w:shd w:val="clear" w:color="auto" w:fill="C0E6F5"/>
            <w:noWrap/>
            <w:hideMark/>
          </w:tcPr>
          <w:p w14:paraId="60C7B728" w14:textId="72EC378F" w:rsidR="006C3241" w:rsidRPr="00392896" w:rsidRDefault="00AC68CA" w:rsidP="006C3241">
            <w:pPr>
              <w:pStyle w:val="Tabletexte"/>
              <w:jc w:val="left"/>
              <w:rPr>
                <w:position w:val="2"/>
              </w:rPr>
            </w:pPr>
            <w:r>
              <w:rPr>
                <w:position w:val="2"/>
              </w:rPr>
              <w:t>99 000</w:t>
            </w:r>
          </w:p>
        </w:tc>
        <w:tc>
          <w:tcPr>
            <w:tcW w:w="1631" w:type="dxa"/>
            <w:tcBorders>
              <w:top w:val="single" w:sz="4" w:space="0" w:color="44B3E1"/>
              <w:left w:val="nil"/>
              <w:bottom w:val="single" w:sz="4" w:space="0" w:color="44B3E1"/>
              <w:right w:val="nil"/>
            </w:tcBorders>
            <w:shd w:val="clear" w:color="auto" w:fill="C0E6F5"/>
            <w:hideMark/>
          </w:tcPr>
          <w:p w14:paraId="68CA76E2" w14:textId="417FC549" w:rsidR="006C3241" w:rsidRPr="00392896" w:rsidRDefault="006C3241" w:rsidP="006C3241">
            <w:pPr>
              <w:pStyle w:val="Tabletexte"/>
              <w:jc w:val="left"/>
              <w:rPr>
                <w:position w:val="2"/>
              </w:rPr>
            </w:pPr>
            <w:r>
              <w:rPr>
                <w:position w:val="2"/>
              </w:rPr>
              <w:t>%</w:t>
            </w:r>
            <w:r w:rsidR="00AC68CA">
              <w:rPr>
                <w:position w:val="2"/>
              </w:rPr>
              <w:t>11,0</w:t>
            </w:r>
          </w:p>
        </w:tc>
        <w:tc>
          <w:tcPr>
            <w:tcW w:w="1631" w:type="dxa"/>
            <w:tcBorders>
              <w:top w:val="single" w:sz="4" w:space="0" w:color="44B3E1"/>
              <w:left w:val="nil"/>
              <w:bottom w:val="single" w:sz="4" w:space="0" w:color="44B3E1"/>
              <w:right w:val="single" w:sz="4" w:space="0" w:color="44B3E1"/>
            </w:tcBorders>
            <w:shd w:val="clear" w:color="auto" w:fill="C0E6F5"/>
            <w:noWrap/>
            <w:hideMark/>
          </w:tcPr>
          <w:p w14:paraId="3A3FB7E2" w14:textId="587D396E" w:rsidR="006C3241" w:rsidRPr="00392896" w:rsidRDefault="006C3241" w:rsidP="006C3241">
            <w:pPr>
              <w:pStyle w:val="Tabletexte"/>
              <w:jc w:val="left"/>
              <w:rPr>
                <w:position w:val="2"/>
              </w:rPr>
            </w:pPr>
            <w:r>
              <w:rPr>
                <w:position w:val="2"/>
              </w:rPr>
              <w:t>%</w:t>
            </w:r>
            <w:r w:rsidR="00AC68CA">
              <w:rPr>
                <w:position w:val="2"/>
              </w:rPr>
              <w:t>2,6</w:t>
            </w:r>
          </w:p>
        </w:tc>
      </w:tr>
      <w:tr w:rsidR="006C3241" w:rsidRPr="00C23B5E" w14:paraId="3438735C" w14:textId="77777777" w:rsidTr="006C3241">
        <w:tc>
          <w:tcPr>
            <w:tcW w:w="1861" w:type="dxa"/>
            <w:tcBorders>
              <w:top w:val="single" w:sz="4" w:space="0" w:color="44B3E1"/>
              <w:left w:val="single" w:sz="4" w:space="0" w:color="44B3E1"/>
              <w:bottom w:val="single" w:sz="4" w:space="0" w:color="44B3E1"/>
              <w:right w:val="nil"/>
            </w:tcBorders>
            <w:hideMark/>
          </w:tcPr>
          <w:p w14:paraId="39DC9491" w14:textId="77777777" w:rsidR="006C3241" w:rsidRPr="00392896" w:rsidRDefault="006C3241" w:rsidP="006C3241">
            <w:pPr>
              <w:pStyle w:val="Tabletexte"/>
              <w:jc w:val="left"/>
              <w:rPr>
                <w:b/>
                <w:bCs/>
                <w:position w:val="2"/>
                <w:lang w:val="ar-SA" w:bidi="ar-EG"/>
              </w:rPr>
            </w:pPr>
            <w:r w:rsidRPr="00392896">
              <w:rPr>
                <w:b/>
                <w:bCs/>
                <w:position w:val="2"/>
                <w:rtl/>
              </w:rPr>
              <w:t xml:space="preserve">تنمية القدرات </w:t>
            </w:r>
          </w:p>
        </w:tc>
        <w:tc>
          <w:tcPr>
            <w:tcW w:w="2943" w:type="dxa"/>
            <w:tcBorders>
              <w:top w:val="single" w:sz="4" w:space="0" w:color="44B3E1"/>
              <w:left w:val="nil"/>
              <w:bottom w:val="single" w:sz="4" w:space="0" w:color="44B3E1"/>
              <w:right w:val="nil"/>
            </w:tcBorders>
            <w:hideMark/>
          </w:tcPr>
          <w:p w14:paraId="5E3C5D29" w14:textId="2EB87AE7" w:rsidR="006C3241" w:rsidRPr="00392896" w:rsidRDefault="006C3241" w:rsidP="006C3241">
            <w:pPr>
              <w:pStyle w:val="Tabletexte"/>
              <w:ind w:left="317" w:hanging="317"/>
              <w:jc w:val="left"/>
              <w:rPr>
                <w:position w:val="2"/>
              </w:rPr>
            </w:pPr>
            <w:r w:rsidRPr="007D6CBD">
              <w:rPr>
                <w:position w:val="2"/>
              </w:rPr>
              <w:sym w:font="Wingdings 2" w:char="F097"/>
            </w:r>
            <w:r w:rsidRPr="007D6CBD">
              <w:rPr>
                <w:position w:val="2"/>
                <w:rtl/>
              </w:rPr>
              <w:tab/>
            </w:r>
            <w:r w:rsidRPr="00392896">
              <w:rPr>
                <w:position w:val="2"/>
                <w:rtl/>
              </w:rPr>
              <w:t>تعزيز القدرات البشرية والمؤسسية لأعضاء الاتحاد في مجال الاتصالات/تكنولوجيا</w:t>
            </w:r>
            <w:r w:rsidR="001D53ED">
              <w:rPr>
                <w:rFonts w:hint="cs"/>
                <w:position w:val="2"/>
                <w:rtl/>
              </w:rPr>
              <w:t>ت</w:t>
            </w:r>
            <w:r w:rsidRPr="00392896">
              <w:rPr>
                <w:position w:val="2"/>
                <w:rtl/>
              </w:rPr>
              <w:t xml:space="preserve"> المعلومات والاتصالات </w:t>
            </w:r>
            <w:r w:rsidR="001D53ED">
              <w:rPr>
                <w:rFonts w:hint="cs"/>
                <w:position w:val="2"/>
                <w:rtl/>
              </w:rPr>
              <w:t>لدعم</w:t>
            </w:r>
            <w:r w:rsidRPr="00392896">
              <w:rPr>
                <w:position w:val="2"/>
                <w:rtl/>
              </w:rPr>
              <w:t xml:space="preserve"> التحول الرقمي</w:t>
            </w:r>
          </w:p>
          <w:p w14:paraId="4CCEC99B" w14:textId="4C13E617" w:rsidR="006C3241" w:rsidRPr="00392896" w:rsidRDefault="006C3241" w:rsidP="006C3241">
            <w:pPr>
              <w:pStyle w:val="Tabletexte"/>
              <w:ind w:left="317" w:hanging="317"/>
              <w:jc w:val="left"/>
              <w:rPr>
                <w:spacing w:val="-4"/>
                <w:position w:val="2"/>
              </w:rPr>
            </w:pPr>
            <w:r w:rsidRPr="00392896">
              <w:rPr>
                <w:spacing w:val="-4"/>
                <w:position w:val="2"/>
              </w:rPr>
              <w:sym w:font="Wingdings 2" w:char="F097"/>
            </w:r>
            <w:r w:rsidRPr="00392896">
              <w:rPr>
                <w:spacing w:val="-4"/>
                <w:position w:val="2"/>
                <w:rtl/>
              </w:rPr>
              <w:tab/>
              <w:t>تحسين المهارات والقدرات الرقمية من أجل التحول الرقمي</w:t>
            </w:r>
          </w:p>
        </w:tc>
        <w:tc>
          <w:tcPr>
            <w:tcW w:w="2945" w:type="dxa"/>
            <w:tcBorders>
              <w:top w:val="single" w:sz="4" w:space="0" w:color="44B3E1"/>
              <w:left w:val="nil"/>
              <w:bottom w:val="single" w:sz="4" w:space="0" w:color="44B3E1"/>
              <w:right w:val="nil"/>
            </w:tcBorders>
            <w:hideMark/>
          </w:tcPr>
          <w:p w14:paraId="3A2341A9" w14:textId="77777777" w:rsidR="006C3241" w:rsidRDefault="006C3241" w:rsidP="006C3241">
            <w:pPr>
              <w:pStyle w:val="Tabletexte"/>
              <w:ind w:left="317" w:hanging="317"/>
              <w:jc w:val="left"/>
              <w:rPr>
                <w:position w:val="2"/>
                <w:rtl/>
              </w:rPr>
            </w:pPr>
            <w:r w:rsidRPr="007D6CBD">
              <w:rPr>
                <w:position w:val="2"/>
              </w:rPr>
              <w:sym w:font="Wingdings 2" w:char="F097"/>
            </w:r>
            <w:r w:rsidRPr="007D6CBD">
              <w:rPr>
                <w:position w:val="2"/>
                <w:rtl/>
              </w:rPr>
              <w:tab/>
            </w:r>
            <w:r w:rsidRPr="00392896">
              <w:rPr>
                <w:position w:val="2"/>
                <w:rtl/>
              </w:rPr>
              <w:t>عدد الدول الأعضاء التي لديها استراتيجيات مهارات رقمية على المستوى الوطني</w:t>
            </w:r>
          </w:p>
          <w:p w14:paraId="43C982C0" w14:textId="5F898795" w:rsidR="006C3241" w:rsidRPr="00392896" w:rsidRDefault="006C3241" w:rsidP="006C3241">
            <w:pPr>
              <w:pStyle w:val="Tabletexte"/>
              <w:ind w:left="317" w:hanging="317"/>
              <w:jc w:val="left"/>
              <w:rPr>
                <w:position w:val="2"/>
              </w:rPr>
            </w:pPr>
            <w:r w:rsidRPr="007D6CBD">
              <w:rPr>
                <w:position w:val="2"/>
              </w:rPr>
              <w:sym w:font="Wingdings 2" w:char="F097"/>
            </w:r>
            <w:r w:rsidRPr="007D6CBD">
              <w:rPr>
                <w:position w:val="2"/>
                <w:rtl/>
              </w:rPr>
              <w:tab/>
            </w:r>
            <w:r w:rsidRPr="00392896">
              <w:rPr>
                <w:position w:val="2"/>
                <w:rtl/>
              </w:rPr>
              <w:t>النسبة المئوية للأفراد ذوي المهارات الرقمية الأساسية</w:t>
            </w:r>
          </w:p>
        </w:tc>
        <w:tc>
          <w:tcPr>
            <w:tcW w:w="2945" w:type="dxa"/>
            <w:tcBorders>
              <w:top w:val="single" w:sz="4" w:space="0" w:color="44B3E1"/>
              <w:left w:val="nil"/>
              <w:bottom w:val="single" w:sz="4" w:space="0" w:color="44B3E1"/>
              <w:right w:val="nil"/>
            </w:tcBorders>
            <w:hideMark/>
          </w:tcPr>
          <w:p w14:paraId="24A9D758" w14:textId="0717A8B0" w:rsidR="006C3241" w:rsidRPr="00392896" w:rsidRDefault="006C3241" w:rsidP="006C3241">
            <w:pPr>
              <w:pStyle w:val="Tabletexte"/>
              <w:ind w:left="317" w:hanging="317"/>
              <w:jc w:val="left"/>
              <w:rPr>
                <w:spacing w:val="-6"/>
                <w:position w:val="2"/>
              </w:rPr>
            </w:pPr>
            <w:r w:rsidRPr="00392896">
              <w:rPr>
                <w:spacing w:val="-6"/>
                <w:position w:val="2"/>
              </w:rPr>
              <w:sym w:font="Wingdings 2" w:char="F097"/>
            </w:r>
            <w:r w:rsidRPr="00392896">
              <w:rPr>
                <w:spacing w:val="-6"/>
                <w:position w:val="2"/>
                <w:rtl/>
              </w:rPr>
              <w:tab/>
              <w:t>السياسات والاستراتيجيات النموذجية ومجموعات الأدوات</w:t>
            </w:r>
          </w:p>
          <w:p w14:paraId="22B70B69" w14:textId="252609E8" w:rsidR="006C3241" w:rsidRPr="00392896" w:rsidRDefault="006C3241" w:rsidP="006C3241">
            <w:pPr>
              <w:pStyle w:val="Tabletexte"/>
              <w:ind w:left="317" w:hanging="317"/>
              <w:jc w:val="left"/>
              <w:rPr>
                <w:position w:val="2"/>
                <w:rtl/>
              </w:rPr>
            </w:pPr>
            <w:r w:rsidRPr="007D6CBD">
              <w:rPr>
                <w:position w:val="2"/>
              </w:rPr>
              <w:sym w:font="Wingdings 2" w:char="F097"/>
            </w:r>
            <w:r w:rsidRPr="007D6CBD">
              <w:rPr>
                <w:position w:val="2"/>
                <w:rtl/>
              </w:rPr>
              <w:tab/>
            </w:r>
            <w:r w:rsidRPr="00392896">
              <w:rPr>
                <w:position w:val="2"/>
                <w:rtl/>
              </w:rPr>
              <w:t>التدخلات التقنية</w:t>
            </w:r>
          </w:p>
          <w:p w14:paraId="633D76B6" w14:textId="0E5B766E" w:rsidR="006C3241" w:rsidRPr="00392896" w:rsidRDefault="006C3241" w:rsidP="006C3241">
            <w:pPr>
              <w:pStyle w:val="Tabletexte"/>
              <w:ind w:left="317" w:hanging="317"/>
              <w:jc w:val="left"/>
              <w:rPr>
                <w:position w:val="2"/>
              </w:rPr>
            </w:pPr>
            <w:r w:rsidRPr="007D6CBD">
              <w:rPr>
                <w:position w:val="2"/>
              </w:rPr>
              <w:sym w:font="Wingdings 2" w:char="F097"/>
            </w:r>
            <w:r w:rsidRPr="007D6CBD">
              <w:rPr>
                <w:position w:val="2"/>
                <w:rtl/>
              </w:rPr>
              <w:tab/>
            </w:r>
            <w:r w:rsidRPr="00392896">
              <w:rPr>
                <w:position w:val="2"/>
                <w:rtl/>
              </w:rPr>
              <w:t>أطر التعلم</w:t>
            </w:r>
          </w:p>
        </w:tc>
        <w:tc>
          <w:tcPr>
            <w:tcW w:w="1631" w:type="dxa"/>
            <w:tcBorders>
              <w:top w:val="single" w:sz="4" w:space="0" w:color="44B3E1"/>
              <w:left w:val="nil"/>
              <w:bottom w:val="single" w:sz="4" w:space="0" w:color="44B3E1"/>
              <w:right w:val="nil"/>
            </w:tcBorders>
            <w:noWrap/>
            <w:hideMark/>
          </w:tcPr>
          <w:p w14:paraId="48000D77" w14:textId="42B8D597" w:rsidR="006C3241" w:rsidRPr="00392896" w:rsidRDefault="00AC68CA" w:rsidP="006C3241">
            <w:pPr>
              <w:pStyle w:val="Tabletexte"/>
              <w:jc w:val="left"/>
              <w:rPr>
                <w:position w:val="2"/>
              </w:rPr>
            </w:pPr>
            <w:r>
              <w:rPr>
                <w:position w:val="2"/>
              </w:rPr>
              <w:t>339 500</w:t>
            </w:r>
          </w:p>
        </w:tc>
        <w:tc>
          <w:tcPr>
            <w:tcW w:w="1631" w:type="dxa"/>
            <w:tcBorders>
              <w:top w:val="single" w:sz="4" w:space="0" w:color="44B3E1"/>
              <w:left w:val="nil"/>
              <w:bottom w:val="single" w:sz="4" w:space="0" w:color="44B3E1"/>
              <w:right w:val="nil"/>
            </w:tcBorders>
            <w:hideMark/>
          </w:tcPr>
          <w:p w14:paraId="451176E8" w14:textId="52F05CD2" w:rsidR="006C3241" w:rsidRPr="00392896" w:rsidRDefault="006C3241" w:rsidP="006C3241">
            <w:pPr>
              <w:pStyle w:val="Tabletexte"/>
              <w:jc w:val="left"/>
              <w:rPr>
                <w:position w:val="2"/>
              </w:rPr>
            </w:pPr>
            <w:r>
              <w:rPr>
                <w:position w:val="2"/>
              </w:rPr>
              <w:t>%</w:t>
            </w:r>
            <w:r w:rsidR="00AC68CA">
              <w:rPr>
                <w:position w:val="2"/>
              </w:rPr>
              <w:t>37,7</w:t>
            </w:r>
          </w:p>
        </w:tc>
        <w:tc>
          <w:tcPr>
            <w:tcW w:w="1631" w:type="dxa"/>
            <w:tcBorders>
              <w:top w:val="single" w:sz="4" w:space="0" w:color="44B3E1"/>
              <w:left w:val="nil"/>
              <w:bottom w:val="single" w:sz="4" w:space="0" w:color="44B3E1"/>
              <w:right w:val="single" w:sz="4" w:space="0" w:color="44B3E1"/>
            </w:tcBorders>
            <w:noWrap/>
            <w:hideMark/>
          </w:tcPr>
          <w:p w14:paraId="4A0B729B" w14:textId="51C4392E" w:rsidR="006C3241" w:rsidRPr="00392896" w:rsidRDefault="006C3241" w:rsidP="006C3241">
            <w:pPr>
              <w:pStyle w:val="Tabletexte"/>
              <w:jc w:val="left"/>
              <w:rPr>
                <w:position w:val="2"/>
              </w:rPr>
            </w:pPr>
            <w:r>
              <w:rPr>
                <w:position w:val="2"/>
              </w:rPr>
              <w:t>%</w:t>
            </w:r>
            <w:r w:rsidR="00AC68CA">
              <w:rPr>
                <w:position w:val="2"/>
              </w:rPr>
              <w:t>8,9</w:t>
            </w:r>
          </w:p>
        </w:tc>
      </w:tr>
      <w:tr w:rsidR="006C3241" w:rsidRPr="00C23B5E" w14:paraId="12F8CAFD" w14:textId="77777777" w:rsidTr="006C3241">
        <w:tc>
          <w:tcPr>
            <w:tcW w:w="1861" w:type="dxa"/>
            <w:tcBorders>
              <w:top w:val="single" w:sz="4" w:space="0" w:color="44B3E1"/>
              <w:left w:val="single" w:sz="4" w:space="0" w:color="44B3E1"/>
              <w:bottom w:val="single" w:sz="4" w:space="0" w:color="44B3E1"/>
              <w:right w:val="nil"/>
            </w:tcBorders>
            <w:shd w:val="clear" w:color="auto" w:fill="C0E6F5"/>
            <w:hideMark/>
          </w:tcPr>
          <w:p w14:paraId="74AE5C19" w14:textId="77777777" w:rsidR="006C3241" w:rsidRPr="00392896" w:rsidRDefault="006C3241" w:rsidP="006C3241">
            <w:pPr>
              <w:pStyle w:val="Tabletexte"/>
              <w:jc w:val="left"/>
              <w:rPr>
                <w:b/>
                <w:bCs/>
                <w:position w:val="2"/>
                <w:lang w:val="ar-SA" w:bidi="ar-EG"/>
              </w:rPr>
            </w:pPr>
            <w:r w:rsidRPr="00392896">
              <w:rPr>
                <w:b/>
                <w:bCs/>
                <w:position w:val="2"/>
                <w:rtl/>
              </w:rPr>
              <w:lastRenderedPageBreak/>
              <w:t>الالتزام بالاستدامة البيئية</w:t>
            </w:r>
          </w:p>
        </w:tc>
        <w:tc>
          <w:tcPr>
            <w:tcW w:w="2943" w:type="dxa"/>
            <w:tcBorders>
              <w:top w:val="single" w:sz="4" w:space="0" w:color="44B3E1"/>
              <w:left w:val="nil"/>
              <w:bottom w:val="single" w:sz="4" w:space="0" w:color="44B3E1"/>
              <w:right w:val="nil"/>
            </w:tcBorders>
            <w:shd w:val="clear" w:color="auto" w:fill="C0E6F5"/>
            <w:hideMark/>
          </w:tcPr>
          <w:p w14:paraId="60101674" w14:textId="2D6C823C" w:rsidR="006C3241" w:rsidRPr="00392896" w:rsidRDefault="006C3241" w:rsidP="006C3241">
            <w:pPr>
              <w:pStyle w:val="Tabletexte"/>
              <w:keepLines/>
              <w:ind w:left="318" w:hanging="318"/>
              <w:jc w:val="left"/>
              <w:rPr>
                <w:spacing w:val="-4"/>
                <w:position w:val="2"/>
              </w:rPr>
            </w:pPr>
            <w:r w:rsidRPr="00392896">
              <w:rPr>
                <w:spacing w:val="-4"/>
                <w:position w:val="2"/>
              </w:rPr>
              <w:sym w:font="Wingdings 2" w:char="F097"/>
            </w:r>
            <w:r w:rsidR="00C55646">
              <w:rPr>
                <w:spacing w:val="-4"/>
                <w:position w:val="2"/>
                <w:rtl/>
              </w:rPr>
              <w:tab/>
            </w:r>
            <w:r w:rsidR="001D53ED" w:rsidRPr="001D53ED">
              <w:rPr>
                <w:spacing w:val="-4"/>
                <w:position w:val="2"/>
                <w:rtl/>
              </w:rPr>
              <w:t>تعزيز القدرة على وضع استراتيجيات الاتصالات/تكنولوجيا المعلومات والاتصالات وحلول بشأن الاستدامة البيئية</w:t>
            </w:r>
          </w:p>
        </w:tc>
        <w:tc>
          <w:tcPr>
            <w:tcW w:w="2945" w:type="dxa"/>
            <w:tcBorders>
              <w:top w:val="single" w:sz="4" w:space="0" w:color="44B3E1"/>
              <w:left w:val="nil"/>
              <w:bottom w:val="single" w:sz="4" w:space="0" w:color="44B3E1"/>
              <w:right w:val="nil"/>
            </w:tcBorders>
            <w:shd w:val="clear" w:color="auto" w:fill="C0E6F5"/>
            <w:hideMark/>
          </w:tcPr>
          <w:p w14:paraId="643A4538" w14:textId="3500D568" w:rsidR="006C3241" w:rsidRPr="00CD218A" w:rsidRDefault="006C3241" w:rsidP="006C3241">
            <w:pPr>
              <w:pStyle w:val="Tabletexte"/>
              <w:ind w:left="317" w:hanging="317"/>
              <w:jc w:val="left"/>
              <w:rPr>
                <w:position w:val="2"/>
              </w:rPr>
            </w:pPr>
            <w:r w:rsidRPr="00CD218A">
              <w:rPr>
                <w:position w:val="2"/>
              </w:rPr>
              <w:sym w:font="Wingdings 2" w:char="F097"/>
            </w:r>
            <w:r w:rsidRPr="00CD218A">
              <w:rPr>
                <w:position w:val="2"/>
                <w:rtl/>
              </w:rPr>
              <w:tab/>
            </w:r>
            <w:r w:rsidR="001D53ED" w:rsidRPr="001D53ED">
              <w:rPr>
                <w:position w:val="2"/>
                <w:rtl/>
              </w:rPr>
              <w:t>عدد الدول الأعضاء التي اعتمدت سياسة أو تشريعاً أو لائحة بشأن المخلفات الإلكترونية على المستوى الوطني</w:t>
            </w:r>
          </w:p>
          <w:p w14:paraId="2A7E5075" w14:textId="684BCF50" w:rsidR="006C3241" w:rsidRPr="00392896" w:rsidRDefault="006C3241" w:rsidP="006C3241">
            <w:pPr>
              <w:pStyle w:val="Tabletexte"/>
              <w:ind w:left="317" w:hanging="317"/>
              <w:jc w:val="left"/>
              <w:rPr>
                <w:position w:val="2"/>
                <w:rtl/>
              </w:rPr>
            </w:pPr>
            <w:r w:rsidRPr="007D6CBD">
              <w:rPr>
                <w:position w:val="2"/>
              </w:rPr>
              <w:sym w:font="Wingdings 2" w:char="F097"/>
            </w:r>
            <w:r w:rsidRPr="007D6CBD">
              <w:rPr>
                <w:position w:val="2"/>
                <w:rtl/>
              </w:rPr>
              <w:tab/>
            </w:r>
            <w:r w:rsidRPr="00392896">
              <w:rPr>
                <w:position w:val="2"/>
                <w:rtl/>
              </w:rPr>
              <w:t>عدد الدول الأعضاء التي تجمع بيانات عن مراقبة المخلفات الإلكترونية وتوليدها</w:t>
            </w:r>
          </w:p>
          <w:p w14:paraId="4AE16D8C" w14:textId="695B9E6E" w:rsidR="006C3241" w:rsidRPr="00392896" w:rsidRDefault="006C3241" w:rsidP="006C3241">
            <w:pPr>
              <w:pStyle w:val="Tabletexte"/>
              <w:ind w:left="317" w:hanging="317"/>
              <w:jc w:val="left"/>
              <w:rPr>
                <w:position w:val="2"/>
              </w:rPr>
            </w:pPr>
            <w:r w:rsidRPr="007D6CBD">
              <w:rPr>
                <w:position w:val="2"/>
              </w:rPr>
              <w:sym w:font="Wingdings 2" w:char="F097"/>
            </w:r>
            <w:r w:rsidRPr="007D6CBD">
              <w:rPr>
                <w:position w:val="2"/>
                <w:rtl/>
              </w:rPr>
              <w:tab/>
            </w:r>
            <w:r w:rsidRPr="001D53ED">
              <w:rPr>
                <w:spacing w:val="-4"/>
                <w:position w:val="2"/>
                <w:rtl/>
              </w:rPr>
              <w:t>عدد الدول الأعضاء التي اعتمدت استراتيجيات وحلول</w:t>
            </w:r>
            <w:r w:rsidR="001D53ED" w:rsidRPr="001D53ED">
              <w:rPr>
                <w:rFonts w:hint="cs"/>
                <w:spacing w:val="-4"/>
                <w:position w:val="2"/>
                <w:rtl/>
              </w:rPr>
              <w:t>اً</w:t>
            </w:r>
            <w:r w:rsidRPr="001D53ED">
              <w:rPr>
                <w:spacing w:val="-4"/>
                <w:position w:val="2"/>
                <w:rtl/>
              </w:rPr>
              <w:t xml:space="preserve"> للاتصالات/تكنولوجيا المعلومات والاتصالات بشأن الاستدامة البيئية</w:t>
            </w:r>
          </w:p>
        </w:tc>
        <w:tc>
          <w:tcPr>
            <w:tcW w:w="2945" w:type="dxa"/>
            <w:tcBorders>
              <w:top w:val="single" w:sz="4" w:space="0" w:color="44B3E1"/>
              <w:left w:val="nil"/>
              <w:bottom w:val="single" w:sz="4" w:space="0" w:color="44B3E1"/>
              <w:right w:val="nil"/>
            </w:tcBorders>
            <w:shd w:val="clear" w:color="auto" w:fill="C0E6F5"/>
            <w:hideMark/>
          </w:tcPr>
          <w:p w14:paraId="453473EB" w14:textId="2D5D7C5E" w:rsidR="006C3241" w:rsidRPr="00392896" w:rsidRDefault="006C3241" w:rsidP="006C3241">
            <w:pPr>
              <w:pStyle w:val="Tabletexte"/>
              <w:ind w:left="317" w:hanging="317"/>
              <w:jc w:val="left"/>
              <w:rPr>
                <w:position w:val="2"/>
                <w:rtl/>
              </w:rPr>
            </w:pPr>
            <w:r w:rsidRPr="007D6CBD">
              <w:rPr>
                <w:position w:val="2"/>
              </w:rPr>
              <w:sym w:font="Wingdings 2" w:char="F097"/>
            </w:r>
            <w:r w:rsidRPr="007D6CBD">
              <w:rPr>
                <w:position w:val="2"/>
                <w:rtl/>
              </w:rPr>
              <w:tab/>
            </w:r>
            <w:r w:rsidRPr="00392896">
              <w:rPr>
                <w:position w:val="2"/>
                <w:rtl/>
              </w:rPr>
              <w:t>أطر التعلم</w:t>
            </w:r>
          </w:p>
          <w:p w14:paraId="084FD2F8" w14:textId="1A1A4E14" w:rsidR="006C3241" w:rsidRPr="00392896" w:rsidRDefault="006C3241" w:rsidP="006C3241">
            <w:pPr>
              <w:pStyle w:val="Tabletexte"/>
              <w:ind w:left="317" w:hanging="317"/>
              <w:jc w:val="left"/>
              <w:rPr>
                <w:position w:val="2"/>
                <w:rtl/>
              </w:rPr>
            </w:pPr>
            <w:r w:rsidRPr="007D6CBD">
              <w:rPr>
                <w:position w:val="2"/>
              </w:rPr>
              <w:sym w:font="Wingdings 2" w:char="F097"/>
            </w:r>
            <w:r w:rsidRPr="007D6CBD">
              <w:rPr>
                <w:position w:val="2"/>
                <w:rtl/>
              </w:rPr>
              <w:tab/>
            </w:r>
            <w:r w:rsidRPr="00392896">
              <w:rPr>
                <w:position w:val="2"/>
                <w:rtl/>
              </w:rPr>
              <w:t>منصات عقد الاجتماعات</w:t>
            </w:r>
          </w:p>
          <w:p w14:paraId="795D2A57" w14:textId="5FE539F0" w:rsidR="006C3241" w:rsidRPr="00392896" w:rsidRDefault="006C3241" w:rsidP="006C3241">
            <w:pPr>
              <w:pStyle w:val="Tabletexte"/>
              <w:ind w:left="317" w:hanging="317"/>
              <w:jc w:val="left"/>
              <w:rPr>
                <w:spacing w:val="-4"/>
                <w:position w:val="2"/>
                <w:rtl/>
              </w:rPr>
            </w:pPr>
            <w:r w:rsidRPr="00392896">
              <w:rPr>
                <w:spacing w:val="-4"/>
                <w:position w:val="2"/>
              </w:rPr>
              <w:sym w:font="Wingdings 2" w:char="F097"/>
            </w:r>
            <w:r w:rsidRPr="00392896">
              <w:rPr>
                <w:spacing w:val="-4"/>
                <w:position w:val="2"/>
                <w:rtl/>
              </w:rPr>
              <w:tab/>
              <w:t>السياسات والاستراتيجيات النموذجية ومجموعات الأدوات</w:t>
            </w:r>
          </w:p>
          <w:p w14:paraId="062E38EE" w14:textId="423AAF0C" w:rsidR="006C3241" w:rsidRPr="00392896" w:rsidRDefault="006C3241" w:rsidP="006C3241">
            <w:pPr>
              <w:pStyle w:val="Tabletexte"/>
              <w:ind w:left="317" w:hanging="317"/>
              <w:jc w:val="left"/>
              <w:rPr>
                <w:position w:val="2"/>
              </w:rPr>
            </w:pPr>
            <w:r w:rsidRPr="007D6CBD">
              <w:rPr>
                <w:position w:val="2"/>
              </w:rPr>
              <w:sym w:font="Wingdings 2" w:char="F097"/>
            </w:r>
            <w:r w:rsidRPr="007D6CBD">
              <w:rPr>
                <w:position w:val="2"/>
                <w:rtl/>
              </w:rPr>
              <w:tab/>
            </w:r>
            <w:r w:rsidRPr="00392896">
              <w:rPr>
                <w:position w:val="2"/>
                <w:rtl/>
              </w:rPr>
              <w:t>الإحصاءات</w:t>
            </w:r>
          </w:p>
        </w:tc>
        <w:tc>
          <w:tcPr>
            <w:tcW w:w="1631" w:type="dxa"/>
            <w:tcBorders>
              <w:top w:val="single" w:sz="4" w:space="0" w:color="44B3E1"/>
              <w:left w:val="nil"/>
              <w:bottom w:val="single" w:sz="4" w:space="0" w:color="44B3E1"/>
              <w:right w:val="nil"/>
            </w:tcBorders>
            <w:shd w:val="clear" w:color="auto" w:fill="C0E6F5"/>
            <w:noWrap/>
            <w:hideMark/>
          </w:tcPr>
          <w:p w14:paraId="364AB689" w14:textId="75BC5A6C" w:rsidR="006C3241" w:rsidRPr="00392896" w:rsidRDefault="00AC68CA" w:rsidP="006C3241">
            <w:pPr>
              <w:pStyle w:val="Tabletexte"/>
              <w:jc w:val="left"/>
              <w:rPr>
                <w:position w:val="2"/>
              </w:rPr>
            </w:pPr>
            <w:r>
              <w:rPr>
                <w:position w:val="2"/>
              </w:rPr>
              <w:t>139 000</w:t>
            </w:r>
          </w:p>
        </w:tc>
        <w:tc>
          <w:tcPr>
            <w:tcW w:w="1631" w:type="dxa"/>
            <w:tcBorders>
              <w:top w:val="single" w:sz="4" w:space="0" w:color="44B3E1"/>
              <w:left w:val="nil"/>
              <w:bottom w:val="single" w:sz="4" w:space="0" w:color="44B3E1"/>
              <w:right w:val="nil"/>
            </w:tcBorders>
            <w:shd w:val="clear" w:color="auto" w:fill="C0E6F5"/>
            <w:hideMark/>
          </w:tcPr>
          <w:p w14:paraId="6B4988D3" w14:textId="26CE969F" w:rsidR="006C3241" w:rsidRPr="00392896" w:rsidRDefault="006C3241" w:rsidP="006C3241">
            <w:pPr>
              <w:pStyle w:val="Tabletexte"/>
              <w:jc w:val="left"/>
              <w:rPr>
                <w:position w:val="2"/>
              </w:rPr>
            </w:pPr>
            <w:r>
              <w:rPr>
                <w:position w:val="2"/>
              </w:rPr>
              <w:t>%</w:t>
            </w:r>
            <w:r w:rsidR="00AC68CA">
              <w:rPr>
                <w:position w:val="2"/>
              </w:rPr>
              <w:t>15,5</w:t>
            </w:r>
          </w:p>
        </w:tc>
        <w:tc>
          <w:tcPr>
            <w:tcW w:w="1631" w:type="dxa"/>
            <w:tcBorders>
              <w:top w:val="single" w:sz="4" w:space="0" w:color="44B3E1"/>
              <w:left w:val="nil"/>
              <w:bottom w:val="single" w:sz="4" w:space="0" w:color="44B3E1"/>
              <w:right w:val="single" w:sz="4" w:space="0" w:color="44B3E1"/>
            </w:tcBorders>
            <w:shd w:val="clear" w:color="auto" w:fill="C0E6F5"/>
            <w:noWrap/>
            <w:hideMark/>
          </w:tcPr>
          <w:p w14:paraId="7F12E56F" w14:textId="78F73F81" w:rsidR="006C3241" w:rsidRPr="00392896" w:rsidRDefault="006C3241" w:rsidP="006C3241">
            <w:pPr>
              <w:pStyle w:val="Tabletexte"/>
              <w:jc w:val="left"/>
              <w:rPr>
                <w:position w:val="2"/>
              </w:rPr>
            </w:pPr>
            <w:r>
              <w:rPr>
                <w:position w:val="2"/>
              </w:rPr>
              <w:t>%</w:t>
            </w:r>
            <w:r w:rsidR="00AC68CA">
              <w:rPr>
                <w:position w:val="2"/>
              </w:rPr>
              <w:t>3,6</w:t>
            </w:r>
          </w:p>
        </w:tc>
      </w:tr>
    </w:tbl>
    <w:p w14:paraId="76E7B8D0" w14:textId="77777777" w:rsidR="007C0AB6" w:rsidRDefault="007C0AB6" w:rsidP="00C23B5E">
      <w:pPr>
        <w:rPr>
          <w:rtl/>
          <w:lang w:bidi="ar-EG"/>
        </w:rPr>
        <w:sectPr w:rsidR="007C0AB6" w:rsidSect="00DF0BE8">
          <w:headerReference w:type="default" r:id="rId25"/>
          <w:pgSz w:w="16838" w:h="11906" w:orient="landscape" w:code="9"/>
          <w:pgMar w:top="851" w:right="567" w:bottom="567" w:left="567" w:header="624" w:footer="624" w:gutter="0"/>
          <w:cols w:space="720"/>
          <w:docGrid w:linePitch="326"/>
        </w:sectPr>
      </w:pPr>
    </w:p>
    <w:p w14:paraId="2026C8D4" w14:textId="77777777" w:rsidR="007C0AB6" w:rsidRDefault="007C0AB6" w:rsidP="00F36C6E">
      <w:pPr>
        <w:pStyle w:val="HeadingI"/>
        <w:rPr>
          <w:rtl/>
        </w:rPr>
      </w:pPr>
      <w:r>
        <w:rPr>
          <w:rtl/>
        </w:rPr>
        <w:lastRenderedPageBreak/>
        <w:t>أبرز النقاط في عملية التنفيذ لعام 2026: الأولوية 2 لقطاع تنمية الاتصالات - التحول الرقمي</w:t>
      </w:r>
    </w:p>
    <w:p w14:paraId="0AF325E4" w14:textId="77777777" w:rsidR="007C0AB6" w:rsidRDefault="007C0AB6" w:rsidP="00F36C6E">
      <w:pPr>
        <w:pStyle w:val="Headingb"/>
        <w:rPr>
          <w:rtl/>
        </w:rPr>
      </w:pPr>
      <w:r>
        <w:rPr>
          <w:rtl/>
        </w:rPr>
        <w:t>النظام الإيكولوجي للابتكار الرقمي</w:t>
      </w:r>
    </w:p>
    <w:p w14:paraId="2D014A23" w14:textId="77777777" w:rsidR="007C0AB6" w:rsidRDefault="007C0AB6" w:rsidP="007C0AB6">
      <w:pPr>
        <w:rPr>
          <w:rtl/>
          <w:lang w:bidi="ar-EG"/>
        </w:rPr>
      </w:pPr>
      <w:r w:rsidRPr="00F36C6E">
        <w:rPr>
          <w:b/>
          <w:bCs/>
          <w:rtl/>
          <w:lang w:bidi="ar-EG"/>
        </w:rPr>
        <w:t>في إفريقيا</w:t>
      </w:r>
      <w:r>
        <w:rPr>
          <w:rtl/>
          <w:lang w:bidi="ar-EG"/>
        </w:rPr>
        <w:t>، أُطلق المركز الإفريقي للتحول الرقمي في جنوب إفريقيا. وينضم المركز المملوك وطنياً إلى الشبكة العالمية لمراكز التسريع التابعة للاتحاد، في إطار تحالف الابتكار وريادة الأعمال لأغراض التنمية الرقمية.</w:t>
      </w:r>
    </w:p>
    <w:p w14:paraId="2585DDEF" w14:textId="77777777" w:rsidR="007C0AB6" w:rsidRDefault="007C0AB6" w:rsidP="007C0AB6">
      <w:pPr>
        <w:rPr>
          <w:rtl/>
          <w:lang w:bidi="ar-EG"/>
        </w:rPr>
      </w:pPr>
      <w:r>
        <w:rPr>
          <w:rtl/>
          <w:lang w:bidi="ar-EG"/>
        </w:rPr>
        <w:t xml:space="preserve">بعد وضع ملف الابتكار الرقمي في موزامبيق، بدعم من مشروع إرساء الأساس لمبادرة </w:t>
      </w:r>
      <w:r>
        <w:rPr>
          <w:lang w:bidi="ar-EG"/>
        </w:rPr>
        <w:t>VaMoz Digital</w:t>
      </w:r>
      <w:r>
        <w:rPr>
          <w:rtl/>
          <w:lang w:bidi="ar-EG"/>
        </w:rPr>
        <w:t>! أجريت مقابلات تقنية في مارس للنهوض بالتدخلات المستهدفة في مجال قدرات الابتكار على المستوى المؤسسي. وتهدف هذه الجهود إلى دعم التحول الرقمي الجاري في موزامبيق.</w:t>
      </w:r>
    </w:p>
    <w:p w14:paraId="1B9FDCAA" w14:textId="2F2975E2" w:rsidR="007C0AB6" w:rsidRPr="00F36C6E" w:rsidRDefault="007C0AB6" w:rsidP="002F6EBB">
      <w:pPr>
        <w:rPr>
          <w:rtl/>
          <w:lang w:bidi="ar-EG"/>
        </w:rPr>
      </w:pPr>
      <w:r w:rsidRPr="00F36C6E">
        <w:rPr>
          <w:b/>
          <w:bCs/>
          <w:rtl/>
          <w:lang w:bidi="ar-EG"/>
        </w:rPr>
        <w:t>وفي منطقة الدول العربية</w:t>
      </w:r>
      <w:r w:rsidRPr="00F36C6E">
        <w:rPr>
          <w:rtl/>
          <w:lang w:bidi="ar-EG"/>
        </w:rPr>
        <w:t xml:space="preserve">، نظم مكتب تنمية الاتصالات، بالشراكة مع مدينة الملك عبد العزيز للعلوم والتقنية، معسكراً تدريبياً لمدة أربعة أيام في الرياض، بالمملكة العربية السعودية، من 9 إلى 12 فبراير، لدعم جهود التسويق التجاري للأبحاث التكنولوجية في البلاد. جمع المعسكر التدريبي 16 فريقاً بحثياً بمجموع 60 باحثاً، وبلغت نسبة العالمات </w:t>
      </w:r>
      <w:r w:rsidR="00BE37D9">
        <w:rPr>
          <w:lang w:bidi="ar-EG"/>
        </w:rPr>
        <w:t>%49</w:t>
      </w:r>
      <w:r w:rsidRPr="00F36C6E">
        <w:rPr>
          <w:rtl/>
          <w:lang w:bidi="ar-EG"/>
        </w:rPr>
        <w:t xml:space="preserve"> من عدد الحاضرين. واسترشد المشاركون بأكثر من 12 أداة عملية من مجموعة أدوات الاتحاد بشأن تسريع الأبحاث من أجل الابتكار والتسويق التجاري. ومن خلال سلسلة من الورش العملية المستهدفة، انتقل الباحثون من المستوى النظري إلى التطبيق المباشر لهذه الأدوات على</w:t>
      </w:r>
      <w:r w:rsidR="00BE37D9">
        <w:rPr>
          <w:rFonts w:hint="eastAsia"/>
          <w:rtl/>
          <w:lang w:bidi="ar-EG"/>
        </w:rPr>
        <w:t> </w:t>
      </w:r>
      <w:r w:rsidRPr="00F36C6E">
        <w:rPr>
          <w:rtl/>
          <w:lang w:bidi="ar-EG"/>
        </w:rPr>
        <w:t xml:space="preserve">الأفكار </w:t>
      </w:r>
      <w:r w:rsidR="002F6EBB">
        <w:rPr>
          <w:rFonts w:hint="cs"/>
          <w:rtl/>
          <w:lang w:bidi="ar-EG"/>
        </w:rPr>
        <w:t>والنواتج</w:t>
      </w:r>
      <w:r w:rsidRPr="00F36C6E">
        <w:rPr>
          <w:rtl/>
          <w:lang w:bidi="ar-EG"/>
        </w:rPr>
        <w:t xml:space="preserve"> البحثية. وكان الهدف من المبادرة هو سد الفجوة بين العمل البحثي والحلول الجاهزة للطرح في الأسواق، وتمكين العلماء من تحويل الابتكارات إلى منتجات وخدمات قابلة للتطبيق. وتسهم </w:t>
      </w:r>
      <w:r w:rsidR="002F6EBB">
        <w:rPr>
          <w:rFonts w:hint="cs"/>
          <w:rtl/>
        </w:rPr>
        <w:t>المحصلات</w:t>
      </w:r>
      <w:r w:rsidR="002F6EBB" w:rsidRPr="00F36C6E">
        <w:rPr>
          <w:rtl/>
          <w:lang w:bidi="ar-EG"/>
        </w:rPr>
        <w:t xml:space="preserve"> </w:t>
      </w:r>
      <w:r w:rsidRPr="00F36C6E">
        <w:rPr>
          <w:rtl/>
          <w:lang w:bidi="ar-EG"/>
        </w:rPr>
        <w:t>بشكل مباشر في تلبية أولويات الابتكار الوطنية، وتدعم طموحات رؤية السعودية 2030 عن طريق تعزيز التسويق التجاري للأبحاث والأنظمة الإيكولوجية الشاملة للابتكار.</w:t>
      </w:r>
    </w:p>
    <w:p w14:paraId="7276877E" w14:textId="77777777" w:rsidR="001D0423" w:rsidRPr="001D0423" w:rsidRDefault="007C0AB6" w:rsidP="007C0AB6">
      <w:pPr>
        <w:rPr>
          <w:spacing w:val="-2"/>
          <w:rtl/>
          <w:lang w:bidi="ar-EG"/>
        </w:rPr>
      </w:pPr>
      <w:r w:rsidRPr="001D0423">
        <w:rPr>
          <w:b/>
          <w:bCs/>
          <w:spacing w:val="-2"/>
          <w:rtl/>
          <w:lang w:bidi="ar-EG"/>
        </w:rPr>
        <w:t>وفي كومنولث الدول المستقلة</w:t>
      </w:r>
      <w:r w:rsidRPr="001D0423">
        <w:rPr>
          <w:spacing w:val="-2"/>
          <w:rtl/>
          <w:lang w:bidi="ar-EG"/>
        </w:rPr>
        <w:t xml:space="preserve">، أقيم حدث </w:t>
      </w:r>
      <w:r w:rsidRPr="001D0423">
        <w:rPr>
          <w:spacing w:val="-2"/>
          <w:lang w:bidi="ar-EG"/>
        </w:rPr>
        <w:t>AI Hackathon: BSUIR 2026</w:t>
      </w:r>
      <w:r w:rsidRPr="001D0423">
        <w:rPr>
          <w:spacing w:val="-2"/>
          <w:rtl/>
          <w:lang w:bidi="ar-EG"/>
        </w:rPr>
        <w:t xml:space="preserve"> بشأن تطوير حلول الذكاء الاصطناعي في مينسك، بيلاروس. نُظم الحدث بالشراكة مع جامعة بيلاروس الحكومية للمعلوماتية والإلكترونيات الراديوية، وشارك به أكثر من 50 شاباً موزعين على 17 فريقاً من مختلف الجامعات التقنية في بيلاروس لتطوير حلول قائمة على الذكاء الاصطناعي في صناعة الاتصالات.</w:t>
      </w:r>
    </w:p>
    <w:p w14:paraId="5EE11A22" w14:textId="2B74B500" w:rsidR="007C0AB6" w:rsidRDefault="007C0AB6" w:rsidP="007C0AB6">
      <w:pPr>
        <w:rPr>
          <w:rtl/>
          <w:lang w:bidi="ar-EG"/>
        </w:rPr>
      </w:pPr>
      <w:r w:rsidRPr="001D0423">
        <w:rPr>
          <w:b/>
          <w:bCs/>
          <w:rtl/>
          <w:lang w:bidi="ar-EG"/>
        </w:rPr>
        <w:t>وفي أوروبا</w:t>
      </w:r>
      <w:r>
        <w:rPr>
          <w:rtl/>
          <w:lang w:bidi="ar-EG"/>
        </w:rPr>
        <w:t xml:space="preserve">، صدر </w:t>
      </w:r>
      <w:hyperlink r:id="rId26" w:history="1">
        <w:r w:rsidRPr="001D0423">
          <w:rPr>
            <w:rStyle w:val="Hyperlink"/>
            <w:rtl/>
            <w:lang w:bidi="ar-EG"/>
          </w:rPr>
          <w:t>تقرير مشهد الابتكار في مالطة: الممارسات الفضلى والتوجهات المستقبلية</w:t>
        </w:r>
      </w:hyperlink>
      <w:r>
        <w:rPr>
          <w:rtl/>
          <w:lang w:bidi="ar-EG"/>
        </w:rPr>
        <w:t xml:space="preserve"> في مارس 2026، وهو متاح الآن على الصفحة الإلكترونية الخاصة بالابتكار.</w:t>
      </w:r>
    </w:p>
    <w:p w14:paraId="7CB462EA" w14:textId="77777777" w:rsidR="007C0AB6" w:rsidRDefault="007C0AB6" w:rsidP="001D0423">
      <w:pPr>
        <w:pStyle w:val="Headingb"/>
        <w:rPr>
          <w:rtl/>
        </w:rPr>
      </w:pPr>
      <w:r>
        <w:rPr>
          <w:rtl/>
        </w:rPr>
        <w:t>الخدمات والتطبيقات الرقمية</w:t>
      </w:r>
    </w:p>
    <w:p w14:paraId="2F439FAC" w14:textId="1DD0FED1" w:rsidR="007C0AB6" w:rsidRDefault="007C0AB6" w:rsidP="007C0AB6">
      <w:pPr>
        <w:rPr>
          <w:rtl/>
          <w:lang w:bidi="ar-EG"/>
        </w:rPr>
      </w:pPr>
      <w:r w:rsidRPr="001D0423">
        <w:rPr>
          <w:b/>
          <w:bCs/>
          <w:rtl/>
          <w:lang w:bidi="ar-EG"/>
        </w:rPr>
        <w:t>في إفريقيا</w:t>
      </w:r>
      <w:r>
        <w:rPr>
          <w:rtl/>
          <w:lang w:bidi="ar-EG"/>
        </w:rPr>
        <w:t xml:space="preserve">، جرى التحقق من صلاحية خارطة الطريق الوطنية لمعمارية المؤسسة والتحول الرقمي في غامبيا، مع مدخلات مشتركة بين وزارات متعددة (المالية، والصحة، وتكنولوجيا المعلومات والاتصالات، وهيئة الإيرادات). وفي غينيا بيساو، عُقدت أول ورشة عمل معمقة بشأن مشروع </w:t>
      </w:r>
      <w:r>
        <w:rPr>
          <w:lang w:bidi="ar-EG"/>
        </w:rPr>
        <w:t>GovStack</w:t>
      </w:r>
      <w:r>
        <w:rPr>
          <w:rtl/>
          <w:lang w:bidi="ar-EG"/>
        </w:rPr>
        <w:t xml:space="preserve"> لتحديد خدمات الحكومة الرقمية المعيارية والقابلة للتشغيل البيني. ويدخل مشروع </w:t>
      </w:r>
      <w:r>
        <w:rPr>
          <w:lang w:bidi="ar-EG"/>
        </w:rPr>
        <w:t>GovStack</w:t>
      </w:r>
      <w:r>
        <w:rPr>
          <w:rtl/>
          <w:lang w:bidi="ar-EG"/>
        </w:rPr>
        <w:t xml:space="preserve"> في القرن الإفريقي مرحلته الختامية، بينما أُنجز التقرير النهائي لمشروع </w:t>
      </w:r>
      <w:r>
        <w:rPr>
          <w:lang w:bidi="ar-EG"/>
        </w:rPr>
        <w:t>GovStack</w:t>
      </w:r>
      <w:r>
        <w:rPr>
          <w:rtl/>
          <w:lang w:bidi="ar-EG"/>
        </w:rPr>
        <w:t xml:space="preserve"> في إسواتيني، واستُكملت هذه الجهود بعقد ورش عمل معمقة.</w:t>
      </w:r>
    </w:p>
    <w:p w14:paraId="50515C48" w14:textId="77777777" w:rsidR="007C0AB6" w:rsidRDefault="007C0AB6" w:rsidP="007C0AB6">
      <w:pPr>
        <w:rPr>
          <w:rtl/>
          <w:lang w:bidi="ar-EG"/>
        </w:rPr>
      </w:pPr>
      <w:r w:rsidRPr="001D0423">
        <w:rPr>
          <w:b/>
          <w:bCs/>
          <w:rtl/>
          <w:lang w:bidi="ar-EG"/>
        </w:rPr>
        <w:t>وفي الدول العربية</w:t>
      </w:r>
      <w:r>
        <w:rPr>
          <w:rtl/>
          <w:lang w:bidi="ar-EG"/>
        </w:rPr>
        <w:t>، يعكف مكتب تنمية الاتصالات على وضع اللمسات النهائية على الاستراتيجية الوطنية للتكنولوجيات الغامرة في الأردن.</w:t>
      </w:r>
    </w:p>
    <w:p w14:paraId="5C4E04FB" w14:textId="77777777" w:rsidR="007C0AB6" w:rsidRDefault="007C0AB6" w:rsidP="007C0AB6">
      <w:pPr>
        <w:rPr>
          <w:rtl/>
          <w:lang w:bidi="ar-EG"/>
        </w:rPr>
      </w:pPr>
      <w:r w:rsidRPr="001D0423">
        <w:rPr>
          <w:b/>
          <w:bCs/>
          <w:rtl/>
          <w:lang w:bidi="ar-EG"/>
        </w:rPr>
        <w:t>وفي منطقة آسيا والمحيط الهادئ</w:t>
      </w:r>
      <w:r>
        <w:rPr>
          <w:rtl/>
          <w:lang w:bidi="ar-EG"/>
        </w:rPr>
        <w:t xml:space="preserve">، أُجريت مناقشات رفيعة المستوى في منغوليا بشأن تعزيز التنسيق بين الوكالات لتيسير اعتماد البلاد لمبادرة </w:t>
      </w:r>
      <w:r>
        <w:rPr>
          <w:lang w:bidi="ar-EG"/>
        </w:rPr>
        <w:t>GovStack</w:t>
      </w:r>
      <w:r>
        <w:rPr>
          <w:rtl/>
          <w:lang w:bidi="ar-EG"/>
        </w:rPr>
        <w:t xml:space="preserve">. وفي توفالو، يُجري تنظيم ورشة عمل لمشروع </w:t>
      </w:r>
      <w:r>
        <w:rPr>
          <w:lang w:bidi="ar-EG"/>
        </w:rPr>
        <w:t>GovStack</w:t>
      </w:r>
      <w:r>
        <w:rPr>
          <w:rtl/>
          <w:lang w:bidi="ar-EG"/>
        </w:rPr>
        <w:t>.</w:t>
      </w:r>
    </w:p>
    <w:p w14:paraId="3821EE52" w14:textId="06007158" w:rsidR="007C0AB6" w:rsidRDefault="007C0AB6" w:rsidP="007C0AB6">
      <w:pPr>
        <w:rPr>
          <w:rtl/>
          <w:lang w:bidi="ar-EG"/>
        </w:rPr>
      </w:pPr>
      <w:r>
        <w:rPr>
          <w:rtl/>
          <w:lang w:bidi="ar-EG"/>
        </w:rPr>
        <w:t xml:space="preserve">ونظم مكتب تنمية الاتصالات ورشة عمل في إطار مبادرة </w:t>
      </w:r>
      <w:r>
        <w:rPr>
          <w:lang w:bidi="ar-EG"/>
        </w:rPr>
        <w:t>GovStack</w:t>
      </w:r>
      <w:r>
        <w:rPr>
          <w:rtl/>
          <w:lang w:bidi="ar-EG"/>
        </w:rPr>
        <w:t xml:space="preserve"> للحكومة بأكملها في بابوا غينيا الجديدة في شهر فبراير، وناقش المرحلة التالية من مشروع الاتحاد الأوروبي </w:t>
      </w:r>
      <w:r>
        <w:rPr>
          <w:lang w:bidi="ar-EG"/>
        </w:rPr>
        <w:t>STREIT</w:t>
      </w:r>
      <w:r>
        <w:rPr>
          <w:rtl/>
          <w:lang w:bidi="ar-EG"/>
        </w:rPr>
        <w:t xml:space="preserve"> الذي نُفذ بالاشتراك مع منظمة الأغذية والزراعة للأمم المتحدة</w:t>
      </w:r>
      <w:r w:rsidR="00EA6533">
        <w:rPr>
          <w:rFonts w:hint="eastAsia"/>
          <w:rtl/>
          <w:lang w:bidi="ar-EG"/>
        </w:rPr>
        <w:t> </w:t>
      </w:r>
      <w:r>
        <w:rPr>
          <w:rtl/>
          <w:lang w:bidi="ar-EG"/>
        </w:rPr>
        <w:t>(</w:t>
      </w:r>
      <w:r>
        <w:rPr>
          <w:lang w:bidi="ar-EG"/>
        </w:rPr>
        <w:t>FAO</w:t>
      </w:r>
      <w:r>
        <w:rPr>
          <w:rtl/>
          <w:lang w:bidi="ar-EG"/>
        </w:rPr>
        <w:t>) وبرنامج الأمم المتحدة الإنمائي (</w:t>
      </w:r>
      <w:r>
        <w:rPr>
          <w:lang w:bidi="ar-EG"/>
        </w:rPr>
        <w:t>UNDP</w:t>
      </w:r>
      <w:r>
        <w:rPr>
          <w:rtl/>
          <w:lang w:bidi="ar-EG"/>
        </w:rPr>
        <w:t>) ووكالات أخرى للأمم المتحدة في البلدان دعماً للزراعة الرقمية والتوصيلية الريفية وتنمية القدرات والإلمام بالتكنولوجيا الرقمية</w:t>
      </w:r>
      <w:r w:rsidR="00391DF2">
        <w:rPr>
          <w:rFonts w:hint="cs"/>
          <w:rtl/>
          <w:lang w:bidi="ar-EG"/>
        </w:rPr>
        <w:t>.</w:t>
      </w:r>
    </w:p>
    <w:p w14:paraId="08C0912A" w14:textId="0103869B" w:rsidR="007C0AB6" w:rsidRDefault="007C0AB6" w:rsidP="007C0AB6">
      <w:pPr>
        <w:rPr>
          <w:rtl/>
          <w:lang w:bidi="ar-EG"/>
        </w:rPr>
      </w:pPr>
      <w:r w:rsidRPr="00391DF2">
        <w:rPr>
          <w:b/>
          <w:bCs/>
          <w:rtl/>
          <w:lang w:bidi="ar-EG"/>
        </w:rPr>
        <w:t>وفي كومنولث الدول المستقلة</w:t>
      </w:r>
      <w:r>
        <w:rPr>
          <w:rtl/>
          <w:lang w:bidi="ar-EG"/>
        </w:rPr>
        <w:t>، عقد مكتب تنمية الاتصالات دورة تدريبية وطنية يومي 11 و12 مارس، بالتعاون مع المركز الوطني للخدمات الإلكترونية في بيلاروس. وتبادل خبراء من كازاخستان وأذربيجان وأوزبكستان تجارب بلدانهم في مجالات رئيسية، من بينها إعادة هندسة الخدمات العامة لتحويلها إلى أحداث حياة رقمية، وتقديم خدمات عامة رقمية استباقية، وإدارة البيانات، واتخاذ قرارات قائمة على البيانات استناداً إلى تحليلات "بُحَيْرة البيانات".</w:t>
      </w:r>
    </w:p>
    <w:p w14:paraId="5E8DB5C6" w14:textId="7F4F9EDA" w:rsidR="007C0AB6" w:rsidRDefault="007C0AB6" w:rsidP="007C0AB6">
      <w:pPr>
        <w:rPr>
          <w:rtl/>
          <w:lang w:bidi="ar-EG"/>
        </w:rPr>
      </w:pPr>
      <w:r w:rsidRPr="0087332D">
        <w:rPr>
          <w:b/>
          <w:bCs/>
          <w:rtl/>
          <w:lang w:bidi="ar-EG"/>
        </w:rPr>
        <w:lastRenderedPageBreak/>
        <w:t>وفي أوروبا</w:t>
      </w:r>
      <w:r>
        <w:rPr>
          <w:rtl/>
          <w:lang w:bidi="ar-EG"/>
        </w:rPr>
        <w:t xml:space="preserve">، ستجرى مواءمة </w:t>
      </w:r>
      <w:r>
        <w:rPr>
          <w:lang w:bidi="ar-EG"/>
        </w:rPr>
        <w:t>GovStack</w:t>
      </w:r>
      <w:r>
        <w:rPr>
          <w:rtl/>
          <w:lang w:bidi="ar-EG"/>
        </w:rPr>
        <w:t xml:space="preserve"> ضمن مشروع الصندوق المشترك لأهداف التنمية المستدامة التابع لبرنامج الأمم المتحدة الإنمائي، ليتمكن مكتب تنمية الاتصالات من تقديم أنشطة بناء القدرات، وإعداد النماذج الأولية، وبيئة الاختبار، و</w:t>
      </w:r>
      <w:r>
        <w:rPr>
          <w:lang w:bidi="ar-EG"/>
        </w:rPr>
        <w:t>GovSpecs</w:t>
      </w:r>
      <w:r>
        <w:rPr>
          <w:rFonts w:ascii="Arial" w:hAnsi="Arial" w:cs="Arial"/>
          <w:lang w:bidi="ar-EG"/>
        </w:rPr>
        <w:t> </w:t>
      </w:r>
      <w:r>
        <w:rPr>
          <w:lang w:bidi="ar-EG"/>
        </w:rPr>
        <w:t>2.0</w:t>
      </w:r>
      <w:r>
        <w:rPr>
          <w:rtl/>
          <w:lang w:bidi="ar-EG"/>
        </w:rPr>
        <w:t xml:space="preserve"> في صربيا.</w:t>
      </w:r>
    </w:p>
    <w:p w14:paraId="7D834BA3" w14:textId="77777777" w:rsidR="007C0AB6" w:rsidRDefault="007C0AB6" w:rsidP="007C0AB6">
      <w:pPr>
        <w:rPr>
          <w:rtl/>
          <w:lang w:bidi="ar-EG"/>
        </w:rPr>
      </w:pPr>
      <w:r>
        <w:rPr>
          <w:rtl/>
          <w:lang w:bidi="ar-EG"/>
        </w:rPr>
        <w:t>ويواصل مكتب تنمية الاتصالات عموماً النهوض بالبرمجيات المفتوحة المصدر والبنية التحتية العامة الرقمية (</w:t>
      </w:r>
      <w:r>
        <w:rPr>
          <w:lang w:bidi="ar-EG"/>
        </w:rPr>
        <w:t>DPI</w:t>
      </w:r>
      <w:r>
        <w:rPr>
          <w:rtl/>
          <w:lang w:bidi="ar-EG"/>
        </w:rPr>
        <w:t>). ففي الربع الأول من عام 2026، قدم مكتب تنمية الاتصالات دورتين تدريبيتين مخصصتين لحكومة كينيا، ودعم تحديد خارطة طريق للبنية التحتية العامة الرقمية حالياً في إطار تمكين النظام الإيكولوجي مفتوح المصدر (</w:t>
      </w:r>
      <w:r>
        <w:rPr>
          <w:lang w:bidi="ar-EG"/>
        </w:rPr>
        <w:t>OSEE</w:t>
      </w:r>
      <w:r>
        <w:rPr>
          <w:rtl/>
          <w:lang w:bidi="ar-EG"/>
        </w:rPr>
        <w:t>)، وتعزيز القدرات الوطنية بشأن البرمجيات مفتوحة المصدر والأمن السيبراني وإدارة الأنظمة، باعتبار هذه الجوانب أسساً للبنية التحتية العامة الرقمية. تتواصل كذلك المشاركة مع البلدان التجريبية والمنتسبة في مناطق إفريقيا، وآسيا والمحيط الهادئ، والشرق الأوسط وشمال إفريقيا لدعم إنشاء مكاتب وطنية للبرامج مفتوحة المصدر.</w:t>
      </w:r>
    </w:p>
    <w:p w14:paraId="30F99CD5" w14:textId="5222C619" w:rsidR="007C0AB6" w:rsidRPr="00DF1691" w:rsidRDefault="007C0AB6" w:rsidP="007C0AB6">
      <w:pPr>
        <w:rPr>
          <w:spacing w:val="-2"/>
          <w:rtl/>
          <w:lang w:bidi="ar-EG"/>
        </w:rPr>
      </w:pPr>
      <w:r w:rsidRPr="00DF1691">
        <w:rPr>
          <w:spacing w:val="-2"/>
          <w:rtl/>
          <w:lang w:bidi="ar-EG"/>
        </w:rPr>
        <w:t xml:space="preserve">سعى مكتب تنمية الاتصالات أيضاً إلى تعزيز الاتساق في منظومة الأمم المتحدة عبر مبادرة البرمجيات مفتوحة المصدر </w:t>
      </w:r>
      <w:r w:rsidRPr="00DF1691">
        <w:rPr>
          <w:spacing w:val="-2"/>
          <w:lang w:bidi="ar-EG"/>
        </w:rPr>
        <w:t>(Open</w:t>
      </w:r>
      <w:r w:rsidR="0087332D" w:rsidRPr="00DF1691">
        <w:rPr>
          <w:spacing w:val="-2"/>
          <w:lang w:val="en-GB" w:bidi="ar-EG"/>
        </w:rPr>
        <w:t> </w:t>
      </w:r>
      <w:r w:rsidRPr="00DF1691">
        <w:rPr>
          <w:spacing w:val="-2"/>
          <w:lang w:bidi="ar-EG"/>
        </w:rPr>
        <w:t>Source United)</w:t>
      </w:r>
      <w:r w:rsidRPr="00DF1691">
        <w:rPr>
          <w:spacing w:val="-2"/>
          <w:rtl/>
          <w:lang w:bidi="ar-EG"/>
        </w:rPr>
        <w:t xml:space="preserve"> للأمم المتحدة، وأسهم بنشاط في هذه المبادرة، بما في ذلك تولي منصب نائب رئيس مجتمع الممارسين ودعم تفعيل استخدام مستودع الشفرة مفتوحة المصدر الذي يستضيفه مركز الأمم المتحدة الدولي للحوسبة</w:t>
      </w:r>
      <w:r w:rsidR="00DF1691" w:rsidRPr="00DF1691">
        <w:rPr>
          <w:rFonts w:hint="eastAsia"/>
          <w:spacing w:val="-2"/>
          <w:rtl/>
          <w:lang w:bidi="ar-EG"/>
        </w:rPr>
        <w:t> </w:t>
      </w:r>
      <w:r w:rsidRPr="00DF1691">
        <w:rPr>
          <w:spacing w:val="-2"/>
          <w:rtl/>
          <w:lang w:bidi="ar-EG"/>
        </w:rPr>
        <w:t>(</w:t>
      </w:r>
      <w:r w:rsidRPr="00DF1691">
        <w:rPr>
          <w:spacing w:val="-2"/>
          <w:lang w:bidi="ar-EG"/>
        </w:rPr>
        <w:t>UNICC</w:t>
      </w:r>
      <w:r w:rsidRPr="00DF1691">
        <w:rPr>
          <w:spacing w:val="-2"/>
          <w:rtl/>
          <w:lang w:bidi="ar-EG"/>
        </w:rPr>
        <w:t>) داخل الاتحاد، ما يعزز الممارسات الرقمية السيادية والتعاونية المفتوحة في منظومة الأمم المتحدة.</w:t>
      </w:r>
    </w:p>
    <w:p w14:paraId="73027184" w14:textId="34C4F633" w:rsidR="007C0AB6" w:rsidRDefault="007C0AB6" w:rsidP="007C0AB6">
      <w:pPr>
        <w:rPr>
          <w:rtl/>
          <w:lang w:bidi="ar-EG"/>
        </w:rPr>
      </w:pPr>
      <w:r>
        <w:rPr>
          <w:rtl/>
          <w:lang w:bidi="ar-EG"/>
        </w:rPr>
        <w:t>علاوة</w:t>
      </w:r>
      <w:r w:rsidR="001133CE">
        <w:rPr>
          <w:rFonts w:hint="cs"/>
          <w:rtl/>
          <w:lang w:bidi="ar-EG"/>
        </w:rPr>
        <w:t>ً</w:t>
      </w:r>
      <w:r>
        <w:rPr>
          <w:rtl/>
          <w:lang w:bidi="ar-EG"/>
        </w:rPr>
        <w:t xml:space="preserve"> على ذلك، يواصل مكتب تنمية الاتصالات النهوض بالابتكار الذي يركز على أهداف التنمية المستدامة عن طريق تحدي الذكاء الاصطناعي التوليدي من أجل المصلحة العامة (</w:t>
      </w:r>
      <w:r>
        <w:rPr>
          <w:lang w:bidi="ar-EG"/>
        </w:rPr>
        <w:t>GenAIforGood</w:t>
      </w:r>
      <w:r>
        <w:rPr>
          <w:rtl/>
          <w:lang w:bidi="ar-EG"/>
        </w:rPr>
        <w:t>) (التأثير متعدد المناطق).</w:t>
      </w:r>
      <w:r w:rsidR="00C55646">
        <w:rPr>
          <w:rtl/>
          <w:lang w:bidi="ar-EG"/>
        </w:rPr>
        <w:t xml:space="preserve"> </w:t>
      </w:r>
      <w:r>
        <w:rPr>
          <w:rtl/>
          <w:lang w:bidi="ar-EG"/>
        </w:rPr>
        <w:t>وقد أُحرز تقدم في تنفيذ تحدي الذكاء الاصطناعي التوليدي من أجل المصلحة العامة، وكانت هناك حالات استعمال ملموسة على المستوى القُطري تتماشى مع أهداف التنمية المستدامة:</w:t>
      </w:r>
    </w:p>
    <w:p w14:paraId="3FC9C280" w14:textId="34928B4E" w:rsidR="007C0AB6" w:rsidRDefault="001133CE" w:rsidP="001133CE">
      <w:pPr>
        <w:pStyle w:val="enumlev1"/>
        <w:rPr>
          <w:rtl/>
        </w:rPr>
      </w:pPr>
      <w:r>
        <w:sym w:font="Wingdings 2" w:char="F097"/>
      </w:r>
      <w:r w:rsidR="007C0AB6">
        <w:rPr>
          <w:rtl/>
        </w:rPr>
        <w:tab/>
        <w:t>غامبيا (الصحة) - دعم الوقاية من الأمراض غير المعدية</w:t>
      </w:r>
    </w:p>
    <w:p w14:paraId="3A37718E" w14:textId="3E59AF9E" w:rsidR="007C0AB6" w:rsidRDefault="001133CE" w:rsidP="001133CE">
      <w:pPr>
        <w:pStyle w:val="enumlev1"/>
        <w:rPr>
          <w:rtl/>
        </w:rPr>
      </w:pPr>
      <w:r>
        <w:sym w:font="Wingdings 2" w:char="F097"/>
      </w:r>
      <w:r w:rsidR="007C0AB6">
        <w:rPr>
          <w:rtl/>
        </w:rPr>
        <w:tab/>
        <w:t xml:space="preserve">بنغلاديش (المناخ) - تحسين القدرة على </w:t>
      </w:r>
      <w:r w:rsidR="00476B78">
        <w:rPr>
          <w:rFonts w:hint="cs"/>
          <w:rtl/>
        </w:rPr>
        <w:t xml:space="preserve">الصمود في مواجهة </w:t>
      </w:r>
      <w:r w:rsidR="007C0AB6">
        <w:rPr>
          <w:rtl/>
        </w:rPr>
        <w:t>تغير المناخ، وقدرات الإنذار المبكر</w:t>
      </w:r>
    </w:p>
    <w:p w14:paraId="7C0C323E" w14:textId="6A03036E" w:rsidR="007C0AB6" w:rsidRDefault="001133CE" w:rsidP="001133CE">
      <w:pPr>
        <w:pStyle w:val="enumlev1"/>
        <w:rPr>
          <w:rtl/>
        </w:rPr>
      </w:pPr>
      <w:r>
        <w:sym w:font="Wingdings 2" w:char="F097"/>
      </w:r>
      <w:r w:rsidR="007C0AB6">
        <w:rPr>
          <w:rtl/>
        </w:rPr>
        <w:tab/>
        <w:t>ليسوتو (الزراعة) - تقديم الخدمات الاستشارية للمزارعين من أصحاب الحيازات الصغيرة</w:t>
      </w:r>
    </w:p>
    <w:p w14:paraId="7AF076AC" w14:textId="77777777" w:rsidR="007C0AB6" w:rsidRDefault="007C0AB6" w:rsidP="007C0AB6">
      <w:pPr>
        <w:rPr>
          <w:rtl/>
          <w:lang w:bidi="ar-EG"/>
        </w:rPr>
      </w:pPr>
      <w:r>
        <w:rPr>
          <w:rtl/>
          <w:lang w:bidi="ar-EG"/>
        </w:rPr>
        <w:t>وتحشد هذه المبادرة جهود الابتكار العالمي للتوصل إلى حلول شاملة وقابلة للنشر للبنية التحتية العامة الرقمية.</w:t>
      </w:r>
    </w:p>
    <w:p w14:paraId="760591F4" w14:textId="77777777" w:rsidR="007C0AB6" w:rsidRDefault="007C0AB6" w:rsidP="007C0AB6">
      <w:pPr>
        <w:rPr>
          <w:rtl/>
          <w:lang w:bidi="ar-EG"/>
        </w:rPr>
      </w:pPr>
      <w:r>
        <w:rPr>
          <w:rtl/>
          <w:lang w:bidi="ar-EG"/>
        </w:rPr>
        <w:t xml:space="preserve">وأصدر مكتب تنمية الاتصالات إطار </w:t>
      </w:r>
      <w:r>
        <w:rPr>
          <w:lang w:bidi="ar-EG"/>
        </w:rPr>
        <w:t>GENIE.AI</w:t>
      </w:r>
      <w:r>
        <w:rPr>
          <w:rtl/>
          <w:lang w:bidi="ar-EG"/>
        </w:rPr>
        <w:t xml:space="preserve"> باعتباره أول مكون مفتوح المصدر للبنية التحتية العامة الرقمية للذكاء الاصطناعي التوليدي ضمن النظام الإيكولوجي لمشروع </w:t>
      </w:r>
      <w:r>
        <w:rPr>
          <w:lang w:bidi="ar-EG"/>
        </w:rPr>
        <w:t>GovStack</w:t>
      </w:r>
      <w:r>
        <w:rPr>
          <w:rtl/>
          <w:lang w:bidi="ar-EG"/>
        </w:rPr>
        <w:t>، ما يمكن البلدان من نشر حلول الذكاء الاصطناعي السيادية والمسؤولة من أجل الخدمات العامة. ويُجرى تنفيذ نماذج أولية في كينيا وليسوتو والسلفادور، تبرز التطبيقات الواقعية في مجال الخدمات العامة الرقمية الشاملة والجديرة بالثقة.</w:t>
      </w:r>
    </w:p>
    <w:p w14:paraId="4EBD2604" w14:textId="1B88A686" w:rsidR="007C0AB6" w:rsidRPr="001133CE" w:rsidRDefault="007C0AB6" w:rsidP="007C0AB6">
      <w:pPr>
        <w:rPr>
          <w:spacing w:val="-2"/>
          <w:rtl/>
          <w:lang w:bidi="ar-EG"/>
        </w:rPr>
      </w:pPr>
      <w:r w:rsidRPr="001133CE">
        <w:rPr>
          <w:spacing w:val="-2"/>
          <w:rtl/>
          <w:lang w:bidi="ar-EG"/>
        </w:rPr>
        <w:t>وتشمل الأنشطة الأخرى تعزيز نهج برنامجي للتحول الرقمي، عن طريق التنفيذ المتكامل الذي تتضافر فيه السياسات وبناء القدرا</w:t>
      </w:r>
      <w:r w:rsidR="001133CE" w:rsidRPr="001133CE">
        <w:rPr>
          <w:rFonts w:hint="cs"/>
          <w:spacing w:val="-2"/>
          <w:rtl/>
          <w:lang w:bidi="ar-EG"/>
        </w:rPr>
        <w:t>ت</w:t>
      </w:r>
      <w:r w:rsidRPr="001133CE">
        <w:rPr>
          <w:spacing w:val="-2"/>
          <w:rtl/>
          <w:lang w:bidi="ar-EG"/>
        </w:rPr>
        <w:t xml:space="preserve"> ونشر التكنولوجيا، بما يجعل الاتحاد عاملاً تمكينياً رئيسياً للأنظمة الإيكولوجية المفتوحة والقابلة للتشغيل البيني والتطوير للبنية التحتية العامة الرقمية، ومساهماً بشكل مباشر في الشمول الرقمي وتحقيق الملكية الوطنية والاستدامة على المدى الطويل.</w:t>
      </w:r>
    </w:p>
    <w:p w14:paraId="49684257" w14:textId="45844C77" w:rsidR="007C0AB6" w:rsidRDefault="007C0AB6" w:rsidP="001133CE">
      <w:pPr>
        <w:pStyle w:val="Headingb"/>
        <w:rPr>
          <w:rtl/>
        </w:rPr>
      </w:pPr>
      <w:r>
        <w:rPr>
          <w:rtl/>
        </w:rPr>
        <w:t>تنمية القدرات</w:t>
      </w:r>
    </w:p>
    <w:p w14:paraId="3FC5EA1C" w14:textId="77777777" w:rsidR="007C0AB6" w:rsidRDefault="007C0AB6" w:rsidP="007C0AB6">
      <w:pPr>
        <w:rPr>
          <w:rtl/>
          <w:lang w:bidi="ar-EG"/>
        </w:rPr>
      </w:pPr>
      <w:r>
        <w:rPr>
          <w:rtl/>
          <w:lang w:bidi="ar-EG"/>
        </w:rPr>
        <w:t>عقب إطلاق مجموعة أدوات المهارات الرقمية في عام 2024، أُطلقت دورة للتعلم الإلكتروني في 19 مارس في اليوم الدولي للتعليم، لمساعدة المشاركين على وضع توصيات مجموعة الأدوات موضع التنفيذ.</w:t>
      </w:r>
    </w:p>
    <w:p w14:paraId="26B2FA3B" w14:textId="7AF878D2" w:rsidR="007C0AB6" w:rsidRDefault="007C0AB6" w:rsidP="007C0AB6">
      <w:pPr>
        <w:rPr>
          <w:rtl/>
          <w:lang w:bidi="ar-EG"/>
        </w:rPr>
      </w:pPr>
      <w:r w:rsidRPr="001133CE">
        <w:rPr>
          <w:b/>
          <w:bCs/>
          <w:rtl/>
          <w:lang w:bidi="ar-EG"/>
        </w:rPr>
        <w:t>في إفريقيا</w:t>
      </w:r>
      <w:r>
        <w:rPr>
          <w:rtl/>
          <w:lang w:bidi="ar-EG"/>
        </w:rPr>
        <w:t>، عُقد معسكر تدريبي في كينيا في فبراير لمديري شبكات تكنولوجيا المعلومات والاتصالات، تولى تنظيمه مكتب تنمية الاتصالات ورابطة الاتصالات التقدمية (</w:t>
      </w:r>
      <w:r>
        <w:rPr>
          <w:lang w:bidi="ar-EG"/>
        </w:rPr>
        <w:t>APC</w:t>
      </w:r>
      <w:r>
        <w:rPr>
          <w:rtl/>
          <w:lang w:bidi="ar-EG"/>
        </w:rPr>
        <w:t xml:space="preserve">) ومؤسسة </w:t>
      </w:r>
      <w:r>
        <w:rPr>
          <w:lang w:bidi="ar-EG"/>
        </w:rPr>
        <w:t>Rhizomatica</w:t>
      </w:r>
      <w:r>
        <w:rPr>
          <w:rtl/>
          <w:lang w:bidi="ar-EG"/>
        </w:rPr>
        <w:t>. شارك في المعسكر أربعة وأربعون مشاركاً من 18 بلداً إفريقيا جنوب الصحراء الكبرى، واجتازوا البرنامج التدريبي. وقد عزز التدريب المهارات العملية للمشاركين في مجال إدارة الشبكات والاتصالات في حالات الطوارئ والحلول المستدامة القائمة على تكنولوجيا المعلومات والاتصالات، كما أسهم في تحسين قدراتهم فيما يتعلق بتخطيط المشاريع المجتمعية وبناء القدرة على الصمود.</w:t>
      </w:r>
    </w:p>
    <w:p w14:paraId="3B367CE8" w14:textId="77777777" w:rsidR="007C0AB6" w:rsidRDefault="007C0AB6" w:rsidP="007C0AB6">
      <w:pPr>
        <w:rPr>
          <w:rtl/>
          <w:lang w:bidi="ar-EG"/>
        </w:rPr>
      </w:pPr>
      <w:r>
        <w:rPr>
          <w:rtl/>
          <w:lang w:bidi="ar-EG"/>
        </w:rPr>
        <w:t>ونظم مكتب تنمية الاتصالات دورة تدريبية مختلطة في إثيوبيا في فبراير 2026، بالتعاون مع الاتحاد الأوروبي، لواضعي السياسات والمنظمين وقادة المجتمع المدني والمهنيين. واشتملت الدورة التدريبية على جلسات عبر الإنترنت بشأن مفاهيم الذكاء الاصطناعي، والأخلاقيات، والأمن السيبراني، والأطر القانونية، إلى جانب جزء يتعلق بالتعلم العملي. وفي إطار المشروع نفسه، عُقدت دورة تدريبية إضافية في مارس 2026 بشأن تمكين الاقتصاد الدائري، بالتركيز على سياسة المخلفات الإلكترونية ومسؤولية المنتجين في إدارة المخلفات الإلكترونية.</w:t>
      </w:r>
    </w:p>
    <w:p w14:paraId="34629118" w14:textId="77777777" w:rsidR="007C0AB6" w:rsidRDefault="007C0AB6" w:rsidP="007C0AB6">
      <w:pPr>
        <w:rPr>
          <w:rtl/>
          <w:lang w:bidi="ar-EG"/>
        </w:rPr>
      </w:pPr>
      <w:r w:rsidRPr="003A6961">
        <w:rPr>
          <w:b/>
          <w:bCs/>
          <w:rtl/>
          <w:lang w:bidi="ar-EG"/>
        </w:rPr>
        <w:lastRenderedPageBreak/>
        <w:t>وفي كومنولث الدول المستقلة</w:t>
      </w:r>
      <w:r>
        <w:rPr>
          <w:rtl/>
          <w:lang w:bidi="ar-EG"/>
        </w:rPr>
        <w:t>، عُقدت مائدة مستديرة تشاورية وطنية في 24 مارس، أجريت خلالها مناقشات مستفيضة حول نتائج الدراسة المتعلقة بتقييم المهارات الرقمية لموظفي الدولة والبلديات في جمهورية قيرغيزستان "</w:t>
      </w:r>
      <w:r>
        <w:rPr>
          <w:lang w:bidi="ar-EG"/>
        </w:rPr>
        <w:t>Sanarip kyzmatker</w:t>
      </w:r>
      <w:r>
        <w:rPr>
          <w:rtl/>
          <w:lang w:bidi="ar-EG"/>
        </w:rPr>
        <w:t>". ويعد هذا الحدث متابعة لتقييم المهارات الرقمية الذي أُجري بالاشتراك مع الاتحاد الدولي للاتصالات، لصالح الوكالة الحكومية لشؤون الخدمة المدنية والحكم الذاتي المحلي. وجمعت المائدة المستديرة 55 مشاركاً؛ منهم رؤساء هيئات تابعة للدولة وحكومات محلية، وموظفو دولة وبلديات، وممثلو أوساط علمية وتعليمية في قطاع التكنولوجيا الرقمية، وممثلون عن بيئة أعمال تكنولوجيا المعلومات ومتخصصون في تكنولوجيا المعلومات. وتمحور الحدث حول ثلاثة أقسام مترابطة. عرض القسم الأول نتائج دراسة عن المستوى الحالي للكفاءات الرقمية، مما أتاح تحديد خط أساس للتنمية. بينما عُرض على المشاركين في القسم الثاني مشروع منهجية للتقييم، جرى إعداده استناداً إلى الإطار الوطني للكفاءات الرقمية. وأجريت في القسم الثالث مناقشة للظروف المؤسسية لتنمية المهارات الرقمية، والآليات العملية لتنفيذ الحلول المقترحة.</w:t>
      </w:r>
    </w:p>
    <w:p w14:paraId="44652421" w14:textId="77777777" w:rsidR="007C0AB6" w:rsidRDefault="007C0AB6" w:rsidP="007C0AB6">
      <w:pPr>
        <w:rPr>
          <w:rtl/>
          <w:lang w:bidi="ar-EG"/>
        </w:rPr>
      </w:pPr>
      <w:r w:rsidRPr="003B0AC7">
        <w:rPr>
          <w:b/>
          <w:bCs/>
          <w:rtl/>
          <w:lang w:bidi="ar-EG"/>
        </w:rPr>
        <w:t>وفي أوروبا</w:t>
      </w:r>
      <w:r>
        <w:rPr>
          <w:rtl/>
          <w:lang w:bidi="ar-EG"/>
        </w:rPr>
        <w:t xml:space="preserve">، بدأت الأعمال التحضيرية لتنفيذ تقييم المهارات الرقمية للعاملين في القطاع العام في ألبانيا في شهر فبراير، في إطار مشروع الصندوق المشترك لأهداف التنمية المستدامة التابع لمشروع </w:t>
      </w:r>
      <w:r>
        <w:rPr>
          <w:lang w:bidi="ar-EG"/>
        </w:rPr>
        <w:t>DART</w:t>
      </w:r>
      <w:r>
        <w:rPr>
          <w:rtl/>
          <w:lang w:bidi="ar-EG"/>
        </w:rPr>
        <w:t>، الذي جرى تنفيذه في ألبانيا بالاشتراك مع منظمة الأغذية والزراعة ومنظمة العمل الدولية.</w:t>
      </w:r>
    </w:p>
    <w:p w14:paraId="7727DABB" w14:textId="77777777" w:rsidR="007C0AB6" w:rsidRDefault="007C0AB6" w:rsidP="003B0AC7">
      <w:pPr>
        <w:pStyle w:val="Headingb"/>
        <w:rPr>
          <w:rtl/>
        </w:rPr>
      </w:pPr>
      <w:r>
        <w:rPr>
          <w:rtl/>
        </w:rPr>
        <w:t>الالتزام بالاستدامة البيئية</w:t>
      </w:r>
    </w:p>
    <w:p w14:paraId="4EFF227B" w14:textId="77777777" w:rsidR="007C0AB6" w:rsidRDefault="007C0AB6" w:rsidP="007C0AB6">
      <w:pPr>
        <w:rPr>
          <w:rtl/>
          <w:lang w:bidi="ar-EG"/>
        </w:rPr>
      </w:pPr>
      <w:r>
        <w:rPr>
          <w:rtl/>
          <w:lang w:bidi="ar-EG"/>
        </w:rPr>
        <w:t>في إطار مشروع "مبادرة التبادل الدولي بشأن تنظيم المخلفات الإلكترونية وإشراك شركات التكنولوجيا" الذي جرى تنفيذه بالتعاون مع حكومة كولومبيا، نظم مكتب تنمية الاتصالات جولة دراسية إلى الهند ضمن مبادرة التبادل الدولي، وبتمويل من الوكالة الرئاسية للتعاون الدولي في كولومبيا (</w:t>
      </w:r>
      <w:r>
        <w:rPr>
          <w:lang w:bidi="ar-EG"/>
        </w:rPr>
        <w:t>APC Colombia</w:t>
      </w:r>
      <w:r>
        <w:rPr>
          <w:rtl/>
          <w:lang w:bidi="ar-EG"/>
        </w:rPr>
        <w:t xml:space="preserve">) والاتحاد الدولي للاتصالات. وجمعت الجولة الدراسية، التي عُقدت في نيودلهي في الفترة من 9 إلى 13 فبراير، ممثلين من </w:t>
      </w:r>
      <w:r w:rsidRPr="00712391">
        <w:rPr>
          <w:b/>
          <w:bCs/>
          <w:rtl/>
          <w:lang w:bidi="ar-EG"/>
        </w:rPr>
        <w:t>مناطق إفريقيا والأمريكتين وآسيا والمحيط الهادئ</w:t>
      </w:r>
      <w:r>
        <w:rPr>
          <w:rtl/>
          <w:lang w:bidi="ar-EG"/>
        </w:rPr>
        <w:t>. وشملت البلدان الممثَّلة في الجولة الهند وماليزيا وجنوب إفريقيا ونيجيريا والجمهورية الدومينيكية وكولومبيا. وتمثلت المواضيع الرئيسية للتبادل فيما يلي: الأطر التنظيمية، والحوكمة، ومعمارية النظم؛ والدائرية في قطاع الاتصالات، وإدماج القطاع غير الرسمي في إدارة المخلفات الإلكترونية، وتقييس إدارة المخلفات الإلكترونية وتفعيلها.</w:t>
      </w:r>
    </w:p>
    <w:p w14:paraId="31B4BB98" w14:textId="2CDAADEA" w:rsidR="007C0AB6" w:rsidRDefault="007C0AB6" w:rsidP="007C0AB6">
      <w:pPr>
        <w:rPr>
          <w:rtl/>
          <w:lang w:bidi="ar-EG"/>
        </w:rPr>
      </w:pPr>
      <w:r>
        <w:rPr>
          <w:rtl/>
          <w:lang w:bidi="ar-EG"/>
        </w:rPr>
        <w:t>أعاد مكتب تنمية الاتصالات كذلك إطلاق الفريق الفرعي المعني بالمؤشرات الوطنية لرصد انبعاثات غازات الدفيئة، التابع لفريق الخبراء المعني بمؤشرات الاتصالات/تكنولوجيا المعلومات والاتصالات (</w:t>
      </w:r>
      <w:r>
        <w:rPr>
          <w:lang w:bidi="ar-EG"/>
        </w:rPr>
        <w:t>EGTI</w:t>
      </w:r>
      <w:r>
        <w:rPr>
          <w:rtl/>
          <w:lang w:bidi="ar-EG"/>
        </w:rPr>
        <w:t>)، في شهر فبراير بمشاركة قوية (أكثر من 30 مشاركاً في كل جلسة). وقد أعربت البرتغال (</w:t>
      </w:r>
      <w:r>
        <w:rPr>
          <w:lang w:bidi="ar-EG"/>
        </w:rPr>
        <w:t>Anacom</w:t>
      </w:r>
      <w:r>
        <w:rPr>
          <w:rtl/>
          <w:lang w:bidi="ar-EG"/>
        </w:rPr>
        <w:t>) وماليزيا (</w:t>
      </w:r>
      <w:r>
        <w:rPr>
          <w:lang w:bidi="ar-EG"/>
        </w:rPr>
        <w:t>MCMC</w:t>
      </w:r>
      <w:r>
        <w:rPr>
          <w:rtl/>
          <w:lang w:bidi="ar-EG"/>
        </w:rPr>
        <w:t>) عن اهتمامهما بالمرحلة التجريبية للإطار. وتجرى المرحلة التجريبية في البرازيل وجنوب إفريقيا. وفي البرازيل، عُقدت حلقة دراسية إلكترونية بشأن "مؤشرات الانبعاثات والطاقة في قطاع تكنولوجيا المعلومات والاتصالات" في 11 فبراير بمشاركة 36 شركة، كما عُقد 17 اجتماعاً ثنائياً، واستكملت 6 شركات الاستبيانات المطلوبة وسلَّمتها حتى هذه اللحظة.</w:t>
      </w:r>
    </w:p>
    <w:p w14:paraId="3727CBCD" w14:textId="77777777" w:rsidR="007C0AB6" w:rsidRDefault="007C0AB6" w:rsidP="00C23B5E">
      <w:pPr>
        <w:rPr>
          <w:rtl/>
          <w:lang w:bidi="ar-EG"/>
        </w:rPr>
      </w:pPr>
    </w:p>
    <w:p w14:paraId="32AA0125" w14:textId="77777777" w:rsidR="007C0AB6" w:rsidRDefault="007C0AB6" w:rsidP="00C23B5E">
      <w:pPr>
        <w:rPr>
          <w:rtl/>
          <w:lang w:bidi="ar-EG"/>
        </w:rPr>
        <w:sectPr w:rsidR="007C0AB6" w:rsidSect="007C0AB6">
          <w:headerReference w:type="default" r:id="rId27"/>
          <w:footerReference w:type="default" r:id="rId28"/>
          <w:pgSz w:w="11906" w:h="16838" w:code="9"/>
          <w:pgMar w:top="1418" w:right="1134" w:bottom="1134" w:left="1134" w:header="624" w:footer="624" w:gutter="0"/>
          <w:cols w:space="720"/>
          <w:docGrid w:linePitch="326"/>
        </w:sectPr>
      </w:pPr>
    </w:p>
    <w:p w14:paraId="48BE0534" w14:textId="6F4DD495" w:rsidR="00C23B5E" w:rsidRDefault="0075647E" w:rsidP="0075647E">
      <w:pPr>
        <w:pStyle w:val="Heading2"/>
      </w:pPr>
      <w:r>
        <w:lastRenderedPageBreak/>
        <w:t>3.3</w:t>
      </w:r>
      <w:r w:rsidR="00C23B5E" w:rsidRPr="00C23B5E">
        <w:rPr>
          <w:rtl/>
        </w:rPr>
        <w:tab/>
        <w:t xml:space="preserve">الأولوية 3 لقطاع تنمية الاتصالات: </w:t>
      </w:r>
      <w:r w:rsidR="00556B3F">
        <w:rPr>
          <w:rFonts w:hint="cs"/>
          <w:rtl/>
        </w:rPr>
        <w:t>ال</w:t>
      </w:r>
      <w:r w:rsidR="00C23B5E" w:rsidRPr="00C23B5E">
        <w:rPr>
          <w:rtl/>
        </w:rPr>
        <w:t xml:space="preserve">بيئة </w:t>
      </w:r>
      <w:proofErr w:type="spellStart"/>
      <w:r w:rsidR="00556B3F">
        <w:rPr>
          <w:rFonts w:hint="cs"/>
          <w:rtl/>
        </w:rPr>
        <w:t>ال</w:t>
      </w:r>
      <w:r w:rsidR="00C23B5E" w:rsidRPr="00C23B5E">
        <w:rPr>
          <w:rtl/>
        </w:rPr>
        <w:t>سياساتية</w:t>
      </w:r>
      <w:proofErr w:type="spellEnd"/>
      <w:r w:rsidR="00C23B5E" w:rsidRPr="00C23B5E">
        <w:rPr>
          <w:rtl/>
        </w:rPr>
        <w:t xml:space="preserve"> و</w:t>
      </w:r>
      <w:r w:rsidR="00556B3F">
        <w:rPr>
          <w:rFonts w:hint="cs"/>
          <w:rtl/>
        </w:rPr>
        <w:t>ال</w:t>
      </w:r>
      <w:r w:rsidR="00C23B5E" w:rsidRPr="00C23B5E">
        <w:rPr>
          <w:rtl/>
        </w:rPr>
        <w:t xml:space="preserve">تنظيمية </w:t>
      </w:r>
      <w:r w:rsidR="00556B3F">
        <w:rPr>
          <w:rFonts w:hint="cs"/>
          <w:rtl/>
        </w:rPr>
        <w:t>ال</w:t>
      </w:r>
      <w:r w:rsidR="00C23B5E" w:rsidRPr="00C23B5E">
        <w:rPr>
          <w:rtl/>
        </w:rPr>
        <w:t>تمكينية</w:t>
      </w:r>
    </w:p>
    <w:tbl>
      <w:tblPr>
        <w:tblpPr w:leftFromText="180" w:rightFromText="180" w:vertAnchor="text" w:tblpXSpec="right" w:tblpY="1"/>
        <w:tblOverlap w:val="never"/>
        <w:bidiVisual/>
        <w:tblW w:w="4951" w:type="pct"/>
        <w:tblLayout w:type="fixed"/>
        <w:tblLook w:val="04A0" w:firstRow="1" w:lastRow="0" w:firstColumn="1" w:lastColumn="0" w:noHBand="0" w:noVBand="1"/>
      </w:tblPr>
      <w:tblGrid>
        <w:gridCol w:w="1853"/>
        <w:gridCol w:w="2934"/>
        <w:gridCol w:w="2936"/>
        <w:gridCol w:w="2936"/>
        <w:gridCol w:w="1627"/>
        <w:gridCol w:w="1627"/>
        <w:gridCol w:w="1627"/>
      </w:tblGrid>
      <w:tr w:rsidR="0075647E" w:rsidRPr="0075647E" w14:paraId="73FA89B7" w14:textId="77777777" w:rsidTr="008D6664">
        <w:trPr>
          <w:tblHeader/>
        </w:trPr>
        <w:tc>
          <w:tcPr>
            <w:tcW w:w="1656" w:type="dxa"/>
            <w:tcBorders>
              <w:top w:val="single" w:sz="4" w:space="0" w:color="44B3E1"/>
              <w:left w:val="single" w:sz="4" w:space="0" w:color="44B3E1"/>
              <w:bottom w:val="single" w:sz="4" w:space="0" w:color="44B3E1"/>
              <w:right w:val="nil"/>
            </w:tcBorders>
            <w:shd w:val="clear" w:color="auto" w:fill="156082"/>
            <w:noWrap/>
            <w:vAlign w:val="center"/>
            <w:hideMark/>
          </w:tcPr>
          <w:p w14:paraId="6D496DD5" w14:textId="77777777" w:rsidR="0075647E" w:rsidRPr="0075647E" w:rsidRDefault="0075647E" w:rsidP="008D6664">
            <w:pPr>
              <w:pStyle w:val="TableHead"/>
              <w:rPr>
                <w:color w:val="FFFFFF" w:themeColor="background1"/>
                <w:position w:val="2"/>
                <w:lang w:val="ar-SA" w:bidi="ar-EG"/>
              </w:rPr>
            </w:pPr>
            <w:r w:rsidRPr="0075647E">
              <w:rPr>
                <w:color w:val="FFFFFF" w:themeColor="background1"/>
                <w:position w:val="2"/>
                <w:rtl/>
              </w:rPr>
              <w:t>الأولوية/الموضوع</w:t>
            </w:r>
          </w:p>
        </w:tc>
        <w:tc>
          <w:tcPr>
            <w:tcW w:w="2621" w:type="dxa"/>
            <w:tcBorders>
              <w:top w:val="single" w:sz="4" w:space="0" w:color="44B3E1"/>
              <w:left w:val="nil"/>
              <w:bottom w:val="single" w:sz="4" w:space="0" w:color="44B3E1"/>
              <w:right w:val="nil"/>
            </w:tcBorders>
            <w:shd w:val="clear" w:color="auto" w:fill="156082"/>
            <w:noWrap/>
            <w:vAlign w:val="center"/>
            <w:hideMark/>
          </w:tcPr>
          <w:p w14:paraId="35078568" w14:textId="323FF881" w:rsidR="0075647E" w:rsidRPr="0075647E" w:rsidRDefault="002F6EBB" w:rsidP="002F6EBB">
            <w:pPr>
              <w:pStyle w:val="TableHead"/>
              <w:rPr>
                <w:color w:val="FFFFFF" w:themeColor="background1"/>
                <w:position w:val="2"/>
                <w:lang w:val="ar-SA" w:bidi="ar-EG"/>
              </w:rPr>
            </w:pPr>
            <w:r w:rsidRPr="002F6EBB">
              <w:rPr>
                <w:rFonts w:hint="cs"/>
                <w:color w:val="FFFFFF" w:themeColor="background1"/>
                <w:position w:val="2"/>
                <w:rtl/>
              </w:rPr>
              <w:t>المحصلات</w:t>
            </w:r>
          </w:p>
        </w:tc>
        <w:tc>
          <w:tcPr>
            <w:tcW w:w="2622" w:type="dxa"/>
            <w:tcBorders>
              <w:top w:val="single" w:sz="4" w:space="0" w:color="44B3E1"/>
              <w:left w:val="nil"/>
              <w:bottom w:val="single" w:sz="4" w:space="0" w:color="44B3E1"/>
              <w:right w:val="nil"/>
            </w:tcBorders>
            <w:shd w:val="clear" w:color="auto" w:fill="156082"/>
            <w:noWrap/>
            <w:vAlign w:val="center"/>
            <w:hideMark/>
          </w:tcPr>
          <w:p w14:paraId="7C95B886" w14:textId="6138903A" w:rsidR="0075647E" w:rsidRPr="0075647E" w:rsidRDefault="0075647E" w:rsidP="008D6664">
            <w:pPr>
              <w:pStyle w:val="TableHead"/>
              <w:rPr>
                <w:color w:val="FFFFFF" w:themeColor="background1"/>
                <w:position w:val="2"/>
                <w:lang w:val="ar-SA" w:bidi="ar-EG"/>
              </w:rPr>
            </w:pPr>
            <w:r w:rsidRPr="0075647E">
              <w:rPr>
                <w:color w:val="FFFFFF" w:themeColor="background1"/>
                <w:position w:val="2"/>
                <w:rtl/>
              </w:rPr>
              <w:t>مؤشرات</w:t>
            </w:r>
            <w:r w:rsidR="004B15CA">
              <w:rPr>
                <w:rFonts w:hint="cs"/>
                <w:color w:val="FFFFFF" w:themeColor="background1"/>
                <w:position w:val="2"/>
                <w:rtl/>
              </w:rPr>
              <w:t xml:space="preserve"> </w:t>
            </w:r>
            <w:r w:rsidR="002F6EBB">
              <w:rPr>
                <w:rFonts w:hint="cs"/>
                <w:color w:val="FFFFFF" w:themeColor="background1"/>
                <w:position w:val="2"/>
                <w:rtl/>
              </w:rPr>
              <w:t>المحصلات</w:t>
            </w:r>
          </w:p>
        </w:tc>
        <w:tc>
          <w:tcPr>
            <w:tcW w:w="2622" w:type="dxa"/>
            <w:tcBorders>
              <w:top w:val="single" w:sz="4" w:space="0" w:color="44B3E1"/>
              <w:left w:val="nil"/>
              <w:bottom w:val="single" w:sz="4" w:space="0" w:color="44B3E1"/>
              <w:right w:val="nil"/>
            </w:tcBorders>
            <w:shd w:val="clear" w:color="auto" w:fill="156082"/>
            <w:vAlign w:val="center"/>
            <w:hideMark/>
          </w:tcPr>
          <w:p w14:paraId="16D4F367" w14:textId="6CEA8CD6" w:rsidR="0075647E" w:rsidRPr="0075647E" w:rsidRDefault="004B15CA" w:rsidP="008D6664">
            <w:pPr>
              <w:pStyle w:val="TableHead"/>
              <w:rPr>
                <w:color w:val="FFFFFF" w:themeColor="background1"/>
                <w:position w:val="2"/>
                <w:lang w:val="ar-SA" w:bidi="ar-EG"/>
              </w:rPr>
            </w:pPr>
            <w:r>
              <w:rPr>
                <w:rFonts w:hint="cs"/>
                <w:color w:val="FFFFFF" w:themeColor="background1"/>
                <w:position w:val="2"/>
                <w:rtl/>
              </w:rPr>
              <w:t>النواتج</w:t>
            </w:r>
            <w:r w:rsidR="0075647E" w:rsidRPr="0075647E">
              <w:rPr>
                <w:color w:val="FFFFFF" w:themeColor="background1"/>
                <w:position w:val="2"/>
              </w:rPr>
              <w:br/>
            </w:r>
            <w:r w:rsidR="0075647E" w:rsidRPr="0075647E">
              <w:rPr>
                <w:color w:val="FFFFFF" w:themeColor="background1"/>
                <w:position w:val="2"/>
                <w:rtl/>
              </w:rPr>
              <w:t xml:space="preserve">(منتجات وخدمات قطاع تنمية الاتصالات </w:t>
            </w:r>
            <w:r w:rsidR="007C0AB6">
              <w:rPr>
                <w:rFonts w:hint="cs"/>
                <w:color w:val="FFFFFF" w:themeColor="background1"/>
                <w:position w:val="2"/>
                <w:rtl/>
              </w:rPr>
              <w:t xml:space="preserve">في </w:t>
            </w:r>
            <w:r w:rsidR="0075647E" w:rsidRPr="0075647E">
              <w:rPr>
                <w:color w:val="FFFFFF" w:themeColor="background1"/>
                <w:position w:val="2"/>
                <w:rtl/>
              </w:rPr>
              <w:t>الاتحاد)</w:t>
            </w:r>
          </w:p>
        </w:tc>
        <w:tc>
          <w:tcPr>
            <w:tcW w:w="1453" w:type="dxa"/>
            <w:tcBorders>
              <w:top w:val="single" w:sz="4" w:space="0" w:color="44B3E1"/>
              <w:left w:val="nil"/>
              <w:bottom w:val="single" w:sz="4" w:space="0" w:color="44B3E1"/>
              <w:right w:val="nil"/>
            </w:tcBorders>
            <w:shd w:val="clear" w:color="auto" w:fill="156082"/>
            <w:vAlign w:val="center"/>
            <w:hideMark/>
          </w:tcPr>
          <w:p w14:paraId="028A80AD" w14:textId="77777777" w:rsidR="0075647E" w:rsidRPr="0075647E" w:rsidRDefault="0075647E" w:rsidP="008D6664">
            <w:pPr>
              <w:pStyle w:val="TableHead"/>
              <w:rPr>
                <w:color w:val="FFFFFF" w:themeColor="background1"/>
                <w:position w:val="2"/>
                <w:lang w:val="ar-SA" w:bidi="ar-EG"/>
              </w:rPr>
            </w:pPr>
            <w:r w:rsidRPr="0075647E">
              <w:rPr>
                <w:color w:val="FFFFFF" w:themeColor="background1"/>
                <w:position w:val="2"/>
                <w:rtl/>
              </w:rPr>
              <w:t>ميزانية عام 2026 (بالفرنكات السويسرية)</w:t>
            </w:r>
          </w:p>
        </w:tc>
        <w:tc>
          <w:tcPr>
            <w:tcW w:w="1453" w:type="dxa"/>
            <w:tcBorders>
              <w:top w:val="single" w:sz="4" w:space="0" w:color="44B3E1"/>
              <w:left w:val="nil"/>
              <w:bottom w:val="single" w:sz="4" w:space="0" w:color="44B3E1"/>
              <w:right w:val="nil"/>
            </w:tcBorders>
            <w:shd w:val="clear" w:color="auto" w:fill="156082"/>
            <w:vAlign w:val="center"/>
            <w:hideMark/>
          </w:tcPr>
          <w:p w14:paraId="1677208D" w14:textId="6B397E75" w:rsidR="0075647E" w:rsidRPr="0075647E" w:rsidRDefault="0075647E" w:rsidP="008D6664">
            <w:pPr>
              <w:pStyle w:val="TableHead"/>
              <w:rPr>
                <w:color w:val="FFFFFF" w:themeColor="background1"/>
                <w:position w:val="2"/>
                <w:lang w:val="ar-SA" w:bidi="ar-EG"/>
              </w:rPr>
            </w:pPr>
            <w:r w:rsidRPr="0075647E">
              <w:rPr>
                <w:color w:val="FFFFFF" w:themeColor="background1"/>
                <w:position w:val="2"/>
                <w:rtl/>
              </w:rPr>
              <w:t>النسبة المئوية للأولوية/</w:t>
            </w:r>
            <w:r w:rsidR="007C0AB6">
              <w:rPr>
                <w:rFonts w:hint="cs"/>
                <w:color w:val="FFFFFF" w:themeColor="background1"/>
                <w:position w:val="2"/>
                <w:rtl/>
              </w:rPr>
              <w:t>إجمالي عامل التمكين</w:t>
            </w:r>
          </w:p>
        </w:tc>
        <w:tc>
          <w:tcPr>
            <w:tcW w:w="1453" w:type="dxa"/>
            <w:tcBorders>
              <w:top w:val="single" w:sz="4" w:space="0" w:color="44B3E1"/>
              <w:left w:val="nil"/>
              <w:bottom w:val="single" w:sz="4" w:space="0" w:color="44B3E1"/>
              <w:right w:val="single" w:sz="4" w:space="0" w:color="44B3E1"/>
            </w:tcBorders>
            <w:shd w:val="clear" w:color="auto" w:fill="156082"/>
            <w:vAlign w:val="center"/>
            <w:hideMark/>
          </w:tcPr>
          <w:p w14:paraId="73288170" w14:textId="77777777" w:rsidR="0075647E" w:rsidRPr="0075647E" w:rsidRDefault="0075647E" w:rsidP="008D6664">
            <w:pPr>
              <w:pStyle w:val="TableHead"/>
              <w:rPr>
                <w:color w:val="FFFFFF" w:themeColor="background1"/>
                <w:position w:val="2"/>
                <w:lang w:val="ar-SA" w:bidi="ar-EG"/>
              </w:rPr>
            </w:pPr>
            <w:r w:rsidRPr="0075647E">
              <w:rPr>
                <w:color w:val="FFFFFF" w:themeColor="background1"/>
                <w:position w:val="2"/>
                <w:rtl/>
              </w:rPr>
              <w:t xml:space="preserve">النسبة المئوية من إجمالي الميزانية </w:t>
            </w:r>
          </w:p>
        </w:tc>
      </w:tr>
      <w:tr w:rsidR="005A1E71" w:rsidRPr="0075647E" w14:paraId="5DE1AF1C" w14:textId="77777777" w:rsidTr="008D6664">
        <w:tc>
          <w:tcPr>
            <w:tcW w:w="4277" w:type="dxa"/>
            <w:gridSpan w:val="2"/>
            <w:tcBorders>
              <w:top w:val="single" w:sz="4" w:space="0" w:color="44B3E1"/>
              <w:left w:val="single" w:sz="4" w:space="0" w:color="44B3E1"/>
              <w:bottom w:val="single" w:sz="4" w:space="0" w:color="44B3E1"/>
              <w:right w:val="nil"/>
            </w:tcBorders>
            <w:shd w:val="clear" w:color="auto" w:fill="C0E6F5"/>
            <w:vAlign w:val="bottom"/>
            <w:hideMark/>
          </w:tcPr>
          <w:p w14:paraId="33CD79F2" w14:textId="4E62A27D" w:rsidR="005A1E71" w:rsidRPr="0075647E" w:rsidRDefault="00556B3F" w:rsidP="008D6664">
            <w:pPr>
              <w:pStyle w:val="Tabletexte"/>
              <w:rPr>
                <w:b/>
                <w:bCs/>
                <w:position w:val="2"/>
                <w:lang w:bidi="ar-EG"/>
              </w:rPr>
            </w:pPr>
            <w:r>
              <w:rPr>
                <w:rFonts w:hint="cs"/>
                <w:b/>
                <w:bCs/>
                <w:position w:val="2"/>
                <w:rtl/>
              </w:rPr>
              <w:t>ال</w:t>
            </w:r>
            <w:r w:rsidR="005A1E71" w:rsidRPr="0075647E">
              <w:rPr>
                <w:b/>
                <w:bCs/>
                <w:position w:val="2"/>
                <w:rtl/>
              </w:rPr>
              <w:t xml:space="preserve">بيئة </w:t>
            </w:r>
            <w:proofErr w:type="spellStart"/>
            <w:r>
              <w:rPr>
                <w:rFonts w:hint="cs"/>
                <w:b/>
                <w:bCs/>
                <w:position w:val="2"/>
                <w:rtl/>
              </w:rPr>
              <w:t>ال</w:t>
            </w:r>
            <w:r w:rsidR="005A1E71" w:rsidRPr="0075647E">
              <w:rPr>
                <w:b/>
                <w:bCs/>
                <w:position w:val="2"/>
                <w:rtl/>
              </w:rPr>
              <w:t>سياساتية</w:t>
            </w:r>
            <w:proofErr w:type="spellEnd"/>
            <w:r w:rsidR="005A1E71" w:rsidRPr="0075647E">
              <w:rPr>
                <w:b/>
                <w:bCs/>
                <w:position w:val="2"/>
                <w:rtl/>
              </w:rPr>
              <w:t xml:space="preserve"> و</w:t>
            </w:r>
            <w:r>
              <w:rPr>
                <w:rFonts w:hint="cs"/>
                <w:b/>
                <w:bCs/>
                <w:position w:val="2"/>
                <w:rtl/>
              </w:rPr>
              <w:t>ال</w:t>
            </w:r>
            <w:r w:rsidR="005A1E71" w:rsidRPr="0075647E">
              <w:rPr>
                <w:b/>
                <w:bCs/>
                <w:position w:val="2"/>
                <w:rtl/>
              </w:rPr>
              <w:t xml:space="preserve">تنظيمية </w:t>
            </w:r>
            <w:r>
              <w:rPr>
                <w:rFonts w:hint="cs"/>
                <w:b/>
                <w:bCs/>
                <w:position w:val="2"/>
                <w:rtl/>
              </w:rPr>
              <w:t>ال</w:t>
            </w:r>
            <w:r w:rsidR="005A1E71" w:rsidRPr="0075647E">
              <w:rPr>
                <w:b/>
                <w:bCs/>
                <w:position w:val="2"/>
                <w:rtl/>
              </w:rPr>
              <w:t>تمكينية</w:t>
            </w:r>
            <w:r w:rsidR="007C0AB6">
              <w:rPr>
                <w:rFonts w:hint="cs"/>
                <w:b/>
                <w:bCs/>
                <w:position w:val="2"/>
                <w:rtl/>
              </w:rPr>
              <w:t xml:space="preserve"> (إجمالاً)</w:t>
            </w:r>
          </w:p>
        </w:tc>
        <w:tc>
          <w:tcPr>
            <w:tcW w:w="2622" w:type="dxa"/>
            <w:tcBorders>
              <w:top w:val="single" w:sz="4" w:space="0" w:color="44B3E1"/>
              <w:left w:val="nil"/>
              <w:bottom w:val="single" w:sz="4" w:space="0" w:color="44B3E1"/>
              <w:right w:val="nil"/>
            </w:tcBorders>
            <w:shd w:val="clear" w:color="auto" w:fill="C0E6F5"/>
            <w:noWrap/>
            <w:vAlign w:val="bottom"/>
            <w:hideMark/>
          </w:tcPr>
          <w:p w14:paraId="6CCC16A6" w14:textId="77777777" w:rsidR="005A1E71" w:rsidRPr="0075647E" w:rsidRDefault="005A1E71" w:rsidP="008D6664">
            <w:pPr>
              <w:pStyle w:val="Tabletexte"/>
              <w:rPr>
                <w:b/>
                <w:bCs/>
                <w:position w:val="2"/>
                <w:lang w:bidi="ar-EG"/>
              </w:rPr>
            </w:pPr>
          </w:p>
        </w:tc>
        <w:tc>
          <w:tcPr>
            <w:tcW w:w="2622" w:type="dxa"/>
            <w:tcBorders>
              <w:top w:val="single" w:sz="4" w:space="0" w:color="44B3E1"/>
              <w:left w:val="nil"/>
              <w:bottom w:val="single" w:sz="4" w:space="0" w:color="44B3E1"/>
              <w:right w:val="nil"/>
            </w:tcBorders>
            <w:shd w:val="clear" w:color="auto" w:fill="C0E6F5"/>
            <w:noWrap/>
            <w:vAlign w:val="bottom"/>
            <w:hideMark/>
          </w:tcPr>
          <w:p w14:paraId="6C8DC10F" w14:textId="77777777" w:rsidR="005A1E71" w:rsidRPr="0075647E" w:rsidRDefault="005A1E71" w:rsidP="008D6664">
            <w:pPr>
              <w:pStyle w:val="Tabletexte"/>
              <w:rPr>
                <w:b/>
                <w:bCs/>
                <w:position w:val="2"/>
                <w:lang w:bidi="ar-EG"/>
              </w:rPr>
            </w:pPr>
          </w:p>
        </w:tc>
        <w:tc>
          <w:tcPr>
            <w:tcW w:w="1453" w:type="dxa"/>
            <w:tcBorders>
              <w:top w:val="single" w:sz="4" w:space="0" w:color="44B3E1"/>
              <w:left w:val="nil"/>
              <w:bottom w:val="single" w:sz="4" w:space="0" w:color="44B3E1"/>
              <w:right w:val="nil"/>
            </w:tcBorders>
            <w:shd w:val="clear" w:color="auto" w:fill="C0E6F5"/>
            <w:noWrap/>
            <w:vAlign w:val="center"/>
            <w:hideMark/>
          </w:tcPr>
          <w:p w14:paraId="153445E0" w14:textId="14479597" w:rsidR="005A1E71" w:rsidRPr="0075647E" w:rsidRDefault="00514F46" w:rsidP="008D6664">
            <w:pPr>
              <w:pStyle w:val="Tabletexte"/>
              <w:rPr>
                <w:b/>
                <w:bCs/>
                <w:position w:val="2"/>
                <w:lang w:val="ar-SA" w:bidi="ar-EG"/>
              </w:rPr>
            </w:pPr>
            <w:r>
              <w:rPr>
                <w:b/>
                <w:bCs/>
                <w:position w:val="2"/>
              </w:rPr>
              <w:t>725 000</w:t>
            </w:r>
          </w:p>
        </w:tc>
        <w:tc>
          <w:tcPr>
            <w:tcW w:w="1453" w:type="dxa"/>
            <w:tcBorders>
              <w:top w:val="single" w:sz="4" w:space="0" w:color="44B3E1"/>
              <w:left w:val="nil"/>
              <w:bottom w:val="single" w:sz="4" w:space="0" w:color="44B3E1"/>
              <w:right w:val="nil"/>
            </w:tcBorders>
            <w:shd w:val="clear" w:color="auto" w:fill="C0E6F5"/>
            <w:vAlign w:val="center"/>
            <w:hideMark/>
          </w:tcPr>
          <w:p w14:paraId="11696BBC" w14:textId="77777777" w:rsidR="005A1E71" w:rsidRPr="0075647E" w:rsidRDefault="005A1E71" w:rsidP="008D6664">
            <w:pPr>
              <w:pStyle w:val="Tabletexte"/>
              <w:rPr>
                <w:b/>
                <w:bCs/>
                <w:position w:val="2"/>
                <w:lang w:bidi="ar-EG"/>
              </w:rPr>
            </w:pPr>
          </w:p>
        </w:tc>
        <w:tc>
          <w:tcPr>
            <w:tcW w:w="1453" w:type="dxa"/>
            <w:tcBorders>
              <w:top w:val="single" w:sz="4" w:space="0" w:color="44B3E1"/>
              <w:left w:val="nil"/>
              <w:bottom w:val="single" w:sz="4" w:space="0" w:color="44B3E1"/>
              <w:right w:val="single" w:sz="4" w:space="0" w:color="44B3E1"/>
            </w:tcBorders>
            <w:shd w:val="clear" w:color="auto" w:fill="C0E6F5"/>
            <w:noWrap/>
            <w:vAlign w:val="center"/>
            <w:hideMark/>
          </w:tcPr>
          <w:p w14:paraId="1456B81B" w14:textId="6BE5A95E" w:rsidR="005A1E71" w:rsidRPr="0075647E" w:rsidRDefault="00514F46" w:rsidP="008D6664">
            <w:pPr>
              <w:pStyle w:val="Tabletexte"/>
              <w:rPr>
                <w:b/>
                <w:bCs/>
                <w:position w:val="2"/>
                <w:lang w:val="ar-SA" w:bidi="ar-EG"/>
              </w:rPr>
            </w:pPr>
            <w:r>
              <w:rPr>
                <w:b/>
                <w:bCs/>
                <w:position w:val="2"/>
                <w:lang w:bidi="ar-EG"/>
              </w:rPr>
              <w:t>%19,01</w:t>
            </w:r>
          </w:p>
        </w:tc>
      </w:tr>
      <w:tr w:rsidR="003E2259" w:rsidRPr="0075647E" w14:paraId="16BC59F1" w14:textId="77777777" w:rsidTr="008D6664">
        <w:tc>
          <w:tcPr>
            <w:tcW w:w="1656" w:type="dxa"/>
            <w:tcBorders>
              <w:top w:val="single" w:sz="4" w:space="0" w:color="44B3E1"/>
              <w:left w:val="single" w:sz="4" w:space="0" w:color="44B3E1"/>
              <w:bottom w:val="single" w:sz="4" w:space="0" w:color="44B3E1"/>
              <w:right w:val="nil"/>
            </w:tcBorders>
          </w:tcPr>
          <w:p w14:paraId="3607B411" w14:textId="571B451D" w:rsidR="003E2259" w:rsidRPr="0075647E" w:rsidRDefault="003E2259" w:rsidP="008D6664">
            <w:pPr>
              <w:pStyle w:val="Tabletexte"/>
              <w:jc w:val="left"/>
              <w:rPr>
                <w:b/>
                <w:bCs/>
                <w:spacing w:val="-6"/>
                <w:position w:val="2"/>
                <w:lang w:val="ar-SA" w:bidi="ar-EG"/>
              </w:rPr>
            </w:pPr>
            <w:r w:rsidRPr="0075647E">
              <w:rPr>
                <w:b/>
                <w:bCs/>
                <w:spacing w:val="-6"/>
                <w:position w:val="2"/>
                <w:rtl/>
              </w:rPr>
              <w:t>السياسات والتنظيم</w:t>
            </w:r>
          </w:p>
        </w:tc>
        <w:tc>
          <w:tcPr>
            <w:tcW w:w="2621" w:type="dxa"/>
            <w:tcBorders>
              <w:top w:val="single" w:sz="4" w:space="0" w:color="44B3E1"/>
              <w:left w:val="nil"/>
              <w:bottom w:val="single" w:sz="4" w:space="0" w:color="44B3E1"/>
              <w:right w:val="nil"/>
            </w:tcBorders>
          </w:tcPr>
          <w:p w14:paraId="4C374685" w14:textId="4A146B67" w:rsidR="003E2259" w:rsidRPr="0075647E" w:rsidRDefault="003E2259" w:rsidP="008D6664">
            <w:pPr>
              <w:pStyle w:val="Tabletexte"/>
              <w:ind w:left="317" w:hanging="317"/>
              <w:jc w:val="left"/>
              <w:rPr>
                <w:position w:val="2"/>
              </w:rPr>
            </w:pPr>
            <w:r w:rsidRPr="0075647E">
              <w:rPr>
                <w:position w:val="2"/>
              </w:rPr>
              <w:sym w:font="Wingdings 2" w:char="F097"/>
            </w:r>
            <w:r w:rsidRPr="0075647E">
              <w:rPr>
                <w:position w:val="2"/>
                <w:rtl/>
              </w:rPr>
              <w:tab/>
              <w:t>تعزيز قدرة الدول الأعضاء على تحسين أطرها السياساتية والقانونية والتنظيمية للاتصالات/تكنولوجيا المعلومات والاتصالات المؤاتية للتنمية المستدامة والتحول الرقمي</w:t>
            </w:r>
          </w:p>
          <w:p w14:paraId="1FBCD882" w14:textId="3C8D7C2B" w:rsidR="003E2259" w:rsidRPr="0075647E" w:rsidRDefault="003E2259" w:rsidP="008D6664">
            <w:pPr>
              <w:pStyle w:val="Tabletexte"/>
              <w:ind w:left="317" w:hanging="317"/>
              <w:jc w:val="left"/>
              <w:rPr>
                <w:spacing w:val="-6"/>
                <w:position w:val="2"/>
              </w:rPr>
            </w:pPr>
            <w:r w:rsidRPr="0075647E">
              <w:rPr>
                <w:spacing w:val="-6"/>
                <w:position w:val="2"/>
              </w:rPr>
              <w:sym w:font="Wingdings 2" w:char="F097"/>
            </w:r>
            <w:r w:rsidRPr="0075647E">
              <w:rPr>
                <w:spacing w:val="-6"/>
                <w:position w:val="2"/>
                <w:rtl/>
              </w:rPr>
              <w:tab/>
              <w:t>تعزيز قدرة الدول الأعضاء على تحديث الأطر التنظيمية للاتصالات/تكنولوجيا المعلومات والاتصالات الفضائية</w:t>
            </w:r>
          </w:p>
        </w:tc>
        <w:tc>
          <w:tcPr>
            <w:tcW w:w="2622" w:type="dxa"/>
            <w:tcBorders>
              <w:top w:val="single" w:sz="4" w:space="0" w:color="44B3E1"/>
              <w:left w:val="nil"/>
              <w:bottom w:val="single" w:sz="4" w:space="0" w:color="44B3E1"/>
              <w:right w:val="nil"/>
            </w:tcBorders>
          </w:tcPr>
          <w:p w14:paraId="3623B2A8" w14:textId="1AE15AD6" w:rsidR="003E2259" w:rsidRPr="0075647E" w:rsidRDefault="003E2259" w:rsidP="008D6664">
            <w:pPr>
              <w:pStyle w:val="Tabletexte"/>
              <w:ind w:left="317" w:hanging="317"/>
              <w:jc w:val="left"/>
              <w:rPr>
                <w:position w:val="2"/>
              </w:rPr>
            </w:pPr>
            <w:r w:rsidRPr="0075647E">
              <w:rPr>
                <w:position w:val="2"/>
              </w:rPr>
              <w:sym w:font="Wingdings 2" w:char="F097"/>
            </w:r>
            <w:r w:rsidRPr="0075647E">
              <w:rPr>
                <w:position w:val="2"/>
                <w:rtl/>
              </w:rPr>
              <w:tab/>
              <w:t>‏عدد البلدان التي تتقدم نحو الجيل التالي من التنظيم (من الجيل الأول إلى الجيل الرابع) ‏و/أو إلى مستوى أعلى من التأهب للتحول الرقمي (الجيل الخامس)</w:t>
            </w:r>
          </w:p>
          <w:p w14:paraId="3DF3BBD6" w14:textId="4A101C7D" w:rsidR="003E2259" w:rsidRPr="0075647E" w:rsidRDefault="003E2259" w:rsidP="008D6664">
            <w:pPr>
              <w:pStyle w:val="Tabletexte"/>
              <w:ind w:left="317" w:hanging="317"/>
              <w:jc w:val="left"/>
              <w:rPr>
                <w:position w:val="2"/>
              </w:rPr>
            </w:pPr>
            <w:r w:rsidRPr="0075647E">
              <w:rPr>
                <w:position w:val="2"/>
              </w:rPr>
              <w:sym w:font="Wingdings 2" w:char="F097"/>
            </w:r>
            <w:r w:rsidRPr="0075647E">
              <w:rPr>
                <w:position w:val="2"/>
                <w:rtl/>
              </w:rPr>
              <w:tab/>
            </w:r>
            <w:r w:rsidRPr="0075647E">
              <w:rPr>
                <w:spacing w:val="-6"/>
                <w:position w:val="2"/>
                <w:rtl/>
              </w:rPr>
              <w:t>عدد الدول الأعضاء التي وضعت أطراً تنظيمية للاتصالات/</w:t>
            </w:r>
            <w:r>
              <w:rPr>
                <w:rFonts w:hint="cs"/>
                <w:spacing w:val="-6"/>
                <w:position w:val="2"/>
                <w:rtl/>
              </w:rPr>
              <w:t xml:space="preserve"> </w:t>
            </w:r>
            <w:r w:rsidRPr="0075647E">
              <w:rPr>
                <w:spacing w:val="-6"/>
                <w:position w:val="2"/>
                <w:rtl/>
              </w:rPr>
              <w:t>تكنولوجيا المعلومات والاتصالات الفضائية</w:t>
            </w:r>
          </w:p>
        </w:tc>
        <w:tc>
          <w:tcPr>
            <w:tcW w:w="2622" w:type="dxa"/>
            <w:tcBorders>
              <w:top w:val="single" w:sz="4" w:space="0" w:color="44B3E1"/>
              <w:left w:val="nil"/>
              <w:bottom w:val="single" w:sz="4" w:space="0" w:color="44B3E1"/>
              <w:right w:val="nil"/>
            </w:tcBorders>
          </w:tcPr>
          <w:p w14:paraId="47F42571" w14:textId="1B943A08" w:rsidR="003E2259" w:rsidRPr="0075647E" w:rsidRDefault="003E2259" w:rsidP="008D6664">
            <w:pPr>
              <w:pStyle w:val="Tabletexte"/>
              <w:ind w:left="317" w:hanging="317"/>
              <w:jc w:val="left"/>
              <w:rPr>
                <w:position w:val="2"/>
                <w:rtl/>
              </w:rPr>
            </w:pPr>
            <w:r w:rsidRPr="0075647E">
              <w:rPr>
                <w:position w:val="2"/>
              </w:rPr>
              <w:sym w:font="Wingdings 2" w:char="F097"/>
            </w:r>
            <w:r w:rsidRPr="0075647E">
              <w:rPr>
                <w:position w:val="2"/>
                <w:rtl/>
              </w:rPr>
              <w:tab/>
              <w:t>أطر التعلم</w:t>
            </w:r>
          </w:p>
          <w:p w14:paraId="7C4D38D6" w14:textId="5E625809" w:rsidR="003E2259" w:rsidRPr="0075647E" w:rsidRDefault="003E2259" w:rsidP="008D6664">
            <w:pPr>
              <w:pStyle w:val="Tabletexte"/>
              <w:ind w:left="317" w:hanging="317"/>
              <w:jc w:val="left"/>
              <w:rPr>
                <w:position w:val="2"/>
                <w:rtl/>
              </w:rPr>
            </w:pPr>
            <w:r w:rsidRPr="0075647E">
              <w:rPr>
                <w:position w:val="2"/>
              </w:rPr>
              <w:sym w:font="Wingdings 2" w:char="F097"/>
            </w:r>
            <w:r w:rsidRPr="0075647E">
              <w:rPr>
                <w:position w:val="2"/>
                <w:rtl/>
              </w:rPr>
              <w:tab/>
              <w:t>منصات عقد الاجتماعات</w:t>
            </w:r>
          </w:p>
          <w:p w14:paraId="398A7350" w14:textId="6B2B299F" w:rsidR="003E2259" w:rsidRPr="0075647E" w:rsidRDefault="003E2259" w:rsidP="008D6664">
            <w:pPr>
              <w:pStyle w:val="Tabletexte"/>
              <w:ind w:left="317" w:hanging="317"/>
              <w:jc w:val="left"/>
              <w:rPr>
                <w:spacing w:val="-2"/>
                <w:position w:val="2"/>
                <w:rtl/>
              </w:rPr>
            </w:pPr>
            <w:r w:rsidRPr="0075647E">
              <w:rPr>
                <w:spacing w:val="-2"/>
                <w:position w:val="2"/>
              </w:rPr>
              <w:sym w:font="Wingdings 2" w:char="F097"/>
            </w:r>
            <w:r w:rsidRPr="0075647E">
              <w:rPr>
                <w:spacing w:val="-2"/>
                <w:position w:val="2"/>
                <w:rtl/>
              </w:rPr>
              <w:tab/>
              <w:t>السياسات والاستراتيجيات النموذجية ومجموعات الأدوات</w:t>
            </w:r>
          </w:p>
          <w:p w14:paraId="0356F50C" w14:textId="084BEAA3" w:rsidR="003E2259" w:rsidRPr="0075647E" w:rsidRDefault="003E2259" w:rsidP="008D6664">
            <w:pPr>
              <w:pStyle w:val="Tabletexte"/>
              <w:ind w:left="317" w:hanging="317"/>
              <w:jc w:val="left"/>
              <w:rPr>
                <w:position w:val="2"/>
              </w:rPr>
            </w:pPr>
            <w:r w:rsidRPr="0075647E">
              <w:rPr>
                <w:position w:val="2"/>
              </w:rPr>
              <w:sym w:font="Wingdings 2" w:char="F097"/>
            </w:r>
            <w:r w:rsidRPr="0075647E">
              <w:rPr>
                <w:position w:val="2"/>
                <w:rtl/>
              </w:rPr>
              <w:tab/>
              <w:t>التدخلات التقنية</w:t>
            </w:r>
          </w:p>
        </w:tc>
        <w:tc>
          <w:tcPr>
            <w:tcW w:w="1453" w:type="dxa"/>
            <w:tcBorders>
              <w:top w:val="single" w:sz="4" w:space="0" w:color="44B3E1"/>
              <w:left w:val="nil"/>
              <w:bottom w:val="single" w:sz="4" w:space="0" w:color="44B3E1"/>
              <w:right w:val="nil"/>
            </w:tcBorders>
            <w:noWrap/>
          </w:tcPr>
          <w:p w14:paraId="3A038A80" w14:textId="5E2810FB" w:rsidR="003E2259" w:rsidRPr="003E2259" w:rsidRDefault="00514F46" w:rsidP="008D6664">
            <w:pPr>
              <w:pStyle w:val="Tabletexte"/>
              <w:jc w:val="left"/>
              <w:rPr>
                <w:position w:val="2"/>
              </w:rPr>
            </w:pPr>
            <w:r>
              <w:rPr>
                <w:position w:val="2"/>
              </w:rPr>
              <w:t>370 000</w:t>
            </w:r>
          </w:p>
        </w:tc>
        <w:tc>
          <w:tcPr>
            <w:tcW w:w="1453" w:type="dxa"/>
            <w:tcBorders>
              <w:top w:val="single" w:sz="4" w:space="0" w:color="44B3E1"/>
              <w:left w:val="nil"/>
              <w:bottom w:val="single" w:sz="4" w:space="0" w:color="44B3E1"/>
              <w:right w:val="nil"/>
            </w:tcBorders>
          </w:tcPr>
          <w:p w14:paraId="34E532BB" w14:textId="44893F04" w:rsidR="003E2259" w:rsidRPr="003E2259" w:rsidRDefault="003E2259" w:rsidP="008D6664">
            <w:pPr>
              <w:pStyle w:val="Tabletexte"/>
              <w:jc w:val="left"/>
              <w:rPr>
                <w:position w:val="2"/>
              </w:rPr>
            </w:pPr>
            <w:r>
              <w:rPr>
                <w:rFonts w:hint="cs"/>
                <w:position w:val="2"/>
              </w:rPr>
              <w:t>%</w:t>
            </w:r>
            <w:r w:rsidR="00514F46">
              <w:rPr>
                <w:position w:val="2"/>
              </w:rPr>
              <w:t>51,0</w:t>
            </w:r>
          </w:p>
        </w:tc>
        <w:tc>
          <w:tcPr>
            <w:tcW w:w="1453" w:type="dxa"/>
            <w:tcBorders>
              <w:top w:val="single" w:sz="4" w:space="0" w:color="44B3E1"/>
              <w:left w:val="nil"/>
              <w:bottom w:val="single" w:sz="4" w:space="0" w:color="44B3E1"/>
              <w:right w:val="single" w:sz="4" w:space="0" w:color="44B3E1"/>
            </w:tcBorders>
            <w:noWrap/>
          </w:tcPr>
          <w:p w14:paraId="57D80ECB" w14:textId="2B098711" w:rsidR="003E2259" w:rsidRPr="003E2259" w:rsidRDefault="003E2259" w:rsidP="008D6664">
            <w:pPr>
              <w:pStyle w:val="Tabletexte"/>
              <w:jc w:val="left"/>
              <w:rPr>
                <w:position w:val="2"/>
              </w:rPr>
            </w:pPr>
            <w:r>
              <w:rPr>
                <w:rFonts w:hint="cs"/>
                <w:position w:val="2"/>
              </w:rPr>
              <w:t>%</w:t>
            </w:r>
            <w:r w:rsidR="00514F46">
              <w:rPr>
                <w:position w:val="2"/>
              </w:rPr>
              <w:t>9,7</w:t>
            </w:r>
          </w:p>
        </w:tc>
      </w:tr>
      <w:tr w:rsidR="003E2259" w:rsidRPr="0075647E" w14:paraId="7BA0F574" w14:textId="77777777" w:rsidTr="008D6664">
        <w:tc>
          <w:tcPr>
            <w:tcW w:w="1656" w:type="dxa"/>
            <w:tcBorders>
              <w:top w:val="single" w:sz="4" w:space="0" w:color="44B3E1"/>
              <w:left w:val="single" w:sz="4" w:space="0" w:color="44B3E1"/>
              <w:bottom w:val="single" w:sz="4" w:space="0" w:color="44B3E1"/>
              <w:right w:val="nil"/>
            </w:tcBorders>
            <w:shd w:val="clear" w:color="auto" w:fill="C0E6F5"/>
          </w:tcPr>
          <w:p w14:paraId="52D31E02" w14:textId="16B86D5A" w:rsidR="003E2259" w:rsidRPr="0075647E" w:rsidRDefault="003E2259" w:rsidP="008D6664">
            <w:pPr>
              <w:pStyle w:val="Tabletexte"/>
              <w:jc w:val="left"/>
              <w:rPr>
                <w:b/>
                <w:bCs/>
                <w:position w:val="2"/>
                <w:lang w:val="ar-SA" w:bidi="ar-EG"/>
              </w:rPr>
            </w:pPr>
            <w:r w:rsidRPr="0075647E">
              <w:rPr>
                <w:b/>
                <w:bCs/>
                <w:position w:val="2"/>
                <w:rtl/>
              </w:rPr>
              <w:t>توفير البيانات والإحصاءات</w:t>
            </w:r>
          </w:p>
        </w:tc>
        <w:tc>
          <w:tcPr>
            <w:tcW w:w="2621" w:type="dxa"/>
            <w:tcBorders>
              <w:top w:val="single" w:sz="4" w:space="0" w:color="44B3E1"/>
              <w:left w:val="nil"/>
              <w:bottom w:val="single" w:sz="4" w:space="0" w:color="44B3E1"/>
              <w:right w:val="nil"/>
            </w:tcBorders>
            <w:shd w:val="clear" w:color="auto" w:fill="C0E6F5"/>
          </w:tcPr>
          <w:p w14:paraId="08331A0E" w14:textId="63751B59" w:rsidR="003E2259" w:rsidRPr="0075647E" w:rsidRDefault="003E2259" w:rsidP="008D6664">
            <w:pPr>
              <w:pStyle w:val="Tabletexte"/>
              <w:ind w:left="317" w:hanging="317"/>
              <w:jc w:val="left"/>
              <w:rPr>
                <w:position w:val="2"/>
              </w:rPr>
            </w:pPr>
            <w:r w:rsidRPr="0075647E">
              <w:rPr>
                <w:position w:val="2"/>
              </w:rPr>
              <w:sym w:font="Wingdings 2" w:char="F097"/>
            </w:r>
            <w:r w:rsidRPr="0075647E">
              <w:rPr>
                <w:position w:val="2"/>
                <w:rtl/>
              </w:rPr>
              <w:tab/>
              <w:t>تعزيز قدرة الدول الأعضاء على إنتاج وجمع إحصاءات عالية الجودة وقابلة للمقارنة دولياً تعكس التطورات والاتجاهات في مجال الاتصالات/تكنولوجيا المعلومات والاتصالات، التي تُمكّنها التكنولوجيات والخدمات الجديدة والناشئة، استناداً إلى معايير ومنهجيات متفق عليها</w:t>
            </w:r>
          </w:p>
        </w:tc>
        <w:tc>
          <w:tcPr>
            <w:tcW w:w="2622" w:type="dxa"/>
            <w:tcBorders>
              <w:top w:val="single" w:sz="4" w:space="0" w:color="44B3E1"/>
              <w:left w:val="nil"/>
              <w:bottom w:val="single" w:sz="4" w:space="0" w:color="44B3E1"/>
              <w:right w:val="nil"/>
            </w:tcBorders>
            <w:shd w:val="clear" w:color="auto" w:fill="C0E6F5"/>
          </w:tcPr>
          <w:p w14:paraId="34AE0AFE" w14:textId="71A688DA" w:rsidR="00B14B3F" w:rsidRDefault="003E2259" w:rsidP="008D6664">
            <w:pPr>
              <w:pStyle w:val="Tabletexte"/>
              <w:ind w:left="317" w:hanging="317"/>
              <w:jc w:val="left"/>
              <w:rPr>
                <w:position w:val="2"/>
                <w:rtl/>
              </w:rPr>
            </w:pPr>
            <w:r w:rsidRPr="0075647E">
              <w:rPr>
                <w:position w:val="2"/>
              </w:rPr>
              <w:sym w:font="Wingdings 2" w:char="F097"/>
            </w:r>
            <w:r w:rsidR="00C55646">
              <w:rPr>
                <w:position w:val="2"/>
                <w:rtl/>
              </w:rPr>
              <w:tab/>
            </w:r>
            <w:r w:rsidR="00781554" w:rsidRPr="00781554">
              <w:rPr>
                <w:position w:val="2"/>
                <w:rtl/>
              </w:rPr>
              <w:t>النسبة المئوية للدول الأعضاء التي قدمت بيانات صالحة لا يزيد عمرها عن سنتين لما لا يقل عن 80 في المائة من المؤشرات الأساسية لاستبيان مؤشرات الاتصالات العالمية لدى الاتحاد</w:t>
            </w:r>
          </w:p>
          <w:p w14:paraId="2AA6DB85" w14:textId="14BBA5EF" w:rsidR="003E2259" w:rsidRPr="0075647E" w:rsidRDefault="00B14B3F" w:rsidP="008D6664">
            <w:pPr>
              <w:pStyle w:val="Tabletexte"/>
              <w:ind w:left="317" w:hanging="317"/>
              <w:jc w:val="left"/>
              <w:rPr>
                <w:position w:val="2"/>
              </w:rPr>
            </w:pPr>
            <w:r w:rsidRPr="0075647E">
              <w:rPr>
                <w:position w:val="2"/>
              </w:rPr>
              <w:sym w:font="Wingdings 2" w:char="F097"/>
            </w:r>
            <w:r w:rsidR="00C55646">
              <w:rPr>
                <w:position w:val="2"/>
                <w:rtl/>
              </w:rPr>
              <w:tab/>
            </w:r>
            <w:r w:rsidR="00781554" w:rsidRPr="00781554">
              <w:rPr>
                <w:position w:val="2"/>
                <w:rtl/>
              </w:rPr>
              <w:t>النسبة المئوية للدول الأعضاء التي تقدم بيانات صالحة لا يتجاوز عمرها ثلاث سنوات لما لا يقل عن 80 في المائة من المؤشرات في استبيان المؤشرات الأُسرية لدى</w:t>
            </w:r>
            <w:r w:rsidR="00781554">
              <w:rPr>
                <w:rFonts w:hint="cs"/>
                <w:position w:val="2"/>
                <w:rtl/>
              </w:rPr>
              <w:t> </w:t>
            </w:r>
            <w:r w:rsidR="00781554" w:rsidRPr="00781554">
              <w:rPr>
                <w:position w:val="2"/>
                <w:rtl/>
              </w:rPr>
              <w:t>الاتحاد</w:t>
            </w:r>
          </w:p>
          <w:p w14:paraId="367E1666" w14:textId="6888BE70" w:rsidR="003E2259" w:rsidRDefault="003E2259" w:rsidP="008D6664">
            <w:pPr>
              <w:pStyle w:val="Tabletexte"/>
              <w:keepLines/>
              <w:ind w:left="318" w:hanging="318"/>
              <w:jc w:val="left"/>
              <w:rPr>
                <w:position w:val="2"/>
                <w:rtl/>
              </w:rPr>
            </w:pPr>
            <w:r w:rsidRPr="0075647E">
              <w:rPr>
                <w:position w:val="2"/>
              </w:rPr>
              <w:sym w:font="Wingdings 2" w:char="F097"/>
            </w:r>
            <w:r w:rsidR="00C55646">
              <w:rPr>
                <w:position w:val="2"/>
                <w:rtl/>
              </w:rPr>
              <w:tab/>
            </w:r>
            <w:r w:rsidR="00781554" w:rsidRPr="00781554">
              <w:rPr>
                <w:position w:val="2"/>
                <w:rtl/>
              </w:rPr>
              <w:t>النسبة المئوية للدول الأعضاء التي قدمت بيانات صالحة مصنَّفة حسب نوع الجنس لا يتجاوز عمرها ثلاث سنوات لمؤشر "نسبة الأفراد الذين يستخدمون الإنترنت"</w:t>
            </w:r>
          </w:p>
          <w:p w14:paraId="5E40343D" w14:textId="26BEDBC2" w:rsidR="003E2259" w:rsidRPr="00781554" w:rsidRDefault="003E2259" w:rsidP="008D6664">
            <w:pPr>
              <w:pStyle w:val="Tabletexte"/>
              <w:keepLines/>
              <w:ind w:left="318" w:hanging="318"/>
              <w:jc w:val="left"/>
              <w:rPr>
                <w:spacing w:val="-4"/>
                <w:position w:val="2"/>
              </w:rPr>
            </w:pPr>
            <w:r w:rsidRPr="00781554">
              <w:rPr>
                <w:spacing w:val="-4"/>
                <w:position w:val="2"/>
              </w:rPr>
              <w:lastRenderedPageBreak/>
              <w:sym w:font="Wingdings 2" w:char="F097"/>
            </w:r>
            <w:r w:rsidR="00C55646">
              <w:rPr>
                <w:spacing w:val="-4"/>
                <w:position w:val="2"/>
                <w:rtl/>
              </w:rPr>
              <w:tab/>
            </w:r>
            <w:r w:rsidR="00781554" w:rsidRPr="00781554">
              <w:rPr>
                <w:spacing w:val="-4"/>
                <w:position w:val="2"/>
                <w:rtl/>
              </w:rPr>
              <w:t>النسبة المئوية للدول الأعضاء التي قدمت بيانات صالحة مصنفة حسب الموقع (الريف/الحضر) لا</w:t>
            </w:r>
            <w:r w:rsidR="00781554">
              <w:rPr>
                <w:rFonts w:hint="cs"/>
                <w:spacing w:val="-4"/>
                <w:position w:val="2"/>
                <w:rtl/>
              </w:rPr>
              <w:t> </w:t>
            </w:r>
            <w:r w:rsidR="00781554" w:rsidRPr="00781554">
              <w:rPr>
                <w:spacing w:val="-4"/>
                <w:position w:val="2"/>
                <w:rtl/>
              </w:rPr>
              <w:t>يتجاوز عمرها ثلاث سنوات لمؤشر "نسبة الأفراد الذين يستخدمون الإنترنت"</w:t>
            </w:r>
          </w:p>
          <w:p w14:paraId="2B7B5112" w14:textId="669D755E" w:rsidR="003E2259" w:rsidRPr="0075647E" w:rsidRDefault="003E2259" w:rsidP="008D6664">
            <w:pPr>
              <w:pStyle w:val="Tabletexte"/>
              <w:ind w:left="317" w:hanging="317"/>
              <w:jc w:val="left"/>
              <w:rPr>
                <w:position w:val="2"/>
              </w:rPr>
            </w:pPr>
            <w:r w:rsidRPr="0075647E">
              <w:rPr>
                <w:position w:val="2"/>
              </w:rPr>
              <w:sym w:font="Wingdings 2" w:char="F097"/>
            </w:r>
            <w:r w:rsidR="00C55646">
              <w:rPr>
                <w:position w:val="2"/>
                <w:rtl/>
              </w:rPr>
              <w:tab/>
            </w:r>
            <w:r w:rsidR="00781554" w:rsidRPr="00781554">
              <w:rPr>
                <w:position w:val="2"/>
                <w:rtl/>
              </w:rPr>
              <w:t>النسبة المئوية للدول الأعضاء التي قدمت بيانات صالحة لا يتجاوز عمرها ثلاث سنوات عن خمس مهارات على الأقل من مهارات تكنولوجيا المعلومات والاتصالات (</w:t>
            </w:r>
            <w:r w:rsidR="00781554" w:rsidRPr="00781554">
              <w:rPr>
                <w:position w:val="2"/>
              </w:rPr>
              <w:t>ICT</w:t>
            </w:r>
            <w:r w:rsidR="00781554" w:rsidRPr="00781554">
              <w:rPr>
                <w:position w:val="2"/>
                <w:rtl/>
              </w:rPr>
              <w:t>) المدرجة في</w:t>
            </w:r>
            <w:r w:rsidR="00781554">
              <w:rPr>
                <w:rFonts w:hint="cs"/>
                <w:position w:val="2"/>
                <w:rtl/>
              </w:rPr>
              <w:t> </w:t>
            </w:r>
            <w:r w:rsidR="00781554" w:rsidRPr="00781554">
              <w:rPr>
                <w:position w:val="2"/>
                <w:rtl/>
              </w:rPr>
              <w:t>استبيان المؤشرات الأُسرية لدى الاتحاد</w:t>
            </w:r>
          </w:p>
        </w:tc>
        <w:tc>
          <w:tcPr>
            <w:tcW w:w="2622" w:type="dxa"/>
            <w:tcBorders>
              <w:top w:val="single" w:sz="4" w:space="0" w:color="44B3E1"/>
              <w:left w:val="nil"/>
              <w:bottom w:val="single" w:sz="4" w:space="0" w:color="44B3E1"/>
              <w:right w:val="nil"/>
            </w:tcBorders>
            <w:shd w:val="clear" w:color="auto" w:fill="C0E6F5"/>
          </w:tcPr>
          <w:p w14:paraId="695CC23B" w14:textId="519810D1" w:rsidR="003E2259" w:rsidRPr="0075647E" w:rsidRDefault="003E2259" w:rsidP="008D6664">
            <w:pPr>
              <w:pStyle w:val="Tabletexte"/>
              <w:ind w:left="317" w:hanging="317"/>
              <w:jc w:val="left"/>
              <w:rPr>
                <w:position w:val="2"/>
                <w:rtl/>
              </w:rPr>
            </w:pPr>
            <w:r w:rsidRPr="0075647E">
              <w:rPr>
                <w:position w:val="2"/>
              </w:rPr>
              <w:lastRenderedPageBreak/>
              <w:sym w:font="Wingdings 2" w:char="F097"/>
            </w:r>
            <w:r w:rsidRPr="0075647E">
              <w:rPr>
                <w:position w:val="2"/>
                <w:rtl/>
              </w:rPr>
              <w:tab/>
              <w:t>أطر التعلم</w:t>
            </w:r>
          </w:p>
          <w:p w14:paraId="269430E5" w14:textId="0C06DC5B" w:rsidR="003E2259" w:rsidRPr="0075647E" w:rsidRDefault="003E2259" w:rsidP="008D6664">
            <w:pPr>
              <w:pStyle w:val="Tabletexte"/>
              <w:ind w:left="317" w:hanging="317"/>
              <w:jc w:val="left"/>
              <w:rPr>
                <w:position w:val="2"/>
                <w:rtl/>
              </w:rPr>
            </w:pPr>
            <w:r w:rsidRPr="0075647E">
              <w:rPr>
                <w:position w:val="2"/>
              </w:rPr>
              <w:sym w:font="Wingdings 2" w:char="F097"/>
            </w:r>
            <w:r w:rsidRPr="0075647E">
              <w:rPr>
                <w:position w:val="2"/>
                <w:rtl/>
              </w:rPr>
              <w:tab/>
              <w:t>منصات عقد الاجتماعات</w:t>
            </w:r>
          </w:p>
          <w:p w14:paraId="354E1E67" w14:textId="20C8C771" w:rsidR="003E2259" w:rsidRPr="0075647E" w:rsidRDefault="003E2259" w:rsidP="008D6664">
            <w:pPr>
              <w:pStyle w:val="Tabletexte"/>
              <w:ind w:left="317" w:hanging="317"/>
              <w:jc w:val="left"/>
              <w:rPr>
                <w:position w:val="2"/>
              </w:rPr>
            </w:pPr>
            <w:r w:rsidRPr="0075647E">
              <w:rPr>
                <w:position w:val="2"/>
              </w:rPr>
              <w:sym w:font="Wingdings 2" w:char="F097"/>
            </w:r>
            <w:r w:rsidRPr="0075647E">
              <w:rPr>
                <w:position w:val="2"/>
                <w:rtl/>
              </w:rPr>
              <w:tab/>
              <w:t>الإحصاءات</w:t>
            </w:r>
          </w:p>
        </w:tc>
        <w:tc>
          <w:tcPr>
            <w:tcW w:w="1453" w:type="dxa"/>
            <w:tcBorders>
              <w:top w:val="single" w:sz="4" w:space="0" w:color="44B3E1"/>
              <w:left w:val="nil"/>
              <w:bottom w:val="single" w:sz="4" w:space="0" w:color="44B3E1"/>
              <w:right w:val="nil"/>
            </w:tcBorders>
            <w:shd w:val="clear" w:color="auto" w:fill="C0E6F5"/>
            <w:noWrap/>
          </w:tcPr>
          <w:p w14:paraId="10F12E5C" w14:textId="27358B1C" w:rsidR="003E2259" w:rsidRPr="003E2259" w:rsidRDefault="00514F46" w:rsidP="008D6664">
            <w:pPr>
              <w:pStyle w:val="Tabletexte"/>
              <w:jc w:val="left"/>
              <w:rPr>
                <w:position w:val="2"/>
              </w:rPr>
            </w:pPr>
            <w:r>
              <w:rPr>
                <w:position w:val="2"/>
              </w:rPr>
              <w:t>355 000</w:t>
            </w:r>
          </w:p>
        </w:tc>
        <w:tc>
          <w:tcPr>
            <w:tcW w:w="1453" w:type="dxa"/>
            <w:tcBorders>
              <w:top w:val="single" w:sz="4" w:space="0" w:color="44B3E1"/>
              <w:left w:val="nil"/>
              <w:bottom w:val="single" w:sz="4" w:space="0" w:color="44B3E1"/>
              <w:right w:val="nil"/>
            </w:tcBorders>
            <w:shd w:val="clear" w:color="auto" w:fill="C0E6F5"/>
          </w:tcPr>
          <w:p w14:paraId="0F8C4A34" w14:textId="3A59C08B" w:rsidR="003E2259" w:rsidRPr="003E2259" w:rsidRDefault="00514F46" w:rsidP="008D6664">
            <w:pPr>
              <w:pStyle w:val="Tabletexte"/>
              <w:jc w:val="left"/>
              <w:rPr>
                <w:position w:val="2"/>
              </w:rPr>
            </w:pPr>
            <w:r>
              <w:rPr>
                <w:position w:val="2"/>
              </w:rPr>
              <w:t>%49,0</w:t>
            </w:r>
          </w:p>
        </w:tc>
        <w:tc>
          <w:tcPr>
            <w:tcW w:w="1453" w:type="dxa"/>
            <w:tcBorders>
              <w:top w:val="single" w:sz="4" w:space="0" w:color="44B3E1"/>
              <w:left w:val="nil"/>
              <w:bottom w:val="single" w:sz="4" w:space="0" w:color="44B3E1"/>
              <w:right w:val="single" w:sz="4" w:space="0" w:color="44B3E1"/>
            </w:tcBorders>
            <w:shd w:val="clear" w:color="auto" w:fill="C0E6F5"/>
            <w:noWrap/>
          </w:tcPr>
          <w:p w14:paraId="14076B02" w14:textId="400F46A4" w:rsidR="003E2259" w:rsidRPr="003E2259" w:rsidRDefault="00514F46" w:rsidP="008D6664">
            <w:pPr>
              <w:pStyle w:val="Tabletexte"/>
              <w:jc w:val="left"/>
              <w:rPr>
                <w:position w:val="2"/>
              </w:rPr>
            </w:pPr>
            <w:r>
              <w:rPr>
                <w:position w:val="2"/>
              </w:rPr>
              <w:t>%9,3</w:t>
            </w:r>
          </w:p>
        </w:tc>
      </w:tr>
    </w:tbl>
    <w:p w14:paraId="2515D161" w14:textId="77777777" w:rsidR="00514F46" w:rsidRDefault="00514F46" w:rsidP="0075647E">
      <w:pPr>
        <w:pStyle w:val="Heading2"/>
        <w:sectPr w:rsidR="00514F46" w:rsidSect="00DF0BE8">
          <w:headerReference w:type="default" r:id="rId29"/>
          <w:pgSz w:w="16838" w:h="11906" w:orient="landscape" w:code="9"/>
          <w:pgMar w:top="851" w:right="567" w:bottom="567" w:left="567" w:header="624" w:footer="624" w:gutter="0"/>
          <w:cols w:space="720"/>
          <w:docGrid w:linePitch="326"/>
        </w:sectPr>
      </w:pPr>
    </w:p>
    <w:p w14:paraId="61DE81B5" w14:textId="77777777" w:rsidR="00514F46" w:rsidRDefault="00514F46" w:rsidP="00712391">
      <w:pPr>
        <w:pStyle w:val="HeadingI"/>
        <w:rPr>
          <w:rtl/>
        </w:rPr>
      </w:pPr>
      <w:r>
        <w:rPr>
          <w:rtl/>
        </w:rPr>
        <w:lastRenderedPageBreak/>
        <w:t>أبرز النقاط في عملية التنفيذ لعام 2026: الأولوية 3 لقطاع تنمية الاتصالات - بيئة سياساتية وتنظيمية تمكينية</w:t>
      </w:r>
    </w:p>
    <w:p w14:paraId="3022F11E" w14:textId="77777777" w:rsidR="00514F46" w:rsidRDefault="00514F46" w:rsidP="00712391">
      <w:pPr>
        <w:pStyle w:val="Headingb"/>
        <w:rPr>
          <w:rtl/>
        </w:rPr>
      </w:pPr>
      <w:r>
        <w:rPr>
          <w:rtl/>
        </w:rPr>
        <w:t>السياسات والتنظيم</w:t>
      </w:r>
    </w:p>
    <w:p w14:paraId="4788E91C" w14:textId="5E0DF91F" w:rsidR="00514F46" w:rsidRPr="00CC5D0D" w:rsidRDefault="00514F46" w:rsidP="00514F46">
      <w:pPr>
        <w:rPr>
          <w:spacing w:val="-2"/>
          <w:rtl/>
        </w:rPr>
      </w:pPr>
      <w:r w:rsidRPr="00CC5D0D">
        <w:rPr>
          <w:spacing w:val="-2"/>
          <w:rtl/>
        </w:rPr>
        <w:t xml:space="preserve">ستعقد </w:t>
      </w:r>
      <w:hyperlink r:id="rId30" w:anchor="/ar" w:history="1">
        <w:r w:rsidRPr="00CC5D0D">
          <w:rPr>
            <w:rStyle w:val="Hyperlink"/>
            <w:spacing w:val="-2"/>
            <w:rtl/>
          </w:rPr>
          <w:t>الدورة الرابعة والعشرون للندوة العالمية لمنظمي الاتصالات (</w:t>
        </w:r>
        <w:r w:rsidRPr="00CC5D0D">
          <w:rPr>
            <w:rStyle w:val="Hyperlink"/>
            <w:spacing w:val="-2"/>
          </w:rPr>
          <w:t>GSR-26</w:t>
        </w:r>
        <w:r w:rsidRPr="00CC5D0D">
          <w:rPr>
            <w:rStyle w:val="Hyperlink"/>
            <w:spacing w:val="-2"/>
            <w:rtl/>
          </w:rPr>
          <w:t>)</w:t>
        </w:r>
      </w:hyperlink>
      <w:r w:rsidRPr="00CC5D0D">
        <w:rPr>
          <w:spacing w:val="-2"/>
          <w:rtl/>
        </w:rPr>
        <w:t xml:space="preserve"> في الفترة من 12 إلى 15 مايو 2026 في مقر هيئة تكنولوجيا المعلومات والاتصالات (</w:t>
      </w:r>
      <w:r w:rsidRPr="00CC5D0D">
        <w:rPr>
          <w:spacing w:val="-2"/>
        </w:rPr>
        <w:t>BTK</w:t>
      </w:r>
      <w:r w:rsidRPr="00CC5D0D">
        <w:rPr>
          <w:spacing w:val="-2"/>
          <w:rtl/>
        </w:rPr>
        <w:t xml:space="preserve">) في أنقرة، تركيا، برئاسة السيد عمر عبد الله كاراجو أوغلو، رئيس هيئة تكنولوجيا المعلومات والاتصالات. وسيكون الموضوع العام للحدث هذا العام هو "استكشاف الحدود الرقمية". وفي إطار التحضير لهذا الحدث الرائد، أجريت المشاورة الخاصة بالندوة </w:t>
      </w:r>
      <w:r w:rsidRPr="00CC5D0D">
        <w:rPr>
          <w:spacing w:val="-2"/>
        </w:rPr>
        <w:t>GSR-26</w:t>
      </w:r>
      <w:r w:rsidRPr="00CC5D0D">
        <w:rPr>
          <w:spacing w:val="-2"/>
          <w:rtl/>
        </w:rPr>
        <w:t xml:space="preserve"> تحت شعار "أساسيات الحوكمة التنظيمية: ما هي مجموعة الأدوات الرئيسية الجديدة التي يحتاج إليها المنظمون لإنجاح مهمة الأسواق الرقمية؟"</w:t>
      </w:r>
      <w:r w:rsidR="00CC5D0D" w:rsidRPr="00CC5D0D">
        <w:rPr>
          <w:rFonts w:hint="cs"/>
          <w:spacing w:val="-2"/>
          <w:rtl/>
        </w:rPr>
        <w:t xml:space="preserve"> </w:t>
      </w:r>
      <w:r w:rsidRPr="00CC5D0D">
        <w:rPr>
          <w:spacing w:val="-2"/>
          <w:rtl/>
        </w:rPr>
        <w:t>وستفيد مساهمات المنظمين والرابطات التنظيمية والقطاع الخاص في</w:t>
      </w:r>
      <w:r w:rsidR="00CC5D0D">
        <w:rPr>
          <w:rFonts w:hint="cs"/>
          <w:spacing w:val="-2"/>
          <w:rtl/>
        </w:rPr>
        <w:t> </w:t>
      </w:r>
      <w:r w:rsidRPr="00CC5D0D">
        <w:rPr>
          <w:spacing w:val="-2"/>
          <w:rtl/>
        </w:rPr>
        <w:t xml:space="preserve">إعداد المبادئ التوجيهية للممارسات الفضلى الصادرة عن الندوة </w:t>
      </w:r>
      <w:r w:rsidRPr="00CC5D0D">
        <w:rPr>
          <w:spacing w:val="-2"/>
        </w:rPr>
        <w:t>GSR-26</w:t>
      </w:r>
      <w:r w:rsidRPr="00CC5D0D">
        <w:rPr>
          <w:spacing w:val="-2"/>
          <w:rtl/>
        </w:rPr>
        <w:t>، والمقرر اعتمادها في</w:t>
      </w:r>
      <w:r w:rsidR="00CC5D0D" w:rsidRPr="00CC5D0D">
        <w:rPr>
          <w:rFonts w:hint="cs"/>
          <w:spacing w:val="-2"/>
          <w:rtl/>
        </w:rPr>
        <w:t> </w:t>
      </w:r>
      <w:r w:rsidRPr="00CC5D0D">
        <w:rPr>
          <w:spacing w:val="-2"/>
          <w:rtl/>
        </w:rPr>
        <w:t xml:space="preserve">المائدة المستديرة للرؤساء التنفيذيين للهيئات التنظيمية في 13 مايو. وستُعقد أحداث خاصة أخرى قبل انعقاد الندوة </w:t>
      </w:r>
      <w:r w:rsidRPr="00CC5D0D">
        <w:rPr>
          <w:spacing w:val="-2"/>
        </w:rPr>
        <w:t>GSR-26</w:t>
      </w:r>
      <w:r w:rsidRPr="00CC5D0D">
        <w:rPr>
          <w:spacing w:val="-2"/>
          <w:rtl/>
        </w:rPr>
        <w:t>، منها ورشة العمل المعنونة "قياس التقدم المحرز نحو تحقيق التوصيلية الشاملة والهادفة: التحديات والممارسات الجيدة في إحصاءات تكنولوجيا المعلومات والاتصالات"، والدورة التدريبية المتخصصة للرؤساء التنفيذيين بعنوان "ما بعد التوصيلية: نمذجة المستقبل الاجتماعي الاقتصادي</w:t>
      </w:r>
      <w:r w:rsidR="00CC5D0D">
        <w:rPr>
          <w:rFonts w:hint="cs"/>
          <w:spacing w:val="-2"/>
          <w:rtl/>
        </w:rPr>
        <w:t> </w:t>
      </w:r>
      <w:r w:rsidRPr="00CC5D0D">
        <w:rPr>
          <w:spacing w:val="-2"/>
          <w:rtl/>
        </w:rPr>
        <w:t>باستخدام دراسة النموذج الاقتصادي العالمي للاتحاد (</w:t>
      </w:r>
      <w:r w:rsidRPr="00CC5D0D">
        <w:rPr>
          <w:spacing w:val="-2"/>
        </w:rPr>
        <w:t>GEMS</w:t>
      </w:r>
      <w:r w:rsidRPr="00CC5D0D">
        <w:rPr>
          <w:spacing w:val="-2"/>
          <w:rtl/>
        </w:rPr>
        <w:t>) ومنصة تخطيط التوصيلية (</w:t>
      </w:r>
      <w:r w:rsidRPr="00CC5D0D">
        <w:rPr>
          <w:spacing w:val="-2"/>
        </w:rPr>
        <w:t>CPP</w:t>
      </w:r>
      <w:r w:rsidRPr="00CC5D0D">
        <w:rPr>
          <w:spacing w:val="-2"/>
          <w:rtl/>
        </w:rPr>
        <w:t>)"، واجتماع الرابطات التنظيمية</w:t>
      </w:r>
      <w:r w:rsidR="00CC5D0D">
        <w:rPr>
          <w:rFonts w:hint="cs"/>
          <w:spacing w:val="-2"/>
          <w:rtl/>
        </w:rPr>
        <w:t> </w:t>
      </w:r>
      <w:r w:rsidRPr="00CC5D0D">
        <w:rPr>
          <w:spacing w:val="-2"/>
          <w:rtl/>
        </w:rPr>
        <w:t>(</w:t>
      </w:r>
      <w:r w:rsidRPr="00CC5D0D">
        <w:rPr>
          <w:spacing w:val="-2"/>
        </w:rPr>
        <w:t>RA</w:t>
      </w:r>
      <w:r w:rsidRPr="00CC5D0D">
        <w:rPr>
          <w:spacing w:val="-2"/>
          <w:rtl/>
        </w:rPr>
        <w:t>)/شبكات التنظيم الرقمي (</w:t>
      </w:r>
      <w:r w:rsidRPr="00CC5D0D">
        <w:rPr>
          <w:spacing w:val="-2"/>
        </w:rPr>
        <w:t>DRN</w:t>
      </w:r>
      <w:r w:rsidRPr="00CC5D0D">
        <w:rPr>
          <w:spacing w:val="-2"/>
          <w:rtl/>
        </w:rPr>
        <w:t>) الإقليمية،</w:t>
      </w:r>
      <w:r w:rsidR="00C55646">
        <w:rPr>
          <w:spacing w:val="-2"/>
          <w:rtl/>
        </w:rPr>
        <w:t xml:space="preserve"> </w:t>
      </w:r>
      <w:r w:rsidRPr="00CC5D0D">
        <w:rPr>
          <w:spacing w:val="-2"/>
          <w:rtl/>
        </w:rPr>
        <w:t>واجتماع الفريق الاستشاري للصناعة المعني بقضايا التنمية وكبار مسؤولي التنظيم من القطاع الخاص (</w:t>
      </w:r>
      <w:r w:rsidRPr="00CC5D0D">
        <w:rPr>
          <w:spacing w:val="-2"/>
        </w:rPr>
        <w:t>IAGDI-CRO</w:t>
      </w:r>
      <w:r w:rsidRPr="00CC5D0D">
        <w:rPr>
          <w:spacing w:val="-2"/>
          <w:rtl/>
        </w:rPr>
        <w:t>).</w:t>
      </w:r>
    </w:p>
    <w:p w14:paraId="6A63AF83" w14:textId="34CFD907" w:rsidR="00514F46" w:rsidRDefault="00514F46" w:rsidP="00514F46">
      <w:pPr>
        <w:rPr>
          <w:rtl/>
        </w:rPr>
      </w:pPr>
      <w:r>
        <w:rPr>
          <w:rtl/>
        </w:rPr>
        <w:t>وأطلق استعراض ق</w:t>
      </w:r>
      <w:r w:rsidR="00556B3F">
        <w:rPr>
          <w:rFonts w:hint="cs"/>
          <w:rtl/>
        </w:rPr>
        <w:t>ُ</w:t>
      </w:r>
      <w:r>
        <w:rPr>
          <w:rtl/>
        </w:rPr>
        <w:t xml:space="preserve">طري تعاوني للتنظيم الرقمي لعُمان، في إطار </w:t>
      </w:r>
      <w:hyperlink r:id="rId31" w:anchor="/ar" w:history="1">
        <w:r w:rsidRPr="00CC5D0D">
          <w:rPr>
            <w:rStyle w:val="Hyperlink"/>
            <w:rtl/>
          </w:rPr>
          <w:t>سلسلة الاستعراضات ال</w:t>
        </w:r>
        <w:r w:rsidR="00C07ED7">
          <w:rPr>
            <w:rStyle w:val="Hyperlink"/>
            <w:rtl/>
          </w:rPr>
          <w:t>قُطرية</w:t>
        </w:r>
        <w:r w:rsidRPr="00CC5D0D">
          <w:rPr>
            <w:rStyle w:val="Hyperlink"/>
            <w:rtl/>
          </w:rPr>
          <w:t xml:space="preserve"> الوطنية بشأن التنظيم الرقمي التعاوني</w:t>
        </w:r>
      </w:hyperlink>
      <w:r>
        <w:rPr>
          <w:rtl/>
        </w:rPr>
        <w:t>، التي تقدم تقييمات هادفة للأطر التنظيمية و</w:t>
      </w:r>
      <w:r w:rsidR="00556B3F">
        <w:rPr>
          <w:rFonts w:hint="cs"/>
          <w:rtl/>
        </w:rPr>
        <w:t xml:space="preserve">أطر الحوكمة </w:t>
      </w:r>
      <w:r>
        <w:rPr>
          <w:rtl/>
        </w:rPr>
        <w:t>وسياساتها وممارساتها عبر تكنولوجيا المعلومات والاتصالات والقطاعات الرقمية. ويعتمد استعراض عُمان، الذي أجري بالتعاون مع السلطات الحكومية وأصحاب المصلحة الوطنيين والخبراء المعترف بهم، على أدوات الاتحاد القائمة على الأدلة والمعايير التنظيمية. ويقدم الاستعراض تحليلاً معمقاً للمشهد التنظيمي الوطني، ويقدم توصيات تستند إلى الأدلة للنهوض بالتحول الرقمي في قطاعات متعددة.</w:t>
      </w:r>
    </w:p>
    <w:p w14:paraId="0D51145A" w14:textId="77777777" w:rsidR="00514F46" w:rsidRPr="00CC5D0D" w:rsidRDefault="00514F46" w:rsidP="00514F46">
      <w:pPr>
        <w:rPr>
          <w:spacing w:val="-2"/>
          <w:rtl/>
        </w:rPr>
      </w:pPr>
      <w:r w:rsidRPr="00CC5D0D">
        <w:rPr>
          <w:spacing w:val="-2"/>
          <w:rtl/>
        </w:rPr>
        <w:t>وبموازاة ذلك، أجرى تدريب على القواعد التنظيمية للسواتل في السنغال في فبراير. وبناءً على ذلك، من المقرر عقد الجلسات المقبلة في جاكرتا، إندونيسيا، في الفترة من 18 إلى 21 مايو 2026، وفي أديس أبابا، إثيوبيا، في الفترة من 29 يونيو إلى 2 يوليو 2026.</w:t>
      </w:r>
    </w:p>
    <w:p w14:paraId="7A86796A" w14:textId="77777777" w:rsidR="00514F46" w:rsidRDefault="00514F46" w:rsidP="00514F46">
      <w:pPr>
        <w:rPr>
          <w:rtl/>
        </w:rPr>
      </w:pPr>
      <w:r>
        <w:rPr>
          <w:rtl/>
        </w:rPr>
        <w:t>وفي الوقت ذاته، أطلق الاتحاد في فبراير الاستقصاء التنظيمي العالمي للاتصالات/تكنولوجيا المعلومات والاتصالات والخدمات الرقمية، الذي يُجرى كل سنتين. وأدخلت تحديثات على الاستبيان بما يعكس التحديات الناشئة، ولا سيما التحديات المتعلقة بالذكاء الاصطناعي واقتصاد الفضاء والابتكار التنظيمي وبيئة الاختبار. وتتاح المنصة الإلكترونية الجديدة لجمع البيانات باللغة الإنكليزية، كما تتاح نُسخ من الاستبيان خارج الإنترنت باللغات الرسمية الست للاتحاد حسب الطلب.</w:t>
      </w:r>
    </w:p>
    <w:p w14:paraId="13ECC49B" w14:textId="30EA36BC" w:rsidR="00514F46" w:rsidRDefault="00514F46" w:rsidP="00514F46">
      <w:pPr>
        <w:rPr>
          <w:rtl/>
        </w:rPr>
      </w:pPr>
      <w:r>
        <w:rPr>
          <w:rtl/>
        </w:rPr>
        <w:t xml:space="preserve">ولمواصلة تعزيز الأدوات التنظيمية للاتحاد، أضيف </w:t>
      </w:r>
      <w:hyperlink r:id="rId32" w:history="1">
        <w:r w:rsidRPr="00CC5D0D">
          <w:rPr>
            <w:rStyle w:val="Hyperlink"/>
            <w:rtl/>
          </w:rPr>
          <w:t>إطار الجاهزية الرقمية</w:t>
        </w:r>
      </w:hyperlink>
      <w:r>
        <w:rPr>
          <w:rtl/>
        </w:rPr>
        <w:t xml:space="preserve">، الذي أُطلق أصلا كإطار موحد، إلى منصة مسرِّع الجيل الخامس. وتتيح أداة المقارنة المرجعية هذه للمنظمين وواضعي السياسات تقييم مدى جاهزية الأطر القانونية والسياساتية وأطر الحوكمة الوطنية للتحول الرقمي. ويضم الفضاء الإلكتروني موجزات </w:t>
      </w:r>
      <w:r w:rsidR="00C07ED7">
        <w:rPr>
          <w:rtl/>
        </w:rPr>
        <w:t>قُطرية</w:t>
      </w:r>
      <w:r>
        <w:rPr>
          <w:rtl/>
        </w:rPr>
        <w:t xml:space="preserve"> وتحليلات تفاعلية وخرائط.</w:t>
      </w:r>
    </w:p>
    <w:p w14:paraId="7D3F33C4" w14:textId="4A391BE1" w:rsidR="00514F46" w:rsidRDefault="00514F46" w:rsidP="00514F46">
      <w:pPr>
        <w:rPr>
          <w:rtl/>
        </w:rPr>
      </w:pPr>
      <w:r>
        <w:rPr>
          <w:rtl/>
        </w:rPr>
        <w:t>وعقدت شبكة التنظيم الرقمي (</w:t>
      </w:r>
      <w:r>
        <w:t>DRN</w:t>
      </w:r>
      <w:r>
        <w:rPr>
          <w:rtl/>
        </w:rPr>
        <w:t xml:space="preserve">) اجتماع الربيع المقرر لها في فبراير. وقدم المجلس توجيهات بشأن موضوع المبادئ التوجيهية للممارسات الفضلى الصادرة عن الندوة </w:t>
      </w:r>
      <w:r>
        <w:t>GSR</w:t>
      </w:r>
      <w:r w:rsidR="009D7C24">
        <w:t>-</w:t>
      </w:r>
      <w:r>
        <w:t>26</w:t>
      </w:r>
      <w:r>
        <w:rPr>
          <w:rtl/>
        </w:rPr>
        <w:t>، وطرح أدوات تنظيمية جديدة مثل دراسة النموذج الاقتصادي العالمي للاتحاد (</w:t>
      </w:r>
      <w:r>
        <w:t>GEMS</w:t>
      </w:r>
      <w:r>
        <w:rPr>
          <w:rtl/>
        </w:rPr>
        <w:t>) التي ستُطلق في وقت لاحق من عام 2026.</w:t>
      </w:r>
    </w:p>
    <w:p w14:paraId="7CB1CEA6" w14:textId="5DCB8C0C" w:rsidR="00514F46" w:rsidRDefault="00514F46" w:rsidP="00514F46">
      <w:pPr>
        <w:rPr>
          <w:rtl/>
        </w:rPr>
      </w:pPr>
      <w:r w:rsidRPr="00CC5D0D">
        <w:rPr>
          <w:b/>
          <w:bCs/>
          <w:rtl/>
        </w:rPr>
        <w:t>وفي إفريقيا</w:t>
      </w:r>
      <w:r>
        <w:rPr>
          <w:rtl/>
        </w:rPr>
        <w:t xml:space="preserve">، دعم مكتب تنمية الاتصالات حكومة موزامبيق لتصميم عملية للتشاور وصياغة الاستراتيجية الوطنية للتحول الرقمي، وتدشين هذه العملية وتنفيذها على المستوى الوطني. وفي أعقاب إطلاق العملية على المستوى الوطني في 12 فبراير، ساعد مكتب تنمية الاتصالات في إجراء المشاورات الإقليمية في مقاطعات زامبيزيا وكابو ديلغادو ومابوتو، وجلسات للتشاور والصياغة وتنمية القدرات على الصعيد الوطني، إلى جانب عقد الأنشطة المرتبطة بذلك، وهو ما يضمن أن تكون الاستراتيجية الموضوعة بشكل مشترك شاملة للجميع وقائمة على الأدلة ومتوافقة مع الممارسات الفضلى الدولية. وقد أُنجز هذا العمل بدعم من مشروع إرساء الأساس لمبادرة </w:t>
      </w:r>
      <w:r>
        <w:t>VaMoz Digital</w:t>
      </w:r>
      <w:r>
        <w:rPr>
          <w:rtl/>
        </w:rPr>
        <w:t>!.</w:t>
      </w:r>
    </w:p>
    <w:p w14:paraId="4C51BE99" w14:textId="77777777" w:rsidR="00514F46" w:rsidRDefault="00514F46" w:rsidP="00514F46">
      <w:pPr>
        <w:rPr>
          <w:rtl/>
        </w:rPr>
      </w:pPr>
      <w:r w:rsidRPr="00CC5D0D">
        <w:rPr>
          <w:b/>
          <w:bCs/>
          <w:rtl/>
        </w:rPr>
        <w:t>وفي الأمريكتين</w:t>
      </w:r>
      <w:r>
        <w:rPr>
          <w:rtl/>
        </w:rPr>
        <w:t>، أُحرز تقدم في تنفيذ أنشطة الابتكار التنظيمي عن طريق مشروع المساعدة التقنية. وعُقدت ثلاث دورات تدريبية في مجال الابتكار التنظيمي على المستوى الوطني في بليز، والسلفادور، وبنما.</w:t>
      </w:r>
    </w:p>
    <w:p w14:paraId="7709DD01" w14:textId="35375EB4" w:rsidR="00514F46" w:rsidRDefault="00514F46" w:rsidP="00514F46">
      <w:pPr>
        <w:rPr>
          <w:rtl/>
        </w:rPr>
      </w:pPr>
      <w:r w:rsidRPr="00CC5D0D">
        <w:rPr>
          <w:b/>
          <w:bCs/>
          <w:rtl/>
        </w:rPr>
        <w:t>وفي كومنولث الدول المستقلة</w:t>
      </w:r>
      <w:r>
        <w:rPr>
          <w:rtl/>
        </w:rPr>
        <w:t>، نظم مكتب تنمية الاتصالات ورشة عمل بشأن تنظيم تكنولوجيا المعلومات والاتصالات في</w:t>
      </w:r>
      <w:r w:rsidR="005246FC">
        <w:rPr>
          <w:rFonts w:hint="cs"/>
          <w:rtl/>
        </w:rPr>
        <w:t> </w:t>
      </w:r>
      <w:r>
        <w:rPr>
          <w:rtl/>
        </w:rPr>
        <w:t>أرمينيا. وقد جمع هذا الحدث المنظمين الوطنيين، وخبراء الصناعة، وأصحاب المصلحة الدوليين، من أجل تعزيز الحوار بشأن التحديات التنظيمية الرئيسية، التي تشمل تقييم الطيف، والتشارك في البنية التحتية، والانتقال من استخدام الشبكات المتنقلة التقليدية.</w:t>
      </w:r>
      <w:r w:rsidR="005246FC">
        <w:rPr>
          <w:rFonts w:hint="cs"/>
          <w:rtl/>
        </w:rPr>
        <w:t xml:space="preserve"> </w:t>
      </w:r>
      <w:r>
        <w:rPr>
          <w:rtl/>
        </w:rPr>
        <w:t xml:space="preserve">أسهمت ورشة العمل في تعزيز قدرات المشاركين عن طريق تبادل المعارف بشأن النُهج التنظيمية الحديثة، </w:t>
      </w:r>
      <w:r>
        <w:rPr>
          <w:rtl/>
        </w:rPr>
        <w:lastRenderedPageBreak/>
        <w:t>والممارسات الفضلى الدولية، ما يدعم اتخاذ القرارات القائمة على الأدلة، ويتيح وضع أطر تنظيمية لتكنولوجيا المعلومات والاتصالات أكثر كفاءة وجاهزية للمستقبل.</w:t>
      </w:r>
    </w:p>
    <w:p w14:paraId="50705F01" w14:textId="77777777" w:rsidR="00514F46" w:rsidRDefault="00514F46" w:rsidP="000578F6">
      <w:pPr>
        <w:pStyle w:val="Headingb"/>
        <w:rPr>
          <w:rtl/>
        </w:rPr>
      </w:pPr>
      <w:r>
        <w:rPr>
          <w:rtl/>
        </w:rPr>
        <w:t>توفير البيانات والإحصاءات</w:t>
      </w:r>
    </w:p>
    <w:p w14:paraId="01F99C15" w14:textId="7B12795F" w:rsidR="00514F46" w:rsidRDefault="00514F46" w:rsidP="00514F46">
      <w:pPr>
        <w:rPr>
          <w:rtl/>
        </w:rPr>
      </w:pPr>
      <w:r>
        <w:rPr>
          <w:rtl/>
        </w:rPr>
        <w:t>ونظم مكتب تنمية الاتصالات حدثاً جانبياً في الدورة السابعة والخمسين للجنة الإحصائية للأمم المتحدة بشأن "قياس التوصيلية الهادفة" في 5 مارس، شارك فيه متحدثون يمثلون المكاتب الإحصائية الوطنية في إسبانيا والأرجنتين ومكتب الأمم المتحدة المعني بالمخدرات والجريمة (</w:t>
      </w:r>
      <w:r>
        <w:t>UNODC</w:t>
      </w:r>
      <w:r>
        <w:rPr>
          <w:rtl/>
        </w:rPr>
        <w:t xml:space="preserve">). </w:t>
      </w:r>
      <w:hyperlink r:id="rId33" w:anchor="/ar" w:history="1">
        <w:r w:rsidRPr="000578F6">
          <w:rPr>
            <w:rStyle w:val="Hyperlink"/>
            <w:rtl/>
          </w:rPr>
          <w:t>التوصيلية الشاملة والهادفة: تعزيز الأنظمة الوطنية لإحصاءات تكنولوجيا المعلومات والاتصالات</w:t>
        </w:r>
      </w:hyperlink>
      <w:r>
        <w:rPr>
          <w:rtl/>
        </w:rPr>
        <w:t>.</w:t>
      </w:r>
      <w:r w:rsidR="000578F6">
        <w:rPr>
          <w:rFonts w:hint="cs"/>
          <w:rtl/>
        </w:rPr>
        <w:t xml:space="preserve"> </w:t>
      </w:r>
      <w:r>
        <w:rPr>
          <w:rtl/>
        </w:rPr>
        <w:t>استكشف هذا الحدث أسباب أهمية البيانات الجيدة في تسريع وتيرة التقدم نحو تحقيق التوصيلية الشاملة والهادفة</w:t>
      </w:r>
      <w:r w:rsidR="000578F6">
        <w:rPr>
          <w:rFonts w:hint="cs"/>
          <w:rtl/>
        </w:rPr>
        <w:t> </w:t>
      </w:r>
      <w:r>
        <w:rPr>
          <w:rtl/>
        </w:rPr>
        <w:t>(</w:t>
      </w:r>
      <w:r>
        <w:t>UMC</w:t>
      </w:r>
      <w:r>
        <w:rPr>
          <w:rtl/>
        </w:rPr>
        <w:t>)، وناقش الكيفية التي يمكن بها للبلدان والشركاء تعزيز إحصاءات تكنولوجيا المعلومات والاتصالات، التي تسترشد بها السياسات الرقمية الفعالة.</w:t>
      </w:r>
    </w:p>
    <w:p w14:paraId="7C12265E" w14:textId="77777777" w:rsidR="00C55646" w:rsidRDefault="00514F46" w:rsidP="00514F46">
      <w:pPr>
        <w:rPr>
          <w:rtl/>
        </w:rPr>
      </w:pPr>
      <w:r>
        <w:rPr>
          <w:rtl/>
        </w:rPr>
        <w:t>أما بشأن بناء القدرات، فقد عُقدت حلقة دراسية إلكترونية بشأن قياس أسعار خدمات تكنولوجيا المعلومات والاتصالات في 19 فبراير. (</w:t>
      </w:r>
      <w:hyperlink r:id="rId34" w:anchor="/ar" w:history="1">
        <w:r w:rsidRPr="000578F6">
          <w:rPr>
            <w:rStyle w:val="Hyperlink"/>
            <w:rtl/>
          </w:rPr>
          <w:t>قياس التنمية الرقمية: تجميع بيانات أسعار خدمات تكنولوجيا المعلومات والاتصالات | أكاديمية الاتحاد</w:t>
        </w:r>
      </w:hyperlink>
      <w:r>
        <w:rPr>
          <w:rtl/>
        </w:rPr>
        <w:t>).</w:t>
      </w:r>
    </w:p>
    <w:p w14:paraId="03B74869" w14:textId="64C887E4" w:rsidR="00514F46" w:rsidRDefault="00514F46" w:rsidP="00514F46">
      <w:pPr>
        <w:rPr>
          <w:rtl/>
        </w:rPr>
      </w:pPr>
      <w:r w:rsidRPr="000578F6">
        <w:rPr>
          <w:b/>
          <w:bCs/>
          <w:rtl/>
        </w:rPr>
        <w:t>وفي إفريقيا</w:t>
      </w:r>
      <w:r>
        <w:rPr>
          <w:rtl/>
        </w:rPr>
        <w:t xml:space="preserve">، نظم الاتحاد ورشة عمل إقليمية في تنزانيا، في شهر مارس، بشأن تعزيز </w:t>
      </w:r>
      <w:hyperlink r:id="rId35" w:anchor="/ar" w:history="1">
        <w:r w:rsidRPr="000578F6">
          <w:rPr>
            <w:rStyle w:val="Hyperlink"/>
            <w:rtl/>
          </w:rPr>
          <w:t>التوصيلية الشاملة والهادفة (</w:t>
        </w:r>
        <w:r w:rsidRPr="000578F6">
          <w:rPr>
            <w:rStyle w:val="Hyperlink"/>
          </w:rPr>
          <w:t>UMC</w:t>
        </w:r>
        <w:r w:rsidRPr="000578F6">
          <w:rPr>
            <w:rStyle w:val="Hyperlink"/>
            <w:rtl/>
          </w:rPr>
          <w:t>)</w:t>
        </w:r>
      </w:hyperlink>
      <w:r>
        <w:rPr>
          <w:rtl/>
        </w:rPr>
        <w:t xml:space="preserve"> وقياسها، بالتعاون مع هيئة تنظيم الاتصالات في تنزانيا (</w:t>
      </w:r>
      <w:r>
        <w:t>TCRA</w:t>
      </w:r>
      <w:r>
        <w:rPr>
          <w:rtl/>
        </w:rPr>
        <w:t>) وبدعم مالي من الاتحاد الأوروبي. طرحت ورشة العمل رؤى متعمقة عن أعمال الاتحاد في مجال الإحصاءات، بما في ذلك التطورات المنهجية، وجمع البيانات وتقديرها ونشرها وتحليلها، واستكشفت سبل توفير بيانات التوصيلية الشاملة والهادفة، وتحقيق الأهداف المرجوة وسد الفجوات الرقمية في المنطقة.</w:t>
      </w:r>
    </w:p>
    <w:p w14:paraId="7046EF05" w14:textId="296185F0" w:rsidR="00514F46" w:rsidRDefault="00514F46" w:rsidP="00514F46">
      <w:r w:rsidRPr="000578F6">
        <w:rPr>
          <w:b/>
          <w:bCs/>
          <w:rtl/>
        </w:rPr>
        <w:t>وفي كومنولث الدول المستقلة</w:t>
      </w:r>
      <w:r>
        <w:rPr>
          <w:rtl/>
        </w:rPr>
        <w:t>، يجري مكتب تنمية الاتصالات ووكالة الابتكار والتنمية الرقمية في أذربيجان حالياً مناقشات بشأن وثيقة مشروع تهدف إلى تقييم المهارات الرقمية للسكان وموظفي القطاع العام، وإدماج منهجية الاتحاد بشكل رسمي في العمل على المستوى الوطني.</w:t>
      </w:r>
    </w:p>
    <w:p w14:paraId="51A26DB3" w14:textId="77777777" w:rsidR="00514F46" w:rsidRDefault="00514F46" w:rsidP="00514F46">
      <w:pPr>
        <w:rPr>
          <w:lang w:val="en-GB"/>
        </w:rPr>
      </w:pPr>
    </w:p>
    <w:p w14:paraId="510E3ADF" w14:textId="77777777" w:rsidR="00514F46" w:rsidRPr="00514F46" w:rsidRDefault="00514F46" w:rsidP="00514F46">
      <w:pPr>
        <w:rPr>
          <w:lang w:val="en-GB"/>
        </w:rPr>
        <w:sectPr w:rsidR="00514F46" w:rsidRPr="00514F46" w:rsidSect="00514F46">
          <w:headerReference w:type="default" r:id="rId36"/>
          <w:footerReference w:type="default" r:id="rId37"/>
          <w:pgSz w:w="11906" w:h="16838" w:code="9"/>
          <w:pgMar w:top="1418" w:right="1134" w:bottom="1134" w:left="1134" w:header="624" w:footer="624" w:gutter="0"/>
          <w:cols w:space="720"/>
          <w:docGrid w:linePitch="326"/>
        </w:sectPr>
      </w:pPr>
    </w:p>
    <w:p w14:paraId="57CFD5CD" w14:textId="1C606B32" w:rsidR="00C23B5E" w:rsidRDefault="0075647E" w:rsidP="0075647E">
      <w:pPr>
        <w:pStyle w:val="Heading2"/>
      </w:pPr>
      <w:r>
        <w:lastRenderedPageBreak/>
        <w:t>4.3</w:t>
      </w:r>
      <w:r w:rsidR="00C23B5E" w:rsidRPr="00C23B5E">
        <w:rPr>
          <w:rtl/>
        </w:rPr>
        <w:tab/>
        <w:t>الأولوية 4 لقطاع تنمية الاتصالات: تعبئة الموارد والشراكات والتعاون الدولي</w:t>
      </w:r>
    </w:p>
    <w:tbl>
      <w:tblPr>
        <w:bidiVisual/>
        <w:tblW w:w="5000" w:type="pct"/>
        <w:tblLayout w:type="fixed"/>
        <w:tblLook w:val="04A0" w:firstRow="1" w:lastRow="0" w:firstColumn="1" w:lastColumn="0" w:noHBand="0" w:noVBand="1"/>
      </w:tblPr>
      <w:tblGrid>
        <w:gridCol w:w="1874"/>
        <w:gridCol w:w="2963"/>
        <w:gridCol w:w="2964"/>
        <w:gridCol w:w="2964"/>
        <w:gridCol w:w="1643"/>
        <w:gridCol w:w="1643"/>
        <w:gridCol w:w="1643"/>
      </w:tblGrid>
      <w:tr w:rsidR="005A1E71" w:rsidRPr="005A1E71" w14:paraId="6D187454" w14:textId="77777777" w:rsidTr="005A1E71">
        <w:trPr>
          <w:tblHeader/>
        </w:trPr>
        <w:tc>
          <w:tcPr>
            <w:tcW w:w="1654" w:type="dxa"/>
            <w:tcBorders>
              <w:top w:val="single" w:sz="4" w:space="0" w:color="44B3E1"/>
              <w:left w:val="single" w:sz="4" w:space="0" w:color="44B3E1"/>
              <w:bottom w:val="single" w:sz="4" w:space="0" w:color="44B3E1"/>
              <w:right w:val="nil"/>
            </w:tcBorders>
            <w:shd w:val="clear" w:color="auto" w:fill="156082"/>
            <w:noWrap/>
            <w:vAlign w:val="center"/>
            <w:hideMark/>
          </w:tcPr>
          <w:p w14:paraId="12228357" w14:textId="77777777" w:rsidR="005A1E71" w:rsidRPr="005A1E71" w:rsidRDefault="005A1E71" w:rsidP="00EB0BE9">
            <w:pPr>
              <w:pStyle w:val="TableHead"/>
              <w:rPr>
                <w:color w:val="FFFFFF" w:themeColor="background1"/>
                <w:position w:val="2"/>
                <w:lang w:val="ar-SA" w:bidi="ar-EG"/>
              </w:rPr>
            </w:pPr>
            <w:r w:rsidRPr="005A1E71">
              <w:rPr>
                <w:color w:val="FFFFFF" w:themeColor="background1"/>
                <w:position w:val="2"/>
                <w:rtl/>
              </w:rPr>
              <w:t>الأولوية/الموضوع</w:t>
            </w:r>
          </w:p>
        </w:tc>
        <w:tc>
          <w:tcPr>
            <w:tcW w:w="2617" w:type="dxa"/>
            <w:tcBorders>
              <w:top w:val="single" w:sz="4" w:space="0" w:color="44B3E1"/>
              <w:left w:val="nil"/>
              <w:bottom w:val="single" w:sz="4" w:space="0" w:color="44B3E1"/>
              <w:right w:val="nil"/>
            </w:tcBorders>
            <w:shd w:val="clear" w:color="auto" w:fill="156082"/>
            <w:noWrap/>
            <w:vAlign w:val="center"/>
            <w:hideMark/>
          </w:tcPr>
          <w:p w14:paraId="5115494B" w14:textId="1DFAA89D" w:rsidR="005A1E71" w:rsidRPr="005A1E71" w:rsidRDefault="002F6EBB" w:rsidP="00EB0BE9">
            <w:pPr>
              <w:pStyle w:val="TableHead"/>
              <w:rPr>
                <w:color w:val="FFFFFF" w:themeColor="background1"/>
                <w:position w:val="2"/>
                <w:lang w:val="ar-SA" w:bidi="ar-EG"/>
              </w:rPr>
            </w:pPr>
            <w:r>
              <w:rPr>
                <w:rFonts w:hint="cs"/>
                <w:color w:val="FFFFFF" w:themeColor="background1"/>
                <w:position w:val="2"/>
                <w:rtl/>
              </w:rPr>
              <w:t>المحصلات</w:t>
            </w:r>
          </w:p>
        </w:tc>
        <w:tc>
          <w:tcPr>
            <w:tcW w:w="2618" w:type="dxa"/>
            <w:tcBorders>
              <w:top w:val="single" w:sz="4" w:space="0" w:color="44B3E1"/>
              <w:left w:val="nil"/>
              <w:bottom w:val="single" w:sz="4" w:space="0" w:color="44B3E1"/>
              <w:right w:val="nil"/>
            </w:tcBorders>
            <w:shd w:val="clear" w:color="auto" w:fill="156082"/>
            <w:noWrap/>
            <w:vAlign w:val="center"/>
            <w:hideMark/>
          </w:tcPr>
          <w:p w14:paraId="38A9A4ED" w14:textId="3D09AD5D" w:rsidR="005A1E71" w:rsidRPr="005A1E71" w:rsidRDefault="005A1E71" w:rsidP="005443F3">
            <w:pPr>
              <w:pStyle w:val="TableHead"/>
              <w:rPr>
                <w:color w:val="FFFFFF" w:themeColor="background1"/>
                <w:position w:val="2"/>
                <w:lang w:val="ar-SA" w:bidi="ar-EG"/>
              </w:rPr>
            </w:pPr>
            <w:r w:rsidRPr="005A1E71">
              <w:rPr>
                <w:color w:val="FFFFFF" w:themeColor="background1"/>
                <w:position w:val="2"/>
                <w:rtl/>
              </w:rPr>
              <w:t xml:space="preserve">مؤشرات </w:t>
            </w:r>
            <w:r w:rsidR="005443F3" w:rsidRPr="002F6EBB">
              <w:rPr>
                <w:rFonts w:hint="cs"/>
                <w:color w:val="FFFFFF" w:themeColor="background1"/>
                <w:position w:val="2"/>
                <w:rtl/>
              </w:rPr>
              <w:t>النواتج</w:t>
            </w:r>
            <w:r w:rsidRPr="00C23B5E">
              <w:rPr>
                <w:rStyle w:val="FootnoteReference"/>
                <w:color w:val="FFFFFF" w:themeColor="background1"/>
                <w:rtl/>
              </w:rPr>
              <w:footnoteReference w:id="3"/>
            </w:r>
          </w:p>
        </w:tc>
        <w:tc>
          <w:tcPr>
            <w:tcW w:w="2618" w:type="dxa"/>
            <w:tcBorders>
              <w:top w:val="single" w:sz="4" w:space="0" w:color="44B3E1"/>
              <w:left w:val="nil"/>
              <w:bottom w:val="single" w:sz="4" w:space="0" w:color="44B3E1"/>
              <w:right w:val="nil"/>
            </w:tcBorders>
            <w:shd w:val="clear" w:color="auto" w:fill="156082"/>
            <w:vAlign w:val="center"/>
            <w:hideMark/>
          </w:tcPr>
          <w:p w14:paraId="5F28FA67" w14:textId="66BDDA21" w:rsidR="005A1E71" w:rsidRPr="005A1E71" w:rsidRDefault="005443F3" w:rsidP="005443F3">
            <w:pPr>
              <w:pStyle w:val="TableHead"/>
              <w:rPr>
                <w:color w:val="FFFFFF" w:themeColor="background1"/>
                <w:position w:val="2"/>
                <w:lang w:val="ar-SA" w:bidi="ar-EG"/>
              </w:rPr>
            </w:pPr>
            <w:r w:rsidRPr="005443F3">
              <w:rPr>
                <w:rFonts w:hint="cs"/>
                <w:color w:val="FFFFFF" w:themeColor="background1"/>
                <w:position w:val="2"/>
                <w:rtl/>
              </w:rPr>
              <w:t>النواتج</w:t>
            </w:r>
            <w:r w:rsidR="005A1E71" w:rsidRPr="005A1E71">
              <w:rPr>
                <w:color w:val="FFFFFF" w:themeColor="background1"/>
                <w:position w:val="2"/>
              </w:rPr>
              <w:br/>
            </w:r>
            <w:r w:rsidR="005A1E71" w:rsidRPr="005A1E71">
              <w:rPr>
                <w:color w:val="FFFFFF" w:themeColor="background1"/>
                <w:position w:val="2"/>
                <w:rtl/>
              </w:rPr>
              <w:t xml:space="preserve">(منتجات وخدمات قطاع تنمية الاتصالات </w:t>
            </w:r>
            <w:r w:rsidR="00514F46">
              <w:rPr>
                <w:rFonts w:hint="cs"/>
                <w:color w:val="FFFFFF" w:themeColor="background1"/>
                <w:position w:val="2"/>
                <w:rtl/>
              </w:rPr>
              <w:t xml:space="preserve">في </w:t>
            </w:r>
            <w:r w:rsidR="005A1E71" w:rsidRPr="005A1E71">
              <w:rPr>
                <w:color w:val="FFFFFF" w:themeColor="background1"/>
                <w:position w:val="2"/>
                <w:rtl/>
              </w:rPr>
              <w:t>الاتحاد)</w:t>
            </w:r>
          </w:p>
        </w:tc>
        <w:tc>
          <w:tcPr>
            <w:tcW w:w="1451" w:type="dxa"/>
            <w:tcBorders>
              <w:top w:val="single" w:sz="4" w:space="0" w:color="44B3E1"/>
              <w:left w:val="nil"/>
              <w:bottom w:val="single" w:sz="4" w:space="0" w:color="44B3E1"/>
              <w:right w:val="nil"/>
            </w:tcBorders>
            <w:shd w:val="clear" w:color="auto" w:fill="156082"/>
            <w:vAlign w:val="center"/>
            <w:hideMark/>
          </w:tcPr>
          <w:p w14:paraId="421B273F" w14:textId="77777777" w:rsidR="005A1E71" w:rsidRPr="005A1E71" w:rsidRDefault="005A1E71" w:rsidP="00EB0BE9">
            <w:pPr>
              <w:pStyle w:val="TableHead"/>
              <w:rPr>
                <w:color w:val="FFFFFF" w:themeColor="background1"/>
                <w:position w:val="2"/>
                <w:lang w:val="ar-SA" w:bidi="ar-EG"/>
              </w:rPr>
            </w:pPr>
            <w:r w:rsidRPr="005A1E71">
              <w:rPr>
                <w:color w:val="FFFFFF" w:themeColor="background1"/>
                <w:position w:val="2"/>
                <w:rtl/>
              </w:rPr>
              <w:t>ميزانية عام 2026 (بالفرنكات السويسرية)</w:t>
            </w:r>
          </w:p>
        </w:tc>
        <w:tc>
          <w:tcPr>
            <w:tcW w:w="1451" w:type="dxa"/>
            <w:tcBorders>
              <w:top w:val="single" w:sz="4" w:space="0" w:color="44B3E1"/>
              <w:left w:val="nil"/>
              <w:bottom w:val="single" w:sz="4" w:space="0" w:color="44B3E1"/>
              <w:right w:val="nil"/>
            </w:tcBorders>
            <w:shd w:val="clear" w:color="auto" w:fill="156082"/>
            <w:vAlign w:val="center"/>
            <w:hideMark/>
          </w:tcPr>
          <w:p w14:paraId="26BD6FF5" w14:textId="39462086" w:rsidR="005A1E71" w:rsidRPr="005A1E71" w:rsidRDefault="005A1E71" w:rsidP="00EB0BE9">
            <w:pPr>
              <w:pStyle w:val="TableHead"/>
              <w:rPr>
                <w:color w:val="FFFFFF" w:themeColor="background1"/>
                <w:position w:val="2"/>
                <w:lang w:val="ar-SA" w:bidi="ar-EG"/>
              </w:rPr>
            </w:pPr>
            <w:r w:rsidRPr="005A1E71">
              <w:rPr>
                <w:color w:val="FFFFFF" w:themeColor="background1"/>
                <w:position w:val="2"/>
                <w:rtl/>
              </w:rPr>
              <w:t>النسبة المئوية للأولوية/</w:t>
            </w:r>
            <w:r w:rsidR="00514F46">
              <w:rPr>
                <w:rFonts w:hint="cs"/>
                <w:color w:val="FFFFFF" w:themeColor="background1"/>
                <w:position w:val="2"/>
                <w:rtl/>
              </w:rPr>
              <w:t>إجمالي عامل التمكين</w:t>
            </w:r>
          </w:p>
        </w:tc>
        <w:tc>
          <w:tcPr>
            <w:tcW w:w="1451" w:type="dxa"/>
            <w:tcBorders>
              <w:top w:val="single" w:sz="4" w:space="0" w:color="44B3E1"/>
              <w:left w:val="nil"/>
              <w:bottom w:val="single" w:sz="4" w:space="0" w:color="44B3E1"/>
              <w:right w:val="single" w:sz="4" w:space="0" w:color="44B3E1"/>
            </w:tcBorders>
            <w:shd w:val="clear" w:color="auto" w:fill="156082"/>
            <w:vAlign w:val="center"/>
            <w:hideMark/>
          </w:tcPr>
          <w:p w14:paraId="4C7CDC33" w14:textId="77777777" w:rsidR="005A1E71" w:rsidRPr="005A1E71" w:rsidRDefault="005A1E71" w:rsidP="00EB0BE9">
            <w:pPr>
              <w:pStyle w:val="TableHead"/>
              <w:rPr>
                <w:color w:val="FFFFFF" w:themeColor="background1"/>
                <w:position w:val="2"/>
                <w:lang w:val="ar-SA" w:bidi="ar-EG"/>
              </w:rPr>
            </w:pPr>
            <w:r w:rsidRPr="005A1E71">
              <w:rPr>
                <w:color w:val="FFFFFF" w:themeColor="background1"/>
                <w:position w:val="2"/>
                <w:rtl/>
              </w:rPr>
              <w:t xml:space="preserve">النسبة المئوية من إجمالي الميزانية </w:t>
            </w:r>
          </w:p>
        </w:tc>
      </w:tr>
      <w:tr w:rsidR="005A1E71" w:rsidRPr="005A1E71" w14:paraId="1CC70BD5" w14:textId="77777777" w:rsidTr="005A1E71">
        <w:tc>
          <w:tcPr>
            <w:tcW w:w="4271" w:type="dxa"/>
            <w:gridSpan w:val="2"/>
            <w:tcBorders>
              <w:top w:val="single" w:sz="4" w:space="0" w:color="44B3E1"/>
              <w:left w:val="single" w:sz="4" w:space="0" w:color="44B3E1"/>
              <w:bottom w:val="single" w:sz="4" w:space="0" w:color="44B3E1"/>
              <w:right w:val="nil"/>
            </w:tcBorders>
            <w:shd w:val="clear" w:color="auto" w:fill="C0E6F5"/>
            <w:vAlign w:val="bottom"/>
          </w:tcPr>
          <w:p w14:paraId="013E7A37" w14:textId="57976B51" w:rsidR="005A1E71" w:rsidRPr="005A1E71" w:rsidRDefault="005A1E71" w:rsidP="008D6664">
            <w:pPr>
              <w:pStyle w:val="Tabletexte"/>
              <w:jc w:val="left"/>
              <w:rPr>
                <w:b/>
                <w:bCs/>
                <w:position w:val="2"/>
              </w:rPr>
            </w:pPr>
            <w:r w:rsidRPr="005A1E71">
              <w:rPr>
                <w:b/>
                <w:bCs/>
                <w:position w:val="2"/>
                <w:rtl/>
              </w:rPr>
              <w:t>تعبئة الموارد والشراكات والتعاون الدولي</w:t>
            </w:r>
            <w:r w:rsidR="00514F46">
              <w:rPr>
                <w:rFonts w:hint="cs"/>
                <w:b/>
                <w:bCs/>
                <w:position w:val="2"/>
                <w:rtl/>
              </w:rPr>
              <w:t xml:space="preserve"> (إجمالاً)</w:t>
            </w:r>
          </w:p>
        </w:tc>
        <w:tc>
          <w:tcPr>
            <w:tcW w:w="2618" w:type="dxa"/>
            <w:tcBorders>
              <w:top w:val="single" w:sz="4" w:space="0" w:color="44B3E1"/>
              <w:left w:val="nil"/>
              <w:bottom w:val="single" w:sz="4" w:space="0" w:color="44B3E1"/>
              <w:right w:val="nil"/>
            </w:tcBorders>
            <w:shd w:val="clear" w:color="auto" w:fill="C0E6F5"/>
            <w:noWrap/>
            <w:vAlign w:val="bottom"/>
          </w:tcPr>
          <w:p w14:paraId="54E34A46" w14:textId="77777777" w:rsidR="005A1E71" w:rsidRPr="005A1E71" w:rsidRDefault="005A1E71" w:rsidP="008D6664">
            <w:pPr>
              <w:pStyle w:val="Tabletexte"/>
              <w:jc w:val="left"/>
              <w:rPr>
                <w:b/>
                <w:bCs/>
                <w:position w:val="2"/>
              </w:rPr>
            </w:pPr>
          </w:p>
        </w:tc>
        <w:tc>
          <w:tcPr>
            <w:tcW w:w="2618" w:type="dxa"/>
            <w:tcBorders>
              <w:top w:val="single" w:sz="4" w:space="0" w:color="44B3E1"/>
              <w:left w:val="nil"/>
              <w:bottom w:val="single" w:sz="4" w:space="0" w:color="44B3E1"/>
              <w:right w:val="nil"/>
            </w:tcBorders>
            <w:shd w:val="clear" w:color="auto" w:fill="C0E6F5"/>
            <w:noWrap/>
            <w:vAlign w:val="bottom"/>
          </w:tcPr>
          <w:p w14:paraId="2EA54569" w14:textId="77777777" w:rsidR="005A1E71" w:rsidRPr="005A1E71" w:rsidRDefault="005A1E71" w:rsidP="008D6664">
            <w:pPr>
              <w:pStyle w:val="Tabletexte"/>
              <w:jc w:val="left"/>
              <w:rPr>
                <w:b/>
                <w:bCs/>
                <w:position w:val="2"/>
              </w:rPr>
            </w:pPr>
          </w:p>
        </w:tc>
        <w:tc>
          <w:tcPr>
            <w:tcW w:w="1451" w:type="dxa"/>
            <w:tcBorders>
              <w:top w:val="single" w:sz="4" w:space="0" w:color="44B3E1"/>
              <w:left w:val="nil"/>
              <w:bottom w:val="single" w:sz="4" w:space="0" w:color="44B3E1"/>
              <w:right w:val="nil"/>
            </w:tcBorders>
            <w:shd w:val="clear" w:color="auto" w:fill="C0E6F5"/>
            <w:noWrap/>
            <w:vAlign w:val="center"/>
          </w:tcPr>
          <w:p w14:paraId="15649441" w14:textId="49E16E12" w:rsidR="005A1E71" w:rsidRPr="005A1E71" w:rsidRDefault="00514F46" w:rsidP="008D6664">
            <w:pPr>
              <w:pStyle w:val="Tabletexte"/>
              <w:jc w:val="left"/>
              <w:rPr>
                <w:b/>
                <w:bCs/>
                <w:position w:val="2"/>
              </w:rPr>
            </w:pPr>
            <w:r>
              <w:rPr>
                <w:b/>
                <w:bCs/>
                <w:position w:val="2"/>
              </w:rPr>
              <w:t>319 385</w:t>
            </w:r>
          </w:p>
        </w:tc>
        <w:tc>
          <w:tcPr>
            <w:tcW w:w="1451" w:type="dxa"/>
            <w:tcBorders>
              <w:top w:val="single" w:sz="4" w:space="0" w:color="44B3E1"/>
              <w:left w:val="nil"/>
              <w:bottom w:val="single" w:sz="4" w:space="0" w:color="44B3E1"/>
              <w:right w:val="nil"/>
            </w:tcBorders>
            <w:shd w:val="clear" w:color="auto" w:fill="C0E6F5"/>
            <w:vAlign w:val="center"/>
          </w:tcPr>
          <w:p w14:paraId="4E98438D" w14:textId="77777777" w:rsidR="005A1E71" w:rsidRPr="005A1E71" w:rsidRDefault="005A1E71" w:rsidP="008D6664">
            <w:pPr>
              <w:pStyle w:val="Tabletexte"/>
              <w:jc w:val="left"/>
              <w:rPr>
                <w:b/>
                <w:bCs/>
                <w:position w:val="2"/>
              </w:rPr>
            </w:pPr>
          </w:p>
        </w:tc>
        <w:tc>
          <w:tcPr>
            <w:tcW w:w="1451" w:type="dxa"/>
            <w:tcBorders>
              <w:top w:val="single" w:sz="4" w:space="0" w:color="44B3E1"/>
              <w:left w:val="nil"/>
              <w:bottom w:val="single" w:sz="4" w:space="0" w:color="44B3E1"/>
              <w:right w:val="single" w:sz="4" w:space="0" w:color="44B3E1"/>
            </w:tcBorders>
            <w:shd w:val="clear" w:color="auto" w:fill="C0E6F5"/>
            <w:noWrap/>
            <w:vAlign w:val="center"/>
          </w:tcPr>
          <w:p w14:paraId="42644C11" w14:textId="13C8BAE8" w:rsidR="005A1E71" w:rsidRPr="005A1E71" w:rsidRDefault="00514F46" w:rsidP="008D6664">
            <w:pPr>
              <w:pStyle w:val="Tabletexte"/>
              <w:jc w:val="left"/>
              <w:rPr>
                <w:b/>
                <w:bCs/>
                <w:position w:val="2"/>
              </w:rPr>
            </w:pPr>
            <w:r>
              <w:rPr>
                <w:b/>
                <w:bCs/>
                <w:position w:val="2"/>
              </w:rPr>
              <w:t>%8,38</w:t>
            </w:r>
          </w:p>
        </w:tc>
      </w:tr>
      <w:tr w:rsidR="005A1E71" w:rsidRPr="005A1E71" w14:paraId="1E8AB288" w14:textId="77777777" w:rsidTr="005A1E71">
        <w:tc>
          <w:tcPr>
            <w:tcW w:w="1654" w:type="dxa"/>
            <w:tcBorders>
              <w:top w:val="single" w:sz="4" w:space="0" w:color="44B3E1"/>
              <w:left w:val="single" w:sz="4" w:space="0" w:color="44B3E1"/>
              <w:bottom w:val="single" w:sz="4" w:space="0" w:color="44B3E1"/>
              <w:right w:val="nil"/>
            </w:tcBorders>
          </w:tcPr>
          <w:p w14:paraId="1B1DB430" w14:textId="350A77A7" w:rsidR="005A1E71" w:rsidRPr="005A1E71" w:rsidRDefault="00556B3F" w:rsidP="008D6664">
            <w:pPr>
              <w:pStyle w:val="Tabletexte"/>
              <w:jc w:val="left"/>
              <w:rPr>
                <w:b/>
                <w:bCs/>
                <w:spacing w:val="-6"/>
                <w:position w:val="2"/>
                <w:lang w:val="ar-SA"/>
              </w:rPr>
            </w:pPr>
            <w:r>
              <w:rPr>
                <w:rFonts w:hint="cs"/>
                <w:b/>
                <w:bCs/>
                <w:position w:val="2"/>
                <w:rtl/>
                <w:lang w:bidi="ar-SA"/>
              </w:rPr>
              <w:t>المحاور المشتركة</w:t>
            </w:r>
          </w:p>
        </w:tc>
        <w:tc>
          <w:tcPr>
            <w:tcW w:w="2617" w:type="dxa"/>
            <w:tcBorders>
              <w:top w:val="single" w:sz="4" w:space="0" w:color="44B3E1"/>
              <w:left w:val="nil"/>
              <w:bottom w:val="single" w:sz="4" w:space="0" w:color="44B3E1"/>
              <w:right w:val="nil"/>
            </w:tcBorders>
          </w:tcPr>
          <w:p w14:paraId="4D7B5AE9" w14:textId="77777777" w:rsidR="00F10980" w:rsidRDefault="005A1E71" w:rsidP="008D6664">
            <w:pPr>
              <w:pStyle w:val="Tabletexte"/>
              <w:ind w:left="317" w:hanging="317"/>
              <w:jc w:val="left"/>
              <w:rPr>
                <w:position w:val="2"/>
                <w:rtl/>
              </w:rPr>
            </w:pPr>
            <w:r w:rsidRPr="0075647E">
              <w:rPr>
                <w:position w:val="2"/>
              </w:rPr>
              <w:sym w:font="Wingdings 2" w:char="F097"/>
            </w:r>
            <w:r w:rsidRPr="0075647E">
              <w:rPr>
                <w:position w:val="2"/>
                <w:rtl/>
              </w:rPr>
              <w:tab/>
            </w:r>
            <w:r w:rsidRPr="005A1E71">
              <w:rPr>
                <w:position w:val="2"/>
                <w:rtl/>
              </w:rPr>
              <w:t>تعزيز استراتيجية تعبئة الموارد من خلال التعاون بما في ذلك مع المؤسسات المالية والإنمائية الدولية والإقليمية</w:t>
            </w:r>
          </w:p>
          <w:p w14:paraId="4C8A691A" w14:textId="5A32B51E" w:rsidR="00E91B16" w:rsidRDefault="005A1E71" w:rsidP="008D6664">
            <w:pPr>
              <w:pStyle w:val="Tabletexte"/>
              <w:ind w:left="317" w:hanging="317"/>
              <w:jc w:val="left"/>
              <w:rPr>
                <w:position w:val="2"/>
              </w:rPr>
            </w:pPr>
            <w:r w:rsidRPr="0075647E">
              <w:rPr>
                <w:position w:val="2"/>
              </w:rPr>
              <w:sym w:font="Wingdings 2" w:char="F097"/>
            </w:r>
            <w:r w:rsidRPr="0075647E">
              <w:rPr>
                <w:position w:val="2"/>
                <w:rtl/>
              </w:rPr>
              <w:tab/>
            </w:r>
            <w:r w:rsidR="001D662C" w:rsidRPr="001D662C">
              <w:rPr>
                <w:position w:val="2"/>
                <w:rtl/>
              </w:rPr>
              <w:t>تعزيز التخطيط المشترك والتآزر والتعاون على نطاق الأمم المتحدة، وكذلك مع المؤسسات المالية والإنمائية على الصعيدين الدولي والإقليمي</w:t>
            </w:r>
          </w:p>
          <w:p w14:paraId="68FC703D" w14:textId="3FED6C4B" w:rsidR="005A1E71" w:rsidRPr="005A1E71" w:rsidRDefault="00E91B16" w:rsidP="008D6664">
            <w:pPr>
              <w:pStyle w:val="Tabletexte"/>
              <w:ind w:left="317" w:hanging="317"/>
              <w:jc w:val="left"/>
              <w:rPr>
                <w:position w:val="2"/>
              </w:rPr>
            </w:pPr>
            <w:r w:rsidRPr="0075647E">
              <w:rPr>
                <w:position w:val="2"/>
              </w:rPr>
              <w:sym w:font="Wingdings 2" w:char="F097"/>
            </w:r>
            <w:r w:rsidR="00F10980">
              <w:rPr>
                <w:position w:val="2"/>
                <w:rtl/>
              </w:rPr>
              <w:tab/>
            </w:r>
            <w:r w:rsidR="005A1E71" w:rsidRPr="005A1E71">
              <w:rPr>
                <w:position w:val="2"/>
                <w:rtl/>
              </w:rPr>
              <w:t>زيادة الدعم المقدم إلى أقل البلدان نموا</w:t>
            </w:r>
            <w:r w:rsidR="00B14B3F">
              <w:rPr>
                <w:rFonts w:hint="cs"/>
                <w:position w:val="2"/>
                <w:rtl/>
              </w:rPr>
              <w:t>ً</w:t>
            </w:r>
            <w:r w:rsidR="005A1E71" w:rsidRPr="005A1E71">
              <w:rPr>
                <w:position w:val="2"/>
                <w:rtl/>
              </w:rPr>
              <w:t xml:space="preserve"> والبلدان النامية غير الساحلية والدول الجزرية الصغيرة النامية</w:t>
            </w:r>
          </w:p>
        </w:tc>
        <w:tc>
          <w:tcPr>
            <w:tcW w:w="2618" w:type="dxa"/>
            <w:tcBorders>
              <w:top w:val="single" w:sz="4" w:space="0" w:color="44B3E1"/>
              <w:left w:val="nil"/>
              <w:bottom w:val="single" w:sz="4" w:space="0" w:color="44B3E1"/>
              <w:right w:val="nil"/>
            </w:tcBorders>
          </w:tcPr>
          <w:p w14:paraId="6033FA5D" w14:textId="2462D928" w:rsidR="005A1E71" w:rsidRPr="005A1E71" w:rsidRDefault="005A1E71" w:rsidP="008D6664">
            <w:pPr>
              <w:pStyle w:val="Tabletexte"/>
              <w:ind w:left="317" w:hanging="317"/>
              <w:jc w:val="left"/>
              <w:rPr>
                <w:position w:val="2"/>
              </w:rPr>
            </w:pPr>
            <w:r w:rsidRPr="0075647E">
              <w:rPr>
                <w:position w:val="2"/>
              </w:rPr>
              <w:sym w:font="Wingdings 2" w:char="F097"/>
            </w:r>
            <w:r w:rsidRPr="0075647E">
              <w:rPr>
                <w:position w:val="2"/>
                <w:rtl/>
              </w:rPr>
              <w:tab/>
            </w:r>
            <w:r w:rsidRPr="005A1E71">
              <w:rPr>
                <w:position w:val="2"/>
                <w:rtl/>
              </w:rPr>
              <w:t xml:space="preserve">مجموع </w:t>
            </w:r>
            <w:r w:rsidR="00556B3F">
              <w:rPr>
                <w:rFonts w:hint="cs"/>
                <w:position w:val="2"/>
                <w:rtl/>
              </w:rPr>
              <w:t>تمويل</w:t>
            </w:r>
            <w:r w:rsidRPr="005A1E71">
              <w:rPr>
                <w:position w:val="2"/>
                <w:rtl/>
              </w:rPr>
              <w:t xml:space="preserve"> المشاريع التي جمعها مكتب تنمية الاتصالات</w:t>
            </w:r>
          </w:p>
          <w:p w14:paraId="45189F12" w14:textId="092FF63B" w:rsidR="005A1E71" w:rsidRPr="005A1E71" w:rsidRDefault="005A1E71" w:rsidP="008D6664">
            <w:pPr>
              <w:pStyle w:val="Tabletexte"/>
              <w:ind w:left="317" w:hanging="317"/>
              <w:jc w:val="left"/>
              <w:rPr>
                <w:position w:val="2"/>
              </w:rPr>
            </w:pPr>
            <w:r w:rsidRPr="0075647E">
              <w:rPr>
                <w:position w:val="2"/>
              </w:rPr>
              <w:sym w:font="Wingdings 2" w:char="F097"/>
            </w:r>
            <w:r w:rsidRPr="0075647E">
              <w:rPr>
                <w:position w:val="2"/>
                <w:rtl/>
              </w:rPr>
              <w:tab/>
            </w:r>
            <w:r w:rsidR="001D662C" w:rsidRPr="001D662C">
              <w:rPr>
                <w:position w:val="2"/>
                <w:rtl/>
              </w:rPr>
              <w:t>نسبة المصادر الداخلية/الخارجية من تمويل المشاريع</w:t>
            </w:r>
          </w:p>
          <w:p w14:paraId="37848E69" w14:textId="4D64A6A9" w:rsidR="00E91B16" w:rsidRPr="001D662C" w:rsidRDefault="005A1E71" w:rsidP="008D6664">
            <w:pPr>
              <w:pStyle w:val="Tabletexte"/>
              <w:ind w:left="317" w:hanging="317"/>
              <w:jc w:val="left"/>
              <w:rPr>
                <w:position w:val="2"/>
                <w:rtl/>
                <w:lang w:bidi="ar-EG"/>
              </w:rPr>
            </w:pPr>
            <w:r w:rsidRPr="001D662C">
              <w:rPr>
                <w:position w:val="2"/>
              </w:rPr>
              <w:sym w:font="Wingdings 2" w:char="F097"/>
            </w:r>
            <w:r w:rsidRPr="001D662C">
              <w:rPr>
                <w:position w:val="2"/>
                <w:rtl/>
              </w:rPr>
              <w:tab/>
              <w:t>إجمالي عدد الشركاء المساهمين في</w:t>
            </w:r>
            <w:r w:rsidR="001D662C" w:rsidRPr="001D662C">
              <w:rPr>
                <w:rFonts w:hint="cs"/>
                <w:position w:val="2"/>
                <w:rtl/>
              </w:rPr>
              <w:t> </w:t>
            </w:r>
            <w:r w:rsidRPr="001D662C">
              <w:rPr>
                <w:position w:val="2"/>
                <w:rtl/>
              </w:rPr>
              <w:t>مشاريع قطاع تنمية الاتصالات</w:t>
            </w:r>
            <w:r w:rsidR="001D662C" w:rsidRPr="001D662C">
              <w:rPr>
                <w:rFonts w:hint="cs"/>
                <w:position w:val="2"/>
                <w:rtl/>
                <w:lang w:bidi="ar-EG"/>
              </w:rPr>
              <w:t xml:space="preserve"> بالاتحاد</w:t>
            </w:r>
          </w:p>
          <w:p w14:paraId="5C9B54D9" w14:textId="236254E5" w:rsidR="005A1E71" w:rsidRPr="00E91B16" w:rsidRDefault="00E91B16" w:rsidP="008D6664">
            <w:pPr>
              <w:pStyle w:val="Tabletexte"/>
              <w:ind w:left="317" w:hanging="317"/>
              <w:jc w:val="left"/>
              <w:rPr>
                <w:spacing w:val="-6"/>
                <w:position w:val="2"/>
              </w:rPr>
            </w:pPr>
            <w:r w:rsidRPr="00E91B16">
              <w:rPr>
                <w:spacing w:val="-6"/>
                <w:position w:val="2"/>
              </w:rPr>
              <w:sym w:font="Wingdings 2" w:char="F097"/>
            </w:r>
            <w:r w:rsidRPr="00E91B16">
              <w:rPr>
                <w:spacing w:val="-6"/>
                <w:position w:val="2"/>
                <w:rtl/>
              </w:rPr>
              <w:tab/>
            </w:r>
            <w:r w:rsidR="003F0FA3" w:rsidRPr="003F0FA3">
              <w:rPr>
                <w:spacing w:val="-6"/>
                <w:position w:val="2"/>
                <w:rtl/>
              </w:rPr>
              <w:t>عدد اتفاقات تنمية تكنولوجيا المعلومات والاتصالات الموقَّعة بين الاتحاد وشركائه لدعم تنفيذ خطة عمل قطاع تنمية الاتصالات</w:t>
            </w:r>
          </w:p>
          <w:p w14:paraId="4E12E478" w14:textId="5C70C11C" w:rsidR="005A1E71" w:rsidRPr="005A1E71" w:rsidRDefault="005A1E71" w:rsidP="008D6664">
            <w:pPr>
              <w:pStyle w:val="Tabletexte"/>
              <w:ind w:left="317" w:hanging="317"/>
              <w:jc w:val="left"/>
              <w:rPr>
                <w:position w:val="2"/>
              </w:rPr>
            </w:pPr>
            <w:r w:rsidRPr="0075647E">
              <w:rPr>
                <w:position w:val="2"/>
              </w:rPr>
              <w:sym w:font="Wingdings 2" w:char="F097"/>
            </w:r>
            <w:r w:rsidRPr="0075647E">
              <w:rPr>
                <w:position w:val="2"/>
                <w:rtl/>
              </w:rPr>
              <w:tab/>
            </w:r>
            <w:r w:rsidRPr="005A1E71">
              <w:rPr>
                <w:position w:val="2"/>
                <w:rtl/>
              </w:rPr>
              <w:t>عدد تقارير تقييم الأثر التي أعدها مكتب تنمية الاتصالات</w:t>
            </w:r>
          </w:p>
          <w:p w14:paraId="1EE60FD8" w14:textId="188DCCDF" w:rsidR="00F10980" w:rsidRDefault="005A1E71" w:rsidP="008D6664">
            <w:pPr>
              <w:pStyle w:val="Tabletexte"/>
              <w:ind w:left="317" w:hanging="317"/>
              <w:jc w:val="left"/>
              <w:rPr>
                <w:position w:val="2"/>
                <w:rtl/>
              </w:rPr>
            </w:pPr>
            <w:r w:rsidRPr="0075647E">
              <w:rPr>
                <w:position w:val="2"/>
              </w:rPr>
              <w:sym w:font="Wingdings 2" w:char="F097"/>
            </w:r>
            <w:r w:rsidRPr="0075647E">
              <w:rPr>
                <w:position w:val="2"/>
                <w:rtl/>
              </w:rPr>
              <w:tab/>
            </w:r>
            <w:r w:rsidR="003F0FA3" w:rsidRPr="003F0FA3">
              <w:rPr>
                <w:position w:val="2"/>
                <w:rtl/>
              </w:rPr>
              <w:t>عدد مشاريع قطاع تنمية الاتصالات التي تحظى بدعم مالي في أقل البلدان نمواً والبلدان النامية غير الساحلية، والدول الجزرية الصغيرة النامية</w:t>
            </w:r>
          </w:p>
          <w:p w14:paraId="161FFF74" w14:textId="7F39FDF4" w:rsidR="005A1E71" w:rsidRPr="005A1E71" w:rsidRDefault="005A1E71" w:rsidP="008D6664">
            <w:pPr>
              <w:pStyle w:val="Tabletexte"/>
              <w:ind w:left="317" w:hanging="317"/>
              <w:jc w:val="left"/>
              <w:rPr>
                <w:position w:val="2"/>
              </w:rPr>
            </w:pPr>
            <w:r w:rsidRPr="0075647E">
              <w:rPr>
                <w:position w:val="2"/>
              </w:rPr>
              <w:sym w:font="Wingdings 2" w:char="F097"/>
            </w:r>
            <w:r w:rsidRPr="0075647E">
              <w:rPr>
                <w:position w:val="2"/>
                <w:rtl/>
              </w:rPr>
              <w:tab/>
            </w:r>
            <w:r w:rsidR="003F0FA3" w:rsidRPr="003F0FA3">
              <w:rPr>
                <w:position w:val="2"/>
                <w:rtl/>
              </w:rPr>
              <w:t>مبلغ تمويل المشاريع في أقل البلدان نمواً، والبلدان النامية غير الساحلية، والدول الجزرية الصغيرة النامية</w:t>
            </w:r>
          </w:p>
        </w:tc>
        <w:tc>
          <w:tcPr>
            <w:tcW w:w="2618" w:type="dxa"/>
            <w:tcBorders>
              <w:top w:val="single" w:sz="4" w:space="0" w:color="44B3E1"/>
              <w:left w:val="nil"/>
              <w:bottom w:val="single" w:sz="4" w:space="0" w:color="44B3E1"/>
              <w:right w:val="nil"/>
            </w:tcBorders>
          </w:tcPr>
          <w:p w14:paraId="3B2252E9" w14:textId="55E64085" w:rsidR="005A1E71" w:rsidRPr="005A1E71" w:rsidRDefault="005A1E71" w:rsidP="008D6664">
            <w:pPr>
              <w:pStyle w:val="Tabletexte"/>
              <w:ind w:left="317" w:hanging="317"/>
              <w:jc w:val="left"/>
              <w:rPr>
                <w:position w:val="2"/>
              </w:rPr>
            </w:pPr>
            <w:r w:rsidRPr="0075647E">
              <w:rPr>
                <w:position w:val="2"/>
              </w:rPr>
              <w:sym w:font="Wingdings 2" w:char="F097"/>
            </w:r>
            <w:r w:rsidRPr="0075647E">
              <w:rPr>
                <w:position w:val="2"/>
                <w:rtl/>
              </w:rPr>
              <w:tab/>
            </w:r>
            <w:r w:rsidRPr="005A1E71">
              <w:rPr>
                <w:position w:val="2"/>
                <w:rtl/>
              </w:rPr>
              <w:t xml:space="preserve">منصات عقد الاجتماعات </w:t>
            </w:r>
          </w:p>
        </w:tc>
        <w:tc>
          <w:tcPr>
            <w:tcW w:w="1451" w:type="dxa"/>
            <w:tcBorders>
              <w:top w:val="single" w:sz="4" w:space="0" w:color="44B3E1"/>
              <w:left w:val="nil"/>
              <w:bottom w:val="single" w:sz="4" w:space="0" w:color="44B3E1"/>
              <w:right w:val="nil"/>
            </w:tcBorders>
            <w:noWrap/>
          </w:tcPr>
          <w:p w14:paraId="2ED37648" w14:textId="25D37326" w:rsidR="005A1E71" w:rsidRPr="005A1E71" w:rsidRDefault="00514F46" w:rsidP="008D6664">
            <w:pPr>
              <w:pStyle w:val="Tabletexte"/>
              <w:jc w:val="left"/>
              <w:rPr>
                <w:position w:val="2"/>
              </w:rPr>
            </w:pPr>
            <w:r>
              <w:rPr>
                <w:position w:val="2"/>
                <w:lang w:bidi="ar-SA"/>
              </w:rPr>
              <w:t>319 385</w:t>
            </w:r>
          </w:p>
        </w:tc>
        <w:tc>
          <w:tcPr>
            <w:tcW w:w="1451" w:type="dxa"/>
            <w:tcBorders>
              <w:top w:val="single" w:sz="4" w:space="0" w:color="44B3E1"/>
              <w:left w:val="nil"/>
              <w:bottom w:val="single" w:sz="4" w:space="0" w:color="44B3E1"/>
              <w:right w:val="nil"/>
            </w:tcBorders>
          </w:tcPr>
          <w:p w14:paraId="016D867F" w14:textId="03B698F2" w:rsidR="005A1E71" w:rsidRPr="005A1E71" w:rsidRDefault="005A1E71" w:rsidP="008D6664">
            <w:pPr>
              <w:pStyle w:val="Tabletexte"/>
              <w:jc w:val="left"/>
              <w:rPr>
                <w:position w:val="2"/>
              </w:rPr>
            </w:pPr>
            <w:r>
              <w:rPr>
                <w:position w:val="2"/>
              </w:rPr>
              <w:t>%100</w:t>
            </w:r>
          </w:p>
        </w:tc>
        <w:tc>
          <w:tcPr>
            <w:tcW w:w="1451" w:type="dxa"/>
            <w:tcBorders>
              <w:top w:val="single" w:sz="4" w:space="0" w:color="44B3E1"/>
              <w:left w:val="nil"/>
              <w:bottom w:val="single" w:sz="4" w:space="0" w:color="44B3E1"/>
              <w:right w:val="single" w:sz="4" w:space="0" w:color="44B3E1"/>
            </w:tcBorders>
            <w:noWrap/>
          </w:tcPr>
          <w:p w14:paraId="61CD5D8C" w14:textId="0CFF0904" w:rsidR="005A1E71" w:rsidRPr="005A1E71" w:rsidRDefault="00514F46" w:rsidP="008D6664">
            <w:pPr>
              <w:pStyle w:val="Tabletexte"/>
              <w:jc w:val="left"/>
              <w:rPr>
                <w:position w:val="2"/>
              </w:rPr>
            </w:pPr>
            <w:r>
              <w:rPr>
                <w:position w:val="2"/>
                <w:lang w:bidi="ar-SA"/>
              </w:rPr>
              <w:t>%8,4</w:t>
            </w:r>
          </w:p>
        </w:tc>
      </w:tr>
    </w:tbl>
    <w:p w14:paraId="4DC7BAE5" w14:textId="77777777" w:rsidR="003F0FA3" w:rsidRDefault="003F0FA3" w:rsidP="003F0FA3">
      <w:pPr>
        <w:rPr>
          <w:rtl/>
        </w:rPr>
        <w:sectPr w:rsidR="003F0FA3" w:rsidSect="00DF0BE8">
          <w:headerReference w:type="default" r:id="rId38"/>
          <w:pgSz w:w="16838" w:h="11906" w:orient="landscape" w:code="9"/>
          <w:pgMar w:top="851" w:right="567" w:bottom="567" w:left="567" w:header="624" w:footer="624" w:gutter="0"/>
          <w:cols w:space="720"/>
          <w:docGrid w:linePitch="326"/>
        </w:sectPr>
      </w:pPr>
    </w:p>
    <w:p w14:paraId="79F8813F" w14:textId="77777777" w:rsidR="003F0FA3" w:rsidRDefault="003F0FA3" w:rsidP="00082AC9">
      <w:pPr>
        <w:pStyle w:val="HeadingI"/>
        <w:rPr>
          <w:rtl/>
        </w:rPr>
      </w:pPr>
      <w:r>
        <w:rPr>
          <w:rtl/>
        </w:rPr>
        <w:lastRenderedPageBreak/>
        <w:t>أبرز النقاط في عملية التنفيذ لعام 2026: الأولوية 4 لقطاع تنمية الاتصالات - تعبئة الموارد والشراكات والتعاون الدولي</w:t>
      </w:r>
    </w:p>
    <w:p w14:paraId="4D83403A" w14:textId="77777777" w:rsidR="003F0FA3" w:rsidRDefault="003F0FA3" w:rsidP="00082AC9">
      <w:pPr>
        <w:pStyle w:val="Headingb"/>
        <w:rPr>
          <w:rtl/>
        </w:rPr>
      </w:pPr>
      <w:r>
        <w:rPr>
          <w:rtl/>
        </w:rPr>
        <w:t>الشراكات والتعاون الدولي</w:t>
      </w:r>
    </w:p>
    <w:p w14:paraId="3F43D21A" w14:textId="4F739242" w:rsidR="003F0FA3" w:rsidRDefault="003F0FA3" w:rsidP="003F0FA3">
      <w:pPr>
        <w:rPr>
          <w:rtl/>
        </w:rPr>
      </w:pPr>
      <w:r>
        <w:rPr>
          <w:rtl/>
        </w:rPr>
        <w:t xml:space="preserve">منذ يناير 2026، جرى توقيع 14 اتفاق شراكة جديدة مع مجموعة واسعة من الشركاء، بقيمة إجمالية تبلغ حوالي </w:t>
      </w:r>
      <w:r w:rsidR="00082AC9">
        <w:t>1,5</w:t>
      </w:r>
      <w:r>
        <w:rPr>
          <w:rtl/>
        </w:rPr>
        <w:t xml:space="preserve"> مليون دولار أمريكي. ويرد مزيد من التفاصيل في الصفحة الإلكترونية </w:t>
      </w:r>
      <w:hyperlink r:id="rId39" w:anchor="/ar" w:history="1">
        <w:r w:rsidRPr="00082AC9">
          <w:rPr>
            <w:rStyle w:val="Hyperlink"/>
            <w:rtl/>
          </w:rPr>
          <w:t>لشراكات قطاع تنمية الاتصالات</w:t>
        </w:r>
      </w:hyperlink>
      <w:r>
        <w:rPr>
          <w:rtl/>
        </w:rPr>
        <w:t>.</w:t>
      </w:r>
    </w:p>
    <w:p w14:paraId="4D325CC4" w14:textId="5B31B86A" w:rsidR="00336B38" w:rsidRDefault="00556B3F" w:rsidP="003F0FA3">
      <w:r w:rsidRPr="00556B3F">
        <w:rPr>
          <w:rFonts w:hint="cs"/>
          <w:b/>
          <w:bCs/>
          <w:rtl/>
        </w:rPr>
        <w:t>و</w:t>
      </w:r>
      <w:r w:rsidR="003F0FA3" w:rsidRPr="00556B3F">
        <w:rPr>
          <w:b/>
          <w:bCs/>
          <w:rtl/>
        </w:rPr>
        <w:t>في إفريقيا</w:t>
      </w:r>
      <w:r w:rsidR="003F0FA3">
        <w:rPr>
          <w:rtl/>
        </w:rPr>
        <w:t xml:space="preserve">، تُجرى حالياً الأعمال التحضيرية </w:t>
      </w:r>
      <w:hyperlink r:id="rId40" w:anchor="/ar" w:history="1">
        <w:r w:rsidR="003F0FA3" w:rsidRPr="00082AC9">
          <w:rPr>
            <w:rStyle w:val="Hyperlink"/>
            <w:rtl/>
          </w:rPr>
          <w:t>للمنتدى الإقليمي للتنمية لعام 2026 (</w:t>
        </w:r>
        <w:r w:rsidR="003F0FA3" w:rsidRPr="00082AC9">
          <w:rPr>
            <w:rStyle w:val="Hyperlink"/>
          </w:rPr>
          <w:t>RDF-AFR</w:t>
        </w:r>
        <w:r w:rsidR="003F0FA3" w:rsidRPr="00082AC9">
          <w:rPr>
            <w:rStyle w:val="Hyperlink"/>
            <w:rtl/>
          </w:rPr>
          <w:t>)</w:t>
        </w:r>
      </w:hyperlink>
      <w:r w:rsidR="003F0FA3">
        <w:rPr>
          <w:rtl/>
        </w:rPr>
        <w:t>.</w:t>
      </w:r>
      <w:r w:rsidR="00C55646">
        <w:rPr>
          <w:rtl/>
        </w:rPr>
        <w:t xml:space="preserve"> </w:t>
      </w:r>
      <w:r w:rsidR="003F0FA3">
        <w:rPr>
          <w:rtl/>
        </w:rPr>
        <w:t>ويهدف المنتدى الذي سيُعقد في فيكتوريا فولز، زمبابوي يومي 25 و26 مايو، إلى توفير منبر للمناقشة وتبادل الآراء بشأن المبادرات الجارية والمزمعة في جميع أنحاء القارة، من أجل تنفيذ المبادرات الإقليمية، والنهوض بالتوصيلية الهادفة والشاملة، ودفع عجلة التحول الرقمي المستدام، في إطار دعم جهود التنمية الاجتماعية والاقتصادية. وستُعقد جلسات لموائمة الشراكة من أجل التوصيل (</w:t>
      </w:r>
      <w:r w:rsidR="003F0FA3">
        <w:t>P2C</w:t>
      </w:r>
      <w:r w:rsidR="003F0FA3">
        <w:rPr>
          <w:rtl/>
        </w:rPr>
        <w:t>) بين البلدان والاحتياجات الإقليمية مع الشركاء المحتملين.</w:t>
      </w:r>
    </w:p>
    <w:p w14:paraId="27E011E7" w14:textId="2C768DFC" w:rsidR="003F0FA3" w:rsidRPr="004E7586" w:rsidRDefault="003F0FA3" w:rsidP="003F0FA3">
      <w:pPr>
        <w:rPr>
          <w:spacing w:val="-2"/>
          <w:rtl/>
        </w:rPr>
      </w:pPr>
      <w:r w:rsidRPr="004E7586">
        <w:rPr>
          <w:b/>
          <w:bCs/>
          <w:spacing w:val="-2"/>
          <w:rtl/>
        </w:rPr>
        <w:t>وفي آسيا والمحيط الهادئ</w:t>
      </w:r>
      <w:r w:rsidRPr="004E7586">
        <w:rPr>
          <w:spacing w:val="-2"/>
          <w:rtl/>
        </w:rPr>
        <w:t>، شارك مكتب تنمية الاتصالات في منتدى آسيا والمحيط الهادئ الثالث عشر بشأن التنمية المستدامة</w:t>
      </w:r>
      <w:r w:rsidR="00336B38" w:rsidRPr="004E7586">
        <w:rPr>
          <w:rFonts w:hint="eastAsia"/>
          <w:spacing w:val="-2"/>
          <w:rtl/>
          <w:lang w:bidi="ar-EG"/>
        </w:rPr>
        <w:t> </w:t>
      </w:r>
      <w:r w:rsidRPr="004E7586">
        <w:rPr>
          <w:spacing w:val="-2"/>
          <w:rtl/>
        </w:rPr>
        <w:t>(</w:t>
      </w:r>
      <w:r w:rsidRPr="004E7586">
        <w:rPr>
          <w:spacing w:val="-2"/>
        </w:rPr>
        <w:t>APFSD</w:t>
      </w:r>
      <w:r w:rsidRPr="004E7586">
        <w:rPr>
          <w:spacing w:val="-2"/>
          <w:rtl/>
        </w:rPr>
        <w:t>)، الذي عُقد في الفترة من 24 إلى 27 فبراير في مركز الأمم المتحدة للمؤتمرات (</w:t>
      </w:r>
      <w:r w:rsidRPr="004E7586">
        <w:rPr>
          <w:spacing w:val="-2"/>
        </w:rPr>
        <w:t>UNCC</w:t>
      </w:r>
      <w:r w:rsidRPr="004E7586">
        <w:rPr>
          <w:spacing w:val="-2"/>
          <w:rtl/>
        </w:rPr>
        <w:t xml:space="preserve">) في بانكوك، تايلاند، تحت شعار "إجراءات تحويلية ومنصفة ومبتكرة ومنسقة لخطة التنمية المستدامة لعام 2030 وأهداف التنمية المستدامة الواردة فيها من أجل مستقبل مستدام للجميع". ويدعم منتدى </w:t>
      </w:r>
      <w:r w:rsidRPr="004E7586">
        <w:rPr>
          <w:spacing w:val="-2"/>
        </w:rPr>
        <w:t>APFSD</w:t>
      </w:r>
      <w:r w:rsidRPr="004E7586">
        <w:rPr>
          <w:spacing w:val="-2"/>
          <w:rtl/>
        </w:rPr>
        <w:t>، بوصفه منتدى حكومياً دولياً سنوياً، متابعة واستعراض التقدم المحرز في سبيل تحقيق خطة التنمية المستدامة لعام 2030 وأهداف التنمية المستدامة على الصعيد الإقليمي، بهدف توجيه بلدان منطقة آسيا والمحيط الهادئ وتمكينها ودعمها لتحقيق أهداف التنمية المستدامة، وذلك عن طريق تحديد الاتجاهات الإقليمية وتبادل الممارسات الفضلى. وتماشياً مع تركيز المنتدى السياسي الرفيع المستوى لعام 2026</w:t>
      </w:r>
      <w:r w:rsidR="004E7586" w:rsidRPr="004E7586">
        <w:rPr>
          <w:rFonts w:hint="cs"/>
          <w:spacing w:val="-2"/>
          <w:rtl/>
        </w:rPr>
        <w:t> </w:t>
      </w:r>
      <w:r w:rsidRPr="004E7586">
        <w:rPr>
          <w:spacing w:val="-2"/>
          <w:rtl/>
        </w:rPr>
        <w:t>(</w:t>
      </w:r>
      <w:r w:rsidRPr="004E7586">
        <w:rPr>
          <w:spacing w:val="-2"/>
        </w:rPr>
        <w:t>HLPF</w:t>
      </w:r>
      <w:r w:rsidRPr="004E7586">
        <w:rPr>
          <w:spacing w:val="-2"/>
          <w:rtl/>
        </w:rPr>
        <w:t xml:space="preserve">)، أجرت الدورة الثالثة عشرة للمنتدى </w:t>
      </w:r>
      <w:r w:rsidRPr="004E7586">
        <w:rPr>
          <w:spacing w:val="-2"/>
        </w:rPr>
        <w:t>APFSD</w:t>
      </w:r>
      <w:r w:rsidRPr="004E7586">
        <w:rPr>
          <w:spacing w:val="-2"/>
          <w:rtl/>
        </w:rPr>
        <w:t xml:space="preserve"> تقييماً للتقدم المحرز في سبيل تحقيق أهداف التنمية المستدامة قيد الاستعراض في عام 2026: الأهداف 6 و7 و9 و11 و17. وأسهم مكتب تنمية الاتصالات، بالاشتراك مع وكالات الأمم المتحدة الأخرى، في المائدة المستديرة </w:t>
      </w:r>
      <w:r w:rsidRPr="002F6EBB">
        <w:rPr>
          <w:spacing w:val="-2"/>
          <w:rtl/>
        </w:rPr>
        <w:t>بشأن الهدف 9 من أهداف التنمية المستدامة: الصناعة والابتكار و</w:t>
      </w:r>
      <w:r w:rsidR="002F6EBB" w:rsidRPr="002F6EBB">
        <w:rPr>
          <w:rFonts w:hint="cs"/>
          <w:spacing w:val="-2"/>
          <w:rtl/>
        </w:rPr>
        <w:t>الهياكل الأساسية</w:t>
      </w:r>
      <w:r w:rsidRPr="004E7586">
        <w:rPr>
          <w:spacing w:val="-2"/>
          <w:rtl/>
        </w:rPr>
        <w:t>، من خلال إدارة المناقشة في المجموعات المصغرة حول موضوع "تعزيز الابتكار"، وقدَّم مدخلات لملف الهدف 9 من أهداف التنمية المستدامة.</w:t>
      </w:r>
    </w:p>
    <w:p w14:paraId="5A1B9851" w14:textId="0304234D" w:rsidR="003F0FA3" w:rsidRPr="000360AF" w:rsidRDefault="003F0FA3" w:rsidP="003F0FA3">
      <w:pPr>
        <w:rPr>
          <w:spacing w:val="-2"/>
          <w:rtl/>
        </w:rPr>
      </w:pPr>
      <w:r w:rsidRPr="000360AF">
        <w:rPr>
          <w:spacing w:val="-2"/>
          <w:rtl/>
        </w:rPr>
        <w:t>وشارك مكتب تنمية الاتصالات أيضاً في الاجتماع الثلاثين لفريق العمل الإقليمي المشترك بين الوكالات والمعني بتكنولوجيا المعلومات والاتصالات</w:t>
      </w:r>
      <w:r w:rsidR="000360AF" w:rsidRPr="000360AF">
        <w:rPr>
          <w:rFonts w:hint="cs"/>
          <w:spacing w:val="-2"/>
          <w:rtl/>
          <w:lang w:bidi="ar-EG"/>
        </w:rPr>
        <w:t xml:space="preserve"> </w:t>
      </w:r>
      <w:r w:rsidR="000360AF" w:rsidRPr="000360AF">
        <w:rPr>
          <w:spacing w:val="-2"/>
          <w:lang w:val="en-GB" w:bidi="ar-EG"/>
        </w:rPr>
        <w:t>(ICT)</w:t>
      </w:r>
      <w:r w:rsidRPr="000360AF">
        <w:rPr>
          <w:spacing w:val="-2"/>
          <w:rtl/>
        </w:rPr>
        <w:t>، الذي عُقد في 16 فبراير 2026 في بانكوك، تايلاند. استضافت جماعة آسيا والمحيط الهادئ للاتصالات</w:t>
      </w:r>
      <w:r w:rsidR="000360AF">
        <w:rPr>
          <w:rFonts w:hint="cs"/>
          <w:spacing w:val="-2"/>
          <w:rtl/>
        </w:rPr>
        <w:t> </w:t>
      </w:r>
      <w:r w:rsidRPr="000360AF">
        <w:rPr>
          <w:spacing w:val="-2"/>
          <w:rtl/>
        </w:rPr>
        <w:t>(</w:t>
      </w:r>
      <w:r w:rsidRPr="000360AF">
        <w:rPr>
          <w:spacing w:val="-2"/>
        </w:rPr>
        <w:t>APT</w:t>
      </w:r>
      <w:r w:rsidRPr="000360AF">
        <w:rPr>
          <w:spacing w:val="-2"/>
          <w:rtl/>
        </w:rPr>
        <w:t>) الاجتماع، الذي شاركت فيه سبع منظمات دولية (الاتحاد الدولي للاتصالات (</w:t>
      </w:r>
      <w:r w:rsidRPr="000360AF">
        <w:rPr>
          <w:spacing w:val="-2"/>
        </w:rPr>
        <w:t>ITU</w:t>
      </w:r>
      <w:r w:rsidRPr="000360AF">
        <w:rPr>
          <w:spacing w:val="-2"/>
          <w:rtl/>
        </w:rPr>
        <w:t>)، وجماعة آسيا والمحيط الهادئ للاتصالات (</w:t>
      </w:r>
      <w:r w:rsidRPr="000360AF">
        <w:rPr>
          <w:spacing w:val="-2"/>
        </w:rPr>
        <w:t>APT</w:t>
      </w:r>
      <w:r w:rsidRPr="000360AF">
        <w:rPr>
          <w:spacing w:val="-2"/>
          <w:rtl/>
        </w:rPr>
        <w:t>)، ولجنة الأمم المتحدة الاقتصادية والاجتماعية لآسيا والمحيط الهادئ (</w:t>
      </w:r>
      <w:r w:rsidRPr="000360AF">
        <w:rPr>
          <w:spacing w:val="-2"/>
        </w:rPr>
        <w:t>UNESCAP</w:t>
      </w:r>
      <w:r w:rsidRPr="000360AF">
        <w:rPr>
          <w:spacing w:val="-2"/>
          <w:rtl/>
        </w:rPr>
        <w:t>)، ومنظمة الطيران المدني الدولي (</w:t>
      </w:r>
      <w:r w:rsidRPr="000360AF">
        <w:rPr>
          <w:spacing w:val="-2"/>
        </w:rPr>
        <w:t>ICAO</w:t>
      </w:r>
      <w:r w:rsidRPr="000360AF">
        <w:rPr>
          <w:spacing w:val="-2"/>
          <w:rtl/>
        </w:rPr>
        <w:t>)، والمنظمة العالمية للأرصاد الجوية (</w:t>
      </w:r>
      <w:r w:rsidRPr="000360AF">
        <w:rPr>
          <w:spacing w:val="-2"/>
        </w:rPr>
        <w:t>WMO</w:t>
      </w:r>
      <w:r w:rsidRPr="000360AF">
        <w:rPr>
          <w:spacing w:val="-2"/>
          <w:rtl/>
        </w:rPr>
        <w:t>)، وبرنامج الأغذية العالمي (</w:t>
      </w:r>
      <w:r w:rsidRPr="000360AF">
        <w:rPr>
          <w:spacing w:val="-2"/>
        </w:rPr>
        <w:t>WFP</w:t>
      </w:r>
      <w:r w:rsidRPr="000360AF">
        <w:rPr>
          <w:spacing w:val="-2"/>
          <w:rtl/>
        </w:rPr>
        <w:t>)، وجامعة الأمم المتحدة</w:t>
      </w:r>
      <w:r w:rsidR="000360AF" w:rsidRPr="000360AF">
        <w:rPr>
          <w:rFonts w:hint="eastAsia"/>
          <w:spacing w:val="-2"/>
          <w:rtl/>
          <w:lang w:bidi="ar-EG"/>
        </w:rPr>
        <w:t> </w:t>
      </w:r>
      <w:r w:rsidRPr="000360AF">
        <w:rPr>
          <w:spacing w:val="-2"/>
        </w:rPr>
        <w:t>(UNU)</w:t>
      </w:r>
      <w:r w:rsidRPr="000360AF">
        <w:rPr>
          <w:spacing w:val="-2"/>
          <w:rtl/>
        </w:rPr>
        <w:t>) لمناقشة مبادرات تكنولوجيا المعلومات والاتصالات وفرص التعاون في هذا الصدد. وعرضت كل منظمة خلال الاجتماع التحديثات والأنشطة المخطط لها في عام 2026، وناقشت مجالات التعاون المحتملة. وسلط مكتب تنمية الاتصالات الضوء على نتائج المؤتمر العالمي لتنمية الاتصالات لعام 2025 (</w:t>
      </w:r>
      <w:r w:rsidRPr="000360AF">
        <w:rPr>
          <w:spacing w:val="-2"/>
        </w:rPr>
        <w:t>WTDC-25</w:t>
      </w:r>
      <w:r w:rsidRPr="000360AF">
        <w:rPr>
          <w:spacing w:val="-2"/>
          <w:rtl/>
        </w:rPr>
        <w:t>)، ولا سيما خطة عمل باكو والمبادرات الإقليمية لمنطقة آسيا والمحيط الهادئ للفترة 2026-2029، وعرض الأنشطة الرئيسية للمكتب الإقليمي للاتحاد لمنطقة آسيا والمحيط الهادئ.</w:t>
      </w:r>
    </w:p>
    <w:p w14:paraId="6FAF4D9D" w14:textId="308EAC5C" w:rsidR="003F0FA3" w:rsidRDefault="003F0FA3" w:rsidP="003F0FA3">
      <w:pPr>
        <w:rPr>
          <w:rtl/>
        </w:rPr>
      </w:pPr>
      <w:r>
        <w:rPr>
          <w:rtl/>
        </w:rPr>
        <w:t>علاوة</w:t>
      </w:r>
      <w:r w:rsidR="000360AF">
        <w:rPr>
          <w:rFonts w:hint="cs"/>
          <w:rtl/>
        </w:rPr>
        <w:t>ً</w:t>
      </w:r>
      <w:r>
        <w:rPr>
          <w:rtl/>
        </w:rPr>
        <w:t xml:space="preserve"> على ذلك، شارك مكتب تنمية الاتصالات وأسهم في اجتماع كبار مسؤولي الاقتصاد الرقمي لرابطة أمم جنوب شرق آسيا</w:t>
      </w:r>
      <w:r w:rsidR="000360AF">
        <w:rPr>
          <w:rFonts w:hint="cs"/>
          <w:rtl/>
        </w:rPr>
        <w:t> </w:t>
      </w:r>
      <w:r>
        <w:rPr>
          <w:rtl/>
        </w:rPr>
        <w:t>(</w:t>
      </w:r>
      <w:r>
        <w:t>ASEAN</w:t>
      </w:r>
      <w:r>
        <w:rPr>
          <w:rtl/>
        </w:rPr>
        <w:t>)، والاجتماع الوزاري الذي انعقد في هانوي، فيتنام، في الفترة من 12 إلى 18 يناير. وأقرَّ الاجتماعان بالدعم واسع النطاق الذي يقدمه مكتب تنمية الاتصالات لبلدان رابطة أمم جنوب شرق آسيا وأمانتها في مجالات محورية، مثل البنية التحتية، والاتصالات في حالات الطوارئ، والأمن السيبراني، والشمول الرقمي، وتنمية القدرات، والسياسات، والتنظيم. ووافق الاجتماعان أيضاً على مجالات التعاون الجديدة ذات الأولوية في السنوات القادمة.</w:t>
      </w:r>
    </w:p>
    <w:p w14:paraId="22806E15" w14:textId="77777777" w:rsidR="00C55646" w:rsidRDefault="003F0FA3" w:rsidP="003F0FA3">
      <w:pPr>
        <w:rPr>
          <w:rtl/>
        </w:rPr>
      </w:pPr>
      <w:r w:rsidRPr="000360AF">
        <w:rPr>
          <w:b/>
          <w:bCs/>
          <w:rtl/>
        </w:rPr>
        <w:t>وفي كومنولث الدول المستقلة</w:t>
      </w:r>
      <w:r>
        <w:rPr>
          <w:rtl/>
        </w:rPr>
        <w:t>، تقرر عقد المنتدى الإقليمي للتنمية لمنطقة كومنولث الدول المستقلة (</w:t>
      </w:r>
      <w:r>
        <w:t>RDF-CIS</w:t>
      </w:r>
      <w:r>
        <w:rPr>
          <w:rtl/>
        </w:rPr>
        <w:t>) لعام 2026 يومي 29-30 سبتمبر في دوشانبي، طاجيكستان.</w:t>
      </w:r>
    </w:p>
    <w:p w14:paraId="3ED9525C" w14:textId="77777777" w:rsidR="00C55646" w:rsidRDefault="003F0FA3" w:rsidP="003F0FA3">
      <w:pPr>
        <w:rPr>
          <w:rtl/>
        </w:rPr>
      </w:pPr>
      <w:r w:rsidRPr="000360AF">
        <w:rPr>
          <w:b/>
          <w:bCs/>
          <w:rtl/>
        </w:rPr>
        <w:t>وفي أوروبا</w:t>
      </w:r>
      <w:r>
        <w:rPr>
          <w:rtl/>
        </w:rPr>
        <w:t xml:space="preserve">، نظم مكتب تنمية الاتصالات </w:t>
      </w:r>
      <w:hyperlink r:id="rId41" w:anchor="/ar" w:history="1">
        <w:r w:rsidRPr="000360AF">
          <w:rPr>
            <w:rStyle w:val="Hyperlink"/>
            <w:rtl/>
          </w:rPr>
          <w:t>المنتدى الإقليمي للتنمية لمنطقة أوروبا (</w:t>
        </w:r>
        <w:r w:rsidRPr="000360AF">
          <w:rPr>
            <w:rStyle w:val="Hyperlink"/>
          </w:rPr>
          <w:t>RDF-EUR</w:t>
        </w:r>
        <w:r w:rsidRPr="000360AF">
          <w:rPr>
            <w:rStyle w:val="Hyperlink"/>
            <w:rtl/>
          </w:rPr>
          <w:t>)</w:t>
        </w:r>
      </w:hyperlink>
      <w:r w:rsidR="000360AF">
        <w:rPr>
          <w:rFonts w:hint="cs"/>
          <w:rtl/>
        </w:rPr>
        <w:t xml:space="preserve"> </w:t>
      </w:r>
      <w:r>
        <w:rPr>
          <w:rtl/>
        </w:rPr>
        <w:t>في إطار من التعاون الوثيق مع المؤتمر الأوروبي لإدارات البريد والاتصالات (</w:t>
      </w:r>
      <w:r>
        <w:t>CEPT</w:t>
      </w:r>
      <w:r>
        <w:rPr>
          <w:rtl/>
        </w:rPr>
        <w:t>)، حيث استضافته وزارة الصناعة والتجارة بالجمهورية التشيكية. وانعقد المنتدى بنسق هجين في 24 مارس في براغ، الجمهورية التشيكية، بالتعاقب مع اجتماع اللجنة المعنية بسياسات الاتحاد الدولي للاتصالات (</w:t>
      </w:r>
      <w:r>
        <w:t>Com-ITU</w:t>
      </w:r>
      <w:r>
        <w:rPr>
          <w:rtl/>
        </w:rPr>
        <w:t>) التابعة للمؤتمر الأوروبي لإدارات البريد والاتصالات.</w:t>
      </w:r>
      <w:r w:rsidR="00C55646">
        <w:rPr>
          <w:rtl/>
        </w:rPr>
        <w:t xml:space="preserve"> </w:t>
      </w:r>
      <w:r>
        <w:rPr>
          <w:rtl/>
        </w:rPr>
        <w:t>ورحب المنتدى الإقليمي للتنمية لمنطقة أوروبا</w:t>
      </w:r>
      <w:r w:rsidR="000360AF">
        <w:rPr>
          <w:rFonts w:hint="cs"/>
          <w:rtl/>
        </w:rPr>
        <w:t> </w:t>
      </w:r>
      <w:r>
        <w:rPr>
          <w:rtl/>
        </w:rPr>
        <w:t>(</w:t>
      </w:r>
      <w:r>
        <w:t>RDF-EUR</w:t>
      </w:r>
      <w:r>
        <w:rPr>
          <w:rtl/>
        </w:rPr>
        <w:t>) الذي يعقده الاتحاد سنوياً، وانعقد هذا العام في 24 مارس 2026 في براغ، الجمهورية التشيكية، بأكثر من 80 مشاركاً يمثلون 26 من الدول الأعضاء والمنظمات الإقليمية والوكالات المتخصصة للأمم المتحدة وأعضاء القطاعات والهيئات الأكاديمية وأصحاب المصلحة الآخرين، لمناقشة قضايا التنمية ذات الأولوية في المنطقة، وتنفيذ المبادرات الإقليمية الجديدة التي اعتمدها المؤتمر العالمي لتنمية الاتصالات لعام 2025 (</w:t>
      </w:r>
      <w:r>
        <w:t>WTDC-25</w:t>
      </w:r>
      <w:r>
        <w:rPr>
          <w:rtl/>
        </w:rPr>
        <w:t xml:space="preserve">). واختتم المنتدى الإقليمي للتنمية أعماله بوضع خارطة </w:t>
      </w:r>
      <w:r>
        <w:rPr>
          <w:rtl/>
        </w:rPr>
        <w:lastRenderedPageBreak/>
        <w:t>طريق إقليمية لتنفيذ مبادرات الاتحاد الإقليمية لمنطقة أوروبا. وستوجه خارطة الطريق عملية التنفيذ الشامل للمبادرات الإقليمية المعتمدة في خطة عمل باكو للمؤتمر العالمي لتنمية الاتصالات لعام 2025. وتركز المبادرات الإقليمية لمنطقة أوروبا على البنية التحتية الرقمية، والتحول الرقمي، والشمول الرقمي، وتنمية المهارات، والأمن السيبراني، والابتكار الرقمي. وقد نوقش ما يزيد على 60 مساهمة مكتوبة ونُظر فيها، تمهيداً لإقامة عدد من الشراكات بين أصحاب المصلحة المتعددين. وعُرضت في اجتماعات المائدة المستديرة الإقليمية للشراكة من أجل التوصيل (</w:t>
      </w:r>
      <w:r>
        <w:t>Partner2Connect</w:t>
      </w:r>
      <w:r>
        <w:rPr>
          <w:rtl/>
        </w:rPr>
        <w:t>) وأُدرجت في خارطة الطريق الإقليمية لمنطقة أوروبا.</w:t>
      </w:r>
    </w:p>
    <w:p w14:paraId="2D2717B3" w14:textId="639DFBFF" w:rsidR="003F0FA3" w:rsidRDefault="003F0FA3" w:rsidP="000360AF">
      <w:pPr>
        <w:pStyle w:val="Headingb"/>
        <w:rPr>
          <w:rtl/>
        </w:rPr>
      </w:pPr>
      <w:r>
        <w:rPr>
          <w:rtl/>
        </w:rPr>
        <w:t>مشاريع قطاع تنمية الاتصالات</w:t>
      </w:r>
    </w:p>
    <w:p w14:paraId="4FC4FC2D" w14:textId="25A83400" w:rsidR="003F0FA3" w:rsidRDefault="003F0FA3" w:rsidP="003F0FA3">
      <w:pPr>
        <w:rPr>
          <w:rtl/>
        </w:rPr>
      </w:pPr>
      <w:r>
        <w:rPr>
          <w:rtl/>
        </w:rPr>
        <w:t xml:space="preserve">منذ يناير 2026، جرى توقيع 4 مشاريع جديدة بقيمة إجمالية تبلغ </w:t>
      </w:r>
      <w:r w:rsidR="000360AF">
        <w:t>622 409</w:t>
      </w:r>
      <w:r>
        <w:rPr>
          <w:rtl/>
        </w:rPr>
        <w:t xml:space="preserve"> فرنك سويسري، بينما جرى توقيع 12 مشروعاً إضافياً بقيمة إجمالية تبلغ </w:t>
      </w:r>
      <w:r w:rsidR="000360AF">
        <w:t>612 012</w:t>
      </w:r>
      <w:r>
        <w:rPr>
          <w:rtl/>
        </w:rPr>
        <w:t xml:space="preserve"> فرنك سويسري. وتقدر القيمة الإجمالية </w:t>
      </w:r>
      <w:r w:rsidR="00556B3F">
        <w:rPr>
          <w:rFonts w:hint="cs"/>
          <w:rtl/>
        </w:rPr>
        <w:t>للتمويل</w:t>
      </w:r>
      <w:r>
        <w:rPr>
          <w:rtl/>
        </w:rPr>
        <w:t xml:space="preserve"> ال</w:t>
      </w:r>
      <w:r w:rsidR="00556B3F">
        <w:rPr>
          <w:rFonts w:hint="cs"/>
          <w:rtl/>
        </w:rPr>
        <w:t>ذ</w:t>
      </w:r>
      <w:r>
        <w:rPr>
          <w:rtl/>
        </w:rPr>
        <w:t xml:space="preserve">ي جُمع </w:t>
      </w:r>
      <w:r w:rsidR="00556B3F">
        <w:rPr>
          <w:rFonts w:hint="cs"/>
          <w:rtl/>
        </w:rPr>
        <w:t>ل</w:t>
      </w:r>
      <w:r>
        <w:rPr>
          <w:rtl/>
        </w:rPr>
        <w:t>لمشاريع حتى الآن بمبلغ</w:t>
      </w:r>
      <w:r w:rsidR="000360AF">
        <w:rPr>
          <w:rFonts w:hint="eastAsia"/>
          <w:rtl/>
          <w:lang w:bidi="ar-EG"/>
        </w:rPr>
        <w:t> </w:t>
      </w:r>
      <w:r w:rsidR="000360AF">
        <w:t>1,23</w:t>
      </w:r>
      <w:r>
        <w:rPr>
          <w:rtl/>
        </w:rPr>
        <w:t xml:space="preserve"> مليون فرنك سويسري. وعموماً، تسهم المشاريع بالفعل في تنفيذ نتائج المؤتمر العالمي لتنمية الاتصالات لعام</w:t>
      </w:r>
      <w:r w:rsidR="000360AF">
        <w:rPr>
          <w:rFonts w:hint="cs"/>
          <w:rtl/>
        </w:rPr>
        <w:t> </w:t>
      </w:r>
      <w:r>
        <w:rPr>
          <w:rtl/>
        </w:rPr>
        <w:t>2025، ولا سيما في المجالات المواضيعية المتعلقة بالشمول الرقمي، والأمن السيبراني، والسياسات والتنظيم. وتتضمن قائمة الشركاء المنخرطين في العمل هيئة تنظيم الاتصالات والبريد في السنغال، وهيئة تنظيم الاتصالات في الأردن، ومكتب المملكة المتحدة للشؤون الخارجية والكومنولث والتنمية.</w:t>
      </w:r>
    </w:p>
    <w:p w14:paraId="530B357F" w14:textId="364BC6F5" w:rsidR="003F0FA3" w:rsidRDefault="003F0FA3" w:rsidP="00391E97">
      <w:pPr>
        <w:pStyle w:val="Headingb"/>
        <w:rPr>
          <w:rtl/>
        </w:rPr>
      </w:pPr>
      <w:r>
        <w:rPr>
          <w:rtl/>
        </w:rPr>
        <w:t>لجنتا الدراسات لقطاع تنمية الاتصالات</w:t>
      </w:r>
    </w:p>
    <w:p w14:paraId="7010193C" w14:textId="77777777" w:rsidR="003F0FA3" w:rsidRDefault="003F0FA3" w:rsidP="003F0FA3">
      <w:pPr>
        <w:rPr>
          <w:rtl/>
        </w:rPr>
      </w:pPr>
      <w:r>
        <w:rPr>
          <w:rtl/>
        </w:rPr>
        <w:t>سينعقد الاجتماع الأول للجنة الدراسات 1 لقطاع تنمية الاتصالات (التوصيلية الشاملة والهادفة من أجل سد الفجوة الرقمية)</w:t>
      </w:r>
    </w:p>
    <w:p w14:paraId="48E63900" w14:textId="77777777" w:rsidR="00C55646" w:rsidRDefault="003F0FA3" w:rsidP="003F0FA3">
      <w:pPr>
        <w:rPr>
          <w:rtl/>
        </w:rPr>
      </w:pPr>
      <w:r>
        <w:rPr>
          <w:rtl/>
        </w:rPr>
        <w:t>ولجنة الدراسات 2 لقطاع تنمية الاتصالات (التحول الرقمي) في الفترة من 13 إلى 24 أبريل 2026، في مقر الاتحاد بجنيف.</w:t>
      </w:r>
    </w:p>
    <w:p w14:paraId="3716CF61" w14:textId="340BEF40" w:rsidR="003F0FA3" w:rsidRDefault="003F0FA3" w:rsidP="003F0FA3">
      <w:pPr>
        <w:rPr>
          <w:rtl/>
        </w:rPr>
      </w:pPr>
      <w:r>
        <w:rPr>
          <w:rtl/>
        </w:rPr>
        <w:t>والبنود الرئيسية التي ستُناقش في اجتماعات لجنتي الدراسات 1 و2 لقطاع تنمية الاتصالات هي على النحو التالي:</w:t>
      </w:r>
    </w:p>
    <w:p w14:paraId="011E8021" w14:textId="7AAAE7D6" w:rsidR="003F0FA3" w:rsidRPr="007B67C2" w:rsidRDefault="00391E97" w:rsidP="00391E97">
      <w:pPr>
        <w:pStyle w:val="enumlev1"/>
        <w:rPr>
          <w:spacing w:val="-2"/>
          <w:rtl/>
        </w:rPr>
      </w:pPr>
      <w:r w:rsidRPr="007B67C2">
        <w:rPr>
          <w:spacing w:val="-2"/>
        </w:rPr>
        <w:t>‒</w:t>
      </w:r>
      <w:r w:rsidR="003F0FA3" w:rsidRPr="007B67C2">
        <w:rPr>
          <w:spacing w:val="-2"/>
          <w:rtl/>
        </w:rPr>
        <w:tab/>
        <w:t>تعيين المقررين ونواب المقررين لجميع مسائل الدراسة التي وافق عليها المؤتمر العالمي لتنمية الاتصالات لعام 2025</w:t>
      </w:r>
    </w:p>
    <w:p w14:paraId="0A2614D5" w14:textId="751C4BB7" w:rsidR="003F0FA3" w:rsidRDefault="00391E97" w:rsidP="00391E97">
      <w:pPr>
        <w:pStyle w:val="enumlev1"/>
        <w:rPr>
          <w:rtl/>
        </w:rPr>
      </w:pPr>
      <w:r>
        <w:t>‒</w:t>
      </w:r>
      <w:r w:rsidR="003F0FA3">
        <w:rPr>
          <w:rtl/>
        </w:rPr>
        <w:tab/>
        <w:t>إلحاق جميع المندوبين بالعمل عن طريق جلسة تُعقد يوم 13 أبريل، بعد الظهر</w:t>
      </w:r>
    </w:p>
    <w:p w14:paraId="71F9F49C" w14:textId="45A64C83" w:rsidR="003F0FA3" w:rsidRDefault="00391E97" w:rsidP="00391E97">
      <w:pPr>
        <w:pStyle w:val="enumlev1"/>
        <w:rPr>
          <w:rtl/>
        </w:rPr>
      </w:pPr>
      <w:r>
        <w:t>‒</w:t>
      </w:r>
      <w:r w:rsidR="003F0FA3">
        <w:rPr>
          <w:rtl/>
        </w:rPr>
        <w:tab/>
        <w:t>وضع خطط العمل والموافقة عليها لكل مسألة من مسائل الدراسة، بما يتماشى مع الاختصاصات التي اعتمدها المؤتمر العالمي لتنمية الاتصالات لعام 2025</w:t>
      </w:r>
    </w:p>
    <w:p w14:paraId="1D2A0A16" w14:textId="455F2405" w:rsidR="003F0FA3" w:rsidRDefault="00391E97" w:rsidP="00391E97">
      <w:pPr>
        <w:pStyle w:val="enumlev1"/>
        <w:rPr>
          <w:rtl/>
        </w:rPr>
      </w:pPr>
      <w:r>
        <w:t>‒</w:t>
      </w:r>
      <w:r w:rsidR="003F0FA3">
        <w:rPr>
          <w:rtl/>
        </w:rPr>
        <w:tab/>
        <w:t>تحليل المساهمات الواردة</w:t>
      </w:r>
    </w:p>
    <w:p w14:paraId="70D19E2B" w14:textId="0519AB3E" w:rsidR="003F0FA3" w:rsidRDefault="00391E97" w:rsidP="00391E97">
      <w:pPr>
        <w:pStyle w:val="enumlev1"/>
        <w:rPr>
          <w:rtl/>
        </w:rPr>
      </w:pPr>
      <w:r>
        <w:t>‒</w:t>
      </w:r>
      <w:r w:rsidR="003F0FA3">
        <w:rPr>
          <w:rtl/>
        </w:rPr>
        <w:tab/>
        <w:t>إعداد بيانات الاتصال الصادرة، وتقارير اجتماعات مسائل الدراسة</w:t>
      </w:r>
    </w:p>
    <w:p w14:paraId="34ADCFF5" w14:textId="05AC30DA" w:rsidR="003F0FA3" w:rsidRDefault="00391E97" w:rsidP="00391E97">
      <w:pPr>
        <w:pStyle w:val="enumlev1"/>
        <w:rPr>
          <w:rtl/>
        </w:rPr>
      </w:pPr>
      <w:r>
        <w:t>‒</w:t>
      </w:r>
      <w:r w:rsidR="003F0FA3">
        <w:rPr>
          <w:rtl/>
        </w:rPr>
        <w:tab/>
        <w:t>التخطيط للمخرجات المؤقتة وورش العمل/الحلقات الدراسية الإلكترونية المستقبلية</w:t>
      </w:r>
    </w:p>
    <w:p w14:paraId="0B0FB90F" w14:textId="77777777" w:rsidR="003F0FA3" w:rsidRDefault="003F0FA3" w:rsidP="003F0FA3">
      <w:pPr>
        <w:rPr>
          <w:rtl/>
        </w:rPr>
      </w:pPr>
      <w:r>
        <w:rPr>
          <w:rtl/>
        </w:rPr>
        <w:t>وحتى 27 مارس، سجَّل 206 مندوبين للمشاركة في لجنة الدراسات 1، وعولجت 70 مساهمة، بينما سجَّل 181 مندوباً للمشاركة في لجنة الدراسات 2 وعولجت 36 مساهمة.</w:t>
      </w:r>
    </w:p>
    <w:p w14:paraId="753B19C3" w14:textId="77C1877E" w:rsidR="003F0FA3" w:rsidRDefault="003F0FA3" w:rsidP="003F0FA3">
      <w:pPr>
        <w:rPr>
          <w:rFonts w:hint="cs"/>
          <w:rtl/>
          <w:lang w:bidi="ar-EG"/>
        </w:rPr>
      </w:pPr>
      <w:r>
        <w:rPr>
          <w:rtl/>
        </w:rPr>
        <w:t xml:space="preserve">وتتوفر المعلومات المتعلقة باجتماعات لجنتي الدراسات (ويشمل ذلك التسجيل، وخطة إدارة الوقت، وجدول الأعمال والمساهمات) على المواقع الإلكترونية الخاصة بالاجتماعات؛ </w:t>
      </w:r>
      <w:hyperlink r:id="rId42" w:anchor="/ar" w:history="1">
        <w:r w:rsidRPr="007B67C2">
          <w:rPr>
            <w:rStyle w:val="Hyperlink"/>
            <w:rtl/>
          </w:rPr>
          <w:t>لجنة الدراسات</w:t>
        </w:r>
        <w:r w:rsidR="007B67C2">
          <w:rPr>
            <w:rStyle w:val="Hyperlink"/>
            <w:rFonts w:hint="cs"/>
            <w:rtl/>
          </w:rPr>
          <w:t xml:space="preserve"> </w:t>
        </w:r>
        <w:r w:rsidRPr="007B67C2">
          <w:rPr>
            <w:rStyle w:val="Hyperlink"/>
            <w:rtl/>
          </w:rPr>
          <w:t>1</w:t>
        </w:r>
      </w:hyperlink>
      <w:r>
        <w:rPr>
          <w:rtl/>
        </w:rPr>
        <w:t xml:space="preserve"> و</w:t>
      </w:r>
      <w:hyperlink r:id="rId43" w:anchor="/ar" w:history="1">
        <w:r w:rsidRPr="007B67C2">
          <w:rPr>
            <w:rStyle w:val="Hyperlink"/>
            <w:rtl/>
          </w:rPr>
          <w:t>لجنة الدراسات</w:t>
        </w:r>
        <w:r w:rsidR="007B67C2">
          <w:rPr>
            <w:rStyle w:val="Hyperlink"/>
            <w:rFonts w:hint="cs"/>
            <w:rtl/>
          </w:rPr>
          <w:t xml:space="preserve"> </w:t>
        </w:r>
        <w:r w:rsidRPr="007B67C2">
          <w:rPr>
            <w:rStyle w:val="Hyperlink"/>
            <w:rtl/>
          </w:rPr>
          <w:t>2</w:t>
        </w:r>
      </w:hyperlink>
      <w:r w:rsidR="00D33490" w:rsidRPr="00D33490">
        <w:rPr>
          <w:rFonts w:hint="cs"/>
          <w:rtl/>
        </w:rPr>
        <w:t>.</w:t>
      </w:r>
    </w:p>
    <w:p w14:paraId="77583936" w14:textId="36F7172E" w:rsidR="003F0FA3" w:rsidRDefault="003F0FA3" w:rsidP="003F0FA3">
      <w:pPr>
        <w:rPr>
          <w:rtl/>
        </w:rPr>
      </w:pPr>
      <w:r>
        <w:rPr>
          <w:rtl/>
        </w:rPr>
        <w:t>وستجتمع أفرقة الإدارة لكل لجنة دراسات بالحضور الشخصي يومي 13 و16 أبريل للجنة الدراسات 1، ويومي 20 و22 أبريل للجنة الدراسات 2.</w:t>
      </w:r>
    </w:p>
    <w:p w14:paraId="0E97B1B3" w14:textId="77777777" w:rsidR="003F0FA3" w:rsidRDefault="003F0FA3" w:rsidP="003F0FA3">
      <w:pPr>
        <w:rPr>
          <w:rtl/>
        </w:rPr>
      </w:pPr>
      <w:r>
        <w:rPr>
          <w:rtl/>
        </w:rPr>
        <w:t>وسيُعقد اجتماع مشترك لفريقي إدارة لجنتي الدراسات 1 و2 برئاسة مدير مكتب تنمية الاتصالات في 17 أبريل 2026.</w:t>
      </w:r>
    </w:p>
    <w:p w14:paraId="6C88D4D9" w14:textId="2D84EA01" w:rsidR="003F0FA3" w:rsidRDefault="003F0FA3" w:rsidP="003F0FA3">
      <w:pPr>
        <w:rPr>
          <w:rtl/>
          <w:lang w:bidi="ar-EG"/>
        </w:rPr>
      </w:pPr>
      <w:r>
        <w:rPr>
          <w:rtl/>
        </w:rPr>
        <w:t xml:space="preserve">يمكن الاطلاع على مزيد من المعلومات في الصفحة الإلكترونية </w:t>
      </w:r>
      <w:hyperlink r:id="rId44" w:anchor="/ar" w:history="1">
        <w:r w:rsidRPr="00FE72FB">
          <w:rPr>
            <w:rStyle w:val="Hyperlink"/>
            <w:rtl/>
          </w:rPr>
          <w:t>لفترة الدراسة 2023-2029</w:t>
        </w:r>
      </w:hyperlink>
      <w:r w:rsidR="00C55646">
        <w:rPr>
          <w:rFonts w:hint="cs"/>
          <w:rtl/>
          <w:lang w:bidi="ar-EG"/>
        </w:rPr>
        <w:t>.</w:t>
      </w:r>
    </w:p>
    <w:p w14:paraId="585A8B35" w14:textId="77777777" w:rsidR="003F0FA3" w:rsidRDefault="003F0FA3" w:rsidP="00FE72FB">
      <w:pPr>
        <w:pStyle w:val="Headingb"/>
        <w:rPr>
          <w:rtl/>
        </w:rPr>
      </w:pPr>
      <w:r>
        <w:rPr>
          <w:rtl/>
        </w:rPr>
        <w:t>التحالف الرقمي للشراكة من أجل التوصيل (</w:t>
      </w:r>
      <w:r>
        <w:t>Partner2Connect</w:t>
      </w:r>
      <w:r>
        <w:rPr>
          <w:rtl/>
        </w:rPr>
        <w:t>)</w:t>
      </w:r>
    </w:p>
    <w:p w14:paraId="249B4C31" w14:textId="7AA82C1A" w:rsidR="003F0FA3" w:rsidRPr="00FE72FB" w:rsidRDefault="003F0FA3" w:rsidP="003F0FA3">
      <w:pPr>
        <w:rPr>
          <w:spacing w:val="-5"/>
          <w:rtl/>
        </w:rPr>
      </w:pPr>
      <w:r w:rsidRPr="00FE72FB">
        <w:rPr>
          <w:spacing w:val="-5"/>
          <w:rtl/>
        </w:rPr>
        <w:t>في المنتدى الإقليمي للتنمية لمنطقة أوروبا، الذي عُقد في مارس في براغ، الجمهورية التشيكية، انعقدت مائدتان مستديرتان لمواءمة الشراكة من أجل التوصيل، استندتا إلى مناقشات الاجتماعات وأكثر من 60 مساهمة وردت من أصحاب المصلحة استجابةً للمشاورات الإقليمية، ما يتيح الفرصة للمساهمة في أنشطة الاتحاد على الصعيد الإقليمي وإبراز الاحتياجات الاستراتيجية للمنطقة خلال فترة التنفيذ</w:t>
      </w:r>
      <w:r w:rsidR="00FE72FB">
        <w:rPr>
          <w:rFonts w:hint="cs"/>
          <w:spacing w:val="-5"/>
          <w:rtl/>
        </w:rPr>
        <w:t> </w:t>
      </w:r>
      <w:r w:rsidRPr="00FE72FB">
        <w:rPr>
          <w:spacing w:val="-5"/>
          <w:rtl/>
        </w:rPr>
        <w:t>(2026-2029). وتمخضت عملية المواءمة عن وضع خارطة طريق إقليمية لتنفيذ مبادرات الاتحاد الإقليمية لمنطقة أوروبا.</w:t>
      </w:r>
    </w:p>
    <w:p w14:paraId="49F13425" w14:textId="7D17516F" w:rsidR="003F0FA3" w:rsidRDefault="003F0FA3" w:rsidP="00FE72FB">
      <w:pPr>
        <w:rPr>
          <w:rtl/>
        </w:rPr>
      </w:pPr>
      <w:r>
        <w:rPr>
          <w:rtl/>
        </w:rPr>
        <w:t>وسيُعقد المزيد من جلسات مواءمة الشراكة من أجل التوصيل في المنتديات الإقليمية القادمة للتنمية لعام 2026 في مختلف المناطق، لدعم تنفيذ المبادرات الإقليمية التي اعتمدها المؤتمر العالمي لتنمية الاتصالات لعام 2025.</w:t>
      </w:r>
    </w:p>
    <w:p w14:paraId="10196D9B" w14:textId="77777777" w:rsidR="003F0FA3" w:rsidRDefault="003F0FA3" w:rsidP="003F0FA3">
      <w:pPr>
        <w:rPr>
          <w:rtl/>
        </w:rPr>
        <w:sectPr w:rsidR="003F0FA3" w:rsidSect="003F0FA3">
          <w:headerReference w:type="default" r:id="rId45"/>
          <w:footerReference w:type="default" r:id="rId46"/>
          <w:pgSz w:w="11906" w:h="16838" w:code="9"/>
          <w:pgMar w:top="1418" w:right="1134" w:bottom="1134" w:left="1134" w:header="624" w:footer="624" w:gutter="0"/>
          <w:cols w:space="720"/>
          <w:docGrid w:linePitch="326"/>
        </w:sectPr>
      </w:pPr>
    </w:p>
    <w:p w14:paraId="2F92E5DC" w14:textId="2586B4D4" w:rsidR="00C23B5E" w:rsidRDefault="004A027F" w:rsidP="004A027F">
      <w:pPr>
        <w:pStyle w:val="Heading2"/>
      </w:pPr>
      <w:r>
        <w:lastRenderedPageBreak/>
        <w:t>5.3</w:t>
      </w:r>
      <w:r w:rsidR="00C23B5E" w:rsidRPr="00C23B5E">
        <w:rPr>
          <w:rtl/>
        </w:rPr>
        <w:tab/>
        <w:t xml:space="preserve">الأولوية 5 لقطاع تنمية الاتصالات: الاتصالات/تكنولوجيا المعلومات والاتصالات الشاملة والآمنة </w:t>
      </w:r>
      <w:r w:rsidR="00715546">
        <w:rPr>
          <w:rFonts w:hint="cs"/>
          <w:rtl/>
        </w:rPr>
        <w:t xml:space="preserve">والمأمونة </w:t>
      </w:r>
      <w:r w:rsidR="00C23B5E" w:rsidRPr="00C23B5E">
        <w:rPr>
          <w:rtl/>
        </w:rPr>
        <w:t>لتحقيق التنمية المستدامة</w:t>
      </w:r>
    </w:p>
    <w:tbl>
      <w:tblPr>
        <w:bidiVisual/>
        <w:tblW w:w="4990" w:type="pct"/>
        <w:tblInd w:w="15" w:type="dxa"/>
        <w:tblLayout w:type="fixed"/>
        <w:tblLook w:val="04A0" w:firstRow="1" w:lastRow="0" w:firstColumn="1" w:lastColumn="0" w:noHBand="0" w:noVBand="1"/>
      </w:tblPr>
      <w:tblGrid>
        <w:gridCol w:w="1868"/>
        <w:gridCol w:w="2957"/>
        <w:gridCol w:w="2959"/>
        <w:gridCol w:w="2959"/>
        <w:gridCol w:w="1640"/>
        <w:gridCol w:w="1640"/>
        <w:gridCol w:w="1640"/>
      </w:tblGrid>
      <w:tr w:rsidR="004A027F" w:rsidRPr="005A1E71" w14:paraId="417D5536" w14:textId="77777777" w:rsidTr="00715546">
        <w:trPr>
          <w:tblHeader/>
        </w:trPr>
        <w:tc>
          <w:tcPr>
            <w:tcW w:w="1868" w:type="dxa"/>
            <w:tcBorders>
              <w:top w:val="single" w:sz="4" w:space="0" w:color="44B3E1"/>
              <w:left w:val="single" w:sz="4" w:space="0" w:color="44B3E1"/>
              <w:bottom w:val="single" w:sz="4" w:space="0" w:color="44B3E1"/>
              <w:right w:val="nil"/>
            </w:tcBorders>
            <w:shd w:val="clear" w:color="auto" w:fill="156082"/>
            <w:noWrap/>
            <w:vAlign w:val="center"/>
            <w:hideMark/>
          </w:tcPr>
          <w:p w14:paraId="19EAA668" w14:textId="77777777" w:rsidR="004A027F" w:rsidRPr="005A1E71" w:rsidRDefault="004A027F" w:rsidP="00EB0BE9">
            <w:pPr>
              <w:pStyle w:val="TableHead"/>
              <w:rPr>
                <w:color w:val="FFFFFF" w:themeColor="background1"/>
                <w:position w:val="2"/>
                <w:lang w:val="ar-SA" w:bidi="ar-EG"/>
              </w:rPr>
            </w:pPr>
            <w:r w:rsidRPr="005A1E71">
              <w:rPr>
                <w:color w:val="FFFFFF" w:themeColor="background1"/>
                <w:position w:val="2"/>
                <w:rtl/>
              </w:rPr>
              <w:t>الأولوية/الموضوع</w:t>
            </w:r>
          </w:p>
        </w:tc>
        <w:tc>
          <w:tcPr>
            <w:tcW w:w="2959" w:type="dxa"/>
            <w:tcBorders>
              <w:top w:val="single" w:sz="4" w:space="0" w:color="44B3E1"/>
              <w:left w:val="nil"/>
              <w:bottom w:val="single" w:sz="4" w:space="0" w:color="44B3E1"/>
              <w:right w:val="nil"/>
            </w:tcBorders>
            <w:shd w:val="clear" w:color="auto" w:fill="156082"/>
            <w:noWrap/>
            <w:vAlign w:val="center"/>
            <w:hideMark/>
          </w:tcPr>
          <w:p w14:paraId="59FEB527" w14:textId="4AE792E6" w:rsidR="004A027F" w:rsidRPr="005A1E71" w:rsidRDefault="002F6EBB" w:rsidP="00EB0BE9">
            <w:pPr>
              <w:pStyle w:val="TableHead"/>
              <w:rPr>
                <w:color w:val="FFFFFF" w:themeColor="background1"/>
                <w:position w:val="2"/>
                <w:lang w:val="ar-SA" w:bidi="ar-EG"/>
              </w:rPr>
            </w:pPr>
            <w:r>
              <w:rPr>
                <w:rFonts w:hint="cs"/>
                <w:color w:val="FFFFFF" w:themeColor="background1"/>
                <w:position w:val="2"/>
                <w:rtl/>
              </w:rPr>
              <w:t>المحصلات</w:t>
            </w:r>
          </w:p>
        </w:tc>
        <w:tc>
          <w:tcPr>
            <w:tcW w:w="2961" w:type="dxa"/>
            <w:tcBorders>
              <w:top w:val="single" w:sz="4" w:space="0" w:color="44B3E1"/>
              <w:left w:val="nil"/>
              <w:bottom w:val="single" w:sz="4" w:space="0" w:color="44B3E1"/>
              <w:right w:val="nil"/>
            </w:tcBorders>
            <w:shd w:val="clear" w:color="auto" w:fill="156082"/>
            <w:noWrap/>
            <w:vAlign w:val="center"/>
            <w:hideMark/>
          </w:tcPr>
          <w:p w14:paraId="1B787D0D" w14:textId="35644D8D" w:rsidR="004A027F" w:rsidRPr="005A1E71" w:rsidRDefault="004A027F" w:rsidP="00EB0BE9">
            <w:pPr>
              <w:pStyle w:val="TableHead"/>
              <w:rPr>
                <w:color w:val="FFFFFF" w:themeColor="background1"/>
                <w:position w:val="2"/>
                <w:lang w:val="ar-SA" w:bidi="ar-EG"/>
              </w:rPr>
            </w:pPr>
            <w:r w:rsidRPr="005A1E71">
              <w:rPr>
                <w:color w:val="FFFFFF" w:themeColor="background1"/>
                <w:position w:val="2"/>
                <w:rtl/>
              </w:rPr>
              <w:t xml:space="preserve">مؤشرات </w:t>
            </w:r>
            <w:r w:rsidR="002F6EBB">
              <w:rPr>
                <w:rFonts w:hint="cs"/>
                <w:color w:val="FFFFFF" w:themeColor="background1"/>
                <w:position w:val="2"/>
                <w:rtl/>
              </w:rPr>
              <w:t>المحصلات</w:t>
            </w:r>
          </w:p>
        </w:tc>
        <w:tc>
          <w:tcPr>
            <w:tcW w:w="2961" w:type="dxa"/>
            <w:tcBorders>
              <w:top w:val="single" w:sz="4" w:space="0" w:color="44B3E1"/>
              <w:left w:val="nil"/>
              <w:bottom w:val="single" w:sz="4" w:space="0" w:color="44B3E1"/>
              <w:right w:val="nil"/>
            </w:tcBorders>
            <w:shd w:val="clear" w:color="auto" w:fill="156082"/>
            <w:vAlign w:val="center"/>
            <w:hideMark/>
          </w:tcPr>
          <w:p w14:paraId="78621411" w14:textId="316F081F" w:rsidR="004A027F" w:rsidRPr="005A1E71" w:rsidRDefault="005443F3" w:rsidP="00EB0BE9">
            <w:pPr>
              <w:pStyle w:val="TableHead"/>
              <w:rPr>
                <w:color w:val="FFFFFF" w:themeColor="background1"/>
                <w:position w:val="2"/>
                <w:lang w:val="ar-SA" w:bidi="ar-EG"/>
              </w:rPr>
            </w:pPr>
            <w:r>
              <w:rPr>
                <w:rFonts w:hint="cs"/>
                <w:color w:val="FFFFFF" w:themeColor="background1"/>
                <w:position w:val="2"/>
                <w:rtl/>
              </w:rPr>
              <w:t>النواتج</w:t>
            </w:r>
            <w:r w:rsidR="004A027F" w:rsidRPr="005A1E71">
              <w:rPr>
                <w:color w:val="FFFFFF" w:themeColor="background1"/>
                <w:position w:val="2"/>
              </w:rPr>
              <w:br/>
            </w:r>
            <w:r w:rsidR="004A027F" w:rsidRPr="005A1E71">
              <w:rPr>
                <w:color w:val="FFFFFF" w:themeColor="background1"/>
                <w:position w:val="2"/>
                <w:rtl/>
              </w:rPr>
              <w:t xml:space="preserve">(منتجات وخدمات قطاع تنمية الاتصالات </w:t>
            </w:r>
            <w:r w:rsidR="00E1171F">
              <w:rPr>
                <w:rFonts w:hint="cs"/>
                <w:color w:val="FFFFFF" w:themeColor="background1"/>
                <w:position w:val="2"/>
                <w:rtl/>
              </w:rPr>
              <w:t xml:space="preserve">في </w:t>
            </w:r>
            <w:r w:rsidR="004A027F" w:rsidRPr="005A1E71">
              <w:rPr>
                <w:color w:val="FFFFFF" w:themeColor="background1"/>
                <w:position w:val="2"/>
                <w:rtl/>
              </w:rPr>
              <w:t>الاتحاد)</w:t>
            </w:r>
          </w:p>
        </w:tc>
        <w:tc>
          <w:tcPr>
            <w:tcW w:w="1641" w:type="dxa"/>
            <w:tcBorders>
              <w:top w:val="single" w:sz="4" w:space="0" w:color="44B3E1"/>
              <w:left w:val="nil"/>
              <w:bottom w:val="single" w:sz="4" w:space="0" w:color="44B3E1"/>
              <w:right w:val="nil"/>
            </w:tcBorders>
            <w:shd w:val="clear" w:color="auto" w:fill="156082"/>
            <w:vAlign w:val="center"/>
            <w:hideMark/>
          </w:tcPr>
          <w:p w14:paraId="65A8C0CB" w14:textId="77777777" w:rsidR="004A027F" w:rsidRPr="005A1E71" w:rsidRDefault="004A027F" w:rsidP="00EB0BE9">
            <w:pPr>
              <w:pStyle w:val="TableHead"/>
              <w:rPr>
                <w:color w:val="FFFFFF" w:themeColor="background1"/>
                <w:position w:val="2"/>
                <w:lang w:val="ar-SA" w:bidi="ar-EG"/>
              </w:rPr>
            </w:pPr>
            <w:r w:rsidRPr="005A1E71">
              <w:rPr>
                <w:color w:val="FFFFFF" w:themeColor="background1"/>
                <w:position w:val="2"/>
                <w:rtl/>
              </w:rPr>
              <w:t>ميزانية عام 2026 (بالفرنكات السويسرية)</w:t>
            </w:r>
          </w:p>
        </w:tc>
        <w:tc>
          <w:tcPr>
            <w:tcW w:w="1641" w:type="dxa"/>
            <w:tcBorders>
              <w:top w:val="single" w:sz="4" w:space="0" w:color="44B3E1"/>
              <w:left w:val="nil"/>
              <w:bottom w:val="single" w:sz="4" w:space="0" w:color="44B3E1"/>
              <w:right w:val="nil"/>
            </w:tcBorders>
            <w:shd w:val="clear" w:color="auto" w:fill="156082"/>
            <w:vAlign w:val="center"/>
            <w:hideMark/>
          </w:tcPr>
          <w:p w14:paraId="15F905E3" w14:textId="385CFDBD" w:rsidR="004A027F" w:rsidRPr="005A1E71" w:rsidRDefault="004A027F" w:rsidP="00EB0BE9">
            <w:pPr>
              <w:pStyle w:val="TableHead"/>
              <w:rPr>
                <w:color w:val="FFFFFF" w:themeColor="background1"/>
                <w:position w:val="2"/>
                <w:lang w:val="ar-SA" w:bidi="ar-EG"/>
              </w:rPr>
            </w:pPr>
            <w:r w:rsidRPr="005A1E71">
              <w:rPr>
                <w:color w:val="FFFFFF" w:themeColor="background1"/>
                <w:position w:val="2"/>
                <w:rtl/>
              </w:rPr>
              <w:t>النسبة المئوية للأولوية/</w:t>
            </w:r>
            <w:r w:rsidR="00E1171F">
              <w:rPr>
                <w:rFonts w:hint="cs"/>
                <w:color w:val="FFFFFF" w:themeColor="background1"/>
                <w:position w:val="2"/>
                <w:rtl/>
              </w:rPr>
              <w:t>إجمالي عامل التمكين</w:t>
            </w:r>
          </w:p>
        </w:tc>
        <w:tc>
          <w:tcPr>
            <w:tcW w:w="1641" w:type="dxa"/>
            <w:tcBorders>
              <w:top w:val="single" w:sz="4" w:space="0" w:color="44B3E1"/>
              <w:left w:val="nil"/>
              <w:bottom w:val="single" w:sz="4" w:space="0" w:color="44B3E1"/>
              <w:right w:val="single" w:sz="4" w:space="0" w:color="44B3E1"/>
            </w:tcBorders>
            <w:shd w:val="clear" w:color="auto" w:fill="156082"/>
            <w:vAlign w:val="center"/>
            <w:hideMark/>
          </w:tcPr>
          <w:p w14:paraId="0D639CA6" w14:textId="77777777" w:rsidR="004A027F" w:rsidRPr="005A1E71" w:rsidRDefault="004A027F" w:rsidP="00EB0BE9">
            <w:pPr>
              <w:pStyle w:val="TableHead"/>
              <w:rPr>
                <w:color w:val="FFFFFF" w:themeColor="background1"/>
                <w:position w:val="2"/>
                <w:lang w:val="ar-SA" w:bidi="ar-EG"/>
              </w:rPr>
            </w:pPr>
            <w:r w:rsidRPr="005A1E71">
              <w:rPr>
                <w:color w:val="FFFFFF" w:themeColor="background1"/>
                <w:position w:val="2"/>
                <w:rtl/>
              </w:rPr>
              <w:t xml:space="preserve">النسبة المئوية من إجمالي الميزانية </w:t>
            </w:r>
          </w:p>
        </w:tc>
      </w:tr>
      <w:tr w:rsidR="00715546" w:rsidRPr="005A1E71" w14:paraId="20A4835E" w14:textId="77777777" w:rsidTr="00715546">
        <w:tc>
          <w:tcPr>
            <w:tcW w:w="10749" w:type="dxa"/>
            <w:gridSpan w:val="4"/>
            <w:tcBorders>
              <w:top w:val="single" w:sz="4" w:space="0" w:color="44B3E1"/>
              <w:left w:val="single" w:sz="4" w:space="0" w:color="44B3E1"/>
              <w:bottom w:val="single" w:sz="4" w:space="0" w:color="44B3E1"/>
              <w:right w:val="nil"/>
            </w:tcBorders>
            <w:shd w:val="clear" w:color="auto" w:fill="C0E6F5"/>
            <w:vAlign w:val="bottom"/>
          </w:tcPr>
          <w:p w14:paraId="188D5480" w14:textId="39DF512C" w:rsidR="00715546" w:rsidRPr="005A1E71" w:rsidRDefault="00715546" w:rsidP="008D6664">
            <w:pPr>
              <w:pStyle w:val="Tabletexte"/>
              <w:jc w:val="left"/>
              <w:rPr>
                <w:b/>
                <w:bCs/>
                <w:position w:val="2"/>
              </w:rPr>
            </w:pPr>
            <w:r w:rsidRPr="004A027F">
              <w:rPr>
                <w:b/>
                <w:bCs/>
                <w:position w:val="2"/>
                <w:rtl/>
              </w:rPr>
              <w:t xml:space="preserve">الاتصالات/تكنولوجيا المعلومات والاتصالات الشاملة والآمنة </w:t>
            </w:r>
            <w:r>
              <w:rPr>
                <w:rFonts w:hint="cs"/>
                <w:b/>
                <w:bCs/>
                <w:position w:val="2"/>
                <w:rtl/>
              </w:rPr>
              <w:t xml:space="preserve">والمأمونة </w:t>
            </w:r>
            <w:r w:rsidRPr="004A027F">
              <w:rPr>
                <w:b/>
                <w:bCs/>
                <w:position w:val="2"/>
                <w:rtl/>
              </w:rPr>
              <w:t>لتحقيق التنمية المستدامة</w:t>
            </w:r>
            <w:r>
              <w:rPr>
                <w:rFonts w:hint="cs"/>
                <w:b/>
                <w:bCs/>
                <w:position w:val="2"/>
                <w:rtl/>
              </w:rPr>
              <w:t xml:space="preserve"> (إجمالاً)</w:t>
            </w:r>
          </w:p>
        </w:tc>
        <w:tc>
          <w:tcPr>
            <w:tcW w:w="1641" w:type="dxa"/>
            <w:tcBorders>
              <w:top w:val="single" w:sz="4" w:space="0" w:color="44B3E1"/>
              <w:left w:val="nil"/>
              <w:bottom w:val="single" w:sz="4" w:space="0" w:color="44B3E1"/>
              <w:right w:val="nil"/>
            </w:tcBorders>
            <w:shd w:val="clear" w:color="auto" w:fill="C0E6F5"/>
            <w:noWrap/>
            <w:vAlign w:val="center"/>
          </w:tcPr>
          <w:p w14:paraId="00EF82E7" w14:textId="49474123" w:rsidR="00715546" w:rsidRPr="005A1E71" w:rsidRDefault="00715546" w:rsidP="008D6664">
            <w:pPr>
              <w:pStyle w:val="Tabletexte"/>
              <w:jc w:val="left"/>
              <w:rPr>
                <w:b/>
                <w:bCs/>
                <w:position w:val="2"/>
              </w:rPr>
            </w:pPr>
            <w:r>
              <w:rPr>
                <w:b/>
                <w:bCs/>
                <w:position w:val="2"/>
              </w:rPr>
              <w:t>736 500</w:t>
            </w:r>
          </w:p>
        </w:tc>
        <w:tc>
          <w:tcPr>
            <w:tcW w:w="1641" w:type="dxa"/>
            <w:tcBorders>
              <w:top w:val="single" w:sz="4" w:space="0" w:color="44B3E1"/>
              <w:left w:val="nil"/>
              <w:bottom w:val="single" w:sz="4" w:space="0" w:color="44B3E1"/>
              <w:right w:val="nil"/>
            </w:tcBorders>
            <w:shd w:val="clear" w:color="auto" w:fill="C0E6F5"/>
            <w:vAlign w:val="center"/>
          </w:tcPr>
          <w:p w14:paraId="7F7D8792" w14:textId="77777777" w:rsidR="00715546" w:rsidRPr="005A1E71" w:rsidRDefault="00715546" w:rsidP="008D6664">
            <w:pPr>
              <w:pStyle w:val="Tabletexte"/>
              <w:jc w:val="left"/>
              <w:rPr>
                <w:b/>
                <w:bCs/>
                <w:position w:val="2"/>
              </w:rPr>
            </w:pPr>
          </w:p>
        </w:tc>
        <w:tc>
          <w:tcPr>
            <w:tcW w:w="1641" w:type="dxa"/>
            <w:tcBorders>
              <w:top w:val="single" w:sz="4" w:space="0" w:color="44B3E1"/>
              <w:left w:val="nil"/>
              <w:bottom w:val="single" w:sz="4" w:space="0" w:color="44B3E1"/>
              <w:right w:val="single" w:sz="4" w:space="0" w:color="44B3E1"/>
            </w:tcBorders>
            <w:shd w:val="clear" w:color="auto" w:fill="C0E6F5"/>
            <w:noWrap/>
            <w:vAlign w:val="center"/>
          </w:tcPr>
          <w:p w14:paraId="0DC6D9F7" w14:textId="7E169F92" w:rsidR="00715546" w:rsidRPr="005A1E71" w:rsidRDefault="00715546" w:rsidP="008D6664">
            <w:pPr>
              <w:pStyle w:val="Tabletexte"/>
              <w:jc w:val="left"/>
              <w:rPr>
                <w:b/>
                <w:bCs/>
                <w:position w:val="2"/>
              </w:rPr>
            </w:pPr>
            <w:r>
              <w:rPr>
                <w:b/>
                <w:bCs/>
                <w:position w:val="2"/>
              </w:rPr>
              <w:t>%19,32</w:t>
            </w:r>
          </w:p>
        </w:tc>
      </w:tr>
      <w:tr w:rsidR="004A027F" w:rsidRPr="005A1E71" w14:paraId="6F626BA4" w14:textId="77777777" w:rsidTr="00715546">
        <w:tc>
          <w:tcPr>
            <w:tcW w:w="1868" w:type="dxa"/>
            <w:tcBorders>
              <w:top w:val="single" w:sz="4" w:space="0" w:color="44B3E1"/>
              <w:left w:val="single" w:sz="4" w:space="0" w:color="44B3E1"/>
              <w:bottom w:val="single" w:sz="4" w:space="0" w:color="44B3E1"/>
              <w:right w:val="nil"/>
            </w:tcBorders>
          </w:tcPr>
          <w:p w14:paraId="62506E2F" w14:textId="7E9EB348" w:rsidR="004A027F" w:rsidRPr="002C3875" w:rsidRDefault="004A027F" w:rsidP="008D6664">
            <w:pPr>
              <w:pStyle w:val="Tabletexte"/>
              <w:spacing w:line="240" w:lineRule="exact"/>
              <w:jc w:val="left"/>
              <w:rPr>
                <w:b/>
                <w:bCs/>
                <w:spacing w:val="-6"/>
                <w:position w:val="2"/>
                <w:lang w:val="ar-SA"/>
              </w:rPr>
            </w:pPr>
            <w:r w:rsidRPr="002C3875">
              <w:rPr>
                <w:b/>
                <w:bCs/>
                <w:rtl/>
              </w:rPr>
              <w:t>الأمن السيبراني</w:t>
            </w:r>
          </w:p>
        </w:tc>
        <w:tc>
          <w:tcPr>
            <w:tcW w:w="2959" w:type="dxa"/>
            <w:tcBorders>
              <w:top w:val="single" w:sz="4" w:space="0" w:color="44B3E1"/>
              <w:left w:val="nil"/>
              <w:bottom w:val="single" w:sz="4" w:space="0" w:color="44B3E1"/>
              <w:right w:val="nil"/>
            </w:tcBorders>
          </w:tcPr>
          <w:p w14:paraId="79187A95" w14:textId="1B6FB943" w:rsidR="00F10980" w:rsidRDefault="004A027F" w:rsidP="008D6664">
            <w:pPr>
              <w:pStyle w:val="Tabletexte"/>
              <w:spacing w:line="240" w:lineRule="exact"/>
              <w:ind w:left="317" w:hanging="317"/>
              <w:jc w:val="left"/>
              <w:rPr>
                <w:position w:val="2"/>
                <w:rtl/>
              </w:rPr>
            </w:pPr>
            <w:r w:rsidRPr="0075647E">
              <w:rPr>
                <w:position w:val="2"/>
              </w:rPr>
              <w:sym w:font="Wingdings 2" w:char="F097"/>
            </w:r>
            <w:r w:rsidRPr="0075647E">
              <w:rPr>
                <w:position w:val="2"/>
                <w:rtl/>
              </w:rPr>
              <w:tab/>
            </w:r>
            <w:r w:rsidRPr="004A027F">
              <w:rPr>
                <w:position w:val="2"/>
                <w:rtl/>
              </w:rPr>
              <w:t xml:space="preserve">زيادة </w:t>
            </w:r>
            <w:r w:rsidR="00E1171F">
              <w:rPr>
                <w:rFonts w:hint="cs"/>
                <w:position w:val="2"/>
                <w:rtl/>
              </w:rPr>
              <w:t>المعرفة والوعي</w:t>
            </w:r>
            <w:r w:rsidRPr="004A027F">
              <w:rPr>
                <w:position w:val="2"/>
                <w:rtl/>
              </w:rPr>
              <w:t xml:space="preserve"> بقضايا الأمن السيبراني</w:t>
            </w:r>
          </w:p>
          <w:p w14:paraId="6A8DD392" w14:textId="7AFA8DA2" w:rsidR="004A027F" w:rsidRPr="004A027F" w:rsidRDefault="004A027F" w:rsidP="008D6664">
            <w:pPr>
              <w:pStyle w:val="Tabletexte"/>
              <w:spacing w:line="240" w:lineRule="exact"/>
              <w:ind w:left="317" w:hanging="317"/>
              <w:jc w:val="left"/>
              <w:rPr>
                <w:position w:val="2"/>
              </w:rPr>
            </w:pPr>
            <w:r w:rsidRPr="0075647E">
              <w:rPr>
                <w:position w:val="2"/>
              </w:rPr>
              <w:sym w:font="Wingdings 2" w:char="F097"/>
            </w:r>
            <w:r w:rsidRPr="0075647E">
              <w:rPr>
                <w:position w:val="2"/>
                <w:rtl/>
              </w:rPr>
              <w:tab/>
            </w:r>
            <w:r w:rsidRPr="004A027F">
              <w:rPr>
                <w:position w:val="2"/>
                <w:rtl/>
              </w:rPr>
              <w:t>تعزيز القدرة على الاستجابة للحوادث والهجمات السيبرانية</w:t>
            </w:r>
          </w:p>
          <w:p w14:paraId="0610D36E" w14:textId="67341AC9" w:rsidR="004A027F" w:rsidRPr="005A1E71" w:rsidRDefault="004A027F" w:rsidP="008D6664">
            <w:pPr>
              <w:pStyle w:val="Tabletexte"/>
              <w:spacing w:line="240" w:lineRule="exact"/>
              <w:ind w:left="317" w:hanging="317"/>
              <w:jc w:val="left"/>
              <w:rPr>
                <w:position w:val="2"/>
              </w:rPr>
            </w:pPr>
            <w:r w:rsidRPr="0075647E">
              <w:rPr>
                <w:position w:val="2"/>
              </w:rPr>
              <w:sym w:font="Wingdings 2" w:char="F097"/>
            </w:r>
            <w:r w:rsidRPr="0075647E">
              <w:rPr>
                <w:position w:val="2"/>
                <w:rtl/>
              </w:rPr>
              <w:tab/>
            </w:r>
            <w:r w:rsidRPr="004A027F">
              <w:rPr>
                <w:spacing w:val="-6"/>
                <w:position w:val="2"/>
                <w:rtl/>
              </w:rPr>
              <w:t xml:space="preserve">زيادة حماية الأطفال على </w:t>
            </w:r>
            <w:r w:rsidRPr="004A027F">
              <w:rPr>
                <w:rFonts w:hint="cs"/>
                <w:spacing w:val="-6"/>
                <w:position w:val="2"/>
                <w:rtl/>
              </w:rPr>
              <w:t>الإنترنت</w:t>
            </w:r>
          </w:p>
        </w:tc>
        <w:tc>
          <w:tcPr>
            <w:tcW w:w="2961" w:type="dxa"/>
            <w:tcBorders>
              <w:top w:val="single" w:sz="4" w:space="0" w:color="44B3E1"/>
              <w:left w:val="nil"/>
              <w:bottom w:val="single" w:sz="4" w:space="0" w:color="44B3E1"/>
              <w:right w:val="nil"/>
            </w:tcBorders>
          </w:tcPr>
          <w:p w14:paraId="5EFEFBAA" w14:textId="31D2D6C5" w:rsidR="00F10980" w:rsidRDefault="004A027F" w:rsidP="008D6664">
            <w:pPr>
              <w:pStyle w:val="Tabletexte"/>
              <w:spacing w:line="240" w:lineRule="exact"/>
              <w:ind w:left="317" w:hanging="317"/>
              <w:jc w:val="left"/>
              <w:rPr>
                <w:position w:val="2"/>
                <w:rtl/>
              </w:rPr>
            </w:pPr>
            <w:r w:rsidRPr="0075647E">
              <w:rPr>
                <w:position w:val="2"/>
              </w:rPr>
              <w:sym w:font="Wingdings 2" w:char="F097"/>
            </w:r>
            <w:r w:rsidRPr="0075647E">
              <w:rPr>
                <w:position w:val="2"/>
                <w:rtl/>
              </w:rPr>
              <w:tab/>
            </w:r>
            <w:r w:rsidRPr="004A027F">
              <w:rPr>
                <w:position w:val="2"/>
                <w:rtl/>
              </w:rPr>
              <w:t xml:space="preserve">عدد الدول الأعضاء التي اعتمدت استراتيجيات للأمن السيبراني في </w:t>
            </w:r>
            <w:r w:rsidR="00E1171F">
              <w:rPr>
                <w:rFonts w:hint="cs"/>
                <w:position w:val="2"/>
                <w:rtl/>
              </w:rPr>
              <w:t>خطط</w:t>
            </w:r>
            <w:r w:rsidRPr="004A027F">
              <w:rPr>
                <w:position w:val="2"/>
                <w:rtl/>
              </w:rPr>
              <w:t xml:space="preserve"> التنمية الوطنية الخاصة بها</w:t>
            </w:r>
          </w:p>
          <w:p w14:paraId="4FCD009C" w14:textId="6F9C9C1D" w:rsidR="004A027F" w:rsidRPr="004A027F" w:rsidRDefault="004A027F" w:rsidP="008D6664">
            <w:pPr>
              <w:pStyle w:val="Tabletexte"/>
              <w:spacing w:line="240" w:lineRule="exact"/>
              <w:ind w:left="317" w:hanging="317"/>
              <w:jc w:val="left"/>
              <w:rPr>
                <w:position w:val="2"/>
              </w:rPr>
            </w:pPr>
            <w:r w:rsidRPr="0075647E">
              <w:rPr>
                <w:position w:val="2"/>
              </w:rPr>
              <w:sym w:font="Wingdings 2" w:char="F097"/>
            </w:r>
            <w:r w:rsidRPr="0075647E">
              <w:rPr>
                <w:position w:val="2"/>
                <w:rtl/>
              </w:rPr>
              <w:tab/>
            </w:r>
            <w:r w:rsidR="00E1171F" w:rsidRPr="00E1171F">
              <w:rPr>
                <w:position w:val="2"/>
                <w:rtl/>
              </w:rPr>
              <w:t xml:space="preserve">عدد الدول الأعضاء التي لديها أفرقة راسخة للاستجابة للحوادث الحاسوبية </w:t>
            </w:r>
            <w:r w:rsidRPr="004A027F">
              <w:rPr>
                <w:position w:val="2"/>
              </w:rPr>
              <w:t>(CIRT)</w:t>
            </w:r>
          </w:p>
          <w:p w14:paraId="069D3A4A" w14:textId="019C90B7" w:rsidR="004A027F" w:rsidRPr="002C3875" w:rsidRDefault="004A027F" w:rsidP="008D6664">
            <w:pPr>
              <w:pStyle w:val="Tabletexte"/>
              <w:spacing w:line="240" w:lineRule="exact"/>
              <w:ind w:left="317" w:hanging="317"/>
              <w:jc w:val="left"/>
              <w:rPr>
                <w:position w:val="2"/>
              </w:rPr>
            </w:pPr>
            <w:r w:rsidRPr="002C3875">
              <w:rPr>
                <w:position w:val="2"/>
              </w:rPr>
              <w:sym w:font="Wingdings 2" w:char="F097"/>
            </w:r>
            <w:r w:rsidRPr="002C3875">
              <w:rPr>
                <w:position w:val="2"/>
                <w:rtl/>
              </w:rPr>
              <w:tab/>
            </w:r>
            <w:r w:rsidR="00E1171F" w:rsidRPr="00E1171F">
              <w:rPr>
                <w:position w:val="2"/>
                <w:rtl/>
              </w:rPr>
              <w:t>النسبة المئوية للدول الأعضاء التي تكون أفرقتها الوطنية (أو ما يكافئها) من الأعضاء أو المشاركين في مبادرات التعاون الإقليمية أو العالمية ذات الصلة</w:t>
            </w:r>
          </w:p>
          <w:p w14:paraId="429C1C7D" w14:textId="714760C6" w:rsidR="00F10980" w:rsidRDefault="004A027F" w:rsidP="008D6664">
            <w:pPr>
              <w:pStyle w:val="Tabletexte"/>
              <w:spacing w:line="240" w:lineRule="exact"/>
              <w:ind w:left="317" w:hanging="317"/>
              <w:jc w:val="left"/>
              <w:rPr>
                <w:position w:val="2"/>
                <w:rtl/>
              </w:rPr>
            </w:pPr>
            <w:r w:rsidRPr="0075647E">
              <w:rPr>
                <w:position w:val="2"/>
              </w:rPr>
              <w:sym w:font="Wingdings 2" w:char="F097"/>
            </w:r>
            <w:r w:rsidRPr="0075647E">
              <w:rPr>
                <w:position w:val="2"/>
                <w:rtl/>
              </w:rPr>
              <w:tab/>
            </w:r>
            <w:r w:rsidRPr="004A027F">
              <w:rPr>
                <w:position w:val="2"/>
                <w:rtl/>
              </w:rPr>
              <w:t>عدد الدول الأعضاء التي لديها سياس</w:t>
            </w:r>
            <w:r w:rsidR="00E1171F">
              <w:rPr>
                <w:rFonts w:hint="cs"/>
                <w:position w:val="2"/>
                <w:rtl/>
              </w:rPr>
              <w:t>ة</w:t>
            </w:r>
            <w:r w:rsidRPr="004A027F">
              <w:rPr>
                <w:position w:val="2"/>
                <w:rtl/>
              </w:rPr>
              <w:t xml:space="preserve">/استراتيجية لحماية الأطفال على </w:t>
            </w:r>
            <w:r w:rsidRPr="004A027F">
              <w:rPr>
                <w:rFonts w:hint="cs"/>
                <w:position w:val="2"/>
                <w:rtl/>
              </w:rPr>
              <w:t>الإنترنت</w:t>
            </w:r>
          </w:p>
          <w:p w14:paraId="71A0BA92" w14:textId="770980B8" w:rsidR="004A027F" w:rsidRPr="005A1E71" w:rsidRDefault="004A027F" w:rsidP="008D6664">
            <w:pPr>
              <w:pStyle w:val="Tabletexte"/>
              <w:spacing w:line="240" w:lineRule="exact"/>
              <w:ind w:left="317" w:hanging="317"/>
              <w:jc w:val="left"/>
              <w:rPr>
                <w:position w:val="2"/>
              </w:rPr>
            </w:pPr>
            <w:r w:rsidRPr="0075647E">
              <w:rPr>
                <w:position w:val="2"/>
              </w:rPr>
              <w:sym w:font="Wingdings 2" w:char="F097"/>
            </w:r>
            <w:r w:rsidRPr="0075647E">
              <w:rPr>
                <w:position w:val="2"/>
                <w:rtl/>
              </w:rPr>
              <w:tab/>
            </w:r>
            <w:r w:rsidRPr="004A027F">
              <w:rPr>
                <w:position w:val="2"/>
                <w:rtl/>
              </w:rPr>
              <w:t>عدد الدول الأعضاء التي لديها أنظمة محددة لدعم الأطفال على الإنترنت (على سبيل المثال، خطوط المساعدة، وأنظمة الإحالة)</w:t>
            </w:r>
          </w:p>
        </w:tc>
        <w:tc>
          <w:tcPr>
            <w:tcW w:w="2961" w:type="dxa"/>
            <w:tcBorders>
              <w:top w:val="single" w:sz="4" w:space="0" w:color="44B3E1"/>
              <w:left w:val="nil"/>
              <w:bottom w:val="single" w:sz="4" w:space="0" w:color="44B3E1"/>
              <w:right w:val="nil"/>
            </w:tcBorders>
          </w:tcPr>
          <w:p w14:paraId="0F39428B" w14:textId="5BDB3171" w:rsidR="004A027F" w:rsidRPr="004A027F" w:rsidRDefault="004A027F" w:rsidP="008D6664">
            <w:pPr>
              <w:pStyle w:val="Tabletexte"/>
              <w:spacing w:line="240" w:lineRule="exact"/>
              <w:ind w:left="317" w:hanging="317"/>
              <w:jc w:val="left"/>
              <w:rPr>
                <w:position w:val="2"/>
                <w:rtl/>
              </w:rPr>
            </w:pPr>
            <w:r w:rsidRPr="0075647E">
              <w:rPr>
                <w:position w:val="2"/>
              </w:rPr>
              <w:sym w:font="Wingdings 2" w:char="F097"/>
            </w:r>
            <w:r w:rsidRPr="0075647E">
              <w:rPr>
                <w:position w:val="2"/>
                <w:rtl/>
              </w:rPr>
              <w:tab/>
            </w:r>
            <w:r w:rsidRPr="004A027F">
              <w:rPr>
                <w:position w:val="2"/>
                <w:rtl/>
              </w:rPr>
              <w:t>منصات عقد الاجتماعات</w:t>
            </w:r>
          </w:p>
          <w:p w14:paraId="22BA8B91" w14:textId="066E9873" w:rsidR="004A027F" w:rsidRPr="004A027F" w:rsidRDefault="004A027F" w:rsidP="008D6664">
            <w:pPr>
              <w:pStyle w:val="Tabletexte"/>
              <w:spacing w:line="240" w:lineRule="exact"/>
              <w:ind w:left="317" w:hanging="317"/>
              <w:jc w:val="left"/>
              <w:rPr>
                <w:position w:val="2"/>
                <w:rtl/>
              </w:rPr>
            </w:pPr>
            <w:r w:rsidRPr="0075647E">
              <w:rPr>
                <w:position w:val="2"/>
              </w:rPr>
              <w:sym w:font="Wingdings 2" w:char="F097"/>
            </w:r>
            <w:r w:rsidRPr="0075647E">
              <w:rPr>
                <w:position w:val="2"/>
                <w:rtl/>
              </w:rPr>
              <w:tab/>
            </w:r>
            <w:r w:rsidRPr="004A027F">
              <w:rPr>
                <w:position w:val="2"/>
                <w:rtl/>
              </w:rPr>
              <w:t>أطر التعلم</w:t>
            </w:r>
          </w:p>
          <w:p w14:paraId="6988EE93" w14:textId="714BDD1D" w:rsidR="004A027F" w:rsidRPr="004A027F" w:rsidRDefault="004A027F" w:rsidP="008D6664">
            <w:pPr>
              <w:pStyle w:val="Tabletexte"/>
              <w:spacing w:line="240" w:lineRule="exact"/>
              <w:ind w:left="317" w:hanging="317"/>
              <w:jc w:val="left"/>
              <w:rPr>
                <w:spacing w:val="-6"/>
                <w:position w:val="2"/>
                <w:rtl/>
              </w:rPr>
            </w:pPr>
            <w:r w:rsidRPr="004A027F">
              <w:rPr>
                <w:spacing w:val="-6"/>
                <w:position w:val="2"/>
              </w:rPr>
              <w:sym w:font="Wingdings 2" w:char="F097"/>
            </w:r>
            <w:r w:rsidRPr="004A027F">
              <w:rPr>
                <w:spacing w:val="-6"/>
                <w:position w:val="2"/>
                <w:rtl/>
              </w:rPr>
              <w:tab/>
              <w:t>السياسات والاستراتيجيات النموذجية ومجموعات الأدوات</w:t>
            </w:r>
          </w:p>
          <w:p w14:paraId="150E5B65" w14:textId="77777777" w:rsidR="00F10980" w:rsidRDefault="004A027F" w:rsidP="008D6664">
            <w:pPr>
              <w:pStyle w:val="Tabletexte"/>
              <w:spacing w:line="240" w:lineRule="exact"/>
              <w:ind w:left="317" w:hanging="317"/>
              <w:jc w:val="left"/>
              <w:rPr>
                <w:position w:val="2"/>
                <w:rtl/>
              </w:rPr>
            </w:pPr>
            <w:r w:rsidRPr="0075647E">
              <w:rPr>
                <w:position w:val="2"/>
              </w:rPr>
              <w:sym w:font="Wingdings 2" w:char="F097"/>
            </w:r>
            <w:r w:rsidRPr="0075647E">
              <w:rPr>
                <w:position w:val="2"/>
                <w:rtl/>
              </w:rPr>
              <w:tab/>
            </w:r>
            <w:r w:rsidRPr="004A027F">
              <w:rPr>
                <w:position w:val="2"/>
                <w:rtl/>
              </w:rPr>
              <w:t>التدخلات التقنية</w:t>
            </w:r>
          </w:p>
          <w:p w14:paraId="3E2268E7" w14:textId="5A587F78" w:rsidR="004A027F" w:rsidRPr="005A1E71" w:rsidRDefault="004A027F" w:rsidP="008D6664">
            <w:pPr>
              <w:pStyle w:val="Tabletexte"/>
              <w:spacing w:line="240" w:lineRule="exact"/>
              <w:ind w:left="317" w:hanging="317"/>
              <w:jc w:val="left"/>
              <w:rPr>
                <w:position w:val="2"/>
              </w:rPr>
            </w:pPr>
            <w:r w:rsidRPr="0075647E">
              <w:rPr>
                <w:position w:val="2"/>
              </w:rPr>
              <w:sym w:font="Wingdings 2" w:char="F097"/>
            </w:r>
            <w:r w:rsidRPr="0075647E">
              <w:rPr>
                <w:position w:val="2"/>
                <w:rtl/>
              </w:rPr>
              <w:tab/>
            </w:r>
            <w:r w:rsidRPr="004A027F">
              <w:rPr>
                <w:position w:val="2"/>
                <w:rtl/>
              </w:rPr>
              <w:t>الإحصاءات</w:t>
            </w:r>
          </w:p>
        </w:tc>
        <w:tc>
          <w:tcPr>
            <w:tcW w:w="1641" w:type="dxa"/>
            <w:tcBorders>
              <w:top w:val="single" w:sz="4" w:space="0" w:color="44B3E1"/>
              <w:left w:val="nil"/>
              <w:bottom w:val="single" w:sz="4" w:space="0" w:color="44B3E1"/>
              <w:right w:val="nil"/>
            </w:tcBorders>
            <w:noWrap/>
          </w:tcPr>
          <w:p w14:paraId="491F4C0C" w14:textId="59810C55" w:rsidR="004A027F" w:rsidRPr="005A1E71" w:rsidRDefault="004A027F" w:rsidP="008D6664">
            <w:pPr>
              <w:pStyle w:val="Tabletexte"/>
              <w:spacing w:line="240" w:lineRule="exact"/>
              <w:jc w:val="left"/>
              <w:rPr>
                <w:position w:val="2"/>
              </w:rPr>
            </w:pPr>
            <w:r>
              <w:t>465 000</w:t>
            </w:r>
          </w:p>
        </w:tc>
        <w:tc>
          <w:tcPr>
            <w:tcW w:w="1641" w:type="dxa"/>
            <w:tcBorders>
              <w:top w:val="single" w:sz="4" w:space="0" w:color="44B3E1"/>
              <w:left w:val="nil"/>
              <w:bottom w:val="single" w:sz="4" w:space="0" w:color="44B3E1"/>
              <w:right w:val="nil"/>
            </w:tcBorders>
          </w:tcPr>
          <w:p w14:paraId="50B531F0" w14:textId="01F9CE82" w:rsidR="004A027F" w:rsidRPr="005A1E71" w:rsidRDefault="004A027F" w:rsidP="008D6664">
            <w:pPr>
              <w:pStyle w:val="Tabletexte"/>
              <w:spacing w:line="240" w:lineRule="exact"/>
              <w:jc w:val="left"/>
              <w:rPr>
                <w:position w:val="2"/>
              </w:rPr>
            </w:pPr>
            <w:r>
              <w:rPr>
                <w:lang w:bidi="ar-EG"/>
              </w:rPr>
              <w:t>%63,1</w:t>
            </w:r>
          </w:p>
        </w:tc>
        <w:tc>
          <w:tcPr>
            <w:tcW w:w="1641" w:type="dxa"/>
            <w:tcBorders>
              <w:top w:val="single" w:sz="4" w:space="0" w:color="44B3E1"/>
              <w:left w:val="nil"/>
              <w:bottom w:val="single" w:sz="4" w:space="0" w:color="44B3E1"/>
              <w:right w:val="single" w:sz="4" w:space="0" w:color="44B3E1"/>
            </w:tcBorders>
            <w:noWrap/>
          </w:tcPr>
          <w:p w14:paraId="5249AC43" w14:textId="3ADBC1F7" w:rsidR="004A027F" w:rsidRPr="005A1E71" w:rsidRDefault="004A027F" w:rsidP="008D6664">
            <w:pPr>
              <w:pStyle w:val="Tabletexte"/>
              <w:spacing w:line="240" w:lineRule="exact"/>
              <w:jc w:val="left"/>
              <w:rPr>
                <w:position w:val="2"/>
              </w:rPr>
            </w:pPr>
            <w:r>
              <w:t>%12,2</w:t>
            </w:r>
          </w:p>
        </w:tc>
      </w:tr>
      <w:tr w:rsidR="004A027F" w:rsidRPr="005A1E71" w14:paraId="24E88FCD" w14:textId="77777777" w:rsidTr="00715546">
        <w:tc>
          <w:tcPr>
            <w:tcW w:w="1868" w:type="dxa"/>
            <w:tcBorders>
              <w:top w:val="single" w:sz="4" w:space="0" w:color="44B3E1"/>
              <w:left w:val="single" w:sz="4" w:space="0" w:color="44B3E1"/>
              <w:bottom w:val="single" w:sz="4" w:space="0" w:color="44B3E1"/>
              <w:right w:val="nil"/>
            </w:tcBorders>
            <w:shd w:val="clear" w:color="auto" w:fill="C0E6F5"/>
          </w:tcPr>
          <w:p w14:paraId="0D41C6A9" w14:textId="08E15FDA" w:rsidR="004A027F" w:rsidRPr="002C3875" w:rsidRDefault="004A027F" w:rsidP="008D6664">
            <w:pPr>
              <w:pStyle w:val="Tabletexte"/>
              <w:spacing w:line="240" w:lineRule="exact"/>
              <w:jc w:val="left"/>
              <w:rPr>
                <w:b/>
                <w:bCs/>
                <w:rtl/>
              </w:rPr>
            </w:pPr>
            <w:r w:rsidRPr="002C3875">
              <w:rPr>
                <w:b/>
                <w:bCs/>
                <w:rtl/>
              </w:rPr>
              <w:t>الشمول الرقمي</w:t>
            </w:r>
          </w:p>
        </w:tc>
        <w:tc>
          <w:tcPr>
            <w:tcW w:w="2959" w:type="dxa"/>
            <w:tcBorders>
              <w:top w:val="single" w:sz="4" w:space="0" w:color="44B3E1"/>
              <w:left w:val="nil"/>
              <w:bottom w:val="single" w:sz="4" w:space="0" w:color="44B3E1"/>
              <w:right w:val="nil"/>
            </w:tcBorders>
            <w:shd w:val="clear" w:color="auto" w:fill="C0E6F5"/>
          </w:tcPr>
          <w:p w14:paraId="2F6EEC08" w14:textId="35CD10EE" w:rsidR="004A027F" w:rsidRPr="004A027F" w:rsidRDefault="004A027F" w:rsidP="008D6664">
            <w:pPr>
              <w:pStyle w:val="Tabletexte"/>
              <w:spacing w:line="240" w:lineRule="exact"/>
              <w:ind w:left="317" w:hanging="317"/>
              <w:jc w:val="left"/>
              <w:rPr>
                <w:spacing w:val="-4"/>
                <w:position w:val="2"/>
                <w:rtl/>
              </w:rPr>
            </w:pPr>
            <w:r w:rsidRPr="004A027F">
              <w:rPr>
                <w:spacing w:val="-4"/>
                <w:position w:val="2"/>
              </w:rPr>
              <w:sym w:font="Wingdings 2" w:char="F097"/>
            </w:r>
            <w:r w:rsidRPr="004A027F">
              <w:rPr>
                <w:spacing w:val="-4"/>
                <w:position w:val="2"/>
                <w:rtl/>
              </w:rPr>
              <w:tab/>
              <w:t>تعزيز قدرة أعضاء الاتحاد على وضع استراتيجيات وسياسات وممارسات من أجل تحقيق الشمول والإنصاف الرقميين، ولا سيما لتمكين النساء والفتيات والأشخاص ذوي الإعاقة</w:t>
            </w:r>
          </w:p>
        </w:tc>
        <w:tc>
          <w:tcPr>
            <w:tcW w:w="2961" w:type="dxa"/>
            <w:tcBorders>
              <w:top w:val="single" w:sz="4" w:space="0" w:color="44B3E1"/>
              <w:left w:val="nil"/>
              <w:bottom w:val="single" w:sz="4" w:space="0" w:color="44B3E1"/>
              <w:right w:val="nil"/>
            </w:tcBorders>
            <w:shd w:val="clear" w:color="auto" w:fill="C0E6F5"/>
          </w:tcPr>
          <w:p w14:paraId="737B775A" w14:textId="2618035A" w:rsidR="004A027F" w:rsidRPr="004A027F" w:rsidRDefault="004A027F" w:rsidP="008D6664">
            <w:pPr>
              <w:pStyle w:val="Tabletexte"/>
              <w:spacing w:line="240" w:lineRule="exact"/>
              <w:ind w:left="317" w:hanging="317"/>
              <w:jc w:val="left"/>
              <w:rPr>
                <w:spacing w:val="-10"/>
                <w:position w:val="2"/>
              </w:rPr>
            </w:pPr>
            <w:r w:rsidRPr="004A027F">
              <w:rPr>
                <w:spacing w:val="-10"/>
                <w:position w:val="2"/>
              </w:rPr>
              <w:sym w:font="Wingdings 2" w:char="F097"/>
            </w:r>
            <w:r w:rsidRPr="004A027F">
              <w:rPr>
                <w:spacing w:val="-10"/>
                <w:position w:val="2"/>
                <w:rtl/>
              </w:rPr>
              <w:tab/>
            </w:r>
            <w:r w:rsidRPr="004A027F">
              <w:rPr>
                <w:spacing w:val="-4"/>
                <w:position w:val="2"/>
                <w:rtl/>
              </w:rPr>
              <w:t>عدد الدول الأعضاء التي وضعت</w:t>
            </w:r>
            <w:r w:rsidRPr="004A027F">
              <w:rPr>
                <w:spacing w:val="-10"/>
                <w:position w:val="2"/>
                <w:rtl/>
              </w:rPr>
              <w:t xml:space="preserve"> سياس</w:t>
            </w:r>
            <w:r w:rsidR="00E1171F">
              <w:rPr>
                <w:rFonts w:hint="cs"/>
                <w:spacing w:val="-10"/>
                <w:position w:val="2"/>
                <w:rtl/>
              </w:rPr>
              <w:t>ة</w:t>
            </w:r>
            <w:r w:rsidRPr="004A027F">
              <w:rPr>
                <w:spacing w:val="-10"/>
                <w:position w:val="2"/>
                <w:rtl/>
              </w:rPr>
              <w:t xml:space="preserve"> واستراتيجي</w:t>
            </w:r>
            <w:r w:rsidR="00E1171F">
              <w:rPr>
                <w:rFonts w:hint="cs"/>
                <w:spacing w:val="-10"/>
                <w:position w:val="2"/>
                <w:rtl/>
              </w:rPr>
              <w:t>ة</w:t>
            </w:r>
            <w:r w:rsidRPr="004A027F">
              <w:rPr>
                <w:rFonts w:hint="eastAsia"/>
                <w:spacing w:val="-10"/>
                <w:position w:val="2"/>
                <w:rtl/>
                <w:lang w:bidi="ar-SA"/>
              </w:rPr>
              <w:t> </w:t>
            </w:r>
            <w:r w:rsidRPr="004A027F">
              <w:rPr>
                <w:spacing w:val="-10"/>
                <w:position w:val="2"/>
                <w:rtl/>
              </w:rPr>
              <w:t xml:space="preserve">للشمول </w:t>
            </w:r>
            <w:r w:rsidRPr="004A027F">
              <w:rPr>
                <w:spacing w:val="-4"/>
                <w:position w:val="2"/>
                <w:rtl/>
              </w:rPr>
              <w:t>الرقمي على المستوى الوطني</w:t>
            </w:r>
          </w:p>
          <w:p w14:paraId="4D61AFF2" w14:textId="41A92514" w:rsidR="004A027F" w:rsidRPr="004A027F" w:rsidRDefault="004A027F" w:rsidP="008D6664">
            <w:pPr>
              <w:pStyle w:val="Tabletexte"/>
              <w:spacing w:line="240" w:lineRule="exact"/>
              <w:ind w:left="317" w:hanging="317"/>
              <w:jc w:val="left"/>
              <w:rPr>
                <w:spacing w:val="-6"/>
                <w:position w:val="2"/>
                <w:rtl/>
              </w:rPr>
            </w:pPr>
            <w:r w:rsidRPr="004A027F">
              <w:rPr>
                <w:spacing w:val="-6"/>
                <w:position w:val="2"/>
              </w:rPr>
              <w:sym w:font="Wingdings 2" w:char="F097"/>
            </w:r>
            <w:r w:rsidRPr="004A027F">
              <w:rPr>
                <w:spacing w:val="-6"/>
                <w:position w:val="2"/>
                <w:rtl/>
              </w:rPr>
              <w:tab/>
              <w:t>عدد الدول الأعضاء التي نفذت مبادرات للشمول الرقمي خلال العامين الماضيين.</w:t>
            </w:r>
          </w:p>
        </w:tc>
        <w:tc>
          <w:tcPr>
            <w:tcW w:w="2961" w:type="dxa"/>
            <w:tcBorders>
              <w:top w:val="single" w:sz="4" w:space="0" w:color="44B3E1"/>
              <w:left w:val="nil"/>
              <w:bottom w:val="single" w:sz="4" w:space="0" w:color="44B3E1"/>
              <w:right w:val="nil"/>
            </w:tcBorders>
            <w:shd w:val="clear" w:color="auto" w:fill="C0E6F5"/>
          </w:tcPr>
          <w:p w14:paraId="7CF0B082" w14:textId="0304A8B3" w:rsidR="004A027F" w:rsidRPr="004A027F" w:rsidRDefault="004A027F" w:rsidP="008D6664">
            <w:pPr>
              <w:pStyle w:val="Tabletexte"/>
              <w:spacing w:line="240" w:lineRule="exact"/>
              <w:ind w:left="317" w:hanging="317"/>
              <w:jc w:val="left"/>
              <w:rPr>
                <w:position w:val="2"/>
                <w:rtl/>
              </w:rPr>
            </w:pPr>
            <w:r w:rsidRPr="0075647E">
              <w:rPr>
                <w:position w:val="2"/>
              </w:rPr>
              <w:sym w:font="Wingdings 2" w:char="F097"/>
            </w:r>
            <w:r w:rsidRPr="0075647E">
              <w:rPr>
                <w:position w:val="2"/>
                <w:rtl/>
              </w:rPr>
              <w:tab/>
            </w:r>
            <w:r w:rsidRPr="004A027F">
              <w:rPr>
                <w:position w:val="2"/>
                <w:rtl/>
              </w:rPr>
              <w:t>أطر التعلم</w:t>
            </w:r>
          </w:p>
          <w:p w14:paraId="38B072D9" w14:textId="71049237" w:rsidR="004A027F" w:rsidRPr="004A027F" w:rsidRDefault="004A027F" w:rsidP="008D6664">
            <w:pPr>
              <w:pStyle w:val="Tabletexte"/>
              <w:spacing w:line="240" w:lineRule="exact"/>
              <w:ind w:left="317" w:hanging="317"/>
              <w:jc w:val="left"/>
              <w:rPr>
                <w:position w:val="2"/>
                <w:rtl/>
              </w:rPr>
            </w:pPr>
            <w:r w:rsidRPr="0075647E">
              <w:rPr>
                <w:position w:val="2"/>
              </w:rPr>
              <w:sym w:font="Wingdings 2" w:char="F097"/>
            </w:r>
            <w:r w:rsidRPr="0075647E">
              <w:rPr>
                <w:position w:val="2"/>
                <w:rtl/>
              </w:rPr>
              <w:tab/>
            </w:r>
            <w:r w:rsidRPr="004A027F">
              <w:rPr>
                <w:position w:val="2"/>
                <w:rtl/>
              </w:rPr>
              <w:t>منصات عقد الاجتماعات</w:t>
            </w:r>
          </w:p>
          <w:p w14:paraId="1B600032" w14:textId="77777777" w:rsidR="00F10980" w:rsidRPr="002C3875" w:rsidRDefault="004A027F" w:rsidP="008D6664">
            <w:pPr>
              <w:pStyle w:val="Tabletexte"/>
              <w:spacing w:line="240" w:lineRule="exact"/>
              <w:ind w:left="317" w:hanging="317"/>
              <w:jc w:val="left"/>
              <w:rPr>
                <w:spacing w:val="-6"/>
                <w:position w:val="2"/>
                <w:rtl/>
              </w:rPr>
            </w:pPr>
            <w:r w:rsidRPr="002C3875">
              <w:rPr>
                <w:spacing w:val="-6"/>
                <w:position w:val="2"/>
              </w:rPr>
              <w:sym w:font="Wingdings 2" w:char="F097"/>
            </w:r>
            <w:r w:rsidRPr="002C3875">
              <w:rPr>
                <w:spacing w:val="-6"/>
                <w:position w:val="2"/>
                <w:rtl/>
              </w:rPr>
              <w:tab/>
              <w:t>السياسات والاستراتيجيات النموذجية ومجموعات الأدوات</w:t>
            </w:r>
          </w:p>
          <w:p w14:paraId="37A7A3DE" w14:textId="62D4DE46" w:rsidR="004A027F" w:rsidRPr="004A027F" w:rsidRDefault="004A027F" w:rsidP="008D6664">
            <w:pPr>
              <w:pStyle w:val="Tabletexte"/>
              <w:spacing w:line="240" w:lineRule="exact"/>
              <w:ind w:left="317" w:hanging="317"/>
              <w:jc w:val="left"/>
              <w:rPr>
                <w:position w:val="2"/>
                <w:rtl/>
              </w:rPr>
            </w:pPr>
            <w:r w:rsidRPr="004A027F">
              <w:rPr>
                <w:spacing w:val="-4"/>
                <w:position w:val="2"/>
              </w:rPr>
              <w:sym w:font="Wingdings 2" w:char="F097"/>
            </w:r>
            <w:r w:rsidRPr="004A027F">
              <w:rPr>
                <w:spacing w:val="-4"/>
                <w:position w:val="2"/>
                <w:rtl/>
              </w:rPr>
              <w:tab/>
            </w:r>
            <w:r w:rsidRPr="004A027F">
              <w:rPr>
                <w:position w:val="2"/>
                <w:rtl/>
              </w:rPr>
              <w:t>التدخلات التقنية</w:t>
            </w:r>
          </w:p>
        </w:tc>
        <w:tc>
          <w:tcPr>
            <w:tcW w:w="1641" w:type="dxa"/>
            <w:tcBorders>
              <w:top w:val="single" w:sz="4" w:space="0" w:color="44B3E1"/>
              <w:left w:val="nil"/>
              <w:bottom w:val="single" w:sz="4" w:space="0" w:color="44B3E1"/>
              <w:right w:val="nil"/>
            </w:tcBorders>
            <w:shd w:val="clear" w:color="auto" w:fill="C0E6F5"/>
            <w:noWrap/>
          </w:tcPr>
          <w:p w14:paraId="35464408" w14:textId="207D40BE" w:rsidR="004A027F" w:rsidRPr="00C23B5E" w:rsidRDefault="004A027F" w:rsidP="008D6664">
            <w:pPr>
              <w:pStyle w:val="Tabletexte"/>
              <w:spacing w:line="240" w:lineRule="exact"/>
              <w:jc w:val="left"/>
              <w:rPr>
                <w:rtl/>
              </w:rPr>
            </w:pPr>
            <w:r>
              <w:t>271 500</w:t>
            </w:r>
          </w:p>
        </w:tc>
        <w:tc>
          <w:tcPr>
            <w:tcW w:w="1641" w:type="dxa"/>
            <w:tcBorders>
              <w:top w:val="single" w:sz="4" w:space="0" w:color="44B3E1"/>
              <w:left w:val="nil"/>
              <w:bottom w:val="single" w:sz="4" w:space="0" w:color="44B3E1"/>
              <w:right w:val="nil"/>
            </w:tcBorders>
            <w:shd w:val="clear" w:color="auto" w:fill="C0E6F5"/>
          </w:tcPr>
          <w:p w14:paraId="63ACAC37" w14:textId="2DF91B1E" w:rsidR="004A027F" w:rsidRPr="00C23B5E" w:rsidRDefault="004A027F" w:rsidP="008D6664">
            <w:pPr>
              <w:pStyle w:val="Tabletexte"/>
              <w:spacing w:line="240" w:lineRule="exact"/>
              <w:jc w:val="left"/>
              <w:rPr>
                <w:lang w:bidi="ar-EG"/>
              </w:rPr>
            </w:pPr>
            <w:r>
              <w:rPr>
                <w:lang w:bidi="ar-EG"/>
              </w:rPr>
              <w:t>%36,9</w:t>
            </w:r>
          </w:p>
        </w:tc>
        <w:tc>
          <w:tcPr>
            <w:tcW w:w="1641" w:type="dxa"/>
            <w:tcBorders>
              <w:top w:val="single" w:sz="4" w:space="0" w:color="44B3E1"/>
              <w:left w:val="nil"/>
              <w:bottom w:val="single" w:sz="4" w:space="0" w:color="44B3E1"/>
              <w:right w:val="single" w:sz="4" w:space="0" w:color="44B3E1"/>
            </w:tcBorders>
            <w:shd w:val="clear" w:color="auto" w:fill="C0E6F5"/>
            <w:noWrap/>
          </w:tcPr>
          <w:p w14:paraId="7257947E" w14:textId="306E2B3B" w:rsidR="004A027F" w:rsidRPr="00C23B5E" w:rsidRDefault="004A027F" w:rsidP="008D6664">
            <w:pPr>
              <w:pStyle w:val="Tabletexte"/>
              <w:spacing w:line="240" w:lineRule="exact"/>
              <w:jc w:val="left"/>
              <w:rPr>
                <w:rtl/>
              </w:rPr>
            </w:pPr>
            <w:r>
              <w:t>%7,1</w:t>
            </w:r>
          </w:p>
        </w:tc>
      </w:tr>
    </w:tbl>
    <w:p w14:paraId="496B1016" w14:textId="77777777" w:rsidR="004A027F" w:rsidRPr="00C23B5E" w:rsidRDefault="004A027F" w:rsidP="004A027F"/>
    <w:p w14:paraId="71F33C89" w14:textId="77777777" w:rsidR="00C23B5E" w:rsidRPr="00C23B5E" w:rsidRDefault="00C23B5E" w:rsidP="00C23B5E">
      <w:pPr>
        <w:rPr>
          <w:lang w:bidi="ar-EG"/>
        </w:rPr>
        <w:sectPr w:rsidR="00C23B5E" w:rsidRPr="00C23B5E" w:rsidSect="00DF0BE8">
          <w:headerReference w:type="default" r:id="rId47"/>
          <w:pgSz w:w="16838" w:h="11906" w:orient="landscape" w:code="9"/>
          <w:pgMar w:top="851" w:right="567" w:bottom="567" w:left="567" w:header="624" w:footer="624" w:gutter="0"/>
          <w:cols w:space="720"/>
          <w:docGrid w:linePitch="326"/>
        </w:sectPr>
      </w:pPr>
    </w:p>
    <w:p w14:paraId="02D87C54" w14:textId="53065000" w:rsidR="00E1171F" w:rsidRDefault="00E1171F" w:rsidP="004106EE">
      <w:pPr>
        <w:pStyle w:val="HeadingI"/>
        <w:rPr>
          <w:rtl/>
        </w:rPr>
      </w:pPr>
      <w:r>
        <w:rPr>
          <w:rtl/>
        </w:rPr>
        <w:lastRenderedPageBreak/>
        <w:t>أبرز النقاط في عملية التنفيذ لعام 2026: الأولوية 5 لقطاع تنمية الاتصالات - الاتصالات/تكنولوجيا المعلومات والاتصالات الشاملة والآمنة لتحقيق التنمية المستدامة</w:t>
      </w:r>
    </w:p>
    <w:p w14:paraId="462654B8" w14:textId="77777777" w:rsidR="00E1171F" w:rsidRDefault="00E1171F" w:rsidP="00E1171F">
      <w:pPr>
        <w:rPr>
          <w:rtl/>
        </w:rPr>
      </w:pPr>
      <w:r>
        <w:rPr>
          <w:rtl/>
        </w:rPr>
        <w:t xml:space="preserve">تشمل النسخة الرابعة من برنامج </w:t>
      </w:r>
      <w:r>
        <w:t>Her CyberTracks</w:t>
      </w:r>
      <w:r>
        <w:rPr>
          <w:rtl/>
        </w:rPr>
        <w:t>، التي أُطلقت في شهر مارس، بلداناً من منطقة آسيا والمحيط الهادئ، وتقدم مساراً جديداً بشأن الجوانب السيبرانية والذكاء الاصطناعي، ما يعكس مشهد الأمن السيبراني المتطور.</w:t>
      </w:r>
    </w:p>
    <w:p w14:paraId="478CE525" w14:textId="3437F9BA" w:rsidR="00E1171F" w:rsidRDefault="00E1171F" w:rsidP="00E1171F">
      <w:pPr>
        <w:rPr>
          <w:rtl/>
        </w:rPr>
      </w:pPr>
      <w:r>
        <w:rPr>
          <w:rtl/>
        </w:rPr>
        <w:t>وقد شارك الاتحاد، مع كيانات الأمم المتحدة الأخرى ومختلف أصحاب المصلحة، في التوقيع على البيان المشترك بشأن الذكاء الاصطناعي وحقوق الطفل.</w:t>
      </w:r>
    </w:p>
    <w:p w14:paraId="033FA62B" w14:textId="77777777" w:rsidR="00E1171F" w:rsidRDefault="00E1171F" w:rsidP="00E1171F">
      <w:pPr>
        <w:rPr>
          <w:rtl/>
        </w:rPr>
      </w:pPr>
      <w:r w:rsidRPr="004106EE">
        <w:rPr>
          <w:b/>
          <w:bCs/>
          <w:rtl/>
        </w:rPr>
        <w:t>في إفريقيا</w:t>
      </w:r>
      <w:r>
        <w:rPr>
          <w:rtl/>
        </w:rPr>
        <w:t>، نُظمت ورشة عمل في يناير في جمهورية الكونغو الديمقراطية لدعم جهود تعزيز التوافق الوطني بشأن إنشاء فريق الاستجابة للحوادث الحاسوبية (</w:t>
      </w:r>
      <w:r>
        <w:t>CIRT</w:t>
      </w:r>
      <w:r>
        <w:rPr>
          <w:rtl/>
        </w:rPr>
        <w:t>) القطاعي. وقد قُدم الدعم التقني لتطوير فريق الاستجابة للحوادث الحاسوبية القطاعي في موزامبيق في فبراير، حيث جرى تدريب 60 من أصحاب المصلحة، وتعزيز التنسيق بين الوكالات. وتجرى التحضيرات الآن لعقد الدورة التدريبية السيبرانية الإقليمية لمنطقة إفريقيا في زمبابوي، في الفترة من 30 يونيو إلى 3 يوليو.</w:t>
      </w:r>
    </w:p>
    <w:p w14:paraId="3BD67E69" w14:textId="77777777" w:rsidR="00E1171F" w:rsidRDefault="00E1171F" w:rsidP="00E1171F">
      <w:pPr>
        <w:rPr>
          <w:rtl/>
        </w:rPr>
      </w:pPr>
      <w:r w:rsidRPr="004106EE">
        <w:rPr>
          <w:b/>
          <w:bCs/>
          <w:rtl/>
        </w:rPr>
        <w:t>وفي الأمريكتين</w:t>
      </w:r>
      <w:r>
        <w:rPr>
          <w:rtl/>
        </w:rPr>
        <w:t>، نشر مكتب تنمية الاتصالات أدوات الاستدلال الجنائي الرقمي، وأجرى تدريباً في الموقع في الفترة من 16 إلى 24 مارس، في أثناء المرحلة النهائية من مشروع إنشاء فريق الاستجابة للحوادث الحاسوبية في جزر البهاما. وسيختتم التنفيذ في أبريل، مع انعقاد الجلسات الختامية للبرنامج التدريبي عبر الإنترنت.</w:t>
      </w:r>
    </w:p>
    <w:p w14:paraId="2EBC643B" w14:textId="1D19A740" w:rsidR="00E1171F" w:rsidRPr="004106EE" w:rsidRDefault="00E1171F" w:rsidP="00E1171F">
      <w:pPr>
        <w:rPr>
          <w:spacing w:val="-2"/>
          <w:rtl/>
        </w:rPr>
      </w:pPr>
      <w:r w:rsidRPr="004106EE">
        <w:rPr>
          <w:b/>
          <w:bCs/>
          <w:spacing w:val="-2"/>
          <w:rtl/>
        </w:rPr>
        <w:t>وفي آسيا والمحيط الهادئ</w:t>
      </w:r>
      <w:r w:rsidRPr="004106EE">
        <w:rPr>
          <w:spacing w:val="-2"/>
          <w:rtl/>
        </w:rPr>
        <w:t>، أجرى مكتب تنمية الاتصالات دورات تدريبية في الفترة من 13 إلى 16 يناير، في إطار برنامج التدريب على بناء القدرات السيبرانية والسياسات، الذي تنظمه باكستان ومعهد الأمم المتحدة لبحوث نزع السلاح (</w:t>
      </w:r>
      <w:r w:rsidRPr="004106EE">
        <w:rPr>
          <w:spacing w:val="-2"/>
        </w:rPr>
        <w:t>UNIDIR</w:t>
      </w:r>
      <w:r w:rsidRPr="004106EE">
        <w:rPr>
          <w:spacing w:val="-2"/>
          <w:rtl/>
        </w:rPr>
        <w:t>) في</w:t>
      </w:r>
      <w:r w:rsidR="004106EE" w:rsidRPr="004106EE">
        <w:rPr>
          <w:rFonts w:hint="cs"/>
          <w:spacing w:val="-2"/>
          <w:rtl/>
        </w:rPr>
        <w:t> </w:t>
      </w:r>
      <w:r w:rsidRPr="004106EE">
        <w:rPr>
          <w:spacing w:val="-2"/>
          <w:rtl/>
        </w:rPr>
        <w:t>إسلام</w:t>
      </w:r>
      <w:r w:rsidR="004106EE" w:rsidRPr="004106EE">
        <w:rPr>
          <w:rFonts w:hint="cs"/>
          <w:spacing w:val="-2"/>
          <w:rtl/>
        </w:rPr>
        <w:t> </w:t>
      </w:r>
      <w:r w:rsidRPr="004106EE">
        <w:rPr>
          <w:spacing w:val="-2"/>
          <w:rtl/>
        </w:rPr>
        <w:t>أباد. وركزت الدورات التدريبية، التي نُظمت بالتعاون مع معهد الأمم المتحدة لبحوث نزع السلاح ووزارة الشؤون الخارجية الباكستانية وبدعم من كندا، على تعزيز الأفرقة الوطنية للاستجابة للحوادث الحاسوبية وحماية البنية التحتية الحيوية للمعلومات، والاستراتيجيات الوطنية للأمن السيبراني، والتدريبات التقنية للقائمين على الاستجابة للحوادث.</w:t>
      </w:r>
    </w:p>
    <w:p w14:paraId="50AEF947" w14:textId="77777777" w:rsidR="00C55646" w:rsidRDefault="00E1171F" w:rsidP="00E1171F">
      <w:pPr>
        <w:rPr>
          <w:rtl/>
        </w:rPr>
      </w:pPr>
      <w:r>
        <w:rPr>
          <w:rtl/>
        </w:rPr>
        <w:t>علاوة</w:t>
      </w:r>
      <w:r w:rsidR="004106EE">
        <w:rPr>
          <w:rFonts w:hint="cs"/>
          <w:rtl/>
        </w:rPr>
        <w:t>ً</w:t>
      </w:r>
      <w:r>
        <w:rPr>
          <w:rtl/>
        </w:rPr>
        <w:t xml:space="preserve"> على ذلك، نظم مكتب تنمية الاتصالات، بالتعاون مع جمهورية كوريا، دورة تدريبية أقاليمية بشأن معايير قطاع تقييس الاتصالات بالاتحاد بشأن الأمن السيبراني، لخبراء الأمن السيبراني في منطقتي آسيا والمحيط الهادئ وكومنولث الدول المستقلة. واستناداً إلى توصيات قطاع تقييس الاتصالات؛ حماية البيانات </w:t>
      </w:r>
      <w:r>
        <w:t>(X.1220/X.nspam)</w:t>
      </w:r>
      <w:r>
        <w:rPr>
          <w:rtl/>
        </w:rPr>
        <w:t xml:space="preserve"> والاستيقان بدون كلمة سر (</w:t>
      </w:r>
      <w:r>
        <w:t>X.1280</w:t>
      </w:r>
      <w:r>
        <w:rPr>
          <w:rtl/>
        </w:rPr>
        <w:t>)، أبرمت رابطة تكنولوجيا الاتصالات (</w:t>
      </w:r>
      <w:r>
        <w:t>TTA</w:t>
      </w:r>
      <w:r>
        <w:rPr>
          <w:rtl/>
        </w:rPr>
        <w:t xml:space="preserve">) وتحالف </w:t>
      </w:r>
      <w:r>
        <w:t>Passwordless Alliance</w:t>
      </w:r>
      <w:r>
        <w:rPr>
          <w:rtl/>
        </w:rPr>
        <w:t xml:space="preserve"> في جمهورية كوريا شراكة مع مكتب تنمية الاتصالات لإجراء هذا التدريب الأساسي في بانكوك في الفترة من 11 إلى 13 فبراير 2026.</w:t>
      </w:r>
    </w:p>
    <w:p w14:paraId="0A59CA02" w14:textId="5F1200A1" w:rsidR="00E1171F" w:rsidRDefault="00E1171F" w:rsidP="00E1171F">
      <w:pPr>
        <w:rPr>
          <w:rtl/>
        </w:rPr>
      </w:pPr>
      <w:r w:rsidRPr="004106EE">
        <w:rPr>
          <w:b/>
          <w:bCs/>
          <w:rtl/>
        </w:rPr>
        <w:t>وفي كومنولث الدول المستقلة</w:t>
      </w:r>
      <w:r>
        <w:rPr>
          <w:rtl/>
        </w:rPr>
        <w:t>، دعم المشروع المشترك بين الاتحاد والبنك الدولي إنشاء فريق وطني للاستجابة للحوادث الحاسوبية (</w:t>
      </w:r>
      <w:r>
        <w:t>CIRT</w:t>
      </w:r>
      <w:r>
        <w:rPr>
          <w:rtl/>
        </w:rPr>
        <w:t>) في جمهورية قيرغيزستان، لتعزيز القدرة المؤسسية على اكتشاف تهديدات الأمن السيبراني والتصدي لها والتخفيف من آثارها. ومن خلال توفير البنية التحتية التقنية، والتدريب، والتوجيهات التشغيلية، عززت المبادرة القدرة على</w:t>
      </w:r>
      <w:r w:rsidR="004C19ED">
        <w:rPr>
          <w:rFonts w:hint="cs"/>
          <w:rtl/>
        </w:rPr>
        <w:t> </w:t>
      </w:r>
      <w:r>
        <w:rPr>
          <w:rtl/>
        </w:rPr>
        <w:t xml:space="preserve">الصمود السيبراني على الصعيد الوطني، وأسهمت في بناء بيئة رقمية أكثر أمناً وموثوقية بما يتماشى مع الممارسات الفضلى الدولية. وجرى الافتتاح الرسمي للفريق في </w:t>
      </w:r>
      <w:r w:rsidR="004C19ED" w:rsidRPr="004C19ED">
        <w:rPr>
          <w:rtl/>
        </w:rPr>
        <w:t xml:space="preserve">بشكيك </w:t>
      </w:r>
      <w:r>
        <w:rPr>
          <w:rtl/>
        </w:rPr>
        <w:t>في 12 مارس.</w:t>
      </w:r>
    </w:p>
    <w:p w14:paraId="31A75A43" w14:textId="5FB987B1" w:rsidR="00E1171F" w:rsidRDefault="00E1171F" w:rsidP="00E1171F">
      <w:pPr>
        <w:rPr>
          <w:rtl/>
        </w:rPr>
      </w:pPr>
      <w:r>
        <w:rPr>
          <w:rtl/>
        </w:rPr>
        <w:t>وقدم تقرير التقييم، الذي أجراه مكتب تنمية الاتصالات بشأن إنشاء فريق قطاعي للاستجابة للحوادث الحاسوبية (</w:t>
      </w:r>
      <w:r>
        <w:t>CIRT</w:t>
      </w:r>
      <w:r>
        <w:rPr>
          <w:rtl/>
        </w:rPr>
        <w:t>) في</w:t>
      </w:r>
      <w:r w:rsidR="004C19ED">
        <w:rPr>
          <w:rFonts w:hint="cs"/>
          <w:rtl/>
        </w:rPr>
        <w:t> </w:t>
      </w:r>
      <w:r>
        <w:rPr>
          <w:rtl/>
        </w:rPr>
        <w:t>طاجيكستان، تحليلاً معمقاً للجاهزية الوطنية في مجال الأمن السيبراني، وحدد الثغرات الرئيسية والاحتياجات المؤسسية والأولويات الاستراتيجية لعملية التنفيذ. ويدعم التقرير اتخاذ القرارات القائمة على الأدلة عن طريق رسم خارطة طريق لتطوير فعالية الفريق في التصدي للحوادث الحاسوبية، ما يسهم في تعزيز القدرة على الصمود السيبراني على الصعيد الوطني، وتعزيز حماية البنية التحتية الرقمية الحيوية بما يتماشى مع الممارسات الفضلى الدولية.</w:t>
      </w:r>
    </w:p>
    <w:p w14:paraId="7C3E8445" w14:textId="77777777" w:rsidR="00E1171F" w:rsidRDefault="00E1171F" w:rsidP="00E1171F">
      <w:pPr>
        <w:rPr>
          <w:rtl/>
        </w:rPr>
      </w:pPr>
      <w:r>
        <w:rPr>
          <w:rtl/>
        </w:rPr>
        <w:t>وفي 12 مارس، اشترك مكتب تنمية الاتصالات ووزارة صناعة التكنولوجيا المتقدمة في جمهورية أرمينيا، ووكالة نظم المعلومات في أرمينيا (</w:t>
      </w:r>
      <w:r>
        <w:t>ISAA</w:t>
      </w:r>
      <w:r>
        <w:rPr>
          <w:rtl/>
        </w:rPr>
        <w:t>)، واتحاد المشغِّلين في أرمينيا، ونادي السيدات، في تنظيم اجتماع بشأن "سلامة الأطفال على الإنترنت مسؤوليتنا المشتركة". وشهدت المناقشات مشاركة من تربويين وأمهات وغيرهم من المشاركين المهتمين، لاستكشاف التحديات الراهنة المتعلقة بسلامة الأطفال على الإنترنت، والحلول الممكنة.</w:t>
      </w:r>
    </w:p>
    <w:p w14:paraId="0565334C" w14:textId="176787A8" w:rsidR="00E1171F" w:rsidRDefault="00E1171F" w:rsidP="004C19ED">
      <w:pPr>
        <w:pStyle w:val="Headingb"/>
        <w:rPr>
          <w:rtl/>
        </w:rPr>
      </w:pPr>
      <w:r>
        <w:rPr>
          <w:rtl/>
        </w:rPr>
        <w:t>الشمول الرقمي</w:t>
      </w:r>
    </w:p>
    <w:p w14:paraId="166D9133" w14:textId="2CA3DA69" w:rsidR="00E1171F" w:rsidRDefault="00E1171F" w:rsidP="00E1171F">
      <w:pPr>
        <w:rPr>
          <w:rtl/>
        </w:rPr>
      </w:pPr>
      <w:r>
        <w:rPr>
          <w:rtl/>
        </w:rPr>
        <w:t xml:space="preserve">نشر مكتب تنمية الاتصالات </w:t>
      </w:r>
      <w:hyperlink r:id="rId48" w:history="1">
        <w:r w:rsidRPr="004C19ED">
          <w:rPr>
            <w:rStyle w:val="Hyperlink"/>
            <w:rtl/>
          </w:rPr>
          <w:t>تقرير التعميم الاستراتيجي لإمكانية النفاذ إلى تكنولوجيا المعلومات والاتصالات</w:t>
        </w:r>
        <w:r w:rsidR="004C19ED" w:rsidRPr="004C19ED">
          <w:rPr>
            <w:rStyle w:val="Hyperlink"/>
            <w:rFonts w:hint="cs"/>
            <w:rtl/>
            <w:lang w:bidi="ar-EG"/>
          </w:rPr>
          <w:t xml:space="preserve"> </w:t>
        </w:r>
        <w:r w:rsidR="004C19ED" w:rsidRPr="004C19ED">
          <w:rPr>
            <w:rStyle w:val="Hyperlink"/>
            <w:lang w:val="en-GB" w:bidi="ar-EG"/>
          </w:rPr>
          <w:t>(ICT)</w:t>
        </w:r>
      </w:hyperlink>
      <w:r>
        <w:rPr>
          <w:rtl/>
        </w:rPr>
        <w:t>، الذي أُعد لدعم الدول الأعضاء بالاتحاد في النهوض بجهود تشكيل عالم رقمي خالٍ من الحواجز. يقدم هذا المنشور إرشادات عملية، واستراتيجيات تنفيذ، وأدوات قائمة على المعايير لضمان الامتثال لمتطلبات إمكانية النفاذ إلى تكنولوجيا المعلومات والاتصالات. ويدعو إلى إدماج إمكانية النفاذ من البداية في جميع منتجات وخدمات تكنولوجيا المعلومات والاتصالات، وتعميم متطلباتها في</w:t>
      </w:r>
      <w:r w:rsidR="004C19ED">
        <w:rPr>
          <w:rFonts w:hint="cs"/>
          <w:rtl/>
        </w:rPr>
        <w:t> </w:t>
      </w:r>
      <w:r>
        <w:rPr>
          <w:rtl/>
        </w:rPr>
        <w:t>السياسات واللوائح التنظيمية، وعمليات تطوير التكنولوجيا، وتصميم المعدات، والخدمات الرقمية.</w:t>
      </w:r>
    </w:p>
    <w:p w14:paraId="046819E9" w14:textId="40D5A701" w:rsidR="00E1171F" w:rsidRDefault="00E1171F" w:rsidP="00E1171F">
      <w:pPr>
        <w:rPr>
          <w:rtl/>
        </w:rPr>
      </w:pPr>
      <w:r>
        <w:rPr>
          <w:rtl/>
        </w:rPr>
        <w:lastRenderedPageBreak/>
        <w:t xml:space="preserve">وأُطلقت المجموعة الثالثة من دورة 2026-2027 </w:t>
      </w:r>
      <w:r w:rsidRPr="004C19ED">
        <w:rPr>
          <w:b/>
          <w:bCs/>
          <w:rtl/>
        </w:rPr>
        <w:t>لبرنامج القيادة الشابة لتوصيل الجيل</w:t>
      </w:r>
      <w:r>
        <w:rPr>
          <w:rtl/>
        </w:rPr>
        <w:t xml:space="preserve"> (</w:t>
      </w:r>
      <w:r>
        <w:t>GCYLP</w:t>
      </w:r>
      <w:r>
        <w:rPr>
          <w:rtl/>
        </w:rPr>
        <w:t xml:space="preserve">)، التي اجتذبت قرابة </w:t>
      </w:r>
      <w:r w:rsidR="004C19ED">
        <w:t>6 500</w:t>
      </w:r>
      <w:r>
        <w:rPr>
          <w:rtl/>
        </w:rPr>
        <w:t xml:space="preserve"> طلب في جميع أنحاء العالم حتى 30 مارس. ويواصل البرنامج دعم 30 مبتكراً شاباً سنوياً، ويقدم لهم الإرشاد والتدريب، ومنحة مبدئية بقيمة </w:t>
      </w:r>
      <w:r w:rsidR="004C19ED">
        <w:t>5 000</w:t>
      </w:r>
      <w:r>
        <w:rPr>
          <w:rtl/>
        </w:rPr>
        <w:t xml:space="preserve"> دولار أمريكي، مع إتاحة فرص تمويل إضافية وفقاً لمدى تأثير المشروع. وسيشارك المستفيدون المختارون في الأسبوع العالمي للتنمية في جنيف في سبتمبر 2026، لتعزيز قدرات القيادة والابتكار لديهم.</w:t>
      </w:r>
    </w:p>
    <w:p w14:paraId="28B6C4F4" w14:textId="77777777" w:rsidR="00E1171F" w:rsidRDefault="00E1171F" w:rsidP="00E1171F">
      <w:pPr>
        <w:rPr>
          <w:rtl/>
        </w:rPr>
      </w:pPr>
      <w:r>
        <w:rPr>
          <w:rtl/>
        </w:rPr>
        <w:t xml:space="preserve">وبموازاة ذلك، أُطلقت مجموعة جديدة من مبادرة </w:t>
      </w:r>
      <w:r w:rsidRPr="00010AEC">
        <w:rPr>
          <w:b/>
          <w:bCs/>
          <w:rtl/>
        </w:rPr>
        <w:t>المبعوثين الشباب لمبادرة توصيل الجيل (</w:t>
      </w:r>
      <w:r w:rsidRPr="00010AEC">
        <w:rPr>
          <w:b/>
          <w:bCs/>
        </w:rPr>
        <w:t>GCYE</w:t>
      </w:r>
      <w:r w:rsidRPr="00010AEC">
        <w:rPr>
          <w:b/>
          <w:bCs/>
          <w:rtl/>
        </w:rPr>
        <w:t>)</w:t>
      </w:r>
      <w:r>
        <w:rPr>
          <w:rtl/>
        </w:rPr>
        <w:t xml:space="preserve"> في 9 مارس، وسيظل باب الترشيحات مفتوحاً حتى 30 أبريل.</w:t>
      </w:r>
    </w:p>
    <w:p w14:paraId="06AE9F28" w14:textId="5A527009" w:rsidR="00E1171F" w:rsidRPr="00010AEC" w:rsidRDefault="00E1171F" w:rsidP="00E1171F">
      <w:pPr>
        <w:rPr>
          <w:spacing w:val="-4"/>
          <w:rtl/>
        </w:rPr>
      </w:pPr>
      <w:r w:rsidRPr="00010AEC">
        <w:rPr>
          <w:b/>
          <w:bCs/>
          <w:spacing w:val="-4"/>
          <w:rtl/>
        </w:rPr>
        <w:t>وفي إفريقيا</w:t>
      </w:r>
      <w:r w:rsidRPr="00010AEC">
        <w:rPr>
          <w:spacing w:val="-4"/>
          <w:rtl/>
        </w:rPr>
        <w:t>، أُطلقت سلسلة من الحلقات الدراسية الإلكترونية للتوعية في أعقاب تقييم الشمول الرقمي الذي أجراه مكتب تنمية الاتصالات، وركز فيه على الأشخاص ذوي الإعاقة</w:t>
      </w:r>
      <w:r w:rsidR="00007C0B">
        <w:rPr>
          <w:rFonts w:hint="cs"/>
          <w:spacing w:val="-4"/>
          <w:rtl/>
          <w:lang w:bidi="ar-EG"/>
        </w:rPr>
        <w:t xml:space="preserve"> </w:t>
      </w:r>
      <w:r w:rsidR="00007C0B">
        <w:rPr>
          <w:spacing w:val="-4"/>
          <w:lang w:val="en-GB" w:bidi="ar-EG"/>
        </w:rPr>
        <w:t>(PwD)</w:t>
      </w:r>
      <w:r w:rsidRPr="00010AEC">
        <w:rPr>
          <w:spacing w:val="-4"/>
          <w:rtl/>
        </w:rPr>
        <w:t xml:space="preserve"> والفئات السكانية المستضعفة في موزامبيق. وعُقدت حلقتان دراسيتان عبر الإنترنت في فبراير ومارس على التوالي، جمعتا أصحاب المصلحة من القطاعين العام والخاص للنهوض بالتحول الرقمي الشامل للجميع.</w:t>
      </w:r>
    </w:p>
    <w:p w14:paraId="741C8530" w14:textId="32BFAF9B" w:rsidR="00E1171F" w:rsidRDefault="00E1171F" w:rsidP="00E1171F">
      <w:pPr>
        <w:rPr>
          <w:rtl/>
        </w:rPr>
      </w:pPr>
      <w:r w:rsidRPr="0004566C">
        <w:rPr>
          <w:b/>
          <w:bCs/>
          <w:rtl/>
        </w:rPr>
        <w:t>وفي آسيا والمحيط الهادئ</w:t>
      </w:r>
      <w:r>
        <w:rPr>
          <w:rtl/>
        </w:rPr>
        <w:t>، عقد مكتب تنمية الاتصالات في 16 فبراير جلسة بشأن "الذكاء الاصطناعي والقدرة الاقتصادية - خارطة طريق لازدهار تقوده المرأة"، بالشراكة مع اللجنة الوطنية لشؤون المرأة (</w:t>
      </w:r>
      <w:r>
        <w:t>NCW</w:t>
      </w:r>
      <w:r>
        <w:rPr>
          <w:rtl/>
        </w:rPr>
        <w:t>) ومعهد الأمم المتحدة للتدريب والبحث</w:t>
      </w:r>
      <w:r w:rsidR="0004566C">
        <w:rPr>
          <w:rFonts w:hint="cs"/>
          <w:rtl/>
        </w:rPr>
        <w:t> </w:t>
      </w:r>
      <w:r>
        <w:rPr>
          <w:rtl/>
        </w:rPr>
        <w:t>(</w:t>
      </w:r>
      <w:r>
        <w:t>UNITAR</w:t>
      </w:r>
      <w:r>
        <w:rPr>
          <w:rtl/>
        </w:rPr>
        <w:t>)، في إطار قمة تأثير الذكاء الاصطناعي في الهند التي عُقدت في بهارات ماندابام في نيودلهي، الهند. سلطت المناقشات الضوء على أهمية تمكين النساء باعتبارهن مبدعات ومبتكرات ومالكات في النظام الإيكولوجي للذكاء الاصطناعي، مع التركيز على بناء القدرات، وتعميق الإلمام بالمعارف المتعلقة بالذكاء الاصطناعي، والأخلاق الرقمية، والتوعية بالأمن السيبراني، فضلاً عن الحاجة إلى التصدي للمخاطر الرقمية، مثل التزييف العميق، وتعزيز مساءلة المنصات، وضمان وضع سياسات داعمة تحمي النساء على الإنترنت.</w:t>
      </w:r>
    </w:p>
    <w:p w14:paraId="052E8378" w14:textId="7EC09DB4" w:rsidR="00E1171F" w:rsidRDefault="00E1171F" w:rsidP="00E1171F">
      <w:pPr>
        <w:rPr>
          <w:rtl/>
        </w:rPr>
      </w:pPr>
      <w:r w:rsidRPr="0004566C">
        <w:rPr>
          <w:b/>
          <w:bCs/>
          <w:rtl/>
        </w:rPr>
        <w:t>وفي كومنولث الدول المستقلة</w:t>
      </w:r>
      <w:r>
        <w:rPr>
          <w:rtl/>
        </w:rPr>
        <w:t>، عُقد هاكاثون هندسي شامل، يومي 3 و4 فبراير، بعنوان "تكنولوجيا المعلومات والاتصالات للجميع: حلول رقمية بلا حدود" في جامعة "آي رازاكوف" التقنية الحكومية في قيرغيزستان. وكان هذا الحدث بمثابة منصة تطبيق عملي للتكنولوجيات المساعدة الرامية إلى تحسين نوعية حياة الأفراد ذوي الإعاقة البصرية. وأسهم هذا النشاط في تيسير نقل المعارف بشكل فعال؛ إذ أظهر الطلاب كفاءة في استخدام وحدات التحكم الدقيقة الحديثة والبرمجة، بينما طرح المتخصصون الأكبر سناً خبراتهم الهندسية، وأسهم المستفيدون بخبراتهم الحياتية وما يواجهه الأشخاص ذوو الاحتياجات الخاصة من تحديات في الحياة اليومية.</w:t>
      </w:r>
    </w:p>
    <w:p w14:paraId="3ADBA5B6" w14:textId="5061DE54" w:rsidR="00E1171F" w:rsidRDefault="00E1171F" w:rsidP="00E1171F">
      <w:pPr>
        <w:rPr>
          <w:rtl/>
        </w:rPr>
      </w:pPr>
      <w:r w:rsidRPr="00F96A9A">
        <w:rPr>
          <w:b/>
          <w:bCs/>
          <w:rtl/>
        </w:rPr>
        <w:t>وفي أوروبا</w:t>
      </w:r>
      <w:r>
        <w:rPr>
          <w:rtl/>
        </w:rPr>
        <w:t>، سلَّم مكتب تنمية الاتصالات إلى مولدوفا التقييم الوطني لسياساتها ولوائحها التنظيمية، الذي ركز بشكل خاص على</w:t>
      </w:r>
      <w:r w:rsidR="00F96A9A">
        <w:rPr>
          <w:rFonts w:hint="cs"/>
          <w:rtl/>
        </w:rPr>
        <w:t> </w:t>
      </w:r>
      <w:r>
        <w:rPr>
          <w:rtl/>
        </w:rPr>
        <w:t>إمكانية النفاذ الرقمي.</w:t>
      </w:r>
    </w:p>
    <w:p w14:paraId="1B665A32" w14:textId="02456260" w:rsidR="00C23B5E" w:rsidRPr="00C23B5E" w:rsidRDefault="00FA46D5" w:rsidP="00FA46D5">
      <w:pPr>
        <w:pStyle w:val="Heading1"/>
      </w:pPr>
      <w:r>
        <w:t>4</w:t>
      </w:r>
      <w:r>
        <w:tab/>
      </w:r>
      <w:r w:rsidR="00EB6F39">
        <w:rPr>
          <w:rFonts w:hint="cs"/>
          <w:rtl/>
        </w:rPr>
        <w:t>النواتج</w:t>
      </w:r>
    </w:p>
    <w:p w14:paraId="409EDE8C" w14:textId="3F143D09" w:rsidR="00C23B5E" w:rsidRPr="00C23B5E" w:rsidRDefault="00C23B5E" w:rsidP="00C23B5E">
      <w:pPr>
        <w:rPr>
          <w:lang w:val="ar-SA" w:bidi="ar-EG"/>
        </w:rPr>
      </w:pPr>
      <w:r w:rsidRPr="00C23B5E">
        <w:rPr>
          <w:rtl/>
        </w:rPr>
        <w:t xml:space="preserve">لتحقيق </w:t>
      </w:r>
      <w:r w:rsidR="002F6EBB">
        <w:rPr>
          <w:rFonts w:hint="cs"/>
          <w:rtl/>
        </w:rPr>
        <w:t>المحصلات</w:t>
      </w:r>
      <w:r w:rsidR="00EB6F39" w:rsidRPr="00C23B5E">
        <w:rPr>
          <w:rtl/>
        </w:rPr>
        <w:t xml:space="preserve"> </w:t>
      </w:r>
      <w:r w:rsidRPr="00C23B5E">
        <w:rPr>
          <w:rtl/>
        </w:rPr>
        <w:t>التي حددها المؤتمر العالمي لتنمية الاتصالات WTDC-25 لكل مجال من مجالات أولوية قطاع تنمية الاتصالات، سيواصل مكتب تنمية الاتصالات تطوير المنتجات والخدمات لدعم التنفيذ على المستويات الوطنية والإقليمية والدولية. وهذه المنتجات والخدمات (ال</w:t>
      </w:r>
      <w:r w:rsidR="004B15CA">
        <w:rPr>
          <w:rFonts w:hint="cs"/>
          <w:rtl/>
        </w:rPr>
        <w:t>نواتج</w:t>
      </w:r>
      <w:r w:rsidRPr="00C23B5E">
        <w:rPr>
          <w:rtl/>
        </w:rPr>
        <w:t>) شاملة تساهم مجتمعة في تحقيق جميع الأولويات.</w:t>
      </w:r>
    </w:p>
    <w:p w14:paraId="29CC650C" w14:textId="680B7EA3" w:rsidR="00C23B5E" w:rsidRPr="00C23B5E" w:rsidRDefault="00C23B5E" w:rsidP="00C23B5E">
      <w:pPr>
        <w:rPr>
          <w:rtl/>
        </w:rPr>
      </w:pPr>
      <w:r w:rsidRPr="00C23B5E">
        <w:rPr>
          <w:rtl/>
        </w:rPr>
        <w:t xml:space="preserve">وتشمل الفئات الرئيسية </w:t>
      </w:r>
      <w:r w:rsidR="005443F3">
        <w:rPr>
          <w:rFonts w:hint="cs"/>
          <w:rtl/>
        </w:rPr>
        <w:t>لنواتج</w:t>
      </w:r>
      <w:r w:rsidRPr="00C23B5E">
        <w:rPr>
          <w:rtl/>
        </w:rPr>
        <w:t xml:space="preserve"> قطاع تنمية الاتصالات:</w:t>
      </w:r>
    </w:p>
    <w:p w14:paraId="2B068004" w14:textId="44AF918E" w:rsidR="00C23B5E" w:rsidRPr="00FA46D5" w:rsidRDefault="00FA46D5" w:rsidP="00FA46D5">
      <w:pPr>
        <w:pStyle w:val="enumlev1"/>
        <w:rPr>
          <w:b/>
          <w:bCs/>
          <w:lang w:val="ar-SA" w:bidi="ar-EG"/>
        </w:rPr>
      </w:pPr>
      <w:r>
        <w:rPr>
          <w:rtl/>
        </w:rPr>
        <w:t>‒</w:t>
      </w:r>
      <w:r>
        <w:tab/>
      </w:r>
      <w:r w:rsidR="00C23B5E" w:rsidRPr="00FA46D5">
        <w:rPr>
          <w:b/>
          <w:bCs/>
          <w:rtl/>
        </w:rPr>
        <w:t>السياسات والاستراتيجيات النموذجية</w:t>
      </w:r>
      <w:r>
        <w:rPr>
          <w:b/>
          <w:bCs/>
          <w:lang w:bidi="ar-EG"/>
        </w:rPr>
        <w:tab/>
      </w:r>
      <w:r>
        <w:rPr>
          <w:b/>
          <w:bCs/>
          <w:lang w:bidi="ar-EG"/>
        </w:rPr>
        <w:br/>
      </w:r>
      <w:r w:rsidR="00C23B5E" w:rsidRPr="00C23B5E">
        <w:rPr>
          <w:rtl/>
        </w:rPr>
        <w:t>يضع مكتب تنمية الاتصالات إرشادات وأطر سياساتية لدعم الدول الأعضاء في تصميم أطر وخطط استراتيجية وطنية مصممة خصيصا</w:t>
      </w:r>
      <w:r w:rsidR="00E1171F">
        <w:rPr>
          <w:rFonts w:hint="cs"/>
          <w:rtl/>
        </w:rPr>
        <w:t>ً</w:t>
      </w:r>
      <w:r w:rsidR="00C23B5E" w:rsidRPr="00C23B5E">
        <w:rPr>
          <w:rtl/>
        </w:rPr>
        <w:t xml:space="preserve"> للاتصالات/تكنولوجيا المعلومات والاتصالات. وتشمل الأمثلة، على سبيل المثال لا الحصر، الخطط الوطنية للاتصالات في حالات الطوارئ </w:t>
      </w:r>
      <w:r w:rsidR="00C23B5E" w:rsidRPr="00C23B5E">
        <w:rPr>
          <w:lang w:bidi="ar-EG"/>
        </w:rPr>
        <w:t>(NETP)</w:t>
      </w:r>
      <w:r w:rsidR="00C23B5E" w:rsidRPr="00C23B5E">
        <w:rPr>
          <w:rtl/>
        </w:rPr>
        <w:t>، وأدلة الابتكار، والمبادئ التوجيهية والاستراتيجيات الإذاعية، والاستراتيجيات الوطنية للأمن السيبراني، والمبادئ التوجيهية لسياسة الشمول الرقمي والاستراتيجيات الوطنية، وإرشادات السياسة التنظيمية، والتوصيات السياساتية التي تدعم التحول والاستثمار الرقميين، وما إلى ذلك.</w:t>
      </w:r>
    </w:p>
    <w:p w14:paraId="01EF5E33" w14:textId="48EBAB67" w:rsidR="00C23B5E" w:rsidRPr="00E1171F" w:rsidRDefault="00FA46D5" w:rsidP="00FA46D5">
      <w:pPr>
        <w:pStyle w:val="enumlev1"/>
        <w:rPr>
          <w:b/>
          <w:bCs/>
          <w:spacing w:val="-2"/>
          <w:lang w:val="ar-SA" w:bidi="ar-EG"/>
        </w:rPr>
      </w:pPr>
      <w:r w:rsidRPr="00E1171F">
        <w:rPr>
          <w:spacing w:val="-2"/>
          <w:rtl/>
        </w:rPr>
        <w:t>‒</w:t>
      </w:r>
      <w:r w:rsidRPr="00E1171F">
        <w:rPr>
          <w:spacing w:val="-2"/>
        </w:rPr>
        <w:tab/>
      </w:r>
      <w:r w:rsidR="00C23B5E" w:rsidRPr="00E1171F">
        <w:rPr>
          <w:b/>
          <w:bCs/>
          <w:spacing w:val="-2"/>
          <w:rtl/>
        </w:rPr>
        <w:t>مجموعات الأدوات والأدوات التحليلية</w:t>
      </w:r>
      <w:r w:rsidRPr="00E1171F">
        <w:rPr>
          <w:b/>
          <w:bCs/>
          <w:spacing w:val="-2"/>
        </w:rPr>
        <w:tab/>
      </w:r>
      <w:r w:rsidRPr="00E1171F">
        <w:rPr>
          <w:b/>
          <w:bCs/>
          <w:spacing w:val="-2"/>
        </w:rPr>
        <w:br/>
      </w:r>
      <w:r w:rsidR="00C23B5E" w:rsidRPr="00E1171F">
        <w:rPr>
          <w:spacing w:val="-2"/>
          <w:rtl/>
        </w:rPr>
        <w:t xml:space="preserve">يوفر مكتب تنمية الاتصالات أدوات عملية ومنصات رقمية لدعم التخطيط ونشر البنية التحتية وتقييم السياسات وصنع القرار. ومن الأمثلة على ذلك منصة تخطيط التوصيلية </w:t>
      </w:r>
      <w:r w:rsidR="00C23B5E" w:rsidRPr="00E1171F">
        <w:rPr>
          <w:spacing w:val="-2"/>
          <w:lang w:bidi="ar-EG"/>
        </w:rPr>
        <w:t>(CPP)</w:t>
      </w:r>
      <w:r w:rsidR="00C23B5E" w:rsidRPr="00E1171F">
        <w:rPr>
          <w:spacing w:val="-2"/>
          <w:rtl/>
        </w:rPr>
        <w:t xml:space="preserve"> </w:t>
      </w:r>
      <w:r w:rsidR="00E1171F" w:rsidRPr="00E1171F">
        <w:rPr>
          <w:spacing w:val="-2"/>
          <w:rtl/>
        </w:rPr>
        <w:t xml:space="preserve">المقرر طرحها في الندوة </w:t>
      </w:r>
      <w:r w:rsidR="00E1171F" w:rsidRPr="00E1171F">
        <w:rPr>
          <w:spacing w:val="-2"/>
        </w:rPr>
        <w:t>GSR-26</w:t>
      </w:r>
      <w:r w:rsidR="00E1171F" w:rsidRPr="00E1171F">
        <w:rPr>
          <w:spacing w:val="-2"/>
          <w:rtl/>
        </w:rPr>
        <w:t xml:space="preserve">، ونهج التحول الرقمي، </w:t>
      </w:r>
      <w:r w:rsidR="00C23B5E" w:rsidRPr="00E1171F">
        <w:rPr>
          <w:spacing w:val="-2"/>
          <w:rtl/>
        </w:rPr>
        <w:t xml:space="preserve">وخرائط النطاق العريض التي توفر </w:t>
      </w:r>
      <w:r w:rsidR="00715546">
        <w:rPr>
          <w:rFonts w:hint="cs"/>
          <w:spacing w:val="-2"/>
          <w:rtl/>
        </w:rPr>
        <w:t xml:space="preserve">معطيات جغرافية ومكانية ومجموعة أدوات للابتكار </w:t>
      </w:r>
      <w:r w:rsidR="00C23B5E" w:rsidRPr="00E1171F">
        <w:rPr>
          <w:spacing w:val="-2"/>
          <w:rtl/>
        </w:rPr>
        <w:t xml:space="preserve">وتصور البنية التحتية ونمذجة التوصيلية والرؤى الإحصائية لتخطيط البنية التحتية وقرارات الاستثمار ومجموعات أدوات إمكانية النفاذ الرقمية لتعزيز الشمول الرقمي </w:t>
      </w:r>
      <w:r w:rsidR="00715546">
        <w:rPr>
          <w:rFonts w:hint="cs"/>
          <w:spacing w:val="-2"/>
          <w:rtl/>
        </w:rPr>
        <w:t>ل</w:t>
      </w:r>
      <w:r w:rsidR="00C23B5E" w:rsidRPr="00E1171F">
        <w:rPr>
          <w:spacing w:val="-2"/>
          <w:rtl/>
        </w:rPr>
        <w:t>لجميع فضلا</w:t>
      </w:r>
      <w:r w:rsidR="00E1171F" w:rsidRPr="00E1171F">
        <w:rPr>
          <w:rFonts w:hint="cs"/>
          <w:spacing w:val="-2"/>
          <w:rtl/>
        </w:rPr>
        <w:t>ً</w:t>
      </w:r>
      <w:r w:rsidR="00C23B5E" w:rsidRPr="00E1171F">
        <w:rPr>
          <w:spacing w:val="-2"/>
          <w:rtl/>
        </w:rPr>
        <w:t xml:space="preserve"> عن مجموعات الأدوات الأخرى لتخطيط النظام الإيكولوجي الرقمي والتنظيم.</w:t>
      </w:r>
    </w:p>
    <w:p w14:paraId="5E39A66B" w14:textId="3D289BDC" w:rsidR="00F10980" w:rsidRDefault="00FA46D5" w:rsidP="00FA46D5">
      <w:pPr>
        <w:pStyle w:val="enumlev1"/>
        <w:rPr>
          <w:rtl/>
        </w:rPr>
      </w:pPr>
      <w:r>
        <w:rPr>
          <w:rtl/>
        </w:rPr>
        <w:lastRenderedPageBreak/>
        <w:t>‒</w:t>
      </w:r>
      <w:r w:rsidR="00F10980">
        <w:rPr>
          <w:rtl/>
        </w:rPr>
        <w:tab/>
      </w:r>
      <w:r w:rsidR="00C23B5E" w:rsidRPr="00FA46D5">
        <w:rPr>
          <w:b/>
          <w:bCs/>
          <w:rtl/>
        </w:rPr>
        <w:t>منصات عقد الاجتماعات</w:t>
      </w:r>
      <w:r>
        <w:rPr>
          <w:b/>
          <w:bCs/>
        </w:rPr>
        <w:tab/>
      </w:r>
      <w:r>
        <w:rPr>
          <w:b/>
          <w:bCs/>
        </w:rPr>
        <w:br/>
      </w:r>
      <w:r w:rsidR="00C23B5E" w:rsidRPr="00C23B5E">
        <w:rPr>
          <w:rtl/>
        </w:rPr>
        <w:t xml:space="preserve">ينظم مكتب تنمية الاتصالات منتديات عالمية وإقليمية، بما في ذلك حوارات لأصحاب المصلحة المتعددين تسهل تبادل المعارف وتطوير الشراكات والتنسيق بين الحكومات والصناعة وشركاء التنمية. ومن الأمثلة على ذلك الندوة العالمية لمنظمي الاتصالات </w:t>
      </w:r>
      <w:r w:rsidR="00C23B5E" w:rsidRPr="00C23B5E">
        <w:rPr>
          <w:lang w:bidi="ar-EG"/>
        </w:rPr>
        <w:t>(GSR)</w:t>
      </w:r>
      <w:r w:rsidR="00C23B5E" w:rsidRPr="00C23B5E">
        <w:rPr>
          <w:rtl/>
        </w:rPr>
        <w:t xml:space="preserve"> والمنتدى العالمي للابتكار </w:t>
      </w:r>
      <w:r w:rsidR="00C23B5E" w:rsidRPr="00C23B5E">
        <w:rPr>
          <w:lang w:bidi="ar-EG"/>
        </w:rPr>
        <w:t>(GIF)</w:t>
      </w:r>
      <w:r w:rsidR="00C23B5E" w:rsidRPr="00C23B5E">
        <w:rPr>
          <w:rtl/>
        </w:rPr>
        <w:t xml:space="preserve"> ومنتدى المهارات الرقمية </w:t>
      </w:r>
      <w:r w:rsidR="00C23B5E" w:rsidRPr="00C23B5E">
        <w:rPr>
          <w:lang w:bidi="ar-EG"/>
        </w:rPr>
        <w:t>(DSF)</w:t>
      </w:r>
      <w:r w:rsidR="00C23B5E" w:rsidRPr="00C23B5E">
        <w:rPr>
          <w:rtl/>
        </w:rPr>
        <w:t xml:space="preserve"> والمنتديات الإقليمية للتنمية </w:t>
      </w:r>
      <w:r w:rsidR="00C23B5E" w:rsidRPr="00C23B5E">
        <w:rPr>
          <w:lang w:bidi="ar-EG"/>
        </w:rPr>
        <w:t>(RDF)</w:t>
      </w:r>
      <w:r w:rsidR="00C23B5E" w:rsidRPr="00C23B5E">
        <w:rPr>
          <w:rtl/>
        </w:rPr>
        <w:t xml:space="preserve"> والندوة العالمية لمؤشرات الاتصالات/تكنولوجيا المعلومات والاتصالات </w:t>
      </w:r>
      <w:r w:rsidR="00C23B5E" w:rsidRPr="00C23B5E">
        <w:rPr>
          <w:lang w:bidi="ar-EG"/>
        </w:rPr>
        <w:t>(WTIS)</w:t>
      </w:r>
      <w:r w:rsidR="00C23B5E" w:rsidRPr="00C23B5E">
        <w:rPr>
          <w:rtl/>
        </w:rPr>
        <w:t xml:space="preserve"> </w:t>
      </w:r>
      <w:r w:rsidR="00E76299" w:rsidRPr="00E76299">
        <w:rPr>
          <w:rtl/>
        </w:rPr>
        <w:t>وقمة عالم قابل للنفاذ</w:t>
      </w:r>
      <w:r w:rsidR="00C23B5E" w:rsidRPr="00C23B5E">
        <w:rPr>
          <w:rtl/>
        </w:rPr>
        <w:t>، وما إلى ذلك.</w:t>
      </w:r>
    </w:p>
    <w:p w14:paraId="26FD1A02" w14:textId="10282B95" w:rsidR="00F10980" w:rsidRDefault="00FA46D5" w:rsidP="00FA46D5">
      <w:pPr>
        <w:pStyle w:val="enumlev1"/>
        <w:rPr>
          <w:rtl/>
        </w:rPr>
      </w:pPr>
      <w:r>
        <w:rPr>
          <w:rtl/>
        </w:rPr>
        <w:t>‒</w:t>
      </w:r>
      <w:r>
        <w:tab/>
      </w:r>
      <w:r w:rsidR="00C23B5E" w:rsidRPr="00FA46D5">
        <w:rPr>
          <w:b/>
          <w:bCs/>
          <w:rtl/>
        </w:rPr>
        <w:t>أطر التعلم وموارد تنمية القدرات</w:t>
      </w:r>
      <w:r>
        <w:rPr>
          <w:b/>
          <w:bCs/>
        </w:rPr>
        <w:tab/>
      </w:r>
      <w:r>
        <w:rPr>
          <w:b/>
          <w:bCs/>
        </w:rPr>
        <w:br/>
      </w:r>
      <w:r w:rsidR="00C23B5E" w:rsidRPr="00C23B5E">
        <w:rPr>
          <w:rtl/>
        </w:rPr>
        <w:t>يوفر مكتب تنمية الاتصالات أنشطة تدريبية حضورية، أو برامج ودورات تدريبية منظمة عبر الإنترنت ذاتية الوتيرة، أو</w:t>
      </w:r>
      <w:r w:rsidR="002C3875">
        <w:rPr>
          <w:rFonts w:hint="cs"/>
          <w:rtl/>
        </w:rPr>
        <w:t> </w:t>
      </w:r>
      <w:r w:rsidR="00C23B5E" w:rsidRPr="00C23B5E">
        <w:rPr>
          <w:rtl/>
        </w:rPr>
        <w:t>بقيادة معلمين من خلال مبادرات بناء القدرات وتطوير موارد معرفية تشمل تقارير مواضيعية ومجموعات أدوات تساعد واضعي السياسات والمنظمين والممارسين على تعزيز المهارات الفردية والمؤسسية على السواء. وتشمل هذه الأطر التعليمية التي وضعها مختبر التحول الرقمي، ودورات أكاديمية الاتحاد وآليات التعلم الأخرى، وورش العمل، والدورات التدريبية التنفيذية، وما إلى ذلك.</w:t>
      </w:r>
    </w:p>
    <w:p w14:paraId="1CCE3ABB" w14:textId="2778143D" w:rsidR="00C23B5E" w:rsidRPr="00FA46D5" w:rsidRDefault="00FA46D5" w:rsidP="00FA46D5">
      <w:pPr>
        <w:pStyle w:val="enumlev1"/>
        <w:rPr>
          <w:b/>
          <w:bCs/>
          <w:lang w:val="ar-SA" w:bidi="ar-EG"/>
        </w:rPr>
      </w:pPr>
      <w:r>
        <w:rPr>
          <w:rtl/>
        </w:rPr>
        <w:t>‒</w:t>
      </w:r>
      <w:r>
        <w:tab/>
      </w:r>
      <w:r w:rsidR="00C23B5E" w:rsidRPr="00FA46D5">
        <w:rPr>
          <w:b/>
          <w:bCs/>
          <w:rtl/>
        </w:rPr>
        <w:t>الإحصاءات والبحوث والمنتجات المعرفية</w:t>
      </w:r>
      <w:r>
        <w:rPr>
          <w:b/>
          <w:bCs/>
        </w:rPr>
        <w:tab/>
      </w:r>
      <w:r>
        <w:rPr>
          <w:b/>
          <w:bCs/>
        </w:rPr>
        <w:br/>
      </w:r>
      <w:r w:rsidR="00C23B5E" w:rsidRPr="00C23B5E">
        <w:rPr>
          <w:rtl/>
        </w:rPr>
        <w:t>ينتج مكتب تنمية الاتصالات البيانات والمؤشرات والمنشورات التحليلية التي تدعم صنع القرار بالاستناد إلى الأدلة. وتشمل الأمثلة على ذلك مؤشرات تكنولوجيا المعلومات والاتصالات، وملامح الابتكار الرقمي، وتقارير الاستشراف الاستراتيجي، والاستعراضات ال</w:t>
      </w:r>
      <w:r w:rsidR="00C07ED7">
        <w:rPr>
          <w:rtl/>
        </w:rPr>
        <w:t>قُطرية</w:t>
      </w:r>
      <w:r w:rsidR="00C23B5E" w:rsidRPr="00C23B5E">
        <w:rPr>
          <w:rtl/>
        </w:rPr>
        <w:t xml:space="preserve"> للتنظيم التعاوني، ومنصة التنظيم الرقمي، والمرصد العالمي للمخلفات الإلكترونية، </w:t>
      </w:r>
      <w:r w:rsidR="00E76299" w:rsidRPr="00E76299">
        <w:rPr>
          <w:rtl/>
        </w:rPr>
        <w:t xml:space="preserve">وتقرير "نحو شركات رقمية مراعية للبيئة"، </w:t>
      </w:r>
      <w:r w:rsidR="00C23B5E" w:rsidRPr="00C23B5E">
        <w:rPr>
          <w:rtl/>
        </w:rPr>
        <w:t>وغيرها من الدراسات المواضيعية المختلفة التي تقيم النظم الإيكولوجية الرقمية الوطنية وقدرات الابتكار.</w:t>
      </w:r>
    </w:p>
    <w:p w14:paraId="2C76C626" w14:textId="5DAB6A3C" w:rsidR="00C23B5E" w:rsidRPr="00FA46D5" w:rsidRDefault="00FA46D5" w:rsidP="00FA46D5">
      <w:pPr>
        <w:pStyle w:val="enumlev1"/>
        <w:rPr>
          <w:b/>
          <w:bCs/>
          <w:lang w:val="ar-SA" w:bidi="ar-EG"/>
        </w:rPr>
      </w:pPr>
      <w:r>
        <w:rPr>
          <w:rtl/>
        </w:rPr>
        <w:t>‒</w:t>
      </w:r>
      <w:r>
        <w:tab/>
      </w:r>
      <w:r w:rsidR="00C23B5E" w:rsidRPr="00FA46D5">
        <w:rPr>
          <w:b/>
          <w:bCs/>
          <w:rtl/>
        </w:rPr>
        <w:t>التدخلات التقنية ودعم التنفيذ</w:t>
      </w:r>
      <w:r>
        <w:rPr>
          <w:b/>
          <w:bCs/>
        </w:rPr>
        <w:tab/>
      </w:r>
      <w:r>
        <w:rPr>
          <w:b/>
          <w:bCs/>
        </w:rPr>
        <w:br/>
      </w:r>
      <w:r w:rsidR="00C23B5E" w:rsidRPr="00C23B5E">
        <w:rPr>
          <w:rtl/>
        </w:rPr>
        <w:t xml:space="preserve">يقدم مكتب تنمية الاتصالات المساعدة التقنية المباشرة والخدمات الاستشارية والمبادرات </w:t>
      </w:r>
      <w:r w:rsidR="00715546">
        <w:rPr>
          <w:rFonts w:hint="cs"/>
          <w:rtl/>
        </w:rPr>
        <w:t>التجريبية</w:t>
      </w:r>
      <w:r w:rsidR="00C23B5E" w:rsidRPr="00C23B5E">
        <w:rPr>
          <w:rtl/>
        </w:rPr>
        <w:t xml:space="preserve"> لدعم البلدان في</w:t>
      </w:r>
      <w:r w:rsidR="002C3875">
        <w:rPr>
          <w:rFonts w:hint="cs"/>
          <w:rtl/>
        </w:rPr>
        <w:t> </w:t>
      </w:r>
      <w:r w:rsidR="00C23B5E" w:rsidRPr="00C23B5E">
        <w:rPr>
          <w:rtl/>
        </w:rPr>
        <w:t>تنفيذ السياسات والاستراتيجيات الوطنية لتكنولوجيا المعلومات والاتصالات. وتساعد هذه التدخلات الدول الأعضاء على نشر البنية التحتية والنهوض بالشمول الرقمي وتهيئة بيئات الابتكار الرقمي</w:t>
      </w:r>
      <w:r w:rsidR="00E76299" w:rsidRPr="00E76299">
        <w:rPr>
          <w:rtl/>
        </w:rPr>
        <w:t xml:space="preserve">، والإسهام في الاستدامة البيئية، </w:t>
      </w:r>
      <w:r w:rsidR="00C23B5E" w:rsidRPr="00C23B5E">
        <w:rPr>
          <w:rtl/>
        </w:rPr>
        <w:t>وتعزيز الأمن السيبراني وتقديم الخدمات الرقمية للنهوض بتحول رقمي شامل.</w:t>
      </w:r>
    </w:p>
    <w:p w14:paraId="639C749F" w14:textId="4C2DBA6A" w:rsidR="00C23B5E" w:rsidRPr="00C23B5E" w:rsidRDefault="00C23B5E" w:rsidP="00C23B5E">
      <w:pPr>
        <w:rPr>
          <w:lang w:val="ar-SA" w:bidi="ar-EG"/>
        </w:rPr>
      </w:pPr>
      <w:r w:rsidRPr="00C23B5E">
        <w:rPr>
          <w:rtl/>
        </w:rPr>
        <w:t xml:space="preserve">وسيراقب مكتب تنمية الاتصالات إنجاز </w:t>
      </w:r>
      <w:r w:rsidR="005443F3">
        <w:rPr>
          <w:rFonts w:hint="cs"/>
          <w:rtl/>
        </w:rPr>
        <w:t>النواتج</w:t>
      </w:r>
      <w:r w:rsidRPr="00C23B5E">
        <w:rPr>
          <w:rtl/>
        </w:rPr>
        <w:t xml:space="preserve"> ومساهمتها في تحقيق </w:t>
      </w:r>
      <w:r w:rsidR="002F6EBB">
        <w:rPr>
          <w:rFonts w:hint="cs"/>
          <w:rtl/>
        </w:rPr>
        <w:t xml:space="preserve">المحصلات </w:t>
      </w:r>
      <w:r w:rsidRPr="00C23B5E">
        <w:rPr>
          <w:rtl/>
        </w:rPr>
        <w:t xml:space="preserve">ذات الأولوية لقطاع تنمية الاتصالات من خلال مؤشرات </w:t>
      </w:r>
      <w:r w:rsidR="00EB6F39">
        <w:rPr>
          <w:rFonts w:hint="cs"/>
          <w:rtl/>
        </w:rPr>
        <w:t>النواتج</w:t>
      </w:r>
      <w:r w:rsidRPr="00C23B5E">
        <w:rPr>
          <w:rtl/>
        </w:rPr>
        <w:t xml:space="preserve"> الشاملة، بما في ذلك:</w:t>
      </w:r>
    </w:p>
    <w:tbl>
      <w:tblPr>
        <w:bidiVisual/>
        <w:tblW w:w="5074" w:type="pct"/>
        <w:tblLayout w:type="fixed"/>
        <w:tblLook w:val="04A0" w:firstRow="1" w:lastRow="0" w:firstColumn="1" w:lastColumn="0" w:noHBand="0" w:noVBand="1"/>
      </w:tblPr>
      <w:tblGrid>
        <w:gridCol w:w="2835"/>
        <w:gridCol w:w="6947"/>
      </w:tblGrid>
      <w:tr w:rsidR="00C23B5E" w:rsidRPr="00C23B5E" w14:paraId="294A863D" w14:textId="77777777" w:rsidTr="00FA46D5">
        <w:trPr>
          <w:trHeight w:val="315"/>
          <w:tblHeader/>
        </w:trPr>
        <w:tc>
          <w:tcPr>
            <w:tcW w:w="2835" w:type="dxa"/>
            <w:tcBorders>
              <w:top w:val="nil"/>
              <w:left w:val="nil"/>
              <w:bottom w:val="single" w:sz="4" w:space="0" w:color="C0E6F5"/>
              <w:right w:val="nil"/>
            </w:tcBorders>
            <w:shd w:val="clear" w:color="104861" w:fill="104861"/>
            <w:noWrap/>
            <w:hideMark/>
          </w:tcPr>
          <w:p w14:paraId="0432E948" w14:textId="77777777" w:rsidR="00C23B5E" w:rsidRPr="00FA46D5" w:rsidRDefault="00C23B5E" w:rsidP="000B0A3D">
            <w:pPr>
              <w:pStyle w:val="TableHead"/>
              <w:jc w:val="both"/>
              <w:rPr>
                <w:spacing w:val="-8"/>
                <w:position w:val="2"/>
                <w:lang w:val="ar-SA" w:bidi="ar-EG"/>
              </w:rPr>
            </w:pPr>
            <w:r w:rsidRPr="00FA46D5">
              <w:rPr>
                <w:spacing w:val="-8"/>
                <w:position w:val="2"/>
                <w:rtl/>
              </w:rPr>
              <w:t>منتجات/خدمات قطاع تنمية الاتصالات</w:t>
            </w:r>
          </w:p>
        </w:tc>
        <w:tc>
          <w:tcPr>
            <w:tcW w:w="6947" w:type="dxa"/>
            <w:tcBorders>
              <w:top w:val="nil"/>
              <w:left w:val="nil"/>
              <w:bottom w:val="single" w:sz="4" w:space="0" w:color="C0E6F5"/>
              <w:right w:val="nil"/>
            </w:tcBorders>
            <w:shd w:val="clear" w:color="104861" w:fill="104861"/>
            <w:noWrap/>
            <w:hideMark/>
          </w:tcPr>
          <w:p w14:paraId="302C29C0" w14:textId="77777777" w:rsidR="00C23B5E" w:rsidRPr="00FA46D5" w:rsidRDefault="00C23B5E" w:rsidP="000B0A3D">
            <w:pPr>
              <w:pStyle w:val="TableHead"/>
              <w:jc w:val="both"/>
              <w:rPr>
                <w:position w:val="2"/>
                <w:lang w:val="ar-SA" w:bidi="ar-EG"/>
              </w:rPr>
            </w:pPr>
            <w:r w:rsidRPr="00FA46D5">
              <w:rPr>
                <w:position w:val="2"/>
                <w:rtl/>
              </w:rPr>
              <w:t>المؤشرات</w:t>
            </w:r>
            <w:r w:rsidRPr="002C3875">
              <w:rPr>
                <w:rStyle w:val="FootnoteReference"/>
                <w:rtl/>
              </w:rPr>
              <w:footnoteReference w:id="4"/>
            </w:r>
          </w:p>
        </w:tc>
      </w:tr>
      <w:tr w:rsidR="00C23B5E" w:rsidRPr="00C23B5E" w14:paraId="013BAF04" w14:textId="77777777" w:rsidTr="00FA46D5">
        <w:trPr>
          <w:trHeight w:val="76"/>
        </w:trPr>
        <w:tc>
          <w:tcPr>
            <w:tcW w:w="2835" w:type="dxa"/>
            <w:vMerge w:val="restart"/>
            <w:tcBorders>
              <w:top w:val="single" w:sz="4" w:space="0" w:color="C0E6F5"/>
              <w:left w:val="nil"/>
              <w:right w:val="nil"/>
            </w:tcBorders>
            <w:shd w:val="clear" w:color="44B3E1" w:fill="44B3E1"/>
            <w:noWrap/>
            <w:hideMark/>
          </w:tcPr>
          <w:p w14:paraId="2B0CA3AF" w14:textId="77777777" w:rsidR="00C23B5E" w:rsidRPr="00FA46D5" w:rsidRDefault="00C23B5E" w:rsidP="000B0A3D">
            <w:pPr>
              <w:pStyle w:val="Tabletexte"/>
              <w:spacing w:before="40" w:after="40"/>
              <w:rPr>
                <w:b/>
                <w:bCs/>
                <w:color w:val="FFFFFF" w:themeColor="background1"/>
                <w:position w:val="2"/>
                <w:lang w:val="ar-SA" w:bidi="ar-EG"/>
              </w:rPr>
            </w:pPr>
            <w:r w:rsidRPr="00FA46D5">
              <w:rPr>
                <w:b/>
                <w:bCs/>
                <w:color w:val="FFFFFF" w:themeColor="background1"/>
                <w:position w:val="2"/>
                <w:rtl/>
              </w:rPr>
              <w:t>التدخلات التقنية</w:t>
            </w:r>
          </w:p>
        </w:tc>
        <w:tc>
          <w:tcPr>
            <w:tcW w:w="6947" w:type="dxa"/>
            <w:tcBorders>
              <w:top w:val="single" w:sz="4" w:space="0" w:color="C0E6F5"/>
              <w:left w:val="nil"/>
              <w:bottom w:val="single" w:sz="4" w:space="0" w:color="C0E6F5"/>
              <w:right w:val="nil"/>
            </w:tcBorders>
            <w:noWrap/>
            <w:hideMark/>
          </w:tcPr>
          <w:p w14:paraId="1EF03C08" w14:textId="77777777" w:rsidR="00C23B5E" w:rsidRPr="00FA46D5" w:rsidRDefault="00C23B5E" w:rsidP="000B0A3D">
            <w:pPr>
              <w:pStyle w:val="Tabletexte"/>
              <w:spacing w:before="40" w:after="40"/>
              <w:rPr>
                <w:position w:val="2"/>
                <w:lang w:val="ar-SA" w:bidi="ar-EG"/>
              </w:rPr>
            </w:pPr>
            <w:r w:rsidRPr="00FA46D5">
              <w:rPr>
                <w:position w:val="2"/>
                <w:rtl/>
              </w:rPr>
              <w:t>عدد مشاريع قطاع تنمية الاتصالات الموقعة</w:t>
            </w:r>
          </w:p>
        </w:tc>
      </w:tr>
      <w:tr w:rsidR="00C23B5E" w:rsidRPr="00C23B5E" w14:paraId="0A1039DB" w14:textId="77777777" w:rsidTr="00FA46D5">
        <w:trPr>
          <w:trHeight w:val="315"/>
        </w:trPr>
        <w:tc>
          <w:tcPr>
            <w:tcW w:w="2835" w:type="dxa"/>
            <w:vMerge/>
            <w:tcBorders>
              <w:left w:val="nil"/>
              <w:right w:val="nil"/>
            </w:tcBorders>
            <w:shd w:val="clear" w:color="44B3E1" w:fill="44B3E1"/>
            <w:noWrap/>
            <w:hideMark/>
          </w:tcPr>
          <w:p w14:paraId="69B5D117" w14:textId="77777777" w:rsidR="00C23B5E" w:rsidRPr="00FA46D5" w:rsidRDefault="00C23B5E" w:rsidP="000B0A3D">
            <w:pPr>
              <w:pStyle w:val="Tabletexte"/>
              <w:spacing w:before="40" w:after="40"/>
              <w:rPr>
                <w:b/>
                <w:bCs/>
                <w:color w:val="FFFFFF" w:themeColor="background1"/>
                <w:position w:val="2"/>
                <w:lang w:bidi="ar-EG"/>
              </w:rPr>
            </w:pPr>
          </w:p>
        </w:tc>
        <w:tc>
          <w:tcPr>
            <w:tcW w:w="6947" w:type="dxa"/>
            <w:tcBorders>
              <w:top w:val="single" w:sz="4" w:space="0" w:color="C0E6F5"/>
              <w:left w:val="nil"/>
              <w:bottom w:val="single" w:sz="4" w:space="0" w:color="C0E6F5"/>
              <w:right w:val="nil"/>
            </w:tcBorders>
            <w:noWrap/>
            <w:hideMark/>
          </w:tcPr>
          <w:p w14:paraId="7F2358BD" w14:textId="77777777" w:rsidR="00C23B5E" w:rsidRPr="00FA46D5" w:rsidRDefault="00C23B5E" w:rsidP="000B0A3D">
            <w:pPr>
              <w:pStyle w:val="Tabletexte"/>
              <w:spacing w:before="40" w:after="40"/>
              <w:rPr>
                <w:position w:val="2"/>
                <w:lang w:val="ar-SA" w:bidi="ar-EG"/>
              </w:rPr>
            </w:pPr>
            <w:r w:rsidRPr="00FA46D5">
              <w:rPr>
                <w:position w:val="2"/>
                <w:rtl/>
              </w:rPr>
              <w:t>عدد الدول الأعضاء التي تلقّت مساعدة تقنية</w:t>
            </w:r>
          </w:p>
        </w:tc>
      </w:tr>
      <w:tr w:rsidR="00C23B5E" w:rsidRPr="00C23B5E" w14:paraId="66773BE3" w14:textId="77777777" w:rsidTr="00FA46D5">
        <w:trPr>
          <w:trHeight w:val="315"/>
        </w:trPr>
        <w:tc>
          <w:tcPr>
            <w:tcW w:w="2835" w:type="dxa"/>
            <w:vMerge/>
            <w:tcBorders>
              <w:left w:val="nil"/>
              <w:right w:val="nil"/>
            </w:tcBorders>
            <w:shd w:val="clear" w:color="44B3E1" w:fill="44B3E1"/>
            <w:noWrap/>
            <w:hideMark/>
          </w:tcPr>
          <w:p w14:paraId="2B884F51" w14:textId="77777777" w:rsidR="00C23B5E" w:rsidRPr="00FA46D5" w:rsidRDefault="00C23B5E" w:rsidP="000B0A3D">
            <w:pPr>
              <w:pStyle w:val="Tabletexte"/>
              <w:spacing w:before="40" w:after="40"/>
              <w:rPr>
                <w:b/>
                <w:bCs/>
                <w:color w:val="FFFFFF" w:themeColor="background1"/>
                <w:position w:val="2"/>
                <w:lang w:bidi="ar-EG"/>
              </w:rPr>
            </w:pPr>
          </w:p>
        </w:tc>
        <w:tc>
          <w:tcPr>
            <w:tcW w:w="6947" w:type="dxa"/>
            <w:tcBorders>
              <w:top w:val="single" w:sz="4" w:space="0" w:color="C0E6F5"/>
              <w:left w:val="nil"/>
              <w:bottom w:val="single" w:sz="4" w:space="0" w:color="C0E6F5"/>
              <w:right w:val="nil"/>
            </w:tcBorders>
            <w:noWrap/>
            <w:hideMark/>
          </w:tcPr>
          <w:p w14:paraId="27579837" w14:textId="6EBBEDD7" w:rsidR="00C23B5E" w:rsidRPr="00FA46D5" w:rsidRDefault="00C23B5E" w:rsidP="000B0A3D">
            <w:pPr>
              <w:pStyle w:val="Tabletexte"/>
              <w:spacing w:before="40" w:after="40"/>
              <w:rPr>
                <w:position w:val="2"/>
                <w:lang w:val="ar-SA" w:bidi="ar-EG"/>
              </w:rPr>
            </w:pPr>
            <w:r w:rsidRPr="00FA46D5">
              <w:rPr>
                <w:position w:val="2"/>
                <w:rtl/>
              </w:rPr>
              <w:t>عدد القرارات/التوصيات/المقررات المنفذة</w:t>
            </w:r>
          </w:p>
        </w:tc>
      </w:tr>
      <w:tr w:rsidR="00C23B5E" w:rsidRPr="00C23B5E" w14:paraId="41A884C4" w14:textId="77777777" w:rsidTr="00FA46D5">
        <w:trPr>
          <w:trHeight w:val="315"/>
        </w:trPr>
        <w:tc>
          <w:tcPr>
            <w:tcW w:w="2835" w:type="dxa"/>
            <w:vMerge/>
            <w:tcBorders>
              <w:left w:val="nil"/>
              <w:bottom w:val="single" w:sz="4" w:space="0" w:color="C0E6F5"/>
              <w:right w:val="nil"/>
            </w:tcBorders>
            <w:shd w:val="clear" w:color="44B3E1" w:fill="44B3E1"/>
            <w:noWrap/>
            <w:hideMark/>
          </w:tcPr>
          <w:p w14:paraId="07415F5E" w14:textId="77777777" w:rsidR="00C23B5E" w:rsidRPr="00FA46D5" w:rsidRDefault="00C23B5E" w:rsidP="000B0A3D">
            <w:pPr>
              <w:pStyle w:val="Tabletexte"/>
              <w:spacing w:before="40" w:after="40"/>
              <w:rPr>
                <w:b/>
                <w:bCs/>
                <w:color w:val="FFFFFF" w:themeColor="background1"/>
                <w:position w:val="2"/>
                <w:lang w:bidi="ar-EG"/>
              </w:rPr>
            </w:pPr>
          </w:p>
        </w:tc>
        <w:tc>
          <w:tcPr>
            <w:tcW w:w="6947" w:type="dxa"/>
            <w:tcBorders>
              <w:top w:val="single" w:sz="4" w:space="0" w:color="C0E6F5"/>
              <w:left w:val="nil"/>
              <w:bottom w:val="single" w:sz="4" w:space="0" w:color="C0E6F5"/>
              <w:right w:val="nil"/>
            </w:tcBorders>
            <w:noWrap/>
            <w:hideMark/>
          </w:tcPr>
          <w:p w14:paraId="71F43BD6" w14:textId="77777777" w:rsidR="00C23B5E" w:rsidRPr="00FA46D5" w:rsidRDefault="00C23B5E" w:rsidP="000B0A3D">
            <w:pPr>
              <w:pStyle w:val="Tabletexte"/>
              <w:spacing w:before="40" w:after="40"/>
              <w:rPr>
                <w:position w:val="2"/>
                <w:lang w:val="ar-SA" w:bidi="ar-EG"/>
              </w:rPr>
            </w:pPr>
            <w:r w:rsidRPr="00FA46D5">
              <w:rPr>
                <w:position w:val="2"/>
                <w:rtl/>
              </w:rPr>
              <w:t>عدد الأدوات البرمجية المنفذة</w:t>
            </w:r>
          </w:p>
        </w:tc>
      </w:tr>
      <w:tr w:rsidR="00C23B5E" w:rsidRPr="00C23B5E" w14:paraId="676B9E99" w14:textId="77777777" w:rsidTr="00FA46D5">
        <w:trPr>
          <w:trHeight w:val="315"/>
        </w:trPr>
        <w:tc>
          <w:tcPr>
            <w:tcW w:w="2835" w:type="dxa"/>
            <w:vMerge w:val="restart"/>
            <w:tcBorders>
              <w:top w:val="single" w:sz="4" w:space="0" w:color="C0E6F5"/>
              <w:left w:val="nil"/>
              <w:right w:val="nil"/>
            </w:tcBorders>
            <w:shd w:val="clear" w:color="44B3E1" w:fill="44B3E1"/>
            <w:noWrap/>
            <w:hideMark/>
          </w:tcPr>
          <w:p w14:paraId="78FA2F23" w14:textId="77777777" w:rsidR="00C23B5E" w:rsidRPr="00FA46D5" w:rsidRDefault="00C23B5E" w:rsidP="000B0A3D">
            <w:pPr>
              <w:pStyle w:val="Tabletexte"/>
              <w:spacing w:before="40" w:after="40"/>
              <w:rPr>
                <w:b/>
                <w:bCs/>
                <w:color w:val="FFFFFF" w:themeColor="background1"/>
                <w:position w:val="2"/>
                <w:lang w:val="ar-SA" w:bidi="ar-EG"/>
              </w:rPr>
            </w:pPr>
            <w:r w:rsidRPr="00FA46D5">
              <w:rPr>
                <w:b/>
                <w:bCs/>
                <w:color w:val="FFFFFF" w:themeColor="background1"/>
                <w:position w:val="2"/>
                <w:rtl/>
              </w:rPr>
              <w:t>الإحصاءات</w:t>
            </w:r>
          </w:p>
        </w:tc>
        <w:tc>
          <w:tcPr>
            <w:tcW w:w="6947" w:type="dxa"/>
            <w:tcBorders>
              <w:top w:val="single" w:sz="4" w:space="0" w:color="C0E6F5"/>
              <w:left w:val="nil"/>
              <w:bottom w:val="single" w:sz="4" w:space="0" w:color="C0E6F5"/>
              <w:right w:val="nil"/>
            </w:tcBorders>
            <w:noWrap/>
            <w:hideMark/>
          </w:tcPr>
          <w:p w14:paraId="30EF4D0C" w14:textId="77777777" w:rsidR="00C23B5E" w:rsidRPr="00FA46D5" w:rsidRDefault="00C23B5E" w:rsidP="000B0A3D">
            <w:pPr>
              <w:pStyle w:val="Tabletexte"/>
              <w:spacing w:before="40" w:after="40"/>
              <w:rPr>
                <w:position w:val="2"/>
                <w:lang w:val="ar-SA" w:bidi="ar-EG"/>
              </w:rPr>
            </w:pPr>
            <w:r w:rsidRPr="00FA46D5">
              <w:rPr>
                <w:position w:val="2"/>
                <w:rtl/>
              </w:rPr>
              <w:t>عدد نقاط البيانات المتاحة في مجموعة البيانات المنشورة</w:t>
            </w:r>
          </w:p>
        </w:tc>
      </w:tr>
      <w:tr w:rsidR="00C23B5E" w:rsidRPr="00C23B5E" w14:paraId="704DADF9" w14:textId="77777777" w:rsidTr="00FA46D5">
        <w:trPr>
          <w:trHeight w:val="315"/>
        </w:trPr>
        <w:tc>
          <w:tcPr>
            <w:tcW w:w="2835" w:type="dxa"/>
            <w:vMerge/>
            <w:tcBorders>
              <w:left w:val="nil"/>
              <w:right w:val="nil"/>
            </w:tcBorders>
            <w:shd w:val="clear" w:color="44B3E1" w:fill="44B3E1"/>
            <w:noWrap/>
            <w:hideMark/>
          </w:tcPr>
          <w:p w14:paraId="26B03A3C" w14:textId="77777777" w:rsidR="00C23B5E" w:rsidRPr="00FA46D5" w:rsidRDefault="00C23B5E" w:rsidP="000B0A3D">
            <w:pPr>
              <w:pStyle w:val="Tabletexte"/>
              <w:spacing w:before="40" w:after="40"/>
              <w:rPr>
                <w:b/>
                <w:bCs/>
                <w:color w:val="FFFFFF" w:themeColor="background1"/>
                <w:position w:val="2"/>
                <w:lang w:bidi="ar-EG"/>
              </w:rPr>
            </w:pPr>
          </w:p>
        </w:tc>
        <w:tc>
          <w:tcPr>
            <w:tcW w:w="6947" w:type="dxa"/>
            <w:tcBorders>
              <w:top w:val="single" w:sz="4" w:space="0" w:color="C0E6F5"/>
              <w:left w:val="nil"/>
              <w:bottom w:val="single" w:sz="4" w:space="0" w:color="C0E6F5"/>
              <w:right w:val="nil"/>
            </w:tcBorders>
            <w:noWrap/>
            <w:hideMark/>
          </w:tcPr>
          <w:p w14:paraId="51B6E3CA" w14:textId="77777777" w:rsidR="00C23B5E" w:rsidRPr="00FA46D5" w:rsidRDefault="00C23B5E" w:rsidP="000B0A3D">
            <w:pPr>
              <w:pStyle w:val="Tabletexte"/>
              <w:spacing w:before="40" w:after="40"/>
              <w:rPr>
                <w:position w:val="2"/>
                <w:lang w:val="ar-SA" w:bidi="ar-EG"/>
              </w:rPr>
            </w:pPr>
            <w:r w:rsidRPr="00FA46D5">
              <w:rPr>
                <w:position w:val="2"/>
                <w:rtl/>
              </w:rPr>
              <w:t>عدد الشركات الرقمية التي يتم تتبعها لرصد الانبعاثات واستخدام الطاقة والالتزامات المناخية</w:t>
            </w:r>
          </w:p>
        </w:tc>
      </w:tr>
      <w:tr w:rsidR="00C23B5E" w:rsidRPr="00C23B5E" w14:paraId="378AE2F0" w14:textId="77777777" w:rsidTr="00FA46D5">
        <w:trPr>
          <w:trHeight w:val="315"/>
        </w:trPr>
        <w:tc>
          <w:tcPr>
            <w:tcW w:w="2835" w:type="dxa"/>
            <w:vMerge/>
            <w:tcBorders>
              <w:left w:val="nil"/>
              <w:right w:val="nil"/>
            </w:tcBorders>
            <w:shd w:val="clear" w:color="44B3E1" w:fill="44B3E1"/>
            <w:noWrap/>
            <w:hideMark/>
          </w:tcPr>
          <w:p w14:paraId="6F181161" w14:textId="77777777" w:rsidR="00C23B5E" w:rsidRPr="00FA46D5" w:rsidRDefault="00C23B5E" w:rsidP="000B0A3D">
            <w:pPr>
              <w:pStyle w:val="Tabletexte"/>
              <w:spacing w:before="40" w:after="40"/>
              <w:rPr>
                <w:b/>
                <w:bCs/>
                <w:color w:val="FFFFFF" w:themeColor="background1"/>
                <w:position w:val="2"/>
                <w:lang w:bidi="ar-EG"/>
              </w:rPr>
            </w:pPr>
          </w:p>
        </w:tc>
        <w:tc>
          <w:tcPr>
            <w:tcW w:w="6947" w:type="dxa"/>
            <w:tcBorders>
              <w:top w:val="single" w:sz="4" w:space="0" w:color="C0E6F5"/>
              <w:left w:val="nil"/>
              <w:bottom w:val="single" w:sz="4" w:space="0" w:color="C0E6F5"/>
              <w:right w:val="nil"/>
            </w:tcBorders>
            <w:noWrap/>
            <w:hideMark/>
          </w:tcPr>
          <w:p w14:paraId="095FB40C" w14:textId="77777777" w:rsidR="00C23B5E" w:rsidRPr="00FA46D5" w:rsidRDefault="00C23B5E" w:rsidP="000B0A3D">
            <w:pPr>
              <w:pStyle w:val="Tabletexte"/>
              <w:spacing w:before="40" w:after="40"/>
              <w:rPr>
                <w:position w:val="2"/>
                <w:lang w:val="ar-SA" w:bidi="ar-EG"/>
              </w:rPr>
            </w:pPr>
            <w:r w:rsidRPr="00FA46D5">
              <w:rPr>
                <w:position w:val="2"/>
                <w:rtl/>
              </w:rPr>
              <w:t>عدد الأفراد المشاركين في أنشطة تنمية القدرات التي يقودها مكتب تنمية الاتصالات</w:t>
            </w:r>
          </w:p>
        </w:tc>
      </w:tr>
      <w:tr w:rsidR="00C23B5E" w:rsidRPr="00C23B5E" w14:paraId="17B11C59" w14:textId="77777777" w:rsidTr="00FA46D5">
        <w:trPr>
          <w:trHeight w:val="315"/>
        </w:trPr>
        <w:tc>
          <w:tcPr>
            <w:tcW w:w="2835" w:type="dxa"/>
            <w:vMerge/>
            <w:tcBorders>
              <w:left w:val="nil"/>
              <w:right w:val="nil"/>
            </w:tcBorders>
            <w:shd w:val="clear" w:color="44B3E1" w:fill="44B3E1"/>
            <w:noWrap/>
            <w:hideMark/>
          </w:tcPr>
          <w:p w14:paraId="6630DBF7" w14:textId="77777777" w:rsidR="00C23B5E" w:rsidRPr="00FA46D5" w:rsidRDefault="00C23B5E" w:rsidP="000B0A3D">
            <w:pPr>
              <w:pStyle w:val="Tabletexte"/>
              <w:spacing w:before="40" w:after="40"/>
              <w:rPr>
                <w:b/>
                <w:bCs/>
                <w:color w:val="FFFFFF" w:themeColor="background1"/>
                <w:position w:val="2"/>
                <w:lang w:bidi="ar-EG"/>
              </w:rPr>
            </w:pPr>
          </w:p>
        </w:tc>
        <w:tc>
          <w:tcPr>
            <w:tcW w:w="6947" w:type="dxa"/>
            <w:tcBorders>
              <w:top w:val="single" w:sz="4" w:space="0" w:color="C0E6F5"/>
              <w:left w:val="nil"/>
              <w:bottom w:val="single" w:sz="4" w:space="0" w:color="C0E6F5"/>
              <w:right w:val="nil"/>
            </w:tcBorders>
            <w:noWrap/>
            <w:hideMark/>
          </w:tcPr>
          <w:p w14:paraId="7B737735" w14:textId="77777777" w:rsidR="00C23B5E" w:rsidRPr="00FA46D5" w:rsidRDefault="00C23B5E" w:rsidP="000B0A3D">
            <w:pPr>
              <w:pStyle w:val="Tabletexte"/>
              <w:spacing w:before="40" w:after="40"/>
              <w:rPr>
                <w:position w:val="2"/>
                <w:lang w:val="ar-SA" w:bidi="ar-EG"/>
              </w:rPr>
            </w:pPr>
            <w:r w:rsidRPr="00FA46D5">
              <w:rPr>
                <w:position w:val="2"/>
                <w:rtl/>
              </w:rPr>
              <w:t>عدد الدول الأعضاء المشاركة</w:t>
            </w:r>
          </w:p>
        </w:tc>
      </w:tr>
      <w:tr w:rsidR="00C23B5E" w:rsidRPr="00C23B5E" w14:paraId="12B6264B" w14:textId="77777777" w:rsidTr="00FA46D5">
        <w:trPr>
          <w:trHeight w:val="315"/>
        </w:trPr>
        <w:tc>
          <w:tcPr>
            <w:tcW w:w="2835" w:type="dxa"/>
            <w:vMerge/>
            <w:tcBorders>
              <w:left w:val="nil"/>
              <w:right w:val="nil"/>
            </w:tcBorders>
            <w:shd w:val="clear" w:color="44B3E1" w:fill="44B3E1"/>
            <w:noWrap/>
            <w:hideMark/>
          </w:tcPr>
          <w:p w14:paraId="009951FC" w14:textId="77777777" w:rsidR="00C23B5E" w:rsidRPr="00FA46D5" w:rsidRDefault="00C23B5E" w:rsidP="000B0A3D">
            <w:pPr>
              <w:pStyle w:val="Tabletexte"/>
              <w:spacing w:before="40" w:after="40"/>
              <w:rPr>
                <w:b/>
                <w:bCs/>
                <w:color w:val="FFFFFF" w:themeColor="background1"/>
                <w:position w:val="2"/>
                <w:lang w:bidi="ar-EG"/>
              </w:rPr>
            </w:pPr>
          </w:p>
        </w:tc>
        <w:tc>
          <w:tcPr>
            <w:tcW w:w="6947" w:type="dxa"/>
            <w:tcBorders>
              <w:top w:val="single" w:sz="4" w:space="0" w:color="C0E6F5"/>
              <w:left w:val="nil"/>
              <w:bottom w:val="single" w:sz="4" w:space="0" w:color="C0E6F5"/>
              <w:right w:val="nil"/>
            </w:tcBorders>
            <w:noWrap/>
            <w:hideMark/>
          </w:tcPr>
          <w:p w14:paraId="14EAE73F" w14:textId="18BFD18F" w:rsidR="00C23B5E" w:rsidRPr="00FA46D5" w:rsidRDefault="00C23B5E" w:rsidP="000B0A3D">
            <w:pPr>
              <w:pStyle w:val="Tabletexte"/>
              <w:spacing w:before="40" w:after="40"/>
              <w:rPr>
                <w:position w:val="2"/>
                <w:lang w:val="ar-SA" w:bidi="ar-EG"/>
              </w:rPr>
            </w:pPr>
            <w:r w:rsidRPr="00FA46D5">
              <w:rPr>
                <w:position w:val="2"/>
                <w:rtl/>
              </w:rPr>
              <w:t>عدد المشاركين في الأحداث التي يقودها مكتب تنمية الاتصالات</w:t>
            </w:r>
            <w:r w:rsidR="002C3875" w:rsidRPr="002C3875">
              <w:rPr>
                <w:position w:val="2"/>
                <w:rtl/>
              </w:rPr>
              <w:tab/>
            </w:r>
            <w:r w:rsidR="002C3875">
              <w:rPr>
                <w:position w:val="2"/>
                <w:rtl/>
              </w:rPr>
              <w:br/>
            </w:r>
            <w:r w:rsidRPr="00FA46D5">
              <w:rPr>
                <w:position w:val="2"/>
                <w:rtl/>
              </w:rPr>
              <w:t>(بما في ذلك المنتديات الإقليمية للتنمية والندوة العالمية لمنظمي الاتصالات و</w:t>
            </w:r>
            <w:r w:rsidRPr="00FA46D5">
              <w:rPr>
                <w:position w:val="2"/>
                <w:lang w:bidi="ar-EG"/>
              </w:rPr>
              <w:t>GIF</w:t>
            </w:r>
            <w:r w:rsidRPr="00FA46D5">
              <w:rPr>
                <w:position w:val="2"/>
                <w:rtl/>
              </w:rPr>
              <w:t xml:space="preserve"> و</w:t>
            </w:r>
            <w:r w:rsidRPr="00FA46D5">
              <w:rPr>
                <w:position w:val="2"/>
                <w:lang w:bidi="ar-EG"/>
              </w:rPr>
              <w:t>DSF</w:t>
            </w:r>
            <w:r w:rsidRPr="00FA46D5">
              <w:rPr>
                <w:position w:val="2"/>
                <w:rtl/>
              </w:rPr>
              <w:t xml:space="preserve"> و</w:t>
            </w:r>
            <w:r w:rsidRPr="00FA46D5">
              <w:rPr>
                <w:position w:val="2"/>
                <w:lang w:bidi="ar-EG"/>
              </w:rPr>
              <w:t>WTIS</w:t>
            </w:r>
            <w:r w:rsidRPr="00FA46D5">
              <w:rPr>
                <w:position w:val="2"/>
                <w:rtl/>
              </w:rPr>
              <w:t xml:space="preserve"> و</w:t>
            </w:r>
            <w:r w:rsidRPr="00FA46D5">
              <w:rPr>
                <w:position w:val="2"/>
                <w:lang w:bidi="ar-EG"/>
              </w:rPr>
              <w:t>EGTI</w:t>
            </w:r>
            <w:r w:rsidRPr="00FA46D5">
              <w:rPr>
                <w:position w:val="2"/>
                <w:rtl/>
              </w:rPr>
              <w:t xml:space="preserve"> و</w:t>
            </w:r>
            <w:r w:rsidRPr="00FA46D5">
              <w:rPr>
                <w:position w:val="2"/>
                <w:lang w:bidi="ar-EG"/>
              </w:rPr>
              <w:t>GIICT</w:t>
            </w:r>
            <w:r w:rsidRPr="00FA46D5">
              <w:rPr>
                <w:position w:val="2"/>
                <w:rtl/>
              </w:rPr>
              <w:t xml:space="preserve"> و</w:t>
            </w:r>
            <w:r w:rsidRPr="00FA46D5">
              <w:rPr>
                <w:position w:val="2"/>
                <w:lang w:bidi="ar-EG"/>
              </w:rPr>
              <w:t>G</w:t>
            </w:r>
            <w:r w:rsidR="004F7519">
              <w:rPr>
                <w:position w:val="2"/>
                <w:lang w:bidi="ar-EG"/>
              </w:rPr>
              <w:t>Y</w:t>
            </w:r>
            <w:r w:rsidRPr="00FA46D5">
              <w:rPr>
                <w:position w:val="2"/>
                <w:lang w:bidi="ar-EG"/>
              </w:rPr>
              <w:t>F</w:t>
            </w:r>
            <w:r w:rsidRPr="00FA46D5">
              <w:rPr>
                <w:position w:val="2"/>
                <w:rtl/>
              </w:rPr>
              <w:t xml:space="preserve"> وغيرها) </w:t>
            </w:r>
          </w:p>
        </w:tc>
      </w:tr>
      <w:tr w:rsidR="00C23B5E" w:rsidRPr="00C23B5E" w14:paraId="05D38CCC" w14:textId="77777777" w:rsidTr="00FA46D5">
        <w:trPr>
          <w:trHeight w:val="315"/>
        </w:trPr>
        <w:tc>
          <w:tcPr>
            <w:tcW w:w="2835" w:type="dxa"/>
            <w:vMerge/>
            <w:tcBorders>
              <w:left w:val="nil"/>
              <w:bottom w:val="single" w:sz="4" w:space="0" w:color="C0E6F5"/>
              <w:right w:val="nil"/>
            </w:tcBorders>
            <w:shd w:val="clear" w:color="44B3E1" w:fill="44B3E1"/>
            <w:noWrap/>
            <w:hideMark/>
          </w:tcPr>
          <w:p w14:paraId="70E7D862" w14:textId="77777777" w:rsidR="00C23B5E" w:rsidRPr="00FA46D5" w:rsidRDefault="00C23B5E" w:rsidP="000B0A3D">
            <w:pPr>
              <w:pStyle w:val="Tabletexte"/>
              <w:spacing w:before="40" w:after="40"/>
              <w:rPr>
                <w:b/>
                <w:bCs/>
                <w:color w:val="FFFFFF" w:themeColor="background1"/>
                <w:position w:val="2"/>
                <w:lang w:bidi="ar-EG"/>
              </w:rPr>
            </w:pPr>
          </w:p>
        </w:tc>
        <w:tc>
          <w:tcPr>
            <w:tcW w:w="6947" w:type="dxa"/>
            <w:tcBorders>
              <w:top w:val="single" w:sz="4" w:space="0" w:color="C0E6F5"/>
              <w:left w:val="nil"/>
              <w:bottom w:val="single" w:sz="4" w:space="0" w:color="C0E6F5"/>
              <w:right w:val="nil"/>
            </w:tcBorders>
            <w:noWrap/>
            <w:hideMark/>
          </w:tcPr>
          <w:p w14:paraId="09651497" w14:textId="77777777" w:rsidR="00C23B5E" w:rsidRPr="00FA46D5" w:rsidRDefault="00C23B5E" w:rsidP="000B0A3D">
            <w:pPr>
              <w:pStyle w:val="Tabletexte"/>
              <w:spacing w:before="40" w:after="40"/>
              <w:rPr>
                <w:position w:val="2"/>
                <w:lang w:val="ar-SA" w:bidi="ar-EG"/>
              </w:rPr>
            </w:pPr>
            <w:r w:rsidRPr="00FA46D5">
              <w:rPr>
                <w:position w:val="2"/>
                <w:rtl/>
              </w:rPr>
              <w:t>عدد المستخدمين الأسبوعيين على مركز بيانات الاتحاد</w:t>
            </w:r>
          </w:p>
        </w:tc>
      </w:tr>
      <w:tr w:rsidR="00C23B5E" w:rsidRPr="00C23B5E" w14:paraId="50785E09" w14:textId="77777777" w:rsidTr="00FA46D5">
        <w:trPr>
          <w:trHeight w:val="315"/>
        </w:trPr>
        <w:tc>
          <w:tcPr>
            <w:tcW w:w="2835" w:type="dxa"/>
            <w:vMerge w:val="restart"/>
            <w:tcBorders>
              <w:top w:val="single" w:sz="4" w:space="0" w:color="C0E6F5"/>
              <w:left w:val="nil"/>
              <w:right w:val="nil"/>
            </w:tcBorders>
            <w:shd w:val="clear" w:color="44B3E1" w:fill="44B3E1"/>
            <w:noWrap/>
            <w:hideMark/>
          </w:tcPr>
          <w:p w14:paraId="1FCD1A78" w14:textId="77777777" w:rsidR="00C23B5E" w:rsidRPr="002C3875" w:rsidRDefault="00C23B5E" w:rsidP="000B0A3D">
            <w:pPr>
              <w:pStyle w:val="Tabletexte"/>
              <w:spacing w:before="40" w:after="40"/>
              <w:rPr>
                <w:b/>
                <w:bCs/>
                <w:color w:val="FFFFFF" w:themeColor="background1"/>
                <w:spacing w:val="-6"/>
                <w:position w:val="2"/>
                <w:lang w:val="ar-SA" w:bidi="ar-EG"/>
              </w:rPr>
            </w:pPr>
            <w:r w:rsidRPr="002C3875">
              <w:rPr>
                <w:b/>
                <w:bCs/>
                <w:color w:val="FFFFFF" w:themeColor="background1"/>
                <w:spacing w:val="-6"/>
                <w:position w:val="2"/>
                <w:rtl/>
              </w:rPr>
              <w:t>السياسات والاستراتيجيات النموذجية ومجموعات الأدوات</w:t>
            </w:r>
          </w:p>
        </w:tc>
        <w:tc>
          <w:tcPr>
            <w:tcW w:w="6947" w:type="dxa"/>
            <w:tcBorders>
              <w:top w:val="single" w:sz="4" w:space="0" w:color="C0E6F5"/>
              <w:left w:val="nil"/>
              <w:bottom w:val="single" w:sz="4" w:space="0" w:color="C0E6F5"/>
              <w:right w:val="nil"/>
            </w:tcBorders>
            <w:noWrap/>
            <w:hideMark/>
          </w:tcPr>
          <w:p w14:paraId="1A7D3574" w14:textId="77777777" w:rsidR="00C23B5E" w:rsidRPr="00FA46D5" w:rsidRDefault="00C23B5E" w:rsidP="000B0A3D">
            <w:pPr>
              <w:pStyle w:val="Tabletexte"/>
              <w:spacing w:before="40" w:after="40"/>
              <w:rPr>
                <w:position w:val="2"/>
                <w:lang w:val="ar-SA" w:bidi="ar-EG"/>
              </w:rPr>
            </w:pPr>
            <w:r w:rsidRPr="00FA46D5">
              <w:rPr>
                <w:position w:val="2"/>
                <w:rtl/>
              </w:rPr>
              <w:t xml:space="preserve">عدد الدول الأعضاء التي قُدمت لها المساعدة </w:t>
            </w:r>
          </w:p>
        </w:tc>
      </w:tr>
      <w:tr w:rsidR="00C23B5E" w:rsidRPr="00C23B5E" w14:paraId="7EEF60C2" w14:textId="77777777" w:rsidTr="00FA46D5">
        <w:trPr>
          <w:trHeight w:val="315"/>
        </w:trPr>
        <w:tc>
          <w:tcPr>
            <w:tcW w:w="2835" w:type="dxa"/>
            <w:vMerge/>
            <w:tcBorders>
              <w:left w:val="nil"/>
              <w:bottom w:val="single" w:sz="4" w:space="0" w:color="C0E6F5"/>
              <w:right w:val="nil"/>
            </w:tcBorders>
            <w:shd w:val="clear" w:color="44B3E1" w:fill="44B3E1"/>
            <w:noWrap/>
            <w:hideMark/>
          </w:tcPr>
          <w:p w14:paraId="34BC5045" w14:textId="77777777" w:rsidR="00C23B5E" w:rsidRPr="00FA46D5" w:rsidRDefault="00C23B5E" w:rsidP="000B0A3D">
            <w:pPr>
              <w:pStyle w:val="Tabletexte"/>
              <w:spacing w:before="40" w:after="40"/>
              <w:rPr>
                <w:b/>
                <w:bCs/>
                <w:color w:val="FFFFFF" w:themeColor="background1"/>
                <w:position w:val="2"/>
                <w:lang w:bidi="ar-EG"/>
              </w:rPr>
            </w:pPr>
          </w:p>
        </w:tc>
        <w:tc>
          <w:tcPr>
            <w:tcW w:w="6947" w:type="dxa"/>
            <w:tcBorders>
              <w:top w:val="single" w:sz="4" w:space="0" w:color="C0E6F5"/>
              <w:left w:val="nil"/>
              <w:bottom w:val="single" w:sz="4" w:space="0" w:color="C0E6F5"/>
              <w:right w:val="nil"/>
            </w:tcBorders>
            <w:noWrap/>
            <w:hideMark/>
          </w:tcPr>
          <w:p w14:paraId="3760281B" w14:textId="4442DD43" w:rsidR="00C23B5E" w:rsidRPr="00FA46D5" w:rsidRDefault="00C23B5E" w:rsidP="000B0A3D">
            <w:pPr>
              <w:pStyle w:val="Tabletexte"/>
              <w:spacing w:before="40" w:after="40"/>
              <w:rPr>
                <w:position w:val="2"/>
                <w:lang w:val="ar-SA" w:bidi="ar-EG"/>
              </w:rPr>
            </w:pPr>
            <w:r w:rsidRPr="00FA46D5">
              <w:rPr>
                <w:position w:val="2"/>
                <w:rtl/>
              </w:rPr>
              <w:t>عدد الأدوات/الأُطر/الموارد التي تمَّ استحداثها</w:t>
            </w:r>
            <w:r w:rsidR="00C55646">
              <w:rPr>
                <w:rtl/>
              </w:rPr>
              <w:tab/>
            </w:r>
            <w:r w:rsidR="002C3875">
              <w:rPr>
                <w:position w:val="2"/>
                <w:rtl/>
              </w:rPr>
              <w:br/>
            </w:r>
            <w:r w:rsidRPr="00FA46D5">
              <w:rPr>
                <w:position w:val="2"/>
                <w:rtl/>
              </w:rPr>
              <w:t xml:space="preserve">(بما يشمل السياسات والاستراتيجيات </w:t>
            </w:r>
            <w:r w:rsidR="004F7519" w:rsidRPr="004F7519">
              <w:rPr>
                <w:position w:val="2"/>
                <w:rtl/>
              </w:rPr>
              <w:t>والموجزات ال</w:t>
            </w:r>
            <w:r w:rsidR="00C07ED7">
              <w:rPr>
                <w:position w:val="2"/>
                <w:rtl/>
              </w:rPr>
              <w:t>قُطرية</w:t>
            </w:r>
            <w:r w:rsidR="004F7519" w:rsidRPr="004F7519">
              <w:rPr>
                <w:position w:val="2"/>
                <w:rtl/>
              </w:rPr>
              <w:t xml:space="preserve"> </w:t>
            </w:r>
            <w:r w:rsidRPr="00FA46D5">
              <w:rPr>
                <w:position w:val="2"/>
                <w:rtl/>
              </w:rPr>
              <w:t>والخرائط والمبادئ التوجيهية ومجموعات الأدوات والمنشورات، إلخ.)</w:t>
            </w:r>
          </w:p>
        </w:tc>
      </w:tr>
      <w:tr w:rsidR="00C23B5E" w:rsidRPr="00C23B5E" w14:paraId="4F15ECB5" w14:textId="77777777" w:rsidTr="00FA46D5">
        <w:trPr>
          <w:trHeight w:val="315"/>
        </w:trPr>
        <w:tc>
          <w:tcPr>
            <w:tcW w:w="2835" w:type="dxa"/>
            <w:vMerge w:val="restart"/>
            <w:tcBorders>
              <w:top w:val="single" w:sz="4" w:space="0" w:color="C0E6F5"/>
              <w:left w:val="nil"/>
              <w:right w:val="nil"/>
            </w:tcBorders>
            <w:shd w:val="clear" w:color="44B3E1" w:fill="44B3E1"/>
            <w:noWrap/>
            <w:hideMark/>
          </w:tcPr>
          <w:p w14:paraId="405FE139" w14:textId="77777777" w:rsidR="00C23B5E" w:rsidRPr="00FA46D5" w:rsidRDefault="00C23B5E" w:rsidP="000B0A3D">
            <w:pPr>
              <w:pStyle w:val="Tabletexte"/>
              <w:spacing w:before="40" w:after="40"/>
              <w:rPr>
                <w:b/>
                <w:bCs/>
                <w:color w:val="FFFFFF" w:themeColor="background1"/>
                <w:position w:val="2"/>
                <w:lang w:val="ar-SA" w:bidi="ar-EG"/>
              </w:rPr>
            </w:pPr>
            <w:r w:rsidRPr="00FA46D5">
              <w:rPr>
                <w:b/>
                <w:bCs/>
                <w:color w:val="FFFFFF" w:themeColor="background1"/>
                <w:position w:val="2"/>
                <w:rtl/>
              </w:rPr>
              <w:t>أطر التعلّم</w:t>
            </w:r>
          </w:p>
        </w:tc>
        <w:tc>
          <w:tcPr>
            <w:tcW w:w="6947" w:type="dxa"/>
            <w:tcBorders>
              <w:top w:val="single" w:sz="4" w:space="0" w:color="C0E6F5"/>
              <w:left w:val="nil"/>
              <w:bottom w:val="single" w:sz="4" w:space="0" w:color="C0E6F5"/>
              <w:right w:val="nil"/>
            </w:tcBorders>
            <w:noWrap/>
            <w:hideMark/>
          </w:tcPr>
          <w:p w14:paraId="39500D2B" w14:textId="77777777" w:rsidR="00C23B5E" w:rsidRPr="00FA46D5" w:rsidRDefault="00C23B5E" w:rsidP="000B0A3D">
            <w:pPr>
              <w:pStyle w:val="Tabletexte"/>
              <w:spacing w:before="40" w:after="40"/>
              <w:rPr>
                <w:position w:val="2"/>
                <w:lang w:val="ar-SA" w:bidi="ar-EG"/>
              </w:rPr>
            </w:pPr>
            <w:r w:rsidRPr="00FA46D5">
              <w:rPr>
                <w:position w:val="2"/>
                <w:rtl/>
              </w:rPr>
              <w:t>عدد الأفراد المشاركين في أنشطة تنمية القدرات التي يقودها مكتب تنمية الاتصالات</w:t>
            </w:r>
          </w:p>
        </w:tc>
      </w:tr>
      <w:tr w:rsidR="00C23B5E" w:rsidRPr="00C23B5E" w14:paraId="34DA31A1" w14:textId="77777777" w:rsidTr="00FA46D5">
        <w:trPr>
          <w:trHeight w:val="315"/>
        </w:trPr>
        <w:tc>
          <w:tcPr>
            <w:tcW w:w="2835" w:type="dxa"/>
            <w:vMerge/>
            <w:tcBorders>
              <w:left w:val="nil"/>
              <w:right w:val="nil"/>
            </w:tcBorders>
            <w:shd w:val="clear" w:color="44B3E1" w:fill="44B3E1"/>
            <w:noWrap/>
            <w:hideMark/>
          </w:tcPr>
          <w:p w14:paraId="1726BD8A" w14:textId="77777777" w:rsidR="00C23B5E" w:rsidRPr="00FA46D5" w:rsidRDefault="00C23B5E" w:rsidP="000B0A3D">
            <w:pPr>
              <w:pStyle w:val="Tabletexte"/>
              <w:spacing w:before="40" w:after="40"/>
              <w:rPr>
                <w:b/>
                <w:bCs/>
                <w:color w:val="FFFFFF" w:themeColor="background1"/>
                <w:position w:val="2"/>
                <w:lang w:bidi="ar-EG"/>
              </w:rPr>
            </w:pPr>
          </w:p>
        </w:tc>
        <w:tc>
          <w:tcPr>
            <w:tcW w:w="6947" w:type="dxa"/>
            <w:tcBorders>
              <w:top w:val="single" w:sz="4" w:space="0" w:color="C0E6F5"/>
              <w:left w:val="nil"/>
              <w:bottom w:val="single" w:sz="4" w:space="0" w:color="C0E6F5"/>
              <w:right w:val="nil"/>
            </w:tcBorders>
            <w:noWrap/>
            <w:hideMark/>
          </w:tcPr>
          <w:p w14:paraId="44420C2F" w14:textId="77777777" w:rsidR="00C23B5E" w:rsidRPr="00FA46D5" w:rsidRDefault="00C23B5E" w:rsidP="000B0A3D">
            <w:pPr>
              <w:pStyle w:val="Tabletexte"/>
              <w:spacing w:before="40" w:after="40"/>
              <w:rPr>
                <w:position w:val="2"/>
                <w:lang w:val="ar-SA" w:bidi="ar-EG"/>
              </w:rPr>
            </w:pPr>
            <w:r w:rsidRPr="00FA46D5">
              <w:rPr>
                <w:position w:val="2"/>
                <w:rtl/>
              </w:rPr>
              <w:t>عدد الأفراد المدرَّبين على المهارات الرقمية الأساسية والمتوسطة</w:t>
            </w:r>
          </w:p>
        </w:tc>
      </w:tr>
      <w:tr w:rsidR="00C23B5E" w:rsidRPr="00C23B5E" w14:paraId="393566CF" w14:textId="77777777" w:rsidTr="00FA46D5">
        <w:trPr>
          <w:trHeight w:val="315"/>
        </w:trPr>
        <w:tc>
          <w:tcPr>
            <w:tcW w:w="2835" w:type="dxa"/>
            <w:vMerge/>
            <w:tcBorders>
              <w:left w:val="nil"/>
              <w:right w:val="nil"/>
            </w:tcBorders>
            <w:shd w:val="clear" w:color="44B3E1" w:fill="44B3E1"/>
            <w:noWrap/>
            <w:hideMark/>
          </w:tcPr>
          <w:p w14:paraId="31AEBD10" w14:textId="77777777" w:rsidR="00C23B5E" w:rsidRPr="00FA46D5" w:rsidRDefault="00C23B5E" w:rsidP="000B0A3D">
            <w:pPr>
              <w:pStyle w:val="Tabletexte"/>
              <w:spacing w:before="40" w:after="40"/>
              <w:rPr>
                <w:b/>
                <w:bCs/>
                <w:color w:val="FFFFFF" w:themeColor="background1"/>
                <w:position w:val="2"/>
                <w:lang w:bidi="ar-EG"/>
              </w:rPr>
            </w:pPr>
          </w:p>
        </w:tc>
        <w:tc>
          <w:tcPr>
            <w:tcW w:w="6947" w:type="dxa"/>
            <w:tcBorders>
              <w:top w:val="single" w:sz="4" w:space="0" w:color="C0E6F5"/>
              <w:left w:val="nil"/>
              <w:bottom w:val="single" w:sz="4" w:space="0" w:color="C0E6F5"/>
              <w:right w:val="nil"/>
            </w:tcBorders>
            <w:noWrap/>
            <w:hideMark/>
          </w:tcPr>
          <w:p w14:paraId="1797E4E8" w14:textId="77777777" w:rsidR="00C23B5E" w:rsidRPr="00FA46D5" w:rsidRDefault="00C23B5E" w:rsidP="000B0A3D">
            <w:pPr>
              <w:pStyle w:val="Tabletexte"/>
              <w:spacing w:before="40" w:after="40"/>
              <w:rPr>
                <w:position w:val="2"/>
                <w:lang w:val="ar-SA" w:bidi="ar-EG"/>
              </w:rPr>
            </w:pPr>
            <w:r w:rsidRPr="00FA46D5">
              <w:rPr>
                <w:position w:val="2"/>
                <w:rtl/>
              </w:rPr>
              <w:t>عدد مستعملي أكاديمية الاتحاد الدولي للاتصالات</w:t>
            </w:r>
          </w:p>
        </w:tc>
      </w:tr>
      <w:tr w:rsidR="00C23B5E" w:rsidRPr="00C23B5E" w14:paraId="46EA5F96" w14:textId="77777777" w:rsidTr="00FA46D5">
        <w:trPr>
          <w:trHeight w:val="315"/>
        </w:trPr>
        <w:tc>
          <w:tcPr>
            <w:tcW w:w="2835" w:type="dxa"/>
            <w:vMerge/>
            <w:tcBorders>
              <w:left w:val="nil"/>
              <w:bottom w:val="single" w:sz="4" w:space="0" w:color="C0E6F5"/>
              <w:right w:val="nil"/>
            </w:tcBorders>
            <w:shd w:val="clear" w:color="44B3E1" w:fill="44B3E1"/>
            <w:noWrap/>
            <w:hideMark/>
          </w:tcPr>
          <w:p w14:paraId="50B5D476" w14:textId="77777777" w:rsidR="00C23B5E" w:rsidRPr="00FA46D5" w:rsidRDefault="00C23B5E" w:rsidP="000B0A3D">
            <w:pPr>
              <w:pStyle w:val="Tabletexte"/>
              <w:spacing w:before="40" w:after="40"/>
              <w:rPr>
                <w:b/>
                <w:bCs/>
                <w:color w:val="FFFFFF" w:themeColor="background1"/>
                <w:position w:val="2"/>
                <w:lang w:bidi="ar-EG"/>
              </w:rPr>
            </w:pPr>
          </w:p>
        </w:tc>
        <w:tc>
          <w:tcPr>
            <w:tcW w:w="6947" w:type="dxa"/>
            <w:tcBorders>
              <w:top w:val="single" w:sz="4" w:space="0" w:color="C0E6F5"/>
              <w:left w:val="nil"/>
              <w:bottom w:val="single" w:sz="4" w:space="0" w:color="C0E6F5"/>
              <w:right w:val="nil"/>
            </w:tcBorders>
            <w:noWrap/>
            <w:hideMark/>
          </w:tcPr>
          <w:p w14:paraId="6AA494B9" w14:textId="77777777" w:rsidR="00C23B5E" w:rsidRPr="00FA46D5" w:rsidRDefault="00C23B5E" w:rsidP="000B0A3D">
            <w:pPr>
              <w:pStyle w:val="Tabletexte"/>
              <w:spacing w:before="40" w:after="40"/>
              <w:rPr>
                <w:spacing w:val="-4"/>
                <w:position w:val="2"/>
                <w:lang w:val="ar-SA" w:bidi="ar-EG"/>
              </w:rPr>
            </w:pPr>
            <w:r w:rsidRPr="00FA46D5">
              <w:rPr>
                <w:spacing w:val="-4"/>
                <w:position w:val="2"/>
                <w:rtl/>
              </w:rPr>
              <w:t xml:space="preserve">عدد المهنيّين المدرَّبين والمعتمدين في موضوعات الاتصالات/تكنولوجيا المعلومات والاتصالات </w:t>
            </w:r>
            <w:r w:rsidRPr="00FA46D5">
              <w:rPr>
                <w:spacing w:val="-4"/>
                <w:position w:val="2"/>
                <w:lang w:bidi="ar-EG"/>
              </w:rPr>
              <w:t>(ICT)</w:t>
            </w:r>
          </w:p>
        </w:tc>
      </w:tr>
      <w:tr w:rsidR="00C23B5E" w:rsidRPr="00C23B5E" w14:paraId="13A205F4" w14:textId="77777777" w:rsidTr="00FA46D5">
        <w:trPr>
          <w:trHeight w:val="315"/>
        </w:trPr>
        <w:tc>
          <w:tcPr>
            <w:tcW w:w="2835" w:type="dxa"/>
            <w:vMerge w:val="restart"/>
            <w:tcBorders>
              <w:top w:val="single" w:sz="4" w:space="0" w:color="C0E6F5"/>
              <w:left w:val="nil"/>
              <w:right w:val="nil"/>
            </w:tcBorders>
            <w:shd w:val="clear" w:color="44B3E1" w:fill="44B3E1"/>
            <w:noWrap/>
            <w:hideMark/>
          </w:tcPr>
          <w:p w14:paraId="2861EA4A" w14:textId="77777777" w:rsidR="00C23B5E" w:rsidRPr="00FA46D5" w:rsidRDefault="00C23B5E" w:rsidP="000B0A3D">
            <w:pPr>
              <w:pStyle w:val="Tabletexte"/>
              <w:spacing w:before="40" w:after="40"/>
              <w:rPr>
                <w:b/>
                <w:bCs/>
                <w:color w:val="FFFFFF" w:themeColor="background1"/>
                <w:position w:val="2"/>
                <w:lang w:val="ar-SA" w:bidi="ar-EG"/>
              </w:rPr>
            </w:pPr>
            <w:r w:rsidRPr="00FA46D5">
              <w:rPr>
                <w:b/>
                <w:bCs/>
                <w:color w:val="FFFFFF" w:themeColor="background1"/>
                <w:position w:val="2"/>
                <w:rtl/>
              </w:rPr>
              <w:t>منصات عقد الاجتماعات</w:t>
            </w:r>
          </w:p>
        </w:tc>
        <w:tc>
          <w:tcPr>
            <w:tcW w:w="6947" w:type="dxa"/>
            <w:tcBorders>
              <w:top w:val="single" w:sz="4" w:space="0" w:color="C0E6F5"/>
              <w:left w:val="nil"/>
              <w:bottom w:val="single" w:sz="4" w:space="0" w:color="C0E6F5"/>
              <w:right w:val="nil"/>
            </w:tcBorders>
            <w:noWrap/>
            <w:hideMark/>
          </w:tcPr>
          <w:p w14:paraId="4F65E8D5" w14:textId="5FD8A498" w:rsidR="00C23B5E" w:rsidRPr="00FA46D5" w:rsidRDefault="00C23B5E" w:rsidP="000B0A3D">
            <w:pPr>
              <w:pStyle w:val="Tabletexte"/>
              <w:spacing w:before="40" w:after="40"/>
              <w:rPr>
                <w:spacing w:val="-6"/>
                <w:position w:val="2"/>
                <w:lang w:val="ar-SA" w:bidi="ar-EG"/>
              </w:rPr>
            </w:pPr>
            <w:r w:rsidRPr="00FA46D5">
              <w:rPr>
                <w:spacing w:val="-6"/>
                <w:position w:val="2"/>
                <w:rtl/>
              </w:rPr>
              <w:t>مبلغ تمويل المشاريع في أقل البلدان نمواً، والبلدان النامية غير الساحلية، والدول الجزرية الصغيرة النامية</w:t>
            </w:r>
          </w:p>
        </w:tc>
      </w:tr>
      <w:tr w:rsidR="00C23B5E" w:rsidRPr="00C23B5E" w14:paraId="17E8DA07" w14:textId="77777777" w:rsidTr="00FA46D5">
        <w:trPr>
          <w:trHeight w:val="315"/>
        </w:trPr>
        <w:tc>
          <w:tcPr>
            <w:tcW w:w="2835" w:type="dxa"/>
            <w:vMerge/>
            <w:tcBorders>
              <w:left w:val="nil"/>
              <w:right w:val="nil"/>
            </w:tcBorders>
            <w:shd w:val="clear" w:color="44B3E1" w:fill="44B3E1"/>
            <w:noWrap/>
            <w:hideMark/>
          </w:tcPr>
          <w:p w14:paraId="49CB1B8F" w14:textId="77777777" w:rsidR="00C23B5E" w:rsidRPr="00FA46D5" w:rsidRDefault="00C23B5E" w:rsidP="000B0A3D">
            <w:pPr>
              <w:pStyle w:val="Tabletexte"/>
              <w:spacing w:before="40" w:after="40"/>
              <w:rPr>
                <w:b/>
                <w:bCs/>
                <w:color w:val="FFFFFF" w:themeColor="background1"/>
                <w:position w:val="2"/>
                <w:lang w:bidi="ar-EG"/>
              </w:rPr>
            </w:pPr>
          </w:p>
        </w:tc>
        <w:tc>
          <w:tcPr>
            <w:tcW w:w="6947" w:type="dxa"/>
            <w:tcBorders>
              <w:top w:val="single" w:sz="4" w:space="0" w:color="C0E6F5"/>
              <w:left w:val="nil"/>
              <w:bottom w:val="single" w:sz="4" w:space="0" w:color="C0E6F5"/>
              <w:right w:val="nil"/>
            </w:tcBorders>
            <w:noWrap/>
            <w:hideMark/>
          </w:tcPr>
          <w:p w14:paraId="0FED2674" w14:textId="47B56467" w:rsidR="00C23B5E" w:rsidRPr="00FA46D5" w:rsidRDefault="00C23B5E" w:rsidP="000B0A3D">
            <w:pPr>
              <w:pStyle w:val="Tabletexte"/>
              <w:spacing w:before="40" w:after="40"/>
              <w:rPr>
                <w:position w:val="2"/>
                <w:lang w:val="ar-SA" w:bidi="ar-EG"/>
              </w:rPr>
            </w:pPr>
            <w:r w:rsidRPr="00FA46D5">
              <w:rPr>
                <w:position w:val="2"/>
                <w:rtl/>
              </w:rPr>
              <w:t xml:space="preserve">عدد </w:t>
            </w:r>
            <w:r w:rsidR="007E52DD" w:rsidRPr="007E52DD">
              <w:rPr>
                <w:position w:val="2"/>
                <w:rtl/>
              </w:rPr>
              <w:t>الممارسات الفضلى</w:t>
            </w:r>
            <w:r w:rsidR="007E52DD">
              <w:rPr>
                <w:position w:val="2"/>
              </w:rPr>
              <w:t>/</w:t>
            </w:r>
            <w:r w:rsidRPr="00FA46D5">
              <w:rPr>
                <w:position w:val="2"/>
                <w:rtl/>
              </w:rPr>
              <w:t>المبادئ التوجيهية التي تمَّ إعدادها</w:t>
            </w:r>
          </w:p>
        </w:tc>
      </w:tr>
      <w:tr w:rsidR="00C23B5E" w:rsidRPr="00C23B5E" w14:paraId="1C9F03BC" w14:textId="77777777" w:rsidTr="00FA46D5">
        <w:trPr>
          <w:trHeight w:val="315"/>
        </w:trPr>
        <w:tc>
          <w:tcPr>
            <w:tcW w:w="2835" w:type="dxa"/>
            <w:vMerge/>
            <w:tcBorders>
              <w:left w:val="nil"/>
              <w:right w:val="nil"/>
            </w:tcBorders>
            <w:shd w:val="clear" w:color="44B3E1" w:fill="44B3E1"/>
            <w:noWrap/>
            <w:hideMark/>
          </w:tcPr>
          <w:p w14:paraId="5B01069F" w14:textId="77777777" w:rsidR="00C23B5E" w:rsidRPr="00FA46D5" w:rsidRDefault="00C23B5E" w:rsidP="000B0A3D">
            <w:pPr>
              <w:pStyle w:val="Tabletexte"/>
              <w:spacing w:before="40" w:after="40"/>
              <w:rPr>
                <w:b/>
                <w:bCs/>
                <w:color w:val="FFFFFF" w:themeColor="background1"/>
                <w:position w:val="2"/>
                <w:lang w:bidi="ar-EG"/>
              </w:rPr>
            </w:pPr>
          </w:p>
        </w:tc>
        <w:tc>
          <w:tcPr>
            <w:tcW w:w="6947" w:type="dxa"/>
            <w:tcBorders>
              <w:top w:val="single" w:sz="4" w:space="0" w:color="C0E6F5"/>
              <w:left w:val="nil"/>
              <w:bottom w:val="single" w:sz="4" w:space="0" w:color="C0E6F5"/>
              <w:right w:val="nil"/>
            </w:tcBorders>
            <w:noWrap/>
            <w:hideMark/>
          </w:tcPr>
          <w:p w14:paraId="5167F7EC" w14:textId="77777777" w:rsidR="00C23B5E" w:rsidRPr="00FA46D5" w:rsidRDefault="00C23B5E" w:rsidP="000B0A3D">
            <w:pPr>
              <w:pStyle w:val="Tabletexte"/>
              <w:spacing w:before="40" w:after="40"/>
              <w:rPr>
                <w:position w:val="2"/>
                <w:lang w:val="ar-SA" w:bidi="ar-EG"/>
              </w:rPr>
            </w:pPr>
            <w:r w:rsidRPr="00FA46D5">
              <w:rPr>
                <w:position w:val="2"/>
                <w:rtl/>
              </w:rPr>
              <w:t>عدد مشاريع قطاع تنمية الاتصالات التي تحظى بدعم مالي في أقل البلدان نمواً، والبلدان النامية غير الساحلية، والدول الجزرية الصغيرة النامية</w:t>
            </w:r>
          </w:p>
        </w:tc>
      </w:tr>
      <w:tr w:rsidR="00C23B5E" w:rsidRPr="00C23B5E" w14:paraId="59378EE7" w14:textId="77777777" w:rsidTr="00FA46D5">
        <w:trPr>
          <w:trHeight w:val="315"/>
        </w:trPr>
        <w:tc>
          <w:tcPr>
            <w:tcW w:w="2835" w:type="dxa"/>
            <w:vMerge/>
            <w:tcBorders>
              <w:left w:val="nil"/>
              <w:right w:val="nil"/>
            </w:tcBorders>
            <w:shd w:val="clear" w:color="44B3E1" w:fill="44B3E1"/>
            <w:noWrap/>
            <w:hideMark/>
          </w:tcPr>
          <w:p w14:paraId="1B5F0576" w14:textId="77777777" w:rsidR="00C23B5E" w:rsidRPr="00FA46D5" w:rsidRDefault="00C23B5E" w:rsidP="000B0A3D">
            <w:pPr>
              <w:pStyle w:val="Tabletexte"/>
              <w:spacing w:before="40" w:after="40"/>
              <w:rPr>
                <w:b/>
                <w:bCs/>
                <w:color w:val="FFFFFF" w:themeColor="background1"/>
                <w:position w:val="2"/>
                <w:lang w:bidi="ar-EG"/>
              </w:rPr>
            </w:pPr>
          </w:p>
        </w:tc>
        <w:tc>
          <w:tcPr>
            <w:tcW w:w="6947" w:type="dxa"/>
            <w:tcBorders>
              <w:top w:val="single" w:sz="4" w:space="0" w:color="C0E6F5"/>
              <w:left w:val="nil"/>
              <w:bottom w:val="single" w:sz="4" w:space="0" w:color="C0E6F5"/>
              <w:right w:val="nil"/>
            </w:tcBorders>
            <w:noWrap/>
            <w:hideMark/>
          </w:tcPr>
          <w:p w14:paraId="27614241" w14:textId="77777777" w:rsidR="00C23B5E" w:rsidRPr="00FA46D5" w:rsidRDefault="00C23B5E" w:rsidP="000B0A3D">
            <w:pPr>
              <w:pStyle w:val="Tabletexte"/>
              <w:spacing w:before="40" w:after="40"/>
              <w:rPr>
                <w:position w:val="2"/>
                <w:lang w:val="ar-SA" w:bidi="ar-EG"/>
              </w:rPr>
            </w:pPr>
            <w:r w:rsidRPr="00FA46D5">
              <w:rPr>
                <w:position w:val="2"/>
                <w:rtl/>
              </w:rPr>
              <w:t>عدد اتفاقات تنمية تكنولوجيا المعلومات والاتصالات الموقعة بين الاتحاد وشركائه لدعم تنفيذ خطة عمل قطاع تنمية الاتصالات</w:t>
            </w:r>
          </w:p>
        </w:tc>
      </w:tr>
      <w:tr w:rsidR="00C23B5E" w:rsidRPr="00C23B5E" w14:paraId="605F0BF8" w14:textId="77777777" w:rsidTr="00FA46D5">
        <w:trPr>
          <w:trHeight w:val="315"/>
        </w:trPr>
        <w:tc>
          <w:tcPr>
            <w:tcW w:w="2835" w:type="dxa"/>
            <w:vMerge/>
            <w:tcBorders>
              <w:left w:val="nil"/>
              <w:right w:val="nil"/>
            </w:tcBorders>
            <w:shd w:val="clear" w:color="44B3E1" w:fill="44B3E1"/>
            <w:noWrap/>
            <w:hideMark/>
          </w:tcPr>
          <w:p w14:paraId="43722536" w14:textId="77777777" w:rsidR="00C23B5E" w:rsidRPr="00FA46D5" w:rsidRDefault="00C23B5E" w:rsidP="000B0A3D">
            <w:pPr>
              <w:pStyle w:val="Tabletexte"/>
              <w:spacing w:before="40" w:after="40"/>
              <w:rPr>
                <w:b/>
                <w:bCs/>
                <w:color w:val="FFFFFF" w:themeColor="background1"/>
                <w:position w:val="2"/>
                <w:lang w:bidi="ar-EG"/>
              </w:rPr>
            </w:pPr>
          </w:p>
        </w:tc>
        <w:tc>
          <w:tcPr>
            <w:tcW w:w="6947" w:type="dxa"/>
            <w:tcBorders>
              <w:top w:val="single" w:sz="4" w:space="0" w:color="C0E6F5"/>
              <w:left w:val="nil"/>
              <w:bottom w:val="single" w:sz="4" w:space="0" w:color="C0E6F5"/>
              <w:right w:val="nil"/>
            </w:tcBorders>
            <w:noWrap/>
          </w:tcPr>
          <w:p w14:paraId="0D0A54AC" w14:textId="57C8FC6B" w:rsidR="00C23B5E" w:rsidRPr="00FA46D5" w:rsidRDefault="00C23B5E" w:rsidP="000B0A3D">
            <w:pPr>
              <w:pStyle w:val="Tabletexte"/>
              <w:spacing w:before="40" w:after="40"/>
              <w:rPr>
                <w:position w:val="2"/>
                <w:lang w:val="ar-SA" w:bidi="ar-EG"/>
              </w:rPr>
            </w:pPr>
            <w:r w:rsidRPr="00FA46D5">
              <w:rPr>
                <w:position w:val="2"/>
                <w:rtl/>
              </w:rPr>
              <w:t>عدد تقارير تقييم الأثر التي أعدها مكتب تنمية الاتصالات</w:t>
            </w:r>
          </w:p>
        </w:tc>
      </w:tr>
      <w:tr w:rsidR="00C23B5E" w:rsidRPr="00C23B5E" w14:paraId="30F0F753" w14:textId="77777777" w:rsidTr="00FA46D5">
        <w:trPr>
          <w:trHeight w:val="315"/>
        </w:trPr>
        <w:tc>
          <w:tcPr>
            <w:tcW w:w="2835" w:type="dxa"/>
            <w:vMerge/>
            <w:tcBorders>
              <w:left w:val="nil"/>
              <w:right w:val="nil"/>
            </w:tcBorders>
            <w:shd w:val="clear" w:color="44B3E1" w:fill="44B3E1"/>
            <w:noWrap/>
            <w:hideMark/>
          </w:tcPr>
          <w:p w14:paraId="395B1FDB" w14:textId="77777777" w:rsidR="00C23B5E" w:rsidRPr="00FA46D5" w:rsidRDefault="00C23B5E" w:rsidP="000B0A3D">
            <w:pPr>
              <w:pStyle w:val="Tabletexte"/>
              <w:spacing w:before="40" w:after="40"/>
              <w:rPr>
                <w:b/>
                <w:bCs/>
                <w:color w:val="FFFFFF" w:themeColor="background1"/>
                <w:position w:val="2"/>
                <w:lang w:bidi="ar-EG"/>
              </w:rPr>
            </w:pPr>
          </w:p>
        </w:tc>
        <w:tc>
          <w:tcPr>
            <w:tcW w:w="6947" w:type="dxa"/>
            <w:tcBorders>
              <w:top w:val="single" w:sz="4" w:space="0" w:color="C0E6F5"/>
              <w:left w:val="nil"/>
              <w:bottom w:val="single" w:sz="4" w:space="0" w:color="C0E6F5"/>
              <w:right w:val="nil"/>
            </w:tcBorders>
            <w:noWrap/>
            <w:hideMark/>
          </w:tcPr>
          <w:p w14:paraId="77E1EA93" w14:textId="54887E4B" w:rsidR="00C23B5E" w:rsidRPr="00FA46D5" w:rsidRDefault="00C23B5E" w:rsidP="000B0A3D">
            <w:pPr>
              <w:pStyle w:val="Tabletexte"/>
              <w:spacing w:before="40" w:after="40"/>
              <w:rPr>
                <w:position w:val="2"/>
                <w:lang w:val="ar-SA" w:bidi="ar-EG"/>
              </w:rPr>
            </w:pPr>
            <w:r w:rsidRPr="00FA46D5">
              <w:rPr>
                <w:position w:val="2"/>
                <w:rtl/>
              </w:rPr>
              <w:t>عدد الدول الأعضاء المشاركة</w:t>
            </w:r>
          </w:p>
        </w:tc>
      </w:tr>
      <w:tr w:rsidR="00C23B5E" w:rsidRPr="00C23B5E" w14:paraId="12AE7C0C" w14:textId="77777777" w:rsidTr="00FA46D5">
        <w:trPr>
          <w:trHeight w:val="315"/>
        </w:trPr>
        <w:tc>
          <w:tcPr>
            <w:tcW w:w="2835" w:type="dxa"/>
            <w:vMerge/>
            <w:tcBorders>
              <w:left w:val="nil"/>
              <w:right w:val="nil"/>
            </w:tcBorders>
            <w:shd w:val="clear" w:color="44B3E1" w:fill="44B3E1"/>
            <w:noWrap/>
            <w:hideMark/>
          </w:tcPr>
          <w:p w14:paraId="274CF09D" w14:textId="77777777" w:rsidR="00C23B5E" w:rsidRPr="00FA46D5" w:rsidRDefault="00C23B5E" w:rsidP="000B0A3D">
            <w:pPr>
              <w:pStyle w:val="Tabletexte"/>
              <w:spacing w:before="40" w:after="40"/>
              <w:rPr>
                <w:b/>
                <w:bCs/>
                <w:color w:val="FFFFFF" w:themeColor="background1"/>
                <w:position w:val="2"/>
                <w:lang w:bidi="ar-EG"/>
              </w:rPr>
            </w:pPr>
          </w:p>
        </w:tc>
        <w:tc>
          <w:tcPr>
            <w:tcW w:w="6947" w:type="dxa"/>
            <w:tcBorders>
              <w:top w:val="single" w:sz="4" w:space="0" w:color="C0E6F5"/>
              <w:left w:val="nil"/>
              <w:bottom w:val="single" w:sz="4" w:space="0" w:color="C0E6F5"/>
              <w:right w:val="nil"/>
            </w:tcBorders>
            <w:noWrap/>
            <w:hideMark/>
          </w:tcPr>
          <w:p w14:paraId="4DB7791F" w14:textId="77777777" w:rsidR="00C23B5E" w:rsidRPr="00FA46D5" w:rsidRDefault="00C23B5E" w:rsidP="000B0A3D">
            <w:pPr>
              <w:pStyle w:val="Tabletexte"/>
              <w:spacing w:before="40" w:after="40"/>
              <w:rPr>
                <w:position w:val="2"/>
                <w:lang w:val="ar-SA" w:bidi="ar-EG"/>
              </w:rPr>
            </w:pPr>
            <w:r w:rsidRPr="00FA46D5">
              <w:rPr>
                <w:position w:val="2"/>
                <w:rtl/>
              </w:rPr>
              <w:t>عدد الأعضاء الجدد في قطاع تنمية الاتصالات</w:t>
            </w:r>
          </w:p>
        </w:tc>
      </w:tr>
      <w:tr w:rsidR="00C23B5E" w:rsidRPr="00C23B5E" w14:paraId="4551059A" w14:textId="77777777" w:rsidTr="00FA46D5">
        <w:trPr>
          <w:trHeight w:val="315"/>
        </w:trPr>
        <w:tc>
          <w:tcPr>
            <w:tcW w:w="2835" w:type="dxa"/>
            <w:vMerge/>
            <w:tcBorders>
              <w:left w:val="nil"/>
              <w:right w:val="nil"/>
            </w:tcBorders>
            <w:shd w:val="clear" w:color="44B3E1" w:fill="44B3E1"/>
            <w:noWrap/>
            <w:hideMark/>
          </w:tcPr>
          <w:p w14:paraId="4AD98D69" w14:textId="77777777" w:rsidR="00C23B5E" w:rsidRPr="00FA46D5" w:rsidRDefault="00C23B5E" w:rsidP="000B0A3D">
            <w:pPr>
              <w:pStyle w:val="Tabletexte"/>
              <w:spacing w:before="40" w:after="40"/>
              <w:rPr>
                <w:b/>
                <w:bCs/>
                <w:color w:val="FFFFFF" w:themeColor="background1"/>
                <w:position w:val="2"/>
                <w:lang w:bidi="ar-EG"/>
              </w:rPr>
            </w:pPr>
          </w:p>
        </w:tc>
        <w:tc>
          <w:tcPr>
            <w:tcW w:w="6947" w:type="dxa"/>
            <w:tcBorders>
              <w:top w:val="single" w:sz="4" w:space="0" w:color="C0E6F5"/>
              <w:left w:val="nil"/>
              <w:bottom w:val="single" w:sz="4" w:space="0" w:color="C0E6F5"/>
              <w:right w:val="nil"/>
            </w:tcBorders>
            <w:noWrap/>
            <w:hideMark/>
          </w:tcPr>
          <w:p w14:paraId="1712BFB3" w14:textId="7ACF3848" w:rsidR="00C23B5E" w:rsidRPr="00FA46D5" w:rsidRDefault="00C23B5E" w:rsidP="000B0A3D">
            <w:pPr>
              <w:pStyle w:val="Tabletexte"/>
              <w:spacing w:before="40" w:after="40"/>
              <w:rPr>
                <w:position w:val="2"/>
                <w:lang w:val="ar-SA" w:bidi="ar-EG"/>
              </w:rPr>
            </w:pPr>
            <w:r w:rsidRPr="00FA46D5">
              <w:rPr>
                <w:position w:val="2"/>
                <w:rtl/>
              </w:rPr>
              <w:t>عدد المشاركين في الأحداث التي يقودها مكتب تنمية الاتصالات</w:t>
            </w:r>
            <w:r w:rsidR="00C55646">
              <w:rPr>
                <w:rtl/>
              </w:rPr>
              <w:tab/>
            </w:r>
            <w:r w:rsidR="002C3875">
              <w:rPr>
                <w:position w:val="2"/>
                <w:rtl/>
              </w:rPr>
              <w:br/>
            </w:r>
            <w:r w:rsidRPr="00FA46D5">
              <w:rPr>
                <w:position w:val="2"/>
                <w:rtl/>
              </w:rPr>
              <w:t>(بما في ذلك المنتديات الإقليمية للتنمية والندوة العالمية لمنظمي الاتصالات و</w:t>
            </w:r>
            <w:r w:rsidRPr="00FA46D5">
              <w:rPr>
                <w:position w:val="2"/>
                <w:lang w:bidi="ar-EG"/>
              </w:rPr>
              <w:t>GIF</w:t>
            </w:r>
            <w:r w:rsidRPr="00FA46D5">
              <w:rPr>
                <w:position w:val="2"/>
                <w:rtl/>
              </w:rPr>
              <w:t xml:space="preserve"> و</w:t>
            </w:r>
            <w:r w:rsidRPr="00FA46D5">
              <w:rPr>
                <w:position w:val="2"/>
                <w:lang w:bidi="ar-EG"/>
              </w:rPr>
              <w:t>DSF</w:t>
            </w:r>
            <w:r w:rsidRPr="00FA46D5">
              <w:rPr>
                <w:position w:val="2"/>
                <w:rtl/>
              </w:rPr>
              <w:t xml:space="preserve"> و</w:t>
            </w:r>
            <w:r w:rsidRPr="00FA46D5">
              <w:rPr>
                <w:position w:val="2"/>
                <w:lang w:bidi="ar-EG"/>
              </w:rPr>
              <w:t>WTIS</w:t>
            </w:r>
            <w:r w:rsidRPr="00FA46D5">
              <w:rPr>
                <w:position w:val="2"/>
                <w:rtl/>
              </w:rPr>
              <w:t xml:space="preserve"> و</w:t>
            </w:r>
            <w:r w:rsidRPr="00FA46D5">
              <w:rPr>
                <w:position w:val="2"/>
                <w:lang w:bidi="ar-EG"/>
              </w:rPr>
              <w:t>EGTI</w:t>
            </w:r>
            <w:r w:rsidRPr="00FA46D5">
              <w:rPr>
                <w:position w:val="2"/>
                <w:rtl/>
              </w:rPr>
              <w:t xml:space="preserve"> و</w:t>
            </w:r>
            <w:r w:rsidRPr="00FA46D5">
              <w:rPr>
                <w:position w:val="2"/>
                <w:lang w:bidi="ar-EG"/>
              </w:rPr>
              <w:t>GIICT</w:t>
            </w:r>
            <w:r w:rsidRPr="00FA46D5">
              <w:rPr>
                <w:position w:val="2"/>
                <w:rtl/>
              </w:rPr>
              <w:t xml:space="preserve"> و</w:t>
            </w:r>
            <w:r w:rsidRPr="00FA46D5">
              <w:rPr>
                <w:position w:val="2"/>
                <w:lang w:bidi="ar-EG"/>
              </w:rPr>
              <w:t>G</w:t>
            </w:r>
            <w:r w:rsidR="004F7519">
              <w:rPr>
                <w:position w:val="2"/>
                <w:lang w:bidi="ar-EG"/>
              </w:rPr>
              <w:t>Y</w:t>
            </w:r>
            <w:r w:rsidRPr="00FA46D5">
              <w:rPr>
                <w:position w:val="2"/>
                <w:lang w:bidi="ar-EG"/>
              </w:rPr>
              <w:t>F</w:t>
            </w:r>
            <w:r w:rsidRPr="00FA46D5">
              <w:rPr>
                <w:position w:val="2"/>
                <w:rtl/>
              </w:rPr>
              <w:t xml:space="preserve"> وغيرها)</w:t>
            </w:r>
          </w:p>
        </w:tc>
      </w:tr>
      <w:tr w:rsidR="00C23B5E" w:rsidRPr="00C23B5E" w14:paraId="3D4B0F28" w14:textId="77777777" w:rsidTr="00FA46D5">
        <w:trPr>
          <w:trHeight w:val="315"/>
        </w:trPr>
        <w:tc>
          <w:tcPr>
            <w:tcW w:w="2835" w:type="dxa"/>
            <w:vMerge/>
            <w:tcBorders>
              <w:left w:val="nil"/>
              <w:right w:val="nil"/>
            </w:tcBorders>
            <w:shd w:val="clear" w:color="44B3E1" w:fill="44B3E1"/>
            <w:noWrap/>
            <w:hideMark/>
          </w:tcPr>
          <w:p w14:paraId="5050BB0A" w14:textId="77777777" w:rsidR="00C23B5E" w:rsidRPr="00FA46D5" w:rsidRDefault="00C23B5E" w:rsidP="000B0A3D">
            <w:pPr>
              <w:pStyle w:val="Tabletexte"/>
              <w:spacing w:before="40" w:after="40"/>
              <w:rPr>
                <w:b/>
                <w:bCs/>
                <w:color w:val="FFFFFF" w:themeColor="background1"/>
                <w:position w:val="2"/>
                <w:lang w:bidi="ar-EG"/>
              </w:rPr>
            </w:pPr>
          </w:p>
        </w:tc>
        <w:tc>
          <w:tcPr>
            <w:tcW w:w="6947" w:type="dxa"/>
            <w:tcBorders>
              <w:top w:val="single" w:sz="4" w:space="0" w:color="C0E6F5"/>
              <w:left w:val="nil"/>
              <w:bottom w:val="single" w:sz="4" w:space="0" w:color="C0E6F5"/>
              <w:right w:val="nil"/>
            </w:tcBorders>
            <w:noWrap/>
            <w:hideMark/>
          </w:tcPr>
          <w:p w14:paraId="44243D28" w14:textId="77777777" w:rsidR="00C23B5E" w:rsidRPr="00FA46D5" w:rsidRDefault="00C23B5E" w:rsidP="000B0A3D">
            <w:pPr>
              <w:pStyle w:val="Tabletexte"/>
              <w:spacing w:before="40" w:after="40"/>
              <w:rPr>
                <w:position w:val="2"/>
                <w:lang w:val="ar-SA" w:bidi="ar-EG"/>
              </w:rPr>
            </w:pPr>
            <w:r w:rsidRPr="00FA46D5">
              <w:rPr>
                <w:position w:val="2"/>
                <w:rtl/>
              </w:rPr>
              <w:t>عدد الشراكات الموقَّعة</w:t>
            </w:r>
          </w:p>
        </w:tc>
      </w:tr>
      <w:tr w:rsidR="00C23B5E" w:rsidRPr="00C23B5E" w14:paraId="15DD1FC4" w14:textId="77777777" w:rsidTr="00FA46D5">
        <w:trPr>
          <w:trHeight w:val="315"/>
        </w:trPr>
        <w:tc>
          <w:tcPr>
            <w:tcW w:w="2835" w:type="dxa"/>
            <w:vMerge/>
            <w:tcBorders>
              <w:left w:val="nil"/>
              <w:right w:val="nil"/>
            </w:tcBorders>
            <w:shd w:val="clear" w:color="44B3E1" w:fill="44B3E1"/>
            <w:noWrap/>
            <w:hideMark/>
          </w:tcPr>
          <w:p w14:paraId="03915364" w14:textId="77777777" w:rsidR="00C23B5E" w:rsidRPr="00FA46D5" w:rsidRDefault="00C23B5E" w:rsidP="000B0A3D">
            <w:pPr>
              <w:pStyle w:val="Tabletexte"/>
              <w:spacing w:before="40" w:after="40"/>
              <w:rPr>
                <w:b/>
                <w:bCs/>
                <w:color w:val="FFFFFF" w:themeColor="background1"/>
                <w:position w:val="2"/>
                <w:lang w:bidi="ar-EG"/>
              </w:rPr>
            </w:pPr>
          </w:p>
        </w:tc>
        <w:tc>
          <w:tcPr>
            <w:tcW w:w="6947" w:type="dxa"/>
            <w:tcBorders>
              <w:top w:val="single" w:sz="4" w:space="0" w:color="C0E6F5"/>
              <w:left w:val="nil"/>
              <w:bottom w:val="single" w:sz="4" w:space="0" w:color="C0E6F5"/>
              <w:right w:val="nil"/>
            </w:tcBorders>
            <w:noWrap/>
            <w:hideMark/>
          </w:tcPr>
          <w:p w14:paraId="7938DF58" w14:textId="36F6194E" w:rsidR="00C23B5E" w:rsidRPr="00FA46D5" w:rsidRDefault="00C23B5E" w:rsidP="000B0A3D">
            <w:pPr>
              <w:pStyle w:val="Tabletexte"/>
              <w:spacing w:before="40" w:after="40"/>
              <w:rPr>
                <w:position w:val="2"/>
                <w:lang w:val="ar-SA" w:bidi="ar-EG"/>
              </w:rPr>
            </w:pPr>
            <w:r w:rsidRPr="00FA46D5">
              <w:rPr>
                <w:position w:val="2"/>
                <w:rtl/>
              </w:rPr>
              <w:t xml:space="preserve">نسبة المصادر الداخلية/الخارجية </w:t>
            </w:r>
            <w:r w:rsidR="007E52DD">
              <w:rPr>
                <w:rFonts w:hint="cs"/>
                <w:position w:val="2"/>
                <w:rtl/>
              </w:rPr>
              <w:t xml:space="preserve">من </w:t>
            </w:r>
            <w:r w:rsidR="007E52DD" w:rsidRPr="007E52DD">
              <w:rPr>
                <w:position w:val="2"/>
                <w:rtl/>
              </w:rPr>
              <w:t>تمويل المشاريع</w:t>
            </w:r>
          </w:p>
        </w:tc>
      </w:tr>
      <w:tr w:rsidR="00C23B5E" w:rsidRPr="00C23B5E" w14:paraId="7A8876F1" w14:textId="77777777" w:rsidTr="00FA46D5">
        <w:trPr>
          <w:trHeight w:val="315"/>
        </w:trPr>
        <w:tc>
          <w:tcPr>
            <w:tcW w:w="2835" w:type="dxa"/>
            <w:vMerge/>
            <w:tcBorders>
              <w:left w:val="nil"/>
              <w:right w:val="nil"/>
            </w:tcBorders>
            <w:shd w:val="clear" w:color="44B3E1" w:fill="44B3E1"/>
            <w:noWrap/>
            <w:hideMark/>
          </w:tcPr>
          <w:p w14:paraId="5F187226" w14:textId="77777777" w:rsidR="00C23B5E" w:rsidRPr="00FA46D5" w:rsidRDefault="00C23B5E" w:rsidP="000B0A3D">
            <w:pPr>
              <w:pStyle w:val="Tabletexte"/>
              <w:spacing w:before="40" w:after="40"/>
              <w:rPr>
                <w:b/>
                <w:bCs/>
                <w:color w:val="FFFFFF" w:themeColor="background1"/>
                <w:position w:val="2"/>
                <w:lang w:bidi="ar-EG"/>
              </w:rPr>
            </w:pPr>
          </w:p>
        </w:tc>
        <w:tc>
          <w:tcPr>
            <w:tcW w:w="6947" w:type="dxa"/>
            <w:tcBorders>
              <w:top w:val="single" w:sz="4" w:space="0" w:color="C0E6F5"/>
              <w:left w:val="nil"/>
              <w:bottom w:val="single" w:sz="4" w:space="0" w:color="C0E6F5"/>
              <w:right w:val="nil"/>
            </w:tcBorders>
            <w:noWrap/>
            <w:hideMark/>
          </w:tcPr>
          <w:p w14:paraId="47E014BD" w14:textId="77777777" w:rsidR="00C23B5E" w:rsidRPr="00FA46D5" w:rsidRDefault="00C23B5E" w:rsidP="000B0A3D">
            <w:pPr>
              <w:pStyle w:val="Tabletexte"/>
              <w:spacing w:before="40" w:after="40"/>
              <w:rPr>
                <w:position w:val="2"/>
                <w:lang w:val="ar-SA" w:bidi="ar-EG"/>
              </w:rPr>
            </w:pPr>
            <w:r w:rsidRPr="00FA46D5">
              <w:rPr>
                <w:position w:val="2"/>
                <w:rtl/>
              </w:rPr>
              <w:t>إجمالي عدد الشركاء المساهمين في مشاريع قطاع تنمية الاتصالات بالاتحاد الدولي للاتصالات</w:t>
            </w:r>
          </w:p>
        </w:tc>
      </w:tr>
      <w:tr w:rsidR="00C23B5E" w:rsidRPr="00C23B5E" w14:paraId="27DE5F8A" w14:textId="77777777" w:rsidTr="00FA46D5">
        <w:trPr>
          <w:trHeight w:val="315"/>
        </w:trPr>
        <w:tc>
          <w:tcPr>
            <w:tcW w:w="2835" w:type="dxa"/>
            <w:vMerge/>
            <w:tcBorders>
              <w:left w:val="nil"/>
              <w:bottom w:val="single" w:sz="4" w:space="0" w:color="C0E6F5"/>
              <w:right w:val="nil"/>
            </w:tcBorders>
            <w:shd w:val="clear" w:color="44B3E1" w:fill="44B3E1"/>
            <w:noWrap/>
            <w:hideMark/>
          </w:tcPr>
          <w:p w14:paraId="6047E50C" w14:textId="77777777" w:rsidR="00C23B5E" w:rsidRPr="00FA46D5" w:rsidRDefault="00C23B5E" w:rsidP="000B0A3D">
            <w:pPr>
              <w:pStyle w:val="Tabletexte"/>
              <w:spacing w:before="40" w:after="40"/>
              <w:rPr>
                <w:b/>
                <w:bCs/>
                <w:color w:val="FFFFFF" w:themeColor="background1"/>
                <w:position w:val="2"/>
                <w:lang w:bidi="ar-EG"/>
              </w:rPr>
            </w:pPr>
          </w:p>
        </w:tc>
        <w:tc>
          <w:tcPr>
            <w:tcW w:w="6947" w:type="dxa"/>
            <w:tcBorders>
              <w:top w:val="single" w:sz="4" w:space="0" w:color="C0E6F5"/>
              <w:left w:val="nil"/>
              <w:bottom w:val="single" w:sz="4" w:space="0" w:color="C0E6F5"/>
              <w:right w:val="nil"/>
            </w:tcBorders>
            <w:noWrap/>
            <w:hideMark/>
          </w:tcPr>
          <w:p w14:paraId="412AF3F9" w14:textId="74BDB7F0" w:rsidR="00C23B5E" w:rsidRPr="00FA46D5" w:rsidRDefault="00C23B5E" w:rsidP="000B0A3D">
            <w:pPr>
              <w:pStyle w:val="Tabletexte"/>
              <w:spacing w:before="40" w:after="40"/>
              <w:rPr>
                <w:position w:val="2"/>
                <w:lang w:val="ar-SA" w:bidi="ar-EG"/>
              </w:rPr>
            </w:pPr>
            <w:r w:rsidRPr="00FA46D5">
              <w:rPr>
                <w:position w:val="2"/>
                <w:rtl/>
              </w:rPr>
              <w:t xml:space="preserve">إجمالي </w:t>
            </w:r>
            <w:r w:rsidR="00676A3E">
              <w:rPr>
                <w:rFonts w:hint="cs"/>
                <w:position w:val="2"/>
                <w:rtl/>
              </w:rPr>
              <w:t>تمويل</w:t>
            </w:r>
            <w:r w:rsidRPr="00FA46D5">
              <w:rPr>
                <w:position w:val="2"/>
                <w:rtl/>
              </w:rPr>
              <w:t xml:space="preserve"> </w:t>
            </w:r>
            <w:r w:rsidR="007E52DD">
              <w:rPr>
                <w:rFonts w:hint="cs"/>
                <w:position w:val="2"/>
                <w:rtl/>
              </w:rPr>
              <w:t>المشاريع</w:t>
            </w:r>
            <w:r w:rsidRPr="00FA46D5">
              <w:rPr>
                <w:position w:val="2"/>
                <w:rtl/>
              </w:rPr>
              <w:t xml:space="preserve"> التي جمعها مكتب تنمية الاتصالات</w:t>
            </w:r>
          </w:p>
        </w:tc>
      </w:tr>
    </w:tbl>
    <w:p w14:paraId="190400EF" w14:textId="665027AB" w:rsidR="00C23B5E" w:rsidRPr="00C23B5E" w:rsidRDefault="00FA46D5" w:rsidP="00FA46D5">
      <w:pPr>
        <w:pStyle w:val="Heading1"/>
      </w:pPr>
      <w:r w:rsidRPr="00676A3E">
        <w:t>5</w:t>
      </w:r>
      <w:r w:rsidRPr="00676A3E">
        <w:tab/>
      </w:r>
      <w:r w:rsidR="00C23B5E" w:rsidRPr="00676A3E">
        <w:rPr>
          <w:rtl/>
        </w:rPr>
        <w:t>عامل تمكيني: التميز المؤسسي</w:t>
      </w:r>
    </w:p>
    <w:p w14:paraId="49A49575" w14:textId="792CDC99" w:rsidR="00C23B5E" w:rsidRPr="00C23B5E" w:rsidRDefault="00C23B5E" w:rsidP="00C23B5E">
      <w:pPr>
        <w:rPr>
          <w:lang w:val="ar-SA" w:bidi="ar-EG"/>
        </w:rPr>
      </w:pPr>
      <w:r w:rsidRPr="002B03E9">
        <w:rPr>
          <w:rtl/>
        </w:rPr>
        <w:t xml:space="preserve">عرف المؤتمر العالمي لتنمية الاتصالات WTDC-25 "التميز </w:t>
      </w:r>
      <w:r w:rsidR="00676A3E">
        <w:rPr>
          <w:rFonts w:hint="cs"/>
          <w:rtl/>
        </w:rPr>
        <w:t>المؤسسي</w:t>
      </w:r>
      <w:r w:rsidRPr="002B03E9">
        <w:rPr>
          <w:rtl/>
        </w:rPr>
        <w:t xml:space="preserve">" باعتباره الآلية التمكينية لتسهيل التنفيذ ودعم تحقيق </w:t>
      </w:r>
      <w:r w:rsidR="002F6EBB">
        <w:rPr>
          <w:rFonts w:hint="cs"/>
          <w:rtl/>
        </w:rPr>
        <w:t>محصلات</w:t>
      </w:r>
      <w:r w:rsidRPr="002B03E9">
        <w:rPr>
          <w:rtl/>
        </w:rPr>
        <w:t xml:space="preserve"> أولويات قطاع تنمية الاتصالات. وهو يركز على تعظيم وتحسين الكفاءة التشغيلية والفعالية بحيث يتمكن مكتب تنمية الاتصالات من الاستجابة بسرعة للتغيرات في مجال الاتصالات/تكنولوجيا المعلومات والاتصالات وتلبية احتياجات البلدان والأعضاء على نحو أفضل. ويشمل ذلك تعزيز العمليات الداخلية، وتسريع عملية </w:t>
      </w:r>
      <w:r w:rsidR="002B03E9">
        <w:rPr>
          <w:rFonts w:hint="cs"/>
          <w:rtl/>
        </w:rPr>
        <w:t>اتخاذ</w:t>
      </w:r>
      <w:r w:rsidRPr="002B03E9">
        <w:rPr>
          <w:rtl/>
        </w:rPr>
        <w:t xml:space="preserve"> القرار، وتعزيز التعاون بين الوظائف، وتشجيع الابتكار، وتعزيز الأداء وإدارة المواهب من خلال خطة تحول الثقافة والمهارات. وتشمل </w:t>
      </w:r>
      <w:r w:rsidR="00676A3E">
        <w:rPr>
          <w:rFonts w:hint="cs"/>
          <w:rtl/>
        </w:rPr>
        <w:t>المجالات</w:t>
      </w:r>
      <w:r w:rsidRPr="002B03E9">
        <w:rPr>
          <w:rtl/>
        </w:rPr>
        <w:t xml:space="preserve"> الرئيسية ما يلي:</w:t>
      </w:r>
    </w:p>
    <w:p w14:paraId="4A069207" w14:textId="1492C7DF" w:rsidR="00C23B5E" w:rsidRPr="00C23B5E" w:rsidRDefault="00FA46D5" w:rsidP="00FA46D5">
      <w:pPr>
        <w:pStyle w:val="enumlev1"/>
        <w:rPr>
          <w:lang w:val="ar-SA" w:bidi="ar-EG"/>
        </w:rPr>
      </w:pPr>
      <w:r>
        <w:rPr>
          <w:b/>
          <w:bCs/>
        </w:rPr>
        <w:sym w:font="Wingdings 2" w:char="F097"/>
      </w:r>
      <w:r>
        <w:rPr>
          <w:b/>
          <w:bCs/>
        </w:rPr>
        <w:tab/>
      </w:r>
      <w:r w:rsidR="00C23B5E" w:rsidRPr="00C23B5E">
        <w:rPr>
          <w:b/>
          <w:bCs/>
          <w:rtl/>
        </w:rPr>
        <w:t>النهج القائم على الأعضاء</w:t>
      </w:r>
      <w:r w:rsidR="00C23B5E" w:rsidRPr="00C23B5E">
        <w:rPr>
          <w:rtl/>
        </w:rPr>
        <w:t>: إعطاء الأولوية لاحتياجات جميع الأعضاء، ولا سيما البلدان النامية، وتعزيز التعاون مع دوائر الصناعة والأعضاء الجدد.</w:t>
      </w:r>
    </w:p>
    <w:p w14:paraId="791CFF4A" w14:textId="3A7D8ACC" w:rsidR="00C23B5E" w:rsidRPr="00C23B5E" w:rsidRDefault="00FA46D5" w:rsidP="00FA46D5">
      <w:pPr>
        <w:pStyle w:val="enumlev1"/>
        <w:rPr>
          <w:lang w:val="ar-SA" w:bidi="ar-EG"/>
        </w:rPr>
      </w:pPr>
      <w:r>
        <w:rPr>
          <w:b/>
          <w:bCs/>
        </w:rPr>
        <w:sym w:font="Wingdings 2" w:char="F097"/>
      </w:r>
      <w:r>
        <w:rPr>
          <w:b/>
          <w:bCs/>
        </w:rPr>
        <w:tab/>
      </w:r>
      <w:r w:rsidR="00C23B5E" w:rsidRPr="00FA46D5">
        <w:rPr>
          <w:b/>
          <w:bCs/>
          <w:rtl/>
        </w:rPr>
        <w:t>الحضور الإقليمي</w:t>
      </w:r>
      <w:r w:rsidR="00C23B5E" w:rsidRPr="00C23B5E">
        <w:rPr>
          <w:rtl/>
        </w:rPr>
        <w:t>: تمكين المكاتب الإقليمية ومكاتب المناطق من تعزيز الاستجابة المحلية وتنفيذ البرامج والشراكات والإبلاغ عن التقدم المحرز واستخدام الموارد وتأثيرها.</w:t>
      </w:r>
    </w:p>
    <w:p w14:paraId="687AB789" w14:textId="7D42797D" w:rsidR="00C23B5E" w:rsidRPr="00C23B5E" w:rsidRDefault="00FA46D5" w:rsidP="00FA46D5">
      <w:pPr>
        <w:pStyle w:val="enumlev1"/>
        <w:rPr>
          <w:lang w:val="ar-SA" w:bidi="ar-EG"/>
        </w:rPr>
      </w:pPr>
      <w:r>
        <w:rPr>
          <w:b/>
          <w:bCs/>
        </w:rPr>
        <w:sym w:font="Wingdings 2" w:char="F097"/>
      </w:r>
      <w:r>
        <w:rPr>
          <w:b/>
          <w:bCs/>
        </w:rPr>
        <w:tab/>
      </w:r>
      <w:r w:rsidR="00C23B5E" w:rsidRPr="00FA46D5">
        <w:rPr>
          <w:b/>
          <w:bCs/>
          <w:rtl/>
        </w:rPr>
        <w:t>إدارة المشاريع</w:t>
      </w:r>
      <w:r w:rsidR="00C23B5E" w:rsidRPr="00C23B5E">
        <w:rPr>
          <w:rtl/>
        </w:rPr>
        <w:t>: تعزيز القدرات والأدوات والممارسات لضمان التخطيط والتنفيذ والمراقبة واستكمال مشاريع التنمية بكفاءة وقابلية المساءلة لها.</w:t>
      </w:r>
    </w:p>
    <w:p w14:paraId="46DFF423" w14:textId="7A3BB840" w:rsidR="00C23B5E" w:rsidRPr="00C23B5E" w:rsidRDefault="00FA46D5" w:rsidP="00FA46D5">
      <w:pPr>
        <w:pStyle w:val="enumlev1"/>
        <w:rPr>
          <w:lang w:val="ar-SA" w:bidi="ar-EG"/>
        </w:rPr>
      </w:pPr>
      <w:r>
        <w:rPr>
          <w:b/>
          <w:bCs/>
        </w:rPr>
        <w:sym w:font="Wingdings 2" w:char="F097"/>
      </w:r>
      <w:r>
        <w:rPr>
          <w:b/>
          <w:bCs/>
        </w:rPr>
        <w:tab/>
      </w:r>
      <w:r w:rsidR="00C23B5E" w:rsidRPr="00FA46D5">
        <w:rPr>
          <w:b/>
          <w:bCs/>
          <w:rtl/>
        </w:rPr>
        <w:t>خدمات الدعم</w:t>
      </w:r>
      <w:r w:rsidR="00C23B5E" w:rsidRPr="00C23B5E">
        <w:rPr>
          <w:rtl/>
        </w:rPr>
        <w:t>: تعزيز الوظائف الإدارية والتشغيلية مثل الاتصالات والمنح والأحداث والوثائق ومراقبة الأداء والموارد البشرية ودعم الميزانية والتنسيق بين قطاعات الاتحاد.</w:t>
      </w:r>
    </w:p>
    <w:p w14:paraId="18A5B5BD" w14:textId="647A5741" w:rsidR="00C23B5E" w:rsidRDefault="00C23B5E" w:rsidP="00C23B5E">
      <w:pPr>
        <w:rPr>
          <w:rtl/>
        </w:rPr>
      </w:pPr>
      <w:r w:rsidRPr="00C23B5E">
        <w:rPr>
          <w:rtl/>
        </w:rPr>
        <w:t>وقد خ</w:t>
      </w:r>
      <w:r w:rsidR="002B03E9">
        <w:rPr>
          <w:rFonts w:hint="cs"/>
          <w:rtl/>
        </w:rPr>
        <w:t>ُ</w:t>
      </w:r>
      <w:r w:rsidRPr="00C23B5E">
        <w:rPr>
          <w:rtl/>
        </w:rPr>
        <w:t xml:space="preserve">صصت ميزانية لهذه المجالات لضمان التنفيذ الفعال لبرامج قطاع تنمية الاتصالات </w:t>
      </w:r>
      <w:r w:rsidR="002F6EBB">
        <w:rPr>
          <w:rFonts w:hint="cs"/>
          <w:rtl/>
        </w:rPr>
        <w:t>ومحصلاته</w:t>
      </w:r>
      <w:r w:rsidR="005443F3">
        <w:rPr>
          <w:rFonts w:hint="cs"/>
          <w:rtl/>
        </w:rPr>
        <w:t xml:space="preserve"> </w:t>
      </w:r>
      <w:r w:rsidRPr="00C23B5E">
        <w:rPr>
          <w:rtl/>
        </w:rPr>
        <w:t>الاستراتيجية.</w:t>
      </w:r>
    </w:p>
    <w:p w14:paraId="170496C9" w14:textId="1AA793EA" w:rsidR="0002738E" w:rsidRPr="00C23B5E" w:rsidRDefault="002B03E9" w:rsidP="00CF7BE7">
      <w:pPr>
        <w:pStyle w:val="Figure"/>
        <w:rPr>
          <w:lang w:val="ar-SA"/>
        </w:rPr>
      </w:pPr>
      <w:r w:rsidRPr="002B03E9">
        <w:rPr>
          <w:noProof/>
          <w:rtl/>
        </w:rPr>
        <w:lastRenderedPageBreak/>
        <w:drawing>
          <wp:inline distT="0" distB="0" distL="0" distR="0" wp14:anchorId="52BA37EF" wp14:editId="29E22CE9">
            <wp:extent cx="6120000" cy="1440000"/>
            <wp:effectExtent l="0" t="0" r="0" b="8255"/>
            <wp:docPr id="10486189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49" cstate="print">
                      <a:extLst>
                        <a:ext uri="{28A0092B-C50C-407E-A947-70E740481C1C}">
                          <a14:useLocalDpi xmlns:a14="http://schemas.microsoft.com/office/drawing/2010/main" val="0"/>
                        </a:ext>
                      </a:extLst>
                    </a:blip>
                    <a:srcRect l="864" b="17436"/>
                    <a:stretch>
                      <a:fillRect/>
                    </a:stretch>
                  </pic:blipFill>
                  <pic:spPr bwMode="auto">
                    <a:xfrm>
                      <a:off x="0" y="0"/>
                      <a:ext cx="6120000" cy="1440000"/>
                    </a:xfrm>
                    <a:prstGeom prst="rect">
                      <a:avLst/>
                    </a:prstGeom>
                    <a:noFill/>
                    <a:ln>
                      <a:noFill/>
                    </a:ln>
                    <a:extLst>
                      <a:ext uri="{53640926-AAD7-44D8-BBD7-CCE9431645EC}">
                        <a14:shadowObscured xmlns:a14="http://schemas.microsoft.com/office/drawing/2010/main"/>
                      </a:ext>
                    </a:extLst>
                  </pic:spPr>
                </pic:pic>
              </a:graphicData>
            </a:graphic>
          </wp:inline>
        </w:drawing>
      </w:r>
    </w:p>
    <w:p w14:paraId="19D9B884" w14:textId="4E66E306" w:rsidR="00F92C03" w:rsidRDefault="00F92C03" w:rsidP="00297758">
      <w:pPr>
        <w:pStyle w:val="Headingb"/>
        <w:rPr>
          <w:rtl/>
        </w:rPr>
      </w:pPr>
      <w:r>
        <w:rPr>
          <w:rtl/>
        </w:rPr>
        <w:t>منظمة يقودها الأعضاء</w:t>
      </w:r>
    </w:p>
    <w:p w14:paraId="508863D6" w14:textId="682E1501" w:rsidR="00F92C03" w:rsidRPr="00C20E3A" w:rsidRDefault="00F92C03" w:rsidP="00297758">
      <w:pPr>
        <w:rPr>
          <w:spacing w:val="-2"/>
          <w:rtl/>
        </w:rPr>
      </w:pPr>
      <w:r w:rsidRPr="00C20E3A">
        <w:rPr>
          <w:spacing w:val="-2"/>
          <w:rtl/>
        </w:rPr>
        <w:t xml:space="preserve">لتعزيز مستوى التوعية والمشاركة لدى أعضاء القطاع والمنتسبين والهيئات الأكاديمية، نظم مكتب تنمية الاتصالات الجلسة الأولى من سلسلة </w:t>
      </w:r>
      <w:r w:rsidRPr="00C20E3A">
        <w:rPr>
          <w:b/>
          <w:bCs/>
          <w:spacing w:val="-2"/>
          <w:rtl/>
        </w:rPr>
        <w:t>تعرَّف على الأعضاء</w:t>
      </w:r>
      <w:r w:rsidRPr="00C20E3A">
        <w:rPr>
          <w:spacing w:val="-2"/>
          <w:rtl/>
        </w:rPr>
        <w:t xml:space="preserve"> بالتعاون مع وكالات التشغيل المعترف بها (</w:t>
      </w:r>
      <w:r w:rsidRPr="00C20E3A">
        <w:rPr>
          <w:spacing w:val="-2"/>
        </w:rPr>
        <w:t>ROA</w:t>
      </w:r>
      <w:r w:rsidRPr="00C20E3A">
        <w:rPr>
          <w:spacing w:val="-2"/>
          <w:rtl/>
        </w:rPr>
        <w:t>) والمنظمات العلمية أو الصناعية</w:t>
      </w:r>
      <w:r w:rsidR="00C20E3A" w:rsidRPr="00C20E3A">
        <w:rPr>
          <w:rFonts w:hint="cs"/>
          <w:spacing w:val="-2"/>
          <w:rtl/>
        </w:rPr>
        <w:t> </w:t>
      </w:r>
      <w:r w:rsidRPr="00C20E3A">
        <w:rPr>
          <w:spacing w:val="-2"/>
          <w:rtl/>
        </w:rPr>
        <w:t>(</w:t>
      </w:r>
      <w:r w:rsidRPr="00C20E3A">
        <w:rPr>
          <w:spacing w:val="-2"/>
        </w:rPr>
        <w:t>SIO</w:t>
      </w:r>
      <w:r w:rsidRPr="00C20E3A">
        <w:rPr>
          <w:spacing w:val="-2"/>
          <w:rtl/>
        </w:rPr>
        <w:t>) ومجتمعات الكيانات الأخرى التي ينتسب إليها أعضاء قطاع تنمية الاتصالات. وجمعت الجلسة أكثر من 50 مشاركاً ينتمون إلى</w:t>
      </w:r>
      <w:r w:rsidR="00C20E3A" w:rsidRPr="00C20E3A">
        <w:rPr>
          <w:rFonts w:hint="cs"/>
          <w:spacing w:val="-2"/>
          <w:rtl/>
        </w:rPr>
        <w:t> </w:t>
      </w:r>
      <w:r w:rsidRPr="00C20E3A">
        <w:rPr>
          <w:spacing w:val="-2"/>
          <w:rtl/>
        </w:rPr>
        <w:t>30 عضواً في قطاع تنمية الاتصالات، حيث نوقشت الأعمال الجارية في مكتب تنمية الاتصالات، والفرص التي تهم أعضاء القطاع.</w:t>
      </w:r>
    </w:p>
    <w:p w14:paraId="1B6AF850" w14:textId="15A88A81" w:rsidR="00F92C03" w:rsidRDefault="00F92C03" w:rsidP="00297758">
      <w:pPr>
        <w:rPr>
          <w:rtl/>
        </w:rPr>
      </w:pPr>
      <w:r>
        <w:rPr>
          <w:rtl/>
        </w:rPr>
        <w:t>وقد رحب قطاع تنمية الاتصالات بعضو القطاع الجديد (الجمعية العراقية لتقنية المعلومات والاتصالات (</w:t>
      </w:r>
      <w:r>
        <w:t>IAICT</w:t>
      </w:r>
      <w:r>
        <w:rPr>
          <w:rtl/>
        </w:rPr>
        <w:t>)، العراق) وعضوين جديدين من الهيئات الأكاديمية (جامعة شيديان، الصين؛ وقسم الهندسة الكهربائية والحاسوبية، اليونان).</w:t>
      </w:r>
    </w:p>
    <w:p w14:paraId="71C4DA4B" w14:textId="77777777" w:rsidR="00F92C03" w:rsidRDefault="00F92C03" w:rsidP="00297758">
      <w:pPr>
        <w:pStyle w:val="Headingb"/>
        <w:rPr>
          <w:rtl/>
        </w:rPr>
      </w:pPr>
      <w:r>
        <w:rPr>
          <w:rtl/>
        </w:rPr>
        <w:t>الحضور الإقليمي</w:t>
      </w:r>
    </w:p>
    <w:p w14:paraId="27F76928" w14:textId="452791F5" w:rsidR="00F92C03" w:rsidRDefault="00F92C03" w:rsidP="00297758">
      <w:pPr>
        <w:rPr>
          <w:rtl/>
        </w:rPr>
      </w:pPr>
      <w:r>
        <w:rPr>
          <w:rtl/>
        </w:rPr>
        <w:t>يو</w:t>
      </w:r>
      <w:r w:rsidR="00676A3E">
        <w:rPr>
          <w:rFonts w:hint="cs"/>
          <w:rtl/>
        </w:rPr>
        <w:t>ا</w:t>
      </w:r>
      <w:r>
        <w:rPr>
          <w:rtl/>
        </w:rPr>
        <w:t>صل مكتب تنمية الاتصالات العمل بشكل وثيق مع مكتب الاتصالات الراديوية (</w:t>
      </w:r>
      <w:r>
        <w:t>BR</w:t>
      </w:r>
      <w:r>
        <w:rPr>
          <w:rtl/>
        </w:rPr>
        <w:t>) ومكتب تقييس الاتصالات (</w:t>
      </w:r>
      <w:r>
        <w:t>TSB</w:t>
      </w:r>
      <w:r>
        <w:rPr>
          <w:rtl/>
        </w:rPr>
        <w:t>) والأمانة العامة، على تعزيز الحضور الإقليمي، بهدف تحسين تقديم الخدمات إلى الدول الأعضاء، بما في ذلك تنفيذ المشاريع وأنشطة الخطة التشغيلية الأخرى في الوقت المناسب وبطريقة فعالة ومؤثرة. وما تزال أولويات التعلم والتطوير تحظى بالأولوية لضمان تزويد الموظفين في المكاتب الإقليمية بالمهارات اللازمة لخدمة أعضاء الاتحاد على نحو أمثل. وفي مارس 2026، نُظمت دورة تدريبية في جنيف، شارك فيها موظفون من المكاتب الإقليمية الستة كافة. وسيتواصل تنظيم الأنشطة التدريبية المستهدفة على مدار العام.</w:t>
      </w:r>
    </w:p>
    <w:p w14:paraId="4F4029A7" w14:textId="4AE8AF4A" w:rsidR="00F92C03" w:rsidRDefault="00F92C03" w:rsidP="00297758">
      <w:pPr>
        <w:pStyle w:val="Headingb"/>
        <w:rPr>
          <w:rtl/>
        </w:rPr>
      </w:pPr>
      <w:r>
        <w:rPr>
          <w:rtl/>
        </w:rPr>
        <w:t>خدمات الدعم وإدارة المشاريع</w:t>
      </w:r>
    </w:p>
    <w:p w14:paraId="1DBA882B" w14:textId="50D85243" w:rsidR="00C23B5E" w:rsidRPr="00C23B5E" w:rsidRDefault="00A17CE7" w:rsidP="00297758">
      <w:pPr>
        <w:rPr>
          <w:lang w:val="ar-SA" w:bidi="ar-EG"/>
        </w:rPr>
      </w:pPr>
      <w:r w:rsidRPr="00A17CE7">
        <w:rPr>
          <w:rtl/>
        </w:rPr>
        <w:t xml:space="preserve">في إطار الجهود المستمرة التي يبذلها مكتب تنمية الاتصالات لتعزيز الكفاءة التشغيلية والشفافية والمساءلة، يُجرى تنفيذ مبادرة </w:t>
      </w:r>
      <w:r w:rsidRPr="00A17CE7">
        <w:rPr>
          <w:b/>
          <w:bCs/>
          <w:rtl/>
        </w:rPr>
        <w:t>منظمة لرسم خرائط العمليات الداخلية</w:t>
      </w:r>
      <w:r w:rsidRPr="00A17CE7">
        <w:rPr>
          <w:rtl/>
        </w:rPr>
        <w:t xml:space="preserve"> في مختلف الوظائف الرئيسية في المكتب. وتضمن المبادرة، التي تقدم من خلال نهج مرحلي وقائم على الأدلة، أن تكون التحسينات المقترحة مستنيرة بفهم شامل للممارسات الحالية. واستكمالاً لإعادة التنظيم في</w:t>
      </w:r>
      <w:r w:rsidR="006D731A">
        <w:rPr>
          <w:rFonts w:hint="cs"/>
          <w:rtl/>
        </w:rPr>
        <w:t> </w:t>
      </w:r>
      <w:r w:rsidRPr="00A17CE7">
        <w:rPr>
          <w:rtl/>
        </w:rPr>
        <w:t>عام 2024، من المتوقع أن يؤدي العمل إلى تعزيز الجودة، وتحسين مستوى التنسيق، ومواءمة العمليات بشكل أفضل مع الأهداف الاستراتيجية لمكتب تنمية الاتصالات.</w:t>
      </w:r>
    </w:p>
    <w:p w14:paraId="0E2D4BD5" w14:textId="77777777" w:rsidR="007B4FA0" w:rsidRDefault="00153471" w:rsidP="00153471">
      <w:pPr>
        <w:spacing w:before="600"/>
        <w:jc w:val="center"/>
        <w:rPr>
          <w:lang w:bidi="ar-EG"/>
        </w:rPr>
      </w:pPr>
      <w:r w:rsidRPr="00FC4592">
        <w:rPr>
          <w:rFonts w:hint="cs"/>
          <w:rtl/>
          <w:lang w:bidi="ar-EG"/>
        </w:rPr>
        <w:t>ــــــــــــــــــــــــــــــــــــــــــــــــــــــــــــــــــــــــــــــــــــــــــــــــ</w:t>
      </w:r>
    </w:p>
    <w:sectPr w:rsidR="007B4FA0" w:rsidSect="006C3242">
      <w:headerReference w:type="default" r:id="rId50"/>
      <w:footerReference w:type="default" r:id="rId51"/>
      <w:headerReference w:type="first" r:id="rId52"/>
      <w:footerReference w:type="first" r:id="rId53"/>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39E37" w14:textId="77777777" w:rsidR="008A7A14" w:rsidRDefault="008A7A14" w:rsidP="006C3242">
      <w:pPr>
        <w:spacing w:before="0" w:line="240" w:lineRule="auto"/>
      </w:pPr>
      <w:r>
        <w:separator/>
      </w:r>
    </w:p>
  </w:endnote>
  <w:endnote w:type="continuationSeparator" w:id="0">
    <w:p w14:paraId="0FDA198F" w14:textId="77777777" w:rsidR="008A7A14" w:rsidRDefault="008A7A14"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Look w:val="04A0" w:firstRow="1" w:lastRow="0" w:firstColumn="1" w:lastColumn="0" w:noHBand="0" w:noVBand="1"/>
      <w:tblCaption w:val="اسم الشخص الذي يمكن الاتصال به بشأن الوثيقة وبيانات الاتصال الخاصة به"/>
    </w:tblPr>
    <w:tblGrid>
      <w:gridCol w:w="991"/>
      <w:gridCol w:w="2411"/>
      <w:gridCol w:w="6236"/>
    </w:tblGrid>
    <w:tr w:rsidR="0053709C" w:rsidRPr="00AD1E92" w14:paraId="45B81C64" w14:textId="77777777" w:rsidTr="001C610A">
      <w:tc>
        <w:tcPr>
          <w:tcW w:w="991" w:type="dxa"/>
          <w:tcBorders>
            <w:top w:val="single" w:sz="4" w:space="0" w:color="auto"/>
            <w:left w:val="nil"/>
            <w:bottom w:val="nil"/>
            <w:right w:val="nil"/>
          </w:tcBorders>
          <w:shd w:val="clear" w:color="auto" w:fill="FFFFFF" w:themeFill="background1"/>
          <w:hideMark/>
        </w:tcPr>
        <w:p w14:paraId="63E778A1" w14:textId="77777777" w:rsidR="0053709C" w:rsidRPr="00AD1E92" w:rsidRDefault="0053709C" w:rsidP="0053709C">
          <w:pPr>
            <w:spacing w:before="60" w:after="40" w:line="260" w:lineRule="exact"/>
            <w:rPr>
              <w:position w:val="2"/>
              <w:sz w:val="18"/>
              <w:szCs w:val="18"/>
              <w:lang w:val="en-GB"/>
            </w:rPr>
          </w:pPr>
          <w:r w:rsidRPr="00AD1E92">
            <w:rPr>
              <w:position w:val="2"/>
              <w:sz w:val="18"/>
              <w:szCs w:val="18"/>
              <w:rtl/>
              <w:lang w:val="fr-FR" w:bidi="ar-EG"/>
            </w:rPr>
            <w:t>للاتصال:</w:t>
          </w:r>
        </w:p>
      </w:tc>
      <w:tc>
        <w:tcPr>
          <w:tcW w:w="2411" w:type="dxa"/>
          <w:tcBorders>
            <w:top w:val="single" w:sz="4" w:space="0" w:color="auto"/>
            <w:left w:val="nil"/>
            <w:bottom w:val="nil"/>
            <w:right w:val="nil"/>
          </w:tcBorders>
          <w:shd w:val="clear" w:color="auto" w:fill="FFFFFF" w:themeFill="background1"/>
          <w:hideMark/>
        </w:tcPr>
        <w:p w14:paraId="420B92A1" w14:textId="77777777" w:rsidR="0053709C" w:rsidRPr="00AD1E92" w:rsidRDefault="0053709C" w:rsidP="0053709C">
          <w:pPr>
            <w:spacing w:before="60" w:after="40" w:line="260" w:lineRule="exact"/>
            <w:rPr>
              <w:position w:val="2"/>
              <w:sz w:val="18"/>
              <w:szCs w:val="18"/>
              <w:lang w:val="en-GB"/>
            </w:rPr>
          </w:pPr>
          <w:r w:rsidRPr="00AD1E92">
            <w:rPr>
              <w:position w:val="2"/>
              <w:sz w:val="18"/>
              <w:szCs w:val="18"/>
              <w:rtl/>
              <w:lang w:val="fr-FR" w:bidi="ar-EG"/>
            </w:rPr>
            <w:t>الاسم/المنظمة/الكيان:</w:t>
          </w:r>
        </w:p>
      </w:tc>
      <w:tc>
        <w:tcPr>
          <w:tcW w:w="6237" w:type="dxa"/>
          <w:tcBorders>
            <w:top w:val="single" w:sz="4" w:space="0" w:color="auto"/>
            <w:left w:val="nil"/>
            <w:bottom w:val="nil"/>
            <w:right w:val="nil"/>
          </w:tcBorders>
          <w:shd w:val="clear" w:color="auto" w:fill="FFFFFF" w:themeFill="background1"/>
        </w:tcPr>
        <w:p w14:paraId="5104F1AB" w14:textId="0AAD8717" w:rsidR="0053709C" w:rsidRPr="00AD1E92" w:rsidRDefault="00332386" w:rsidP="0053709C">
          <w:pPr>
            <w:spacing w:before="60" w:after="40" w:line="260" w:lineRule="exact"/>
            <w:rPr>
              <w:position w:val="2"/>
              <w:sz w:val="18"/>
              <w:szCs w:val="18"/>
              <w:lang w:val="en-GB"/>
            </w:rPr>
          </w:pPr>
          <w:r w:rsidRPr="00332386">
            <w:rPr>
              <w:position w:val="2"/>
              <w:sz w:val="18"/>
              <w:szCs w:val="18"/>
              <w:rtl/>
              <w:lang w:val="fr-FR" w:bidi="ar-EG"/>
            </w:rPr>
            <w:t xml:space="preserve">السيدة </w:t>
          </w:r>
          <w:proofErr w:type="spellStart"/>
          <w:r w:rsidRPr="00332386">
            <w:rPr>
              <w:position w:val="2"/>
              <w:sz w:val="18"/>
              <w:szCs w:val="18"/>
              <w:lang w:val="fr-FR" w:bidi="ar-EG"/>
            </w:rPr>
            <w:t>Archana</w:t>
          </w:r>
          <w:proofErr w:type="spellEnd"/>
          <w:r w:rsidRPr="00332386">
            <w:rPr>
              <w:position w:val="2"/>
              <w:sz w:val="18"/>
              <w:szCs w:val="18"/>
              <w:lang w:val="fr-FR" w:bidi="ar-EG"/>
            </w:rPr>
            <w:t xml:space="preserve"> </w:t>
          </w:r>
          <w:proofErr w:type="spellStart"/>
          <w:r w:rsidRPr="00332386">
            <w:rPr>
              <w:position w:val="2"/>
              <w:sz w:val="18"/>
              <w:szCs w:val="18"/>
              <w:lang w:val="fr-FR" w:bidi="ar-EG"/>
            </w:rPr>
            <w:t>Gulati</w:t>
          </w:r>
          <w:proofErr w:type="spellEnd"/>
          <w:r w:rsidRPr="00332386">
            <w:rPr>
              <w:position w:val="2"/>
              <w:sz w:val="18"/>
              <w:szCs w:val="18"/>
              <w:rtl/>
              <w:lang w:val="fr-FR" w:bidi="ar-EG"/>
            </w:rPr>
            <w:t>، نائبة مدير مكتب تنمية الاتصالات</w:t>
          </w:r>
        </w:p>
      </w:tc>
    </w:tr>
    <w:tr w:rsidR="0053709C" w:rsidRPr="00AD1E92" w14:paraId="67CF9310" w14:textId="77777777" w:rsidTr="001C610A">
      <w:tc>
        <w:tcPr>
          <w:tcW w:w="991" w:type="dxa"/>
        </w:tcPr>
        <w:p w14:paraId="4325F80D" w14:textId="77777777" w:rsidR="0053709C" w:rsidRPr="00AD1E92" w:rsidRDefault="0053709C" w:rsidP="0053709C">
          <w:pPr>
            <w:spacing w:before="60" w:after="40" w:line="260" w:lineRule="exact"/>
            <w:rPr>
              <w:position w:val="2"/>
              <w:sz w:val="18"/>
              <w:szCs w:val="18"/>
              <w:lang w:val="en-GB"/>
            </w:rPr>
          </w:pPr>
        </w:p>
      </w:tc>
      <w:tc>
        <w:tcPr>
          <w:tcW w:w="2411" w:type="dxa"/>
          <w:hideMark/>
        </w:tcPr>
        <w:p w14:paraId="22A9EEC1" w14:textId="77777777" w:rsidR="0053709C" w:rsidRPr="00AD1E92" w:rsidRDefault="0053709C" w:rsidP="0053709C">
          <w:pPr>
            <w:spacing w:before="60" w:after="40" w:line="260" w:lineRule="exact"/>
            <w:rPr>
              <w:position w:val="2"/>
              <w:sz w:val="18"/>
              <w:szCs w:val="18"/>
              <w:lang w:val="en-GB"/>
            </w:rPr>
          </w:pPr>
          <w:r w:rsidRPr="00AD1E92">
            <w:rPr>
              <w:position w:val="2"/>
              <w:sz w:val="18"/>
              <w:szCs w:val="18"/>
              <w:rtl/>
              <w:lang w:val="fr-FR" w:bidi="ar-EG"/>
            </w:rPr>
            <w:t>رقم الهاتف:</w:t>
          </w:r>
        </w:p>
      </w:tc>
      <w:tc>
        <w:tcPr>
          <w:tcW w:w="6237" w:type="dxa"/>
        </w:tcPr>
        <w:p w14:paraId="6C392865" w14:textId="7A2DCCF8" w:rsidR="0053709C" w:rsidRPr="00332386" w:rsidRDefault="00332386" w:rsidP="00332386">
          <w:pPr>
            <w:spacing w:before="60" w:after="40" w:line="260" w:lineRule="exact"/>
            <w:rPr>
              <w:position w:val="2"/>
              <w:sz w:val="18"/>
              <w:szCs w:val="18"/>
              <w:lang w:val="fr-FR" w:bidi="ar-EG"/>
            </w:rPr>
          </w:pPr>
          <w:r w:rsidRPr="00332386">
            <w:rPr>
              <w:position w:val="2"/>
              <w:sz w:val="18"/>
              <w:szCs w:val="18"/>
              <w:lang w:val="fr-FR" w:bidi="ar-EG"/>
            </w:rPr>
            <w:t>+41 22 730 6475</w:t>
          </w:r>
        </w:p>
      </w:tc>
    </w:tr>
    <w:tr w:rsidR="0053709C" w:rsidRPr="00AD1E92" w14:paraId="7D41BF83" w14:textId="77777777" w:rsidTr="001C610A">
      <w:tc>
        <w:tcPr>
          <w:tcW w:w="991" w:type="dxa"/>
        </w:tcPr>
        <w:p w14:paraId="2149CE11" w14:textId="77777777" w:rsidR="0053709C" w:rsidRPr="00AD1E92" w:rsidRDefault="0053709C" w:rsidP="0053709C">
          <w:pPr>
            <w:spacing w:before="60" w:after="40" w:line="260" w:lineRule="exact"/>
            <w:rPr>
              <w:position w:val="2"/>
              <w:sz w:val="18"/>
              <w:szCs w:val="18"/>
              <w:lang w:val="en-GB"/>
            </w:rPr>
          </w:pPr>
        </w:p>
      </w:tc>
      <w:tc>
        <w:tcPr>
          <w:tcW w:w="2411" w:type="dxa"/>
          <w:hideMark/>
        </w:tcPr>
        <w:p w14:paraId="27732251" w14:textId="77777777" w:rsidR="0053709C" w:rsidRPr="00AD1E92" w:rsidRDefault="0053709C" w:rsidP="0053709C">
          <w:pPr>
            <w:spacing w:before="60" w:after="40" w:line="260" w:lineRule="exact"/>
            <w:rPr>
              <w:position w:val="2"/>
              <w:sz w:val="18"/>
              <w:szCs w:val="18"/>
              <w:lang w:val="en-GB"/>
            </w:rPr>
          </w:pPr>
          <w:r w:rsidRPr="00AD1E92">
            <w:rPr>
              <w:position w:val="2"/>
              <w:sz w:val="18"/>
              <w:szCs w:val="18"/>
              <w:rtl/>
              <w:lang w:val="fr-FR" w:bidi="ar-EG"/>
            </w:rPr>
            <w:t>البريد الإلكتروني:</w:t>
          </w:r>
        </w:p>
      </w:tc>
      <w:tc>
        <w:tcPr>
          <w:tcW w:w="6237" w:type="dxa"/>
        </w:tcPr>
        <w:p w14:paraId="06F8437D" w14:textId="37BAD531" w:rsidR="00332386" w:rsidRPr="00AD1E92" w:rsidRDefault="00D33490" w:rsidP="00332386">
          <w:pPr>
            <w:spacing w:before="60" w:after="40" w:line="260" w:lineRule="exact"/>
            <w:rPr>
              <w:position w:val="2"/>
              <w:sz w:val="18"/>
              <w:szCs w:val="18"/>
              <w:lang w:val="fr-FR" w:bidi="ar-EG"/>
            </w:rPr>
          </w:pPr>
          <w:hyperlink r:id="rId1" w:history="1">
            <w:r w:rsidR="00332386" w:rsidRPr="0075037A">
              <w:rPr>
                <w:rStyle w:val="Hyperlink"/>
                <w:position w:val="2"/>
                <w:sz w:val="18"/>
                <w:szCs w:val="18"/>
                <w:lang w:val="fr-FR" w:bidi="ar-EG"/>
              </w:rPr>
              <w:t>archana.gulati@itu.int</w:t>
            </w:r>
          </w:hyperlink>
        </w:p>
      </w:tc>
    </w:tr>
  </w:tbl>
  <w:p w14:paraId="620DA9F2" w14:textId="77777777" w:rsidR="00C23B5E" w:rsidRPr="0053709C" w:rsidRDefault="00C23B5E" w:rsidP="005370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6197E" w14:textId="77777777" w:rsidR="006F5791" w:rsidRDefault="006F57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D4EAE" w14:textId="77777777" w:rsidR="006C3241" w:rsidRDefault="006C32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56976" w14:textId="77777777" w:rsidR="007C0AB6" w:rsidRDefault="007C0AB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843E7" w14:textId="77777777" w:rsidR="00514F46" w:rsidRDefault="00514F4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925E9" w14:textId="77777777" w:rsidR="003F0FA3" w:rsidRDefault="003F0FA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90DDC" w14:textId="77777777" w:rsidR="006F5791" w:rsidRDefault="006F579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545BF" w14:textId="77777777" w:rsidR="006F5791" w:rsidRDefault="006F5791" w:rsidP="004C19ED">
    <w:pPr>
      <w:pStyle w:val="Footer"/>
      <w:bidi/>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8B9A2" w14:textId="77777777" w:rsidR="008A7A14" w:rsidRDefault="008A7A14" w:rsidP="006C3242">
      <w:pPr>
        <w:spacing w:before="0" w:line="240" w:lineRule="auto"/>
      </w:pPr>
      <w:r>
        <w:separator/>
      </w:r>
    </w:p>
  </w:footnote>
  <w:footnote w:type="continuationSeparator" w:id="0">
    <w:p w14:paraId="7B08ED38" w14:textId="77777777" w:rsidR="008A7A14" w:rsidRDefault="008A7A14" w:rsidP="006C3242">
      <w:pPr>
        <w:spacing w:before="0" w:line="240" w:lineRule="auto"/>
      </w:pPr>
      <w:r>
        <w:continuationSeparator/>
      </w:r>
    </w:p>
  </w:footnote>
  <w:footnote w:id="1">
    <w:p w14:paraId="0F7A1C38" w14:textId="63F78BF9" w:rsidR="005B6579" w:rsidRPr="00A30B90" w:rsidRDefault="005B6579" w:rsidP="005443F3">
      <w:pPr>
        <w:pStyle w:val="FootnoteText"/>
        <w:rPr>
          <w:lang w:val="ar-SA" w:eastAsia="zh-TW" w:bidi="en-GB"/>
        </w:rPr>
      </w:pPr>
      <w:r w:rsidRPr="00A30B90">
        <w:rPr>
          <w:rStyle w:val="FootnoteReference"/>
          <w:rtl/>
        </w:rPr>
        <w:footnoteRef/>
      </w:r>
      <w:r w:rsidR="00A30B90">
        <w:tab/>
      </w:r>
      <w:r w:rsidRPr="00A30B90">
        <w:rPr>
          <w:rtl/>
        </w:rPr>
        <w:t xml:space="preserve">انظر مؤشرات </w:t>
      </w:r>
      <w:r w:rsidR="005443F3" w:rsidRPr="005443F3">
        <w:rPr>
          <w:rFonts w:hint="cs"/>
          <w:rtl/>
        </w:rPr>
        <w:t>النواتج</w:t>
      </w:r>
      <w:r w:rsidR="005443F3" w:rsidRPr="005443F3">
        <w:rPr>
          <w:rtl/>
        </w:rPr>
        <w:t xml:space="preserve"> </w:t>
      </w:r>
      <w:r w:rsidRPr="00A30B90">
        <w:rPr>
          <w:rtl/>
        </w:rPr>
        <w:t xml:space="preserve">في الصفحة </w:t>
      </w:r>
      <w:r w:rsidR="00EC0202">
        <w:t>30</w:t>
      </w:r>
      <w:r w:rsidRPr="00A30B90">
        <w:rPr>
          <w:rtl/>
        </w:rPr>
        <w:t xml:space="preserve"> من هذه الوثيقة.</w:t>
      </w:r>
    </w:p>
  </w:footnote>
  <w:footnote w:id="2">
    <w:p w14:paraId="20902663" w14:textId="10FAD568" w:rsidR="006C3241" w:rsidRPr="00392896" w:rsidRDefault="006C3241" w:rsidP="00EB6F39">
      <w:pPr>
        <w:pStyle w:val="FootnoteText"/>
        <w:rPr>
          <w:lang w:val="ar-SA" w:eastAsia="zh-TW" w:bidi="en-GB"/>
        </w:rPr>
      </w:pPr>
      <w:r w:rsidRPr="00A30B90">
        <w:rPr>
          <w:rStyle w:val="FootnoteReference"/>
          <w:rtl/>
        </w:rPr>
        <w:footnoteRef/>
      </w:r>
      <w:r>
        <w:tab/>
      </w:r>
      <w:r w:rsidRPr="00A30B90">
        <w:rPr>
          <w:rtl/>
        </w:rPr>
        <w:t xml:space="preserve">يجري حالياً تنقيح مؤشرات </w:t>
      </w:r>
      <w:r w:rsidR="002F6EBB">
        <w:rPr>
          <w:rFonts w:hint="cs"/>
          <w:rtl/>
        </w:rPr>
        <w:t>المحصلات</w:t>
      </w:r>
      <w:r w:rsidRPr="00EB6F39">
        <w:rPr>
          <w:rtl/>
        </w:rPr>
        <w:t xml:space="preserve"> </w:t>
      </w:r>
      <w:r w:rsidRPr="00A30B90">
        <w:rPr>
          <w:rtl/>
        </w:rPr>
        <w:t>بما يتماشى مع الخطة الاستراتيجية للاتحاد، لكي تعكس على نحو أفضل النتائج التي يتعين تحقيقها</w:t>
      </w:r>
      <w:r>
        <w:rPr>
          <w:rFonts w:hint="cs"/>
          <w:rtl/>
        </w:rPr>
        <w:t>.</w:t>
      </w:r>
    </w:p>
  </w:footnote>
  <w:footnote w:id="3">
    <w:p w14:paraId="07EA7FF5" w14:textId="2743CF7D" w:rsidR="005A1E71" w:rsidRPr="00F10980" w:rsidRDefault="005A1E71" w:rsidP="00F10980">
      <w:pPr>
        <w:pStyle w:val="FootnoteText"/>
        <w:rPr>
          <w:rtl/>
        </w:rPr>
      </w:pPr>
      <w:r w:rsidRPr="00A30B90">
        <w:rPr>
          <w:rStyle w:val="FootnoteReference"/>
          <w:rtl/>
        </w:rPr>
        <w:footnoteRef/>
      </w:r>
      <w:r>
        <w:tab/>
      </w:r>
      <w:r w:rsidRPr="00A30B90">
        <w:rPr>
          <w:rtl/>
        </w:rPr>
        <w:t>تتحقق هذه الأولوية من خلال جهود مكتب تنمية الاتصالات لتعبئة الموارد واجتذاب شركاء جدد والحفاظ على الشركاء الحاليين. وهكذا يقاس التقدم من خلال مؤشرات "</w:t>
      </w:r>
      <w:r w:rsidR="005443F3">
        <w:rPr>
          <w:rFonts w:hint="cs"/>
          <w:rtl/>
        </w:rPr>
        <w:t>النواتج</w:t>
      </w:r>
      <w:r w:rsidRPr="00A30B90">
        <w:rPr>
          <w:rtl/>
        </w:rPr>
        <w:t>".</w:t>
      </w:r>
    </w:p>
  </w:footnote>
  <w:footnote w:id="4">
    <w:p w14:paraId="66E61FB7" w14:textId="1DAF0ED4" w:rsidR="00C23B5E" w:rsidRPr="00A30B90" w:rsidRDefault="00C23B5E" w:rsidP="001F0309">
      <w:pPr>
        <w:pStyle w:val="FootnoteText"/>
        <w:rPr>
          <w:lang w:val="ar-SA" w:eastAsia="zh-TW" w:bidi="en-GB"/>
        </w:rPr>
      </w:pPr>
      <w:r w:rsidRPr="00A30B90">
        <w:rPr>
          <w:rStyle w:val="FootnoteReference"/>
          <w:rtl/>
        </w:rPr>
        <w:footnoteRef/>
      </w:r>
      <w:r w:rsidR="00FA46D5">
        <w:tab/>
      </w:r>
      <w:r w:rsidR="007E52DD" w:rsidRPr="007E52DD">
        <w:rPr>
          <w:rtl/>
        </w:rPr>
        <w:t>يمكن الاطلاع على أهداف المؤشرات في لوحات المعلومات التفاعلية للخطة التشغيلية (</w:t>
      </w:r>
      <w:r w:rsidR="007E52DD" w:rsidRPr="007E52DD">
        <w:t>OP</w:t>
      </w:r>
      <w:r w:rsidR="007E52DD" w:rsidRPr="007E52DD">
        <w:rPr>
          <w:rtl/>
        </w:rPr>
        <w:t>) لقطاع تنمية الاتصالات.، الملحق 2 بهذه الوثيقة</w:t>
      </w:r>
      <w:r w:rsidRPr="00A30B90">
        <w:rPr>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tl/>
      </w:rPr>
      <w:id w:val="-587541061"/>
      <w:docPartObj>
        <w:docPartGallery w:val="Page Numbers (Top of Page)"/>
        <w:docPartUnique/>
      </w:docPartObj>
    </w:sdtPr>
    <w:sdtEndPr>
      <w:rPr>
        <w:rFonts w:cs="Calibri"/>
        <w:noProof/>
        <w:sz w:val="18"/>
        <w:szCs w:val="18"/>
      </w:rPr>
    </w:sdtEndPr>
    <w:sdtContent>
      <w:p w14:paraId="255B8EDE" w14:textId="2B3F6F6C" w:rsidR="00C23B5E" w:rsidRPr="006F5791" w:rsidRDefault="006F5791" w:rsidP="006F5791">
        <w:pPr>
          <w:pStyle w:val="Header"/>
          <w:tabs>
            <w:tab w:val="clear" w:pos="794"/>
            <w:tab w:val="clear" w:pos="4680"/>
            <w:tab w:val="clear" w:pos="9360"/>
            <w:tab w:val="center" w:pos="4819"/>
            <w:tab w:val="right" w:pos="9639"/>
          </w:tabs>
          <w:spacing w:before="120" w:line="192" w:lineRule="auto"/>
          <w:rPr>
            <w:rStyle w:val="PageNumber"/>
            <w:rFonts w:ascii="Dubai" w:hAnsi="Dubai"/>
            <w:sz w:val="20"/>
            <w:szCs w:val="20"/>
            <w:lang w:bidi="ar-EG"/>
          </w:rPr>
        </w:pPr>
        <w:r w:rsidRPr="00FC3D2F">
          <w:rPr>
            <w:sz w:val="20"/>
            <w:szCs w:val="20"/>
          </w:rPr>
          <w:tab/>
        </w:r>
        <w:r>
          <w:rPr>
            <w:sz w:val="20"/>
            <w:szCs w:val="20"/>
            <w:lang w:val="es-ES_tradnl"/>
          </w:rPr>
          <w:t>TDAG-26</w:t>
        </w:r>
        <w:r w:rsidRPr="004F0F62">
          <w:rPr>
            <w:sz w:val="20"/>
            <w:szCs w:val="20"/>
            <w:lang w:val="es-ES_tradnl"/>
          </w:rPr>
          <w:t>/</w:t>
        </w:r>
        <w:r w:rsidR="00752870">
          <w:rPr>
            <w:sz w:val="20"/>
            <w:szCs w:val="20"/>
            <w:lang w:val="es-ES_tradnl"/>
          </w:rPr>
          <w:t>2(Add.2)(Rev.2)</w:t>
        </w:r>
        <w:r w:rsidRPr="00FC3D2F">
          <w:rPr>
            <w:sz w:val="20"/>
            <w:szCs w:val="20"/>
            <w:lang w:val="en-GB"/>
          </w:rPr>
          <w:t>-A</w:t>
        </w:r>
        <w:r w:rsidRPr="00FC3D2F">
          <w:rPr>
            <w:sz w:val="20"/>
            <w:szCs w:val="20"/>
            <w:rtl/>
            <w:lang w:bidi="ar-EG"/>
          </w:rPr>
          <w:tab/>
        </w:r>
        <w:r w:rsidRPr="00FC3D2F">
          <w:rPr>
            <w:rFonts w:hint="cs"/>
            <w:sz w:val="20"/>
            <w:szCs w:val="20"/>
            <w:rtl/>
          </w:rPr>
          <w:t>الصفحة</w:t>
        </w:r>
        <w:r w:rsidRPr="00FC3D2F">
          <w:rPr>
            <w:rFonts w:hint="cs"/>
            <w:sz w:val="20"/>
            <w:szCs w:val="20"/>
            <w:rtl/>
            <w:lang w:bidi="ar-EG"/>
          </w:rPr>
          <w:t xml:space="preserve"> </w:t>
        </w:r>
        <w:r w:rsidRPr="00FC3D2F">
          <w:rPr>
            <w:sz w:val="20"/>
            <w:szCs w:val="20"/>
            <w:lang w:val="en-GB"/>
          </w:rPr>
          <w:fldChar w:fldCharType="begin"/>
        </w:r>
        <w:r w:rsidRPr="00FC3D2F">
          <w:rPr>
            <w:sz w:val="20"/>
            <w:szCs w:val="20"/>
            <w:lang w:val="en-GB"/>
          </w:rPr>
          <w:instrText xml:space="preserve"> PAGE </w:instrText>
        </w:r>
        <w:r w:rsidRPr="00FC3D2F">
          <w:rPr>
            <w:sz w:val="20"/>
            <w:szCs w:val="20"/>
            <w:lang w:val="en-GB"/>
          </w:rPr>
          <w:fldChar w:fldCharType="separate"/>
        </w:r>
        <w:r>
          <w:rPr>
            <w:sz w:val="20"/>
            <w:szCs w:val="20"/>
            <w:lang w:val="en-GB"/>
          </w:rPr>
          <w:t>2</w:t>
        </w:r>
        <w:r w:rsidRPr="00FC3D2F">
          <w:rPr>
            <w:sz w:val="20"/>
            <w:szCs w:val="20"/>
          </w:rPr>
          <w:fldChar w:fldCharType="end"/>
        </w: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tl/>
      </w:rPr>
      <w:id w:val="-1033116388"/>
      <w:docPartObj>
        <w:docPartGallery w:val="Page Numbers (Top of Page)"/>
        <w:docPartUnique/>
      </w:docPartObj>
    </w:sdtPr>
    <w:sdtEndPr>
      <w:rPr>
        <w:rFonts w:cs="Calibri"/>
        <w:noProof/>
        <w:sz w:val="18"/>
        <w:szCs w:val="18"/>
      </w:rPr>
    </w:sdtEndPr>
    <w:sdtContent>
      <w:p w14:paraId="21807480" w14:textId="47CC3642" w:rsidR="003E1AC4" w:rsidRPr="003E1AC4" w:rsidRDefault="003E1AC4" w:rsidP="003E1AC4">
        <w:pPr>
          <w:pStyle w:val="Header"/>
          <w:tabs>
            <w:tab w:val="clear" w:pos="794"/>
            <w:tab w:val="clear" w:pos="4680"/>
            <w:tab w:val="clear" w:pos="9360"/>
            <w:tab w:val="center" w:pos="7920"/>
            <w:tab w:val="right" w:pos="15704"/>
          </w:tabs>
          <w:spacing w:before="120" w:after="240" w:line="192" w:lineRule="auto"/>
          <w:rPr>
            <w:rStyle w:val="PageNumber"/>
            <w:rFonts w:ascii="Dubai" w:hAnsi="Dubai"/>
            <w:sz w:val="20"/>
            <w:szCs w:val="20"/>
            <w:lang w:bidi="ar-EG"/>
          </w:rPr>
        </w:pPr>
        <w:r w:rsidRPr="00FC3D2F">
          <w:rPr>
            <w:sz w:val="20"/>
            <w:szCs w:val="20"/>
          </w:rPr>
          <w:tab/>
        </w:r>
        <w:r>
          <w:rPr>
            <w:sz w:val="20"/>
            <w:szCs w:val="20"/>
            <w:lang w:val="es-ES_tradnl"/>
          </w:rPr>
          <w:t>TDAG-26</w:t>
        </w:r>
        <w:r w:rsidRPr="004F0F62">
          <w:rPr>
            <w:sz w:val="20"/>
            <w:szCs w:val="20"/>
            <w:lang w:val="es-ES_tradnl"/>
          </w:rPr>
          <w:t>/</w:t>
        </w:r>
        <w:r w:rsidR="00752870">
          <w:rPr>
            <w:sz w:val="20"/>
            <w:szCs w:val="20"/>
            <w:lang w:val="es-ES_tradnl"/>
          </w:rPr>
          <w:t>2(Add.2)(Rev.2)</w:t>
        </w:r>
        <w:r w:rsidRPr="00FC3D2F">
          <w:rPr>
            <w:sz w:val="20"/>
            <w:szCs w:val="20"/>
            <w:lang w:val="en-GB"/>
          </w:rPr>
          <w:t>-A</w:t>
        </w:r>
        <w:r w:rsidRPr="00FC3D2F">
          <w:rPr>
            <w:sz w:val="20"/>
            <w:szCs w:val="20"/>
            <w:rtl/>
            <w:lang w:bidi="ar-EG"/>
          </w:rPr>
          <w:tab/>
        </w:r>
        <w:r w:rsidRPr="00FC3D2F">
          <w:rPr>
            <w:rFonts w:hint="cs"/>
            <w:sz w:val="20"/>
            <w:szCs w:val="20"/>
            <w:rtl/>
          </w:rPr>
          <w:t>الصفحة</w:t>
        </w:r>
        <w:r w:rsidRPr="00FC3D2F">
          <w:rPr>
            <w:rFonts w:hint="cs"/>
            <w:sz w:val="20"/>
            <w:szCs w:val="20"/>
            <w:rtl/>
            <w:lang w:bidi="ar-EG"/>
          </w:rPr>
          <w:t xml:space="preserve"> </w:t>
        </w:r>
        <w:r w:rsidRPr="00FC3D2F">
          <w:rPr>
            <w:sz w:val="20"/>
            <w:szCs w:val="20"/>
            <w:lang w:val="en-GB"/>
          </w:rPr>
          <w:fldChar w:fldCharType="begin"/>
        </w:r>
        <w:r w:rsidRPr="00FC3D2F">
          <w:rPr>
            <w:sz w:val="20"/>
            <w:szCs w:val="20"/>
            <w:lang w:val="en-GB"/>
          </w:rPr>
          <w:instrText xml:space="preserve"> PAGE </w:instrText>
        </w:r>
        <w:r w:rsidRPr="00FC3D2F">
          <w:rPr>
            <w:sz w:val="20"/>
            <w:szCs w:val="20"/>
            <w:lang w:val="en-GB"/>
          </w:rPr>
          <w:fldChar w:fldCharType="separate"/>
        </w:r>
        <w:r>
          <w:rPr>
            <w:sz w:val="20"/>
            <w:szCs w:val="20"/>
            <w:lang w:val="en-GB"/>
          </w:rPr>
          <w:t>20</w:t>
        </w:r>
        <w:r w:rsidRPr="00FC3D2F">
          <w:rPr>
            <w:sz w:val="20"/>
            <w:szCs w:val="20"/>
          </w:rPr>
          <w:fldChar w:fldCharType="end"/>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tl/>
      </w:rPr>
      <w:id w:val="-1167164312"/>
      <w:docPartObj>
        <w:docPartGallery w:val="Page Numbers (Top of Page)"/>
        <w:docPartUnique/>
      </w:docPartObj>
    </w:sdtPr>
    <w:sdtEndPr>
      <w:rPr>
        <w:rFonts w:cs="Calibri"/>
        <w:noProof/>
        <w:sz w:val="18"/>
        <w:szCs w:val="18"/>
      </w:rPr>
    </w:sdtEndPr>
    <w:sdtContent>
      <w:p w14:paraId="7AD47099" w14:textId="3C7F54D5" w:rsidR="003F0FA3" w:rsidRPr="006F5791" w:rsidRDefault="003F0FA3" w:rsidP="006C3241">
        <w:pPr>
          <w:pStyle w:val="Header"/>
          <w:tabs>
            <w:tab w:val="clear" w:pos="794"/>
            <w:tab w:val="clear" w:pos="4680"/>
            <w:tab w:val="clear" w:pos="9360"/>
            <w:tab w:val="center" w:pos="4820"/>
            <w:tab w:val="right" w:pos="9639"/>
          </w:tabs>
          <w:spacing w:before="120" w:after="240" w:line="192" w:lineRule="auto"/>
          <w:rPr>
            <w:rStyle w:val="PageNumber"/>
            <w:rFonts w:ascii="Dubai" w:hAnsi="Dubai"/>
            <w:sz w:val="20"/>
            <w:szCs w:val="20"/>
            <w:lang w:bidi="ar-EG"/>
          </w:rPr>
        </w:pPr>
        <w:r w:rsidRPr="00FC3D2F">
          <w:rPr>
            <w:sz w:val="20"/>
            <w:szCs w:val="20"/>
          </w:rPr>
          <w:tab/>
        </w:r>
        <w:r>
          <w:rPr>
            <w:sz w:val="20"/>
            <w:szCs w:val="20"/>
            <w:lang w:val="es-ES_tradnl"/>
          </w:rPr>
          <w:t>TDAG-26</w:t>
        </w:r>
        <w:r w:rsidRPr="004F0F62">
          <w:rPr>
            <w:sz w:val="20"/>
            <w:szCs w:val="20"/>
            <w:lang w:val="es-ES_tradnl"/>
          </w:rPr>
          <w:t>/</w:t>
        </w:r>
        <w:r w:rsidR="00752870">
          <w:rPr>
            <w:sz w:val="20"/>
            <w:szCs w:val="20"/>
            <w:lang w:val="es-ES_tradnl"/>
          </w:rPr>
          <w:t>2(Add.2)(Rev.2)</w:t>
        </w:r>
        <w:r w:rsidRPr="00FC3D2F">
          <w:rPr>
            <w:sz w:val="20"/>
            <w:szCs w:val="20"/>
            <w:lang w:val="en-GB"/>
          </w:rPr>
          <w:t>-A</w:t>
        </w:r>
        <w:r w:rsidRPr="00FC3D2F">
          <w:rPr>
            <w:sz w:val="20"/>
            <w:szCs w:val="20"/>
            <w:rtl/>
            <w:lang w:bidi="ar-EG"/>
          </w:rPr>
          <w:tab/>
        </w:r>
        <w:r w:rsidRPr="00FC3D2F">
          <w:rPr>
            <w:rFonts w:hint="cs"/>
            <w:sz w:val="20"/>
            <w:szCs w:val="20"/>
            <w:rtl/>
          </w:rPr>
          <w:t>الصفحة</w:t>
        </w:r>
        <w:r w:rsidRPr="00FC3D2F">
          <w:rPr>
            <w:rFonts w:hint="cs"/>
            <w:sz w:val="20"/>
            <w:szCs w:val="20"/>
            <w:rtl/>
            <w:lang w:bidi="ar-EG"/>
          </w:rPr>
          <w:t xml:space="preserve"> </w:t>
        </w:r>
        <w:r w:rsidRPr="00FC3D2F">
          <w:rPr>
            <w:sz w:val="20"/>
            <w:szCs w:val="20"/>
            <w:lang w:val="en-GB"/>
          </w:rPr>
          <w:fldChar w:fldCharType="begin"/>
        </w:r>
        <w:r w:rsidRPr="00FC3D2F">
          <w:rPr>
            <w:sz w:val="20"/>
            <w:szCs w:val="20"/>
            <w:lang w:val="en-GB"/>
          </w:rPr>
          <w:instrText xml:space="preserve"> PAGE </w:instrText>
        </w:r>
        <w:r w:rsidRPr="00FC3D2F">
          <w:rPr>
            <w:sz w:val="20"/>
            <w:szCs w:val="20"/>
            <w:lang w:val="en-GB"/>
          </w:rPr>
          <w:fldChar w:fldCharType="separate"/>
        </w:r>
        <w:r>
          <w:rPr>
            <w:sz w:val="20"/>
            <w:szCs w:val="20"/>
            <w:lang w:val="en-GB"/>
          </w:rPr>
          <w:t>2</w:t>
        </w:r>
        <w:r w:rsidRPr="00FC3D2F">
          <w:rPr>
            <w:sz w:val="20"/>
            <w:szCs w:val="20"/>
          </w:rPr>
          <w:fldChar w:fldCharType="end"/>
        </w:r>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tl/>
      </w:rPr>
      <w:id w:val="682474283"/>
      <w:docPartObj>
        <w:docPartGallery w:val="Page Numbers (Top of Page)"/>
        <w:docPartUnique/>
      </w:docPartObj>
    </w:sdtPr>
    <w:sdtEndPr>
      <w:rPr>
        <w:rFonts w:cs="Calibri"/>
        <w:noProof/>
        <w:sz w:val="18"/>
        <w:szCs w:val="18"/>
      </w:rPr>
    </w:sdtEndPr>
    <w:sdtContent>
      <w:p w14:paraId="050309C4" w14:textId="36C14964" w:rsidR="003E1AC4" w:rsidRPr="003E1AC4" w:rsidRDefault="003E1AC4" w:rsidP="003E1AC4">
        <w:pPr>
          <w:pStyle w:val="Header"/>
          <w:tabs>
            <w:tab w:val="clear" w:pos="794"/>
            <w:tab w:val="clear" w:pos="4680"/>
            <w:tab w:val="clear" w:pos="9360"/>
            <w:tab w:val="center" w:pos="7920"/>
            <w:tab w:val="right" w:pos="15704"/>
          </w:tabs>
          <w:spacing w:before="120" w:after="240" w:line="192" w:lineRule="auto"/>
          <w:rPr>
            <w:rStyle w:val="PageNumber"/>
            <w:rFonts w:ascii="Dubai" w:hAnsi="Dubai"/>
            <w:sz w:val="20"/>
            <w:szCs w:val="20"/>
            <w:lang w:bidi="ar-EG"/>
          </w:rPr>
        </w:pPr>
        <w:r w:rsidRPr="00FC3D2F">
          <w:rPr>
            <w:sz w:val="20"/>
            <w:szCs w:val="20"/>
          </w:rPr>
          <w:tab/>
        </w:r>
        <w:r>
          <w:rPr>
            <w:sz w:val="20"/>
            <w:szCs w:val="20"/>
            <w:lang w:val="es-ES_tradnl"/>
          </w:rPr>
          <w:t>TDAG-26</w:t>
        </w:r>
        <w:r w:rsidRPr="004F0F62">
          <w:rPr>
            <w:sz w:val="20"/>
            <w:szCs w:val="20"/>
            <w:lang w:val="es-ES_tradnl"/>
          </w:rPr>
          <w:t>/</w:t>
        </w:r>
        <w:r w:rsidR="00752870">
          <w:rPr>
            <w:sz w:val="20"/>
            <w:szCs w:val="20"/>
            <w:lang w:val="es-ES_tradnl"/>
          </w:rPr>
          <w:t>2(Add.2)(Rev.2)</w:t>
        </w:r>
        <w:r w:rsidRPr="00FC3D2F">
          <w:rPr>
            <w:sz w:val="20"/>
            <w:szCs w:val="20"/>
            <w:lang w:val="en-GB"/>
          </w:rPr>
          <w:t>-A</w:t>
        </w:r>
        <w:r w:rsidRPr="00FC3D2F">
          <w:rPr>
            <w:sz w:val="20"/>
            <w:szCs w:val="20"/>
            <w:rtl/>
            <w:lang w:bidi="ar-EG"/>
          </w:rPr>
          <w:tab/>
        </w:r>
        <w:r w:rsidRPr="00FC3D2F">
          <w:rPr>
            <w:rFonts w:hint="cs"/>
            <w:sz w:val="20"/>
            <w:szCs w:val="20"/>
            <w:rtl/>
          </w:rPr>
          <w:t>الصفحة</w:t>
        </w:r>
        <w:r w:rsidRPr="00FC3D2F">
          <w:rPr>
            <w:rFonts w:hint="cs"/>
            <w:sz w:val="20"/>
            <w:szCs w:val="20"/>
            <w:rtl/>
            <w:lang w:bidi="ar-EG"/>
          </w:rPr>
          <w:t xml:space="preserve"> </w:t>
        </w:r>
        <w:r w:rsidRPr="00FC3D2F">
          <w:rPr>
            <w:sz w:val="20"/>
            <w:szCs w:val="20"/>
            <w:lang w:val="en-GB"/>
          </w:rPr>
          <w:fldChar w:fldCharType="begin"/>
        </w:r>
        <w:r w:rsidRPr="00FC3D2F">
          <w:rPr>
            <w:sz w:val="20"/>
            <w:szCs w:val="20"/>
            <w:lang w:val="en-GB"/>
          </w:rPr>
          <w:instrText xml:space="preserve"> PAGE </w:instrText>
        </w:r>
        <w:r w:rsidRPr="00FC3D2F">
          <w:rPr>
            <w:sz w:val="20"/>
            <w:szCs w:val="20"/>
            <w:lang w:val="en-GB"/>
          </w:rPr>
          <w:fldChar w:fldCharType="separate"/>
        </w:r>
        <w:r>
          <w:rPr>
            <w:sz w:val="20"/>
            <w:szCs w:val="20"/>
            <w:lang w:val="en-GB"/>
          </w:rPr>
          <w:t>20</w:t>
        </w:r>
        <w:r w:rsidRPr="00FC3D2F">
          <w:rPr>
            <w:sz w:val="20"/>
            <w:szCs w:val="20"/>
          </w:rPr>
          <w:fldChar w:fldCharType="end"/>
        </w:r>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tl/>
      </w:rPr>
      <w:id w:val="-548525072"/>
      <w:docPartObj>
        <w:docPartGallery w:val="Page Numbers (Top of Page)"/>
        <w:docPartUnique/>
      </w:docPartObj>
    </w:sdtPr>
    <w:sdtEndPr>
      <w:rPr>
        <w:rFonts w:cs="Calibri"/>
        <w:noProof/>
        <w:sz w:val="18"/>
        <w:szCs w:val="18"/>
      </w:rPr>
    </w:sdtEndPr>
    <w:sdtContent>
      <w:p w14:paraId="55C57B3E" w14:textId="33F956FF" w:rsidR="00882A17" w:rsidRPr="006F5791" w:rsidRDefault="006F5791" w:rsidP="006F5791">
        <w:pPr>
          <w:pStyle w:val="Header"/>
          <w:tabs>
            <w:tab w:val="clear" w:pos="794"/>
            <w:tab w:val="clear" w:pos="4680"/>
            <w:tab w:val="clear" w:pos="9360"/>
            <w:tab w:val="center" w:pos="4819"/>
            <w:tab w:val="right" w:pos="9639"/>
          </w:tabs>
          <w:spacing w:before="120" w:line="192" w:lineRule="auto"/>
          <w:rPr>
            <w:sz w:val="20"/>
            <w:szCs w:val="20"/>
            <w:rtl/>
            <w:lang w:bidi="ar-EG"/>
          </w:rPr>
        </w:pPr>
        <w:r w:rsidRPr="00FC3D2F">
          <w:rPr>
            <w:sz w:val="20"/>
            <w:szCs w:val="20"/>
          </w:rPr>
          <w:tab/>
        </w:r>
        <w:r>
          <w:rPr>
            <w:sz w:val="20"/>
            <w:szCs w:val="20"/>
            <w:lang w:val="es-ES_tradnl"/>
          </w:rPr>
          <w:t>TDAG-26</w:t>
        </w:r>
        <w:r w:rsidRPr="004F0F62">
          <w:rPr>
            <w:sz w:val="20"/>
            <w:szCs w:val="20"/>
            <w:lang w:val="es-ES_tradnl"/>
          </w:rPr>
          <w:t>/</w:t>
        </w:r>
        <w:r w:rsidR="00420DEE">
          <w:rPr>
            <w:sz w:val="20"/>
            <w:szCs w:val="20"/>
            <w:lang w:val="es-ES_tradnl"/>
          </w:rPr>
          <w:t>2(Add.2)(Rev.2)</w:t>
        </w:r>
        <w:r w:rsidRPr="00FC3D2F">
          <w:rPr>
            <w:sz w:val="20"/>
            <w:szCs w:val="20"/>
            <w:lang w:val="en-GB"/>
          </w:rPr>
          <w:t>-A</w:t>
        </w:r>
        <w:r w:rsidRPr="00FC3D2F">
          <w:rPr>
            <w:sz w:val="20"/>
            <w:szCs w:val="20"/>
            <w:rtl/>
            <w:lang w:bidi="ar-EG"/>
          </w:rPr>
          <w:tab/>
        </w:r>
        <w:r w:rsidRPr="00FC3D2F">
          <w:rPr>
            <w:rFonts w:hint="cs"/>
            <w:sz w:val="20"/>
            <w:szCs w:val="20"/>
            <w:rtl/>
          </w:rPr>
          <w:t>الصفحة</w:t>
        </w:r>
        <w:r w:rsidRPr="00FC3D2F">
          <w:rPr>
            <w:rFonts w:hint="cs"/>
            <w:sz w:val="20"/>
            <w:szCs w:val="20"/>
            <w:rtl/>
            <w:lang w:bidi="ar-EG"/>
          </w:rPr>
          <w:t xml:space="preserve"> </w:t>
        </w:r>
        <w:r w:rsidRPr="00FC3D2F">
          <w:rPr>
            <w:sz w:val="20"/>
            <w:szCs w:val="20"/>
            <w:lang w:val="en-GB"/>
          </w:rPr>
          <w:fldChar w:fldCharType="begin"/>
        </w:r>
        <w:r w:rsidRPr="00FC3D2F">
          <w:rPr>
            <w:sz w:val="20"/>
            <w:szCs w:val="20"/>
            <w:lang w:val="en-GB"/>
          </w:rPr>
          <w:instrText xml:space="preserve"> PAGE </w:instrText>
        </w:r>
        <w:r w:rsidRPr="00FC3D2F">
          <w:rPr>
            <w:sz w:val="20"/>
            <w:szCs w:val="20"/>
            <w:lang w:val="en-GB"/>
          </w:rPr>
          <w:fldChar w:fldCharType="separate"/>
        </w:r>
        <w:r>
          <w:rPr>
            <w:sz w:val="20"/>
            <w:szCs w:val="20"/>
            <w:lang w:val="en-GB"/>
          </w:rPr>
          <w:t>2</w:t>
        </w:r>
        <w:r w:rsidRPr="00FC3D2F">
          <w:rPr>
            <w:sz w:val="20"/>
            <w:szCs w:val="20"/>
          </w:rPr>
          <w:fldChar w:fldCharType="end"/>
        </w:r>
      </w:p>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tl/>
      </w:rPr>
      <w:id w:val="-1490084263"/>
      <w:docPartObj>
        <w:docPartGallery w:val="Page Numbers (Top of Page)"/>
        <w:docPartUnique/>
      </w:docPartObj>
    </w:sdtPr>
    <w:sdtEndPr>
      <w:rPr>
        <w:rFonts w:cs="Calibri"/>
        <w:noProof/>
        <w:sz w:val="18"/>
        <w:szCs w:val="18"/>
      </w:rPr>
    </w:sdtEndPr>
    <w:sdtContent>
      <w:p w14:paraId="729B8708" w14:textId="7EFD53BB" w:rsidR="006F5791" w:rsidRPr="006F5791" w:rsidRDefault="006F5791" w:rsidP="006F5791">
        <w:pPr>
          <w:pStyle w:val="Header"/>
          <w:tabs>
            <w:tab w:val="clear" w:pos="794"/>
            <w:tab w:val="clear" w:pos="4680"/>
            <w:tab w:val="clear" w:pos="9360"/>
            <w:tab w:val="center" w:pos="4819"/>
            <w:tab w:val="right" w:pos="9639"/>
          </w:tabs>
          <w:spacing w:before="120" w:line="192" w:lineRule="auto"/>
          <w:rPr>
            <w:sz w:val="20"/>
            <w:szCs w:val="20"/>
            <w:lang w:bidi="ar-EG"/>
          </w:rPr>
        </w:pPr>
        <w:r w:rsidRPr="00FC3D2F">
          <w:rPr>
            <w:sz w:val="20"/>
            <w:szCs w:val="20"/>
          </w:rPr>
          <w:tab/>
        </w:r>
        <w:r>
          <w:rPr>
            <w:sz w:val="20"/>
            <w:szCs w:val="20"/>
            <w:lang w:val="es-ES_tradnl"/>
          </w:rPr>
          <w:t>TDAG-26</w:t>
        </w:r>
        <w:r w:rsidRPr="004F0F62">
          <w:rPr>
            <w:sz w:val="20"/>
            <w:szCs w:val="20"/>
            <w:lang w:val="es-ES_tradnl"/>
          </w:rPr>
          <w:t>/</w:t>
        </w:r>
        <w:r w:rsidR="00420DEE">
          <w:rPr>
            <w:sz w:val="20"/>
            <w:szCs w:val="20"/>
            <w:lang w:val="es-ES_tradnl"/>
          </w:rPr>
          <w:t>2(Add.2)(Rev.2)</w:t>
        </w:r>
        <w:r w:rsidRPr="00FC3D2F">
          <w:rPr>
            <w:sz w:val="20"/>
            <w:szCs w:val="20"/>
            <w:lang w:val="en-GB"/>
          </w:rPr>
          <w:t>-A</w:t>
        </w:r>
        <w:r w:rsidRPr="00FC3D2F">
          <w:rPr>
            <w:sz w:val="20"/>
            <w:szCs w:val="20"/>
            <w:rtl/>
            <w:lang w:bidi="ar-EG"/>
          </w:rPr>
          <w:tab/>
        </w:r>
        <w:r w:rsidRPr="00FC3D2F">
          <w:rPr>
            <w:rFonts w:hint="cs"/>
            <w:sz w:val="20"/>
            <w:szCs w:val="20"/>
            <w:rtl/>
          </w:rPr>
          <w:t>الصفحة</w:t>
        </w:r>
        <w:r w:rsidRPr="00FC3D2F">
          <w:rPr>
            <w:rFonts w:hint="cs"/>
            <w:sz w:val="20"/>
            <w:szCs w:val="20"/>
            <w:rtl/>
            <w:lang w:bidi="ar-EG"/>
          </w:rPr>
          <w:t xml:space="preserve"> </w:t>
        </w:r>
        <w:r w:rsidRPr="00FC3D2F">
          <w:rPr>
            <w:sz w:val="20"/>
            <w:szCs w:val="20"/>
            <w:lang w:val="en-GB"/>
          </w:rPr>
          <w:fldChar w:fldCharType="begin"/>
        </w:r>
        <w:r w:rsidRPr="00FC3D2F">
          <w:rPr>
            <w:sz w:val="20"/>
            <w:szCs w:val="20"/>
            <w:lang w:val="en-GB"/>
          </w:rPr>
          <w:instrText xml:space="preserve"> PAGE </w:instrText>
        </w:r>
        <w:r w:rsidRPr="00FC3D2F">
          <w:rPr>
            <w:sz w:val="20"/>
            <w:szCs w:val="20"/>
            <w:lang w:val="en-GB"/>
          </w:rPr>
          <w:fldChar w:fldCharType="separate"/>
        </w:r>
        <w:r>
          <w:rPr>
            <w:sz w:val="20"/>
            <w:szCs w:val="20"/>
            <w:lang w:val="en-GB"/>
          </w:rPr>
          <w:t>2</w:t>
        </w:r>
        <w:r w:rsidRPr="00FC3D2F">
          <w:rPr>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D842B" w14:textId="77777777" w:rsidR="00C23B5E" w:rsidRPr="0071569A" w:rsidRDefault="00C23B5E" w:rsidP="001D2782">
    <w:pPr>
      <w:tabs>
        <w:tab w:val="clear" w:pos="794"/>
        <w:tab w:val="center" w:pos="6946"/>
        <w:tab w:val="right" w:pos="13892"/>
      </w:tabs>
      <w:ind w:right="1"/>
      <w:rPr>
        <w:smallCaps/>
        <w:spacing w:val="24"/>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tl/>
      </w:rPr>
      <w:id w:val="-1060166175"/>
      <w:docPartObj>
        <w:docPartGallery w:val="Page Numbers (Top of Page)"/>
        <w:docPartUnique/>
      </w:docPartObj>
    </w:sdtPr>
    <w:sdtEndPr>
      <w:rPr>
        <w:rFonts w:cs="Calibri"/>
        <w:noProof/>
        <w:sz w:val="18"/>
        <w:szCs w:val="18"/>
      </w:rPr>
    </w:sdtEndPr>
    <w:sdtContent>
      <w:p w14:paraId="5ED5BE2F" w14:textId="0255CFFD" w:rsidR="00C23B5E" w:rsidRPr="003E1AC4" w:rsidRDefault="003E1AC4" w:rsidP="003E1AC4">
        <w:pPr>
          <w:pStyle w:val="Header"/>
          <w:tabs>
            <w:tab w:val="clear" w:pos="794"/>
            <w:tab w:val="clear" w:pos="4680"/>
            <w:tab w:val="clear" w:pos="9360"/>
            <w:tab w:val="center" w:pos="7920"/>
            <w:tab w:val="right" w:pos="15704"/>
          </w:tabs>
          <w:spacing w:before="120" w:after="240" w:line="192" w:lineRule="auto"/>
          <w:rPr>
            <w:rStyle w:val="PageNumber"/>
            <w:rFonts w:ascii="Dubai" w:hAnsi="Dubai"/>
            <w:sz w:val="20"/>
            <w:szCs w:val="20"/>
            <w:lang w:bidi="ar-EG"/>
          </w:rPr>
        </w:pPr>
        <w:r w:rsidRPr="00FC3D2F">
          <w:rPr>
            <w:sz w:val="20"/>
            <w:szCs w:val="20"/>
          </w:rPr>
          <w:tab/>
        </w:r>
        <w:r>
          <w:rPr>
            <w:sz w:val="20"/>
            <w:szCs w:val="20"/>
            <w:lang w:val="es-ES_tradnl"/>
          </w:rPr>
          <w:t>TDAG-26</w:t>
        </w:r>
        <w:r w:rsidRPr="004F0F62">
          <w:rPr>
            <w:sz w:val="20"/>
            <w:szCs w:val="20"/>
            <w:lang w:val="es-ES_tradnl"/>
          </w:rPr>
          <w:t>/</w:t>
        </w:r>
        <w:r w:rsidR="00752870">
          <w:rPr>
            <w:sz w:val="20"/>
            <w:szCs w:val="20"/>
            <w:lang w:val="es-ES_tradnl"/>
          </w:rPr>
          <w:t>2(Add.2)(Rev.2)</w:t>
        </w:r>
        <w:r w:rsidRPr="00FC3D2F">
          <w:rPr>
            <w:sz w:val="20"/>
            <w:szCs w:val="20"/>
            <w:lang w:val="en-GB"/>
          </w:rPr>
          <w:t>-A</w:t>
        </w:r>
        <w:r w:rsidRPr="00FC3D2F">
          <w:rPr>
            <w:sz w:val="20"/>
            <w:szCs w:val="20"/>
            <w:rtl/>
            <w:lang w:bidi="ar-EG"/>
          </w:rPr>
          <w:tab/>
        </w:r>
        <w:r w:rsidRPr="00FC3D2F">
          <w:rPr>
            <w:rFonts w:hint="cs"/>
            <w:sz w:val="20"/>
            <w:szCs w:val="20"/>
            <w:rtl/>
          </w:rPr>
          <w:t>الصفحة</w:t>
        </w:r>
        <w:r w:rsidRPr="00FC3D2F">
          <w:rPr>
            <w:rFonts w:hint="cs"/>
            <w:sz w:val="20"/>
            <w:szCs w:val="20"/>
            <w:rtl/>
            <w:lang w:bidi="ar-EG"/>
          </w:rPr>
          <w:t xml:space="preserve"> </w:t>
        </w:r>
        <w:r w:rsidRPr="00FC3D2F">
          <w:rPr>
            <w:sz w:val="20"/>
            <w:szCs w:val="20"/>
            <w:lang w:val="en-GB"/>
          </w:rPr>
          <w:fldChar w:fldCharType="begin"/>
        </w:r>
        <w:r w:rsidRPr="00FC3D2F">
          <w:rPr>
            <w:sz w:val="20"/>
            <w:szCs w:val="20"/>
            <w:lang w:val="en-GB"/>
          </w:rPr>
          <w:instrText xml:space="preserve"> PAGE </w:instrText>
        </w:r>
        <w:r w:rsidRPr="00FC3D2F">
          <w:rPr>
            <w:sz w:val="20"/>
            <w:szCs w:val="20"/>
            <w:lang w:val="en-GB"/>
          </w:rPr>
          <w:fldChar w:fldCharType="separate"/>
        </w:r>
        <w:r>
          <w:rPr>
            <w:sz w:val="20"/>
            <w:szCs w:val="20"/>
            <w:lang w:val="en-GB"/>
          </w:rPr>
          <w:t>20</w:t>
        </w:r>
        <w:r w:rsidRPr="00FC3D2F">
          <w:rPr>
            <w:sz w:val="20"/>
            <w:szCs w:val="20"/>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C01B4" w14:textId="77777777" w:rsidR="00C23B5E" w:rsidRPr="00E91562" w:rsidRDefault="00C23B5E" w:rsidP="00E91562">
    <w:pPr>
      <w:tabs>
        <w:tab w:val="clear" w:pos="794"/>
        <w:tab w:val="center" w:pos="4820"/>
        <w:tab w:val="right" w:pos="13892"/>
      </w:tabs>
      <w:ind w:right="1"/>
      <w:jc w:val="left"/>
      <w:rPr>
        <w:rStyle w:val="PageNumber"/>
        <w:smallCaps/>
        <w:spacing w:val="24"/>
        <w:lang w:val="pt-BR"/>
      </w:rPr>
    </w:pPr>
    <w:r>
      <w:rPr>
        <w:lang w:val="pt-BR"/>
      </w:rPr>
      <w:tab/>
    </w:r>
    <w:r w:rsidRPr="0071569A">
      <w:rPr>
        <w:lang w:val="pt-BR"/>
      </w:rPr>
      <w:t>TDAG-2</w:t>
    </w:r>
    <w:r>
      <w:rPr>
        <w:lang w:val="pt-BR"/>
      </w:rPr>
      <w:t>6</w:t>
    </w:r>
    <w:r w:rsidRPr="0071569A">
      <w:rPr>
        <w:lang w:val="pt-BR"/>
      </w:rPr>
      <w:t>/2(Add.2)-E</w:t>
    </w:r>
    <w:r w:rsidRPr="0071569A">
      <w:rPr>
        <w:lang w:val="pt-BR"/>
      </w:rPr>
      <w:tab/>
      <w:t xml:space="preserve">Page </w:t>
    </w:r>
    <w:r w:rsidRPr="00972BCD">
      <w:fldChar w:fldCharType="begin"/>
    </w:r>
    <w:r w:rsidRPr="0071569A">
      <w:rPr>
        <w:lang w:val="pt-BR"/>
      </w:rPr>
      <w:instrText xml:space="preserve"> PAGE </w:instrText>
    </w:r>
    <w:r w:rsidRPr="00972BCD">
      <w:fldChar w:fldCharType="separate"/>
    </w:r>
    <w:r>
      <w:t>2</w:t>
    </w:r>
    <w:r w:rsidRPr="00972BCD">
      <w:fldChar w:fldCharType="end"/>
    </w:r>
  </w:p>
  <w:p w14:paraId="7DFA4415" w14:textId="77777777" w:rsidR="00C23B5E" w:rsidRPr="0071569A" w:rsidRDefault="00C23B5E" w:rsidP="001D2782">
    <w:pPr>
      <w:tabs>
        <w:tab w:val="clear" w:pos="794"/>
        <w:tab w:val="center" w:pos="6946"/>
        <w:tab w:val="right" w:pos="13892"/>
      </w:tabs>
      <w:ind w:right="1"/>
      <w:rPr>
        <w:smallCaps/>
        <w:spacing w:val="24"/>
        <w:lang w:val="pt-B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tl/>
      </w:rPr>
      <w:id w:val="-1047757756"/>
      <w:docPartObj>
        <w:docPartGallery w:val="Page Numbers (Top of Page)"/>
        <w:docPartUnique/>
      </w:docPartObj>
    </w:sdtPr>
    <w:sdtEndPr>
      <w:rPr>
        <w:rFonts w:cs="Calibri"/>
        <w:noProof/>
        <w:sz w:val="18"/>
        <w:szCs w:val="18"/>
      </w:rPr>
    </w:sdtEndPr>
    <w:sdtContent>
      <w:p w14:paraId="4E5ED1FF" w14:textId="60637FF9" w:rsidR="006C3241" w:rsidRPr="006F5791" w:rsidRDefault="006C3241" w:rsidP="006C3241">
        <w:pPr>
          <w:pStyle w:val="Header"/>
          <w:tabs>
            <w:tab w:val="clear" w:pos="794"/>
            <w:tab w:val="clear" w:pos="4680"/>
            <w:tab w:val="clear" w:pos="9360"/>
            <w:tab w:val="center" w:pos="4820"/>
            <w:tab w:val="right" w:pos="9639"/>
          </w:tabs>
          <w:spacing w:before="120" w:after="240" w:line="192" w:lineRule="auto"/>
          <w:rPr>
            <w:rStyle w:val="PageNumber"/>
            <w:rFonts w:ascii="Dubai" w:hAnsi="Dubai"/>
            <w:sz w:val="20"/>
            <w:szCs w:val="20"/>
            <w:lang w:bidi="ar-EG"/>
          </w:rPr>
        </w:pPr>
        <w:r w:rsidRPr="00FC3D2F">
          <w:rPr>
            <w:sz w:val="20"/>
            <w:szCs w:val="20"/>
          </w:rPr>
          <w:tab/>
        </w:r>
        <w:r>
          <w:rPr>
            <w:sz w:val="20"/>
            <w:szCs w:val="20"/>
            <w:lang w:val="es-ES_tradnl"/>
          </w:rPr>
          <w:t>TDAG-26</w:t>
        </w:r>
        <w:r w:rsidRPr="004F0F62">
          <w:rPr>
            <w:sz w:val="20"/>
            <w:szCs w:val="20"/>
            <w:lang w:val="es-ES_tradnl"/>
          </w:rPr>
          <w:t>/</w:t>
        </w:r>
        <w:r w:rsidR="00752870">
          <w:rPr>
            <w:sz w:val="20"/>
            <w:szCs w:val="20"/>
            <w:lang w:val="es-ES_tradnl"/>
          </w:rPr>
          <w:t>2(Add.2)(Rev.2)</w:t>
        </w:r>
        <w:r w:rsidRPr="00FC3D2F">
          <w:rPr>
            <w:sz w:val="20"/>
            <w:szCs w:val="20"/>
            <w:lang w:val="en-GB"/>
          </w:rPr>
          <w:t>-A</w:t>
        </w:r>
        <w:r w:rsidRPr="00FC3D2F">
          <w:rPr>
            <w:sz w:val="20"/>
            <w:szCs w:val="20"/>
            <w:rtl/>
            <w:lang w:bidi="ar-EG"/>
          </w:rPr>
          <w:tab/>
        </w:r>
        <w:r w:rsidRPr="00FC3D2F">
          <w:rPr>
            <w:rFonts w:hint="cs"/>
            <w:sz w:val="20"/>
            <w:szCs w:val="20"/>
            <w:rtl/>
          </w:rPr>
          <w:t>الصفحة</w:t>
        </w:r>
        <w:r w:rsidRPr="00FC3D2F">
          <w:rPr>
            <w:rFonts w:hint="cs"/>
            <w:sz w:val="20"/>
            <w:szCs w:val="20"/>
            <w:rtl/>
            <w:lang w:bidi="ar-EG"/>
          </w:rPr>
          <w:t xml:space="preserve"> </w:t>
        </w:r>
        <w:r w:rsidRPr="00FC3D2F">
          <w:rPr>
            <w:sz w:val="20"/>
            <w:szCs w:val="20"/>
            <w:lang w:val="en-GB"/>
          </w:rPr>
          <w:fldChar w:fldCharType="begin"/>
        </w:r>
        <w:r w:rsidRPr="00FC3D2F">
          <w:rPr>
            <w:sz w:val="20"/>
            <w:szCs w:val="20"/>
            <w:lang w:val="en-GB"/>
          </w:rPr>
          <w:instrText xml:space="preserve"> PAGE </w:instrText>
        </w:r>
        <w:r w:rsidRPr="00FC3D2F">
          <w:rPr>
            <w:sz w:val="20"/>
            <w:szCs w:val="20"/>
            <w:lang w:val="en-GB"/>
          </w:rPr>
          <w:fldChar w:fldCharType="separate"/>
        </w:r>
        <w:r>
          <w:rPr>
            <w:sz w:val="20"/>
            <w:szCs w:val="20"/>
            <w:lang w:val="en-GB"/>
          </w:rPr>
          <w:t>2</w:t>
        </w:r>
        <w:r w:rsidRPr="00FC3D2F">
          <w:rPr>
            <w:sz w:val="20"/>
            <w:szCs w:val="20"/>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tl/>
      </w:rPr>
      <w:id w:val="436027757"/>
      <w:docPartObj>
        <w:docPartGallery w:val="Page Numbers (Top of Page)"/>
        <w:docPartUnique/>
      </w:docPartObj>
    </w:sdtPr>
    <w:sdtEndPr>
      <w:rPr>
        <w:rFonts w:cs="Calibri"/>
        <w:noProof/>
        <w:sz w:val="18"/>
        <w:szCs w:val="18"/>
      </w:rPr>
    </w:sdtEndPr>
    <w:sdtContent>
      <w:p w14:paraId="4DC1CC55" w14:textId="25AFEDE2" w:rsidR="003E1AC4" w:rsidRPr="003E1AC4" w:rsidRDefault="003E1AC4" w:rsidP="003E1AC4">
        <w:pPr>
          <w:pStyle w:val="Header"/>
          <w:tabs>
            <w:tab w:val="clear" w:pos="794"/>
            <w:tab w:val="clear" w:pos="4680"/>
            <w:tab w:val="clear" w:pos="9360"/>
            <w:tab w:val="center" w:pos="7920"/>
            <w:tab w:val="right" w:pos="15704"/>
          </w:tabs>
          <w:spacing w:before="120" w:after="240" w:line="192" w:lineRule="auto"/>
          <w:rPr>
            <w:rStyle w:val="PageNumber"/>
            <w:rFonts w:ascii="Dubai" w:hAnsi="Dubai"/>
            <w:sz w:val="20"/>
            <w:szCs w:val="20"/>
            <w:lang w:bidi="ar-EG"/>
          </w:rPr>
        </w:pPr>
        <w:r w:rsidRPr="00FC3D2F">
          <w:rPr>
            <w:sz w:val="20"/>
            <w:szCs w:val="20"/>
          </w:rPr>
          <w:tab/>
        </w:r>
        <w:r>
          <w:rPr>
            <w:sz w:val="20"/>
            <w:szCs w:val="20"/>
            <w:lang w:val="es-ES_tradnl"/>
          </w:rPr>
          <w:t>TDAG-26</w:t>
        </w:r>
        <w:r w:rsidRPr="004F0F62">
          <w:rPr>
            <w:sz w:val="20"/>
            <w:szCs w:val="20"/>
            <w:lang w:val="es-ES_tradnl"/>
          </w:rPr>
          <w:t>/</w:t>
        </w:r>
        <w:r w:rsidR="00752870">
          <w:rPr>
            <w:sz w:val="20"/>
            <w:szCs w:val="20"/>
            <w:lang w:val="es-ES_tradnl"/>
          </w:rPr>
          <w:t>2(Add.2)(Rev.2)</w:t>
        </w:r>
        <w:r w:rsidRPr="00FC3D2F">
          <w:rPr>
            <w:sz w:val="20"/>
            <w:szCs w:val="20"/>
            <w:lang w:val="en-GB"/>
          </w:rPr>
          <w:t>-A</w:t>
        </w:r>
        <w:r w:rsidRPr="00FC3D2F">
          <w:rPr>
            <w:sz w:val="20"/>
            <w:szCs w:val="20"/>
            <w:rtl/>
            <w:lang w:bidi="ar-EG"/>
          </w:rPr>
          <w:tab/>
        </w:r>
        <w:r w:rsidRPr="00FC3D2F">
          <w:rPr>
            <w:rFonts w:hint="cs"/>
            <w:sz w:val="20"/>
            <w:szCs w:val="20"/>
            <w:rtl/>
          </w:rPr>
          <w:t>الصفحة</w:t>
        </w:r>
        <w:r w:rsidRPr="00FC3D2F">
          <w:rPr>
            <w:rFonts w:hint="cs"/>
            <w:sz w:val="20"/>
            <w:szCs w:val="20"/>
            <w:rtl/>
            <w:lang w:bidi="ar-EG"/>
          </w:rPr>
          <w:t xml:space="preserve"> </w:t>
        </w:r>
        <w:r w:rsidRPr="00FC3D2F">
          <w:rPr>
            <w:sz w:val="20"/>
            <w:szCs w:val="20"/>
            <w:lang w:val="en-GB"/>
          </w:rPr>
          <w:fldChar w:fldCharType="begin"/>
        </w:r>
        <w:r w:rsidRPr="00FC3D2F">
          <w:rPr>
            <w:sz w:val="20"/>
            <w:szCs w:val="20"/>
            <w:lang w:val="en-GB"/>
          </w:rPr>
          <w:instrText xml:space="preserve"> PAGE </w:instrText>
        </w:r>
        <w:r w:rsidRPr="00FC3D2F">
          <w:rPr>
            <w:sz w:val="20"/>
            <w:szCs w:val="20"/>
            <w:lang w:val="en-GB"/>
          </w:rPr>
          <w:fldChar w:fldCharType="separate"/>
        </w:r>
        <w:r>
          <w:rPr>
            <w:sz w:val="20"/>
            <w:szCs w:val="20"/>
            <w:lang w:val="en-GB"/>
          </w:rPr>
          <w:t>20</w:t>
        </w:r>
        <w:r w:rsidRPr="00FC3D2F">
          <w:rPr>
            <w:sz w:val="20"/>
            <w:szCs w:val="20"/>
          </w:rP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tl/>
      </w:rPr>
      <w:id w:val="-253129463"/>
      <w:docPartObj>
        <w:docPartGallery w:val="Page Numbers (Top of Page)"/>
        <w:docPartUnique/>
      </w:docPartObj>
    </w:sdtPr>
    <w:sdtEndPr>
      <w:rPr>
        <w:rFonts w:cs="Calibri"/>
        <w:noProof/>
        <w:sz w:val="18"/>
        <w:szCs w:val="18"/>
      </w:rPr>
    </w:sdtEndPr>
    <w:sdtContent>
      <w:p w14:paraId="7018B25E" w14:textId="22986970" w:rsidR="007C0AB6" w:rsidRPr="006F5791" w:rsidRDefault="007C0AB6" w:rsidP="006C3241">
        <w:pPr>
          <w:pStyle w:val="Header"/>
          <w:tabs>
            <w:tab w:val="clear" w:pos="794"/>
            <w:tab w:val="clear" w:pos="4680"/>
            <w:tab w:val="clear" w:pos="9360"/>
            <w:tab w:val="center" w:pos="4820"/>
            <w:tab w:val="right" w:pos="9639"/>
          </w:tabs>
          <w:spacing w:before="120" w:after="240" w:line="192" w:lineRule="auto"/>
          <w:rPr>
            <w:rStyle w:val="PageNumber"/>
            <w:rFonts w:ascii="Dubai" w:hAnsi="Dubai"/>
            <w:sz w:val="20"/>
            <w:szCs w:val="20"/>
            <w:lang w:bidi="ar-EG"/>
          </w:rPr>
        </w:pPr>
        <w:r w:rsidRPr="00FC3D2F">
          <w:rPr>
            <w:sz w:val="20"/>
            <w:szCs w:val="20"/>
          </w:rPr>
          <w:tab/>
        </w:r>
        <w:r>
          <w:rPr>
            <w:sz w:val="20"/>
            <w:szCs w:val="20"/>
            <w:lang w:val="es-ES_tradnl"/>
          </w:rPr>
          <w:t>TDAG-26</w:t>
        </w:r>
        <w:r w:rsidRPr="004F0F62">
          <w:rPr>
            <w:sz w:val="20"/>
            <w:szCs w:val="20"/>
            <w:lang w:val="es-ES_tradnl"/>
          </w:rPr>
          <w:t>/</w:t>
        </w:r>
        <w:r w:rsidR="00752870">
          <w:rPr>
            <w:sz w:val="20"/>
            <w:szCs w:val="20"/>
            <w:lang w:val="es-ES_tradnl"/>
          </w:rPr>
          <w:t>2(Add.2)(Rev.2)</w:t>
        </w:r>
        <w:r w:rsidRPr="00FC3D2F">
          <w:rPr>
            <w:sz w:val="20"/>
            <w:szCs w:val="20"/>
            <w:lang w:val="en-GB"/>
          </w:rPr>
          <w:t>-A</w:t>
        </w:r>
        <w:r w:rsidRPr="00FC3D2F">
          <w:rPr>
            <w:sz w:val="20"/>
            <w:szCs w:val="20"/>
            <w:rtl/>
            <w:lang w:bidi="ar-EG"/>
          </w:rPr>
          <w:tab/>
        </w:r>
        <w:r w:rsidRPr="00FC3D2F">
          <w:rPr>
            <w:rFonts w:hint="cs"/>
            <w:sz w:val="20"/>
            <w:szCs w:val="20"/>
            <w:rtl/>
          </w:rPr>
          <w:t>الصفحة</w:t>
        </w:r>
        <w:r w:rsidRPr="00FC3D2F">
          <w:rPr>
            <w:rFonts w:hint="cs"/>
            <w:sz w:val="20"/>
            <w:szCs w:val="20"/>
            <w:rtl/>
            <w:lang w:bidi="ar-EG"/>
          </w:rPr>
          <w:t xml:space="preserve"> </w:t>
        </w:r>
        <w:r w:rsidRPr="00FC3D2F">
          <w:rPr>
            <w:sz w:val="20"/>
            <w:szCs w:val="20"/>
            <w:lang w:val="en-GB"/>
          </w:rPr>
          <w:fldChar w:fldCharType="begin"/>
        </w:r>
        <w:r w:rsidRPr="00FC3D2F">
          <w:rPr>
            <w:sz w:val="20"/>
            <w:szCs w:val="20"/>
            <w:lang w:val="en-GB"/>
          </w:rPr>
          <w:instrText xml:space="preserve"> PAGE </w:instrText>
        </w:r>
        <w:r w:rsidRPr="00FC3D2F">
          <w:rPr>
            <w:sz w:val="20"/>
            <w:szCs w:val="20"/>
            <w:lang w:val="en-GB"/>
          </w:rPr>
          <w:fldChar w:fldCharType="separate"/>
        </w:r>
        <w:r>
          <w:rPr>
            <w:sz w:val="20"/>
            <w:szCs w:val="20"/>
            <w:lang w:val="en-GB"/>
          </w:rPr>
          <w:t>2</w:t>
        </w:r>
        <w:r w:rsidRPr="00FC3D2F">
          <w:rPr>
            <w:sz w:val="20"/>
            <w:szCs w:val="20"/>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tl/>
      </w:rPr>
      <w:id w:val="-1226841277"/>
      <w:docPartObj>
        <w:docPartGallery w:val="Page Numbers (Top of Page)"/>
        <w:docPartUnique/>
      </w:docPartObj>
    </w:sdtPr>
    <w:sdtEndPr>
      <w:rPr>
        <w:rFonts w:cs="Calibri"/>
        <w:noProof/>
        <w:sz w:val="18"/>
        <w:szCs w:val="18"/>
      </w:rPr>
    </w:sdtEndPr>
    <w:sdtContent>
      <w:p w14:paraId="53BA4AA6" w14:textId="4897C6C2" w:rsidR="003E1AC4" w:rsidRPr="003E1AC4" w:rsidRDefault="003E1AC4" w:rsidP="003E1AC4">
        <w:pPr>
          <w:pStyle w:val="Header"/>
          <w:tabs>
            <w:tab w:val="clear" w:pos="794"/>
            <w:tab w:val="clear" w:pos="4680"/>
            <w:tab w:val="clear" w:pos="9360"/>
            <w:tab w:val="center" w:pos="7920"/>
            <w:tab w:val="right" w:pos="15704"/>
          </w:tabs>
          <w:spacing w:before="120" w:after="240" w:line="192" w:lineRule="auto"/>
          <w:rPr>
            <w:rStyle w:val="PageNumber"/>
            <w:rFonts w:ascii="Dubai" w:hAnsi="Dubai"/>
            <w:sz w:val="20"/>
            <w:szCs w:val="20"/>
            <w:lang w:bidi="ar-EG"/>
          </w:rPr>
        </w:pPr>
        <w:r w:rsidRPr="00FC3D2F">
          <w:rPr>
            <w:sz w:val="20"/>
            <w:szCs w:val="20"/>
          </w:rPr>
          <w:tab/>
        </w:r>
        <w:r>
          <w:rPr>
            <w:sz w:val="20"/>
            <w:szCs w:val="20"/>
            <w:lang w:val="es-ES_tradnl"/>
          </w:rPr>
          <w:t>TDAG-26</w:t>
        </w:r>
        <w:r w:rsidRPr="004F0F62">
          <w:rPr>
            <w:sz w:val="20"/>
            <w:szCs w:val="20"/>
            <w:lang w:val="es-ES_tradnl"/>
          </w:rPr>
          <w:t>/</w:t>
        </w:r>
        <w:r w:rsidR="00752870">
          <w:rPr>
            <w:sz w:val="20"/>
            <w:szCs w:val="20"/>
            <w:lang w:val="es-ES_tradnl"/>
          </w:rPr>
          <w:t>2(Add.2)(Rev.2)</w:t>
        </w:r>
        <w:r w:rsidRPr="00FC3D2F">
          <w:rPr>
            <w:sz w:val="20"/>
            <w:szCs w:val="20"/>
            <w:lang w:val="en-GB"/>
          </w:rPr>
          <w:t>-A</w:t>
        </w:r>
        <w:r w:rsidRPr="00FC3D2F">
          <w:rPr>
            <w:sz w:val="20"/>
            <w:szCs w:val="20"/>
            <w:rtl/>
            <w:lang w:bidi="ar-EG"/>
          </w:rPr>
          <w:tab/>
        </w:r>
        <w:r w:rsidRPr="00FC3D2F">
          <w:rPr>
            <w:rFonts w:hint="cs"/>
            <w:sz w:val="20"/>
            <w:szCs w:val="20"/>
            <w:rtl/>
          </w:rPr>
          <w:t>الصفحة</w:t>
        </w:r>
        <w:r w:rsidRPr="00FC3D2F">
          <w:rPr>
            <w:rFonts w:hint="cs"/>
            <w:sz w:val="20"/>
            <w:szCs w:val="20"/>
            <w:rtl/>
            <w:lang w:bidi="ar-EG"/>
          </w:rPr>
          <w:t xml:space="preserve"> </w:t>
        </w:r>
        <w:r w:rsidRPr="00FC3D2F">
          <w:rPr>
            <w:sz w:val="20"/>
            <w:szCs w:val="20"/>
            <w:lang w:val="en-GB"/>
          </w:rPr>
          <w:fldChar w:fldCharType="begin"/>
        </w:r>
        <w:r w:rsidRPr="00FC3D2F">
          <w:rPr>
            <w:sz w:val="20"/>
            <w:szCs w:val="20"/>
            <w:lang w:val="en-GB"/>
          </w:rPr>
          <w:instrText xml:space="preserve"> PAGE </w:instrText>
        </w:r>
        <w:r w:rsidRPr="00FC3D2F">
          <w:rPr>
            <w:sz w:val="20"/>
            <w:szCs w:val="20"/>
            <w:lang w:val="en-GB"/>
          </w:rPr>
          <w:fldChar w:fldCharType="separate"/>
        </w:r>
        <w:r>
          <w:rPr>
            <w:sz w:val="20"/>
            <w:szCs w:val="20"/>
            <w:lang w:val="en-GB"/>
          </w:rPr>
          <w:t>20</w:t>
        </w:r>
        <w:r w:rsidRPr="00FC3D2F">
          <w:rPr>
            <w:sz w:val="20"/>
            <w:szCs w:val="20"/>
          </w:rP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tl/>
      </w:rPr>
      <w:id w:val="-405534187"/>
      <w:docPartObj>
        <w:docPartGallery w:val="Page Numbers (Top of Page)"/>
        <w:docPartUnique/>
      </w:docPartObj>
    </w:sdtPr>
    <w:sdtEndPr>
      <w:rPr>
        <w:rFonts w:cs="Calibri"/>
        <w:noProof/>
        <w:sz w:val="18"/>
        <w:szCs w:val="18"/>
      </w:rPr>
    </w:sdtEndPr>
    <w:sdtContent>
      <w:p w14:paraId="39587D58" w14:textId="0C0CC453" w:rsidR="00514F46" w:rsidRPr="003E1AC4" w:rsidRDefault="003E1AC4" w:rsidP="003E1AC4">
        <w:pPr>
          <w:pStyle w:val="Header"/>
          <w:tabs>
            <w:tab w:val="clear" w:pos="794"/>
            <w:tab w:val="clear" w:pos="4680"/>
            <w:tab w:val="clear" w:pos="9360"/>
            <w:tab w:val="center" w:pos="4820"/>
            <w:tab w:val="right" w:pos="9639"/>
          </w:tabs>
          <w:spacing w:before="120" w:after="240" w:line="192" w:lineRule="auto"/>
          <w:rPr>
            <w:rStyle w:val="PageNumber"/>
            <w:rFonts w:ascii="Dubai" w:hAnsi="Dubai"/>
            <w:sz w:val="20"/>
            <w:szCs w:val="20"/>
            <w:lang w:bidi="ar-EG"/>
          </w:rPr>
        </w:pPr>
        <w:r w:rsidRPr="00FC3D2F">
          <w:rPr>
            <w:sz w:val="20"/>
            <w:szCs w:val="20"/>
          </w:rPr>
          <w:tab/>
        </w:r>
        <w:r>
          <w:rPr>
            <w:sz w:val="20"/>
            <w:szCs w:val="20"/>
            <w:lang w:val="es-ES_tradnl"/>
          </w:rPr>
          <w:t>TDAG-26</w:t>
        </w:r>
        <w:r w:rsidRPr="004F0F62">
          <w:rPr>
            <w:sz w:val="20"/>
            <w:szCs w:val="20"/>
            <w:lang w:val="es-ES_tradnl"/>
          </w:rPr>
          <w:t>/</w:t>
        </w:r>
        <w:r w:rsidR="00752870">
          <w:rPr>
            <w:sz w:val="20"/>
            <w:szCs w:val="20"/>
            <w:lang w:val="es-ES_tradnl"/>
          </w:rPr>
          <w:t>2(Add.2)(Rev.2)</w:t>
        </w:r>
        <w:r w:rsidRPr="00FC3D2F">
          <w:rPr>
            <w:sz w:val="20"/>
            <w:szCs w:val="20"/>
            <w:lang w:val="en-GB"/>
          </w:rPr>
          <w:t>-A</w:t>
        </w:r>
        <w:r w:rsidRPr="00FC3D2F">
          <w:rPr>
            <w:sz w:val="20"/>
            <w:szCs w:val="20"/>
            <w:rtl/>
            <w:lang w:bidi="ar-EG"/>
          </w:rPr>
          <w:tab/>
        </w:r>
        <w:r w:rsidRPr="00FC3D2F">
          <w:rPr>
            <w:rFonts w:hint="cs"/>
            <w:sz w:val="20"/>
            <w:szCs w:val="20"/>
            <w:rtl/>
          </w:rPr>
          <w:t>الصفحة</w:t>
        </w:r>
        <w:r w:rsidRPr="00FC3D2F">
          <w:rPr>
            <w:rFonts w:hint="cs"/>
            <w:sz w:val="20"/>
            <w:szCs w:val="20"/>
            <w:rtl/>
            <w:lang w:bidi="ar-EG"/>
          </w:rPr>
          <w:t xml:space="preserve"> </w:t>
        </w:r>
        <w:r w:rsidRPr="00FC3D2F">
          <w:rPr>
            <w:sz w:val="20"/>
            <w:szCs w:val="20"/>
            <w:lang w:val="en-GB"/>
          </w:rPr>
          <w:fldChar w:fldCharType="begin"/>
        </w:r>
        <w:r w:rsidRPr="00FC3D2F">
          <w:rPr>
            <w:sz w:val="20"/>
            <w:szCs w:val="20"/>
            <w:lang w:val="en-GB"/>
          </w:rPr>
          <w:instrText xml:space="preserve"> PAGE </w:instrText>
        </w:r>
        <w:r w:rsidRPr="00FC3D2F">
          <w:rPr>
            <w:sz w:val="20"/>
            <w:szCs w:val="20"/>
            <w:lang w:val="en-GB"/>
          </w:rPr>
          <w:fldChar w:fldCharType="separate"/>
        </w:r>
        <w:r>
          <w:rPr>
            <w:sz w:val="20"/>
            <w:szCs w:val="20"/>
            <w:lang w:val="en-GB"/>
          </w:rPr>
          <w:t>7</w:t>
        </w:r>
        <w:r w:rsidRPr="00FC3D2F">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07AC5"/>
    <w:multiLevelType w:val="hybridMultilevel"/>
    <w:tmpl w:val="543CE99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1" w15:restartNumberingAfterBreak="0">
    <w:nsid w:val="00850BAA"/>
    <w:multiLevelType w:val="hybridMultilevel"/>
    <w:tmpl w:val="650CE12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2" w15:restartNumberingAfterBreak="0">
    <w:nsid w:val="08223515"/>
    <w:multiLevelType w:val="hybridMultilevel"/>
    <w:tmpl w:val="4E2EB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1450E1"/>
    <w:multiLevelType w:val="multilevel"/>
    <w:tmpl w:val="DFFA2170"/>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C367084"/>
    <w:multiLevelType w:val="hybridMultilevel"/>
    <w:tmpl w:val="D2581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263C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7325709"/>
    <w:multiLevelType w:val="hybridMultilevel"/>
    <w:tmpl w:val="21506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455C7E"/>
    <w:multiLevelType w:val="hybridMultilevel"/>
    <w:tmpl w:val="C5807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8E28FC"/>
    <w:multiLevelType w:val="multilevel"/>
    <w:tmpl w:val="116A912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D26344"/>
    <w:multiLevelType w:val="hybridMultilevel"/>
    <w:tmpl w:val="D5A0DEAC"/>
    <w:lvl w:ilvl="0" w:tplc="D8AA70E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FC6370B"/>
    <w:multiLevelType w:val="hybridMultilevel"/>
    <w:tmpl w:val="420E9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EA08B3"/>
    <w:multiLevelType w:val="hybridMultilevel"/>
    <w:tmpl w:val="0082C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70679B"/>
    <w:multiLevelType w:val="hybridMultilevel"/>
    <w:tmpl w:val="E898CC1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4" w15:restartNumberingAfterBreak="0">
    <w:nsid w:val="59A66DFF"/>
    <w:multiLevelType w:val="hybridMultilevel"/>
    <w:tmpl w:val="FB92C5A0"/>
    <w:lvl w:ilvl="0" w:tplc="08090001">
      <w:start w:val="1"/>
      <w:numFmt w:val="bullet"/>
      <w:lvlText w:val=""/>
      <w:lvlJc w:val="left"/>
      <w:pPr>
        <w:ind w:left="815" w:hanging="360"/>
      </w:pPr>
      <w:rPr>
        <w:rFonts w:ascii="Symbol" w:hAnsi="Symbol" w:hint="default"/>
      </w:rPr>
    </w:lvl>
    <w:lvl w:ilvl="1" w:tplc="08090003" w:tentative="1">
      <w:start w:val="1"/>
      <w:numFmt w:val="bullet"/>
      <w:lvlText w:val="o"/>
      <w:lvlJc w:val="left"/>
      <w:pPr>
        <w:ind w:left="1535" w:hanging="360"/>
      </w:pPr>
      <w:rPr>
        <w:rFonts w:ascii="Courier New" w:hAnsi="Courier New" w:cs="Courier New" w:hint="default"/>
      </w:rPr>
    </w:lvl>
    <w:lvl w:ilvl="2" w:tplc="08090005" w:tentative="1">
      <w:start w:val="1"/>
      <w:numFmt w:val="bullet"/>
      <w:lvlText w:val=""/>
      <w:lvlJc w:val="left"/>
      <w:pPr>
        <w:ind w:left="2255" w:hanging="360"/>
      </w:pPr>
      <w:rPr>
        <w:rFonts w:ascii="Wingdings" w:hAnsi="Wingdings" w:hint="default"/>
      </w:rPr>
    </w:lvl>
    <w:lvl w:ilvl="3" w:tplc="08090001" w:tentative="1">
      <w:start w:val="1"/>
      <w:numFmt w:val="bullet"/>
      <w:lvlText w:val=""/>
      <w:lvlJc w:val="left"/>
      <w:pPr>
        <w:ind w:left="2975" w:hanging="360"/>
      </w:pPr>
      <w:rPr>
        <w:rFonts w:ascii="Symbol" w:hAnsi="Symbol" w:hint="default"/>
      </w:rPr>
    </w:lvl>
    <w:lvl w:ilvl="4" w:tplc="08090003" w:tentative="1">
      <w:start w:val="1"/>
      <w:numFmt w:val="bullet"/>
      <w:lvlText w:val="o"/>
      <w:lvlJc w:val="left"/>
      <w:pPr>
        <w:ind w:left="3695" w:hanging="360"/>
      </w:pPr>
      <w:rPr>
        <w:rFonts w:ascii="Courier New" w:hAnsi="Courier New" w:cs="Courier New" w:hint="default"/>
      </w:rPr>
    </w:lvl>
    <w:lvl w:ilvl="5" w:tplc="08090005" w:tentative="1">
      <w:start w:val="1"/>
      <w:numFmt w:val="bullet"/>
      <w:lvlText w:val=""/>
      <w:lvlJc w:val="left"/>
      <w:pPr>
        <w:ind w:left="4415" w:hanging="360"/>
      </w:pPr>
      <w:rPr>
        <w:rFonts w:ascii="Wingdings" w:hAnsi="Wingdings" w:hint="default"/>
      </w:rPr>
    </w:lvl>
    <w:lvl w:ilvl="6" w:tplc="08090001" w:tentative="1">
      <w:start w:val="1"/>
      <w:numFmt w:val="bullet"/>
      <w:lvlText w:val=""/>
      <w:lvlJc w:val="left"/>
      <w:pPr>
        <w:ind w:left="5135" w:hanging="360"/>
      </w:pPr>
      <w:rPr>
        <w:rFonts w:ascii="Symbol" w:hAnsi="Symbol" w:hint="default"/>
      </w:rPr>
    </w:lvl>
    <w:lvl w:ilvl="7" w:tplc="08090003" w:tentative="1">
      <w:start w:val="1"/>
      <w:numFmt w:val="bullet"/>
      <w:lvlText w:val="o"/>
      <w:lvlJc w:val="left"/>
      <w:pPr>
        <w:ind w:left="5855" w:hanging="360"/>
      </w:pPr>
      <w:rPr>
        <w:rFonts w:ascii="Courier New" w:hAnsi="Courier New" w:cs="Courier New" w:hint="default"/>
      </w:rPr>
    </w:lvl>
    <w:lvl w:ilvl="8" w:tplc="08090005" w:tentative="1">
      <w:start w:val="1"/>
      <w:numFmt w:val="bullet"/>
      <w:lvlText w:val=""/>
      <w:lvlJc w:val="left"/>
      <w:pPr>
        <w:ind w:left="6575" w:hanging="360"/>
      </w:pPr>
      <w:rPr>
        <w:rFonts w:ascii="Wingdings" w:hAnsi="Wingdings" w:hint="default"/>
      </w:rPr>
    </w:lvl>
  </w:abstractNum>
  <w:abstractNum w:abstractNumId="25" w15:restartNumberingAfterBreak="0">
    <w:nsid w:val="6B450B12"/>
    <w:multiLevelType w:val="hybridMultilevel"/>
    <w:tmpl w:val="1A64A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C66A72"/>
    <w:multiLevelType w:val="hybridMultilevel"/>
    <w:tmpl w:val="E77291FC"/>
    <w:lvl w:ilvl="0" w:tplc="D8AA70E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13D01B4"/>
    <w:multiLevelType w:val="hybridMultilevel"/>
    <w:tmpl w:val="4CA0F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5D4764"/>
    <w:multiLevelType w:val="hybridMultilevel"/>
    <w:tmpl w:val="161217E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9" w15:restartNumberingAfterBreak="0">
    <w:nsid w:val="723E7B87"/>
    <w:multiLevelType w:val="hybridMultilevel"/>
    <w:tmpl w:val="86168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052376">
    <w:abstractNumId w:val="9"/>
  </w:num>
  <w:num w:numId="2" w16cid:durableId="1147554591">
    <w:abstractNumId w:val="7"/>
  </w:num>
  <w:num w:numId="3" w16cid:durableId="1041170884">
    <w:abstractNumId w:val="6"/>
  </w:num>
  <w:num w:numId="4" w16cid:durableId="1808467772">
    <w:abstractNumId w:val="5"/>
  </w:num>
  <w:num w:numId="5" w16cid:durableId="939215603">
    <w:abstractNumId w:val="4"/>
  </w:num>
  <w:num w:numId="6" w16cid:durableId="1171480664">
    <w:abstractNumId w:val="8"/>
  </w:num>
  <w:num w:numId="7" w16cid:durableId="1511486152">
    <w:abstractNumId w:val="3"/>
  </w:num>
  <w:num w:numId="8" w16cid:durableId="1234042883">
    <w:abstractNumId w:val="2"/>
  </w:num>
  <w:num w:numId="9" w16cid:durableId="285890177">
    <w:abstractNumId w:val="1"/>
  </w:num>
  <w:num w:numId="10" w16cid:durableId="1410539016">
    <w:abstractNumId w:val="0"/>
  </w:num>
  <w:num w:numId="11" w16cid:durableId="1773476791">
    <w:abstractNumId w:val="14"/>
  </w:num>
  <w:num w:numId="12" w16cid:durableId="1574855945">
    <w:abstractNumId w:val="10"/>
  </w:num>
  <w:num w:numId="13" w16cid:durableId="1210453116">
    <w:abstractNumId w:val="11"/>
  </w:num>
  <w:num w:numId="14" w16cid:durableId="1096906747">
    <w:abstractNumId w:val="23"/>
  </w:num>
  <w:num w:numId="15" w16cid:durableId="934247651">
    <w:abstractNumId w:val="28"/>
  </w:num>
  <w:num w:numId="16" w16cid:durableId="1502042642">
    <w:abstractNumId w:val="20"/>
  </w:num>
  <w:num w:numId="17" w16cid:durableId="233862093">
    <w:abstractNumId w:val="26"/>
  </w:num>
  <w:num w:numId="18" w16cid:durableId="2142503414">
    <w:abstractNumId w:val="13"/>
  </w:num>
  <w:num w:numId="19" w16cid:durableId="1983463481">
    <w:abstractNumId w:val="19"/>
  </w:num>
  <w:num w:numId="20" w16cid:durableId="2097940400">
    <w:abstractNumId w:val="16"/>
  </w:num>
  <w:num w:numId="21" w16cid:durableId="838498622">
    <w:abstractNumId w:val="15"/>
  </w:num>
  <w:num w:numId="22" w16cid:durableId="743844011">
    <w:abstractNumId w:val="21"/>
  </w:num>
  <w:num w:numId="23" w16cid:durableId="898831693">
    <w:abstractNumId w:val="25"/>
  </w:num>
  <w:num w:numId="24" w16cid:durableId="1896356399">
    <w:abstractNumId w:val="17"/>
  </w:num>
  <w:num w:numId="25" w16cid:durableId="1750957591">
    <w:abstractNumId w:val="12"/>
  </w:num>
  <w:num w:numId="26" w16cid:durableId="320013257">
    <w:abstractNumId w:val="24"/>
  </w:num>
  <w:num w:numId="27" w16cid:durableId="1192646332">
    <w:abstractNumId w:val="18"/>
  </w:num>
  <w:num w:numId="28" w16cid:durableId="1660691556">
    <w:abstractNumId w:val="22"/>
  </w:num>
  <w:num w:numId="29" w16cid:durableId="387605693">
    <w:abstractNumId w:val="27"/>
  </w:num>
  <w:num w:numId="30" w16cid:durableId="181771860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42E"/>
    <w:rsid w:val="000056BB"/>
    <w:rsid w:val="00007C0B"/>
    <w:rsid w:val="00010AEC"/>
    <w:rsid w:val="00012C74"/>
    <w:rsid w:val="00026B8F"/>
    <w:rsid w:val="00026D7C"/>
    <w:rsid w:val="0002738E"/>
    <w:rsid w:val="000360AF"/>
    <w:rsid w:val="0004566C"/>
    <w:rsid w:val="000578F6"/>
    <w:rsid w:val="0006468A"/>
    <w:rsid w:val="000676D0"/>
    <w:rsid w:val="00082AC9"/>
    <w:rsid w:val="00090574"/>
    <w:rsid w:val="000B0A3D"/>
    <w:rsid w:val="000C1C0E"/>
    <w:rsid w:val="000C548A"/>
    <w:rsid w:val="000D4BC7"/>
    <w:rsid w:val="00105EF4"/>
    <w:rsid w:val="00110F89"/>
    <w:rsid w:val="001133CE"/>
    <w:rsid w:val="0011365C"/>
    <w:rsid w:val="00145668"/>
    <w:rsid w:val="00153471"/>
    <w:rsid w:val="001639F2"/>
    <w:rsid w:val="00173234"/>
    <w:rsid w:val="00180AAB"/>
    <w:rsid w:val="0019128D"/>
    <w:rsid w:val="001A442E"/>
    <w:rsid w:val="001C0169"/>
    <w:rsid w:val="001D0423"/>
    <w:rsid w:val="001D1D50"/>
    <w:rsid w:val="001D53ED"/>
    <w:rsid w:val="001D662C"/>
    <w:rsid w:val="001D6745"/>
    <w:rsid w:val="001E446E"/>
    <w:rsid w:val="001F0309"/>
    <w:rsid w:val="0021016E"/>
    <w:rsid w:val="002154EE"/>
    <w:rsid w:val="0021786A"/>
    <w:rsid w:val="002276D2"/>
    <w:rsid w:val="0023283D"/>
    <w:rsid w:val="00235A3B"/>
    <w:rsid w:val="0026373E"/>
    <w:rsid w:val="00271C43"/>
    <w:rsid w:val="00290728"/>
    <w:rsid w:val="00294A83"/>
    <w:rsid w:val="00297758"/>
    <w:rsid w:val="002978F4"/>
    <w:rsid w:val="002B028D"/>
    <w:rsid w:val="002B03E9"/>
    <w:rsid w:val="002C3875"/>
    <w:rsid w:val="002D695E"/>
    <w:rsid w:val="002E6541"/>
    <w:rsid w:val="002F6EBB"/>
    <w:rsid w:val="00317741"/>
    <w:rsid w:val="00332386"/>
    <w:rsid w:val="00334924"/>
    <w:rsid w:val="00336B38"/>
    <w:rsid w:val="003409BC"/>
    <w:rsid w:val="00352462"/>
    <w:rsid w:val="00357185"/>
    <w:rsid w:val="00383829"/>
    <w:rsid w:val="00391DF2"/>
    <w:rsid w:val="00391E97"/>
    <w:rsid w:val="00392896"/>
    <w:rsid w:val="00395DB0"/>
    <w:rsid w:val="003971E3"/>
    <w:rsid w:val="003A6961"/>
    <w:rsid w:val="003B0AC7"/>
    <w:rsid w:val="003B62BC"/>
    <w:rsid w:val="003C4402"/>
    <w:rsid w:val="003D47FA"/>
    <w:rsid w:val="003E1AC4"/>
    <w:rsid w:val="003E2259"/>
    <w:rsid w:val="003F0FA3"/>
    <w:rsid w:val="003F4B29"/>
    <w:rsid w:val="004106EE"/>
    <w:rsid w:val="004200BD"/>
    <w:rsid w:val="00420DEE"/>
    <w:rsid w:val="0042686F"/>
    <w:rsid w:val="00427182"/>
    <w:rsid w:val="004317D8"/>
    <w:rsid w:val="00434183"/>
    <w:rsid w:val="00443869"/>
    <w:rsid w:val="00447F32"/>
    <w:rsid w:val="00450B36"/>
    <w:rsid w:val="00457D22"/>
    <w:rsid w:val="00460797"/>
    <w:rsid w:val="00476B78"/>
    <w:rsid w:val="004858F2"/>
    <w:rsid w:val="004A027F"/>
    <w:rsid w:val="004A0B7B"/>
    <w:rsid w:val="004B15CA"/>
    <w:rsid w:val="004C19ED"/>
    <w:rsid w:val="004E11DC"/>
    <w:rsid w:val="004E7586"/>
    <w:rsid w:val="004F0F62"/>
    <w:rsid w:val="004F3C48"/>
    <w:rsid w:val="004F7519"/>
    <w:rsid w:val="00506E94"/>
    <w:rsid w:val="00514F46"/>
    <w:rsid w:val="005246FC"/>
    <w:rsid w:val="00525DDD"/>
    <w:rsid w:val="00536F40"/>
    <w:rsid w:val="0053709C"/>
    <w:rsid w:val="005409AC"/>
    <w:rsid w:val="005443F3"/>
    <w:rsid w:val="005458D7"/>
    <w:rsid w:val="0055516A"/>
    <w:rsid w:val="00556B3F"/>
    <w:rsid w:val="00560437"/>
    <w:rsid w:val="0058491B"/>
    <w:rsid w:val="005874F2"/>
    <w:rsid w:val="00592EA5"/>
    <w:rsid w:val="00594CB1"/>
    <w:rsid w:val="005A1E71"/>
    <w:rsid w:val="005A22EE"/>
    <w:rsid w:val="005A314D"/>
    <w:rsid w:val="005A3170"/>
    <w:rsid w:val="005B2C89"/>
    <w:rsid w:val="005B6579"/>
    <w:rsid w:val="005C0C76"/>
    <w:rsid w:val="005D610E"/>
    <w:rsid w:val="005D63D6"/>
    <w:rsid w:val="005E1E6D"/>
    <w:rsid w:val="006128FC"/>
    <w:rsid w:val="0062274F"/>
    <w:rsid w:val="00675CFD"/>
    <w:rsid w:val="00676A3E"/>
    <w:rsid w:val="00677396"/>
    <w:rsid w:val="00680714"/>
    <w:rsid w:val="0069200F"/>
    <w:rsid w:val="006A5FEC"/>
    <w:rsid w:val="006A65CB"/>
    <w:rsid w:val="006B266A"/>
    <w:rsid w:val="006C3241"/>
    <w:rsid w:val="006C3242"/>
    <w:rsid w:val="006C7CC0"/>
    <w:rsid w:val="006D45AB"/>
    <w:rsid w:val="006D4C46"/>
    <w:rsid w:val="006D731A"/>
    <w:rsid w:val="006E4285"/>
    <w:rsid w:val="006F5791"/>
    <w:rsid w:val="006F63F7"/>
    <w:rsid w:val="007025C7"/>
    <w:rsid w:val="00706D7A"/>
    <w:rsid w:val="00712391"/>
    <w:rsid w:val="00715546"/>
    <w:rsid w:val="00722F0D"/>
    <w:rsid w:val="0074420E"/>
    <w:rsid w:val="0074742E"/>
    <w:rsid w:val="00747A70"/>
    <w:rsid w:val="00747F25"/>
    <w:rsid w:val="00752870"/>
    <w:rsid w:val="0075647E"/>
    <w:rsid w:val="00781554"/>
    <w:rsid w:val="00783A69"/>
    <w:rsid w:val="00783E26"/>
    <w:rsid w:val="00795D5B"/>
    <w:rsid w:val="00796B05"/>
    <w:rsid w:val="007A1D77"/>
    <w:rsid w:val="007A652C"/>
    <w:rsid w:val="007A78F3"/>
    <w:rsid w:val="007B4FA0"/>
    <w:rsid w:val="007B67C2"/>
    <w:rsid w:val="007C0AB6"/>
    <w:rsid w:val="007C3BC7"/>
    <w:rsid w:val="007C3BCD"/>
    <w:rsid w:val="007D345C"/>
    <w:rsid w:val="007D4ACF"/>
    <w:rsid w:val="007D6B69"/>
    <w:rsid w:val="007D6CBD"/>
    <w:rsid w:val="007E52DD"/>
    <w:rsid w:val="007F0787"/>
    <w:rsid w:val="00810B7B"/>
    <w:rsid w:val="0082358A"/>
    <w:rsid w:val="008235CD"/>
    <w:rsid w:val="008247DE"/>
    <w:rsid w:val="008313F7"/>
    <w:rsid w:val="00840B10"/>
    <w:rsid w:val="00845097"/>
    <w:rsid w:val="008451F8"/>
    <w:rsid w:val="008513CB"/>
    <w:rsid w:val="00855F97"/>
    <w:rsid w:val="008562F3"/>
    <w:rsid w:val="0087332D"/>
    <w:rsid w:val="00874F08"/>
    <w:rsid w:val="00882A17"/>
    <w:rsid w:val="008A7A14"/>
    <w:rsid w:val="008A7F84"/>
    <w:rsid w:val="008B6A55"/>
    <w:rsid w:val="008D6664"/>
    <w:rsid w:val="008E7373"/>
    <w:rsid w:val="008F1A3A"/>
    <w:rsid w:val="0091702E"/>
    <w:rsid w:val="00917D8A"/>
    <w:rsid w:val="00923B0C"/>
    <w:rsid w:val="0094021C"/>
    <w:rsid w:val="0094065A"/>
    <w:rsid w:val="00942B16"/>
    <w:rsid w:val="00951C43"/>
    <w:rsid w:val="00952F86"/>
    <w:rsid w:val="00956EF4"/>
    <w:rsid w:val="00957084"/>
    <w:rsid w:val="00982B28"/>
    <w:rsid w:val="00983DA5"/>
    <w:rsid w:val="00985C70"/>
    <w:rsid w:val="009A0C8C"/>
    <w:rsid w:val="009D313F"/>
    <w:rsid w:val="009D7C24"/>
    <w:rsid w:val="009F7C3D"/>
    <w:rsid w:val="00A07633"/>
    <w:rsid w:val="00A15396"/>
    <w:rsid w:val="00A17CE7"/>
    <w:rsid w:val="00A24359"/>
    <w:rsid w:val="00A30B90"/>
    <w:rsid w:val="00A47A5A"/>
    <w:rsid w:val="00A56FD1"/>
    <w:rsid w:val="00A60560"/>
    <w:rsid w:val="00A60E21"/>
    <w:rsid w:val="00A6683B"/>
    <w:rsid w:val="00A74CBA"/>
    <w:rsid w:val="00A977CE"/>
    <w:rsid w:val="00A97F94"/>
    <w:rsid w:val="00AA7EA2"/>
    <w:rsid w:val="00AC68CA"/>
    <w:rsid w:val="00AD048F"/>
    <w:rsid w:val="00AD1B14"/>
    <w:rsid w:val="00AD1E92"/>
    <w:rsid w:val="00AD44EA"/>
    <w:rsid w:val="00AF3939"/>
    <w:rsid w:val="00B03099"/>
    <w:rsid w:val="00B05BC8"/>
    <w:rsid w:val="00B14B3F"/>
    <w:rsid w:val="00B319BC"/>
    <w:rsid w:val="00B41945"/>
    <w:rsid w:val="00B4341E"/>
    <w:rsid w:val="00B43AB1"/>
    <w:rsid w:val="00B64B47"/>
    <w:rsid w:val="00B73AC7"/>
    <w:rsid w:val="00B93B7B"/>
    <w:rsid w:val="00B944C6"/>
    <w:rsid w:val="00BC4B48"/>
    <w:rsid w:val="00BE37D9"/>
    <w:rsid w:val="00BF139C"/>
    <w:rsid w:val="00BF3304"/>
    <w:rsid w:val="00C002DE"/>
    <w:rsid w:val="00C07ED7"/>
    <w:rsid w:val="00C20E3A"/>
    <w:rsid w:val="00C23B5E"/>
    <w:rsid w:val="00C53BF8"/>
    <w:rsid w:val="00C55646"/>
    <w:rsid w:val="00C56B5F"/>
    <w:rsid w:val="00C65B91"/>
    <w:rsid w:val="00C66157"/>
    <w:rsid w:val="00C674FE"/>
    <w:rsid w:val="00C67501"/>
    <w:rsid w:val="00C75633"/>
    <w:rsid w:val="00C85CB5"/>
    <w:rsid w:val="00CA08BA"/>
    <w:rsid w:val="00CC5D0D"/>
    <w:rsid w:val="00CD218A"/>
    <w:rsid w:val="00CD2791"/>
    <w:rsid w:val="00CE175C"/>
    <w:rsid w:val="00CE2EE1"/>
    <w:rsid w:val="00CE3349"/>
    <w:rsid w:val="00CE36E5"/>
    <w:rsid w:val="00CF1A84"/>
    <w:rsid w:val="00CF27F5"/>
    <w:rsid w:val="00CF3FFD"/>
    <w:rsid w:val="00CF4342"/>
    <w:rsid w:val="00CF7BE7"/>
    <w:rsid w:val="00D10CCF"/>
    <w:rsid w:val="00D3070C"/>
    <w:rsid w:val="00D33490"/>
    <w:rsid w:val="00D77D0F"/>
    <w:rsid w:val="00D8311F"/>
    <w:rsid w:val="00D84440"/>
    <w:rsid w:val="00DA1CF0"/>
    <w:rsid w:val="00DC1E02"/>
    <w:rsid w:val="00DC24B4"/>
    <w:rsid w:val="00DC5FB0"/>
    <w:rsid w:val="00DF0BE8"/>
    <w:rsid w:val="00DF1691"/>
    <w:rsid w:val="00DF16DC"/>
    <w:rsid w:val="00E1171F"/>
    <w:rsid w:val="00E43176"/>
    <w:rsid w:val="00E45211"/>
    <w:rsid w:val="00E473C5"/>
    <w:rsid w:val="00E76299"/>
    <w:rsid w:val="00E91B16"/>
    <w:rsid w:val="00E92863"/>
    <w:rsid w:val="00EA6533"/>
    <w:rsid w:val="00EB4EA3"/>
    <w:rsid w:val="00EB6F39"/>
    <w:rsid w:val="00EB796D"/>
    <w:rsid w:val="00EC0202"/>
    <w:rsid w:val="00EE4E9F"/>
    <w:rsid w:val="00EE5CF2"/>
    <w:rsid w:val="00F058DC"/>
    <w:rsid w:val="00F10980"/>
    <w:rsid w:val="00F21910"/>
    <w:rsid w:val="00F24FC4"/>
    <w:rsid w:val="00F2676C"/>
    <w:rsid w:val="00F36C6E"/>
    <w:rsid w:val="00F43D01"/>
    <w:rsid w:val="00F76A09"/>
    <w:rsid w:val="00F77022"/>
    <w:rsid w:val="00F84366"/>
    <w:rsid w:val="00F85089"/>
    <w:rsid w:val="00F92C03"/>
    <w:rsid w:val="00F96A9A"/>
    <w:rsid w:val="00F974C5"/>
    <w:rsid w:val="00FA46D5"/>
    <w:rsid w:val="00FA6F46"/>
    <w:rsid w:val="00FD16D5"/>
    <w:rsid w:val="00FE5872"/>
    <w:rsid w:val="00FE72FB"/>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EB83C"/>
  <w15:chartTrackingRefBased/>
  <w15:docId w15:val="{ADFD45FA-924D-4447-BC2D-B813DF67F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668"/>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AF3939"/>
    <w:pPr>
      <w:keepNext/>
      <w:keepLines/>
      <w:spacing w:before="160"/>
    </w:pPr>
    <w:rPr>
      <w:b/>
      <w:bCs/>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951C43"/>
    <w:pPr>
      <w:spacing w:before="60" w:after="60"/>
    </w:pPr>
    <w:rPr>
      <w:sz w:val="20"/>
      <w:szCs w:val="20"/>
      <w:lang w:bidi="ar-SY"/>
    </w:rPr>
  </w:style>
  <w:style w:type="paragraph" w:styleId="FootnoteText">
    <w:name w:val="footnote text"/>
    <w:basedOn w:val="Normal"/>
    <w:link w:val="FootnoteTextChar"/>
    <w:autoRedefine/>
    <w:uiPriority w:val="99"/>
    <w:unhideWhenUsed/>
    <w:qFormat/>
    <w:rsid w:val="00A30B90"/>
    <w:pPr>
      <w:tabs>
        <w:tab w:val="clear" w:pos="794"/>
        <w:tab w:val="left" w:pos="340"/>
      </w:tabs>
      <w:spacing w:before="0" w:after="60" w:line="168" w:lineRule="auto"/>
      <w:textDirection w:val="tbRlV"/>
    </w:pPr>
    <w:rPr>
      <w:sz w:val="18"/>
      <w:szCs w:val="18"/>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rsid w:val="00A30B90"/>
    <w:rPr>
      <w:rFonts w:ascii="Dubai" w:hAnsi="Dubai" w:cs="Dubai"/>
      <w:sz w:val="18"/>
      <w:szCs w:val="18"/>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3D47FA"/>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951C43"/>
    <w:pPr>
      <w:spacing w:before="80" w:after="80"/>
    </w:pPr>
    <w:rPr>
      <w:sz w:val="20"/>
      <w:szCs w:val="20"/>
      <w:lang w:bidi="ar-SY"/>
    </w:rPr>
  </w:style>
  <w:style w:type="paragraph" w:customStyle="1" w:styleId="Headingb">
    <w:name w:val="Heading b"/>
    <w:basedOn w:val="Normal"/>
    <w:qFormat/>
    <w:rsid w:val="00F974C5"/>
    <w:pPr>
      <w:keepNext/>
      <w:spacing w:before="240"/>
      <w:ind w:left="1134" w:hanging="1134"/>
    </w:pPr>
    <w:rPr>
      <w:b/>
      <w:bCs/>
    </w:rPr>
  </w:style>
  <w:style w:type="character" w:styleId="PageNumber">
    <w:name w:val="page number"/>
    <w:basedOn w:val="DefaultParagraphFont"/>
    <w:rsid w:val="00C23B5E"/>
    <w:rPr>
      <w:rFonts w:asciiTheme="minorHAnsi" w:hAnsiTheme="minorHAnsi"/>
    </w:rPr>
  </w:style>
  <w:style w:type="character" w:styleId="UnresolvedMention">
    <w:name w:val="Unresolved Mention"/>
    <w:basedOn w:val="DefaultParagraphFont"/>
    <w:uiPriority w:val="99"/>
    <w:semiHidden/>
    <w:unhideWhenUsed/>
    <w:rsid w:val="00C23B5E"/>
    <w:rPr>
      <w:color w:val="605E5C"/>
      <w:shd w:val="clear" w:color="auto" w:fill="E1DFDD"/>
    </w:rPr>
  </w:style>
  <w:style w:type="paragraph" w:customStyle="1" w:styleId="Figure">
    <w:name w:val="Figure"/>
    <w:basedOn w:val="Footer"/>
    <w:qFormat/>
    <w:rsid w:val="00460797"/>
    <w:pPr>
      <w:bidi/>
      <w:spacing w:before="240"/>
      <w:jc w:val="center"/>
    </w:pPr>
    <w:rPr>
      <w:rFonts w:eastAsia="Calibri"/>
      <w:lang w:bidi="ar-EG"/>
    </w:rPr>
  </w:style>
  <w:style w:type="table" w:customStyle="1" w:styleId="GridTable4-Accent11">
    <w:name w:val="Grid Table 4 - Accent 11"/>
    <w:basedOn w:val="TableNormal"/>
    <w:uiPriority w:val="49"/>
    <w:rsid w:val="003D47FA"/>
    <w:pPr>
      <w:spacing w:after="0" w:line="240" w:lineRule="auto"/>
    </w:pPr>
    <w:rPr>
      <w:rFonts w:ascii="Calibri" w:eastAsia="Calibri" w:hAnsi="Calibri" w:cs="Arial"/>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CommentReference">
    <w:name w:val="annotation reference"/>
    <w:basedOn w:val="DefaultParagraphFont"/>
    <w:uiPriority w:val="99"/>
    <w:semiHidden/>
    <w:unhideWhenUsed/>
    <w:rsid w:val="00F10980"/>
    <w:rPr>
      <w:sz w:val="16"/>
      <w:szCs w:val="16"/>
    </w:rPr>
  </w:style>
  <w:style w:type="paragraph" w:styleId="CommentText">
    <w:name w:val="annotation text"/>
    <w:basedOn w:val="Normal"/>
    <w:link w:val="CommentTextChar"/>
    <w:uiPriority w:val="99"/>
    <w:unhideWhenUsed/>
    <w:rsid w:val="00F10980"/>
    <w:pPr>
      <w:spacing w:line="240" w:lineRule="auto"/>
    </w:pPr>
    <w:rPr>
      <w:sz w:val="20"/>
      <w:szCs w:val="20"/>
    </w:rPr>
  </w:style>
  <w:style w:type="character" w:customStyle="1" w:styleId="CommentTextChar">
    <w:name w:val="Comment Text Char"/>
    <w:basedOn w:val="DefaultParagraphFont"/>
    <w:link w:val="CommentText"/>
    <w:uiPriority w:val="99"/>
    <w:rsid w:val="00F10980"/>
    <w:rPr>
      <w:rFonts w:ascii="Dubai" w:hAnsi="Dubai" w:cs="Dubai"/>
      <w:sz w:val="20"/>
      <w:szCs w:val="20"/>
    </w:rPr>
  </w:style>
  <w:style w:type="paragraph" w:styleId="CommentSubject">
    <w:name w:val="annotation subject"/>
    <w:basedOn w:val="CommentText"/>
    <w:next w:val="CommentText"/>
    <w:link w:val="CommentSubjectChar"/>
    <w:uiPriority w:val="99"/>
    <w:semiHidden/>
    <w:unhideWhenUsed/>
    <w:rsid w:val="00F10980"/>
    <w:rPr>
      <w:b/>
      <w:bCs/>
    </w:rPr>
  </w:style>
  <w:style w:type="character" w:customStyle="1" w:styleId="CommentSubjectChar">
    <w:name w:val="Comment Subject Char"/>
    <w:basedOn w:val="CommentTextChar"/>
    <w:link w:val="CommentSubject"/>
    <w:uiPriority w:val="99"/>
    <w:semiHidden/>
    <w:rsid w:val="00F10980"/>
    <w:rPr>
      <w:rFonts w:ascii="Dubai" w:hAnsi="Dubai" w:cs="Duba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eader" Target="header2.xml"/><Relationship Id="rId26" Type="http://schemas.openxmlformats.org/officeDocument/2006/relationships/hyperlink" Target="https://www.itu.int/en/ITU-D/Innovation/Documents/Publications/D-INNO-MALTA-2025-PDF-E.pdf" TargetMode="External"/><Relationship Id="rId39" Type="http://schemas.openxmlformats.org/officeDocument/2006/relationships/hyperlink" Target="https://www.itu.int/itu-d/sites/partnerships/home/partnerships/" TargetMode="External"/><Relationship Id="rId21" Type="http://schemas.openxmlformats.org/officeDocument/2006/relationships/footer" Target="footer2.xml"/><Relationship Id="rId34" Type="http://schemas.openxmlformats.org/officeDocument/2006/relationships/hyperlink" Target="https://academy.itu.int/training-courses/full-catalogue/measuring-digital-development-ict-service-prices-data-collection" TargetMode="External"/><Relationship Id="rId42" Type="http://schemas.openxmlformats.org/officeDocument/2006/relationships/hyperlink" Target="https://www.itu.int/net4/ITU-D/CDS/sg/blkmeetings.asp?lg=1&amp;stg=&amp;sp=2026&amp;blk=29194" TargetMode="External"/><Relationship Id="rId47" Type="http://schemas.openxmlformats.org/officeDocument/2006/relationships/header" Target="header12.xml"/><Relationship Id="rId50" Type="http://schemas.openxmlformats.org/officeDocument/2006/relationships/header" Target="header13.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en/ITU-D/Conferences/TDAG/Pages/dashboards/2026/Operational-Plan-Reporting-Dashboard.aspx" TargetMode="External"/><Relationship Id="rId29" Type="http://schemas.openxmlformats.org/officeDocument/2006/relationships/header" Target="header8.xml"/><Relationship Id="rId11" Type="http://schemas.openxmlformats.org/officeDocument/2006/relationships/hyperlink" Target="https://www.itu.int/pub/D-TDC-WTDC-2025" TargetMode="External"/><Relationship Id="rId24" Type="http://schemas.openxmlformats.org/officeDocument/2006/relationships/footer" Target="footer3.xml"/><Relationship Id="rId32" Type="http://schemas.openxmlformats.org/officeDocument/2006/relationships/hyperlink" Target="https://app.gen5.digital/unified-framework/about" TargetMode="External"/><Relationship Id="rId37" Type="http://schemas.openxmlformats.org/officeDocument/2006/relationships/footer" Target="footer5.xml"/><Relationship Id="rId40" Type="http://schemas.openxmlformats.org/officeDocument/2006/relationships/hyperlink" Target="https://www.itu.int/itu-d/meetings/rdf/home/rdf-2026/africa/home/" TargetMode="External"/><Relationship Id="rId45" Type="http://schemas.openxmlformats.org/officeDocument/2006/relationships/header" Target="header11.xml"/><Relationship Id="rId53" Type="http://schemas.openxmlformats.org/officeDocument/2006/relationships/footer" Target="footer8.xml"/><Relationship Id="rId58" Type="http://schemas.openxmlformats.org/officeDocument/2006/relationships/customXml" Target="../customXml/item4.xml"/><Relationship Id="rId5"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u.int/md/D26-TDAG33-C-0002/en" TargetMode="External"/><Relationship Id="rId14" Type="http://schemas.openxmlformats.org/officeDocument/2006/relationships/image" Target="media/image4.png"/><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hyperlink" Target="https://www.itu.int/itu-d/meetings/gsr-26/" TargetMode="External"/><Relationship Id="rId35" Type="http://schemas.openxmlformats.org/officeDocument/2006/relationships/hyperlink" Target="https://academy.itu.int/training-courses/full-catalogue/measuring-digital-development-ict-service-prices-data-collection" TargetMode="External"/><Relationship Id="rId43" Type="http://schemas.openxmlformats.org/officeDocument/2006/relationships/hyperlink" Target="https://www.itu.int/net4/ITU-D/CDS/sg/blkmeetings.asp?lg=1&amp;stg=&amp;sp=2026&amp;blk=29195" TargetMode="External"/><Relationship Id="rId48" Type="http://schemas.openxmlformats.org/officeDocument/2006/relationships/hyperlink" Target="https://www.itu.int/itu-d/sites/digital-inclusion-accessibility-for-all/wp-content/uploads/sites/67/2026/02/d-phcb-ict_access-2025-pdf-e-2.pdf" TargetMode="External"/><Relationship Id="rId56" Type="http://schemas.openxmlformats.org/officeDocument/2006/relationships/customXml" Target="../customXml/item2.xml"/><Relationship Id="rId8" Type="http://schemas.openxmlformats.org/officeDocument/2006/relationships/image" Target="media/image1.jpeg"/><Relationship Id="rId51" Type="http://schemas.openxmlformats.org/officeDocument/2006/relationships/footer" Target="footer7.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header" Target="header6.xml"/><Relationship Id="rId33" Type="http://schemas.openxmlformats.org/officeDocument/2006/relationships/hyperlink" Target="https://www.itu.int/itu-d/sites/projectumc/2026/02/25/umc-event-unsc2026/" TargetMode="External"/><Relationship Id="rId38" Type="http://schemas.openxmlformats.org/officeDocument/2006/relationships/header" Target="header10.xml"/><Relationship Id="rId46" Type="http://schemas.openxmlformats.org/officeDocument/2006/relationships/footer" Target="footer6.xml"/><Relationship Id="rId20" Type="http://schemas.openxmlformats.org/officeDocument/2006/relationships/header" Target="header3.xml"/><Relationship Id="rId41" Type="http://schemas.openxmlformats.org/officeDocument/2006/relationships/hyperlink" Target="https://www.itu.int/itu-d/meetings/rdf/home/rdf-2026/europe/home/"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eader" Target="header5.xml"/><Relationship Id="rId28" Type="http://schemas.openxmlformats.org/officeDocument/2006/relationships/footer" Target="footer4.xml"/><Relationship Id="rId36" Type="http://schemas.openxmlformats.org/officeDocument/2006/relationships/header" Target="header9.xml"/><Relationship Id="rId49" Type="http://schemas.openxmlformats.org/officeDocument/2006/relationships/image" Target="media/image6.emf"/><Relationship Id="rId57" Type="http://schemas.openxmlformats.org/officeDocument/2006/relationships/customXml" Target="../customXml/item3.xml"/><Relationship Id="rId10" Type="http://schemas.openxmlformats.org/officeDocument/2006/relationships/hyperlink" Target="http://itu.int/go/wtdc25-final-report" TargetMode="External"/><Relationship Id="rId31" Type="http://schemas.openxmlformats.org/officeDocument/2006/relationships/hyperlink" Target="https://www.itu.int/en/ITU-D/Regulatory-Market/Pages/collaborative-regulation-country-reviews/default.aspx" TargetMode="External"/><Relationship Id="rId44" Type="http://schemas.openxmlformats.org/officeDocument/2006/relationships/hyperlink" Target="https://www.itu.int/en/ITU-D/Study-Groups/2026-2029/Pages/default.aspx" TargetMode="External"/><Relationship Id="rId52" Type="http://schemas.openxmlformats.org/officeDocument/2006/relationships/header" Target="header14.xml"/></Relationships>
</file>

<file path=word/_rels/footer1.xml.rels><?xml version="1.0" encoding="UTF-8" standalone="yes"?>
<Relationships xmlns="http://schemas.openxmlformats.org/package/2006/relationships"><Relationship Id="rId1" Type="http://schemas.openxmlformats.org/officeDocument/2006/relationships/hyperlink" Target="mailto:archana.gulati@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000%20ITU\00%20Template\Arabic%20Templates%202026\ITU-D%20(BDT)\PA_TDAG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21F7F6C5263B4B928A068E40912AB8" ma:contentTypeVersion="17" ma:contentTypeDescription="Create a new document." ma:contentTypeScope="" ma:versionID="08de21dd3d53535c2968f418991843b1">
  <xsd:schema xmlns:xsd="http://www.w3.org/2001/XMLSchema" xmlns:xs="http://www.w3.org/2001/XMLSchema" xmlns:p="http://schemas.microsoft.com/office/2006/metadata/properties" xmlns:ns2="d4ea696a-cca3-460b-a983-57ac2621983a" xmlns:ns3="29399490-13b9-4c73-b71e-403b715b75a7" targetNamespace="http://schemas.microsoft.com/office/2006/metadata/properties" ma:root="true" ma:fieldsID="61722b74c011d0d4baa2c88cba3894f1" ns2:_="" ns3:_="">
    <xsd:import namespace="d4ea696a-cca3-460b-a983-57ac2621983a"/>
    <xsd:import namespace="29399490-13b9-4c73-b71e-403b715b75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696a-cca3-460b-a983-57ac26219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399490-13b9-4c73-b71e-403b715b75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36094f-0688-4081-a569-0c74b76e7ddf}" ma:internalName="TaxCatchAll" ma:showField="CatchAllData" ma:web="29399490-13b9-4c73-b71e-403b715b7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4ea696a-cca3-460b-a983-57ac2621983a">
      <Terms xmlns="http://schemas.microsoft.com/office/infopath/2007/PartnerControls"/>
    </lcf76f155ced4ddcb4097134ff3c332f>
    <TaxCatchAll xmlns="29399490-13b9-4c73-b71e-403b715b75a7" xsi:nil="true"/>
  </documentManagement>
</p:properties>
</file>

<file path=customXml/itemProps1.xml><?xml version="1.0" encoding="utf-8"?>
<ds:datastoreItem xmlns:ds="http://schemas.openxmlformats.org/officeDocument/2006/customXml" ds:itemID="{D2A43E68-FEE1-4201-87D6-0DF5EF736C30}">
  <ds:schemaRefs>
    <ds:schemaRef ds:uri="http://schemas.openxmlformats.org/officeDocument/2006/bibliography"/>
  </ds:schemaRefs>
</ds:datastoreItem>
</file>

<file path=customXml/itemProps2.xml><?xml version="1.0" encoding="utf-8"?>
<ds:datastoreItem xmlns:ds="http://schemas.openxmlformats.org/officeDocument/2006/customXml" ds:itemID="{88E627BF-D33A-469E-83CC-0C112202C3F8}"/>
</file>

<file path=customXml/itemProps3.xml><?xml version="1.0" encoding="utf-8"?>
<ds:datastoreItem xmlns:ds="http://schemas.openxmlformats.org/officeDocument/2006/customXml" ds:itemID="{A6ED7C41-DAA6-4C23-92C2-B172F0337BC5}"/>
</file>

<file path=customXml/itemProps4.xml><?xml version="1.0" encoding="utf-8"?>
<ds:datastoreItem xmlns:ds="http://schemas.openxmlformats.org/officeDocument/2006/customXml" ds:itemID="{21656DA5-1D65-4377-ADE2-3582E622496D}"/>
</file>

<file path=docProps/app.xml><?xml version="1.0" encoding="utf-8"?>
<Properties xmlns="http://schemas.openxmlformats.org/officeDocument/2006/extended-properties" xmlns:vt="http://schemas.openxmlformats.org/officeDocument/2006/docPropsVTypes">
  <Template>PA_TDAG26.dotx</Template>
  <TotalTime>0</TotalTime>
  <Pages>29</Pages>
  <Words>10436</Words>
  <Characters>59490</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69787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Arabic_AK</dc:creator>
  <cp:keywords/>
  <dc:description/>
  <cp:lastModifiedBy>GE</cp:lastModifiedBy>
  <cp:revision>2</cp:revision>
  <dcterms:created xsi:type="dcterms:W3CDTF">2026-04-08T11:39:00Z</dcterms:created>
  <dcterms:modified xsi:type="dcterms:W3CDTF">2026-04-08T11:39:00Z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0x0101000421F7F6C5263B4B928A068E40912AB8</vt:lpwstr>
  </property>
</Properties>
</file>