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92"/>
        <w:tblW w:w="9781" w:type="dxa"/>
        <w:tblLayout w:type="fixed"/>
        <w:tblCellMar>
          <w:left w:w="107" w:type="dxa"/>
          <w:right w:w="107" w:type="dxa"/>
        </w:tblCellMar>
        <w:tblLook w:val="0000" w:firstRow="0" w:lastRow="0" w:firstColumn="0" w:lastColumn="0" w:noHBand="0" w:noVBand="0"/>
        <w:tblCaption w:val="Document metadata (Study Group, meeting, Question, source, title)"/>
        <w:tblDescription w:val="Document metadata (Study Group, meeting, document number, Question, source, title)"/>
      </w:tblPr>
      <w:tblGrid>
        <w:gridCol w:w="6237"/>
        <w:gridCol w:w="3544"/>
      </w:tblGrid>
      <w:tr w:rsidR="005C5A93" w14:paraId="3F0E9EC4" w14:textId="77777777" w:rsidTr="0858E236">
        <w:trPr>
          <w:cantSplit/>
          <w:trHeight w:val="1134"/>
        </w:trPr>
        <w:tc>
          <w:tcPr>
            <w:tcW w:w="6237" w:type="dxa"/>
          </w:tcPr>
          <w:p w14:paraId="1570562D" w14:textId="77777777" w:rsidR="005C5A93" w:rsidRDefault="005C5A93" w:rsidP="005C5A93">
            <w:pPr>
              <w:tabs>
                <w:tab w:val="clear" w:pos="1191"/>
                <w:tab w:val="clear" w:pos="1588"/>
                <w:tab w:val="clear" w:pos="1985"/>
              </w:tabs>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5F5F590A" w14:textId="0F7B14F6" w:rsidR="005C5A93" w:rsidRPr="00844A56" w:rsidRDefault="005C5A93" w:rsidP="005C5A93">
            <w:pPr>
              <w:tabs>
                <w:tab w:val="clear" w:pos="1191"/>
                <w:tab w:val="clear" w:pos="1588"/>
                <w:tab w:val="clear" w:pos="1985"/>
              </w:tabs>
              <w:spacing w:before="100" w:after="120"/>
              <w:ind w:left="34"/>
              <w:rPr>
                <w:rFonts w:ascii="Verdana" w:hAnsi="Verdana"/>
                <w:sz w:val="28"/>
                <w:szCs w:val="28"/>
              </w:rPr>
            </w:pPr>
            <w:r>
              <w:rPr>
                <w:b/>
                <w:bCs/>
                <w:sz w:val="26"/>
                <w:szCs w:val="26"/>
              </w:rPr>
              <w:t>3</w:t>
            </w:r>
            <w:r w:rsidR="0071569A">
              <w:rPr>
                <w:b/>
                <w:bCs/>
                <w:sz w:val="26"/>
                <w:szCs w:val="26"/>
              </w:rPr>
              <w:t>3rd</w:t>
            </w:r>
            <w:r>
              <w:rPr>
                <w:b/>
                <w:bCs/>
                <w:sz w:val="26"/>
                <w:szCs w:val="26"/>
              </w:rPr>
              <w:t xml:space="preserve"> Meeting, Geneva, Switzerland, </w:t>
            </w:r>
            <w:r w:rsidR="0071569A">
              <w:rPr>
                <w:b/>
                <w:bCs/>
                <w:sz w:val="26"/>
                <w:szCs w:val="26"/>
              </w:rPr>
              <w:t>7</w:t>
            </w:r>
            <w:r w:rsidRPr="00307769">
              <w:rPr>
                <w:b/>
                <w:bCs/>
                <w:sz w:val="26"/>
                <w:szCs w:val="26"/>
              </w:rPr>
              <w:t>-</w:t>
            </w:r>
            <w:r w:rsidR="0071569A">
              <w:rPr>
                <w:b/>
                <w:bCs/>
                <w:sz w:val="26"/>
                <w:szCs w:val="26"/>
              </w:rPr>
              <w:t>10</w:t>
            </w:r>
            <w:r w:rsidRPr="00307769">
              <w:rPr>
                <w:b/>
                <w:bCs/>
                <w:sz w:val="26"/>
                <w:szCs w:val="26"/>
              </w:rPr>
              <w:t xml:space="preserve"> </w:t>
            </w:r>
            <w:r w:rsidR="0071569A">
              <w:rPr>
                <w:b/>
                <w:bCs/>
                <w:sz w:val="26"/>
                <w:szCs w:val="26"/>
              </w:rPr>
              <w:t>April</w:t>
            </w:r>
            <w:r w:rsidRPr="00307769">
              <w:rPr>
                <w:b/>
                <w:bCs/>
                <w:sz w:val="26"/>
                <w:szCs w:val="26"/>
              </w:rPr>
              <w:t xml:space="preserve"> 202</w:t>
            </w:r>
            <w:r w:rsidR="003E653C">
              <w:rPr>
                <w:b/>
                <w:bCs/>
                <w:sz w:val="26"/>
                <w:szCs w:val="26"/>
              </w:rPr>
              <w:t>6</w:t>
            </w:r>
          </w:p>
        </w:tc>
        <w:tc>
          <w:tcPr>
            <w:tcW w:w="3544" w:type="dxa"/>
          </w:tcPr>
          <w:p w14:paraId="67E7B4C4" w14:textId="1428984F" w:rsidR="005C5A93" w:rsidRPr="00683C32" w:rsidRDefault="005C5A93" w:rsidP="005C5A93">
            <w:pPr>
              <w:spacing w:after="120"/>
              <w:ind w:right="142"/>
              <w:jc w:val="right"/>
            </w:pPr>
            <w:r>
              <w:rPr>
                <w:noProof/>
                <w:lang w:val="fr-FR" w:eastAsia="fr-FR"/>
              </w:rPr>
              <w:drawing>
                <wp:inline distT="0" distB="0" distL="0" distR="0" wp14:anchorId="7467CD56" wp14:editId="4D3D56C0">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683C32" w:rsidRPr="00997358" w14:paraId="3C13197B" w14:textId="77777777" w:rsidTr="0858E236">
        <w:trPr>
          <w:cantSplit/>
        </w:trPr>
        <w:tc>
          <w:tcPr>
            <w:tcW w:w="6237" w:type="dxa"/>
            <w:tcBorders>
              <w:top w:val="single" w:sz="12" w:space="0" w:color="auto"/>
            </w:tcBorders>
          </w:tcPr>
          <w:p w14:paraId="2EED9DB2" w14:textId="77777777" w:rsidR="00683C32" w:rsidRPr="00997358" w:rsidRDefault="00683C32" w:rsidP="00107E85">
            <w:pPr>
              <w:spacing w:before="0"/>
              <w:rPr>
                <w:rFonts w:cs="Arial"/>
                <w:b/>
                <w:bCs/>
                <w:sz w:val="20"/>
              </w:rPr>
            </w:pPr>
          </w:p>
        </w:tc>
        <w:tc>
          <w:tcPr>
            <w:tcW w:w="3544" w:type="dxa"/>
            <w:tcBorders>
              <w:top w:val="single" w:sz="12" w:space="0" w:color="auto"/>
            </w:tcBorders>
          </w:tcPr>
          <w:p w14:paraId="6CC77CFE" w14:textId="7FDFD30B" w:rsidR="00683C32" w:rsidRPr="002C3418" w:rsidRDefault="00683C32" w:rsidP="00107E85">
            <w:pPr>
              <w:spacing w:before="0"/>
              <w:rPr>
                <w:b/>
                <w:bCs/>
                <w:szCs w:val="24"/>
              </w:rPr>
            </w:pPr>
          </w:p>
        </w:tc>
      </w:tr>
      <w:tr w:rsidR="00683C32" w:rsidRPr="00002716" w14:paraId="0BB3FBC4" w14:textId="77777777" w:rsidTr="0858E236">
        <w:trPr>
          <w:cantSplit/>
        </w:trPr>
        <w:tc>
          <w:tcPr>
            <w:tcW w:w="6237" w:type="dxa"/>
          </w:tcPr>
          <w:p w14:paraId="43C54B3D" w14:textId="77777777" w:rsidR="00683C32" w:rsidRPr="007F1CC7" w:rsidRDefault="00683C32" w:rsidP="00400CCF">
            <w:pPr>
              <w:pStyle w:val="Committee"/>
              <w:spacing w:before="0"/>
              <w:rPr>
                <w:b w:val="0"/>
                <w:szCs w:val="24"/>
              </w:rPr>
            </w:pPr>
          </w:p>
        </w:tc>
        <w:tc>
          <w:tcPr>
            <w:tcW w:w="3544" w:type="dxa"/>
          </w:tcPr>
          <w:p w14:paraId="02E44EE9" w14:textId="2B44353E" w:rsidR="00683C32" w:rsidRPr="002C3418" w:rsidRDefault="0096201B" w:rsidP="00B648C7">
            <w:pPr>
              <w:spacing w:before="0"/>
              <w:rPr>
                <w:bCs/>
                <w:szCs w:val="24"/>
                <w:lang w:val="en-US"/>
              </w:rPr>
            </w:pPr>
            <w:r w:rsidRPr="002C3418">
              <w:rPr>
                <w:b/>
                <w:bCs/>
                <w:szCs w:val="24"/>
                <w:lang w:val="en-US"/>
              </w:rPr>
              <w:t xml:space="preserve">Document </w:t>
            </w:r>
            <w:bookmarkStart w:id="0" w:name="DocRef1"/>
            <w:bookmarkEnd w:id="0"/>
            <w:r w:rsidRPr="002C3418">
              <w:rPr>
                <w:b/>
                <w:bCs/>
                <w:szCs w:val="24"/>
                <w:lang w:val="en-US"/>
              </w:rPr>
              <w:t>TDAG</w:t>
            </w:r>
            <w:r w:rsidR="003242AB" w:rsidRPr="002C3418">
              <w:rPr>
                <w:b/>
                <w:bCs/>
                <w:szCs w:val="24"/>
                <w:lang w:val="en-US"/>
              </w:rPr>
              <w:t>-</w:t>
            </w:r>
            <w:r w:rsidR="00B648C7" w:rsidRPr="002C3418">
              <w:rPr>
                <w:b/>
                <w:bCs/>
                <w:szCs w:val="24"/>
                <w:lang w:val="en-US"/>
              </w:rPr>
              <w:t>2</w:t>
            </w:r>
            <w:bookmarkStart w:id="1" w:name="DocNo1"/>
            <w:bookmarkEnd w:id="1"/>
            <w:r w:rsidR="003E653C">
              <w:rPr>
                <w:b/>
                <w:bCs/>
                <w:szCs w:val="24"/>
                <w:lang w:val="en-US"/>
              </w:rPr>
              <w:t>6</w:t>
            </w:r>
            <w:r w:rsidR="0009076F" w:rsidRPr="002C3418">
              <w:rPr>
                <w:b/>
                <w:bCs/>
                <w:szCs w:val="24"/>
                <w:lang w:val="en-US"/>
              </w:rPr>
              <w:t>/</w:t>
            </w:r>
            <w:r w:rsidR="00E80210" w:rsidRPr="002C3418">
              <w:rPr>
                <w:b/>
                <w:bCs/>
                <w:szCs w:val="24"/>
                <w:lang w:val="en-US"/>
              </w:rPr>
              <w:t>2(Add</w:t>
            </w:r>
            <w:r w:rsidR="002C727E" w:rsidRPr="002C3418">
              <w:rPr>
                <w:b/>
                <w:bCs/>
                <w:szCs w:val="24"/>
                <w:lang w:val="en-US"/>
              </w:rPr>
              <w:t>.</w:t>
            </w:r>
            <w:r w:rsidR="00E80210" w:rsidRPr="002C3418">
              <w:rPr>
                <w:b/>
                <w:bCs/>
                <w:szCs w:val="24"/>
                <w:lang w:val="en-US"/>
              </w:rPr>
              <w:t>2)</w:t>
            </w:r>
            <w:r w:rsidRPr="002C3418">
              <w:rPr>
                <w:b/>
                <w:bCs/>
                <w:szCs w:val="24"/>
                <w:lang w:val="en-US"/>
              </w:rPr>
              <w:t>-E</w:t>
            </w:r>
          </w:p>
        </w:tc>
      </w:tr>
      <w:tr w:rsidR="00683C32" w14:paraId="24D04936" w14:textId="77777777" w:rsidTr="0858E236">
        <w:trPr>
          <w:cantSplit/>
        </w:trPr>
        <w:tc>
          <w:tcPr>
            <w:tcW w:w="6237" w:type="dxa"/>
          </w:tcPr>
          <w:p w14:paraId="12CE4DBF" w14:textId="77777777" w:rsidR="00683C32" w:rsidRPr="007F1CC7" w:rsidRDefault="00683C32" w:rsidP="00400CCF">
            <w:pPr>
              <w:spacing w:before="0"/>
              <w:rPr>
                <w:b/>
                <w:bCs/>
                <w:smallCaps/>
                <w:szCs w:val="24"/>
                <w:lang w:val="en-US"/>
              </w:rPr>
            </w:pPr>
          </w:p>
        </w:tc>
        <w:tc>
          <w:tcPr>
            <w:tcW w:w="3544" w:type="dxa"/>
          </w:tcPr>
          <w:p w14:paraId="0F89640F" w14:textId="6C70A410" w:rsidR="00683C32" w:rsidRPr="002C3418" w:rsidRDefault="003C5FBD" w:rsidP="00B648C7">
            <w:pPr>
              <w:spacing w:before="0"/>
              <w:rPr>
                <w:b/>
                <w:szCs w:val="24"/>
                <w:highlight w:val="yellow"/>
              </w:rPr>
            </w:pPr>
            <w:bookmarkStart w:id="2" w:name="CreationDate"/>
            <w:bookmarkEnd w:id="2"/>
            <w:r>
              <w:rPr>
                <w:b/>
                <w:bCs/>
                <w:szCs w:val="24"/>
              </w:rPr>
              <w:t>3</w:t>
            </w:r>
            <w:r w:rsidR="00B705D5">
              <w:rPr>
                <w:b/>
                <w:bCs/>
                <w:szCs w:val="24"/>
              </w:rPr>
              <w:t xml:space="preserve"> </w:t>
            </w:r>
            <w:r>
              <w:rPr>
                <w:b/>
                <w:bCs/>
                <w:szCs w:val="24"/>
              </w:rPr>
              <w:t>Ma</w:t>
            </w:r>
            <w:r w:rsidR="00E13574">
              <w:rPr>
                <w:b/>
                <w:bCs/>
                <w:szCs w:val="24"/>
              </w:rPr>
              <w:t>rch</w:t>
            </w:r>
            <w:r w:rsidR="00CE0422" w:rsidRPr="002C3418">
              <w:rPr>
                <w:b/>
                <w:bCs/>
                <w:szCs w:val="24"/>
              </w:rPr>
              <w:t xml:space="preserve"> 20</w:t>
            </w:r>
            <w:r w:rsidR="00B648C7" w:rsidRPr="002C3418">
              <w:rPr>
                <w:b/>
                <w:bCs/>
                <w:szCs w:val="24"/>
              </w:rPr>
              <w:t>2</w:t>
            </w:r>
            <w:r w:rsidR="003E653C">
              <w:rPr>
                <w:b/>
                <w:bCs/>
                <w:szCs w:val="24"/>
              </w:rPr>
              <w:t>6</w:t>
            </w:r>
          </w:p>
        </w:tc>
      </w:tr>
      <w:tr w:rsidR="00683C32" w14:paraId="7B96545F" w14:textId="77777777" w:rsidTr="0858E236">
        <w:trPr>
          <w:cantSplit/>
        </w:trPr>
        <w:tc>
          <w:tcPr>
            <w:tcW w:w="6237" w:type="dxa"/>
          </w:tcPr>
          <w:p w14:paraId="65956FD3" w14:textId="77777777" w:rsidR="00683C32" w:rsidRPr="007F1CC7" w:rsidRDefault="00683C32" w:rsidP="00400CCF">
            <w:pPr>
              <w:spacing w:before="0"/>
              <w:rPr>
                <w:b/>
                <w:bCs/>
                <w:smallCaps/>
                <w:szCs w:val="24"/>
              </w:rPr>
            </w:pPr>
          </w:p>
        </w:tc>
        <w:tc>
          <w:tcPr>
            <w:tcW w:w="3544" w:type="dxa"/>
          </w:tcPr>
          <w:p w14:paraId="30EFD39F" w14:textId="0BF1F51F" w:rsidR="00514D2F" w:rsidRPr="002C3418" w:rsidRDefault="0096201B" w:rsidP="00400CCF">
            <w:pPr>
              <w:spacing w:before="0"/>
              <w:rPr>
                <w:szCs w:val="24"/>
              </w:rPr>
            </w:pPr>
            <w:r w:rsidRPr="002C3418">
              <w:rPr>
                <w:b/>
                <w:szCs w:val="24"/>
              </w:rPr>
              <w:t>Original:</w:t>
            </w:r>
            <w:bookmarkStart w:id="3" w:name="Original"/>
            <w:bookmarkEnd w:id="3"/>
            <w:r w:rsidR="00CE0422" w:rsidRPr="002C3418">
              <w:rPr>
                <w:b/>
                <w:szCs w:val="24"/>
              </w:rPr>
              <w:t xml:space="preserve"> </w:t>
            </w:r>
            <w:r w:rsidR="00AD4677" w:rsidRPr="002C3418">
              <w:rPr>
                <w:b/>
                <w:szCs w:val="24"/>
              </w:rPr>
              <w:t>English</w:t>
            </w:r>
          </w:p>
        </w:tc>
      </w:tr>
      <w:tr w:rsidR="00A13162" w14:paraId="31656E31" w14:textId="77777777" w:rsidTr="0858E236">
        <w:trPr>
          <w:cantSplit/>
          <w:trHeight w:val="852"/>
        </w:trPr>
        <w:tc>
          <w:tcPr>
            <w:tcW w:w="9781" w:type="dxa"/>
            <w:gridSpan w:val="2"/>
          </w:tcPr>
          <w:p w14:paraId="512FCA01" w14:textId="655C0993" w:rsidR="00A13162" w:rsidRPr="0030353C" w:rsidRDefault="005D3E15" w:rsidP="0030353C">
            <w:pPr>
              <w:pStyle w:val="Source"/>
            </w:pPr>
            <w:bookmarkStart w:id="4" w:name="Source"/>
            <w:bookmarkEnd w:id="4"/>
            <w:r w:rsidRPr="005D3E15">
              <w:t>Director, Telecommunication Development Bureau</w:t>
            </w:r>
          </w:p>
        </w:tc>
      </w:tr>
      <w:tr w:rsidR="00AC6F14" w:rsidRPr="002E6963" w14:paraId="2CBD3A36" w14:textId="77777777" w:rsidTr="0858E236">
        <w:trPr>
          <w:cantSplit/>
        </w:trPr>
        <w:tc>
          <w:tcPr>
            <w:tcW w:w="9781" w:type="dxa"/>
            <w:gridSpan w:val="2"/>
          </w:tcPr>
          <w:p w14:paraId="1B4121DF" w14:textId="26455176" w:rsidR="00AC6F14" w:rsidRPr="0030353C" w:rsidRDefault="005D3E15" w:rsidP="0030353C">
            <w:pPr>
              <w:pStyle w:val="Title1"/>
            </w:pPr>
            <w:bookmarkStart w:id="5" w:name="Title"/>
            <w:bookmarkEnd w:id="5"/>
            <w:r w:rsidRPr="005D3E15">
              <w:t>I</w:t>
            </w:r>
            <w:r w:rsidR="00F74025">
              <w:t xml:space="preserve">mpact framework for the implementation of the </w:t>
            </w:r>
            <w:r w:rsidR="003E653C">
              <w:t>Baku</w:t>
            </w:r>
            <w:r w:rsidR="00F74025">
              <w:t xml:space="preserve"> Action Plan</w:t>
            </w:r>
            <w:r w:rsidRPr="005D3E15">
              <w:t xml:space="preserve"> (</w:t>
            </w:r>
            <w:r w:rsidR="003E653C">
              <w:t>B</w:t>
            </w:r>
            <w:r w:rsidRPr="005D3E15">
              <w:t>AP)</w:t>
            </w:r>
          </w:p>
        </w:tc>
      </w:tr>
      <w:tr w:rsidR="00A721F4" w:rsidRPr="002E6963" w14:paraId="23A30231" w14:textId="77777777" w:rsidTr="0858E236">
        <w:trPr>
          <w:cantSplit/>
        </w:trPr>
        <w:tc>
          <w:tcPr>
            <w:tcW w:w="9781" w:type="dxa"/>
            <w:gridSpan w:val="2"/>
            <w:tcBorders>
              <w:bottom w:val="single" w:sz="4" w:space="0" w:color="auto"/>
            </w:tcBorders>
          </w:tcPr>
          <w:p w14:paraId="726EE70E" w14:textId="77777777" w:rsidR="00A721F4" w:rsidRPr="00A721F4" w:rsidRDefault="00A721F4" w:rsidP="0030353C"/>
        </w:tc>
      </w:tr>
      <w:tr w:rsidR="00A721F4" w:rsidRPr="005D3E15" w14:paraId="590033C8" w14:textId="77777777" w:rsidTr="0858E236">
        <w:trPr>
          <w:cantSplit/>
        </w:trPr>
        <w:tc>
          <w:tcPr>
            <w:tcW w:w="9781" w:type="dxa"/>
            <w:gridSpan w:val="2"/>
            <w:tcBorders>
              <w:top w:val="single" w:sz="4" w:space="0" w:color="auto"/>
              <w:left w:val="single" w:sz="4" w:space="0" w:color="auto"/>
              <w:bottom w:val="single" w:sz="4" w:space="0" w:color="auto"/>
              <w:right w:val="single" w:sz="4" w:space="0" w:color="auto"/>
            </w:tcBorders>
          </w:tcPr>
          <w:p w14:paraId="3F97E040" w14:textId="77777777" w:rsidR="00A721F4" w:rsidRPr="00D9621A" w:rsidRDefault="00A721F4" w:rsidP="001D2782">
            <w:pPr>
              <w:spacing w:after="120"/>
              <w:jc w:val="left"/>
              <w:rPr>
                <w:b/>
                <w:bCs/>
                <w:szCs w:val="24"/>
              </w:rPr>
            </w:pPr>
            <w:r w:rsidRPr="00D9621A">
              <w:rPr>
                <w:b/>
                <w:bCs/>
                <w:szCs w:val="24"/>
              </w:rPr>
              <w:t>Summary:</w:t>
            </w:r>
          </w:p>
          <w:p w14:paraId="609315AB" w14:textId="590C6670" w:rsidR="008D78D2" w:rsidRDefault="001C3F76" w:rsidP="008D78D2">
            <w:pPr>
              <w:tabs>
                <w:tab w:val="clear" w:pos="794"/>
                <w:tab w:val="clear" w:pos="1191"/>
                <w:tab w:val="clear" w:pos="1588"/>
                <w:tab w:val="clear" w:pos="1985"/>
              </w:tabs>
              <w:overflowPunct/>
              <w:autoSpaceDE/>
              <w:autoSpaceDN/>
              <w:adjustRightInd/>
              <w:spacing w:after="120"/>
              <w:jc w:val="left"/>
              <w:textAlignment w:val="auto"/>
              <w:rPr>
                <w:rFonts w:eastAsia="Calibri"/>
              </w:rPr>
            </w:pPr>
            <w:r>
              <w:t xml:space="preserve">The document puts forward an </w:t>
            </w:r>
            <w:r w:rsidR="00DE5961">
              <w:t>i</w:t>
            </w:r>
            <w:r>
              <w:t xml:space="preserve">mpact framework for the implementation of the </w:t>
            </w:r>
            <w:r w:rsidR="00F65B8F">
              <w:t>Baku</w:t>
            </w:r>
            <w:r>
              <w:t xml:space="preserve"> Action Plan</w:t>
            </w:r>
            <w:r w:rsidR="00822D22">
              <w:t xml:space="preserve"> (BAP)</w:t>
            </w:r>
            <w:r>
              <w:t xml:space="preserve">, </w:t>
            </w:r>
            <w:r w:rsidR="00E13574">
              <w:t xml:space="preserve">it </w:t>
            </w:r>
            <w:r>
              <w:t>includ</w:t>
            </w:r>
            <w:r w:rsidR="00E13574">
              <w:t>es</w:t>
            </w:r>
            <w:r>
              <w:t xml:space="preserve"> the ITU-D Priorities and their expected outcomes, </w:t>
            </w:r>
            <w:r w:rsidR="00317A03">
              <w:t xml:space="preserve">the Enabler, </w:t>
            </w:r>
            <w:r>
              <w:t xml:space="preserve">the products and services to be delivered and a set of </w:t>
            </w:r>
            <w:r w:rsidR="00317A03">
              <w:t>outcomes</w:t>
            </w:r>
            <w:r>
              <w:t xml:space="preserve"> </w:t>
            </w:r>
            <w:r w:rsidR="00F0757D">
              <w:t xml:space="preserve">and output </w:t>
            </w:r>
            <w:r w:rsidR="00317A03">
              <w:t>i</w:t>
            </w:r>
            <w:r>
              <w:t>ndicators.</w:t>
            </w:r>
            <w:r w:rsidR="00871F77">
              <w:t xml:space="preserve"> </w:t>
            </w:r>
            <w:r w:rsidR="00483BC9">
              <w:t xml:space="preserve">It </w:t>
            </w:r>
            <w:r w:rsidR="00E13574">
              <w:t xml:space="preserve">also </w:t>
            </w:r>
            <w:r w:rsidR="00483BC9">
              <w:t>presents the ITU-D Operational Plan for 2026</w:t>
            </w:r>
            <w:r w:rsidR="00A92FAF">
              <w:t xml:space="preserve"> (OP-26)</w:t>
            </w:r>
            <w:r w:rsidR="00483BC9">
              <w:t xml:space="preserve"> and the allocation of funds under each ITU-D Priority and Enabler. </w:t>
            </w:r>
          </w:p>
          <w:p w14:paraId="76A1C541" w14:textId="77777777" w:rsidR="00A721F4" w:rsidRPr="00013FB3" w:rsidRDefault="00A721F4" w:rsidP="001D2782">
            <w:pPr>
              <w:spacing w:after="120"/>
              <w:jc w:val="left"/>
              <w:rPr>
                <w:b/>
                <w:bCs/>
                <w:szCs w:val="24"/>
              </w:rPr>
            </w:pPr>
            <w:r w:rsidRPr="00013FB3">
              <w:rPr>
                <w:b/>
                <w:bCs/>
              </w:rPr>
              <w:t>Action required:</w:t>
            </w:r>
          </w:p>
          <w:p w14:paraId="60B82CAA" w14:textId="0F670D7E" w:rsidR="005D3E15" w:rsidRDefault="005D3E15" w:rsidP="00680357">
            <w:pPr>
              <w:spacing w:after="120"/>
              <w:jc w:val="left"/>
            </w:pPr>
            <w:r w:rsidRPr="00013FB3">
              <w:t>TDAG is invited t</w:t>
            </w:r>
            <w:r w:rsidR="00E009C2">
              <w:t>o e</w:t>
            </w:r>
            <w:r w:rsidRPr="00013FB3">
              <w:t>xamine this document and provide guidance as deemed appropriate.</w:t>
            </w:r>
          </w:p>
          <w:p w14:paraId="66D08159" w14:textId="77777777" w:rsidR="00C761BC" w:rsidRPr="00050188" w:rsidRDefault="00C761BC" w:rsidP="00C761BC">
            <w:pPr>
              <w:rPr>
                <w:b/>
                <w:szCs w:val="24"/>
                <w:lang w:val="nl-NL"/>
              </w:rPr>
            </w:pPr>
            <w:r w:rsidRPr="00050188">
              <w:rPr>
                <w:b/>
                <w:szCs w:val="24"/>
                <w:lang w:val="nl-NL"/>
              </w:rPr>
              <w:t>References:</w:t>
            </w:r>
          </w:p>
          <w:p w14:paraId="0DFC8833" w14:textId="228B50D8" w:rsidR="00AB3669" w:rsidRDefault="00AB3669" w:rsidP="00AB3669">
            <w:pPr>
              <w:spacing w:after="120"/>
              <w:rPr>
                <w:szCs w:val="24"/>
                <w:lang w:val="fr-FR"/>
              </w:rPr>
            </w:pPr>
            <w:hyperlink r:id="rId12" w:history="1">
              <w:r w:rsidRPr="00C761BC">
                <w:rPr>
                  <w:rStyle w:val="Hyperlink"/>
                  <w:szCs w:val="24"/>
                  <w:lang w:val="fr-FR"/>
                </w:rPr>
                <w:t>TDAG-26, Document 2</w:t>
              </w:r>
            </w:hyperlink>
          </w:p>
          <w:p w14:paraId="1ECDD20E" w14:textId="4BC2B878" w:rsidR="00A721F4" w:rsidRPr="005D3E15" w:rsidRDefault="00AB3669" w:rsidP="00AB3669">
            <w:pPr>
              <w:spacing w:after="120"/>
              <w:jc w:val="left"/>
              <w:rPr>
                <w:lang w:val="fr-FR"/>
              </w:rPr>
            </w:pPr>
            <w:hyperlink r:id="rId13" w:history="1">
              <w:r w:rsidRPr="00E95ADF">
                <w:rPr>
                  <w:rStyle w:val="Hyperlink"/>
                  <w:rFonts w:ascii="Calibri" w:hAnsi="Calibri" w:cs="Calibri"/>
                  <w:szCs w:val="24"/>
                  <w:lang w:val="nl-NL"/>
                </w:rPr>
                <w:t>WTDC-2</w:t>
              </w:r>
              <w:r w:rsidR="004E2B4B">
                <w:rPr>
                  <w:rStyle w:val="Hyperlink"/>
                  <w:rFonts w:ascii="Calibri" w:hAnsi="Calibri" w:cs="Calibri"/>
                  <w:szCs w:val="24"/>
                  <w:lang w:val="nl-NL"/>
                </w:rPr>
                <w:t>5</w:t>
              </w:r>
              <w:r w:rsidRPr="00E95ADF">
                <w:rPr>
                  <w:rStyle w:val="Hyperlink"/>
                  <w:rFonts w:ascii="Calibri" w:hAnsi="Calibri" w:cs="Calibri"/>
                  <w:szCs w:val="24"/>
                  <w:lang w:val="nl-NL"/>
                </w:rPr>
                <w:t xml:space="preserve"> Baku Action Plan</w:t>
              </w:r>
            </w:hyperlink>
          </w:p>
        </w:tc>
      </w:tr>
    </w:tbl>
    <w:p w14:paraId="77CF718B" w14:textId="77777777" w:rsidR="00AC6F14" w:rsidRPr="005D3E15" w:rsidRDefault="00AC6F14" w:rsidP="00EA0C51">
      <w:pPr>
        <w:spacing w:after="120"/>
        <w:rPr>
          <w:lang w:val="fr-FR"/>
        </w:rPr>
      </w:pPr>
    </w:p>
    <w:p w14:paraId="5B29B2A3" w14:textId="77777777" w:rsidR="00923CF1" w:rsidRPr="005D3E15" w:rsidRDefault="00923CF1">
      <w:pPr>
        <w:tabs>
          <w:tab w:val="clear" w:pos="794"/>
          <w:tab w:val="clear" w:pos="1191"/>
          <w:tab w:val="clear" w:pos="1588"/>
          <w:tab w:val="clear" w:pos="1985"/>
        </w:tabs>
        <w:overflowPunct/>
        <w:autoSpaceDE/>
        <w:autoSpaceDN/>
        <w:adjustRightInd/>
        <w:spacing w:before="0"/>
        <w:textAlignment w:val="auto"/>
        <w:rPr>
          <w:lang w:val="fr-FR"/>
        </w:rPr>
      </w:pPr>
      <w:r w:rsidRPr="005D3E15">
        <w:rPr>
          <w:lang w:val="fr-FR"/>
        </w:rPr>
        <w:br w:type="page"/>
      </w:r>
    </w:p>
    <w:p w14:paraId="7FC499EF" w14:textId="6A933496" w:rsidR="00E80210" w:rsidRPr="001D2782" w:rsidRDefault="00E80210" w:rsidP="00DD188F">
      <w:pPr>
        <w:pStyle w:val="Heading2"/>
        <w:numPr>
          <w:ilvl w:val="0"/>
          <w:numId w:val="13"/>
        </w:numPr>
        <w:tabs>
          <w:tab w:val="clear" w:pos="794"/>
          <w:tab w:val="left" w:pos="426"/>
        </w:tabs>
        <w:spacing w:before="120" w:after="120"/>
        <w:jc w:val="left"/>
        <w:rPr>
          <w:rFonts w:eastAsia="Calibri"/>
          <w:szCs w:val="24"/>
        </w:rPr>
      </w:pPr>
      <w:r w:rsidRPr="001D2782">
        <w:rPr>
          <w:rFonts w:eastAsia="Calibri"/>
          <w:szCs w:val="24"/>
        </w:rPr>
        <w:lastRenderedPageBreak/>
        <w:t xml:space="preserve">New approach to developing the ITU-D Operational Plan and </w:t>
      </w:r>
      <w:r w:rsidR="00D0681D">
        <w:rPr>
          <w:rFonts w:eastAsia="Calibri"/>
          <w:szCs w:val="24"/>
        </w:rPr>
        <w:t>BAP</w:t>
      </w:r>
      <w:r w:rsidRPr="001D2782">
        <w:rPr>
          <w:rFonts w:eastAsia="Calibri"/>
          <w:szCs w:val="24"/>
        </w:rPr>
        <w:t xml:space="preserve"> implementation</w:t>
      </w:r>
    </w:p>
    <w:p w14:paraId="3452728A" w14:textId="3766D11F" w:rsidR="00E80210" w:rsidRPr="001D2782" w:rsidRDefault="00E80210" w:rsidP="00523867">
      <w:pPr>
        <w:pStyle w:val="Heading3"/>
        <w:tabs>
          <w:tab w:val="left" w:pos="426"/>
        </w:tabs>
        <w:spacing w:before="120" w:after="120"/>
        <w:jc w:val="left"/>
        <w:rPr>
          <w:rFonts w:eastAsia="Calibri"/>
          <w:szCs w:val="24"/>
          <w:lang w:val="en-US"/>
        </w:rPr>
      </w:pPr>
      <w:r w:rsidRPr="001D2782">
        <w:rPr>
          <w:rFonts w:eastAsia="Calibri"/>
          <w:szCs w:val="24"/>
          <w:lang w:val="en-US"/>
        </w:rPr>
        <w:t>1.1</w:t>
      </w:r>
      <w:r w:rsidR="001D2782">
        <w:rPr>
          <w:rFonts w:eastAsia="Calibri"/>
          <w:szCs w:val="24"/>
          <w:lang w:val="en-US"/>
        </w:rPr>
        <w:tab/>
      </w:r>
      <w:r w:rsidR="00D0681D">
        <w:rPr>
          <w:rFonts w:eastAsia="Calibri"/>
          <w:szCs w:val="24"/>
          <w:lang w:val="en-US"/>
        </w:rPr>
        <w:t>BAP</w:t>
      </w:r>
      <w:r w:rsidRPr="001D2782">
        <w:rPr>
          <w:rFonts w:eastAsia="Calibri"/>
          <w:szCs w:val="24"/>
          <w:lang w:val="en-US"/>
        </w:rPr>
        <w:t xml:space="preserve"> implementation vision and strategy 202</w:t>
      </w:r>
      <w:r w:rsidR="00F36800">
        <w:rPr>
          <w:rFonts w:eastAsia="Calibri"/>
          <w:szCs w:val="24"/>
          <w:lang w:val="en-US"/>
        </w:rPr>
        <w:t>6</w:t>
      </w:r>
      <w:r w:rsidRPr="001D2782">
        <w:rPr>
          <w:rFonts w:eastAsia="Calibri"/>
          <w:szCs w:val="24"/>
          <w:lang w:val="en-US"/>
        </w:rPr>
        <w:t>-202</w:t>
      </w:r>
      <w:r w:rsidR="00F36800">
        <w:rPr>
          <w:rFonts w:eastAsia="Calibri"/>
          <w:szCs w:val="24"/>
          <w:lang w:val="en-US"/>
        </w:rPr>
        <w:t>9</w:t>
      </w:r>
    </w:p>
    <w:p w14:paraId="211F77F8" w14:textId="64D268F1" w:rsidR="00021341" w:rsidRPr="001D2782" w:rsidRDefault="00021341"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szCs w:val="24"/>
          <w:lang w:val="en-US"/>
        </w:rPr>
      </w:pPr>
      <w:r w:rsidRPr="001D2782">
        <w:rPr>
          <w:rFonts w:ascii="Calibri" w:eastAsia="Calibri" w:hAnsi="Calibri"/>
          <w:szCs w:val="24"/>
          <w:lang w:val="en-US"/>
        </w:rPr>
        <w:t xml:space="preserve">The World Telecommunication Development Conference held in </w:t>
      </w:r>
      <w:r w:rsidR="00D0681D">
        <w:rPr>
          <w:rFonts w:ascii="Calibri" w:eastAsia="Calibri" w:hAnsi="Calibri"/>
          <w:szCs w:val="24"/>
          <w:lang w:val="en-US"/>
        </w:rPr>
        <w:t>Baku</w:t>
      </w:r>
      <w:r w:rsidRPr="001D2782">
        <w:rPr>
          <w:rFonts w:ascii="Calibri" w:eastAsia="Calibri" w:hAnsi="Calibri"/>
          <w:szCs w:val="24"/>
          <w:lang w:val="en-US"/>
        </w:rPr>
        <w:t xml:space="preserve">, </w:t>
      </w:r>
      <w:r w:rsidR="00D0681D">
        <w:rPr>
          <w:rFonts w:ascii="Calibri" w:eastAsia="Calibri" w:hAnsi="Calibri"/>
          <w:szCs w:val="24"/>
          <w:lang w:val="en-US"/>
        </w:rPr>
        <w:t>Azerbaijan</w:t>
      </w:r>
      <w:r w:rsidRPr="001D2782">
        <w:rPr>
          <w:rFonts w:ascii="Calibri" w:eastAsia="Calibri" w:hAnsi="Calibri"/>
          <w:szCs w:val="24"/>
          <w:lang w:val="en-US"/>
        </w:rPr>
        <w:t xml:space="preserve"> in 202</w:t>
      </w:r>
      <w:r w:rsidR="00D0681D">
        <w:rPr>
          <w:rFonts w:ascii="Calibri" w:eastAsia="Calibri" w:hAnsi="Calibri"/>
          <w:szCs w:val="24"/>
          <w:lang w:val="en-US"/>
        </w:rPr>
        <w:t>5</w:t>
      </w:r>
      <w:r w:rsidRPr="001D2782">
        <w:rPr>
          <w:rFonts w:ascii="Calibri" w:eastAsia="Calibri" w:hAnsi="Calibri"/>
          <w:szCs w:val="24"/>
          <w:lang w:val="en-US"/>
        </w:rPr>
        <w:t xml:space="preserve"> (WTDC-2</w:t>
      </w:r>
      <w:r w:rsidR="00D0681D">
        <w:rPr>
          <w:rFonts w:ascii="Calibri" w:eastAsia="Calibri" w:hAnsi="Calibri"/>
          <w:szCs w:val="24"/>
          <w:lang w:val="en-US"/>
        </w:rPr>
        <w:t>5</w:t>
      </w:r>
      <w:r w:rsidRPr="001D2782">
        <w:rPr>
          <w:rFonts w:ascii="Calibri" w:eastAsia="Calibri" w:hAnsi="Calibri"/>
          <w:szCs w:val="24"/>
          <w:lang w:val="en-US"/>
        </w:rPr>
        <w:t xml:space="preserve">) adopted the </w:t>
      </w:r>
      <w:hyperlink r:id="rId14" w:history="1">
        <w:r w:rsidR="00CD2379" w:rsidRPr="005B719A">
          <w:rPr>
            <w:rStyle w:val="Hyperlink"/>
            <w:rFonts w:ascii="Calibri" w:eastAsia="Calibri" w:hAnsi="Calibri"/>
            <w:szCs w:val="24"/>
            <w:lang w:val="en-US"/>
          </w:rPr>
          <w:t>Baku</w:t>
        </w:r>
        <w:r w:rsidRPr="005B719A">
          <w:rPr>
            <w:rStyle w:val="Hyperlink"/>
            <w:rFonts w:ascii="Calibri" w:eastAsia="Calibri" w:hAnsi="Calibri"/>
            <w:szCs w:val="24"/>
            <w:lang w:val="en-US"/>
          </w:rPr>
          <w:t xml:space="preserve"> Action Plan</w:t>
        </w:r>
      </w:hyperlink>
      <w:r w:rsidRPr="00C4627A">
        <w:rPr>
          <w:rFonts w:ascii="Calibri" w:eastAsia="Calibri" w:hAnsi="Calibri"/>
          <w:szCs w:val="24"/>
          <w:lang w:val="en-US"/>
        </w:rPr>
        <w:t xml:space="preserve"> </w:t>
      </w:r>
      <w:r w:rsidRPr="001D2782">
        <w:rPr>
          <w:rFonts w:ascii="Calibri" w:eastAsia="Calibri" w:hAnsi="Calibri"/>
          <w:szCs w:val="24"/>
          <w:lang w:val="en-US"/>
        </w:rPr>
        <w:t>(</w:t>
      </w:r>
      <w:r w:rsidR="00CD2379">
        <w:rPr>
          <w:rFonts w:ascii="Calibri" w:eastAsia="Calibri" w:hAnsi="Calibri"/>
          <w:szCs w:val="24"/>
          <w:lang w:val="en-US"/>
        </w:rPr>
        <w:t>B</w:t>
      </w:r>
      <w:r w:rsidRPr="001D2782">
        <w:rPr>
          <w:rFonts w:ascii="Calibri" w:eastAsia="Calibri" w:hAnsi="Calibri"/>
          <w:szCs w:val="24"/>
          <w:lang w:val="en-US"/>
        </w:rPr>
        <w:t xml:space="preserve">AP) defining </w:t>
      </w:r>
      <w:r w:rsidRPr="001D2782">
        <w:rPr>
          <w:rFonts w:ascii="Calibri" w:eastAsia="Calibri" w:hAnsi="Calibri"/>
          <w:szCs w:val="24"/>
        </w:rPr>
        <w:t>the direction of the work of the ITU's Development Sector (ITU-D) until the next WTDC</w:t>
      </w:r>
      <w:r w:rsidRPr="001D2782">
        <w:rPr>
          <w:rFonts w:ascii="Calibri" w:eastAsia="Calibri" w:hAnsi="Calibri"/>
          <w:szCs w:val="24"/>
          <w:lang w:val="en-US"/>
        </w:rPr>
        <w:t xml:space="preserve"> and charting a pathway f</w:t>
      </w:r>
      <w:r w:rsidRPr="001D2782">
        <w:rPr>
          <w:rFonts w:ascii="Calibri" w:eastAsia="Calibri" w:hAnsi="Calibri"/>
          <w:szCs w:val="24"/>
        </w:rPr>
        <w:t>or digital development that aligns</w:t>
      </w:r>
      <w:r w:rsidR="000A6BC5">
        <w:rPr>
          <w:rFonts w:ascii="Calibri" w:eastAsia="Calibri" w:hAnsi="Calibri"/>
          <w:szCs w:val="24"/>
        </w:rPr>
        <w:t xml:space="preserve"> closely with the </w:t>
      </w:r>
      <w:r w:rsidR="000A6BC5" w:rsidRPr="000A6BC5">
        <w:rPr>
          <w:rFonts w:ascii="Calibri" w:eastAsia="Calibri" w:hAnsi="Calibri"/>
          <w:szCs w:val="24"/>
        </w:rPr>
        <w:t xml:space="preserve">World Summit on the Information Society (WSIS) Plan of Action </w:t>
      </w:r>
      <w:r w:rsidR="000A6BC5">
        <w:rPr>
          <w:rFonts w:ascii="Calibri" w:eastAsia="Calibri" w:hAnsi="Calibri"/>
          <w:szCs w:val="24"/>
        </w:rPr>
        <w:t xml:space="preserve">as well as </w:t>
      </w:r>
      <w:r w:rsidRPr="001D2782">
        <w:rPr>
          <w:rFonts w:ascii="Calibri" w:eastAsia="Calibri" w:hAnsi="Calibri"/>
          <w:szCs w:val="24"/>
        </w:rPr>
        <w:t>the Sustainable Development Goals (SDGs) set out by the United Nations for 2030.</w:t>
      </w:r>
    </w:p>
    <w:p w14:paraId="5A00F6C4" w14:textId="5CBC5018" w:rsidR="00E80210" w:rsidRPr="001D2782" w:rsidRDefault="00E80210"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szCs w:val="24"/>
          <w:lang w:val="en-US"/>
        </w:rPr>
      </w:pPr>
      <w:r w:rsidRPr="001D2782">
        <w:rPr>
          <w:rFonts w:ascii="Calibri" w:eastAsia="Calibri" w:hAnsi="Calibri"/>
          <w:szCs w:val="24"/>
          <w:lang w:val="en-US"/>
        </w:rPr>
        <w:t xml:space="preserve">The overall strategy for </w:t>
      </w:r>
      <w:r w:rsidR="00C71E23">
        <w:rPr>
          <w:rFonts w:ascii="Calibri" w:eastAsia="Calibri" w:hAnsi="Calibri"/>
          <w:szCs w:val="24"/>
          <w:lang w:val="en-US"/>
        </w:rPr>
        <w:t>B</w:t>
      </w:r>
      <w:r w:rsidRPr="001D2782">
        <w:rPr>
          <w:rFonts w:ascii="Calibri" w:eastAsia="Calibri" w:hAnsi="Calibri"/>
          <w:szCs w:val="24"/>
          <w:lang w:val="en-US"/>
        </w:rPr>
        <w:t xml:space="preserve">AP implementation is built around: </w:t>
      </w:r>
    </w:p>
    <w:p w14:paraId="7207A6D9" w14:textId="07454B02" w:rsidR="00E80210" w:rsidRPr="001D2782" w:rsidRDefault="00E80210" w:rsidP="00523867">
      <w:pPr>
        <w:numPr>
          <w:ilvl w:val="0"/>
          <w:numId w:val="6"/>
        </w:numPr>
        <w:tabs>
          <w:tab w:val="clear" w:pos="794"/>
          <w:tab w:val="clear" w:pos="1191"/>
          <w:tab w:val="clear" w:pos="1588"/>
          <w:tab w:val="clear" w:pos="1985"/>
        </w:tabs>
        <w:overflowPunct/>
        <w:autoSpaceDE/>
        <w:autoSpaceDN/>
        <w:adjustRightInd/>
        <w:spacing w:before="60" w:after="60"/>
        <w:ind w:left="714" w:hanging="357"/>
        <w:jc w:val="left"/>
        <w:textAlignment w:val="auto"/>
        <w:rPr>
          <w:rFonts w:ascii="Calibri" w:eastAsia="Calibri" w:hAnsi="Calibri"/>
          <w:szCs w:val="24"/>
          <w:lang w:val="en-US"/>
        </w:rPr>
      </w:pPr>
      <w:r w:rsidRPr="001D2782">
        <w:rPr>
          <w:rFonts w:ascii="Calibri" w:eastAsia="Calibri" w:hAnsi="Calibri"/>
          <w:szCs w:val="24"/>
          <w:lang w:val="en-US"/>
        </w:rPr>
        <w:t xml:space="preserve">the coherence and integration of Operational </w:t>
      </w:r>
      <w:r w:rsidR="000A6BC5" w:rsidRPr="001D2782">
        <w:rPr>
          <w:rFonts w:ascii="Calibri" w:eastAsia="Calibri" w:hAnsi="Calibri"/>
          <w:szCs w:val="24"/>
          <w:lang w:val="en-US"/>
        </w:rPr>
        <w:t xml:space="preserve">Plan </w:t>
      </w:r>
      <w:r w:rsidR="000A6BC5">
        <w:rPr>
          <w:rFonts w:ascii="Calibri" w:eastAsia="Calibri" w:hAnsi="Calibri"/>
          <w:szCs w:val="24"/>
          <w:lang w:val="en-US"/>
        </w:rPr>
        <w:t>act</w:t>
      </w:r>
      <w:r w:rsidR="008C1420">
        <w:rPr>
          <w:rFonts w:ascii="Calibri" w:eastAsia="Calibri" w:hAnsi="Calibri"/>
          <w:szCs w:val="24"/>
          <w:lang w:val="en-US"/>
        </w:rPr>
        <w:t>ions</w:t>
      </w:r>
      <w:r w:rsidR="0021653D">
        <w:rPr>
          <w:rFonts w:ascii="Calibri" w:eastAsia="Calibri" w:hAnsi="Calibri"/>
          <w:szCs w:val="24"/>
          <w:lang w:val="en-US"/>
        </w:rPr>
        <w:t xml:space="preserve"> and </w:t>
      </w:r>
      <w:r w:rsidRPr="001D2782">
        <w:rPr>
          <w:rFonts w:ascii="Calibri" w:eastAsia="Calibri" w:hAnsi="Calibri"/>
          <w:szCs w:val="24"/>
          <w:lang w:val="en-US"/>
        </w:rPr>
        <w:t>outputs</w:t>
      </w:r>
      <w:r w:rsidR="0021653D">
        <w:rPr>
          <w:rFonts w:ascii="Calibri" w:eastAsia="Calibri" w:hAnsi="Calibri"/>
          <w:szCs w:val="24"/>
          <w:lang w:val="en-US"/>
        </w:rPr>
        <w:t xml:space="preserve">, the outcomes </w:t>
      </w:r>
      <w:r w:rsidRPr="001D2782">
        <w:rPr>
          <w:rFonts w:ascii="Calibri" w:eastAsia="Calibri" w:hAnsi="Calibri"/>
          <w:szCs w:val="24"/>
          <w:lang w:val="en-US"/>
        </w:rPr>
        <w:t xml:space="preserve">of ITU-D Priorities, projects and regional initiatives, ITU-D Resolutions as well as to the ITU Strategic Goals; </w:t>
      </w:r>
    </w:p>
    <w:p w14:paraId="2A98D762" w14:textId="6FA19B53" w:rsidR="00E80210" w:rsidRPr="001D2782" w:rsidRDefault="00E80210" w:rsidP="00523867">
      <w:pPr>
        <w:numPr>
          <w:ilvl w:val="0"/>
          <w:numId w:val="6"/>
        </w:numPr>
        <w:tabs>
          <w:tab w:val="clear" w:pos="794"/>
          <w:tab w:val="clear" w:pos="1191"/>
          <w:tab w:val="clear" w:pos="1588"/>
          <w:tab w:val="clear" w:pos="1985"/>
        </w:tabs>
        <w:overflowPunct/>
        <w:autoSpaceDE/>
        <w:autoSpaceDN/>
        <w:adjustRightInd/>
        <w:spacing w:before="60" w:after="60"/>
        <w:ind w:left="714" w:hanging="357"/>
        <w:jc w:val="left"/>
        <w:textAlignment w:val="auto"/>
        <w:rPr>
          <w:rFonts w:ascii="Calibri" w:eastAsia="Calibri" w:hAnsi="Calibri"/>
          <w:szCs w:val="24"/>
          <w:lang w:val="en-US"/>
        </w:rPr>
      </w:pPr>
      <w:r w:rsidRPr="001D2782">
        <w:rPr>
          <w:rFonts w:ascii="Calibri" w:eastAsia="Calibri" w:hAnsi="Calibri"/>
          <w:szCs w:val="24"/>
          <w:lang w:val="en-US"/>
        </w:rPr>
        <w:t xml:space="preserve">enhanced </w:t>
      </w:r>
      <w:r w:rsidR="000A6BC5">
        <w:rPr>
          <w:rFonts w:ascii="Calibri" w:eastAsia="Calibri" w:hAnsi="Calibri"/>
          <w:szCs w:val="24"/>
          <w:lang w:val="en-US"/>
        </w:rPr>
        <w:t>cross-</w:t>
      </w:r>
      <w:r w:rsidRPr="001D2782">
        <w:rPr>
          <w:rFonts w:ascii="Calibri" w:eastAsia="Calibri" w:hAnsi="Calibri"/>
          <w:szCs w:val="24"/>
          <w:lang w:val="en-US"/>
        </w:rPr>
        <w:t xml:space="preserve">functional and outcome-based collaboration </w:t>
      </w:r>
      <w:r w:rsidR="007C1012">
        <w:rPr>
          <w:rFonts w:ascii="Calibri" w:eastAsia="Calibri" w:hAnsi="Calibri"/>
          <w:szCs w:val="24"/>
          <w:lang w:val="en-US"/>
        </w:rPr>
        <w:t xml:space="preserve">across </w:t>
      </w:r>
      <w:r w:rsidRPr="001D2782">
        <w:rPr>
          <w:rFonts w:ascii="Calibri" w:eastAsia="Calibri" w:hAnsi="Calibri"/>
          <w:szCs w:val="24"/>
          <w:lang w:val="en-US"/>
        </w:rPr>
        <w:t>teams</w:t>
      </w:r>
      <w:r w:rsidR="00132D4F">
        <w:rPr>
          <w:rFonts w:ascii="Calibri" w:eastAsia="Calibri" w:hAnsi="Calibri"/>
          <w:szCs w:val="24"/>
          <w:lang w:val="en-US"/>
        </w:rPr>
        <w:t>, including</w:t>
      </w:r>
      <w:r w:rsidR="0098177A">
        <w:rPr>
          <w:rFonts w:ascii="Calibri" w:eastAsia="Calibri" w:hAnsi="Calibri"/>
          <w:szCs w:val="24"/>
          <w:lang w:val="en-US"/>
        </w:rPr>
        <w:t xml:space="preserve"> </w:t>
      </w:r>
      <w:r w:rsidRPr="001D2782">
        <w:rPr>
          <w:rFonts w:ascii="Calibri" w:eastAsia="Calibri" w:hAnsi="Calibri"/>
          <w:szCs w:val="24"/>
          <w:lang w:val="en-US"/>
        </w:rPr>
        <w:t>regional and area offices</w:t>
      </w:r>
      <w:r w:rsidR="000B547C">
        <w:rPr>
          <w:rFonts w:ascii="Calibri" w:eastAsia="Calibri" w:hAnsi="Calibri"/>
          <w:szCs w:val="24"/>
          <w:lang w:val="en-US"/>
        </w:rPr>
        <w:t>,</w:t>
      </w:r>
      <w:r w:rsidRPr="001D2782">
        <w:rPr>
          <w:rFonts w:ascii="Calibri" w:eastAsia="Calibri" w:hAnsi="Calibri"/>
          <w:szCs w:val="24"/>
          <w:lang w:val="en-US"/>
        </w:rPr>
        <w:t xml:space="preserve"> </w:t>
      </w:r>
      <w:r w:rsidR="0098177A">
        <w:rPr>
          <w:rFonts w:ascii="Calibri" w:eastAsia="Calibri" w:hAnsi="Calibri"/>
          <w:szCs w:val="24"/>
          <w:lang w:val="en-US"/>
        </w:rPr>
        <w:t xml:space="preserve">with a </w:t>
      </w:r>
      <w:r w:rsidR="002B5154">
        <w:rPr>
          <w:rFonts w:ascii="Calibri" w:eastAsia="Calibri" w:hAnsi="Calibri"/>
          <w:szCs w:val="24"/>
          <w:lang w:val="en-US"/>
        </w:rPr>
        <w:t xml:space="preserve">view </w:t>
      </w:r>
      <w:r w:rsidR="002B5154" w:rsidRPr="001D2782">
        <w:rPr>
          <w:rFonts w:ascii="Calibri" w:eastAsia="Calibri" w:hAnsi="Calibri"/>
          <w:szCs w:val="24"/>
          <w:lang w:val="en-US"/>
        </w:rPr>
        <w:t>to</w:t>
      </w:r>
      <w:r w:rsidRPr="001D2782">
        <w:rPr>
          <w:rFonts w:ascii="Calibri" w:eastAsia="Calibri" w:hAnsi="Calibri"/>
          <w:szCs w:val="24"/>
          <w:lang w:val="en-US"/>
        </w:rPr>
        <w:t xml:space="preserve"> </w:t>
      </w:r>
      <w:r w:rsidR="00672B31" w:rsidRPr="001D2782">
        <w:rPr>
          <w:rFonts w:ascii="Calibri" w:eastAsia="Calibri" w:hAnsi="Calibri"/>
          <w:szCs w:val="24"/>
          <w:lang w:val="en-US"/>
        </w:rPr>
        <w:t>increasing</w:t>
      </w:r>
      <w:r w:rsidRPr="001D2782">
        <w:rPr>
          <w:rFonts w:ascii="Calibri" w:eastAsia="Calibri" w:hAnsi="Calibri"/>
          <w:szCs w:val="24"/>
          <w:lang w:val="en-US"/>
        </w:rPr>
        <w:t xml:space="preserve"> the efficiency of </w:t>
      </w:r>
      <w:r w:rsidR="008E11A0">
        <w:rPr>
          <w:rFonts w:ascii="Calibri" w:eastAsia="Calibri" w:hAnsi="Calibri"/>
          <w:szCs w:val="24"/>
          <w:lang w:val="en-US"/>
        </w:rPr>
        <w:t>ITU-D</w:t>
      </w:r>
      <w:r w:rsidRPr="001D2782">
        <w:rPr>
          <w:rFonts w:ascii="Calibri" w:eastAsia="Calibri" w:hAnsi="Calibri"/>
          <w:szCs w:val="24"/>
          <w:lang w:val="en-US"/>
        </w:rPr>
        <w:t xml:space="preserve"> products and services and their impact on beneficiary countries, government agencies, national stakeholders and communities;</w:t>
      </w:r>
    </w:p>
    <w:p w14:paraId="448B8A84" w14:textId="07C8EF19" w:rsidR="00E80210" w:rsidRPr="001D2782" w:rsidRDefault="00E80210" w:rsidP="00523867">
      <w:pPr>
        <w:numPr>
          <w:ilvl w:val="0"/>
          <w:numId w:val="6"/>
        </w:numPr>
        <w:tabs>
          <w:tab w:val="clear" w:pos="794"/>
          <w:tab w:val="clear" w:pos="1191"/>
          <w:tab w:val="clear" w:pos="1588"/>
          <w:tab w:val="clear" w:pos="1985"/>
        </w:tabs>
        <w:overflowPunct/>
        <w:autoSpaceDE/>
        <w:autoSpaceDN/>
        <w:adjustRightInd/>
        <w:spacing w:before="60" w:after="60"/>
        <w:ind w:left="714" w:hanging="357"/>
        <w:jc w:val="left"/>
        <w:textAlignment w:val="auto"/>
        <w:rPr>
          <w:rFonts w:ascii="Calibri" w:eastAsia="Calibri" w:hAnsi="Calibri"/>
          <w:szCs w:val="24"/>
          <w:lang w:val="en-US"/>
        </w:rPr>
      </w:pPr>
      <w:r w:rsidRPr="001D2782">
        <w:rPr>
          <w:rFonts w:ascii="Calibri" w:eastAsia="Calibri" w:hAnsi="Calibri"/>
          <w:szCs w:val="24"/>
          <w:lang w:val="en-US"/>
        </w:rPr>
        <w:t>strong implementation synergies with the ITU Radiocommunication Bureau (BR)</w:t>
      </w:r>
      <w:r w:rsidR="0016206F" w:rsidRPr="001D2782">
        <w:rPr>
          <w:rFonts w:ascii="Calibri" w:eastAsia="Calibri" w:hAnsi="Calibri"/>
          <w:szCs w:val="24"/>
          <w:lang w:val="en-US"/>
        </w:rPr>
        <w:t xml:space="preserve">, </w:t>
      </w:r>
      <w:r w:rsidRPr="001D2782">
        <w:rPr>
          <w:rFonts w:ascii="Calibri" w:eastAsia="Calibri" w:hAnsi="Calibri"/>
          <w:szCs w:val="24"/>
          <w:lang w:val="en-US"/>
        </w:rPr>
        <w:t>the ITU Standardization Bureau (TSB)</w:t>
      </w:r>
      <w:r w:rsidR="0016206F" w:rsidRPr="001D2782">
        <w:rPr>
          <w:rFonts w:ascii="Calibri" w:eastAsia="Calibri" w:hAnsi="Calibri"/>
          <w:szCs w:val="24"/>
          <w:lang w:val="en-US"/>
        </w:rPr>
        <w:t xml:space="preserve"> and the General Secretariat</w:t>
      </w:r>
      <w:r w:rsidRPr="001D2782">
        <w:rPr>
          <w:rFonts w:ascii="Calibri" w:eastAsia="Calibri" w:hAnsi="Calibri"/>
          <w:szCs w:val="24"/>
          <w:lang w:val="en-US"/>
        </w:rPr>
        <w:t>;</w:t>
      </w:r>
    </w:p>
    <w:p w14:paraId="1A03F86E" w14:textId="464ED346" w:rsidR="00E80210" w:rsidRPr="00844BD6" w:rsidRDefault="2E9C16A4" w:rsidP="00523867">
      <w:pPr>
        <w:numPr>
          <w:ilvl w:val="0"/>
          <w:numId w:val="6"/>
        </w:numPr>
        <w:tabs>
          <w:tab w:val="clear" w:pos="794"/>
          <w:tab w:val="clear" w:pos="1191"/>
          <w:tab w:val="clear" w:pos="1588"/>
          <w:tab w:val="clear" w:pos="1985"/>
        </w:tabs>
        <w:overflowPunct/>
        <w:autoSpaceDE/>
        <w:autoSpaceDN/>
        <w:adjustRightInd/>
        <w:spacing w:before="60" w:after="60"/>
        <w:ind w:left="714" w:hanging="357"/>
        <w:jc w:val="left"/>
        <w:textAlignment w:val="auto"/>
        <w:rPr>
          <w:rFonts w:ascii="Calibri" w:eastAsia="Calibri" w:hAnsi="Calibri"/>
          <w:lang w:val="en-US"/>
        </w:rPr>
      </w:pPr>
      <w:r w:rsidRPr="2C7640F5">
        <w:rPr>
          <w:rFonts w:ascii="Calibri" w:eastAsia="Calibri" w:hAnsi="Calibri"/>
          <w:lang w:val="en-US"/>
        </w:rPr>
        <w:t xml:space="preserve">greater integration between project implementation, OP actions, </w:t>
      </w:r>
      <w:r w:rsidR="464D0070" w:rsidRPr="2C7640F5">
        <w:rPr>
          <w:rFonts w:ascii="Calibri" w:eastAsia="Calibri" w:hAnsi="Calibri"/>
          <w:lang w:val="en-US"/>
        </w:rPr>
        <w:t>R</w:t>
      </w:r>
      <w:r w:rsidRPr="2C7640F5">
        <w:rPr>
          <w:rFonts w:ascii="Calibri" w:eastAsia="Calibri" w:hAnsi="Calibri"/>
          <w:lang w:val="en-US"/>
        </w:rPr>
        <w:t xml:space="preserve">egional </w:t>
      </w:r>
      <w:r w:rsidR="4BFCD783" w:rsidRPr="2C7640F5">
        <w:rPr>
          <w:rFonts w:ascii="Calibri" w:eastAsia="Calibri" w:hAnsi="Calibri"/>
          <w:lang w:val="en-US"/>
        </w:rPr>
        <w:t>I</w:t>
      </w:r>
      <w:r w:rsidR="00A92566" w:rsidRPr="2C7640F5">
        <w:rPr>
          <w:rFonts w:ascii="Calibri" w:eastAsia="Calibri" w:hAnsi="Calibri"/>
          <w:lang w:val="en-US"/>
        </w:rPr>
        <w:t>nitiatives</w:t>
      </w:r>
      <w:r w:rsidRPr="2C7640F5">
        <w:rPr>
          <w:rFonts w:ascii="Calibri" w:eastAsia="Calibri" w:hAnsi="Calibri"/>
          <w:lang w:val="en-US"/>
        </w:rPr>
        <w:t>, and partner efforts will be pursued during the current implementation cycle to ensure the timely and effective delivery of quality outputs</w:t>
      </w:r>
      <w:r w:rsidR="591F50A3" w:rsidRPr="2C7640F5">
        <w:rPr>
          <w:rFonts w:ascii="Calibri" w:eastAsia="Calibri" w:hAnsi="Calibri"/>
          <w:lang w:val="en-US"/>
        </w:rPr>
        <w:t>.</w:t>
      </w:r>
    </w:p>
    <w:p w14:paraId="255E53A7" w14:textId="3B15084E" w:rsidR="00E80210" w:rsidRPr="001D2782" w:rsidRDefault="00E80210" w:rsidP="00523867">
      <w:pPr>
        <w:pStyle w:val="Heading3"/>
        <w:spacing w:before="120" w:after="120"/>
        <w:jc w:val="left"/>
        <w:rPr>
          <w:rFonts w:eastAsia="Calibri"/>
          <w:szCs w:val="24"/>
          <w:lang w:val="en-US"/>
        </w:rPr>
      </w:pPr>
      <w:r w:rsidRPr="001D2782">
        <w:rPr>
          <w:rFonts w:eastAsia="Calibri"/>
          <w:szCs w:val="24"/>
          <w:lang w:val="en-US"/>
        </w:rPr>
        <w:t>1.2 Crafting the framework for the ITU-D Operational Plan 202</w:t>
      </w:r>
      <w:r w:rsidR="006A3479">
        <w:rPr>
          <w:rFonts w:eastAsia="Calibri"/>
          <w:szCs w:val="24"/>
          <w:lang w:val="en-US"/>
        </w:rPr>
        <w:t>6</w:t>
      </w:r>
      <w:r w:rsidRPr="001D2782">
        <w:rPr>
          <w:rFonts w:eastAsia="Calibri"/>
          <w:szCs w:val="24"/>
          <w:lang w:val="en-US"/>
        </w:rPr>
        <w:t xml:space="preserve"> (OP-2</w:t>
      </w:r>
      <w:r w:rsidR="006A3479">
        <w:rPr>
          <w:rFonts w:eastAsia="Calibri"/>
          <w:szCs w:val="24"/>
          <w:lang w:val="en-US"/>
        </w:rPr>
        <w:t>6</w:t>
      </w:r>
      <w:r w:rsidRPr="001D2782">
        <w:rPr>
          <w:rFonts w:eastAsia="Calibri"/>
          <w:szCs w:val="24"/>
          <w:lang w:val="en-US"/>
        </w:rPr>
        <w:t>)</w:t>
      </w:r>
    </w:p>
    <w:p w14:paraId="2EBBF048" w14:textId="58C185D9" w:rsidR="00E80210" w:rsidRPr="001D2782" w:rsidRDefault="591F50A3"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lang w:val="en-US"/>
        </w:rPr>
      </w:pPr>
      <w:r w:rsidRPr="2C7640F5">
        <w:rPr>
          <w:rFonts w:ascii="Calibri" w:eastAsia="Calibri" w:hAnsi="Calibri"/>
          <w:lang w:val="en-US"/>
        </w:rPr>
        <w:t>The ITU-D Operational Plan for 202</w:t>
      </w:r>
      <w:r w:rsidR="197C1F2F" w:rsidRPr="2C7640F5">
        <w:rPr>
          <w:rFonts w:ascii="Calibri" w:eastAsia="Calibri" w:hAnsi="Calibri"/>
          <w:lang w:val="en-US"/>
        </w:rPr>
        <w:t>6</w:t>
      </w:r>
      <w:r w:rsidRPr="2C7640F5">
        <w:rPr>
          <w:rFonts w:ascii="Calibri" w:eastAsia="Calibri" w:hAnsi="Calibri"/>
          <w:lang w:val="en-US"/>
        </w:rPr>
        <w:t xml:space="preserve"> is aligned with the structure of </w:t>
      </w:r>
      <w:r w:rsidR="197C1F2F" w:rsidRPr="2C7640F5">
        <w:rPr>
          <w:rFonts w:ascii="Calibri" w:eastAsia="Calibri" w:hAnsi="Calibri"/>
          <w:lang w:val="en-US"/>
        </w:rPr>
        <w:t xml:space="preserve">the </w:t>
      </w:r>
      <w:r w:rsidR="00672B31" w:rsidRPr="2C7640F5">
        <w:rPr>
          <w:rFonts w:ascii="Calibri" w:eastAsia="Calibri" w:hAnsi="Calibri"/>
          <w:lang w:val="en-US"/>
        </w:rPr>
        <w:t>BAP</w:t>
      </w:r>
      <w:r w:rsidR="07A3A21C" w:rsidRPr="2C7640F5">
        <w:rPr>
          <w:rFonts w:ascii="Calibri" w:eastAsia="Calibri" w:hAnsi="Calibri"/>
          <w:lang w:val="en-US"/>
        </w:rPr>
        <w:t xml:space="preserve"> as well as </w:t>
      </w:r>
      <w:r w:rsidRPr="2C7640F5">
        <w:rPr>
          <w:rFonts w:ascii="Calibri" w:eastAsia="Calibri" w:hAnsi="Calibri"/>
          <w:lang w:val="en-US"/>
        </w:rPr>
        <w:t xml:space="preserve">the </w:t>
      </w:r>
      <w:r w:rsidR="328E4BA0" w:rsidRPr="2C7640F5">
        <w:rPr>
          <w:rFonts w:ascii="Calibri" w:eastAsia="Calibri" w:hAnsi="Calibri"/>
          <w:lang w:val="en-US"/>
        </w:rPr>
        <w:t>Strategic Plan</w:t>
      </w:r>
      <w:r w:rsidRPr="2C7640F5">
        <w:rPr>
          <w:rFonts w:ascii="Calibri" w:eastAsia="Calibri" w:hAnsi="Calibri"/>
          <w:lang w:val="en-US"/>
        </w:rPr>
        <w:t xml:space="preserve"> for the Union for 2024-2027. The structure </w:t>
      </w:r>
      <w:r w:rsidR="64241A56" w:rsidRPr="2C7640F5">
        <w:rPr>
          <w:rFonts w:ascii="Calibri" w:eastAsia="Calibri" w:hAnsi="Calibri"/>
          <w:lang w:val="en-US"/>
        </w:rPr>
        <w:t>of B</w:t>
      </w:r>
      <w:r w:rsidRPr="2C7640F5">
        <w:rPr>
          <w:rFonts w:ascii="Calibri" w:eastAsia="Calibri" w:hAnsi="Calibri"/>
          <w:lang w:val="en-US"/>
        </w:rPr>
        <w:t>AP</w:t>
      </w:r>
      <w:r w:rsidR="4F2C1F20" w:rsidRPr="2C7640F5">
        <w:rPr>
          <w:rFonts w:ascii="Calibri" w:eastAsia="Calibri" w:hAnsi="Calibri"/>
          <w:lang w:val="en-US"/>
        </w:rPr>
        <w:t xml:space="preserve"> outlines</w:t>
      </w:r>
      <w:r w:rsidRPr="2C7640F5">
        <w:rPr>
          <w:rFonts w:ascii="Calibri" w:eastAsia="Calibri" w:hAnsi="Calibri"/>
          <w:lang w:val="en-US"/>
        </w:rPr>
        <w:t xml:space="preserve"> the ITU-D Priorities and Enablers, and their corresponding outcomes, </w:t>
      </w:r>
      <w:r w:rsidR="4F2C1F20" w:rsidRPr="2C7640F5">
        <w:rPr>
          <w:rFonts w:ascii="Calibri" w:eastAsia="Calibri" w:hAnsi="Calibri"/>
          <w:lang w:val="en-US"/>
        </w:rPr>
        <w:t xml:space="preserve">ITU-D </w:t>
      </w:r>
      <w:r w:rsidRPr="2C7640F5">
        <w:rPr>
          <w:rFonts w:ascii="Calibri" w:eastAsia="Calibri" w:hAnsi="Calibri"/>
          <w:lang w:val="en-US"/>
        </w:rPr>
        <w:t>products and services as well as</w:t>
      </w:r>
      <w:r w:rsidR="62969AB6" w:rsidRPr="2C7640F5">
        <w:rPr>
          <w:rFonts w:ascii="Calibri" w:eastAsia="Calibri" w:hAnsi="Calibri"/>
          <w:lang w:val="en-US"/>
        </w:rPr>
        <w:t xml:space="preserve"> </w:t>
      </w:r>
      <w:r w:rsidRPr="2C7640F5">
        <w:rPr>
          <w:rFonts w:ascii="Calibri" w:eastAsia="Calibri" w:hAnsi="Calibri"/>
          <w:lang w:val="en-US"/>
        </w:rPr>
        <w:t xml:space="preserve">indicators to measure </w:t>
      </w:r>
      <w:r w:rsidR="4E33D998" w:rsidRPr="2C7640F5">
        <w:rPr>
          <w:rFonts w:ascii="Calibri" w:eastAsia="Calibri" w:hAnsi="Calibri"/>
          <w:lang w:val="en-US"/>
        </w:rPr>
        <w:t>progress</w:t>
      </w:r>
      <w:r w:rsidRPr="2C7640F5">
        <w:rPr>
          <w:rFonts w:ascii="Calibri" w:eastAsia="Calibri" w:hAnsi="Calibri"/>
          <w:lang w:val="en-US"/>
        </w:rPr>
        <w:t xml:space="preserve">. The impact framework for </w:t>
      </w:r>
      <w:r w:rsidR="4E33D998" w:rsidRPr="2C7640F5">
        <w:rPr>
          <w:rFonts w:ascii="Calibri" w:eastAsia="Calibri" w:hAnsi="Calibri"/>
          <w:lang w:val="en-US"/>
        </w:rPr>
        <w:t>B</w:t>
      </w:r>
      <w:r w:rsidRPr="2C7640F5">
        <w:rPr>
          <w:rFonts w:ascii="Calibri" w:eastAsia="Calibri" w:hAnsi="Calibri"/>
          <w:lang w:val="en-US"/>
        </w:rPr>
        <w:t>AP implementation for OP-2</w:t>
      </w:r>
      <w:r w:rsidR="4E33D998" w:rsidRPr="2C7640F5">
        <w:rPr>
          <w:rFonts w:ascii="Calibri" w:eastAsia="Calibri" w:hAnsi="Calibri"/>
          <w:lang w:val="en-US"/>
        </w:rPr>
        <w:t>6</w:t>
      </w:r>
      <w:r w:rsidRPr="2C7640F5">
        <w:rPr>
          <w:rFonts w:ascii="Calibri" w:eastAsia="Calibri" w:hAnsi="Calibri"/>
          <w:lang w:val="en-US"/>
        </w:rPr>
        <w:t xml:space="preserve"> will serve as a basis for the ITU-D Operational Plan 202</w:t>
      </w:r>
      <w:r w:rsidR="5F4EB90D" w:rsidRPr="2C7640F5">
        <w:rPr>
          <w:rFonts w:ascii="Calibri" w:eastAsia="Calibri" w:hAnsi="Calibri"/>
          <w:lang w:val="en-US"/>
        </w:rPr>
        <w:t>6</w:t>
      </w:r>
      <w:r w:rsidRPr="2C7640F5">
        <w:rPr>
          <w:rFonts w:ascii="Calibri" w:eastAsia="Calibri" w:hAnsi="Calibri"/>
          <w:lang w:val="en-US"/>
        </w:rPr>
        <w:t>-202</w:t>
      </w:r>
      <w:r w:rsidR="5F4EB90D" w:rsidRPr="2C7640F5">
        <w:rPr>
          <w:rFonts w:ascii="Calibri" w:eastAsia="Calibri" w:hAnsi="Calibri"/>
          <w:lang w:val="en-US"/>
        </w:rPr>
        <w:t>9</w:t>
      </w:r>
      <w:r w:rsidR="5F597C12" w:rsidRPr="2C7640F5">
        <w:rPr>
          <w:rFonts w:ascii="Calibri" w:eastAsia="Calibri" w:hAnsi="Calibri"/>
          <w:lang w:val="en-US"/>
        </w:rPr>
        <w:t xml:space="preserve"> once the 202</w:t>
      </w:r>
      <w:r w:rsidR="27464856" w:rsidRPr="2C7640F5">
        <w:rPr>
          <w:rFonts w:ascii="Calibri" w:eastAsia="Calibri" w:hAnsi="Calibri"/>
          <w:lang w:val="en-US"/>
        </w:rPr>
        <w:t>7</w:t>
      </w:r>
      <w:r w:rsidR="5F597C12" w:rsidRPr="2C7640F5">
        <w:rPr>
          <w:rFonts w:ascii="Calibri" w:eastAsia="Calibri" w:hAnsi="Calibri"/>
          <w:lang w:val="en-US"/>
        </w:rPr>
        <w:t>-20</w:t>
      </w:r>
      <w:r w:rsidR="27464856" w:rsidRPr="2C7640F5">
        <w:rPr>
          <w:rFonts w:ascii="Calibri" w:eastAsia="Calibri" w:hAnsi="Calibri"/>
          <w:lang w:val="en-US"/>
        </w:rPr>
        <w:t>30</w:t>
      </w:r>
      <w:r w:rsidR="5F597C12" w:rsidRPr="2C7640F5">
        <w:rPr>
          <w:rFonts w:ascii="Calibri" w:eastAsia="Calibri" w:hAnsi="Calibri"/>
          <w:lang w:val="en-US"/>
        </w:rPr>
        <w:t xml:space="preserve"> ITU budget has been approved by Council</w:t>
      </w:r>
      <w:r w:rsidRPr="2C7640F5">
        <w:rPr>
          <w:rFonts w:ascii="Calibri" w:eastAsia="Calibri" w:hAnsi="Calibri"/>
          <w:lang w:val="en-US"/>
        </w:rPr>
        <w:t>.</w:t>
      </w:r>
    </w:p>
    <w:p w14:paraId="76EA6CCD" w14:textId="4D026716" w:rsidR="00AB2F43" w:rsidRDefault="591F50A3"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lang w:val="en-US"/>
        </w:rPr>
      </w:pPr>
      <w:r w:rsidRPr="2C7640F5">
        <w:rPr>
          <w:rFonts w:ascii="Calibri" w:eastAsia="Calibri" w:hAnsi="Calibri"/>
          <w:lang w:val="en-US"/>
        </w:rPr>
        <w:t xml:space="preserve">The </w:t>
      </w:r>
      <w:r w:rsidR="20762E9A" w:rsidRPr="2C7640F5">
        <w:rPr>
          <w:rFonts w:ascii="Calibri" w:eastAsia="Calibri" w:hAnsi="Calibri"/>
          <w:lang w:val="en-US"/>
        </w:rPr>
        <w:t>planning process</w:t>
      </w:r>
      <w:r w:rsidRPr="2C7640F5">
        <w:rPr>
          <w:rFonts w:ascii="Calibri" w:eastAsia="Calibri" w:hAnsi="Calibri"/>
          <w:lang w:val="en-US"/>
        </w:rPr>
        <w:t xml:space="preserve"> of OP-2</w:t>
      </w:r>
      <w:r w:rsidR="6C7EE126" w:rsidRPr="2C7640F5">
        <w:rPr>
          <w:rFonts w:ascii="Calibri" w:eastAsia="Calibri" w:hAnsi="Calibri"/>
          <w:lang w:val="en-US"/>
        </w:rPr>
        <w:t>6</w:t>
      </w:r>
      <w:r w:rsidRPr="2C7640F5">
        <w:rPr>
          <w:rFonts w:ascii="Calibri" w:eastAsia="Calibri" w:hAnsi="Calibri"/>
          <w:lang w:val="en-US"/>
        </w:rPr>
        <w:t xml:space="preserve"> consisted of defining the framing principles for initiating action</w:t>
      </w:r>
      <w:r w:rsidR="46CDC210" w:rsidRPr="2C7640F5">
        <w:rPr>
          <w:rFonts w:ascii="Calibri" w:eastAsia="Calibri" w:hAnsi="Calibri"/>
          <w:lang w:val="en-US"/>
        </w:rPr>
        <w:t>s</w:t>
      </w:r>
      <w:r w:rsidR="1C2F2D06" w:rsidRPr="2C7640F5">
        <w:rPr>
          <w:rFonts w:ascii="Calibri" w:eastAsia="Calibri" w:hAnsi="Calibri"/>
          <w:lang w:val="en-US"/>
        </w:rPr>
        <w:t>,</w:t>
      </w:r>
      <w:r w:rsidRPr="2C7640F5">
        <w:rPr>
          <w:rFonts w:ascii="Calibri" w:eastAsia="Calibri" w:hAnsi="Calibri"/>
          <w:lang w:val="en-US"/>
        </w:rPr>
        <w:t xml:space="preserve"> </w:t>
      </w:r>
      <w:r w:rsidR="6B201815" w:rsidRPr="2C7640F5">
        <w:rPr>
          <w:rFonts w:ascii="Calibri" w:eastAsia="Calibri" w:hAnsi="Calibri"/>
          <w:lang w:val="en-US"/>
        </w:rPr>
        <w:t xml:space="preserve">ensuring </w:t>
      </w:r>
      <w:r w:rsidR="19B58CC9" w:rsidRPr="2C7640F5">
        <w:rPr>
          <w:rFonts w:ascii="Calibri" w:eastAsia="Calibri" w:hAnsi="Calibri"/>
          <w:lang w:val="en-US"/>
        </w:rPr>
        <w:t>alignment with</w:t>
      </w:r>
      <w:r w:rsidR="6B201815" w:rsidRPr="2C7640F5">
        <w:rPr>
          <w:rFonts w:ascii="Calibri" w:eastAsia="Calibri" w:hAnsi="Calibri"/>
          <w:lang w:val="en-US"/>
        </w:rPr>
        <w:t xml:space="preserve"> </w:t>
      </w:r>
      <w:r w:rsidR="19B58CC9" w:rsidRPr="2C7640F5">
        <w:rPr>
          <w:rFonts w:ascii="Calibri" w:eastAsia="Calibri" w:hAnsi="Calibri"/>
          <w:lang w:val="en-US"/>
        </w:rPr>
        <w:t>B</w:t>
      </w:r>
      <w:r w:rsidR="6B201815" w:rsidRPr="2C7640F5">
        <w:rPr>
          <w:rFonts w:ascii="Calibri" w:eastAsia="Calibri" w:hAnsi="Calibri"/>
          <w:lang w:val="en-US"/>
        </w:rPr>
        <w:t>AP and overall coherence</w:t>
      </w:r>
      <w:r w:rsidR="530B1EA8" w:rsidRPr="2C7640F5">
        <w:rPr>
          <w:rFonts w:ascii="Calibri" w:eastAsia="Calibri" w:hAnsi="Calibri"/>
          <w:lang w:val="en-US"/>
        </w:rPr>
        <w:t xml:space="preserve"> (Figure 1)</w:t>
      </w:r>
      <w:r w:rsidR="6B201815" w:rsidRPr="2C7640F5">
        <w:rPr>
          <w:rFonts w:ascii="Calibri" w:eastAsia="Calibri" w:hAnsi="Calibri"/>
          <w:lang w:val="en-US"/>
        </w:rPr>
        <w:t xml:space="preserve">. The </w:t>
      </w:r>
      <w:r w:rsidR="51040389" w:rsidRPr="2C7640F5">
        <w:rPr>
          <w:rFonts w:ascii="Calibri" w:eastAsia="Calibri" w:hAnsi="Calibri"/>
          <w:lang w:val="en-US"/>
        </w:rPr>
        <w:t>actions</w:t>
      </w:r>
      <w:r w:rsidR="6B201815" w:rsidRPr="2C7640F5">
        <w:rPr>
          <w:rFonts w:ascii="Calibri" w:eastAsia="Calibri" w:hAnsi="Calibri"/>
          <w:lang w:val="en-US"/>
        </w:rPr>
        <w:t xml:space="preserve"> proposed underwent thorough consultation with Member States and align with the priorities of each region</w:t>
      </w:r>
      <w:r w:rsidRPr="2C7640F5">
        <w:rPr>
          <w:rFonts w:ascii="Calibri" w:eastAsia="Calibri" w:hAnsi="Calibri"/>
          <w:lang w:val="en-US"/>
        </w:rPr>
        <w:t xml:space="preserve">. </w:t>
      </w:r>
    </w:p>
    <w:p w14:paraId="2D0C9CCF" w14:textId="2D39651A" w:rsidR="00021341" w:rsidRDefault="00021341" w:rsidP="00DD188F">
      <w:pPr>
        <w:tabs>
          <w:tab w:val="clear" w:pos="794"/>
          <w:tab w:val="clear" w:pos="1191"/>
          <w:tab w:val="clear" w:pos="1588"/>
          <w:tab w:val="clear" w:pos="1985"/>
        </w:tabs>
        <w:overflowPunct/>
        <w:autoSpaceDE/>
        <w:autoSpaceDN/>
        <w:adjustRightInd/>
        <w:spacing w:after="120"/>
        <w:jc w:val="center"/>
        <w:textAlignment w:val="auto"/>
        <w:rPr>
          <w:rFonts w:ascii="Calibri" w:hAnsi="Calibri"/>
          <w:b/>
          <w:bCs/>
          <w:szCs w:val="24"/>
          <w:lang w:val="en-US"/>
        </w:rPr>
      </w:pPr>
      <w:r w:rsidRPr="001D2782">
        <w:rPr>
          <w:rFonts w:ascii="Calibri" w:hAnsi="Calibri"/>
          <w:b/>
          <w:bCs/>
          <w:szCs w:val="24"/>
          <w:lang w:val="en-US"/>
        </w:rPr>
        <w:t>Figure 1: 202</w:t>
      </w:r>
      <w:r w:rsidR="00F36800">
        <w:rPr>
          <w:rFonts w:ascii="Calibri" w:hAnsi="Calibri"/>
          <w:b/>
          <w:bCs/>
          <w:szCs w:val="24"/>
          <w:lang w:val="en-US"/>
        </w:rPr>
        <w:t>6</w:t>
      </w:r>
      <w:r w:rsidRPr="001D2782">
        <w:rPr>
          <w:rFonts w:ascii="Calibri" w:hAnsi="Calibri"/>
          <w:b/>
          <w:bCs/>
          <w:szCs w:val="24"/>
          <w:lang w:val="en-US"/>
        </w:rPr>
        <w:t xml:space="preserve"> Operational Planning</w:t>
      </w:r>
      <w:r w:rsidR="001C7D34" w:rsidRPr="001D2782">
        <w:rPr>
          <w:rFonts w:ascii="Calibri" w:hAnsi="Calibri"/>
          <w:b/>
          <w:bCs/>
          <w:szCs w:val="24"/>
          <w:lang w:val="en-US"/>
        </w:rPr>
        <w:t>:</w:t>
      </w:r>
      <w:r w:rsidR="00126F72" w:rsidRPr="001D2782">
        <w:rPr>
          <w:rFonts w:ascii="Calibri" w:hAnsi="Calibri"/>
          <w:b/>
          <w:bCs/>
          <w:szCs w:val="24"/>
          <w:lang w:val="en-US"/>
        </w:rPr>
        <w:t xml:space="preserve"> outcomes, outputs and acti</w:t>
      </w:r>
      <w:r w:rsidR="0014272C">
        <w:rPr>
          <w:rFonts w:ascii="Calibri" w:hAnsi="Calibri"/>
          <w:b/>
          <w:bCs/>
          <w:szCs w:val="24"/>
          <w:lang w:val="en-US"/>
        </w:rPr>
        <w:t>ons</w:t>
      </w:r>
    </w:p>
    <w:p w14:paraId="0CE06AB1" w14:textId="01DA978A" w:rsidR="00021341" w:rsidRPr="001D2782" w:rsidRDefault="00AB2F43"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szCs w:val="24"/>
          <w:lang w:val="en-US"/>
        </w:rPr>
      </w:pPr>
      <w:r w:rsidRPr="00AB2F43">
        <w:rPr>
          <w:rFonts w:ascii="Calibri" w:eastAsia="Calibri" w:hAnsi="Calibri"/>
          <w:noProof/>
          <w:szCs w:val="24"/>
          <w:lang w:val="en-US"/>
        </w:rPr>
        <w:drawing>
          <wp:inline distT="0" distB="0" distL="0" distR="0" wp14:anchorId="39F43125" wp14:editId="49E00C85">
            <wp:extent cx="5448300" cy="1737001"/>
            <wp:effectExtent l="0" t="0" r="0" b="0"/>
            <wp:docPr id="19940168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016819" name=""/>
                    <pic:cNvPicPr/>
                  </pic:nvPicPr>
                  <pic:blipFill>
                    <a:blip r:embed="rId15"/>
                    <a:stretch>
                      <a:fillRect/>
                    </a:stretch>
                  </pic:blipFill>
                  <pic:spPr>
                    <a:xfrm>
                      <a:off x="0" y="0"/>
                      <a:ext cx="5507268" cy="1755801"/>
                    </a:xfrm>
                    <a:prstGeom prst="rect">
                      <a:avLst/>
                    </a:prstGeom>
                  </pic:spPr>
                </pic:pic>
              </a:graphicData>
            </a:graphic>
          </wp:inline>
        </w:drawing>
      </w:r>
    </w:p>
    <w:p w14:paraId="2F091466" w14:textId="04D00DF1" w:rsidR="00E80210" w:rsidRDefault="4FDB2B5C"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lang w:val="en-US"/>
        </w:rPr>
      </w:pPr>
      <w:r w:rsidRPr="2C7640F5">
        <w:rPr>
          <w:rFonts w:ascii="Calibri" w:eastAsia="Calibri" w:hAnsi="Calibri"/>
          <w:lang w:val="en-US"/>
        </w:rPr>
        <w:t>In accordance with</w:t>
      </w:r>
      <w:r w:rsidR="454355AE" w:rsidRPr="2C7640F5">
        <w:rPr>
          <w:rFonts w:ascii="Calibri" w:eastAsia="Calibri" w:hAnsi="Calibri"/>
          <w:lang w:val="en-US"/>
        </w:rPr>
        <w:t xml:space="preserve"> the</w:t>
      </w:r>
      <w:r w:rsidR="591F50A3" w:rsidRPr="2C7640F5">
        <w:rPr>
          <w:rFonts w:ascii="Calibri" w:eastAsia="Calibri" w:hAnsi="Calibri"/>
          <w:lang w:val="en-US"/>
        </w:rPr>
        <w:t xml:space="preserve"> </w:t>
      </w:r>
      <w:r w:rsidR="323B4369" w:rsidRPr="2C7640F5">
        <w:rPr>
          <w:rFonts w:ascii="Calibri" w:eastAsia="Calibri" w:hAnsi="Calibri"/>
          <w:lang w:val="en-US"/>
        </w:rPr>
        <w:t>B</w:t>
      </w:r>
      <w:r w:rsidR="591F50A3" w:rsidRPr="2C7640F5">
        <w:rPr>
          <w:rFonts w:ascii="Calibri" w:eastAsia="Calibri" w:hAnsi="Calibri"/>
          <w:lang w:val="en-US"/>
        </w:rPr>
        <w:t>AP, OP-2</w:t>
      </w:r>
      <w:r w:rsidR="323B4369" w:rsidRPr="2C7640F5">
        <w:rPr>
          <w:rFonts w:ascii="Calibri" w:eastAsia="Calibri" w:hAnsi="Calibri"/>
          <w:lang w:val="en-US"/>
        </w:rPr>
        <w:t>6</w:t>
      </w:r>
      <w:r w:rsidR="591F50A3" w:rsidRPr="2C7640F5">
        <w:rPr>
          <w:rFonts w:ascii="Calibri" w:eastAsia="Calibri" w:hAnsi="Calibri"/>
          <w:lang w:val="en-US"/>
        </w:rPr>
        <w:t xml:space="preserve"> </w:t>
      </w:r>
      <w:r w:rsidR="00E80210" w:rsidRPr="2C7640F5">
        <w:rPr>
          <w:rFonts w:ascii="Calibri" w:eastAsia="Calibri" w:hAnsi="Calibri"/>
          <w:lang w:val="en-US"/>
        </w:rPr>
        <w:t>elaborate</w:t>
      </w:r>
      <w:r w:rsidR="003A7512" w:rsidRPr="2C7640F5">
        <w:rPr>
          <w:rFonts w:ascii="Calibri" w:eastAsia="Calibri" w:hAnsi="Calibri"/>
          <w:lang w:val="en-US"/>
        </w:rPr>
        <w:t>s</w:t>
      </w:r>
      <w:r w:rsidR="591F50A3" w:rsidRPr="2C7640F5">
        <w:rPr>
          <w:rFonts w:ascii="Calibri" w:eastAsia="Calibri" w:hAnsi="Calibri"/>
          <w:lang w:val="en-US"/>
        </w:rPr>
        <w:t xml:space="preserve"> </w:t>
      </w:r>
      <w:r w:rsidR="00B00786">
        <w:rPr>
          <w:rFonts w:ascii="Calibri" w:eastAsia="Calibri" w:hAnsi="Calibri"/>
          <w:lang w:val="en-US"/>
        </w:rPr>
        <w:t xml:space="preserve">actions to deliver </w:t>
      </w:r>
      <w:r w:rsidR="591F50A3" w:rsidRPr="2C7640F5">
        <w:rPr>
          <w:rFonts w:ascii="Calibri" w:eastAsia="Calibri" w:hAnsi="Calibri"/>
          <w:lang w:val="en-US"/>
        </w:rPr>
        <w:t>outputs</w:t>
      </w:r>
      <w:r w:rsidR="00CC091F">
        <w:rPr>
          <w:rFonts w:ascii="Calibri" w:eastAsia="Calibri" w:hAnsi="Calibri"/>
          <w:lang w:val="en-US"/>
        </w:rPr>
        <w:t>,</w:t>
      </w:r>
      <w:r w:rsidR="591F50A3" w:rsidRPr="2C7640F5">
        <w:rPr>
          <w:rFonts w:ascii="Calibri" w:eastAsia="Calibri" w:hAnsi="Calibri"/>
          <w:lang w:val="en-US"/>
        </w:rPr>
        <w:t xml:space="preserve"> and their corresponding measurable </w:t>
      </w:r>
      <w:r w:rsidR="323B4369" w:rsidRPr="2C7640F5">
        <w:rPr>
          <w:rFonts w:ascii="Calibri" w:eastAsia="Calibri" w:hAnsi="Calibri"/>
          <w:lang w:val="en-US"/>
        </w:rPr>
        <w:t>i</w:t>
      </w:r>
      <w:r w:rsidR="591F50A3" w:rsidRPr="2C7640F5">
        <w:rPr>
          <w:rFonts w:ascii="Calibri" w:eastAsia="Calibri" w:hAnsi="Calibri"/>
          <w:lang w:val="en-US"/>
        </w:rPr>
        <w:t xml:space="preserve">ndicators </w:t>
      </w:r>
      <w:r w:rsidR="45B76A72" w:rsidRPr="2C7640F5">
        <w:rPr>
          <w:rFonts w:ascii="Calibri" w:eastAsia="Calibri" w:hAnsi="Calibri"/>
          <w:lang w:val="en-US"/>
        </w:rPr>
        <w:t xml:space="preserve">in alignment with </w:t>
      </w:r>
      <w:r w:rsidR="00FB6D5D">
        <w:rPr>
          <w:rFonts w:ascii="Calibri" w:eastAsia="Calibri" w:hAnsi="Calibri"/>
          <w:lang w:val="en-US"/>
        </w:rPr>
        <w:t xml:space="preserve">the </w:t>
      </w:r>
      <w:r w:rsidR="45B76A72" w:rsidRPr="2C7640F5">
        <w:rPr>
          <w:rFonts w:ascii="Calibri" w:eastAsia="Calibri" w:hAnsi="Calibri"/>
          <w:lang w:val="en-US"/>
        </w:rPr>
        <w:t xml:space="preserve">outcomes </w:t>
      </w:r>
      <w:r w:rsidR="1BCE3514" w:rsidRPr="2C7640F5">
        <w:rPr>
          <w:rFonts w:ascii="Calibri" w:eastAsia="Calibri" w:hAnsi="Calibri"/>
          <w:lang w:val="en-US"/>
        </w:rPr>
        <w:t>of ITU</w:t>
      </w:r>
      <w:r w:rsidR="591F50A3" w:rsidRPr="2C7640F5">
        <w:rPr>
          <w:rFonts w:ascii="Calibri" w:eastAsia="Calibri" w:hAnsi="Calibri"/>
          <w:lang w:val="en-US"/>
        </w:rPr>
        <w:t>-D Priorit</w:t>
      </w:r>
      <w:r w:rsidR="05813C16" w:rsidRPr="2C7640F5">
        <w:rPr>
          <w:rFonts w:ascii="Calibri" w:eastAsia="Calibri" w:hAnsi="Calibri"/>
          <w:lang w:val="en-US"/>
        </w:rPr>
        <w:t>ies</w:t>
      </w:r>
      <w:r w:rsidR="591F50A3" w:rsidRPr="2C7640F5">
        <w:rPr>
          <w:rFonts w:ascii="Calibri" w:eastAsia="Calibri" w:hAnsi="Calibri"/>
          <w:lang w:val="en-US"/>
        </w:rPr>
        <w:t xml:space="preserve">, taking into account the </w:t>
      </w:r>
      <w:r w:rsidR="591F50A3" w:rsidRPr="2C7640F5">
        <w:rPr>
          <w:rFonts w:ascii="Calibri" w:eastAsia="Calibri" w:hAnsi="Calibri"/>
          <w:lang w:val="en-US"/>
        </w:rPr>
        <w:lastRenderedPageBreak/>
        <w:t xml:space="preserve">experience </w:t>
      </w:r>
      <w:r w:rsidR="13AB44AB" w:rsidRPr="2C7640F5">
        <w:rPr>
          <w:rFonts w:ascii="Calibri" w:eastAsia="Calibri" w:hAnsi="Calibri"/>
          <w:lang w:val="en-US"/>
        </w:rPr>
        <w:t>from</w:t>
      </w:r>
      <w:r w:rsidR="591F50A3" w:rsidRPr="2C7640F5">
        <w:rPr>
          <w:rFonts w:ascii="Calibri" w:eastAsia="Calibri" w:hAnsi="Calibri"/>
          <w:lang w:val="en-US"/>
        </w:rPr>
        <w:t xml:space="preserve"> implementing the </w:t>
      </w:r>
      <w:r w:rsidR="45B76A72" w:rsidRPr="2C7640F5">
        <w:rPr>
          <w:rFonts w:ascii="Calibri" w:eastAsia="Calibri" w:hAnsi="Calibri"/>
          <w:lang w:val="en-US"/>
        </w:rPr>
        <w:t>Kigali</w:t>
      </w:r>
      <w:r w:rsidR="591F50A3" w:rsidRPr="2C7640F5">
        <w:rPr>
          <w:rFonts w:ascii="Calibri" w:eastAsia="Calibri" w:hAnsi="Calibri"/>
          <w:lang w:val="en-US"/>
        </w:rPr>
        <w:t xml:space="preserve"> Action Plan </w:t>
      </w:r>
      <w:r w:rsidR="00A9604B">
        <w:rPr>
          <w:rFonts w:ascii="Calibri" w:eastAsia="Calibri" w:hAnsi="Calibri"/>
          <w:lang w:val="en-US"/>
        </w:rPr>
        <w:t>(KAP)</w:t>
      </w:r>
      <w:r w:rsidR="00FB6D5D">
        <w:rPr>
          <w:rFonts w:ascii="Calibri" w:eastAsia="Calibri" w:hAnsi="Calibri"/>
          <w:lang w:val="en-US"/>
        </w:rPr>
        <w:t xml:space="preserve">, </w:t>
      </w:r>
      <w:r w:rsidR="591F50A3" w:rsidRPr="2C7640F5">
        <w:rPr>
          <w:rFonts w:ascii="Calibri" w:eastAsia="Calibri" w:hAnsi="Calibri"/>
          <w:lang w:val="en-US"/>
        </w:rPr>
        <w:t>and ensuring the continuity of the delivery of services to ITU membership. The new implementation framework</w:t>
      </w:r>
      <w:r w:rsidR="00FB6D5D">
        <w:rPr>
          <w:rFonts w:ascii="Calibri" w:eastAsia="Calibri" w:hAnsi="Calibri"/>
          <w:lang w:val="en-US"/>
        </w:rPr>
        <w:t>,</w:t>
      </w:r>
      <w:r w:rsidR="591F50A3" w:rsidRPr="2C7640F5">
        <w:rPr>
          <w:rFonts w:ascii="Calibri" w:eastAsia="Calibri" w:hAnsi="Calibri"/>
          <w:lang w:val="en-US"/>
        </w:rPr>
        <w:t xml:space="preserve"> </w:t>
      </w:r>
      <w:r w:rsidR="1BCE3514" w:rsidRPr="2C7640F5">
        <w:rPr>
          <w:rFonts w:ascii="Calibri" w:eastAsia="Calibri" w:hAnsi="Calibri"/>
          <w:lang w:val="en-US"/>
        </w:rPr>
        <w:t>anchored in</w:t>
      </w:r>
      <w:r w:rsidR="591F50A3" w:rsidRPr="2C7640F5">
        <w:rPr>
          <w:rFonts w:ascii="Calibri" w:eastAsia="Calibri" w:hAnsi="Calibri"/>
          <w:lang w:val="en-US"/>
        </w:rPr>
        <w:t xml:space="preserve"> Result Based Management (RBM) </w:t>
      </w:r>
      <w:r w:rsidR="1BCE3514" w:rsidRPr="2C7640F5">
        <w:rPr>
          <w:rFonts w:ascii="Calibri" w:eastAsia="Calibri" w:hAnsi="Calibri"/>
          <w:lang w:val="en-US"/>
        </w:rPr>
        <w:t>principles</w:t>
      </w:r>
      <w:r w:rsidR="00FB6D5D">
        <w:rPr>
          <w:rFonts w:ascii="Calibri" w:eastAsia="Calibri" w:hAnsi="Calibri"/>
          <w:lang w:val="en-US"/>
        </w:rPr>
        <w:t xml:space="preserve">, </w:t>
      </w:r>
      <w:r w:rsidR="591F50A3" w:rsidRPr="2C7640F5">
        <w:rPr>
          <w:rFonts w:ascii="Calibri" w:eastAsia="Calibri" w:hAnsi="Calibri"/>
          <w:lang w:val="en-US"/>
        </w:rPr>
        <w:t>will enable proper monitoring and evaluation of the implementation of the outcomes of ITU-D Priorities</w:t>
      </w:r>
      <w:r w:rsidR="46CDC210" w:rsidRPr="2C7640F5">
        <w:rPr>
          <w:rFonts w:ascii="Calibri" w:eastAsia="Calibri" w:hAnsi="Calibri"/>
          <w:lang w:val="en-US"/>
        </w:rPr>
        <w:t xml:space="preserve"> and </w:t>
      </w:r>
      <w:r w:rsidR="3906E322" w:rsidRPr="2C7640F5">
        <w:rPr>
          <w:rFonts w:ascii="Calibri" w:eastAsia="Calibri" w:hAnsi="Calibri"/>
          <w:lang w:val="en-US"/>
        </w:rPr>
        <w:t xml:space="preserve">the </w:t>
      </w:r>
      <w:r w:rsidR="46CDC210" w:rsidRPr="2C7640F5">
        <w:rPr>
          <w:rFonts w:ascii="Calibri" w:eastAsia="Calibri" w:hAnsi="Calibri"/>
          <w:lang w:val="en-US"/>
        </w:rPr>
        <w:t>Enabler</w:t>
      </w:r>
      <w:r w:rsidR="00F16C73">
        <w:rPr>
          <w:rFonts w:ascii="Calibri" w:eastAsia="Calibri" w:hAnsi="Calibri"/>
          <w:lang w:val="en-US"/>
        </w:rPr>
        <w:t>.</w:t>
      </w:r>
    </w:p>
    <w:p w14:paraId="0A60664C" w14:textId="60F23679" w:rsidR="00E80210" w:rsidRPr="00DD188F" w:rsidRDefault="00E80210" w:rsidP="00DD188F">
      <w:pPr>
        <w:pStyle w:val="Heading2"/>
        <w:numPr>
          <w:ilvl w:val="0"/>
          <w:numId w:val="13"/>
        </w:numPr>
        <w:tabs>
          <w:tab w:val="clear" w:pos="794"/>
          <w:tab w:val="left" w:pos="426"/>
        </w:tabs>
        <w:spacing w:before="120" w:after="120"/>
        <w:jc w:val="left"/>
        <w:rPr>
          <w:rFonts w:eastAsia="Calibri"/>
          <w:szCs w:val="24"/>
        </w:rPr>
      </w:pPr>
      <w:r w:rsidRPr="00DD188F">
        <w:rPr>
          <w:rFonts w:eastAsia="Calibri"/>
          <w:szCs w:val="24"/>
        </w:rPr>
        <w:t>Implementation cycle 202</w:t>
      </w:r>
      <w:r w:rsidR="007046F5" w:rsidRPr="00DD188F">
        <w:rPr>
          <w:rFonts w:eastAsia="Calibri"/>
          <w:szCs w:val="24"/>
        </w:rPr>
        <w:t>6</w:t>
      </w:r>
      <w:r w:rsidRPr="00DD188F">
        <w:rPr>
          <w:rFonts w:eastAsia="Calibri"/>
          <w:szCs w:val="24"/>
        </w:rPr>
        <w:t>-202</w:t>
      </w:r>
      <w:r w:rsidR="007046F5" w:rsidRPr="00DD188F">
        <w:rPr>
          <w:rFonts w:eastAsia="Calibri"/>
          <w:szCs w:val="24"/>
        </w:rPr>
        <w:t>9</w:t>
      </w:r>
      <w:r w:rsidRPr="00DD188F">
        <w:rPr>
          <w:rFonts w:eastAsia="Calibri"/>
          <w:szCs w:val="24"/>
        </w:rPr>
        <w:t>: OP-2</w:t>
      </w:r>
      <w:r w:rsidR="007046F5" w:rsidRPr="00DD188F">
        <w:rPr>
          <w:rFonts w:eastAsia="Calibri"/>
          <w:szCs w:val="24"/>
        </w:rPr>
        <w:t>6</w:t>
      </w:r>
      <w:r w:rsidRPr="00DD188F">
        <w:rPr>
          <w:rFonts w:eastAsia="Calibri"/>
          <w:szCs w:val="24"/>
        </w:rPr>
        <w:t xml:space="preserve"> allocation of resources</w:t>
      </w:r>
    </w:p>
    <w:p w14:paraId="2F4131E6" w14:textId="4D33E52E" w:rsidR="00E80210" w:rsidRPr="001D2782" w:rsidRDefault="00B77967" w:rsidP="00523867">
      <w:pPr>
        <w:pStyle w:val="Heading3"/>
        <w:tabs>
          <w:tab w:val="clear" w:pos="794"/>
          <w:tab w:val="left" w:pos="426"/>
        </w:tabs>
        <w:spacing w:before="120" w:after="120"/>
        <w:jc w:val="left"/>
        <w:rPr>
          <w:rFonts w:eastAsia="Calibri"/>
          <w:bCs/>
          <w:szCs w:val="24"/>
          <w:lang w:val="en-US"/>
        </w:rPr>
      </w:pPr>
      <w:r w:rsidRPr="001D2782">
        <w:rPr>
          <w:rFonts w:eastAsia="Calibri"/>
          <w:szCs w:val="24"/>
          <w:lang w:val="en-US"/>
        </w:rPr>
        <w:t>2.1</w:t>
      </w:r>
      <w:r w:rsidRPr="001D2782">
        <w:rPr>
          <w:rFonts w:eastAsia="Calibri"/>
          <w:szCs w:val="24"/>
          <w:lang w:val="en-US"/>
        </w:rPr>
        <w:tab/>
      </w:r>
      <w:r w:rsidR="00E80210" w:rsidRPr="001D2782">
        <w:rPr>
          <w:rFonts w:eastAsia="Calibri"/>
          <w:szCs w:val="24"/>
          <w:lang w:val="en-US"/>
        </w:rPr>
        <w:t>General allocation of funds for the implementation of OP-2</w:t>
      </w:r>
      <w:r w:rsidR="007046F5">
        <w:rPr>
          <w:rFonts w:eastAsia="Calibri"/>
          <w:szCs w:val="24"/>
          <w:lang w:val="en-US"/>
        </w:rPr>
        <w:t>6</w:t>
      </w:r>
      <w:r w:rsidR="00E80210" w:rsidRPr="001D2782">
        <w:rPr>
          <w:rFonts w:eastAsia="Calibri"/>
          <w:szCs w:val="24"/>
          <w:lang w:val="en-US"/>
        </w:rPr>
        <w:t xml:space="preserve"> </w:t>
      </w:r>
    </w:p>
    <w:p w14:paraId="7324188C" w14:textId="0167A0B6" w:rsidR="00E80210" w:rsidRPr="00E02AD6" w:rsidRDefault="64791516" w:rsidP="00523867">
      <w:pPr>
        <w:spacing w:after="120"/>
        <w:jc w:val="left"/>
      </w:pPr>
      <w:r w:rsidRPr="2C7640F5">
        <w:rPr>
          <w:rFonts w:ascii="Calibri" w:eastAsia="Calibri" w:hAnsi="Calibri"/>
        </w:rPr>
        <w:t xml:space="preserve">Taking into account the new BAP structure and lessons learned from the implementation of the </w:t>
      </w:r>
      <w:r w:rsidR="005C5543" w:rsidRPr="2C7640F5">
        <w:rPr>
          <w:rFonts w:ascii="Calibri" w:eastAsia="Calibri" w:hAnsi="Calibri"/>
        </w:rPr>
        <w:t>K</w:t>
      </w:r>
      <w:r w:rsidR="00A308EE">
        <w:rPr>
          <w:rFonts w:ascii="Calibri" w:eastAsia="Calibri" w:hAnsi="Calibri"/>
        </w:rPr>
        <w:t>AP</w:t>
      </w:r>
      <w:r w:rsidRPr="2C7640F5">
        <w:rPr>
          <w:rFonts w:ascii="Calibri" w:eastAsia="Calibri" w:hAnsi="Calibri"/>
        </w:rPr>
        <w:t xml:space="preserve"> the allocation of funds under OP-26</w:t>
      </w:r>
      <w:r w:rsidR="3E5D751D" w:rsidRPr="2C7640F5">
        <w:rPr>
          <w:rFonts w:ascii="Calibri" w:eastAsia="Calibri" w:hAnsi="Calibri"/>
        </w:rPr>
        <w:t xml:space="preserve"> (Table 1)</w:t>
      </w:r>
      <w:r w:rsidRPr="2C7640F5">
        <w:rPr>
          <w:rFonts w:ascii="Calibri" w:eastAsia="Calibri" w:hAnsi="Calibri"/>
        </w:rPr>
        <w:t xml:space="preserve"> was </w:t>
      </w:r>
      <w:r w:rsidR="17C1F9FD" w:rsidRPr="2C7640F5">
        <w:rPr>
          <w:rFonts w:ascii="Calibri" w:eastAsia="Calibri" w:hAnsi="Calibri"/>
        </w:rPr>
        <w:t xml:space="preserve">defined through </w:t>
      </w:r>
      <w:r w:rsidRPr="2C7640F5">
        <w:rPr>
          <w:rFonts w:ascii="Calibri" w:eastAsia="Calibri" w:hAnsi="Calibri"/>
        </w:rPr>
        <w:t xml:space="preserve">internal consultations between </w:t>
      </w:r>
      <w:r w:rsidR="3E5D751D" w:rsidRPr="2C7640F5">
        <w:rPr>
          <w:rFonts w:ascii="Calibri" w:eastAsia="Calibri" w:hAnsi="Calibri"/>
        </w:rPr>
        <w:t>h</w:t>
      </w:r>
      <w:r w:rsidRPr="2C7640F5">
        <w:rPr>
          <w:rFonts w:ascii="Calibri" w:eastAsia="Calibri" w:hAnsi="Calibri"/>
        </w:rPr>
        <w:t>eadquarters and regional and area offices, as well as consultations with Member States, and align with the priorities of each region</w:t>
      </w:r>
      <w:r w:rsidR="5738CDC1">
        <w:t>.</w:t>
      </w:r>
    </w:p>
    <w:p w14:paraId="4ACEA473" w14:textId="251EECE5" w:rsidR="00E80210" w:rsidRDefault="47AFD3E6"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lang w:val="en-US"/>
        </w:rPr>
      </w:pPr>
      <w:r w:rsidRPr="2C7640F5">
        <w:rPr>
          <w:rFonts w:ascii="Calibri" w:eastAsia="Calibri" w:hAnsi="Calibri"/>
          <w:lang w:val="en-US"/>
        </w:rPr>
        <w:t xml:space="preserve">It is important to note that the figures below </w:t>
      </w:r>
      <w:r w:rsidR="5810F0E8" w:rsidRPr="2C7640F5">
        <w:rPr>
          <w:rFonts w:ascii="Calibri" w:eastAsia="Calibri" w:hAnsi="Calibri"/>
          <w:lang w:val="en-US"/>
        </w:rPr>
        <w:t>represent</w:t>
      </w:r>
      <w:r w:rsidRPr="2C7640F5">
        <w:rPr>
          <w:rFonts w:ascii="Calibri" w:eastAsia="Calibri" w:hAnsi="Calibri"/>
          <w:lang w:val="en-US"/>
        </w:rPr>
        <w:t xml:space="preserve"> </w:t>
      </w:r>
      <w:r w:rsidR="36EECF1D" w:rsidRPr="2C7640F5">
        <w:rPr>
          <w:rFonts w:ascii="Calibri" w:eastAsia="Calibri" w:hAnsi="Calibri"/>
          <w:lang w:val="en-US"/>
        </w:rPr>
        <w:t xml:space="preserve">exclusively </w:t>
      </w:r>
      <w:r w:rsidRPr="2C7640F5">
        <w:rPr>
          <w:rFonts w:ascii="Calibri" w:eastAsia="Calibri" w:hAnsi="Calibri"/>
          <w:lang w:val="en-US"/>
        </w:rPr>
        <w:t xml:space="preserve">the funds </w:t>
      </w:r>
      <w:r w:rsidR="6E62B6AC" w:rsidRPr="2C7640F5">
        <w:rPr>
          <w:rFonts w:ascii="Calibri" w:eastAsia="Calibri" w:hAnsi="Calibri"/>
          <w:lang w:val="en-US"/>
        </w:rPr>
        <w:t>available</w:t>
      </w:r>
      <w:r w:rsidRPr="2C7640F5">
        <w:rPr>
          <w:rFonts w:ascii="Calibri" w:eastAsia="Calibri" w:hAnsi="Calibri"/>
          <w:lang w:val="en-US"/>
        </w:rPr>
        <w:t xml:space="preserve"> </w:t>
      </w:r>
      <w:r w:rsidR="6E62B6AC" w:rsidRPr="2C7640F5">
        <w:rPr>
          <w:rFonts w:ascii="Calibri" w:eastAsia="Calibri" w:hAnsi="Calibri"/>
          <w:lang w:val="en-US"/>
        </w:rPr>
        <w:t>for</w:t>
      </w:r>
      <w:r w:rsidR="6A29EC1B" w:rsidRPr="2C7640F5">
        <w:rPr>
          <w:rFonts w:ascii="Calibri" w:eastAsia="Calibri" w:hAnsi="Calibri"/>
          <w:lang w:val="en-US"/>
        </w:rPr>
        <w:t xml:space="preserve"> OP-26 actions</w:t>
      </w:r>
      <w:r w:rsidRPr="2C7640F5">
        <w:rPr>
          <w:rFonts w:ascii="Calibri" w:eastAsia="Calibri" w:hAnsi="Calibri"/>
          <w:lang w:val="en-US"/>
        </w:rPr>
        <w:t xml:space="preserve"> and external services. A number of </w:t>
      </w:r>
      <w:r w:rsidR="072262DD" w:rsidRPr="2C7640F5">
        <w:rPr>
          <w:rFonts w:ascii="Calibri" w:eastAsia="Calibri" w:hAnsi="Calibri"/>
          <w:lang w:val="en-US"/>
        </w:rPr>
        <w:t xml:space="preserve">ITU-D </w:t>
      </w:r>
      <w:r w:rsidRPr="2C7640F5">
        <w:rPr>
          <w:rFonts w:ascii="Calibri" w:eastAsia="Calibri" w:hAnsi="Calibri"/>
          <w:lang w:val="en-US"/>
        </w:rPr>
        <w:t>products and services are delivered by internal staff without</w:t>
      </w:r>
      <w:r w:rsidR="6AFD85AA" w:rsidRPr="2C7640F5">
        <w:rPr>
          <w:rFonts w:ascii="Calibri" w:eastAsia="Calibri" w:hAnsi="Calibri"/>
          <w:lang w:val="en-US"/>
        </w:rPr>
        <w:t xml:space="preserve"> </w:t>
      </w:r>
      <w:r w:rsidR="3D274E43" w:rsidRPr="2C7640F5">
        <w:rPr>
          <w:rFonts w:ascii="Calibri" w:eastAsia="Calibri" w:hAnsi="Calibri"/>
          <w:lang w:val="en-US"/>
        </w:rPr>
        <w:t xml:space="preserve">incurring </w:t>
      </w:r>
      <w:r w:rsidRPr="2C7640F5">
        <w:rPr>
          <w:rFonts w:ascii="Calibri" w:eastAsia="Calibri" w:hAnsi="Calibri"/>
          <w:lang w:val="en-US"/>
        </w:rPr>
        <w:t>additional cost</w:t>
      </w:r>
      <w:r w:rsidR="3BF0D47B" w:rsidRPr="2C7640F5">
        <w:rPr>
          <w:rFonts w:ascii="Calibri" w:eastAsia="Calibri" w:hAnsi="Calibri"/>
          <w:lang w:val="en-US"/>
        </w:rPr>
        <w:t xml:space="preserve"> and thus not reflected in </w:t>
      </w:r>
      <w:r w:rsidR="7D07F39E" w:rsidRPr="2C7640F5">
        <w:rPr>
          <w:rFonts w:ascii="Calibri" w:eastAsia="Calibri" w:hAnsi="Calibri"/>
          <w:lang w:val="en-US"/>
        </w:rPr>
        <w:t xml:space="preserve">Table 1. </w:t>
      </w:r>
    </w:p>
    <w:p w14:paraId="159F4BC3" w14:textId="2810E55B" w:rsidR="00E80210" w:rsidRPr="001D2782" w:rsidRDefault="00E80210" w:rsidP="00523867">
      <w:pPr>
        <w:tabs>
          <w:tab w:val="clear" w:pos="794"/>
          <w:tab w:val="clear" w:pos="1191"/>
          <w:tab w:val="clear" w:pos="1588"/>
          <w:tab w:val="clear" w:pos="1985"/>
        </w:tabs>
        <w:overflowPunct/>
        <w:autoSpaceDE/>
        <w:autoSpaceDN/>
        <w:adjustRightInd/>
        <w:spacing w:after="120"/>
        <w:jc w:val="center"/>
        <w:textAlignment w:val="auto"/>
        <w:rPr>
          <w:rFonts w:ascii="Calibri" w:eastAsia="Calibri" w:hAnsi="Calibri"/>
          <w:b/>
          <w:bCs/>
          <w:szCs w:val="24"/>
          <w:lang w:val="en-US"/>
        </w:rPr>
      </w:pPr>
      <w:r w:rsidRPr="001D2782">
        <w:rPr>
          <w:rFonts w:ascii="Calibri" w:eastAsia="Calibri" w:hAnsi="Calibri"/>
          <w:b/>
          <w:bCs/>
          <w:szCs w:val="24"/>
          <w:lang w:val="en-US"/>
        </w:rPr>
        <w:t>Table 1: Breakdown of funds allocated under OP-2</w:t>
      </w:r>
      <w:r w:rsidR="003E1FC0">
        <w:rPr>
          <w:rFonts w:ascii="Calibri" w:eastAsia="Calibri" w:hAnsi="Calibri"/>
          <w:b/>
          <w:bCs/>
          <w:szCs w:val="24"/>
          <w:lang w:val="en-US"/>
        </w:rPr>
        <w:t>6</w:t>
      </w:r>
      <w:r w:rsidRPr="001D2782">
        <w:rPr>
          <w:rFonts w:ascii="Calibri" w:eastAsia="Calibri" w:hAnsi="Calibri"/>
          <w:szCs w:val="24"/>
          <w:lang w:val="en-US"/>
        </w:rPr>
        <w:t xml:space="preserve">, </w:t>
      </w:r>
      <w:r w:rsidRPr="001D2782">
        <w:rPr>
          <w:rFonts w:ascii="Calibri" w:eastAsia="Calibri" w:hAnsi="Calibri"/>
          <w:b/>
          <w:bCs/>
          <w:szCs w:val="24"/>
          <w:lang w:val="en-US"/>
        </w:rPr>
        <w:t>by ITU-D Priority</w:t>
      </w:r>
    </w:p>
    <w:p w14:paraId="382B24AC" w14:textId="516CA470" w:rsidR="0004616F" w:rsidRDefault="00E13AAA" w:rsidP="00FE5E55">
      <w:pPr>
        <w:tabs>
          <w:tab w:val="clear" w:pos="794"/>
          <w:tab w:val="clear" w:pos="1191"/>
          <w:tab w:val="clear" w:pos="1588"/>
          <w:tab w:val="clear" w:pos="1985"/>
        </w:tabs>
        <w:overflowPunct/>
        <w:autoSpaceDE/>
        <w:autoSpaceDN/>
        <w:adjustRightInd/>
        <w:spacing w:before="0"/>
        <w:textAlignment w:val="auto"/>
        <w:rPr>
          <w:rFonts w:ascii="Calibri" w:eastAsia="Calibri" w:hAnsi="Calibri"/>
          <w:sz w:val="22"/>
          <w:szCs w:val="22"/>
        </w:rPr>
      </w:pPr>
      <w:r w:rsidRPr="00E13AAA">
        <w:rPr>
          <w:rFonts w:ascii="Calibri" w:eastAsia="Calibri" w:hAnsi="Calibri"/>
          <w:noProof/>
          <w:sz w:val="18"/>
          <w:szCs w:val="18"/>
          <w:lang w:val="en-US"/>
        </w:rPr>
        <w:drawing>
          <wp:inline distT="0" distB="0" distL="0" distR="0" wp14:anchorId="4FED4DAE" wp14:editId="5DC9E2C0">
            <wp:extent cx="5962956" cy="3397425"/>
            <wp:effectExtent l="0" t="0" r="0" b="0"/>
            <wp:docPr id="890869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69239" name=""/>
                    <pic:cNvPicPr/>
                  </pic:nvPicPr>
                  <pic:blipFill>
                    <a:blip r:embed="rId16"/>
                    <a:stretch>
                      <a:fillRect/>
                    </a:stretch>
                  </pic:blipFill>
                  <pic:spPr>
                    <a:xfrm>
                      <a:off x="0" y="0"/>
                      <a:ext cx="5962956" cy="3397425"/>
                    </a:xfrm>
                    <a:prstGeom prst="rect">
                      <a:avLst/>
                    </a:prstGeom>
                  </pic:spPr>
                </pic:pic>
              </a:graphicData>
            </a:graphic>
          </wp:inline>
        </w:drawing>
      </w:r>
      <w:r w:rsidR="00E80210" w:rsidRPr="00E80210">
        <w:rPr>
          <w:rFonts w:ascii="Calibri" w:eastAsia="Calibri" w:hAnsi="Calibri"/>
          <w:sz w:val="18"/>
          <w:szCs w:val="18"/>
          <w:lang w:val="en-US"/>
        </w:rPr>
        <w:t xml:space="preserve"> </w:t>
      </w:r>
    </w:p>
    <w:p w14:paraId="3AA1A18C" w14:textId="7F1193D6" w:rsidR="00E80210" w:rsidRDefault="00E80210" w:rsidP="00FE5E55">
      <w:pPr>
        <w:tabs>
          <w:tab w:val="clear" w:pos="794"/>
          <w:tab w:val="clear" w:pos="1191"/>
          <w:tab w:val="clear" w:pos="1588"/>
          <w:tab w:val="clear" w:pos="1985"/>
        </w:tabs>
        <w:overflowPunct/>
        <w:autoSpaceDE/>
        <w:autoSpaceDN/>
        <w:adjustRightInd/>
        <w:spacing w:before="0"/>
        <w:textAlignment w:val="auto"/>
        <w:rPr>
          <w:rFonts w:ascii="Calibri" w:eastAsia="Calibri" w:hAnsi="Calibri"/>
          <w:sz w:val="18"/>
          <w:szCs w:val="18"/>
          <w:lang w:val="en-US"/>
        </w:rPr>
      </w:pPr>
      <w:r w:rsidRPr="00E80210">
        <w:rPr>
          <w:rFonts w:ascii="Calibri" w:eastAsia="Calibri" w:hAnsi="Calibri"/>
          <w:sz w:val="18"/>
          <w:szCs w:val="18"/>
          <w:lang w:val="en-US"/>
        </w:rPr>
        <w:t>Note</w:t>
      </w:r>
      <w:r w:rsidR="0004616F">
        <w:rPr>
          <w:rFonts w:ascii="Calibri" w:eastAsia="Calibri" w:hAnsi="Calibri"/>
          <w:sz w:val="18"/>
          <w:szCs w:val="18"/>
          <w:lang w:val="en-US"/>
        </w:rPr>
        <w:t>s</w:t>
      </w:r>
      <w:r w:rsidRPr="00E80210">
        <w:rPr>
          <w:rFonts w:ascii="Calibri" w:eastAsia="Calibri" w:hAnsi="Calibri"/>
          <w:sz w:val="18"/>
          <w:szCs w:val="18"/>
          <w:lang w:val="en-US"/>
        </w:rPr>
        <w:t>: These are preliminary figures.</w:t>
      </w:r>
      <w:r w:rsidR="0004616F">
        <w:rPr>
          <w:rFonts w:ascii="Calibri" w:eastAsia="Calibri" w:hAnsi="Calibri"/>
          <w:sz w:val="18"/>
          <w:szCs w:val="18"/>
          <w:lang w:val="en-US"/>
        </w:rPr>
        <w:br/>
        <w:t xml:space="preserve">‘P’ stands for ITU-D </w:t>
      </w:r>
      <w:r w:rsidR="00F02112">
        <w:rPr>
          <w:rFonts w:ascii="Calibri" w:eastAsia="Calibri" w:hAnsi="Calibri"/>
          <w:sz w:val="18"/>
          <w:szCs w:val="18"/>
          <w:lang w:val="en-US"/>
        </w:rPr>
        <w:t xml:space="preserve">Priority; </w:t>
      </w:r>
      <w:r w:rsidR="0004616F">
        <w:rPr>
          <w:rFonts w:ascii="Calibri" w:eastAsia="Calibri" w:hAnsi="Calibri"/>
          <w:sz w:val="18"/>
          <w:szCs w:val="18"/>
          <w:lang w:val="en-US"/>
        </w:rPr>
        <w:t>E’ stands for Enabler</w:t>
      </w:r>
    </w:p>
    <w:p w14:paraId="7899C717" w14:textId="2E9B94B3" w:rsidR="00E80210" w:rsidRPr="001D2782" w:rsidRDefault="00E80210" w:rsidP="00523867">
      <w:pPr>
        <w:pStyle w:val="Heading3"/>
        <w:tabs>
          <w:tab w:val="clear" w:pos="794"/>
          <w:tab w:val="left" w:pos="426"/>
        </w:tabs>
        <w:spacing w:before="120" w:after="120"/>
        <w:jc w:val="left"/>
        <w:rPr>
          <w:rFonts w:eastAsia="Calibri"/>
          <w:szCs w:val="24"/>
          <w:lang w:val="en-US"/>
        </w:rPr>
      </w:pPr>
      <w:r w:rsidRPr="001D2782">
        <w:rPr>
          <w:rFonts w:eastAsia="Calibri"/>
          <w:szCs w:val="24"/>
          <w:lang w:val="en-US"/>
        </w:rPr>
        <w:t>2.2</w:t>
      </w:r>
      <w:r w:rsidRPr="001D2782">
        <w:rPr>
          <w:rFonts w:eastAsia="Calibri"/>
          <w:szCs w:val="24"/>
          <w:lang w:val="en-US"/>
        </w:rPr>
        <w:tab/>
        <w:t>OP-2</w:t>
      </w:r>
      <w:r w:rsidR="00E620A6">
        <w:rPr>
          <w:rFonts w:eastAsia="Calibri"/>
          <w:szCs w:val="24"/>
          <w:lang w:val="en-US"/>
        </w:rPr>
        <w:t>6</w:t>
      </w:r>
      <w:r w:rsidRPr="001D2782">
        <w:rPr>
          <w:rFonts w:eastAsia="Calibri"/>
          <w:szCs w:val="24"/>
          <w:lang w:val="en-US"/>
        </w:rPr>
        <w:t xml:space="preserve"> allocation of funds by beneficiary region</w:t>
      </w:r>
    </w:p>
    <w:p w14:paraId="3E77C474" w14:textId="60DDA982" w:rsidR="00E80210" w:rsidRPr="001D2782" w:rsidRDefault="591F50A3"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lang w:val="en-US"/>
        </w:rPr>
      </w:pPr>
      <w:r w:rsidRPr="2C7640F5">
        <w:rPr>
          <w:rFonts w:ascii="Calibri" w:eastAsia="Calibri" w:hAnsi="Calibri"/>
          <w:lang w:val="en-US"/>
        </w:rPr>
        <w:t>Based on</w:t>
      </w:r>
      <w:r w:rsidR="4D0F54A7" w:rsidRPr="2C7640F5">
        <w:rPr>
          <w:rFonts w:ascii="Calibri" w:eastAsia="Calibri" w:hAnsi="Calibri"/>
          <w:lang w:val="en-US"/>
        </w:rPr>
        <w:t xml:space="preserve"> </w:t>
      </w:r>
      <w:r w:rsidRPr="2C7640F5">
        <w:rPr>
          <w:rFonts w:ascii="Calibri" w:eastAsia="Calibri" w:hAnsi="Calibri"/>
          <w:lang w:val="en-US"/>
        </w:rPr>
        <w:t xml:space="preserve">the experience from the implementation of the </w:t>
      </w:r>
      <w:r w:rsidR="501954B9" w:rsidRPr="2C7640F5">
        <w:rPr>
          <w:rFonts w:ascii="Calibri" w:eastAsia="Calibri" w:hAnsi="Calibri"/>
          <w:lang w:val="en-US"/>
        </w:rPr>
        <w:t>Kigali</w:t>
      </w:r>
      <w:r w:rsidRPr="2C7640F5">
        <w:rPr>
          <w:rFonts w:ascii="Calibri" w:eastAsia="Calibri" w:hAnsi="Calibri"/>
          <w:lang w:val="en-US"/>
        </w:rPr>
        <w:t xml:space="preserve"> Action Plan and the needs identified </w:t>
      </w:r>
      <w:r w:rsidR="5F18E60D" w:rsidRPr="2C7640F5">
        <w:rPr>
          <w:rFonts w:ascii="Calibri" w:eastAsia="Calibri" w:hAnsi="Calibri"/>
          <w:lang w:val="en-US"/>
        </w:rPr>
        <w:t>through consultations with Member States</w:t>
      </w:r>
      <w:r w:rsidRPr="2C7640F5">
        <w:rPr>
          <w:rFonts w:ascii="Calibri" w:eastAsia="Calibri" w:hAnsi="Calibri"/>
          <w:lang w:val="en-US"/>
        </w:rPr>
        <w:t>, slightly more than half of the OP-2</w:t>
      </w:r>
      <w:r w:rsidR="5F18E60D" w:rsidRPr="2C7640F5">
        <w:rPr>
          <w:rFonts w:ascii="Calibri" w:eastAsia="Calibri" w:hAnsi="Calibri"/>
          <w:lang w:val="en-US"/>
        </w:rPr>
        <w:t>6</w:t>
      </w:r>
      <w:r w:rsidRPr="2C7640F5">
        <w:rPr>
          <w:rFonts w:ascii="Calibri" w:eastAsia="Calibri" w:hAnsi="Calibri"/>
          <w:lang w:val="en-US"/>
        </w:rPr>
        <w:t xml:space="preserve"> budget (5</w:t>
      </w:r>
      <w:r w:rsidR="5D53C09C" w:rsidRPr="2C7640F5">
        <w:rPr>
          <w:rFonts w:ascii="Calibri" w:eastAsia="Calibri" w:hAnsi="Calibri"/>
          <w:lang w:val="en-US"/>
        </w:rPr>
        <w:t>6</w:t>
      </w:r>
      <w:r w:rsidRPr="2C7640F5">
        <w:rPr>
          <w:rFonts w:ascii="Calibri" w:eastAsia="Calibri" w:hAnsi="Calibri"/>
          <w:lang w:val="en-US"/>
        </w:rPr>
        <w:t xml:space="preserve"> percent) has been allocated to outputs with global focus and multi-region acti</w:t>
      </w:r>
      <w:r w:rsidR="269C3316" w:rsidRPr="2C7640F5">
        <w:rPr>
          <w:rFonts w:ascii="Calibri" w:eastAsia="Calibri" w:hAnsi="Calibri"/>
          <w:lang w:val="en-US"/>
        </w:rPr>
        <w:t>ons</w:t>
      </w:r>
      <w:r w:rsidRPr="2C7640F5">
        <w:rPr>
          <w:rFonts w:ascii="Calibri" w:eastAsia="Calibri" w:hAnsi="Calibri"/>
          <w:lang w:val="en-US"/>
        </w:rPr>
        <w:t xml:space="preserve">, which are expected to generate broad impact and leverage operational efficiencies. </w:t>
      </w:r>
    </w:p>
    <w:p w14:paraId="13B85CCD" w14:textId="091E9144" w:rsidR="00E80210" w:rsidRPr="001D2782" w:rsidRDefault="6CF97EAD"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lang w:val="en-US"/>
        </w:rPr>
      </w:pPr>
      <w:r w:rsidRPr="2C7640F5">
        <w:rPr>
          <w:rFonts w:ascii="Calibri" w:eastAsia="Calibri" w:hAnsi="Calibri"/>
          <w:lang w:val="en-US"/>
        </w:rPr>
        <w:t>A</w:t>
      </w:r>
      <w:r w:rsidR="408ED483" w:rsidRPr="2C7640F5">
        <w:rPr>
          <w:rFonts w:ascii="Calibri" w:eastAsia="Calibri" w:hAnsi="Calibri"/>
          <w:lang w:val="en-US"/>
        </w:rPr>
        <w:t xml:space="preserve">pproximately </w:t>
      </w:r>
      <w:r w:rsidR="591F50A3" w:rsidRPr="2C7640F5">
        <w:rPr>
          <w:rFonts w:ascii="Calibri" w:eastAsia="Calibri" w:hAnsi="Calibri"/>
          <w:lang w:val="en-US"/>
        </w:rPr>
        <w:t>7</w:t>
      </w:r>
      <w:r w:rsidR="408ED483" w:rsidRPr="2C7640F5">
        <w:rPr>
          <w:rFonts w:ascii="Calibri" w:eastAsia="Calibri" w:hAnsi="Calibri"/>
          <w:lang w:val="en-US"/>
        </w:rPr>
        <w:t xml:space="preserve"> </w:t>
      </w:r>
      <w:r w:rsidR="591F50A3" w:rsidRPr="2C7640F5">
        <w:rPr>
          <w:rFonts w:ascii="Calibri" w:eastAsia="Calibri" w:hAnsi="Calibri"/>
          <w:lang w:val="en-US"/>
        </w:rPr>
        <w:t xml:space="preserve">percent </w:t>
      </w:r>
      <w:r w:rsidR="5C4F9E9F" w:rsidRPr="2C7640F5">
        <w:rPr>
          <w:rFonts w:ascii="Calibri" w:eastAsia="Calibri" w:hAnsi="Calibri"/>
          <w:lang w:val="en-US"/>
        </w:rPr>
        <w:t xml:space="preserve">of </w:t>
      </w:r>
      <w:r w:rsidR="4192C6AA" w:rsidRPr="2C7640F5">
        <w:rPr>
          <w:rFonts w:ascii="Calibri" w:eastAsia="Calibri" w:hAnsi="Calibri"/>
          <w:lang w:val="en-US"/>
        </w:rPr>
        <w:t>f</w:t>
      </w:r>
      <w:r w:rsidRPr="2C7640F5">
        <w:rPr>
          <w:rFonts w:ascii="Calibri" w:eastAsia="Calibri" w:hAnsi="Calibri"/>
          <w:lang w:val="en-US"/>
        </w:rPr>
        <w:t>unding</w:t>
      </w:r>
      <w:r w:rsidR="0FA6BD1B" w:rsidRPr="2C7640F5">
        <w:rPr>
          <w:rFonts w:ascii="Calibri" w:eastAsia="Calibri" w:hAnsi="Calibri"/>
          <w:lang w:val="en-US"/>
        </w:rPr>
        <w:t xml:space="preserve"> </w:t>
      </w:r>
      <w:r w:rsidR="591F50A3" w:rsidRPr="2C7640F5">
        <w:rPr>
          <w:rFonts w:ascii="Calibri" w:eastAsia="Calibri" w:hAnsi="Calibri"/>
          <w:lang w:val="en-US"/>
        </w:rPr>
        <w:t>has been allocated</w:t>
      </w:r>
      <w:r w:rsidR="4192C6AA" w:rsidRPr="2C7640F5">
        <w:rPr>
          <w:rFonts w:ascii="Calibri" w:eastAsia="Calibri" w:hAnsi="Calibri"/>
          <w:lang w:val="en-US"/>
        </w:rPr>
        <w:t xml:space="preserve"> to each </w:t>
      </w:r>
      <w:r w:rsidR="2289AAB2" w:rsidRPr="2C7640F5">
        <w:rPr>
          <w:rFonts w:ascii="Calibri" w:eastAsia="Calibri" w:hAnsi="Calibri"/>
          <w:lang w:val="en-US"/>
        </w:rPr>
        <w:t>region to</w:t>
      </w:r>
      <w:r w:rsidR="4192C6AA" w:rsidRPr="2C7640F5">
        <w:rPr>
          <w:rFonts w:ascii="Calibri" w:eastAsia="Calibri" w:hAnsi="Calibri"/>
          <w:lang w:val="en-US"/>
        </w:rPr>
        <w:t xml:space="preserve"> </w:t>
      </w:r>
      <w:r w:rsidR="2289AAB2" w:rsidRPr="2C7640F5">
        <w:rPr>
          <w:rFonts w:ascii="Calibri" w:eastAsia="Calibri" w:hAnsi="Calibri"/>
          <w:lang w:val="en-US"/>
        </w:rPr>
        <w:t>support delivery</w:t>
      </w:r>
      <w:r w:rsidR="4192C6AA" w:rsidRPr="2C7640F5">
        <w:rPr>
          <w:rFonts w:ascii="Calibri" w:eastAsia="Calibri" w:hAnsi="Calibri"/>
          <w:lang w:val="en-US"/>
        </w:rPr>
        <w:t xml:space="preserve"> of</w:t>
      </w:r>
      <w:r w:rsidR="32F1DF97" w:rsidRPr="2C7640F5">
        <w:rPr>
          <w:rFonts w:ascii="Calibri" w:eastAsia="Calibri" w:hAnsi="Calibri"/>
          <w:lang w:val="en-US"/>
        </w:rPr>
        <w:t xml:space="preserve"> </w:t>
      </w:r>
      <w:r w:rsidR="0C6B314B" w:rsidRPr="2C7640F5">
        <w:rPr>
          <w:rFonts w:ascii="Calibri" w:eastAsia="Calibri" w:hAnsi="Calibri"/>
          <w:lang w:val="en-US"/>
        </w:rPr>
        <w:t>out</w:t>
      </w:r>
      <w:r w:rsidR="620E36AF" w:rsidRPr="2C7640F5">
        <w:rPr>
          <w:rFonts w:ascii="Calibri" w:eastAsia="Calibri" w:hAnsi="Calibri"/>
          <w:lang w:val="en-US"/>
        </w:rPr>
        <w:t>puts</w:t>
      </w:r>
      <w:r w:rsidR="636BE07D" w:rsidRPr="2C7640F5">
        <w:rPr>
          <w:rFonts w:ascii="Calibri" w:eastAsia="Calibri" w:hAnsi="Calibri"/>
          <w:lang w:val="en-US"/>
        </w:rPr>
        <w:t xml:space="preserve"> in alignment with </w:t>
      </w:r>
      <w:r w:rsidR="54127F3C" w:rsidRPr="2C7640F5">
        <w:rPr>
          <w:rFonts w:ascii="Calibri" w:eastAsia="Calibri" w:hAnsi="Calibri"/>
          <w:lang w:val="en-US"/>
        </w:rPr>
        <w:t xml:space="preserve">regional priorities, </w:t>
      </w:r>
      <w:r w:rsidR="05CA14B3" w:rsidRPr="2C7640F5">
        <w:rPr>
          <w:rFonts w:ascii="Calibri" w:eastAsia="Calibri" w:hAnsi="Calibri"/>
        </w:rPr>
        <w:t>ensuring an equitable distribution of resources</w:t>
      </w:r>
      <w:r w:rsidR="591F50A3" w:rsidRPr="2C7640F5">
        <w:rPr>
          <w:rFonts w:ascii="Calibri" w:eastAsia="Calibri" w:hAnsi="Calibri"/>
          <w:lang w:val="en-US"/>
        </w:rPr>
        <w:t xml:space="preserve">. Further implementation synergies will be sought among regional outputs, and between regional and global outputs as well as with </w:t>
      </w:r>
      <w:r w:rsidR="2289AAB2" w:rsidRPr="2C7640F5">
        <w:rPr>
          <w:rFonts w:ascii="Calibri" w:eastAsia="Calibri" w:hAnsi="Calibri"/>
          <w:lang w:val="en-US"/>
        </w:rPr>
        <w:t xml:space="preserve">the </w:t>
      </w:r>
      <w:r w:rsidR="591F50A3" w:rsidRPr="2C7640F5">
        <w:rPr>
          <w:rFonts w:ascii="Calibri" w:eastAsia="Calibri" w:hAnsi="Calibri"/>
          <w:lang w:val="en-US"/>
        </w:rPr>
        <w:t xml:space="preserve">outputs of the other ITU Bureaus and the General </w:t>
      </w:r>
      <w:r w:rsidR="591F50A3" w:rsidRPr="2C7640F5">
        <w:rPr>
          <w:rFonts w:ascii="Calibri" w:eastAsia="Calibri" w:hAnsi="Calibri"/>
          <w:lang w:val="en-US"/>
        </w:rPr>
        <w:lastRenderedPageBreak/>
        <w:t xml:space="preserve">Secretariat. Partnerships with national, regional and global entities and projects implemented by BDT will further amplify the impact of </w:t>
      </w:r>
      <w:r w:rsidR="7327748B" w:rsidRPr="2C7640F5">
        <w:rPr>
          <w:rFonts w:ascii="Calibri" w:eastAsia="Calibri" w:hAnsi="Calibri"/>
          <w:lang w:val="en-US"/>
        </w:rPr>
        <w:t>B</w:t>
      </w:r>
      <w:r w:rsidR="591F50A3" w:rsidRPr="2C7640F5">
        <w:rPr>
          <w:rFonts w:ascii="Calibri" w:eastAsia="Calibri" w:hAnsi="Calibri"/>
          <w:lang w:val="en-US"/>
        </w:rPr>
        <w:t xml:space="preserve">AP implementation in the regions and at the global level. </w:t>
      </w:r>
    </w:p>
    <w:p w14:paraId="22CCE2F7" w14:textId="590BF101" w:rsidR="00E80210" w:rsidRPr="001D2782" w:rsidRDefault="00E80210" w:rsidP="00523867">
      <w:pPr>
        <w:keepNext/>
        <w:tabs>
          <w:tab w:val="clear" w:pos="794"/>
          <w:tab w:val="clear" w:pos="1191"/>
          <w:tab w:val="clear" w:pos="1588"/>
          <w:tab w:val="clear" w:pos="1985"/>
        </w:tabs>
        <w:overflowPunct/>
        <w:autoSpaceDE/>
        <w:autoSpaceDN/>
        <w:adjustRightInd/>
        <w:spacing w:after="120"/>
        <w:jc w:val="center"/>
        <w:textAlignment w:val="auto"/>
        <w:rPr>
          <w:rFonts w:ascii="Calibri" w:eastAsia="Calibri" w:hAnsi="Calibri"/>
          <w:b/>
          <w:bCs/>
          <w:szCs w:val="24"/>
          <w:lang w:val="en-US"/>
        </w:rPr>
      </w:pPr>
      <w:r w:rsidRPr="001D2782">
        <w:rPr>
          <w:rFonts w:ascii="Calibri" w:eastAsia="Calibri" w:hAnsi="Calibri"/>
          <w:b/>
          <w:bCs/>
          <w:szCs w:val="24"/>
          <w:lang w:val="en-US"/>
        </w:rPr>
        <w:t>Figure 2: Breakdown of OP-2</w:t>
      </w:r>
      <w:r w:rsidR="007C3F85">
        <w:rPr>
          <w:rFonts w:ascii="Calibri" w:eastAsia="Calibri" w:hAnsi="Calibri"/>
          <w:b/>
          <w:bCs/>
          <w:szCs w:val="24"/>
          <w:lang w:val="en-US"/>
        </w:rPr>
        <w:t>6</w:t>
      </w:r>
      <w:r w:rsidRPr="001D2782">
        <w:rPr>
          <w:rFonts w:ascii="Calibri" w:eastAsia="Calibri" w:hAnsi="Calibri"/>
          <w:b/>
          <w:bCs/>
          <w:szCs w:val="24"/>
          <w:lang w:val="en-US"/>
        </w:rPr>
        <w:t xml:space="preserve"> outputs by beneficiary region </w:t>
      </w:r>
      <w:r w:rsidR="00DD188F">
        <w:rPr>
          <w:rFonts w:ascii="Calibri" w:eastAsia="Calibri" w:hAnsi="Calibri"/>
          <w:b/>
          <w:bCs/>
          <w:szCs w:val="24"/>
          <w:lang w:val="en-US"/>
        </w:rPr>
        <w:br/>
      </w:r>
      <w:r w:rsidRPr="001D2782">
        <w:rPr>
          <w:rFonts w:ascii="Calibri" w:eastAsia="Calibri" w:hAnsi="Calibri"/>
          <w:b/>
          <w:bCs/>
          <w:szCs w:val="24"/>
          <w:lang w:val="en-US"/>
        </w:rPr>
        <w:t>(cumulative for all ITU-D Priorities and Enabler)</w:t>
      </w:r>
    </w:p>
    <w:p w14:paraId="292BE3F1" w14:textId="3C61581B" w:rsidR="00E80210" w:rsidRPr="001D2782" w:rsidRDefault="000A1B0C" w:rsidP="00B80E4A">
      <w:pPr>
        <w:tabs>
          <w:tab w:val="clear" w:pos="794"/>
          <w:tab w:val="clear" w:pos="1191"/>
          <w:tab w:val="clear" w:pos="1588"/>
          <w:tab w:val="clear" w:pos="1985"/>
        </w:tabs>
        <w:overflowPunct/>
        <w:autoSpaceDE/>
        <w:autoSpaceDN/>
        <w:adjustRightInd/>
        <w:spacing w:after="120"/>
        <w:ind w:left="720"/>
        <w:jc w:val="left"/>
        <w:textAlignment w:val="auto"/>
        <w:rPr>
          <w:rFonts w:ascii="Calibri" w:eastAsia="Calibri" w:hAnsi="Calibri"/>
          <w:b/>
          <w:bCs/>
          <w:szCs w:val="24"/>
          <w:lang w:val="en-US"/>
        </w:rPr>
      </w:pPr>
      <w:r w:rsidRPr="00290D2F">
        <w:rPr>
          <w:rFonts w:ascii="Calibri" w:eastAsia="Calibri" w:hAnsi="Calibri"/>
          <w:b/>
          <w:bCs/>
          <w:noProof/>
          <w:sz w:val="20"/>
          <w:lang w:val="en-US"/>
        </w:rPr>
        <w:drawing>
          <wp:inline distT="0" distB="0" distL="0" distR="0" wp14:anchorId="7D7DD028" wp14:editId="5EA79241">
            <wp:extent cx="4286470" cy="2768742"/>
            <wp:effectExtent l="0" t="0" r="0" b="0"/>
            <wp:docPr id="1463980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980208" name=""/>
                    <pic:cNvPicPr/>
                  </pic:nvPicPr>
                  <pic:blipFill>
                    <a:blip r:embed="rId17"/>
                    <a:stretch>
                      <a:fillRect/>
                    </a:stretch>
                  </pic:blipFill>
                  <pic:spPr>
                    <a:xfrm>
                      <a:off x="0" y="0"/>
                      <a:ext cx="4286470" cy="2768742"/>
                    </a:xfrm>
                    <a:prstGeom prst="rect">
                      <a:avLst/>
                    </a:prstGeom>
                  </pic:spPr>
                </pic:pic>
              </a:graphicData>
            </a:graphic>
          </wp:inline>
        </w:drawing>
      </w:r>
    </w:p>
    <w:p w14:paraId="6B0D6396" w14:textId="3190E1B5" w:rsidR="00601AB4" w:rsidRPr="00E009C2" w:rsidRDefault="00601AB4" w:rsidP="00EF5FC6">
      <w:pPr>
        <w:tabs>
          <w:tab w:val="clear" w:pos="794"/>
          <w:tab w:val="clear" w:pos="1191"/>
          <w:tab w:val="clear" w:pos="1588"/>
          <w:tab w:val="clear" w:pos="1985"/>
        </w:tabs>
        <w:overflowPunct/>
        <w:autoSpaceDE/>
        <w:autoSpaceDN/>
        <w:adjustRightInd/>
        <w:spacing w:after="120"/>
        <w:ind w:left="720"/>
        <w:jc w:val="left"/>
        <w:textAlignment w:val="auto"/>
        <w:rPr>
          <w:rFonts w:ascii="Calibri" w:eastAsia="Calibri" w:hAnsi="Calibri"/>
          <w:sz w:val="22"/>
          <w:szCs w:val="22"/>
          <w:lang w:val="en-US"/>
        </w:rPr>
      </w:pPr>
      <w:r w:rsidRPr="00E009C2">
        <w:rPr>
          <w:rFonts w:ascii="Calibri" w:eastAsia="Calibri" w:hAnsi="Calibri"/>
          <w:sz w:val="22"/>
          <w:szCs w:val="22"/>
          <w:lang w:val="en-US"/>
        </w:rPr>
        <w:t>* as % of OP-2</w:t>
      </w:r>
      <w:r w:rsidR="00E84ABF" w:rsidRPr="00E009C2">
        <w:rPr>
          <w:rFonts w:ascii="Calibri" w:eastAsia="Calibri" w:hAnsi="Calibri"/>
          <w:sz w:val="22"/>
          <w:szCs w:val="22"/>
          <w:lang w:val="en-US"/>
        </w:rPr>
        <w:t>6</w:t>
      </w:r>
      <w:r w:rsidRPr="00E009C2">
        <w:rPr>
          <w:rFonts w:ascii="Calibri" w:eastAsia="Calibri" w:hAnsi="Calibri"/>
          <w:sz w:val="22"/>
          <w:szCs w:val="22"/>
          <w:lang w:val="en-US"/>
        </w:rPr>
        <w:t xml:space="preserve"> budget</w:t>
      </w:r>
    </w:p>
    <w:p w14:paraId="2CB09A78" w14:textId="4B8B97B6" w:rsidR="00E80210" w:rsidRPr="001D2782" w:rsidRDefault="00E80210" w:rsidP="00523867">
      <w:pPr>
        <w:pStyle w:val="Heading3"/>
        <w:tabs>
          <w:tab w:val="clear" w:pos="794"/>
          <w:tab w:val="left" w:pos="426"/>
        </w:tabs>
        <w:spacing w:before="120" w:after="120"/>
        <w:jc w:val="left"/>
        <w:rPr>
          <w:rFonts w:eastAsia="Calibri"/>
          <w:szCs w:val="24"/>
          <w:lang w:val="en-US"/>
        </w:rPr>
      </w:pPr>
      <w:r w:rsidRPr="001D2782">
        <w:rPr>
          <w:rFonts w:eastAsia="Calibri"/>
          <w:szCs w:val="24"/>
          <w:lang w:val="en-US"/>
        </w:rPr>
        <w:t>2.</w:t>
      </w:r>
      <w:r w:rsidR="00093FAD">
        <w:rPr>
          <w:rFonts w:eastAsia="Calibri"/>
          <w:szCs w:val="24"/>
          <w:lang w:val="en-US"/>
        </w:rPr>
        <w:t>3</w:t>
      </w:r>
      <w:r w:rsidRPr="001D2782">
        <w:rPr>
          <w:rFonts w:eastAsia="Calibri"/>
          <w:szCs w:val="24"/>
          <w:lang w:val="en-US"/>
        </w:rPr>
        <w:tab/>
        <w:t xml:space="preserve">Linkages between ITU-D Priorities and the ITU Thematic Priorities </w:t>
      </w:r>
    </w:p>
    <w:p w14:paraId="0E22B48E" w14:textId="7F8D2461" w:rsidR="00E80210" w:rsidRPr="001D2782" w:rsidRDefault="591F50A3"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b/>
          <w:bCs/>
        </w:rPr>
      </w:pPr>
      <w:r w:rsidRPr="2C7640F5">
        <w:rPr>
          <w:rFonts w:ascii="Calibri" w:eastAsia="Calibri" w:hAnsi="Calibri"/>
        </w:rPr>
        <w:t xml:space="preserve">The </w:t>
      </w:r>
      <w:r w:rsidR="14DC1195" w:rsidRPr="2C7640F5">
        <w:rPr>
          <w:rFonts w:ascii="Calibri" w:eastAsia="Calibri" w:hAnsi="Calibri"/>
        </w:rPr>
        <w:t>B</w:t>
      </w:r>
      <w:r w:rsidRPr="2C7640F5">
        <w:rPr>
          <w:rFonts w:ascii="Calibri" w:eastAsia="Calibri" w:hAnsi="Calibri"/>
        </w:rPr>
        <w:t xml:space="preserve">AP </w:t>
      </w:r>
      <w:r w:rsidR="147944CA" w:rsidRPr="2C7640F5">
        <w:rPr>
          <w:rFonts w:ascii="Calibri" w:eastAsia="Calibri" w:hAnsi="Calibri"/>
        </w:rPr>
        <w:t xml:space="preserve">forms the basis for the </w:t>
      </w:r>
      <w:r w:rsidRPr="2C7640F5">
        <w:rPr>
          <w:rFonts w:ascii="Calibri" w:eastAsia="Calibri" w:hAnsi="Calibri"/>
        </w:rPr>
        <w:t>develop</w:t>
      </w:r>
      <w:r w:rsidR="147944CA" w:rsidRPr="2C7640F5">
        <w:rPr>
          <w:rFonts w:ascii="Calibri" w:eastAsia="Calibri" w:hAnsi="Calibri"/>
        </w:rPr>
        <w:t>ment of</w:t>
      </w:r>
      <w:r w:rsidRPr="2C7640F5">
        <w:rPr>
          <w:rFonts w:ascii="Calibri" w:eastAsia="Calibri" w:hAnsi="Calibri"/>
        </w:rPr>
        <w:t xml:space="preserve"> the ITU-D operational plan to monitor and achieve the priorities identified by the Member States at WTDC-2</w:t>
      </w:r>
      <w:r w:rsidR="54007394" w:rsidRPr="2C7640F5">
        <w:rPr>
          <w:rFonts w:ascii="Calibri" w:eastAsia="Calibri" w:hAnsi="Calibri"/>
        </w:rPr>
        <w:t>5</w:t>
      </w:r>
      <w:r w:rsidRPr="2C7640F5">
        <w:rPr>
          <w:rFonts w:ascii="Calibri" w:eastAsia="Calibri" w:hAnsi="Calibri"/>
        </w:rPr>
        <w:t xml:space="preserve"> throughout the 202</w:t>
      </w:r>
      <w:r w:rsidR="716A2C3D" w:rsidRPr="2C7640F5">
        <w:rPr>
          <w:rFonts w:ascii="Calibri" w:eastAsia="Calibri" w:hAnsi="Calibri"/>
        </w:rPr>
        <w:t>6</w:t>
      </w:r>
      <w:r w:rsidRPr="2C7640F5">
        <w:rPr>
          <w:rFonts w:ascii="Calibri" w:eastAsia="Calibri" w:hAnsi="Calibri"/>
        </w:rPr>
        <w:t>-202</w:t>
      </w:r>
      <w:r w:rsidR="716A2C3D" w:rsidRPr="2C7640F5">
        <w:rPr>
          <w:rFonts w:ascii="Calibri" w:eastAsia="Calibri" w:hAnsi="Calibri"/>
        </w:rPr>
        <w:t>9</w:t>
      </w:r>
      <w:r w:rsidRPr="2C7640F5">
        <w:rPr>
          <w:rFonts w:ascii="Calibri" w:eastAsia="Calibri" w:hAnsi="Calibri"/>
        </w:rPr>
        <w:t xml:space="preserve"> implementation cycle. It is results-</w:t>
      </w:r>
      <w:r w:rsidR="00E80210" w:rsidRPr="2C7640F5" w:rsidDel="591F50A3">
        <w:rPr>
          <w:rFonts w:ascii="Calibri" w:eastAsia="Calibri" w:hAnsi="Calibri"/>
        </w:rPr>
        <w:t>based</w:t>
      </w:r>
      <w:r w:rsidRPr="2C7640F5">
        <w:rPr>
          <w:rFonts w:ascii="Calibri" w:eastAsia="Calibri" w:hAnsi="Calibri"/>
        </w:rPr>
        <w:t xml:space="preserve"> and steers the implementation of these priorities in alignment of the</w:t>
      </w:r>
      <w:r w:rsidR="716A2C3D" w:rsidRPr="2C7640F5">
        <w:rPr>
          <w:rFonts w:ascii="Calibri" w:eastAsia="Calibri" w:hAnsi="Calibri"/>
        </w:rPr>
        <w:t xml:space="preserve"> </w:t>
      </w:r>
      <w:r w:rsidRPr="2C7640F5">
        <w:rPr>
          <w:rFonts w:ascii="Calibri" w:eastAsia="Calibri" w:hAnsi="Calibri"/>
        </w:rPr>
        <w:t xml:space="preserve">thematic priorities, product and service offerings and enablers defined in the ITU strategic plan for 2024-2027 </w:t>
      </w:r>
      <w:r w:rsidRPr="2C7640F5">
        <w:rPr>
          <w:rFonts w:ascii="Calibri" w:eastAsia="Calibri" w:hAnsi="Calibri"/>
          <w:lang w:val="en-US"/>
        </w:rPr>
        <w:t>within the limits set in the financial plans for the concerned timeframes</w:t>
      </w:r>
      <w:r w:rsidRPr="2C7640F5">
        <w:rPr>
          <w:rFonts w:ascii="Calibri" w:eastAsia="Calibri" w:hAnsi="Calibri"/>
        </w:rPr>
        <w:t xml:space="preserve">. </w:t>
      </w:r>
    </w:p>
    <w:p w14:paraId="64755F96" w14:textId="64B99B44" w:rsidR="00E80210" w:rsidRPr="001D2782" w:rsidRDefault="591F50A3" w:rsidP="00523867">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lang w:val="en-US"/>
        </w:rPr>
      </w:pPr>
      <w:r w:rsidRPr="2C7640F5">
        <w:rPr>
          <w:rFonts w:ascii="Calibri" w:eastAsia="Calibri" w:hAnsi="Calibri"/>
          <w:lang w:val="en-US"/>
        </w:rPr>
        <w:t xml:space="preserve">There are strong linkages between the ITU-D Priorities as defined in </w:t>
      </w:r>
      <w:r w:rsidR="716A2C3D" w:rsidRPr="2C7640F5">
        <w:rPr>
          <w:rFonts w:ascii="Calibri" w:eastAsia="Calibri" w:hAnsi="Calibri"/>
          <w:lang w:val="en-US"/>
        </w:rPr>
        <w:t>B</w:t>
      </w:r>
      <w:r w:rsidRPr="2C7640F5">
        <w:rPr>
          <w:rFonts w:ascii="Calibri" w:eastAsia="Calibri" w:hAnsi="Calibri"/>
          <w:lang w:val="en-US"/>
        </w:rPr>
        <w:t xml:space="preserve">AP and the Thematic Priorities set out in the ITU Strategic Plan 2024-2027, as </w:t>
      </w:r>
      <w:r w:rsidR="6D55D4AC" w:rsidRPr="2C7640F5">
        <w:rPr>
          <w:rFonts w:ascii="Calibri" w:eastAsia="Calibri" w:hAnsi="Calibri"/>
          <w:lang w:val="en-US"/>
        </w:rPr>
        <w:t xml:space="preserve">mapped </w:t>
      </w:r>
      <w:r w:rsidRPr="2C7640F5">
        <w:rPr>
          <w:rFonts w:ascii="Calibri" w:eastAsia="Calibri" w:hAnsi="Calibri"/>
          <w:lang w:val="en-US"/>
        </w:rPr>
        <w:t>in the table below.</w:t>
      </w:r>
    </w:p>
    <w:p w14:paraId="1E07E5AC" w14:textId="20AA55BF" w:rsidR="00E80210" w:rsidRPr="001D2782" w:rsidRDefault="00E80210" w:rsidP="00523867">
      <w:pPr>
        <w:keepNext/>
        <w:widowControl w:val="0"/>
        <w:tabs>
          <w:tab w:val="clear" w:pos="794"/>
          <w:tab w:val="clear" w:pos="1191"/>
          <w:tab w:val="clear" w:pos="1588"/>
          <w:tab w:val="clear" w:pos="1985"/>
        </w:tabs>
        <w:overflowPunct/>
        <w:autoSpaceDE/>
        <w:autoSpaceDN/>
        <w:adjustRightInd/>
        <w:spacing w:after="120"/>
        <w:jc w:val="center"/>
        <w:textAlignment w:val="auto"/>
        <w:rPr>
          <w:rFonts w:ascii="Calibri" w:eastAsia="Calibri" w:hAnsi="Calibri"/>
          <w:b/>
          <w:bCs/>
          <w:szCs w:val="24"/>
          <w:lang w:val="en-US"/>
        </w:rPr>
      </w:pPr>
      <w:r w:rsidRPr="001D2782">
        <w:rPr>
          <w:rFonts w:ascii="Calibri" w:eastAsia="Calibri" w:hAnsi="Calibri"/>
          <w:b/>
          <w:bCs/>
          <w:szCs w:val="24"/>
          <w:lang w:val="en-US"/>
        </w:rPr>
        <w:lastRenderedPageBreak/>
        <w:t xml:space="preserve">Figure </w:t>
      </w:r>
      <w:r w:rsidR="00080652">
        <w:rPr>
          <w:rFonts w:ascii="Calibri" w:eastAsia="Calibri" w:hAnsi="Calibri"/>
          <w:b/>
          <w:bCs/>
          <w:szCs w:val="24"/>
          <w:lang w:val="en-US"/>
        </w:rPr>
        <w:t>4</w:t>
      </w:r>
      <w:r w:rsidRPr="001D2782">
        <w:rPr>
          <w:rFonts w:ascii="Calibri" w:eastAsia="Calibri" w:hAnsi="Calibri"/>
          <w:b/>
          <w:bCs/>
          <w:szCs w:val="24"/>
          <w:lang w:val="en-US"/>
        </w:rPr>
        <w:t xml:space="preserve">: Linkages between ITU-D Priorities </w:t>
      </w:r>
      <w:r w:rsidR="000701ED">
        <w:rPr>
          <w:rFonts w:ascii="Calibri" w:eastAsia="Calibri" w:hAnsi="Calibri"/>
          <w:b/>
          <w:bCs/>
          <w:szCs w:val="24"/>
          <w:lang w:val="en-US"/>
        </w:rPr>
        <w:t>&amp;</w:t>
      </w:r>
      <w:r w:rsidRPr="001D2782">
        <w:rPr>
          <w:rFonts w:ascii="Calibri" w:eastAsia="Calibri" w:hAnsi="Calibri"/>
          <w:b/>
          <w:bCs/>
          <w:szCs w:val="24"/>
          <w:lang w:val="en-US"/>
        </w:rPr>
        <w:t xml:space="preserve"> Enabler, and ITU Thematic Priorities</w:t>
      </w:r>
    </w:p>
    <w:p w14:paraId="2289BCCE" w14:textId="52A86362" w:rsidR="00EA2D5D" w:rsidRDefault="001456A7" w:rsidP="00FE5E55">
      <w:pPr>
        <w:tabs>
          <w:tab w:val="clear" w:pos="794"/>
          <w:tab w:val="clear" w:pos="1191"/>
          <w:tab w:val="clear" w:pos="1588"/>
          <w:tab w:val="clear" w:pos="1985"/>
        </w:tabs>
        <w:overflowPunct/>
        <w:autoSpaceDE/>
        <w:autoSpaceDN/>
        <w:adjustRightInd/>
        <w:spacing w:before="0" w:after="160"/>
        <w:textAlignment w:val="auto"/>
        <w:rPr>
          <w:rFonts w:ascii="Calibri" w:eastAsia="Calibri" w:hAnsi="Calibri"/>
          <w:sz w:val="16"/>
          <w:szCs w:val="16"/>
          <w:lang w:val="en-US"/>
        </w:rPr>
      </w:pPr>
      <w:r w:rsidRPr="001456A7">
        <w:rPr>
          <w:rFonts w:ascii="Calibri" w:eastAsia="Calibri" w:hAnsi="Calibri"/>
          <w:noProof/>
          <w:sz w:val="16"/>
          <w:szCs w:val="16"/>
          <w:lang w:val="en-US"/>
        </w:rPr>
        <w:drawing>
          <wp:inline distT="0" distB="0" distL="0" distR="0" wp14:anchorId="20F9834A" wp14:editId="4A2A8361">
            <wp:extent cx="6126480" cy="3088928"/>
            <wp:effectExtent l="0" t="0" r="7620" b="0"/>
            <wp:docPr id="11467251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25198" name=""/>
                    <pic:cNvPicPr/>
                  </pic:nvPicPr>
                  <pic:blipFill>
                    <a:blip r:embed="rId18"/>
                    <a:stretch>
                      <a:fillRect/>
                    </a:stretch>
                  </pic:blipFill>
                  <pic:spPr>
                    <a:xfrm>
                      <a:off x="0" y="0"/>
                      <a:ext cx="6153988" cy="3102797"/>
                    </a:xfrm>
                    <a:prstGeom prst="rect">
                      <a:avLst/>
                    </a:prstGeom>
                  </pic:spPr>
                </pic:pic>
              </a:graphicData>
            </a:graphic>
          </wp:inline>
        </w:drawing>
      </w:r>
    </w:p>
    <w:p w14:paraId="08C30570" w14:textId="04DCD375" w:rsidR="00E80210" w:rsidRDefault="00E80210" w:rsidP="00FE5E55">
      <w:pPr>
        <w:tabs>
          <w:tab w:val="clear" w:pos="794"/>
          <w:tab w:val="clear" w:pos="1191"/>
          <w:tab w:val="clear" w:pos="1588"/>
          <w:tab w:val="clear" w:pos="1985"/>
        </w:tabs>
        <w:overflowPunct/>
        <w:autoSpaceDE/>
        <w:autoSpaceDN/>
        <w:adjustRightInd/>
        <w:spacing w:before="0" w:after="160"/>
        <w:textAlignment w:val="auto"/>
        <w:rPr>
          <w:rFonts w:ascii="Calibri" w:eastAsia="Calibri" w:hAnsi="Calibri"/>
          <w:sz w:val="16"/>
          <w:szCs w:val="16"/>
          <w:lang w:val="en-US"/>
        </w:rPr>
      </w:pPr>
      <w:r w:rsidRPr="002A4D4C">
        <w:rPr>
          <w:rFonts w:ascii="Calibri" w:eastAsia="Calibri" w:hAnsi="Calibri"/>
          <w:sz w:val="16"/>
          <w:szCs w:val="16"/>
          <w:lang w:val="en-US"/>
        </w:rPr>
        <w:t xml:space="preserve">Note: </w:t>
      </w:r>
      <w:r w:rsidR="00707319">
        <w:rPr>
          <w:rFonts w:ascii="Calibri" w:eastAsia="Calibri" w:hAnsi="Calibri"/>
          <w:sz w:val="16"/>
          <w:szCs w:val="16"/>
          <w:lang w:val="en-US"/>
        </w:rPr>
        <w:t>i</w:t>
      </w:r>
      <w:r w:rsidRPr="002A4D4C">
        <w:rPr>
          <w:rFonts w:ascii="Calibri" w:eastAsia="Calibri" w:hAnsi="Calibri"/>
          <w:sz w:val="16"/>
          <w:szCs w:val="16"/>
          <w:lang w:val="en-US"/>
        </w:rPr>
        <w:t xml:space="preserve">n brackets </w:t>
      </w:r>
      <w:r w:rsidR="00707319">
        <w:rPr>
          <w:rFonts w:ascii="Calibri" w:eastAsia="Calibri" w:hAnsi="Calibri"/>
          <w:sz w:val="16"/>
          <w:szCs w:val="16"/>
          <w:lang w:val="en-US"/>
        </w:rPr>
        <w:t>next to</w:t>
      </w:r>
      <w:r w:rsidR="00AF3434" w:rsidRPr="002A4D4C">
        <w:rPr>
          <w:rFonts w:ascii="Calibri" w:eastAsia="Calibri" w:hAnsi="Calibri"/>
          <w:sz w:val="16"/>
          <w:szCs w:val="16"/>
          <w:lang w:val="en-US"/>
        </w:rPr>
        <w:t xml:space="preserve"> </w:t>
      </w:r>
      <w:r w:rsidRPr="002A4D4C">
        <w:rPr>
          <w:rFonts w:ascii="Calibri" w:eastAsia="Calibri" w:hAnsi="Calibri"/>
          <w:sz w:val="16"/>
          <w:szCs w:val="16"/>
          <w:lang w:val="en-US"/>
        </w:rPr>
        <w:t xml:space="preserve">each ITU-D Priority/Enabler are listed the </w:t>
      </w:r>
      <w:r w:rsidR="003413FE" w:rsidRPr="002A4D4C">
        <w:rPr>
          <w:rFonts w:ascii="Calibri" w:eastAsia="Calibri" w:hAnsi="Calibri"/>
          <w:sz w:val="16"/>
          <w:szCs w:val="16"/>
          <w:lang w:val="en-US"/>
        </w:rPr>
        <w:t xml:space="preserve">respective </w:t>
      </w:r>
      <w:r w:rsidR="0025692E">
        <w:rPr>
          <w:rFonts w:ascii="Calibri" w:eastAsia="Calibri" w:hAnsi="Calibri"/>
          <w:sz w:val="16"/>
          <w:szCs w:val="16"/>
          <w:lang w:val="en-US"/>
        </w:rPr>
        <w:t>t</w:t>
      </w:r>
      <w:r w:rsidR="00284CD5" w:rsidRPr="002A4D4C">
        <w:rPr>
          <w:rFonts w:ascii="Calibri" w:eastAsia="Calibri" w:hAnsi="Calibri"/>
          <w:sz w:val="16"/>
          <w:szCs w:val="16"/>
          <w:lang w:val="en-US"/>
        </w:rPr>
        <w:t>opic</w:t>
      </w:r>
      <w:r w:rsidR="002A4D4C" w:rsidRPr="002A4D4C">
        <w:rPr>
          <w:rFonts w:ascii="Calibri" w:eastAsia="Calibri" w:hAnsi="Calibri"/>
          <w:sz w:val="16"/>
          <w:szCs w:val="16"/>
          <w:lang w:val="en-US"/>
        </w:rPr>
        <w:t>s</w:t>
      </w:r>
      <w:r w:rsidR="003413FE" w:rsidRPr="002A4D4C">
        <w:rPr>
          <w:rFonts w:ascii="Calibri" w:eastAsia="Calibri" w:hAnsi="Calibri"/>
          <w:sz w:val="16"/>
          <w:szCs w:val="16"/>
          <w:lang w:val="en-US"/>
        </w:rPr>
        <w:t xml:space="preserve"> </w:t>
      </w:r>
      <w:r w:rsidR="0025692E">
        <w:rPr>
          <w:rFonts w:ascii="Calibri" w:eastAsia="Calibri" w:hAnsi="Calibri"/>
          <w:sz w:val="16"/>
          <w:szCs w:val="16"/>
          <w:lang w:val="en-US"/>
        </w:rPr>
        <w:t xml:space="preserve">/ programmes through </w:t>
      </w:r>
      <w:r w:rsidR="00707319">
        <w:rPr>
          <w:rFonts w:ascii="Calibri" w:eastAsia="Calibri" w:hAnsi="Calibri"/>
          <w:sz w:val="16"/>
          <w:szCs w:val="16"/>
          <w:lang w:val="en-US"/>
        </w:rPr>
        <w:t>which</w:t>
      </w:r>
      <w:r w:rsidR="0025692E">
        <w:rPr>
          <w:rFonts w:ascii="Calibri" w:eastAsia="Calibri" w:hAnsi="Calibri"/>
          <w:sz w:val="16"/>
          <w:szCs w:val="16"/>
          <w:lang w:val="en-US"/>
        </w:rPr>
        <w:t xml:space="preserve"> </w:t>
      </w:r>
      <w:r w:rsidR="00707319">
        <w:rPr>
          <w:rFonts w:ascii="Calibri" w:eastAsia="Calibri" w:hAnsi="Calibri"/>
          <w:sz w:val="16"/>
          <w:szCs w:val="16"/>
          <w:lang w:val="en-US"/>
        </w:rPr>
        <w:t xml:space="preserve">the actions </w:t>
      </w:r>
      <w:r w:rsidR="00A143E1">
        <w:rPr>
          <w:rFonts w:ascii="Calibri" w:eastAsia="Calibri" w:hAnsi="Calibri"/>
          <w:sz w:val="16"/>
          <w:szCs w:val="16"/>
          <w:lang w:val="en-US"/>
        </w:rPr>
        <w:t xml:space="preserve">are </w:t>
      </w:r>
      <w:r w:rsidR="006725DB">
        <w:rPr>
          <w:rFonts w:ascii="Calibri" w:eastAsia="Calibri" w:hAnsi="Calibri"/>
          <w:sz w:val="16"/>
          <w:szCs w:val="16"/>
          <w:lang w:val="en-US"/>
        </w:rPr>
        <w:t>undertaken and</w:t>
      </w:r>
      <w:r w:rsidR="00707319">
        <w:rPr>
          <w:rFonts w:ascii="Calibri" w:eastAsia="Calibri" w:hAnsi="Calibri"/>
          <w:sz w:val="16"/>
          <w:szCs w:val="16"/>
          <w:lang w:val="en-US"/>
        </w:rPr>
        <w:t xml:space="preserve"> </w:t>
      </w:r>
      <w:r w:rsidR="0025692E">
        <w:rPr>
          <w:rFonts w:ascii="Calibri" w:eastAsia="Calibri" w:hAnsi="Calibri"/>
          <w:sz w:val="16"/>
          <w:szCs w:val="16"/>
          <w:lang w:val="en-US"/>
        </w:rPr>
        <w:t>out</w:t>
      </w:r>
      <w:r w:rsidR="00707319">
        <w:rPr>
          <w:rFonts w:ascii="Calibri" w:eastAsia="Calibri" w:hAnsi="Calibri"/>
          <w:sz w:val="16"/>
          <w:szCs w:val="16"/>
          <w:lang w:val="en-US"/>
        </w:rPr>
        <w:t xml:space="preserve">puts delivered. </w:t>
      </w:r>
    </w:p>
    <w:p w14:paraId="3CB45375" w14:textId="132FD661" w:rsidR="00E80210" w:rsidRPr="001D2782" w:rsidRDefault="00E80210" w:rsidP="008405AD">
      <w:pPr>
        <w:pStyle w:val="Heading3"/>
        <w:tabs>
          <w:tab w:val="clear" w:pos="794"/>
          <w:tab w:val="left" w:pos="426"/>
        </w:tabs>
        <w:spacing w:before="120" w:after="120"/>
        <w:jc w:val="left"/>
        <w:rPr>
          <w:rFonts w:eastAsia="Calibri"/>
          <w:szCs w:val="24"/>
          <w:lang w:val="en-US"/>
        </w:rPr>
      </w:pPr>
      <w:r w:rsidRPr="001D2782">
        <w:rPr>
          <w:rFonts w:eastAsia="Calibri"/>
          <w:szCs w:val="24"/>
          <w:lang w:val="en-US"/>
        </w:rPr>
        <w:t>2.</w:t>
      </w:r>
      <w:r w:rsidR="00A55E98">
        <w:rPr>
          <w:rFonts w:eastAsia="Calibri"/>
          <w:szCs w:val="24"/>
          <w:lang w:val="en-US"/>
        </w:rPr>
        <w:t>4</w:t>
      </w:r>
      <w:r w:rsidRPr="001D2782">
        <w:rPr>
          <w:rFonts w:eastAsia="Calibri"/>
          <w:szCs w:val="24"/>
          <w:lang w:val="en-US"/>
        </w:rPr>
        <w:tab/>
        <w:t>Implementation of OP-2</w:t>
      </w:r>
      <w:r w:rsidR="00A143E1">
        <w:rPr>
          <w:rFonts w:eastAsia="Calibri"/>
          <w:szCs w:val="24"/>
          <w:lang w:val="en-US"/>
        </w:rPr>
        <w:t>6</w:t>
      </w:r>
      <w:r w:rsidRPr="001D2782">
        <w:rPr>
          <w:rFonts w:eastAsia="Calibri"/>
          <w:szCs w:val="24"/>
          <w:lang w:val="en-US"/>
        </w:rPr>
        <w:t xml:space="preserve">: division of responsibilities and reporting </w:t>
      </w:r>
    </w:p>
    <w:p w14:paraId="6CF28B10" w14:textId="521E304B" w:rsidR="00E80210" w:rsidRPr="001D2782" w:rsidRDefault="00E80210" w:rsidP="001D2782">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szCs w:val="24"/>
          <w:lang w:val="en-US"/>
        </w:rPr>
      </w:pPr>
      <w:r w:rsidRPr="001D2782">
        <w:rPr>
          <w:rFonts w:ascii="Calibri" w:eastAsia="Calibri" w:hAnsi="Calibri"/>
          <w:szCs w:val="24"/>
          <w:lang w:val="en-US"/>
        </w:rPr>
        <w:t xml:space="preserve">The outputs defined in </w:t>
      </w:r>
      <w:r w:rsidR="00A143E1">
        <w:rPr>
          <w:rFonts w:ascii="Calibri" w:eastAsia="Calibri" w:hAnsi="Calibri"/>
          <w:szCs w:val="24"/>
          <w:lang w:val="en-US"/>
        </w:rPr>
        <w:t>the 2026</w:t>
      </w:r>
      <w:r w:rsidRPr="001D2782">
        <w:rPr>
          <w:rFonts w:ascii="Calibri" w:eastAsia="Calibri" w:hAnsi="Calibri"/>
          <w:szCs w:val="24"/>
          <w:lang w:val="en-US"/>
        </w:rPr>
        <w:t xml:space="preserve"> Operational Plan will be delivered by the responsible Departments of the Telecommunication Development Bureau (BDT) and Regional Offices. The Support Services are delivered by BDT and the General Secretariat, subject to agreed annual Service Level Agreements (for the provision of internal services). The Support Services delivered by the General Secretariat are described in the General Secretariat Operational Plan. </w:t>
      </w:r>
    </w:p>
    <w:p w14:paraId="2FCDE3AB" w14:textId="2456791B" w:rsidR="00E80210" w:rsidRPr="001D2782" w:rsidRDefault="00E80210" w:rsidP="001D2782">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szCs w:val="24"/>
          <w:lang w:val="en-US"/>
        </w:rPr>
      </w:pPr>
      <w:r w:rsidRPr="001D2782">
        <w:rPr>
          <w:rFonts w:ascii="Calibri" w:eastAsia="Calibri" w:hAnsi="Calibri"/>
          <w:szCs w:val="24"/>
          <w:lang w:val="en-US"/>
        </w:rPr>
        <w:t xml:space="preserve">The delivery of </w:t>
      </w:r>
      <w:r w:rsidR="00C74924">
        <w:rPr>
          <w:rFonts w:ascii="Calibri" w:eastAsia="Calibri" w:hAnsi="Calibri"/>
          <w:szCs w:val="24"/>
          <w:lang w:val="en-US"/>
        </w:rPr>
        <w:t>outputs (</w:t>
      </w:r>
      <w:r w:rsidRPr="001D2782">
        <w:rPr>
          <w:rFonts w:ascii="Calibri" w:eastAsia="Calibri" w:hAnsi="Calibri"/>
          <w:szCs w:val="24"/>
          <w:lang w:val="en-US"/>
        </w:rPr>
        <w:t>ITU-D Products and Services</w:t>
      </w:r>
      <w:r w:rsidR="00C74924">
        <w:rPr>
          <w:rFonts w:ascii="Calibri" w:eastAsia="Calibri" w:hAnsi="Calibri"/>
          <w:szCs w:val="24"/>
          <w:lang w:val="en-US"/>
        </w:rPr>
        <w:t>)</w:t>
      </w:r>
      <w:r w:rsidRPr="001D2782">
        <w:rPr>
          <w:rFonts w:ascii="Calibri" w:eastAsia="Calibri" w:hAnsi="Calibri"/>
          <w:szCs w:val="24"/>
          <w:lang w:val="en-US"/>
        </w:rPr>
        <w:t xml:space="preserve"> and the related support services is planned, monitored and evaluated by ITU management based on the </w:t>
      </w:r>
      <w:r w:rsidR="00C84CF9">
        <w:rPr>
          <w:rFonts w:ascii="Calibri" w:eastAsia="Calibri" w:hAnsi="Calibri"/>
          <w:szCs w:val="24"/>
          <w:lang w:val="en-US"/>
        </w:rPr>
        <w:t xml:space="preserve">outcomes of the </w:t>
      </w:r>
      <w:r w:rsidRPr="001D2782">
        <w:rPr>
          <w:rFonts w:ascii="Calibri" w:eastAsia="Calibri" w:hAnsi="Calibri"/>
          <w:szCs w:val="24"/>
          <w:lang w:val="en-US"/>
        </w:rPr>
        <w:t xml:space="preserve">ITU-D Priorities and Enabler as defined in </w:t>
      </w:r>
      <w:r w:rsidR="00C84CF9">
        <w:rPr>
          <w:rFonts w:ascii="Calibri" w:eastAsia="Calibri" w:hAnsi="Calibri"/>
          <w:szCs w:val="24"/>
          <w:lang w:val="en-US"/>
        </w:rPr>
        <w:t>B</w:t>
      </w:r>
      <w:r w:rsidRPr="001D2782">
        <w:rPr>
          <w:rFonts w:ascii="Calibri" w:eastAsia="Calibri" w:hAnsi="Calibri"/>
          <w:szCs w:val="24"/>
          <w:lang w:val="en-US"/>
        </w:rPr>
        <w:t>AP and aligned to the objectives of the ITU Strategic Plan. In addition:</w:t>
      </w:r>
    </w:p>
    <w:p w14:paraId="08A3DE88" w14:textId="7A5FC701" w:rsidR="00E80210" w:rsidRPr="001D2782" w:rsidRDefault="00E80210" w:rsidP="00523867">
      <w:pPr>
        <w:numPr>
          <w:ilvl w:val="0"/>
          <w:numId w:val="7"/>
        </w:numPr>
        <w:tabs>
          <w:tab w:val="clear" w:pos="794"/>
          <w:tab w:val="clear" w:pos="1191"/>
          <w:tab w:val="clear" w:pos="1588"/>
          <w:tab w:val="clear" w:pos="1985"/>
        </w:tabs>
        <w:overflowPunct/>
        <w:autoSpaceDE/>
        <w:autoSpaceDN/>
        <w:adjustRightInd/>
        <w:spacing w:before="60" w:after="60"/>
        <w:ind w:left="714" w:hanging="357"/>
        <w:jc w:val="left"/>
        <w:textAlignment w:val="auto"/>
        <w:rPr>
          <w:rFonts w:ascii="Calibri" w:eastAsia="Calibri" w:hAnsi="Calibri"/>
          <w:szCs w:val="24"/>
          <w:lang w:val="en-US"/>
        </w:rPr>
      </w:pPr>
      <w:r w:rsidRPr="001D2782">
        <w:rPr>
          <w:rFonts w:ascii="Calibri" w:eastAsia="Calibri" w:hAnsi="Calibri"/>
          <w:szCs w:val="24"/>
          <w:lang w:val="en-US"/>
        </w:rPr>
        <w:t xml:space="preserve">The annual report to TDAG on the implementation of </w:t>
      </w:r>
      <w:r w:rsidR="00C84CF9">
        <w:rPr>
          <w:rFonts w:ascii="Calibri" w:eastAsia="Calibri" w:hAnsi="Calibri"/>
          <w:szCs w:val="24"/>
          <w:lang w:val="en-US"/>
        </w:rPr>
        <w:t>B</w:t>
      </w:r>
      <w:r w:rsidRPr="001D2782">
        <w:rPr>
          <w:rFonts w:ascii="Calibri" w:eastAsia="Calibri" w:hAnsi="Calibri"/>
          <w:szCs w:val="24"/>
          <w:lang w:val="en-US"/>
        </w:rPr>
        <w:t>AP will report</w:t>
      </w:r>
      <w:r w:rsidR="00684EE3">
        <w:rPr>
          <w:rFonts w:ascii="Calibri" w:eastAsia="Calibri" w:hAnsi="Calibri"/>
          <w:szCs w:val="24"/>
          <w:lang w:val="en-US"/>
        </w:rPr>
        <w:t xml:space="preserve"> </w:t>
      </w:r>
      <w:r w:rsidR="005A07C0">
        <w:rPr>
          <w:rFonts w:ascii="Calibri" w:eastAsia="Calibri" w:hAnsi="Calibri"/>
          <w:szCs w:val="24"/>
          <w:lang w:val="en-US"/>
        </w:rPr>
        <w:t xml:space="preserve">on </w:t>
      </w:r>
      <w:r w:rsidR="00684EE3">
        <w:rPr>
          <w:rFonts w:ascii="Calibri" w:eastAsia="Calibri" w:hAnsi="Calibri"/>
          <w:szCs w:val="24"/>
          <w:lang w:val="en-US"/>
        </w:rPr>
        <w:t>the pro</w:t>
      </w:r>
      <w:r w:rsidR="005A07C0">
        <w:rPr>
          <w:rFonts w:ascii="Calibri" w:eastAsia="Calibri" w:hAnsi="Calibri"/>
          <w:szCs w:val="24"/>
          <w:lang w:val="en-US"/>
        </w:rPr>
        <w:t>ducts and services delivered by BDT as well as</w:t>
      </w:r>
      <w:r w:rsidRPr="001D2782">
        <w:rPr>
          <w:rFonts w:ascii="Calibri" w:eastAsia="Calibri" w:hAnsi="Calibri"/>
          <w:szCs w:val="24"/>
          <w:lang w:val="en-US"/>
        </w:rPr>
        <w:t xml:space="preserve"> </w:t>
      </w:r>
      <w:r w:rsidR="005A07C0">
        <w:rPr>
          <w:rFonts w:ascii="Calibri" w:eastAsia="Calibri" w:hAnsi="Calibri"/>
          <w:szCs w:val="24"/>
          <w:lang w:val="en-US"/>
        </w:rPr>
        <w:t>the</w:t>
      </w:r>
      <w:r w:rsidRPr="001D2782">
        <w:rPr>
          <w:rFonts w:ascii="Calibri" w:eastAsia="Calibri" w:hAnsi="Calibri"/>
          <w:szCs w:val="24"/>
          <w:lang w:val="en-US"/>
        </w:rPr>
        <w:t xml:space="preserve"> progress made towards achieving the outcomes set in </w:t>
      </w:r>
      <w:r w:rsidR="00C84CF9">
        <w:rPr>
          <w:rFonts w:ascii="Calibri" w:eastAsia="Calibri" w:hAnsi="Calibri"/>
          <w:szCs w:val="24"/>
          <w:lang w:val="en-US"/>
        </w:rPr>
        <w:t>B</w:t>
      </w:r>
      <w:r w:rsidRPr="001D2782">
        <w:rPr>
          <w:rFonts w:ascii="Calibri" w:eastAsia="Calibri" w:hAnsi="Calibri"/>
          <w:szCs w:val="24"/>
          <w:lang w:val="en-US"/>
        </w:rPr>
        <w:t xml:space="preserve">AP by Member States. </w:t>
      </w:r>
    </w:p>
    <w:p w14:paraId="119CBEDB" w14:textId="77777777" w:rsidR="00E80210" w:rsidRDefault="00E80210" w:rsidP="00523867">
      <w:pPr>
        <w:numPr>
          <w:ilvl w:val="0"/>
          <w:numId w:val="7"/>
        </w:numPr>
        <w:tabs>
          <w:tab w:val="clear" w:pos="794"/>
          <w:tab w:val="clear" w:pos="1191"/>
          <w:tab w:val="clear" w:pos="1588"/>
          <w:tab w:val="clear" w:pos="1985"/>
        </w:tabs>
        <w:overflowPunct/>
        <w:autoSpaceDE/>
        <w:autoSpaceDN/>
        <w:adjustRightInd/>
        <w:spacing w:before="60" w:after="60"/>
        <w:ind w:left="714" w:hanging="357"/>
        <w:jc w:val="left"/>
        <w:textAlignment w:val="auto"/>
        <w:rPr>
          <w:rFonts w:ascii="Calibri" w:eastAsia="Calibri" w:hAnsi="Calibri"/>
          <w:szCs w:val="24"/>
          <w:lang w:val="en-US"/>
        </w:rPr>
      </w:pPr>
      <w:r w:rsidRPr="001D2782">
        <w:rPr>
          <w:rFonts w:ascii="Calibri" w:eastAsia="Calibri" w:hAnsi="Calibri"/>
          <w:szCs w:val="24"/>
          <w:lang w:val="en-US"/>
        </w:rPr>
        <w:t xml:space="preserve">The annual report to Council on the implementation of the ITU Strategic Plan will report on the progress made in Thematic Priority areas and towards achieving the ITU Strategic goals. </w:t>
      </w:r>
    </w:p>
    <w:p w14:paraId="23AC11B6" w14:textId="63EF7569" w:rsidR="00EC075F" w:rsidRPr="00E009C2" w:rsidRDefault="00EC075F" w:rsidP="00523867">
      <w:pPr>
        <w:numPr>
          <w:ilvl w:val="0"/>
          <w:numId w:val="7"/>
        </w:numPr>
        <w:tabs>
          <w:tab w:val="clear" w:pos="794"/>
          <w:tab w:val="clear" w:pos="1191"/>
          <w:tab w:val="clear" w:pos="1588"/>
          <w:tab w:val="clear" w:pos="1985"/>
        </w:tabs>
        <w:overflowPunct/>
        <w:autoSpaceDE/>
        <w:autoSpaceDN/>
        <w:adjustRightInd/>
        <w:spacing w:before="60" w:after="60"/>
        <w:ind w:left="714" w:hanging="357"/>
        <w:jc w:val="left"/>
        <w:textAlignment w:val="auto"/>
        <w:rPr>
          <w:rFonts w:ascii="Calibri" w:eastAsia="Calibri" w:hAnsi="Calibri"/>
          <w:szCs w:val="24"/>
          <w:lang w:val="en-US"/>
        </w:rPr>
      </w:pPr>
      <w:r w:rsidRPr="00E009C2">
        <w:rPr>
          <w:rFonts w:ascii="Calibri" w:eastAsia="Calibri" w:hAnsi="Calibri"/>
          <w:szCs w:val="24"/>
          <w:lang w:val="en-US"/>
        </w:rPr>
        <w:t xml:space="preserve">The implementation of BAP began in January 2026 </w:t>
      </w:r>
      <w:r w:rsidR="00694E67">
        <w:rPr>
          <w:rFonts w:ascii="Calibri" w:eastAsia="Calibri" w:hAnsi="Calibri"/>
          <w:szCs w:val="24"/>
          <w:lang w:val="en-US"/>
        </w:rPr>
        <w:t xml:space="preserve">and </w:t>
      </w:r>
      <w:r w:rsidRPr="00E009C2">
        <w:rPr>
          <w:rFonts w:ascii="Calibri" w:eastAsia="Calibri" w:hAnsi="Calibri"/>
          <w:szCs w:val="24"/>
          <w:lang w:val="en-US"/>
        </w:rPr>
        <w:t xml:space="preserve">will continue until </w:t>
      </w:r>
      <w:r w:rsidR="00D50912">
        <w:rPr>
          <w:rFonts w:ascii="Calibri" w:eastAsia="Calibri" w:hAnsi="Calibri"/>
          <w:szCs w:val="24"/>
          <w:lang w:val="en-US"/>
        </w:rPr>
        <w:t xml:space="preserve">the end of </w:t>
      </w:r>
      <w:r w:rsidRPr="00E009C2">
        <w:rPr>
          <w:rFonts w:ascii="Calibri" w:eastAsia="Calibri" w:hAnsi="Calibri"/>
          <w:szCs w:val="24"/>
          <w:lang w:val="en-US"/>
        </w:rPr>
        <w:t xml:space="preserve">2029. The implementation </w:t>
      </w:r>
      <w:r w:rsidR="00331C14">
        <w:rPr>
          <w:rFonts w:ascii="Calibri" w:eastAsia="Calibri" w:hAnsi="Calibri"/>
          <w:szCs w:val="24"/>
          <w:lang w:val="en-US"/>
        </w:rPr>
        <w:t xml:space="preserve">of the </w:t>
      </w:r>
      <w:r w:rsidR="00CD40BF">
        <w:rPr>
          <w:rFonts w:ascii="Calibri" w:eastAsia="Calibri" w:hAnsi="Calibri"/>
          <w:szCs w:val="24"/>
          <w:lang w:val="en-US"/>
        </w:rPr>
        <w:t>ongoing work</w:t>
      </w:r>
      <w:r w:rsidRPr="00E009C2">
        <w:rPr>
          <w:rFonts w:ascii="Calibri" w:eastAsia="Calibri" w:hAnsi="Calibri"/>
          <w:szCs w:val="24"/>
          <w:lang w:val="en-US"/>
        </w:rPr>
        <w:t xml:space="preserve"> will be </w:t>
      </w:r>
      <w:r w:rsidR="00302702">
        <w:rPr>
          <w:rFonts w:ascii="Calibri" w:eastAsia="Calibri" w:hAnsi="Calibri"/>
          <w:szCs w:val="24"/>
          <w:lang w:val="en-US"/>
        </w:rPr>
        <w:t>reported</w:t>
      </w:r>
      <w:r w:rsidRPr="00E009C2">
        <w:rPr>
          <w:rFonts w:ascii="Calibri" w:eastAsia="Calibri" w:hAnsi="Calibri"/>
          <w:szCs w:val="24"/>
          <w:lang w:val="en-US"/>
        </w:rPr>
        <w:t xml:space="preserve"> to TDAG-27.</w:t>
      </w:r>
    </w:p>
    <w:p w14:paraId="0D0E0E87" w14:textId="12621493" w:rsidR="00E80210" w:rsidRDefault="00523867" w:rsidP="00523867">
      <w:pPr>
        <w:pStyle w:val="Heading3"/>
        <w:tabs>
          <w:tab w:val="clear" w:pos="794"/>
          <w:tab w:val="left" w:pos="426"/>
        </w:tabs>
        <w:spacing w:before="120" w:after="120"/>
        <w:jc w:val="left"/>
        <w:rPr>
          <w:rFonts w:eastAsia="Calibri"/>
          <w:szCs w:val="24"/>
          <w:lang w:val="en-US"/>
        </w:rPr>
      </w:pPr>
      <w:r>
        <w:rPr>
          <w:rFonts w:eastAsia="Calibri"/>
          <w:szCs w:val="24"/>
          <w:lang w:val="en-US"/>
        </w:rPr>
        <w:t>2.5</w:t>
      </w:r>
      <w:r>
        <w:rPr>
          <w:rFonts w:eastAsia="Calibri"/>
          <w:szCs w:val="24"/>
          <w:lang w:val="en-US"/>
        </w:rPr>
        <w:tab/>
      </w:r>
      <w:r w:rsidR="00E80210" w:rsidRPr="001D2782">
        <w:rPr>
          <w:rFonts w:eastAsia="Calibri"/>
          <w:szCs w:val="24"/>
          <w:lang w:val="en-US"/>
        </w:rPr>
        <w:t>Risk analysis</w:t>
      </w:r>
    </w:p>
    <w:p w14:paraId="67CE222E" w14:textId="0EE5AA49" w:rsidR="0028241C" w:rsidRPr="0028241C" w:rsidRDefault="66303228" w:rsidP="2C7640F5">
      <w:pPr>
        <w:overflowPunct/>
        <w:autoSpaceDE/>
        <w:autoSpaceDN/>
        <w:adjustRightInd/>
        <w:spacing w:after="120"/>
        <w:jc w:val="left"/>
        <w:textAlignment w:val="auto"/>
        <w:rPr>
          <w:rFonts w:ascii="Calibri" w:eastAsia="Calibri" w:hAnsi="Calibri"/>
          <w:lang w:val="en-US"/>
        </w:rPr>
      </w:pPr>
      <w:r w:rsidRPr="2C7640F5">
        <w:rPr>
          <w:rFonts w:ascii="Calibri" w:eastAsia="Calibri" w:hAnsi="Calibri"/>
          <w:lang w:val="en-US"/>
        </w:rPr>
        <w:t xml:space="preserve">With regard to risk management, apart from the operational risks included in </w:t>
      </w:r>
      <w:r w:rsidR="0BF2CB3D" w:rsidRPr="2C7640F5">
        <w:rPr>
          <w:rFonts w:ascii="Calibri" w:eastAsia="Calibri" w:hAnsi="Calibri"/>
          <w:lang w:val="en-US"/>
        </w:rPr>
        <w:t>the 2026</w:t>
      </w:r>
      <w:r w:rsidRPr="2C7640F5">
        <w:rPr>
          <w:rFonts w:ascii="Calibri" w:eastAsia="Calibri" w:hAnsi="Calibri"/>
          <w:lang w:val="en-US"/>
        </w:rPr>
        <w:t xml:space="preserve"> </w:t>
      </w:r>
      <w:r w:rsidR="003D027A">
        <w:rPr>
          <w:rFonts w:ascii="Calibri" w:eastAsia="Calibri" w:hAnsi="Calibri"/>
          <w:lang w:val="en-US"/>
        </w:rPr>
        <w:t>O</w:t>
      </w:r>
      <w:r w:rsidRPr="2C7640F5">
        <w:rPr>
          <w:rFonts w:ascii="Calibri" w:eastAsia="Calibri" w:hAnsi="Calibri"/>
          <w:lang w:val="en-US"/>
        </w:rPr>
        <w:t xml:space="preserve">perational </w:t>
      </w:r>
      <w:r w:rsidR="003D027A">
        <w:rPr>
          <w:rFonts w:ascii="Calibri" w:eastAsia="Calibri" w:hAnsi="Calibri"/>
          <w:lang w:val="en-US"/>
        </w:rPr>
        <w:t>P</w:t>
      </w:r>
      <w:r w:rsidRPr="2C7640F5">
        <w:rPr>
          <w:rFonts w:ascii="Calibri" w:eastAsia="Calibri" w:hAnsi="Calibri"/>
          <w:lang w:val="en-US"/>
        </w:rPr>
        <w:t>lan</w:t>
      </w:r>
      <w:r w:rsidR="2B881183" w:rsidRPr="2C7640F5">
        <w:rPr>
          <w:rFonts w:ascii="Calibri" w:eastAsia="Calibri" w:hAnsi="Calibri"/>
          <w:lang w:val="en-US"/>
        </w:rPr>
        <w:t>,</w:t>
      </w:r>
      <w:r w:rsidRPr="2C7640F5">
        <w:rPr>
          <w:rFonts w:ascii="Calibri" w:eastAsia="Calibri" w:hAnsi="Calibri"/>
          <w:lang w:val="en-US"/>
        </w:rPr>
        <w:t xml:space="preserve"> </w:t>
      </w:r>
      <w:r w:rsidR="0BF2CB3D" w:rsidRPr="2C7640F5">
        <w:rPr>
          <w:rFonts w:ascii="Calibri" w:eastAsia="Calibri" w:hAnsi="Calibri"/>
          <w:lang w:val="en-US"/>
        </w:rPr>
        <w:t>which</w:t>
      </w:r>
      <w:r w:rsidRPr="2C7640F5">
        <w:rPr>
          <w:rFonts w:ascii="Calibri" w:eastAsia="Calibri" w:hAnsi="Calibri"/>
          <w:lang w:val="en-US"/>
        </w:rPr>
        <w:t xml:space="preserve"> will be reviewed periodically by senior management, each Department and Regional Office will identify, assess and manage risks associated with the delivery of the respective outputs and support services, following a multi-level risk management approach.</w:t>
      </w:r>
    </w:p>
    <w:p w14:paraId="6F500CC2" w14:textId="421FE54A" w:rsidR="00E80210" w:rsidRDefault="00E80210" w:rsidP="001D2782">
      <w:pPr>
        <w:tabs>
          <w:tab w:val="clear" w:pos="794"/>
          <w:tab w:val="clear" w:pos="1191"/>
          <w:tab w:val="clear" w:pos="1588"/>
          <w:tab w:val="clear" w:pos="1985"/>
        </w:tabs>
        <w:overflowPunct/>
        <w:autoSpaceDE/>
        <w:autoSpaceDN/>
        <w:adjustRightInd/>
        <w:spacing w:after="120"/>
        <w:jc w:val="left"/>
        <w:textAlignment w:val="auto"/>
        <w:rPr>
          <w:rFonts w:ascii="Calibri" w:eastAsia="Calibri" w:hAnsi="Calibri"/>
          <w:szCs w:val="24"/>
        </w:rPr>
      </w:pPr>
      <w:r w:rsidRPr="001D2782">
        <w:rPr>
          <w:rFonts w:ascii="Calibri" w:eastAsia="Calibri" w:hAnsi="Calibri"/>
          <w:szCs w:val="24"/>
        </w:rPr>
        <w:lastRenderedPageBreak/>
        <w:t>The table below identifies the major operational risks for the 202</w:t>
      </w:r>
      <w:r w:rsidR="003E28DC">
        <w:rPr>
          <w:rFonts w:ascii="Calibri" w:eastAsia="Calibri" w:hAnsi="Calibri"/>
          <w:szCs w:val="24"/>
        </w:rPr>
        <w:t>6</w:t>
      </w:r>
      <w:r w:rsidRPr="001D2782">
        <w:rPr>
          <w:rFonts w:ascii="Calibri" w:eastAsia="Calibri" w:hAnsi="Calibri"/>
          <w:szCs w:val="24"/>
        </w:rPr>
        <w:t>-202</w:t>
      </w:r>
      <w:r w:rsidR="003E28DC">
        <w:rPr>
          <w:rFonts w:ascii="Calibri" w:eastAsia="Calibri" w:hAnsi="Calibri"/>
          <w:szCs w:val="24"/>
        </w:rPr>
        <w:t>9</w:t>
      </w:r>
      <w:r w:rsidRPr="001D2782">
        <w:rPr>
          <w:rFonts w:ascii="Calibri" w:eastAsia="Calibri" w:hAnsi="Calibri"/>
          <w:szCs w:val="24"/>
        </w:rPr>
        <w:t xml:space="preserve"> timeframe. These risks will be reassessed on a regular basis to account for changes in the internal and external environment likely to have impact on the implementation of ITU-D Operational Plans.</w:t>
      </w:r>
    </w:p>
    <w:tbl>
      <w:tblPr>
        <w:tblStyle w:val="GridTable4-Accent11"/>
        <w:tblW w:w="10065" w:type="dxa"/>
        <w:tblInd w:w="-147" w:type="dxa"/>
        <w:tblLayout w:type="fixed"/>
        <w:tblLook w:val="06A0" w:firstRow="1" w:lastRow="0" w:firstColumn="1" w:lastColumn="0" w:noHBand="1" w:noVBand="1"/>
      </w:tblPr>
      <w:tblGrid>
        <w:gridCol w:w="1560"/>
        <w:gridCol w:w="1559"/>
        <w:gridCol w:w="1276"/>
        <w:gridCol w:w="1276"/>
        <w:gridCol w:w="4394"/>
      </w:tblGrid>
      <w:tr w:rsidR="00E80210" w:rsidRPr="00290D2F" w14:paraId="499F6A6D" w14:textId="77777777" w:rsidTr="003E58EA">
        <w:trPr>
          <w:cnfStyle w:val="100000000000" w:firstRow="1" w:lastRow="0" w:firstColumn="0" w:lastColumn="0" w:oddVBand="0" w:evenVBand="0" w:oddHBand="0" w:evenHBand="0" w:firstRowFirstColumn="0" w:firstRowLastColumn="0" w:lastRowFirstColumn="0" w:lastRowLastColumn="0"/>
          <w:trHeight w:val="799"/>
        </w:trPr>
        <w:tc>
          <w:tcPr>
            <w:cnfStyle w:val="001000000000" w:firstRow="0" w:lastRow="0" w:firstColumn="1" w:lastColumn="0" w:oddVBand="0" w:evenVBand="0" w:oddHBand="0" w:evenHBand="0" w:firstRowFirstColumn="0" w:firstRowLastColumn="0" w:lastRowFirstColumn="0" w:lastRowLastColumn="0"/>
            <w:tcW w:w="1560" w:type="dxa"/>
          </w:tcPr>
          <w:p w14:paraId="6D0665C3" w14:textId="77777777" w:rsidR="00E80210" w:rsidRPr="00290D2F" w:rsidRDefault="00E80210" w:rsidP="00FE5E55">
            <w:pPr>
              <w:tabs>
                <w:tab w:val="clear" w:pos="794"/>
                <w:tab w:val="clear" w:pos="1191"/>
                <w:tab w:val="clear" w:pos="1588"/>
                <w:tab w:val="clear" w:pos="1985"/>
                <w:tab w:val="left" w:pos="1134"/>
                <w:tab w:val="left" w:pos="1871"/>
                <w:tab w:val="left" w:pos="2268"/>
              </w:tabs>
              <w:spacing w:before="0"/>
              <w:rPr>
                <w:rFonts w:ascii="Calibri" w:hAnsi="Calibri"/>
                <w:sz w:val="20"/>
                <w:szCs w:val="20"/>
                <w:lang w:eastAsia="zh-CN"/>
              </w:rPr>
            </w:pPr>
            <w:r w:rsidRPr="00290D2F">
              <w:rPr>
                <w:rFonts w:ascii="Calibri" w:hAnsi="Calibri"/>
                <w:sz w:val="20"/>
                <w:szCs w:val="20"/>
                <w:lang w:eastAsia="zh-CN"/>
              </w:rPr>
              <w:t>Perspective</w:t>
            </w:r>
          </w:p>
        </w:tc>
        <w:tc>
          <w:tcPr>
            <w:tcW w:w="1559" w:type="dxa"/>
          </w:tcPr>
          <w:p w14:paraId="297ACA46" w14:textId="77777777" w:rsidR="00E80210" w:rsidRPr="00290D2F" w:rsidRDefault="00E80210" w:rsidP="00FE5E55">
            <w:pPr>
              <w:tabs>
                <w:tab w:val="clear" w:pos="794"/>
                <w:tab w:val="clear" w:pos="1191"/>
                <w:tab w:val="clear" w:pos="1588"/>
                <w:tab w:val="clear" w:pos="1985"/>
                <w:tab w:val="left" w:pos="1134"/>
                <w:tab w:val="left" w:pos="1871"/>
                <w:tab w:val="left" w:pos="2268"/>
              </w:tabs>
              <w:spacing w:before="0"/>
              <w:cnfStyle w:val="100000000000" w:firstRow="1" w:lastRow="0" w:firstColumn="0" w:lastColumn="0" w:oddVBand="0" w:evenVBand="0" w:oddHBand="0" w:evenHBand="0" w:firstRowFirstColumn="0" w:firstRowLastColumn="0" w:lastRowFirstColumn="0" w:lastRowLastColumn="0"/>
              <w:rPr>
                <w:rFonts w:ascii="Calibri" w:hAnsi="Calibri"/>
                <w:sz w:val="20"/>
                <w:szCs w:val="20"/>
                <w:lang w:eastAsia="zh-CN"/>
              </w:rPr>
            </w:pPr>
            <w:r w:rsidRPr="00290D2F">
              <w:rPr>
                <w:rFonts w:ascii="Calibri" w:hAnsi="Calibri"/>
                <w:sz w:val="20"/>
                <w:szCs w:val="20"/>
                <w:lang w:eastAsia="zh-CN"/>
              </w:rPr>
              <w:t>Description of risk</w:t>
            </w:r>
          </w:p>
        </w:tc>
        <w:tc>
          <w:tcPr>
            <w:tcW w:w="1276" w:type="dxa"/>
          </w:tcPr>
          <w:p w14:paraId="66AEB093" w14:textId="77777777" w:rsidR="00E80210" w:rsidRPr="00290D2F" w:rsidRDefault="00E80210" w:rsidP="00FE5E55">
            <w:pPr>
              <w:tabs>
                <w:tab w:val="clear" w:pos="794"/>
                <w:tab w:val="clear" w:pos="1191"/>
                <w:tab w:val="clear" w:pos="1588"/>
                <w:tab w:val="clear" w:pos="1985"/>
                <w:tab w:val="left" w:pos="1134"/>
                <w:tab w:val="left" w:pos="1871"/>
                <w:tab w:val="left" w:pos="2268"/>
              </w:tabs>
              <w:spacing w:before="0"/>
              <w:cnfStyle w:val="100000000000" w:firstRow="1" w:lastRow="0" w:firstColumn="0" w:lastColumn="0" w:oddVBand="0" w:evenVBand="0" w:oddHBand="0" w:evenHBand="0" w:firstRowFirstColumn="0" w:firstRowLastColumn="0" w:lastRowFirstColumn="0" w:lastRowLastColumn="0"/>
              <w:rPr>
                <w:rFonts w:ascii="Calibri" w:hAnsi="Calibri"/>
                <w:sz w:val="20"/>
                <w:szCs w:val="20"/>
                <w:lang w:eastAsia="zh-CN"/>
              </w:rPr>
            </w:pPr>
            <w:r w:rsidRPr="00290D2F">
              <w:rPr>
                <w:rFonts w:ascii="Calibri" w:hAnsi="Calibri"/>
                <w:sz w:val="20"/>
                <w:szCs w:val="20"/>
                <w:lang w:eastAsia="zh-CN"/>
              </w:rPr>
              <w:t>Probability</w:t>
            </w:r>
          </w:p>
        </w:tc>
        <w:tc>
          <w:tcPr>
            <w:tcW w:w="1276" w:type="dxa"/>
          </w:tcPr>
          <w:p w14:paraId="56B8ECBD" w14:textId="77777777" w:rsidR="00E80210" w:rsidRPr="00290D2F" w:rsidRDefault="00E80210" w:rsidP="00FE5E55">
            <w:pPr>
              <w:tabs>
                <w:tab w:val="clear" w:pos="794"/>
                <w:tab w:val="clear" w:pos="1191"/>
                <w:tab w:val="clear" w:pos="1588"/>
                <w:tab w:val="clear" w:pos="1985"/>
                <w:tab w:val="left" w:pos="1134"/>
                <w:tab w:val="left" w:pos="1871"/>
                <w:tab w:val="left" w:pos="2268"/>
              </w:tabs>
              <w:spacing w:before="0"/>
              <w:cnfStyle w:val="100000000000" w:firstRow="1" w:lastRow="0" w:firstColumn="0" w:lastColumn="0" w:oddVBand="0" w:evenVBand="0" w:oddHBand="0" w:evenHBand="0" w:firstRowFirstColumn="0" w:firstRowLastColumn="0" w:lastRowFirstColumn="0" w:lastRowLastColumn="0"/>
              <w:rPr>
                <w:rFonts w:ascii="Calibri" w:hAnsi="Calibri"/>
                <w:sz w:val="20"/>
                <w:szCs w:val="20"/>
                <w:lang w:eastAsia="zh-CN"/>
              </w:rPr>
            </w:pPr>
            <w:r w:rsidRPr="00290D2F">
              <w:rPr>
                <w:rFonts w:ascii="Calibri" w:hAnsi="Calibri"/>
                <w:sz w:val="20"/>
                <w:szCs w:val="20"/>
                <w:lang w:eastAsia="zh-CN"/>
              </w:rPr>
              <w:t>Impact level</w:t>
            </w:r>
          </w:p>
        </w:tc>
        <w:tc>
          <w:tcPr>
            <w:tcW w:w="4394" w:type="dxa"/>
          </w:tcPr>
          <w:p w14:paraId="0F5EF9BC" w14:textId="4F9D8EFA" w:rsidR="00E80210" w:rsidRPr="00290D2F" w:rsidRDefault="00E80210" w:rsidP="00FE5E55">
            <w:pPr>
              <w:tabs>
                <w:tab w:val="clear" w:pos="794"/>
                <w:tab w:val="clear" w:pos="1191"/>
                <w:tab w:val="clear" w:pos="1588"/>
                <w:tab w:val="clear" w:pos="1985"/>
                <w:tab w:val="left" w:pos="1134"/>
                <w:tab w:val="left" w:pos="1871"/>
                <w:tab w:val="left" w:pos="2268"/>
              </w:tabs>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sz w:val="20"/>
                <w:szCs w:val="20"/>
                <w:lang w:eastAsia="zh-CN"/>
              </w:rPr>
            </w:pPr>
            <w:r w:rsidRPr="00290D2F">
              <w:rPr>
                <w:rFonts w:ascii="Calibri" w:hAnsi="Calibri"/>
                <w:sz w:val="20"/>
                <w:szCs w:val="20"/>
                <w:lang w:eastAsia="zh-CN"/>
              </w:rPr>
              <w:t>Mitigation</w:t>
            </w:r>
          </w:p>
        </w:tc>
      </w:tr>
      <w:tr w:rsidR="00E80210" w:rsidRPr="00290D2F" w14:paraId="05641EC1" w14:textId="77777777" w:rsidTr="003E58EA">
        <w:tc>
          <w:tcPr>
            <w:cnfStyle w:val="001000000000" w:firstRow="0" w:lastRow="0" w:firstColumn="1" w:lastColumn="0" w:oddVBand="0" w:evenVBand="0" w:oddHBand="0" w:evenHBand="0" w:firstRowFirstColumn="0" w:firstRowLastColumn="0" w:lastRowFirstColumn="0" w:lastRowLastColumn="0"/>
            <w:tcW w:w="1560" w:type="dxa"/>
          </w:tcPr>
          <w:p w14:paraId="03C2BC3B"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rPr>
                <w:rFonts w:ascii="Calibri" w:hAnsi="Calibri" w:cs="Calibri"/>
                <w:sz w:val="20"/>
                <w:szCs w:val="20"/>
                <w:lang w:eastAsia="zh-CN"/>
              </w:rPr>
            </w:pPr>
            <w:r w:rsidRPr="00DD188F">
              <w:rPr>
                <w:rFonts w:ascii="Calibri" w:hAnsi="Calibri" w:cs="Calibri"/>
                <w:sz w:val="20"/>
                <w:szCs w:val="20"/>
                <w:lang w:eastAsia="zh-CN"/>
              </w:rPr>
              <w:t>Finance</w:t>
            </w:r>
          </w:p>
        </w:tc>
        <w:tc>
          <w:tcPr>
            <w:tcW w:w="1559" w:type="dxa"/>
          </w:tcPr>
          <w:p w14:paraId="60BBD4BC"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Lack of resources/</w:t>
            </w:r>
            <w:r w:rsidRPr="00DD188F">
              <w:rPr>
                <w:rFonts w:ascii="Calibri" w:hAnsi="Calibri" w:cs="Calibri"/>
                <w:sz w:val="20"/>
                <w:szCs w:val="20"/>
                <w:lang w:eastAsia="zh-CN"/>
              </w:rPr>
              <w:br/>
              <w:t>Insufficient funding</w:t>
            </w:r>
          </w:p>
        </w:tc>
        <w:tc>
          <w:tcPr>
            <w:tcW w:w="1276" w:type="dxa"/>
          </w:tcPr>
          <w:p w14:paraId="20DD1E12"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 xml:space="preserve">Medium </w:t>
            </w:r>
          </w:p>
        </w:tc>
        <w:tc>
          <w:tcPr>
            <w:tcW w:w="1276" w:type="dxa"/>
          </w:tcPr>
          <w:p w14:paraId="5DD74FFC"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val="fr-CH" w:eastAsia="zh-CN"/>
              </w:rPr>
            </w:pPr>
            <w:r w:rsidRPr="00DD188F">
              <w:rPr>
                <w:rFonts w:ascii="Calibri" w:hAnsi="Calibri" w:cs="Calibri"/>
                <w:sz w:val="20"/>
                <w:szCs w:val="20"/>
                <w:lang w:val="fr-CH" w:eastAsia="zh-CN"/>
              </w:rPr>
              <w:t>High</w:t>
            </w:r>
          </w:p>
        </w:tc>
        <w:tc>
          <w:tcPr>
            <w:tcW w:w="4394" w:type="dxa"/>
          </w:tcPr>
          <w:p w14:paraId="28246046" w14:textId="77777777" w:rsidR="00E80210" w:rsidRPr="00DD188F" w:rsidRDefault="00E80210" w:rsidP="00FE5E55">
            <w:pPr>
              <w:numPr>
                <w:ilvl w:val="0"/>
                <w:numId w:val="1"/>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Appropriate budget forecast to be prepared</w:t>
            </w:r>
          </w:p>
          <w:p w14:paraId="168E1C39" w14:textId="77777777" w:rsidR="00E80210" w:rsidRPr="00DD188F" w:rsidRDefault="00E80210" w:rsidP="00FE5E55">
            <w:pPr>
              <w:numPr>
                <w:ilvl w:val="0"/>
                <w:numId w:val="1"/>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Adequate implementation strategies developed to reduce costs and improve efficiency</w:t>
            </w:r>
          </w:p>
          <w:p w14:paraId="64DD726C" w14:textId="767C32F1" w:rsidR="00E80210" w:rsidRPr="00DD188F" w:rsidRDefault="00E80210" w:rsidP="00FE5E55">
            <w:pPr>
              <w:numPr>
                <w:ilvl w:val="0"/>
                <w:numId w:val="1"/>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 xml:space="preserve">Mobilization of additional/extra-budgetary resources </w:t>
            </w:r>
            <w:r w:rsidR="005719D2" w:rsidRPr="00DD188F">
              <w:rPr>
                <w:rFonts w:ascii="Calibri" w:hAnsi="Calibri" w:cs="Calibri"/>
                <w:sz w:val="20"/>
                <w:szCs w:val="20"/>
                <w:lang w:eastAsia="zh-CN"/>
              </w:rPr>
              <w:t>as</w:t>
            </w:r>
            <w:r w:rsidRPr="00DD188F">
              <w:rPr>
                <w:rFonts w:ascii="Calibri" w:hAnsi="Calibri" w:cs="Calibri"/>
                <w:sz w:val="20"/>
                <w:szCs w:val="20"/>
                <w:lang w:eastAsia="zh-CN"/>
              </w:rPr>
              <w:t xml:space="preserve"> required</w:t>
            </w:r>
          </w:p>
          <w:p w14:paraId="1E7B9086" w14:textId="77777777" w:rsidR="00E80210" w:rsidRPr="00DD188F" w:rsidRDefault="00E80210" w:rsidP="00FE5E55">
            <w:pPr>
              <w:numPr>
                <w:ilvl w:val="0"/>
                <w:numId w:val="1"/>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Development of new partnerships</w:t>
            </w:r>
          </w:p>
        </w:tc>
      </w:tr>
      <w:tr w:rsidR="00E80210" w:rsidRPr="00290D2F" w14:paraId="1AE36097" w14:textId="77777777" w:rsidTr="003E58EA">
        <w:tc>
          <w:tcPr>
            <w:cnfStyle w:val="001000000000" w:firstRow="0" w:lastRow="0" w:firstColumn="1" w:lastColumn="0" w:oddVBand="0" w:evenVBand="0" w:oddHBand="0" w:evenHBand="0" w:firstRowFirstColumn="0" w:firstRowLastColumn="0" w:lastRowFirstColumn="0" w:lastRowLastColumn="0"/>
            <w:tcW w:w="1560" w:type="dxa"/>
          </w:tcPr>
          <w:p w14:paraId="6CFC7CD2" w14:textId="7D7FA9B0" w:rsidR="00E80210" w:rsidRPr="00DD188F" w:rsidRDefault="00E80210" w:rsidP="00FE5E55">
            <w:pPr>
              <w:tabs>
                <w:tab w:val="clear" w:pos="794"/>
                <w:tab w:val="clear" w:pos="1191"/>
                <w:tab w:val="clear" w:pos="1588"/>
                <w:tab w:val="clear" w:pos="1985"/>
                <w:tab w:val="left" w:pos="1134"/>
                <w:tab w:val="left" w:pos="1871"/>
                <w:tab w:val="left" w:pos="2268"/>
              </w:tabs>
              <w:spacing w:before="0"/>
              <w:rPr>
                <w:rFonts w:ascii="Calibri" w:hAnsi="Calibri" w:cs="Calibri"/>
                <w:sz w:val="20"/>
                <w:szCs w:val="20"/>
                <w:lang w:val="fr-CH" w:eastAsia="zh-CN"/>
              </w:rPr>
            </w:pPr>
            <w:r w:rsidRPr="00DD188F">
              <w:rPr>
                <w:rFonts w:ascii="Calibri" w:hAnsi="Calibri" w:cs="Calibri"/>
                <w:sz w:val="20"/>
                <w:szCs w:val="20"/>
                <w:lang w:val="fr-CH" w:eastAsia="zh-CN"/>
              </w:rPr>
              <w:t xml:space="preserve">Human </w:t>
            </w:r>
            <w:r w:rsidR="00BC6E39" w:rsidRPr="00DD188F">
              <w:rPr>
                <w:rFonts w:ascii="Calibri" w:hAnsi="Calibri" w:cs="Calibri"/>
                <w:sz w:val="20"/>
                <w:szCs w:val="20"/>
                <w:lang w:val="fr-CH" w:eastAsia="zh-CN"/>
              </w:rPr>
              <w:t>r</w:t>
            </w:r>
            <w:r w:rsidR="002C3376" w:rsidRPr="00DD188F">
              <w:rPr>
                <w:rFonts w:ascii="Calibri" w:hAnsi="Calibri" w:cs="Calibri"/>
                <w:sz w:val="20"/>
                <w:szCs w:val="20"/>
                <w:lang w:val="fr-CH" w:eastAsia="zh-CN"/>
              </w:rPr>
              <w:t>esources</w:t>
            </w:r>
          </w:p>
        </w:tc>
        <w:tc>
          <w:tcPr>
            <w:tcW w:w="1559" w:type="dxa"/>
          </w:tcPr>
          <w:p w14:paraId="2D4D72A9"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sidRPr="00DD188F">
              <w:rPr>
                <w:rFonts w:ascii="Calibri" w:hAnsi="Calibri" w:cs="Calibri"/>
                <w:sz w:val="20"/>
                <w:szCs w:val="20"/>
                <w:lang w:eastAsia="zh-CN"/>
              </w:rPr>
              <w:t>Lack of qualified experts in the field of activity</w:t>
            </w:r>
          </w:p>
        </w:tc>
        <w:tc>
          <w:tcPr>
            <w:tcW w:w="1276" w:type="dxa"/>
          </w:tcPr>
          <w:p w14:paraId="0F34864E"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fr-CH" w:eastAsia="zh-CN"/>
              </w:rPr>
            </w:pPr>
            <w:r w:rsidRPr="00DD188F">
              <w:rPr>
                <w:rFonts w:ascii="Calibri" w:hAnsi="Calibri" w:cs="Calibri"/>
                <w:sz w:val="20"/>
                <w:szCs w:val="20"/>
                <w:lang w:val="fr-CH" w:eastAsia="zh-CN"/>
              </w:rPr>
              <w:t>High</w:t>
            </w:r>
          </w:p>
        </w:tc>
        <w:tc>
          <w:tcPr>
            <w:tcW w:w="1276" w:type="dxa"/>
          </w:tcPr>
          <w:p w14:paraId="6D1107B2"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fr-CH" w:eastAsia="zh-CN"/>
              </w:rPr>
            </w:pPr>
            <w:r w:rsidRPr="00DD188F">
              <w:rPr>
                <w:rFonts w:ascii="Calibri" w:hAnsi="Calibri" w:cs="Calibri"/>
                <w:sz w:val="20"/>
                <w:szCs w:val="20"/>
                <w:lang w:val="fr-CH" w:eastAsia="zh-CN"/>
              </w:rPr>
              <w:t>High</w:t>
            </w:r>
          </w:p>
        </w:tc>
        <w:tc>
          <w:tcPr>
            <w:tcW w:w="4394" w:type="dxa"/>
          </w:tcPr>
          <w:p w14:paraId="41611BB2" w14:textId="7C4A0A68" w:rsidR="00E80210" w:rsidRPr="00DD188F" w:rsidRDefault="00E80210" w:rsidP="00FE5E55">
            <w:pPr>
              <w:numPr>
                <w:ilvl w:val="0"/>
                <w:numId w:val="2"/>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Anticipate resources requirements and timely initiate recruitment</w:t>
            </w:r>
            <w:r w:rsidR="005719D2" w:rsidRPr="00DD188F">
              <w:rPr>
                <w:rFonts w:ascii="Calibri" w:hAnsi="Calibri" w:cs="Calibri"/>
                <w:sz w:val="20"/>
                <w:szCs w:val="20"/>
                <w:lang w:eastAsia="zh-CN"/>
              </w:rPr>
              <w:t xml:space="preserve"> and procurement</w:t>
            </w:r>
          </w:p>
          <w:p w14:paraId="45704206" w14:textId="77777777" w:rsidR="00E80210" w:rsidRPr="00DD188F" w:rsidRDefault="00E80210" w:rsidP="00FE5E55">
            <w:pPr>
              <w:numPr>
                <w:ilvl w:val="0"/>
                <w:numId w:val="2"/>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Create, keep up-to-date and further develop a roster of experts</w:t>
            </w:r>
          </w:p>
          <w:p w14:paraId="7EA1A928" w14:textId="77777777" w:rsidR="00E80210" w:rsidRPr="00DD188F" w:rsidRDefault="00E80210" w:rsidP="00FE5E55">
            <w:pPr>
              <w:numPr>
                <w:ilvl w:val="0"/>
                <w:numId w:val="2"/>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sidRPr="00DD188F">
              <w:rPr>
                <w:rFonts w:ascii="Calibri" w:hAnsi="Calibri" w:cs="Calibri"/>
                <w:sz w:val="20"/>
                <w:szCs w:val="20"/>
                <w:lang w:eastAsia="zh-CN"/>
              </w:rPr>
              <w:t xml:space="preserve">Strengthen internal expertise in key areas </w:t>
            </w:r>
          </w:p>
        </w:tc>
      </w:tr>
      <w:tr w:rsidR="00E80210" w:rsidRPr="00290D2F" w14:paraId="5EE3A115" w14:textId="77777777" w:rsidTr="003E58EA">
        <w:tc>
          <w:tcPr>
            <w:cnfStyle w:val="001000000000" w:firstRow="0" w:lastRow="0" w:firstColumn="1" w:lastColumn="0" w:oddVBand="0" w:evenVBand="0" w:oddHBand="0" w:evenHBand="0" w:firstRowFirstColumn="0" w:firstRowLastColumn="0" w:lastRowFirstColumn="0" w:lastRowLastColumn="0"/>
            <w:tcW w:w="1560" w:type="dxa"/>
          </w:tcPr>
          <w:p w14:paraId="1FFD3A7A"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rPr>
                <w:rFonts w:ascii="Calibri" w:hAnsi="Calibri" w:cs="Calibri"/>
                <w:sz w:val="20"/>
                <w:szCs w:val="20"/>
                <w:lang w:val="fr-CH" w:eastAsia="zh-CN"/>
              </w:rPr>
            </w:pPr>
            <w:r w:rsidRPr="00DD188F">
              <w:rPr>
                <w:rFonts w:ascii="Calibri" w:hAnsi="Calibri" w:cs="Calibri"/>
                <w:sz w:val="20"/>
                <w:szCs w:val="20"/>
                <w:lang w:val="fr-CH" w:eastAsia="zh-CN"/>
              </w:rPr>
              <w:t>Stakeholders/ partners</w:t>
            </w:r>
          </w:p>
        </w:tc>
        <w:tc>
          <w:tcPr>
            <w:tcW w:w="1559" w:type="dxa"/>
          </w:tcPr>
          <w:p w14:paraId="50B927F2"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Lack of support/</w:t>
            </w:r>
            <w:r w:rsidRPr="00DD188F">
              <w:rPr>
                <w:rFonts w:ascii="Calibri" w:hAnsi="Calibri" w:cs="Calibri"/>
                <w:sz w:val="20"/>
                <w:szCs w:val="20"/>
                <w:lang w:eastAsia="zh-CN"/>
              </w:rPr>
              <w:br/>
              <w:t>commitment from partners and countries</w:t>
            </w:r>
          </w:p>
        </w:tc>
        <w:tc>
          <w:tcPr>
            <w:tcW w:w="1276" w:type="dxa"/>
          </w:tcPr>
          <w:p w14:paraId="6A3E4FA5"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fr-CH" w:eastAsia="zh-CN"/>
              </w:rPr>
            </w:pPr>
            <w:r w:rsidRPr="00DD188F">
              <w:rPr>
                <w:rFonts w:ascii="Calibri" w:hAnsi="Calibri"/>
                <w:sz w:val="20"/>
                <w:szCs w:val="20"/>
                <w:lang w:val="fr-CH" w:eastAsia="zh-CN"/>
              </w:rPr>
              <w:t>Medium</w:t>
            </w:r>
          </w:p>
        </w:tc>
        <w:tc>
          <w:tcPr>
            <w:tcW w:w="1276" w:type="dxa"/>
          </w:tcPr>
          <w:p w14:paraId="738259E2"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fr-CH" w:eastAsia="zh-CN"/>
              </w:rPr>
            </w:pPr>
            <w:r w:rsidRPr="00DD188F">
              <w:rPr>
                <w:rFonts w:ascii="Calibri" w:hAnsi="Calibri"/>
                <w:sz w:val="20"/>
                <w:szCs w:val="20"/>
                <w:lang w:val="fr-CH" w:eastAsia="zh-CN"/>
              </w:rPr>
              <w:t>Medium</w:t>
            </w:r>
          </w:p>
        </w:tc>
        <w:tc>
          <w:tcPr>
            <w:tcW w:w="4394" w:type="dxa"/>
          </w:tcPr>
          <w:p w14:paraId="6ABF3759" w14:textId="37F74D04" w:rsidR="00E80210" w:rsidRPr="00DD188F" w:rsidRDefault="00E80210" w:rsidP="00FE5E55">
            <w:pPr>
              <w:numPr>
                <w:ilvl w:val="0"/>
                <w:numId w:val="3"/>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 xml:space="preserve">Ensure and enhance cooperation with </w:t>
            </w:r>
            <w:r w:rsidR="005719D2" w:rsidRPr="00DD188F">
              <w:rPr>
                <w:rFonts w:ascii="Calibri" w:hAnsi="Calibri" w:cs="Calibri"/>
                <w:sz w:val="20"/>
                <w:szCs w:val="20"/>
                <w:lang w:eastAsia="zh-CN"/>
              </w:rPr>
              <w:t>Member States</w:t>
            </w:r>
            <w:r w:rsidRPr="00DD188F">
              <w:rPr>
                <w:rFonts w:ascii="Calibri" w:hAnsi="Calibri" w:cs="Calibri"/>
                <w:sz w:val="20"/>
                <w:szCs w:val="20"/>
                <w:lang w:eastAsia="zh-CN"/>
              </w:rPr>
              <w:t xml:space="preserve"> so as to guarantee appropriate level of involvement by countries</w:t>
            </w:r>
          </w:p>
          <w:p w14:paraId="25527343" w14:textId="7AC862C5" w:rsidR="000E605A" w:rsidRPr="00DD188F" w:rsidRDefault="000E605A" w:rsidP="00FE5E55">
            <w:pPr>
              <w:numPr>
                <w:ilvl w:val="0"/>
                <w:numId w:val="3"/>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Coordinate with UNRCOs and UNDSS to assess and evaluate country specific risks</w:t>
            </w:r>
          </w:p>
          <w:p w14:paraId="44BB4219" w14:textId="3956152F" w:rsidR="00E80210" w:rsidRPr="00DD188F" w:rsidRDefault="00E80210" w:rsidP="00FE5E55">
            <w:pPr>
              <w:numPr>
                <w:ilvl w:val="0"/>
                <w:numId w:val="3"/>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eastAsia="zh-CN"/>
              </w:rPr>
            </w:pPr>
            <w:r w:rsidRPr="00DD188F">
              <w:rPr>
                <w:rFonts w:ascii="Calibri" w:hAnsi="Calibri" w:cs="Calibri"/>
                <w:sz w:val="20"/>
                <w:szCs w:val="20"/>
                <w:lang w:eastAsia="zh-CN"/>
              </w:rPr>
              <w:t xml:space="preserve">Develop new implementation and capacity development mechanisms to strengthen country ownership and the sustainability </w:t>
            </w:r>
            <w:r w:rsidR="003E0853" w:rsidRPr="00DD188F">
              <w:rPr>
                <w:rFonts w:ascii="Calibri" w:hAnsi="Calibri" w:cs="Calibri"/>
                <w:sz w:val="20"/>
                <w:szCs w:val="20"/>
                <w:lang w:eastAsia="zh-CN"/>
              </w:rPr>
              <w:t>of interventions</w:t>
            </w:r>
          </w:p>
        </w:tc>
      </w:tr>
      <w:tr w:rsidR="00E80210" w:rsidRPr="00290D2F" w14:paraId="4C1D0627" w14:textId="77777777" w:rsidTr="003E58EA">
        <w:tc>
          <w:tcPr>
            <w:cnfStyle w:val="001000000000" w:firstRow="0" w:lastRow="0" w:firstColumn="1" w:lastColumn="0" w:oddVBand="0" w:evenVBand="0" w:oddHBand="0" w:evenHBand="0" w:firstRowFirstColumn="0" w:firstRowLastColumn="0" w:lastRowFirstColumn="0" w:lastRowLastColumn="0"/>
            <w:tcW w:w="1560" w:type="dxa"/>
          </w:tcPr>
          <w:p w14:paraId="5DA780F6"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rPr>
                <w:rFonts w:ascii="Calibri" w:hAnsi="Calibri" w:cs="Calibri"/>
                <w:sz w:val="20"/>
                <w:szCs w:val="20"/>
                <w:lang w:val="fr-CH" w:eastAsia="zh-CN"/>
              </w:rPr>
            </w:pPr>
            <w:r w:rsidRPr="00DD188F">
              <w:rPr>
                <w:rFonts w:ascii="Calibri" w:hAnsi="Calibri"/>
                <w:sz w:val="20"/>
                <w:szCs w:val="20"/>
                <w:lang w:eastAsia="zh-CN"/>
              </w:rPr>
              <w:t>Environment</w:t>
            </w:r>
          </w:p>
        </w:tc>
        <w:tc>
          <w:tcPr>
            <w:tcW w:w="1559" w:type="dxa"/>
          </w:tcPr>
          <w:p w14:paraId="7E0B5181"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sidRPr="00DD188F">
              <w:rPr>
                <w:rFonts w:ascii="Calibri" w:hAnsi="Calibri"/>
                <w:sz w:val="20"/>
                <w:szCs w:val="20"/>
                <w:lang w:eastAsia="zh-CN"/>
              </w:rPr>
              <w:t>Delays in country activities due to unforeseen local events</w:t>
            </w:r>
          </w:p>
        </w:tc>
        <w:tc>
          <w:tcPr>
            <w:tcW w:w="1276" w:type="dxa"/>
          </w:tcPr>
          <w:p w14:paraId="1342B089"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sidRPr="00DD188F">
              <w:rPr>
                <w:rFonts w:ascii="Calibri" w:hAnsi="Calibri"/>
                <w:sz w:val="20"/>
                <w:szCs w:val="20"/>
                <w:lang w:val="fr-CH" w:eastAsia="zh-CN"/>
              </w:rPr>
              <w:t>Medium</w:t>
            </w:r>
          </w:p>
        </w:tc>
        <w:tc>
          <w:tcPr>
            <w:tcW w:w="1276" w:type="dxa"/>
          </w:tcPr>
          <w:p w14:paraId="007B3630" w14:textId="77777777" w:rsidR="00E80210" w:rsidRPr="00DD188F" w:rsidRDefault="00E80210" w:rsidP="00FE5E55">
            <w:pPr>
              <w:tabs>
                <w:tab w:val="clear" w:pos="794"/>
                <w:tab w:val="clear" w:pos="1191"/>
                <w:tab w:val="clear" w:pos="1588"/>
                <w:tab w:val="clear" w:pos="1985"/>
                <w:tab w:val="left" w:pos="1134"/>
                <w:tab w:val="left" w:pos="1871"/>
                <w:tab w:val="left" w:pos="2268"/>
              </w:tabs>
              <w:spacing w:before="0"/>
              <w:jc w:val="left"/>
              <w:cnfStyle w:val="000000000000" w:firstRow="0" w:lastRow="0" w:firstColumn="0" w:lastColumn="0" w:oddVBand="0" w:evenVBand="0" w:oddHBand="0" w:evenHBand="0" w:firstRowFirstColumn="0" w:firstRowLastColumn="0" w:lastRowFirstColumn="0" w:lastRowLastColumn="0"/>
              <w:rPr>
                <w:rFonts w:ascii="Calibri" w:hAnsi="Calibri"/>
                <w:sz w:val="20"/>
                <w:szCs w:val="20"/>
                <w:lang w:val="fr-CH" w:eastAsia="zh-CN"/>
              </w:rPr>
            </w:pPr>
            <w:r w:rsidRPr="00DD188F">
              <w:rPr>
                <w:rFonts w:ascii="Calibri" w:hAnsi="Calibri"/>
                <w:sz w:val="20"/>
                <w:szCs w:val="20"/>
                <w:lang w:eastAsia="zh-CN"/>
              </w:rPr>
              <w:t>High</w:t>
            </w:r>
          </w:p>
        </w:tc>
        <w:tc>
          <w:tcPr>
            <w:tcW w:w="4394" w:type="dxa"/>
          </w:tcPr>
          <w:p w14:paraId="11DA8EAE" w14:textId="77777777" w:rsidR="00E80210" w:rsidRPr="00DD188F" w:rsidRDefault="00E80210" w:rsidP="00FE5E55">
            <w:pPr>
              <w:numPr>
                <w:ilvl w:val="0"/>
                <w:numId w:val="4"/>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sidRPr="00DD188F">
              <w:rPr>
                <w:rFonts w:ascii="Calibri" w:hAnsi="Calibri"/>
                <w:sz w:val="20"/>
                <w:szCs w:val="20"/>
                <w:lang w:eastAsia="zh-CN"/>
              </w:rPr>
              <w:t xml:space="preserve">Communicate effectively with partners and donors </w:t>
            </w:r>
          </w:p>
          <w:p w14:paraId="08A06861" w14:textId="77777777" w:rsidR="00E80210" w:rsidRPr="00DD188F" w:rsidRDefault="00E80210" w:rsidP="00FE5E55">
            <w:pPr>
              <w:numPr>
                <w:ilvl w:val="0"/>
                <w:numId w:val="4"/>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sidRPr="00DD188F">
              <w:rPr>
                <w:rFonts w:ascii="Calibri" w:hAnsi="Calibri"/>
                <w:sz w:val="20"/>
                <w:szCs w:val="20"/>
                <w:lang w:eastAsia="zh-CN"/>
              </w:rPr>
              <w:t xml:space="preserve">Develop adaptive and responsive implementation mechanisms </w:t>
            </w:r>
          </w:p>
          <w:p w14:paraId="0CD114F0" w14:textId="77777777" w:rsidR="00E80210" w:rsidRPr="00DD188F" w:rsidRDefault="00E80210" w:rsidP="00FE5E55">
            <w:pPr>
              <w:numPr>
                <w:ilvl w:val="0"/>
                <w:numId w:val="4"/>
              </w:numPr>
              <w:tabs>
                <w:tab w:val="clear" w:pos="794"/>
                <w:tab w:val="clear" w:pos="1191"/>
                <w:tab w:val="clear" w:pos="1588"/>
                <w:tab w:val="clear" w:pos="1985"/>
                <w:tab w:val="left" w:pos="1134"/>
                <w:tab w:val="left" w:pos="1871"/>
                <w:tab w:val="left" w:pos="2268"/>
              </w:tabs>
              <w:overflowPunct/>
              <w:autoSpaceDE/>
              <w:autoSpaceDN/>
              <w:adjustRightInd/>
              <w:spacing w:before="0"/>
              <w:ind w:left="380"/>
              <w:jc w:val="left"/>
              <w:textAlignment w:val="auto"/>
              <w:cnfStyle w:val="000000000000" w:firstRow="0" w:lastRow="0" w:firstColumn="0" w:lastColumn="0" w:oddVBand="0" w:evenVBand="0" w:oddHBand="0" w:evenHBand="0" w:firstRowFirstColumn="0" w:firstRowLastColumn="0" w:lastRowFirstColumn="0" w:lastRowLastColumn="0"/>
              <w:rPr>
                <w:rFonts w:ascii="Calibri" w:hAnsi="Calibri"/>
                <w:sz w:val="20"/>
                <w:szCs w:val="20"/>
                <w:lang w:eastAsia="zh-CN"/>
              </w:rPr>
            </w:pPr>
            <w:r w:rsidRPr="00DD188F">
              <w:rPr>
                <w:rFonts w:ascii="Calibri" w:hAnsi="Calibri"/>
                <w:sz w:val="20"/>
                <w:szCs w:val="20"/>
                <w:lang w:eastAsia="zh-CN"/>
              </w:rPr>
              <w:t>Integrate risk management in project and activity planning</w:t>
            </w:r>
          </w:p>
        </w:tc>
      </w:tr>
    </w:tbl>
    <w:p w14:paraId="04A8BEFE" w14:textId="729CCEB1" w:rsidR="00E80210" w:rsidRPr="00DD188F" w:rsidRDefault="00E80210" w:rsidP="00DD188F">
      <w:pPr>
        <w:pStyle w:val="Heading2"/>
        <w:numPr>
          <w:ilvl w:val="0"/>
          <w:numId w:val="13"/>
        </w:numPr>
        <w:tabs>
          <w:tab w:val="clear" w:pos="794"/>
          <w:tab w:val="left" w:pos="426"/>
        </w:tabs>
        <w:spacing w:before="120" w:after="120"/>
        <w:jc w:val="left"/>
        <w:rPr>
          <w:rFonts w:eastAsia="Calibri"/>
          <w:szCs w:val="24"/>
        </w:rPr>
      </w:pPr>
      <w:r w:rsidRPr="00DD188F">
        <w:rPr>
          <w:rFonts w:eastAsia="Calibri"/>
          <w:szCs w:val="24"/>
        </w:rPr>
        <w:t xml:space="preserve">Impact framework for </w:t>
      </w:r>
      <w:r w:rsidR="00C338AD" w:rsidRPr="00DD188F">
        <w:rPr>
          <w:rFonts w:eastAsia="Calibri"/>
          <w:szCs w:val="24"/>
        </w:rPr>
        <w:t>B</w:t>
      </w:r>
      <w:r w:rsidRPr="00DD188F">
        <w:rPr>
          <w:rFonts w:eastAsia="Calibri"/>
          <w:szCs w:val="24"/>
        </w:rPr>
        <w:t>AP implementation</w:t>
      </w:r>
      <w:r w:rsidR="00C90417" w:rsidRPr="00DD188F">
        <w:rPr>
          <w:rFonts w:eastAsia="Calibri"/>
          <w:szCs w:val="24"/>
        </w:rPr>
        <w:t xml:space="preserve"> 202</w:t>
      </w:r>
      <w:r w:rsidR="00332B21" w:rsidRPr="00DD188F">
        <w:rPr>
          <w:rFonts w:eastAsia="Calibri"/>
          <w:szCs w:val="24"/>
        </w:rPr>
        <w:t>6</w:t>
      </w:r>
      <w:r w:rsidR="00C90417" w:rsidRPr="00DD188F">
        <w:rPr>
          <w:rFonts w:eastAsia="Calibri"/>
          <w:szCs w:val="24"/>
        </w:rPr>
        <w:t>-202</w:t>
      </w:r>
      <w:r w:rsidR="00332B21" w:rsidRPr="00DD188F">
        <w:rPr>
          <w:rFonts w:eastAsia="Calibri"/>
          <w:szCs w:val="24"/>
        </w:rPr>
        <w:t>9</w:t>
      </w:r>
    </w:p>
    <w:p w14:paraId="1A6DAE56" w14:textId="0353E356" w:rsidR="00BD4D63" w:rsidRDefault="00BD4D63" w:rsidP="00523867">
      <w:pPr>
        <w:overflowPunct/>
        <w:autoSpaceDE/>
        <w:autoSpaceDN/>
        <w:adjustRightInd/>
        <w:spacing w:after="120"/>
        <w:jc w:val="left"/>
        <w:textAlignment w:val="auto"/>
      </w:pPr>
      <w:r w:rsidRPr="00BD4D63">
        <w:t xml:space="preserve">The impact framework for the implementation of </w:t>
      </w:r>
      <w:r>
        <w:t>BAP</w:t>
      </w:r>
      <w:r w:rsidRPr="00BD4D63">
        <w:t xml:space="preserve"> follows a results chain, as outlined in the tables that follow, linking ITU-D Priorities to outcomes</w:t>
      </w:r>
      <w:r w:rsidR="00E31094">
        <w:t xml:space="preserve"> and related</w:t>
      </w:r>
      <w:r w:rsidRPr="00BD4D63">
        <w:t xml:space="preserve"> indicators</w:t>
      </w:r>
      <w:r>
        <w:t xml:space="preserve"> and </w:t>
      </w:r>
      <w:r w:rsidRPr="00BD4D63">
        <w:t xml:space="preserve">outputs. </w:t>
      </w:r>
      <w:r w:rsidR="00E31094">
        <w:t>The a</w:t>
      </w:r>
      <w:r w:rsidRPr="00BD4D63">
        <w:t>ctions under OP-26 were planned on the basis of the refined outcomes and indicators adopted at WTDC-25, ensuring alignment between operational planning, monitoring and reporting.</w:t>
      </w:r>
    </w:p>
    <w:p w14:paraId="731EB648" w14:textId="52D1548F" w:rsidR="005603E4" w:rsidRDefault="005603E4" w:rsidP="00523867">
      <w:pPr>
        <w:overflowPunct/>
        <w:autoSpaceDE/>
        <w:autoSpaceDN/>
        <w:adjustRightInd/>
        <w:spacing w:after="120"/>
        <w:jc w:val="left"/>
        <w:textAlignment w:val="auto"/>
      </w:pPr>
      <w:r w:rsidRPr="00AE393C">
        <w:t xml:space="preserve">Progress on the outcome indicators, which monitor the changes and impact at the country level to which BDT contributes, will be reported at the end of the BAP cycle in 2029. Progress on output indicators which measure achievements related to the development of products or services elaborated by BDT, will be </w:t>
      </w:r>
      <w:r w:rsidRPr="0022145F">
        <w:t xml:space="preserve">reported </w:t>
      </w:r>
      <w:r w:rsidR="00170763" w:rsidRPr="00B21190">
        <w:t>annually</w:t>
      </w:r>
      <w:r w:rsidR="00170763" w:rsidRPr="00170763">
        <w:t xml:space="preserve"> </w:t>
      </w:r>
      <w:r w:rsidRPr="0022145F">
        <w:t>to TDAG.</w:t>
      </w:r>
      <w:r w:rsidR="00405D1F" w:rsidRPr="00AE393C">
        <w:rPr>
          <w:i/>
          <w:iCs/>
        </w:rPr>
        <w:t xml:space="preserve"> </w:t>
      </w:r>
      <w:r w:rsidR="00552820" w:rsidRPr="0022145F">
        <w:t>B</w:t>
      </w:r>
      <w:r w:rsidRPr="00552820">
        <w:t>aselines and targets</w:t>
      </w:r>
      <w:r w:rsidRPr="00AE393C">
        <w:t xml:space="preserve"> for the outcome indicators </w:t>
      </w:r>
      <w:r w:rsidR="00E50656">
        <w:t xml:space="preserve">will be made </w:t>
      </w:r>
      <w:r w:rsidR="008A64BB">
        <w:t xml:space="preserve">available </w:t>
      </w:r>
      <w:r w:rsidRPr="00AE393C">
        <w:t xml:space="preserve">through the </w:t>
      </w:r>
      <w:r w:rsidR="007B6F27">
        <w:t xml:space="preserve">associated </w:t>
      </w:r>
      <w:r w:rsidRPr="0022145F">
        <w:t>dashboard</w:t>
      </w:r>
      <w:r w:rsidR="008A64BB">
        <w:t>s</w:t>
      </w:r>
      <w:r w:rsidRPr="00AE393C">
        <w:t>.</w:t>
      </w:r>
      <w:r>
        <w:t xml:space="preserve"> </w:t>
      </w:r>
    </w:p>
    <w:p w14:paraId="5BCE8B7A" w14:textId="77777777" w:rsidR="00273643" w:rsidRDefault="00273643" w:rsidP="00405D1F">
      <w:pPr>
        <w:overflowPunct/>
        <w:autoSpaceDE/>
        <w:autoSpaceDN/>
        <w:adjustRightInd/>
        <w:spacing w:after="120"/>
        <w:ind w:left="360"/>
        <w:jc w:val="left"/>
        <w:textAlignment w:val="auto"/>
        <w:sectPr w:rsidR="00273643" w:rsidSect="0022145F">
          <w:headerReference w:type="default" r:id="rId19"/>
          <w:headerReference w:type="first" r:id="rId20"/>
          <w:footerReference w:type="first" r:id="rId21"/>
          <w:pgSz w:w="11906" w:h="16838" w:code="9"/>
          <w:pgMar w:top="1411" w:right="1138" w:bottom="1411" w:left="1138" w:header="720" w:footer="720" w:gutter="0"/>
          <w:cols w:space="720"/>
          <w:titlePg/>
          <w:docGrid w:linePitch="326"/>
        </w:sectPr>
      </w:pPr>
    </w:p>
    <w:p w14:paraId="58B3BCDC" w14:textId="77777777" w:rsidR="00E80210" w:rsidRDefault="00E80210" w:rsidP="001D2782">
      <w:pPr>
        <w:pStyle w:val="Heading3"/>
        <w:spacing w:before="120" w:after="120"/>
        <w:ind w:left="357" w:hanging="357"/>
      </w:pPr>
      <w:r>
        <w:lastRenderedPageBreak/>
        <w:t>3.1</w:t>
      </w:r>
      <w:r>
        <w:tab/>
        <w:t>ITU-D Priority 1:</w:t>
      </w:r>
      <w:r w:rsidRPr="00EB66E4">
        <w:t xml:space="preserve"> Affordable connectivity </w:t>
      </w:r>
    </w:p>
    <w:tbl>
      <w:tblPr>
        <w:tblW w:w="15309" w:type="dxa"/>
        <w:tblInd w:w="-572" w:type="dxa"/>
        <w:tblLook w:val="04A0" w:firstRow="1" w:lastRow="0" w:firstColumn="1" w:lastColumn="0" w:noHBand="0" w:noVBand="1"/>
      </w:tblPr>
      <w:tblGrid>
        <w:gridCol w:w="1912"/>
        <w:gridCol w:w="3333"/>
        <w:gridCol w:w="3119"/>
        <w:gridCol w:w="2268"/>
        <w:gridCol w:w="1559"/>
        <w:gridCol w:w="1559"/>
        <w:gridCol w:w="1559"/>
      </w:tblGrid>
      <w:tr w:rsidR="006F1E71" w:rsidRPr="00687525" w14:paraId="1342FF3F" w14:textId="77777777" w:rsidTr="5BA95D5C">
        <w:trPr>
          <w:cantSplit/>
          <w:trHeight w:val="942"/>
          <w:tblHeader/>
        </w:trPr>
        <w:tc>
          <w:tcPr>
            <w:tcW w:w="1843" w:type="dxa"/>
            <w:tcBorders>
              <w:top w:val="single" w:sz="4" w:space="0" w:color="44B3E1"/>
              <w:left w:val="single" w:sz="4" w:space="0" w:color="44B3E1"/>
              <w:bottom w:val="single" w:sz="4" w:space="0" w:color="44B3E1"/>
              <w:right w:val="nil"/>
            </w:tcBorders>
            <w:shd w:val="clear" w:color="auto" w:fill="156082"/>
            <w:vAlign w:val="center"/>
            <w:hideMark/>
          </w:tcPr>
          <w:p w14:paraId="62008ED2"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687525">
              <w:rPr>
                <w:rFonts w:ascii="Calibri" w:hAnsi="Calibri" w:cs="Calibri"/>
                <w:b/>
                <w:bCs/>
                <w:color w:val="FFFFFF"/>
                <w:sz w:val="20"/>
                <w:lang w:eastAsia="en-GB"/>
              </w:rPr>
              <w:t>Priority/ Topic</w:t>
            </w:r>
          </w:p>
        </w:tc>
        <w:tc>
          <w:tcPr>
            <w:tcW w:w="3402" w:type="dxa"/>
            <w:tcBorders>
              <w:top w:val="single" w:sz="4" w:space="0" w:color="44B3E1"/>
              <w:left w:val="nil"/>
              <w:bottom w:val="single" w:sz="4" w:space="0" w:color="44B3E1"/>
              <w:right w:val="nil"/>
            </w:tcBorders>
            <w:shd w:val="clear" w:color="auto" w:fill="156082"/>
            <w:vAlign w:val="center"/>
            <w:hideMark/>
          </w:tcPr>
          <w:p w14:paraId="4A740520"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687525">
              <w:rPr>
                <w:rFonts w:ascii="Calibri" w:hAnsi="Calibri" w:cs="Calibri"/>
                <w:b/>
                <w:bCs/>
                <w:color w:val="FFFFFF"/>
                <w:sz w:val="20"/>
                <w:lang w:eastAsia="en-GB"/>
              </w:rPr>
              <w:t>Outcomes</w:t>
            </w:r>
          </w:p>
        </w:tc>
        <w:tc>
          <w:tcPr>
            <w:tcW w:w="3119" w:type="dxa"/>
            <w:tcBorders>
              <w:top w:val="single" w:sz="4" w:space="0" w:color="44B3E1"/>
              <w:left w:val="nil"/>
              <w:bottom w:val="single" w:sz="4" w:space="0" w:color="44B3E1"/>
              <w:right w:val="nil"/>
            </w:tcBorders>
            <w:shd w:val="clear" w:color="auto" w:fill="156082"/>
            <w:vAlign w:val="center"/>
            <w:hideMark/>
          </w:tcPr>
          <w:p w14:paraId="5FF5799C" w14:textId="3A1AF755"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687525">
              <w:rPr>
                <w:rFonts w:ascii="Calibri" w:hAnsi="Calibri" w:cs="Calibri"/>
                <w:b/>
                <w:bCs/>
                <w:color w:val="FFFFFF"/>
                <w:sz w:val="20"/>
                <w:lang w:eastAsia="en-GB"/>
              </w:rPr>
              <w:t>Outcome indicators</w:t>
            </w:r>
          </w:p>
        </w:tc>
        <w:tc>
          <w:tcPr>
            <w:tcW w:w="2268" w:type="dxa"/>
            <w:tcBorders>
              <w:top w:val="single" w:sz="4" w:space="0" w:color="44B3E1"/>
              <w:left w:val="nil"/>
              <w:bottom w:val="single" w:sz="4" w:space="0" w:color="44B3E1"/>
              <w:right w:val="nil"/>
            </w:tcBorders>
            <w:shd w:val="clear" w:color="auto" w:fill="156082"/>
            <w:vAlign w:val="center"/>
            <w:hideMark/>
          </w:tcPr>
          <w:p w14:paraId="67473F78" w14:textId="2C4FB374"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687525">
              <w:rPr>
                <w:rFonts w:ascii="Calibri" w:hAnsi="Calibri" w:cs="Calibri"/>
                <w:b/>
                <w:bCs/>
                <w:color w:val="FFFFFF"/>
                <w:sz w:val="20"/>
                <w:lang w:eastAsia="en-GB"/>
              </w:rPr>
              <w:t>Outputs</w:t>
            </w:r>
            <w:r w:rsidR="006E51AD">
              <w:rPr>
                <w:rStyle w:val="FootnoteReference"/>
                <w:rFonts w:cs="Calibri"/>
                <w:b/>
                <w:bCs/>
                <w:color w:val="FFFFFF"/>
                <w:lang w:eastAsia="en-GB"/>
              </w:rPr>
              <w:footnoteReference w:id="2"/>
            </w:r>
            <w:r w:rsidRPr="00687525">
              <w:rPr>
                <w:rFonts w:ascii="Calibri" w:hAnsi="Calibri" w:cs="Calibri"/>
                <w:b/>
                <w:bCs/>
                <w:color w:val="FFFFFF"/>
                <w:sz w:val="20"/>
                <w:lang w:eastAsia="en-GB"/>
              </w:rPr>
              <w:br/>
              <w:t>(ITU-D Products and services)</w:t>
            </w:r>
          </w:p>
        </w:tc>
        <w:tc>
          <w:tcPr>
            <w:tcW w:w="1559" w:type="dxa"/>
            <w:tcBorders>
              <w:top w:val="single" w:sz="4" w:space="0" w:color="44B3E1"/>
              <w:left w:val="nil"/>
              <w:bottom w:val="single" w:sz="4" w:space="0" w:color="44B3E1"/>
              <w:right w:val="nil"/>
            </w:tcBorders>
            <w:shd w:val="clear" w:color="auto" w:fill="156082"/>
            <w:vAlign w:val="center"/>
            <w:hideMark/>
          </w:tcPr>
          <w:p w14:paraId="335ACAB7"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687525">
              <w:rPr>
                <w:rFonts w:ascii="Calibri" w:hAnsi="Calibri" w:cs="Calibri"/>
                <w:b/>
                <w:bCs/>
                <w:color w:val="FFFFFF"/>
                <w:sz w:val="20"/>
                <w:lang w:eastAsia="en-GB"/>
              </w:rPr>
              <w:t>Budget 2026 (in CHF)</w:t>
            </w:r>
          </w:p>
        </w:tc>
        <w:tc>
          <w:tcPr>
            <w:tcW w:w="1559" w:type="dxa"/>
            <w:tcBorders>
              <w:top w:val="single" w:sz="4" w:space="0" w:color="44B3E1"/>
              <w:left w:val="nil"/>
              <w:bottom w:val="single" w:sz="4" w:space="0" w:color="44B3E1"/>
              <w:right w:val="nil"/>
            </w:tcBorders>
            <w:shd w:val="clear" w:color="auto" w:fill="156082"/>
            <w:vAlign w:val="center"/>
            <w:hideMark/>
          </w:tcPr>
          <w:p w14:paraId="3D1FAC71" w14:textId="535E422F"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687525">
              <w:rPr>
                <w:rFonts w:ascii="Calibri" w:hAnsi="Calibri" w:cs="Calibri"/>
                <w:b/>
                <w:bCs/>
                <w:color w:val="FFFFFF"/>
                <w:sz w:val="20"/>
                <w:lang w:eastAsia="en-GB"/>
              </w:rPr>
              <w:t>% of Priority/ Enabler Total</w:t>
            </w:r>
          </w:p>
        </w:tc>
        <w:tc>
          <w:tcPr>
            <w:tcW w:w="1559" w:type="dxa"/>
            <w:tcBorders>
              <w:top w:val="single" w:sz="4" w:space="0" w:color="44B3E1"/>
              <w:left w:val="nil"/>
              <w:bottom w:val="single" w:sz="4" w:space="0" w:color="44B3E1"/>
              <w:right w:val="single" w:sz="4" w:space="0" w:color="44B3E1"/>
            </w:tcBorders>
            <w:shd w:val="clear" w:color="auto" w:fill="156082"/>
            <w:vAlign w:val="center"/>
            <w:hideMark/>
          </w:tcPr>
          <w:p w14:paraId="03273C5A"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687525">
              <w:rPr>
                <w:rFonts w:ascii="Calibri" w:hAnsi="Calibri" w:cs="Calibri"/>
                <w:b/>
                <w:bCs/>
                <w:color w:val="FFFFFF"/>
                <w:sz w:val="20"/>
                <w:lang w:eastAsia="en-GB"/>
              </w:rPr>
              <w:t>% of Total Budget</w:t>
            </w:r>
          </w:p>
        </w:tc>
      </w:tr>
      <w:tr w:rsidR="003367B1" w:rsidRPr="00687525" w14:paraId="02ABC909" w14:textId="77777777" w:rsidTr="5BA95D5C">
        <w:trPr>
          <w:trHeight w:val="300"/>
        </w:trPr>
        <w:tc>
          <w:tcPr>
            <w:tcW w:w="5245" w:type="dxa"/>
            <w:gridSpan w:val="2"/>
            <w:tcBorders>
              <w:top w:val="single" w:sz="4" w:space="0" w:color="44B3E1"/>
              <w:left w:val="single" w:sz="4" w:space="0" w:color="44B3E1"/>
              <w:bottom w:val="single" w:sz="4" w:space="0" w:color="44B3E1"/>
              <w:right w:val="nil"/>
            </w:tcBorders>
            <w:shd w:val="clear" w:color="auto" w:fill="C0E6F5"/>
            <w:noWrap/>
            <w:hideMark/>
          </w:tcPr>
          <w:p w14:paraId="0C46D05C"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r w:rsidRPr="00687525">
              <w:rPr>
                <w:rFonts w:ascii="Calibri" w:hAnsi="Calibri" w:cs="Calibri"/>
                <w:b/>
                <w:bCs/>
                <w:color w:val="000000"/>
                <w:sz w:val="20"/>
                <w:lang w:eastAsia="en-GB"/>
              </w:rPr>
              <w:t>All Affordable connectivity</w:t>
            </w:r>
          </w:p>
        </w:tc>
        <w:tc>
          <w:tcPr>
            <w:tcW w:w="3119" w:type="dxa"/>
            <w:tcBorders>
              <w:top w:val="single" w:sz="4" w:space="0" w:color="44B3E1"/>
              <w:left w:val="nil"/>
              <w:bottom w:val="single" w:sz="4" w:space="0" w:color="44B3E1"/>
              <w:right w:val="nil"/>
            </w:tcBorders>
            <w:shd w:val="clear" w:color="auto" w:fill="C0E6F5"/>
            <w:noWrap/>
            <w:hideMark/>
          </w:tcPr>
          <w:p w14:paraId="13B413F2"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p>
        </w:tc>
        <w:tc>
          <w:tcPr>
            <w:tcW w:w="2268" w:type="dxa"/>
            <w:tcBorders>
              <w:top w:val="single" w:sz="4" w:space="0" w:color="44B3E1"/>
              <w:left w:val="nil"/>
              <w:bottom w:val="single" w:sz="4" w:space="0" w:color="44B3E1"/>
              <w:right w:val="nil"/>
            </w:tcBorders>
            <w:shd w:val="clear" w:color="auto" w:fill="C0E6F5"/>
            <w:noWrap/>
            <w:hideMark/>
          </w:tcPr>
          <w:p w14:paraId="7E6DD911"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left"/>
              <w:textAlignment w:val="auto"/>
              <w:rPr>
                <w:rFonts w:ascii="Times New Roman" w:hAnsi="Times New Roman"/>
                <w:sz w:val="20"/>
                <w:lang w:eastAsia="en-GB"/>
              </w:rPr>
            </w:pPr>
          </w:p>
        </w:tc>
        <w:tc>
          <w:tcPr>
            <w:tcW w:w="1559" w:type="dxa"/>
            <w:tcBorders>
              <w:top w:val="single" w:sz="4" w:space="0" w:color="44B3E1"/>
              <w:left w:val="nil"/>
              <w:bottom w:val="single" w:sz="4" w:space="0" w:color="44B3E1"/>
              <w:right w:val="nil"/>
            </w:tcBorders>
            <w:shd w:val="clear" w:color="auto" w:fill="C0E6F5"/>
            <w:noWrap/>
            <w:hideMark/>
          </w:tcPr>
          <w:p w14:paraId="572D5D2E" w14:textId="6AD9CAE6"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20"/>
                <w:lang w:eastAsia="en-GB"/>
              </w:rPr>
            </w:pPr>
            <w:r w:rsidRPr="00687525">
              <w:rPr>
                <w:rFonts w:ascii="Calibri" w:hAnsi="Calibri" w:cs="Calibri"/>
                <w:b/>
                <w:bCs/>
                <w:color w:val="000000"/>
                <w:sz w:val="20"/>
                <w:lang w:eastAsia="en-GB"/>
              </w:rPr>
              <w:t>523,000</w:t>
            </w:r>
          </w:p>
        </w:tc>
        <w:tc>
          <w:tcPr>
            <w:tcW w:w="1559" w:type="dxa"/>
            <w:tcBorders>
              <w:top w:val="single" w:sz="4" w:space="0" w:color="44B3E1"/>
              <w:left w:val="nil"/>
              <w:bottom w:val="single" w:sz="4" w:space="0" w:color="44B3E1"/>
              <w:right w:val="nil"/>
            </w:tcBorders>
            <w:shd w:val="clear" w:color="auto" w:fill="C0E6F5"/>
            <w:noWrap/>
            <w:hideMark/>
          </w:tcPr>
          <w:p w14:paraId="025C9F3B"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20"/>
                <w:lang w:eastAsia="en-GB"/>
              </w:rPr>
            </w:pPr>
          </w:p>
        </w:tc>
        <w:tc>
          <w:tcPr>
            <w:tcW w:w="1559" w:type="dxa"/>
            <w:tcBorders>
              <w:top w:val="single" w:sz="4" w:space="0" w:color="44B3E1"/>
              <w:left w:val="nil"/>
              <w:bottom w:val="single" w:sz="4" w:space="0" w:color="44B3E1"/>
              <w:right w:val="single" w:sz="4" w:space="0" w:color="44B3E1"/>
            </w:tcBorders>
            <w:shd w:val="clear" w:color="auto" w:fill="C0E6F5"/>
            <w:noWrap/>
            <w:hideMark/>
          </w:tcPr>
          <w:p w14:paraId="36555507"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20"/>
                <w:lang w:eastAsia="en-GB"/>
              </w:rPr>
            </w:pPr>
            <w:r w:rsidRPr="00687525">
              <w:rPr>
                <w:rFonts w:ascii="Calibri" w:hAnsi="Calibri" w:cs="Calibri"/>
                <w:b/>
                <w:bCs/>
                <w:color w:val="000000"/>
                <w:sz w:val="20"/>
                <w:lang w:eastAsia="en-GB"/>
              </w:rPr>
              <w:t>13.25%</w:t>
            </w:r>
          </w:p>
        </w:tc>
      </w:tr>
      <w:tr w:rsidR="006F1E71" w:rsidRPr="00687525" w14:paraId="29CA3448" w14:textId="77777777" w:rsidTr="5BA95D5C">
        <w:trPr>
          <w:trHeight w:val="1800"/>
        </w:trPr>
        <w:tc>
          <w:tcPr>
            <w:tcW w:w="1843" w:type="dxa"/>
            <w:tcBorders>
              <w:top w:val="single" w:sz="4" w:space="0" w:color="44B3E1"/>
              <w:left w:val="single" w:sz="4" w:space="0" w:color="44B3E1"/>
              <w:bottom w:val="single" w:sz="4" w:space="0" w:color="44B3E1"/>
              <w:right w:val="nil"/>
            </w:tcBorders>
            <w:hideMark/>
          </w:tcPr>
          <w:p w14:paraId="134C206F"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r w:rsidRPr="00687525">
              <w:rPr>
                <w:rFonts w:ascii="Calibri" w:hAnsi="Calibri" w:cs="Calibri"/>
                <w:b/>
                <w:bCs/>
                <w:color w:val="000000"/>
                <w:sz w:val="20"/>
                <w:lang w:eastAsia="en-GB"/>
              </w:rPr>
              <w:t>Emergency telecommunications</w:t>
            </w:r>
          </w:p>
        </w:tc>
        <w:tc>
          <w:tcPr>
            <w:tcW w:w="3402" w:type="dxa"/>
            <w:tcBorders>
              <w:top w:val="single" w:sz="4" w:space="0" w:color="44B3E1"/>
              <w:left w:val="nil"/>
              <w:bottom w:val="single" w:sz="4" w:space="0" w:color="44B3E1"/>
              <w:right w:val="nil"/>
            </w:tcBorders>
            <w:hideMark/>
          </w:tcPr>
          <w:p w14:paraId="6A8504B6" w14:textId="46A788E6" w:rsidR="009C5D55" w:rsidRPr="00687525" w:rsidRDefault="009C5D55" w:rsidP="001930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1C5D22BD">
              <w:rPr>
                <w:rFonts w:ascii="Calibri" w:hAnsi="Calibri" w:cs="Calibri"/>
                <w:color w:val="000000" w:themeColor="text1"/>
                <w:sz w:val="20"/>
                <w:lang w:eastAsia="en-GB"/>
              </w:rPr>
              <w:t>• Strengthened capacity of Member States to use telecommunications/ICTs for disaster risk reduction and management, to ensure availability of emergency telecommunications</w:t>
            </w:r>
          </w:p>
        </w:tc>
        <w:tc>
          <w:tcPr>
            <w:tcW w:w="3119" w:type="dxa"/>
            <w:tcBorders>
              <w:top w:val="single" w:sz="4" w:space="0" w:color="44B3E1"/>
              <w:left w:val="nil"/>
              <w:bottom w:val="single" w:sz="4" w:space="0" w:color="44B3E1"/>
              <w:right w:val="nil"/>
            </w:tcBorders>
            <w:hideMark/>
          </w:tcPr>
          <w:p w14:paraId="0C12A86A" w14:textId="14298F5D" w:rsidR="009C5D55" w:rsidRPr="00DD188F" w:rsidRDefault="009C5D55" w:rsidP="00DD188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themeColor="text1"/>
                <w:sz w:val="20"/>
                <w:lang w:eastAsia="en-GB"/>
              </w:rPr>
            </w:pPr>
            <w:r w:rsidRPr="58A2FF00">
              <w:rPr>
                <w:rFonts w:ascii="Calibri" w:hAnsi="Calibri" w:cs="Calibri"/>
                <w:color w:val="000000" w:themeColor="text1"/>
                <w:sz w:val="20"/>
                <w:lang w:eastAsia="en-GB"/>
              </w:rPr>
              <w:t>• Number of Member States with a national emergency telecommunications plan as part of their national disaster risk reduction strategies</w:t>
            </w:r>
          </w:p>
        </w:tc>
        <w:tc>
          <w:tcPr>
            <w:tcW w:w="2268" w:type="dxa"/>
            <w:tcBorders>
              <w:top w:val="single" w:sz="4" w:space="0" w:color="44B3E1"/>
              <w:left w:val="nil"/>
              <w:bottom w:val="single" w:sz="4" w:space="0" w:color="44B3E1"/>
              <w:right w:val="nil"/>
            </w:tcBorders>
            <w:hideMark/>
          </w:tcPr>
          <w:p w14:paraId="42D3AC5F" w14:textId="059B5C68" w:rsidR="009C5D55" w:rsidRPr="00687525" w:rsidRDefault="009C5D55" w:rsidP="009C5D55">
            <w:pPr>
              <w:tabs>
                <w:tab w:val="clear" w:pos="794"/>
                <w:tab w:val="clear" w:pos="1191"/>
                <w:tab w:val="clear" w:pos="1588"/>
                <w:tab w:val="clear" w:pos="1985"/>
              </w:tabs>
              <w:overflowPunct/>
              <w:autoSpaceDE/>
              <w:autoSpaceDN/>
              <w:adjustRightInd/>
              <w:spacing w:before="0" w:after="240"/>
              <w:jc w:val="left"/>
              <w:textAlignment w:val="auto"/>
              <w:rPr>
                <w:rFonts w:ascii="Calibri" w:hAnsi="Calibri" w:cs="Calibri"/>
                <w:color w:val="000000"/>
                <w:sz w:val="20"/>
                <w:lang w:eastAsia="en-GB"/>
              </w:rPr>
            </w:pPr>
            <w:r w:rsidRPr="00687525">
              <w:rPr>
                <w:rFonts w:ascii="Calibri" w:hAnsi="Calibri" w:cs="Calibri"/>
                <w:color w:val="000000"/>
                <w:sz w:val="20"/>
                <w:lang w:eastAsia="en-GB"/>
              </w:rPr>
              <w:t>• Model policies and strategies</w:t>
            </w:r>
            <w:r w:rsidR="005D0422">
              <w:rPr>
                <w:rFonts w:ascii="Calibri" w:hAnsi="Calibri" w:cs="Calibri"/>
                <w:color w:val="000000"/>
                <w:sz w:val="20"/>
                <w:lang w:eastAsia="en-GB"/>
              </w:rPr>
              <w:t>, too</w:t>
            </w:r>
            <w:r w:rsidR="00B266A9">
              <w:rPr>
                <w:rFonts w:ascii="Calibri" w:hAnsi="Calibri" w:cs="Calibri"/>
                <w:color w:val="000000"/>
                <w:sz w:val="20"/>
                <w:lang w:eastAsia="en-GB"/>
              </w:rPr>
              <w:t>lkits</w:t>
            </w:r>
            <w:r w:rsidRPr="00687525">
              <w:rPr>
                <w:rFonts w:ascii="Calibri" w:hAnsi="Calibri" w:cs="Calibri"/>
                <w:color w:val="000000"/>
                <w:sz w:val="20"/>
                <w:lang w:eastAsia="en-GB"/>
              </w:rPr>
              <w:br/>
              <w:t>• Technical interventions</w:t>
            </w:r>
            <w:r w:rsidRPr="00687525">
              <w:rPr>
                <w:rFonts w:ascii="Calibri" w:hAnsi="Calibri" w:cs="Calibri"/>
                <w:color w:val="000000"/>
                <w:sz w:val="20"/>
                <w:lang w:eastAsia="en-GB"/>
              </w:rPr>
              <w:br/>
              <w:t>• Convening platforms</w:t>
            </w:r>
            <w:r w:rsidRPr="00687525">
              <w:rPr>
                <w:rFonts w:ascii="Calibri" w:hAnsi="Calibri" w:cs="Calibri"/>
                <w:color w:val="000000"/>
                <w:sz w:val="20"/>
                <w:lang w:eastAsia="en-GB"/>
              </w:rPr>
              <w:br/>
              <w:t xml:space="preserve">• Learning frameworks </w:t>
            </w:r>
          </w:p>
        </w:tc>
        <w:tc>
          <w:tcPr>
            <w:tcW w:w="1559" w:type="dxa"/>
            <w:tcBorders>
              <w:top w:val="single" w:sz="4" w:space="0" w:color="44B3E1"/>
              <w:left w:val="nil"/>
              <w:bottom w:val="single" w:sz="4" w:space="0" w:color="44B3E1"/>
              <w:right w:val="nil"/>
            </w:tcBorders>
            <w:noWrap/>
            <w:hideMark/>
          </w:tcPr>
          <w:p w14:paraId="4D888563" w14:textId="4049CCDF"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687525">
              <w:rPr>
                <w:rFonts w:ascii="Calibri" w:hAnsi="Calibri" w:cs="Calibri"/>
                <w:color w:val="000000"/>
                <w:sz w:val="20"/>
                <w:lang w:eastAsia="en-GB"/>
              </w:rPr>
              <w:t>205,000</w:t>
            </w:r>
          </w:p>
        </w:tc>
        <w:tc>
          <w:tcPr>
            <w:tcW w:w="1559" w:type="dxa"/>
            <w:tcBorders>
              <w:top w:val="single" w:sz="4" w:space="0" w:color="44B3E1"/>
              <w:left w:val="nil"/>
              <w:bottom w:val="single" w:sz="4" w:space="0" w:color="44B3E1"/>
              <w:right w:val="nil"/>
            </w:tcBorders>
            <w:noWrap/>
            <w:hideMark/>
          </w:tcPr>
          <w:p w14:paraId="09720EBF"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687525">
              <w:rPr>
                <w:rFonts w:ascii="Calibri" w:hAnsi="Calibri" w:cs="Calibri"/>
                <w:color w:val="000000"/>
                <w:sz w:val="20"/>
                <w:lang w:eastAsia="en-GB"/>
              </w:rPr>
              <w:t>39.2%</w:t>
            </w:r>
          </w:p>
        </w:tc>
        <w:tc>
          <w:tcPr>
            <w:tcW w:w="1559" w:type="dxa"/>
            <w:tcBorders>
              <w:top w:val="single" w:sz="4" w:space="0" w:color="44B3E1"/>
              <w:left w:val="nil"/>
              <w:bottom w:val="single" w:sz="4" w:space="0" w:color="44B3E1"/>
              <w:right w:val="single" w:sz="4" w:space="0" w:color="44B3E1"/>
            </w:tcBorders>
            <w:noWrap/>
            <w:hideMark/>
          </w:tcPr>
          <w:p w14:paraId="77AC5873"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687525">
              <w:rPr>
                <w:rFonts w:ascii="Calibri" w:hAnsi="Calibri" w:cs="Calibri"/>
                <w:color w:val="000000"/>
                <w:sz w:val="20"/>
                <w:lang w:eastAsia="en-GB"/>
              </w:rPr>
              <w:t>5.2%</w:t>
            </w:r>
          </w:p>
        </w:tc>
      </w:tr>
      <w:tr w:rsidR="006F1E71" w:rsidRPr="00687525" w14:paraId="75D78164" w14:textId="77777777" w:rsidTr="5BA95D5C">
        <w:trPr>
          <w:trHeight w:val="8190"/>
        </w:trPr>
        <w:tc>
          <w:tcPr>
            <w:tcW w:w="1843" w:type="dxa"/>
            <w:tcBorders>
              <w:top w:val="single" w:sz="4" w:space="0" w:color="44B3E1"/>
              <w:left w:val="single" w:sz="4" w:space="0" w:color="44B3E1"/>
              <w:bottom w:val="single" w:sz="4" w:space="0" w:color="44B3E1"/>
              <w:right w:val="nil"/>
            </w:tcBorders>
            <w:shd w:val="clear" w:color="auto" w:fill="C0E6F5"/>
            <w:hideMark/>
          </w:tcPr>
          <w:p w14:paraId="4D44756A"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r w:rsidRPr="00687525">
              <w:rPr>
                <w:rFonts w:ascii="Calibri" w:hAnsi="Calibri" w:cs="Calibri"/>
                <w:b/>
                <w:bCs/>
                <w:color w:val="000000"/>
                <w:sz w:val="20"/>
                <w:lang w:eastAsia="en-GB"/>
              </w:rPr>
              <w:lastRenderedPageBreak/>
              <w:t>Network and digital infrastructure</w:t>
            </w:r>
          </w:p>
        </w:tc>
        <w:tc>
          <w:tcPr>
            <w:tcW w:w="3402" w:type="dxa"/>
            <w:tcBorders>
              <w:top w:val="single" w:sz="4" w:space="0" w:color="44B3E1"/>
              <w:left w:val="nil"/>
              <w:bottom w:val="single" w:sz="4" w:space="0" w:color="44B3E1"/>
              <w:right w:val="nil"/>
            </w:tcBorders>
            <w:shd w:val="clear" w:color="auto" w:fill="C0E6F5"/>
            <w:hideMark/>
          </w:tcPr>
          <w:p w14:paraId="56593361"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687525">
              <w:rPr>
                <w:rFonts w:ascii="Calibri" w:hAnsi="Calibri" w:cs="Calibri"/>
                <w:color w:val="000000"/>
                <w:sz w:val="20"/>
                <w:lang w:eastAsia="en-GB"/>
              </w:rPr>
              <w:t>• Improved broadband connectivity in developing countries, least developed countries (LDCs), small island developing states (SIDS) and landlocked developing countries (LLDCs), countries with specific needs</w:t>
            </w:r>
            <w:r w:rsidRPr="00687525">
              <w:rPr>
                <w:rFonts w:ascii="Calibri" w:hAnsi="Calibri" w:cs="Calibri"/>
                <w:color w:val="000000"/>
                <w:sz w:val="20"/>
                <w:lang w:eastAsia="en-GB"/>
              </w:rPr>
              <w:br/>
              <w:t>• Improved telecommunication/ICT infrastructure and service, in particular broadband coverage, quality of service and affordability of services and devices and with regard to rural and underserved areas</w:t>
            </w:r>
          </w:p>
        </w:tc>
        <w:tc>
          <w:tcPr>
            <w:tcW w:w="3119" w:type="dxa"/>
            <w:tcBorders>
              <w:top w:val="single" w:sz="4" w:space="0" w:color="44B3E1"/>
              <w:left w:val="nil"/>
              <w:bottom w:val="single" w:sz="4" w:space="0" w:color="44B3E1"/>
              <w:right w:val="nil"/>
            </w:tcBorders>
            <w:shd w:val="clear" w:color="auto" w:fill="C0E6F5"/>
            <w:hideMark/>
          </w:tcPr>
          <w:p w14:paraId="37150235" w14:textId="7A3A915F" w:rsidR="009C5D55" w:rsidRPr="00687525" w:rsidRDefault="009C5D55" w:rsidP="009C5D55">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687525">
              <w:rPr>
                <w:rFonts w:ascii="Calibri" w:hAnsi="Calibri" w:cs="Calibri"/>
                <w:color w:val="000000"/>
                <w:sz w:val="20"/>
                <w:lang w:eastAsia="en-GB"/>
              </w:rPr>
              <w:t>• Number of Member States with broadband plans</w:t>
            </w:r>
            <w:r w:rsidRPr="00687525">
              <w:rPr>
                <w:rFonts w:ascii="Calibri" w:hAnsi="Calibri" w:cs="Calibri"/>
                <w:color w:val="000000"/>
                <w:sz w:val="20"/>
                <w:lang w:eastAsia="en-GB"/>
              </w:rPr>
              <w:br/>
            </w:r>
            <w:r w:rsidRPr="00B4561E">
              <w:rPr>
                <w:rFonts w:ascii="Calibri" w:hAnsi="Calibri" w:cs="Calibri"/>
                <w:sz w:val="20"/>
                <w:lang w:eastAsia="en-GB"/>
              </w:rPr>
              <w:t>• Percentage of individuals using the Internet</w:t>
            </w:r>
            <w:r w:rsidRPr="00687525">
              <w:rPr>
                <w:rFonts w:ascii="Calibri" w:hAnsi="Calibri" w:cs="Calibri"/>
                <w:sz w:val="20"/>
                <w:lang w:eastAsia="en-GB"/>
              </w:rPr>
              <w:br/>
              <w:t xml:space="preserve">• Percentage </w:t>
            </w:r>
            <w:r w:rsidRPr="009A19BC">
              <w:rPr>
                <w:rFonts w:ascii="Calibri" w:hAnsi="Calibri" w:cs="Calibri"/>
                <w:sz w:val="20"/>
                <w:lang w:eastAsia="en-GB"/>
              </w:rPr>
              <w:t>change</w:t>
            </w:r>
            <w:r w:rsidRPr="00687525">
              <w:rPr>
                <w:rFonts w:ascii="Calibri" w:hAnsi="Calibri" w:cs="Calibri"/>
                <w:sz w:val="20"/>
                <w:lang w:eastAsia="en-GB"/>
              </w:rPr>
              <w:t xml:space="preserve"> in (fixed and mobile) broadband costs relative to household income</w:t>
            </w:r>
            <w:r w:rsidRPr="00687525">
              <w:rPr>
                <w:rFonts w:ascii="Calibri" w:hAnsi="Calibri" w:cs="Calibri"/>
                <w:sz w:val="20"/>
                <w:lang w:eastAsia="en-GB"/>
              </w:rPr>
              <w:br/>
              <w:t xml:space="preserve">• </w:t>
            </w:r>
            <w:r w:rsidRPr="00B4561E">
              <w:rPr>
                <w:rFonts w:ascii="Calibri" w:hAnsi="Calibri" w:cs="Calibri"/>
                <w:sz w:val="20"/>
                <w:lang w:eastAsia="en-GB"/>
              </w:rPr>
              <w:t>Percentage of individuals who own a mobile phone</w:t>
            </w:r>
            <w:r w:rsidRPr="00687525">
              <w:rPr>
                <w:rFonts w:ascii="Calibri" w:hAnsi="Calibri" w:cs="Calibri"/>
                <w:sz w:val="20"/>
                <w:lang w:eastAsia="en-GB"/>
              </w:rPr>
              <w:br/>
              <w:t xml:space="preserve">• Percentage of rural population in LDCs, LLDCs, and SIDS covered by IMT-2000 (‘3G’) networks or higher </w:t>
            </w:r>
            <w:r w:rsidRPr="00687525">
              <w:rPr>
                <w:rFonts w:ascii="Calibri" w:hAnsi="Calibri" w:cs="Calibri"/>
                <w:sz w:val="20"/>
                <w:lang w:eastAsia="en-GB"/>
              </w:rPr>
              <w:br/>
              <w:t>• Percentage of Member States with available data where at least 90 per cent of the population in rural areas is covered by IMT-Advanced (‘4G’) networks or higher</w:t>
            </w:r>
            <w:r w:rsidRPr="00687525">
              <w:rPr>
                <w:rFonts w:ascii="Calibri" w:hAnsi="Calibri" w:cs="Calibri"/>
                <w:sz w:val="20"/>
                <w:lang w:eastAsia="en-GB"/>
              </w:rPr>
              <w:br/>
            </w:r>
            <w:r w:rsidRPr="00CD74EC">
              <w:rPr>
                <w:rFonts w:ascii="Calibri" w:hAnsi="Calibri" w:cs="Calibri"/>
                <w:sz w:val="20"/>
                <w:lang w:eastAsia="en-GB"/>
              </w:rPr>
              <w:t>• Percentage of Member States with entry-level mobile broadband data basket available at no more than 2% GNI per capita</w:t>
            </w:r>
            <w:r w:rsidRPr="00CD74EC">
              <w:rPr>
                <w:rFonts w:ascii="Calibri" w:hAnsi="Calibri" w:cs="Calibri"/>
                <w:sz w:val="20"/>
                <w:lang w:eastAsia="en-GB"/>
              </w:rPr>
              <w:br/>
              <w:t>• Percentage of Member States with entry-level fixed broadband data basket available at no more than 2% GNI per capita</w:t>
            </w:r>
          </w:p>
        </w:tc>
        <w:tc>
          <w:tcPr>
            <w:tcW w:w="2268" w:type="dxa"/>
            <w:tcBorders>
              <w:top w:val="single" w:sz="4" w:space="0" w:color="44B3E1"/>
              <w:left w:val="nil"/>
              <w:bottom w:val="single" w:sz="4" w:space="0" w:color="44B3E1"/>
              <w:right w:val="nil"/>
            </w:tcBorders>
            <w:shd w:val="clear" w:color="auto" w:fill="C0E6F5"/>
            <w:hideMark/>
          </w:tcPr>
          <w:p w14:paraId="7CC1406A" w14:textId="19F923C1" w:rsidR="009C5D55" w:rsidRPr="00687525" w:rsidRDefault="009C5D55" w:rsidP="00FE5E55">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themeColor="text1"/>
                <w:sz w:val="20"/>
                <w:lang w:eastAsia="en-GB"/>
              </w:rPr>
            </w:pPr>
            <w:r w:rsidRPr="5BA95D5C">
              <w:rPr>
                <w:rFonts w:ascii="Calibri" w:hAnsi="Calibri" w:cs="Calibri"/>
                <w:color w:val="000000" w:themeColor="text1"/>
                <w:sz w:val="20"/>
                <w:lang w:eastAsia="en-GB"/>
              </w:rPr>
              <w:t>• Technical interventions</w:t>
            </w:r>
            <w:r>
              <w:br/>
            </w:r>
            <w:r w:rsidRPr="5BA95D5C">
              <w:rPr>
                <w:rFonts w:ascii="Calibri" w:hAnsi="Calibri" w:cs="Calibri"/>
                <w:color w:val="000000" w:themeColor="text1"/>
                <w:sz w:val="20"/>
                <w:lang w:eastAsia="en-GB"/>
              </w:rPr>
              <w:t>• Convening platforms</w:t>
            </w:r>
            <w:r>
              <w:br/>
            </w:r>
            <w:r w:rsidRPr="5BA95D5C">
              <w:rPr>
                <w:rFonts w:ascii="Calibri" w:hAnsi="Calibri" w:cs="Calibri"/>
                <w:color w:val="000000" w:themeColor="text1"/>
                <w:sz w:val="20"/>
                <w:lang w:eastAsia="en-GB"/>
              </w:rPr>
              <w:t xml:space="preserve">• Learning frameworks </w:t>
            </w:r>
            <w:r>
              <w:br/>
            </w:r>
            <w:r w:rsidRPr="5BA95D5C">
              <w:rPr>
                <w:rFonts w:ascii="Calibri" w:hAnsi="Calibri" w:cs="Calibri"/>
                <w:color w:val="000000" w:themeColor="text1"/>
                <w:sz w:val="20"/>
                <w:lang w:eastAsia="en-GB"/>
              </w:rPr>
              <w:t xml:space="preserve">• </w:t>
            </w:r>
            <w:r w:rsidRPr="0019308A">
              <w:rPr>
                <w:rFonts w:ascii="Calibri" w:hAnsi="Calibri" w:cs="Calibri"/>
                <w:color w:val="000000" w:themeColor="text1"/>
                <w:sz w:val="20"/>
                <w:lang w:eastAsia="en-GB"/>
              </w:rPr>
              <w:t>Convening platforms</w:t>
            </w:r>
          </w:p>
          <w:p w14:paraId="3C02694C" w14:textId="18DE50D8" w:rsidR="009C5D55" w:rsidRPr="00687525" w:rsidRDefault="000232C1" w:rsidP="5BA95D5C">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39533629">
              <w:rPr>
                <w:rFonts w:ascii="Calibri" w:hAnsi="Calibri" w:cs="Calibri"/>
                <w:color w:val="000000" w:themeColor="text1"/>
                <w:sz w:val="20"/>
                <w:lang w:eastAsia="en-GB"/>
              </w:rPr>
              <w:t>•</w:t>
            </w:r>
            <w:r w:rsidR="00B266A9" w:rsidRPr="008015B8">
              <w:rPr>
                <w:rFonts w:ascii="Calibri" w:hAnsi="Calibri" w:cs="Calibri"/>
                <w:color w:val="000000"/>
                <w:sz w:val="20"/>
                <w:lang w:eastAsia="en-GB"/>
              </w:rPr>
              <w:t xml:space="preserve"> Model policies and strategies, toolkits </w:t>
            </w:r>
          </w:p>
        </w:tc>
        <w:tc>
          <w:tcPr>
            <w:tcW w:w="1559" w:type="dxa"/>
            <w:tcBorders>
              <w:top w:val="single" w:sz="4" w:space="0" w:color="44B3E1"/>
              <w:left w:val="nil"/>
              <w:bottom w:val="single" w:sz="4" w:space="0" w:color="44B3E1"/>
              <w:right w:val="nil"/>
            </w:tcBorders>
            <w:shd w:val="clear" w:color="auto" w:fill="C0E6F5"/>
            <w:noWrap/>
            <w:hideMark/>
          </w:tcPr>
          <w:p w14:paraId="438E4B5F" w14:textId="6A454F77" w:rsidR="009C5D55" w:rsidRPr="0019308A"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color w:val="000000"/>
                <w:sz w:val="20"/>
                <w:lang w:eastAsia="en-GB"/>
              </w:rPr>
            </w:pPr>
            <w:r w:rsidRPr="0019308A">
              <w:rPr>
                <w:rFonts w:ascii="Calibri" w:hAnsi="Calibri" w:cs="Calibri"/>
                <w:b/>
                <w:color w:val="000000"/>
                <w:sz w:val="20"/>
                <w:lang w:eastAsia="en-GB"/>
              </w:rPr>
              <w:t>318,000</w:t>
            </w:r>
          </w:p>
        </w:tc>
        <w:tc>
          <w:tcPr>
            <w:tcW w:w="1559" w:type="dxa"/>
            <w:tcBorders>
              <w:top w:val="single" w:sz="4" w:space="0" w:color="44B3E1"/>
              <w:left w:val="nil"/>
              <w:bottom w:val="single" w:sz="4" w:space="0" w:color="44B3E1"/>
              <w:right w:val="nil"/>
            </w:tcBorders>
            <w:shd w:val="clear" w:color="auto" w:fill="C0E6F5"/>
            <w:noWrap/>
            <w:hideMark/>
          </w:tcPr>
          <w:p w14:paraId="44EE4F48"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687525">
              <w:rPr>
                <w:rFonts w:ascii="Calibri" w:hAnsi="Calibri" w:cs="Calibri"/>
                <w:color w:val="000000"/>
                <w:sz w:val="20"/>
                <w:lang w:eastAsia="en-GB"/>
              </w:rPr>
              <w:t>60.8%</w:t>
            </w:r>
          </w:p>
        </w:tc>
        <w:tc>
          <w:tcPr>
            <w:tcW w:w="1559" w:type="dxa"/>
            <w:tcBorders>
              <w:top w:val="single" w:sz="4" w:space="0" w:color="44B3E1"/>
              <w:left w:val="nil"/>
              <w:bottom w:val="single" w:sz="4" w:space="0" w:color="44B3E1"/>
              <w:right w:val="single" w:sz="4" w:space="0" w:color="44B3E1"/>
            </w:tcBorders>
            <w:shd w:val="clear" w:color="auto" w:fill="C0E6F5"/>
            <w:noWrap/>
            <w:hideMark/>
          </w:tcPr>
          <w:p w14:paraId="056459D9" w14:textId="77777777" w:rsidR="009C5D55" w:rsidRPr="00687525" w:rsidRDefault="009C5D55" w:rsidP="009C5D55">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687525">
              <w:rPr>
                <w:rFonts w:ascii="Calibri" w:hAnsi="Calibri" w:cs="Calibri"/>
                <w:color w:val="000000"/>
                <w:sz w:val="20"/>
                <w:lang w:eastAsia="en-GB"/>
              </w:rPr>
              <w:t>8.1%</w:t>
            </w:r>
          </w:p>
        </w:tc>
      </w:tr>
    </w:tbl>
    <w:p w14:paraId="688D4F00" w14:textId="0D56565B" w:rsidR="00E80210" w:rsidRDefault="00E80210" w:rsidP="001D2782">
      <w:pPr>
        <w:pStyle w:val="Heading3"/>
        <w:spacing w:before="120" w:after="120"/>
        <w:ind w:left="357" w:hanging="357"/>
      </w:pPr>
      <w:r>
        <w:lastRenderedPageBreak/>
        <w:t>3.2</w:t>
      </w:r>
      <w:r>
        <w:tab/>
        <w:t>ITU-D Priority 2:</w:t>
      </w:r>
      <w:r w:rsidRPr="00EB66E4">
        <w:t xml:space="preserve"> Digital transformation </w:t>
      </w:r>
    </w:p>
    <w:tbl>
      <w:tblPr>
        <w:tblW w:w="15451" w:type="dxa"/>
        <w:tblInd w:w="-714" w:type="dxa"/>
        <w:tblLook w:val="04A0" w:firstRow="1" w:lastRow="0" w:firstColumn="1" w:lastColumn="0" w:noHBand="0" w:noVBand="1"/>
      </w:tblPr>
      <w:tblGrid>
        <w:gridCol w:w="2127"/>
        <w:gridCol w:w="3260"/>
        <w:gridCol w:w="3119"/>
        <w:gridCol w:w="2268"/>
        <w:gridCol w:w="1559"/>
        <w:gridCol w:w="1559"/>
        <w:gridCol w:w="1559"/>
      </w:tblGrid>
      <w:tr w:rsidR="006F1E71" w:rsidRPr="008015B8" w14:paraId="1552ADB7" w14:textId="77777777" w:rsidTr="29D29DC7">
        <w:trPr>
          <w:cantSplit/>
          <w:trHeight w:val="600"/>
          <w:tblHeader/>
        </w:trPr>
        <w:tc>
          <w:tcPr>
            <w:tcW w:w="2127" w:type="dxa"/>
            <w:tcBorders>
              <w:top w:val="single" w:sz="4" w:space="0" w:color="44B3E1"/>
              <w:left w:val="single" w:sz="4" w:space="0" w:color="44B3E1"/>
              <w:bottom w:val="single" w:sz="4" w:space="0" w:color="44B3E1"/>
              <w:right w:val="nil"/>
            </w:tcBorders>
            <w:shd w:val="clear" w:color="auto" w:fill="156082"/>
            <w:noWrap/>
            <w:vAlign w:val="center"/>
            <w:hideMark/>
          </w:tcPr>
          <w:p w14:paraId="723FC23A"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8015B8">
              <w:rPr>
                <w:rFonts w:ascii="Calibri" w:hAnsi="Calibri" w:cs="Calibri"/>
                <w:b/>
                <w:bCs/>
                <w:color w:val="FFFFFF"/>
                <w:sz w:val="20"/>
                <w:lang w:eastAsia="en-GB"/>
              </w:rPr>
              <w:t>Priority/ Topic</w:t>
            </w:r>
          </w:p>
        </w:tc>
        <w:tc>
          <w:tcPr>
            <w:tcW w:w="3260" w:type="dxa"/>
            <w:tcBorders>
              <w:top w:val="single" w:sz="4" w:space="0" w:color="44B3E1"/>
              <w:left w:val="nil"/>
              <w:bottom w:val="single" w:sz="4" w:space="0" w:color="44B3E1"/>
              <w:right w:val="nil"/>
            </w:tcBorders>
            <w:shd w:val="clear" w:color="auto" w:fill="156082"/>
            <w:noWrap/>
            <w:vAlign w:val="center"/>
            <w:hideMark/>
          </w:tcPr>
          <w:p w14:paraId="130B1433"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8015B8">
              <w:rPr>
                <w:rFonts w:ascii="Calibri" w:hAnsi="Calibri" w:cs="Calibri"/>
                <w:b/>
                <w:bCs/>
                <w:color w:val="FFFFFF"/>
                <w:sz w:val="20"/>
                <w:lang w:eastAsia="en-GB"/>
              </w:rPr>
              <w:t>Outcomes</w:t>
            </w:r>
          </w:p>
        </w:tc>
        <w:tc>
          <w:tcPr>
            <w:tcW w:w="3119" w:type="dxa"/>
            <w:tcBorders>
              <w:top w:val="single" w:sz="4" w:space="0" w:color="44B3E1"/>
              <w:left w:val="nil"/>
              <w:bottom w:val="single" w:sz="4" w:space="0" w:color="44B3E1"/>
              <w:right w:val="nil"/>
            </w:tcBorders>
            <w:shd w:val="clear" w:color="auto" w:fill="156082"/>
            <w:noWrap/>
            <w:vAlign w:val="center"/>
            <w:hideMark/>
          </w:tcPr>
          <w:p w14:paraId="2B129603" w14:textId="378F38B1" w:rsidR="00594024" w:rsidRPr="008015B8" w:rsidRDefault="00E2608A"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8015B8">
              <w:rPr>
                <w:rFonts w:ascii="Calibri" w:hAnsi="Calibri" w:cs="Calibri"/>
                <w:b/>
                <w:bCs/>
                <w:color w:val="FFFFFF"/>
                <w:sz w:val="20"/>
                <w:lang w:eastAsia="en-GB"/>
              </w:rPr>
              <w:t>Outcome i</w:t>
            </w:r>
            <w:r w:rsidR="00594024" w:rsidRPr="008015B8">
              <w:rPr>
                <w:rFonts w:ascii="Calibri" w:hAnsi="Calibri" w:cs="Calibri"/>
                <w:b/>
                <w:bCs/>
                <w:color w:val="FFFFFF"/>
                <w:sz w:val="20"/>
                <w:lang w:eastAsia="en-GB"/>
              </w:rPr>
              <w:t>ndicators</w:t>
            </w:r>
            <w:r w:rsidR="00432F8E">
              <w:rPr>
                <w:rStyle w:val="FootnoteReference"/>
                <w:rFonts w:cs="Calibri"/>
                <w:b/>
                <w:bCs/>
                <w:color w:val="FFFFFF"/>
                <w:lang w:eastAsia="en-GB"/>
              </w:rPr>
              <w:footnoteReference w:id="3"/>
            </w:r>
          </w:p>
        </w:tc>
        <w:tc>
          <w:tcPr>
            <w:tcW w:w="2268" w:type="dxa"/>
            <w:tcBorders>
              <w:top w:val="single" w:sz="4" w:space="0" w:color="44B3E1"/>
              <w:left w:val="nil"/>
              <w:bottom w:val="single" w:sz="4" w:space="0" w:color="44B3E1"/>
              <w:right w:val="nil"/>
            </w:tcBorders>
            <w:shd w:val="clear" w:color="auto" w:fill="156082"/>
            <w:vAlign w:val="center"/>
            <w:hideMark/>
          </w:tcPr>
          <w:p w14:paraId="0311AE63"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8015B8">
              <w:rPr>
                <w:rFonts w:ascii="Calibri" w:hAnsi="Calibri" w:cs="Calibri"/>
                <w:b/>
                <w:bCs/>
                <w:color w:val="FFFFFF"/>
                <w:sz w:val="20"/>
                <w:lang w:eastAsia="en-GB"/>
              </w:rPr>
              <w:t>Outputs</w:t>
            </w:r>
            <w:r w:rsidRPr="008015B8">
              <w:rPr>
                <w:rFonts w:ascii="Calibri" w:hAnsi="Calibri" w:cs="Calibri"/>
                <w:b/>
                <w:bCs/>
                <w:color w:val="FFFFFF"/>
                <w:sz w:val="20"/>
                <w:lang w:eastAsia="en-GB"/>
              </w:rPr>
              <w:br/>
              <w:t>(ITU-D Products and services)</w:t>
            </w:r>
          </w:p>
        </w:tc>
        <w:tc>
          <w:tcPr>
            <w:tcW w:w="1559" w:type="dxa"/>
            <w:tcBorders>
              <w:top w:val="single" w:sz="4" w:space="0" w:color="44B3E1"/>
              <w:left w:val="nil"/>
              <w:bottom w:val="single" w:sz="4" w:space="0" w:color="44B3E1"/>
              <w:right w:val="nil"/>
            </w:tcBorders>
            <w:shd w:val="clear" w:color="auto" w:fill="156082"/>
            <w:vAlign w:val="center"/>
            <w:hideMark/>
          </w:tcPr>
          <w:p w14:paraId="585BAF68"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8015B8">
              <w:rPr>
                <w:rFonts w:ascii="Calibri" w:hAnsi="Calibri" w:cs="Calibri"/>
                <w:b/>
                <w:bCs/>
                <w:color w:val="FFFFFF"/>
                <w:sz w:val="20"/>
                <w:lang w:eastAsia="en-GB"/>
              </w:rPr>
              <w:t>Budget 2026 (in CHF)</w:t>
            </w:r>
          </w:p>
        </w:tc>
        <w:tc>
          <w:tcPr>
            <w:tcW w:w="1559" w:type="dxa"/>
            <w:tcBorders>
              <w:top w:val="single" w:sz="4" w:space="0" w:color="44B3E1"/>
              <w:left w:val="nil"/>
              <w:bottom w:val="single" w:sz="4" w:space="0" w:color="44B3E1"/>
              <w:right w:val="nil"/>
            </w:tcBorders>
            <w:shd w:val="clear" w:color="auto" w:fill="156082"/>
            <w:vAlign w:val="center"/>
            <w:hideMark/>
          </w:tcPr>
          <w:p w14:paraId="5064FF66"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8015B8">
              <w:rPr>
                <w:rFonts w:ascii="Calibri" w:hAnsi="Calibri" w:cs="Calibri"/>
                <w:b/>
                <w:bCs/>
                <w:color w:val="FFFFFF"/>
                <w:sz w:val="20"/>
                <w:lang w:eastAsia="en-GB"/>
              </w:rPr>
              <w:t>% of Priority/ Enabler Total</w:t>
            </w:r>
          </w:p>
        </w:tc>
        <w:tc>
          <w:tcPr>
            <w:tcW w:w="1559" w:type="dxa"/>
            <w:tcBorders>
              <w:top w:val="single" w:sz="4" w:space="0" w:color="44B3E1"/>
              <w:left w:val="nil"/>
              <w:bottom w:val="single" w:sz="4" w:space="0" w:color="44B3E1"/>
              <w:right w:val="single" w:sz="4" w:space="0" w:color="44B3E1"/>
            </w:tcBorders>
            <w:shd w:val="clear" w:color="auto" w:fill="156082"/>
            <w:vAlign w:val="center"/>
            <w:hideMark/>
          </w:tcPr>
          <w:p w14:paraId="4DA6DBFF" w14:textId="3F029348"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8015B8">
              <w:rPr>
                <w:rFonts w:ascii="Calibri" w:hAnsi="Calibri" w:cs="Calibri"/>
                <w:b/>
                <w:bCs/>
                <w:color w:val="FFFFFF"/>
                <w:sz w:val="20"/>
                <w:lang w:eastAsia="en-GB"/>
              </w:rPr>
              <w:t>% of Total</w:t>
            </w:r>
            <w:r w:rsidR="00E5677F" w:rsidRPr="008015B8">
              <w:rPr>
                <w:rFonts w:ascii="Calibri" w:hAnsi="Calibri" w:cs="Calibri"/>
                <w:b/>
                <w:bCs/>
                <w:color w:val="FFFFFF"/>
                <w:sz w:val="20"/>
                <w:lang w:eastAsia="en-GB"/>
              </w:rPr>
              <w:t xml:space="preserve"> budget </w:t>
            </w:r>
          </w:p>
        </w:tc>
      </w:tr>
      <w:tr w:rsidR="006F1E71" w:rsidRPr="008015B8" w14:paraId="59EC8DBD" w14:textId="77777777" w:rsidTr="29D29DC7">
        <w:trPr>
          <w:trHeight w:val="300"/>
        </w:trPr>
        <w:tc>
          <w:tcPr>
            <w:tcW w:w="2127" w:type="dxa"/>
            <w:tcBorders>
              <w:top w:val="single" w:sz="4" w:space="0" w:color="44B3E1"/>
              <w:left w:val="single" w:sz="4" w:space="0" w:color="44B3E1"/>
              <w:bottom w:val="single" w:sz="4" w:space="0" w:color="44B3E1"/>
              <w:right w:val="nil"/>
            </w:tcBorders>
            <w:shd w:val="clear" w:color="auto" w:fill="C0E6F5"/>
            <w:vAlign w:val="bottom"/>
            <w:hideMark/>
          </w:tcPr>
          <w:p w14:paraId="1FDF046C"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r w:rsidRPr="008015B8">
              <w:rPr>
                <w:rFonts w:ascii="Calibri" w:hAnsi="Calibri" w:cs="Calibri"/>
                <w:b/>
                <w:bCs/>
                <w:color w:val="000000"/>
                <w:sz w:val="20"/>
                <w:lang w:eastAsia="en-GB"/>
              </w:rPr>
              <w:t>All Digital transformation</w:t>
            </w:r>
          </w:p>
        </w:tc>
        <w:tc>
          <w:tcPr>
            <w:tcW w:w="3260" w:type="dxa"/>
            <w:tcBorders>
              <w:top w:val="single" w:sz="4" w:space="0" w:color="44B3E1"/>
              <w:left w:val="nil"/>
              <w:bottom w:val="single" w:sz="4" w:space="0" w:color="44B3E1"/>
              <w:right w:val="nil"/>
            </w:tcBorders>
            <w:shd w:val="clear" w:color="auto" w:fill="C0E6F5"/>
            <w:noWrap/>
            <w:vAlign w:val="bottom"/>
            <w:hideMark/>
          </w:tcPr>
          <w:p w14:paraId="49B96CE3"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p>
        </w:tc>
        <w:tc>
          <w:tcPr>
            <w:tcW w:w="3119" w:type="dxa"/>
            <w:tcBorders>
              <w:top w:val="single" w:sz="4" w:space="0" w:color="44B3E1"/>
              <w:left w:val="nil"/>
              <w:bottom w:val="single" w:sz="4" w:space="0" w:color="44B3E1"/>
              <w:right w:val="nil"/>
            </w:tcBorders>
            <w:shd w:val="clear" w:color="auto" w:fill="C0E6F5"/>
            <w:noWrap/>
            <w:vAlign w:val="bottom"/>
            <w:hideMark/>
          </w:tcPr>
          <w:p w14:paraId="69932F82"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Times New Roman" w:hAnsi="Times New Roman"/>
                <w:sz w:val="20"/>
                <w:lang w:eastAsia="en-GB"/>
              </w:rPr>
            </w:pPr>
          </w:p>
        </w:tc>
        <w:tc>
          <w:tcPr>
            <w:tcW w:w="2268" w:type="dxa"/>
            <w:tcBorders>
              <w:top w:val="single" w:sz="4" w:space="0" w:color="44B3E1"/>
              <w:left w:val="nil"/>
              <w:bottom w:val="single" w:sz="4" w:space="0" w:color="44B3E1"/>
              <w:right w:val="nil"/>
            </w:tcBorders>
            <w:shd w:val="clear" w:color="auto" w:fill="C0E6F5"/>
            <w:noWrap/>
            <w:vAlign w:val="bottom"/>
            <w:hideMark/>
          </w:tcPr>
          <w:p w14:paraId="4E926F68"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Times New Roman" w:hAnsi="Times New Roman"/>
                <w:sz w:val="20"/>
                <w:lang w:eastAsia="en-GB"/>
              </w:rPr>
            </w:pPr>
          </w:p>
        </w:tc>
        <w:tc>
          <w:tcPr>
            <w:tcW w:w="1559" w:type="dxa"/>
            <w:tcBorders>
              <w:top w:val="single" w:sz="4" w:space="0" w:color="44B3E1"/>
              <w:left w:val="nil"/>
              <w:bottom w:val="single" w:sz="4" w:space="0" w:color="44B3E1"/>
              <w:right w:val="nil"/>
            </w:tcBorders>
            <w:shd w:val="clear" w:color="auto" w:fill="C0E6F5"/>
            <w:noWrap/>
            <w:vAlign w:val="center"/>
            <w:hideMark/>
          </w:tcPr>
          <w:p w14:paraId="62C8D92C"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20"/>
                <w:lang w:eastAsia="en-GB"/>
              </w:rPr>
            </w:pPr>
            <w:r w:rsidRPr="008015B8">
              <w:rPr>
                <w:rFonts w:ascii="Calibri" w:hAnsi="Calibri" w:cs="Calibri"/>
                <w:b/>
                <w:bCs/>
                <w:color w:val="000000"/>
                <w:sz w:val="20"/>
                <w:lang w:eastAsia="en-GB"/>
              </w:rPr>
              <w:t>943,885</w:t>
            </w:r>
          </w:p>
        </w:tc>
        <w:tc>
          <w:tcPr>
            <w:tcW w:w="1559" w:type="dxa"/>
            <w:tcBorders>
              <w:top w:val="single" w:sz="4" w:space="0" w:color="44B3E1"/>
              <w:left w:val="nil"/>
              <w:bottom w:val="single" w:sz="4" w:space="0" w:color="44B3E1"/>
              <w:right w:val="nil"/>
            </w:tcBorders>
            <w:shd w:val="clear" w:color="auto" w:fill="C0E6F5"/>
            <w:vAlign w:val="center"/>
            <w:hideMark/>
          </w:tcPr>
          <w:p w14:paraId="4E405882"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20"/>
                <w:lang w:eastAsia="en-GB"/>
              </w:rPr>
            </w:pPr>
          </w:p>
        </w:tc>
        <w:tc>
          <w:tcPr>
            <w:tcW w:w="1559" w:type="dxa"/>
            <w:tcBorders>
              <w:top w:val="single" w:sz="4" w:space="0" w:color="44B3E1"/>
              <w:left w:val="nil"/>
              <w:bottom w:val="single" w:sz="4" w:space="0" w:color="44B3E1"/>
              <w:right w:val="single" w:sz="4" w:space="0" w:color="44B3E1"/>
            </w:tcBorders>
            <w:shd w:val="clear" w:color="auto" w:fill="C0E6F5"/>
            <w:noWrap/>
            <w:vAlign w:val="center"/>
            <w:hideMark/>
          </w:tcPr>
          <w:p w14:paraId="15903FCE"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20"/>
                <w:lang w:eastAsia="en-GB"/>
              </w:rPr>
            </w:pPr>
            <w:r w:rsidRPr="008015B8">
              <w:rPr>
                <w:rFonts w:ascii="Calibri" w:hAnsi="Calibri" w:cs="Calibri"/>
                <w:b/>
                <w:bCs/>
                <w:color w:val="000000"/>
                <w:sz w:val="20"/>
                <w:lang w:eastAsia="en-GB"/>
              </w:rPr>
              <w:t>24.75%</w:t>
            </w:r>
          </w:p>
        </w:tc>
      </w:tr>
      <w:tr w:rsidR="006F1E71" w:rsidRPr="008015B8" w14:paraId="6F6B7EEB" w14:textId="77777777" w:rsidTr="29D29DC7">
        <w:trPr>
          <w:trHeight w:val="3000"/>
        </w:trPr>
        <w:tc>
          <w:tcPr>
            <w:tcW w:w="2127" w:type="dxa"/>
            <w:tcBorders>
              <w:top w:val="single" w:sz="4" w:space="0" w:color="44B3E1"/>
              <w:left w:val="single" w:sz="4" w:space="0" w:color="44B3E1"/>
              <w:bottom w:val="single" w:sz="4" w:space="0" w:color="44B3E1"/>
              <w:right w:val="nil"/>
            </w:tcBorders>
            <w:hideMark/>
          </w:tcPr>
          <w:p w14:paraId="63066593"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r w:rsidRPr="008015B8">
              <w:rPr>
                <w:rFonts w:ascii="Calibri" w:hAnsi="Calibri" w:cs="Calibri"/>
                <w:b/>
                <w:bCs/>
                <w:color w:val="000000"/>
                <w:sz w:val="20"/>
                <w:lang w:eastAsia="en-GB"/>
              </w:rPr>
              <w:t>Digital innovation ecosystem</w:t>
            </w:r>
          </w:p>
        </w:tc>
        <w:tc>
          <w:tcPr>
            <w:tcW w:w="3260" w:type="dxa"/>
            <w:tcBorders>
              <w:top w:val="single" w:sz="4" w:space="0" w:color="44B3E1"/>
              <w:left w:val="nil"/>
              <w:bottom w:val="single" w:sz="4" w:space="0" w:color="44B3E1"/>
              <w:right w:val="nil"/>
            </w:tcBorders>
            <w:hideMark/>
          </w:tcPr>
          <w:p w14:paraId="0773910C" w14:textId="1726E55A"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8015B8">
              <w:rPr>
                <w:rFonts w:ascii="Calibri" w:hAnsi="Calibri" w:cs="Calibri"/>
                <w:color w:val="000000"/>
                <w:sz w:val="20"/>
                <w:lang w:eastAsia="en-GB"/>
              </w:rPr>
              <w:t>• Enhanced national capacity to develop and adopt local telecommunications/ICTs.</w:t>
            </w:r>
            <w:r w:rsidRPr="008015B8">
              <w:rPr>
                <w:rFonts w:ascii="Calibri" w:hAnsi="Calibri" w:cs="Calibri"/>
                <w:color w:val="000000"/>
                <w:sz w:val="20"/>
                <w:lang w:eastAsia="en-GB"/>
              </w:rPr>
              <w:br/>
            </w:r>
            <w:r w:rsidRPr="008015B8">
              <w:rPr>
                <w:rFonts w:ascii="Calibri" w:hAnsi="Calibri" w:cs="Calibri"/>
                <w:color w:val="000000"/>
                <w:sz w:val="20"/>
                <w:lang w:eastAsia="en-GB"/>
              </w:rPr>
              <w:br/>
              <w:t xml:space="preserve">• Strengthened capacity to develop and integrate telecommunication/ICT innovation and digitalization in national development agendas </w:t>
            </w:r>
          </w:p>
        </w:tc>
        <w:tc>
          <w:tcPr>
            <w:tcW w:w="3119" w:type="dxa"/>
            <w:tcBorders>
              <w:top w:val="single" w:sz="4" w:space="0" w:color="44B3E1"/>
              <w:left w:val="nil"/>
              <w:bottom w:val="single" w:sz="4" w:space="0" w:color="44B3E1"/>
              <w:right w:val="nil"/>
            </w:tcBorders>
            <w:hideMark/>
          </w:tcPr>
          <w:p w14:paraId="77902843"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8015B8">
              <w:rPr>
                <w:rFonts w:ascii="Calibri" w:hAnsi="Calibri" w:cs="Calibri"/>
                <w:color w:val="000000"/>
                <w:sz w:val="20"/>
                <w:lang w:eastAsia="en-GB"/>
              </w:rPr>
              <w:t>• Number of Member States having adopted innovation strategies and initiatives related to telecommunications/ICTs</w:t>
            </w:r>
            <w:r w:rsidRPr="008015B8">
              <w:rPr>
                <w:rFonts w:ascii="Calibri" w:hAnsi="Calibri" w:cs="Calibri"/>
                <w:color w:val="000000"/>
                <w:sz w:val="20"/>
                <w:lang w:eastAsia="en-GB"/>
              </w:rPr>
              <w:br/>
              <w:t>• Number of Member States having adopted multi-sector policies at the national level on digital transformation / development</w:t>
            </w:r>
          </w:p>
        </w:tc>
        <w:tc>
          <w:tcPr>
            <w:tcW w:w="2268" w:type="dxa"/>
            <w:tcBorders>
              <w:top w:val="single" w:sz="4" w:space="0" w:color="44B3E1"/>
              <w:left w:val="nil"/>
              <w:bottom w:val="single" w:sz="4" w:space="0" w:color="44B3E1"/>
              <w:right w:val="nil"/>
            </w:tcBorders>
            <w:hideMark/>
          </w:tcPr>
          <w:p w14:paraId="7065874D"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8015B8">
              <w:rPr>
                <w:rFonts w:ascii="Calibri" w:hAnsi="Calibri" w:cs="Calibri"/>
                <w:color w:val="000000"/>
                <w:sz w:val="20"/>
                <w:lang w:eastAsia="en-GB"/>
              </w:rPr>
              <w:t xml:space="preserve">• Learning frameworks </w:t>
            </w:r>
            <w:r w:rsidRPr="008015B8">
              <w:rPr>
                <w:rFonts w:ascii="Calibri" w:hAnsi="Calibri" w:cs="Calibri"/>
                <w:color w:val="000000"/>
                <w:sz w:val="20"/>
                <w:lang w:eastAsia="en-GB"/>
              </w:rPr>
              <w:br/>
              <w:t xml:space="preserve">• Model policies and strategies, toolkits </w:t>
            </w:r>
            <w:r w:rsidRPr="008015B8">
              <w:rPr>
                <w:rFonts w:ascii="Calibri" w:hAnsi="Calibri" w:cs="Calibri"/>
                <w:color w:val="000000"/>
                <w:sz w:val="20"/>
                <w:lang w:eastAsia="en-GB"/>
              </w:rPr>
              <w:br/>
              <w:t>• Technical interventions</w:t>
            </w:r>
          </w:p>
        </w:tc>
        <w:tc>
          <w:tcPr>
            <w:tcW w:w="1559" w:type="dxa"/>
            <w:tcBorders>
              <w:top w:val="single" w:sz="4" w:space="0" w:color="44B3E1"/>
              <w:left w:val="nil"/>
              <w:bottom w:val="single" w:sz="4" w:space="0" w:color="44B3E1"/>
              <w:right w:val="nil"/>
            </w:tcBorders>
            <w:noWrap/>
            <w:hideMark/>
          </w:tcPr>
          <w:p w14:paraId="020483A5"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269,500</w:t>
            </w:r>
          </w:p>
        </w:tc>
        <w:tc>
          <w:tcPr>
            <w:tcW w:w="1559" w:type="dxa"/>
            <w:tcBorders>
              <w:top w:val="single" w:sz="4" w:space="0" w:color="44B3E1"/>
              <w:left w:val="nil"/>
              <w:bottom w:val="single" w:sz="4" w:space="0" w:color="44B3E1"/>
              <w:right w:val="nil"/>
            </w:tcBorders>
            <w:hideMark/>
          </w:tcPr>
          <w:p w14:paraId="023B0F5C"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28.6%</w:t>
            </w:r>
          </w:p>
        </w:tc>
        <w:tc>
          <w:tcPr>
            <w:tcW w:w="1559" w:type="dxa"/>
            <w:tcBorders>
              <w:top w:val="single" w:sz="4" w:space="0" w:color="44B3E1"/>
              <w:left w:val="nil"/>
              <w:bottom w:val="single" w:sz="4" w:space="0" w:color="44B3E1"/>
              <w:right w:val="single" w:sz="4" w:space="0" w:color="44B3E1"/>
            </w:tcBorders>
            <w:noWrap/>
            <w:hideMark/>
          </w:tcPr>
          <w:p w14:paraId="2EC8FBAA"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7.1%</w:t>
            </w:r>
          </w:p>
        </w:tc>
      </w:tr>
      <w:tr w:rsidR="006F1E71" w:rsidRPr="008015B8" w14:paraId="7BFFB2A8" w14:textId="77777777" w:rsidTr="29D29DC7">
        <w:trPr>
          <w:trHeight w:val="1800"/>
        </w:trPr>
        <w:tc>
          <w:tcPr>
            <w:tcW w:w="2127" w:type="dxa"/>
            <w:tcBorders>
              <w:top w:val="single" w:sz="4" w:space="0" w:color="44B3E1"/>
              <w:left w:val="single" w:sz="4" w:space="0" w:color="44B3E1"/>
              <w:bottom w:val="single" w:sz="4" w:space="0" w:color="44B3E1"/>
              <w:right w:val="nil"/>
            </w:tcBorders>
            <w:shd w:val="clear" w:color="auto" w:fill="C0E6F5"/>
            <w:hideMark/>
          </w:tcPr>
          <w:p w14:paraId="09F0F197"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r w:rsidRPr="008015B8">
              <w:rPr>
                <w:rFonts w:ascii="Calibri" w:hAnsi="Calibri" w:cs="Calibri"/>
                <w:b/>
                <w:bCs/>
                <w:color w:val="000000"/>
                <w:sz w:val="20"/>
                <w:lang w:eastAsia="en-GB"/>
              </w:rPr>
              <w:t>Digital services and applications</w:t>
            </w:r>
          </w:p>
        </w:tc>
        <w:tc>
          <w:tcPr>
            <w:tcW w:w="3260" w:type="dxa"/>
            <w:tcBorders>
              <w:top w:val="single" w:sz="4" w:space="0" w:color="44B3E1"/>
              <w:left w:val="nil"/>
              <w:bottom w:val="single" w:sz="4" w:space="0" w:color="44B3E1"/>
              <w:right w:val="nil"/>
            </w:tcBorders>
            <w:shd w:val="clear" w:color="auto" w:fill="C0E6F5"/>
            <w:hideMark/>
          </w:tcPr>
          <w:p w14:paraId="7B70D6D7"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8015B8">
              <w:rPr>
                <w:rFonts w:ascii="Calibri" w:hAnsi="Calibri" w:cs="Calibri"/>
                <w:color w:val="000000"/>
                <w:sz w:val="20"/>
                <w:lang w:eastAsia="en-GB"/>
              </w:rPr>
              <w:t>• Enhanced capacity to accelerate digital transformation and sustainable development through the use of new and emerging telecommunications/ICTs and services</w:t>
            </w:r>
          </w:p>
        </w:tc>
        <w:tc>
          <w:tcPr>
            <w:tcW w:w="3119" w:type="dxa"/>
            <w:tcBorders>
              <w:top w:val="single" w:sz="4" w:space="0" w:color="44B3E1"/>
              <w:left w:val="nil"/>
              <w:bottom w:val="single" w:sz="4" w:space="0" w:color="44B3E1"/>
              <w:right w:val="nil"/>
            </w:tcBorders>
            <w:shd w:val="clear" w:color="auto" w:fill="C0E6F5"/>
            <w:hideMark/>
          </w:tcPr>
          <w:p w14:paraId="75D78AFD" w14:textId="5F012452" w:rsidR="00594024" w:rsidRPr="008015B8" w:rsidRDefault="5B6545C7" w:rsidP="29D29DC7">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themeColor="text1"/>
                <w:sz w:val="20"/>
                <w:lang w:eastAsia="en-GB"/>
              </w:rPr>
            </w:pPr>
            <w:r w:rsidRPr="29D29DC7">
              <w:rPr>
                <w:rFonts w:ascii="Calibri" w:hAnsi="Calibri" w:cs="Calibri"/>
                <w:color w:val="000000" w:themeColor="text1"/>
                <w:sz w:val="20"/>
                <w:lang w:eastAsia="en-GB"/>
              </w:rPr>
              <w:t>• Number of Member States having adopted a digital sectoral strategy at the national level</w:t>
            </w:r>
          </w:p>
          <w:p w14:paraId="68FF16D7" w14:textId="21E5A45A" w:rsidR="00594024" w:rsidRPr="008015B8" w:rsidRDefault="00594024" w:rsidP="29D29DC7">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themeColor="text1"/>
                <w:sz w:val="20"/>
                <w:lang w:eastAsia="en-GB"/>
              </w:rPr>
            </w:pPr>
          </w:p>
          <w:p w14:paraId="32EEDDA8" w14:textId="1CC80CC1" w:rsidR="00594024" w:rsidRPr="008015B8" w:rsidRDefault="00594024" w:rsidP="29D29DC7">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2268" w:type="dxa"/>
            <w:tcBorders>
              <w:top w:val="single" w:sz="4" w:space="0" w:color="44B3E1"/>
              <w:left w:val="nil"/>
              <w:bottom w:val="single" w:sz="4" w:space="0" w:color="44B3E1"/>
              <w:right w:val="nil"/>
            </w:tcBorders>
            <w:shd w:val="clear" w:color="auto" w:fill="C0E6F5"/>
            <w:hideMark/>
          </w:tcPr>
          <w:p w14:paraId="10BA5113"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8015B8">
              <w:rPr>
                <w:rFonts w:ascii="Calibri" w:hAnsi="Calibri" w:cs="Calibri"/>
                <w:color w:val="000000"/>
                <w:sz w:val="20"/>
                <w:lang w:eastAsia="en-GB"/>
              </w:rPr>
              <w:t xml:space="preserve">• Learning frameworks </w:t>
            </w:r>
            <w:r w:rsidRPr="008015B8">
              <w:rPr>
                <w:rFonts w:ascii="Calibri" w:hAnsi="Calibri" w:cs="Calibri"/>
                <w:color w:val="000000"/>
                <w:sz w:val="20"/>
                <w:lang w:eastAsia="en-GB"/>
              </w:rPr>
              <w:br/>
              <w:t>• Convening platforms</w:t>
            </w:r>
            <w:r w:rsidRPr="008015B8">
              <w:rPr>
                <w:rFonts w:ascii="Calibri" w:hAnsi="Calibri" w:cs="Calibri"/>
                <w:color w:val="000000"/>
                <w:sz w:val="20"/>
                <w:lang w:eastAsia="en-GB"/>
              </w:rPr>
              <w:br/>
              <w:t xml:space="preserve">• Model policies and strategies, toolkits </w:t>
            </w:r>
            <w:r w:rsidRPr="008015B8">
              <w:rPr>
                <w:rFonts w:ascii="Calibri" w:hAnsi="Calibri" w:cs="Calibri"/>
                <w:color w:val="000000"/>
                <w:sz w:val="20"/>
                <w:lang w:eastAsia="en-GB"/>
              </w:rPr>
              <w:br/>
              <w:t>• Technical interventions</w:t>
            </w:r>
          </w:p>
        </w:tc>
        <w:tc>
          <w:tcPr>
            <w:tcW w:w="1559" w:type="dxa"/>
            <w:tcBorders>
              <w:top w:val="single" w:sz="4" w:space="0" w:color="44B3E1"/>
              <w:left w:val="nil"/>
              <w:bottom w:val="single" w:sz="4" w:space="0" w:color="44B3E1"/>
              <w:right w:val="nil"/>
            </w:tcBorders>
            <w:shd w:val="clear" w:color="auto" w:fill="C0E6F5"/>
            <w:noWrap/>
            <w:hideMark/>
          </w:tcPr>
          <w:p w14:paraId="56C4ED9D"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163,385</w:t>
            </w:r>
          </w:p>
        </w:tc>
        <w:tc>
          <w:tcPr>
            <w:tcW w:w="1559" w:type="dxa"/>
            <w:tcBorders>
              <w:top w:val="single" w:sz="4" w:space="0" w:color="44B3E1"/>
              <w:left w:val="nil"/>
              <w:bottom w:val="single" w:sz="4" w:space="0" w:color="44B3E1"/>
              <w:right w:val="nil"/>
            </w:tcBorders>
            <w:shd w:val="clear" w:color="auto" w:fill="C0E6F5"/>
            <w:hideMark/>
          </w:tcPr>
          <w:p w14:paraId="5BDC8437"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17.3%</w:t>
            </w:r>
          </w:p>
        </w:tc>
        <w:tc>
          <w:tcPr>
            <w:tcW w:w="1559" w:type="dxa"/>
            <w:tcBorders>
              <w:top w:val="single" w:sz="4" w:space="0" w:color="44B3E1"/>
              <w:left w:val="nil"/>
              <w:bottom w:val="single" w:sz="4" w:space="0" w:color="44B3E1"/>
              <w:right w:val="single" w:sz="4" w:space="0" w:color="44B3E1"/>
            </w:tcBorders>
            <w:shd w:val="clear" w:color="auto" w:fill="C0E6F5"/>
            <w:noWrap/>
            <w:hideMark/>
          </w:tcPr>
          <w:p w14:paraId="35C90633"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4.3%</w:t>
            </w:r>
          </w:p>
        </w:tc>
      </w:tr>
      <w:tr w:rsidR="006F1E71" w:rsidRPr="008015B8" w14:paraId="669862DE" w14:textId="77777777" w:rsidTr="29D29DC7">
        <w:trPr>
          <w:trHeight w:val="5310"/>
        </w:trPr>
        <w:tc>
          <w:tcPr>
            <w:tcW w:w="2127" w:type="dxa"/>
            <w:tcBorders>
              <w:top w:val="single" w:sz="4" w:space="0" w:color="44B3E1"/>
              <w:left w:val="single" w:sz="4" w:space="0" w:color="44B3E1"/>
              <w:bottom w:val="single" w:sz="4" w:space="0" w:color="44B3E1"/>
              <w:right w:val="nil"/>
            </w:tcBorders>
            <w:hideMark/>
          </w:tcPr>
          <w:p w14:paraId="1B75D8F6"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r w:rsidRPr="008015B8">
              <w:rPr>
                <w:rFonts w:ascii="Calibri" w:hAnsi="Calibri" w:cs="Calibri"/>
                <w:b/>
                <w:bCs/>
                <w:color w:val="000000"/>
                <w:sz w:val="20"/>
                <w:lang w:eastAsia="en-GB"/>
              </w:rPr>
              <w:lastRenderedPageBreak/>
              <w:t xml:space="preserve">Capacity Development </w:t>
            </w:r>
          </w:p>
        </w:tc>
        <w:tc>
          <w:tcPr>
            <w:tcW w:w="3260" w:type="dxa"/>
            <w:tcBorders>
              <w:top w:val="single" w:sz="4" w:space="0" w:color="44B3E1"/>
              <w:left w:val="nil"/>
              <w:bottom w:val="single" w:sz="4" w:space="0" w:color="44B3E1"/>
              <w:right w:val="nil"/>
            </w:tcBorders>
            <w:hideMark/>
          </w:tcPr>
          <w:p w14:paraId="131107A6" w14:textId="34E07309"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8015B8">
              <w:rPr>
                <w:rFonts w:ascii="Calibri" w:hAnsi="Calibri" w:cs="Calibri"/>
                <w:color w:val="000000"/>
                <w:sz w:val="20"/>
                <w:lang w:eastAsia="en-GB"/>
              </w:rPr>
              <w:t xml:space="preserve">• Enhanced human and institutional capacity of the ITU membership in telecommunications/ICTs to foster digital transformation </w:t>
            </w:r>
            <w:r w:rsidRPr="008015B8">
              <w:rPr>
                <w:rFonts w:ascii="Calibri" w:hAnsi="Calibri" w:cs="Calibri"/>
                <w:color w:val="000000"/>
                <w:sz w:val="20"/>
                <w:lang w:eastAsia="en-GB"/>
              </w:rPr>
              <w:br/>
            </w:r>
            <w:r w:rsidRPr="008015B8">
              <w:rPr>
                <w:rFonts w:ascii="Calibri" w:hAnsi="Calibri" w:cs="Calibri"/>
                <w:color w:val="000000"/>
                <w:sz w:val="20"/>
                <w:lang w:eastAsia="en-GB"/>
              </w:rPr>
              <w:br/>
              <w:t>• Improved digital skills and capabilities for digital transformation</w:t>
            </w:r>
          </w:p>
        </w:tc>
        <w:tc>
          <w:tcPr>
            <w:tcW w:w="3119" w:type="dxa"/>
            <w:tcBorders>
              <w:top w:val="single" w:sz="4" w:space="0" w:color="44B3E1"/>
              <w:left w:val="nil"/>
              <w:bottom w:val="single" w:sz="4" w:space="0" w:color="44B3E1"/>
              <w:right w:val="nil"/>
            </w:tcBorders>
            <w:hideMark/>
          </w:tcPr>
          <w:p w14:paraId="0F5F1A37" w14:textId="243BC084" w:rsidR="00594024" w:rsidRPr="008015B8" w:rsidRDefault="00594024" w:rsidP="00594024">
            <w:pPr>
              <w:tabs>
                <w:tab w:val="clear" w:pos="794"/>
                <w:tab w:val="clear" w:pos="1191"/>
                <w:tab w:val="clear" w:pos="1588"/>
                <w:tab w:val="clear" w:pos="1985"/>
              </w:tabs>
              <w:overflowPunct/>
              <w:autoSpaceDE/>
              <w:autoSpaceDN/>
              <w:adjustRightInd/>
              <w:spacing w:before="0" w:after="240"/>
              <w:jc w:val="left"/>
              <w:textAlignment w:val="auto"/>
              <w:rPr>
                <w:rFonts w:ascii="Calibri" w:hAnsi="Calibri" w:cs="Calibri"/>
                <w:color w:val="000000"/>
                <w:sz w:val="20"/>
                <w:lang w:eastAsia="en-GB"/>
              </w:rPr>
            </w:pPr>
            <w:r w:rsidRPr="3E0BC037">
              <w:rPr>
                <w:rFonts w:ascii="Calibri" w:hAnsi="Calibri" w:cs="Calibri"/>
                <w:color w:val="000000" w:themeColor="text1"/>
                <w:sz w:val="20"/>
                <w:lang w:eastAsia="en-GB"/>
              </w:rPr>
              <w:t>• Number of Member States with digital skills strategies at national level</w:t>
            </w:r>
            <w:r>
              <w:br/>
            </w:r>
            <w:r w:rsidRPr="0058257A">
              <w:rPr>
                <w:rFonts w:ascii="Calibri" w:hAnsi="Calibri" w:cs="Calibri"/>
                <w:sz w:val="20"/>
                <w:lang w:eastAsia="en-GB"/>
              </w:rPr>
              <w:t>•</w:t>
            </w:r>
            <w:r w:rsidRPr="0019308A">
              <w:rPr>
                <w:rFonts w:ascii="Calibri" w:hAnsi="Calibri" w:cs="Calibri"/>
                <w:sz w:val="20"/>
                <w:lang w:eastAsia="en-GB"/>
              </w:rPr>
              <w:t xml:space="preserve"> Percentage of individuals with basic digital </w:t>
            </w:r>
            <w:r w:rsidR="57E01E66" w:rsidRPr="0019308A">
              <w:rPr>
                <w:rFonts w:ascii="Calibri" w:hAnsi="Calibri" w:cs="Calibri"/>
                <w:sz w:val="20"/>
                <w:lang w:eastAsia="en-GB"/>
              </w:rPr>
              <w:t>skills</w:t>
            </w:r>
            <w:r>
              <w:br/>
            </w:r>
          </w:p>
        </w:tc>
        <w:tc>
          <w:tcPr>
            <w:tcW w:w="2268" w:type="dxa"/>
            <w:tcBorders>
              <w:top w:val="single" w:sz="4" w:space="0" w:color="44B3E1"/>
              <w:left w:val="nil"/>
              <w:bottom w:val="single" w:sz="4" w:space="0" w:color="44B3E1"/>
              <w:right w:val="nil"/>
            </w:tcBorders>
            <w:hideMark/>
          </w:tcPr>
          <w:p w14:paraId="4E7D5837"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8015B8">
              <w:rPr>
                <w:rFonts w:ascii="Calibri" w:hAnsi="Calibri" w:cs="Calibri"/>
                <w:color w:val="000000"/>
                <w:sz w:val="20"/>
                <w:lang w:eastAsia="en-GB"/>
              </w:rPr>
              <w:t xml:space="preserve">• Model policies and strategies, toolkits </w:t>
            </w:r>
            <w:r w:rsidRPr="008015B8">
              <w:rPr>
                <w:rFonts w:ascii="Calibri" w:hAnsi="Calibri" w:cs="Calibri"/>
                <w:color w:val="000000"/>
                <w:sz w:val="20"/>
                <w:lang w:eastAsia="en-GB"/>
              </w:rPr>
              <w:br/>
              <w:t>• Technical interventions</w:t>
            </w:r>
            <w:r w:rsidRPr="008015B8">
              <w:rPr>
                <w:rFonts w:ascii="Calibri" w:hAnsi="Calibri" w:cs="Calibri"/>
                <w:color w:val="000000"/>
                <w:sz w:val="20"/>
                <w:lang w:eastAsia="en-GB"/>
              </w:rPr>
              <w:br/>
              <w:t xml:space="preserve">• Learning frameworks </w:t>
            </w:r>
          </w:p>
        </w:tc>
        <w:tc>
          <w:tcPr>
            <w:tcW w:w="1559" w:type="dxa"/>
            <w:tcBorders>
              <w:top w:val="single" w:sz="4" w:space="0" w:color="44B3E1"/>
              <w:left w:val="nil"/>
              <w:bottom w:val="single" w:sz="4" w:space="0" w:color="44B3E1"/>
              <w:right w:val="nil"/>
            </w:tcBorders>
            <w:noWrap/>
            <w:hideMark/>
          </w:tcPr>
          <w:p w14:paraId="39AE2493"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357,000</w:t>
            </w:r>
          </w:p>
        </w:tc>
        <w:tc>
          <w:tcPr>
            <w:tcW w:w="1559" w:type="dxa"/>
            <w:tcBorders>
              <w:top w:val="single" w:sz="4" w:space="0" w:color="44B3E1"/>
              <w:left w:val="nil"/>
              <w:bottom w:val="single" w:sz="4" w:space="0" w:color="44B3E1"/>
              <w:right w:val="nil"/>
            </w:tcBorders>
            <w:hideMark/>
          </w:tcPr>
          <w:p w14:paraId="68BDF923"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37.8%</w:t>
            </w:r>
          </w:p>
        </w:tc>
        <w:tc>
          <w:tcPr>
            <w:tcW w:w="1559" w:type="dxa"/>
            <w:tcBorders>
              <w:top w:val="single" w:sz="4" w:space="0" w:color="44B3E1"/>
              <w:left w:val="nil"/>
              <w:bottom w:val="single" w:sz="4" w:space="0" w:color="44B3E1"/>
              <w:right w:val="single" w:sz="4" w:space="0" w:color="44B3E1"/>
            </w:tcBorders>
            <w:noWrap/>
            <w:hideMark/>
          </w:tcPr>
          <w:p w14:paraId="5B0B9678"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9.4%</w:t>
            </w:r>
          </w:p>
        </w:tc>
      </w:tr>
      <w:tr w:rsidR="006F1E71" w:rsidRPr="008015B8" w14:paraId="4BE351B8" w14:textId="77777777" w:rsidTr="29D29DC7">
        <w:trPr>
          <w:trHeight w:val="3600"/>
        </w:trPr>
        <w:tc>
          <w:tcPr>
            <w:tcW w:w="2127" w:type="dxa"/>
            <w:tcBorders>
              <w:top w:val="single" w:sz="4" w:space="0" w:color="44B3E1"/>
              <w:left w:val="single" w:sz="4" w:space="0" w:color="44B3E1"/>
              <w:bottom w:val="single" w:sz="4" w:space="0" w:color="44B3E1"/>
              <w:right w:val="nil"/>
            </w:tcBorders>
            <w:shd w:val="clear" w:color="auto" w:fill="C0E6F5"/>
            <w:hideMark/>
          </w:tcPr>
          <w:p w14:paraId="7F15C05A"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r w:rsidRPr="008015B8">
              <w:rPr>
                <w:rFonts w:ascii="Calibri" w:hAnsi="Calibri" w:cs="Calibri"/>
                <w:b/>
                <w:bCs/>
                <w:color w:val="000000"/>
                <w:sz w:val="20"/>
                <w:lang w:eastAsia="en-GB"/>
              </w:rPr>
              <w:lastRenderedPageBreak/>
              <w:t>Commitment to environmental sustainability</w:t>
            </w:r>
          </w:p>
        </w:tc>
        <w:tc>
          <w:tcPr>
            <w:tcW w:w="3260" w:type="dxa"/>
            <w:tcBorders>
              <w:top w:val="single" w:sz="4" w:space="0" w:color="44B3E1"/>
              <w:left w:val="nil"/>
              <w:bottom w:val="single" w:sz="4" w:space="0" w:color="44B3E1"/>
              <w:right w:val="nil"/>
            </w:tcBorders>
            <w:shd w:val="clear" w:color="auto" w:fill="C0E6F5"/>
            <w:hideMark/>
          </w:tcPr>
          <w:p w14:paraId="00813782" w14:textId="0DD24D58" w:rsidR="00594024" w:rsidRPr="008015B8" w:rsidRDefault="00594024" w:rsidP="00594024">
            <w:pPr>
              <w:tabs>
                <w:tab w:val="clear" w:pos="794"/>
                <w:tab w:val="clear" w:pos="1191"/>
                <w:tab w:val="clear" w:pos="1588"/>
                <w:tab w:val="clear" w:pos="1985"/>
              </w:tabs>
              <w:overflowPunct/>
              <w:autoSpaceDE/>
              <w:autoSpaceDN/>
              <w:adjustRightInd/>
              <w:spacing w:before="0" w:after="240"/>
              <w:jc w:val="left"/>
              <w:textAlignment w:val="auto"/>
              <w:rPr>
                <w:rFonts w:ascii="Calibri" w:hAnsi="Calibri" w:cs="Calibri"/>
                <w:color w:val="000000"/>
                <w:sz w:val="20"/>
                <w:lang w:eastAsia="en-GB"/>
              </w:rPr>
            </w:pPr>
            <w:r w:rsidRPr="008015B8">
              <w:rPr>
                <w:rFonts w:ascii="Calibri" w:hAnsi="Calibri" w:cs="Calibri"/>
                <w:color w:val="000000"/>
                <w:sz w:val="20"/>
                <w:lang w:eastAsia="en-GB"/>
              </w:rPr>
              <w:t xml:space="preserve">• Enhanced capacity to develop telecommunication/ICT strategies and solutions on environmental sustainability </w:t>
            </w:r>
          </w:p>
        </w:tc>
        <w:tc>
          <w:tcPr>
            <w:tcW w:w="3119" w:type="dxa"/>
            <w:tcBorders>
              <w:top w:val="single" w:sz="4" w:space="0" w:color="44B3E1"/>
              <w:left w:val="nil"/>
              <w:bottom w:val="single" w:sz="4" w:space="0" w:color="44B3E1"/>
              <w:right w:val="nil"/>
            </w:tcBorders>
            <w:shd w:val="clear" w:color="auto" w:fill="C0E6F5"/>
            <w:hideMark/>
          </w:tcPr>
          <w:p w14:paraId="783B1E9C" w14:textId="191BB5C8" w:rsidR="00594024" w:rsidRPr="008015B8" w:rsidRDefault="5B6545C7" w:rsidP="29D29DC7">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29D29DC7">
              <w:rPr>
                <w:rFonts w:ascii="Calibri" w:hAnsi="Calibri" w:cs="Calibri"/>
                <w:color w:val="000000" w:themeColor="text1"/>
                <w:sz w:val="20"/>
                <w:lang w:eastAsia="en-GB"/>
              </w:rPr>
              <w:t>• Number of Member States having adopted an e-waste policy, legislation, or regulation at national level</w:t>
            </w:r>
            <w:r w:rsidR="00594024">
              <w:br/>
            </w:r>
            <w:r w:rsidRPr="29D29DC7">
              <w:rPr>
                <w:rFonts w:ascii="Calibri" w:hAnsi="Calibri" w:cs="Calibri"/>
                <w:color w:val="000000" w:themeColor="text1"/>
                <w:sz w:val="20"/>
                <w:lang w:eastAsia="en-GB"/>
              </w:rPr>
              <w:t xml:space="preserve">• Number of Member States that collect data on </w:t>
            </w:r>
            <w:r w:rsidR="7272E9A6" w:rsidRPr="29D29DC7">
              <w:rPr>
                <w:rFonts w:ascii="Calibri" w:hAnsi="Calibri" w:cs="Calibri"/>
                <w:color w:val="000000" w:themeColor="text1"/>
                <w:sz w:val="20"/>
                <w:lang w:eastAsia="en-GB"/>
              </w:rPr>
              <w:t>e-waste</w:t>
            </w:r>
            <w:r w:rsidRPr="29D29DC7">
              <w:rPr>
                <w:rFonts w:ascii="Calibri" w:hAnsi="Calibri" w:cs="Calibri"/>
                <w:color w:val="000000" w:themeColor="text1"/>
                <w:sz w:val="20"/>
                <w:lang w:eastAsia="en-GB"/>
              </w:rPr>
              <w:t xml:space="preserve"> monitoring and generation</w:t>
            </w:r>
            <w:r w:rsidR="00594024">
              <w:br/>
            </w:r>
            <w:r w:rsidRPr="29D29DC7">
              <w:rPr>
                <w:rFonts w:ascii="Calibri" w:hAnsi="Calibri" w:cs="Calibri"/>
                <w:color w:val="000000" w:themeColor="text1"/>
                <w:sz w:val="20"/>
                <w:lang w:eastAsia="en-GB"/>
              </w:rPr>
              <w:t>• Number of Member States having adopted a telecommunication/ ICT strategies and solutions on environmental sustainability</w:t>
            </w:r>
          </w:p>
        </w:tc>
        <w:tc>
          <w:tcPr>
            <w:tcW w:w="2268" w:type="dxa"/>
            <w:tcBorders>
              <w:top w:val="single" w:sz="4" w:space="0" w:color="44B3E1"/>
              <w:left w:val="nil"/>
              <w:bottom w:val="single" w:sz="4" w:space="0" w:color="44B3E1"/>
              <w:right w:val="nil"/>
            </w:tcBorders>
            <w:shd w:val="clear" w:color="auto" w:fill="C0E6F5"/>
            <w:hideMark/>
          </w:tcPr>
          <w:p w14:paraId="0F124335"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8015B8">
              <w:rPr>
                <w:rFonts w:ascii="Calibri" w:hAnsi="Calibri" w:cs="Calibri"/>
                <w:color w:val="000000"/>
                <w:sz w:val="20"/>
                <w:lang w:eastAsia="en-GB"/>
              </w:rPr>
              <w:t xml:space="preserve">• Learning frameworks </w:t>
            </w:r>
            <w:r w:rsidRPr="008015B8">
              <w:rPr>
                <w:rFonts w:ascii="Calibri" w:hAnsi="Calibri" w:cs="Calibri"/>
                <w:color w:val="000000"/>
                <w:sz w:val="20"/>
                <w:lang w:eastAsia="en-GB"/>
              </w:rPr>
              <w:br/>
              <w:t>•Convening platforms</w:t>
            </w:r>
            <w:r w:rsidRPr="008015B8">
              <w:rPr>
                <w:rFonts w:ascii="Calibri" w:hAnsi="Calibri" w:cs="Calibri"/>
                <w:color w:val="000000"/>
                <w:sz w:val="20"/>
                <w:lang w:eastAsia="en-GB"/>
              </w:rPr>
              <w:br/>
              <w:t xml:space="preserve">• Model policies and strategies, toolkits </w:t>
            </w:r>
            <w:r w:rsidRPr="008015B8">
              <w:rPr>
                <w:rFonts w:ascii="Calibri" w:hAnsi="Calibri" w:cs="Calibri"/>
                <w:color w:val="000000"/>
                <w:sz w:val="20"/>
                <w:lang w:eastAsia="en-GB"/>
              </w:rPr>
              <w:br/>
              <w:t xml:space="preserve">• Statistics </w:t>
            </w:r>
          </w:p>
        </w:tc>
        <w:tc>
          <w:tcPr>
            <w:tcW w:w="1559" w:type="dxa"/>
            <w:tcBorders>
              <w:top w:val="single" w:sz="4" w:space="0" w:color="44B3E1"/>
              <w:left w:val="nil"/>
              <w:bottom w:val="single" w:sz="4" w:space="0" w:color="44B3E1"/>
              <w:right w:val="nil"/>
            </w:tcBorders>
            <w:shd w:val="clear" w:color="auto" w:fill="C0E6F5"/>
            <w:noWrap/>
            <w:hideMark/>
          </w:tcPr>
          <w:p w14:paraId="4AA902EC"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154,000</w:t>
            </w:r>
          </w:p>
        </w:tc>
        <w:tc>
          <w:tcPr>
            <w:tcW w:w="1559" w:type="dxa"/>
            <w:tcBorders>
              <w:top w:val="single" w:sz="4" w:space="0" w:color="44B3E1"/>
              <w:left w:val="nil"/>
              <w:bottom w:val="single" w:sz="4" w:space="0" w:color="44B3E1"/>
              <w:right w:val="nil"/>
            </w:tcBorders>
            <w:shd w:val="clear" w:color="auto" w:fill="C0E6F5"/>
            <w:hideMark/>
          </w:tcPr>
          <w:p w14:paraId="50E1FA30"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16.3%</w:t>
            </w:r>
          </w:p>
        </w:tc>
        <w:tc>
          <w:tcPr>
            <w:tcW w:w="1559" w:type="dxa"/>
            <w:tcBorders>
              <w:top w:val="single" w:sz="4" w:space="0" w:color="44B3E1"/>
              <w:left w:val="nil"/>
              <w:bottom w:val="single" w:sz="4" w:space="0" w:color="44B3E1"/>
              <w:right w:val="single" w:sz="4" w:space="0" w:color="44B3E1"/>
            </w:tcBorders>
            <w:shd w:val="clear" w:color="auto" w:fill="C0E6F5"/>
            <w:noWrap/>
            <w:hideMark/>
          </w:tcPr>
          <w:p w14:paraId="0847F735" w14:textId="77777777" w:rsidR="00594024" w:rsidRPr="008015B8" w:rsidRDefault="00594024" w:rsidP="0059402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8015B8">
              <w:rPr>
                <w:rFonts w:ascii="Calibri" w:hAnsi="Calibri" w:cs="Calibri"/>
                <w:color w:val="000000"/>
                <w:sz w:val="20"/>
                <w:lang w:eastAsia="en-GB"/>
              </w:rPr>
              <w:t>4.0%</w:t>
            </w:r>
          </w:p>
        </w:tc>
      </w:tr>
    </w:tbl>
    <w:p w14:paraId="4F15B880" w14:textId="516C3B4F" w:rsidR="008015B8" w:rsidRDefault="008015B8">
      <w:pPr>
        <w:tabs>
          <w:tab w:val="clear" w:pos="794"/>
          <w:tab w:val="clear" w:pos="1191"/>
          <w:tab w:val="clear" w:pos="1588"/>
          <w:tab w:val="clear" w:pos="1985"/>
        </w:tabs>
        <w:overflowPunct/>
        <w:autoSpaceDE/>
        <w:autoSpaceDN/>
        <w:adjustRightInd/>
        <w:spacing w:before="0"/>
        <w:jc w:val="left"/>
        <w:textAlignment w:val="auto"/>
        <w:rPr>
          <w:sz w:val="20"/>
          <w:lang w:val="en-US"/>
        </w:rPr>
      </w:pPr>
      <w:r>
        <w:rPr>
          <w:sz w:val="20"/>
          <w:lang w:val="en-US"/>
        </w:rPr>
        <w:br w:type="page"/>
      </w:r>
    </w:p>
    <w:p w14:paraId="6DE26B7A" w14:textId="77777777" w:rsidR="00E80210" w:rsidRDefault="00E80210" w:rsidP="001D2782">
      <w:pPr>
        <w:pStyle w:val="Heading3"/>
        <w:spacing w:before="120" w:after="120"/>
        <w:ind w:left="357" w:hanging="357"/>
      </w:pPr>
      <w:r>
        <w:lastRenderedPageBreak/>
        <w:t>3.3</w:t>
      </w:r>
      <w:r>
        <w:tab/>
        <w:t>ITU-D Priority 3:</w:t>
      </w:r>
      <w:r w:rsidRPr="00EB66E4">
        <w:t xml:space="preserve"> Enabling policy and regulatory environment </w:t>
      </w:r>
    </w:p>
    <w:tbl>
      <w:tblPr>
        <w:tblW w:w="15451" w:type="dxa"/>
        <w:tblInd w:w="-714" w:type="dxa"/>
        <w:tblLook w:val="04A0" w:firstRow="1" w:lastRow="0" w:firstColumn="1" w:lastColumn="0" w:noHBand="0" w:noVBand="1"/>
      </w:tblPr>
      <w:tblGrid>
        <w:gridCol w:w="2127"/>
        <w:gridCol w:w="3260"/>
        <w:gridCol w:w="3119"/>
        <w:gridCol w:w="2268"/>
        <w:gridCol w:w="1559"/>
        <w:gridCol w:w="1559"/>
        <w:gridCol w:w="1559"/>
      </w:tblGrid>
      <w:tr w:rsidR="00B82150" w:rsidRPr="008015B8" w14:paraId="4099910B" w14:textId="77777777" w:rsidTr="008015B8">
        <w:trPr>
          <w:cantSplit/>
          <w:trHeight w:val="600"/>
          <w:tblHeader/>
        </w:trPr>
        <w:tc>
          <w:tcPr>
            <w:tcW w:w="2127" w:type="dxa"/>
            <w:tcBorders>
              <w:top w:val="single" w:sz="4" w:space="0" w:color="44B3E1"/>
              <w:left w:val="single" w:sz="4" w:space="0" w:color="44B3E1"/>
              <w:bottom w:val="single" w:sz="4" w:space="0" w:color="44B3E1"/>
              <w:right w:val="nil"/>
            </w:tcBorders>
            <w:shd w:val="clear" w:color="156082" w:fill="156082"/>
            <w:noWrap/>
            <w:vAlign w:val="center"/>
            <w:hideMark/>
          </w:tcPr>
          <w:p w14:paraId="644673EA"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Priority/ Topic</w:t>
            </w:r>
          </w:p>
        </w:tc>
        <w:tc>
          <w:tcPr>
            <w:tcW w:w="3260" w:type="dxa"/>
            <w:tcBorders>
              <w:top w:val="single" w:sz="4" w:space="0" w:color="44B3E1"/>
              <w:left w:val="nil"/>
              <w:bottom w:val="single" w:sz="4" w:space="0" w:color="44B3E1"/>
              <w:right w:val="nil"/>
            </w:tcBorders>
            <w:shd w:val="clear" w:color="156082" w:fill="156082"/>
            <w:vAlign w:val="center"/>
            <w:hideMark/>
          </w:tcPr>
          <w:p w14:paraId="7DD9C71F"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Outcome</w:t>
            </w:r>
          </w:p>
        </w:tc>
        <w:tc>
          <w:tcPr>
            <w:tcW w:w="3119" w:type="dxa"/>
            <w:tcBorders>
              <w:top w:val="single" w:sz="4" w:space="0" w:color="44B3E1"/>
              <w:left w:val="nil"/>
              <w:bottom w:val="single" w:sz="4" w:space="0" w:color="44B3E1"/>
              <w:right w:val="nil"/>
            </w:tcBorders>
            <w:shd w:val="clear" w:color="156082" w:fill="156082"/>
            <w:vAlign w:val="center"/>
            <w:hideMark/>
          </w:tcPr>
          <w:p w14:paraId="26B8FEC7" w14:textId="2FF80C9C" w:rsidR="003E4652" w:rsidRPr="008015B8" w:rsidRDefault="006F42F1" w:rsidP="003E4652">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Outcome i</w:t>
            </w:r>
            <w:r w:rsidR="003E4652" w:rsidRPr="008015B8">
              <w:rPr>
                <w:rFonts w:cstheme="minorHAnsi"/>
                <w:b/>
                <w:bCs/>
                <w:color w:val="FFFFFF"/>
                <w:sz w:val="20"/>
                <w:lang w:eastAsia="en-GB"/>
              </w:rPr>
              <w:t xml:space="preserve">ndicators </w:t>
            </w:r>
          </w:p>
        </w:tc>
        <w:tc>
          <w:tcPr>
            <w:tcW w:w="2268" w:type="dxa"/>
            <w:tcBorders>
              <w:top w:val="single" w:sz="4" w:space="0" w:color="44B3E1"/>
              <w:left w:val="nil"/>
              <w:bottom w:val="single" w:sz="4" w:space="0" w:color="44B3E1"/>
              <w:right w:val="nil"/>
            </w:tcBorders>
            <w:shd w:val="clear" w:color="156082" w:fill="156082"/>
            <w:vAlign w:val="center"/>
            <w:hideMark/>
          </w:tcPr>
          <w:p w14:paraId="2212DE5A"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Outputs</w:t>
            </w:r>
            <w:r w:rsidRPr="008015B8">
              <w:rPr>
                <w:rFonts w:cstheme="minorHAnsi"/>
                <w:b/>
                <w:bCs/>
                <w:color w:val="FFFFFF"/>
                <w:sz w:val="20"/>
                <w:lang w:eastAsia="en-GB"/>
              </w:rPr>
              <w:br/>
              <w:t>(ITU-D Products and services)</w:t>
            </w:r>
          </w:p>
        </w:tc>
        <w:tc>
          <w:tcPr>
            <w:tcW w:w="1559" w:type="dxa"/>
            <w:tcBorders>
              <w:top w:val="single" w:sz="4" w:space="0" w:color="44B3E1"/>
              <w:left w:val="nil"/>
              <w:bottom w:val="single" w:sz="4" w:space="0" w:color="44B3E1"/>
              <w:right w:val="nil"/>
            </w:tcBorders>
            <w:shd w:val="clear" w:color="156082" w:fill="156082"/>
            <w:vAlign w:val="center"/>
            <w:hideMark/>
          </w:tcPr>
          <w:p w14:paraId="48E8F62A"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Budget 2026 (in CHF)</w:t>
            </w:r>
          </w:p>
        </w:tc>
        <w:tc>
          <w:tcPr>
            <w:tcW w:w="1559" w:type="dxa"/>
            <w:tcBorders>
              <w:top w:val="single" w:sz="4" w:space="0" w:color="44B3E1"/>
              <w:left w:val="nil"/>
              <w:bottom w:val="single" w:sz="4" w:space="0" w:color="44B3E1"/>
              <w:right w:val="nil"/>
            </w:tcBorders>
            <w:shd w:val="clear" w:color="156082" w:fill="156082"/>
            <w:vAlign w:val="center"/>
            <w:hideMark/>
          </w:tcPr>
          <w:p w14:paraId="2C389070"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 of Priority/ Enabler Total</w:t>
            </w:r>
          </w:p>
        </w:tc>
        <w:tc>
          <w:tcPr>
            <w:tcW w:w="1559" w:type="dxa"/>
            <w:tcBorders>
              <w:top w:val="single" w:sz="4" w:space="0" w:color="44B3E1"/>
              <w:left w:val="nil"/>
              <w:bottom w:val="single" w:sz="4" w:space="0" w:color="44B3E1"/>
              <w:right w:val="single" w:sz="4" w:space="0" w:color="44B3E1"/>
            </w:tcBorders>
            <w:shd w:val="clear" w:color="156082" w:fill="156082"/>
            <w:vAlign w:val="center"/>
            <w:hideMark/>
          </w:tcPr>
          <w:p w14:paraId="1109D0BD" w14:textId="61367FD2"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 of Total</w:t>
            </w:r>
            <w:r w:rsidR="00E5677F" w:rsidRPr="008015B8">
              <w:rPr>
                <w:rFonts w:cstheme="minorHAnsi"/>
                <w:b/>
                <w:bCs/>
                <w:color w:val="FFFFFF"/>
                <w:sz w:val="20"/>
                <w:lang w:eastAsia="en-GB"/>
              </w:rPr>
              <w:t xml:space="preserve"> budget</w:t>
            </w:r>
          </w:p>
        </w:tc>
      </w:tr>
      <w:tr w:rsidR="00E13574" w:rsidRPr="008015B8" w14:paraId="48345C81" w14:textId="77777777" w:rsidTr="003E4652">
        <w:trPr>
          <w:trHeight w:val="300"/>
        </w:trPr>
        <w:tc>
          <w:tcPr>
            <w:tcW w:w="5387" w:type="dxa"/>
            <w:gridSpan w:val="2"/>
            <w:tcBorders>
              <w:top w:val="single" w:sz="4" w:space="0" w:color="44B3E1"/>
              <w:left w:val="single" w:sz="4" w:space="0" w:color="44B3E1"/>
              <w:bottom w:val="single" w:sz="4" w:space="0" w:color="44B3E1"/>
              <w:right w:val="nil"/>
            </w:tcBorders>
            <w:shd w:val="clear" w:color="C0E6F5" w:fill="C0E6F5"/>
            <w:noWrap/>
            <w:hideMark/>
          </w:tcPr>
          <w:p w14:paraId="5E5E172E"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b/>
                <w:bCs/>
                <w:color w:val="000000"/>
                <w:sz w:val="20"/>
                <w:lang w:eastAsia="en-GB"/>
              </w:rPr>
            </w:pPr>
            <w:r w:rsidRPr="008015B8">
              <w:rPr>
                <w:rFonts w:cstheme="minorHAnsi"/>
                <w:b/>
                <w:bCs/>
                <w:color w:val="000000"/>
                <w:sz w:val="20"/>
                <w:lang w:eastAsia="en-GB"/>
              </w:rPr>
              <w:t>All Enabling policy and regulatory environment</w:t>
            </w:r>
          </w:p>
        </w:tc>
        <w:tc>
          <w:tcPr>
            <w:tcW w:w="3119" w:type="dxa"/>
            <w:tcBorders>
              <w:top w:val="single" w:sz="4" w:space="0" w:color="44B3E1"/>
              <w:left w:val="nil"/>
              <w:bottom w:val="single" w:sz="4" w:space="0" w:color="44B3E1"/>
              <w:right w:val="nil"/>
            </w:tcBorders>
            <w:shd w:val="clear" w:color="C0E6F5" w:fill="C0E6F5"/>
            <w:noWrap/>
            <w:hideMark/>
          </w:tcPr>
          <w:p w14:paraId="5AAC24CA"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b/>
                <w:bCs/>
                <w:color w:val="000000"/>
                <w:sz w:val="20"/>
                <w:lang w:eastAsia="en-GB"/>
              </w:rPr>
            </w:pPr>
          </w:p>
        </w:tc>
        <w:tc>
          <w:tcPr>
            <w:tcW w:w="2268" w:type="dxa"/>
            <w:tcBorders>
              <w:top w:val="single" w:sz="4" w:space="0" w:color="44B3E1"/>
              <w:left w:val="nil"/>
              <w:bottom w:val="single" w:sz="4" w:space="0" w:color="44B3E1"/>
              <w:right w:val="nil"/>
            </w:tcBorders>
            <w:shd w:val="clear" w:color="C0E6F5" w:fill="C0E6F5"/>
            <w:noWrap/>
            <w:hideMark/>
          </w:tcPr>
          <w:p w14:paraId="190C3480"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sz w:val="20"/>
                <w:lang w:eastAsia="en-GB"/>
              </w:rPr>
            </w:pPr>
          </w:p>
        </w:tc>
        <w:tc>
          <w:tcPr>
            <w:tcW w:w="1559" w:type="dxa"/>
            <w:tcBorders>
              <w:top w:val="single" w:sz="4" w:space="0" w:color="44B3E1"/>
              <w:left w:val="nil"/>
              <w:bottom w:val="single" w:sz="4" w:space="0" w:color="44B3E1"/>
              <w:right w:val="nil"/>
            </w:tcBorders>
            <w:shd w:val="clear" w:color="C0E6F5" w:fill="C0E6F5"/>
            <w:noWrap/>
            <w:hideMark/>
          </w:tcPr>
          <w:p w14:paraId="0446C12F"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right"/>
              <w:textAlignment w:val="auto"/>
              <w:rPr>
                <w:rFonts w:cstheme="minorHAnsi"/>
                <w:b/>
                <w:bCs/>
                <w:color w:val="000000"/>
                <w:sz w:val="20"/>
                <w:lang w:eastAsia="en-GB"/>
              </w:rPr>
            </w:pPr>
            <w:r w:rsidRPr="008015B8">
              <w:rPr>
                <w:rFonts w:cstheme="minorHAnsi"/>
                <w:b/>
                <w:bCs/>
                <w:color w:val="000000"/>
                <w:sz w:val="20"/>
                <w:lang w:eastAsia="en-GB"/>
              </w:rPr>
              <w:t>690,500</w:t>
            </w:r>
          </w:p>
        </w:tc>
        <w:tc>
          <w:tcPr>
            <w:tcW w:w="1559" w:type="dxa"/>
            <w:tcBorders>
              <w:top w:val="single" w:sz="4" w:space="0" w:color="44B3E1"/>
              <w:left w:val="nil"/>
              <w:bottom w:val="single" w:sz="4" w:space="0" w:color="44B3E1"/>
              <w:right w:val="nil"/>
            </w:tcBorders>
            <w:shd w:val="clear" w:color="C0E6F5" w:fill="C0E6F5"/>
            <w:noWrap/>
            <w:hideMark/>
          </w:tcPr>
          <w:p w14:paraId="296DE1C5"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right"/>
              <w:textAlignment w:val="auto"/>
              <w:rPr>
                <w:rFonts w:cstheme="minorHAnsi"/>
                <w:b/>
                <w:bCs/>
                <w:color w:val="000000"/>
                <w:sz w:val="20"/>
                <w:lang w:eastAsia="en-GB"/>
              </w:rPr>
            </w:pPr>
          </w:p>
        </w:tc>
        <w:tc>
          <w:tcPr>
            <w:tcW w:w="1559" w:type="dxa"/>
            <w:tcBorders>
              <w:top w:val="single" w:sz="4" w:space="0" w:color="44B3E1"/>
              <w:left w:val="nil"/>
              <w:bottom w:val="single" w:sz="4" w:space="0" w:color="44B3E1"/>
              <w:right w:val="single" w:sz="4" w:space="0" w:color="44B3E1"/>
            </w:tcBorders>
            <w:shd w:val="clear" w:color="C0E6F5" w:fill="C0E6F5"/>
            <w:noWrap/>
            <w:hideMark/>
          </w:tcPr>
          <w:p w14:paraId="777B1728"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b/>
                <w:bCs/>
                <w:color w:val="000000"/>
                <w:sz w:val="20"/>
                <w:lang w:eastAsia="en-GB"/>
              </w:rPr>
            </w:pPr>
            <w:r w:rsidRPr="008015B8">
              <w:rPr>
                <w:rFonts w:cstheme="minorHAnsi"/>
                <w:b/>
                <w:bCs/>
                <w:color w:val="000000"/>
                <w:sz w:val="20"/>
                <w:lang w:eastAsia="en-GB"/>
              </w:rPr>
              <w:t>18.11%</w:t>
            </w:r>
          </w:p>
        </w:tc>
      </w:tr>
      <w:tr w:rsidR="00B4561E" w:rsidRPr="008015B8" w14:paraId="7E770A40" w14:textId="77777777" w:rsidTr="003E4652">
        <w:trPr>
          <w:trHeight w:val="3582"/>
        </w:trPr>
        <w:tc>
          <w:tcPr>
            <w:tcW w:w="2127" w:type="dxa"/>
            <w:tcBorders>
              <w:top w:val="single" w:sz="4" w:space="0" w:color="44B3E1"/>
              <w:left w:val="single" w:sz="4" w:space="0" w:color="44B3E1"/>
              <w:bottom w:val="single" w:sz="4" w:space="0" w:color="44B3E1"/>
              <w:right w:val="nil"/>
            </w:tcBorders>
            <w:noWrap/>
            <w:hideMark/>
          </w:tcPr>
          <w:p w14:paraId="1BCDAE30"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b/>
                <w:bCs/>
                <w:color w:val="000000"/>
                <w:sz w:val="20"/>
                <w:lang w:eastAsia="en-GB"/>
              </w:rPr>
            </w:pPr>
            <w:r w:rsidRPr="008015B8">
              <w:rPr>
                <w:rFonts w:cstheme="minorHAnsi"/>
                <w:b/>
                <w:bCs/>
                <w:color w:val="000000"/>
                <w:sz w:val="20"/>
                <w:lang w:eastAsia="en-GB"/>
              </w:rPr>
              <w:t>Policy and regulation</w:t>
            </w:r>
          </w:p>
        </w:tc>
        <w:tc>
          <w:tcPr>
            <w:tcW w:w="3260" w:type="dxa"/>
            <w:tcBorders>
              <w:top w:val="single" w:sz="4" w:space="0" w:color="44B3E1"/>
              <w:left w:val="nil"/>
              <w:bottom w:val="single" w:sz="4" w:space="0" w:color="44B3E1"/>
              <w:right w:val="nil"/>
            </w:tcBorders>
            <w:hideMark/>
          </w:tcPr>
          <w:p w14:paraId="3CA01B70" w14:textId="615FC8A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8015B8">
              <w:rPr>
                <w:rFonts w:cstheme="minorHAnsi"/>
                <w:color w:val="000000"/>
                <w:sz w:val="20"/>
                <w:lang w:eastAsia="en-GB"/>
              </w:rPr>
              <w:t xml:space="preserve"> • Strengthened capacity of Member States to enhance their telecommunication/ICT policy, legal and regulatory frameworks conducive to sustainable development and digital transformation </w:t>
            </w:r>
            <w:r w:rsidRPr="008015B8">
              <w:rPr>
                <w:rFonts w:cstheme="minorHAnsi"/>
                <w:color w:val="000000"/>
                <w:sz w:val="20"/>
                <w:lang w:eastAsia="en-GB"/>
              </w:rPr>
              <w:br/>
              <w:t>• Strengthened capacity of Member States to update regulatory frameworks on space-based telecommunications/ ICT</w:t>
            </w:r>
          </w:p>
        </w:tc>
        <w:tc>
          <w:tcPr>
            <w:tcW w:w="3119" w:type="dxa"/>
            <w:tcBorders>
              <w:top w:val="single" w:sz="4" w:space="0" w:color="44B3E1"/>
              <w:left w:val="nil"/>
              <w:bottom w:val="single" w:sz="4" w:space="0" w:color="44B3E1"/>
              <w:right w:val="nil"/>
            </w:tcBorders>
            <w:hideMark/>
          </w:tcPr>
          <w:p w14:paraId="654973C6"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8015B8">
              <w:rPr>
                <w:rFonts w:cstheme="minorHAnsi"/>
                <w:color w:val="000000"/>
                <w:sz w:val="20"/>
                <w:lang w:eastAsia="en-GB"/>
              </w:rPr>
              <w:t>• Number of countries advancing to the next generation of regulation (G1-G4) and/or to a higher level of preparedness for the digital transformation (G5).</w:t>
            </w:r>
            <w:r w:rsidRPr="008015B8">
              <w:rPr>
                <w:rFonts w:cstheme="minorHAnsi"/>
                <w:color w:val="000000"/>
                <w:sz w:val="20"/>
                <w:lang w:eastAsia="en-GB"/>
              </w:rPr>
              <w:br/>
              <w:t>• Number of Member States that have established space-based telecommunications/ ICT regulatory frameworks</w:t>
            </w:r>
          </w:p>
        </w:tc>
        <w:tc>
          <w:tcPr>
            <w:tcW w:w="2268" w:type="dxa"/>
            <w:tcBorders>
              <w:top w:val="single" w:sz="4" w:space="0" w:color="44B3E1"/>
              <w:left w:val="nil"/>
              <w:bottom w:val="single" w:sz="4" w:space="0" w:color="44B3E1"/>
              <w:right w:val="nil"/>
            </w:tcBorders>
            <w:hideMark/>
          </w:tcPr>
          <w:p w14:paraId="4DEB55D6"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8015B8">
              <w:rPr>
                <w:rFonts w:cstheme="minorHAnsi"/>
                <w:color w:val="000000"/>
                <w:sz w:val="20"/>
                <w:lang w:eastAsia="en-GB"/>
              </w:rPr>
              <w:t xml:space="preserve">• Learning frameworks </w:t>
            </w:r>
            <w:r w:rsidRPr="008015B8">
              <w:rPr>
                <w:rFonts w:cstheme="minorHAnsi"/>
                <w:color w:val="000000"/>
                <w:sz w:val="20"/>
                <w:lang w:eastAsia="en-GB"/>
              </w:rPr>
              <w:br/>
              <w:t>• Convening platforms</w:t>
            </w:r>
            <w:r w:rsidRPr="008015B8">
              <w:rPr>
                <w:rFonts w:cstheme="minorHAnsi"/>
                <w:color w:val="000000"/>
                <w:sz w:val="20"/>
                <w:lang w:eastAsia="en-GB"/>
              </w:rPr>
              <w:br/>
              <w:t xml:space="preserve">• Model policies and strategies, toolkits </w:t>
            </w:r>
            <w:r w:rsidRPr="008015B8">
              <w:rPr>
                <w:rFonts w:cstheme="minorHAnsi"/>
                <w:color w:val="000000"/>
                <w:sz w:val="20"/>
                <w:lang w:eastAsia="en-GB"/>
              </w:rPr>
              <w:br/>
              <w:t>• Technical interventions</w:t>
            </w:r>
          </w:p>
        </w:tc>
        <w:tc>
          <w:tcPr>
            <w:tcW w:w="1559" w:type="dxa"/>
            <w:tcBorders>
              <w:top w:val="single" w:sz="4" w:space="0" w:color="44B3E1"/>
              <w:left w:val="nil"/>
              <w:bottom w:val="single" w:sz="4" w:space="0" w:color="44B3E1"/>
              <w:right w:val="nil"/>
            </w:tcBorders>
            <w:noWrap/>
            <w:hideMark/>
          </w:tcPr>
          <w:p w14:paraId="5848C397"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right"/>
              <w:textAlignment w:val="auto"/>
              <w:rPr>
                <w:rFonts w:cstheme="minorHAnsi"/>
                <w:color w:val="000000"/>
                <w:sz w:val="20"/>
                <w:lang w:eastAsia="en-GB"/>
              </w:rPr>
            </w:pPr>
            <w:r w:rsidRPr="008015B8">
              <w:rPr>
                <w:rFonts w:cstheme="minorHAnsi"/>
                <w:color w:val="000000"/>
                <w:sz w:val="20"/>
                <w:lang w:eastAsia="en-GB"/>
              </w:rPr>
              <w:t>384,000</w:t>
            </w:r>
          </w:p>
        </w:tc>
        <w:tc>
          <w:tcPr>
            <w:tcW w:w="1559" w:type="dxa"/>
            <w:tcBorders>
              <w:top w:val="single" w:sz="4" w:space="0" w:color="44B3E1"/>
              <w:left w:val="nil"/>
              <w:bottom w:val="single" w:sz="4" w:space="0" w:color="44B3E1"/>
              <w:right w:val="nil"/>
            </w:tcBorders>
            <w:noWrap/>
            <w:hideMark/>
          </w:tcPr>
          <w:p w14:paraId="7A845151"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8015B8">
              <w:rPr>
                <w:rFonts w:cstheme="minorHAnsi"/>
                <w:color w:val="000000"/>
                <w:sz w:val="20"/>
                <w:lang w:eastAsia="en-GB"/>
              </w:rPr>
              <w:t>55.6%</w:t>
            </w:r>
          </w:p>
        </w:tc>
        <w:tc>
          <w:tcPr>
            <w:tcW w:w="1559" w:type="dxa"/>
            <w:tcBorders>
              <w:top w:val="single" w:sz="4" w:space="0" w:color="44B3E1"/>
              <w:left w:val="nil"/>
              <w:bottom w:val="single" w:sz="4" w:space="0" w:color="44B3E1"/>
              <w:right w:val="single" w:sz="4" w:space="0" w:color="44B3E1"/>
            </w:tcBorders>
            <w:noWrap/>
            <w:hideMark/>
          </w:tcPr>
          <w:p w14:paraId="41308BFC"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8015B8">
              <w:rPr>
                <w:rFonts w:cstheme="minorHAnsi"/>
                <w:color w:val="000000"/>
                <w:sz w:val="20"/>
                <w:lang w:eastAsia="en-GB"/>
              </w:rPr>
              <w:t>10.1%</w:t>
            </w:r>
          </w:p>
        </w:tc>
      </w:tr>
      <w:tr w:rsidR="00B82150" w:rsidRPr="008015B8" w14:paraId="57C29A59" w14:textId="77777777" w:rsidTr="003E4652">
        <w:trPr>
          <w:trHeight w:val="7530"/>
        </w:trPr>
        <w:tc>
          <w:tcPr>
            <w:tcW w:w="2127" w:type="dxa"/>
            <w:tcBorders>
              <w:top w:val="single" w:sz="4" w:space="0" w:color="44B3E1"/>
              <w:left w:val="single" w:sz="4" w:space="0" w:color="44B3E1"/>
              <w:bottom w:val="single" w:sz="4" w:space="0" w:color="44B3E1"/>
              <w:right w:val="nil"/>
            </w:tcBorders>
            <w:shd w:val="clear" w:color="C0E6F5" w:fill="C0E6F5"/>
            <w:noWrap/>
            <w:hideMark/>
          </w:tcPr>
          <w:p w14:paraId="37D132EF"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b/>
                <w:bCs/>
                <w:color w:val="000000"/>
                <w:sz w:val="20"/>
                <w:lang w:eastAsia="en-GB"/>
              </w:rPr>
            </w:pPr>
            <w:r w:rsidRPr="008015B8">
              <w:rPr>
                <w:rFonts w:cstheme="minorHAnsi"/>
                <w:b/>
                <w:bCs/>
                <w:color w:val="000000"/>
                <w:sz w:val="20"/>
                <w:lang w:eastAsia="en-GB"/>
              </w:rPr>
              <w:lastRenderedPageBreak/>
              <w:t>Provision of data and statistics</w:t>
            </w:r>
          </w:p>
        </w:tc>
        <w:tc>
          <w:tcPr>
            <w:tcW w:w="3260" w:type="dxa"/>
            <w:tcBorders>
              <w:top w:val="single" w:sz="4" w:space="0" w:color="44B3E1"/>
              <w:left w:val="nil"/>
              <w:bottom w:val="single" w:sz="4" w:space="0" w:color="44B3E1"/>
              <w:right w:val="nil"/>
            </w:tcBorders>
            <w:shd w:val="clear" w:color="C0E6F5" w:fill="C0E6F5"/>
            <w:hideMark/>
          </w:tcPr>
          <w:p w14:paraId="6F9BD410"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8015B8">
              <w:rPr>
                <w:rFonts w:cstheme="minorHAnsi"/>
                <w:color w:val="000000"/>
                <w:sz w:val="20"/>
                <w:lang w:eastAsia="en-GB"/>
              </w:rPr>
              <w:t>• Strengthened capacity of Member States to produce and collect high quality, internationally comparable statistics which reflect developments and trends in telecommunications/ICT, empowered by new and emerging technologies and services, based on agreed standards and methodologies</w:t>
            </w:r>
          </w:p>
        </w:tc>
        <w:tc>
          <w:tcPr>
            <w:tcW w:w="3119" w:type="dxa"/>
            <w:tcBorders>
              <w:top w:val="single" w:sz="4" w:space="0" w:color="44B3E1"/>
              <w:left w:val="nil"/>
              <w:bottom w:val="single" w:sz="4" w:space="0" w:color="44B3E1"/>
              <w:right w:val="nil"/>
            </w:tcBorders>
            <w:shd w:val="clear" w:color="C0E6F5" w:fill="C0E6F5"/>
            <w:hideMark/>
          </w:tcPr>
          <w:p w14:paraId="48235077"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8015B8">
              <w:rPr>
                <w:rFonts w:cstheme="minorHAnsi"/>
                <w:color w:val="000000"/>
                <w:sz w:val="20"/>
                <w:lang w:eastAsia="en-GB"/>
              </w:rPr>
              <w:t>• Percentage of Member States that submitted valid data no older than two years for at least 80 per cent of the indicators of the ITU World Telecommunication Indicators short questionnaire</w:t>
            </w:r>
            <w:r w:rsidRPr="008015B8">
              <w:rPr>
                <w:rFonts w:cstheme="minorHAnsi"/>
                <w:color w:val="000000"/>
                <w:sz w:val="20"/>
                <w:lang w:eastAsia="en-GB"/>
              </w:rPr>
              <w:br/>
              <w:t>• Percentage of Member States submitting valid data no older than three years for at least 80 per cent of the indicators for the ITU’s household questionnaire</w:t>
            </w:r>
            <w:r w:rsidRPr="008015B8">
              <w:rPr>
                <w:rFonts w:cstheme="minorHAnsi"/>
                <w:color w:val="000000"/>
                <w:sz w:val="20"/>
                <w:lang w:eastAsia="en-GB"/>
              </w:rPr>
              <w:br/>
              <w:t>• Percentage of Member States that submitted valid sex disaggregated data no older than three years for the indicator ‘Share of individuals using the Internet’</w:t>
            </w:r>
            <w:r w:rsidRPr="008015B8">
              <w:rPr>
                <w:rFonts w:cstheme="minorHAnsi"/>
                <w:color w:val="000000"/>
                <w:sz w:val="20"/>
                <w:lang w:eastAsia="en-GB"/>
              </w:rPr>
              <w:br/>
              <w:t>• Percentage of Member States that submitted valid location disaggregated data (rural/urban) no older than three years for the indicator ‘share of individuals using the Internet’</w:t>
            </w:r>
            <w:r w:rsidRPr="008015B8">
              <w:rPr>
                <w:rFonts w:cstheme="minorHAnsi"/>
                <w:color w:val="000000"/>
                <w:sz w:val="20"/>
                <w:lang w:eastAsia="en-GB"/>
              </w:rPr>
              <w:br/>
              <w:t>• Percentage of Member States that submitted valid data no older than three years for at least five of the information and communication technologies (ICTs) skills listed in the questionnaire</w:t>
            </w:r>
          </w:p>
        </w:tc>
        <w:tc>
          <w:tcPr>
            <w:tcW w:w="2268" w:type="dxa"/>
            <w:tcBorders>
              <w:top w:val="single" w:sz="4" w:space="0" w:color="44B3E1"/>
              <w:left w:val="nil"/>
              <w:bottom w:val="single" w:sz="4" w:space="0" w:color="44B3E1"/>
              <w:right w:val="nil"/>
            </w:tcBorders>
            <w:shd w:val="clear" w:color="C0E6F5" w:fill="C0E6F5"/>
            <w:hideMark/>
          </w:tcPr>
          <w:p w14:paraId="0DD2B961"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8015B8">
              <w:rPr>
                <w:rFonts w:cstheme="minorHAnsi"/>
                <w:color w:val="000000"/>
                <w:sz w:val="20"/>
                <w:lang w:eastAsia="en-GB"/>
              </w:rPr>
              <w:t xml:space="preserve">• Learning frameworks </w:t>
            </w:r>
            <w:r w:rsidRPr="008015B8">
              <w:rPr>
                <w:rFonts w:cstheme="minorHAnsi"/>
                <w:color w:val="000000"/>
                <w:sz w:val="20"/>
                <w:lang w:eastAsia="en-GB"/>
              </w:rPr>
              <w:br/>
              <w:t xml:space="preserve">• Convening platforms </w:t>
            </w:r>
            <w:r w:rsidRPr="008015B8">
              <w:rPr>
                <w:rFonts w:cstheme="minorHAnsi"/>
                <w:color w:val="000000"/>
                <w:sz w:val="20"/>
                <w:lang w:eastAsia="en-GB"/>
              </w:rPr>
              <w:br/>
              <w:t xml:space="preserve">• Statistics </w:t>
            </w:r>
          </w:p>
        </w:tc>
        <w:tc>
          <w:tcPr>
            <w:tcW w:w="1559" w:type="dxa"/>
            <w:tcBorders>
              <w:top w:val="single" w:sz="4" w:space="0" w:color="44B3E1"/>
              <w:left w:val="nil"/>
              <w:bottom w:val="single" w:sz="4" w:space="0" w:color="44B3E1"/>
              <w:right w:val="nil"/>
            </w:tcBorders>
            <w:shd w:val="clear" w:color="C0E6F5" w:fill="C0E6F5"/>
            <w:noWrap/>
            <w:hideMark/>
          </w:tcPr>
          <w:p w14:paraId="681E710A"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right"/>
              <w:textAlignment w:val="auto"/>
              <w:rPr>
                <w:rFonts w:cstheme="minorHAnsi"/>
                <w:color w:val="000000"/>
                <w:sz w:val="20"/>
                <w:lang w:eastAsia="en-GB"/>
              </w:rPr>
            </w:pPr>
            <w:r w:rsidRPr="008015B8">
              <w:rPr>
                <w:rFonts w:cstheme="minorHAnsi"/>
                <w:color w:val="000000"/>
                <w:sz w:val="20"/>
                <w:lang w:eastAsia="en-GB"/>
              </w:rPr>
              <w:t>306,500</w:t>
            </w:r>
          </w:p>
        </w:tc>
        <w:tc>
          <w:tcPr>
            <w:tcW w:w="1559" w:type="dxa"/>
            <w:tcBorders>
              <w:top w:val="single" w:sz="4" w:space="0" w:color="44B3E1"/>
              <w:left w:val="nil"/>
              <w:bottom w:val="single" w:sz="4" w:space="0" w:color="44B3E1"/>
              <w:right w:val="nil"/>
            </w:tcBorders>
            <w:shd w:val="clear" w:color="C0E6F5" w:fill="C0E6F5"/>
            <w:noWrap/>
            <w:hideMark/>
          </w:tcPr>
          <w:p w14:paraId="72E36C50"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8015B8">
              <w:rPr>
                <w:rFonts w:cstheme="minorHAnsi"/>
                <w:color w:val="000000"/>
                <w:sz w:val="20"/>
                <w:lang w:eastAsia="en-GB"/>
              </w:rPr>
              <w:t>44.4%</w:t>
            </w:r>
          </w:p>
        </w:tc>
        <w:tc>
          <w:tcPr>
            <w:tcW w:w="1559" w:type="dxa"/>
            <w:tcBorders>
              <w:top w:val="single" w:sz="4" w:space="0" w:color="44B3E1"/>
              <w:left w:val="nil"/>
              <w:bottom w:val="single" w:sz="4" w:space="0" w:color="44B3E1"/>
              <w:right w:val="single" w:sz="4" w:space="0" w:color="44B3E1"/>
            </w:tcBorders>
            <w:shd w:val="clear" w:color="C0E6F5" w:fill="C0E6F5"/>
            <w:noWrap/>
            <w:hideMark/>
          </w:tcPr>
          <w:p w14:paraId="19BF378B" w14:textId="77777777" w:rsidR="003E4652" w:rsidRPr="008015B8" w:rsidRDefault="003E4652" w:rsidP="003E4652">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8015B8">
              <w:rPr>
                <w:rFonts w:cstheme="minorHAnsi"/>
                <w:color w:val="000000"/>
                <w:sz w:val="20"/>
                <w:lang w:eastAsia="en-GB"/>
              </w:rPr>
              <w:t>8.0%</w:t>
            </w:r>
          </w:p>
        </w:tc>
      </w:tr>
    </w:tbl>
    <w:p w14:paraId="3F5DC30E" w14:textId="58AD381C" w:rsidR="00E755F4" w:rsidRPr="00D11856" w:rsidRDefault="00E755F4" w:rsidP="001D2782">
      <w:pPr>
        <w:spacing w:before="60" w:after="120"/>
        <w:rPr>
          <w:sz w:val="20"/>
          <w:lang w:val="en-US"/>
        </w:rPr>
      </w:pPr>
    </w:p>
    <w:p w14:paraId="61FF3A13" w14:textId="7C155CD7" w:rsidR="00637A9A" w:rsidRDefault="00EB0782" w:rsidP="00637A9A">
      <w:pPr>
        <w:pStyle w:val="Heading3"/>
        <w:spacing w:before="120" w:after="120"/>
        <w:ind w:left="357" w:hanging="357"/>
      </w:pPr>
      <w:r>
        <w:lastRenderedPageBreak/>
        <w:t>3.4</w:t>
      </w:r>
      <w:r>
        <w:tab/>
        <w:t>ITU-D Priority 4:</w:t>
      </w:r>
      <w:r w:rsidRPr="00EB66E4">
        <w:t xml:space="preserve"> </w:t>
      </w:r>
      <w:r w:rsidR="00637A9A" w:rsidRPr="00EB66E4">
        <w:t>Resource mobilization</w:t>
      </w:r>
      <w:r w:rsidR="00637A9A">
        <w:t>, partnerships</w:t>
      </w:r>
      <w:r w:rsidR="00637A9A" w:rsidRPr="00EB66E4">
        <w:t xml:space="preserve"> and international cooperation</w:t>
      </w:r>
    </w:p>
    <w:tbl>
      <w:tblPr>
        <w:tblW w:w="15451" w:type="dxa"/>
        <w:tblInd w:w="-714" w:type="dxa"/>
        <w:tblLook w:val="04A0" w:firstRow="1" w:lastRow="0" w:firstColumn="1" w:lastColumn="0" w:noHBand="0" w:noVBand="1"/>
      </w:tblPr>
      <w:tblGrid>
        <w:gridCol w:w="2127"/>
        <w:gridCol w:w="3260"/>
        <w:gridCol w:w="3119"/>
        <w:gridCol w:w="2268"/>
        <w:gridCol w:w="1559"/>
        <w:gridCol w:w="1559"/>
        <w:gridCol w:w="1559"/>
      </w:tblGrid>
      <w:tr w:rsidR="006F1E71" w:rsidRPr="008015B8" w14:paraId="5F406D9F" w14:textId="77777777" w:rsidTr="3E0BC037">
        <w:trPr>
          <w:trHeight w:val="600"/>
        </w:trPr>
        <w:tc>
          <w:tcPr>
            <w:tcW w:w="2127" w:type="dxa"/>
            <w:tcBorders>
              <w:top w:val="single" w:sz="4" w:space="0" w:color="44B3E1"/>
              <w:left w:val="single" w:sz="4" w:space="0" w:color="44B3E1"/>
              <w:bottom w:val="single" w:sz="4" w:space="0" w:color="44B3E1"/>
              <w:right w:val="nil"/>
            </w:tcBorders>
            <w:shd w:val="clear" w:color="auto" w:fill="156082"/>
            <w:vAlign w:val="center"/>
            <w:hideMark/>
          </w:tcPr>
          <w:p w14:paraId="5A9EAD9E"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Priority/ Topic</w:t>
            </w:r>
          </w:p>
        </w:tc>
        <w:tc>
          <w:tcPr>
            <w:tcW w:w="3260" w:type="dxa"/>
            <w:tcBorders>
              <w:top w:val="single" w:sz="4" w:space="0" w:color="44B3E1"/>
              <w:left w:val="nil"/>
              <w:bottom w:val="single" w:sz="4" w:space="0" w:color="44B3E1"/>
              <w:right w:val="nil"/>
            </w:tcBorders>
            <w:shd w:val="clear" w:color="auto" w:fill="156082"/>
            <w:vAlign w:val="center"/>
            <w:hideMark/>
          </w:tcPr>
          <w:p w14:paraId="1477773E"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Outcome</w:t>
            </w:r>
          </w:p>
        </w:tc>
        <w:tc>
          <w:tcPr>
            <w:tcW w:w="3119" w:type="dxa"/>
            <w:tcBorders>
              <w:top w:val="single" w:sz="4" w:space="0" w:color="44B3E1"/>
              <w:left w:val="nil"/>
              <w:bottom w:val="single" w:sz="4" w:space="0" w:color="44B3E1"/>
              <w:right w:val="nil"/>
            </w:tcBorders>
            <w:shd w:val="clear" w:color="auto" w:fill="156082"/>
            <w:vAlign w:val="center"/>
            <w:hideMark/>
          </w:tcPr>
          <w:p w14:paraId="46264E21" w14:textId="57C11D86" w:rsidR="00224158" w:rsidRPr="008015B8" w:rsidRDefault="00ED29FF" w:rsidP="00224158">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19308A">
              <w:rPr>
                <w:rFonts w:cstheme="minorHAnsi"/>
                <w:b/>
                <w:color w:val="FFFFFF" w:themeColor="background1"/>
                <w:sz w:val="20"/>
                <w:lang w:eastAsia="en-GB"/>
              </w:rPr>
              <w:t>Outpu</w:t>
            </w:r>
            <w:r w:rsidR="00D7357F" w:rsidRPr="0019308A">
              <w:rPr>
                <w:rFonts w:cstheme="minorHAnsi"/>
                <w:b/>
                <w:color w:val="FFFFFF" w:themeColor="background1"/>
                <w:sz w:val="20"/>
                <w:lang w:eastAsia="en-GB"/>
              </w:rPr>
              <w:t>t</w:t>
            </w:r>
            <w:r w:rsidRPr="0019308A">
              <w:rPr>
                <w:rFonts w:cstheme="minorHAnsi"/>
                <w:b/>
                <w:color w:val="FFFFFF" w:themeColor="background1"/>
                <w:sz w:val="20"/>
                <w:lang w:eastAsia="en-GB"/>
              </w:rPr>
              <w:t xml:space="preserve"> </w:t>
            </w:r>
            <w:r w:rsidR="00224158" w:rsidRPr="0019308A">
              <w:rPr>
                <w:rFonts w:cstheme="minorHAnsi"/>
                <w:b/>
                <w:color w:val="FFFFFF" w:themeColor="background1"/>
                <w:sz w:val="20"/>
                <w:lang w:eastAsia="en-GB"/>
              </w:rPr>
              <w:t>indicators</w:t>
            </w:r>
            <w:r w:rsidR="00432F8E">
              <w:rPr>
                <w:rStyle w:val="FootnoteReference"/>
                <w:rFonts w:cstheme="minorHAnsi"/>
                <w:b/>
                <w:color w:val="FFFFFF" w:themeColor="background1"/>
                <w:lang w:eastAsia="en-GB"/>
              </w:rPr>
              <w:footnoteReference w:id="4"/>
            </w:r>
          </w:p>
        </w:tc>
        <w:tc>
          <w:tcPr>
            <w:tcW w:w="2268" w:type="dxa"/>
            <w:tcBorders>
              <w:top w:val="single" w:sz="4" w:space="0" w:color="44B3E1"/>
              <w:left w:val="nil"/>
              <w:bottom w:val="single" w:sz="4" w:space="0" w:color="44B3E1"/>
              <w:right w:val="nil"/>
            </w:tcBorders>
            <w:shd w:val="clear" w:color="auto" w:fill="156082"/>
            <w:vAlign w:val="center"/>
            <w:hideMark/>
          </w:tcPr>
          <w:p w14:paraId="46902234"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Outputs</w:t>
            </w:r>
            <w:r w:rsidRPr="008015B8">
              <w:rPr>
                <w:rFonts w:cstheme="minorHAnsi"/>
                <w:b/>
                <w:bCs/>
                <w:color w:val="FFFFFF"/>
                <w:sz w:val="20"/>
                <w:lang w:eastAsia="en-GB"/>
              </w:rPr>
              <w:br/>
              <w:t>(ITU-D Products and services)</w:t>
            </w:r>
          </w:p>
        </w:tc>
        <w:tc>
          <w:tcPr>
            <w:tcW w:w="1559" w:type="dxa"/>
            <w:tcBorders>
              <w:top w:val="single" w:sz="4" w:space="0" w:color="44B3E1"/>
              <w:left w:val="nil"/>
              <w:bottom w:val="single" w:sz="4" w:space="0" w:color="44B3E1"/>
              <w:right w:val="nil"/>
            </w:tcBorders>
            <w:shd w:val="clear" w:color="auto" w:fill="156082"/>
            <w:vAlign w:val="center"/>
            <w:hideMark/>
          </w:tcPr>
          <w:p w14:paraId="227CF30B"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Budget 2026 (in CHF)</w:t>
            </w:r>
          </w:p>
        </w:tc>
        <w:tc>
          <w:tcPr>
            <w:tcW w:w="1559" w:type="dxa"/>
            <w:tcBorders>
              <w:top w:val="single" w:sz="4" w:space="0" w:color="44B3E1"/>
              <w:left w:val="nil"/>
              <w:bottom w:val="single" w:sz="4" w:space="0" w:color="44B3E1"/>
              <w:right w:val="nil"/>
            </w:tcBorders>
            <w:shd w:val="clear" w:color="auto" w:fill="156082"/>
            <w:vAlign w:val="center"/>
            <w:hideMark/>
          </w:tcPr>
          <w:p w14:paraId="2E84B1C8"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 of Priority/ Enabler Total</w:t>
            </w:r>
          </w:p>
        </w:tc>
        <w:tc>
          <w:tcPr>
            <w:tcW w:w="1559" w:type="dxa"/>
            <w:tcBorders>
              <w:top w:val="single" w:sz="4" w:space="0" w:color="44B3E1"/>
              <w:left w:val="nil"/>
              <w:bottom w:val="single" w:sz="4" w:space="0" w:color="44B3E1"/>
              <w:right w:val="single" w:sz="4" w:space="0" w:color="44B3E1"/>
            </w:tcBorders>
            <w:shd w:val="clear" w:color="auto" w:fill="156082"/>
            <w:vAlign w:val="center"/>
            <w:hideMark/>
          </w:tcPr>
          <w:p w14:paraId="33A515C1" w14:textId="429D1709"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b/>
                <w:bCs/>
                <w:color w:val="FFFFFF"/>
                <w:sz w:val="20"/>
                <w:lang w:eastAsia="en-GB"/>
              </w:rPr>
            </w:pPr>
            <w:r w:rsidRPr="008015B8">
              <w:rPr>
                <w:rFonts w:cstheme="minorHAnsi"/>
                <w:b/>
                <w:bCs/>
                <w:color w:val="FFFFFF"/>
                <w:sz w:val="20"/>
                <w:lang w:eastAsia="en-GB"/>
              </w:rPr>
              <w:t>% of Total</w:t>
            </w:r>
            <w:r w:rsidR="00E5677F" w:rsidRPr="008015B8">
              <w:rPr>
                <w:rFonts w:cstheme="minorHAnsi"/>
                <w:b/>
                <w:bCs/>
                <w:color w:val="FFFFFF"/>
                <w:sz w:val="20"/>
                <w:lang w:eastAsia="en-GB"/>
              </w:rPr>
              <w:t xml:space="preserve"> budget</w:t>
            </w:r>
          </w:p>
        </w:tc>
      </w:tr>
      <w:tr w:rsidR="006F1E71" w:rsidRPr="008015B8" w14:paraId="03BE23D3" w14:textId="77777777" w:rsidTr="3E0BC037">
        <w:trPr>
          <w:trHeight w:val="300"/>
        </w:trPr>
        <w:tc>
          <w:tcPr>
            <w:tcW w:w="8506" w:type="dxa"/>
            <w:gridSpan w:val="3"/>
            <w:tcBorders>
              <w:top w:val="single" w:sz="4" w:space="0" w:color="44B3E1"/>
              <w:left w:val="single" w:sz="4" w:space="0" w:color="44B3E1"/>
              <w:bottom w:val="single" w:sz="4" w:space="0" w:color="44B3E1"/>
              <w:right w:val="nil"/>
            </w:tcBorders>
            <w:shd w:val="clear" w:color="auto" w:fill="C0E6F5"/>
            <w:noWrap/>
            <w:vAlign w:val="bottom"/>
            <w:hideMark/>
          </w:tcPr>
          <w:p w14:paraId="45BA44CD"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left"/>
              <w:textAlignment w:val="auto"/>
              <w:rPr>
                <w:rFonts w:cstheme="minorHAnsi"/>
                <w:b/>
                <w:bCs/>
                <w:color w:val="000000"/>
                <w:sz w:val="20"/>
                <w:lang w:eastAsia="en-GB"/>
              </w:rPr>
            </w:pPr>
            <w:r w:rsidRPr="008015B8">
              <w:rPr>
                <w:rFonts w:cstheme="minorHAnsi"/>
                <w:b/>
                <w:bCs/>
                <w:color w:val="000000"/>
                <w:sz w:val="20"/>
                <w:lang w:eastAsia="en-GB"/>
              </w:rPr>
              <w:t>All Resource mobilization, partnerships, and international cooperation</w:t>
            </w:r>
          </w:p>
        </w:tc>
        <w:tc>
          <w:tcPr>
            <w:tcW w:w="2268" w:type="dxa"/>
            <w:tcBorders>
              <w:top w:val="single" w:sz="4" w:space="0" w:color="44B3E1"/>
              <w:left w:val="nil"/>
              <w:bottom w:val="single" w:sz="4" w:space="0" w:color="44B3E1"/>
              <w:right w:val="nil"/>
            </w:tcBorders>
            <w:shd w:val="clear" w:color="auto" w:fill="C0E6F5"/>
            <w:noWrap/>
            <w:vAlign w:val="bottom"/>
            <w:hideMark/>
          </w:tcPr>
          <w:p w14:paraId="15EE56B9"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left"/>
              <w:textAlignment w:val="auto"/>
              <w:rPr>
                <w:rFonts w:cstheme="minorHAnsi"/>
                <w:b/>
                <w:bCs/>
                <w:color w:val="000000"/>
                <w:sz w:val="20"/>
                <w:lang w:eastAsia="en-GB"/>
              </w:rPr>
            </w:pPr>
          </w:p>
        </w:tc>
        <w:tc>
          <w:tcPr>
            <w:tcW w:w="1559" w:type="dxa"/>
            <w:tcBorders>
              <w:top w:val="single" w:sz="4" w:space="0" w:color="44B3E1"/>
              <w:left w:val="nil"/>
              <w:bottom w:val="single" w:sz="4" w:space="0" w:color="44B3E1"/>
              <w:right w:val="nil"/>
            </w:tcBorders>
            <w:shd w:val="clear" w:color="auto" w:fill="C0E6F5"/>
            <w:noWrap/>
            <w:vAlign w:val="center"/>
            <w:hideMark/>
          </w:tcPr>
          <w:p w14:paraId="7381C069" w14:textId="1FD48C25"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b/>
                <w:bCs/>
                <w:color w:val="000000"/>
                <w:sz w:val="20"/>
                <w:lang w:eastAsia="en-GB"/>
              </w:rPr>
            </w:pPr>
            <w:r w:rsidRPr="008015B8">
              <w:rPr>
                <w:rFonts w:cstheme="minorHAnsi"/>
                <w:b/>
                <w:bCs/>
                <w:color w:val="000000"/>
                <w:sz w:val="20"/>
                <w:lang w:eastAsia="en-GB"/>
              </w:rPr>
              <w:t>2</w:t>
            </w:r>
            <w:r w:rsidR="00506A74" w:rsidRPr="008015B8">
              <w:rPr>
                <w:rFonts w:cstheme="minorHAnsi"/>
                <w:b/>
                <w:bCs/>
                <w:color w:val="000000"/>
                <w:sz w:val="20"/>
                <w:lang w:eastAsia="en-GB"/>
              </w:rPr>
              <w:t>3</w:t>
            </w:r>
            <w:r w:rsidRPr="008015B8">
              <w:rPr>
                <w:rFonts w:cstheme="minorHAnsi"/>
                <w:b/>
                <w:bCs/>
                <w:color w:val="000000"/>
                <w:sz w:val="20"/>
                <w:lang w:eastAsia="en-GB"/>
              </w:rPr>
              <w:t>6</w:t>
            </w:r>
            <w:r w:rsidR="00506A74" w:rsidRPr="008015B8">
              <w:rPr>
                <w:rFonts w:cstheme="minorHAnsi"/>
                <w:b/>
                <w:bCs/>
                <w:color w:val="000000"/>
                <w:sz w:val="20"/>
                <w:lang w:eastAsia="en-GB"/>
              </w:rPr>
              <w:t>,</w:t>
            </w:r>
            <w:r w:rsidRPr="008015B8">
              <w:rPr>
                <w:rFonts w:cstheme="minorHAnsi"/>
                <w:b/>
                <w:bCs/>
                <w:color w:val="000000"/>
                <w:sz w:val="20"/>
                <w:lang w:eastAsia="en-GB"/>
              </w:rPr>
              <w:t>000</w:t>
            </w:r>
          </w:p>
        </w:tc>
        <w:tc>
          <w:tcPr>
            <w:tcW w:w="1559" w:type="dxa"/>
            <w:tcBorders>
              <w:top w:val="single" w:sz="4" w:space="0" w:color="44B3E1"/>
              <w:left w:val="nil"/>
              <w:bottom w:val="single" w:sz="4" w:space="0" w:color="44B3E1"/>
              <w:right w:val="nil"/>
            </w:tcBorders>
            <w:shd w:val="clear" w:color="auto" w:fill="C0E6F5"/>
            <w:noWrap/>
            <w:vAlign w:val="bottom"/>
            <w:hideMark/>
          </w:tcPr>
          <w:p w14:paraId="53BF67BE"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b/>
                <w:bCs/>
                <w:color w:val="000000"/>
                <w:sz w:val="20"/>
                <w:lang w:eastAsia="en-GB"/>
              </w:rPr>
            </w:pPr>
          </w:p>
        </w:tc>
        <w:tc>
          <w:tcPr>
            <w:tcW w:w="1559" w:type="dxa"/>
            <w:tcBorders>
              <w:top w:val="single" w:sz="4" w:space="0" w:color="44B3E1"/>
              <w:left w:val="nil"/>
              <w:bottom w:val="single" w:sz="4" w:space="0" w:color="44B3E1"/>
              <w:right w:val="single" w:sz="4" w:space="0" w:color="44B3E1"/>
            </w:tcBorders>
            <w:shd w:val="clear" w:color="auto" w:fill="C0E6F5"/>
            <w:noWrap/>
            <w:vAlign w:val="center"/>
            <w:hideMark/>
          </w:tcPr>
          <w:p w14:paraId="70FBB791" w14:textId="4274292C"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b/>
                <w:bCs/>
                <w:color w:val="000000"/>
                <w:sz w:val="20"/>
                <w:lang w:eastAsia="en-GB"/>
              </w:rPr>
            </w:pPr>
            <w:r w:rsidRPr="008015B8">
              <w:rPr>
                <w:rFonts w:cstheme="minorHAnsi"/>
                <w:b/>
                <w:bCs/>
                <w:color w:val="000000"/>
                <w:sz w:val="20"/>
                <w:lang w:eastAsia="en-GB"/>
              </w:rPr>
              <w:t>6.</w:t>
            </w:r>
            <w:r w:rsidR="00DB6A87" w:rsidRPr="008015B8">
              <w:rPr>
                <w:rFonts w:cstheme="minorHAnsi"/>
                <w:b/>
                <w:bCs/>
                <w:color w:val="000000"/>
                <w:sz w:val="20"/>
                <w:lang w:eastAsia="en-GB"/>
              </w:rPr>
              <w:t>19</w:t>
            </w:r>
            <w:r w:rsidRPr="008015B8">
              <w:rPr>
                <w:rFonts w:cstheme="minorHAnsi"/>
                <w:b/>
                <w:bCs/>
                <w:color w:val="000000"/>
                <w:sz w:val="20"/>
                <w:lang w:eastAsia="en-GB"/>
              </w:rPr>
              <w:t>%</w:t>
            </w:r>
          </w:p>
        </w:tc>
      </w:tr>
      <w:tr w:rsidR="006F1E71" w:rsidRPr="008015B8" w14:paraId="6DA55B04" w14:textId="77777777" w:rsidTr="00224158">
        <w:trPr>
          <w:trHeight w:val="4500"/>
        </w:trPr>
        <w:tc>
          <w:tcPr>
            <w:tcW w:w="2127" w:type="dxa"/>
            <w:tcBorders>
              <w:top w:val="single" w:sz="4" w:space="0" w:color="44B3E1"/>
              <w:left w:val="single" w:sz="4" w:space="0" w:color="44B3E1"/>
              <w:bottom w:val="single" w:sz="4" w:space="0" w:color="44B3E1"/>
              <w:right w:val="nil"/>
            </w:tcBorders>
            <w:noWrap/>
            <w:hideMark/>
          </w:tcPr>
          <w:p w14:paraId="307109BB"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left"/>
              <w:textAlignment w:val="auto"/>
              <w:rPr>
                <w:rFonts w:cstheme="minorHAnsi"/>
                <w:b/>
                <w:bCs/>
                <w:color w:val="000000"/>
                <w:sz w:val="20"/>
                <w:lang w:eastAsia="en-GB"/>
              </w:rPr>
            </w:pPr>
            <w:r w:rsidRPr="008015B8">
              <w:rPr>
                <w:rFonts w:cstheme="minorHAnsi"/>
                <w:b/>
                <w:bCs/>
                <w:color w:val="000000"/>
                <w:sz w:val="20"/>
                <w:lang w:eastAsia="en-GB"/>
              </w:rPr>
              <w:t>Cross-cutting</w:t>
            </w:r>
          </w:p>
        </w:tc>
        <w:tc>
          <w:tcPr>
            <w:tcW w:w="3260" w:type="dxa"/>
            <w:tcBorders>
              <w:top w:val="single" w:sz="4" w:space="0" w:color="44B3E1"/>
              <w:left w:val="nil"/>
              <w:bottom w:val="single" w:sz="4" w:space="0" w:color="44B3E1"/>
              <w:right w:val="nil"/>
            </w:tcBorders>
            <w:hideMark/>
          </w:tcPr>
          <w:p w14:paraId="7B8F079F" w14:textId="39045EB2" w:rsidR="00224158" w:rsidRPr="008015B8" w:rsidRDefault="00224158" w:rsidP="00224158">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8015B8">
              <w:rPr>
                <w:rFonts w:cstheme="minorHAnsi"/>
                <w:color w:val="000000"/>
                <w:sz w:val="20"/>
                <w:lang w:eastAsia="en-GB"/>
              </w:rPr>
              <w:t>• Strengthened resource-mobilization strategy through cooperation including with international and regional financial and development institutions</w:t>
            </w:r>
            <w:r w:rsidRPr="008015B8">
              <w:rPr>
                <w:rFonts w:cstheme="minorHAnsi"/>
                <w:color w:val="000000"/>
                <w:sz w:val="20"/>
                <w:lang w:eastAsia="en-GB"/>
              </w:rPr>
              <w:br/>
              <w:t>• Strengthened United Nations-wide joint planning, collaboration and cooperation and with financial and development institutions at the international and regional levels</w:t>
            </w:r>
            <w:r w:rsidRPr="008015B8">
              <w:rPr>
                <w:rFonts w:cstheme="minorHAnsi"/>
                <w:color w:val="000000"/>
                <w:sz w:val="20"/>
                <w:lang w:eastAsia="en-GB"/>
              </w:rPr>
              <w:br/>
              <w:t>• Increased support for LDCs, LLDCs and SIDS</w:t>
            </w:r>
          </w:p>
        </w:tc>
        <w:tc>
          <w:tcPr>
            <w:tcW w:w="3119" w:type="dxa"/>
            <w:tcBorders>
              <w:top w:val="single" w:sz="4" w:space="0" w:color="44B3E1"/>
              <w:left w:val="nil"/>
              <w:bottom w:val="single" w:sz="4" w:space="0" w:color="44B3E1"/>
              <w:right w:val="nil"/>
            </w:tcBorders>
            <w:hideMark/>
          </w:tcPr>
          <w:p w14:paraId="392463E9" w14:textId="547C5462" w:rsidR="00224158" w:rsidRPr="008015B8" w:rsidRDefault="00224158" w:rsidP="00224158">
            <w:pPr>
              <w:tabs>
                <w:tab w:val="clear" w:pos="794"/>
                <w:tab w:val="clear" w:pos="1191"/>
                <w:tab w:val="clear" w:pos="1588"/>
                <w:tab w:val="clear" w:pos="1985"/>
              </w:tabs>
              <w:overflowPunct/>
              <w:autoSpaceDE/>
              <w:autoSpaceDN/>
              <w:adjustRightInd/>
              <w:spacing w:before="0"/>
              <w:jc w:val="left"/>
              <w:textAlignment w:val="auto"/>
              <w:rPr>
                <w:rFonts w:cstheme="minorBidi"/>
                <w:color w:val="000000"/>
                <w:sz w:val="20"/>
                <w:lang w:eastAsia="en-GB"/>
              </w:rPr>
            </w:pPr>
            <w:r w:rsidRPr="3E0BC037">
              <w:rPr>
                <w:rFonts w:cstheme="minorBidi"/>
                <w:color w:val="000000" w:themeColor="text1"/>
                <w:sz w:val="20"/>
                <w:lang w:eastAsia="en-GB"/>
              </w:rPr>
              <w:t>• Total project funds raised by BDT</w:t>
            </w:r>
            <w:r>
              <w:br/>
            </w:r>
            <w:r w:rsidRPr="3E0BC037">
              <w:rPr>
                <w:rFonts w:cstheme="minorBidi"/>
                <w:color w:val="000000" w:themeColor="text1"/>
                <w:sz w:val="20"/>
                <w:lang w:eastAsia="en-GB"/>
              </w:rPr>
              <w:t>• Ratio of internal/external sources for project funds</w:t>
            </w:r>
            <w:r>
              <w:br/>
            </w:r>
            <w:r w:rsidRPr="3E0BC037">
              <w:rPr>
                <w:rFonts w:cstheme="minorBidi"/>
                <w:color w:val="000000" w:themeColor="text1"/>
                <w:sz w:val="20"/>
                <w:lang w:eastAsia="en-GB"/>
              </w:rPr>
              <w:t>• Total number of contributing partners to ITU-D projects</w:t>
            </w:r>
            <w:r>
              <w:br/>
            </w:r>
            <w:r w:rsidRPr="3E0BC037">
              <w:rPr>
                <w:rFonts w:cstheme="minorBidi"/>
                <w:color w:val="000000" w:themeColor="text1"/>
                <w:sz w:val="20"/>
                <w:lang w:eastAsia="en-GB"/>
              </w:rPr>
              <w:t>• Number of ICT development agreements signed between ITU and partners to support implementation of the ITU-D Action Plan</w:t>
            </w:r>
            <w:r>
              <w:br/>
            </w:r>
            <w:r w:rsidRPr="3E0BC037">
              <w:rPr>
                <w:rFonts w:cstheme="minorBidi"/>
                <w:color w:val="000000" w:themeColor="text1"/>
                <w:sz w:val="20"/>
                <w:lang w:eastAsia="en-GB"/>
              </w:rPr>
              <w:t>• Number of impact evaluation reports produced by BDT</w:t>
            </w:r>
            <w:r>
              <w:br/>
            </w:r>
            <w:r w:rsidRPr="3E0BC037">
              <w:rPr>
                <w:rFonts w:cstheme="minorBidi"/>
                <w:color w:val="000000" w:themeColor="text1"/>
                <w:sz w:val="20"/>
                <w:lang w:eastAsia="en-GB"/>
              </w:rPr>
              <w:t>• Number of financially supported ITU-D projects in LDCs, LLDCs and SIDS</w:t>
            </w:r>
            <w:r>
              <w:br/>
            </w:r>
            <w:r w:rsidRPr="3E0BC037">
              <w:rPr>
                <w:rFonts w:cstheme="minorBidi"/>
                <w:color w:val="000000" w:themeColor="text1"/>
                <w:sz w:val="20"/>
                <w:lang w:eastAsia="en-GB"/>
              </w:rPr>
              <w:t>• Amount of project funding for LDCs, LLDCs and SIDS</w:t>
            </w:r>
          </w:p>
        </w:tc>
        <w:tc>
          <w:tcPr>
            <w:tcW w:w="2268" w:type="dxa"/>
            <w:tcBorders>
              <w:top w:val="single" w:sz="4" w:space="0" w:color="44B3E1"/>
              <w:left w:val="nil"/>
              <w:bottom w:val="single" w:sz="4" w:space="0" w:color="44B3E1"/>
              <w:right w:val="nil"/>
            </w:tcBorders>
            <w:hideMark/>
          </w:tcPr>
          <w:p w14:paraId="4419B2F1"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8015B8">
              <w:rPr>
                <w:rFonts w:cstheme="minorHAnsi"/>
                <w:color w:val="000000"/>
                <w:sz w:val="20"/>
                <w:lang w:eastAsia="en-GB"/>
              </w:rPr>
              <w:t xml:space="preserve">• Convening platforms </w:t>
            </w:r>
          </w:p>
        </w:tc>
        <w:tc>
          <w:tcPr>
            <w:tcW w:w="1559" w:type="dxa"/>
            <w:tcBorders>
              <w:top w:val="single" w:sz="4" w:space="0" w:color="44B3E1"/>
              <w:left w:val="nil"/>
              <w:bottom w:val="single" w:sz="4" w:space="0" w:color="44B3E1"/>
              <w:right w:val="nil"/>
            </w:tcBorders>
            <w:noWrap/>
            <w:hideMark/>
          </w:tcPr>
          <w:p w14:paraId="28F2A477" w14:textId="2A0BC014"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8015B8">
              <w:rPr>
                <w:rFonts w:cstheme="minorHAnsi"/>
                <w:color w:val="000000"/>
                <w:sz w:val="20"/>
                <w:lang w:eastAsia="en-GB"/>
              </w:rPr>
              <w:t>2</w:t>
            </w:r>
            <w:r w:rsidR="00506A74" w:rsidRPr="008015B8">
              <w:rPr>
                <w:rFonts w:cstheme="minorHAnsi"/>
                <w:color w:val="000000"/>
                <w:sz w:val="20"/>
                <w:lang w:eastAsia="en-GB"/>
              </w:rPr>
              <w:t>3</w:t>
            </w:r>
            <w:r w:rsidRPr="008015B8">
              <w:rPr>
                <w:rFonts w:cstheme="minorHAnsi"/>
                <w:color w:val="000000"/>
                <w:sz w:val="20"/>
                <w:lang w:eastAsia="en-GB"/>
              </w:rPr>
              <w:t>6</w:t>
            </w:r>
            <w:r w:rsidR="00506A74" w:rsidRPr="008015B8">
              <w:rPr>
                <w:rFonts w:cstheme="minorHAnsi"/>
                <w:color w:val="000000"/>
                <w:sz w:val="20"/>
                <w:lang w:eastAsia="en-GB"/>
              </w:rPr>
              <w:t>,</w:t>
            </w:r>
            <w:r w:rsidRPr="008015B8">
              <w:rPr>
                <w:rFonts w:cstheme="minorHAnsi"/>
                <w:color w:val="000000"/>
                <w:sz w:val="20"/>
                <w:lang w:eastAsia="en-GB"/>
              </w:rPr>
              <w:t>000</w:t>
            </w:r>
          </w:p>
        </w:tc>
        <w:tc>
          <w:tcPr>
            <w:tcW w:w="1559" w:type="dxa"/>
            <w:tcBorders>
              <w:top w:val="single" w:sz="4" w:space="0" w:color="44B3E1"/>
              <w:left w:val="nil"/>
              <w:bottom w:val="single" w:sz="4" w:space="0" w:color="44B3E1"/>
              <w:right w:val="nil"/>
            </w:tcBorders>
            <w:noWrap/>
            <w:hideMark/>
          </w:tcPr>
          <w:p w14:paraId="7F9C25B2" w14:textId="77777777"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8015B8">
              <w:rPr>
                <w:rFonts w:cstheme="minorHAnsi"/>
                <w:color w:val="000000"/>
                <w:sz w:val="20"/>
                <w:lang w:eastAsia="en-GB"/>
              </w:rPr>
              <w:t>100%</w:t>
            </w:r>
          </w:p>
        </w:tc>
        <w:tc>
          <w:tcPr>
            <w:tcW w:w="1559" w:type="dxa"/>
            <w:tcBorders>
              <w:top w:val="single" w:sz="4" w:space="0" w:color="44B3E1"/>
              <w:left w:val="nil"/>
              <w:bottom w:val="single" w:sz="4" w:space="0" w:color="44B3E1"/>
              <w:right w:val="single" w:sz="4" w:space="0" w:color="44B3E1"/>
            </w:tcBorders>
            <w:noWrap/>
            <w:hideMark/>
          </w:tcPr>
          <w:p w14:paraId="245F0DE9" w14:textId="5CE5B285" w:rsidR="00224158" w:rsidRPr="008015B8" w:rsidRDefault="00224158" w:rsidP="00224158">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8015B8">
              <w:rPr>
                <w:rFonts w:cstheme="minorHAnsi"/>
                <w:color w:val="000000"/>
                <w:sz w:val="20"/>
                <w:lang w:eastAsia="en-GB"/>
              </w:rPr>
              <w:t>6.</w:t>
            </w:r>
            <w:r w:rsidR="00212F24" w:rsidRPr="008015B8">
              <w:rPr>
                <w:rFonts w:cstheme="minorHAnsi"/>
                <w:color w:val="000000"/>
                <w:sz w:val="20"/>
                <w:lang w:eastAsia="en-GB"/>
              </w:rPr>
              <w:t>2</w:t>
            </w:r>
            <w:r w:rsidRPr="008015B8">
              <w:rPr>
                <w:rFonts w:cstheme="minorHAnsi"/>
                <w:color w:val="000000"/>
                <w:sz w:val="20"/>
                <w:lang w:eastAsia="en-GB"/>
              </w:rPr>
              <w:t>%</w:t>
            </w:r>
          </w:p>
        </w:tc>
      </w:tr>
    </w:tbl>
    <w:p w14:paraId="5779E7CF" w14:textId="6DA0E381" w:rsidR="006943CF" w:rsidRDefault="006943CF" w:rsidP="0032173D"/>
    <w:p w14:paraId="5044C82B" w14:textId="77777777" w:rsidR="006943CF" w:rsidRDefault="006943CF">
      <w:pPr>
        <w:tabs>
          <w:tab w:val="clear" w:pos="794"/>
          <w:tab w:val="clear" w:pos="1191"/>
          <w:tab w:val="clear" w:pos="1588"/>
          <w:tab w:val="clear" w:pos="1985"/>
        </w:tabs>
        <w:overflowPunct/>
        <w:autoSpaceDE/>
        <w:autoSpaceDN/>
        <w:adjustRightInd/>
        <w:spacing w:before="0"/>
        <w:jc w:val="left"/>
        <w:textAlignment w:val="auto"/>
      </w:pPr>
      <w:r>
        <w:br w:type="page"/>
      </w:r>
    </w:p>
    <w:p w14:paraId="6A2364F3" w14:textId="1B877216" w:rsidR="002E099A" w:rsidRDefault="002E099A" w:rsidP="00637A9A">
      <w:pPr>
        <w:pStyle w:val="Heading3"/>
        <w:spacing w:before="120" w:after="120"/>
        <w:ind w:left="357" w:hanging="357"/>
      </w:pPr>
      <w:r>
        <w:lastRenderedPageBreak/>
        <w:t>3.</w:t>
      </w:r>
      <w:r w:rsidR="00E755F4">
        <w:t>5</w:t>
      </w:r>
      <w:r>
        <w:tab/>
        <w:t xml:space="preserve">ITU-D Priority </w:t>
      </w:r>
      <w:r w:rsidR="00E333CD">
        <w:t>5</w:t>
      </w:r>
      <w:r w:rsidR="00637A9A">
        <w:t xml:space="preserve">: </w:t>
      </w:r>
      <w:r w:rsidR="00637A9A" w:rsidRPr="00EB66E4">
        <w:t>Inclusive</w:t>
      </w:r>
      <w:r w:rsidR="44EBAD46">
        <w:t xml:space="preserve">, safe </w:t>
      </w:r>
      <w:r w:rsidR="00637A9A" w:rsidRPr="00EB66E4">
        <w:t xml:space="preserve">and secure telecommunications/ICTs for sustainable development </w:t>
      </w:r>
    </w:p>
    <w:tbl>
      <w:tblPr>
        <w:tblW w:w="15451" w:type="dxa"/>
        <w:tblInd w:w="-714" w:type="dxa"/>
        <w:tblLook w:val="04A0" w:firstRow="1" w:lastRow="0" w:firstColumn="1" w:lastColumn="0" w:noHBand="0" w:noVBand="1"/>
      </w:tblPr>
      <w:tblGrid>
        <w:gridCol w:w="2127"/>
        <w:gridCol w:w="3260"/>
        <w:gridCol w:w="3119"/>
        <w:gridCol w:w="2268"/>
        <w:gridCol w:w="1559"/>
        <w:gridCol w:w="1559"/>
        <w:gridCol w:w="1559"/>
      </w:tblGrid>
      <w:tr w:rsidR="008A3381" w:rsidRPr="008015B8" w14:paraId="3043B5DA" w14:textId="77777777" w:rsidTr="2C7640F5">
        <w:trPr>
          <w:cantSplit/>
          <w:trHeight w:val="600"/>
          <w:tblHeader/>
        </w:trPr>
        <w:tc>
          <w:tcPr>
            <w:tcW w:w="2127" w:type="dxa"/>
            <w:tcBorders>
              <w:top w:val="single" w:sz="4" w:space="0" w:color="44B3E1"/>
              <w:left w:val="single" w:sz="4" w:space="0" w:color="44B3E1"/>
              <w:bottom w:val="single" w:sz="4" w:space="0" w:color="44B3E1"/>
              <w:right w:val="nil"/>
            </w:tcBorders>
            <w:shd w:val="clear" w:color="auto" w:fill="156082"/>
            <w:hideMark/>
          </w:tcPr>
          <w:p w14:paraId="175F57E2"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b/>
                <w:color w:val="FFFFFF"/>
                <w:sz w:val="20"/>
                <w:lang w:eastAsia="en-GB"/>
              </w:rPr>
            </w:pPr>
            <w:r w:rsidRPr="0019308A">
              <w:rPr>
                <w:rFonts w:cstheme="minorHAnsi"/>
                <w:b/>
                <w:color w:val="FFFFFF"/>
                <w:sz w:val="20"/>
                <w:lang w:eastAsia="en-GB"/>
              </w:rPr>
              <w:t>Priority/ Topic</w:t>
            </w:r>
          </w:p>
        </w:tc>
        <w:tc>
          <w:tcPr>
            <w:tcW w:w="3260" w:type="dxa"/>
            <w:tcBorders>
              <w:top w:val="single" w:sz="4" w:space="0" w:color="44B3E1"/>
              <w:left w:val="nil"/>
              <w:bottom w:val="single" w:sz="4" w:space="0" w:color="44B3E1"/>
              <w:right w:val="nil"/>
            </w:tcBorders>
            <w:shd w:val="clear" w:color="auto" w:fill="156082"/>
            <w:hideMark/>
          </w:tcPr>
          <w:p w14:paraId="3FBB35DE"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b/>
                <w:color w:val="FFFFFF"/>
                <w:sz w:val="20"/>
                <w:lang w:eastAsia="en-GB"/>
              </w:rPr>
            </w:pPr>
            <w:r w:rsidRPr="0019308A">
              <w:rPr>
                <w:rFonts w:cstheme="minorHAnsi"/>
                <w:b/>
                <w:color w:val="FFFFFF"/>
                <w:sz w:val="20"/>
                <w:lang w:eastAsia="en-GB"/>
              </w:rPr>
              <w:t>Outcome</w:t>
            </w:r>
          </w:p>
        </w:tc>
        <w:tc>
          <w:tcPr>
            <w:tcW w:w="3119" w:type="dxa"/>
            <w:tcBorders>
              <w:top w:val="single" w:sz="4" w:space="0" w:color="44B3E1"/>
              <w:left w:val="nil"/>
              <w:bottom w:val="single" w:sz="4" w:space="0" w:color="44B3E1"/>
              <w:right w:val="nil"/>
            </w:tcBorders>
            <w:shd w:val="clear" w:color="auto" w:fill="156082"/>
            <w:hideMark/>
          </w:tcPr>
          <w:p w14:paraId="0C0E6B68" w14:textId="6B3D6266" w:rsidR="00527B11" w:rsidRPr="0019308A" w:rsidRDefault="00CE689D" w:rsidP="00527B11">
            <w:pPr>
              <w:tabs>
                <w:tab w:val="clear" w:pos="794"/>
                <w:tab w:val="clear" w:pos="1191"/>
                <w:tab w:val="clear" w:pos="1588"/>
                <w:tab w:val="clear" w:pos="1985"/>
              </w:tabs>
              <w:overflowPunct/>
              <w:autoSpaceDE/>
              <w:autoSpaceDN/>
              <w:adjustRightInd/>
              <w:spacing w:before="0"/>
              <w:jc w:val="center"/>
              <w:textAlignment w:val="auto"/>
              <w:rPr>
                <w:rFonts w:cstheme="minorHAnsi"/>
                <w:b/>
                <w:color w:val="FFFFFF"/>
                <w:sz w:val="20"/>
                <w:lang w:eastAsia="en-GB"/>
              </w:rPr>
            </w:pPr>
            <w:r w:rsidRPr="0019308A">
              <w:rPr>
                <w:rFonts w:cstheme="minorHAnsi"/>
                <w:b/>
                <w:color w:val="FFFFFF"/>
                <w:sz w:val="20"/>
                <w:lang w:eastAsia="en-GB"/>
              </w:rPr>
              <w:t>Outcome i</w:t>
            </w:r>
            <w:r w:rsidR="00527B11" w:rsidRPr="0019308A">
              <w:rPr>
                <w:rFonts w:cstheme="minorHAnsi"/>
                <w:b/>
                <w:color w:val="FFFFFF"/>
                <w:sz w:val="20"/>
                <w:lang w:eastAsia="en-GB"/>
              </w:rPr>
              <w:t>ndicators</w:t>
            </w:r>
          </w:p>
        </w:tc>
        <w:tc>
          <w:tcPr>
            <w:tcW w:w="2268" w:type="dxa"/>
            <w:tcBorders>
              <w:top w:val="single" w:sz="4" w:space="0" w:color="44B3E1"/>
              <w:left w:val="nil"/>
              <w:bottom w:val="single" w:sz="4" w:space="0" w:color="44B3E1"/>
              <w:right w:val="nil"/>
            </w:tcBorders>
            <w:shd w:val="clear" w:color="auto" w:fill="156082"/>
            <w:hideMark/>
          </w:tcPr>
          <w:p w14:paraId="203B1B85"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b/>
                <w:color w:val="FFFFFF"/>
                <w:sz w:val="20"/>
                <w:lang w:eastAsia="en-GB"/>
              </w:rPr>
            </w:pPr>
            <w:r w:rsidRPr="0019308A">
              <w:rPr>
                <w:rFonts w:cstheme="minorHAnsi"/>
                <w:b/>
                <w:color w:val="FFFFFF"/>
                <w:sz w:val="20"/>
                <w:lang w:eastAsia="en-GB"/>
              </w:rPr>
              <w:t>Outputs</w:t>
            </w:r>
            <w:r w:rsidRPr="0019308A">
              <w:rPr>
                <w:rFonts w:cstheme="minorHAnsi"/>
                <w:b/>
                <w:color w:val="FFFFFF"/>
                <w:sz w:val="20"/>
                <w:lang w:eastAsia="en-GB"/>
              </w:rPr>
              <w:br/>
              <w:t>(ITU-D Products and services)</w:t>
            </w:r>
          </w:p>
        </w:tc>
        <w:tc>
          <w:tcPr>
            <w:tcW w:w="1559" w:type="dxa"/>
            <w:tcBorders>
              <w:top w:val="single" w:sz="4" w:space="0" w:color="44B3E1"/>
              <w:left w:val="nil"/>
              <w:bottom w:val="single" w:sz="4" w:space="0" w:color="44B3E1"/>
              <w:right w:val="nil"/>
            </w:tcBorders>
            <w:shd w:val="clear" w:color="auto" w:fill="156082"/>
            <w:hideMark/>
          </w:tcPr>
          <w:p w14:paraId="169B93A3"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b/>
                <w:color w:val="FFFFFF"/>
                <w:sz w:val="20"/>
                <w:lang w:eastAsia="en-GB"/>
              </w:rPr>
            </w:pPr>
            <w:r w:rsidRPr="0019308A">
              <w:rPr>
                <w:rFonts w:cstheme="minorHAnsi"/>
                <w:b/>
                <w:color w:val="FFFFFF"/>
                <w:sz w:val="20"/>
                <w:lang w:eastAsia="en-GB"/>
              </w:rPr>
              <w:t>Budget 2026 (in CHF)</w:t>
            </w:r>
          </w:p>
        </w:tc>
        <w:tc>
          <w:tcPr>
            <w:tcW w:w="1559" w:type="dxa"/>
            <w:tcBorders>
              <w:top w:val="single" w:sz="4" w:space="0" w:color="44B3E1"/>
              <w:left w:val="nil"/>
              <w:bottom w:val="single" w:sz="4" w:space="0" w:color="44B3E1"/>
              <w:right w:val="nil"/>
            </w:tcBorders>
            <w:shd w:val="clear" w:color="auto" w:fill="156082"/>
            <w:hideMark/>
          </w:tcPr>
          <w:p w14:paraId="697B9147"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b/>
                <w:color w:val="FFFFFF"/>
                <w:sz w:val="20"/>
                <w:lang w:eastAsia="en-GB"/>
              </w:rPr>
            </w:pPr>
            <w:r w:rsidRPr="0019308A">
              <w:rPr>
                <w:rFonts w:cstheme="minorHAnsi"/>
                <w:b/>
                <w:color w:val="FFFFFF"/>
                <w:sz w:val="20"/>
                <w:lang w:eastAsia="en-GB"/>
              </w:rPr>
              <w:t>% of Priority/ Enabler Total</w:t>
            </w:r>
          </w:p>
        </w:tc>
        <w:tc>
          <w:tcPr>
            <w:tcW w:w="1559" w:type="dxa"/>
            <w:tcBorders>
              <w:top w:val="single" w:sz="4" w:space="0" w:color="44B3E1"/>
              <w:left w:val="nil"/>
              <w:bottom w:val="single" w:sz="4" w:space="0" w:color="44B3E1"/>
              <w:right w:val="single" w:sz="4" w:space="0" w:color="44B3E1"/>
            </w:tcBorders>
            <w:shd w:val="clear" w:color="auto" w:fill="156082"/>
            <w:hideMark/>
          </w:tcPr>
          <w:p w14:paraId="4481526B" w14:textId="13B89B3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b/>
                <w:color w:val="FFFFFF"/>
                <w:sz w:val="20"/>
                <w:lang w:eastAsia="en-GB"/>
              </w:rPr>
            </w:pPr>
            <w:r w:rsidRPr="0019308A">
              <w:rPr>
                <w:rFonts w:cstheme="minorHAnsi"/>
                <w:b/>
                <w:color w:val="FFFFFF"/>
                <w:sz w:val="20"/>
                <w:lang w:eastAsia="en-GB"/>
              </w:rPr>
              <w:t>% of Total</w:t>
            </w:r>
            <w:r w:rsidR="00E5677F" w:rsidRPr="0019308A">
              <w:rPr>
                <w:rFonts w:cstheme="minorHAnsi"/>
                <w:b/>
                <w:color w:val="FFFFFF"/>
                <w:sz w:val="20"/>
                <w:lang w:eastAsia="en-GB"/>
              </w:rPr>
              <w:t xml:space="preserve"> budget</w:t>
            </w:r>
          </w:p>
        </w:tc>
      </w:tr>
      <w:tr w:rsidR="00B4561E" w:rsidRPr="008015B8" w14:paraId="493458DD" w14:textId="77777777" w:rsidTr="2C7640F5">
        <w:trPr>
          <w:trHeight w:val="300"/>
        </w:trPr>
        <w:tc>
          <w:tcPr>
            <w:tcW w:w="8506" w:type="dxa"/>
            <w:gridSpan w:val="3"/>
            <w:tcBorders>
              <w:top w:val="single" w:sz="4" w:space="0" w:color="44B3E1"/>
              <w:left w:val="single" w:sz="4" w:space="0" w:color="44B3E1"/>
              <w:bottom w:val="single" w:sz="4" w:space="0" w:color="44B3E1"/>
              <w:right w:val="nil"/>
            </w:tcBorders>
            <w:shd w:val="clear" w:color="auto" w:fill="C0E6F5"/>
            <w:noWrap/>
            <w:hideMark/>
          </w:tcPr>
          <w:p w14:paraId="30A44403" w14:textId="36308245" w:rsidR="00527B11" w:rsidRPr="0019308A" w:rsidRDefault="002B5154" w:rsidP="00527B11">
            <w:pPr>
              <w:tabs>
                <w:tab w:val="clear" w:pos="794"/>
                <w:tab w:val="clear" w:pos="1191"/>
                <w:tab w:val="clear" w:pos="1588"/>
                <w:tab w:val="clear" w:pos="1985"/>
              </w:tabs>
              <w:overflowPunct/>
              <w:autoSpaceDE/>
              <w:autoSpaceDN/>
              <w:adjustRightInd/>
              <w:spacing w:before="0"/>
              <w:jc w:val="left"/>
              <w:textAlignment w:val="auto"/>
              <w:rPr>
                <w:rFonts w:cstheme="minorHAnsi"/>
                <w:b/>
                <w:color w:val="000000"/>
                <w:sz w:val="20"/>
                <w:lang w:eastAsia="en-GB"/>
              </w:rPr>
            </w:pPr>
            <w:r w:rsidRPr="0019308A">
              <w:rPr>
                <w:rFonts w:cstheme="minorHAnsi"/>
                <w:b/>
                <w:color w:val="000000"/>
                <w:sz w:val="20"/>
                <w:lang w:eastAsia="en-GB"/>
              </w:rPr>
              <w:t>All Inclusive</w:t>
            </w:r>
            <w:r w:rsidR="00C14D45">
              <w:rPr>
                <w:rFonts w:cstheme="minorHAnsi"/>
                <w:b/>
                <w:color w:val="000000"/>
                <w:sz w:val="20"/>
                <w:lang w:eastAsia="en-GB"/>
              </w:rPr>
              <w:t xml:space="preserve">, safe </w:t>
            </w:r>
            <w:r w:rsidR="00527B11" w:rsidRPr="0019308A">
              <w:rPr>
                <w:rFonts w:cstheme="minorHAnsi"/>
                <w:b/>
                <w:color w:val="000000"/>
                <w:sz w:val="20"/>
                <w:lang w:eastAsia="en-GB"/>
              </w:rPr>
              <w:t>and secure telecommunications/ICTs for sustainable development</w:t>
            </w:r>
          </w:p>
        </w:tc>
        <w:tc>
          <w:tcPr>
            <w:tcW w:w="2268" w:type="dxa"/>
            <w:tcBorders>
              <w:top w:val="single" w:sz="4" w:space="0" w:color="44B3E1"/>
              <w:left w:val="nil"/>
              <w:bottom w:val="single" w:sz="4" w:space="0" w:color="44B3E1"/>
              <w:right w:val="nil"/>
            </w:tcBorders>
            <w:shd w:val="clear" w:color="auto" w:fill="C0E6F5"/>
            <w:noWrap/>
            <w:hideMark/>
          </w:tcPr>
          <w:p w14:paraId="28D1FC6F"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left"/>
              <w:textAlignment w:val="auto"/>
              <w:rPr>
                <w:rFonts w:cstheme="minorHAnsi"/>
                <w:b/>
                <w:color w:val="000000"/>
                <w:sz w:val="20"/>
                <w:lang w:eastAsia="en-GB"/>
              </w:rPr>
            </w:pPr>
          </w:p>
        </w:tc>
        <w:tc>
          <w:tcPr>
            <w:tcW w:w="1559" w:type="dxa"/>
            <w:tcBorders>
              <w:top w:val="single" w:sz="4" w:space="0" w:color="44B3E1"/>
              <w:left w:val="nil"/>
              <w:bottom w:val="single" w:sz="4" w:space="0" w:color="44B3E1"/>
              <w:right w:val="nil"/>
            </w:tcBorders>
            <w:shd w:val="clear" w:color="auto" w:fill="C0E6F5"/>
            <w:noWrap/>
            <w:hideMark/>
          </w:tcPr>
          <w:p w14:paraId="1ACE03E5"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b/>
                <w:color w:val="000000"/>
                <w:sz w:val="20"/>
                <w:lang w:eastAsia="en-GB"/>
              </w:rPr>
            </w:pPr>
            <w:r w:rsidRPr="0019308A">
              <w:rPr>
                <w:rFonts w:cstheme="minorHAnsi"/>
                <w:b/>
                <w:color w:val="000000"/>
                <w:sz w:val="20"/>
                <w:lang w:eastAsia="en-GB"/>
              </w:rPr>
              <w:t>736,500</w:t>
            </w:r>
          </w:p>
        </w:tc>
        <w:tc>
          <w:tcPr>
            <w:tcW w:w="1559" w:type="dxa"/>
            <w:tcBorders>
              <w:top w:val="single" w:sz="4" w:space="0" w:color="44B3E1"/>
              <w:left w:val="nil"/>
              <w:bottom w:val="single" w:sz="4" w:space="0" w:color="44B3E1"/>
              <w:right w:val="nil"/>
            </w:tcBorders>
            <w:shd w:val="clear" w:color="auto" w:fill="C0E6F5"/>
            <w:noWrap/>
            <w:hideMark/>
          </w:tcPr>
          <w:p w14:paraId="6C782C4D"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b/>
                <w:color w:val="000000"/>
                <w:sz w:val="20"/>
                <w:lang w:eastAsia="en-GB"/>
              </w:rPr>
            </w:pPr>
          </w:p>
        </w:tc>
        <w:tc>
          <w:tcPr>
            <w:tcW w:w="1559" w:type="dxa"/>
            <w:tcBorders>
              <w:top w:val="single" w:sz="4" w:space="0" w:color="44B3E1"/>
              <w:left w:val="nil"/>
              <w:bottom w:val="single" w:sz="4" w:space="0" w:color="44B3E1"/>
              <w:right w:val="single" w:sz="4" w:space="0" w:color="44B3E1"/>
            </w:tcBorders>
            <w:shd w:val="clear" w:color="auto" w:fill="C0E6F5"/>
            <w:noWrap/>
            <w:hideMark/>
          </w:tcPr>
          <w:p w14:paraId="59486415"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b/>
                <w:color w:val="000000"/>
                <w:sz w:val="20"/>
                <w:lang w:eastAsia="en-GB"/>
              </w:rPr>
            </w:pPr>
            <w:r w:rsidRPr="0019308A">
              <w:rPr>
                <w:rFonts w:cstheme="minorHAnsi"/>
                <w:b/>
                <w:color w:val="000000"/>
                <w:sz w:val="20"/>
                <w:lang w:eastAsia="en-GB"/>
              </w:rPr>
              <w:t>19.32%</w:t>
            </w:r>
          </w:p>
        </w:tc>
      </w:tr>
      <w:tr w:rsidR="003367B1" w:rsidRPr="008015B8" w14:paraId="4D9F6751" w14:textId="77777777" w:rsidTr="2C7640F5">
        <w:trPr>
          <w:trHeight w:val="6000"/>
        </w:trPr>
        <w:tc>
          <w:tcPr>
            <w:tcW w:w="2127" w:type="dxa"/>
            <w:tcBorders>
              <w:top w:val="single" w:sz="4" w:space="0" w:color="44B3E1"/>
              <w:left w:val="single" w:sz="4" w:space="0" w:color="44B3E1"/>
              <w:bottom w:val="single" w:sz="4" w:space="0" w:color="44B3E1"/>
              <w:right w:val="nil"/>
            </w:tcBorders>
            <w:noWrap/>
            <w:hideMark/>
          </w:tcPr>
          <w:p w14:paraId="7841EAF3"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left"/>
              <w:textAlignment w:val="auto"/>
              <w:rPr>
                <w:rFonts w:cstheme="minorHAnsi"/>
                <w:b/>
                <w:color w:val="000000"/>
                <w:sz w:val="20"/>
                <w:lang w:eastAsia="en-GB"/>
              </w:rPr>
            </w:pPr>
            <w:r w:rsidRPr="0019308A">
              <w:rPr>
                <w:rFonts w:cstheme="minorHAnsi"/>
                <w:b/>
                <w:color w:val="000000"/>
                <w:sz w:val="20"/>
                <w:lang w:eastAsia="en-GB"/>
              </w:rPr>
              <w:t>Cybersecurity</w:t>
            </w:r>
          </w:p>
        </w:tc>
        <w:tc>
          <w:tcPr>
            <w:tcW w:w="3260" w:type="dxa"/>
            <w:tcBorders>
              <w:top w:val="single" w:sz="4" w:space="0" w:color="44B3E1"/>
              <w:left w:val="nil"/>
              <w:bottom w:val="single" w:sz="4" w:space="0" w:color="44B3E1"/>
              <w:right w:val="nil"/>
            </w:tcBorders>
            <w:hideMark/>
          </w:tcPr>
          <w:p w14:paraId="13DF7639" w14:textId="727B3CD5" w:rsidR="00527B11" w:rsidRPr="0019308A" w:rsidRDefault="00527B11" w:rsidP="00527B11">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19308A">
              <w:rPr>
                <w:rFonts w:cstheme="minorHAnsi"/>
                <w:color w:val="000000"/>
                <w:sz w:val="20"/>
                <w:lang w:eastAsia="en-GB"/>
              </w:rPr>
              <w:t>• Increased literacy and awareness of cybersecurity issues</w:t>
            </w:r>
            <w:r w:rsidRPr="0019308A">
              <w:rPr>
                <w:rFonts w:cstheme="minorHAnsi"/>
                <w:color w:val="000000"/>
                <w:sz w:val="20"/>
                <w:lang w:eastAsia="en-GB"/>
              </w:rPr>
              <w:br/>
              <w:t>• Strengthened capacity to respond to cyber incidents and cyberattacks</w:t>
            </w:r>
            <w:r w:rsidRPr="0019308A">
              <w:rPr>
                <w:rFonts w:cstheme="minorHAnsi"/>
                <w:color w:val="000000"/>
                <w:sz w:val="20"/>
                <w:lang w:eastAsia="en-GB"/>
              </w:rPr>
              <w:br/>
              <w:t>• Increased child online protection</w:t>
            </w:r>
          </w:p>
        </w:tc>
        <w:tc>
          <w:tcPr>
            <w:tcW w:w="3119" w:type="dxa"/>
            <w:tcBorders>
              <w:top w:val="single" w:sz="4" w:space="0" w:color="44B3E1"/>
              <w:left w:val="nil"/>
              <w:bottom w:val="single" w:sz="4" w:space="0" w:color="44B3E1"/>
              <w:right w:val="nil"/>
            </w:tcBorders>
            <w:hideMark/>
          </w:tcPr>
          <w:p w14:paraId="00E8D3E9" w14:textId="13CFE12D" w:rsidR="00527B11" w:rsidRPr="0019308A" w:rsidRDefault="00527B11" w:rsidP="48BF70E2">
            <w:pPr>
              <w:tabs>
                <w:tab w:val="clear" w:pos="794"/>
                <w:tab w:val="clear" w:pos="1191"/>
                <w:tab w:val="clear" w:pos="1588"/>
                <w:tab w:val="clear" w:pos="1985"/>
              </w:tabs>
              <w:overflowPunct/>
              <w:autoSpaceDE/>
              <w:autoSpaceDN/>
              <w:adjustRightInd/>
              <w:spacing w:before="0"/>
              <w:jc w:val="left"/>
              <w:textAlignment w:val="auto"/>
              <w:rPr>
                <w:rFonts w:cstheme="minorHAnsi"/>
                <w:color w:val="000000" w:themeColor="text1"/>
                <w:sz w:val="20"/>
                <w:lang w:eastAsia="en-GB"/>
              </w:rPr>
            </w:pPr>
            <w:r w:rsidRPr="0019308A">
              <w:rPr>
                <w:rFonts w:cstheme="minorHAnsi"/>
                <w:color w:val="000000" w:themeColor="text1"/>
                <w:sz w:val="20"/>
                <w:lang w:eastAsia="en-GB"/>
              </w:rPr>
              <w:t>• Number of Member States having adopted cybersecurity strategies in their national development agenda</w:t>
            </w:r>
            <w:r>
              <w:br/>
            </w:r>
            <w:r w:rsidRPr="0019308A">
              <w:rPr>
                <w:rFonts w:cstheme="minorHAnsi"/>
                <w:color w:val="000000" w:themeColor="text1"/>
                <w:sz w:val="20"/>
                <w:lang w:eastAsia="en-GB"/>
              </w:rPr>
              <w:t xml:space="preserve">• Number of Member States with established </w:t>
            </w:r>
            <w:r w:rsidRPr="0019308A">
              <w:rPr>
                <w:rFonts w:cstheme="minorHAnsi"/>
                <w:sz w:val="20"/>
                <w:lang w:eastAsia="en-GB"/>
              </w:rPr>
              <w:t>computer incident response teams (CIRTs)</w:t>
            </w:r>
            <w:r>
              <w:br/>
            </w:r>
            <w:r w:rsidRPr="0019308A">
              <w:rPr>
                <w:rFonts w:cstheme="minorHAnsi"/>
                <w:sz w:val="20"/>
                <w:lang w:eastAsia="en-GB"/>
              </w:rPr>
              <w:t>• Percentage of Members States whose National CIRTS (or equivalent) is a member or participant in relevant regional or global cooperation initiatives</w:t>
            </w:r>
            <w:r>
              <w:br/>
            </w:r>
            <w:r w:rsidRPr="0019308A">
              <w:rPr>
                <w:rFonts w:cstheme="minorHAnsi"/>
                <w:sz w:val="20"/>
                <w:lang w:eastAsia="en-GB"/>
              </w:rPr>
              <w:t>• Number of Member States with a child online protection policy/strategy</w:t>
            </w:r>
            <w:r w:rsidR="27E0DC26" w:rsidRPr="0019308A">
              <w:rPr>
                <w:rFonts w:cstheme="minorHAnsi"/>
                <w:sz w:val="20"/>
                <w:lang w:eastAsia="en-GB"/>
              </w:rPr>
              <w:t xml:space="preserve"> </w:t>
            </w:r>
          </w:p>
          <w:p w14:paraId="7EC72B9D" w14:textId="1B4954FF" w:rsidR="00527B11" w:rsidRPr="0019308A" w:rsidRDefault="00527B11" w:rsidP="00527B11">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19308A">
              <w:rPr>
                <w:rFonts w:cstheme="minorHAnsi"/>
                <w:sz w:val="20"/>
                <w:lang w:eastAsia="en-GB"/>
              </w:rPr>
              <w:t>• Number of Member States with online child support systems identified (e.g., helplines, referral systems)</w:t>
            </w:r>
          </w:p>
        </w:tc>
        <w:tc>
          <w:tcPr>
            <w:tcW w:w="2268" w:type="dxa"/>
            <w:tcBorders>
              <w:top w:val="single" w:sz="4" w:space="0" w:color="44B3E1"/>
              <w:left w:val="nil"/>
              <w:bottom w:val="single" w:sz="4" w:space="0" w:color="44B3E1"/>
              <w:right w:val="nil"/>
            </w:tcBorders>
            <w:hideMark/>
          </w:tcPr>
          <w:p w14:paraId="39E12E1B"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19308A">
              <w:rPr>
                <w:rFonts w:cstheme="minorHAnsi"/>
                <w:color w:val="000000"/>
                <w:sz w:val="20"/>
                <w:lang w:eastAsia="en-GB"/>
              </w:rPr>
              <w:t>• Convening platforms</w:t>
            </w:r>
            <w:r w:rsidRPr="0019308A">
              <w:rPr>
                <w:rFonts w:cstheme="minorHAnsi"/>
                <w:color w:val="000000"/>
                <w:sz w:val="20"/>
                <w:lang w:eastAsia="en-GB"/>
              </w:rPr>
              <w:br/>
              <w:t xml:space="preserve">• Learning frameworks </w:t>
            </w:r>
            <w:r w:rsidRPr="0019308A">
              <w:rPr>
                <w:rFonts w:cstheme="minorHAnsi"/>
                <w:color w:val="000000"/>
                <w:sz w:val="20"/>
                <w:lang w:eastAsia="en-GB"/>
              </w:rPr>
              <w:br/>
              <w:t xml:space="preserve">• Model policies and strategies, toolkits </w:t>
            </w:r>
            <w:r w:rsidRPr="0019308A">
              <w:rPr>
                <w:rFonts w:cstheme="minorHAnsi"/>
                <w:color w:val="000000"/>
                <w:sz w:val="20"/>
                <w:lang w:eastAsia="en-GB"/>
              </w:rPr>
              <w:br/>
              <w:t>• Technical interventions</w:t>
            </w:r>
            <w:r w:rsidRPr="0019308A">
              <w:rPr>
                <w:rFonts w:cstheme="minorHAnsi"/>
                <w:color w:val="000000"/>
                <w:sz w:val="20"/>
                <w:lang w:eastAsia="en-GB"/>
              </w:rPr>
              <w:br/>
              <w:t xml:space="preserve">• Statistics </w:t>
            </w:r>
          </w:p>
        </w:tc>
        <w:tc>
          <w:tcPr>
            <w:tcW w:w="1559" w:type="dxa"/>
            <w:tcBorders>
              <w:top w:val="single" w:sz="4" w:space="0" w:color="44B3E1"/>
              <w:left w:val="nil"/>
              <w:bottom w:val="single" w:sz="4" w:space="0" w:color="44B3E1"/>
              <w:right w:val="nil"/>
            </w:tcBorders>
            <w:noWrap/>
            <w:hideMark/>
          </w:tcPr>
          <w:p w14:paraId="0EB29642"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19308A">
              <w:rPr>
                <w:rFonts w:cstheme="minorHAnsi"/>
                <w:color w:val="000000"/>
                <w:sz w:val="20"/>
                <w:lang w:eastAsia="en-GB"/>
              </w:rPr>
              <w:t>465,000</w:t>
            </w:r>
          </w:p>
        </w:tc>
        <w:tc>
          <w:tcPr>
            <w:tcW w:w="1559" w:type="dxa"/>
            <w:tcBorders>
              <w:top w:val="single" w:sz="4" w:space="0" w:color="44B3E1"/>
              <w:left w:val="nil"/>
              <w:bottom w:val="single" w:sz="4" w:space="0" w:color="44B3E1"/>
              <w:right w:val="nil"/>
            </w:tcBorders>
            <w:noWrap/>
            <w:hideMark/>
          </w:tcPr>
          <w:p w14:paraId="743B0A49"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19308A">
              <w:rPr>
                <w:rFonts w:cstheme="minorHAnsi"/>
                <w:color w:val="000000"/>
                <w:sz w:val="20"/>
                <w:lang w:eastAsia="en-GB"/>
              </w:rPr>
              <w:t>63.1%</w:t>
            </w:r>
          </w:p>
        </w:tc>
        <w:tc>
          <w:tcPr>
            <w:tcW w:w="1559" w:type="dxa"/>
            <w:tcBorders>
              <w:top w:val="single" w:sz="4" w:space="0" w:color="44B3E1"/>
              <w:left w:val="nil"/>
              <w:bottom w:val="single" w:sz="4" w:space="0" w:color="44B3E1"/>
              <w:right w:val="single" w:sz="4" w:space="0" w:color="44B3E1"/>
            </w:tcBorders>
            <w:noWrap/>
            <w:hideMark/>
          </w:tcPr>
          <w:p w14:paraId="18068816"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19308A">
              <w:rPr>
                <w:rFonts w:cstheme="minorHAnsi"/>
                <w:color w:val="000000"/>
                <w:sz w:val="20"/>
                <w:lang w:eastAsia="en-GB"/>
              </w:rPr>
              <w:t>12.2%</w:t>
            </w:r>
          </w:p>
        </w:tc>
      </w:tr>
      <w:tr w:rsidR="008A3381" w:rsidRPr="008015B8" w14:paraId="4545D7F7" w14:textId="77777777" w:rsidTr="2C7640F5">
        <w:trPr>
          <w:trHeight w:val="2700"/>
        </w:trPr>
        <w:tc>
          <w:tcPr>
            <w:tcW w:w="2127" w:type="dxa"/>
            <w:tcBorders>
              <w:top w:val="single" w:sz="4" w:space="0" w:color="44B3E1"/>
              <w:left w:val="single" w:sz="4" w:space="0" w:color="44B3E1"/>
              <w:bottom w:val="single" w:sz="4" w:space="0" w:color="44B3E1"/>
              <w:right w:val="nil"/>
            </w:tcBorders>
            <w:shd w:val="clear" w:color="auto" w:fill="C0E6F5"/>
            <w:noWrap/>
            <w:hideMark/>
          </w:tcPr>
          <w:p w14:paraId="774B7885"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left"/>
              <w:textAlignment w:val="auto"/>
              <w:rPr>
                <w:rFonts w:cstheme="minorHAnsi"/>
                <w:b/>
                <w:color w:val="000000"/>
                <w:sz w:val="20"/>
                <w:lang w:eastAsia="en-GB"/>
              </w:rPr>
            </w:pPr>
            <w:r w:rsidRPr="0019308A">
              <w:rPr>
                <w:rFonts w:cstheme="minorHAnsi"/>
                <w:b/>
                <w:color w:val="000000"/>
                <w:sz w:val="20"/>
                <w:lang w:eastAsia="en-GB"/>
              </w:rPr>
              <w:lastRenderedPageBreak/>
              <w:t>Digital inclusion</w:t>
            </w:r>
          </w:p>
        </w:tc>
        <w:tc>
          <w:tcPr>
            <w:tcW w:w="3260" w:type="dxa"/>
            <w:tcBorders>
              <w:top w:val="single" w:sz="4" w:space="0" w:color="44B3E1"/>
              <w:left w:val="nil"/>
              <w:bottom w:val="single" w:sz="4" w:space="0" w:color="44B3E1"/>
              <w:right w:val="nil"/>
            </w:tcBorders>
            <w:shd w:val="clear" w:color="auto" w:fill="C0E6F5"/>
            <w:hideMark/>
          </w:tcPr>
          <w:p w14:paraId="255B8E50"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19308A">
              <w:rPr>
                <w:rFonts w:cstheme="minorHAnsi"/>
                <w:color w:val="000000"/>
                <w:sz w:val="20"/>
                <w:lang w:eastAsia="en-GB"/>
              </w:rPr>
              <w:t>• Strengthened capacity of the ITU membership to develop strategies, policies and practices for digital inclusion and equity, in particular for the empowerment of women and girls, persons with disability</w:t>
            </w:r>
          </w:p>
        </w:tc>
        <w:tc>
          <w:tcPr>
            <w:tcW w:w="3119" w:type="dxa"/>
            <w:tcBorders>
              <w:top w:val="single" w:sz="4" w:space="0" w:color="44B3E1"/>
              <w:left w:val="nil"/>
              <w:bottom w:val="single" w:sz="4" w:space="0" w:color="44B3E1"/>
              <w:right w:val="nil"/>
            </w:tcBorders>
            <w:shd w:val="clear" w:color="auto" w:fill="C0E6F5"/>
            <w:hideMark/>
          </w:tcPr>
          <w:p w14:paraId="446F609D" w14:textId="7F04F225" w:rsidR="00527B11" w:rsidRPr="0019308A" w:rsidRDefault="310736E2" w:rsidP="2C7640F5">
            <w:pPr>
              <w:tabs>
                <w:tab w:val="clear" w:pos="794"/>
                <w:tab w:val="clear" w:pos="1191"/>
                <w:tab w:val="clear" w:pos="1588"/>
                <w:tab w:val="clear" w:pos="1985"/>
              </w:tabs>
              <w:overflowPunct/>
              <w:autoSpaceDE/>
              <w:autoSpaceDN/>
              <w:adjustRightInd/>
              <w:spacing w:before="0"/>
              <w:jc w:val="left"/>
              <w:textAlignment w:val="auto"/>
              <w:rPr>
                <w:rFonts w:cstheme="minorBidi"/>
                <w:color w:val="000000"/>
                <w:sz w:val="20"/>
                <w:lang w:eastAsia="en-GB"/>
              </w:rPr>
            </w:pPr>
            <w:r w:rsidRPr="0019308A">
              <w:rPr>
                <w:rFonts w:cstheme="minorBidi"/>
                <w:color w:val="000000" w:themeColor="text1"/>
                <w:sz w:val="20"/>
                <w:lang w:eastAsia="en-GB"/>
              </w:rPr>
              <w:t xml:space="preserve">• Number of Member States having developed </w:t>
            </w:r>
            <w:r w:rsidR="00527B11" w:rsidRPr="0019308A" w:rsidDel="310736E2">
              <w:rPr>
                <w:rFonts w:cstheme="minorBidi"/>
                <w:color w:val="000000" w:themeColor="text1"/>
                <w:sz w:val="20"/>
                <w:lang w:eastAsia="en-GB"/>
              </w:rPr>
              <w:t>a</w:t>
            </w:r>
            <w:r w:rsidRPr="0019308A">
              <w:rPr>
                <w:rFonts w:cstheme="minorBidi"/>
                <w:color w:val="000000" w:themeColor="text1"/>
                <w:sz w:val="20"/>
                <w:lang w:eastAsia="en-GB"/>
              </w:rPr>
              <w:t xml:space="preserve"> digital inclusion </w:t>
            </w:r>
            <w:r w:rsidR="00ED7239" w:rsidRPr="00ED7239">
              <w:rPr>
                <w:rFonts w:cstheme="minorBidi"/>
                <w:color w:val="000000" w:themeColor="text1"/>
                <w:sz w:val="20"/>
                <w:lang w:eastAsia="en-GB"/>
              </w:rPr>
              <w:t>policy</w:t>
            </w:r>
            <w:r w:rsidRPr="0019308A">
              <w:rPr>
                <w:rFonts w:cstheme="minorBidi"/>
                <w:color w:val="000000" w:themeColor="text1"/>
                <w:sz w:val="20"/>
                <w:lang w:eastAsia="en-GB"/>
              </w:rPr>
              <w:t xml:space="preserve"> and </w:t>
            </w:r>
            <w:r w:rsidR="001C0EA8" w:rsidRPr="001C0EA8">
              <w:rPr>
                <w:rFonts w:cstheme="minorBidi"/>
                <w:color w:val="000000" w:themeColor="text1"/>
                <w:sz w:val="20"/>
                <w:lang w:eastAsia="en-GB"/>
              </w:rPr>
              <w:t>strateg</w:t>
            </w:r>
            <w:r w:rsidR="00A61FB7">
              <w:rPr>
                <w:rFonts w:cstheme="minorBidi"/>
                <w:color w:val="000000" w:themeColor="text1"/>
                <w:sz w:val="20"/>
                <w:lang w:eastAsia="en-GB"/>
              </w:rPr>
              <w:t>y</w:t>
            </w:r>
            <w:r w:rsidRPr="00A61FB7">
              <w:rPr>
                <w:rFonts w:cstheme="minorBidi"/>
                <w:color w:val="000000" w:themeColor="text1"/>
                <w:sz w:val="20"/>
                <w:lang w:eastAsia="en-GB"/>
              </w:rPr>
              <w:t xml:space="preserve"> at national level</w:t>
            </w:r>
            <w:r w:rsidR="00527B11">
              <w:br/>
            </w:r>
            <w:r w:rsidRPr="0019308A">
              <w:rPr>
                <w:rFonts w:cstheme="minorBidi"/>
                <w:color w:val="000000" w:themeColor="text1"/>
                <w:sz w:val="20"/>
                <w:lang w:eastAsia="en-GB"/>
              </w:rPr>
              <w:t>• Number of Member States that have implemented digital inclusion initiatives within the past two years.</w:t>
            </w:r>
          </w:p>
        </w:tc>
        <w:tc>
          <w:tcPr>
            <w:tcW w:w="2268" w:type="dxa"/>
            <w:tcBorders>
              <w:top w:val="single" w:sz="4" w:space="0" w:color="44B3E1"/>
              <w:left w:val="nil"/>
              <w:bottom w:val="single" w:sz="4" w:space="0" w:color="44B3E1"/>
              <w:right w:val="nil"/>
            </w:tcBorders>
            <w:shd w:val="clear" w:color="auto" w:fill="C0E6F5"/>
            <w:hideMark/>
          </w:tcPr>
          <w:p w14:paraId="7FDA40CC"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left"/>
              <w:textAlignment w:val="auto"/>
              <w:rPr>
                <w:rFonts w:cstheme="minorHAnsi"/>
                <w:color w:val="000000"/>
                <w:sz w:val="20"/>
                <w:lang w:eastAsia="en-GB"/>
              </w:rPr>
            </w:pPr>
            <w:r w:rsidRPr="0019308A">
              <w:rPr>
                <w:rFonts w:cstheme="minorHAnsi"/>
                <w:color w:val="000000"/>
                <w:sz w:val="20"/>
                <w:lang w:eastAsia="en-GB"/>
              </w:rPr>
              <w:t xml:space="preserve">• Learning frameworks </w:t>
            </w:r>
            <w:r w:rsidRPr="0019308A">
              <w:rPr>
                <w:rFonts w:cstheme="minorHAnsi"/>
                <w:color w:val="000000"/>
                <w:sz w:val="20"/>
                <w:lang w:eastAsia="en-GB"/>
              </w:rPr>
              <w:br/>
              <w:t>• Convening platforms</w:t>
            </w:r>
            <w:r w:rsidRPr="0019308A">
              <w:rPr>
                <w:rFonts w:cstheme="minorHAnsi"/>
                <w:color w:val="000000"/>
                <w:sz w:val="20"/>
                <w:lang w:eastAsia="en-GB"/>
              </w:rPr>
              <w:br/>
              <w:t xml:space="preserve">• Model policies and strategies, toolkits </w:t>
            </w:r>
            <w:r w:rsidRPr="0019308A">
              <w:rPr>
                <w:rFonts w:cstheme="minorHAnsi"/>
                <w:color w:val="000000"/>
                <w:sz w:val="20"/>
                <w:lang w:eastAsia="en-GB"/>
              </w:rPr>
              <w:br/>
              <w:t>• Technical interventions</w:t>
            </w:r>
          </w:p>
        </w:tc>
        <w:tc>
          <w:tcPr>
            <w:tcW w:w="1559" w:type="dxa"/>
            <w:tcBorders>
              <w:top w:val="single" w:sz="4" w:space="0" w:color="44B3E1"/>
              <w:left w:val="nil"/>
              <w:bottom w:val="single" w:sz="4" w:space="0" w:color="44B3E1"/>
              <w:right w:val="nil"/>
            </w:tcBorders>
            <w:shd w:val="clear" w:color="auto" w:fill="C0E6F5"/>
            <w:noWrap/>
            <w:hideMark/>
          </w:tcPr>
          <w:p w14:paraId="72F4C32C"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19308A">
              <w:rPr>
                <w:rFonts w:cstheme="minorHAnsi"/>
                <w:color w:val="000000"/>
                <w:sz w:val="20"/>
                <w:lang w:eastAsia="en-GB"/>
              </w:rPr>
              <w:t>271,500</w:t>
            </w:r>
          </w:p>
        </w:tc>
        <w:tc>
          <w:tcPr>
            <w:tcW w:w="1559" w:type="dxa"/>
            <w:tcBorders>
              <w:top w:val="single" w:sz="4" w:space="0" w:color="44B3E1"/>
              <w:left w:val="nil"/>
              <w:bottom w:val="single" w:sz="4" w:space="0" w:color="44B3E1"/>
              <w:right w:val="nil"/>
            </w:tcBorders>
            <w:shd w:val="clear" w:color="auto" w:fill="C0E6F5"/>
            <w:noWrap/>
            <w:hideMark/>
          </w:tcPr>
          <w:p w14:paraId="32F072EF"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19308A">
              <w:rPr>
                <w:rFonts w:cstheme="minorHAnsi"/>
                <w:color w:val="000000"/>
                <w:sz w:val="20"/>
                <w:lang w:eastAsia="en-GB"/>
              </w:rPr>
              <w:t>36.9%</w:t>
            </w:r>
          </w:p>
        </w:tc>
        <w:tc>
          <w:tcPr>
            <w:tcW w:w="1559" w:type="dxa"/>
            <w:tcBorders>
              <w:top w:val="single" w:sz="4" w:space="0" w:color="44B3E1"/>
              <w:left w:val="nil"/>
              <w:bottom w:val="single" w:sz="4" w:space="0" w:color="44B3E1"/>
              <w:right w:val="single" w:sz="4" w:space="0" w:color="44B3E1"/>
            </w:tcBorders>
            <w:shd w:val="clear" w:color="auto" w:fill="C0E6F5"/>
            <w:noWrap/>
            <w:hideMark/>
          </w:tcPr>
          <w:p w14:paraId="4D760FB8" w14:textId="77777777" w:rsidR="00527B11" w:rsidRPr="0019308A" w:rsidRDefault="00527B11" w:rsidP="00527B11">
            <w:pPr>
              <w:tabs>
                <w:tab w:val="clear" w:pos="794"/>
                <w:tab w:val="clear" w:pos="1191"/>
                <w:tab w:val="clear" w:pos="1588"/>
                <w:tab w:val="clear" w:pos="1985"/>
              </w:tabs>
              <w:overflowPunct/>
              <w:autoSpaceDE/>
              <w:autoSpaceDN/>
              <w:adjustRightInd/>
              <w:spacing w:before="0"/>
              <w:jc w:val="center"/>
              <w:textAlignment w:val="auto"/>
              <w:rPr>
                <w:rFonts w:cstheme="minorHAnsi"/>
                <w:color w:val="000000"/>
                <w:sz w:val="20"/>
                <w:lang w:eastAsia="en-GB"/>
              </w:rPr>
            </w:pPr>
            <w:r w:rsidRPr="0019308A">
              <w:rPr>
                <w:rFonts w:cstheme="minorHAnsi"/>
                <w:color w:val="000000"/>
                <w:sz w:val="20"/>
                <w:lang w:eastAsia="en-GB"/>
              </w:rPr>
              <w:t>7.1%</w:t>
            </w:r>
          </w:p>
        </w:tc>
      </w:tr>
    </w:tbl>
    <w:p w14:paraId="68521A04" w14:textId="4FD5C41A" w:rsidR="00572DC5" w:rsidRPr="00DD188F" w:rsidRDefault="00572DC5" w:rsidP="00DD188F">
      <w:pPr>
        <w:pStyle w:val="Heading2"/>
        <w:numPr>
          <w:ilvl w:val="0"/>
          <w:numId w:val="13"/>
        </w:numPr>
        <w:tabs>
          <w:tab w:val="clear" w:pos="794"/>
          <w:tab w:val="left" w:pos="426"/>
        </w:tabs>
        <w:spacing w:before="120" w:after="120"/>
        <w:jc w:val="left"/>
        <w:rPr>
          <w:rFonts w:eastAsia="Calibri"/>
          <w:szCs w:val="24"/>
        </w:rPr>
      </w:pPr>
      <w:r w:rsidRPr="00DD188F">
        <w:rPr>
          <w:rFonts w:eastAsia="Calibri"/>
          <w:szCs w:val="24"/>
        </w:rPr>
        <w:t>Outputs</w:t>
      </w:r>
    </w:p>
    <w:p w14:paraId="63F0793E" w14:textId="24DD44DA" w:rsidR="00D4398D" w:rsidRPr="00D4398D" w:rsidRDefault="00CB3490" w:rsidP="007E097D">
      <w:pPr>
        <w:spacing w:after="120"/>
        <w:jc w:val="left"/>
      </w:pPr>
      <w:r>
        <w:t xml:space="preserve">To achieve the outcomes </w:t>
      </w:r>
      <w:r w:rsidR="306DD2F8">
        <w:t xml:space="preserve">established </w:t>
      </w:r>
      <w:r w:rsidR="00F56318">
        <w:t xml:space="preserve">by </w:t>
      </w:r>
      <w:r w:rsidR="00750D71">
        <w:t xml:space="preserve">WTDC-25 for </w:t>
      </w:r>
      <w:r w:rsidR="00B32383">
        <w:t>each</w:t>
      </w:r>
      <w:r w:rsidR="00750D71">
        <w:t xml:space="preserve"> </w:t>
      </w:r>
      <w:r w:rsidR="00F56318">
        <w:t xml:space="preserve">ITU-D </w:t>
      </w:r>
      <w:r w:rsidR="25E21153">
        <w:t>P</w:t>
      </w:r>
      <w:r w:rsidR="00750D71">
        <w:t>riority</w:t>
      </w:r>
      <w:r w:rsidR="00387519">
        <w:t xml:space="preserve"> </w:t>
      </w:r>
      <w:r>
        <w:t>a</w:t>
      </w:r>
      <w:r w:rsidR="00750D71">
        <w:t xml:space="preserve">rea, BDT will continue to develop </w:t>
      </w:r>
      <w:r w:rsidR="00B32383">
        <w:t xml:space="preserve">products </w:t>
      </w:r>
      <w:r w:rsidR="007514D9">
        <w:t xml:space="preserve">and </w:t>
      </w:r>
      <w:r w:rsidR="00750D71">
        <w:t xml:space="preserve">services </w:t>
      </w:r>
      <w:r w:rsidR="00B32383">
        <w:t xml:space="preserve">to support </w:t>
      </w:r>
      <w:r w:rsidR="00194171">
        <w:t xml:space="preserve">implementation </w:t>
      </w:r>
      <w:r w:rsidR="00194171" w:rsidRPr="00D4398D">
        <w:t>at</w:t>
      </w:r>
      <w:r w:rsidR="00D4398D" w:rsidRPr="00D4398D">
        <w:t xml:space="preserve"> the national, regional, and international levels. These</w:t>
      </w:r>
      <w:r w:rsidR="00B32383">
        <w:t xml:space="preserve"> products and services </w:t>
      </w:r>
      <w:r w:rsidR="00194171">
        <w:t>(</w:t>
      </w:r>
      <w:r w:rsidR="00194171" w:rsidRPr="00D4398D">
        <w:t>outputs</w:t>
      </w:r>
      <w:r w:rsidR="006715CA">
        <w:t>)</w:t>
      </w:r>
      <w:r w:rsidR="00D4398D" w:rsidRPr="00D4398D">
        <w:t xml:space="preserve"> are cross-cutting, contributing </w:t>
      </w:r>
      <w:r w:rsidR="4D179848">
        <w:t>collectivel</w:t>
      </w:r>
      <w:r w:rsidR="4FEE271B">
        <w:t xml:space="preserve">y to the achievement of </w:t>
      </w:r>
      <w:r w:rsidR="006715CA">
        <w:t>all</w:t>
      </w:r>
      <w:r w:rsidR="00D4398D" w:rsidRPr="00D4398D">
        <w:t xml:space="preserve"> priorities</w:t>
      </w:r>
      <w:r w:rsidR="006715CA">
        <w:t xml:space="preserve">. </w:t>
      </w:r>
    </w:p>
    <w:p w14:paraId="1B68352A" w14:textId="77777777" w:rsidR="00D4398D" w:rsidRPr="00D4398D" w:rsidRDefault="00D4398D" w:rsidP="007E097D">
      <w:pPr>
        <w:spacing w:after="120"/>
        <w:jc w:val="left"/>
      </w:pPr>
      <w:r w:rsidRPr="00D4398D">
        <w:t>Key categories of ITU-D outputs include:</w:t>
      </w:r>
    </w:p>
    <w:p w14:paraId="07CC467B" w14:textId="4486287A" w:rsidR="00D4398D" w:rsidRPr="00D4398D" w:rsidRDefault="44E60F26" w:rsidP="007E097D">
      <w:pPr>
        <w:numPr>
          <w:ilvl w:val="0"/>
          <w:numId w:val="12"/>
        </w:numPr>
        <w:spacing w:before="60" w:after="60"/>
        <w:ind w:left="714" w:hanging="357"/>
        <w:jc w:val="left"/>
      </w:pPr>
      <w:r w:rsidRPr="2C7640F5">
        <w:rPr>
          <w:b/>
          <w:bCs/>
        </w:rPr>
        <w:t>Model policies and strategies</w:t>
      </w:r>
      <w:r w:rsidR="00D4398D">
        <w:br/>
      </w:r>
      <w:r w:rsidR="2C59E66C">
        <w:t xml:space="preserve">BDT develops </w:t>
      </w:r>
      <w:r>
        <w:t xml:space="preserve">guidance </w:t>
      </w:r>
      <w:r w:rsidR="4D05F833">
        <w:t xml:space="preserve">and policy frameworks </w:t>
      </w:r>
      <w:r>
        <w:t xml:space="preserve">to </w:t>
      </w:r>
      <w:r w:rsidR="1FD893AA">
        <w:t xml:space="preserve">support </w:t>
      </w:r>
      <w:r w:rsidR="013B9E40">
        <w:t xml:space="preserve">Member </w:t>
      </w:r>
      <w:r w:rsidR="3E52DF0E">
        <w:t xml:space="preserve">States </w:t>
      </w:r>
      <w:r w:rsidR="34345A16">
        <w:t xml:space="preserve">in </w:t>
      </w:r>
      <w:r w:rsidR="00005C3C">
        <w:t>design</w:t>
      </w:r>
      <w:r w:rsidR="6BBDAB7F">
        <w:t>ing</w:t>
      </w:r>
      <w:r>
        <w:t xml:space="preserve"> </w:t>
      </w:r>
      <w:r w:rsidR="23BEFEA5">
        <w:t xml:space="preserve">tailored </w:t>
      </w:r>
      <w:r>
        <w:t xml:space="preserve">national </w:t>
      </w:r>
      <w:r w:rsidR="5ACCA801">
        <w:t xml:space="preserve">telecommunications/ICT </w:t>
      </w:r>
      <w:r>
        <w:t xml:space="preserve">frameworks and </w:t>
      </w:r>
      <w:r w:rsidR="452F870D">
        <w:t xml:space="preserve">strategic </w:t>
      </w:r>
      <w:r>
        <w:t>plans. Examples include</w:t>
      </w:r>
      <w:r w:rsidR="50914D18">
        <w:t xml:space="preserve">, but not limited </w:t>
      </w:r>
      <w:r w:rsidR="19C3AA60">
        <w:t>to, the</w:t>
      </w:r>
      <w:r>
        <w:t xml:space="preserve"> National </w:t>
      </w:r>
      <w:r w:rsidR="3C8C0CB5">
        <w:t>Emergency</w:t>
      </w:r>
      <w:r w:rsidR="6CA6FE15">
        <w:t xml:space="preserve"> </w:t>
      </w:r>
      <w:r w:rsidR="3E52DF0E">
        <w:t xml:space="preserve">Telecommunication Plans </w:t>
      </w:r>
      <w:r>
        <w:t>(NETP</w:t>
      </w:r>
      <w:r w:rsidR="56534C68">
        <w:t>s</w:t>
      </w:r>
      <w:r>
        <w:t>)</w:t>
      </w:r>
      <w:r w:rsidR="3E52DF0E">
        <w:t xml:space="preserve">, </w:t>
      </w:r>
      <w:r w:rsidR="002D41EF">
        <w:t xml:space="preserve">innovation playbooks, </w:t>
      </w:r>
      <w:r w:rsidR="7B0BED35">
        <w:t xml:space="preserve">broadcasting guidelines and </w:t>
      </w:r>
      <w:r w:rsidR="74954FCB">
        <w:t xml:space="preserve">strategies, </w:t>
      </w:r>
      <w:r w:rsidR="49620ADD">
        <w:t>n</w:t>
      </w:r>
      <w:r w:rsidR="74954FCB">
        <w:t xml:space="preserve">ational </w:t>
      </w:r>
      <w:r w:rsidR="49620ADD">
        <w:t>c</w:t>
      </w:r>
      <w:r w:rsidR="74954FCB">
        <w:t xml:space="preserve">ybersecurity </w:t>
      </w:r>
      <w:r w:rsidR="49620ADD">
        <w:t>s</w:t>
      </w:r>
      <w:r w:rsidR="74954FCB">
        <w:t>trategies,</w:t>
      </w:r>
      <w:r w:rsidR="78F311F6">
        <w:t xml:space="preserve"> </w:t>
      </w:r>
      <w:r w:rsidR="5D07A78C">
        <w:t xml:space="preserve">digital inclusion policy guidelines and </w:t>
      </w:r>
      <w:r w:rsidR="1083CB69">
        <w:t xml:space="preserve">national </w:t>
      </w:r>
      <w:r w:rsidR="5D07A78C">
        <w:t xml:space="preserve">strategies, </w:t>
      </w:r>
      <w:r>
        <w:t>regulatory</w:t>
      </w:r>
      <w:r w:rsidR="3E52DF0E">
        <w:t xml:space="preserve"> policy guidance</w:t>
      </w:r>
      <w:r w:rsidR="127F2574">
        <w:t xml:space="preserve">, </w:t>
      </w:r>
      <w:r>
        <w:t xml:space="preserve">and policy recommendations that support digital transformation and </w:t>
      </w:r>
      <w:r w:rsidR="3E52DF0E">
        <w:t>investment, etc.</w:t>
      </w:r>
    </w:p>
    <w:p w14:paraId="42B89554" w14:textId="69CBAD27" w:rsidR="00D4398D" w:rsidRPr="00D4398D" w:rsidRDefault="44E60F26" w:rsidP="007E097D">
      <w:pPr>
        <w:numPr>
          <w:ilvl w:val="0"/>
          <w:numId w:val="12"/>
        </w:numPr>
        <w:spacing w:before="60" w:after="60"/>
        <w:ind w:left="714" w:hanging="357"/>
        <w:jc w:val="left"/>
      </w:pPr>
      <w:r w:rsidRPr="2C7640F5">
        <w:rPr>
          <w:b/>
          <w:bCs/>
        </w:rPr>
        <w:t>Toolkits and analytical tools</w:t>
      </w:r>
      <w:r w:rsidR="00D4398D">
        <w:br/>
      </w:r>
      <w:r w:rsidR="09BE40C4">
        <w:t xml:space="preserve">BDT provides </w:t>
      </w:r>
      <w:r w:rsidR="2CC100BA">
        <w:t>p</w:t>
      </w:r>
      <w:r w:rsidR="00D4398D">
        <w:t>ractical</w:t>
      </w:r>
      <w:r>
        <w:t xml:space="preserve"> tools </w:t>
      </w:r>
      <w:r w:rsidR="4DBCBADB">
        <w:t xml:space="preserve">and digital platforms </w:t>
      </w:r>
      <w:r w:rsidR="1F0E6D83">
        <w:t xml:space="preserve">to </w:t>
      </w:r>
      <w:r>
        <w:t xml:space="preserve">support planning, </w:t>
      </w:r>
      <w:r w:rsidR="03007441">
        <w:t xml:space="preserve">infrastructure deployment, policy </w:t>
      </w:r>
      <w:r>
        <w:t xml:space="preserve">assessment, and decision-making. Examples include </w:t>
      </w:r>
      <w:r w:rsidR="203C9004">
        <w:t>the</w:t>
      </w:r>
      <w:r w:rsidR="00D4398D">
        <w:t xml:space="preserve"> </w:t>
      </w:r>
      <w:r w:rsidR="69241A71">
        <w:t>Connectivity Planning Platform (CPP)</w:t>
      </w:r>
      <w:r w:rsidR="5F4D75F4">
        <w:t xml:space="preserve"> </w:t>
      </w:r>
      <w:r w:rsidR="69241A71">
        <w:t xml:space="preserve">and </w:t>
      </w:r>
      <w:r w:rsidR="0121C510">
        <w:t>broa</w:t>
      </w:r>
      <w:r w:rsidR="4184B1FF">
        <w:t xml:space="preserve">dband </w:t>
      </w:r>
      <w:r w:rsidR="00E53FE8">
        <w:t>m</w:t>
      </w:r>
      <w:r w:rsidR="4CEBCD32">
        <w:t>aps</w:t>
      </w:r>
      <w:r w:rsidR="00D4398D" w:rsidRPr="00D4398D">
        <w:t>,</w:t>
      </w:r>
      <w:r w:rsidR="0F46D712">
        <w:t xml:space="preserve"> </w:t>
      </w:r>
      <w:r>
        <w:t>which provide geospatial</w:t>
      </w:r>
      <w:r w:rsidR="4AF1F6A1">
        <w:t xml:space="preserve">, </w:t>
      </w:r>
      <w:r w:rsidR="009772CC">
        <w:t xml:space="preserve">innovation toolkits, </w:t>
      </w:r>
      <w:r w:rsidR="4AF1F6A1">
        <w:t xml:space="preserve">infrastructure </w:t>
      </w:r>
      <w:r w:rsidR="00E53FE8">
        <w:t>visualisation</w:t>
      </w:r>
      <w:r w:rsidR="4AF1F6A1">
        <w:t xml:space="preserve">, connectivity </w:t>
      </w:r>
      <w:r w:rsidR="00D4398D" w:rsidDel="4AF1F6A1">
        <w:t>modelling,</w:t>
      </w:r>
      <w:r w:rsidR="00D4398D" w:rsidDel="44E60F26">
        <w:t xml:space="preserve"> and</w:t>
      </w:r>
      <w:r>
        <w:t xml:space="preserve"> statistical insights for infrastructure planning and investment decisions,</w:t>
      </w:r>
      <w:r w:rsidR="15E758E7">
        <w:t xml:space="preserve"> </w:t>
      </w:r>
      <w:r w:rsidR="42DA454D">
        <w:t xml:space="preserve">digital accessibility toolkits to advance digital inclusion </w:t>
      </w:r>
      <w:r w:rsidR="358DB42C">
        <w:t xml:space="preserve">for all people </w:t>
      </w:r>
      <w:r>
        <w:t xml:space="preserve">as well as other digital </w:t>
      </w:r>
      <w:r w:rsidR="68C0D0FF">
        <w:t xml:space="preserve">ecosystem </w:t>
      </w:r>
      <w:r>
        <w:t>planning and regulatory toolkits.</w:t>
      </w:r>
    </w:p>
    <w:p w14:paraId="3E459DA5" w14:textId="45BEB365" w:rsidR="00D4398D" w:rsidRPr="00D4398D" w:rsidRDefault="44E60F26" w:rsidP="007E097D">
      <w:pPr>
        <w:numPr>
          <w:ilvl w:val="0"/>
          <w:numId w:val="12"/>
        </w:numPr>
        <w:spacing w:before="60" w:after="60"/>
        <w:ind w:left="714" w:hanging="357"/>
        <w:jc w:val="left"/>
      </w:pPr>
      <w:r w:rsidRPr="2C7640F5">
        <w:rPr>
          <w:b/>
          <w:bCs/>
        </w:rPr>
        <w:t>Convening platforms</w:t>
      </w:r>
      <w:r w:rsidR="00D4398D">
        <w:br/>
      </w:r>
      <w:r w:rsidR="0BEC6889">
        <w:t>BDT</w:t>
      </w:r>
      <w:r>
        <w:t xml:space="preserve"> organizes </w:t>
      </w:r>
      <w:r w:rsidR="19D1B6C7">
        <w:t xml:space="preserve">global and </w:t>
      </w:r>
      <w:r>
        <w:t>regional</w:t>
      </w:r>
      <w:r w:rsidR="708B69D8">
        <w:t xml:space="preserve">, forums, </w:t>
      </w:r>
      <w:r w:rsidR="63051FE7">
        <w:t xml:space="preserve">including </w:t>
      </w:r>
      <w:r>
        <w:t xml:space="preserve">multi-stakeholder </w:t>
      </w:r>
      <w:r w:rsidR="7891A3B9">
        <w:t xml:space="preserve">and </w:t>
      </w:r>
      <w:r>
        <w:t>dialogues that</w:t>
      </w:r>
      <w:r w:rsidR="00D4398D">
        <w:t xml:space="preserve"> </w:t>
      </w:r>
      <w:r w:rsidR="772A39EA">
        <w:t xml:space="preserve">facilitate </w:t>
      </w:r>
      <w:r>
        <w:t xml:space="preserve">knowledge exchange, </w:t>
      </w:r>
      <w:r w:rsidR="00D4398D" w:rsidRPr="00D4398D">
        <w:t>partnership</w:t>
      </w:r>
      <w:r w:rsidR="4F941B1C">
        <w:t xml:space="preserve"> development</w:t>
      </w:r>
      <w:r>
        <w:t xml:space="preserve">, and coordination among governments, industry, </w:t>
      </w:r>
      <w:r w:rsidR="2DB16ABE">
        <w:t xml:space="preserve">and </w:t>
      </w:r>
      <w:r>
        <w:t>development partners</w:t>
      </w:r>
      <w:r w:rsidR="5A8F9F6A">
        <w:t>.</w:t>
      </w:r>
      <w:r w:rsidR="28091953">
        <w:t xml:space="preserve"> </w:t>
      </w:r>
      <w:r w:rsidR="7E78276B">
        <w:t>Examples include</w:t>
      </w:r>
      <w:r w:rsidR="5C7F9757">
        <w:t xml:space="preserve"> the</w:t>
      </w:r>
      <w:r w:rsidR="7E78276B">
        <w:t xml:space="preserve"> Global </w:t>
      </w:r>
      <w:r w:rsidR="3F3F0B9E">
        <w:t xml:space="preserve">Symposium for </w:t>
      </w:r>
      <w:r w:rsidR="3F3F0B9E">
        <w:lastRenderedPageBreak/>
        <w:t>Regulators</w:t>
      </w:r>
      <w:r w:rsidR="0C385B3A">
        <w:t xml:space="preserve"> (GSR)</w:t>
      </w:r>
      <w:r w:rsidR="3F3F0B9E">
        <w:t>, Global Innovation Forum</w:t>
      </w:r>
      <w:r w:rsidR="0C385B3A">
        <w:t xml:space="preserve"> (GIF)</w:t>
      </w:r>
      <w:r w:rsidR="3F3F0B9E">
        <w:t xml:space="preserve">, Digital Skills </w:t>
      </w:r>
      <w:r w:rsidR="56E64E07">
        <w:t>Forum (</w:t>
      </w:r>
      <w:r w:rsidR="0C385B3A">
        <w:t>DSF)</w:t>
      </w:r>
      <w:r w:rsidR="3F3F0B9E">
        <w:t xml:space="preserve">, Regional Development </w:t>
      </w:r>
      <w:r w:rsidR="008551CE">
        <w:t>Forum</w:t>
      </w:r>
      <w:r w:rsidR="47B7A38D">
        <w:t>s</w:t>
      </w:r>
      <w:r w:rsidR="0C385B3A">
        <w:t xml:space="preserve"> (RDF)</w:t>
      </w:r>
      <w:r w:rsidR="3F3F0B9E">
        <w:t xml:space="preserve">, </w:t>
      </w:r>
      <w:r w:rsidR="0C385B3A">
        <w:t>World Telecommunication/ICT Indicators Symposium (WTIS)</w:t>
      </w:r>
      <w:r w:rsidR="28960A31">
        <w:t xml:space="preserve">, </w:t>
      </w:r>
      <w:r w:rsidR="1AC3A89C">
        <w:t>Accessible Regional – ICT for ALL events</w:t>
      </w:r>
      <w:r w:rsidR="63E44BD6">
        <w:t>,</w:t>
      </w:r>
      <w:r w:rsidR="28960A31">
        <w:t xml:space="preserve"> </w:t>
      </w:r>
      <w:r w:rsidR="3F3F0B9E">
        <w:t xml:space="preserve">etc. </w:t>
      </w:r>
    </w:p>
    <w:p w14:paraId="0FBD8C86" w14:textId="3FF4F7B1" w:rsidR="00D4398D" w:rsidRPr="00D4398D" w:rsidRDefault="58636872" w:rsidP="007E097D">
      <w:pPr>
        <w:numPr>
          <w:ilvl w:val="0"/>
          <w:numId w:val="12"/>
        </w:numPr>
        <w:spacing w:before="60" w:after="60"/>
        <w:ind w:left="714" w:hanging="357"/>
        <w:jc w:val="left"/>
      </w:pPr>
      <w:r w:rsidRPr="29D29DC7">
        <w:rPr>
          <w:b/>
          <w:bCs/>
        </w:rPr>
        <w:t>Learning frameworks and capacity-development resources</w:t>
      </w:r>
      <w:r w:rsidR="44E60F26">
        <w:br/>
      </w:r>
      <w:r w:rsidR="7B3483DF">
        <w:t>BDT</w:t>
      </w:r>
      <w:r>
        <w:t xml:space="preserve"> provides </w:t>
      </w:r>
      <w:r w:rsidR="55928FD3">
        <w:t xml:space="preserve">in-person training activities, </w:t>
      </w:r>
      <w:r w:rsidR="2B3A987E">
        <w:t>on-line self-paced</w:t>
      </w:r>
      <w:r w:rsidR="68675FC6">
        <w:t xml:space="preserve">, or tutor led </w:t>
      </w:r>
      <w:r>
        <w:t>structured training programmes</w:t>
      </w:r>
      <w:r w:rsidR="00299D72">
        <w:t xml:space="preserve"> and</w:t>
      </w:r>
      <w:r>
        <w:t xml:space="preserve"> courses</w:t>
      </w:r>
      <w:r w:rsidR="506A55A6">
        <w:t xml:space="preserve"> through its capacity building </w:t>
      </w:r>
      <w:r w:rsidR="577ECA16">
        <w:t>initiatives and</w:t>
      </w:r>
      <w:r>
        <w:t xml:space="preserve"> </w:t>
      </w:r>
      <w:r w:rsidR="4BB4900A">
        <w:t>develop</w:t>
      </w:r>
      <w:r w:rsidR="035A4E59">
        <w:t>s</w:t>
      </w:r>
      <w:r w:rsidR="4BB4900A">
        <w:t xml:space="preserve"> </w:t>
      </w:r>
      <w:r>
        <w:t>knowledge resources</w:t>
      </w:r>
      <w:r w:rsidR="52085F68">
        <w:t xml:space="preserve"> including thematic reports</w:t>
      </w:r>
      <w:r w:rsidR="36949F9B">
        <w:t xml:space="preserve"> and </w:t>
      </w:r>
      <w:r w:rsidR="52085F68">
        <w:t xml:space="preserve">toolkits </w:t>
      </w:r>
      <w:r>
        <w:t xml:space="preserve">helping policymakers, regulators, and practitioners </w:t>
      </w:r>
      <w:r w:rsidR="0B6DE098">
        <w:t xml:space="preserve">to </w:t>
      </w:r>
      <w:r w:rsidR="315930AD">
        <w:t>strengthen</w:t>
      </w:r>
      <w:r w:rsidR="28906B6E">
        <w:t xml:space="preserve"> both</w:t>
      </w:r>
      <w:r w:rsidR="315930AD">
        <w:t xml:space="preserve"> </w:t>
      </w:r>
      <w:r w:rsidR="57BB44DC">
        <w:t xml:space="preserve">individual and </w:t>
      </w:r>
      <w:r>
        <w:t>institutional skills.</w:t>
      </w:r>
      <w:r w:rsidR="62341766">
        <w:t xml:space="preserve"> These include </w:t>
      </w:r>
      <w:r w:rsidR="5FEEB3B9">
        <w:t xml:space="preserve">the learning frameworks developed by the Digital Transformation Lab, </w:t>
      </w:r>
      <w:r w:rsidR="62341766">
        <w:t xml:space="preserve">ITU Academy </w:t>
      </w:r>
      <w:r w:rsidR="4BEB37E7">
        <w:t xml:space="preserve">courses </w:t>
      </w:r>
      <w:r w:rsidR="62341766">
        <w:t xml:space="preserve">and other </w:t>
      </w:r>
      <w:r w:rsidR="358F2705">
        <w:t xml:space="preserve">learning mechanisms, </w:t>
      </w:r>
      <w:r w:rsidR="4BEB37E7">
        <w:t xml:space="preserve">workshops, </w:t>
      </w:r>
      <w:r w:rsidR="3DEDFBE7">
        <w:t xml:space="preserve">executive training sessions </w:t>
      </w:r>
      <w:r w:rsidR="569EE560">
        <w:t xml:space="preserve">etc. </w:t>
      </w:r>
    </w:p>
    <w:p w14:paraId="75C4B264" w14:textId="7F11EF32" w:rsidR="00D4398D" w:rsidRPr="00E26499" w:rsidRDefault="00D4398D" w:rsidP="007E097D">
      <w:pPr>
        <w:numPr>
          <w:ilvl w:val="0"/>
          <w:numId w:val="12"/>
        </w:numPr>
        <w:spacing w:before="60" w:after="60"/>
        <w:ind w:left="714" w:hanging="357"/>
        <w:jc w:val="left"/>
      </w:pPr>
      <w:r w:rsidRPr="00D4398D">
        <w:rPr>
          <w:b/>
          <w:bCs/>
        </w:rPr>
        <w:t>Statistics, research, and knowledge products</w:t>
      </w:r>
      <w:r w:rsidRPr="00D4398D">
        <w:br/>
      </w:r>
      <w:r w:rsidR="008E0FD7">
        <w:t>BDT</w:t>
      </w:r>
      <w:r w:rsidRPr="00D4398D">
        <w:t xml:space="preserve"> produces data, indicators, and analytical publications that support evidence-based decision-making. Examples include </w:t>
      </w:r>
      <w:r w:rsidRPr="00E26499">
        <w:t xml:space="preserve">ICT indicators, </w:t>
      </w:r>
      <w:r w:rsidR="008551CE" w:rsidRPr="00E26499">
        <w:t xml:space="preserve">Digital Innovation Profiles, </w:t>
      </w:r>
      <w:r w:rsidR="006F3655">
        <w:t>strategic foresight re</w:t>
      </w:r>
      <w:r w:rsidR="00193749">
        <w:t>ports</w:t>
      </w:r>
      <w:r w:rsidR="006F3655">
        <w:t xml:space="preserve">, </w:t>
      </w:r>
      <w:r w:rsidR="668E7654">
        <w:t xml:space="preserve">Collaborative Regulation Country Reviews, the Digital Regulation Platform, </w:t>
      </w:r>
      <w:r w:rsidR="00112704">
        <w:t>t</w:t>
      </w:r>
      <w:r w:rsidR="00112704" w:rsidRPr="00112704">
        <w:t>he Global E-waste Monitor</w:t>
      </w:r>
      <w:r w:rsidR="00112704">
        <w:t>,</w:t>
      </w:r>
      <w:r w:rsidR="00112704" w:rsidRPr="00112704">
        <w:t xml:space="preserve"> </w:t>
      </w:r>
      <w:r w:rsidRPr="00E26499">
        <w:t xml:space="preserve">and </w:t>
      </w:r>
      <w:r w:rsidR="00AF7CE7">
        <w:t xml:space="preserve">other </w:t>
      </w:r>
      <w:r w:rsidR="00112704">
        <w:t>various</w:t>
      </w:r>
      <w:r w:rsidR="00AF7CE7">
        <w:t xml:space="preserve"> </w:t>
      </w:r>
      <w:r w:rsidRPr="00E26499">
        <w:t>thematic studies that assess national digital ecosystems and innovation capacity.</w:t>
      </w:r>
    </w:p>
    <w:p w14:paraId="659EEA8A" w14:textId="3BD3E8EA" w:rsidR="00B8372C" w:rsidRDefault="44E60F26" w:rsidP="007E097D">
      <w:pPr>
        <w:numPr>
          <w:ilvl w:val="0"/>
          <w:numId w:val="12"/>
        </w:numPr>
        <w:spacing w:before="60" w:after="60"/>
        <w:ind w:left="714" w:hanging="357"/>
        <w:jc w:val="left"/>
      </w:pPr>
      <w:r w:rsidRPr="2C7640F5">
        <w:rPr>
          <w:b/>
          <w:bCs/>
        </w:rPr>
        <w:t>Technical interventions and implementation support</w:t>
      </w:r>
      <w:r w:rsidR="008D599C">
        <w:br/>
      </w:r>
      <w:r w:rsidR="0BEC6889">
        <w:t>BDT</w:t>
      </w:r>
      <w:r>
        <w:t xml:space="preserve"> </w:t>
      </w:r>
      <w:r w:rsidR="0B0B4F6D">
        <w:t xml:space="preserve">provides </w:t>
      </w:r>
      <w:r>
        <w:t xml:space="preserve">direct technical assistance, </w:t>
      </w:r>
      <w:r w:rsidR="1C0B2EED">
        <w:t xml:space="preserve">advisory services and </w:t>
      </w:r>
      <w:r w:rsidR="7675BEB4">
        <w:t>pilot</w:t>
      </w:r>
      <w:r>
        <w:t xml:space="preserve"> </w:t>
      </w:r>
      <w:r w:rsidR="1E1249EC">
        <w:t>initiatives</w:t>
      </w:r>
      <w:r>
        <w:t xml:space="preserve"> to support countries in implementing </w:t>
      </w:r>
      <w:r w:rsidR="5AF0AD38">
        <w:t xml:space="preserve">national ICT </w:t>
      </w:r>
      <w:r>
        <w:t>policies</w:t>
      </w:r>
      <w:r w:rsidR="395990CF">
        <w:t xml:space="preserve"> and</w:t>
      </w:r>
      <w:r>
        <w:t xml:space="preserve"> </w:t>
      </w:r>
      <w:r w:rsidR="25A217A3">
        <w:t>strategies</w:t>
      </w:r>
      <w:r w:rsidR="2F389754">
        <w:t>. These interventions help Member Stat</w:t>
      </w:r>
      <w:r w:rsidR="4470B02B">
        <w:t>e</w:t>
      </w:r>
      <w:r w:rsidR="2F389754">
        <w:t xml:space="preserve">s to </w:t>
      </w:r>
      <w:r w:rsidR="202C09D7">
        <w:t xml:space="preserve">deploy </w:t>
      </w:r>
      <w:r>
        <w:t xml:space="preserve">infrastructure, </w:t>
      </w:r>
      <w:r w:rsidR="7E296EAF">
        <w:t xml:space="preserve">advance </w:t>
      </w:r>
      <w:r w:rsidR="70E24501">
        <w:t>digital inclusion,</w:t>
      </w:r>
      <w:r w:rsidR="0DA5C8CC">
        <w:t xml:space="preserve"> </w:t>
      </w:r>
      <w:r w:rsidR="00E45765">
        <w:t>nurture</w:t>
      </w:r>
      <w:r w:rsidR="00C6213C">
        <w:t xml:space="preserve"> digital innovation</w:t>
      </w:r>
      <w:r w:rsidR="00E45765">
        <w:t xml:space="preserve"> </w:t>
      </w:r>
      <w:r w:rsidR="7AA6EEB2">
        <w:t>environments</w:t>
      </w:r>
      <w:r w:rsidR="00C6213C">
        <w:t xml:space="preserve">, </w:t>
      </w:r>
      <w:r>
        <w:t>strengthen cybersecurity</w:t>
      </w:r>
      <w:r w:rsidR="34FB5279">
        <w:t xml:space="preserve"> and digital service</w:t>
      </w:r>
      <w:r w:rsidR="5AED7AC3">
        <w:t>s</w:t>
      </w:r>
      <w:r w:rsidR="34FB5279">
        <w:t xml:space="preserve"> delivery</w:t>
      </w:r>
      <w:r>
        <w:t xml:space="preserve"> </w:t>
      </w:r>
      <w:r w:rsidR="7C3A7541">
        <w:t xml:space="preserve">to </w:t>
      </w:r>
      <w:r>
        <w:t>advanc</w:t>
      </w:r>
      <w:r w:rsidR="7588DBAF">
        <w:t>e</w:t>
      </w:r>
      <w:r>
        <w:t xml:space="preserve"> </w:t>
      </w:r>
      <w:r w:rsidR="58F1EBF1">
        <w:t xml:space="preserve">an </w:t>
      </w:r>
      <w:r w:rsidR="1CB37C50">
        <w:t xml:space="preserve">inclusive </w:t>
      </w:r>
      <w:r>
        <w:t>digital</w:t>
      </w:r>
      <w:r w:rsidR="5E541773">
        <w:t xml:space="preserve"> </w:t>
      </w:r>
      <w:r w:rsidR="487EE7AC">
        <w:t>transformation</w:t>
      </w:r>
      <w:r w:rsidR="23BA78D7">
        <w:t>.</w:t>
      </w:r>
    </w:p>
    <w:p w14:paraId="67B06BBC" w14:textId="5F71F3D5" w:rsidR="00B8372C" w:rsidRDefault="662D2D6E" w:rsidP="007E097D">
      <w:pPr>
        <w:spacing w:after="120"/>
        <w:jc w:val="left"/>
      </w:pPr>
      <w:r>
        <w:t xml:space="preserve">BDT will monitor the delivery of outputs and their contribution to the achievement of ITU-D priority outcomes through cross-cutting </w:t>
      </w:r>
      <w:r w:rsidR="4D933732">
        <w:t xml:space="preserve">output </w:t>
      </w:r>
      <w:r>
        <w:t>indicators, including:</w:t>
      </w:r>
    </w:p>
    <w:tbl>
      <w:tblPr>
        <w:tblW w:w="13892" w:type="dxa"/>
        <w:tblLook w:val="04A0" w:firstRow="1" w:lastRow="0" w:firstColumn="1" w:lastColumn="0" w:noHBand="0" w:noVBand="1"/>
      </w:tblPr>
      <w:tblGrid>
        <w:gridCol w:w="3816"/>
        <w:gridCol w:w="10076"/>
      </w:tblGrid>
      <w:tr w:rsidR="00B4561E" w:rsidRPr="0022145F" w14:paraId="2613E56A" w14:textId="77777777" w:rsidTr="00143137">
        <w:trPr>
          <w:cantSplit/>
          <w:trHeight w:val="315"/>
          <w:tblHeader/>
        </w:trPr>
        <w:tc>
          <w:tcPr>
            <w:tcW w:w="3816" w:type="dxa"/>
            <w:tcBorders>
              <w:top w:val="nil"/>
              <w:left w:val="nil"/>
              <w:bottom w:val="single" w:sz="4" w:space="0" w:color="C0E6F5"/>
              <w:right w:val="nil"/>
            </w:tcBorders>
            <w:shd w:val="clear" w:color="104861" w:fill="104861"/>
            <w:noWrap/>
            <w:hideMark/>
          </w:tcPr>
          <w:p w14:paraId="128574BC" w14:textId="77777777" w:rsidR="00BF5341" w:rsidRPr="0022145F" w:rsidRDefault="00BF5341" w:rsidP="009C7367">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bCs/>
                <w:color w:val="FFFFFF"/>
                <w:sz w:val="20"/>
                <w:lang w:eastAsia="en-GB"/>
              </w:rPr>
            </w:pPr>
            <w:r w:rsidRPr="0022145F">
              <w:rPr>
                <w:rFonts w:ascii="Calibri" w:hAnsi="Calibri" w:cs="Calibri"/>
                <w:b/>
                <w:bCs/>
                <w:color w:val="FFFFFF"/>
                <w:sz w:val="20"/>
                <w:lang w:eastAsia="en-GB"/>
              </w:rPr>
              <w:t>ITU-D Product /Services</w:t>
            </w:r>
          </w:p>
        </w:tc>
        <w:tc>
          <w:tcPr>
            <w:tcW w:w="10076" w:type="dxa"/>
            <w:tcBorders>
              <w:top w:val="nil"/>
              <w:left w:val="nil"/>
              <w:bottom w:val="single" w:sz="4" w:space="0" w:color="C0E6F5"/>
              <w:right w:val="nil"/>
            </w:tcBorders>
            <w:shd w:val="clear" w:color="104861" w:fill="104861"/>
            <w:noWrap/>
            <w:hideMark/>
          </w:tcPr>
          <w:p w14:paraId="24DBFA09" w14:textId="750DB606" w:rsidR="00BF5341" w:rsidRPr="0022145F" w:rsidRDefault="00BF5341" w:rsidP="009C7367">
            <w:pPr>
              <w:tabs>
                <w:tab w:val="clear" w:pos="794"/>
                <w:tab w:val="clear" w:pos="1191"/>
                <w:tab w:val="clear" w:pos="1588"/>
                <w:tab w:val="clear" w:pos="1985"/>
              </w:tabs>
              <w:overflowPunct/>
              <w:autoSpaceDE/>
              <w:autoSpaceDN/>
              <w:adjustRightInd/>
              <w:spacing w:after="120"/>
              <w:jc w:val="left"/>
              <w:textAlignment w:val="auto"/>
              <w:rPr>
                <w:rFonts w:ascii="Calibri" w:hAnsi="Calibri" w:cs="Calibri"/>
                <w:b/>
                <w:bCs/>
                <w:color w:val="FFFFFF"/>
                <w:sz w:val="20"/>
                <w:lang w:eastAsia="en-GB"/>
              </w:rPr>
            </w:pPr>
            <w:r w:rsidRPr="0022145F">
              <w:rPr>
                <w:rFonts w:ascii="Calibri" w:hAnsi="Calibri" w:cs="Calibri"/>
                <w:b/>
                <w:bCs/>
                <w:color w:val="FFFFFF"/>
                <w:sz w:val="20"/>
                <w:lang w:eastAsia="en-GB"/>
              </w:rPr>
              <w:t>Indicator</w:t>
            </w:r>
            <w:r w:rsidR="001E2A3C" w:rsidRPr="0022145F">
              <w:rPr>
                <w:rFonts w:ascii="Calibri" w:hAnsi="Calibri" w:cs="Calibri"/>
                <w:b/>
                <w:bCs/>
                <w:color w:val="FFFFFF"/>
                <w:sz w:val="20"/>
                <w:lang w:eastAsia="en-GB"/>
              </w:rPr>
              <w:t>s</w:t>
            </w:r>
            <w:r w:rsidR="00D6758B">
              <w:rPr>
                <w:rStyle w:val="FootnoteReference"/>
                <w:rFonts w:cs="Calibri"/>
                <w:b/>
                <w:bCs/>
                <w:color w:val="FFFFFF"/>
                <w:lang w:eastAsia="en-GB"/>
              </w:rPr>
              <w:footnoteReference w:id="5"/>
            </w:r>
          </w:p>
        </w:tc>
      </w:tr>
      <w:tr w:rsidR="00B4561E" w:rsidRPr="0022145F" w14:paraId="4B8AAF60" w14:textId="77777777" w:rsidTr="00161527">
        <w:trPr>
          <w:trHeight w:val="76"/>
        </w:trPr>
        <w:tc>
          <w:tcPr>
            <w:tcW w:w="3816" w:type="dxa"/>
            <w:tcBorders>
              <w:top w:val="single" w:sz="4" w:space="0" w:color="C0E6F5"/>
              <w:left w:val="nil"/>
              <w:bottom w:val="single" w:sz="4" w:space="0" w:color="44B3E1"/>
              <w:right w:val="nil"/>
            </w:tcBorders>
            <w:shd w:val="clear" w:color="44B3E1" w:fill="44B3E1"/>
            <w:noWrap/>
            <w:hideMark/>
          </w:tcPr>
          <w:p w14:paraId="6454EB8C" w14:textId="77777777" w:rsidR="00BF5341" w:rsidRPr="0022145F" w:rsidRDefault="00BF5341" w:rsidP="00BF5341">
            <w:pPr>
              <w:tabs>
                <w:tab w:val="clear" w:pos="794"/>
                <w:tab w:val="clear" w:pos="1191"/>
                <w:tab w:val="clear" w:pos="1588"/>
                <w:tab w:val="clear" w:pos="1985"/>
              </w:tabs>
              <w:overflowPunct/>
              <w:autoSpaceDE/>
              <w:autoSpaceDN/>
              <w:adjustRightInd/>
              <w:spacing w:before="0" w:after="240"/>
              <w:jc w:val="left"/>
              <w:textAlignment w:val="auto"/>
              <w:rPr>
                <w:rFonts w:ascii="Calibri" w:hAnsi="Calibri" w:cs="Calibri"/>
                <w:b/>
                <w:bCs/>
                <w:color w:val="FFFFFF"/>
                <w:sz w:val="20"/>
                <w:lang w:eastAsia="en-GB"/>
              </w:rPr>
            </w:pPr>
            <w:r w:rsidRPr="0022145F">
              <w:rPr>
                <w:rFonts w:ascii="Calibri" w:hAnsi="Calibri" w:cs="Calibri"/>
                <w:b/>
                <w:bCs/>
                <w:color w:val="FFFFFF"/>
                <w:sz w:val="20"/>
                <w:lang w:eastAsia="en-GB"/>
              </w:rPr>
              <w:t>Technical interventions</w:t>
            </w:r>
          </w:p>
        </w:tc>
        <w:tc>
          <w:tcPr>
            <w:tcW w:w="10076" w:type="dxa"/>
            <w:tcBorders>
              <w:top w:val="single" w:sz="4" w:space="0" w:color="C0E6F5"/>
              <w:left w:val="nil"/>
              <w:bottom w:val="single" w:sz="4" w:space="0" w:color="C0E6F5"/>
              <w:right w:val="nil"/>
            </w:tcBorders>
            <w:noWrap/>
            <w:hideMark/>
          </w:tcPr>
          <w:p w14:paraId="28DD441C" w14:textId="0918BE10"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 xml:space="preserve">Number of ITU-D projects </w:t>
            </w:r>
            <w:r w:rsidR="00553A7F" w:rsidRPr="0022145F">
              <w:rPr>
                <w:rFonts w:ascii="Calibri" w:hAnsi="Calibri" w:cs="Calibri"/>
                <w:color w:val="000000"/>
                <w:sz w:val="20"/>
                <w:lang w:eastAsia="en-GB"/>
              </w:rPr>
              <w:t>signed</w:t>
            </w:r>
          </w:p>
        </w:tc>
      </w:tr>
      <w:tr w:rsidR="00B4561E" w:rsidRPr="0022145F" w14:paraId="4030C6A5"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2276E179"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45B4B281"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Member States having received technical assistance</w:t>
            </w:r>
          </w:p>
        </w:tc>
      </w:tr>
      <w:tr w:rsidR="00B4561E" w:rsidRPr="0022145F" w14:paraId="31F29640"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2A41823B"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2E2DE68E"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 xml:space="preserve">Number of resolutions/ recommendations/ decisions implemented </w:t>
            </w:r>
          </w:p>
        </w:tc>
      </w:tr>
      <w:tr w:rsidR="00B4561E" w:rsidRPr="0022145F" w14:paraId="47A58C99" w14:textId="77777777" w:rsidTr="00BF5341">
        <w:trPr>
          <w:trHeight w:val="315"/>
        </w:trPr>
        <w:tc>
          <w:tcPr>
            <w:tcW w:w="3816" w:type="dxa"/>
            <w:tcBorders>
              <w:top w:val="single" w:sz="4" w:space="0" w:color="44B3E1"/>
              <w:left w:val="nil"/>
              <w:bottom w:val="single" w:sz="4" w:space="0" w:color="C0E6F5"/>
              <w:right w:val="nil"/>
            </w:tcBorders>
            <w:shd w:val="clear" w:color="44B3E1" w:fill="44B3E1"/>
            <w:noWrap/>
            <w:hideMark/>
          </w:tcPr>
          <w:p w14:paraId="427AE5B9"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7FCBC731"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 xml:space="preserve">Number of software tools implemented </w:t>
            </w:r>
          </w:p>
        </w:tc>
      </w:tr>
      <w:tr w:rsidR="00B4561E" w:rsidRPr="0022145F" w14:paraId="2F7385FE" w14:textId="77777777" w:rsidTr="00BF5341">
        <w:trPr>
          <w:trHeight w:val="315"/>
        </w:trPr>
        <w:tc>
          <w:tcPr>
            <w:tcW w:w="3816" w:type="dxa"/>
            <w:tcBorders>
              <w:top w:val="single" w:sz="4" w:space="0" w:color="C0E6F5"/>
              <w:left w:val="nil"/>
              <w:bottom w:val="single" w:sz="4" w:space="0" w:color="44B3E1"/>
              <w:right w:val="nil"/>
            </w:tcBorders>
            <w:shd w:val="clear" w:color="44B3E1" w:fill="44B3E1"/>
            <w:noWrap/>
            <w:hideMark/>
          </w:tcPr>
          <w:p w14:paraId="350FB5B4"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FFFFFF"/>
                <w:sz w:val="20"/>
                <w:lang w:eastAsia="en-GB"/>
              </w:rPr>
            </w:pPr>
            <w:r w:rsidRPr="0022145F">
              <w:rPr>
                <w:rFonts w:ascii="Calibri" w:hAnsi="Calibri" w:cs="Calibri"/>
                <w:b/>
                <w:bCs/>
                <w:color w:val="FFFFFF"/>
                <w:sz w:val="20"/>
                <w:lang w:eastAsia="en-GB"/>
              </w:rPr>
              <w:t>Statistics</w:t>
            </w:r>
          </w:p>
        </w:tc>
        <w:tc>
          <w:tcPr>
            <w:tcW w:w="10076" w:type="dxa"/>
            <w:tcBorders>
              <w:top w:val="single" w:sz="4" w:space="0" w:color="C0E6F5"/>
              <w:left w:val="nil"/>
              <w:bottom w:val="single" w:sz="4" w:space="0" w:color="C0E6F5"/>
              <w:right w:val="nil"/>
            </w:tcBorders>
            <w:noWrap/>
            <w:hideMark/>
          </w:tcPr>
          <w:p w14:paraId="36BA985A"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data points available in published dataset</w:t>
            </w:r>
          </w:p>
        </w:tc>
      </w:tr>
      <w:tr w:rsidR="00B4561E" w:rsidRPr="0022145F" w14:paraId="79B9553B"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7DE83E2E"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51A673E7"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digital companies tracked to monitor emissions, energy use and climate commitments</w:t>
            </w:r>
          </w:p>
        </w:tc>
      </w:tr>
      <w:tr w:rsidR="00B4561E" w:rsidRPr="0022145F" w14:paraId="1F2CC1F6"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5607C35A"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02DE248C"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individuals participating in capacity development activities led by BDT</w:t>
            </w:r>
          </w:p>
        </w:tc>
      </w:tr>
      <w:tr w:rsidR="00B4561E" w:rsidRPr="0022145F" w14:paraId="11B71E91"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1319CF91"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603CA5F2"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Member States engaged</w:t>
            </w:r>
          </w:p>
        </w:tc>
      </w:tr>
      <w:tr w:rsidR="00B4561E" w:rsidRPr="0022145F" w14:paraId="1F406828"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391C5880"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0F7BE658"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 xml:space="preserve">Number of participants in BDT led events </w:t>
            </w:r>
            <w:r w:rsidRPr="0022145F">
              <w:rPr>
                <w:rFonts w:ascii="Calibri" w:hAnsi="Calibri" w:cs="Calibri"/>
                <w:color w:val="000000"/>
                <w:sz w:val="20"/>
                <w:lang w:eastAsia="en-GB"/>
              </w:rPr>
              <w:br/>
              <w:t xml:space="preserve">(incl. RDFs, GSR, GIF, DSF, WTIS, EGTI, GIICT, GYF, etc.) </w:t>
            </w:r>
          </w:p>
        </w:tc>
      </w:tr>
      <w:tr w:rsidR="00B4561E" w:rsidRPr="0022145F" w14:paraId="0B0FA9B0" w14:textId="77777777" w:rsidTr="00BF5341">
        <w:trPr>
          <w:trHeight w:val="315"/>
        </w:trPr>
        <w:tc>
          <w:tcPr>
            <w:tcW w:w="3816" w:type="dxa"/>
            <w:tcBorders>
              <w:top w:val="single" w:sz="4" w:space="0" w:color="44B3E1"/>
              <w:left w:val="nil"/>
              <w:bottom w:val="single" w:sz="4" w:space="0" w:color="C0E6F5"/>
              <w:right w:val="nil"/>
            </w:tcBorders>
            <w:shd w:val="clear" w:color="44B3E1" w:fill="44B3E1"/>
            <w:noWrap/>
            <w:hideMark/>
          </w:tcPr>
          <w:p w14:paraId="04E88420"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67217EF0"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weekly users on ITU Datahub</w:t>
            </w:r>
          </w:p>
        </w:tc>
      </w:tr>
      <w:tr w:rsidR="00B4561E" w:rsidRPr="0022145F" w14:paraId="3F77A960" w14:textId="77777777" w:rsidTr="00BF5341">
        <w:trPr>
          <w:trHeight w:val="315"/>
        </w:trPr>
        <w:tc>
          <w:tcPr>
            <w:tcW w:w="3816" w:type="dxa"/>
            <w:tcBorders>
              <w:top w:val="single" w:sz="4" w:space="0" w:color="C0E6F5"/>
              <w:left w:val="nil"/>
              <w:bottom w:val="single" w:sz="4" w:space="0" w:color="44B3E1"/>
              <w:right w:val="nil"/>
            </w:tcBorders>
            <w:shd w:val="clear" w:color="44B3E1" w:fill="44B3E1"/>
            <w:noWrap/>
            <w:hideMark/>
          </w:tcPr>
          <w:p w14:paraId="72ED7903" w14:textId="77777777" w:rsidR="00BF5341" w:rsidRPr="0022145F" w:rsidRDefault="00BF5341" w:rsidP="00BF5341">
            <w:pPr>
              <w:tabs>
                <w:tab w:val="clear" w:pos="794"/>
                <w:tab w:val="clear" w:pos="1191"/>
                <w:tab w:val="clear" w:pos="1588"/>
                <w:tab w:val="clear" w:pos="1985"/>
              </w:tabs>
              <w:overflowPunct/>
              <w:autoSpaceDE/>
              <w:autoSpaceDN/>
              <w:adjustRightInd/>
              <w:spacing w:before="0" w:after="240"/>
              <w:jc w:val="left"/>
              <w:textAlignment w:val="auto"/>
              <w:rPr>
                <w:rFonts w:ascii="Calibri" w:hAnsi="Calibri" w:cs="Calibri"/>
                <w:b/>
                <w:bCs/>
                <w:color w:val="FFFFFF"/>
                <w:sz w:val="20"/>
                <w:lang w:eastAsia="en-GB"/>
              </w:rPr>
            </w:pPr>
            <w:r w:rsidRPr="0022145F">
              <w:rPr>
                <w:rFonts w:ascii="Calibri" w:hAnsi="Calibri" w:cs="Calibri"/>
                <w:b/>
                <w:bCs/>
                <w:color w:val="FFFFFF"/>
                <w:sz w:val="20"/>
                <w:lang w:eastAsia="en-GB"/>
              </w:rPr>
              <w:t>Model policies, strategies, toolkits</w:t>
            </w:r>
          </w:p>
        </w:tc>
        <w:tc>
          <w:tcPr>
            <w:tcW w:w="10076" w:type="dxa"/>
            <w:tcBorders>
              <w:top w:val="single" w:sz="4" w:space="0" w:color="C0E6F5"/>
              <w:left w:val="nil"/>
              <w:bottom w:val="single" w:sz="4" w:space="0" w:color="C0E6F5"/>
              <w:right w:val="nil"/>
            </w:tcBorders>
            <w:noWrap/>
            <w:hideMark/>
          </w:tcPr>
          <w:p w14:paraId="1B484B26"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 xml:space="preserve">Number of Member States assisted </w:t>
            </w:r>
          </w:p>
        </w:tc>
      </w:tr>
      <w:tr w:rsidR="00B4561E" w:rsidRPr="0022145F" w14:paraId="3378FEDF" w14:textId="77777777" w:rsidTr="00BF5341">
        <w:trPr>
          <w:trHeight w:val="315"/>
        </w:trPr>
        <w:tc>
          <w:tcPr>
            <w:tcW w:w="3816" w:type="dxa"/>
            <w:tcBorders>
              <w:top w:val="single" w:sz="4" w:space="0" w:color="44B3E1"/>
              <w:left w:val="nil"/>
              <w:bottom w:val="single" w:sz="4" w:space="0" w:color="C0E6F5"/>
              <w:right w:val="nil"/>
            </w:tcBorders>
            <w:shd w:val="clear" w:color="44B3E1" w:fill="44B3E1"/>
            <w:noWrap/>
            <w:hideMark/>
          </w:tcPr>
          <w:p w14:paraId="6CA9A708"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4379D1F8" w14:textId="3979457B"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 xml:space="preserve">Number of tools /frameworks / resources developed </w:t>
            </w:r>
            <w:r w:rsidRPr="0022145F">
              <w:rPr>
                <w:rFonts w:ascii="Calibri" w:hAnsi="Calibri" w:cs="Calibri"/>
                <w:color w:val="000000"/>
                <w:sz w:val="20"/>
                <w:lang w:eastAsia="en-GB"/>
              </w:rPr>
              <w:br/>
              <w:t>(Incl. policies, strategies, country profiles, maps, guidelines, toolkits, publications, etc.)</w:t>
            </w:r>
          </w:p>
        </w:tc>
      </w:tr>
      <w:tr w:rsidR="00B4561E" w:rsidRPr="0022145F" w14:paraId="0233EDFD" w14:textId="77777777" w:rsidTr="00BF5341">
        <w:trPr>
          <w:trHeight w:val="315"/>
        </w:trPr>
        <w:tc>
          <w:tcPr>
            <w:tcW w:w="3816" w:type="dxa"/>
            <w:tcBorders>
              <w:top w:val="single" w:sz="4" w:space="0" w:color="C0E6F5"/>
              <w:left w:val="nil"/>
              <w:bottom w:val="single" w:sz="4" w:space="0" w:color="44B3E1"/>
              <w:right w:val="nil"/>
            </w:tcBorders>
            <w:shd w:val="clear" w:color="44B3E1" w:fill="44B3E1"/>
            <w:noWrap/>
            <w:hideMark/>
          </w:tcPr>
          <w:p w14:paraId="43D67A71"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FFFFFF"/>
                <w:sz w:val="20"/>
                <w:lang w:eastAsia="en-GB"/>
              </w:rPr>
            </w:pPr>
            <w:r w:rsidRPr="0022145F">
              <w:rPr>
                <w:rFonts w:ascii="Calibri" w:hAnsi="Calibri" w:cs="Calibri"/>
                <w:b/>
                <w:bCs/>
                <w:color w:val="FFFFFF"/>
                <w:sz w:val="20"/>
                <w:lang w:eastAsia="en-GB"/>
              </w:rPr>
              <w:t>Learning frameworks</w:t>
            </w:r>
          </w:p>
        </w:tc>
        <w:tc>
          <w:tcPr>
            <w:tcW w:w="10076" w:type="dxa"/>
            <w:tcBorders>
              <w:top w:val="single" w:sz="4" w:space="0" w:color="C0E6F5"/>
              <w:left w:val="nil"/>
              <w:bottom w:val="single" w:sz="4" w:space="0" w:color="C0E6F5"/>
              <w:right w:val="nil"/>
            </w:tcBorders>
            <w:noWrap/>
            <w:hideMark/>
          </w:tcPr>
          <w:p w14:paraId="16241B31"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individuals participating in capacity development activities led by BDT</w:t>
            </w:r>
          </w:p>
        </w:tc>
      </w:tr>
      <w:tr w:rsidR="00B4561E" w:rsidRPr="0022145F" w14:paraId="03A37352"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1D3DA574"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610122DD"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individuals trained in basic and intermediate digital skills</w:t>
            </w:r>
          </w:p>
        </w:tc>
      </w:tr>
      <w:tr w:rsidR="00B4561E" w:rsidRPr="0022145F" w14:paraId="65F5A00C"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308BCE02"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7E6AE58F"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ITU Academy users</w:t>
            </w:r>
          </w:p>
        </w:tc>
      </w:tr>
      <w:tr w:rsidR="00B4561E" w:rsidRPr="0022145F" w14:paraId="02C187D1" w14:textId="77777777" w:rsidTr="00BF5341">
        <w:trPr>
          <w:trHeight w:val="315"/>
        </w:trPr>
        <w:tc>
          <w:tcPr>
            <w:tcW w:w="3816" w:type="dxa"/>
            <w:tcBorders>
              <w:top w:val="single" w:sz="4" w:space="0" w:color="44B3E1"/>
              <w:left w:val="nil"/>
              <w:bottom w:val="single" w:sz="4" w:space="0" w:color="C0E6F5"/>
              <w:right w:val="nil"/>
            </w:tcBorders>
            <w:shd w:val="clear" w:color="44B3E1" w:fill="44B3E1"/>
            <w:noWrap/>
            <w:hideMark/>
          </w:tcPr>
          <w:p w14:paraId="241A572C"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218EEA5C"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professionals trained and certified in telecommunications/ (ICTs) topics</w:t>
            </w:r>
          </w:p>
        </w:tc>
      </w:tr>
      <w:tr w:rsidR="00B4561E" w:rsidRPr="0022145F" w14:paraId="7723C539" w14:textId="77777777" w:rsidTr="00BF5341">
        <w:trPr>
          <w:trHeight w:val="315"/>
        </w:trPr>
        <w:tc>
          <w:tcPr>
            <w:tcW w:w="3816" w:type="dxa"/>
            <w:tcBorders>
              <w:top w:val="single" w:sz="4" w:space="0" w:color="C0E6F5"/>
              <w:left w:val="nil"/>
              <w:bottom w:val="single" w:sz="4" w:space="0" w:color="44B3E1"/>
              <w:right w:val="nil"/>
            </w:tcBorders>
            <w:shd w:val="clear" w:color="44B3E1" w:fill="44B3E1"/>
            <w:noWrap/>
            <w:hideMark/>
          </w:tcPr>
          <w:p w14:paraId="55841FD6" w14:textId="77777777" w:rsidR="00BF5341" w:rsidRPr="0022145F" w:rsidRDefault="00BF5341" w:rsidP="00BF5341">
            <w:pPr>
              <w:tabs>
                <w:tab w:val="clear" w:pos="794"/>
                <w:tab w:val="clear" w:pos="1191"/>
                <w:tab w:val="clear" w:pos="1588"/>
                <w:tab w:val="clear" w:pos="1985"/>
              </w:tabs>
              <w:overflowPunct/>
              <w:autoSpaceDE/>
              <w:autoSpaceDN/>
              <w:adjustRightInd/>
              <w:spacing w:before="0" w:after="240"/>
              <w:jc w:val="left"/>
              <w:textAlignment w:val="auto"/>
              <w:rPr>
                <w:rFonts w:ascii="Calibri" w:hAnsi="Calibri" w:cs="Calibri"/>
                <w:b/>
                <w:bCs/>
                <w:color w:val="FFFFFF"/>
                <w:sz w:val="20"/>
                <w:lang w:eastAsia="en-GB"/>
              </w:rPr>
            </w:pPr>
            <w:r w:rsidRPr="0022145F">
              <w:rPr>
                <w:rFonts w:ascii="Calibri" w:hAnsi="Calibri" w:cs="Calibri"/>
                <w:b/>
                <w:bCs/>
                <w:color w:val="FFFFFF"/>
                <w:sz w:val="20"/>
                <w:lang w:eastAsia="en-GB"/>
              </w:rPr>
              <w:t>Convening platforms</w:t>
            </w:r>
          </w:p>
        </w:tc>
        <w:tc>
          <w:tcPr>
            <w:tcW w:w="10076" w:type="dxa"/>
            <w:tcBorders>
              <w:top w:val="single" w:sz="4" w:space="0" w:color="C0E6F5"/>
              <w:left w:val="nil"/>
              <w:bottom w:val="single" w:sz="4" w:space="0" w:color="C0E6F5"/>
              <w:right w:val="nil"/>
            </w:tcBorders>
            <w:noWrap/>
            <w:hideMark/>
          </w:tcPr>
          <w:p w14:paraId="48C63673"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Amount of project funding for LDCs, LLDCs and SIDS</w:t>
            </w:r>
          </w:p>
        </w:tc>
      </w:tr>
      <w:tr w:rsidR="00B4561E" w:rsidRPr="0022145F" w14:paraId="087DAD36"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325207AE"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0FFD6E50"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best practices /guidelines elaborated</w:t>
            </w:r>
          </w:p>
        </w:tc>
      </w:tr>
      <w:tr w:rsidR="00B4561E" w:rsidRPr="0022145F" w14:paraId="0C032E58"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586AA24B"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0DE1017F"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financially supported ITU-D projects in LDCs, LLDCs and SIDS</w:t>
            </w:r>
          </w:p>
        </w:tc>
      </w:tr>
      <w:tr w:rsidR="00B4561E" w:rsidRPr="0022145F" w14:paraId="5F51398B"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7115AB33"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6755BD6F"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ICT development agreements signed between ITU and partners to support implementation of the ITU-D Action Plan</w:t>
            </w:r>
          </w:p>
        </w:tc>
      </w:tr>
      <w:tr w:rsidR="00B4561E" w:rsidRPr="0022145F" w14:paraId="327EFC93" w14:textId="77777777" w:rsidTr="0019308A">
        <w:trPr>
          <w:trHeight w:val="315"/>
        </w:trPr>
        <w:tc>
          <w:tcPr>
            <w:tcW w:w="3816" w:type="dxa"/>
            <w:tcBorders>
              <w:top w:val="single" w:sz="4" w:space="0" w:color="44B3E1"/>
              <w:left w:val="nil"/>
              <w:bottom w:val="single" w:sz="4" w:space="0" w:color="44B3E1"/>
              <w:right w:val="nil"/>
            </w:tcBorders>
            <w:shd w:val="clear" w:color="44B3E1" w:fill="44B3E1"/>
            <w:noWrap/>
            <w:hideMark/>
          </w:tcPr>
          <w:p w14:paraId="4A196AC1"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tcPr>
          <w:p w14:paraId="4C213F1C" w14:textId="0715DD29"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impact evaluation reports produced by BDT</w:t>
            </w:r>
          </w:p>
        </w:tc>
      </w:tr>
      <w:tr w:rsidR="00B4561E" w:rsidRPr="0022145F" w14:paraId="75CFF35B"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4CAC605A"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0BF94B71"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 xml:space="preserve">Number of Member States engaged </w:t>
            </w:r>
          </w:p>
        </w:tc>
      </w:tr>
      <w:tr w:rsidR="00B4561E" w:rsidRPr="0022145F" w14:paraId="52A5AB7F"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45B7EAEF"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3BBCBCD9"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new ITU-D members</w:t>
            </w:r>
          </w:p>
        </w:tc>
      </w:tr>
      <w:tr w:rsidR="00B4561E" w:rsidRPr="0022145F" w14:paraId="40CB6331"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38B0F8BC"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784316B7"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 xml:space="preserve">Number of participants in BDT led events </w:t>
            </w:r>
            <w:r w:rsidRPr="0022145F">
              <w:rPr>
                <w:rFonts w:ascii="Calibri" w:hAnsi="Calibri" w:cs="Calibri"/>
                <w:color w:val="000000"/>
                <w:sz w:val="20"/>
                <w:lang w:eastAsia="en-GB"/>
              </w:rPr>
              <w:br/>
              <w:t xml:space="preserve">(incl. RDFs, GSR, GIF, DSF, WTIS, EGTI, GIICT, GYF, etc.) </w:t>
            </w:r>
          </w:p>
        </w:tc>
      </w:tr>
      <w:tr w:rsidR="00B4561E" w:rsidRPr="0022145F" w14:paraId="4C331EA2"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55A91A41"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53610614"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Number of partnerships signed</w:t>
            </w:r>
          </w:p>
        </w:tc>
      </w:tr>
      <w:tr w:rsidR="00B4561E" w:rsidRPr="0022145F" w14:paraId="5B94D6CB"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602AFFDF"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6CA6F1BD"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Ratio of internal/external sources for project funds</w:t>
            </w:r>
          </w:p>
        </w:tc>
      </w:tr>
      <w:tr w:rsidR="00B4561E" w:rsidRPr="0022145F" w14:paraId="1B9C2E51" w14:textId="77777777" w:rsidTr="00BF5341">
        <w:trPr>
          <w:trHeight w:val="315"/>
        </w:trPr>
        <w:tc>
          <w:tcPr>
            <w:tcW w:w="3816" w:type="dxa"/>
            <w:tcBorders>
              <w:top w:val="single" w:sz="4" w:space="0" w:color="44B3E1"/>
              <w:left w:val="nil"/>
              <w:bottom w:val="single" w:sz="4" w:space="0" w:color="44B3E1"/>
              <w:right w:val="nil"/>
            </w:tcBorders>
            <w:shd w:val="clear" w:color="44B3E1" w:fill="44B3E1"/>
            <w:noWrap/>
            <w:hideMark/>
          </w:tcPr>
          <w:p w14:paraId="780122C1"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5E9F2D5D"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Total number of contributing partners to ITU-D projects</w:t>
            </w:r>
          </w:p>
        </w:tc>
      </w:tr>
      <w:tr w:rsidR="00B4561E" w:rsidRPr="0022145F" w14:paraId="67A7C85B" w14:textId="77777777" w:rsidTr="00BF5341">
        <w:trPr>
          <w:trHeight w:val="315"/>
        </w:trPr>
        <w:tc>
          <w:tcPr>
            <w:tcW w:w="3816" w:type="dxa"/>
            <w:tcBorders>
              <w:top w:val="single" w:sz="4" w:space="0" w:color="44B3E1"/>
              <w:left w:val="nil"/>
              <w:bottom w:val="single" w:sz="4" w:space="0" w:color="C0E6F5"/>
              <w:right w:val="nil"/>
            </w:tcBorders>
            <w:shd w:val="clear" w:color="44B3E1" w:fill="44B3E1"/>
            <w:noWrap/>
            <w:hideMark/>
          </w:tcPr>
          <w:p w14:paraId="51A9919F"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p>
        </w:tc>
        <w:tc>
          <w:tcPr>
            <w:tcW w:w="10076" w:type="dxa"/>
            <w:tcBorders>
              <w:top w:val="single" w:sz="4" w:space="0" w:color="C0E6F5"/>
              <w:left w:val="nil"/>
              <w:bottom w:val="single" w:sz="4" w:space="0" w:color="C0E6F5"/>
              <w:right w:val="nil"/>
            </w:tcBorders>
            <w:noWrap/>
            <w:hideMark/>
          </w:tcPr>
          <w:p w14:paraId="71446371" w14:textId="77777777" w:rsidR="00BF5341" w:rsidRPr="0022145F" w:rsidRDefault="00BF5341" w:rsidP="00BF5341">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eastAsia="en-GB"/>
              </w:rPr>
            </w:pPr>
            <w:r w:rsidRPr="0022145F">
              <w:rPr>
                <w:rFonts w:ascii="Calibri" w:hAnsi="Calibri" w:cs="Calibri"/>
                <w:color w:val="000000"/>
                <w:sz w:val="20"/>
                <w:lang w:eastAsia="en-GB"/>
              </w:rPr>
              <w:t>Total project funds raised by BDT</w:t>
            </w:r>
          </w:p>
        </w:tc>
      </w:tr>
    </w:tbl>
    <w:p w14:paraId="641D8430" w14:textId="77777777" w:rsidR="0022145F" w:rsidRDefault="0022145F" w:rsidP="003A7EFA">
      <w:pPr>
        <w:rPr>
          <w:szCs w:val="24"/>
        </w:rPr>
        <w:sectPr w:rsidR="0022145F" w:rsidSect="00E91562">
          <w:headerReference w:type="default" r:id="rId22"/>
          <w:headerReference w:type="first" r:id="rId23"/>
          <w:pgSz w:w="16838" w:h="11906" w:orient="landscape" w:code="9"/>
          <w:pgMar w:top="1138" w:right="1411" w:bottom="1138" w:left="1411" w:header="624" w:footer="624" w:gutter="0"/>
          <w:cols w:space="720"/>
          <w:docGrid w:linePitch="326"/>
        </w:sectPr>
      </w:pPr>
    </w:p>
    <w:p w14:paraId="771BAE51" w14:textId="223AAC1C" w:rsidR="002E099A" w:rsidRPr="00DD188F" w:rsidRDefault="006F24B7" w:rsidP="00DD188F">
      <w:pPr>
        <w:pStyle w:val="Heading2"/>
        <w:numPr>
          <w:ilvl w:val="0"/>
          <w:numId w:val="13"/>
        </w:numPr>
        <w:tabs>
          <w:tab w:val="clear" w:pos="794"/>
          <w:tab w:val="left" w:pos="426"/>
        </w:tabs>
        <w:spacing w:before="120" w:after="120"/>
        <w:jc w:val="left"/>
        <w:rPr>
          <w:rFonts w:eastAsia="Calibri"/>
          <w:szCs w:val="24"/>
        </w:rPr>
      </w:pPr>
      <w:r w:rsidRPr="00DD188F">
        <w:rPr>
          <w:rFonts w:eastAsia="Calibri"/>
          <w:szCs w:val="24"/>
        </w:rPr>
        <w:lastRenderedPageBreak/>
        <w:t>Enabler:</w:t>
      </w:r>
      <w:r w:rsidR="002E099A" w:rsidRPr="00DD188F">
        <w:rPr>
          <w:rFonts w:eastAsia="Calibri"/>
          <w:szCs w:val="24"/>
        </w:rPr>
        <w:t xml:space="preserve"> </w:t>
      </w:r>
      <w:r w:rsidR="009C510D" w:rsidRPr="00DD188F">
        <w:rPr>
          <w:rFonts w:eastAsia="Calibri"/>
          <w:szCs w:val="24"/>
        </w:rPr>
        <w:t>Organizational excellence</w:t>
      </w:r>
    </w:p>
    <w:p w14:paraId="3FA49795" w14:textId="503FA58B" w:rsidR="00686FD3" w:rsidRPr="00686FD3" w:rsidRDefault="40904680" w:rsidP="007E097D">
      <w:pPr>
        <w:spacing w:after="120"/>
        <w:jc w:val="left"/>
      </w:pPr>
      <w:r>
        <w:t>WTDC-25 defined “Or</w:t>
      </w:r>
      <w:r w:rsidR="1327D769">
        <w:t>ganizational excelle</w:t>
      </w:r>
      <w:r w:rsidR="14C155E4">
        <w:t xml:space="preserve">nce” as the </w:t>
      </w:r>
      <w:r w:rsidR="531FA1B6">
        <w:t>enabl</w:t>
      </w:r>
      <w:r w:rsidR="0C074455">
        <w:t xml:space="preserve">ing mechanism </w:t>
      </w:r>
      <w:r w:rsidR="20F7521B">
        <w:t xml:space="preserve">to facilitate </w:t>
      </w:r>
      <w:r w:rsidR="0593AF91">
        <w:t>implementation and</w:t>
      </w:r>
      <w:r w:rsidR="7959AF63">
        <w:t xml:space="preserve"> support the achievement of the outcomes of </w:t>
      </w:r>
      <w:r w:rsidR="13CDA625">
        <w:t xml:space="preserve">the </w:t>
      </w:r>
      <w:r w:rsidR="7959AF63">
        <w:t>ITU-D Priorities</w:t>
      </w:r>
      <w:r w:rsidR="239C1AEA">
        <w:t>.</w:t>
      </w:r>
      <w:r w:rsidR="1CB062D0">
        <w:t xml:space="preserve"> It focuses on </w:t>
      </w:r>
      <w:r w:rsidR="31480395">
        <w:t xml:space="preserve">optimizing and </w:t>
      </w:r>
      <w:r w:rsidR="1CB062D0">
        <w:t xml:space="preserve">improving operational efficiency and effectiveness so BDT can </w:t>
      </w:r>
      <w:r w:rsidR="412E796A">
        <w:t xml:space="preserve">rapidly </w:t>
      </w:r>
      <w:r w:rsidR="1CB062D0">
        <w:t xml:space="preserve">respond to changes in the telecommunication/ICT landscape and better meet </w:t>
      </w:r>
      <w:r w:rsidR="2340279E">
        <w:t>countries</w:t>
      </w:r>
      <w:r w:rsidR="1CB062D0">
        <w:t xml:space="preserve"> and members’ needs. This involves strengthening internal processes, accelerating decision-making, fostering cross-functional collaboration, encouraging innovation, and enhancing performance and talent management through a culture and skills transformation plan</w:t>
      </w:r>
      <w:r w:rsidR="52ED8126">
        <w:t>. Key areas include:</w:t>
      </w:r>
    </w:p>
    <w:p w14:paraId="28580479" w14:textId="3015D3D9" w:rsidR="00686FD3" w:rsidRPr="00686FD3" w:rsidRDefault="00686FD3" w:rsidP="007E097D">
      <w:pPr>
        <w:numPr>
          <w:ilvl w:val="0"/>
          <w:numId w:val="8"/>
        </w:numPr>
        <w:spacing w:after="120"/>
        <w:jc w:val="left"/>
      </w:pPr>
      <w:r w:rsidRPr="00686FD3">
        <w:rPr>
          <w:b/>
          <w:bCs/>
        </w:rPr>
        <w:t>Membership-driven approach</w:t>
      </w:r>
      <w:r>
        <w:t xml:space="preserve">: </w:t>
      </w:r>
      <w:r w:rsidRPr="00686FD3">
        <w:t>prioritizing the needs of all members, particularly developing countries, and strengthening engagement with industry and new members.</w:t>
      </w:r>
    </w:p>
    <w:p w14:paraId="53B06B86" w14:textId="3A4C9E23" w:rsidR="00686FD3" w:rsidRPr="00686FD3" w:rsidRDefault="52ED8126" w:rsidP="007E097D">
      <w:pPr>
        <w:numPr>
          <w:ilvl w:val="0"/>
          <w:numId w:val="8"/>
        </w:numPr>
        <w:spacing w:after="120"/>
        <w:jc w:val="left"/>
      </w:pPr>
      <w:r w:rsidRPr="2C7640F5">
        <w:rPr>
          <w:b/>
          <w:bCs/>
        </w:rPr>
        <w:t>Regional presence</w:t>
      </w:r>
      <w:r>
        <w:t xml:space="preserve">: </w:t>
      </w:r>
      <w:r w:rsidR="6FC220EA">
        <w:t xml:space="preserve">empowering </w:t>
      </w:r>
      <w:r w:rsidR="70161476">
        <w:t>R</w:t>
      </w:r>
      <w:r>
        <w:t xml:space="preserve">egional and </w:t>
      </w:r>
      <w:r w:rsidR="1768E707">
        <w:t>A</w:t>
      </w:r>
      <w:r>
        <w:t xml:space="preserve">rea </w:t>
      </w:r>
      <w:r w:rsidR="10045308">
        <w:t>O</w:t>
      </w:r>
      <w:r>
        <w:t xml:space="preserve">ffices to </w:t>
      </w:r>
      <w:r w:rsidR="43F334D1">
        <w:t xml:space="preserve">enhance </w:t>
      </w:r>
      <w:r>
        <w:t>local</w:t>
      </w:r>
      <w:r w:rsidR="3E39881F">
        <w:t xml:space="preserve"> responsiveness</w:t>
      </w:r>
      <w:r>
        <w:t>, programme implementation, partnerships, and reporting on progress</w:t>
      </w:r>
      <w:r w:rsidR="7E900405">
        <w:t xml:space="preserve">, </w:t>
      </w:r>
      <w:r>
        <w:t>resource use</w:t>
      </w:r>
      <w:r w:rsidR="69EC41C2">
        <w:t xml:space="preserve"> and impact</w:t>
      </w:r>
      <w:r>
        <w:t>.</w:t>
      </w:r>
    </w:p>
    <w:p w14:paraId="3219DE27" w14:textId="2CBFAEF7" w:rsidR="00686FD3" w:rsidRPr="00686FD3" w:rsidRDefault="52ED8126" w:rsidP="007E097D">
      <w:pPr>
        <w:numPr>
          <w:ilvl w:val="0"/>
          <w:numId w:val="8"/>
        </w:numPr>
        <w:spacing w:after="120"/>
        <w:jc w:val="left"/>
      </w:pPr>
      <w:r w:rsidRPr="2C7640F5">
        <w:rPr>
          <w:b/>
          <w:bCs/>
        </w:rPr>
        <w:t>Project management</w:t>
      </w:r>
      <w:r>
        <w:t xml:space="preserve">: enhancing capacity, tools, and practices to ensure efficient, accountable planning, execution, monitoring, and </w:t>
      </w:r>
      <w:r w:rsidR="3468D6A9">
        <w:t xml:space="preserve">timely </w:t>
      </w:r>
      <w:r>
        <w:t>completion of development projects.</w:t>
      </w:r>
    </w:p>
    <w:p w14:paraId="7D6A27D2" w14:textId="09E87CE3" w:rsidR="00824C16" w:rsidRDefault="00686FD3" w:rsidP="007E097D">
      <w:pPr>
        <w:numPr>
          <w:ilvl w:val="0"/>
          <w:numId w:val="8"/>
        </w:numPr>
        <w:spacing w:after="120"/>
        <w:jc w:val="left"/>
      </w:pPr>
      <w:r w:rsidRPr="00686FD3">
        <w:rPr>
          <w:b/>
          <w:bCs/>
        </w:rPr>
        <w:t>Support services</w:t>
      </w:r>
      <w:r>
        <w:t>:</w:t>
      </w:r>
      <w:r w:rsidRPr="00686FD3">
        <w:t xml:space="preserve"> strengthening administrative and operational functions such as communications, fellowships, events, documentation, performance monitoring, human resources, budget support, and coordination across ITU sectors.</w:t>
      </w:r>
    </w:p>
    <w:p w14:paraId="0288FC7A" w14:textId="6EBF45EB" w:rsidR="003E66CB" w:rsidRDefault="009240ED" w:rsidP="007E097D">
      <w:pPr>
        <w:keepNext/>
        <w:tabs>
          <w:tab w:val="clear" w:pos="794"/>
          <w:tab w:val="clear" w:pos="1191"/>
          <w:tab w:val="clear" w:pos="1588"/>
          <w:tab w:val="clear" w:pos="1985"/>
        </w:tabs>
        <w:overflowPunct/>
        <w:autoSpaceDE/>
        <w:autoSpaceDN/>
        <w:adjustRightInd/>
        <w:spacing w:after="120"/>
        <w:jc w:val="left"/>
        <w:textAlignment w:val="auto"/>
      </w:pPr>
      <w:r w:rsidRPr="009240ED">
        <w:t>A dedicated budget has been allocated to these areas to ensure effective delivery of ITU-D programmes and strategic outcomes.</w:t>
      </w:r>
    </w:p>
    <w:tbl>
      <w:tblPr>
        <w:tblW w:w="11240" w:type="dxa"/>
        <w:tblInd w:w="1378" w:type="dxa"/>
        <w:tblLook w:val="04A0" w:firstRow="1" w:lastRow="0" w:firstColumn="1" w:lastColumn="0" w:noHBand="0" w:noVBand="1"/>
      </w:tblPr>
      <w:tblGrid>
        <w:gridCol w:w="3256"/>
        <w:gridCol w:w="1740"/>
        <w:gridCol w:w="3444"/>
        <w:gridCol w:w="2800"/>
      </w:tblGrid>
      <w:tr w:rsidR="006E0056" w:rsidRPr="0022145F" w14:paraId="295CA68C" w14:textId="77777777" w:rsidTr="004B6E4B">
        <w:trPr>
          <w:trHeight w:val="300"/>
        </w:trPr>
        <w:tc>
          <w:tcPr>
            <w:tcW w:w="3256" w:type="dxa"/>
            <w:tcBorders>
              <w:top w:val="single" w:sz="4" w:space="0" w:color="44B3E1"/>
              <w:left w:val="single" w:sz="4" w:space="0" w:color="44B3E1"/>
              <w:bottom w:val="single" w:sz="4" w:space="0" w:color="44B3E1"/>
              <w:right w:val="nil"/>
            </w:tcBorders>
            <w:shd w:val="clear" w:color="156082" w:fill="156082"/>
            <w:hideMark/>
          </w:tcPr>
          <w:p w14:paraId="6621FBC5"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EC2E34">
              <w:rPr>
                <w:rFonts w:ascii="Calibri" w:hAnsi="Calibri" w:cs="Calibri"/>
                <w:b/>
                <w:bCs/>
                <w:color w:val="FFFFFF"/>
                <w:sz w:val="20"/>
                <w:lang w:eastAsia="en-GB"/>
              </w:rPr>
              <w:t xml:space="preserve">Enabler </w:t>
            </w:r>
          </w:p>
        </w:tc>
        <w:tc>
          <w:tcPr>
            <w:tcW w:w="1740" w:type="dxa"/>
            <w:tcBorders>
              <w:top w:val="single" w:sz="4" w:space="0" w:color="44B3E1"/>
              <w:left w:val="nil"/>
              <w:bottom w:val="single" w:sz="4" w:space="0" w:color="44B3E1"/>
              <w:right w:val="nil"/>
            </w:tcBorders>
            <w:shd w:val="clear" w:color="156082" w:fill="156082"/>
            <w:noWrap/>
            <w:hideMark/>
          </w:tcPr>
          <w:p w14:paraId="40C4A722"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EC2E34">
              <w:rPr>
                <w:rFonts w:ascii="Calibri" w:hAnsi="Calibri" w:cs="Calibri"/>
                <w:b/>
                <w:bCs/>
                <w:color w:val="FFFFFF"/>
                <w:sz w:val="20"/>
                <w:lang w:eastAsia="en-GB"/>
              </w:rPr>
              <w:t>Budget 2026 (in CHF)</w:t>
            </w:r>
          </w:p>
        </w:tc>
        <w:tc>
          <w:tcPr>
            <w:tcW w:w="3444" w:type="dxa"/>
            <w:tcBorders>
              <w:top w:val="single" w:sz="4" w:space="0" w:color="44B3E1"/>
              <w:left w:val="nil"/>
              <w:bottom w:val="single" w:sz="4" w:space="0" w:color="44B3E1"/>
              <w:right w:val="nil"/>
            </w:tcBorders>
            <w:shd w:val="clear" w:color="156082" w:fill="156082"/>
            <w:noWrap/>
            <w:hideMark/>
          </w:tcPr>
          <w:p w14:paraId="534C92C6" w14:textId="46D58D93"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EC2E34">
              <w:rPr>
                <w:rFonts w:ascii="Calibri" w:hAnsi="Calibri" w:cs="Calibri"/>
                <w:b/>
                <w:bCs/>
                <w:color w:val="FFFFFF"/>
                <w:sz w:val="20"/>
                <w:lang w:eastAsia="en-GB"/>
              </w:rPr>
              <w:t>% of Enabler Total</w:t>
            </w:r>
          </w:p>
        </w:tc>
        <w:tc>
          <w:tcPr>
            <w:tcW w:w="2800" w:type="dxa"/>
            <w:tcBorders>
              <w:top w:val="single" w:sz="4" w:space="0" w:color="44B3E1"/>
              <w:left w:val="nil"/>
              <w:bottom w:val="single" w:sz="4" w:space="0" w:color="44B3E1"/>
              <w:right w:val="single" w:sz="4" w:space="0" w:color="44B3E1"/>
            </w:tcBorders>
            <w:shd w:val="clear" w:color="156082" w:fill="156082"/>
            <w:noWrap/>
            <w:hideMark/>
          </w:tcPr>
          <w:p w14:paraId="3BA7A473" w14:textId="54B429AC"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FFFFFF"/>
                <w:sz w:val="20"/>
                <w:lang w:eastAsia="en-GB"/>
              </w:rPr>
            </w:pPr>
            <w:r w:rsidRPr="00EC2E34">
              <w:rPr>
                <w:rFonts w:ascii="Calibri" w:hAnsi="Calibri" w:cs="Calibri"/>
                <w:b/>
                <w:bCs/>
                <w:color w:val="FFFFFF"/>
                <w:sz w:val="20"/>
                <w:lang w:eastAsia="en-GB"/>
              </w:rPr>
              <w:t>% of Total</w:t>
            </w:r>
            <w:r w:rsidR="00E5677F" w:rsidRPr="00EC2E34">
              <w:rPr>
                <w:rFonts w:ascii="Calibri" w:hAnsi="Calibri" w:cs="Calibri"/>
                <w:b/>
                <w:bCs/>
                <w:color w:val="FFFFFF"/>
                <w:sz w:val="20"/>
                <w:lang w:eastAsia="en-GB"/>
              </w:rPr>
              <w:t xml:space="preserve"> budget</w:t>
            </w:r>
          </w:p>
        </w:tc>
      </w:tr>
      <w:tr w:rsidR="006E0056" w:rsidRPr="0022145F" w14:paraId="03B84D1E" w14:textId="77777777" w:rsidTr="004B6E4B">
        <w:trPr>
          <w:trHeight w:val="300"/>
        </w:trPr>
        <w:tc>
          <w:tcPr>
            <w:tcW w:w="3256" w:type="dxa"/>
            <w:tcBorders>
              <w:top w:val="single" w:sz="4" w:space="0" w:color="44B3E1"/>
              <w:left w:val="single" w:sz="4" w:space="0" w:color="44B3E1"/>
              <w:bottom w:val="single" w:sz="4" w:space="0" w:color="44B3E1"/>
              <w:right w:val="nil"/>
            </w:tcBorders>
            <w:shd w:val="clear" w:color="C0E6F5" w:fill="C0E6F5"/>
            <w:hideMark/>
          </w:tcPr>
          <w:p w14:paraId="626E095F"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eastAsia="en-GB"/>
              </w:rPr>
            </w:pPr>
            <w:r w:rsidRPr="00EC2E34">
              <w:rPr>
                <w:rFonts w:ascii="Calibri" w:hAnsi="Calibri" w:cs="Calibri"/>
                <w:b/>
                <w:bCs/>
                <w:color w:val="000000"/>
                <w:sz w:val="20"/>
                <w:lang w:eastAsia="en-GB"/>
              </w:rPr>
              <w:t>Organizational excellence</w:t>
            </w:r>
          </w:p>
        </w:tc>
        <w:tc>
          <w:tcPr>
            <w:tcW w:w="1740" w:type="dxa"/>
            <w:tcBorders>
              <w:top w:val="single" w:sz="4" w:space="0" w:color="44B3E1"/>
              <w:left w:val="nil"/>
              <w:bottom w:val="single" w:sz="4" w:space="0" w:color="44B3E1"/>
              <w:right w:val="nil"/>
            </w:tcBorders>
            <w:shd w:val="clear" w:color="C0E6F5" w:fill="C0E6F5"/>
            <w:noWrap/>
            <w:hideMark/>
          </w:tcPr>
          <w:p w14:paraId="326A6A6A"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right"/>
              <w:textAlignment w:val="auto"/>
              <w:rPr>
                <w:rFonts w:ascii="Aptos Narrow" w:hAnsi="Aptos Narrow"/>
                <w:b/>
                <w:bCs/>
                <w:color w:val="000000"/>
                <w:sz w:val="20"/>
                <w:lang w:eastAsia="en-GB"/>
              </w:rPr>
            </w:pPr>
            <w:r w:rsidRPr="00EC2E34">
              <w:rPr>
                <w:rFonts w:ascii="Aptos Narrow" w:hAnsi="Aptos Narrow"/>
                <w:b/>
                <w:bCs/>
                <w:color w:val="000000"/>
                <w:sz w:val="20"/>
                <w:lang w:eastAsia="en-GB"/>
              </w:rPr>
              <w:t>683,115</w:t>
            </w:r>
          </w:p>
        </w:tc>
        <w:tc>
          <w:tcPr>
            <w:tcW w:w="3444" w:type="dxa"/>
            <w:tcBorders>
              <w:top w:val="single" w:sz="4" w:space="0" w:color="44B3E1"/>
              <w:left w:val="nil"/>
              <w:bottom w:val="single" w:sz="4" w:space="0" w:color="44B3E1"/>
              <w:right w:val="nil"/>
            </w:tcBorders>
            <w:shd w:val="clear" w:color="C0E6F5" w:fill="C0E6F5"/>
            <w:noWrap/>
            <w:hideMark/>
          </w:tcPr>
          <w:p w14:paraId="37812360"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right"/>
              <w:textAlignment w:val="auto"/>
              <w:rPr>
                <w:rFonts w:ascii="Aptos Narrow" w:hAnsi="Aptos Narrow"/>
                <w:b/>
                <w:bCs/>
                <w:color w:val="000000"/>
                <w:sz w:val="20"/>
                <w:lang w:eastAsia="en-GB"/>
              </w:rPr>
            </w:pPr>
          </w:p>
        </w:tc>
        <w:tc>
          <w:tcPr>
            <w:tcW w:w="2800" w:type="dxa"/>
            <w:tcBorders>
              <w:top w:val="single" w:sz="4" w:space="0" w:color="44B3E1"/>
              <w:left w:val="nil"/>
              <w:bottom w:val="single" w:sz="4" w:space="0" w:color="44B3E1"/>
              <w:right w:val="single" w:sz="4" w:space="0" w:color="44B3E1"/>
            </w:tcBorders>
            <w:shd w:val="clear" w:color="C0E6F5" w:fill="C0E6F5"/>
            <w:noWrap/>
            <w:hideMark/>
          </w:tcPr>
          <w:p w14:paraId="7036DC8F"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Aptos Narrow" w:hAnsi="Aptos Narrow"/>
                <w:b/>
                <w:bCs/>
                <w:color w:val="000000"/>
                <w:sz w:val="20"/>
                <w:lang w:eastAsia="en-GB"/>
              </w:rPr>
            </w:pPr>
            <w:r w:rsidRPr="00EC2E34">
              <w:rPr>
                <w:rFonts w:ascii="Aptos Narrow" w:hAnsi="Aptos Narrow"/>
                <w:b/>
                <w:bCs/>
                <w:color w:val="000000"/>
                <w:sz w:val="20"/>
                <w:lang w:eastAsia="en-GB"/>
              </w:rPr>
              <w:t>17.92%</w:t>
            </w:r>
          </w:p>
        </w:tc>
      </w:tr>
      <w:tr w:rsidR="006E0056" w:rsidRPr="0022145F" w14:paraId="2FE04CA1" w14:textId="77777777" w:rsidTr="004B6E4B">
        <w:trPr>
          <w:trHeight w:val="300"/>
        </w:trPr>
        <w:tc>
          <w:tcPr>
            <w:tcW w:w="3256" w:type="dxa"/>
            <w:tcBorders>
              <w:top w:val="single" w:sz="4" w:space="0" w:color="44B3E1"/>
              <w:left w:val="single" w:sz="4" w:space="0" w:color="44B3E1"/>
              <w:bottom w:val="single" w:sz="4" w:space="0" w:color="44B3E1"/>
              <w:right w:val="nil"/>
            </w:tcBorders>
            <w:hideMark/>
          </w:tcPr>
          <w:p w14:paraId="5073326B"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ind w:firstLineChars="400" w:firstLine="800"/>
              <w:jc w:val="left"/>
              <w:textAlignment w:val="auto"/>
              <w:rPr>
                <w:rFonts w:ascii="Calibri" w:hAnsi="Calibri" w:cs="Calibri"/>
                <w:color w:val="000000"/>
                <w:sz w:val="20"/>
                <w:lang w:eastAsia="en-GB"/>
              </w:rPr>
            </w:pPr>
            <w:r w:rsidRPr="00EC2E34">
              <w:rPr>
                <w:rFonts w:ascii="Calibri" w:hAnsi="Calibri" w:cs="Calibri"/>
                <w:color w:val="000000"/>
                <w:sz w:val="20"/>
                <w:lang w:eastAsia="en-GB"/>
              </w:rPr>
              <w:t>Membership-driven</w:t>
            </w:r>
          </w:p>
        </w:tc>
        <w:tc>
          <w:tcPr>
            <w:tcW w:w="1740" w:type="dxa"/>
            <w:tcBorders>
              <w:top w:val="single" w:sz="4" w:space="0" w:color="44B3E1"/>
              <w:left w:val="nil"/>
              <w:bottom w:val="single" w:sz="4" w:space="0" w:color="44B3E1"/>
              <w:right w:val="nil"/>
            </w:tcBorders>
            <w:noWrap/>
            <w:hideMark/>
          </w:tcPr>
          <w:p w14:paraId="6E620763"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right"/>
              <w:textAlignment w:val="auto"/>
              <w:rPr>
                <w:rFonts w:ascii="Aptos Narrow" w:hAnsi="Aptos Narrow"/>
                <w:color w:val="000000"/>
                <w:sz w:val="20"/>
                <w:lang w:eastAsia="en-GB"/>
              </w:rPr>
            </w:pPr>
            <w:r w:rsidRPr="00EC2E34">
              <w:rPr>
                <w:rFonts w:ascii="Aptos Narrow" w:hAnsi="Aptos Narrow"/>
                <w:color w:val="000000"/>
                <w:sz w:val="20"/>
                <w:lang w:eastAsia="en-GB"/>
              </w:rPr>
              <w:t>15,000</w:t>
            </w:r>
          </w:p>
        </w:tc>
        <w:tc>
          <w:tcPr>
            <w:tcW w:w="3444" w:type="dxa"/>
            <w:tcBorders>
              <w:top w:val="single" w:sz="4" w:space="0" w:color="44B3E1"/>
              <w:left w:val="nil"/>
              <w:bottom w:val="single" w:sz="4" w:space="0" w:color="44B3E1"/>
              <w:right w:val="nil"/>
            </w:tcBorders>
            <w:noWrap/>
            <w:hideMark/>
          </w:tcPr>
          <w:p w14:paraId="41C25CF9"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Aptos Narrow" w:hAnsi="Aptos Narrow"/>
                <w:color w:val="000000"/>
                <w:sz w:val="20"/>
                <w:lang w:eastAsia="en-GB"/>
              </w:rPr>
            </w:pPr>
            <w:r w:rsidRPr="00EC2E34">
              <w:rPr>
                <w:rFonts w:ascii="Aptos Narrow" w:hAnsi="Aptos Narrow"/>
                <w:color w:val="000000"/>
                <w:sz w:val="20"/>
                <w:lang w:eastAsia="en-GB"/>
              </w:rPr>
              <w:t>2.2%</w:t>
            </w:r>
          </w:p>
        </w:tc>
        <w:tc>
          <w:tcPr>
            <w:tcW w:w="2800" w:type="dxa"/>
            <w:tcBorders>
              <w:top w:val="single" w:sz="4" w:space="0" w:color="44B3E1"/>
              <w:left w:val="nil"/>
              <w:bottom w:val="single" w:sz="4" w:space="0" w:color="44B3E1"/>
              <w:right w:val="single" w:sz="4" w:space="0" w:color="44B3E1"/>
            </w:tcBorders>
            <w:noWrap/>
            <w:hideMark/>
          </w:tcPr>
          <w:p w14:paraId="5875879C"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Aptos Narrow" w:hAnsi="Aptos Narrow"/>
                <w:color w:val="000000"/>
                <w:sz w:val="20"/>
                <w:lang w:eastAsia="en-GB"/>
              </w:rPr>
            </w:pPr>
            <w:r w:rsidRPr="00EC2E34">
              <w:rPr>
                <w:rFonts w:ascii="Aptos Narrow" w:hAnsi="Aptos Narrow"/>
                <w:color w:val="000000"/>
                <w:sz w:val="20"/>
                <w:lang w:eastAsia="en-GB"/>
              </w:rPr>
              <w:t>0.4%</w:t>
            </w:r>
          </w:p>
        </w:tc>
      </w:tr>
      <w:tr w:rsidR="006E0056" w:rsidRPr="0022145F" w14:paraId="43055765" w14:textId="77777777" w:rsidTr="004B6E4B">
        <w:trPr>
          <w:trHeight w:val="300"/>
        </w:trPr>
        <w:tc>
          <w:tcPr>
            <w:tcW w:w="3256" w:type="dxa"/>
            <w:tcBorders>
              <w:top w:val="single" w:sz="4" w:space="0" w:color="44B3E1"/>
              <w:left w:val="single" w:sz="4" w:space="0" w:color="44B3E1"/>
              <w:bottom w:val="single" w:sz="4" w:space="0" w:color="44B3E1"/>
              <w:right w:val="nil"/>
            </w:tcBorders>
            <w:shd w:val="clear" w:color="C0E6F5" w:fill="C0E6F5"/>
            <w:hideMark/>
          </w:tcPr>
          <w:p w14:paraId="4AE897FA"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ind w:firstLineChars="400" w:firstLine="800"/>
              <w:jc w:val="left"/>
              <w:textAlignment w:val="auto"/>
              <w:rPr>
                <w:rFonts w:ascii="Calibri" w:hAnsi="Calibri" w:cs="Calibri"/>
                <w:color w:val="000000"/>
                <w:sz w:val="20"/>
                <w:lang w:eastAsia="en-GB"/>
              </w:rPr>
            </w:pPr>
            <w:r w:rsidRPr="00EC2E34">
              <w:rPr>
                <w:rFonts w:ascii="Calibri" w:hAnsi="Calibri" w:cs="Calibri"/>
                <w:color w:val="000000"/>
                <w:sz w:val="20"/>
                <w:lang w:eastAsia="en-GB"/>
              </w:rPr>
              <w:t>Regional presence</w:t>
            </w:r>
          </w:p>
        </w:tc>
        <w:tc>
          <w:tcPr>
            <w:tcW w:w="1740" w:type="dxa"/>
            <w:tcBorders>
              <w:top w:val="single" w:sz="4" w:space="0" w:color="44B3E1"/>
              <w:left w:val="nil"/>
              <w:bottom w:val="single" w:sz="4" w:space="0" w:color="44B3E1"/>
              <w:right w:val="nil"/>
            </w:tcBorders>
            <w:shd w:val="clear" w:color="C0E6F5" w:fill="C0E6F5"/>
            <w:noWrap/>
            <w:hideMark/>
          </w:tcPr>
          <w:p w14:paraId="581B2357"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right"/>
              <w:textAlignment w:val="auto"/>
              <w:rPr>
                <w:rFonts w:ascii="Aptos Narrow" w:hAnsi="Aptos Narrow"/>
                <w:color w:val="000000"/>
                <w:sz w:val="20"/>
                <w:lang w:eastAsia="en-GB"/>
              </w:rPr>
            </w:pPr>
            <w:r w:rsidRPr="00EC2E34">
              <w:rPr>
                <w:rFonts w:ascii="Aptos Narrow" w:hAnsi="Aptos Narrow"/>
                <w:color w:val="000000"/>
                <w:sz w:val="20"/>
                <w:lang w:eastAsia="en-GB"/>
              </w:rPr>
              <w:t>82,500</w:t>
            </w:r>
          </w:p>
        </w:tc>
        <w:tc>
          <w:tcPr>
            <w:tcW w:w="3444" w:type="dxa"/>
            <w:tcBorders>
              <w:top w:val="single" w:sz="4" w:space="0" w:color="44B3E1"/>
              <w:left w:val="nil"/>
              <w:bottom w:val="single" w:sz="4" w:space="0" w:color="44B3E1"/>
              <w:right w:val="nil"/>
            </w:tcBorders>
            <w:shd w:val="clear" w:color="C0E6F5" w:fill="C0E6F5"/>
            <w:noWrap/>
            <w:hideMark/>
          </w:tcPr>
          <w:p w14:paraId="2427B26C"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Aptos Narrow" w:hAnsi="Aptos Narrow"/>
                <w:color w:val="000000"/>
                <w:sz w:val="20"/>
                <w:lang w:eastAsia="en-GB"/>
              </w:rPr>
            </w:pPr>
            <w:r w:rsidRPr="00EC2E34">
              <w:rPr>
                <w:rFonts w:ascii="Aptos Narrow" w:hAnsi="Aptos Narrow"/>
                <w:color w:val="000000"/>
                <w:sz w:val="20"/>
                <w:lang w:eastAsia="en-GB"/>
              </w:rPr>
              <w:t>12.1%</w:t>
            </w:r>
          </w:p>
        </w:tc>
        <w:tc>
          <w:tcPr>
            <w:tcW w:w="2800" w:type="dxa"/>
            <w:tcBorders>
              <w:top w:val="single" w:sz="4" w:space="0" w:color="44B3E1"/>
              <w:left w:val="nil"/>
              <w:bottom w:val="single" w:sz="4" w:space="0" w:color="44B3E1"/>
              <w:right w:val="single" w:sz="4" w:space="0" w:color="44B3E1"/>
            </w:tcBorders>
            <w:shd w:val="clear" w:color="C0E6F5" w:fill="C0E6F5"/>
            <w:noWrap/>
            <w:hideMark/>
          </w:tcPr>
          <w:p w14:paraId="21F4AFB4"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Aptos Narrow" w:hAnsi="Aptos Narrow"/>
                <w:color w:val="000000"/>
                <w:sz w:val="20"/>
                <w:lang w:eastAsia="en-GB"/>
              </w:rPr>
            </w:pPr>
            <w:r w:rsidRPr="00EC2E34">
              <w:rPr>
                <w:rFonts w:ascii="Aptos Narrow" w:hAnsi="Aptos Narrow"/>
                <w:color w:val="000000"/>
                <w:sz w:val="20"/>
                <w:lang w:eastAsia="en-GB"/>
              </w:rPr>
              <w:t>2.2%</w:t>
            </w:r>
          </w:p>
        </w:tc>
      </w:tr>
      <w:tr w:rsidR="006E0056" w:rsidRPr="0022145F" w14:paraId="58712E26" w14:textId="77777777" w:rsidTr="004B6E4B">
        <w:trPr>
          <w:trHeight w:val="300"/>
        </w:trPr>
        <w:tc>
          <w:tcPr>
            <w:tcW w:w="3256" w:type="dxa"/>
            <w:tcBorders>
              <w:top w:val="single" w:sz="4" w:space="0" w:color="44B3E1"/>
              <w:left w:val="single" w:sz="4" w:space="0" w:color="44B3E1"/>
              <w:bottom w:val="single" w:sz="4" w:space="0" w:color="44B3E1"/>
              <w:right w:val="nil"/>
            </w:tcBorders>
            <w:hideMark/>
          </w:tcPr>
          <w:p w14:paraId="3EF690B6"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ind w:firstLineChars="400" w:firstLine="800"/>
              <w:jc w:val="left"/>
              <w:textAlignment w:val="auto"/>
              <w:rPr>
                <w:rFonts w:ascii="Calibri" w:hAnsi="Calibri" w:cs="Calibri"/>
                <w:color w:val="000000"/>
                <w:sz w:val="20"/>
                <w:lang w:eastAsia="en-GB"/>
              </w:rPr>
            </w:pPr>
            <w:r w:rsidRPr="00EC2E34">
              <w:rPr>
                <w:rFonts w:ascii="Calibri" w:hAnsi="Calibri" w:cs="Calibri"/>
                <w:color w:val="000000"/>
                <w:sz w:val="20"/>
                <w:lang w:eastAsia="en-GB"/>
              </w:rPr>
              <w:t>Support services</w:t>
            </w:r>
          </w:p>
        </w:tc>
        <w:tc>
          <w:tcPr>
            <w:tcW w:w="1740" w:type="dxa"/>
            <w:tcBorders>
              <w:top w:val="single" w:sz="4" w:space="0" w:color="44B3E1"/>
              <w:left w:val="nil"/>
              <w:bottom w:val="single" w:sz="4" w:space="0" w:color="44B3E1"/>
              <w:right w:val="nil"/>
            </w:tcBorders>
            <w:noWrap/>
            <w:hideMark/>
          </w:tcPr>
          <w:p w14:paraId="141A79DA"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right"/>
              <w:textAlignment w:val="auto"/>
              <w:rPr>
                <w:rFonts w:ascii="Aptos Narrow" w:hAnsi="Aptos Narrow"/>
                <w:color w:val="000000"/>
                <w:sz w:val="20"/>
                <w:lang w:eastAsia="en-GB"/>
              </w:rPr>
            </w:pPr>
            <w:r w:rsidRPr="00EC2E34">
              <w:rPr>
                <w:rFonts w:ascii="Aptos Narrow" w:hAnsi="Aptos Narrow"/>
                <w:color w:val="000000"/>
                <w:sz w:val="20"/>
                <w:lang w:eastAsia="en-GB"/>
              </w:rPr>
              <w:t>535,615</w:t>
            </w:r>
          </w:p>
        </w:tc>
        <w:tc>
          <w:tcPr>
            <w:tcW w:w="3444" w:type="dxa"/>
            <w:tcBorders>
              <w:top w:val="single" w:sz="4" w:space="0" w:color="44B3E1"/>
              <w:left w:val="nil"/>
              <w:bottom w:val="single" w:sz="4" w:space="0" w:color="44B3E1"/>
              <w:right w:val="nil"/>
            </w:tcBorders>
            <w:noWrap/>
            <w:hideMark/>
          </w:tcPr>
          <w:p w14:paraId="56C14A9B"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EC2E34">
              <w:rPr>
                <w:rFonts w:ascii="Calibri" w:hAnsi="Calibri" w:cs="Calibri"/>
                <w:color w:val="000000"/>
                <w:sz w:val="20"/>
                <w:lang w:eastAsia="en-GB"/>
              </w:rPr>
              <w:t>78.4%</w:t>
            </w:r>
          </w:p>
        </w:tc>
        <w:tc>
          <w:tcPr>
            <w:tcW w:w="2800" w:type="dxa"/>
            <w:tcBorders>
              <w:top w:val="single" w:sz="4" w:space="0" w:color="44B3E1"/>
              <w:left w:val="nil"/>
              <w:bottom w:val="single" w:sz="4" w:space="0" w:color="44B3E1"/>
              <w:right w:val="single" w:sz="4" w:space="0" w:color="44B3E1"/>
            </w:tcBorders>
            <w:noWrap/>
            <w:hideMark/>
          </w:tcPr>
          <w:p w14:paraId="5057EECE"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EC2E34">
              <w:rPr>
                <w:rFonts w:ascii="Calibri" w:hAnsi="Calibri" w:cs="Calibri"/>
                <w:color w:val="000000"/>
                <w:sz w:val="20"/>
                <w:lang w:eastAsia="en-GB"/>
              </w:rPr>
              <w:t>14.0%</w:t>
            </w:r>
          </w:p>
        </w:tc>
      </w:tr>
      <w:tr w:rsidR="006E0056" w:rsidRPr="0022145F" w14:paraId="083562D3" w14:textId="77777777" w:rsidTr="004B6E4B">
        <w:trPr>
          <w:trHeight w:val="300"/>
        </w:trPr>
        <w:tc>
          <w:tcPr>
            <w:tcW w:w="3256" w:type="dxa"/>
            <w:tcBorders>
              <w:top w:val="single" w:sz="4" w:space="0" w:color="44B3E1"/>
              <w:left w:val="single" w:sz="4" w:space="0" w:color="44B3E1"/>
              <w:bottom w:val="single" w:sz="4" w:space="0" w:color="44B3E1"/>
              <w:right w:val="nil"/>
            </w:tcBorders>
            <w:shd w:val="clear" w:color="C0E6F5" w:fill="C0E6F5"/>
            <w:hideMark/>
          </w:tcPr>
          <w:p w14:paraId="0904556E"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ind w:firstLineChars="400" w:firstLine="800"/>
              <w:jc w:val="left"/>
              <w:textAlignment w:val="auto"/>
              <w:rPr>
                <w:rFonts w:ascii="Calibri" w:hAnsi="Calibri" w:cs="Calibri"/>
                <w:color w:val="000000"/>
                <w:sz w:val="20"/>
                <w:lang w:eastAsia="en-GB"/>
              </w:rPr>
            </w:pPr>
            <w:r w:rsidRPr="00EC2E34">
              <w:rPr>
                <w:rFonts w:ascii="Calibri" w:hAnsi="Calibri" w:cs="Calibri"/>
                <w:color w:val="000000"/>
                <w:sz w:val="20"/>
                <w:lang w:eastAsia="en-GB"/>
              </w:rPr>
              <w:t xml:space="preserve">Project Management </w:t>
            </w:r>
          </w:p>
        </w:tc>
        <w:tc>
          <w:tcPr>
            <w:tcW w:w="1740" w:type="dxa"/>
            <w:tcBorders>
              <w:top w:val="single" w:sz="4" w:space="0" w:color="44B3E1"/>
              <w:left w:val="nil"/>
              <w:bottom w:val="single" w:sz="4" w:space="0" w:color="44B3E1"/>
              <w:right w:val="nil"/>
            </w:tcBorders>
            <w:shd w:val="clear" w:color="C0E6F5" w:fill="C0E6F5"/>
            <w:noWrap/>
            <w:hideMark/>
          </w:tcPr>
          <w:p w14:paraId="064E067A"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eastAsia="en-GB"/>
              </w:rPr>
            </w:pPr>
            <w:r w:rsidRPr="00EC2E34">
              <w:rPr>
                <w:rFonts w:ascii="Calibri" w:hAnsi="Calibri" w:cs="Calibri"/>
                <w:color w:val="000000"/>
                <w:sz w:val="20"/>
                <w:lang w:eastAsia="en-GB"/>
              </w:rPr>
              <w:t>50,000</w:t>
            </w:r>
          </w:p>
        </w:tc>
        <w:tc>
          <w:tcPr>
            <w:tcW w:w="3444" w:type="dxa"/>
            <w:tcBorders>
              <w:top w:val="single" w:sz="4" w:space="0" w:color="44B3E1"/>
              <w:left w:val="nil"/>
              <w:bottom w:val="single" w:sz="4" w:space="0" w:color="44B3E1"/>
              <w:right w:val="nil"/>
            </w:tcBorders>
            <w:shd w:val="clear" w:color="C0E6F5" w:fill="C0E6F5"/>
            <w:noWrap/>
            <w:hideMark/>
          </w:tcPr>
          <w:p w14:paraId="7A5B1B8E"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EC2E34">
              <w:rPr>
                <w:rFonts w:ascii="Calibri" w:hAnsi="Calibri" w:cs="Calibri"/>
                <w:color w:val="000000"/>
                <w:sz w:val="20"/>
                <w:lang w:eastAsia="en-GB"/>
              </w:rPr>
              <w:t>7.3%</w:t>
            </w:r>
          </w:p>
        </w:tc>
        <w:tc>
          <w:tcPr>
            <w:tcW w:w="2800" w:type="dxa"/>
            <w:tcBorders>
              <w:top w:val="single" w:sz="4" w:space="0" w:color="44B3E1"/>
              <w:left w:val="nil"/>
              <w:bottom w:val="single" w:sz="4" w:space="0" w:color="44B3E1"/>
              <w:right w:val="single" w:sz="4" w:space="0" w:color="44B3E1"/>
            </w:tcBorders>
            <w:shd w:val="clear" w:color="C0E6F5" w:fill="C0E6F5"/>
            <w:noWrap/>
            <w:hideMark/>
          </w:tcPr>
          <w:p w14:paraId="143D215B" w14:textId="77777777" w:rsidR="00B1629D" w:rsidRPr="00EC2E34" w:rsidRDefault="00B1629D" w:rsidP="00826DD0">
            <w:pPr>
              <w:keepNext/>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eastAsia="en-GB"/>
              </w:rPr>
            </w:pPr>
            <w:r w:rsidRPr="00EC2E34">
              <w:rPr>
                <w:rFonts w:ascii="Calibri" w:hAnsi="Calibri" w:cs="Calibri"/>
                <w:color w:val="000000"/>
                <w:sz w:val="20"/>
                <w:lang w:eastAsia="en-GB"/>
              </w:rPr>
              <w:t>1.3%</w:t>
            </w:r>
          </w:p>
        </w:tc>
      </w:tr>
    </w:tbl>
    <w:p w14:paraId="00C9F2D9" w14:textId="7A974044" w:rsidR="00E5677F" w:rsidRDefault="00FB0CEA" w:rsidP="004556FB">
      <w:pPr>
        <w:tabs>
          <w:tab w:val="clear" w:pos="794"/>
          <w:tab w:val="clear" w:pos="1191"/>
          <w:tab w:val="clear" w:pos="1588"/>
          <w:tab w:val="clear" w:pos="1985"/>
        </w:tabs>
        <w:overflowPunct/>
        <w:autoSpaceDE/>
        <w:autoSpaceDN/>
        <w:adjustRightInd/>
        <w:spacing w:before="0"/>
        <w:textAlignment w:val="auto"/>
      </w:pPr>
      <w:r w:rsidRPr="00FB0CEA">
        <w:t xml:space="preserve">As part of </w:t>
      </w:r>
      <w:r w:rsidR="00D12F5A">
        <w:t>BDT’s</w:t>
      </w:r>
      <w:r w:rsidRPr="00FB0CEA">
        <w:t xml:space="preserve"> ongoing efforts to enhance operational efficiency,</w:t>
      </w:r>
      <w:r w:rsidR="00D10180">
        <w:t xml:space="preserve"> </w:t>
      </w:r>
      <w:r w:rsidR="0013583F">
        <w:t>transparency</w:t>
      </w:r>
      <w:r w:rsidR="00D10180">
        <w:t xml:space="preserve"> and </w:t>
      </w:r>
      <w:r w:rsidR="00962905">
        <w:t xml:space="preserve">accountability, </w:t>
      </w:r>
      <w:r w:rsidR="00962905" w:rsidRPr="00FB0CEA">
        <w:t>a</w:t>
      </w:r>
      <w:r w:rsidR="00EF3B6B">
        <w:t xml:space="preserve"> structured</w:t>
      </w:r>
      <w:r w:rsidRPr="00FB0CEA">
        <w:t xml:space="preserve"> </w:t>
      </w:r>
      <w:r w:rsidRPr="0022145F">
        <w:rPr>
          <w:b/>
          <w:bCs/>
        </w:rPr>
        <w:t>internal process mapping</w:t>
      </w:r>
      <w:r w:rsidRPr="00FB0CEA">
        <w:t xml:space="preserve"> </w:t>
      </w:r>
      <w:r w:rsidR="007070C1">
        <w:t xml:space="preserve">initiative </w:t>
      </w:r>
      <w:r w:rsidR="00D12F5A">
        <w:t xml:space="preserve">is being </w:t>
      </w:r>
      <w:r w:rsidR="00084483">
        <w:t>undertaken</w:t>
      </w:r>
      <w:r w:rsidR="00507E32">
        <w:t xml:space="preserve"> </w:t>
      </w:r>
      <w:r w:rsidRPr="00FB0CEA">
        <w:t>across key functions</w:t>
      </w:r>
      <w:r w:rsidR="003D4332">
        <w:t xml:space="preserve"> in </w:t>
      </w:r>
      <w:r w:rsidR="00785863">
        <w:t xml:space="preserve">the </w:t>
      </w:r>
      <w:r w:rsidR="003D4332">
        <w:t>bureau</w:t>
      </w:r>
      <w:r w:rsidRPr="00FB0CEA">
        <w:t>.</w:t>
      </w:r>
      <w:r w:rsidR="00785863">
        <w:t xml:space="preserve"> </w:t>
      </w:r>
      <w:r w:rsidR="00507E32">
        <w:t>Delivered</w:t>
      </w:r>
      <w:r w:rsidR="006F0EBF">
        <w:t xml:space="preserve"> through </w:t>
      </w:r>
      <w:r w:rsidR="00507E32">
        <w:t xml:space="preserve">a </w:t>
      </w:r>
      <w:r w:rsidR="0025118B">
        <w:t>phase</w:t>
      </w:r>
      <w:r w:rsidR="00507E32">
        <w:t>d</w:t>
      </w:r>
      <w:r w:rsidR="00EF3B6B">
        <w:t xml:space="preserve"> </w:t>
      </w:r>
      <w:r w:rsidR="00507E32">
        <w:t>and</w:t>
      </w:r>
      <w:r w:rsidR="009C5ECA">
        <w:t xml:space="preserve"> </w:t>
      </w:r>
      <w:r w:rsidR="006F0EBF">
        <w:t>evi</w:t>
      </w:r>
      <w:r w:rsidR="0025118B">
        <w:t>den</w:t>
      </w:r>
      <w:r w:rsidR="006F0EBF">
        <w:t xml:space="preserve">ce-based </w:t>
      </w:r>
      <w:r w:rsidR="0025118B">
        <w:t>approach</w:t>
      </w:r>
      <w:r w:rsidR="00A77F99">
        <w:t xml:space="preserve">, the initiative </w:t>
      </w:r>
      <w:r w:rsidR="000C5542" w:rsidRPr="000C5542">
        <w:t>ensures that</w:t>
      </w:r>
      <w:r w:rsidR="009C5ECA">
        <w:t xml:space="preserve"> proposed</w:t>
      </w:r>
      <w:r w:rsidR="000C5542" w:rsidRPr="000C5542">
        <w:t xml:space="preserve"> improvements are </w:t>
      </w:r>
      <w:r w:rsidR="00A77F99">
        <w:t>informed by</w:t>
      </w:r>
      <w:r w:rsidR="000C5542" w:rsidRPr="000C5542">
        <w:t xml:space="preserve"> a thorough understanding of current practices</w:t>
      </w:r>
      <w:r w:rsidR="009C608F">
        <w:t>.</w:t>
      </w:r>
      <w:r w:rsidR="00FB4578">
        <w:t xml:space="preserve"> Complementing the 2024 r</w:t>
      </w:r>
      <w:r w:rsidR="00377E7E">
        <w:t>ealignment, t</w:t>
      </w:r>
      <w:r w:rsidR="00377E7E" w:rsidRPr="00377E7E">
        <w:t xml:space="preserve">he </w:t>
      </w:r>
      <w:r w:rsidR="005D3664">
        <w:t>work</w:t>
      </w:r>
      <w:r w:rsidR="00377E7E" w:rsidRPr="00377E7E">
        <w:t xml:space="preserve"> is expected </w:t>
      </w:r>
      <w:r w:rsidR="00962905">
        <w:t xml:space="preserve">to enhance </w:t>
      </w:r>
      <w:r w:rsidR="00C51A87">
        <w:t xml:space="preserve">quality, </w:t>
      </w:r>
      <w:r w:rsidR="00C51A87" w:rsidRPr="00377E7E">
        <w:t>strengthen</w:t>
      </w:r>
      <w:r w:rsidR="00377E7E" w:rsidRPr="00377E7E">
        <w:t xml:space="preserve"> coordination and better align operations with BDT’s strategic objectives.</w:t>
      </w:r>
    </w:p>
    <w:p w14:paraId="2AE7CF28" w14:textId="41B83BC9" w:rsidR="00B4461A" w:rsidRPr="00D11856" w:rsidRDefault="00F8327D" w:rsidP="00CD17E8">
      <w:pPr>
        <w:tabs>
          <w:tab w:val="clear" w:pos="794"/>
          <w:tab w:val="clear" w:pos="1191"/>
          <w:tab w:val="clear" w:pos="1588"/>
          <w:tab w:val="clear" w:pos="1985"/>
        </w:tabs>
        <w:overflowPunct/>
        <w:autoSpaceDE/>
        <w:autoSpaceDN/>
        <w:adjustRightInd/>
        <w:spacing w:before="0"/>
        <w:jc w:val="center"/>
        <w:textAlignment w:val="auto"/>
      </w:pPr>
      <w:r>
        <w:t>_____________</w:t>
      </w:r>
    </w:p>
    <w:sectPr w:rsidR="00B4461A" w:rsidRPr="00D11856" w:rsidSect="004556FB">
      <w:headerReference w:type="first" r:id="rId24"/>
      <w:type w:val="continuous"/>
      <w:pgSz w:w="16838" w:h="11906" w:orient="landscape" w:code="9"/>
      <w:pgMar w:top="510" w:right="1412" w:bottom="567" w:left="1412" w:header="567"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39B30" w14:textId="77777777" w:rsidR="00C16119" w:rsidRDefault="00C16119">
      <w:r>
        <w:separator/>
      </w:r>
    </w:p>
  </w:endnote>
  <w:endnote w:type="continuationSeparator" w:id="0">
    <w:p w14:paraId="002C5818" w14:textId="77777777" w:rsidR="00C16119" w:rsidRDefault="00C16119">
      <w:r>
        <w:continuationSeparator/>
      </w:r>
    </w:p>
  </w:endnote>
  <w:endnote w:type="continuationNotice" w:id="1">
    <w:p w14:paraId="653EAABF" w14:textId="77777777" w:rsidR="00C16119" w:rsidRDefault="00C1611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E7F9" w14:textId="77777777" w:rsidR="0059420B" w:rsidRDefault="0059420B" w:rsidP="00B80157">
    <w:pPr>
      <w:pStyle w:val="Footer"/>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3EF1B" w14:textId="77777777" w:rsidR="00C16119" w:rsidRDefault="00C16119">
      <w:r>
        <w:t>____________________</w:t>
      </w:r>
    </w:p>
  </w:footnote>
  <w:footnote w:type="continuationSeparator" w:id="0">
    <w:p w14:paraId="43777423" w14:textId="77777777" w:rsidR="00C16119" w:rsidRDefault="00C16119">
      <w:r>
        <w:continuationSeparator/>
      </w:r>
    </w:p>
  </w:footnote>
  <w:footnote w:type="continuationNotice" w:id="1">
    <w:p w14:paraId="55BE64BD" w14:textId="77777777" w:rsidR="00C16119" w:rsidRDefault="00C16119">
      <w:pPr>
        <w:spacing w:before="0"/>
      </w:pPr>
    </w:p>
  </w:footnote>
  <w:footnote w:id="2">
    <w:p w14:paraId="08A44202" w14:textId="050A671A" w:rsidR="006E51AD" w:rsidRPr="001A371B" w:rsidRDefault="006E51AD" w:rsidP="001A371B">
      <w:pPr>
        <w:pStyle w:val="FootnoteText"/>
        <w:spacing w:before="0"/>
        <w:ind w:left="0" w:firstLine="0"/>
        <w:rPr>
          <w:sz w:val="20"/>
          <w:lang w:val="en-US"/>
        </w:rPr>
      </w:pPr>
      <w:r w:rsidRPr="001A371B">
        <w:rPr>
          <w:rStyle w:val="FootnoteReference"/>
          <w:sz w:val="20"/>
        </w:rPr>
        <w:footnoteRef/>
      </w:r>
      <w:r w:rsidRPr="001A371B">
        <w:rPr>
          <w:sz w:val="20"/>
        </w:rPr>
        <w:t xml:space="preserve"> </w:t>
      </w:r>
      <w:r w:rsidRPr="001A371B">
        <w:rPr>
          <w:sz w:val="20"/>
          <w:lang w:val="en-US"/>
        </w:rPr>
        <w:t>See output indic</w:t>
      </w:r>
      <w:r w:rsidR="00FF366A" w:rsidRPr="001A371B">
        <w:rPr>
          <w:sz w:val="20"/>
          <w:lang w:val="en-US"/>
        </w:rPr>
        <w:t>a</w:t>
      </w:r>
      <w:r w:rsidRPr="001A371B">
        <w:rPr>
          <w:sz w:val="20"/>
          <w:lang w:val="en-US"/>
        </w:rPr>
        <w:t xml:space="preserve">tors on </w:t>
      </w:r>
      <w:r w:rsidR="00FF366A" w:rsidRPr="001A371B">
        <w:rPr>
          <w:sz w:val="20"/>
          <w:lang w:val="en-US"/>
        </w:rPr>
        <w:t xml:space="preserve">page 17 of this document. </w:t>
      </w:r>
    </w:p>
  </w:footnote>
  <w:footnote w:id="3">
    <w:p w14:paraId="1FF38AD8" w14:textId="647621E2" w:rsidR="00432F8E" w:rsidRPr="001A371B" w:rsidRDefault="00432F8E" w:rsidP="001A371B">
      <w:pPr>
        <w:tabs>
          <w:tab w:val="clear" w:pos="794"/>
          <w:tab w:val="clear" w:pos="1191"/>
          <w:tab w:val="clear" w:pos="1588"/>
          <w:tab w:val="clear" w:pos="1985"/>
        </w:tabs>
        <w:overflowPunct/>
        <w:autoSpaceDE/>
        <w:autoSpaceDN/>
        <w:adjustRightInd/>
        <w:spacing w:before="0"/>
        <w:jc w:val="left"/>
        <w:textAlignment w:val="auto"/>
        <w:rPr>
          <w:sz w:val="20"/>
          <w:lang w:val="en-US"/>
        </w:rPr>
      </w:pPr>
      <w:r w:rsidRPr="001A371B">
        <w:rPr>
          <w:rStyle w:val="FootnoteReference"/>
          <w:sz w:val="20"/>
        </w:rPr>
        <w:footnoteRef/>
      </w:r>
      <w:r w:rsidRPr="001A371B">
        <w:rPr>
          <w:sz w:val="20"/>
        </w:rPr>
        <w:t xml:space="preserve"> </w:t>
      </w:r>
      <w:r w:rsidRPr="001A371B">
        <w:rPr>
          <w:sz w:val="20"/>
          <w:lang w:val="en-US"/>
        </w:rPr>
        <w:t>The outcome indicators are currently being refined, in alignment with the ITU strategic plan, to better reflect the results to be achieved</w:t>
      </w:r>
      <w:r w:rsidRPr="001A371B" w:rsidDel="00B65DA8">
        <w:rPr>
          <w:sz w:val="20"/>
          <w:lang w:val="en-US"/>
        </w:rPr>
        <w:t xml:space="preserve"> </w:t>
      </w:r>
    </w:p>
    <w:p w14:paraId="519BEF21" w14:textId="5D2230CC" w:rsidR="00432F8E" w:rsidRPr="001A371B" w:rsidRDefault="00432F8E" w:rsidP="001A371B">
      <w:pPr>
        <w:pStyle w:val="FootnoteText"/>
        <w:spacing w:before="0"/>
        <w:ind w:left="0" w:firstLine="0"/>
        <w:rPr>
          <w:sz w:val="20"/>
          <w:lang w:val="en-US"/>
        </w:rPr>
      </w:pPr>
    </w:p>
  </w:footnote>
  <w:footnote w:id="4">
    <w:p w14:paraId="26967892" w14:textId="43A5E4BD" w:rsidR="00432F8E" w:rsidRPr="001A371B" w:rsidRDefault="00432F8E" w:rsidP="001A371B">
      <w:pPr>
        <w:pStyle w:val="FootnoteText"/>
        <w:spacing w:before="0"/>
        <w:ind w:left="0" w:firstLine="0"/>
        <w:rPr>
          <w:sz w:val="20"/>
          <w:lang w:val="en-US"/>
        </w:rPr>
      </w:pPr>
      <w:r w:rsidRPr="001A371B">
        <w:rPr>
          <w:rStyle w:val="FootnoteReference"/>
          <w:sz w:val="20"/>
        </w:rPr>
        <w:footnoteRef/>
      </w:r>
      <w:r w:rsidRPr="001A371B">
        <w:rPr>
          <w:sz w:val="20"/>
        </w:rPr>
        <w:t xml:space="preserve"> </w:t>
      </w:r>
      <w:r w:rsidR="00B8372C" w:rsidRPr="001A371B">
        <w:rPr>
          <w:sz w:val="20"/>
        </w:rPr>
        <w:t>This</w:t>
      </w:r>
      <w:r w:rsidR="009E7F58" w:rsidRPr="001A371B">
        <w:rPr>
          <w:sz w:val="20"/>
        </w:rPr>
        <w:t xml:space="preserve"> priority is </w:t>
      </w:r>
      <w:r w:rsidR="00883A77" w:rsidRPr="001A371B">
        <w:rPr>
          <w:sz w:val="20"/>
        </w:rPr>
        <w:t xml:space="preserve">achieved through BDT’s efforts </w:t>
      </w:r>
      <w:r w:rsidR="00B8372C" w:rsidRPr="001A371B">
        <w:rPr>
          <w:sz w:val="20"/>
        </w:rPr>
        <w:t xml:space="preserve">to </w:t>
      </w:r>
      <w:r w:rsidR="001B724E" w:rsidRPr="001A371B">
        <w:rPr>
          <w:sz w:val="20"/>
        </w:rPr>
        <w:t>mobiliz</w:t>
      </w:r>
      <w:r w:rsidR="00B8372C" w:rsidRPr="001A371B">
        <w:rPr>
          <w:sz w:val="20"/>
        </w:rPr>
        <w:t>e</w:t>
      </w:r>
      <w:r w:rsidR="001B724E" w:rsidRPr="001A371B">
        <w:rPr>
          <w:sz w:val="20"/>
        </w:rPr>
        <w:t xml:space="preserve"> </w:t>
      </w:r>
      <w:r w:rsidR="00FE5F29" w:rsidRPr="001A371B">
        <w:rPr>
          <w:sz w:val="20"/>
        </w:rPr>
        <w:t>resources, attract</w:t>
      </w:r>
      <w:r w:rsidR="00B8372C" w:rsidRPr="001A371B">
        <w:rPr>
          <w:sz w:val="20"/>
        </w:rPr>
        <w:t xml:space="preserve"> </w:t>
      </w:r>
      <w:r w:rsidR="00FE5F29" w:rsidRPr="001A371B">
        <w:rPr>
          <w:sz w:val="20"/>
        </w:rPr>
        <w:t>new partners and main</w:t>
      </w:r>
      <w:r w:rsidR="00B8372C" w:rsidRPr="001A371B">
        <w:rPr>
          <w:sz w:val="20"/>
        </w:rPr>
        <w:t xml:space="preserve">tain </w:t>
      </w:r>
      <w:r w:rsidR="00FE5F29" w:rsidRPr="001A371B">
        <w:rPr>
          <w:sz w:val="20"/>
        </w:rPr>
        <w:t xml:space="preserve">existing ones. </w:t>
      </w:r>
      <w:r w:rsidR="00B8372C" w:rsidRPr="001A371B">
        <w:rPr>
          <w:sz w:val="20"/>
        </w:rPr>
        <w:t xml:space="preserve">Progress </w:t>
      </w:r>
      <w:r w:rsidR="00A1571F" w:rsidRPr="001A371B">
        <w:rPr>
          <w:sz w:val="20"/>
        </w:rPr>
        <w:t xml:space="preserve">is </w:t>
      </w:r>
      <w:r w:rsidR="00804678" w:rsidRPr="001A371B">
        <w:rPr>
          <w:sz w:val="20"/>
        </w:rPr>
        <w:t xml:space="preserve">thus </w:t>
      </w:r>
      <w:r w:rsidR="00B8372C" w:rsidRPr="001A371B">
        <w:rPr>
          <w:sz w:val="20"/>
        </w:rPr>
        <w:t>measured through</w:t>
      </w:r>
      <w:r w:rsidR="006F5FE8" w:rsidRPr="001A371B">
        <w:rPr>
          <w:sz w:val="20"/>
        </w:rPr>
        <w:t xml:space="preserve"> </w:t>
      </w:r>
      <w:r w:rsidR="00B8372C" w:rsidRPr="001A371B">
        <w:rPr>
          <w:sz w:val="20"/>
        </w:rPr>
        <w:t>‘outputs’</w:t>
      </w:r>
      <w:r w:rsidR="000A42BE" w:rsidRPr="001A371B">
        <w:rPr>
          <w:sz w:val="20"/>
        </w:rPr>
        <w:t xml:space="preserve"> indicators</w:t>
      </w:r>
      <w:r w:rsidR="006F5FE8" w:rsidRPr="001A371B">
        <w:rPr>
          <w:sz w:val="20"/>
        </w:rPr>
        <w:t>.</w:t>
      </w:r>
      <w:r w:rsidR="009E7F58" w:rsidRPr="001A371B">
        <w:rPr>
          <w:sz w:val="20"/>
        </w:rPr>
        <w:t xml:space="preserve"> </w:t>
      </w:r>
    </w:p>
  </w:footnote>
  <w:footnote w:id="5">
    <w:p w14:paraId="7ED1019D" w14:textId="44458386" w:rsidR="00D6758B" w:rsidRPr="001A371B" w:rsidRDefault="00D6758B" w:rsidP="001A371B">
      <w:pPr>
        <w:spacing w:before="0"/>
        <w:rPr>
          <w:sz w:val="20"/>
        </w:rPr>
      </w:pPr>
      <w:r w:rsidRPr="001A371B">
        <w:rPr>
          <w:rStyle w:val="FootnoteReference"/>
          <w:sz w:val="20"/>
        </w:rPr>
        <w:footnoteRef/>
      </w:r>
      <w:r w:rsidRPr="001A371B">
        <w:rPr>
          <w:sz w:val="20"/>
        </w:rPr>
        <w:t xml:space="preserve"> </w:t>
      </w:r>
      <w:r w:rsidR="00790F91" w:rsidRPr="001A371B">
        <w:rPr>
          <w:sz w:val="20"/>
        </w:rPr>
        <w:t xml:space="preserve">Indicator baselines and targets will be made available in the ITU-D Operational Plan (OP) interactive dashboards.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FE77" w14:textId="6AEE532B" w:rsidR="00721657" w:rsidRPr="00E91562" w:rsidRDefault="00E91562" w:rsidP="00E91562">
    <w:pPr>
      <w:tabs>
        <w:tab w:val="clear" w:pos="794"/>
        <w:tab w:val="clear" w:pos="1191"/>
        <w:tab w:val="clear" w:pos="1588"/>
        <w:tab w:val="clear" w:pos="1985"/>
        <w:tab w:val="center" w:pos="4820"/>
        <w:tab w:val="right" w:pos="13892"/>
      </w:tabs>
      <w:ind w:right="1"/>
      <w:jc w:val="left"/>
      <w:rPr>
        <w:rStyle w:val="PageNumber"/>
        <w:smallCaps/>
        <w:spacing w:val="24"/>
        <w:sz w:val="22"/>
        <w:szCs w:val="22"/>
        <w:lang w:val="pt-BR"/>
      </w:rPr>
    </w:pPr>
    <w:r>
      <w:rPr>
        <w:sz w:val="22"/>
        <w:szCs w:val="22"/>
        <w:lang w:val="pt-BR"/>
      </w:rPr>
      <w:tab/>
    </w:r>
    <w:r w:rsidR="002C3418" w:rsidRPr="0071569A">
      <w:rPr>
        <w:sz w:val="22"/>
        <w:szCs w:val="22"/>
        <w:lang w:val="pt-BR"/>
      </w:rPr>
      <w:t>TDAG-2</w:t>
    </w:r>
    <w:r w:rsidR="004B49AB">
      <w:rPr>
        <w:sz w:val="22"/>
        <w:szCs w:val="22"/>
        <w:lang w:val="pt-BR"/>
      </w:rPr>
      <w:t>6</w:t>
    </w:r>
    <w:r w:rsidR="002C3418" w:rsidRPr="0071569A">
      <w:rPr>
        <w:sz w:val="22"/>
        <w:szCs w:val="22"/>
        <w:lang w:val="pt-BR"/>
      </w:rPr>
      <w:t>/2(Add.2)-E</w:t>
    </w:r>
    <w:r w:rsidR="001D2782" w:rsidRPr="0071569A">
      <w:rPr>
        <w:sz w:val="22"/>
        <w:szCs w:val="22"/>
        <w:lang w:val="pt-BR"/>
      </w:rPr>
      <w:tab/>
      <w:t xml:space="preserve">Page </w:t>
    </w:r>
    <w:r w:rsidR="001D2782" w:rsidRPr="00972BCD">
      <w:rPr>
        <w:sz w:val="22"/>
        <w:szCs w:val="22"/>
      </w:rPr>
      <w:fldChar w:fldCharType="begin"/>
    </w:r>
    <w:r w:rsidR="001D2782" w:rsidRPr="0071569A">
      <w:rPr>
        <w:sz w:val="22"/>
        <w:szCs w:val="22"/>
        <w:lang w:val="pt-BR"/>
      </w:rPr>
      <w:instrText xml:space="preserve"> PAGE </w:instrText>
    </w:r>
    <w:r w:rsidR="001D2782" w:rsidRPr="00972BCD">
      <w:rPr>
        <w:sz w:val="22"/>
        <w:szCs w:val="22"/>
      </w:rPr>
      <w:fldChar w:fldCharType="separate"/>
    </w:r>
    <w:r w:rsidR="001D2782" w:rsidRPr="0071569A">
      <w:rPr>
        <w:sz w:val="22"/>
        <w:szCs w:val="22"/>
        <w:lang w:val="pt-BR"/>
      </w:rPr>
      <w:t>7</w:t>
    </w:r>
    <w:r w:rsidR="001D2782" w:rsidRPr="00972BCD">
      <w:rPr>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97ED6" w14:textId="0181F980" w:rsidR="00EF2157" w:rsidRPr="0071569A" w:rsidRDefault="00EF2157" w:rsidP="001D2782">
    <w:pPr>
      <w:tabs>
        <w:tab w:val="clear" w:pos="794"/>
        <w:tab w:val="clear" w:pos="1191"/>
        <w:tab w:val="clear" w:pos="1588"/>
        <w:tab w:val="clear" w:pos="1985"/>
        <w:tab w:val="center" w:pos="6946"/>
        <w:tab w:val="right" w:pos="13892"/>
      </w:tabs>
      <w:ind w:right="1"/>
      <w:rPr>
        <w:smallCaps/>
        <w:spacing w:val="24"/>
        <w:sz w:val="22"/>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33FF" w14:textId="77777777" w:rsidR="00E91562" w:rsidRPr="00E91562" w:rsidRDefault="00E91562" w:rsidP="00E91562">
    <w:pPr>
      <w:tabs>
        <w:tab w:val="clear" w:pos="794"/>
        <w:tab w:val="clear" w:pos="1191"/>
        <w:tab w:val="clear" w:pos="1588"/>
        <w:tab w:val="clear" w:pos="1985"/>
        <w:tab w:val="center" w:pos="7088"/>
        <w:tab w:val="right" w:pos="13892"/>
      </w:tabs>
      <w:ind w:right="1"/>
      <w:jc w:val="left"/>
      <w:rPr>
        <w:rStyle w:val="PageNumber"/>
        <w:smallCaps/>
        <w:spacing w:val="24"/>
        <w:sz w:val="22"/>
        <w:szCs w:val="22"/>
        <w:lang w:val="pt-BR"/>
      </w:rPr>
    </w:pPr>
    <w:r>
      <w:rPr>
        <w:sz w:val="22"/>
        <w:szCs w:val="22"/>
        <w:lang w:val="pt-BR"/>
      </w:rPr>
      <w:tab/>
    </w:r>
    <w:r w:rsidRPr="0071569A">
      <w:rPr>
        <w:sz w:val="22"/>
        <w:szCs w:val="22"/>
        <w:lang w:val="pt-BR"/>
      </w:rPr>
      <w:t>TDAG-2</w:t>
    </w:r>
    <w:r>
      <w:rPr>
        <w:sz w:val="22"/>
        <w:szCs w:val="22"/>
        <w:lang w:val="pt-BR"/>
      </w:rPr>
      <w:t>6</w:t>
    </w:r>
    <w:r w:rsidRPr="0071569A">
      <w:rPr>
        <w:sz w:val="22"/>
        <w:szCs w:val="22"/>
        <w:lang w:val="pt-BR"/>
      </w:rPr>
      <w:t>/2(Add.2)-E</w:t>
    </w:r>
    <w:r w:rsidRPr="0071569A">
      <w:rPr>
        <w:sz w:val="22"/>
        <w:szCs w:val="22"/>
        <w:lang w:val="pt-BR"/>
      </w:rPr>
      <w:tab/>
      <w:t xml:space="preserve">Page </w:t>
    </w:r>
    <w:r w:rsidRPr="00972BCD">
      <w:rPr>
        <w:sz w:val="22"/>
        <w:szCs w:val="22"/>
      </w:rPr>
      <w:fldChar w:fldCharType="begin"/>
    </w:r>
    <w:r w:rsidRPr="0071569A">
      <w:rPr>
        <w:sz w:val="22"/>
        <w:szCs w:val="22"/>
        <w:lang w:val="pt-BR"/>
      </w:rPr>
      <w:instrText xml:space="preserve"> PAGE </w:instrText>
    </w:r>
    <w:r w:rsidRPr="00972BCD">
      <w:rPr>
        <w:sz w:val="22"/>
        <w:szCs w:val="22"/>
      </w:rPr>
      <w:fldChar w:fldCharType="separate"/>
    </w:r>
    <w:r>
      <w:rPr>
        <w:sz w:val="22"/>
        <w:szCs w:val="22"/>
      </w:rPr>
      <w:t>19</w:t>
    </w:r>
    <w:r w:rsidRPr="00972BCD">
      <w:rPr>
        <w:sz w:val="22"/>
        <w:szCs w:val="22"/>
      </w:rPr>
      <w:fldChar w:fldCharType="end"/>
    </w:r>
  </w:p>
  <w:p w14:paraId="334EB765" w14:textId="77777777" w:rsidR="00E91562" w:rsidRPr="00E91562" w:rsidRDefault="00E91562" w:rsidP="00E91562">
    <w:pPr>
      <w:tabs>
        <w:tab w:val="clear" w:pos="794"/>
        <w:tab w:val="clear" w:pos="1191"/>
        <w:tab w:val="clear" w:pos="1588"/>
        <w:tab w:val="clear" w:pos="1985"/>
        <w:tab w:val="center" w:pos="6946"/>
        <w:tab w:val="right" w:pos="13892"/>
      </w:tabs>
      <w:spacing w:before="0"/>
      <w:rPr>
        <w:smallCaps/>
        <w:spacing w:val="24"/>
        <w:sz w:val="12"/>
        <w:szCs w:val="12"/>
        <w:lang w:val="pt-BR"/>
      </w:rPr>
    </w:pPr>
  </w:p>
  <w:p w14:paraId="049B46A5" w14:textId="5FC753B5" w:rsidR="00E91562" w:rsidRPr="00E91562" w:rsidRDefault="00E91562" w:rsidP="00E91562">
    <w:pPr>
      <w:pStyle w:val="Header"/>
      <w:rPr>
        <w:rStyle w:val="PageNumbe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A75B" w14:textId="77777777" w:rsidR="00E91562" w:rsidRPr="00E91562" w:rsidRDefault="00E91562" w:rsidP="00E91562">
    <w:pPr>
      <w:tabs>
        <w:tab w:val="clear" w:pos="794"/>
        <w:tab w:val="clear" w:pos="1191"/>
        <w:tab w:val="clear" w:pos="1588"/>
        <w:tab w:val="clear" w:pos="1985"/>
        <w:tab w:val="center" w:pos="4820"/>
        <w:tab w:val="right" w:pos="13892"/>
      </w:tabs>
      <w:ind w:right="1"/>
      <w:jc w:val="left"/>
      <w:rPr>
        <w:rStyle w:val="PageNumber"/>
        <w:smallCaps/>
        <w:spacing w:val="24"/>
        <w:sz w:val="22"/>
        <w:szCs w:val="22"/>
        <w:lang w:val="pt-BR"/>
      </w:rPr>
    </w:pPr>
    <w:r>
      <w:rPr>
        <w:sz w:val="22"/>
        <w:szCs w:val="22"/>
        <w:lang w:val="pt-BR"/>
      </w:rPr>
      <w:tab/>
    </w:r>
    <w:r w:rsidRPr="0071569A">
      <w:rPr>
        <w:sz w:val="22"/>
        <w:szCs w:val="22"/>
        <w:lang w:val="pt-BR"/>
      </w:rPr>
      <w:t>TDAG-2</w:t>
    </w:r>
    <w:r>
      <w:rPr>
        <w:sz w:val="22"/>
        <w:szCs w:val="22"/>
        <w:lang w:val="pt-BR"/>
      </w:rPr>
      <w:t>6</w:t>
    </w:r>
    <w:r w:rsidRPr="0071569A">
      <w:rPr>
        <w:sz w:val="22"/>
        <w:szCs w:val="22"/>
        <w:lang w:val="pt-BR"/>
      </w:rPr>
      <w:t>/2(Add.2)-E</w:t>
    </w:r>
    <w:r w:rsidRPr="0071569A">
      <w:rPr>
        <w:sz w:val="22"/>
        <w:szCs w:val="22"/>
        <w:lang w:val="pt-BR"/>
      </w:rPr>
      <w:tab/>
      <w:t xml:space="preserve">Page </w:t>
    </w:r>
    <w:r w:rsidRPr="00972BCD">
      <w:rPr>
        <w:sz w:val="22"/>
        <w:szCs w:val="22"/>
      </w:rPr>
      <w:fldChar w:fldCharType="begin"/>
    </w:r>
    <w:r w:rsidRPr="0071569A">
      <w:rPr>
        <w:sz w:val="22"/>
        <w:szCs w:val="22"/>
        <w:lang w:val="pt-BR"/>
      </w:rPr>
      <w:instrText xml:space="preserve"> PAGE </w:instrText>
    </w:r>
    <w:r w:rsidRPr="00972BCD">
      <w:rPr>
        <w:sz w:val="22"/>
        <w:szCs w:val="22"/>
      </w:rPr>
      <w:fldChar w:fldCharType="separate"/>
    </w:r>
    <w:r>
      <w:rPr>
        <w:sz w:val="22"/>
        <w:szCs w:val="22"/>
      </w:rPr>
      <w:t>2</w:t>
    </w:r>
    <w:r w:rsidRPr="00972BCD">
      <w:rPr>
        <w:sz w:val="22"/>
        <w:szCs w:val="22"/>
      </w:rPr>
      <w:fldChar w:fldCharType="end"/>
    </w:r>
  </w:p>
  <w:p w14:paraId="460F66CD" w14:textId="77777777" w:rsidR="00E91562" w:rsidRPr="0071569A" w:rsidRDefault="00E91562" w:rsidP="001D2782">
    <w:pPr>
      <w:tabs>
        <w:tab w:val="clear" w:pos="794"/>
        <w:tab w:val="clear" w:pos="1191"/>
        <w:tab w:val="clear" w:pos="1588"/>
        <w:tab w:val="clear" w:pos="1985"/>
        <w:tab w:val="center" w:pos="6946"/>
        <w:tab w:val="right" w:pos="13892"/>
      </w:tabs>
      <w:ind w:right="1"/>
      <w:rPr>
        <w:smallCaps/>
        <w:spacing w:val="24"/>
        <w:sz w:val="22"/>
        <w:szCs w:val="22"/>
        <w:lang w:val="pt-BR"/>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6C07B" w14:textId="77777777" w:rsidR="00E91562" w:rsidRPr="00E91562" w:rsidRDefault="00E91562" w:rsidP="00E91562">
    <w:pPr>
      <w:tabs>
        <w:tab w:val="clear" w:pos="794"/>
        <w:tab w:val="clear" w:pos="1191"/>
        <w:tab w:val="clear" w:pos="1588"/>
        <w:tab w:val="clear" w:pos="1985"/>
        <w:tab w:val="center" w:pos="7088"/>
        <w:tab w:val="right" w:pos="13892"/>
      </w:tabs>
      <w:ind w:right="1"/>
      <w:jc w:val="left"/>
      <w:rPr>
        <w:rStyle w:val="PageNumber"/>
        <w:smallCaps/>
        <w:spacing w:val="24"/>
        <w:sz w:val="22"/>
        <w:szCs w:val="22"/>
        <w:lang w:val="pt-BR"/>
      </w:rPr>
    </w:pPr>
    <w:r>
      <w:rPr>
        <w:sz w:val="22"/>
        <w:szCs w:val="22"/>
        <w:lang w:val="pt-BR"/>
      </w:rPr>
      <w:tab/>
    </w:r>
    <w:r w:rsidRPr="0071569A">
      <w:rPr>
        <w:sz w:val="22"/>
        <w:szCs w:val="22"/>
        <w:lang w:val="pt-BR"/>
      </w:rPr>
      <w:t>TDAG-2</w:t>
    </w:r>
    <w:r>
      <w:rPr>
        <w:sz w:val="22"/>
        <w:szCs w:val="22"/>
        <w:lang w:val="pt-BR"/>
      </w:rPr>
      <w:t>6</w:t>
    </w:r>
    <w:r w:rsidRPr="0071569A">
      <w:rPr>
        <w:sz w:val="22"/>
        <w:szCs w:val="22"/>
        <w:lang w:val="pt-BR"/>
      </w:rPr>
      <w:t>/2(Add.2)-E</w:t>
    </w:r>
    <w:r w:rsidRPr="0071569A">
      <w:rPr>
        <w:sz w:val="22"/>
        <w:szCs w:val="22"/>
        <w:lang w:val="pt-BR"/>
      </w:rPr>
      <w:tab/>
      <w:t xml:space="preserve">Page </w:t>
    </w:r>
    <w:r w:rsidRPr="00972BCD">
      <w:rPr>
        <w:sz w:val="22"/>
        <w:szCs w:val="22"/>
      </w:rPr>
      <w:fldChar w:fldCharType="begin"/>
    </w:r>
    <w:r w:rsidRPr="0071569A">
      <w:rPr>
        <w:sz w:val="22"/>
        <w:szCs w:val="22"/>
        <w:lang w:val="pt-BR"/>
      </w:rPr>
      <w:instrText xml:space="preserve"> PAGE </w:instrText>
    </w:r>
    <w:r w:rsidRPr="00972BCD">
      <w:rPr>
        <w:sz w:val="22"/>
        <w:szCs w:val="22"/>
      </w:rPr>
      <w:fldChar w:fldCharType="separate"/>
    </w:r>
    <w:r>
      <w:rPr>
        <w:sz w:val="22"/>
        <w:szCs w:val="22"/>
      </w:rPr>
      <w:t>2</w:t>
    </w:r>
    <w:r w:rsidRPr="00972BCD">
      <w:rPr>
        <w:sz w:val="22"/>
        <w:szCs w:val="22"/>
      </w:rPr>
      <w:fldChar w:fldCharType="end"/>
    </w:r>
  </w:p>
  <w:p w14:paraId="75931555" w14:textId="77777777" w:rsidR="00E91562" w:rsidRPr="00E91562" w:rsidRDefault="00E91562" w:rsidP="00E91562">
    <w:pPr>
      <w:tabs>
        <w:tab w:val="clear" w:pos="794"/>
        <w:tab w:val="clear" w:pos="1191"/>
        <w:tab w:val="clear" w:pos="1588"/>
        <w:tab w:val="clear" w:pos="1985"/>
        <w:tab w:val="center" w:pos="6946"/>
        <w:tab w:val="right" w:pos="13892"/>
      </w:tabs>
      <w:spacing w:before="0"/>
      <w:rPr>
        <w:smallCaps/>
        <w:spacing w:val="24"/>
        <w:sz w:val="12"/>
        <w:szCs w:val="12"/>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AC5"/>
    <w:multiLevelType w:val="hybridMultilevel"/>
    <w:tmpl w:val="543CE99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0850BAA"/>
    <w:multiLevelType w:val="hybridMultilevel"/>
    <w:tmpl w:val="650CE12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D8A209D"/>
    <w:multiLevelType w:val="multilevel"/>
    <w:tmpl w:val="57607860"/>
    <w:lvl w:ilvl="0">
      <w:start w:val="2"/>
      <w:numFmt w:val="decimal"/>
      <w:lvlText w:val="%1"/>
      <w:lvlJc w:val="left"/>
      <w:pPr>
        <w:ind w:left="720" w:hanging="360"/>
      </w:pPr>
      <w:rPr>
        <w:rFonts w:hint="default"/>
      </w:rPr>
    </w:lvl>
    <w:lvl w:ilvl="1">
      <w:start w:val="6"/>
      <w:numFmt w:val="decimal"/>
      <w:isLgl/>
      <w:lvlText w:val="%1.%2"/>
      <w:lvlJc w:val="left"/>
      <w:pPr>
        <w:ind w:left="790" w:hanging="4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51450E1"/>
    <w:multiLevelType w:val="multilevel"/>
    <w:tmpl w:val="DFFA2170"/>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263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681B88"/>
    <w:multiLevelType w:val="hybridMultilevel"/>
    <w:tmpl w:val="FFFFFFFF"/>
    <w:lvl w:ilvl="0" w:tplc="9CB0B56C">
      <w:start w:val="1"/>
      <w:numFmt w:val="bullet"/>
      <w:lvlText w:val=""/>
      <w:lvlJc w:val="left"/>
      <w:pPr>
        <w:ind w:left="720" w:hanging="360"/>
      </w:pPr>
      <w:rPr>
        <w:rFonts w:ascii="Symbol" w:hAnsi="Symbol" w:hint="default"/>
      </w:rPr>
    </w:lvl>
    <w:lvl w:ilvl="1" w:tplc="8F24C074">
      <w:start w:val="1"/>
      <w:numFmt w:val="bullet"/>
      <w:lvlText w:val="o"/>
      <w:lvlJc w:val="left"/>
      <w:pPr>
        <w:ind w:left="1440" w:hanging="360"/>
      </w:pPr>
      <w:rPr>
        <w:rFonts w:ascii="Courier New" w:hAnsi="Courier New" w:hint="default"/>
      </w:rPr>
    </w:lvl>
    <w:lvl w:ilvl="2" w:tplc="A5509542">
      <w:start w:val="1"/>
      <w:numFmt w:val="bullet"/>
      <w:lvlText w:val=""/>
      <w:lvlJc w:val="left"/>
      <w:pPr>
        <w:ind w:left="2160" w:hanging="360"/>
      </w:pPr>
      <w:rPr>
        <w:rFonts w:ascii="Wingdings" w:hAnsi="Wingdings" w:hint="default"/>
      </w:rPr>
    </w:lvl>
    <w:lvl w:ilvl="3" w:tplc="6B0406E0">
      <w:start w:val="1"/>
      <w:numFmt w:val="bullet"/>
      <w:lvlText w:val=""/>
      <w:lvlJc w:val="left"/>
      <w:pPr>
        <w:ind w:left="2880" w:hanging="360"/>
      </w:pPr>
      <w:rPr>
        <w:rFonts w:ascii="Symbol" w:hAnsi="Symbol" w:hint="default"/>
      </w:rPr>
    </w:lvl>
    <w:lvl w:ilvl="4" w:tplc="026C5E34">
      <w:start w:val="1"/>
      <w:numFmt w:val="bullet"/>
      <w:lvlText w:val="o"/>
      <w:lvlJc w:val="left"/>
      <w:pPr>
        <w:ind w:left="3600" w:hanging="360"/>
      </w:pPr>
      <w:rPr>
        <w:rFonts w:ascii="Courier New" w:hAnsi="Courier New" w:hint="default"/>
      </w:rPr>
    </w:lvl>
    <w:lvl w:ilvl="5" w:tplc="84EA8AF2">
      <w:start w:val="1"/>
      <w:numFmt w:val="bullet"/>
      <w:lvlText w:val=""/>
      <w:lvlJc w:val="left"/>
      <w:pPr>
        <w:ind w:left="4320" w:hanging="360"/>
      </w:pPr>
      <w:rPr>
        <w:rFonts w:ascii="Wingdings" w:hAnsi="Wingdings" w:hint="default"/>
      </w:rPr>
    </w:lvl>
    <w:lvl w:ilvl="6" w:tplc="D16A5E0C">
      <w:start w:val="1"/>
      <w:numFmt w:val="bullet"/>
      <w:lvlText w:val=""/>
      <w:lvlJc w:val="left"/>
      <w:pPr>
        <w:ind w:left="5040" w:hanging="360"/>
      </w:pPr>
      <w:rPr>
        <w:rFonts w:ascii="Symbol" w:hAnsi="Symbol" w:hint="default"/>
      </w:rPr>
    </w:lvl>
    <w:lvl w:ilvl="7" w:tplc="54384D5A">
      <w:start w:val="1"/>
      <w:numFmt w:val="bullet"/>
      <w:lvlText w:val="o"/>
      <w:lvlJc w:val="left"/>
      <w:pPr>
        <w:ind w:left="5760" w:hanging="360"/>
      </w:pPr>
      <w:rPr>
        <w:rFonts w:ascii="Courier New" w:hAnsi="Courier New" w:hint="default"/>
      </w:rPr>
    </w:lvl>
    <w:lvl w:ilvl="8" w:tplc="02B4257A">
      <w:start w:val="1"/>
      <w:numFmt w:val="bullet"/>
      <w:lvlText w:val=""/>
      <w:lvlJc w:val="left"/>
      <w:pPr>
        <w:ind w:left="6480" w:hanging="360"/>
      </w:pPr>
      <w:rPr>
        <w:rFonts w:ascii="Wingdings" w:hAnsi="Wingdings" w:hint="default"/>
      </w:rPr>
    </w:lvl>
  </w:abstractNum>
  <w:abstractNum w:abstractNumId="6" w15:restartNumberingAfterBreak="0">
    <w:nsid w:val="23941531"/>
    <w:multiLevelType w:val="multilevel"/>
    <w:tmpl w:val="7D00E5E0"/>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D7B08CE"/>
    <w:multiLevelType w:val="hybridMultilevel"/>
    <w:tmpl w:val="FE62C00A"/>
    <w:lvl w:ilvl="0" w:tplc="0C4C20FE">
      <w:start w:val="1"/>
      <w:numFmt w:val="decimal"/>
      <w:lvlText w:val="%1"/>
      <w:lvlJc w:val="left"/>
      <w:pPr>
        <w:ind w:left="790" w:hanging="4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8E28FC"/>
    <w:multiLevelType w:val="multilevel"/>
    <w:tmpl w:val="116A912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D26344"/>
    <w:multiLevelType w:val="hybridMultilevel"/>
    <w:tmpl w:val="D5A0DEAC"/>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270679B"/>
    <w:multiLevelType w:val="hybridMultilevel"/>
    <w:tmpl w:val="E898CC10"/>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1" w15:restartNumberingAfterBreak="0">
    <w:nsid w:val="59FF455B"/>
    <w:multiLevelType w:val="multilevel"/>
    <w:tmpl w:val="32567664"/>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EC66A72"/>
    <w:multiLevelType w:val="hybridMultilevel"/>
    <w:tmpl w:val="E77291FC"/>
    <w:lvl w:ilvl="0" w:tplc="D8AA70E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15D4764"/>
    <w:multiLevelType w:val="hybridMultilevel"/>
    <w:tmpl w:val="161217EA"/>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16cid:durableId="1574855945">
    <w:abstractNumId w:val="0"/>
  </w:num>
  <w:num w:numId="2" w16cid:durableId="1210453116">
    <w:abstractNumId w:val="1"/>
  </w:num>
  <w:num w:numId="3" w16cid:durableId="1096906747">
    <w:abstractNumId w:val="10"/>
  </w:num>
  <w:num w:numId="4" w16cid:durableId="934247651">
    <w:abstractNumId w:val="13"/>
  </w:num>
  <w:num w:numId="5" w16cid:durableId="1497726349">
    <w:abstractNumId w:val="2"/>
  </w:num>
  <w:num w:numId="6" w16cid:durableId="1502042642">
    <w:abstractNumId w:val="9"/>
  </w:num>
  <w:num w:numId="7" w16cid:durableId="233862093">
    <w:abstractNumId w:val="12"/>
  </w:num>
  <w:num w:numId="8" w16cid:durableId="2142503414">
    <w:abstractNumId w:val="3"/>
  </w:num>
  <w:num w:numId="9" w16cid:durableId="152255598">
    <w:abstractNumId w:val="11"/>
  </w:num>
  <w:num w:numId="10" w16cid:durableId="698899177">
    <w:abstractNumId w:val="5"/>
  </w:num>
  <w:num w:numId="11" w16cid:durableId="969047180">
    <w:abstractNumId w:val="6"/>
  </w:num>
  <w:num w:numId="12" w16cid:durableId="1983463481">
    <w:abstractNumId w:val="8"/>
  </w:num>
  <w:num w:numId="13" w16cid:durableId="2097940400">
    <w:abstractNumId w:val="4"/>
  </w:num>
  <w:num w:numId="14" w16cid:durableId="272636555">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jCyNDE1NzG1NDA1szBT0lEKTi0uzszPAykwrgUAPMTq3ywAAAA="/>
  </w:docVars>
  <w:rsids>
    <w:rsidRoot w:val="00003C43"/>
    <w:rsid w:val="00000838"/>
    <w:rsid w:val="0000097F"/>
    <w:rsid w:val="000022D1"/>
    <w:rsid w:val="000026F2"/>
    <w:rsid w:val="00002716"/>
    <w:rsid w:val="00002F13"/>
    <w:rsid w:val="00003C43"/>
    <w:rsid w:val="00004BFA"/>
    <w:rsid w:val="00004DDC"/>
    <w:rsid w:val="00005132"/>
    <w:rsid w:val="00005791"/>
    <w:rsid w:val="00005C3C"/>
    <w:rsid w:val="00006FF4"/>
    <w:rsid w:val="00010827"/>
    <w:rsid w:val="00011373"/>
    <w:rsid w:val="000127D5"/>
    <w:rsid w:val="00013EC6"/>
    <w:rsid w:val="00013FB3"/>
    <w:rsid w:val="00014097"/>
    <w:rsid w:val="0001479C"/>
    <w:rsid w:val="00015089"/>
    <w:rsid w:val="0002077F"/>
    <w:rsid w:val="0002081A"/>
    <w:rsid w:val="00021341"/>
    <w:rsid w:val="000232C1"/>
    <w:rsid w:val="000246C1"/>
    <w:rsid w:val="0002520B"/>
    <w:rsid w:val="0002699D"/>
    <w:rsid w:val="00027218"/>
    <w:rsid w:val="00027E7D"/>
    <w:rsid w:val="0003109F"/>
    <w:rsid w:val="0003267D"/>
    <w:rsid w:val="0003417C"/>
    <w:rsid w:val="00034FFC"/>
    <w:rsid w:val="00035DF2"/>
    <w:rsid w:val="00036CFA"/>
    <w:rsid w:val="00037A9E"/>
    <w:rsid w:val="00037F91"/>
    <w:rsid w:val="000400F1"/>
    <w:rsid w:val="00040B0A"/>
    <w:rsid w:val="00041C93"/>
    <w:rsid w:val="00041E1B"/>
    <w:rsid w:val="00041E38"/>
    <w:rsid w:val="000426F7"/>
    <w:rsid w:val="00042AA8"/>
    <w:rsid w:val="000430C7"/>
    <w:rsid w:val="00043256"/>
    <w:rsid w:val="00043DA2"/>
    <w:rsid w:val="00045061"/>
    <w:rsid w:val="00045D67"/>
    <w:rsid w:val="00045D77"/>
    <w:rsid w:val="0004616F"/>
    <w:rsid w:val="000461CF"/>
    <w:rsid w:val="00046D94"/>
    <w:rsid w:val="000477E8"/>
    <w:rsid w:val="00047A16"/>
    <w:rsid w:val="00047E8A"/>
    <w:rsid w:val="000502D1"/>
    <w:rsid w:val="00051502"/>
    <w:rsid w:val="000516CC"/>
    <w:rsid w:val="00051CA5"/>
    <w:rsid w:val="000521C8"/>
    <w:rsid w:val="000524B4"/>
    <w:rsid w:val="00052BE1"/>
    <w:rsid w:val="000539F1"/>
    <w:rsid w:val="00054747"/>
    <w:rsid w:val="00054C3D"/>
    <w:rsid w:val="000550B1"/>
    <w:rsid w:val="00055A2A"/>
    <w:rsid w:val="00060176"/>
    <w:rsid w:val="000604C8"/>
    <w:rsid w:val="00060D23"/>
    <w:rsid w:val="000615C1"/>
    <w:rsid w:val="00061675"/>
    <w:rsid w:val="00061799"/>
    <w:rsid w:val="00062193"/>
    <w:rsid w:val="000622A2"/>
    <w:rsid w:val="00065339"/>
    <w:rsid w:val="000662B2"/>
    <w:rsid w:val="000666A2"/>
    <w:rsid w:val="00066903"/>
    <w:rsid w:val="00067EAB"/>
    <w:rsid w:val="00067F35"/>
    <w:rsid w:val="000701ED"/>
    <w:rsid w:val="0007130A"/>
    <w:rsid w:val="00071B4B"/>
    <w:rsid w:val="000743AA"/>
    <w:rsid w:val="0007557F"/>
    <w:rsid w:val="00075F39"/>
    <w:rsid w:val="000779FA"/>
    <w:rsid w:val="00077F46"/>
    <w:rsid w:val="00080652"/>
    <w:rsid w:val="0008093B"/>
    <w:rsid w:val="00081512"/>
    <w:rsid w:val="0008277E"/>
    <w:rsid w:val="00083069"/>
    <w:rsid w:val="00083D8B"/>
    <w:rsid w:val="00084483"/>
    <w:rsid w:val="000851CA"/>
    <w:rsid w:val="0008779A"/>
    <w:rsid w:val="0009076F"/>
    <w:rsid w:val="000910F0"/>
    <w:rsid w:val="0009147D"/>
    <w:rsid w:val="000916C1"/>
    <w:rsid w:val="00091BF8"/>
    <w:rsid w:val="0009225C"/>
    <w:rsid w:val="00092A33"/>
    <w:rsid w:val="0009328F"/>
    <w:rsid w:val="00093FAD"/>
    <w:rsid w:val="00094041"/>
    <w:rsid w:val="0009551E"/>
    <w:rsid w:val="00096D1E"/>
    <w:rsid w:val="00097944"/>
    <w:rsid w:val="000A075C"/>
    <w:rsid w:val="000A1265"/>
    <w:rsid w:val="000A17C4"/>
    <w:rsid w:val="000A1B0C"/>
    <w:rsid w:val="000A36A4"/>
    <w:rsid w:val="000A42BE"/>
    <w:rsid w:val="000A5453"/>
    <w:rsid w:val="000A5826"/>
    <w:rsid w:val="000A6BC5"/>
    <w:rsid w:val="000A79E5"/>
    <w:rsid w:val="000B1B03"/>
    <w:rsid w:val="000B1D6A"/>
    <w:rsid w:val="000B2352"/>
    <w:rsid w:val="000B2603"/>
    <w:rsid w:val="000B2BD6"/>
    <w:rsid w:val="000B32B0"/>
    <w:rsid w:val="000B473B"/>
    <w:rsid w:val="000B4B60"/>
    <w:rsid w:val="000B547C"/>
    <w:rsid w:val="000B7410"/>
    <w:rsid w:val="000B7758"/>
    <w:rsid w:val="000B7B12"/>
    <w:rsid w:val="000B7BC9"/>
    <w:rsid w:val="000C2824"/>
    <w:rsid w:val="000C5542"/>
    <w:rsid w:val="000C7B84"/>
    <w:rsid w:val="000C7CE3"/>
    <w:rsid w:val="000C7FF8"/>
    <w:rsid w:val="000D08C8"/>
    <w:rsid w:val="000D1326"/>
    <w:rsid w:val="000D1776"/>
    <w:rsid w:val="000D261B"/>
    <w:rsid w:val="000D2EF9"/>
    <w:rsid w:val="000D32CF"/>
    <w:rsid w:val="000D3B01"/>
    <w:rsid w:val="000D53A8"/>
    <w:rsid w:val="000D58A3"/>
    <w:rsid w:val="000D6CE3"/>
    <w:rsid w:val="000D6DBE"/>
    <w:rsid w:val="000D7200"/>
    <w:rsid w:val="000E065E"/>
    <w:rsid w:val="000E08EE"/>
    <w:rsid w:val="000E1053"/>
    <w:rsid w:val="000E1218"/>
    <w:rsid w:val="000E184D"/>
    <w:rsid w:val="000E3A70"/>
    <w:rsid w:val="000E3ED4"/>
    <w:rsid w:val="000E3F9C"/>
    <w:rsid w:val="000E517E"/>
    <w:rsid w:val="000E605A"/>
    <w:rsid w:val="000E7019"/>
    <w:rsid w:val="000F0319"/>
    <w:rsid w:val="000F0450"/>
    <w:rsid w:val="000F068B"/>
    <w:rsid w:val="000F069F"/>
    <w:rsid w:val="000F1453"/>
    <w:rsid w:val="000F1550"/>
    <w:rsid w:val="000F251B"/>
    <w:rsid w:val="000F2F1F"/>
    <w:rsid w:val="000F2FA6"/>
    <w:rsid w:val="000F3F3B"/>
    <w:rsid w:val="000F5549"/>
    <w:rsid w:val="000F5EA1"/>
    <w:rsid w:val="000F5FE8"/>
    <w:rsid w:val="000F6644"/>
    <w:rsid w:val="000F6D3E"/>
    <w:rsid w:val="00100833"/>
    <w:rsid w:val="00100F88"/>
    <w:rsid w:val="00101847"/>
    <w:rsid w:val="00102D36"/>
    <w:rsid w:val="00102F72"/>
    <w:rsid w:val="00104B1F"/>
    <w:rsid w:val="00105636"/>
    <w:rsid w:val="0010662B"/>
    <w:rsid w:val="00106AA1"/>
    <w:rsid w:val="00107102"/>
    <w:rsid w:val="00107D19"/>
    <w:rsid w:val="00107E85"/>
    <w:rsid w:val="00110ED0"/>
    <w:rsid w:val="001116CE"/>
    <w:rsid w:val="00111EA5"/>
    <w:rsid w:val="00112704"/>
    <w:rsid w:val="00112771"/>
    <w:rsid w:val="00112CCC"/>
    <w:rsid w:val="001132FC"/>
    <w:rsid w:val="001135D1"/>
    <w:rsid w:val="0011367D"/>
    <w:rsid w:val="001137C9"/>
    <w:rsid w:val="00113EE8"/>
    <w:rsid w:val="0011455A"/>
    <w:rsid w:val="00114A65"/>
    <w:rsid w:val="0011571D"/>
    <w:rsid w:val="00115749"/>
    <w:rsid w:val="00115D54"/>
    <w:rsid w:val="001165EC"/>
    <w:rsid w:val="00116F50"/>
    <w:rsid w:val="001177F6"/>
    <w:rsid w:val="001179AE"/>
    <w:rsid w:val="00117B94"/>
    <w:rsid w:val="00120D67"/>
    <w:rsid w:val="00124A9B"/>
    <w:rsid w:val="00124F69"/>
    <w:rsid w:val="0012626E"/>
    <w:rsid w:val="00126297"/>
    <w:rsid w:val="00126F72"/>
    <w:rsid w:val="00127086"/>
    <w:rsid w:val="0012765F"/>
    <w:rsid w:val="0012773C"/>
    <w:rsid w:val="001304BE"/>
    <w:rsid w:val="001321AA"/>
    <w:rsid w:val="0013276A"/>
    <w:rsid w:val="00132D4F"/>
    <w:rsid w:val="00133061"/>
    <w:rsid w:val="00133B7A"/>
    <w:rsid w:val="00134F0B"/>
    <w:rsid w:val="00135329"/>
    <w:rsid w:val="0013583F"/>
    <w:rsid w:val="00136AC9"/>
    <w:rsid w:val="00136E23"/>
    <w:rsid w:val="001401CC"/>
    <w:rsid w:val="0014039B"/>
    <w:rsid w:val="0014070C"/>
    <w:rsid w:val="001413C7"/>
    <w:rsid w:val="00141699"/>
    <w:rsid w:val="0014272C"/>
    <w:rsid w:val="00142A47"/>
    <w:rsid w:val="00142F4B"/>
    <w:rsid w:val="00143137"/>
    <w:rsid w:val="00144CB7"/>
    <w:rsid w:val="00145327"/>
    <w:rsid w:val="001456A7"/>
    <w:rsid w:val="00146541"/>
    <w:rsid w:val="00146D3F"/>
    <w:rsid w:val="00147000"/>
    <w:rsid w:val="00147AAD"/>
    <w:rsid w:val="0015014E"/>
    <w:rsid w:val="001504F0"/>
    <w:rsid w:val="001520C0"/>
    <w:rsid w:val="00152D27"/>
    <w:rsid w:val="001536F6"/>
    <w:rsid w:val="00153A82"/>
    <w:rsid w:val="00155ED1"/>
    <w:rsid w:val="001562FC"/>
    <w:rsid w:val="00157073"/>
    <w:rsid w:val="00160663"/>
    <w:rsid w:val="00161527"/>
    <w:rsid w:val="00161EC6"/>
    <w:rsid w:val="0016206F"/>
    <w:rsid w:val="00163086"/>
    <w:rsid w:val="00163091"/>
    <w:rsid w:val="00163530"/>
    <w:rsid w:val="001645CB"/>
    <w:rsid w:val="001649D3"/>
    <w:rsid w:val="00164E90"/>
    <w:rsid w:val="00165054"/>
    <w:rsid w:val="00166305"/>
    <w:rsid w:val="00166FA1"/>
    <w:rsid w:val="00166FD7"/>
    <w:rsid w:val="00167545"/>
    <w:rsid w:val="00167FB6"/>
    <w:rsid w:val="001703C6"/>
    <w:rsid w:val="001706BA"/>
    <w:rsid w:val="00170763"/>
    <w:rsid w:val="00170C1C"/>
    <w:rsid w:val="0017210A"/>
    <w:rsid w:val="00172878"/>
    <w:rsid w:val="00173781"/>
    <w:rsid w:val="00173FBA"/>
    <w:rsid w:val="00174EC3"/>
    <w:rsid w:val="00175ADF"/>
    <w:rsid w:val="00175B18"/>
    <w:rsid w:val="00175CAE"/>
    <w:rsid w:val="00176563"/>
    <w:rsid w:val="00176AC4"/>
    <w:rsid w:val="00177439"/>
    <w:rsid w:val="001809B2"/>
    <w:rsid w:val="00180D8C"/>
    <w:rsid w:val="00181C28"/>
    <w:rsid w:val="00181C79"/>
    <w:rsid w:val="00181E99"/>
    <w:rsid w:val="001828DB"/>
    <w:rsid w:val="00182924"/>
    <w:rsid w:val="00184EA4"/>
    <w:rsid w:val="001850FE"/>
    <w:rsid w:val="00185135"/>
    <w:rsid w:val="00186D81"/>
    <w:rsid w:val="00187EC9"/>
    <w:rsid w:val="0019037C"/>
    <w:rsid w:val="001905A9"/>
    <w:rsid w:val="00191273"/>
    <w:rsid w:val="00192005"/>
    <w:rsid w:val="0019213C"/>
    <w:rsid w:val="0019308A"/>
    <w:rsid w:val="00193594"/>
    <w:rsid w:val="00193749"/>
    <w:rsid w:val="00194171"/>
    <w:rsid w:val="001942A7"/>
    <w:rsid w:val="00194DBE"/>
    <w:rsid w:val="00195251"/>
    <w:rsid w:val="001956B7"/>
    <w:rsid w:val="0019587B"/>
    <w:rsid w:val="00197EC4"/>
    <w:rsid w:val="001A05A9"/>
    <w:rsid w:val="001A0F7E"/>
    <w:rsid w:val="001A0FC6"/>
    <w:rsid w:val="001A119C"/>
    <w:rsid w:val="001A1601"/>
    <w:rsid w:val="001A163D"/>
    <w:rsid w:val="001A3289"/>
    <w:rsid w:val="001A332F"/>
    <w:rsid w:val="001A3569"/>
    <w:rsid w:val="001A371B"/>
    <w:rsid w:val="001A441E"/>
    <w:rsid w:val="001A6733"/>
    <w:rsid w:val="001A718C"/>
    <w:rsid w:val="001A7B85"/>
    <w:rsid w:val="001B14CC"/>
    <w:rsid w:val="001B1D7E"/>
    <w:rsid w:val="001B1E1E"/>
    <w:rsid w:val="001B1E84"/>
    <w:rsid w:val="001B2525"/>
    <w:rsid w:val="001B2874"/>
    <w:rsid w:val="001B2937"/>
    <w:rsid w:val="001B357F"/>
    <w:rsid w:val="001B5396"/>
    <w:rsid w:val="001B569D"/>
    <w:rsid w:val="001B590C"/>
    <w:rsid w:val="001B724E"/>
    <w:rsid w:val="001C06CE"/>
    <w:rsid w:val="001C07D2"/>
    <w:rsid w:val="001C0EA8"/>
    <w:rsid w:val="001C1224"/>
    <w:rsid w:val="001C3444"/>
    <w:rsid w:val="001C3702"/>
    <w:rsid w:val="001C3E43"/>
    <w:rsid w:val="001C3F76"/>
    <w:rsid w:val="001C4139"/>
    <w:rsid w:val="001C4490"/>
    <w:rsid w:val="001C4656"/>
    <w:rsid w:val="001C46BC"/>
    <w:rsid w:val="001C55D2"/>
    <w:rsid w:val="001C5F96"/>
    <w:rsid w:val="001C6DC2"/>
    <w:rsid w:val="001C7489"/>
    <w:rsid w:val="001C7D34"/>
    <w:rsid w:val="001D0624"/>
    <w:rsid w:val="001D0991"/>
    <w:rsid w:val="001D1E06"/>
    <w:rsid w:val="001D264A"/>
    <w:rsid w:val="001D2782"/>
    <w:rsid w:val="001D35AF"/>
    <w:rsid w:val="001D37AC"/>
    <w:rsid w:val="001D3DFA"/>
    <w:rsid w:val="001D4811"/>
    <w:rsid w:val="001D4D3C"/>
    <w:rsid w:val="001D4F15"/>
    <w:rsid w:val="001D4F39"/>
    <w:rsid w:val="001D5458"/>
    <w:rsid w:val="001D63B4"/>
    <w:rsid w:val="001D688B"/>
    <w:rsid w:val="001D6A2B"/>
    <w:rsid w:val="001D6D0F"/>
    <w:rsid w:val="001D737F"/>
    <w:rsid w:val="001E0BAC"/>
    <w:rsid w:val="001E1496"/>
    <w:rsid w:val="001E2A3C"/>
    <w:rsid w:val="001E2FFB"/>
    <w:rsid w:val="001E303D"/>
    <w:rsid w:val="001E44B3"/>
    <w:rsid w:val="001E6322"/>
    <w:rsid w:val="001E6FCE"/>
    <w:rsid w:val="001E7C9C"/>
    <w:rsid w:val="001F13A5"/>
    <w:rsid w:val="001F23E6"/>
    <w:rsid w:val="001F2BDC"/>
    <w:rsid w:val="001F2CDE"/>
    <w:rsid w:val="001F35EF"/>
    <w:rsid w:val="001F3A5B"/>
    <w:rsid w:val="001F4238"/>
    <w:rsid w:val="001F43BD"/>
    <w:rsid w:val="001F47FF"/>
    <w:rsid w:val="001F4807"/>
    <w:rsid w:val="001F5BFA"/>
    <w:rsid w:val="0020011B"/>
    <w:rsid w:val="00200A38"/>
    <w:rsid w:val="00200A46"/>
    <w:rsid w:val="00200AE5"/>
    <w:rsid w:val="00200EC7"/>
    <w:rsid w:val="00202C82"/>
    <w:rsid w:val="002059AB"/>
    <w:rsid w:val="0020601A"/>
    <w:rsid w:val="0020692F"/>
    <w:rsid w:val="00211015"/>
    <w:rsid w:val="002116EF"/>
    <w:rsid w:val="00211B6F"/>
    <w:rsid w:val="00212F24"/>
    <w:rsid w:val="002138E3"/>
    <w:rsid w:val="0021653D"/>
    <w:rsid w:val="00217CC3"/>
    <w:rsid w:val="00217FF6"/>
    <w:rsid w:val="00220AB6"/>
    <w:rsid w:val="0022120F"/>
    <w:rsid w:val="0022145F"/>
    <w:rsid w:val="002215CC"/>
    <w:rsid w:val="002216DD"/>
    <w:rsid w:val="00221BCD"/>
    <w:rsid w:val="0022264F"/>
    <w:rsid w:val="002230C1"/>
    <w:rsid w:val="0022340F"/>
    <w:rsid w:val="00223428"/>
    <w:rsid w:val="00224158"/>
    <w:rsid w:val="00224E1B"/>
    <w:rsid w:val="00225EFF"/>
    <w:rsid w:val="0022754A"/>
    <w:rsid w:val="00231628"/>
    <w:rsid w:val="00232D38"/>
    <w:rsid w:val="00233482"/>
    <w:rsid w:val="002339EF"/>
    <w:rsid w:val="002343A9"/>
    <w:rsid w:val="002351D2"/>
    <w:rsid w:val="00236560"/>
    <w:rsid w:val="0023662E"/>
    <w:rsid w:val="00237197"/>
    <w:rsid w:val="00237802"/>
    <w:rsid w:val="00237AFE"/>
    <w:rsid w:val="00240034"/>
    <w:rsid w:val="00240359"/>
    <w:rsid w:val="00240893"/>
    <w:rsid w:val="002422B1"/>
    <w:rsid w:val="002425AE"/>
    <w:rsid w:val="002457D7"/>
    <w:rsid w:val="00245D0F"/>
    <w:rsid w:val="00246265"/>
    <w:rsid w:val="00246745"/>
    <w:rsid w:val="0024683F"/>
    <w:rsid w:val="00250A91"/>
    <w:rsid w:val="0025118B"/>
    <w:rsid w:val="00251BA4"/>
    <w:rsid w:val="00251DC2"/>
    <w:rsid w:val="00251E4D"/>
    <w:rsid w:val="00252990"/>
    <w:rsid w:val="00253CDF"/>
    <w:rsid w:val="00254420"/>
    <w:rsid w:val="002546C7"/>
    <w:rsid w:val="002548C3"/>
    <w:rsid w:val="00254962"/>
    <w:rsid w:val="0025692E"/>
    <w:rsid w:val="00257ACD"/>
    <w:rsid w:val="002601A8"/>
    <w:rsid w:val="00260969"/>
    <w:rsid w:val="002620D3"/>
    <w:rsid w:val="00262908"/>
    <w:rsid w:val="00263955"/>
    <w:rsid w:val="002647CB"/>
    <w:rsid w:val="00265099"/>
    <w:rsid w:val="002650F4"/>
    <w:rsid w:val="00266334"/>
    <w:rsid w:val="00266496"/>
    <w:rsid w:val="002707A7"/>
    <w:rsid w:val="00271262"/>
    <w:rsid w:val="002715FD"/>
    <w:rsid w:val="002733A6"/>
    <w:rsid w:val="00273643"/>
    <w:rsid w:val="00273D7E"/>
    <w:rsid w:val="002742C6"/>
    <w:rsid w:val="0027451F"/>
    <w:rsid w:val="0027476E"/>
    <w:rsid w:val="00275B0B"/>
    <w:rsid w:val="00275EBA"/>
    <w:rsid w:val="00276EBE"/>
    <w:rsid w:val="002770B1"/>
    <w:rsid w:val="00277E61"/>
    <w:rsid w:val="002812C7"/>
    <w:rsid w:val="00281F50"/>
    <w:rsid w:val="0028215D"/>
    <w:rsid w:val="00282274"/>
    <w:rsid w:val="0028241C"/>
    <w:rsid w:val="00283CC5"/>
    <w:rsid w:val="00283ECF"/>
    <w:rsid w:val="00284182"/>
    <w:rsid w:val="002843D6"/>
    <w:rsid w:val="00284CD5"/>
    <w:rsid w:val="00285105"/>
    <w:rsid w:val="00285165"/>
    <w:rsid w:val="00285B33"/>
    <w:rsid w:val="00286DEA"/>
    <w:rsid w:val="002870EA"/>
    <w:rsid w:val="0028722F"/>
    <w:rsid w:val="00287A3C"/>
    <w:rsid w:val="00287FA5"/>
    <w:rsid w:val="0029046E"/>
    <w:rsid w:val="00290D2F"/>
    <w:rsid w:val="00290E5D"/>
    <w:rsid w:val="00291605"/>
    <w:rsid w:val="00293C4D"/>
    <w:rsid w:val="00294081"/>
    <w:rsid w:val="00295104"/>
    <w:rsid w:val="00295A73"/>
    <w:rsid w:val="00295F27"/>
    <w:rsid w:val="00296D81"/>
    <w:rsid w:val="00297E52"/>
    <w:rsid w:val="00299D72"/>
    <w:rsid w:val="002A00EC"/>
    <w:rsid w:val="002A0324"/>
    <w:rsid w:val="002A1888"/>
    <w:rsid w:val="002A19A5"/>
    <w:rsid w:val="002A2FC6"/>
    <w:rsid w:val="002A3CFC"/>
    <w:rsid w:val="002A4D4C"/>
    <w:rsid w:val="002A4E40"/>
    <w:rsid w:val="002A523E"/>
    <w:rsid w:val="002A5C3E"/>
    <w:rsid w:val="002A5CF5"/>
    <w:rsid w:val="002A6685"/>
    <w:rsid w:val="002B0FEF"/>
    <w:rsid w:val="002B101E"/>
    <w:rsid w:val="002B1480"/>
    <w:rsid w:val="002B14D2"/>
    <w:rsid w:val="002B1703"/>
    <w:rsid w:val="002B1A48"/>
    <w:rsid w:val="002B38DA"/>
    <w:rsid w:val="002B5154"/>
    <w:rsid w:val="002B5942"/>
    <w:rsid w:val="002B5C05"/>
    <w:rsid w:val="002B6242"/>
    <w:rsid w:val="002B6728"/>
    <w:rsid w:val="002B6D74"/>
    <w:rsid w:val="002B7E08"/>
    <w:rsid w:val="002C166F"/>
    <w:rsid w:val="002C1EC7"/>
    <w:rsid w:val="002C3015"/>
    <w:rsid w:val="002C31B0"/>
    <w:rsid w:val="002C3376"/>
    <w:rsid w:val="002C3418"/>
    <w:rsid w:val="002C4342"/>
    <w:rsid w:val="002C5759"/>
    <w:rsid w:val="002C60A3"/>
    <w:rsid w:val="002C63E2"/>
    <w:rsid w:val="002C727E"/>
    <w:rsid w:val="002C7EA3"/>
    <w:rsid w:val="002D0B7C"/>
    <w:rsid w:val="002D1A08"/>
    <w:rsid w:val="002D1F12"/>
    <w:rsid w:val="002D20AE"/>
    <w:rsid w:val="002D3262"/>
    <w:rsid w:val="002D41EF"/>
    <w:rsid w:val="002D459B"/>
    <w:rsid w:val="002D599B"/>
    <w:rsid w:val="002D6647"/>
    <w:rsid w:val="002D6C61"/>
    <w:rsid w:val="002D7477"/>
    <w:rsid w:val="002E099A"/>
    <w:rsid w:val="002E1630"/>
    <w:rsid w:val="002E2104"/>
    <w:rsid w:val="002E268F"/>
    <w:rsid w:val="002E2AE6"/>
    <w:rsid w:val="002E2DAC"/>
    <w:rsid w:val="002E548D"/>
    <w:rsid w:val="002E5CEA"/>
    <w:rsid w:val="002E5FA3"/>
    <w:rsid w:val="002E6963"/>
    <w:rsid w:val="002E6F49"/>
    <w:rsid w:val="002E6F8F"/>
    <w:rsid w:val="002E7E4F"/>
    <w:rsid w:val="002F05D8"/>
    <w:rsid w:val="002F1F72"/>
    <w:rsid w:val="002F28FD"/>
    <w:rsid w:val="002F2DE0"/>
    <w:rsid w:val="002F446B"/>
    <w:rsid w:val="002F4B71"/>
    <w:rsid w:val="002F5E25"/>
    <w:rsid w:val="002F6751"/>
    <w:rsid w:val="002F70D3"/>
    <w:rsid w:val="00300060"/>
    <w:rsid w:val="003015F8"/>
    <w:rsid w:val="00302560"/>
    <w:rsid w:val="00302702"/>
    <w:rsid w:val="0030353C"/>
    <w:rsid w:val="003049C9"/>
    <w:rsid w:val="0030567D"/>
    <w:rsid w:val="0030582B"/>
    <w:rsid w:val="00306BC0"/>
    <w:rsid w:val="0030E1AE"/>
    <w:rsid w:val="003108ED"/>
    <w:rsid w:val="00311F04"/>
    <w:rsid w:val="00312487"/>
    <w:rsid w:val="003125C3"/>
    <w:rsid w:val="00312AE6"/>
    <w:rsid w:val="00313000"/>
    <w:rsid w:val="0031359B"/>
    <w:rsid w:val="00313626"/>
    <w:rsid w:val="00314019"/>
    <w:rsid w:val="003143F1"/>
    <w:rsid w:val="003147FD"/>
    <w:rsid w:val="00314E26"/>
    <w:rsid w:val="0031527E"/>
    <w:rsid w:val="00316063"/>
    <w:rsid w:val="0031606A"/>
    <w:rsid w:val="00317A03"/>
    <w:rsid w:val="00317D1A"/>
    <w:rsid w:val="003202DF"/>
    <w:rsid w:val="0032034D"/>
    <w:rsid w:val="00320358"/>
    <w:rsid w:val="003211FF"/>
    <w:rsid w:val="0032173D"/>
    <w:rsid w:val="00322620"/>
    <w:rsid w:val="00323710"/>
    <w:rsid w:val="003241B0"/>
    <w:rsid w:val="003242AB"/>
    <w:rsid w:val="00324368"/>
    <w:rsid w:val="00324E76"/>
    <w:rsid w:val="00325764"/>
    <w:rsid w:val="00327067"/>
    <w:rsid w:val="00327142"/>
    <w:rsid w:val="0032718B"/>
    <w:rsid w:val="00327247"/>
    <w:rsid w:val="00327A9D"/>
    <w:rsid w:val="003300BB"/>
    <w:rsid w:val="00330CA4"/>
    <w:rsid w:val="0033130E"/>
    <w:rsid w:val="00331C14"/>
    <w:rsid w:val="0033269C"/>
    <w:rsid w:val="00332B21"/>
    <w:rsid w:val="003330F2"/>
    <w:rsid w:val="00333349"/>
    <w:rsid w:val="0033463F"/>
    <w:rsid w:val="00334FA9"/>
    <w:rsid w:val="00335362"/>
    <w:rsid w:val="00335B77"/>
    <w:rsid w:val="003367B1"/>
    <w:rsid w:val="00337699"/>
    <w:rsid w:val="00337F3E"/>
    <w:rsid w:val="00340132"/>
    <w:rsid w:val="003413FE"/>
    <w:rsid w:val="00341CCD"/>
    <w:rsid w:val="00341D13"/>
    <w:rsid w:val="00342229"/>
    <w:rsid w:val="00342582"/>
    <w:rsid w:val="0034359C"/>
    <w:rsid w:val="00343EB6"/>
    <w:rsid w:val="003440B0"/>
    <w:rsid w:val="00344382"/>
    <w:rsid w:val="00344658"/>
    <w:rsid w:val="00344894"/>
    <w:rsid w:val="00346F6E"/>
    <w:rsid w:val="003471D1"/>
    <w:rsid w:val="00347878"/>
    <w:rsid w:val="00350A36"/>
    <w:rsid w:val="0035133B"/>
    <w:rsid w:val="00351844"/>
    <w:rsid w:val="00351C79"/>
    <w:rsid w:val="00352E23"/>
    <w:rsid w:val="00353140"/>
    <w:rsid w:val="00353A05"/>
    <w:rsid w:val="003545A4"/>
    <w:rsid w:val="00354D88"/>
    <w:rsid w:val="0035516C"/>
    <w:rsid w:val="00355A4C"/>
    <w:rsid w:val="00355CDF"/>
    <w:rsid w:val="003566BE"/>
    <w:rsid w:val="00357475"/>
    <w:rsid w:val="003604FB"/>
    <w:rsid w:val="00360A74"/>
    <w:rsid w:val="00360B73"/>
    <w:rsid w:val="00360ECA"/>
    <w:rsid w:val="0036157C"/>
    <w:rsid w:val="00362092"/>
    <w:rsid w:val="003634D5"/>
    <w:rsid w:val="00365332"/>
    <w:rsid w:val="003658B2"/>
    <w:rsid w:val="00365CAA"/>
    <w:rsid w:val="0036709C"/>
    <w:rsid w:val="00370699"/>
    <w:rsid w:val="00370BDE"/>
    <w:rsid w:val="0037273A"/>
    <w:rsid w:val="00372D92"/>
    <w:rsid w:val="00373C7E"/>
    <w:rsid w:val="0037523E"/>
    <w:rsid w:val="003765C1"/>
    <w:rsid w:val="003768A9"/>
    <w:rsid w:val="00377CA6"/>
    <w:rsid w:val="00377E7E"/>
    <w:rsid w:val="0038054B"/>
    <w:rsid w:val="00380B71"/>
    <w:rsid w:val="00380F44"/>
    <w:rsid w:val="00382AB3"/>
    <w:rsid w:val="0038365A"/>
    <w:rsid w:val="00384560"/>
    <w:rsid w:val="003859C2"/>
    <w:rsid w:val="00386A89"/>
    <w:rsid w:val="00386BAA"/>
    <w:rsid w:val="00387519"/>
    <w:rsid w:val="003878A9"/>
    <w:rsid w:val="003900D1"/>
    <w:rsid w:val="00390526"/>
    <w:rsid w:val="0039097A"/>
    <w:rsid w:val="00391128"/>
    <w:rsid w:val="003915D8"/>
    <w:rsid w:val="00391A11"/>
    <w:rsid w:val="00391E21"/>
    <w:rsid w:val="003923D7"/>
    <w:rsid w:val="003925E0"/>
    <w:rsid w:val="00394A33"/>
    <w:rsid w:val="00394BCC"/>
    <w:rsid w:val="00395538"/>
    <w:rsid w:val="00395943"/>
    <w:rsid w:val="0039648E"/>
    <w:rsid w:val="00396C40"/>
    <w:rsid w:val="00397609"/>
    <w:rsid w:val="003A000C"/>
    <w:rsid w:val="003A23E3"/>
    <w:rsid w:val="003A28DE"/>
    <w:rsid w:val="003A3744"/>
    <w:rsid w:val="003A4C6F"/>
    <w:rsid w:val="003A4D5A"/>
    <w:rsid w:val="003A5AFE"/>
    <w:rsid w:val="003A5D5F"/>
    <w:rsid w:val="003A7512"/>
    <w:rsid w:val="003A7EFA"/>
    <w:rsid w:val="003A7FFE"/>
    <w:rsid w:val="003B0A63"/>
    <w:rsid w:val="003B1049"/>
    <w:rsid w:val="003B2B6F"/>
    <w:rsid w:val="003B308A"/>
    <w:rsid w:val="003B3C5E"/>
    <w:rsid w:val="003B50E1"/>
    <w:rsid w:val="003B5410"/>
    <w:rsid w:val="003B5780"/>
    <w:rsid w:val="003C1746"/>
    <w:rsid w:val="003C1BB9"/>
    <w:rsid w:val="003C2392"/>
    <w:rsid w:val="003C2AA9"/>
    <w:rsid w:val="003C37F0"/>
    <w:rsid w:val="003C4434"/>
    <w:rsid w:val="003C58BF"/>
    <w:rsid w:val="003C58C3"/>
    <w:rsid w:val="003C5FBD"/>
    <w:rsid w:val="003C67AD"/>
    <w:rsid w:val="003C6897"/>
    <w:rsid w:val="003C73A4"/>
    <w:rsid w:val="003D027A"/>
    <w:rsid w:val="003D4332"/>
    <w:rsid w:val="003D451D"/>
    <w:rsid w:val="003D5986"/>
    <w:rsid w:val="003D6FC3"/>
    <w:rsid w:val="003D7807"/>
    <w:rsid w:val="003D7E8E"/>
    <w:rsid w:val="003E0853"/>
    <w:rsid w:val="003E14B5"/>
    <w:rsid w:val="003E18AA"/>
    <w:rsid w:val="003E1FC0"/>
    <w:rsid w:val="003E25F5"/>
    <w:rsid w:val="003E28DC"/>
    <w:rsid w:val="003E3B10"/>
    <w:rsid w:val="003E3DED"/>
    <w:rsid w:val="003E4652"/>
    <w:rsid w:val="003E4C25"/>
    <w:rsid w:val="003E58EA"/>
    <w:rsid w:val="003E653C"/>
    <w:rsid w:val="003E66CB"/>
    <w:rsid w:val="003E71FB"/>
    <w:rsid w:val="003F0296"/>
    <w:rsid w:val="003F053F"/>
    <w:rsid w:val="003F0CC5"/>
    <w:rsid w:val="003F0E26"/>
    <w:rsid w:val="003F0FB6"/>
    <w:rsid w:val="003F157F"/>
    <w:rsid w:val="003F1605"/>
    <w:rsid w:val="003F1C31"/>
    <w:rsid w:val="003F1D65"/>
    <w:rsid w:val="003F2DD8"/>
    <w:rsid w:val="003F2E94"/>
    <w:rsid w:val="003F3F2D"/>
    <w:rsid w:val="003F45A8"/>
    <w:rsid w:val="003F50B2"/>
    <w:rsid w:val="003F50B8"/>
    <w:rsid w:val="003F5FDB"/>
    <w:rsid w:val="003F6ADE"/>
    <w:rsid w:val="003F77A2"/>
    <w:rsid w:val="00400CCF"/>
    <w:rsid w:val="0040138D"/>
    <w:rsid w:val="00401BFF"/>
    <w:rsid w:val="004036F8"/>
    <w:rsid w:val="00404171"/>
    <w:rsid w:val="00404424"/>
    <w:rsid w:val="00405D1F"/>
    <w:rsid w:val="00406619"/>
    <w:rsid w:val="00406783"/>
    <w:rsid w:val="00406C40"/>
    <w:rsid w:val="004072E7"/>
    <w:rsid w:val="004107FC"/>
    <w:rsid w:val="00410F38"/>
    <w:rsid w:val="0041156B"/>
    <w:rsid w:val="004122C5"/>
    <w:rsid w:val="00412349"/>
    <w:rsid w:val="00412748"/>
    <w:rsid w:val="00413B16"/>
    <w:rsid w:val="00413B78"/>
    <w:rsid w:val="00414023"/>
    <w:rsid w:val="00414587"/>
    <w:rsid w:val="00415498"/>
    <w:rsid w:val="00416DDE"/>
    <w:rsid w:val="004178CE"/>
    <w:rsid w:val="00417D03"/>
    <w:rsid w:val="00420F15"/>
    <w:rsid w:val="00421833"/>
    <w:rsid w:val="004220E5"/>
    <w:rsid w:val="00422E90"/>
    <w:rsid w:val="00423542"/>
    <w:rsid w:val="00424210"/>
    <w:rsid w:val="004259B4"/>
    <w:rsid w:val="00426DEA"/>
    <w:rsid w:val="0043082E"/>
    <w:rsid w:val="0043125A"/>
    <w:rsid w:val="00431470"/>
    <w:rsid w:val="00432F8E"/>
    <w:rsid w:val="0043354D"/>
    <w:rsid w:val="004356C2"/>
    <w:rsid w:val="00436D3B"/>
    <w:rsid w:val="00440D3A"/>
    <w:rsid w:val="00440E3C"/>
    <w:rsid w:val="00441D72"/>
    <w:rsid w:val="00442102"/>
    <w:rsid w:val="00443229"/>
    <w:rsid w:val="0044411E"/>
    <w:rsid w:val="004443A8"/>
    <w:rsid w:val="0044680F"/>
    <w:rsid w:val="00450767"/>
    <w:rsid w:val="00450A8D"/>
    <w:rsid w:val="00451397"/>
    <w:rsid w:val="00451497"/>
    <w:rsid w:val="00452C85"/>
    <w:rsid w:val="00453435"/>
    <w:rsid w:val="00453787"/>
    <w:rsid w:val="00453843"/>
    <w:rsid w:val="00453D6D"/>
    <w:rsid w:val="0045428D"/>
    <w:rsid w:val="004556B0"/>
    <w:rsid w:val="004556FB"/>
    <w:rsid w:val="0045643A"/>
    <w:rsid w:val="00456926"/>
    <w:rsid w:val="00460089"/>
    <w:rsid w:val="00463325"/>
    <w:rsid w:val="00465609"/>
    <w:rsid w:val="004660BE"/>
    <w:rsid w:val="00466398"/>
    <w:rsid w:val="00466594"/>
    <w:rsid w:val="00467A34"/>
    <w:rsid w:val="00470ABB"/>
    <w:rsid w:val="0047306D"/>
    <w:rsid w:val="00473791"/>
    <w:rsid w:val="0047417F"/>
    <w:rsid w:val="004747CE"/>
    <w:rsid w:val="00475077"/>
    <w:rsid w:val="0047622B"/>
    <w:rsid w:val="00476385"/>
    <w:rsid w:val="00476E48"/>
    <w:rsid w:val="004773C7"/>
    <w:rsid w:val="00477C66"/>
    <w:rsid w:val="004807CC"/>
    <w:rsid w:val="0048093D"/>
    <w:rsid w:val="00481DE9"/>
    <w:rsid w:val="00482765"/>
    <w:rsid w:val="0048324B"/>
    <w:rsid w:val="00483353"/>
    <w:rsid w:val="00483BC9"/>
    <w:rsid w:val="004859C1"/>
    <w:rsid w:val="00485D89"/>
    <w:rsid w:val="00487373"/>
    <w:rsid w:val="00487966"/>
    <w:rsid w:val="00490088"/>
    <w:rsid w:val="0049128B"/>
    <w:rsid w:val="00491492"/>
    <w:rsid w:val="00491819"/>
    <w:rsid w:val="00492189"/>
    <w:rsid w:val="00492F3D"/>
    <w:rsid w:val="004934CB"/>
    <w:rsid w:val="00493B49"/>
    <w:rsid w:val="00495501"/>
    <w:rsid w:val="0049585F"/>
    <w:rsid w:val="00496E36"/>
    <w:rsid w:val="00497DA3"/>
    <w:rsid w:val="004A070A"/>
    <w:rsid w:val="004A086D"/>
    <w:rsid w:val="004A09CD"/>
    <w:rsid w:val="004A1788"/>
    <w:rsid w:val="004A1E10"/>
    <w:rsid w:val="004A320E"/>
    <w:rsid w:val="004A4666"/>
    <w:rsid w:val="004A4699"/>
    <w:rsid w:val="004A4E9C"/>
    <w:rsid w:val="004A4EB3"/>
    <w:rsid w:val="004A5159"/>
    <w:rsid w:val="004A73A8"/>
    <w:rsid w:val="004B0867"/>
    <w:rsid w:val="004B1A3C"/>
    <w:rsid w:val="004B3923"/>
    <w:rsid w:val="004B4833"/>
    <w:rsid w:val="004B49AB"/>
    <w:rsid w:val="004B5040"/>
    <w:rsid w:val="004B5B62"/>
    <w:rsid w:val="004B5CC6"/>
    <w:rsid w:val="004B6130"/>
    <w:rsid w:val="004B6E4B"/>
    <w:rsid w:val="004B7052"/>
    <w:rsid w:val="004C113F"/>
    <w:rsid w:val="004C156F"/>
    <w:rsid w:val="004C2681"/>
    <w:rsid w:val="004C26A5"/>
    <w:rsid w:val="004C310B"/>
    <w:rsid w:val="004C46F4"/>
    <w:rsid w:val="004C4D33"/>
    <w:rsid w:val="004C65E6"/>
    <w:rsid w:val="004C6D17"/>
    <w:rsid w:val="004C7602"/>
    <w:rsid w:val="004D1E7A"/>
    <w:rsid w:val="004D20C9"/>
    <w:rsid w:val="004D2CC3"/>
    <w:rsid w:val="004D35CB"/>
    <w:rsid w:val="004D40AF"/>
    <w:rsid w:val="004D4246"/>
    <w:rsid w:val="004D44A5"/>
    <w:rsid w:val="004D7DAB"/>
    <w:rsid w:val="004E20E5"/>
    <w:rsid w:val="004E25D9"/>
    <w:rsid w:val="004E2B4B"/>
    <w:rsid w:val="004E3629"/>
    <w:rsid w:val="004E39A8"/>
    <w:rsid w:val="004E42B9"/>
    <w:rsid w:val="004E4B08"/>
    <w:rsid w:val="004E58B2"/>
    <w:rsid w:val="004E64EA"/>
    <w:rsid w:val="004E764F"/>
    <w:rsid w:val="004E7828"/>
    <w:rsid w:val="004F00C7"/>
    <w:rsid w:val="004F091E"/>
    <w:rsid w:val="004F0A72"/>
    <w:rsid w:val="004F0C57"/>
    <w:rsid w:val="004F15EE"/>
    <w:rsid w:val="004F173D"/>
    <w:rsid w:val="004F3F03"/>
    <w:rsid w:val="004F46AA"/>
    <w:rsid w:val="004F4714"/>
    <w:rsid w:val="004F59B9"/>
    <w:rsid w:val="004F619D"/>
    <w:rsid w:val="004F620B"/>
    <w:rsid w:val="004F6A70"/>
    <w:rsid w:val="004F76C1"/>
    <w:rsid w:val="005006A7"/>
    <w:rsid w:val="005007AF"/>
    <w:rsid w:val="00500AD7"/>
    <w:rsid w:val="0050127F"/>
    <w:rsid w:val="00501869"/>
    <w:rsid w:val="00501BE0"/>
    <w:rsid w:val="0050250D"/>
    <w:rsid w:val="00502544"/>
    <w:rsid w:val="00502ABF"/>
    <w:rsid w:val="00503D82"/>
    <w:rsid w:val="0050423D"/>
    <w:rsid w:val="00504DB0"/>
    <w:rsid w:val="00505256"/>
    <w:rsid w:val="00505AD6"/>
    <w:rsid w:val="005063DE"/>
    <w:rsid w:val="00506A74"/>
    <w:rsid w:val="00507224"/>
    <w:rsid w:val="00507241"/>
    <w:rsid w:val="005076EE"/>
    <w:rsid w:val="00507C35"/>
    <w:rsid w:val="00507E32"/>
    <w:rsid w:val="005101F8"/>
    <w:rsid w:val="00510735"/>
    <w:rsid w:val="005111D2"/>
    <w:rsid w:val="005135AB"/>
    <w:rsid w:val="005136B7"/>
    <w:rsid w:val="00513863"/>
    <w:rsid w:val="00514D2F"/>
    <w:rsid w:val="00515279"/>
    <w:rsid w:val="00515CCC"/>
    <w:rsid w:val="0051621A"/>
    <w:rsid w:val="005169FA"/>
    <w:rsid w:val="00516AC2"/>
    <w:rsid w:val="0051797C"/>
    <w:rsid w:val="00517B44"/>
    <w:rsid w:val="00520207"/>
    <w:rsid w:val="00523867"/>
    <w:rsid w:val="00523C53"/>
    <w:rsid w:val="005256A7"/>
    <w:rsid w:val="0052585A"/>
    <w:rsid w:val="00525C12"/>
    <w:rsid w:val="005273A5"/>
    <w:rsid w:val="00527B11"/>
    <w:rsid w:val="005321F9"/>
    <w:rsid w:val="005329C5"/>
    <w:rsid w:val="005329F8"/>
    <w:rsid w:val="00532B3A"/>
    <w:rsid w:val="00533791"/>
    <w:rsid w:val="0053632E"/>
    <w:rsid w:val="0054064C"/>
    <w:rsid w:val="00540703"/>
    <w:rsid w:val="00540916"/>
    <w:rsid w:val="0054093A"/>
    <w:rsid w:val="00540E53"/>
    <w:rsid w:val="00542ECA"/>
    <w:rsid w:val="0054420E"/>
    <w:rsid w:val="00544C08"/>
    <w:rsid w:val="00544D1B"/>
    <w:rsid w:val="00545488"/>
    <w:rsid w:val="00545DC0"/>
    <w:rsid w:val="00545F6C"/>
    <w:rsid w:val="005477D9"/>
    <w:rsid w:val="005479C7"/>
    <w:rsid w:val="005507CA"/>
    <w:rsid w:val="005517E7"/>
    <w:rsid w:val="00551825"/>
    <w:rsid w:val="00551AF0"/>
    <w:rsid w:val="005521FD"/>
    <w:rsid w:val="00552820"/>
    <w:rsid w:val="00552F20"/>
    <w:rsid w:val="00553A7F"/>
    <w:rsid w:val="0055504C"/>
    <w:rsid w:val="00556BE1"/>
    <w:rsid w:val="0055720C"/>
    <w:rsid w:val="005577F5"/>
    <w:rsid w:val="00557F42"/>
    <w:rsid w:val="005603E4"/>
    <w:rsid w:val="00561796"/>
    <w:rsid w:val="0056207D"/>
    <w:rsid w:val="0056313A"/>
    <w:rsid w:val="005632DD"/>
    <w:rsid w:val="0056423B"/>
    <w:rsid w:val="00564B95"/>
    <w:rsid w:val="0056566C"/>
    <w:rsid w:val="00566589"/>
    <w:rsid w:val="00566621"/>
    <w:rsid w:val="00566C9F"/>
    <w:rsid w:val="00570C94"/>
    <w:rsid w:val="00571513"/>
    <w:rsid w:val="005719D2"/>
    <w:rsid w:val="00571ED7"/>
    <w:rsid w:val="0057242D"/>
    <w:rsid w:val="00572DC5"/>
    <w:rsid w:val="005732EB"/>
    <w:rsid w:val="00573424"/>
    <w:rsid w:val="005738ED"/>
    <w:rsid w:val="0057402F"/>
    <w:rsid w:val="0057409F"/>
    <w:rsid w:val="00574282"/>
    <w:rsid w:val="005745BA"/>
    <w:rsid w:val="00576097"/>
    <w:rsid w:val="00577492"/>
    <w:rsid w:val="005775B2"/>
    <w:rsid w:val="005801A8"/>
    <w:rsid w:val="00580DE3"/>
    <w:rsid w:val="00581653"/>
    <w:rsid w:val="00581B93"/>
    <w:rsid w:val="00581D2B"/>
    <w:rsid w:val="0058257A"/>
    <w:rsid w:val="00582EF4"/>
    <w:rsid w:val="00582F29"/>
    <w:rsid w:val="005835C3"/>
    <w:rsid w:val="005849D6"/>
    <w:rsid w:val="00584D09"/>
    <w:rsid w:val="00585051"/>
    <w:rsid w:val="00585367"/>
    <w:rsid w:val="005871A1"/>
    <w:rsid w:val="0058737E"/>
    <w:rsid w:val="005874ED"/>
    <w:rsid w:val="005876B9"/>
    <w:rsid w:val="005900C9"/>
    <w:rsid w:val="00591048"/>
    <w:rsid w:val="00592518"/>
    <w:rsid w:val="00592E87"/>
    <w:rsid w:val="00594024"/>
    <w:rsid w:val="00594142"/>
    <w:rsid w:val="0059420B"/>
    <w:rsid w:val="005947EF"/>
    <w:rsid w:val="00594C4D"/>
    <w:rsid w:val="00594DC4"/>
    <w:rsid w:val="00595763"/>
    <w:rsid w:val="005959F2"/>
    <w:rsid w:val="005A0590"/>
    <w:rsid w:val="005A07C0"/>
    <w:rsid w:val="005A171A"/>
    <w:rsid w:val="005A2715"/>
    <w:rsid w:val="005A296C"/>
    <w:rsid w:val="005A2F29"/>
    <w:rsid w:val="005A30FD"/>
    <w:rsid w:val="005A33B0"/>
    <w:rsid w:val="005A44E6"/>
    <w:rsid w:val="005A509E"/>
    <w:rsid w:val="005A6AE0"/>
    <w:rsid w:val="005A7455"/>
    <w:rsid w:val="005B1F7C"/>
    <w:rsid w:val="005B363C"/>
    <w:rsid w:val="005B43FD"/>
    <w:rsid w:val="005B45BC"/>
    <w:rsid w:val="005B5013"/>
    <w:rsid w:val="005B5C60"/>
    <w:rsid w:val="005B719A"/>
    <w:rsid w:val="005C169F"/>
    <w:rsid w:val="005C1CDA"/>
    <w:rsid w:val="005C2DC2"/>
    <w:rsid w:val="005C304A"/>
    <w:rsid w:val="005C329A"/>
    <w:rsid w:val="005C3595"/>
    <w:rsid w:val="005C3D69"/>
    <w:rsid w:val="005C3F5B"/>
    <w:rsid w:val="005C5373"/>
    <w:rsid w:val="005C5543"/>
    <w:rsid w:val="005C5A93"/>
    <w:rsid w:val="005C5DC3"/>
    <w:rsid w:val="005C7C98"/>
    <w:rsid w:val="005D0422"/>
    <w:rsid w:val="005D0881"/>
    <w:rsid w:val="005D151F"/>
    <w:rsid w:val="005D19DA"/>
    <w:rsid w:val="005D2C3A"/>
    <w:rsid w:val="005D34AB"/>
    <w:rsid w:val="005D3664"/>
    <w:rsid w:val="005D3E15"/>
    <w:rsid w:val="005D495A"/>
    <w:rsid w:val="005D55A4"/>
    <w:rsid w:val="005D57C8"/>
    <w:rsid w:val="005D6814"/>
    <w:rsid w:val="005D6A6A"/>
    <w:rsid w:val="005D6A8F"/>
    <w:rsid w:val="005D7761"/>
    <w:rsid w:val="005E0278"/>
    <w:rsid w:val="005E040D"/>
    <w:rsid w:val="005E090D"/>
    <w:rsid w:val="005E218C"/>
    <w:rsid w:val="005E24A7"/>
    <w:rsid w:val="005E24B8"/>
    <w:rsid w:val="005E3B22"/>
    <w:rsid w:val="005E3CA0"/>
    <w:rsid w:val="005E44B1"/>
    <w:rsid w:val="005E486E"/>
    <w:rsid w:val="005E64B8"/>
    <w:rsid w:val="005E659E"/>
    <w:rsid w:val="005E67B0"/>
    <w:rsid w:val="005E7047"/>
    <w:rsid w:val="005E7234"/>
    <w:rsid w:val="005E777F"/>
    <w:rsid w:val="005E78CD"/>
    <w:rsid w:val="005F060A"/>
    <w:rsid w:val="005F0934"/>
    <w:rsid w:val="005F1CA7"/>
    <w:rsid w:val="005F2266"/>
    <w:rsid w:val="005F275C"/>
    <w:rsid w:val="005F3540"/>
    <w:rsid w:val="005F3F74"/>
    <w:rsid w:val="005F43DD"/>
    <w:rsid w:val="005F441E"/>
    <w:rsid w:val="005F4668"/>
    <w:rsid w:val="005F46E8"/>
    <w:rsid w:val="005F51A9"/>
    <w:rsid w:val="005F6393"/>
    <w:rsid w:val="005F6BE1"/>
    <w:rsid w:val="005F6D67"/>
    <w:rsid w:val="005F6E6F"/>
    <w:rsid w:val="005F7416"/>
    <w:rsid w:val="005F7E36"/>
    <w:rsid w:val="00600C11"/>
    <w:rsid w:val="00601135"/>
    <w:rsid w:val="00601AB4"/>
    <w:rsid w:val="00603F47"/>
    <w:rsid w:val="00604715"/>
    <w:rsid w:val="006059C8"/>
    <w:rsid w:val="00605D58"/>
    <w:rsid w:val="006066E6"/>
    <w:rsid w:val="00606B89"/>
    <w:rsid w:val="00610307"/>
    <w:rsid w:val="00610366"/>
    <w:rsid w:val="00611EAF"/>
    <w:rsid w:val="0061226C"/>
    <w:rsid w:val="00613881"/>
    <w:rsid w:val="00613BDA"/>
    <w:rsid w:val="006172B2"/>
    <w:rsid w:val="0062034D"/>
    <w:rsid w:val="00621BE4"/>
    <w:rsid w:val="00622AD9"/>
    <w:rsid w:val="006235C8"/>
    <w:rsid w:val="00623940"/>
    <w:rsid w:val="00623F30"/>
    <w:rsid w:val="0062450B"/>
    <w:rsid w:val="00625B6A"/>
    <w:rsid w:val="00625FB8"/>
    <w:rsid w:val="006261BD"/>
    <w:rsid w:val="00627B9C"/>
    <w:rsid w:val="00627D6C"/>
    <w:rsid w:val="006328C8"/>
    <w:rsid w:val="00632A03"/>
    <w:rsid w:val="006339A7"/>
    <w:rsid w:val="00633A3C"/>
    <w:rsid w:val="00634532"/>
    <w:rsid w:val="00635EDB"/>
    <w:rsid w:val="006373F8"/>
    <w:rsid w:val="00637A97"/>
    <w:rsid w:val="00637A9A"/>
    <w:rsid w:val="00637AA8"/>
    <w:rsid w:val="00637D12"/>
    <w:rsid w:val="006400D8"/>
    <w:rsid w:val="00641046"/>
    <w:rsid w:val="00641203"/>
    <w:rsid w:val="0064275E"/>
    <w:rsid w:val="00642781"/>
    <w:rsid w:val="006446C8"/>
    <w:rsid w:val="006448CF"/>
    <w:rsid w:val="00644A88"/>
    <w:rsid w:val="0064526E"/>
    <w:rsid w:val="00645383"/>
    <w:rsid w:val="00645580"/>
    <w:rsid w:val="00645F1C"/>
    <w:rsid w:val="00646E3C"/>
    <w:rsid w:val="0064705F"/>
    <w:rsid w:val="0064734E"/>
    <w:rsid w:val="00647E04"/>
    <w:rsid w:val="00650137"/>
    <w:rsid w:val="006501CC"/>
    <w:rsid w:val="00650281"/>
    <w:rsid w:val="006509D7"/>
    <w:rsid w:val="00651CE8"/>
    <w:rsid w:val="00653F24"/>
    <w:rsid w:val="00654080"/>
    <w:rsid w:val="0065521B"/>
    <w:rsid w:val="00656088"/>
    <w:rsid w:val="006563ED"/>
    <w:rsid w:val="00656ED1"/>
    <w:rsid w:val="00657875"/>
    <w:rsid w:val="006578A8"/>
    <w:rsid w:val="006578EB"/>
    <w:rsid w:val="00657C50"/>
    <w:rsid w:val="00660DEB"/>
    <w:rsid w:val="006624B8"/>
    <w:rsid w:val="006634D8"/>
    <w:rsid w:val="00663E16"/>
    <w:rsid w:val="00665370"/>
    <w:rsid w:val="00665446"/>
    <w:rsid w:val="006659E0"/>
    <w:rsid w:val="00665E34"/>
    <w:rsid w:val="00665F84"/>
    <w:rsid w:val="006660B9"/>
    <w:rsid w:val="00667121"/>
    <w:rsid w:val="00670002"/>
    <w:rsid w:val="006707FF"/>
    <w:rsid w:val="006708C7"/>
    <w:rsid w:val="00670BEE"/>
    <w:rsid w:val="00670E4C"/>
    <w:rsid w:val="006715CA"/>
    <w:rsid w:val="00671EF6"/>
    <w:rsid w:val="0067205B"/>
    <w:rsid w:val="006721BC"/>
    <w:rsid w:val="006725DB"/>
    <w:rsid w:val="00672B31"/>
    <w:rsid w:val="006737FB"/>
    <w:rsid w:val="00673AD2"/>
    <w:rsid w:val="006748F8"/>
    <w:rsid w:val="006752A6"/>
    <w:rsid w:val="0067535C"/>
    <w:rsid w:val="006753E6"/>
    <w:rsid w:val="0067626A"/>
    <w:rsid w:val="0067735C"/>
    <w:rsid w:val="00680357"/>
    <w:rsid w:val="00680489"/>
    <w:rsid w:val="006826F8"/>
    <w:rsid w:val="00682A88"/>
    <w:rsid w:val="00682ED1"/>
    <w:rsid w:val="00683C32"/>
    <w:rsid w:val="0068414A"/>
    <w:rsid w:val="00684EE3"/>
    <w:rsid w:val="006857ED"/>
    <w:rsid w:val="00685E21"/>
    <w:rsid w:val="00686520"/>
    <w:rsid w:val="00686FD3"/>
    <w:rsid w:val="00687525"/>
    <w:rsid w:val="0069004A"/>
    <w:rsid w:val="00690601"/>
    <w:rsid w:val="00690BB2"/>
    <w:rsid w:val="00690D04"/>
    <w:rsid w:val="00691D17"/>
    <w:rsid w:val="0069266D"/>
    <w:rsid w:val="006927BB"/>
    <w:rsid w:val="006930B2"/>
    <w:rsid w:val="00693D09"/>
    <w:rsid w:val="006943CF"/>
    <w:rsid w:val="00694460"/>
    <w:rsid w:val="00694E67"/>
    <w:rsid w:val="00695B97"/>
    <w:rsid w:val="00696608"/>
    <w:rsid w:val="00697F2D"/>
    <w:rsid w:val="006A2B04"/>
    <w:rsid w:val="006A3479"/>
    <w:rsid w:val="006A4429"/>
    <w:rsid w:val="006A4617"/>
    <w:rsid w:val="006A5143"/>
    <w:rsid w:val="006A5C80"/>
    <w:rsid w:val="006A6152"/>
    <w:rsid w:val="006A6549"/>
    <w:rsid w:val="006A6BF7"/>
    <w:rsid w:val="006A7710"/>
    <w:rsid w:val="006A7A61"/>
    <w:rsid w:val="006A7E7B"/>
    <w:rsid w:val="006B03C3"/>
    <w:rsid w:val="006B0E9B"/>
    <w:rsid w:val="006B1E59"/>
    <w:rsid w:val="006B2FFB"/>
    <w:rsid w:val="006B4064"/>
    <w:rsid w:val="006B4E59"/>
    <w:rsid w:val="006B4F01"/>
    <w:rsid w:val="006C0985"/>
    <w:rsid w:val="006C0E7A"/>
    <w:rsid w:val="006C10A2"/>
    <w:rsid w:val="006C166F"/>
    <w:rsid w:val="006C1B66"/>
    <w:rsid w:val="006C1F18"/>
    <w:rsid w:val="006C29C5"/>
    <w:rsid w:val="006C38AA"/>
    <w:rsid w:val="006C4FC7"/>
    <w:rsid w:val="006C641C"/>
    <w:rsid w:val="006C6608"/>
    <w:rsid w:val="006C6911"/>
    <w:rsid w:val="006C69A2"/>
    <w:rsid w:val="006C7E6D"/>
    <w:rsid w:val="006D014D"/>
    <w:rsid w:val="006D08C4"/>
    <w:rsid w:val="006D09F9"/>
    <w:rsid w:val="006D18BC"/>
    <w:rsid w:val="006D1A6A"/>
    <w:rsid w:val="006D314A"/>
    <w:rsid w:val="006D40D5"/>
    <w:rsid w:val="006D516C"/>
    <w:rsid w:val="006D587A"/>
    <w:rsid w:val="006E0056"/>
    <w:rsid w:val="006E0DDF"/>
    <w:rsid w:val="006E1E1E"/>
    <w:rsid w:val="006E3E4B"/>
    <w:rsid w:val="006E51AA"/>
    <w:rsid w:val="006E51AD"/>
    <w:rsid w:val="006E5700"/>
    <w:rsid w:val="006E6182"/>
    <w:rsid w:val="006E628C"/>
    <w:rsid w:val="006F009A"/>
    <w:rsid w:val="006F03FC"/>
    <w:rsid w:val="006F0EBF"/>
    <w:rsid w:val="006F1380"/>
    <w:rsid w:val="006F1E71"/>
    <w:rsid w:val="006F2425"/>
    <w:rsid w:val="006F24B7"/>
    <w:rsid w:val="006F2C99"/>
    <w:rsid w:val="006F3087"/>
    <w:rsid w:val="006F3655"/>
    <w:rsid w:val="006F39E2"/>
    <w:rsid w:val="006F3D93"/>
    <w:rsid w:val="006F42F1"/>
    <w:rsid w:val="006F45C2"/>
    <w:rsid w:val="006F5FE8"/>
    <w:rsid w:val="006F6829"/>
    <w:rsid w:val="00700250"/>
    <w:rsid w:val="007019B1"/>
    <w:rsid w:val="00703B8C"/>
    <w:rsid w:val="00703CC6"/>
    <w:rsid w:val="00703E56"/>
    <w:rsid w:val="007046F5"/>
    <w:rsid w:val="00705600"/>
    <w:rsid w:val="00705687"/>
    <w:rsid w:val="007070C1"/>
    <w:rsid w:val="00707319"/>
    <w:rsid w:val="00707D28"/>
    <w:rsid w:val="00707F95"/>
    <w:rsid w:val="00711314"/>
    <w:rsid w:val="00711CCD"/>
    <w:rsid w:val="007127A8"/>
    <w:rsid w:val="00712AF4"/>
    <w:rsid w:val="0071302E"/>
    <w:rsid w:val="007130DC"/>
    <w:rsid w:val="00713C85"/>
    <w:rsid w:val="00714B2C"/>
    <w:rsid w:val="00714FDA"/>
    <w:rsid w:val="0071569A"/>
    <w:rsid w:val="00715920"/>
    <w:rsid w:val="00717D60"/>
    <w:rsid w:val="00717D6A"/>
    <w:rsid w:val="00721596"/>
    <w:rsid w:val="00721657"/>
    <w:rsid w:val="007217F2"/>
    <w:rsid w:val="007279A8"/>
    <w:rsid w:val="00727B1A"/>
    <w:rsid w:val="0073012A"/>
    <w:rsid w:val="00730887"/>
    <w:rsid w:val="00730DD1"/>
    <w:rsid w:val="00731B68"/>
    <w:rsid w:val="007332C7"/>
    <w:rsid w:val="007345BE"/>
    <w:rsid w:val="0073609D"/>
    <w:rsid w:val="00737077"/>
    <w:rsid w:val="007376D2"/>
    <w:rsid w:val="00741337"/>
    <w:rsid w:val="00742152"/>
    <w:rsid w:val="00742B56"/>
    <w:rsid w:val="007447E7"/>
    <w:rsid w:val="0074554C"/>
    <w:rsid w:val="007457FF"/>
    <w:rsid w:val="00745E08"/>
    <w:rsid w:val="00746191"/>
    <w:rsid w:val="0074635E"/>
    <w:rsid w:val="0074690B"/>
    <w:rsid w:val="00747C6D"/>
    <w:rsid w:val="00750D71"/>
    <w:rsid w:val="00750F98"/>
    <w:rsid w:val="00751411"/>
    <w:rsid w:val="007514D9"/>
    <w:rsid w:val="0075180B"/>
    <w:rsid w:val="00751E30"/>
    <w:rsid w:val="00752258"/>
    <w:rsid w:val="00752981"/>
    <w:rsid w:val="007529E1"/>
    <w:rsid w:val="00753FDA"/>
    <w:rsid w:val="0075406A"/>
    <w:rsid w:val="0075456C"/>
    <w:rsid w:val="00755735"/>
    <w:rsid w:val="00756ADD"/>
    <w:rsid w:val="00760012"/>
    <w:rsid w:val="007619BA"/>
    <w:rsid w:val="00761EE6"/>
    <w:rsid w:val="007621DC"/>
    <w:rsid w:val="00762626"/>
    <w:rsid w:val="007627E5"/>
    <w:rsid w:val="00762880"/>
    <w:rsid w:val="00762AD6"/>
    <w:rsid w:val="00762E02"/>
    <w:rsid w:val="00763850"/>
    <w:rsid w:val="00764029"/>
    <w:rsid w:val="00764121"/>
    <w:rsid w:val="00764138"/>
    <w:rsid w:val="007678E9"/>
    <w:rsid w:val="00770301"/>
    <w:rsid w:val="007712CD"/>
    <w:rsid w:val="00772290"/>
    <w:rsid w:val="00772906"/>
    <w:rsid w:val="007736C1"/>
    <w:rsid w:val="00773979"/>
    <w:rsid w:val="00774BD4"/>
    <w:rsid w:val="0077552D"/>
    <w:rsid w:val="00776259"/>
    <w:rsid w:val="00777265"/>
    <w:rsid w:val="00780400"/>
    <w:rsid w:val="007805E7"/>
    <w:rsid w:val="00781382"/>
    <w:rsid w:val="00781400"/>
    <w:rsid w:val="00781C1C"/>
    <w:rsid w:val="0078222A"/>
    <w:rsid w:val="00782CC1"/>
    <w:rsid w:val="0078322E"/>
    <w:rsid w:val="007850DA"/>
    <w:rsid w:val="0078585B"/>
    <w:rsid w:val="00785863"/>
    <w:rsid w:val="00785ABC"/>
    <w:rsid w:val="00785F3F"/>
    <w:rsid w:val="00787D48"/>
    <w:rsid w:val="00790F91"/>
    <w:rsid w:val="0079226B"/>
    <w:rsid w:val="0079336A"/>
    <w:rsid w:val="00793A1D"/>
    <w:rsid w:val="00794C5D"/>
    <w:rsid w:val="00794CCD"/>
    <w:rsid w:val="00795294"/>
    <w:rsid w:val="0079558D"/>
    <w:rsid w:val="007973BA"/>
    <w:rsid w:val="007A0BE0"/>
    <w:rsid w:val="007A1EA0"/>
    <w:rsid w:val="007A260E"/>
    <w:rsid w:val="007A32FF"/>
    <w:rsid w:val="007A49EC"/>
    <w:rsid w:val="007A4E50"/>
    <w:rsid w:val="007A59AB"/>
    <w:rsid w:val="007A62F1"/>
    <w:rsid w:val="007A64BE"/>
    <w:rsid w:val="007A6DB1"/>
    <w:rsid w:val="007B18A7"/>
    <w:rsid w:val="007B20E2"/>
    <w:rsid w:val="007B250E"/>
    <w:rsid w:val="007B2536"/>
    <w:rsid w:val="007B329E"/>
    <w:rsid w:val="007B337A"/>
    <w:rsid w:val="007B3474"/>
    <w:rsid w:val="007B5006"/>
    <w:rsid w:val="007B6F27"/>
    <w:rsid w:val="007B7977"/>
    <w:rsid w:val="007B7B48"/>
    <w:rsid w:val="007C0C26"/>
    <w:rsid w:val="007C0C28"/>
    <w:rsid w:val="007C0DA5"/>
    <w:rsid w:val="007C1012"/>
    <w:rsid w:val="007C18EF"/>
    <w:rsid w:val="007C1DCC"/>
    <w:rsid w:val="007C1DEB"/>
    <w:rsid w:val="007C2200"/>
    <w:rsid w:val="007C27FC"/>
    <w:rsid w:val="007C2FCA"/>
    <w:rsid w:val="007C3F85"/>
    <w:rsid w:val="007C44D7"/>
    <w:rsid w:val="007C47C3"/>
    <w:rsid w:val="007C4CC8"/>
    <w:rsid w:val="007C4E15"/>
    <w:rsid w:val="007C51FF"/>
    <w:rsid w:val="007C58A5"/>
    <w:rsid w:val="007C5BE5"/>
    <w:rsid w:val="007C6307"/>
    <w:rsid w:val="007C72DE"/>
    <w:rsid w:val="007C7C2D"/>
    <w:rsid w:val="007C7E7C"/>
    <w:rsid w:val="007D06D1"/>
    <w:rsid w:val="007D2430"/>
    <w:rsid w:val="007D3EA1"/>
    <w:rsid w:val="007D40C6"/>
    <w:rsid w:val="007D41BE"/>
    <w:rsid w:val="007D4F6B"/>
    <w:rsid w:val="007D50E4"/>
    <w:rsid w:val="007D52E8"/>
    <w:rsid w:val="007D56ED"/>
    <w:rsid w:val="007D6633"/>
    <w:rsid w:val="007D732A"/>
    <w:rsid w:val="007D7FDC"/>
    <w:rsid w:val="007E017C"/>
    <w:rsid w:val="007E0268"/>
    <w:rsid w:val="007E0280"/>
    <w:rsid w:val="007E097D"/>
    <w:rsid w:val="007E1042"/>
    <w:rsid w:val="007E179C"/>
    <w:rsid w:val="007E2A58"/>
    <w:rsid w:val="007E2CA3"/>
    <w:rsid w:val="007E2DC5"/>
    <w:rsid w:val="007E54BA"/>
    <w:rsid w:val="007E593C"/>
    <w:rsid w:val="007E6549"/>
    <w:rsid w:val="007E740B"/>
    <w:rsid w:val="007F08C4"/>
    <w:rsid w:val="007F1CC7"/>
    <w:rsid w:val="007F227E"/>
    <w:rsid w:val="007F299C"/>
    <w:rsid w:val="007F3AF8"/>
    <w:rsid w:val="007F4BB9"/>
    <w:rsid w:val="007F533C"/>
    <w:rsid w:val="007F6A1B"/>
    <w:rsid w:val="007F7140"/>
    <w:rsid w:val="007F72B3"/>
    <w:rsid w:val="007F73C0"/>
    <w:rsid w:val="007F78DA"/>
    <w:rsid w:val="007F7FDC"/>
    <w:rsid w:val="008001B5"/>
    <w:rsid w:val="00800249"/>
    <w:rsid w:val="008015B8"/>
    <w:rsid w:val="008027AC"/>
    <w:rsid w:val="008028CE"/>
    <w:rsid w:val="00803068"/>
    <w:rsid w:val="0080332E"/>
    <w:rsid w:val="00803618"/>
    <w:rsid w:val="008039B3"/>
    <w:rsid w:val="00803BEB"/>
    <w:rsid w:val="00804678"/>
    <w:rsid w:val="008048A6"/>
    <w:rsid w:val="00805CA0"/>
    <w:rsid w:val="00805DDB"/>
    <w:rsid w:val="0080613D"/>
    <w:rsid w:val="00807D42"/>
    <w:rsid w:val="008109CC"/>
    <w:rsid w:val="00810BFC"/>
    <w:rsid w:val="008124CD"/>
    <w:rsid w:val="008125A6"/>
    <w:rsid w:val="008130AF"/>
    <w:rsid w:val="008141E0"/>
    <w:rsid w:val="0081483B"/>
    <w:rsid w:val="00816EE1"/>
    <w:rsid w:val="00816F88"/>
    <w:rsid w:val="00817018"/>
    <w:rsid w:val="00817E5E"/>
    <w:rsid w:val="008218C6"/>
    <w:rsid w:val="00821996"/>
    <w:rsid w:val="00822323"/>
    <w:rsid w:val="008223AE"/>
    <w:rsid w:val="008228B0"/>
    <w:rsid w:val="00822D22"/>
    <w:rsid w:val="00824C16"/>
    <w:rsid w:val="00825D47"/>
    <w:rsid w:val="00826DD0"/>
    <w:rsid w:val="00827BC6"/>
    <w:rsid w:val="008300AD"/>
    <w:rsid w:val="008303B5"/>
    <w:rsid w:val="0083095E"/>
    <w:rsid w:val="00831B26"/>
    <w:rsid w:val="00833024"/>
    <w:rsid w:val="00833A35"/>
    <w:rsid w:val="008346B4"/>
    <w:rsid w:val="0083704D"/>
    <w:rsid w:val="008405AD"/>
    <w:rsid w:val="008419B1"/>
    <w:rsid w:val="00842AA4"/>
    <w:rsid w:val="0084300A"/>
    <w:rsid w:val="008440F2"/>
    <w:rsid w:val="00844A56"/>
    <w:rsid w:val="00844A96"/>
    <w:rsid w:val="00844BD6"/>
    <w:rsid w:val="00844C7D"/>
    <w:rsid w:val="00844D39"/>
    <w:rsid w:val="00845B11"/>
    <w:rsid w:val="008463AC"/>
    <w:rsid w:val="00847428"/>
    <w:rsid w:val="00852081"/>
    <w:rsid w:val="00853BC3"/>
    <w:rsid w:val="00853F2C"/>
    <w:rsid w:val="008541CE"/>
    <w:rsid w:val="0085423A"/>
    <w:rsid w:val="0085484C"/>
    <w:rsid w:val="00854F1F"/>
    <w:rsid w:val="008551CE"/>
    <w:rsid w:val="00855983"/>
    <w:rsid w:val="00855AC2"/>
    <w:rsid w:val="00856361"/>
    <w:rsid w:val="00856EF1"/>
    <w:rsid w:val="00857839"/>
    <w:rsid w:val="00857D6A"/>
    <w:rsid w:val="00857D8D"/>
    <w:rsid w:val="00857E50"/>
    <w:rsid w:val="00860FA3"/>
    <w:rsid w:val="008630C0"/>
    <w:rsid w:val="00863474"/>
    <w:rsid w:val="00863987"/>
    <w:rsid w:val="00864CBF"/>
    <w:rsid w:val="00865625"/>
    <w:rsid w:val="00865AA6"/>
    <w:rsid w:val="00865D12"/>
    <w:rsid w:val="00866224"/>
    <w:rsid w:val="00867F36"/>
    <w:rsid w:val="00870F41"/>
    <w:rsid w:val="008715B9"/>
    <w:rsid w:val="00871F77"/>
    <w:rsid w:val="00871FAB"/>
    <w:rsid w:val="008724DA"/>
    <w:rsid w:val="00872B6E"/>
    <w:rsid w:val="008746A3"/>
    <w:rsid w:val="0087474D"/>
    <w:rsid w:val="00874DFD"/>
    <w:rsid w:val="00875206"/>
    <w:rsid w:val="00875D2A"/>
    <w:rsid w:val="008765BD"/>
    <w:rsid w:val="008771AD"/>
    <w:rsid w:val="00877743"/>
    <w:rsid w:val="00880100"/>
    <w:rsid w:val="008802F9"/>
    <w:rsid w:val="00881ACC"/>
    <w:rsid w:val="00882001"/>
    <w:rsid w:val="00882780"/>
    <w:rsid w:val="00883086"/>
    <w:rsid w:val="00883A77"/>
    <w:rsid w:val="00884EE9"/>
    <w:rsid w:val="00885863"/>
    <w:rsid w:val="008858A3"/>
    <w:rsid w:val="00886A2B"/>
    <w:rsid w:val="00886C07"/>
    <w:rsid w:val="008879FD"/>
    <w:rsid w:val="00887C1B"/>
    <w:rsid w:val="00890740"/>
    <w:rsid w:val="008907BE"/>
    <w:rsid w:val="0089382C"/>
    <w:rsid w:val="00894C37"/>
    <w:rsid w:val="00896864"/>
    <w:rsid w:val="0089722B"/>
    <w:rsid w:val="00897D3F"/>
    <w:rsid w:val="008A00EA"/>
    <w:rsid w:val="008A12F9"/>
    <w:rsid w:val="008A1858"/>
    <w:rsid w:val="008A26A6"/>
    <w:rsid w:val="008A26F2"/>
    <w:rsid w:val="008A3059"/>
    <w:rsid w:val="008A3381"/>
    <w:rsid w:val="008A3F93"/>
    <w:rsid w:val="008A401D"/>
    <w:rsid w:val="008A4F6C"/>
    <w:rsid w:val="008A56F7"/>
    <w:rsid w:val="008A6236"/>
    <w:rsid w:val="008A64BB"/>
    <w:rsid w:val="008A6784"/>
    <w:rsid w:val="008A6E08"/>
    <w:rsid w:val="008A6E1C"/>
    <w:rsid w:val="008A6FA3"/>
    <w:rsid w:val="008A6FB9"/>
    <w:rsid w:val="008A72FD"/>
    <w:rsid w:val="008B024F"/>
    <w:rsid w:val="008B140C"/>
    <w:rsid w:val="008B24F1"/>
    <w:rsid w:val="008B2EDF"/>
    <w:rsid w:val="008B3EEF"/>
    <w:rsid w:val="008B47C7"/>
    <w:rsid w:val="008B4EA1"/>
    <w:rsid w:val="008B54CB"/>
    <w:rsid w:val="008B5A3D"/>
    <w:rsid w:val="008B5BAE"/>
    <w:rsid w:val="008B6FB0"/>
    <w:rsid w:val="008B75D9"/>
    <w:rsid w:val="008C0627"/>
    <w:rsid w:val="008C0DC6"/>
    <w:rsid w:val="008C136B"/>
    <w:rsid w:val="008C13FD"/>
    <w:rsid w:val="008C1420"/>
    <w:rsid w:val="008C1904"/>
    <w:rsid w:val="008C3881"/>
    <w:rsid w:val="008C4010"/>
    <w:rsid w:val="008C46C8"/>
    <w:rsid w:val="008C47EE"/>
    <w:rsid w:val="008C4978"/>
    <w:rsid w:val="008C4FDF"/>
    <w:rsid w:val="008C6B1F"/>
    <w:rsid w:val="008D08B7"/>
    <w:rsid w:val="008D2278"/>
    <w:rsid w:val="008D2C09"/>
    <w:rsid w:val="008D43BB"/>
    <w:rsid w:val="008D4674"/>
    <w:rsid w:val="008D4792"/>
    <w:rsid w:val="008D5022"/>
    <w:rsid w:val="008D599C"/>
    <w:rsid w:val="008D59EC"/>
    <w:rsid w:val="008D5E4F"/>
    <w:rsid w:val="008D6F54"/>
    <w:rsid w:val="008D78D2"/>
    <w:rsid w:val="008D7F04"/>
    <w:rsid w:val="008E05FD"/>
    <w:rsid w:val="008E0FD7"/>
    <w:rsid w:val="008E11A0"/>
    <w:rsid w:val="008E1584"/>
    <w:rsid w:val="008E1F0C"/>
    <w:rsid w:val="008E20B5"/>
    <w:rsid w:val="008E3037"/>
    <w:rsid w:val="008E34F0"/>
    <w:rsid w:val="008E366D"/>
    <w:rsid w:val="008E3DBF"/>
    <w:rsid w:val="008E64A8"/>
    <w:rsid w:val="008E6790"/>
    <w:rsid w:val="008E7450"/>
    <w:rsid w:val="008E78E3"/>
    <w:rsid w:val="008E7C2D"/>
    <w:rsid w:val="008F0605"/>
    <w:rsid w:val="008F0918"/>
    <w:rsid w:val="008F0944"/>
    <w:rsid w:val="008F0A6D"/>
    <w:rsid w:val="008F0F7A"/>
    <w:rsid w:val="008F10A8"/>
    <w:rsid w:val="008F14F5"/>
    <w:rsid w:val="008F30EB"/>
    <w:rsid w:val="008F4DC8"/>
    <w:rsid w:val="008F67BA"/>
    <w:rsid w:val="008F6A56"/>
    <w:rsid w:val="008F71C1"/>
    <w:rsid w:val="008F7328"/>
    <w:rsid w:val="008F7616"/>
    <w:rsid w:val="00902AAC"/>
    <w:rsid w:val="00902D41"/>
    <w:rsid w:val="00902F49"/>
    <w:rsid w:val="00902FD4"/>
    <w:rsid w:val="009032D4"/>
    <w:rsid w:val="00904230"/>
    <w:rsid w:val="00904619"/>
    <w:rsid w:val="00905B39"/>
    <w:rsid w:val="00906C2C"/>
    <w:rsid w:val="009111C7"/>
    <w:rsid w:val="0091202C"/>
    <w:rsid w:val="00914004"/>
    <w:rsid w:val="00914186"/>
    <w:rsid w:val="009152DB"/>
    <w:rsid w:val="009166A8"/>
    <w:rsid w:val="00916926"/>
    <w:rsid w:val="00916D17"/>
    <w:rsid w:val="00917A0E"/>
    <w:rsid w:val="0092150E"/>
    <w:rsid w:val="009223C7"/>
    <w:rsid w:val="00922EC1"/>
    <w:rsid w:val="00923CF1"/>
    <w:rsid w:val="009240ED"/>
    <w:rsid w:val="00924A87"/>
    <w:rsid w:val="00924C58"/>
    <w:rsid w:val="00924DA6"/>
    <w:rsid w:val="00926BAC"/>
    <w:rsid w:val="009301F1"/>
    <w:rsid w:val="0093033B"/>
    <w:rsid w:val="009307DF"/>
    <w:rsid w:val="00930EE4"/>
    <w:rsid w:val="0093238F"/>
    <w:rsid w:val="009338CB"/>
    <w:rsid w:val="009338F7"/>
    <w:rsid w:val="00933BFE"/>
    <w:rsid w:val="00934B15"/>
    <w:rsid w:val="009350BE"/>
    <w:rsid w:val="009359B8"/>
    <w:rsid w:val="00935FF0"/>
    <w:rsid w:val="00936CB6"/>
    <w:rsid w:val="0093711C"/>
    <w:rsid w:val="00940DA3"/>
    <w:rsid w:val="009415FB"/>
    <w:rsid w:val="00942DEF"/>
    <w:rsid w:val="009431F8"/>
    <w:rsid w:val="009439DC"/>
    <w:rsid w:val="00945F22"/>
    <w:rsid w:val="009464D5"/>
    <w:rsid w:val="00946663"/>
    <w:rsid w:val="00947A35"/>
    <w:rsid w:val="00947EAA"/>
    <w:rsid w:val="0095106E"/>
    <w:rsid w:val="00951101"/>
    <w:rsid w:val="0095114A"/>
    <w:rsid w:val="00951CA8"/>
    <w:rsid w:val="00951CCB"/>
    <w:rsid w:val="009520D5"/>
    <w:rsid w:val="009528DF"/>
    <w:rsid w:val="00953137"/>
    <w:rsid w:val="0095323A"/>
    <w:rsid w:val="00954217"/>
    <w:rsid w:val="009550CC"/>
    <w:rsid w:val="00956A74"/>
    <w:rsid w:val="009570CE"/>
    <w:rsid w:val="009610BD"/>
    <w:rsid w:val="009614DB"/>
    <w:rsid w:val="0096201B"/>
    <w:rsid w:val="00962081"/>
    <w:rsid w:val="00962905"/>
    <w:rsid w:val="0096447B"/>
    <w:rsid w:val="0096476C"/>
    <w:rsid w:val="00964913"/>
    <w:rsid w:val="0096494B"/>
    <w:rsid w:val="009664C4"/>
    <w:rsid w:val="00966CB5"/>
    <w:rsid w:val="0096737D"/>
    <w:rsid w:val="00970510"/>
    <w:rsid w:val="0097111B"/>
    <w:rsid w:val="00972259"/>
    <w:rsid w:val="00972616"/>
    <w:rsid w:val="00973717"/>
    <w:rsid w:val="00974483"/>
    <w:rsid w:val="00975786"/>
    <w:rsid w:val="0097627B"/>
    <w:rsid w:val="00976A0B"/>
    <w:rsid w:val="00976FBD"/>
    <w:rsid w:val="009772CC"/>
    <w:rsid w:val="00977BD0"/>
    <w:rsid w:val="00977D80"/>
    <w:rsid w:val="00980B36"/>
    <w:rsid w:val="0098177A"/>
    <w:rsid w:val="00981CB7"/>
    <w:rsid w:val="00983E1F"/>
    <w:rsid w:val="00983F76"/>
    <w:rsid w:val="00984F01"/>
    <w:rsid w:val="00985D36"/>
    <w:rsid w:val="00985DA7"/>
    <w:rsid w:val="0098630D"/>
    <w:rsid w:val="00987276"/>
    <w:rsid w:val="009939DC"/>
    <w:rsid w:val="00993A60"/>
    <w:rsid w:val="00993C86"/>
    <w:rsid w:val="00993F46"/>
    <w:rsid w:val="00996309"/>
    <w:rsid w:val="00996EC8"/>
    <w:rsid w:val="00997358"/>
    <w:rsid w:val="009A014B"/>
    <w:rsid w:val="009A04AB"/>
    <w:rsid w:val="009A0A4B"/>
    <w:rsid w:val="009A0D89"/>
    <w:rsid w:val="009A19BC"/>
    <w:rsid w:val="009A4460"/>
    <w:rsid w:val="009A452B"/>
    <w:rsid w:val="009A624C"/>
    <w:rsid w:val="009A6716"/>
    <w:rsid w:val="009A67CA"/>
    <w:rsid w:val="009A6C74"/>
    <w:rsid w:val="009A6F5D"/>
    <w:rsid w:val="009A7B2E"/>
    <w:rsid w:val="009A7CBB"/>
    <w:rsid w:val="009B050C"/>
    <w:rsid w:val="009B087F"/>
    <w:rsid w:val="009B250E"/>
    <w:rsid w:val="009B2AF4"/>
    <w:rsid w:val="009B3195"/>
    <w:rsid w:val="009B3574"/>
    <w:rsid w:val="009B4839"/>
    <w:rsid w:val="009B5C10"/>
    <w:rsid w:val="009B66D7"/>
    <w:rsid w:val="009B67F9"/>
    <w:rsid w:val="009B7188"/>
    <w:rsid w:val="009B7A94"/>
    <w:rsid w:val="009C05AD"/>
    <w:rsid w:val="009C0B7B"/>
    <w:rsid w:val="009C110B"/>
    <w:rsid w:val="009C271D"/>
    <w:rsid w:val="009C34E5"/>
    <w:rsid w:val="009C4703"/>
    <w:rsid w:val="009C4F88"/>
    <w:rsid w:val="009C510D"/>
    <w:rsid w:val="009C5441"/>
    <w:rsid w:val="009C572A"/>
    <w:rsid w:val="009C5D55"/>
    <w:rsid w:val="009C5ECA"/>
    <w:rsid w:val="009C608F"/>
    <w:rsid w:val="009C6B50"/>
    <w:rsid w:val="009C6C06"/>
    <w:rsid w:val="009C700E"/>
    <w:rsid w:val="009C7367"/>
    <w:rsid w:val="009C7820"/>
    <w:rsid w:val="009D0E56"/>
    <w:rsid w:val="009D119F"/>
    <w:rsid w:val="009D148A"/>
    <w:rsid w:val="009D21D6"/>
    <w:rsid w:val="009D21FA"/>
    <w:rsid w:val="009D3A97"/>
    <w:rsid w:val="009D3D95"/>
    <w:rsid w:val="009D3DB2"/>
    <w:rsid w:val="009D40C7"/>
    <w:rsid w:val="009D49A2"/>
    <w:rsid w:val="009D50F1"/>
    <w:rsid w:val="009D5F05"/>
    <w:rsid w:val="009D6C7C"/>
    <w:rsid w:val="009D6CAE"/>
    <w:rsid w:val="009E0164"/>
    <w:rsid w:val="009E0D2B"/>
    <w:rsid w:val="009E2E59"/>
    <w:rsid w:val="009E2F52"/>
    <w:rsid w:val="009E4B65"/>
    <w:rsid w:val="009E4BAC"/>
    <w:rsid w:val="009E599B"/>
    <w:rsid w:val="009E786D"/>
    <w:rsid w:val="009E7F58"/>
    <w:rsid w:val="009F0680"/>
    <w:rsid w:val="009F17F3"/>
    <w:rsid w:val="009F2053"/>
    <w:rsid w:val="009F2642"/>
    <w:rsid w:val="009F2FCE"/>
    <w:rsid w:val="009F3070"/>
    <w:rsid w:val="009F34A3"/>
    <w:rsid w:val="009F3940"/>
    <w:rsid w:val="009F3EB2"/>
    <w:rsid w:val="009F6038"/>
    <w:rsid w:val="009F627C"/>
    <w:rsid w:val="009F6C37"/>
    <w:rsid w:val="009F6EB1"/>
    <w:rsid w:val="00A0065B"/>
    <w:rsid w:val="00A01707"/>
    <w:rsid w:val="00A026B0"/>
    <w:rsid w:val="00A033EB"/>
    <w:rsid w:val="00A034B5"/>
    <w:rsid w:val="00A0453E"/>
    <w:rsid w:val="00A0472C"/>
    <w:rsid w:val="00A05CEB"/>
    <w:rsid w:val="00A05D43"/>
    <w:rsid w:val="00A063D8"/>
    <w:rsid w:val="00A07612"/>
    <w:rsid w:val="00A10004"/>
    <w:rsid w:val="00A112E7"/>
    <w:rsid w:val="00A11A76"/>
    <w:rsid w:val="00A11D05"/>
    <w:rsid w:val="00A12A34"/>
    <w:rsid w:val="00A12A9B"/>
    <w:rsid w:val="00A12AFC"/>
    <w:rsid w:val="00A13162"/>
    <w:rsid w:val="00A13C4A"/>
    <w:rsid w:val="00A14399"/>
    <w:rsid w:val="00A143E1"/>
    <w:rsid w:val="00A151FF"/>
    <w:rsid w:val="00A1571F"/>
    <w:rsid w:val="00A159B9"/>
    <w:rsid w:val="00A176D2"/>
    <w:rsid w:val="00A20267"/>
    <w:rsid w:val="00A2103C"/>
    <w:rsid w:val="00A21A12"/>
    <w:rsid w:val="00A21DC2"/>
    <w:rsid w:val="00A24B66"/>
    <w:rsid w:val="00A25F60"/>
    <w:rsid w:val="00A27390"/>
    <w:rsid w:val="00A2742A"/>
    <w:rsid w:val="00A30076"/>
    <w:rsid w:val="00A30238"/>
    <w:rsid w:val="00A308EE"/>
    <w:rsid w:val="00A30D6E"/>
    <w:rsid w:val="00A3158C"/>
    <w:rsid w:val="00A32DF3"/>
    <w:rsid w:val="00A3303E"/>
    <w:rsid w:val="00A336D1"/>
    <w:rsid w:val="00A33E32"/>
    <w:rsid w:val="00A34654"/>
    <w:rsid w:val="00A35E20"/>
    <w:rsid w:val="00A36F6D"/>
    <w:rsid w:val="00A37167"/>
    <w:rsid w:val="00A378AC"/>
    <w:rsid w:val="00A41A67"/>
    <w:rsid w:val="00A41B24"/>
    <w:rsid w:val="00A42715"/>
    <w:rsid w:val="00A43293"/>
    <w:rsid w:val="00A43CAB"/>
    <w:rsid w:val="00A43F56"/>
    <w:rsid w:val="00A453DD"/>
    <w:rsid w:val="00A4692D"/>
    <w:rsid w:val="00A4699D"/>
    <w:rsid w:val="00A50CA0"/>
    <w:rsid w:val="00A525CC"/>
    <w:rsid w:val="00A52687"/>
    <w:rsid w:val="00A52C38"/>
    <w:rsid w:val="00A52CE7"/>
    <w:rsid w:val="00A531A2"/>
    <w:rsid w:val="00A53791"/>
    <w:rsid w:val="00A53E7C"/>
    <w:rsid w:val="00A54055"/>
    <w:rsid w:val="00A55356"/>
    <w:rsid w:val="00A55E98"/>
    <w:rsid w:val="00A574D6"/>
    <w:rsid w:val="00A60087"/>
    <w:rsid w:val="00A60A3E"/>
    <w:rsid w:val="00A61362"/>
    <w:rsid w:val="00A61FB7"/>
    <w:rsid w:val="00A62ADB"/>
    <w:rsid w:val="00A650CB"/>
    <w:rsid w:val="00A65738"/>
    <w:rsid w:val="00A671CE"/>
    <w:rsid w:val="00A672A5"/>
    <w:rsid w:val="00A705E8"/>
    <w:rsid w:val="00A71730"/>
    <w:rsid w:val="00A71A47"/>
    <w:rsid w:val="00A721F4"/>
    <w:rsid w:val="00A7281E"/>
    <w:rsid w:val="00A74353"/>
    <w:rsid w:val="00A74B11"/>
    <w:rsid w:val="00A757A3"/>
    <w:rsid w:val="00A7676E"/>
    <w:rsid w:val="00A77E1E"/>
    <w:rsid w:val="00A77F99"/>
    <w:rsid w:val="00A81644"/>
    <w:rsid w:val="00A829F7"/>
    <w:rsid w:val="00A82A64"/>
    <w:rsid w:val="00A82F63"/>
    <w:rsid w:val="00A84CEB"/>
    <w:rsid w:val="00A84E68"/>
    <w:rsid w:val="00A85AD4"/>
    <w:rsid w:val="00A85D70"/>
    <w:rsid w:val="00A85F6A"/>
    <w:rsid w:val="00A86197"/>
    <w:rsid w:val="00A8625F"/>
    <w:rsid w:val="00A865EB"/>
    <w:rsid w:val="00A900C5"/>
    <w:rsid w:val="00A907D2"/>
    <w:rsid w:val="00A90F7D"/>
    <w:rsid w:val="00A92566"/>
    <w:rsid w:val="00A928A1"/>
    <w:rsid w:val="00A92FAF"/>
    <w:rsid w:val="00A93859"/>
    <w:rsid w:val="00A938F1"/>
    <w:rsid w:val="00A9392C"/>
    <w:rsid w:val="00A9460B"/>
    <w:rsid w:val="00A9462B"/>
    <w:rsid w:val="00A94FD9"/>
    <w:rsid w:val="00A95035"/>
    <w:rsid w:val="00A95483"/>
    <w:rsid w:val="00A95708"/>
    <w:rsid w:val="00A9604B"/>
    <w:rsid w:val="00A966C1"/>
    <w:rsid w:val="00A977D4"/>
    <w:rsid w:val="00A97D59"/>
    <w:rsid w:val="00AA0241"/>
    <w:rsid w:val="00AA102A"/>
    <w:rsid w:val="00AA1E8F"/>
    <w:rsid w:val="00AA252B"/>
    <w:rsid w:val="00AA3E09"/>
    <w:rsid w:val="00AA4BEF"/>
    <w:rsid w:val="00AA5009"/>
    <w:rsid w:val="00AA6043"/>
    <w:rsid w:val="00AA6513"/>
    <w:rsid w:val="00AA780E"/>
    <w:rsid w:val="00AA79A8"/>
    <w:rsid w:val="00AB04B3"/>
    <w:rsid w:val="00AB0B16"/>
    <w:rsid w:val="00AB1659"/>
    <w:rsid w:val="00AB1753"/>
    <w:rsid w:val="00AB2F43"/>
    <w:rsid w:val="00AB3669"/>
    <w:rsid w:val="00AB4962"/>
    <w:rsid w:val="00AB59C4"/>
    <w:rsid w:val="00AB734E"/>
    <w:rsid w:val="00AB740F"/>
    <w:rsid w:val="00AB7C12"/>
    <w:rsid w:val="00AC05E5"/>
    <w:rsid w:val="00AC1129"/>
    <w:rsid w:val="00AC1915"/>
    <w:rsid w:val="00AC1BDD"/>
    <w:rsid w:val="00AC3202"/>
    <w:rsid w:val="00AC390D"/>
    <w:rsid w:val="00AC4317"/>
    <w:rsid w:val="00AC5FF2"/>
    <w:rsid w:val="00AC621E"/>
    <w:rsid w:val="00AC6F14"/>
    <w:rsid w:val="00AC7221"/>
    <w:rsid w:val="00AC7253"/>
    <w:rsid w:val="00AC764D"/>
    <w:rsid w:val="00AD0085"/>
    <w:rsid w:val="00AD0CB2"/>
    <w:rsid w:val="00AD24E0"/>
    <w:rsid w:val="00AD3217"/>
    <w:rsid w:val="00AD4677"/>
    <w:rsid w:val="00AD4694"/>
    <w:rsid w:val="00AD4CF6"/>
    <w:rsid w:val="00AD5C87"/>
    <w:rsid w:val="00AD63C8"/>
    <w:rsid w:val="00AE393C"/>
    <w:rsid w:val="00AE3C86"/>
    <w:rsid w:val="00AE4EE0"/>
    <w:rsid w:val="00AE5961"/>
    <w:rsid w:val="00AE5C86"/>
    <w:rsid w:val="00AE5F46"/>
    <w:rsid w:val="00AE66A3"/>
    <w:rsid w:val="00AE6836"/>
    <w:rsid w:val="00AF0745"/>
    <w:rsid w:val="00AF0D11"/>
    <w:rsid w:val="00AF1D12"/>
    <w:rsid w:val="00AF306C"/>
    <w:rsid w:val="00AF3434"/>
    <w:rsid w:val="00AF35AB"/>
    <w:rsid w:val="00AF37F1"/>
    <w:rsid w:val="00AF3F6F"/>
    <w:rsid w:val="00AF4971"/>
    <w:rsid w:val="00AF517D"/>
    <w:rsid w:val="00AF5276"/>
    <w:rsid w:val="00AF5AC9"/>
    <w:rsid w:val="00AF5DE5"/>
    <w:rsid w:val="00AF6D72"/>
    <w:rsid w:val="00AF7AB5"/>
    <w:rsid w:val="00AF7C86"/>
    <w:rsid w:val="00AF7CE7"/>
    <w:rsid w:val="00AF7F61"/>
    <w:rsid w:val="00B00786"/>
    <w:rsid w:val="00B00B1E"/>
    <w:rsid w:val="00B01046"/>
    <w:rsid w:val="00B015C0"/>
    <w:rsid w:val="00B01882"/>
    <w:rsid w:val="00B01D73"/>
    <w:rsid w:val="00B01EB5"/>
    <w:rsid w:val="00B037B5"/>
    <w:rsid w:val="00B04632"/>
    <w:rsid w:val="00B04DBB"/>
    <w:rsid w:val="00B06DAC"/>
    <w:rsid w:val="00B06E7D"/>
    <w:rsid w:val="00B06ECE"/>
    <w:rsid w:val="00B07BDF"/>
    <w:rsid w:val="00B10C5E"/>
    <w:rsid w:val="00B10DCD"/>
    <w:rsid w:val="00B11168"/>
    <w:rsid w:val="00B113CB"/>
    <w:rsid w:val="00B11EAC"/>
    <w:rsid w:val="00B1235B"/>
    <w:rsid w:val="00B14269"/>
    <w:rsid w:val="00B144C7"/>
    <w:rsid w:val="00B15147"/>
    <w:rsid w:val="00B1564E"/>
    <w:rsid w:val="00B15747"/>
    <w:rsid w:val="00B1629D"/>
    <w:rsid w:val="00B17924"/>
    <w:rsid w:val="00B20A2B"/>
    <w:rsid w:val="00B20DB4"/>
    <w:rsid w:val="00B22DD8"/>
    <w:rsid w:val="00B23F83"/>
    <w:rsid w:val="00B253DD"/>
    <w:rsid w:val="00B266A9"/>
    <w:rsid w:val="00B27604"/>
    <w:rsid w:val="00B27DE7"/>
    <w:rsid w:val="00B309CD"/>
    <w:rsid w:val="00B31045"/>
    <w:rsid w:val="00B310F9"/>
    <w:rsid w:val="00B31459"/>
    <w:rsid w:val="00B31947"/>
    <w:rsid w:val="00B31974"/>
    <w:rsid w:val="00B3199B"/>
    <w:rsid w:val="00B31B87"/>
    <w:rsid w:val="00B32296"/>
    <w:rsid w:val="00B32383"/>
    <w:rsid w:val="00B326E0"/>
    <w:rsid w:val="00B32F8E"/>
    <w:rsid w:val="00B35B04"/>
    <w:rsid w:val="00B36CDF"/>
    <w:rsid w:val="00B377C1"/>
    <w:rsid w:val="00B37866"/>
    <w:rsid w:val="00B411C4"/>
    <w:rsid w:val="00B412FB"/>
    <w:rsid w:val="00B4224E"/>
    <w:rsid w:val="00B4461A"/>
    <w:rsid w:val="00B44C59"/>
    <w:rsid w:val="00B44E9A"/>
    <w:rsid w:val="00B45435"/>
    <w:rsid w:val="00B4561E"/>
    <w:rsid w:val="00B4576B"/>
    <w:rsid w:val="00B46350"/>
    <w:rsid w:val="00B46802"/>
    <w:rsid w:val="00B46A85"/>
    <w:rsid w:val="00B46DF3"/>
    <w:rsid w:val="00B47070"/>
    <w:rsid w:val="00B50550"/>
    <w:rsid w:val="00B51407"/>
    <w:rsid w:val="00B51A75"/>
    <w:rsid w:val="00B5297B"/>
    <w:rsid w:val="00B55271"/>
    <w:rsid w:val="00B5535E"/>
    <w:rsid w:val="00B60C20"/>
    <w:rsid w:val="00B62884"/>
    <w:rsid w:val="00B63977"/>
    <w:rsid w:val="00B63F06"/>
    <w:rsid w:val="00B648C7"/>
    <w:rsid w:val="00B651DF"/>
    <w:rsid w:val="00B65DA8"/>
    <w:rsid w:val="00B662EE"/>
    <w:rsid w:val="00B66502"/>
    <w:rsid w:val="00B66E8F"/>
    <w:rsid w:val="00B672C9"/>
    <w:rsid w:val="00B674FC"/>
    <w:rsid w:val="00B67567"/>
    <w:rsid w:val="00B675F3"/>
    <w:rsid w:val="00B705D5"/>
    <w:rsid w:val="00B70C8E"/>
    <w:rsid w:val="00B713C1"/>
    <w:rsid w:val="00B71900"/>
    <w:rsid w:val="00B71C01"/>
    <w:rsid w:val="00B72EC2"/>
    <w:rsid w:val="00B73162"/>
    <w:rsid w:val="00B74DEE"/>
    <w:rsid w:val="00B75806"/>
    <w:rsid w:val="00B776C0"/>
    <w:rsid w:val="00B77915"/>
    <w:rsid w:val="00B77967"/>
    <w:rsid w:val="00B80157"/>
    <w:rsid w:val="00B80E4A"/>
    <w:rsid w:val="00B81B19"/>
    <w:rsid w:val="00B81E72"/>
    <w:rsid w:val="00B82150"/>
    <w:rsid w:val="00B8372C"/>
    <w:rsid w:val="00B837E9"/>
    <w:rsid w:val="00B83D5E"/>
    <w:rsid w:val="00B844AF"/>
    <w:rsid w:val="00B8460A"/>
    <w:rsid w:val="00B853D0"/>
    <w:rsid w:val="00B85FA4"/>
    <w:rsid w:val="00B8650D"/>
    <w:rsid w:val="00B8751F"/>
    <w:rsid w:val="00B879B4"/>
    <w:rsid w:val="00B90F07"/>
    <w:rsid w:val="00B90F7E"/>
    <w:rsid w:val="00B91248"/>
    <w:rsid w:val="00B9171C"/>
    <w:rsid w:val="00B936E0"/>
    <w:rsid w:val="00B94E4C"/>
    <w:rsid w:val="00B97BB9"/>
    <w:rsid w:val="00BA0009"/>
    <w:rsid w:val="00BA0D46"/>
    <w:rsid w:val="00BA0E0A"/>
    <w:rsid w:val="00BA2BF4"/>
    <w:rsid w:val="00BA446D"/>
    <w:rsid w:val="00BA59AA"/>
    <w:rsid w:val="00BA65EA"/>
    <w:rsid w:val="00BB02B5"/>
    <w:rsid w:val="00BB1863"/>
    <w:rsid w:val="00BB25EE"/>
    <w:rsid w:val="00BB363A"/>
    <w:rsid w:val="00BB38F7"/>
    <w:rsid w:val="00BB39A1"/>
    <w:rsid w:val="00BB4B86"/>
    <w:rsid w:val="00BB51B0"/>
    <w:rsid w:val="00BB5287"/>
    <w:rsid w:val="00BB54A5"/>
    <w:rsid w:val="00BB5BA2"/>
    <w:rsid w:val="00BC10A0"/>
    <w:rsid w:val="00BC248B"/>
    <w:rsid w:val="00BC2CCC"/>
    <w:rsid w:val="00BC371B"/>
    <w:rsid w:val="00BC4F9A"/>
    <w:rsid w:val="00BC6461"/>
    <w:rsid w:val="00BC67B2"/>
    <w:rsid w:val="00BC6E39"/>
    <w:rsid w:val="00BC78DA"/>
    <w:rsid w:val="00BC7BA2"/>
    <w:rsid w:val="00BD02FC"/>
    <w:rsid w:val="00BD038A"/>
    <w:rsid w:val="00BD12ED"/>
    <w:rsid w:val="00BD197D"/>
    <w:rsid w:val="00BD27B7"/>
    <w:rsid w:val="00BD3B82"/>
    <w:rsid w:val="00BD426B"/>
    <w:rsid w:val="00BD478F"/>
    <w:rsid w:val="00BD4D63"/>
    <w:rsid w:val="00BD5BCB"/>
    <w:rsid w:val="00BD5CD3"/>
    <w:rsid w:val="00BD5D18"/>
    <w:rsid w:val="00BD674E"/>
    <w:rsid w:val="00BD6C6D"/>
    <w:rsid w:val="00BD79C4"/>
    <w:rsid w:val="00BD79F0"/>
    <w:rsid w:val="00BE01BD"/>
    <w:rsid w:val="00BE0555"/>
    <w:rsid w:val="00BE1973"/>
    <w:rsid w:val="00BE2170"/>
    <w:rsid w:val="00BE2B4D"/>
    <w:rsid w:val="00BE3113"/>
    <w:rsid w:val="00BE4255"/>
    <w:rsid w:val="00BE4493"/>
    <w:rsid w:val="00BE5AE9"/>
    <w:rsid w:val="00BE6D04"/>
    <w:rsid w:val="00BE7A47"/>
    <w:rsid w:val="00BF15E3"/>
    <w:rsid w:val="00BF19D8"/>
    <w:rsid w:val="00BF2073"/>
    <w:rsid w:val="00BF281A"/>
    <w:rsid w:val="00BF2DFF"/>
    <w:rsid w:val="00BF384C"/>
    <w:rsid w:val="00BF3A8A"/>
    <w:rsid w:val="00BF5341"/>
    <w:rsid w:val="00BF5DB3"/>
    <w:rsid w:val="00BF690F"/>
    <w:rsid w:val="00BF7A60"/>
    <w:rsid w:val="00BF7E96"/>
    <w:rsid w:val="00C00A32"/>
    <w:rsid w:val="00C0158B"/>
    <w:rsid w:val="00C015F8"/>
    <w:rsid w:val="00C02C2A"/>
    <w:rsid w:val="00C04289"/>
    <w:rsid w:val="00C0520D"/>
    <w:rsid w:val="00C06070"/>
    <w:rsid w:val="00C060C3"/>
    <w:rsid w:val="00C07E26"/>
    <w:rsid w:val="00C1011C"/>
    <w:rsid w:val="00C10618"/>
    <w:rsid w:val="00C118D9"/>
    <w:rsid w:val="00C12F94"/>
    <w:rsid w:val="00C13E73"/>
    <w:rsid w:val="00C14177"/>
    <w:rsid w:val="00C1422F"/>
    <w:rsid w:val="00C1493B"/>
    <w:rsid w:val="00C149D0"/>
    <w:rsid w:val="00C14D45"/>
    <w:rsid w:val="00C16119"/>
    <w:rsid w:val="00C16573"/>
    <w:rsid w:val="00C177C5"/>
    <w:rsid w:val="00C17B74"/>
    <w:rsid w:val="00C2113B"/>
    <w:rsid w:val="00C216E7"/>
    <w:rsid w:val="00C22ACF"/>
    <w:rsid w:val="00C231F6"/>
    <w:rsid w:val="00C23FBF"/>
    <w:rsid w:val="00C25A6E"/>
    <w:rsid w:val="00C27EC4"/>
    <w:rsid w:val="00C2D65F"/>
    <w:rsid w:val="00C30F6F"/>
    <w:rsid w:val="00C338AD"/>
    <w:rsid w:val="00C33921"/>
    <w:rsid w:val="00C33DFA"/>
    <w:rsid w:val="00C3425C"/>
    <w:rsid w:val="00C3493E"/>
    <w:rsid w:val="00C34983"/>
    <w:rsid w:val="00C34B14"/>
    <w:rsid w:val="00C34EC3"/>
    <w:rsid w:val="00C35528"/>
    <w:rsid w:val="00C35E4D"/>
    <w:rsid w:val="00C371D6"/>
    <w:rsid w:val="00C37A0C"/>
    <w:rsid w:val="00C37D37"/>
    <w:rsid w:val="00C4038C"/>
    <w:rsid w:val="00C40391"/>
    <w:rsid w:val="00C40BE5"/>
    <w:rsid w:val="00C41C83"/>
    <w:rsid w:val="00C41FF3"/>
    <w:rsid w:val="00C42BA2"/>
    <w:rsid w:val="00C44066"/>
    <w:rsid w:val="00C44E13"/>
    <w:rsid w:val="00C44F63"/>
    <w:rsid w:val="00C4627A"/>
    <w:rsid w:val="00C46342"/>
    <w:rsid w:val="00C4682F"/>
    <w:rsid w:val="00C4735B"/>
    <w:rsid w:val="00C47A37"/>
    <w:rsid w:val="00C51A87"/>
    <w:rsid w:val="00C52954"/>
    <w:rsid w:val="00C54AED"/>
    <w:rsid w:val="00C5597B"/>
    <w:rsid w:val="00C60A41"/>
    <w:rsid w:val="00C60B4D"/>
    <w:rsid w:val="00C60CB7"/>
    <w:rsid w:val="00C60D5D"/>
    <w:rsid w:val="00C60F87"/>
    <w:rsid w:val="00C6140E"/>
    <w:rsid w:val="00C61C36"/>
    <w:rsid w:val="00C6213C"/>
    <w:rsid w:val="00C62DE8"/>
    <w:rsid w:val="00C62DFB"/>
    <w:rsid w:val="00C630E6"/>
    <w:rsid w:val="00C63812"/>
    <w:rsid w:val="00C64A1B"/>
    <w:rsid w:val="00C64AF3"/>
    <w:rsid w:val="00C656D0"/>
    <w:rsid w:val="00C65914"/>
    <w:rsid w:val="00C6644F"/>
    <w:rsid w:val="00C66C84"/>
    <w:rsid w:val="00C66F4D"/>
    <w:rsid w:val="00C675A8"/>
    <w:rsid w:val="00C67BB5"/>
    <w:rsid w:val="00C67F99"/>
    <w:rsid w:val="00C70E2D"/>
    <w:rsid w:val="00C71210"/>
    <w:rsid w:val="00C71E23"/>
    <w:rsid w:val="00C72713"/>
    <w:rsid w:val="00C73CE7"/>
    <w:rsid w:val="00C740D7"/>
    <w:rsid w:val="00C74924"/>
    <w:rsid w:val="00C74932"/>
    <w:rsid w:val="00C74973"/>
    <w:rsid w:val="00C761BC"/>
    <w:rsid w:val="00C761D9"/>
    <w:rsid w:val="00C76494"/>
    <w:rsid w:val="00C76C16"/>
    <w:rsid w:val="00C77122"/>
    <w:rsid w:val="00C77C4F"/>
    <w:rsid w:val="00C77EF0"/>
    <w:rsid w:val="00C8098E"/>
    <w:rsid w:val="00C822A4"/>
    <w:rsid w:val="00C8233D"/>
    <w:rsid w:val="00C83121"/>
    <w:rsid w:val="00C83737"/>
    <w:rsid w:val="00C848EF"/>
    <w:rsid w:val="00C84CF9"/>
    <w:rsid w:val="00C85D4F"/>
    <w:rsid w:val="00C86600"/>
    <w:rsid w:val="00C86BAD"/>
    <w:rsid w:val="00C86ED1"/>
    <w:rsid w:val="00C8755E"/>
    <w:rsid w:val="00C87BCA"/>
    <w:rsid w:val="00C87E3A"/>
    <w:rsid w:val="00C87EED"/>
    <w:rsid w:val="00C87FB6"/>
    <w:rsid w:val="00C90417"/>
    <w:rsid w:val="00C908A0"/>
    <w:rsid w:val="00C91E78"/>
    <w:rsid w:val="00C92152"/>
    <w:rsid w:val="00C92980"/>
    <w:rsid w:val="00C93BAB"/>
    <w:rsid w:val="00C94506"/>
    <w:rsid w:val="00C954BC"/>
    <w:rsid w:val="00C95CBD"/>
    <w:rsid w:val="00C96697"/>
    <w:rsid w:val="00C966BD"/>
    <w:rsid w:val="00C97122"/>
    <w:rsid w:val="00C97D42"/>
    <w:rsid w:val="00CA0F55"/>
    <w:rsid w:val="00CA1F0B"/>
    <w:rsid w:val="00CA2128"/>
    <w:rsid w:val="00CA39C9"/>
    <w:rsid w:val="00CA3C31"/>
    <w:rsid w:val="00CA3F2F"/>
    <w:rsid w:val="00CA3F41"/>
    <w:rsid w:val="00CA6B91"/>
    <w:rsid w:val="00CA6C19"/>
    <w:rsid w:val="00CA75C9"/>
    <w:rsid w:val="00CB110F"/>
    <w:rsid w:val="00CB169C"/>
    <w:rsid w:val="00CB2A2E"/>
    <w:rsid w:val="00CB2D38"/>
    <w:rsid w:val="00CB338A"/>
    <w:rsid w:val="00CB3490"/>
    <w:rsid w:val="00CB34C3"/>
    <w:rsid w:val="00CB4672"/>
    <w:rsid w:val="00CB5D83"/>
    <w:rsid w:val="00CB6CDD"/>
    <w:rsid w:val="00CB729F"/>
    <w:rsid w:val="00CB79C5"/>
    <w:rsid w:val="00CC091F"/>
    <w:rsid w:val="00CC0FA7"/>
    <w:rsid w:val="00CC12C7"/>
    <w:rsid w:val="00CC30E5"/>
    <w:rsid w:val="00CC39AF"/>
    <w:rsid w:val="00CC3B9A"/>
    <w:rsid w:val="00CC411F"/>
    <w:rsid w:val="00CC4218"/>
    <w:rsid w:val="00CC4B75"/>
    <w:rsid w:val="00CC58C3"/>
    <w:rsid w:val="00CC6A85"/>
    <w:rsid w:val="00CC732E"/>
    <w:rsid w:val="00CD0C2F"/>
    <w:rsid w:val="00CD113D"/>
    <w:rsid w:val="00CD16D1"/>
    <w:rsid w:val="00CD17E8"/>
    <w:rsid w:val="00CD2379"/>
    <w:rsid w:val="00CD2BB7"/>
    <w:rsid w:val="00CD2F7C"/>
    <w:rsid w:val="00CD2FCD"/>
    <w:rsid w:val="00CD3829"/>
    <w:rsid w:val="00CD40BF"/>
    <w:rsid w:val="00CD40E3"/>
    <w:rsid w:val="00CD60EF"/>
    <w:rsid w:val="00CD62DD"/>
    <w:rsid w:val="00CD6385"/>
    <w:rsid w:val="00CD6EA6"/>
    <w:rsid w:val="00CD701C"/>
    <w:rsid w:val="00CD7207"/>
    <w:rsid w:val="00CD74EC"/>
    <w:rsid w:val="00CE0422"/>
    <w:rsid w:val="00CE0DBE"/>
    <w:rsid w:val="00CE0FCA"/>
    <w:rsid w:val="00CE1B88"/>
    <w:rsid w:val="00CE2590"/>
    <w:rsid w:val="00CE36D2"/>
    <w:rsid w:val="00CE4002"/>
    <w:rsid w:val="00CE4F40"/>
    <w:rsid w:val="00CE5E4D"/>
    <w:rsid w:val="00CE5F78"/>
    <w:rsid w:val="00CE689D"/>
    <w:rsid w:val="00CE75CB"/>
    <w:rsid w:val="00CF02C4"/>
    <w:rsid w:val="00CF108B"/>
    <w:rsid w:val="00CF167F"/>
    <w:rsid w:val="00CF1F86"/>
    <w:rsid w:val="00CF2ABC"/>
    <w:rsid w:val="00CF2BB6"/>
    <w:rsid w:val="00CF2F05"/>
    <w:rsid w:val="00CF2F46"/>
    <w:rsid w:val="00CF3108"/>
    <w:rsid w:val="00CF36FD"/>
    <w:rsid w:val="00CF44F5"/>
    <w:rsid w:val="00CF7031"/>
    <w:rsid w:val="00CF72E5"/>
    <w:rsid w:val="00CF7DB3"/>
    <w:rsid w:val="00D013EE"/>
    <w:rsid w:val="00D01F54"/>
    <w:rsid w:val="00D020FC"/>
    <w:rsid w:val="00D03997"/>
    <w:rsid w:val="00D03D07"/>
    <w:rsid w:val="00D0403F"/>
    <w:rsid w:val="00D040F7"/>
    <w:rsid w:val="00D04A76"/>
    <w:rsid w:val="00D0681D"/>
    <w:rsid w:val="00D10180"/>
    <w:rsid w:val="00D10FC7"/>
    <w:rsid w:val="00D11856"/>
    <w:rsid w:val="00D121BA"/>
    <w:rsid w:val="00D122B6"/>
    <w:rsid w:val="00D12F5A"/>
    <w:rsid w:val="00D1321C"/>
    <w:rsid w:val="00D13859"/>
    <w:rsid w:val="00D13E98"/>
    <w:rsid w:val="00D14958"/>
    <w:rsid w:val="00D14CB0"/>
    <w:rsid w:val="00D14D05"/>
    <w:rsid w:val="00D1519F"/>
    <w:rsid w:val="00D169A6"/>
    <w:rsid w:val="00D20389"/>
    <w:rsid w:val="00D20E99"/>
    <w:rsid w:val="00D213CC"/>
    <w:rsid w:val="00D21A3B"/>
    <w:rsid w:val="00D21C83"/>
    <w:rsid w:val="00D23C0D"/>
    <w:rsid w:val="00D247F9"/>
    <w:rsid w:val="00D256D2"/>
    <w:rsid w:val="00D25AD1"/>
    <w:rsid w:val="00D27B29"/>
    <w:rsid w:val="00D30421"/>
    <w:rsid w:val="00D305FC"/>
    <w:rsid w:val="00D30D4C"/>
    <w:rsid w:val="00D31F09"/>
    <w:rsid w:val="00D33374"/>
    <w:rsid w:val="00D3339E"/>
    <w:rsid w:val="00D33910"/>
    <w:rsid w:val="00D340EC"/>
    <w:rsid w:val="00D3417A"/>
    <w:rsid w:val="00D34E25"/>
    <w:rsid w:val="00D35B27"/>
    <w:rsid w:val="00D35BDD"/>
    <w:rsid w:val="00D376F1"/>
    <w:rsid w:val="00D40046"/>
    <w:rsid w:val="00D40D85"/>
    <w:rsid w:val="00D411BE"/>
    <w:rsid w:val="00D41221"/>
    <w:rsid w:val="00D4398D"/>
    <w:rsid w:val="00D43A1C"/>
    <w:rsid w:val="00D447DC"/>
    <w:rsid w:val="00D44D13"/>
    <w:rsid w:val="00D461C2"/>
    <w:rsid w:val="00D469F3"/>
    <w:rsid w:val="00D47C0D"/>
    <w:rsid w:val="00D504F3"/>
    <w:rsid w:val="00D506F1"/>
    <w:rsid w:val="00D50912"/>
    <w:rsid w:val="00D511EE"/>
    <w:rsid w:val="00D52949"/>
    <w:rsid w:val="00D52C44"/>
    <w:rsid w:val="00D52D0E"/>
    <w:rsid w:val="00D53EC0"/>
    <w:rsid w:val="00D54335"/>
    <w:rsid w:val="00D55731"/>
    <w:rsid w:val="00D560A1"/>
    <w:rsid w:val="00D569BB"/>
    <w:rsid w:val="00D575CD"/>
    <w:rsid w:val="00D57AD3"/>
    <w:rsid w:val="00D57B01"/>
    <w:rsid w:val="00D57E28"/>
    <w:rsid w:val="00D608B5"/>
    <w:rsid w:val="00D63006"/>
    <w:rsid w:val="00D64014"/>
    <w:rsid w:val="00D64AE6"/>
    <w:rsid w:val="00D64E52"/>
    <w:rsid w:val="00D651C8"/>
    <w:rsid w:val="00D65B43"/>
    <w:rsid w:val="00D6743E"/>
    <w:rsid w:val="00D6758B"/>
    <w:rsid w:val="00D67651"/>
    <w:rsid w:val="00D7012D"/>
    <w:rsid w:val="00D7014E"/>
    <w:rsid w:val="00D713B2"/>
    <w:rsid w:val="00D719F9"/>
    <w:rsid w:val="00D71D11"/>
    <w:rsid w:val="00D72301"/>
    <w:rsid w:val="00D7357F"/>
    <w:rsid w:val="00D73E13"/>
    <w:rsid w:val="00D74092"/>
    <w:rsid w:val="00D7650D"/>
    <w:rsid w:val="00D76834"/>
    <w:rsid w:val="00D77E96"/>
    <w:rsid w:val="00D80463"/>
    <w:rsid w:val="00D8133B"/>
    <w:rsid w:val="00D8138E"/>
    <w:rsid w:val="00D829BF"/>
    <w:rsid w:val="00D829EB"/>
    <w:rsid w:val="00D82F4B"/>
    <w:rsid w:val="00D837DA"/>
    <w:rsid w:val="00D8545F"/>
    <w:rsid w:val="00D86C8C"/>
    <w:rsid w:val="00D90258"/>
    <w:rsid w:val="00D9081A"/>
    <w:rsid w:val="00D90A89"/>
    <w:rsid w:val="00D90D94"/>
    <w:rsid w:val="00D90FD2"/>
    <w:rsid w:val="00D911DE"/>
    <w:rsid w:val="00D91341"/>
    <w:rsid w:val="00D91A24"/>
    <w:rsid w:val="00D91B97"/>
    <w:rsid w:val="00D9234D"/>
    <w:rsid w:val="00D92794"/>
    <w:rsid w:val="00D93ACC"/>
    <w:rsid w:val="00D93C08"/>
    <w:rsid w:val="00D95DAC"/>
    <w:rsid w:val="00D960E5"/>
    <w:rsid w:val="00D96935"/>
    <w:rsid w:val="00D96AA3"/>
    <w:rsid w:val="00D97489"/>
    <w:rsid w:val="00DA01F1"/>
    <w:rsid w:val="00DA0B53"/>
    <w:rsid w:val="00DA0F92"/>
    <w:rsid w:val="00DA2139"/>
    <w:rsid w:val="00DA2698"/>
    <w:rsid w:val="00DA34AF"/>
    <w:rsid w:val="00DA3D55"/>
    <w:rsid w:val="00DA42DF"/>
    <w:rsid w:val="00DA580D"/>
    <w:rsid w:val="00DA5894"/>
    <w:rsid w:val="00DA7498"/>
    <w:rsid w:val="00DB032A"/>
    <w:rsid w:val="00DB1171"/>
    <w:rsid w:val="00DB1519"/>
    <w:rsid w:val="00DB2840"/>
    <w:rsid w:val="00DB2B76"/>
    <w:rsid w:val="00DB57FA"/>
    <w:rsid w:val="00DB60B6"/>
    <w:rsid w:val="00DB6A87"/>
    <w:rsid w:val="00DB7281"/>
    <w:rsid w:val="00DB75A2"/>
    <w:rsid w:val="00DB7E2B"/>
    <w:rsid w:val="00DB7F2F"/>
    <w:rsid w:val="00DC08BB"/>
    <w:rsid w:val="00DC1BD3"/>
    <w:rsid w:val="00DC2C1A"/>
    <w:rsid w:val="00DC5490"/>
    <w:rsid w:val="00DC652A"/>
    <w:rsid w:val="00DC6AA6"/>
    <w:rsid w:val="00DC7BC1"/>
    <w:rsid w:val="00DD0305"/>
    <w:rsid w:val="00DD0516"/>
    <w:rsid w:val="00DD11F3"/>
    <w:rsid w:val="00DD188F"/>
    <w:rsid w:val="00DD4262"/>
    <w:rsid w:val="00DD66B4"/>
    <w:rsid w:val="00DD7F0E"/>
    <w:rsid w:val="00DE0FC2"/>
    <w:rsid w:val="00DE1972"/>
    <w:rsid w:val="00DE27AB"/>
    <w:rsid w:val="00DE2A65"/>
    <w:rsid w:val="00DE2E7E"/>
    <w:rsid w:val="00DE3E85"/>
    <w:rsid w:val="00DE465B"/>
    <w:rsid w:val="00DE4D5B"/>
    <w:rsid w:val="00DE54DA"/>
    <w:rsid w:val="00DE5961"/>
    <w:rsid w:val="00DE5E77"/>
    <w:rsid w:val="00DE6520"/>
    <w:rsid w:val="00DE795E"/>
    <w:rsid w:val="00DE7F45"/>
    <w:rsid w:val="00DEAF40"/>
    <w:rsid w:val="00DF07CA"/>
    <w:rsid w:val="00DF1E30"/>
    <w:rsid w:val="00DF26A3"/>
    <w:rsid w:val="00DF2AB3"/>
    <w:rsid w:val="00DF2C10"/>
    <w:rsid w:val="00DF34A6"/>
    <w:rsid w:val="00DF3A45"/>
    <w:rsid w:val="00DF4979"/>
    <w:rsid w:val="00DF56EF"/>
    <w:rsid w:val="00DF614E"/>
    <w:rsid w:val="00DF6A42"/>
    <w:rsid w:val="00DF7250"/>
    <w:rsid w:val="00DF7897"/>
    <w:rsid w:val="00DF7F64"/>
    <w:rsid w:val="00E001E0"/>
    <w:rsid w:val="00E009C2"/>
    <w:rsid w:val="00E00C96"/>
    <w:rsid w:val="00E00CAA"/>
    <w:rsid w:val="00E02AD6"/>
    <w:rsid w:val="00E02CD2"/>
    <w:rsid w:val="00E03409"/>
    <w:rsid w:val="00E03EBF"/>
    <w:rsid w:val="00E05209"/>
    <w:rsid w:val="00E05AC1"/>
    <w:rsid w:val="00E06ABD"/>
    <w:rsid w:val="00E06F25"/>
    <w:rsid w:val="00E074E3"/>
    <w:rsid w:val="00E0775F"/>
    <w:rsid w:val="00E11BCF"/>
    <w:rsid w:val="00E11CBF"/>
    <w:rsid w:val="00E124B1"/>
    <w:rsid w:val="00E13574"/>
    <w:rsid w:val="00E13643"/>
    <w:rsid w:val="00E13AAA"/>
    <w:rsid w:val="00E13C9A"/>
    <w:rsid w:val="00E153A8"/>
    <w:rsid w:val="00E16245"/>
    <w:rsid w:val="00E165F0"/>
    <w:rsid w:val="00E20AAF"/>
    <w:rsid w:val="00E214C3"/>
    <w:rsid w:val="00E218BA"/>
    <w:rsid w:val="00E218C0"/>
    <w:rsid w:val="00E21B65"/>
    <w:rsid w:val="00E21C9A"/>
    <w:rsid w:val="00E2258E"/>
    <w:rsid w:val="00E22824"/>
    <w:rsid w:val="00E232AD"/>
    <w:rsid w:val="00E23DB6"/>
    <w:rsid w:val="00E2608A"/>
    <w:rsid w:val="00E260C2"/>
    <w:rsid w:val="00E26453"/>
    <w:rsid w:val="00E26499"/>
    <w:rsid w:val="00E26FED"/>
    <w:rsid w:val="00E2730F"/>
    <w:rsid w:val="00E27D86"/>
    <w:rsid w:val="00E27E60"/>
    <w:rsid w:val="00E31094"/>
    <w:rsid w:val="00E3190C"/>
    <w:rsid w:val="00E31911"/>
    <w:rsid w:val="00E32596"/>
    <w:rsid w:val="00E32783"/>
    <w:rsid w:val="00E3299F"/>
    <w:rsid w:val="00E32FAF"/>
    <w:rsid w:val="00E333CD"/>
    <w:rsid w:val="00E353FB"/>
    <w:rsid w:val="00E368E5"/>
    <w:rsid w:val="00E368F7"/>
    <w:rsid w:val="00E36EB8"/>
    <w:rsid w:val="00E37E8F"/>
    <w:rsid w:val="00E37FB8"/>
    <w:rsid w:val="00E40B07"/>
    <w:rsid w:val="00E42326"/>
    <w:rsid w:val="00E423B2"/>
    <w:rsid w:val="00E42D40"/>
    <w:rsid w:val="00E4349F"/>
    <w:rsid w:val="00E43544"/>
    <w:rsid w:val="00E44D89"/>
    <w:rsid w:val="00E455BF"/>
    <w:rsid w:val="00E45765"/>
    <w:rsid w:val="00E45A78"/>
    <w:rsid w:val="00E477EA"/>
    <w:rsid w:val="00E47C1B"/>
    <w:rsid w:val="00E50656"/>
    <w:rsid w:val="00E51D60"/>
    <w:rsid w:val="00E52EC1"/>
    <w:rsid w:val="00E53506"/>
    <w:rsid w:val="00E53FE8"/>
    <w:rsid w:val="00E55807"/>
    <w:rsid w:val="00E5677F"/>
    <w:rsid w:val="00E5696F"/>
    <w:rsid w:val="00E5787D"/>
    <w:rsid w:val="00E61E19"/>
    <w:rsid w:val="00E620A6"/>
    <w:rsid w:val="00E63816"/>
    <w:rsid w:val="00E63B14"/>
    <w:rsid w:val="00E65803"/>
    <w:rsid w:val="00E65CA0"/>
    <w:rsid w:val="00E6726E"/>
    <w:rsid w:val="00E700D6"/>
    <w:rsid w:val="00E7072B"/>
    <w:rsid w:val="00E70909"/>
    <w:rsid w:val="00E70D9F"/>
    <w:rsid w:val="00E714A0"/>
    <w:rsid w:val="00E718AD"/>
    <w:rsid w:val="00E72DBD"/>
    <w:rsid w:val="00E72E7D"/>
    <w:rsid w:val="00E7335B"/>
    <w:rsid w:val="00E74896"/>
    <w:rsid w:val="00E755F4"/>
    <w:rsid w:val="00E76B1C"/>
    <w:rsid w:val="00E77D85"/>
    <w:rsid w:val="00E77DCF"/>
    <w:rsid w:val="00E80210"/>
    <w:rsid w:val="00E812BF"/>
    <w:rsid w:val="00E832B3"/>
    <w:rsid w:val="00E83810"/>
    <w:rsid w:val="00E839C7"/>
    <w:rsid w:val="00E846D3"/>
    <w:rsid w:val="00E84ABF"/>
    <w:rsid w:val="00E85880"/>
    <w:rsid w:val="00E86933"/>
    <w:rsid w:val="00E900CA"/>
    <w:rsid w:val="00E9024D"/>
    <w:rsid w:val="00E9089A"/>
    <w:rsid w:val="00E90CF2"/>
    <w:rsid w:val="00E90D28"/>
    <w:rsid w:val="00E913CB"/>
    <w:rsid w:val="00E91562"/>
    <w:rsid w:val="00E921C8"/>
    <w:rsid w:val="00E92C27"/>
    <w:rsid w:val="00E93A25"/>
    <w:rsid w:val="00E94346"/>
    <w:rsid w:val="00E948F7"/>
    <w:rsid w:val="00E95ADF"/>
    <w:rsid w:val="00E9605B"/>
    <w:rsid w:val="00E96489"/>
    <w:rsid w:val="00E97005"/>
    <w:rsid w:val="00E97258"/>
    <w:rsid w:val="00E97298"/>
    <w:rsid w:val="00E97753"/>
    <w:rsid w:val="00EA0C51"/>
    <w:rsid w:val="00EA14AC"/>
    <w:rsid w:val="00EA2D5D"/>
    <w:rsid w:val="00EA2FEC"/>
    <w:rsid w:val="00EA3740"/>
    <w:rsid w:val="00EA413D"/>
    <w:rsid w:val="00EA4FBF"/>
    <w:rsid w:val="00EA5489"/>
    <w:rsid w:val="00EA68B2"/>
    <w:rsid w:val="00EA7DE7"/>
    <w:rsid w:val="00EB0782"/>
    <w:rsid w:val="00EB14B6"/>
    <w:rsid w:val="00EB425A"/>
    <w:rsid w:val="00EB49A7"/>
    <w:rsid w:val="00EB52DD"/>
    <w:rsid w:val="00EB6F6E"/>
    <w:rsid w:val="00EB7A8A"/>
    <w:rsid w:val="00EB7B32"/>
    <w:rsid w:val="00EC075F"/>
    <w:rsid w:val="00EC21E1"/>
    <w:rsid w:val="00EC2211"/>
    <w:rsid w:val="00EC228F"/>
    <w:rsid w:val="00EC2CC4"/>
    <w:rsid w:val="00EC2E34"/>
    <w:rsid w:val="00EC3AA8"/>
    <w:rsid w:val="00EC3C7D"/>
    <w:rsid w:val="00EC4D89"/>
    <w:rsid w:val="00EC5241"/>
    <w:rsid w:val="00EC5A4D"/>
    <w:rsid w:val="00EC6FED"/>
    <w:rsid w:val="00EC7F3B"/>
    <w:rsid w:val="00ED2423"/>
    <w:rsid w:val="00ED29FF"/>
    <w:rsid w:val="00ED378C"/>
    <w:rsid w:val="00ED4460"/>
    <w:rsid w:val="00ED4638"/>
    <w:rsid w:val="00ED5299"/>
    <w:rsid w:val="00ED5C5C"/>
    <w:rsid w:val="00ED7239"/>
    <w:rsid w:val="00ED76DE"/>
    <w:rsid w:val="00EE0A74"/>
    <w:rsid w:val="00EE1311"/>
    <w:rsid w:val="00EE364C"/>
    <w:rsid w:val="00EE3963"/>
    <w:rsid w:val="00EE3A64"/>
    <w:rsid w:val="00EE50E5"/>
    <w:rsid w:val="00EE6E36"/>
    <w:rsid w:val="00EE7230"/>
    <w:rsid w:val="00EE7585"/>
    <w:rsid w:val="00EF01CF"/>
    <w:rsid w:val="00EF0ABD"/>
    <w:rsid w:val="00EF11C4"/>
    <w:rsid w:val="00EF2157"/>
    <w:rsid w:val="00EF2301"/>
    <w:rsid w:val="00EF289F"/>
    <w:rsid w:val="00EF34FD"/>
    <w:rsid w:val="00EF3B6B"/>
    <w:rsid w:val="00EF46D9"/>
    <w:rsid w:val="00EF4BCA"/>
    <w:rsid w:val="00EF5736"/>
    <w:rsid w:val="00EF5FC6"/>
    <w:rsid w:val="00EF78C0"/>
    <w:rsid w:val="00F00C7C"/>
    <w:rsid w:val="00F0131D"/>
    <w:rsid w:val="00F01D71"/>
    <w:rsid w:val="00F02112"/>
    <w:rsid w:val="00F0258A"/>
    <w:rsid w:val="00F0295D"/>
    <w:rsid w:val="00F03590"/>
    <w:rsid w:val="00F03622"/>
    <w:rsid w:val="00F03698"/>
    <w:rsid w:val="00F056A0"/>
    <w:rsid w:val="00F05B1D"/>
    <w:rsid w:val="00F06EB7"/>
    <w:rsid w:val="00F0757D"/>
    <w:rsid w:val="00F077FD"/>
    <w:rsid w:val="00F1064F"/>
    <w:rsid w:val="00F13B6D"/>
    <w:rsid w:val="00F13D24"/>
    <w:rsid w:val="00F147ED"/>
    <w:rsid w:val="00F157FD"/>
    <w:rsid w:val="00F15D30"/>
    <w:rsid w:val="00F15D5E"/>
    <w:rsid w:val="00F163F8"/>
    <w:rsid w:val="00F16C73"/>
    <w:rsid w:val="00F16E66"/>
    <w:rsid w:val="00F17934"/>
    <w:rsid w:val="00F17996"/>
    <w:rsid w:val="00F204F3"/>
    <w:rsid w:val="00F20508"/>
    <w:rsid w:val="00F213DF"/>
    <w:rsid w:val="00F218AB"/>
    <w:rsid w:val="00F21A99"/>
    <w:rsid w:val="00F21F47"/>
    <w:rsid w:val="00F2242E"/>
    <w:rsid w:val="00F238B3"/>
    <w:rsid w:val="00F2446B"/>
    <w:rsid w:val="00F24726"/>
    <w:rsid w:val="00F24FDF"/>
    <w:rsid w:val="00F24FED"/>
    <w:rsid w:val="00F2511A"/>
    <w:rsid w:val="00F25586"/>
    <w:rsid w:val="00F25587"/>
    <w:rsid w:val="00F2651D"/>
    <w:rsid w:val="00F266B8"/>
    <w:rsid w:val="00F27155"/>
    <w:rsid w:val="00F27362"/>
    <w:rsid w:val="00F30188"/>
    <w:rsid w:val="00F30E45"/>
    <w:rsid w:val="00F31498"/>
    <w:rsid w:val="00F315FF"/>
    <w:rsid w:val="00F32157"/>
    <w:rsid w:val="00F32A1E"/>
    <w:rsid w:val="00F32FEF"/>
    <w:rsid w:val="00F34530"/>
    <w:rsid w:val="00F345D5"/>
    <w:rsid w:val="00F350A4"/>
    <w:rsid w:val="00F36140"/>
    <w:rsid w:val="00F365D5"/>
    <w:rsid w:val="00F36800"/>
    <w:rsid w:val="00F36A7F"/>
    <w:rsid w:val="00F377F6"/>
    <w:rsid w:val="00F4051B"/>
    <w:rsid w:val="00F4062E"/>
    <w:rsid w:val="00F41B1C"/>
    <w:rsid w:val="00F423DE"/>
    <w:rsid w:val="00F42E13"/>
    <w:rsid w:val="00F42F1C"/>
    <w:rsid w:val="00F43B3B"/>
    <w:rsid w:val="00F43B44"/>
    <w:rsid w:val="00F43E15"/>
    <w:rsid w:val="00F440E5"/>
    <w:rsid w:val="00F443BE"/>
    <w:rsid w:val="00F444B1"/>
    <w:rsid w:val="00F4469C"/>
    <w:rsid w:val="00F448F6"/>
    <w:rsid w:val="00F4520B"/>
    <w:rsid w:val="00F45711"/>
    <w:rsid w:val="00F45A5F"/>
    <w:rsid w:val="00F50861"/>
    <w:rsid w:val="00F51989"/>
    <w:rsid w:val="00F524B9"/>
    <w:rsid w:val="00F5260B"/>
    <w:rsid w:val="00F52741"/>
    <w:rsid w:val="00F53A5B"/>
    <w:rsid w:val="00F53D8A"/>
    <w:rsid w:val="00F54580"/>
    <w:rsid w:val="00F546E4"/>
    <w:rsid w:val="00F548A1"/>
    <w:rsid w:val="00F55AE3"/>
    <w:rsid w:val="00F55D16"/>
    <w:rsid w:val="00F56318"/>
    <w:rsid w:val="00F5711C"/>
    <w:rsid w:val="00F5742C"/>
    <w:rsid w:val="00F576A2"/>
    <w:rsid w:val="00F57905"/>
    <w:rsid w:val="00F60382"/>
    <w:rsid w:val="00F626F7"/>
    <w:rsid w:val="00F63ACE"/>
    <w:rsid w:val="00F642FD"/>
    <w:rsid w:val="00F64449"/>
    <w:rsid w:val="00F65B8F"/>
    <w:rsid w:val="00F6634C"/>
    <w:rsid w:val="00F67A4B"/>
    <w:rsid w:val="00F67D75"/>
    <w:rsid w:val="00F701D9"/>
    <w:rsid w:val="00F704B2"/>
    <w:rsid w:val="00F70C29"/>
    <w:rsid w:val="00F736F9"/>
    <w:rsid w:val="00F73833"/>
    <w:rsid w:val="00F7384D"/>
    <w:rsid w:val="00F74025"/>
    <w:rsid w:val="00F742AF"/>
    <w:rsid w:val="00F7483C"/>
    <w:rsid w:val="00F75157"/>
    <w:rsid w:val="00F760CF"/>
    <w:rsid w:val="00F7727A"/>
    <w:rsid w:val="00F77F51"/>
    <w:rsid w:val="00F8182F"/>
    <w:rsid w:val="00F81855"/>
    <w:rsid w:val="00F81FD2"/>
    <w:rsid w:val="00F82679"/>
    <w:rsid w:val="00F8327D"/>
    <w:rsid w:val="00F8330F"/>
    <w:rsid w:val="00F84772"/>
    <w:rsid w:val="00F84D2D"/>
    <w:rsid w:val="00F86269"/>
    <w:rsid w:val="00F90E11"/>
    <w:rsid w:val="00F91222"/>
    <w:rsid w:val="00F9211C"/>
    <w:rsid w:val="00F929C9"/>
    <w:rsid w:val="00F93573"/>
    <w:rsid w:val="00F93803"/>
    <w:rsid w:val="00F93F03"/>
    <w:rsid w:val="00F96F52"/>
    <w:rsid w:val="00F9775A"/>
    <w:rsid w:val="00F97C51"/>
    <w:rsid w:val="00FA095D"/>
    <w:rsid w:val="00FA1D22"/>
    <w:rsid w:val="00FA2738"/>
    <w:rsid w:val="00FA3976"/>
    <w:rsid w:val="00FA415D"/>
    <w:rsid w:val="00FA4861"/>
    <w:rsid w:val="00FA4C69"/>
    <w:rsid w:val="00FA5F73"/>
    <w:rsid w:val="00FA613F"/>
    <w:rsid w:val="00FA62BE"/>
    <w:rsid w:val="00FA6C8B"/>
    <w:rsid w:val="00FA6CDA"/>
    <w:rsid w:val="00FA72AB"/>
    <w:rsid w:val="00FA739E"/>
    <w:rsid w:val="00FA7822"/>
    <w:rsid w:val="00FA7840"/>
    <w:rsid w:val="00FA7C89"/>
    <w:rsid w:val="00FB07B8"/>
    <w:rsid w:val="00FB0CEA"/>
    <w:rsid w:val="00FB0FEB"/>
    <w:rsid w:val="00FB1FE0"/>
    <w:rsid w:val="00FB3000"/>
    <w:rsid w:val="00FB4139"/>
    <w:rsid w:val="00FB4578"/>
    <w:rsid w:val="00FB476E"/>
    <w:rsid w:val="00FB4DAF"/>
    <w:rsid w:val="00FB5322"/>
    <w:rsid w:val="00FB5440"/>
    <w:rsid w:val="00FB558D"/>
    <w:rsid w:val="00FB5E9A"/>
    <w:rsid w:val="00FB6945"/>
    <w:rsid w:val="00FB6D5D"/>
    <w:rsid w:val="00FB7038"/>
    <w:rsid w:val="00FB7290"/>
    <w:rsid w:val="00FB7917"/>
    <w:rsid w:val="00FB7E27"/>
    <w:rsid w:val="00FC0797"/>
    <w:rsid w:val="00FC0D90"/>
    <w:rsid w:val="00FC122F"/>
    <w:rsid w:val="00FC1BF1"/>
    <w:rsid w:val="00FC1C7D"/>
    <w:rsid w:val="00FC3476"/>
    <w:rsid w:val="00FC3832"/>
    <w:rsid w:val="00FC3F7C"/>
    <w:rsid w:val="00FC4E9A"/>
    <w:rsid w:val="00FC5455"/>
    <w:rsid w:val="00FC5B8B"/>
    <w:rsid w:val="00FC5E26"/>
    <w:rsid w:val="00FC6233"/>
    <w:rsid w:val="00FC62C3"/>
    <w:rsid w:val="00FC653F"/>
    <w:rsid w:val="00FC67B5"/>
    <w:rsid w:val="00FC7D8C"/>
    <w:rsid w:val="00FD0A85"/>
    <w:rsid w:val="00FD1B91"/>
    <w:rsid w:val="00FD27EF"/>
    <w:rsid w:val="00FD2F4F"/>
    <w:rsid w:val="00FD3980"/>
    <w:rsid w:val="00FD431E"/>
    <w:rsid w:val="00FD55F4"/>
    <w:rsid w:val="00FD58E5"/>
    <w:rsid w:val="00FD5A2C"/>
    <w:rsid w:val="00FD68F8"/>
    <w:rsid w:val="00FD6C62"/>
    <w:rsid w:val="00FE0D47"/>
    <w:rsid w:val="00FE1782"/>
    <w:rsid w:val="00FE19F4"/>
    <w:rsid w:val="00FE1D5C"/>
    <w:rsid w:val="00FE1DA1"/>
    <w:rsid w:val="00FE209A"/>
    <w:rsid w:val="00FE2137"/>
    <w:rsid w:val="00FE2F8B"/>
    <w:rsid w:val="00FE3669"/>
    <w:rsid w:val="00FE3813"/>
    <w:rsid w:val="00FE3A3C"/>
    <w:rsid w:val="00FE4C8C"/>
    <w:rsid w:val="00FE5051"/>
    <w:rsid w:val="00FE5204"/>
    <w:rsid w:val="00FE5238"/>
    <w:rsid w:val="00FE5E55"/>
    <w:rsid w:val="00FE5F29"/>
    <w:rsid w:val="00FE79C7"/>
    <w:rsid w:val="00FF24AA"/>
    <w:rsid w:val="00FF287F"/>
    <w:rsid w:val="00FF366A"/>
    <w:rsid w:val="00FF55F7"/>
    <w:rsid w:val="00FF688D"/>
    <w:rsid w:val="00FF6C3C"/>
    <w:rsid w:val="00FF74A8"/>
    <w:rsid w:val="00FF7EA8"/>
    <w:rsid w:val="01083DEF"/>
    <w:rsid w:val="0121C510"/>
    <w:rsid w:val="01379B7A"/>
    <w:rsid w:val="013B9E40"/>
    <w:rsid w:val="014C192F"/>
    <w:rsid w:val="0152C6D7"/>
    <w:rsid w:val="016944B3"/>
    <w:rsid w:val="01804201"/>
    <w:rsid w:val="01A1ACE9"/>
    <w:rsid w:val="01AC952C"/>
    <w:rsid w:val="01CD5464"/>
    <w:rsid w:val="0243FB0F"/>
    <w:rsid w:val="02A97FB8"/>
    <w:rsid w:val="02BC583F"/>
    <w:rsid w:val="02E23569"/>
    <w:rsid w:val="02FF09BE"/>
    <w:rsid w:val="03007441"/>
    <w:rsid w:val="035A4E59"/>
    <w:rsid w:val="036DBE47"/>
    <w:rsid w:val="03769635"/>
    <w:rsid w:val="037905EC"/>
    <w:rsid w:val="039E3AFD"/>
    <w:rsid w:val="03DC0491"/>
    <w:rsid w:val="03E12719"/>
    <w:rsid w:val="03EB53E0"/>
    <w:rsid w:val="04976213"/>
    <w:rsid w:val="04DA0D67"/>
    <w:rsid w:val="04E2112A"/>
    <w:rsid w:val="04F380D5"/>
    <w:rsid w:val="051A2CB4"/>
    <w:rsid w:val="05728DDC"/>
    <w:rsid w:val="05813C16"/>
    <w:rsid w:val="0593AF91"/>
    <w:rsid w:val="05AABED2"/>
    <w:rsid w:val="05B53BA2"/>
    <w:rsid w:val="05B680CF"/>
    <w:rsid w:val="05CA14B3"/>
    <w:rsid w:val="060765D9"/>
    <w:rsid w:val="06F8C7E1"/>
    <w:rsid w:val="07213875"/>
    <w:rsid w:val="072262DD"/>
    <w:rsid w:val="073ABD38"/>
    <w:rsid w:val="074EFD88"/>
    <w:rsid w:val="07750355"/>
    <w:rsid w:val="078D2F42"/>
    <w:rsid w:val="079BD3D3"/>
    <w:rsid w:val="07A3A21C"/>
    <w:rsid w:val="07A5FED2"/>
    <w:rsid w:val="07FAD12B"/>
    <w:rsid w:val="083CB6BB"/>
    <w:rsid w:val="084E75FD"/>
    <w:rsid w:val="0858E236"/>
    <w:rsid w:val="0864ED18"/>
    <w:rsid w:val="086DA927"/>
    <w:rsid w:val="0871FB0A"/>
    <w:rsid w:val="08D6FBFE"/>
    <w:rsid w:val="08D847E4"/>
    <w:rsid w:val="08F091C4"/>
    <w:rsid w:val="0911BF08"/>
    <w:rsid w:val="091E5463"/>
    <w:rsid w:val="093F9B15"/>
    <w:rsid w:val="09778C67"/>
    <w:rsid w:val="098D1AA6"/>
    <w:rsid w:val="09AB898F"/>
    <w:rsid w:val="09BE40C4"/>
    <w:rsid w:val="09FDB4EC"/>
    <w:rsid w:val="0A23BA86"/>
    <w:rsid w:val="0A30CE5E"/>
    <w:rsid w:val="0A38347B"/>
    <w:rsid w:val="0A969748"/>
    <w:rsid w:val="0AC7696C"/>
    <w:rsid w:val="0AE8AC86"/>
    <w:rsid w:val="0B0B4F6D"/>
    <w:rsid w:val="0B17DB2B"/>
    <w:rsid w:val="0B2E7715"/>
    <w:rsid w:val="0B5A64E2"/>
    <w:rsid w:val="0B6DE098"/>
    <w:rsid w:val="0B96F268"/>
    <w:rsid w:val="0BC5E7E5"/>
    <w:rsid w:val="0BE18268"/>
    <w:rsid w:val="0BEC6889"/>
    <w:rsid w:val="0BF2CB3D"/>
    <w:rsid w:val="0C074455"/>
    <w:rsid w:val="0C385B3A"/>
    <w:rsid w:val="0C38D1B4"/>
    <w:rsid w:val="0C595833"/>
    <w:rsid w:val="0C6B314B"/>
    <w:rsid w:val="0C7E444A"/>
    <w:rsid w:val="0C809551"/>
    <w:rsid w:val="0C822B73"/>
    <w:rsid w:val="0CAB92B3"/>
    <w:rsid w:val="0CCC1F62"/>
    <w:rsid w:val="0CCEA86A"/>
    <w:rsid w:val="0CFCD070"/>
    <w:rsid w:val="0CFEC220"/>
    <w:rsid w:val="0D1C70CE"/>
    <w:rsid w:val="0D490CD3"/>
    <w:rsid w:val="0D75B4D2"/>
    <w:rsid w:val="0D9C9A2E"/>
    <w:rsid w:val="0DA5C8CC"/>
    <w:rsid w:val="0DD2063A"/>
    <w:rsid w:val="0DD93938"/>
    <w:rsid w:val="0DFC838B"/>
    <w:rsid w:val="0E083A4B"/>
    <w:rsid w:val="0E117FA9"/>
    <w:rsid w:val="0E1507AF"/>
    <w:rsid w:val="0E200FE7"/>
    <w:rsid w:val="0E5B918F"/>
    <w:rsid w:val="0E600EAC"/>
    <w:rsid w:val="0F14A205"/>
    <w:rsid w:val="0F1F5495"/>
    <w:rsid w:val="0F2E27EE"/>
    <w:rsid w:val="0F31EDEE"/>
    <w:rsid w:val="0F46D712"/>
    <w:rsid w:val="0F619E52"/>
    <w:rsid w:val="0F6E448D"/>
    <w:rsid w:val="0F97B66A"/>
    <w:rsid w:val="0FA6BD1B"/>
    <w:rsid w:val="0FB13FD2"/>
    <w:rsid w:val="0FB147FD"/>
    <w:rsid w:val="10045308"/>
    <w:rsid w:val="1024C12A"/>
    <w:rsid w:val="10300A95"/>
    <w:rsid w:val="1054E442"/>
    <w:rsid w:val="10575581"/>
    <w:rsid w:val="10674E65"/>
    <w:rsid w:val="1070BF1E"/>
    <w:rsid w:val="1083CB69"/>
    <w:rsid w:val="109887FE"/>
    <w:rsid w:val="10CA3338"/>
    <w:rsid w:val="1112D0DF"/>
    <w:rsid w:val="112A3091"/>
    <w:rsid w:val="11427DD8"/>
    <w:rsid w:val="11437EC9"/>
    <w:rsid w:val="1144CAB5"/>
    <w:rsid w:val="115283D3"/>
    <w:rsid w:val="11550E3D"/>
    <w:rsid w:val="11676CCB"/>
    <w:rsid w:val="11B2720B"/>
    <w:rsid w:val="11F3724D"/>
    <w:rsid w:val="124AE84C"/>
    <w:rsid w:val="127F2574"/>
    <w:rsid w:val="127F7FD2"/>
    <w:rsid w:val="12A31A32"/>
    <w:rsid w:val="12A94A43"/>
    <w:rsid w:val="13165A83"/>
    <w:rsid w:val="1327D769"/>
    <w:rsid w:val="1387F00D"/>
    <w:rsid w:val="13A7C513"/>
    <w:rsid w:val="13AB44AB"/>
    <w:rsid w:val="13AD4129"/>
    <w:rsid w:val="13AED61E"/>
    <w:rsid w:val="13BF80E5"/>
    <w:rsid w:val="13CDA625"/>
    <w:rsid w:val="1404C014"/>
    <w:rsid w:val="14076AB1"/>
    <w:rsid w:val="14355F03"/>
    <w:rsid w:val="146243FF"/>
    <w:rsid w:val="147944CA"/>
    <w:rsid w:val="147DC79C"/>
    <w:rsid w:val="147E3F14"/>
    <w:rsid w:val="148E8606"/>
    <w:rsid w:val="14BF5B53"/>
    <w:rsid w:val="14C155E4"/>
    <w:rsid w:val="14C3D978"/>
    <w:rsid w:val="14DC1195"/>
    <w:rsid w:val="157FBA99"/>
    <w:rsid w:val="1599D030"/>
    <w:rsid w:val="159A6ADC"/>
    <w:rsid w:val="15DED2F8"/>
    <w:rsid w:val="15E758E7"/>
    <w:rsid w:val="1674BA8A"/>
    <w:rsid w:val="16788713"/>
    <w:rsid w:val="167AED95"/>
    <w:rsid w:val="16A27781"/>
    <w:rsid w:val="16A49A36"/>
    <w:rsid w:val="17241527"/>
    <w:rsid w:val="173EE1DE"/>
    <w:rsid w:val="1768E707"/>
    <w:rsid w:val="17A3C7C2"/>
    <w:rsid w:val="17BD6739"/>
    <w:rsid w:val="17C1F9FD"/>
    <w:rsid w:val="17E4D800"/>
    <w:rsid w:val="17F218C5"/>
    <w:rsid w:val="1807ACC7"/>
    <w:rsid w:val="1819FB63"/>
    <w:rsid w:val="18214783"/>
    <w:rsid w:val="186727F2"/>
    <w:rsid w:val="18695546"/>
    <w:rsid w:val="18966C05"/>
    <w:rsid w:val="18A75E38"/>
    <w:rsid w:val="18BEDEDF"/>
    <w:rsid w:val="18DAB23F"/>
    <w:rsid w:val="1915BCA9"/>
    <w:rsid w:val="19224D98"/>
    <w:rsid w:val="192CAE67"/>
    <w:rsid w:val="192EE506"/>
    <w:rsid w:val="197C1F2F"/>
    <w:rsid w:val="19963BC7"/>
    <w:rsid w:val="199A024C"/>
    <w:rsid w:val="199B68FD"/>
    <w:rsid w:val="19B58CC9"/>
    <w:rsid w:val="19C3AA60"/>
    <w:rsid w:val="19CB0A60"/>
    <w:rsid w:val="19D1B6C7"/>
    <w:rsid w:val="19D59AB4"/>
    <w:rsid w:val="1A59CE2B"/>
    <w:rsid w:val="1A7BAA5F"/>
    <w:rsid w:val="1AA95551"/>
    <w:rsid w:val="1ABA1E7F"/>
    <w:rsid w:val="1ABD3AE4"/>
    <w:rsid w:val="1AC3A89C"/>
    <w:rsid w:val="1AF87EB3"/>
    <w:rsid w:val="1B3D787C"/>
    <w:rsid w:val="1B5C3F90"/>
    <w:rsid w:val="1B766DE7"/>
    <w:rsid w:val="1B78A813"/>
    <w:rsid w:val="1BC29751"/>
    <w:rsid w:val="1BCE3514"/>
    <w:rsid w:val="1C0B2EED"/>
    <w:rsid w:val="1C232D75"/>
    <w:rsid w:val="1C2E35C3"/>
    <w:rsid w:val="1C2F2D06"/>
    <w:rsid w:val="1C4D5D6B"/>
    <w:rsid w:val="1C5D22BD"/>
    <w:rsid w:val="1C63116C"/>
    <w:rsid w:val="1C7148D4"/>
    <w:rsid w:val="1C776B36"/>
    <w:rsid w:val="1C7C0F47"/>
    <w:rsid w:val="1C931AA1"/>
    <w:rsid w:val="1C9327A9"/>
    <w:rsid w:val="1CAD1AC4"/>
    <w:rsid w:val="1CB062D0"/>
    <w:rsid w:val="1CB37C50"/>
    <w:rsid w:val="1CE90079"/>
    <w:rsid w:val="1CEB9DC9"/>
    <w:rsid w:val="1D121BE4"/>
    <w:rsid w:val="1D5009F1"/>
    <w:rsid w:val="1D6163FC"/>
    <w:rsid w:val="1D622DC4"/>
    <w:rsid w:val="1D65B7FD"/>
    <w:rsid w:val="1D66632B"/>
    <w:rsid w:val="1DD06036"/>
    <w:rsid w:val="1DD14884"/>
    <w:rsid w:val="1E02C881"/>
    <w:rsid w:val="1E1249EC"/>
    <w:rsid w:val="1E2DB5EB"/>
    <w:rsid w:val="1E3CD123"/>
    <w:rsid w:val="1E895FDA"/>
    <w:rsid w:val="1EF21A10"/>
    <w:rsid w:val="1EFE2D06"/>
    <w:rsid w:val="1F0E6D83"/>
    <w:rsid w:val="1F2DE0F8"/>
    <w:rsid w:val="1F3A3F67"/>
    <w:rsid w:val="1F548AD0"/>
    <w:rsid w:val="1F854CE5"/>
    <w:rsid w:val="1FAF4FE4"/>
    <w:rsid w:val="1FD893AA"/>
    <w:rsid w:val="20165D01"/>
    <w:rsid w:val="202C09D7"/>
    <w:rsid w:val="202C977A"/>
    <w:rsid w:val="203C9004"/>
    <w:rsid w:val="205EBC9C"/>
    <w:rsid w:val="205F98C3"/>
    <w:rsid w:val="20762E9A"/>
    <w:rsid w:val="20A16213"/>
    <w:rsid w:val="20A44DFC"/>
    <w:rsid w:val="20D5E638"/>
    <w:rsid w:val="20D68C23"/>
    <w:rsid w:val="20F7521B"/>
    <w:rsid w:val="210B72F5"/>
    <w:rsid w:val="21143F3F"/>
    <w:rsid w:val="218A754E"/>
    <w:rsid w:val="21C73C98"/>
    <w:rsid w:val="21CA4AB6"/>
    <w:rsid w:val="2248468C"/>
    <w:rsid w:val="2289AAB2"/>
    <w:rsid w:val="22D4E23F"/>
    <w:rsid w:val="232E0A12"/>
    <w:rsid w:val="2340279E"/>
    <w:rsid w:val="23419930"/>
    <w:rsid w:val="235B758B"/>
    <w:rsid w:val="23947545"/>
    <w:rsid w:val="239C1AEA"/>
    <w:rsid w:val="23BA78D7"/>
    <w:rsid w:val="23BAB955"/>
    <w:rsid w:val="23BEFEA5"/>
    <w:rsid w:val="2452F917"/>
    <w:rsid w:val="2459DCFB"/>
    <w:rsid w:val="24B07CE0"/>
    <w:rsid w:val="24BE8C94"/>
    <w:rsid w:val="24F6A5BC"/>
    <w:rsid w:val="250F00D4"/>
    <w:rsid w:val="256989B1"/>
    <w:rsid w:val="25932B9D"/>
    <w:rsid w:val="25A217A3"/>
    <w:rsid w:val="25B2B1B5"/>
    <w:rsid w:val="25C58043"/>
    <w:rsid w:val="25E21153"/>
    <w:rsid w:val="260AB696"/>
    <w:rsid w:val="2629F883"/>
    <w:rsid w:val="267CF2FB"/>
    <w:rsid w:val="269C3316"/>
    <w:rsid w:val="26B141BE"/>
    <w:rsid w:val="26B919DD"/>
    <w:rsid w:val="26C951E8"/>
    <w:rsid w:val="272D7E86"/>
    <w:rsid w:val="273ED317"/>
    <w:rsid w:val="27464856"/>
    <w:rsid w:val="27496143"/>
    <w:rsid w:val="274E60B3"/>
    <w:rsid w:val="27843D60"/>
    <w:rsid w:val="278B1224"/>
    <w:rsid w:val="279BF786"/>
    <w:rsid w:val="27B4E426"/>
    <w:rsid w:val="27C6A318"/>
    <w:rsid w:val="27E0DC26"/>
    <w:rsid w:val="28010864"/>
    <w:rsid w:val="2806A8FE"/>
    <w:rsid w:val="28091953"/>
    <w:rsid w:val="281BF763"/>
    <w:rsid w:val="2849613A"/>
    <w:rsid w:val="2861E9E3"/>
    <w:rsid w:val="28906B6E"/>
    <w:rsid w:val="28960A31"/>
    <w:rsid w:val="28A684BA"/>
    <w:rsid w:val="28B6C8E0"/>
    <w:rsid w:val="28E04E61"/>
    <w:rsid w:val="2963D5C0"/>
    <w:rsid w:val="29CA5922"/>
    <w:rsid w:val="29D29DC7"/>
    <w:rsid w:val="29E9E117"/>
    <w:rsid w:val="2A067B09"/>
    <w:rsid w:val="2A1C9203"/>
    <w:rsid w:val="2AAE4A08"/>
    <w:rsid w:val="2AB70D2B"/>
    <w:rsid w:val="2AECF65C"/>
    <w:rsid w:val="2B1BDBFB"/>
    <w:rsid w:val="2B27B4D5"/>
    <w:rsid w:val="2B3A987E"/>
    <w:rsid w:val="2B4170E4"/>
    <w:rsid w:val="2B5494C2"/>
    <w:rsid w:val="2B881183"/>
    <w:rsid w:val="2B9C7FDC"/>
    <w:rsid w:val="2BDD7929"/>
    <w:rsid w:val="2BF8753B"/>
    <w:rsid w:val="2BFB76C9"/>
    <w:rsid w:val="2C139816"/>
    <w:rsid w:val="2C25B1FF"/>
    <w:rsid w:val="2C43354E"/>
    <w:rsid w:val="2C59E66C"/>
    <w:rsid w:val="2C6737C7"/>
    <w:rsid w:val="2C7640F5"/>
    <w:rsid w:val="2C90A6F8"/>
    <w:rsid w:val="2C9F95D0"/>
    <w:rsid w:val="2CA74DB0"/>
    <w:rsid w:val="2CC100BA"/>
    <w:rsid w:val="2CDA4103"/>
    <w:rsid w:val="2D031161"/>
    <w:rsid w:val="2D17D822"/>
    <w:rsid w:val="2D424919"/>
    <w:rsid w:val="2D82E465"/>
    <w:rsid w:val="2D8A6C49"/>
    <w:rsid w:val="2D97B83F"/>
    <w:rsid w:val="2DB16ABE"/>
    <w:rsid w:val="2DE5963D"/>
    <w:rsid w:val="2DF0B26D"/>
    <w:rsid w:val="2DF29F4A"/>
    <w:rsid w:val="2E077897"/>
    <w:rsid w:val="2E0A9E9B"/>
    <w:rsid w:val="2E183515"/>
    <w:rsid w:val="2E60D8FA"/>
    <w:rsid w:val="2E90FE66"/>
    <w:rsid w:val="2E9C16A4"/>
    <w:rsid w:val="2EB1AC66"/>
    <w:rsid w:val="2F389754"/>
    <w:rsid w:val="2F63126E"/>
    <w:rsid w:val="2F7F40E8"/>
    <w:rsid w:val="2F9793F7"/>
    <w:rsid w:val="2FB1D8EE"/>
    <w:rsid w:val="2FEDFF56"/>
    <w:rsid w:val="3013BBD6"/>
    <w:rsid w:val="301E402C"/>
    <w:rsid w:val="301EC0E2"/>
    <w:rsid w:val="3038A1BF"/>
    <w:rsid w:val="3042A1EE"/>
    <w:rsid w:val="304406C7"/>
    <w:rsid w:val="305C4649"/>
    <w:rsid w:val="306CC3E3"/>
    <w:rsid w:val="306DD2F8"/>
    <w:rsid w:val="30AB00A7"/>
    <w:rsid w:val="310736E2"/>
    <w:rsid w:val="3108AB3C"/>
    <w:rsid w:val="311517A3"/>
    <w:rsid w:val="312F1FB2"/>
    <w:rsid w:val="31441F5A"/>
    <w:rsid w:val="31480395"/>
    <w:rsid w:val="315930AD"/>
    <w:rsid w:val="316EF838"/>
    <w:rsid w:val="31AA1D34"/>
    <w:rsid w:val="31DFA872"/>
    <w:rsid w:val="31F5A472"/>
    <w:rsid w:val="3226BE10"/>
    <w:rsid w:val="322C8784"/>
    <w:rsid w:val="323B4369"/>
    <w:rsid w:val="326C0F56"/>
    <w:rsid w:val="328E4BA0"/>
    <w:rsid w:val="3293BDA4"/>
    <w:rsid w:val="329C16C0"/>
    <w:rsid w:val="32C2887D"/>
    <w:rsid w:val="32DBDC76"/>
    <w:rsid w:val="32F1DF97"/>
    <w:rsid w:val="330CBCB4"/>
    <w:rsid w:val="33505C41"/>
    <w:rsid w:val="339127FA"/>
    <w:rsid w:val="33B63935"/>
    <w:rsid w:val="33C9C351"/>
    <w:rsid w:val="33F4678E"/>
    <w:rsid w:val="33FCC8B1"/>
    <w:rsid w:val="3400DEC3"/>
    <w:rsid w:val="34345A16"/>
    <w:rsid w:val="3449980B"/>
    <w:rsid w:val="344E354F"/>
    <w:rsid w:val="3455E1AB"/>
    <w:rsid w:val="3468D6A9"/>
    <w:rsid w:val="34DA13CD"/>
    <w:rsid w:val="34FB5279"/>
    <w:rsid w:val="35063FA3"/>
    <w:rsid w:val="352D0CCB"/>
    <w:rsid w:val="3537CFA6"/>
    <w:rsid w:val="3546F27B"/>
    <w:rsid w:val="3569672A"/>
    <w:rsid w:val="357BCFC9"/>
    <w:rsid w:val="358DB42C"/>
    <w:rsid w:val="358F2705"/>
    <w:rsid w:val="358F8660"/>
    <w:rsid w:val="35902A80"/>
    <w:rsid w:val="35960A22"/>
    <w:rsid w:val="35C9A8D2"/>
    <w:rsid w:val="35E3F63A"/>
    <w:rsid w:val="35E5686C"/>
    <w:rsid w:val="36109C1D"/>
    <w:rsid w:val="361CDB7F"/>
    <w:rsid w:val="3683074A"/>
    <w:rsid w:val="3686EEB8"/>
    <w:rsid w:val="36949F9B"/>
    <w:rsid w:val="36AA9D2B"/>
    <w:rsid w:val="36AD8C78"/>
    <w:rsid w:val="36B73AC2"/>
    <w:rsid w:val="36B889D0"/>
    <w:rsid w:val="36BA9BBA"/>
    <w:rsid w:val="36EECF1D"/>
    <w:rsid w:val="36F99F74"/>
    <w:rsid w:val="37040EF4"/>
    <w:rsid w:val="37284810"/>
    <w:rsid w:val="37449065"/>
    <w:rsid w:val="3746B6FC"/>
    <w:rsid w:val="3761D36E"/>
    <w:rsid w:val="37855109"/>
    <w:rsid w:val="37C05815"/>
    <w:rsid w:val="37D0D30D"/>
    <w:rsid w:val="37F7BDCD"/>
    <w:rsid w:val="3823994A"/>
    <w:rsid w:val="3880CE72"/>
    <w:rsid w:val="38D2E3D9"/>
    <w:rsid w:val="38FB2FAA"/>
    <w:rsid w:val="3906E322"/>
    <w:rsid w:val="3937D4C7"/>
    <w:rsid w:val="39533629"/>
    <w:rsid w:val="395990CF"/>
    <w:rsid w:val="39715AAC"/>
    <w:rsid w:val="39757AD0"/>
    <w:rsid w:val="39C0B895"/>
    <w:rsid w:val="39EF0E55"/>
    <w:rsid w:val="3A493DE4"/>
    <w:rsid w:val="3A8EF23F"/>
    <w:rsid w:val="3B6B927B"/>
    <w:rsid w:val="3BA9CE87"/>
    <w:rsid w:val="3BF0D47B"/>
    <w:rsid w:val="3C14F1DF"/>
    <w:rsid w:val="3C682C3E"/>
    <w:rsid w:val="3C760C0B"/>
    <w:rsid w:val="3C760D92"/>
    <w:rsid w:val="3C87DDBD"/>
    <w:rsid w:val="3C8C0CB5"/>
    <w:rsid w:val="3CA4A49F"/>
    <w:rsid w:val="3CAB79D0"/>
    <w:rsid w:val="3D274E43"/>
    <w:rsid w:val="3D555EAA"/>
    <w:rsid w:val="3D81937E"/>
    <w:rsid w:val="3D89DDE6"/>
    <w:rsid w:val="3DA64F1B"/>
    <w:rsid w:val="3DEDFBE7"/>
    <w:rsid w:val="3E084C8F"/>
    <w:rsid w:val="3E0BC037"/>
    <w:rsid w:val="3E39881F"/>
    <w:rsid w:val="3E486BAB"/>
    <w:rsid w:val="3E52DF0E"/>
    <w:rsid w:val="3E5D751D"/>
    <w:rsid w:val="3EAA860B"/>
    <w:rsid w:val="3ED061AE"/>
    <w:rsid w:val="3ED4FBE4"/>
    <w:rsid w:val="3EF00FF6"/>
    <w:rsid w:val="3F2BAADA"/>
    <w:rsid w:val="3F3D3C41"/>
    <w:rsid w:val="3F3F0B9E"/>
    <w:rsid w:val="3F42BFCB"/>
    <w:rsid w:val="3F62B2CF"/>
    <w:rsid w:val="3F66D6C2"/>
    <w:rsid w:val="3FA5DA08"/>
    <w:rsid w:val="3FA6AF30"/>
    <w:rsid w:val="402EF477"/>
    <w:rsid w:val="40318528"/>
    <w:rsid w:val="408DEC98"/>
    <w:rsid w:val="408ED483"/>
    <w:rsid w:val="40904680"/>
    <w:rsid w:val="40984430"/>
    <w:rsid w:val="40C0F178"/>
    <w:rsid w:val="40E22131"/>
    <w:rsid w:val="40F14BC5"/>
    <w:rsid w:val="40FEEC78"/>
    <w:rsid w:val="41080E97"/>
    <w:rsid w:val="412E796A"/>
    <w:rsid w:val="415A6C35"/>
    <w:rsid w:val="416ADA97"/>
    <w:rsid w:val="41727C13"/>
    <w:rsid w:val="4184B1FF"/>
    <w:rsid w:val="4192C6AA"/>
    <w:rsid w:val="41BBDAA2"/>
    <w:rsid w:val="41E08E30"/>
    <w:rsid w:val="41F263EB"/>
    <w:rsid w:val="422ACCE8"/>
    <w:rsid w:val="422F9E3E"/>
    <w:rsid w:val="425D99B6"/>
    <w:rsid w:val="4278A9A6"/>
    <w:rsid w:val="428A99DD"/>
    <w:rsid w:val="428E4179"/>
    <w:rsid w:val="42A9646D"/>
    <w:rsid w:val="42DA454D"/>
    <w:rsid w:val="42DA7F49"/>
    <w:rsid w:val="42E02A2A"/>
    <w:rsid w:val="43002B09"/>
    <w:rsid w:val="435729F1"/>
    <w:rsid w:val="43812896"/>
    <w:rsid w:val="43906435"/>
    <w:rsid w:val="43EA5EA2"/>
    <w:rsid w:val="43F334D1"/>
    <w:rsid w:val="43FB7666"/>
    <w:rsid w:val="4432048B"/>
    <w:rsid w:val="4437DF48"/>
    <w:rsid w:val="4470B02B"/>
    <w:rsid w:val="4487A373"/>
    <w:rsid w:val="449B7ABD"/>
    <w:rsid w:val="44E60F26"/>
    <w:rsid w:val="44EBAD46"/>
    <w:rsid w:val="452F870D"/>
    <w:rsid w:val="454355AE"/>
    <w:rsid w:val="45673F00"/>
    <w:rsid w:val="457AC2B9"/>
    <w:rsid w:val="45B76A72"/>
    <w:rsid w:val="45BE010D"/>
    <w:rsid w:val="460EBAEE"/>
    <w:rsid w:val="461038E0"/>
    <w:rsid w:val="4627EDBA"/>
    <w:rsid w:val="46350BF7"/>
    <w:rsid w:val="4640B904"/>
    <w:rsid w:val="464D0070"/>
    <w:rsid w:val="46CDC210"/>
    <w:rsid w:val="472AA1E6"/>
    <w:rsid w:val="4733B3D0"/>
    <w:rsid w:val="474E61A5"/>
    <w:rsid w:val="4779BA12"/>
    <w:rsid w:val="47825BBA"/>
    <w:rsid w:val="47A8330C"/>
    <w:rsid w:val="47AFD3E6"/>
    <w:rsid w:val="47B7A38D"/>
    <w:rsid w:val="47BF57DC"/>
    <w:rsid w:val="47D56003"/>
    <w:rsid w:val="47E7B404"/>
    <w:rsid w:val="48112A46"/>
    <w:rsid w:val="4830919F"/>
    <w:rsid w:val="484AB606"/>
    <w:rsid w:val="48672474"/>
    <w:rsid w:val="487EE7AC"/>
    <w:rsid w:val="489EDFC2"/>
    <w:rsid w:val="48BF70E2"/>
    <w:rsid w:val="4904A11E"/>
    <w:rsid w:val="4958197A"/>
    <w:rsid w:val="49620ADD"/>
    <w:rsid w:val="4987C251"/>
    <w:rsid w:val="499C5448"/>
    <w:rsid w:val="49AA9996"/>
    <w:rsid w:val="49AAEEBB"/>
    <w:rsid w:val="49B08C32"/>
    <w:rsid w:val="49B29D14"/>
    <w:rsid w:val="49C6E78B"/>
    <w:rsid w:val="49D7E528"/>
    <w:rsid w:val="4A0AEAF1"/>
    <w:rsid w:val="4A157F9A"/>
    <w:rsid w:val="4A2A70FC"/>
    <w:rsid w:val="4A5681D6"/>
    <w:rsid w:val="4A5DCF7C"/>
    <w:rsid w:val="4A60D084"/>
    <w:rsid w:val="4A99C4AB"/>
    <w:rsid w:val="4AE7681C"/>
    <w:rsid w:val="4AF1F6A1"/>
    <w:rsid w:val="4B213353"/>
    <w:rsid w:val="4B4771F0"/>
    <w:rsid w:val="4B7C5E54"/>
    <w:rsid w:val="4B94C14D"/>
    <w:rsid w:val="4BA2B6F6"/>
    <w:rsid w:val="4BB4900A"/>
    <w:rsid w:val="4BEB37E7"/>
    <w:rsid w:val="4BFCD783"/>
    <w:rsid w:val="4C02DEB9"/>
    <w:rsid w:val="4C21CC89"/>
    <w:rsid w:val="4C5A1114"/>
    <w:rsid w:val="4C881DA9"/>
    <w:rsid w:val="4C8994BE"/>
    <w:rsid w:val="4CE72A05"/>
    <w:rsid w:val="4CEBCD32"/>
    <w:rsid w:val="4CFDB51D"/>
    <w:rsid w:val="4CFDF94E"/>
    <w:rsid w:val="4D05F833"/>
    <w:rsid w:val="4D0F54A7"/>
    <w:rsid w:val="4D179848"/>
    <w:rsid w:val="4D24352A"/>
    <w:rsid w:val="4D933732"/>
    <w:rsid w:val="4DBCBADB"/>
    <w:rsid w:val="4DC28DF4"/>
    <w:rsid w:val="4DDC60A2"/>
    <w:rsid w:val="4DF1E0EA"/>
    <w:rsid w:val="4E031F1E"/>
    <w:rsid w:val="4E2ECF6C"/>
    <w:rsid w:val="4E33D998"/>
    <w:rsid w:val="4E4CD810"/>
    <w:rsid w:val="4E52E156"/>
    <w:rsid w:val="4E89A97A"/>
    <w:rsid w:val="4EA2097E"/>
    <w:rsid w:val="4EA6B42A"/>
    <w:rsid w:val="4EE3AB28"/>
    <w:rsid w:val="4EEFC5E9"/>
    <w:rsid w:val="4EFFF520"/>
    <w:rsid w:val="4F0E2146"/>
    <w:rsid w:val="4F1A44F7"/>
    <w:rsid w:val="4F2C1F20"/>
    <w:rsid w:val="4F941B1C"/>
    <w:rsid w:val="4F94F763"/>
    <w:rsid w:val="4F982B4A"/>
    <w:rsid w:val="4FDB2B5C"/>
    <w:rsid w:val="4FEE271B"/>
    <w:rsid w:val="50036873"/>
    <w:rsid w:val="500DFEA9"/>
    <w:rsid w:val="501954B9"/>
    <w:rsid w:val="503D96AF"/>
    <w:rsid w:val="503EFD92"/>
    <w:rsid w:val="506A55A6"/>
    <w:rsid w:val="50914D18"/>
    <w:rsid w:val="509E7C75"/>
    <w:rsid w:val="50A9F1A7"/>
    <w:rsid w:val="50CA7FFB"/>
    <w:rsid w:val="50CFA39D"/>
    <w:rsid w:val="50F822E4"/>
    <w:rsid w:val="51022169"/>
    <w:rsid w:val="51040389"/>
    <w:rsid w:val="51208AF9"/>
    <w:rsid w:val="51301B16"/>
    <w:rsid w:val="5133F3EC"/>
    <w:rsid w:val="514E4497"/>
    <w:rsid w:val="516ED915"/>
    <w:rsid w:val="51984A5A"/>
    <w:rsid w:val="51A4DEC6"/>
    <w:rsid w:val="51AF5681"/>
    <w:rsid w:val="51C09396"/>
    <w:rsid w:val="51ECA5B4"/>
    <w:rsid w:val="52085F68"/>
    <w:rsid w:val="524F96A6"/>
    <w:rsid w:val="5250F001"/>
    <w:rsid w:val="525F319D"/>
    <w:rsid w:val="5286F05A"/>
    <w:rsid w:val="528B0A18"/>
    <w:rsid w:val="52CA897E"/>
    <w:rsid w:val="52D06562"/>
    <w:rsid w:val="52ED8126"/>
    <w:rsid w:val="530B1EA8"/>
    <w:rsid w:val="531FA1B6"/>
    <w:rsid w:val="53718BA1"/>
    <w:rsid w:val="53DE7147"/>
    <w:rsid w:val="54007394"/>
    <w:rsid w:val="54127F3C"/>
    <w:rsid w:val="543A085E"/>
    <w:rsid w:val="5440BFA9"/>
    <w:rsid w:val="5441F61F"/>
    <w:rsid w:val="54549BAB"/>
    <w:rsid w:val="54610EC6"/>
    <w:rsid w:val="54AAEBEC"/>
    <w:rsid w:val="5517C25B"/>
    <w:rsid w:val="552BCCB7"/>
    <w:rsid w:val="553B37D0"/>
    <w:rsid w:val="5587A134"/>
    <w:rsid w:val="55928FD3"/>
    <w:rsid w:val="55AFBDA3"/>
    <w:rsid w:val="55E9CC21"/>
    <w:rsid w:val="55EE2CC7"/>
    <w:rsid w:val="56149E84"/>
    <w:rsid w:val="563D8125"/>
    <w:rsid w:val="56534C68"/>
    <w:rsid w:val="5670546B"/>
    <w:rsid w:val="5670F768"/>
    <w:rsid w:val="569EE560"/>
    <w:rsid w:val="56C28CB6"/>
    <w:rsid w:val="56E64E07"/>
    <w:rsid w:val="570721A6"/>
    <w:rsid w:val="5710274C"/>
    <w:rsid w:val="57195DB8"/>
    <w:rsid w:val="571A3A81"/>
    <w:rsid w:val="5729A47F"/>
    <w:rsid w:val="57358AB5"/>
    <w:rsid w:val="5738CDC1"/>
    <w:rsid w:val="5755FA68"/>
    <w:rsid w:val="5765C357"/>
    <w:rsid w:val="577ECA16"/>
    <w:rsid w:val="5780B059"/>
    <w:rsid w:val="57BB44DC"/>
    <w:rsid w:val="57E01E66"/>
    <w:rsid w:val="57E32E1D"/>
    <w:rsid w:val="5810F0E8"/>
    <w:rsid w:val="581D408F"/>
    <w:rsid w:val="58636872"/>
    <w:rsid w:val="58685394"/>
    <w:rsid w:val="58A2FF00"/>
    <w:rsid w:val="58DBDDF9"/>
    <w:rsid w:val="58E459B9"/>
    <w:rsid w:val="58F1EBF1"/>
    <w:rsid w:val="590193B8"/>
    <w:rsid w:val="591C2353"/>
    <w:rsid w:val="591F50A3"/>
    <w:rsid w:val="597B2F47"/>
    <w:rsid w:val="59E09BCE"/>
    <w:rsid w:val="59E61720"/>
    <w:rsid w:val="59F911A1"/>
    <w:rsid w:val="59FDF483"/>
    <w:rsid w:val="5A620CE4"/>
    <w:rsid w:val="5A7B780B"/>
    <w:rsid w:val="5A818680"/>
    <w:rsid w:val="5A8F9F6A"/>
    <w:rsid w:val="5AC88E56"/>
    <w:rsid w:val="5ACCA801"/>
    <w:rsid w:val="5ACCDFB5"/>
    <w:rsid w:val="5ADD128F"/>
    <w:rsid w:val="5AED7AC3"/>
    <w:rsid w:val="5AF0AD38"/>
    <w:rsid w:val="5AF91B30"/>
    <w:rsid w:val="5B0DD269"/>
    <w:rsid w:val="5B2DC17F"/>
    <w:rsid w:val="5B377BE5"/>
    <w:rsid w:val="5B61C5AC"/>
    <w:rsid w:val="5B6545C7"/>
    <w:rsid w:val="5BA95D5C"/>
    <w:rsid w:val="5BB5A1AC"/>
    <w:rsid w:val="5BC2DEE9"/>
    <w:rsid w:val="5BDB5714"/>
    <w:rsid w:val="5C31A41B"/>
    <w:rsid w:val="5C39347A"/>
    <w:rsid w:val="5C4F9E9F"/>
    <w:rsid w:val="5C7F9757"/>
    <w:rsid w:val="5C8C1BAB"/>
    <w:rsid w:val="5CBABC74"/>
    <w:rsid w:val="5D07A78C"/>
    <w:rsid w:val="5D53C09C"/>
    <w:rsid w:val="5D861B4B"/>
    <w:rsid w:val="5DCAB6AB"/>
    <w:rsid w:val="5DD1A1F4"/>
    <w:rsid w:val="5DD504DB"/>
    <w:rsid w:val="5E136DE6"/>
    <w:rsid w:val="5E146C24"/>
    <w:rsid w:val="5E15DE78"/>
    <w:rsid w:val="5E44FEF7"/>
    <w:rsid w:val="5E4D1167"/>
    <w:rsid w:val="5E541773"/>
    <w:rsid w:val="5E58D909"/>
    <w:rsid w:val="5E5AC194"/>
    <w:rsid w:val="5E5B5944"/>
    <w:rsid w:val="5E8F03BD"/>
    <w:rsid w:val="5EBF18F0"/>
    <w:rsid w:val="5EED4613"/>
    <w:rsid w:val="5EF72CF3"/>
    <w:rsid w:val="5F076848"/>
    <w:rsid w:val="5F13AF72"/>
    <w:rsid w:val="5F18E60D"/>
    <w:rsid w:val="5F28EBF0"/>
    <w:rsid w:val="5F2CF20B"/>
    <w:rsid w:val="5F3F90D0"/>
    <w:rsid w:val="5F4D75F4"/>
    <w:rsid w:val="5F4EB90D"/>
    <w:rsid w:val="5F597C12"/>
    <w:rsid w:val="5F74EBC2"/>
    <w:rsid w:val="5FEEB3B9"/>
    <w:rsid w:val="6005BC34"/>
    <w:rsid w:val="60180878"/>
    <w:rsid w:val="6024B0A2"/>
    <w:rsid w:val="61128D0D"/>
    <w:rsid w:val="611AC0B9"/>
    <w:rsid w:val="611EBF40"/>
    <w:rsid w:val="6134C347"/>
    <w:rsid w:val="615E17BD"/>
    <w:rsid w:val="61963EC7"/>
    <w:rsid w:val="61C2EF6B"/>
    <w:rsid w:val="61C72855"/>
    <w:rsid w:val="61E2F09D"/>
    <w:rsid w:val="61F788EF"/>
    <w:rsid w:val="620E36AF"/>
    <w:rsid w:val="62341766"/>
    <w:rsid w:val="62969AB6"/>
    <w:rsid w:val="62D46977"/>
    <w:rsid w:val="63051FE7"/>
    <w:rsid w:val="634C45B7"/>
    <w:rsid w:val="635343B4"/>
    <w:rsid w:val="636BE07D"/>
    <w:rsid w:val="63B5003B"/>
    <w:rsid w:val="63E44BD6"/>
    <w:rsid w:val="63E77486"/>
    <w:rsid w:val="63EFFC75"/>
    <w:rsid w:val="64241A56"/>
    <w:rsid w:val="64791516"/>
    <w:rsid w:val="6479E469"/>
    <w:rsid w:val="6483ADA8"/>
    <w:rsid w:val="648D97CF"/>
    <w:rsid w:val="648ED891"/>
    <w:rsid w:val="64D250C9"/>
    <w:rsid w:val="64FD0365"/>
    <w:rsid w:val="6508A113"/>
    <w:rsid w:val="650CB197"/>
    <w:rsid w:val="6517CFB4"/>
    <w:rsid w:val="651DDC83"/>
    <w:rsid w:val="655626EF"/>
    <w:rsid w:val="6563CB07"/>
    <w:rsid w:val="657E3545"/>
    <w:rsid w:val="65B5F645"/>
    <w:rsid w:val="65D207D4"/>
    <w:rsid w:val="65D22506"/>
    <w:rsid w:val="65D254FD"/>
    <w:rsid w:val="65E5C326"/>
    <w:rsid w:val="660B6697"/>
    <w:rsid w:val="662D2D6E"/>
    <w:rsid w:val="66303228"/>
    <w:rsid w:val="6640E1F0"/>
    <w:rsid w:val="66575B29"/>
    <w:rsid w:val="668E7654"/>
    <w:rsid w:val="66B94CD0"/>
    <w:rsid w:val="66BDE3B4"/>
    <w:rsid w:val="66D37A10"/>
    <w:rsid w:val="67665C87"/>
    <w:rsid w:val="67843F4C"/>
    <w:rsid w:val="67AB14A6"/>
    <w:rsid w:val="67EC3035"/>
    <w:rsid w:val="6803DA40"/>
    <w:rsid w:val="685674DA"/>
    <w:rsid w:val="685856E4"/>
    <w:rsid w:val="68675FC6"/>
    <w:rsid w:val="686DFDD3"/>
    <w:rsid w:val="687FF0E4"/>
    <w:rsid w:val="68B0A4A5"/>
    <w:rsid w:val="68B10E47"/>
    <w:rsid w:val="68C0D0FF"/>
    <w:rsid w:val="68D94998"/>
    <w:rsid w:val="68E4A98C"/>
    <w:rsid w:val="690FC22C"/>
    <w:rsid w:val="6917A0CD"/>
    <w:rsid w:val="69241A71"/>
    <w:rsid w:val="698FFD8F"/>
    <w:rsid w:val="6992A594"/>
    <w:rsid w:val="69E67505"/>
    <w:rsid w:val="69EC41C2"/>
    <w:rsid w:val="6A10DE1A"/>
    <w:rsid w:val="6A259FFB"/>
    <w:rsid w:val="6A28D44B"/>
    <w:rsid w:val="6A29EC1B"/>
    <w:rsid w:val="6A354E6C"/>
    <w:rsid w:val="6A6439AC"/>
    <w:rsid w:val="6A6FBB64"/>
    <w:rsid w:val="6A7E8DF9"/>
    <w:rsid w:val="6A80E959"/>
    <w:rsid w:val="6A9905E5"/>
    <w:rsid w:val="6ABB7569"/>
    <w:rsid w:val="6AD71506"/>
    <w:rsid w:val="6AF2EF2C"/>
    <w:rsid w:val="6AFD85AA"/>
    <w:rsid w:val="6B201815"/>
    <w:rsid w:val="6BAD1BBC"/>
    <w:rsid w:val="6BBCBD53"/>
    <w:rsid w:val="6BBDAB7F"/>
    <w:rsid w:val="6C4E2746"/>
    <w:rsid w:val="6C548C10"/>
    <w:rsid w:val="6C653119"/>
    <w:rsid w:val="6C6F1B4A"/>
    <w:rsid w:val="6C7EE126"/>
    <w:rsid w:val="6CA6FE15"/>
    <w:rsid w:val="6CBAC752"/>
    <w:rsid w:val="6CD2CA24"/>
    <w:rsid w:val="6CF97EAD"/>
    <w:rsid w:val="6D55D4AC"/>
    <w:rsid w:val="6D569197"/>
    <w:rsid w:val="6D6A494A"/>
    <w:rsid w:val="6D808267"/>
    <w:rsid w:val="6D80962F"/>
    <w:rsid w:val="6D828280"/>
    <w:rsid w:val="6DA4796C"/>
    <w:rsid w:val="6DB0E0AA"/>
    <w:rsid w:val="6DD47ABA"/>
    <w:rsid w:val="6DD8E080"/>
    <w:rsid w:val="6E62B6AC"/>
    <w:rsid w:val="6E82A39D"/>
    <w:rsid w:val="6E8F3395"/>
    <w:rsid w:val="6F171E24"/>
    <w:rsid w:val="6F175862"/>
    <w:rsid w:val="6F574C74"/>
    <w:rsid w:val="6F6408A7"/>
    <w:rsid w:val="6F685168"/>
    <w:rsid w:val="6F78DFB8"/>
    <w:rsid w:val="6F85A240"/>
    <w:rsid w:val="6F8EE68C"/>
    <w:rsid w:val="6FBEB858"/>
    <w:rsid w:val="6FC220EA"/>
    <w:rsid w:val="701378DF"/>
    <w:rsid w:val="70161476"/>
    <w:rsid w:val="70511536"/>
    <w:rsid w:val="7086036F"/>
    <w:rsid w:val="708B69D8"/>
    <w:rsid w:val="70E24501"/>
    <w:rsid w:val="711221A8"/>
    <w:rsid w:val="713AC73D"/>
    <w:rsid w:val="713C85FC"/>
    <w:rsid w:val="714A8784"/>
    <w:rsid w:val="715C0992"/>
    <w:rsid w:val="716A2C3D"/>
    <w:rsid w:val="7191EE74"/>
    <w:rsid w:val="719EE52C"/>
    <w:rsid w:val="71C6C928"/>
    <w:rsid w:val="71DEE7A8"/>
    <w:rsid w:val="721245F6"/>
    <w:rsid w:val="723D1F7C"/>
    <w:rsid w:val="7246E09B"/>
    <w:rsid w:val="724C4375"/>
    <w:rsid w:val="724DDE6F"/>
    <w:rsid w:val="725063FD"/>
    <w:rsid w:val="7272E9A6"/>
    <w:rsid w:val="7289AA15"/>
    <w:rsid w:val="72B6C0E0"/>
    <w:rsid w:val="72CB6DFE"/>
    <w:rsid w:val="72E754B4"/>
    <w:rsid w:val="72F7D9F3"/>
    <w:rsid w:val="7310A502"/>
    <w:rsid w:val="7310B899"/>
    <w:rsid w:val="731AF3E7"/>
    <w:rsid w:val="7327748B"/>
    <w:rsid w:val="7351B922"/>
    <w:rsid w:val="7392B6F5"/>
    <w:rsid w:val="73A79124"/>
    <w:rsid w:val="74492F52"/>
    <w:rsid w:val="745A1EF2"/>
    <w:rsid w:val="746069D8"/>
    <w:rsid w:val="74758D66"/>
    <w:rsid w:val="7481CDF8"/>
    <w:rsid w:val="748719C0"/>
    <w:rsid w:val="748E9BDA"/>
    <w:rsid w:val="7493AA54"/>
    <w:rsid w:val="74954FCB"/>
    <w:rsid w:val="749B425F"/>
    <w:rsid w:val="74F44997"/>
    <w:rsid w:val="7511CE79"/>
    <w:rsid w:val="753B6BBA"/>
    <w:rsid w:val="7588DBAF"/>
    <w:rsid w:val="75B580D1"/>
    <w:rsid w:val="75B70926"/>
    <w:rsid w:val="761E3FDE"/>
    <w:rsid w:val="76250E9F"/>
    <w:rsid w:val="7675BEB4"/>
    <w:rsid w:val="767F80AF"/>
    <w:rsid w:val="7692FA80"/>
    <w:rsid w:val="769386DF"/>
    <w:rsid w:val="76B14FF1"/>
    <w:rsid w:val="76F7FFB0"/>
    <w:rsid w:val="77095625"/>
    <w:rsid w:val="772A39EA"/>
    <w:rsid w:val="77300621"/>
    <w:rsid w:val="773C64E2"/>
    <w:rsid w:val="7746E66E"/>
    <w:rsid w:val="7750D05D"/>
    <w:rsid w:val="7757A109"/>
    <w:rsid w:val="778F45B6"/>
    <w:rsid w:val="77A6490F"/>
    <w:rsid w:val="77AEE5C4"/>
    <w:rsid w:val="77B17393"/>
    <w:rsid w:val="77D95FBA"/>
    <w:rsid w:val="78034364"/>
    <w:rsid w:val="7806EFA2"/>
    <w:rsid w:val="7826AA87"/>
    <w:rsid w:val="78532EBD"/>
    <w:rsid w:val="786CA581"/>
    <w:rsid w:val="787A79F2"/>
    <w:rsid w:val="788D356C"/>
    <w:rsid w:val="7891A3B9"/>
    <w:rsid w:val="789578DC"/>
    <w:rsid w:val="78DAB67C"/>
    <w:rsid w:val="78F311F6"/>
    <w:rsid w:val="7959AF63"/>
    <w:rsid w:val="796B2A80"/>
    <w:rsid w:val="79EA18E9"/>
    <w:rsid w:val="7A0E4D24"/>
    <w:rsid w:val="7A244614"/>
    <w:rsid w:val="7A32B80C"/>
    <w:rsid w:val="7A47DD2B"/>
    <w:rsid w:val="7A68EFCE"/>
    <w:rsid w:val="7A6D2A29"/>
    <w:rsid w:val="7AA128DA"/>
    <w:rsid w:val="7AA6EEB2"/>
    <w:rsid w:val="7AAC1A3A"/>
    <w:rsid w:val="7ACBEBBF"/>
    <w:rsid w:val="7B0BED35"/>
    <w:rsid w:val="7B10F3B7"/>
    <w:rsid w:val="7B11007C"/>
    <w:rsid w:val="7B257E94"/>
    <w:rsid w:val="7B26C934"/>
    <w:rsid w:val="7B319148"/>
    <w:rsid w:val="7B3483DF"/>
    <w:rsid w:val="7B618F82"/>
    <w:rsid w:val="7B716462"/>
    <w:rsid w:val="7BB48FE8"/>
    <w:rsid w:val="7BDEE0BF"/>
    <w:rsid w:val="7C0814DA"/>
    <w:rsid w:val="7C1DD02A"/>
    <w:rsid w:val="7C2BDE7A"/>
    <w:rsid w:val="7C3A7541"/>
    <w:rsid w:val="7C80B0FE"/>
    <w:rsid w:val="7C9ACD67"/>
    <w:rsid w:val="7CA27D23"/>
    <w:rsid w:val="7CA42431"/>
    <w:rsid w:val="7CACD0DD"/>
    <w:rsid w:val="7CC26737"/>
    <w:rsid w:val="7D07F39E"/>
    <w:rsid w:val="7D10AF01"/>
    <w:rsid w:val="7D2609F5"/>
    <w:rsid w:val="7DB7C7D7"/>
    <w:rsid w:val="7DF82ED9"/>
    <w:rsid w:val="7E296EAF"/>
    <w:rsid w:val="7E3D4115"/>
    <w:rsid w:val="7E48A13E"/>
    <w:rsid w:val="7E536DD5"/>
    <w:rsid w:val="7E78276B"/>
    <w:rsid w:val="7E900405"/>
    <w:rsid w:val="7E9283B7"/>
    <w:rsid w:val="7E97D094"/>
    <w:rsid w:val="7ED05E76"/>
    <w:rsid w:val="7ED3CA44"/>
    <w:rsid w:val="7EE4C8D8"/>
    <w:rsid w:val="7EFF5D8F"/>
    <w:rsid w:val="7F71DEF5"/>
    <w:rsid w:val="7F990ECD"/>
    <w:rsid w:val="7FC1BD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AF29E"/>
  <w15:docId w15:val="{FCF12685-ACC0-4B25-A639-5F312C5EC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2A65"/>
    <w:pPr>
      <w:tabs>
        <w:tab w:val="left" w:pos="794"/>
        <w:tab w:val="left" w:pos="1191"/>
        <w:tab w:val="left" w:pos="1588"/>
        <w:tab w:val="left" w:pos="1985"/>
      </w:tabs>
      <w:overflowPunct w:val="0"/>
      <w:autoSpaceDE w:val="0"/>
      <w:autoSpaceDN w:val="0"/>
      <w:adjustRightInd w:val="0"/>
      <w:spacing w:before="120"/>
      <w:jc w:val="both"/>
      <w:textAlignment w:val="baseline"/>
    </w:pPr>
    <w:rPr>
      <w:rFonts w:asciiTheme="minorHAnsi" w:hAnsiTheme="minorHAnsi"/>
      <w:sz w:val="24"/>
      <w:lang w:val="en-GB" w:eastAsia="en-US"/>
    </w:rPr>
  </w:style>
  <w:style w:type="paragraph" w:styleId="Heading1">
    <w:name w:val="heading 1"/>
    <w:basedOn w:val="Normal"/>
    <w:next w:val="Normal"/>
    <w:uiPriority w:val="9"/>
    <w:qFormat/>
    <w:rsid w:val="00B37866"/>
    <w:pPr>
      <w:keepNext/>
      <w:keepLines/>
      <w:spacing w:before="280"/>
      <w:ind w:left="794" w:hanging="794"/>
      <w:outlineLvl w:val="0"/>
    </w:pPr>
    <w:rPr>
      <w:b/>
      <w:sz w:val="28"/>
    </w:rPr>
  </w:style>
  <w:style w:type="paragraph" w:styleId="Heading2">
    <w:name w:val="heading 2"/>
    <w:basedOn w:val="Heading1"/>
    <w:next w:val="Normal"/>
    <w:qFormat/>
    <w:rsid w:val="00B37866"/>
    <w:pPr>
      <w:spacing w:before="200"/>
      <w:outlineLvl w:val="1"/>
    </w:pPr>
    <w:rPr>
      <w:sz w:val="24"/>
    </w:rPr>
  </w:style>
  <w:style w:type="paragraph" w:styleId="Heading3">
    <w:name w:val="heading 3"/>
    <w:basedOn w:val="Heading1"/>
    <w:next w:val="Normal"/>
    <w:qFormat/>
    <w:rsid w:val="00B37866"/>
    <w:pPr>
      <w:spacing w:before="200"/>
      <w:outlineLvl w:val="2"/>
    </w:pPr>
    <w:rPr>
      <w:sz w:val="24"/>
    </w:rPr>
  </w:style>
  <w:style w:type="paragraph" w:styleId="Heading4">
    <w:name w:val="heading 4"/>
    <w:basedOn w:val="Heading3"/>
    <w:next w:val="Normal"/>
    <w:qFormat/>
    <w:rsid w:val="00B37866"/>
    <w:pPr>
      <w:tabs>
        <w:tab w:val="clear" w:pos="794"/>
        <w:tab w:val="left" w:pos="992"/>
      </w:tabs>
      <w:ind w:left="992" w:hanging="992"/>
      <w:outlineLvl w:val="3"/>
    </w:pPr>
  </w:style>
  <w:style w:type="paragraph" w:styleId="Heading5">
    <w:name w:val="heading 5"/>
    <w:basedOn w:val="Heading4"/>
    <w:next w:val="Normal"/>
    <w:qFormat/>
    <w:rsid w:val="00B37866"/>
    <w:pPr>
      <w:outlineLvl w:val="4"/>
    </w:pPr>
  </w:style>
  <w:style w:type="paragraph" w:styleId="Heading6">
    <w:name w:val="heading 6"/>
    <w:basedOn w:val="Heading4"/>
    <w:next w:val="Normal"/>
    <w:qFormat/>
    <w:rsid w:val="00B37866"/>
    <w:pPr>
      <w:tabs>
        <w:tab w:val="clear" w:pos="992"/>
        <w:tab w:val="clear" w:pos="1191"/>
      </w:tabs>
      <w:ind w:left="1588" w:hanging="1588"/>
      <w:outlineLvl w:val="5"/>
    </w:pPr>
  </w:style>
  <w:style w:type="paragraph" w:styleId="Heading7">
    <w:name w:val="heading 7"/>
    <w:basedOn w:val="Heading6"/>
    <w:next w:val="Normal"/>
    <w:qFormat/>
    <w:rsid w:val="00B37866"/>
    <w:pPr>
      <w:outlineLvl w:val="6"/>
    </w:pPr>
  </w:style>
  <w:style w:type="paragraph" w:styleId="Heading8">
    <w:name w:val="heading 8"/>
    <w:basedOn w:val="Heading6"/>
    <w:next w:val="Normal"/>
    <w:qFormat/>
    <w:rsid w:val="00B37866"/>
    <w:pPr>
      <w:outlineLvl w:val="7"/>
    </w:pPr>
  </w:style>
  <w:style w:type="paragraph" w:styleId="Heading9">
    <w:name w:val="heading 9"/>
    <w:basedOn w:val="Heading6"/>
    <w:next w:val="Normal"/>
    <w:qFormat/>
    <w:rsid w:val="00B3786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B37866"/>
  </w:style>
  <w:style w:type="paragraph" w:styleId="TOC4">
    <w:name w:val="toc 4"/>
    <w:basedOn w:val="TOC3"/>
    <w:semiHidden/>
    <w:rsid w:val="00B37866"/>
  </w:style>
  <w:style w:type="paragraph" w:styleId="TOC3">
    <w:name w:val="toc 3"/>
    <w:basedOn w:val="TOC2"/>
    <w:uiPriority w:val="39"/>
    <w:rsid w:val="00B37866"/>
  </w:style>
  <w:style w:type="paragraph" w:styleId="TOC2">
    <w:name w:val="toc 2"/>
    <w:basedOn w:val="TOC1"/>
    <w:uiPriority w:val="39"/>
    <w:rsid w:val="00B37866"/>
    <w:pPr>
      <w:spacing w:before="120"/>
    </w:pPr>
  </w:style>
  <w:style w:type="paragraph" w:styleId="TOC1">
    <w:name w:val="toc 1"/>
    <w:basedOn w:val="Normal"/>
    <w:uiPriority w:val="39"/>
    <w:rsid w:val="00B37866"/>
    <w:pPr>
      <w:keepLines/>
      <w:tabs>
        <w:tab w:val="clear" w:pos="794"/>
        <w:tab w:val="clear" w:pos="1191"/>
        <w:tab w:val="clear" w:pos="1588"/>
        <w:tab w:val="clear" w:pos="1985"/>
        <w:tab w:val="left" w:pos="964"/>
        <w:tab w:val="left" w:leader="dot" w:pos="8647"/>
        <w:tab w:val="center" w:pos="9526"/>
      </w:tabs>
      <w:spacing w:before="240"/>
      <w:ind w:left="964" w:hanging="964"/>
    </w:pPr>
  </w:style>
  <w:style w:type="paragraph" w:styleId="TOC7">
    <w:name w:val="toc 7"/>
    <w:basedOn w:val="TOC4"/>
    <w:semiHidden/>
    <w:rsid w:val="00B37866"/>
  </w:style>
  <w:style w:type="paragraph" w:styleId="TOC6">
    <w:name w:val="toc 6"/>
    <w:basedOn w:val="TOC4"/>
    <w:semiHidden/>
    <w:rsid w:val="00B37866"/>
  </w:style>
  <w:style w:type="paragraph" w:styleId="TOC5">
    <w:name w:val="toc 5"/>
    <w:basedOn w:val="TOC4"/>
    <w:semiHidden/>
    <w:rsid w:val="00B37866"/>
  </w:style>
  <w:style w:type="paragraph" w:styleId="Index7">
    <w:name w:val="index 7"/>
    <w:basedOn w:val="Normal"/>
    <w:next w:val="Normal"/>
    <w:semiHidden/>
    <w:rsid w:val="00B37866"/>
    <w:pPr>
      <w:ind w:left="1698"/>
    </w:pPr>
  </w:style>
  <w:style w:type="paragraph" w:styleId="Index6">
    <w:name w:val="index 6"/>
    <w:basedOn w:val="Normal"/>
    <w:next w:val="Normal"/>
    <w:semiHidden/>
    <w:rsid w:val="00B37866"/>
    <w:pPr>
      <w:ind w:left="1415"/>
    </w:pPr>
  </w:style>
  <w:style w:type="paragraph" w:styleId="Index5">
    <w:name w:val="index 5"/>
    <w:basedOn w:val="Normal"/>
    <w:next w:val="Normal"/>
    <w:semiHidden/>
    <w:rsid w:val="00B37866"/>
    <w:pPr>
      <w:ind w:left="1132"/>
    </w:pPr>
  </w:style>
  <w:style w:type="paragraph" w:styleId="Index4">
    <w:name w:val="index 4"/>
    <w:basedOn w:val="Normal"/>
    <w:next w:val="Normal"/>
    <w:semiHidden/>
    <w:rsid w:val="00B37866"/>
    <w:pPr>
      <w:ind w:left="849"/>
    </w:pPr>
  </w:style>
  <w:style w:type="paragraph" w:styleId="Index3">
    <w:name w:val="index 3"/>
    <w:basedOn w:val="Normal"/>
    <w:next w:val="Normal"/>
    <w:semiHidden/>
    <w:rsid w:val="00B37866"/>
    <w:pPr>
      <w:ind w:left="566"/>
    </w:pPr>
  </w:style>
  <w:style w:type="paragraph" w:styleId="Index2">
    <w:name w:val="index 2"/>
    <w:basedOn w:val="Normal"/>
    <w:next w:val="Normal"/>
    <w:semiHidden/>
    <w:rsid w:val="00B37866"/>
    <w:pPr>
      <w:ind w:left="283"/>
    </w:pPr>
  </w:style>
  <w:style w:type="paragraph" w:styleId="Index1">
    <w:name w:val="index 1"/>
    <w:basedOn w:val="Normal"/>
    <w:next w:val="Normal"/>
    <w:semiHidden/>
    <w:rsid w:val="00B37866"/>
  </w:style>
  <w:style w:type="character" w:styleId="LineNumber">
    <w:name w:val="line number"/>
    <w:basedOn w:val="DefaultParagraphFont"/>
    <w:rsid w:val="00B37866"/>
  </w:style>
  <w:style w:type="paragraph" w:styleId="IndexHeading">
    <w:name w:val="index heading"/>
    <w:basedOn w:val="Normal"/>
    <w:next w:val="Index1"/>
    <w:semiHidden/>
    <w:rsid w:val="00B37866"/>
  </w:style>
  <w:style w:type="paragraph" w:styleId="Footer">
    <w:name w:val="footer"/>
    <w:basedOn w:val="Normal"/>
    <w:link w:val="FooterChar"/>
    <w:rsid w:val="00B37866"/>
    <w:pPr>
      <w:tabs>
        <w:tab w:val="clear" w:pos="794"/>
        <w:tab w:val="clear" w:pos="1191"/>
        <w:tab w:val="clear" w:pos="1588"/>
        <w:tab w:val="clear" w:pos="1985"/>
        <w:tab w:val="left" w:pos="5954"/>
        <w:tab w:val="right" w:pos="9639"/>
      </w:tabs>
      <w:spacing w:before="0"/>
    </w:pPr>
    <w:rPr>
      <w:caps/>
      <w:noProof/>
      <w:sz w:val="16"/>
      <w:lang w:val="fr-FR"/>
    </w:rPr>
  </w:style>
  <w:style w:type="paragraph" w:styleId="Header">
    <w:name w:val="header"/>
    <w:basedOn w:val="Normal"/>
    <w:link w:val="HeaderChar"/>
    <w:uiPriority w:val="99"/>
    <w:rsid w:val="00B37866"/>
    <w:pPr>
      <w:tabs>
        <w:tab w:val="clear" w:pos="794"/>
        <w:tab w:val="clear" w:pos="1191"/>
        <w:tab w:val="clear" w:pos="1588"/>
        <w:tab w:val="clear" w:pos="1985"/>
      </w:tabs>
      <w:spacing w:before="0"/>
      <w:jc w:val="center"/>
    </w:pPr>
    <w:rPr>
      <w:sz w:val="18"/>
      <w:lang w:val="fr-FR"/>
    </w:rPr>
  </w:style>
  <w:style w:type="character" w:styleId="FootnoteReference">
    <w:name w:val="footnote reference"/>
    <w:basedOn w:val="DefaultParagraphFont"/>
    <w:rsid w:val="00F52741"/>
    <w:rPr>
      <w:rFonts w:asciiTheme="minorHAnsi" w:hAnsiTheme="minorHAnsi"/>
      <w:position w:val="6"/>
      <w:sz w:val="18"/>
    </w:rPr>
  </w:style>
  <w:style w:type="paragraph" w:styleId="FootnoteText">
    <w:name w:val="footnote text"/>
    <w:basedOn w:val="Normal"/>
    <w:link w:val="FootnoteTextChar"/>
    <w:uiPriority w:val="99"/>
    <w:rsid w:val="00B37866"/>
    <w:pPr>
      <w:keepLines/>
      <w:tabs>
        <w:tab w:val="left" w:pos="255"/>
      </w:tabs>
      <w:ind w:left="255" w:hanging="255"/>
    </w:pPr>
  </w:style>
  <w:style w:type="paragraph" w:styleId="NormalIndent">
    <w:name w:val="Normal Indent"/>
    <w:basedOn w:val="Normal"/>
    <w:rsid w:val="00B37866"/>
    <w:pPr>
      <w:ind w:left="794"/>
    </w:pPr>
  </w:style>
  <w:style w:type="paragraph" w:customStyle="1" w:styleId="enumlev1">
    <w:name w:val="enumlev1"/>
    <w:basedOn w:val="Normal"/>
    <w:rsid w:val="00B37866"/>
    <w:pPr>
      <w:spacing w:before="80"/>
      <w:ind w:left="794" w:hanging="794"/>
    </w:pPr>
  </w:style>
  <w:style w:type="paragraph" w:customStyle="1" w:styleId="enumlev2">
    <w:name w:val="enumlev2"/>
    <w:basedOn w:val="enumlev1"/>
    <w:rsid w:val="00B37866"/>
    <w:pPr>
      <w:ind w:left="1191" w:hanging="397"/>
    </w:pPr>
  </w:style>
  <w:style w:type="paragraph" w:customStyle="1" w:styleId="enumlev3">
    <w:name w:val="enumlev3"/>
    <w:basedOn w:val="enumlev2"/>
    <w:rsid w:val="00B37866"/>
    <w:pPr>
      <w:ind w:left="1588"/>
    </w:pPr>
  </w:style>
  <w:style w:type="paragraph" w:customStyle="1" w:styleId="Normalaftertitle">
    <w:name w:val="Normal after title"/>
    <w:basedOn w:val="Normal"/>
    <w:next w:val="Normal"/>
    <w:rsid w:val="00B37866"/>
    <w:pPr>
      <w:spacing w:before="280"/>
    </w:pPr>
  </w:style>
  <w:style w:type="paragraph" w:customStyle="1" w:styleId="Equation">
    <w:name w:val="Equation"/>
    <w:basedOn w:val="Normal"/>
    <w:rsid w:val="00B37866"/>
    <w:pPr>
      <w:tabs>
        <w:tab w:val="clear" w:pos="1191"/>
        <w:tab w:val="clear" w:pos="1588"/>
        <w:tab w:val="clear" w:pos="1985"/>
        <w:tab w:val="center" w:pos="4820"/>
        <w:tab w:val="right" w:pos="9639"/>
      </w:tabs>
    </w:pPr>
  </w:style>
  <w:style w:type="paragraph" w:customStyle="1" w:styleId="toc0">
    <w:name w:val="toc 0"/>
    <w:basedOn w:val="Normal"/>
    <w:next w:val="TOC1"/>
    <w:rsid w:val="00B37866"/>
    <w:pPr>
      <w:tabs>
        <w:tab w:val="clear" w:pos="794"/>
        <w:tab w:val="clear" w:pos="1191"/>
        <w:tab w:val="clear" w:pos="1588"/>
        <w:tab w:val="clear" w:pos="1985"/>
        <w:tab w:val="right" w:pos="9781"/>
      </w:tabs>
    </w:pPr>
    <w:rPr>
      <w:b/>
    </w:rPr>
  </w:style>
  <w:style w:type="paragraph" w:customStyle="1" w:styleId="AnnexNo">
    <w:name w:val="Annex_No"/>
    <w:basedOn w:val="Normal"/>
    <w:next w:val="Annexref"/>
    <w:rsid w:val="00B37866"/>
    <w:pPr>
      <w:keepNext/>
      <w:keepLines/>
      <w:spacing w:before="480" w:after="80"/>
      <w:jc w:val="center"/>
    </w:pPr>
    <w:rPr>
      <w:caps/>
      <w:sz w:val="28"/>
    </w:rPr>
  </w:style>
  <w:style w:type="paragraph" w:customStyle="1" w:styleId="ASN1">
    <w:name w:val="ASN.1"/>
    <w:basedOn w:val="Normal"/>
    <w:rsid w:val="00B3786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Note">
    <w:name w:val="Note"/>
    <w:basedOn w:val="Normal"/>
    <w:rsid w:val="00B37866"/>
    <w:pPr>
      <w:spacing w:before="80"/>
    </w:pPr>
  </w:style>
  <w:style w:type="paragraph" w:styleId="TOC9">
    <w:name w:val="toc 9"/>
    <w:basedOn w:val="TOC3"/>
    <w:next w:val="Normal"/>
    <w:semiHidden/>
    <w:rsid w:val="00B37866"/>
  </w:style>
  <w:style w:type="paragraph" w:customStyle="1" w:styleId="Source">
    <w:name w:val="Source"/>
    <w:basedOn w:val="Normal"/>
    <w:next w:val="Normalaftertitle"/>
    <w:rsid w:val="00EC6FED"/>
    <w:pPr>
      <w:spacing w:before="240" w:after="240"/>
      <w:jc w:val="center"/>
    </w:pPr>
    <w:rPr>
      <w:b/>
      <w:sz w:val="28"/>
    </w:rPr>
  </w:style>
  <w:style w:type="paragraph" w:customStyle="1" w:styleId="Title1">
    <w:name w:val="Title 1"/>
    <w:basedOn w:val="Source"/>
    <w:next w:val="Title2"/>
    <w:rsid w:val="00EC6FED"/>
    <w:pPr>
      <w:tabs>
        <w:tab w:val="clear" w:pos="794"/>
        <w:tab w:val="clear" w:pos="1191"/>
        <w:tab w:val="clear" w:pos="1588"/>
        <w:tab w:val="clear" w:pos="1985"/>
        <w:tab w:val="left" w:pos="567"/>
        <w:tab w:val="left" w:pos="1134"/>
        <w:tab w:val="left" w:pos="1701"/>
        <w:tab w:val="left" w:pos="2268"/>
        <w:tab w:val="left" w:pos="2835"/>
      </w:tabs>
      <w:spacing w:before="120" w:after="120"/>
    </w:pPr>
    <w:rPr>
      <w:rFonts w:cs="Times New Roman Bold"/>
      <w:b w:val="0"/>
    </w:rPr>
  </w:style>
  <w:style w:type="paragraph" w:customStyle="1" w:styleId="Title2">
    <w:name w:val="Title 2"/>
    <w:basedOn w:val="Title1"/>
    <w:next w:val="Title3"/>
    <w:rsid w:val="00B37866"/>
  </w:style>
  <w:style w:type="paragraph" w:customStyle="1" w:styleId="Title3">
    <w:name w:val="Title 3"/>
    <w:basedOn w:val="Title2"/>
    <w:next w:val="Title4"/>
    <w:rsid w:val="00B37866"/>
  </w:style>
  <w:style w:type="paragraph" w:customStyle="1" w:styleId="Title4">
    <w:name w:val="Title 4"/>
    <w:basedOn w:val="Title3"/>
    <w:next w:val="Heading1"/>
    <w:rsid w:val="00B37866"/>
  </w:style>
  <w:style w:type="paragraph" w:customStyle="1" w:styleId="FirstFooter">
    <w:name w:val="FirstFooter"/>
    <w:basedOn w:val="Footer"/>
    <w:rsid w:val="00B37866"/>
    <w:pPr>
      <w:tabs>
        <w:tab w:val="clear" w:pos="5954"/>
        <w:tab w:val="clear" w:pos="9639"/>
      </w:tabs>
      <w:overflowPunct/>
      <w:autoSpaceDE/>
      <w:autoSpaceDN/>
      <w:adjustRightInd/>
      <w:spacing w:before="40"/>
      <w:textAlignment w:val="auto"/>
    </w:pPr>
    <w:rPr>
      <w:caps w:val="0"/>
      <w:noProof w:val="0"/>
    </w:rPr>
  </w:style>
  <w:style w:type="paragraph" w:customStyle="1" w:styleId="Annexref">
    <w:name w:val="Annex_ref"/>
    <w:basedOn w:val="Normal"/>
    <w:next w:val="Annextitle"/>
    <w:rsid w:val="00B37866"/>
    <w:pPr>
      <w:keepNext/>
      <w:keepLines/>
      <w:spacing w:after="280"/>
      <w:jc w:val="center"/>
    </w:pPr>
  </w:style>
  <w:style w:type="paragraph" w:customStyle="1" w:styleId="Annextitle">
    <w:name w:val="Annex_title"/>
    <w:basedOn w:val="Normal"/>
    <w:next w:val="Normalaftertitle"/>
    <w:rsid w:val="00F52741"/>
    <w:pPr>
      <w:keepNext/>
      <w:keepLines/>
      <w:spacing w:before="240" w:after="280"/>
      <w:jc w:val="center"/>
    </w:pPr>
    <w:rPr>
      <w:b/>
      <w:sz w:val="28"/>
    </w:rPr>
  </w:style>
  <w:style w:type="character" w:customStyle="1" w:styleId="Appdef">
    <w:name w:val="App_def"/>
    <w:basedOn w:val="DefaultParagraphFont"/>
    <w:rsid w:val="00F52741"/>
    <w:rPr>
      <w:rFonts w:asciiTheme="minorHAnsi" w:hAnsiTheme="minorHAnsi"/>
      <w:b/>
    </w:rPr>
  </w:style>
  <w:style w:type="character" w:customStyle="1" w:styleId="Appref">
    <w:name w:val="App_ref"/>
    <w:basedOn w:val="DefaultParagraphFont"/>
    <w:rsid w:val="00F52741"/>
    <w:rPr>
      <w:rFonts w:asciiTheme="minorHAnsi" w:hAnsiTheme="minorHAnsi"/>
    </w:rPr>
  </w:style>
  <w:style w:type="paragraph" w:customStyle="1" w:styleId="AppendixNo">
    <w:name w:val="Appendix_No"/>
    <w:basedOn w:val="AnnexNo"/>
    <w:next w:val="Annexref"/>
    <w:rsid w:val="00B37866"/>
  </w:style>
  <w:style w:type="paragraph" w:customStyle="1" w:styleId="Appendixref">
    <w:name w:val="Appendix_ref"/>
    <w:basedOn w:val="Annexref"/>
    <w:next w:val="Annextitle"/>
    <w:rsid w:val="00B37866"/>
  </w:style>
  <w:style w:type="paragraph" w:customStyle="1" w:styleId="Appendixtitle">
    <w:name w:val="Appendix_title"/>
    <w:basedOn w:val="Annextitle"/>
    <w:next w:val="Normalaftertitle"/>
    <w:rsid w:val="00B37866"/>
  </w:style>
  <w:style w:type="character" w:customStyle="1" w:styleId="Artdef">
    <w:name w:val="Art_def"/>
    <w:basedOn w:val="DefaultParagraphFont"/>
    <w:rsid w:val="00F52741"/>
    <w:rPr>
      <w:rFonts w:asciiTheme="minorHAnsi" w:hAnsiTheme="minorHAnsi"/>
      <w:b/>
    </w:rPr>
  </w:style>
  <w:style w:type="paragraph" w:customStyle="1" w:styleId="Artheading">
    <w:name w:val="Art_heading"/>
    <w:basedOn w:val="Normal"/>
    <w:next w:val="Normalaftertitle"/>
    <w:rsid w:val="00F52741"/>
    <w:pPr>
      <w:spacing w:before="480"/>
      <w:jc w:val="center"/>
    </w:pPr>
    <w:rPr>
      <w:b/>
      <w:sz w:val="28"/>
    </w:rPr>
  </w:style>
  <w:style w:type="paragraph" w:customStyle="1" w:styleId="ArtNo">
    <w:name w:val="Art_No"/>
    <w:basedOn w:val="Normal"/>
    <w:next w:val="Arttitle"/>
    <w:rsid w:val="00B37866"/>
    <w:pPr>
      <w:keepNext/>
      <w:keepLines/>
      <w:spacing w:before="480"/>
      <w:jc w:val="center"/>
    </w:pPr>
    <w:rPr>
      <w:caps/>
      <w:sz w:val="28"/>
    </w:rPr>
  </w:style>
  <w:style w:type="paragraph" w:customStyle="1" w:styleId="Arttitle">
    <w:name w:val="Art_title"/>
    <w:basedOn w:val="Normal"/>
    <w:next w:val="Normalaftertitle"/>
    <w:rsid w:val="00B37866"/>
    <w:pPr>
      <w:keepNext/>
      <w:keepLines/>
      <w:spacing w:before="240"/>
      <w:jc w:val="center"/>
    </w:pPr>
    <w:rPr>
      <w:b/>
      <w:sz w:val="28"/>
    </w:rPr>
  </w:style>
  <w:style w:type="character" w:customStyle="1" w:styleId="Artref">
    <w:name w:val="Art_ref"/>
    <w:basedOn w:val="DefaultParagraphFont"/>
    <w:rsid w:val="00B37866"/>
  </w:style>
  <w:style w:type="paragraph" w:customStyle="1" w:styleId="Call">
    <w:name w:val="Call"/>
    <w:basedOn w:val="Normal"/>
    <w:next w:val="Normal"/>
    <w:rsid w:val="00B37866"/>
    <w:pPr>
      <w:keepNext/>
      <w:keepLines/>
      <w:spacing w:before="160"/>
      <w:ind w:left="794"/>
    </w:pPr>
    <w:rPr>
      <w:i/>
    </w:rPr>
  </w:style>
  <w:style w:type="paragraph" w:customStyle="1" w:styleId="ChapNo">
    <w:name w:val="Chap_No"/>
    <w:basedOn w:val="ArtNo"/>
    <w:next w:val="Chaptitle"/>
    <w:rsid w:val="00F52741"/>
    <w:rPr>
      <w:b/>
    </w:rPr>
  </w:style>
  <w:style w:type="paragraph" w:customStyle="1" w:styleId="Chaptitle">
    <w:name w:val="Chap_title"/>
    <w:basedOn w:val="Arttitle"/>
    <w:next w:val="Normalaftertitle"/>
    <w:rsid w:val="00B37866"/>
  </w:style>
  <w:style w:type="paragraph" w:customStyle="1" w:styleId="ddate">
    <w:name w:val="ddate"/>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B37866"/>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B37866"/>
    <w:rPr>
      <w:vertAlign w:val="superscript"/>
    </w:rPr>
  </w:style>
  <w:style w:type="paragraph" w:customStyle="1" w:styleId="Equationlegend">
    <w:name w:val="Equation_legend"/>
    <w:basedOn w:val="Normal"/>
    <w:rsid w:val="00B37866"/>
    <w:pPr>
      <w:tabs>
        <w:tab w:val="clear" w:pos="794"/>
        <w:tab w:val="clear" w:pos="1191"/>
        <w:tab w:val="clear" w:pos="1588"/>
        <w:tab w:val="clear" w:pos="1985"/>
        <w:tab w:val="right" w:pos="1531"/>
        <w:tab w:val="left" w:pos="1701"/>
      </w:tabs>
      <w:spacing w:before="80"/>
      <w:ind w:left="1701" w:hanging="1701"/>
    </w:pPr>
  </w:style>
  <w:style w:type="paragraph" w:customStyle="1" w:styleId="Figurelegend">
    <w:name w:val="Figure_legend"/>
    <w:basedOn w:val="Normal"/>
    <w:rsid w:val="00B37866"/>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
    <w:next w:val="Figuretitle"/>
    <w:rsid w:val="00B37866"/>
    <w:pPr>
      <w:keepNext/>
      <w:keepLines/>
      <w:spacing w:before="480" w:after="120"/>
      <w:jc w:val="center"/>
    </w:pPr>
    <w:rPr>
      <w:caps/>
    </w:rPr>
  </w:style>
  <w:style w:type="paragraph" w:customStyle="1" w:styleId="Figuretitle">
    <w:name w:val="Figure_title"/>
    <w:basedOn w:val="Tabletitle"/>
    <w:next w:val="Normal"/>
    <w:rsid w:val="00F52741"/>
    <w:pPr>
      <w:keepNext w:val="0"/>
      <w:spacing w:after="480"/>
    </w:pPr>
  </w:style>
  <w:style w:type="paragraph" w:customStyle="1" w:styleId="Tabletitle">
    <w:name w:val="Table_title"/>
    <w:basedOn w:val="Normal"/>
    <w:next w:val="Tabletext"/>
    <w:rsid w:val="00F52741"/>
    <w:pPr>
      <w:keepNext/>
      <w:keepLines/>
      <w:spacing w:before="0" w:after="120"/>
      <w:jc w:val="center"/>
    </w:pPr>
    <w:rPr>
      <w:b/>
    </w:rPr>
  </w:style>
  <w:style w:type="paragraph" w:customStyle="1" w:styleId="Tabletext">
    <w:name w:val="Table_text"/>
    <w:basedOn w:val="Normal"/>
    <w:rsid w:val="00B3786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FigureNo"/>
    <w:next w:val="Normal"/>
    <w:rsid w:val="00B37866"/>
    <w:pPr>
      <w:keepNext w:val="0"/>
    </w:pPr>
  </w:style>
  <w:style w:type="paragraph" w:customStyle="1" w:styleId="Headingb">
    <w:name w:val="Heading_b"/>
    <w:basedOn w:val="Normal"/>
    <w:next w:val="Normal"/>
    <w:rsid w:val="00F52741"/>
    <w:pPr>
      <w:keepNext/>
      <w:spacing w:before="160"/>
    </w:pPr>
    <w:rPr>
      <w:b/>
    </w:rPr>
  </w:style>
  <w:style w:type="paragraph" w:customStyle="1" w:styleId="Headingi">
    <w:name w:val="Heading_i"/>
    <w:basedOn w:val="Normal"/>
    <w:next w:val="Normal"/>
    <w:rsid w:val="00F52741"/>
    <w:pPr>
      <w:keepNext/>
      <w:spacing w:before="160"/>
    </w:pPr>
    <w:rPr>
      <w:i/>
    </w:rPr>
  </w:style>
  <w:style w:type="paragraph" w:customStyle="1" w:styleId="PartNo">
    <w:name w:val="Part_No"/>
    <w:basedOn w:val="AnnexNo"/>
    <w:next w:val="Partref"/>
    <w:rsid w:val="00B37866"/>
  </w:style>
  <w:style w:type="paragraph" w:customStyle="1" w:styleId="Partref">
    <w:name w:val="Part_ref"/>
    <w:basedOn w:val="Annexref"/>
    <w:next w:val="Parttitle"/>
    <w:rsid w:val="00B37866"/>
  </w:style>
  <w:style w:type="paragraph" w:customStyle="1" w:styleId="Parttitle">
    <w:name w:val="Part_title"/>
    <w:basedOn w:val="Annextitle"/>
    <w:next w:val="Normalaftertitle"/>
    <w:rsid w:val="00B37866"/>
  </w:style>
  <w:style w:type="paragraph" w:customStyle="1" w:styleId="RecNo">
    <w:name w:val="Rec_No"/>
    <w:basedOn w:val="Normal"/>
    <w:next w:val="Rectitle"/>
    <w:rsid w:val="00B37866"/>
    <w:pPr>
      <w:keepNext/>
      <w:keepLines/>
      <w:spacing w:before="480"/>
      <w:jc w:val="center"/>
    </w:pPr>
    <w:rPr>
      <w:caps/>
      <w:sz w:val="28"/>
    </w:rPr>
  </w:style>
  <w:style w:type="paragraph" w:customStyle="1" w:styleId="Rectitle">
    <w:name w:val="Rec_title"/>
    <w:basedOn w:val="RecNo"/>
    <w:next w:val="Recref"/>
    <w:rsid w:val="00F52741"/>
    <w:pPr>
      <w:spacing w:before="240"/>
    </w:pPr>
    <w:rPr>
      <w:b/>
      <w:caps w:val="0"/>
    </w:rPr>
  </w:style>
  <w:style w:type="paragraph" w:customStyle="1" w:styleId="Recref">
    <w:name w:val="Rec_ref"/>
    <w:basedOn w:val="Rectitle"/>
    <w:next w:val="Recdate"/>
    <w:rsid w:val="00F52741"/>
    <w:pPr>
      <w:tabs>
        <w:tab w:val="clear" w:pos="794"/>
        <w:tab w:val="clear" w:pos="1191"/>
        <w:tab w:val="clear" w:pos="1588"/>
        <w:tab w:val="clear" w:pos="1985"/>
      </w:tabs>
      <w:spacing w:before="120"/>
    </w:pPr>
    <w:rPr>
      <w:b w:val="0"/>
      <w:i/>
      <w:sz w:val="24"/>
    </w:rPr>
  </w:style>
  <w:style w:type="paragraph" w:customStyle="1" w:styleId="Recdate">
    <w:name w:val="Rec_date"/>
    <w:basedOn w:val="Recref"/>
    <w:next w:val="Normalaftertitle"/>
    <w:rsid w:val="00B37866"/>
    <w:pPr>
      <w:jc w:val="right"/>
    </w:pPr>
    <w:rPr>
      <w:sz w:val="22"/>
    </w:rPr>
  </w:style>
  <w:style w:type="paragraph" w:customStyle="1" w:styleId="Questiondate">
    <w:name w:val="Question_date"/>
    <w:basedOn w:val="Recdate"/>
    <w:next w:val="Normalaftertitle"/>
    <w:rsid w:val="00F52741"/>
  </w:style>
  <w:style w:type="paragraph" w:customStyle="1" w:styleId="QuestionNo">
    <w:name w:val="Question_No"/>
    <w:basedOn w:val="RecNo"/>
    <w:next w:val="Questiontitle"/>
    <w:rsid w:val="00B37866"/>
  </w:style>
  <w:style w:type="paragraph" w:customStyle="1" w:styleId="Questiontitle">
    <w:name w:val="Question_title"/>
    <w:basedOn w:val="Rectitle"/>
    <w:next w:val="Questionref"/>
    <w:rsid w:val="00F52741"/>
  </w:style>
  <w:style w:type="paragraph" w:customStyle="1" w:styleId="Questionref">
    <w:name w:val="Question_ref"/>
    <w:basedOn w:val="Recref"/>
    <w:next w:val="Questiondate"/>
    <w:rsid w:val="00F52741"/>
  </w:style>
  <w:style w:type="character" w:customStyle="1" w:styleId="Recdef">
    <w:name w:val="Rec_def"/>
    <w:basedOn w:val="DefaultParagraphFont"/>
    <w:rsid w:val="00F52741"/>
    <w:rPr>
      <w:rFonts w:asciiTheme="minorHAnsi" w:hAnsiTheme="minorHAnsi"/>
      <w:b/>
    </w:rPr>
  </w:style>
  <w:style w:type="paragraph" w:customStyle="1" w:styleId="Reftext">
    <w:name w:val="Ref_text"/>
    <w:basedOn w:val="Normal"/>
    <w:rsid w:val="00B37866"/>
    <w:pPr>
      <w:ind w:left="794" w:hanging="794"/>
    </w:pPr>
  </w:style>
  <w:style w:type="paragraph" w:customStyle="1" w:styleId="Reftitle">
    <w:name w:val="Ref_title"/>
    <w:basedOn w:val="Normal"/>
    <w:next w:val="Reftext"/>
    <w:rsid w:val="00B37866"/>
    <w:pPr>
      <w:spacing w:before="480"/>
      <w:jc w:val="center"/>
    </w:pPr>
    <w:rPr>
      <w:caps/>
    </w:rPr>
  </w:style>
  <w:style w:type="paragraph" w:customStyle="1" w:styleId="Repdate">
    <w:name w:val="Rep_date"/>
    <w:basedOn w:val="Recdate"/>
    <w:next w:val="Normalaftertitle"/>
    <w:rsid w:val="00B37866"/>
  </w:style>
  <w:style w:type="paragraph" w:customStyle="1" w:styleId="RepNo">
    <w:name w:val="Rep_No"/>
    <w:basedOn w:val="RecNo"/>
    <w:next w:val="Reptitle"/>
    <w:rsid w:val="00B37866"/>
  </w:style>
  <w:style w:type="paragraph" w:customStyle="1" w:styleId="Reptitle">
    <w:name w:val="Rep_title"/>
    <w:basedOn w:val="Rectitle"/>
    <w:next w:val="Repref"/>
    <w:rsid w:val="00B37866"/>
  </w:style>
  <w:style w:type="paragraph" w:customStyle="1" w:styleId="Repref">
    <w:name w:val="Rep_ref"/>
    <w:basedOn w:val="Recref"/>
    <w:next w:val="Repdate"/>
    <w:rsid w:val="00B37866"/>
  </w:style>
  <w:style w:type="paragraph" w:customStyle="1" w:styleId="Resdate">
    <w:name w:val="Res_date"/>
    <w:basedOn w:val="Recdate"/>
    <w:next w:val="Normalaftertitle"/>
    <w:rsid w:val="00B37866"/>
  </w:style>
  <w:style w:type="character" w:customStyle="1" w:styleId="Resdef">
    <w:name w:val="Res_def"/>
    <w:basedOn w:val="DefaultParagraphFont"/>
    <w:rsid w:val="00F52741"/>
    <w:rPr>
      <w:rFonts w:asciiTheme="minorHAnsi" w:hAnsiTheme="minorHAnsi"/>
      <w:b/>
    </w:rPr>
  </w:style>
  <w:style w:type="paragraph" w:customStyle="1" w:styleId="ResNo">
    <w:name w:val="Res_No"/>
    <w:basedOn w:val="RecNo"/>
    <w:next w:val="Restitle"/>
    <w:rsid w:val="00B37866"/>
  </w:style>
  <w:style w:type="paragraph" w:customStyle="1" w:styleId="Restitle">
    <w:name w:val="Res_title"/>
    <w:basedOn w:val="Rectitle"/>
    <w:next w:val="Resref"/>
    <w:rsid w:val="00B37866"/>
  </w:style>
  <w:style w:type="paragraph" w:customStyle="1" w:styleId="Resref">
    <w:name w:val="Res_ref"/>
    <w:basedOn w:val="Recref"/>
    <w:next w:val="Resdate"/>
    <w:rsid w:val="00B37866"/>
  </w:style>
  <w:style w:type="paragraph" w:customStyle="1" w:styleId="SectionNo">
    <w:name w:val="Section_No"/>
    <w:basedOn w:val="AnnexNo"/>
    <w:next w:val="Sectiontitle"/>
    <w:rsid w:val="00B37866"/>
  </w:style>
  <w:style w:type="paragraph" w:customStyle="1" w:styleId="Sectiontitle">
    <w:name w:val="Section_title"/>
    <w:basedOn w:val="Annextitle"/>
    <w:next w:val="Normalaftertitle"/>
    <w:rsid w:val="00B37866"/>
  </w:style>
  <w:style w:type="paragraph" w:customStyle="1" w:styleId="SpecialFooter">
    <w:name w:val="Special Footer"/>
    <w:basedOn w:val="Footer"/>
    <w:rsid w:val="00B37866"/>
    <w:pPr>
      <w:tabs>
        <w:tab w:val="left" w:pos="567"/>
        <w:tab w:val="left" w:pos="1134"/>
        <w:tab w:val="left" w:pos="1701"/>
        <w:tab w:val="left" w:pos="2268"/>
        <w:tab w:val="left" w:pos="2835"/>
      </w:tabs>
    </w:pPr>
    <w:rPr>
      <w:caps w:val="0"/>
      <w:noProof w:val="0"/>
    </w:rPr>
  </w:style>
  <w:style w:type="character" w:customStyle="1" w:styleId="Tablefreq">
    <w:name w:val="Table_freq"/>
    <w:basedOn w:val="DefaultParagraphFont"/>
    <w:rsid w:val="00F52741"/>
    <w:rPr>
      <w:rFonts w:asciiTheme="minorHAnsi" w:hAnsiTheme="minorHAnsi"/>
      <w:b/>
      <w:color w:val="auto"/>
    </w:rPr>
  </w:style>
  <w:style w:type="paragraph" w:customStyle="1" w:styleId="Tablehead">
    <w:name w:val="Table_head"/>
    <w:basedOn w:val="Tabletext"/>
    <w:next w:val="Tabletext"/>
    <w:rsid w:val="00B37866"/>
    <w:pPr>
      <w:keepNext/>
      <w:spacing w:before="80" w:after="80"/>
      <w:jc w:val="center"/>
    </w:pPr>
    <w:rPr>
      <w:b/>
    </w:rPr>
  </w:style>
  <w:style w:type="paragraph" w:customStyle="1" w:styleId="Tablelegend">
    <w:name w:val="Table_legend"/>
    <w:basedOn w:val="Tabletext"/>
    <w:rsid w:val="00B37866"/>
    <w:pPr>
      <w:spacing w:before="120"/>
    </w:pPr>
  </w:style>
  <w:style w:type="paragraph" w:customStyle="1" w:styleId="TableNo">
    <w:name w:val="Table_No"/>
    <w:basedOn w:val="Normal"/>
    <w:next w:val="Tabletitle"/>
    <w:rsid w:val="00B37866"/>
    <w:pPr>
      <w:keepNext/>
      <w:spacing w:before="560" w:after="120"/>
      <w:jc w:val="center"/>
    </w:pPr>
    <w:rPr>
      <w:caps/>
    </w:rPr>
  </w:style>
  <w:style w:type="paragraph" w:customStyle="1" w:styleId="Tableref">
    <w:name w:val="Table_ref"/>
    <w:basedOn w:val="Normal"/>
    <w:next w:val="Tabletitle"/>
    <w:rsid w:val="00B37866"/>
    <w:pPr>
      <w:keepNext/>
      <w:spacing w:before="0" w:after="120"/>
      <w:jc w:val="center"/>
    </w:pPr>
  </w:style>
  <w:style w:type="character" w:styleId="PageNumber">
    <w:name w:val="page number"/>
    <w:basedOn w:val="DefaultParagraphFont"/>
    <w:rsid w:val="00F52741"/>
    <w:rPr>
      <w:rFonts w:asciiTheme="minorHAnsi" w:hAnsiTheme="minorHAnsi"/>
    </w:rPr>
  </w:style>
  <w:style w:type="character" w:customStyle="1" w:styleId="HeaderChar">
    <w:name w:val="Header Char"/>
    <w:basedOn w:val="DefaultParagraphFont"/>
    <w:link w:val="Header"/>
    <w:uiPriority w:val="99"/>
    <w:rsid w:val="00005791"/>
    <w:rPr>
      <w:rFonts w:ascii="Times New Roman" w:hAnsi="Times New Roman"/>
      <w:sz w:val="18"/>
      <w:lang w:val="fr-FR" w:eastAsia="en-US"/>
    </w:rPr>
  </w:style>
  <w:style w:type="character" w:customStyle="1" w:styleId="FooterChar">
    <w:name w:val="Footer Char"/>
    <w:basedOn w:val="DefaultParagraphFont"/>
    <w:link w:val="Footer"/>
    <w:rsid w:val="0056423B"/>
    <w:rPr>
      <w:rFonts w:ascii="Times New Roman" w:hAnsi="Times New Roman"/>
      <w:caps/>
      <w:noProof/>
      <w:sz w:val="16"/>
      <w:lang w:val="fr-FR" w:eastAsia="en-US"/>
    </w:rPr>
  </w:style>
  <w:style w:type="table" w:styleId="TableGrid">
    <w:name w:val="Table Grid"/>
    <w:basedOn w:val="TableNormal"/>
    <w:uiPriority w:val="39"/>
    <w:rsid w:val="0014700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mmittee">
    <w:name w:val="Committee"/>
    <w:basedOn w:val="Normal"/>
    <w:qFormat/>
    <w:rsid w:val="001A163D"/>
    <w:rPr>
      <w:rFonts w:cs="Times New Roman Bold"/>
      <w:b/>
      <w:caps/>
    </w:rPr>
  </w:style>
  <w:style w:type="character" w:styleId="Hyperlink">
    <w:name w:val="Hyperlink"/>
    <w:aliases w:val="CEO_Hyperlink,超级链接,超?级链,Style 58,超????,하이퍼링크2,超链接1,超?级链?,Style?,S,ECC Hyperlink,하이퍼링크21"/>
    <w:basedOn w:val="DefaultParagraphFont"/>
    <w:uiPriority w:val="99"/>
    <w:qFormat/>
    <w:rsid w:val="00BA0009"/>
    <w:rPr>
      <w:color w:val="0000FF" w:themeColor="hyperlink"/>
      <w:u w:val="single"/>
    </w:rPr>
  </w:style>
  <w:style w:type="paragraph" w:customStyle="1" w:styleId="BDTLogo">
    <w:name w:val="BDT_Logo"/>
    <w:uiPriority w:val="99"/>
    <w:rsid w:val="00C72713"/>
    <w:pPr>
      <w:jc w:val="center"/>
    </w:pPr>
    <w:rPr>
      <w:rFonts w:ascii="Calibri" w:eastAsia="SimHei" w:hAnsi="Calibri" w:cs="Simplified Arabic"/>
      <w:sz w:val="22"/>
      <w:szCs w:val="28"/>
      <w:lang w:val="en-GB" w:eastAsia="en-US"/>
    </w:rPr>
  </w:style>
  <w:style w:type="paragraph" w:styleId="ListParagraph">
    <w:name w:val="List Paragraph"/>
    <w:basedOn w:val="Normal"/>
    <w:uiPriority w:val="34"/>
    <w:qFormat/>
    <w:rsid w:val="00A721F4"/>
    <w:pPr>
      <w:tabs>
        <w:tab w:val="clear" w:pos="794"/>
        <w:tab w:val="clear" w:pos="1191"/>
        <w:tab w:val="clear" w:pos="1588"/>
        <w:tab w:val="clear" w:pos="1985"/>
        <w:tab w:val="left" w:pos="1134"/>
        <w:tab w:val="left" w:pos="1871"/>
        <w:tab w:val="left" w:pos="2268"/>
      </w:tabs>
      <w:ind w:left="720"/>
      <w:contextualSpacing/>
    </w:pPr>
  </w:style>
  <w:style w:type="paragraph" w:customStyle="1" w:styleId="AppArtNo">
    <w:name w:val="App_Art_No"/>
    <w:basedOn w:val="ArtNo"/>
    <w:qFormat/>
    <w:rsid w:val="00A50CA0"/>
    <w:pPr>
      <w:tabs>
        <w:tab w:val="clear" w:pos="794"/>
        <w:tab w:val="clear" w:pos="1191"/>
        <w:tab w:val="clear" w:pos="1588"/>
        <w:tab w:val="clear" w:pos="1985"/>
        <w:tab w:val="left" w:pos="1134"/>
        <w:tab w:val="left" w:pos="1871"/>
        <w:tab w:val="left" w:pos="2268"/>
      </w:tabs>
    </w:pPr>
  </w:style>
  <w:style w:type="paragraph" w:customStyle="1" w:styleId="AppArttitle">
    <w:name w:val="App_Art_title"/>
    <w:basedOn w:val="Arttitle"/>
    <w:qFormat/>
    <w:rsid w:val="00A50CA0"/>
    <w:pPr>
      <w:tabs>
        <w:tab w:val="clear" w:pos="794"/>
        <w:tab w:val="clear" w:pos="1191"/>
        <w:tab w:val="clear" w:pos="1588"/>
        <w:tab w:val="clear" w:pos="1985"/>
        <w:tab w:val="left" w:pos="1134"/>
        <w:tab w:val="left" w:pos="1871"/>
        <w:tab w:val="left" w:pos="2268"/>
      </w:tabs>
    </w:pPr>
  </w:style>
  <w:style w:type="paragraph" w:customStyle="1" w:styleId="ApptoAnnex">
    <w:name w:val="App_to_Annex"/>
    <w:basedOn w:val="AppendixNo"/>
    <w:next w:val="Normal"/>
    <w:qFormat/>
    <w:rsid w:val="00A50CA0"/>
    <w:pPr>
      <w:tabs>
        <w:tab w:val="clear" w:pos="794"/>
        <w:tab w:val="clear" w:pos="1191"/>
        <w:tab w:val="clear" w:pos="1588"/>
        <w:tab w:val="clear" w:pos="1985"/>
        <w:tab w:val="left" w:pos="1134"/>
        <w:tab w:val="left" w:pos="1871"/>
        <w:tab w:val="left" w:pos="2268"/>
      </w:tabs>
    </w:pPr>
  </w:style>
  <w:style w:type="paragraph" w:customStyle="1" w:styleId="Volumetitle">
    <w:name w:val="Volume_title"/>
    <w:basedOn w:val="Normal"/>
    <w:qFormat/>
    <w:rsid w:val="00A50CA0"/>
    <w:pPr>
      <w:tabs>
        <w:tab w:val="clear" w:pos="794"/>
        <w:tab w:val="clear" w:pos="1191"/>
        <w:tab w:val="clear" w:pos="1588"/>
        <w:tab w:val="clear" w:pos="1985"/>
        <w:tab w:val="left" w:pos="1871"/>
      </w:tabs>
      <w:overflowPunct/>
      <w:autoSpaceDE/>
      <w:autoSpaceDN/>
      <w:adjustRightInd/>
      <w:spacing w:before="0"/>
      <w:textAlignment w:val="auto"/>
    </w:pPr>
    <w:rPr>
      <w:b/>
      <w:sz w:val="28"/>
      <w:lang w:val="en-US"/>
    </w:rPr>
  </w:style>
  <w:style w:type="paragraph" w:customStyle="1" w:styleId="Proposal">
    <w:name w:val="Proposal"/>
    <w:basedOn w:val="Normal"/>
    <w:next w:val="Normal"/>
    <w:rsid w:val="00904230"/>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Reasons">
    <w:name w:val="Reasons"/>
    <w:basedOn w:val="Normal"/>
    <w:rsid w:val="005D2C3A"/>
    <w:pPr>
      <w:tabs>
        <w:tab w:val="clear" w:pos="794"/>
        <w:tab w:val="clear" w:pos="1191"/>
        <w:tab w:val="left" w:pos="1134"/>
        <w:tab w:val="left" w:pos="1871"/>
      </w:tabs>
    </w:pPr>
  </w:style>
  <w:style w:type="character" w:styleId="FollowedHyperlink">
    <w:name w:val="FollowedHyperlink"/>
    <w:basedOn w:val="DefaultParagraphFont"/>
    <w:semiHidden/>
    <w:unhideWhenUsed/>
    <w:rsid w:val="00AD4677"/>
    <w:rPr>
      <w:color w:val="800080" w:themeColor="followedHyperlink"/>
      <w:u w:val="single"/>
    </w:rPr>
  </w:style>
  <w:style w:type="table" w:styleId="GridTable2-Accent1">
    <w:name w:val="Grid Table 2 Accent 1"/>
    <w:basedOn w:val="TableNormal"/>
    <w:uiPriority w:val="47"/>
    <w:rsid w:val="00E8021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E80210"/>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11">
    <w:name w:val="Grid Table 2 - Accent 11"/>
    <w:basedOn w:val="TableNormal"/>
    <w:next w:val="GridTable2-Accent1"/>
    <w:uiPriority w:val="47"/>
    <w:rsid w:val="00E80210"/>
    <w:rPr>
      <w:rFonts w:ascii="Calibri" w:eastAsia="Calibri" w:hAnsi="Calibri"/>
      <w:sz w:val="22"/>
      <w:szCs w:val="22"/>
      <w:lang w:val="en-GB"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denotaalpie1">
    <w:name w:val="de nota al pie1"/>
    <w:basedOn w:val="DefaultParagraphFont"/>
    <w:uiPriority w:val="99"/>
    <w:rsid w:val="00E80210"/>
    <w:rPr>
      <w:rFonts w:ascii="Calibri" w:hAnsi="Calibri"/>
      <w:position w:val="6"/>
      <w:sz w:val="18"/>
    </w:rPr>
  </w:style>
  <w:style w:type="table" w:customStyle="1" w:styleId="GridTable4-Accent11">
    <w:name w:val="Grid Table 4 - Accent 11"/>
    <w:basedOn w:val="TableNormal"/>
    <w:uiPriority w:val="49"/>
    <w:rsid w:val="00E80210"/>
    <w:rPr>
      <w:rFonts w:ascii="Calibri" w:eastAsia="Calibri" w:hAnsi="Calibri" w:cs="Arial"/>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1">
    <w:name w:val="List Table 6 Colorful Accent 1"/>
    <w:basedOn w:val="TableNormal"/>
    <w:uiPriority w:val="51"/>
    <w:rsid w:val="00E80210"/>
    <w:rPr>
      <w:rFonts w:asciiTheme="minorHAnsi" w:eastAsiaTheme="minorHAnsi" w:hAnsiTheme="minorHAnsi" w:cstheme="minorBidi"/>
      <w:color w:val="365F91" w:themeColor="accent1" w:themeShade="BF"/>
      <w:sz w:val="22"/>
      <w:szCs w:val="22"/>
      <w:lang w:val="en-GB" w:eastAsia="en-US"/>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776259"/>
    <w:rPr>
      <w:rFonts w:asciiTheme="minorHAnsi" w:hAnsiTheme="minorHAnsi"/>
      <w:sz w:val="24"/>
      <w:lang w:val="en-GB" w:eastAsia="en-US"/>
    </w:rPr>
  </w:style>
  <w:style w:type="table" w:styleId="GridTable4-Accent1">
    <w:name w:val="Grid Table 4 Accent 1"/>
    <w:basedOn w:val="TableNormal"/>
    <w:uiPriority w:val="49"/>
    <w:rsid w:val="00BF384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BF384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cimalAligned">
    <w:name w:val="Decimal Aligned"/>
    <w:basedOn w:val="Normal"/>
    <w:uiPriority w:val="40"/>
    <w:qFormat/>
    <w:rsid w:val="00C46342"/>
    <w:pPr>
      <w:tabs>
        <w:tab w:val="clear" w:pos="794"/>
        <w:tab w:val="clear" w:pos="1191"/>
        <w:tab w:val="clear" w:pos="1588"/>
        <w:tab w:val="clear" w:pos="1985"/>
        <w:tab w:val="decimal" w:pos="360"/>
      </w:tabs>
      <w:overflowPunct/>
      <w:autoSpaceDE/>
      <w:autoSpaceDN/>
      <w:adjustRightInd/>
      <w:spacing w:before="0" w:after="200" w:line="276" w:lineRule="auto"/>
      <w:textAlignment w:val="auto"/>
    </w:pPr>
    <w:rPr>
      <w:rFonts w:eastAsiaTheme="minorEastAsia"/>
      <w:sz w:val="22"/>
      <w:szCs w:val="22"/>
      <w:lang w:val="en-US"/>
    </w:rPr>
  </w:style>
  <w:style w:type="character" w:customStyle="1" w:styleId="FootnoteTextChar">
    <w:name w:val="Footnote Text Char"/>
    <w:basedOn w:val="DefaultParagraphFont"/>
    <w:link w:val="FootnoteText"/>
    <w:uiPriority w:val="99"/>
    <w:rsid w:val="00C46342"/>
    <w:rPr>
      <w:rFonts w:asciiTheme="minorHAnsi" w:hAnsiTheme="minorHAnsi"/>
      <w:sz w:val="24"/>
      <w:lang w:val="en-GB" w:eastAsia="en-US"/>
    </w:rPr>
  </w:style>
  <w:style w:type="character" w:styleId="SubtleEmphasis">
    <w:name w:val="Subtle Emphasis"/>
    <w:basedOn w:val="DefaultParagraphFont"/>
    <w:uiPriority w:val="19"/>
    <w:qFormat/>
    <w:rsid w:val="00C46342"/>
    <w:rPr>
      <w:i/>
      <w:iCs/>
    </w:rPr>
  </w:style>
  <w:style w:type="table" w:styleId="MediumShading2-Accent5">
    <w:name w:val="Medium Shading 2 Accent 5"/>
    <w:basedOn w:val="TableNormal"/>
    <w:uiPriority w:val="64"/>
    <w:rsid w:val="00C46342"/>
    <w:rPr>
      <w:rFonts w:asciiTheme="minorHAnsi" w:eastAsiaTheme="minorEastAsia"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UnresolvedMention">
    <w:name w:val="Unresolved Mention"/>
    <w:basedOn w:val="DefaultParagraphFont"/>
    <w:uiPriority w:val="99"/>
    <w:semiHidden/>
    <w:unhideWhenUsed/>
    <w:rsid w:val="008A26A6"/>
    <w:rPr>
      <w:color w:val="605E5C"/>
      <w:shd w:val="clear" w:color="auto" w:fill="E1DFDD"/>
    </w:rPr>
  </w:style>
  <w:style w:type="paragraph" w:styleId="NormalWeb">
    <w:name w:val="Normal (Web)"/>
    <w:basedOn w:val="Normal"/>
    <w:semiHidden/>
    <w:unhideWhenUsed/>
    <w:rsid w:val="00A12A34"/>
    <w:rPr>
      <w:rFonts w:ascii="Times New Roman" w:hAnsi="Times New Roman"/>
      <w:szCs w:val="24"/>
    </w:rPr>
  </w:style>
  <w:style w:type="character" w:customStyle="1" w:styleId="normaltextrun">
    <w:name w:val="normaltextrun"/>
    <w:basedOn w:val="DefaultParagraphFont"/>
    <w:rsid w:val="0078585B"/>
  </w:style>
  <w:style w:type="character" w:styleId="CommentReference">
    <w:name w:val="annotation reference"/>
    <w:basedOn w:val="DefaultParagraphFont"/>
    <w:semiHidden/>
    <w:unhideWhenUsed/>
    <w:rsid w:val="002A5CF5"/>
    <w:rPr>
      <w:sz w:val="16"/>
      <w:szCs w:val="16"/>
    </w:rPr>
  </w:style>
  <w:style w:type="paragraph" w:styleId="CommentText">
    <w:name w:val="annotation text"/>
    <w:basedOn w:val="Normal"/>
    <w:link w:val="CommentTextChar"/>
    <w:unhideWhenUsed/>
    <w:rsid w:val="002A5CF5"/>
    <w:rPr>
      <w:sz w:val="20"/>
    </w:rPr>
  </w:style>
  <w:style w:type="character" w:customStyle="1" w:styleId="CommentTextChar">
    <w:name w:val="Comment Text Char"/>
    <w:basedOn w:val="DefaultParagraphFont"/>
    <w:link w:val="CommentText"/>
    <w:rsid w:val="002A5CF5"/>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2A5CF5"/>
    <w:rPr>
      <w:b/>
      <w:bCs/>
    </w:rPr>
  </w:style>
  <w:style w:type="character" w:customStyle="1" w:styleId="CommentSubjectChar">
    <w:name w:val="Comment Subject Char"/>
    <w:basedOn w:val="CommentTextChar"/>
    <w:link w:val="CommentSubject"/>
    <w:semiHidden/>
    <w:rsid w:val="002A5CF5"/>
    <w:rPr>
      <w:rFonts w:asciiTheme="minorHAnsi" w:hAnsiTheme="minorHAnsi"/>
      <w:b/>
      <w:bCs/>
      <w:lang w:val="en-GB" w:eastAsia="en-US"/>
    </w:rPr>
  </w:style>
  <w:style w:type="paragraph" w:customStyle="1" w:styleId="Pa13">
    <w:name w:val="Pa13"/>
    <w:basedOn w:val="Normal"/>
    <w:next w:val="Normal"/>
    <w:uiPriority w:val="99"/>
    <w:rsid w:val="009D0E56"/>
    <w:pPr>
      <w:tabs>
        <w:tab w:val="clear" w:pos="794"/>
        <w:tab w:val="clear" w:pos="1191"/>
        <w:tab w:val="clear" w:pos="1588"/>
        <w:tab w:val="clear" w:pos="1985"/>
      </w:tabs>
      <w:overflowPunct/>
      <w:spacing w:before="0" w:line="201" w:lineRule="atLeast"/>
      <w:jc w:val="left"/>
      <w:textAlignment w:val="auto"/>
    </w:pPr>
    <w:rPr>
      <w:rFonts w:ascii="Calibri Light" w:hAnsi="Calibri Light" w:cs="Calibri Light"/>
      <w:szCs w:val="24"/>
      <w:lang w:eastAsia="zh-CN"/>
    </w:rPr>
  </w:style>
  <w:style w:type="character" w:customStyle="1" w:styleId="eop">
    <w:name w:val="eop"/>
    <w:basedOn w:val="DefaultParagraphFont"/>
    <w:rsid w:val="00785F3F"/>
  </w:style>
  <w:style w:type="paragraph" w:customStyle="1" w:styleId="paragraph">
    <w:name w:val="paragraph"/>
    <w:basedOn w:val="Normal"/>
    <w:rsid w:val="00D40D85"/>
    <w:pP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ascii="Times New Roman" w:hAnsi="Times New Roman"/>
      <w:szCs w:val="24"/>
      <w:lang w:eastAsia="en-GB"/>
    </w:rPr>
  </w:style>
  <w:style w:type="character" w:customStyle="1" w:styleId="ui-provider">
    <w:name w:val="ui-provider"/>
    <w:basedOn w:val="DefaultParagraphFont"/>
    <w:rsid w:val="006C641C"/>
  </w:style>
  <w:style w:type="character" w:styleId="Mention">
    <w:name w:val="Mention"/>
    <w:basedOn w:val="DefaultParagraphFont"/>
    <w:uiPriority w:val="99"/>
    <w:unhideWhenUsed/>
    <w:rsid w:val="000B1D6A"/>
    <w:rPr>
      <w:color w:val="2B579A"/>
      <w:shd w:val="clear" w:color="auto" w:fill="E1DFDD"/>
    </w:rPr>
  </w:style>
  <w:style w:type="paragraph" w:styleId="BalloonText">
    <w:name w:val="Balloon Text"/>
    <w:basedOn w:val="Normal"/>
    <w:link w:val="BalloonTextChar"/>
    <w:semiHidden/>
    <w:unhideWhenUsed/>
    <w:rsid w:val="00F74025"/>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F74025"/>
    <w:rPr>
      <w:rFonts w:ascii="Segoe UI" w:hAnsi="Segoe UI" w:cs="Segoe UI"/>
      <w:sz w:val="18"/>
      <w:szCs w:val="18"/>
      <w:lang w:val="en-GB" w:eastAsia="en-US"/>
    </w:rPr>
  </w:style>
  <w:style w:type="paragraph" w:styleId="TOCHeading">
    <w:name w:val="TOC Heading"/>
    <w:basedOn w:val="Heading1"/>
    <w:next w:val="Normal"/>
    <w:uiPriority w:val="39"/>
    <w:unhideWhenUsed/>
    <w:qFormat/>
    <w:rsid w:val="00ED4460"/>
    <w:pPr>
      <w:tabs>
        <w:tab w:val="clear" w:pos="794"/>
        <w:tab w:val="clear" w:pos="1191"/>
        <w:tab w:val="clear" w:pos="1588"/>
        <w:tab w:val="clear" w:pos="1985"/>
      </w:tabs>
      <w:overflowPunct/>
      <w:autoSpaceDE/>
      <w:autoSpaceDN/>
      <w:adjustRightInd/>
      <w:spacing w:before="240" w:line="259" w:lineRule="auto"/>
      <w:ind w:left="0" w:firstLine="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paragraph" w:styleId="EndnoteText">
    <w:name w:val="endnote text"/>
    <w:basedOn w:val="Normal"/>
    <w:link w:val="EndnoteTextChar"/>
    <w:semiHidden/>
    <w:unhideWhenUsed/>
    <w:rsid w:val="00432F8E"/>
    <w:pPr>
      <w:spacing w:before="0"/>
    </w:pPr>
    <w:rPr>
      <w:sz w:val="20"/>
    </w:rPr>
  </w:style>
  <w:style w:type="character" w:customStyle="1" w:styleId="EndnoteTextChar">
    <w:name w:val="Endnote Text Char"/>
    <w:basedOn w:val="DefaultParagraphFont"/>
    <w:link w:val="EndnoteText"/>
    <w:semiHidden/>
    <w:rsid w:val="00432F8E"/>
    <w:rPr>
      <w:rFonts w:asciiTheme="minorHAnsi" w:hAnsiTheme="minorHAns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6546">
      <w:bodyDiv w:val="1"/>
      <w:marLeft w:val="0"/>
      <w:marRight w:val="0"/>
      <w:marTop w:val="0"/>
      <w:marBottom w:val="0"/>
      <w:divBdr>
        <w:top w:val="none" w:sz="0" w:space="0" w:color="auto"/>
        <w:left w:val="none" w:sz="0" w:space="0" w:color="auto"/>
        <w:bottom w:val="none" w:sz="0" w:space="0" w:color="auto"/>
        <w:right w:val="none" w:sz="0" w:space="0" w:color="auto"/>
      </w:divBdr>
    </w:div>
    <w:div w:id="124664816">
      <w:bodyDiv w:val="1"/>
      <w:marLeft w:val="0"/>
      <w:marRight w:val="0"/>
      <w:marTop w:val="0"/>
      <w:marBottom w:val="0"/>
      <w:divBdr>
        <w:top w:val="none" w:sz="0" w:space="0" w:color="auto"/>
        <w:left w:val="none" w:sz="0" w:space="0" w:color="auto"/>
        <w:bottom w:val="none" w:sz="0" w:space="0" w:color="auto"/>
        <w:right w:val="none" w:sz="0" w:space="0" w:color="auto"/>
      </w:divBdr>
    </w:div>
    <w:div w:id="287854689">
      <w:bodyDiv w:val="1"/>
      <w:marLeft w:val="0"/>
      <w:marRight w:val="0"/>
      <w:marTop w:val="0"/>
      <w:marBottom w:val="0"/>
      <w:divBdr>
        <w:top w:val="none" w:sz="0" w:space="0" w:color="auto"/>
        <w:left w:val="none" w:sz="0" w:space="0" w:color="auto"/>
        <w:bottom w:val="none" w:sz="0" w:space="0" w:color="auto"/>
        <w:right w:val="none" w:sz="0" w:space="0" w:color="auto"/>
      </w:divBdr>
    </w:div>
    <w:div w:id="580990710">
      <w:bodyDiv w:val="1"/>
      <w:marLeft w:val="0"/>
      <w:marRight w:val="0"/>
      <w:marTop w:val="0"/>
      <w:marBottom w:val="0"/>
      <w:divBdr>
        <w:top w:val="none" w:sz="0" w:space="0" w:color="auto"/>
        <w:left w:val="none" w:sz="0" w:space="0" w:color="auto"/>
        <w:bottom w:val="none" w:sz="0" w:space="0" w:color="auto"/>
        <w:right w:val="none" w:sz="0" w:space="0" w:color="auto"/>
      </w:divBdr>
    </w:div>
    <w:div w:id="652683226">
      <w:bodyDiv w:val="1"/>
      <w:marLeft w:val="0"/>
      <w:marRight w:val="0"/>
      <w:marTop w:val="0"/>
      <w:marBottom w:val="0"/>
      <w:divBdr>
        <w:top w:val="none" w:sz="0" w:space="0" w:color="auto"/>
        <w:left w:val="none" w:sz="0" w:space="0" w:color="auto"/>
        <w:bottom w:val="none" w:sz="0" w:space="0" w:color="auto"/>
        <w:right w:val="none" w:sz="0" w:space="0" w:color="auto"/>
      </w:divBdr>
    </w:div>
    <w:div w:id="747994343">
      <w:bodyDiv w:val="1"/>
      <w:marLeft w:val="0"/>
      <w:marRight w:val="0"/>
      <w:marTop w:val="0"/>
      <w:marBottom w:val="0"/>
      <w:divBdr>
        <w:top w:val="none" w:sz="0" w:space="0" w:color="auto"/>
        <w:left w:val="none" w:sz="0" w:space="0" w:color="auto"/>
        <w:bottom w:val="none" w:sz="0" w:space="0" w:color="auto"/>
        <w:right w:val="none" w:sz="0" w:space="0" w:color="auto"/>
      </w:divBdr>
    </w:div>
    <w:div w:id="825782698">
      <w:bodyDiv w:val="1"/>
      <w:marLeft w:val="0"/>
      <w:marRight w:val="0"/>
      <w:marTop w:val="0"/>
      <w:marBottom w:val="0"/>
      <w:divBdr>
        <w:top w:val="none" w:sz="0" w:space="0" w:color="auto"/>
        <w:left w:val="none" w:sz="0" w:space="0" w:color="auto"/>
        <w:bottom w:val="none" w:sz="0" w:space="0" w:color="auto"/>
        <w:right w:val="none" w:sz="0" w:space="0" w:color="auto"/>
      </w:divBdr>
    </w:div>
    <w:div w:id="825784484">
      <w:bodyDiv w:val="1"/>
      <w:marLeft w:val="0"/>
      <w:marRight w:val="0"/>
      <w:marTop w:val="0"/>
      <w:marBottom w:val="0"/>
      <w:divBdr>
        <w:top w:val="none" w:sz="0" w:space="0" w:color="auto"/>
        <w:left w:val="none" w:sz="0" w:space="0" w:color="auto"/>
        <w:bottom w:val="none" w:sz="0" w:space="0" w:color="auto"/>
        <w:right w:val="none" w:sz="0" w:space="0" w:color="auto"/>
      </w:divBdr>
      <w:divsChild>
        <w:div w:id="616834266">
          <w:marLeft w:val="0"/>
          <w:marRight w:val="0"/>
          <w:marTop w:val="0"/>
          <w:marBottom w:val="0"/>
          <w:divBdr>
            <w:top w:val="none" w:sz="0" w:space="0" w:color="auto"/>
            <w:left w:val="none" w:sz="0" w:space="0" w:color="auto"/>
            <w:bottom w:val="none" w:sz="0" w:space="0" w:color="auto"/>
            <w:right w:val="none" w:sz="0" w:space="0" w:color="auto"/>
          </w:divBdr>
        </w:div>
        <w:div w:id="1059015823">
          <w:marLeft w:val="0"/>
          <w:marRight w:val="0"/>
          <w:marTop w:val="0"/>
          <w:marBottom w:val="0"/>
          <w:divBdr>
            <w:top w:val="none" w:sz="0" w:space="0" w:color="auto"/>
            <w:left w:val="none" w:sz="0" w:space="0" w:color="auto"/>
            <w:bottom w:val="none" w:sz="0" w:space="0" w:color="auto"/>
            <w:right w:val="none" w:sz="0" w:space="0" w:color="auto"/>
          </w:divBdr>
        </w:div>
      </w:divsChild>
    </w:div>
    <w:div w:id="873539761">
      <w:bodyDiv w:val="1"/>
      <w:marLeft w:val="0"/>
      <w:marRight w:val="0"/>
      <w:marTop w:val="0"/>
      <w:marBottom w:val="0"/>
      <w:divBdr>
        <w:top w:val="none" w:sz="0" w:space="0" w:color="auto"/>
        <w:left w:val="none" w:sz="0" w:space="0" w:color="auto"/>
        <w:bottom w:val="none" w:sz="0" w:space="0" w:color="auto"/>
        <w:right w:val="none" w:sz="0" w:space="0" w:color="auto"/>
      </w:divBdr>
    </w:div>
    <w:div w:id="886599072">
      <w:bodyDiv w:val="1"/>
      <w:marLeft w:val="0"/>
      <w:marRight w:val="0"/>
      <w:marTop w:val="0"/>
      <w:marBottom w:val="0"/>
      <w:divBdr>
        <w:top w:val="none" w:sz="0" w:space="0" w:color="auto"/>
        <w:left w:val="none" w:sz="0" w:space="0" w:color="auto"/>
        <w:bottom w:val="none" w:sz="0" w:space="0" w:color="auto"/>
        <w:right w:val="none" w:sz="0" w:space="0" w:color="auto"/>
      </w:divBdr>
    </w:div>
    <w:div w:id="990404731">
      <w:bodyDiv w:val="1"/>
      <w:marLeft w:val="0"/>
      <w:marRight w:val="0"/>
      <w:marTop w:val="0"/>
      <w:marBottom w:val="0"/>
      <w:divBdr>
        <w:top w:val="none" w:sz="0" w:space="0" w:color="auto"/>
        <w:left w:val="none" w:sz="0" w:space="0" w:color="auto"/>
        <w:bottom w:val="none" w:sz="0" w:space="0" w:color="auto"/>
        <w:right w:val="none" w:sz="0" w:space="0" w:color="auto"/>
      </w:divBdr>
    </w:div>
    <w:div w:id="1080254103">
      <w:bodyDiv w:val="1"/>
      <w:marLeft w:val="0"/>
      <w:marRight w:val="0"/>
      <w:marTop w:val="0"/>
      <w:marBottom w:val="0"/>
      <w:divBdr>
        <w:top w:val="none" w:sz="0" w:space="0" w:color="auto"/>
        <w:left w:val="none" w:sz="0" w:space="0" w:color="auto"/>
        <w:bottom w:val="none" w:sz="0" w:space="0" w:color="auto"/>
        <w:right w:val="none" w:sz="0" w:space="0" w:color="auto"/>
      </w:divBdr>
    </w:div>
    <w:div w:id="1087580187">
      <w:bodyDiv w:val="1"/>
      <w:marLeft w:val="0"/>
      <w:marRight w:val="0"/>
      <w:marTop w:val="0"/>
      <w:marBottom w:val="0"/>
      <w:divBdr>
        <w:top w:val="none" w:sz="0" w:space="0" w:color="auto"/>
        <w:left w:val="none" w:sz="0" w:space="0" w:color="auto"/>
        <w:bottom w:val="none" w:sz="0" w:space="0" w:color="auto"/>
        <w:right w:val="none" w:sz="0" w:space="0" w:color="auto"/>
      </w:divBdr>
    </w:div>
    <w:div w:id="1109662822">
      <w:bodyDiv w:val="1"/>
      <w:marLeft w:val="0"/>
      <w:marRight w:val="0"/>
      <w:marTop w:val="0"/>
      <w:marBottom w:val="0"/>
      <w:divBdr>
        <w:top w:val="none" w:sz="0" w:space="0" w:color="auto"/>
        <w:left w:val="none" w:sz="0" w:space="0" w:color="auto"/>
        <w:bottom w:val="none" w:sz="0" w:space="0" w:color="auto"/>
        <w:right w:val="none" w:sz="0" w:space="0" w:color="auto"/>
      </w:divBdr>
    </w:div>
    <w:div w:id="1125347325">
      <w:bodyDiv w:val="1"/>
      <w:marLeft w:val="0"/>
      <w:marRight w:val="0"/>
      <w:marTop w:val="0"/>
      <w:marBottom w:val="0"/>
      <w:divBdr>
        <w:top w:val="none" w:sz="0" w:space="0" w:color="auto"/>
        <w:left w:val="none" w:sz="0" w:space="0" w:color="auto"/>
        <w:bottom w:val="none" w:sz="0" w:space="0" w:color="auto"/>
        <w:right w:val="none" w:sz="0" w:space="0" w:color="auto"/>
      </w:divBdr>
    </w:div>
    <w:div w:id="1134132758">
      <w:bodyDiv w:val="1"/>
      <w:marLeft w:val="0"/>
      <w:marRight w:val="0"/>
      <w:marTop w:val="0"/>
      <w:marBottom w:val="0"/>
      <w:divBdr>
        <w:top w:val="none" w:sz="0" w:space="0" w:color="auto"/>
        <w:left w:val="none" w:sz="0" w:space="0" w:color="auto"/>
        <w:bottom w:val="none" w:sz="0" w:space="0" w:color="auto"/>
        <w:right w:val="none" w:sz="0" w:space="0" w:color="auto"/>
      </w:divBdr>
    </w:div>
    <w:div w:id="1450272115">
      <w:bodyDiv w:val="1"/>
      <w:marLeft w:val="0"/>
      <w:marRight w:val="0"/>
      <w:marTop w:val="0"/>
      <w:marBottom w:val="0"/>
      <w:divBdr>
        <w:top w:val="none" w:sz="0" w:space="0" w:color="auto"/>
        <w:left w:val="none" w:sz="0" w:space="0" w:color="auto"/>
        <w:bottom w:val="none" w:sz="0" w:space="0" w:color="auto"/>
        <w:right w:val="none" w:sz="0" w:space="0" w:color="auto"/>
      </w:divBdr>
    </w:div>
    <w:div w:id="1470047261">
      <w:bodyDiv w:val="1"/>
      <w:marLeft w:val="0"/>
      <w:marRight w:val="0"/>
      <w:marTop w:val="0"/>
      <w:marBottom w:val="0"/>
      <w:divBdr>
        <w:top w:val="none" w:sz="0" w:space="0" w:color="auto"/>
        <w:left w:val="none" w:sz="0" w:space="0" w:color="auto"/>
        <w:bottom w:val="none" w:sz="0" w:space="0" w:color="auto"/>
        <w:right w:val="none" w:sz="0" w:space="0" w:color="auto"/>
      </w:divBdr>
    </w:div>
    <w:div w:id="1783646906">
      <w:bodyDiv w:val="1"/>
      <w:marLeft w:val="0"/>
      <w:marRight w:val="0"/>
      <w:marTop w:val="0"/>
      <w:marBottom w:val="0"/>
      <w:divBdr>
        <w:top w:val="none" w:sz="0" w:space="0" w:color="auto"/>
        <w:left w:val="none" w:sz="0" w:space="0" w:color="auto"/>
        <w:bottom w:val="none" w:sz="0" w:space="0" w:color="auto"/>
        <w:right w:val="none" w:sz="0" w:space="0" w:color="auto"/>
      </w:divBdr>
    </w:div>
    <w:div w:id="1904214650">
      <w:bodyDiv w:val="1"/>
      <w:marLeft w:val="0"/>
      <w:marRight w:val="0"/>
      <w:marTop w:val="0"/>
      <w:marBottom w:val="0"/>
      <w:divBdr>
        <w:top w:val="none" w:sz="0" w:space="0" w:color="auto"/>
        <w:left w:val="none" w:sz="0" w:space="0" w:color="auto"/>
        <w:bottom w:val="none" w:sz="0" w:space="0" w:color="auto"/>
        <w:right w:val="none" w:sz="0" w:space="0" w:color="auto"/>
      </w:divBdr>
    </w:div>
    <w:div w:id="1955668129">
      <w:bodyDiv w:val="1"/>
      <w:marLeft w:val="0"/>
      <w:marRight w:val="0"/>
      <w:marTop w:val="0"/>
      <w:marBottom w:val="0"/>
      <w:divBdr>
        <w:top w:val="none" w:sz="0" w:space="0" w:color="auto"/>
        <w:left w:val="none" w:sz="0" w:space="0" w:color="auto"/>
        <w:bottom w:val="none" w:sz="0" w:space="0" w:color="auto"/>
        <w:right w:val="none" w:sz="0" w:space="0" w:color="auto"/>
      </w:divBdr>
    </w:div>
    <w:div w:id="2041515363">
      <w:bodyDiv w:val="1"/>
      <w:marLeft w:val="0"/>
      <w:marRight w:val="0"/>
      <w:marTop w:val="0"/>
      <w:marBottom w:val="0"/>
      <w:divBdr>
        <w:top w:val="none" w:sz="0" w:space="0" w:color="auto"/>
        <w:left w:val="none" w:sz="0" w:space="0" w:color="auto"/>
        <w:bottom w:val="none" w:sz="0" w:space="0" w:color="auto"/>
        <w:right w:val="none" w:sz="0" w:space="0" w:color="auto"/>
      </w:divBdr>
    </w:div>
    <w:div w:id="209932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itu.int/go/wtdc25-final-report" TargetMode="Externa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tu.int/md/D26-TDAG33-C-0002/en" TargetMode="Externa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itu.int/go/wtdc25-final-report"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29399490-13b9-4c73-b71e-403b715b75a7">
      <UserInfo>
        <DisplayName>Teltscher, Susan</DisplayName>
        <AccountId>173</AccountId>
        <AccountType/>
      </UserInfo>
      <UserInfo>
        <DisplayName>Pellet, Celia</DisplayName>
        <AccountId>246</AccountId>
        <AccountType/>
      </UserInfo>
      <UserInfo>
        <DisplayName>Letamo, Halima</DisplayName>
        <AccountId>42</AccountId>
        <AccountType/>
      </UserInfo>
      <UserInfo>
        <DisplayName>Bereaux, Stephen</DisplayName>
        <AccountId>50</AccountId>
        <AccountType/>
      </UserInfo>
      <UserInfo>
        <DisplayName>Lozanova, Youlia</DisplayName>
        <AccountId>78</AccountId>
        <AccountType/>
      </UserInfo>
      <UserInfo>
        <DisplayName>Darwish, Adel</DisplayName>
        <AccountId>119</AccountId>
        <AccountType/>
      </UserInfo>
      <UserInfo>
        <DisplayName>Ramos, Bruno</DisplayName>
        <AccountId>72</AccountId>
        <AccountType/>
      </UserInfo>
      <UserInfo>
        <DisplayName>Gray, Vanessa</DisplayName>
        <AccountId>146</AccountId>
        <AccountType/>
      </UserInfo>
      <UserInfo>
        <DisplayName>Eskandar, Hani</DisplayName>
        <AccountId>150</AccountId>
        <AccountType/>
      </UserInfo>
      <UserInfo>
        <DisplayName>Ba, Mohamed</DisplayName>
        <AccountId>216</AccountId>
        <AccountType/>
      </UserInfo>
      <UserInfo>
        <DisplayName>Osmani, Orhan</DisplayName>
        <AccountId>36</AccountId>
        <AccountType/>
      </UserInfo>
      <UserInfo>
        <DisplayName>Widmer-Iliescu, Roxana</DisplayName>
        <AccountId>178</AccountId>
        <AccountType/>
      </UserInfo>
      <UserInfo>
        <DisplayName>Poll Ahrens, Sylvia</DisplayName>
        <AccountId>40</AccountId>
        <AccountType/>
      </UserInfo>
      <UserInfo>
        <DisplayName>Mathlouthi, Walid</DisplayName>
        <AccountId>618</AccountId>
        <AccountType/>
      </UserInfo>
      <UserInfo>
        <DisplayName>Geiger, Thierry</DisplayName>
        <AccountId>124</AccountId>
        <AccountType/>
      </UserInfo>
      <UserInfo>
        <DisplayName>Maddens, Sofie</DisplayName>
        <AccountId>73</AccountId>
        <AccountType/>
      </UserInfo>
      <UserInfo>
        <DisplayName>Sundberg, Nancy</DisplayName>
        <AccountId>435</AccountId>
        <AccountType/>
      </UserInfo>
      <UserInfo>
        <DisplayName>Comas Barnes, Maite</DisplayName>
        <AccountId>11</AccountId>
        <AccountType/>
      </UserInfo>
    </SharedWithUsers>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6AC5D9-D35A-45A0-9435-7DCA3CC18D46}">
  <ds:schemaRefs>
    <ds:schemaRef ds:uri="http://schemas.openxmlformats.org/officeDocument/2006/bibliography"/>
  </ds:schemaRefs>
</ds:datastoreItem>
</file>

<file path=customXml/itemProps2.xml><?xml version="1.0" encoding="utf-8"?>
<ds:datastoreItem xmlns:ds="http://schemas.openxmlformats.org/officeDocument/2006/customXml" ds:itemID="{9AFAE85C-427E-4650-80F3-97159ACDC249}">
  <ds:schemaRefs>
    <ds:schemaRef ds:uri="http://schemas.microsoft.com/office/2006/metadata/properties"/>
    <ds:schemaRef ds:uri="http://schemas.microsoft.com/office/infopath/2007/PartnerControls"/>
    <ds:schemaRef ds:uri="29399490-13b9-4c73-b71e-403b715b75a7"/>
    <ds:schemaRef ds:uri="d4ea696a-cca3-460b-a983-57ac2621983a"/>
  </ds:schemaRefs>
</ds:datastoreItem>
</file>

<file path=customXml/itemProps3.xml><?xml version="1.0" encoding="utf-8"?>
<ds:datastoreItem xmlns:ds="http://schemas.openxmlformats.org/officeDocument/2006/customXml" ds:itemID="{F2A5239D-C9AA-42A2-9332-8E8D3B817007}">
  <ds:schemaRefs>
    <ds:schemaRef ds:uri="http://schemas.microsoft.com/sharepoint/v3/contenttype/forms"/>
  </ds:schemaRefs>
</ds:datastoreItem>
</file>

<file path=customXml/itemProps4.xml><?xml version="1.0" encoding="utf-8"?>
<ds:datastoreItem xmlns:ds="http://schemas.openxmlformats.org/officeDocument/2006/customXml" ds:itemID="{952673C3-8A89-4164-9A8E-A56F522CD3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19</Pages>
  <Words>4267</Words>
  <Characters>24326</Characters>
  <Application>Microsoft Office Word</Application>
  <DocSecurity>0</DocSecurity>
  <Lines>202</Lines>
  <Paragraphs>57</Paragraphs>
  <ScaleCrop>false</ScaleCrop>
  <Manager>General Secretariat - Pool</Manager>
  <Company>International Telecommunication Union (ITU)</Company>
  <LinksUpToDate>false</LinksUpToDate>
  <CharactersWithSpaces>28536</CharactersWithSpaces>
  <SharedDoc>false</SharedDoc>
  <HLinks>
    <vt:vector size="72" baseType="variant">
      <vt:variant>
        <vt:i4>5505118</vt:i4>
      </vt:variant>
      <vt:variant>
        <vt:i4>6</vt:i4>
      </vt:variant>
      <vt:variant>
        <vt:i4>0</vt:i4>
      </vt:variant>
      <vt:variant>
        <vt:i4>5</vt:i4>
      </vt:variant>
      <vt:variant>
        <vt:lpwstr>http://itu.int/go/wtdc25-final-report</vt:lpwstr>
      </vt:variant>
      <vt:variant>
        <vt:lpwstr/>
      </vt:variant>
      <vt:variant>
        <vt:i4>5505118</vt:i4>
      </vt:variant>
      <vt:variant>
        <vt:i4>3</vt:i4>
      </vt:variant>
      <vt:variant>
        <vt:i4>0</vt:i4>
      </vt:variant>
      <vt:variant>
        <vt:i4>5</vt:i4>
      </vt:variant>
      <vt:variant>
        <vt:lpwstr>http://itu.int/go/wtdc25-final-report</vt:lpwstr>
      </vt:variant>
      <vt:variant>
        <vt:lpwstr/>
      </vt:variant>
      <vt:variant>
        <vt:i4>2359392</vt:i4>
      </vt:variant>
      <vt:variant>
        <vt:i4>0</vt:i4>
      </vt:variant>
      <vt:variant>
        <vt:i4>0</vt:i4>
      </vt:variant>
      <vt:variant>
        <vt:i4>5</vt:i4>
      </vt:variant>
      <vt:variant>
        <vt:lpwstr>https://www.itu.int/md/D26-TDAG33-C-0002/en</vt:lpwstr>
      </vt:variant>
      <vt:variant>
        <vt:lpwstr/>
      </vt:variant>
      <vt:variant>
        <vt:i4>6815806</vt:i4>
      </vt:variant>
      <vt:variant>
        <vt:i4>6</vt:i4>
      </vt:variant>
      <vt:variant>
        <vt:i4>0</vt:i4>
      </vt:variant>
      <vt:variant>
        <vt:i4>5</vt:i4>
      </vt:variant>
      <vt:variant>
        <vt:lpwstr>http://www.itu.int/ITU-D/TDAG/</vt:lpwstr>
      </vt:variant>
      <vt:variant>
        <vt:lpwstr/>
      </vt:variant>
      <vt:variant>
        <vt:i4>7012376</vt:i4>
      </vt:variant>
      <vt:variant>
        <vt:i4>3</vt:i4>
      </vt:variant>
      <vt:variant>
        <vt:i4>0</vt:i4>
      </vt:variant>
      <vt:variant>
        <vt:i4>5</vt:i4>
      </vt:variant>
      <vt:variant>
        <vt:lpwstr>mailto:archana.gulati@itu.int</vt:lpwstr>
      </vt:variant>
      <vt:variant>
        <vt:lpwstr/>
      </vt:variant>
      <vt:variant>
        <vt:i4>3670105</vt:i4>
      </vt:variant>
      <vt:variant>
        <vt:i4>18</vt:i4>
      </vt:variant>
      <vt:variant>
        <vt:i4>0</vt:i4>
      </vt:variant>
      <vt:variant>
        <vt:i4>5</vt:i4>
      </vt:variant>
      <vt:variant>
        <vt:lpwstr>mailto:Florence.Tunzi@itu.int</vt:lpwstr>
      </vt:variant>
      <vt:variant>
        <vt:lpwstr/>
      </vt:variant>
      <vt:variant>
        <vt:i4>5111850</vt:i4>
      </vt:variant>
      <vt:variant>
        <vt:i4>15</vt:i4>
      </vt:variant>
      <vt:variant>
        <vt:i4>0</vt:i4>
      </vt:variant>
      <vt:variant>
        <vt:i4>5</vt:i4>
      </vt:variant>
      <vt:variant>
        <vt:lpwstr>mailto:atsuko.okuda@itu.int</vt:lpwstr>
      </vt:variant>
      <vt:variant>
        <vt:lpwstr/>
      </vt:variant>
      <vt:variant>
        <vt:i4>5701681</vt:i4>
      </vt:variant>
      <vt:variant>
        <vt:i4>12</vt:i4>
      </vt:variant>
      <vt:variant>
        <vt:i4>0</vt:i4>
      </vt:variant>
      <vt:variant>
        <vt:i4>5</vt:i4>
      </vt:variant>
      <vt:variant>
        <vt:lpwstr>mailto:jody.van@itu.int</vt:lpwstr>
      </vt:variant>
      <vt:variant>
        <vt:lpwstr/>
      </vt:variant>
      <vt:variant>
        <vt:i4>7012382</vt:i4>
      </vt:variant>
      <vt:variant>
        <vt:i4>9</vt:i4>
      </vt:variant>
      <vt:variant>
        <vt:i4>0</vt:i4>
      </vt:variant>
      <vt:variant>
        <vt:i4>5</vt:i4>
      </vt:variant>
      <vt:variant>
        <vt:lpwstr>mailto:thierry.geiger@itu.int</vt:lpwstr>
      </vt:variant>
      <vt:variant>
        <vt:lpwstr/>
      </vt:variant>
      <vt:variant>
        <vt:i4>3670105</vt:i4>
      </vt:variant>
      <vt:variant>
        <vt:i4>6</vt:i4>
      </vt:variant>
      <vt:variant>
        <vt:i4>0</vt:i4>
      </vt:variant>
      <vt:variant>
        <vt:i4>5</vt:i4>
      </vt:variant>
      <vt:variant>
        <vt:lpwstr>mailto:Florence.Tunzi@itu.int</vt:lpwstr>
      </vt:variant>
      <vt:variant>
        <vt:lpwstr/>
      </vt:variant>
      <vt:variant>
        <vt:i4>65634</vt:i4>
      </vt:variant>
      <vt:variant>
        <vt:i4>3</vt:i4>
      </vt:variant>
      <vt:variant>
        <vt:i4>0</vt:i4>
      </vt:variant>
      <vt:variant>
        <vt:i4>5</vt:i4>
      </vt:variant>
      <vt:variant>
        <vt:lpwstr>mailto:walid.mathlouthi@itu.int</vt:lpwstr>
      </vt:variant>
      <vt:variant>
        <vt:lpwstr/>
      </vt:variant>
      <vt:variant>
        <vt:i4>7012376</vt:i4>
      </vt:variant>
      <vt:variant>
        <vt:i4>0</vt:i4>
      </vt:variant>
      <vt:variant>
        <vt:i4>0</vt:i4>
      </vt:variant>
      <vt:variant>
        <vt:i4>5</vt:i4>
      </vt:variant>
      <vt:variant>
        <vt:lpwstr>mailto:archana.gulati@itu.int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TDAG19</dc:title>
  <dc:subject/>
  <dc:creator>BDT-nd</dc:creator>
  <cp:keywords/>
  <cp:lastModifiedBy>BDT-ND</cp:lastModifiedBy>
  <cp:revision>578</cp:revision>
  <cp:lastPrinted>2014-11-05T12:22:00Z</cp:lastPrinted>
  <dcterms:created xsi:type="dcterms:W3CDTF">2026-01-30T00:15:00Z</dcterms:created>
  <dcterms:modified xsi:type="dcterms:W3CDTF">2026-03-03T16:25:00Z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1/001-E</vt:lpwstr>
  </property>
  <property fmtid="{D5CDD505-2E9C-101B-9397-08002B2CF9AE}" pid="3" name="Docdate">
    <vt:lpwstr>[Date]</vt:lpwstr>
  </property>
  <property fmtid="{D5CDD505-2E9C-101B-9397-08002B2CF9AE}" pid="4" name="Docorlang">
    <vt:lpwstr>For action</vt:lpwstr>
  </property>
  <property fmtid="{D5CDD505-2E9C-101B-9397-08002B2CF9AE}" pid="5" name="Docdest">
    <vt:lpwstr/>
  </property>
  <property fmtid="{D5CDD505-2E9C-101B-9397-08002B2CF9AE}" pid="6" name="Docauthor">
    <vt:lpwstr>[Insert here]</vt:lpwstr>
  </property>
  <property fmtid="{D5CDD505-2E9C-101B-9397-08002B2CF9AE}" pid="7" name="Docbluepink">
    <vt:lpwstr/>
  </property>
  <property fmtid="{D5CDD505-2E9C-101B-9397-08002B2CF9AE}" pid="8" name="ContentTypeId">
    <vt:lpwstr>0x0101000421F7F6C5263B4B928A068E40912AB8</vt:lpwstr>
  </property>
  <property fmtid="{D5CDD505-2E9C-101B-9397-08002B2CF9AE}" pid="9" name="GrammarlyDocumentId">
    <vt:lpwstr>ef3ce6809cea63dc5293ba02acaf9dca353c28c58cceff8ea1cda81649148b24</vt:lpwstr>
  </property>
  <property fmtid="{D5CDD505-2E9C-101B-9397-08002B2CF9AE}" pid="10" name="MediaServiceImageTags">
    <vt:lpwstr/>
  </property>
  <property fmtid="{D5CDD505-2E9C-101B-9397-08002B2CF9AE}" pid="11" name="docLang">
    <vt:lpwstr>en</vt:lpwstr>
  </property>
</Properties>
</file>