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379"/>
        <w:gridCol w:w="3509"/>
      </w:tblGrid>
      <w:tr w:rsidR="00F7434A" w:rsidRPr="00A42E8B" w14:paraId="3F0E9EC4" w14:textId="77777777" w:rsidTr="00F7434A">
        <w:trPr>
          <w:cantSplit/>
          <w:trHeight w:val="1134"/>
        </w:trPr>
        <w:tc>
          <w:tcPr>
            <w:tcW w:w="6379" w:type="dxa"/>
          </w:tcPr>
          <w:p w14:paraId="3C20C75B" w14:textId="77777777" w:rsidR="00F7434A" w:rsidRPr="00A42E8B" w:rsidRDefault="00F7434A" w:rsidP="004037AF">
            <w:pPr>
              <w:tabs>
                <w:tab w:val="clear" w:pos="1191"/>
                <w:tab w:val="clear" w:pos="1588"/>
                <w:tab w:val="clear" w:pos="1985"/>
              </w:tabs>
              <w:spacing w:before="240" w:after="240"/>
              <w:ind w:left="34"/>
              <w:rPr>
                <w:b/>
                <w:bCs/>
                <w:sz w:val="32"/>
                <w:szCs w:val="32"/>
                <w:lang w:val="fr-FR"/>
              </w:rPr>
            </w:pPr>
            <w:r w:rsidRPr="00A42E8B">
              <w:rPr>
                <w:b/>
                <w:bCs/>
                <w:sz w:val="32"/>
                <w:szCs w:val="32"/>
                <w:lang w:val="fr-FR"/>
              </w:rPr>
              <w:t xml:space="preserve">Groupe consultatif pour le développement </w:t>
            </w:r>
            <w:r w:rsidRPr="00A42E8B">
              <w:rPr>
                <w:b/>
                <w:bCs/>
                <w:sz w:val="32"/>
                <w:szCs w:val="32"/>
                <w:lang w:val="fr-FR"/>
              </w:rPr>
              <w:br/>
              <w:t>des télécommunications (GCDT)</w:t>
            </w:r>
          </w:p>
          <w:p w14:paraId="5F5F590A" w14:textId="39E36666" w:rsidR="00F7434A" w:rsidRPr="00A42E8B" w:rsidRDefault="00F7434A" w:rsidP="001011EB">
            <w:pPr>
              <w:tabs>
                <w:tab w:val="clear" w:pos="1191"/>
                <w:tab w:val="clear" w:pos="1588"/>
                <w:tab w:val="clear" w:pos="1985"/>
              </w:tabs>
              <w:spacing w:after="120"/>
              <w:ind w:left="34"/>
              <w:rPr>
                <w:rFonts w:ascii="Verdana" w:hAnsi="Verdana"/>
                <w:sz w:val="28"/>
                <w:szCs w:val="28"/>
                <w:lang w:val="fr-FR"/>
              </w:rPr>
            </w:pPr>
            <w:r w:rsidRPr="00A42E8B">
              <w:rPr>
                <w:b/>
                <w:bCs/>
                <w:sz w:val="26"/>
                <w:szCs w:val="26"/>
                <w:lang w:val="fr-FR"/>
              </w:rPr>
              <w:t>33ème réunion, Genève, Suisse, 7-10 avril 2026</w:t>
            </w:r>
          </w:p>
        </w:tc>
        <w:tc>
          <w:tcPr>
            <w:tcW w:w="3509" w:type="dxa"/>
          </w:tcPr>
          <w:p w14:paraId="67E7B4C4" w14:textId="0F52E4CC" w:rsidR="00F7434A" w:rsidRPr="00A42E8B" w:rsidRDefault="00F7434A" w:rsidP="00946023">
            <w:pPr>
              <w:spacing w:before="240" w:after="120"/>
              <w:ind w:right="142"/>
              <w:jc w:val="right"/>
              <w:rPr>
                <w:lang w:val="fr-FR"/>
              </w:rPr>
            </w:pPr>
            <w:r w:rsidRPr="00A42E8B">
              <w:rPr>
                <w:noProof/>
                <w:lang w:val="fr-FR" w:eastAsia="en-GB"/>
              </w:rPr>
              <w:drawing>
                <wp:inline distT="0" distB="0" distL="0" distR="0" wp14:anchorId="7A20172F" wp14:editId="75B43B9A">
                  <wp:extent cx="712470" cy="785496"/>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4296" cy="787509"/>
                          </a:xfrm>
                          <a:prstGeom prst="rect">
                            <a:avLst/>
                          </a:prstGeom>
                        </pic:spPr>
                      </pic:pic>
                    </a:graphicData>
                  </a:graphic>
                </wp:inline>
              </w:drawing>
            </w:r>
          </w:p>
        </w:tc>
      </w:tr>
      <w:tr w:rsidR="00683C32" w:rsidRPr="00A42E8B" w14:paraId="3C13197B" w14:textId="77777777" w:rsidTr="0009076F">
        <w:trPr>
          <w:cantSplit/>
        </w:trPr>
        <w:tc>
          <w:tcPr>
            <w:tcW w:w="6379" w:type="dxa"/>
            <w:tcBorders>
              <w:top w:val="single" w:sz="12" w:space="0" w:color="auto"/>
            </w:tcBorders>
          </w:tcPr>
          <w:p w14:paraId="2EED9DB2" w14:textId="77777777" w:rsidR="00683C32" w:rsidRPr="00A42E8B" w:rsidRDefault="00683C32" w:rsidP="00107E85">
            <w:pPr>
              <w:spacing w:before="0"/>
              <w:rPr>
                <w:rFonts w:cs="Arial"/>
                <w:b/>
                <w:bCs/>
                <w:sz w:val="20"/>
                <w:lang w:val="fr-FR"/>
              </w:rPr>
            </w:pPr>
          </w:p>
        </w:tc>
        <w:tc>
          <w:tcPr>
            <w:tcW w:w="3509" w:type="dxa"/>
            <w:tcBorders>
              <w:top w:val="single" w:sz="12" w:space="0" w:color="auto"/>
            </w:tcBorders>
          </w:tcPr>
          <w:p w14:paraId="6CC77CFE" w14:textId="77777777" w:rsidR="00683C32" w:rsidRPr="00A42E8B" w:rsidRDefault="00683C32" w:rsidP="00107E85">
            <w:pPr>
              <w:spacing w:before="0"/>
              <w:rPr>
                <w:b/>
                <w:bCs/>
                <w:sz w:val="20"/>
                <w:lang w:val="fr-FR"/>
              </w:rPr>
            </w:pPr>
          </w:p>
        </w:tc>
      </w:tr>
      <w:tr w:rsidR="00683C32" w:rsidRPr="00A42E8B" w14:paraId="0BB3FBC4" w14:textId="77777777" w:rsidTr="0009076F">
        <w:trPr>
          <w:cantSplit/>
        </w:trPr>
        <w:tc>
          <w:tcPr>
            <w:tcW w:w="6379" w:type="dxa"/>
          </w:tcPr>
          <w:p w14:paraId="43C54B3D" w14:textId="77777777" w:rsidR="00683C32" w:rsidRPr="00A42E8B" w:rsidRDefault="00683C32" w:rsidP="00400CCF">
            <w:pPr>
              <w:pStyle w:val="Committee"/>
              <w:spacing w:before="0"/>
              <w:rPr>
                <w:b w:val="0"/>
                <w:szCs w:val="24"/>
                <w:lang w:val="fr-FR"/>
              </w:rPr>
            </w:pPr>
          </w:p>
        </w:tc>
        <w:tc>
          <w:tcPr>
            <w:tcW w:w="3509" w:type="dxa"/>
          </w:tcPr>
          <w:p w14:paraId="02E44EE9" w14:textId="460DDF7C" w:rsidR="00683C32" w:rsidRPr="00A42E8B" w:rsidRDefault="0096201B" w:rsidP="00E25345">
            <w:pPr>
              <w:spacing w:before="0"/>
              <w:jc w:val="both"/>
              <w:rPr>
                <w:bCs/>
                <w:szCs w:val="24"/>
                <w:lang w:val="fr-FR"/>
              </w:rPr>
            </w:pPr>
            <w:r w:rsidRPr="00A42E8B">
              <w:rPr>
                <w:b/>
                <w:bCs/>
                <w:lang w:val="fr-FR"/>
              </w:rPr>
              <w:t xml:space="preserve">Document </w:t>
            </w:r>
            <w:bookmarkStart w:id="0" w:name="DocRef1"/>
            <w:bookmarkEnd w:id="0"/>
            <w:r w:rsidRPr="00A42E8B">
              <w:rPr>
                <w:b/>
                <w:bCs/>
                <w:lang w:val="fr-FR"/>
              </w:rPr>
              <w:t>TDAG</w:t>
            </w:r>
            <w:r w:rsidR="003242AB" w:rsidRPr="00A42E8B">
              <w:rPr>
                <w:b/>
                <w:bCs/>
                <w:lang w:val="fr-FR"/>
              </w:rPr>
              <w:t>-</w:t>
            </w:r>
            <w:r w:rsidR="00B648C7" w:rsidRPr="00A42E8B">
              <w:rPr>
                <w:b/>
                <w:bCs/>
                <w:lang w:val="fr-FR"/>
              </w:rPr>
              <w:t>2</w:t>
            </w:r>
            <w:bookmarkStart w:id="1" w:name="DocNo1"/>
            <w:bookmarkEnd w:id="1"/>
            <w:r w:rsidR="00F7434A" w:rsidRPr="00A42E8B">
              <w:rPr>
                <w:b/>
                <w:bCs/>
                <w:lang w:val="fr-FR"/>
              </w:rPr>
              <w:t>6</w:t>
            </w:r>
            <w:r w:rsidR="0009076F" w:rsidRPr="00A42E8B">
              <w:rPr>
                <w:b/>
                <w:bCs/>
                <w:lang w:val="fr-FR"/>
              </w:rPr>
              <w:t>/</w:t>
            </w:r>
            <w:r w:rsidR="004B3EC1">
              <w:rPr>
                <w:b/>
                <w:bCs/>
                <w:lang w:val="fr-FR"/>
              </w:rPr>
              <w:t>2</w:t>
            </w:r>
            <w:r w:rsidRPr="00A42E8B">
              <w:rPr>
                <w:b/>
                <w:bCs/>
                <w:lang w:val="fr-FR"/>
              </w:rPr>
              <w:t>-</w:t>
            </w:r>
            <w:r w:rsidR="00E25345" w:rsidRPr="00A42E8B">
              <w:rPr>
                <w:b/>
                <w:bCs/>
                <w:lang w:val="fr-FR"/>
              </w:rPr>
              <w:t>F</w:t>
            </w:r>
          </w:p>
        </w:tc>
      </w:tr>
      <w:tr w:rsidR="00683C32" w:rsidRPr="00A42E8B" w14:paraId="24D04936" w14:textId="77777777" w:rsidTr="0009076F">
        <w:trPr>
          <w:cantSplit/>
        </w:trPr>
        <w:tc>
          <w:tcPr>
            <w:tcW w:w="6379" w:type="dxa"/>
          </w:tcPr>
          <w:p w14:paraId="12CE4DBF" w14:textId="77777777" w:rsidR="00683C32" w:rsidRPr="00A42E8B" w:rsidRDefault="00683C32" w:rsidP="00400CCF">
            <w:pPr>
              <w:spacing w:before="0"/>
              <w:rPr>
                <w:b/>
                <w:bCs/>
                <w:smallCaps/>
                <w:szCs w:val="24"/>
                <w:lang w:val="fr-FR"/>
              </w:rPr>
            </w:pPr>
          </w:p>
        </w:tc>
        <w:tc>
          <w:tcPr>
            <w:tcW w:w="3509" w:type="dxa"/>
          </w:tcPr>
          <w:p w14:paraId="0F89640F" w14:textId="45F1E83B" w:rsidR="00683C32" w:rsidRPr="00A42E8B" w:rsidRDefault="004B3EC1" w:rsidP="00B648C7">
            <w:pPr>
              <w:spacing w:before="0"/>
              <w:rPr>
                <w:b/>
                <w:szCs w:val="24"/>
                <w:lang w:val="fr-FR"/>
              </w:rPr>
            </w:pPr>
            <w:bookmarkStart w:id="2" w:name="CreationDate"/>
            <w:bookmarkEnd w:id="2"/>
            <w:r>
              <w:rPr>
                <w:b/>
                <w:bCs/>
                <w:szCs w:val="28"/>
                <w:lang w:val="fr-FR"/>
              </w:rPr>
              <w:t xml:space="preserve">3 mars </w:t>
            </w:r>
            <w:r w:rsidR="001C48D3" w:rsidRPr="00A42E8B">
              <w:rPr>
                <w:b/>
                <w:bCs/>
                <w:szCs w:val="28"/>
                <w:lang w:val="fr-FR"/>
              </w:rPr>
              <w:t>202</w:t>
            </w:r>
            <w:r w:rsidR="00F7434A" w:rsidRPr="00A42E8B">
              <w:rPr>
                <w:b/>
                <w:bCs/>
                <w:szCs w:val="28"/>
                <w:lang w:val="fr-FR"/>
              </w:rPr>
              <w:t>6</w:t>
            </w:r>
          </w:p>
        </w:tc>
      </w:tr>
      <w:tr w:rsidR="00683C32" w:rsidRPr="00A42E8B" w14:paraId="7B96545F" w14:textId="77777777" w:rsidTr="0009076F">
        <w:trPr>
          <w:cantSplit/>
        </w:trPr>
        <w:tc>
          <w:tcPr>
            <w:tcW w:w="6379" w:type="dxa"/>
          </w:tcPr>
          <w:p w14:paraId="65956FD3" w14:textId="77777777" w:rsidR="00683C32" w:rsidRPr="00A42E8B" w:rsidRDefault="00683C32" w:rsidP="00400CCF">
            <w:pPr>
              <w:spacing w:before="0"/>
              <w:rPr>
                <w:b/>
                <w:bCs/>
                <w:smallCaps/>
                <w:szCs w:val="24"/>
                <w:lang w:val="fr-FR"/>
              </w:rPr>
            </w:pPr>
          </w:p>
        </w:tc>
        <w:tc>
          <w:tcPr>
            <w:tcW w:w="3509" w:type="dxa"/>
          </w:tcPr>
          <w:p w14:paraId="30EFD39F" w14:textId="33ACFB79" w:rsidR="00514D2F" w:rsidRPr="00A42E8B" w:rsidRDefault="0096201B" w:rsidP="001011EB">
            <w:pPr>
              <w:spacing w:before="0"/>
              <w:rPr>
                <w:szCs w:val="24"/>
                <w:lang w:val="fr-FR"/>
              </w:rPr>
            </w:pPr>
            <w:r w:rsidRPr="00A42E8B">
              <w:rPr>
                <w:b/>
                <w:lang w:val="fr-FR"/>
              </w:rPr>
              <w:t>Original:</w:t>
            </w:r>
            <w:bookmarkStart w:id="3" w:name="Original"/>
            <w:bookmarkEnd w:id="3"/>
            <w:r w:rsidR="00CE0422" w:rsidRPr="00A42E8B">
              <w:rPr>
                <w:b/>
                <w:lang w:val="fr-FR"/>
              </w:rPr>
              <w:t xml:space="preserve"> </w:t>
            </w:r>
            <w:r w:rsidR="001011EB" w:rsidRPr="00A42E8B">
              <w:rPr>
                <w:b/>
                <w:lang w:val="fr-FR"/>
              </w:rPr>
              <w:t>anglais</w:t>
            </w:r>
          </w:p>
        </w:tc>
      </w:tr>
      <w:tr w:rsidR="00A13162" w:rsidRPr="008066F9" w14:paraId="31656E31" w14:textId="77777777" w:rsidTr="00107E85">
        <w:trPr>
          <w:cantSplit/>
          <w:trHeight w:val="852"/>
        </w:trPr>
        <w:tc>
          <w:tcPr>
            <w:tcW w:w="9888" w:type="dxa"/>
            <w:gridSpan w:val="2"/>
          </w:tcPr>
          <w:p w14:paraId="512FCA01" w14:textId="4B7412EF" w:rsidR="00A13162" w:rsidRPr="00A42E8B" w:rsidRDefault="004B3EC1" w:rsidP="0030353C">
            <w:pPr>
              <w:pStyle w:val="Source"/>
              <w:rPr>
                <w:lang w:val="fr-FR"/>
              </w:rPr>
            </w:pPr>
            <w:bookmarkStart w:id="4" w:name="Source"/>
            <w:bookmarkEnd w:id="4"/>
            <w:r w:rsidRPr="004B3EC1">
              <w:rPr>
                <w:lang w:val="fr-FR"/>
              </w:rPr>
              <w:t>Directeur du Bureau de développement des télécommunications</w:t>
            </w:r>
          </w:p>
        </w:tc>
      </w:tr>
      <w:tr w:rsidR="00AC6F14" w:rsidRPr="008066F9" w14:paraId="2CBD3A36" w14:textId="77777777" w:rsidTr="00107E85">
        <w:trPr>
          <w:cantSplit/>
        </w:trPr>
        <w:tc>
          <w:tcPr>
            <w:tcW w:w="9888" w:type="dxa"/>
            <w:gridSpan w:val="2"/>
          </w:tcPr>
          <w:p w14:paraId="1B4121DF" w14:textId="634BEE2C" w:rsidR="00AC6F14" w:rsidRPr="00A42E8B" w:rsidRDefault="004B3EC1" w:rsidP="001011EB">
            <w:pPr>
              <w:pStyle w:val="Title1"/>
              <w:rPr>
                <w:lang w:val="fr-FR"/>
              </w:rPr>
            </w:pPr>
            <w:bookmarkStart w:id="5" w:name="Title"/>
            <w:bookmarkEnd w:id="5"/>
            <w:r w:rsidRPr="004B3EC1">
              <w:rPr>
                <w:lang w:val="fr-FR"/>
              </w:rPr>
              <w:t xml:space="preserve">Rapport sur la mise en œuvre du Plan d'action de l'UIT-D, </w:t>
            </w:r>
            <w:r>
              <w:rPr>
                <w:lang w:val="fr-FR"/>
              </w:rPr>
              <w:br/>
            </w:r>
            <w:r w:rsidRPr="004B3EC1">
              <w:rPr>
                <w:lang w:val="fr-FR"/>
              </w:rPr>
              <w:t xml:space="preserve">la fin de la mise en œuvre du Plan d'action de Kigali </w:t>
            </w:r>
            <w:r>
              <w:rPr>
                <w:lang w:val="fr-FR"/>
              </w:rPr>
              <w:br/>
            </w:r>
            <w:r w:rsidRPr="004B3EC1">
              <w:rPr>
                <w:lang w:val="fr-FR"/>
              </w:rPr>
              <w:t xml:space="preserve">et le cadre des incidences pour la mise en œuvre </w:t>
            </w:r>
            <w:r>
              <w:rPr>
                <w:lang w:val="fr-FR"/>
              </w:rPr>
              <w:br/>
            </w:r>
            <w:r w:rsidRPr="004B3EC1">
              <w:rPr>
                <w:lang w:val="fr-FR"/>
              </w:rPr>
              <w:t>du Plan d'action de Bakou</w:t>
            </w:r>
          </w:p>
        </w:tc>
      </w:tr>
      <w:tr w:rsidR="00A721F4" w:rsidRPr="008066F9" w14:paraId="23A30231" w14:textId="77777777" w:rsidTr="00A721F4">
        <w:trPr>
          <w:cantSplit/>
        </w:trPr>
        <w:tc>
          <w:tcPr>
            <w:tcW w:w="9888" w:type="dxa"/>
            <w:gridSpan w:val="2"/>
            <w:tcBorders>
              <w:bottom w:val="single" w:sz="4" w:space="0" w:color="auto"/>
            </w:tcBorders>
          </w:tcPr>
          <w:p w14:paraId="726EE70E" w14:textId="77777777" w:rsidR="00A721F4" w:rsidRPr="00A42E8B" w:rsidRDefault="00A721F4" w:rsidP="0030353C">
            <w:pPr>
              <w:rPr>
                <w:lang w:val="fr-FR"/>
              </w:rPr>
            </w:pPr>
          </w:p>
        </w:tc>
      </w:tr>
      <w:tr w:rsidR="00A721F4" w:rsidRPr="00A42E8B" w14:paraId="590033C8" w14:textId="77777777" w:rsidTr="00A721F4">
        <w:trPr>
          <w:cantSplit/>
        </w:trPr>
        <w:tc>
          <w:tcPr>
            <w:tcW w:w="9888" w:type="dxa"/>
            <w:gridSpan w:val="2"/>
            <w:tcBorders>
              <w:top w:val="single" w:sz="4" w:space="0" w:color="auto"/>
              <w:left w:val="single" w:sz="4" w:space="0" w:color="auto"/>
              <w:bottom w:val="single" w:sz="4" w:space="0" w:color="auto"/>
              <w:right w:val="single" w:sz="4" w:space="0" w:color="auto"/>
            </w:tcBorders>
          </w:tcPr>
          <w:p w14:paraId="3F97E040" w14:textId="31B66266" w:rsidR="00A721F4" w:rsidRPr="00A42E8B" w:rsidRDefault="001011EB" w:rsidP="00EA0C51">
            <w:pPr>
              <w:spacing w:after="120"/>
              <w:rPr>
                <w:b/>
                <w:bCs/>
                <w:szCs w:val="24"/>
                <w:lang w:val="fr-FR"/>
              </w:rPr>
            </w:pPr>
            <w:r w:rsidRPr="00A42E8B">
              <w:rPr>
                <w:b/>
                <w:bCs/>
                <w:szCs w:val="24"/>
                <w:lang w:val="fr-FR"/>
              </w:rPr>
              <w:t>Résumé</w:t>
            </w:r>
            <w:r w:rsidR="00A721F4" w:rsidRPr="00A42E8B">
              <w:rPr>
                <w:b/>
                <w:bCs/>
                <w:szCs w:val="24"/>
                <w:lang w:val="fr-FR"/>
              </w:rPr>
              <w:t>:</w:t>
            </w:r>
          </w:p>
          <w:p w14:paraId="41985E25" w14:textId="6E45EABD" w:rsidR="004B3EC1" w:rsidRPr="004B3EC1" w:rsidRDefault="004B3EC1" w:rsidP="004B3EC1">
            <w:pPr>
              <w:spacing w:after="120"/>
              <w:rPr>
                <w:lang w:val="fr-FR"/>
              </w:rPr>
            </w:pPr>
            <w:r w:rsidRPr="004B3EC1">
              <w:rPr>
                <w:lang w:val="fr-FR"/>
              </w:rPr>
              <w:t>Le présent document rend compte de l'achèvement de la mise en œuvre du Plan d'action de Kigali adopté à la Conférence mondiale de développement des télécommunications de 2022 (CMDT-22) durant la période comprise entre septembre et décembre 2025. Il contient également une présentation du cadre des incidences pour la mise en œuvre du Plan d'action de Bakou, adopté à la CMDT-25 tenue à Bakou (Azerbaïdjan).</w:t>
            </w:r>
          </w:p>
          <w:p w14:paraId="4082D7E8" w14:textId="38F0B519" w:rsidR="00A721F4" w:rsidRPr="00A42E8B" w:rsidRDefault="004B3EC1" w:rsidP="004B3EC1">
            <w:pPr>
              <w:spacing w:after="120"/>
              <w:rPr>
                <w:szCs w:val="24"/>
                <w:lang w:val="fr-FR"/>
              </w:rPr>
            </w:pPr>
            <w:r w:rsidRPr="004B3EC1">
              <w:rPr>
                <w:lang w:val="fr-FR"/>
              </w:rPr>
              <w:t xml:space="preserve">On trouvera les informations concernant la fin de la mise en œuvre du Plan d'action de Kigali dans le Document </w:t>
            </w:r>
            <w:hyperlink r:id="rId12" w:history="1">
              <w:r w:rsidRPr="00C741FF">
                <w:rPr>
                  <w:rStyle w:val="Hyperlink"/>
                  <w:lang w:val="fr-FR"/>
                </w:rPr>
                <w:t>TDAG-26/2(Add.1)</w:t>
              </w:r>
            </w:hyperlink>
            <w:r w:rsidRPr="004B3EC1">
              <w:rPr>
                <w:lang w:val="fr-FR"/>
              </w:rPr>
              <w:t xml:space="preserve">, qui complète le Document </w:t>
            </w:r>
            <w:hyperlink r:id="rId13" w:history="1">
              <w:r w:rsidRPr="00C741FF">
                <w:rPr>
                  <w:rStyle w:val="Hyperlink"/>
                  <w:lang w:val="fr-FR"/>
                </w:rPr>
                <w:t>WTDC-25/2(Rév.1)</w:t>
              </w:r>
            </w:hyperlink>
            <w:r w:rsidRPr="004B3EC1">
              <w:rPr>
                <w:lang w:val="fr-FR"/>
              </w:rPr>
              <w:t>. Le cadre des incidences pour la mise en œuvre du Plan d'action de Bakou figure dans le Document</w:t>
            </w:r>
            <w:r w:rsidR="00C741FF">
              <w:rPr>
                <w:lang w:val="fr-FR"/>
              </w:rPr>
              <w:t> </w:t>
            </w:r>
            <w:hyperlink r:id="rId14" w:history="1">
              <w:r w:rsidRPr="00C741FF">
                <w:rPr>
                  <w:rStyle w:val="Hyperlink"/>
                  <w:lang w:val="fr-FR"/>
                </w:rPr>
                <w:t>TDAG</w:t>
              </w:r>
              <w:r w:rsidR="00C741FF">
                <w:rPr>
                  <w:rStyle w:val="Hyperlink"/>
                  <w:lang w:val="fr-FR"/>
                </w:rPr>
                <w:noBreakHyphen/>
              </w:r>
              <w:r w:rsidRPr="00C741FF">
                <w:rPr>
                  <w:rStyle w:val="Hyperlink"/>
                  <w:lang w:val="fr-FR"/>
                </w:rPr>
                <w:t>26/2(Add.2)</w:t>
              </w:r>
            </w:hyperlink>
            <w:r w:rsidRPr="004B3EC1">
              <w:rPr>
                <w:lang w:val="fr-FR"/>
              </w:rPr>
              <w:t>.</w:t>
            </w:r>
          </w:p>
          <w:p w14:paraId="76A1C541" w14:textId="23209CDB" w:rsidR="00A721F4" w:rsidRPr="00A42E8B" w:rsidRDefault="001011EB" w:rsidP="00EA0C51">
            <w:pPr>
              <w:spacing w:after="120"/>
              <w:rPr>
                <w:b/>
                <w:bCs/>
                <w:szCs w:val="24"/>
                <w:lang w:val="fr-FR"/>
              </w:rPr>
            </w:pPr>
            <w:r w:rsidRPr="00A42E8B">
              <w:rPr>
                <w:b/>
                <w:bCs/>
                <w:lang w:val="fr-FR"/>
              </w:rPr>
              <w:t>Suite à donner</w:t>
            </w:r>
            <w:r w:rsidR="00A721F4" w:rsidRPr="00A42E8B">
              <w:rPr>
                <w:b/>
                <w:bCs/>
                <w:lang w:val="fr-FR"/>
              </w:rPr>
              <w:t>:</w:t>
            </w:r>
          </w:p>
          <w:p w14:paraId="371956FC" w14:textId="1385AC07" w:rsidR="00A721F4" w:rsidRPr="00A42E8B" w:rsidRDefault="004B3EC1" w:rsidP="00EA0C51">
            <w:pPr>
              <w:spacing w:after="120"/>
              <w:rPr>
                <w:szCs w:val="24"/>
                <w:lang w:val="fr-FR"/>
              </w:rPr>
            </w:pPr>
            <w:r w:rsidRPr="004B3EC1">
              <w:rPr>
                <w:lang w:val="fr-FR"/>
              </w:rPr>
              <w:t>Le GCDT est invité à prendre note du présent document.</w:t>
            </w:r>
          </w:p>
          <w:p w14:paraId="622ACB80" w14:textId="39EE560D" w:rsidR="00A721F4" w:rsidRPr="00A42E8B" w:rsidRDefault="00A721F4" w:rsidP="00EA0C51">
            <w:pPr>
              <w:spacing w:after="120"/>
              <w:rPr>
                <w:b/>
                <w:bCs/>
                <w:szCs w:val="24"/>
                <w:lang w:val="fr-FR"/>
              </w:rPr>
            </w:pPr>
            <w:r w:rsidRPr="00A42E8B">
              <w:rPr>
                <w:b/>
                <w:bCs/>
                <w:szCs w:val="24"/>
                <w:lang w:val="fr-FR"/>
              </w:rPr>
              <w:t>R</w:t>
            </w:r>
            <w:r w:rsidR="001011EB" w:rsidRPr="00A42E8B">
              <w:rPr>
                <w:b/>
                <w:bCs/>
                <w:szCs w:val="24"/>
                <w:lang w:val="fr-FR"/>
              </w:rPr>
              <w:t>é</w:t>
            </w:r>
            <w:r w:rsidRPr="00A42E8B">
              <w:rPr>
                <w:b/>
                <w:bCs/>
                <w:szCs w:val="24"/>
                <w:lang w:val="fr-FR"/>
              </w:rPr>
              <w:t>f</w:t>
            </w:r>
            <w:r w:rsidR="001011EB" w:rsidRPr="00A42E8B">
              <w:rPr>
                <w:b/>
                <w:bCs/>
                <w:szCs w:val="24"/>
                <w:lang w:val="fr-FR"/>
              </w:rPr>
              <w:t>é</w:t>
            </w:r>
            <w:r w:rsidRPr="00A42E8B">
              <w:rPr>
                <w:b/>
                <w:bCs/>
                <w:szCs w:val="24"/>
                <w:lang w:val="fr-FR"/>
              </w:rPr>
              <w:t>rences:</w:t>
            </w:r>
          </w:p>
          <w:p w14:paraId="34AA15CF" w14:textId="7C136C8E" w:rsidR="00C741FF" w:rsidRPr="008066F9" w:rsidRDefault="004B3EC1" w:rsidP="004B3EC1">
            <w:pPr>
              <w:spacing w:after="120"/>
              <w:rPr>
                <w:lang w:val="fr-FR"/>
              </w:rPr>
            </w:pPr>
            <w:hyperlink r:id="rId15" w:history="1">
              <w:r w:rsidRPr="00C741FF">
                <w:rPr>
                  <w:rStyle w:val="Hyperlink"/>
                  <w:lang w:val="fr-FR"/>
                </w:rPr>
                <w:t>Plan d'action de Kigali (CMDT-22)</w:t>
              </w:r>
            </w:hyperlink>
          </w:p>
          <w:p w14:paraId="427DE78D" w14:textId="67B43E07" w:rsidR="004B3EC1" w:rsidRPr="008066F9" w:rsidRDefault="004B3EC1" w:rsidP="004B3EC1">
            <w:pPr>
              <w:spacing w:after="120"/>
            </w:pPr>
            <w:hyperlink r:id="rId16" w:history="1">
              <w:r w:rsidRPr="00C741FF">
                <w:rPr>
                  <w:rStyle w:val="Hyperlink"/>
                  <w:lang w:val="fr-FR"/>
                </w:rPr>
                <w:t>Plan d'action de Bakou (CMDT-25)</w:t>
              </w:r>
            </w:hyperlink>
          </w:p>
          <w:p w14:paraId="1ECDD20E" w14:textId="7A7A94CF" w:rsidR="00A721F4" w:rsidRPr="00C741FF" w:rsidRDefault="004B3EC1" w:rsidP="008066F9">
            <w:pPr>
              <w:spacing w:before="0" w:after="120"/>
              <w:rPr>
                <w:szCs w:val="24"/>
                <w:lang w:val="fr-FR"/>
              </w:rPr>
            </w:pPr>
            <w:hyperlink r:id="rId17" w:history="1">
              <w:r w:rsidRPr="00C741FF">
                <w:rPr>
                  <w:color w:val="000000"/>
                </w:rPr>
                <w:t xml:space="preserve">Document </w:t>
              </w:r>
              <w:r w:rsidRPr="00C741FF">
                <w:rPr>
                  <w:rStyle w:val="Hyperlink"/>
                </w:rPr>
                <w:t>WTDC-25/2(Rév.1)</w:t>
              </w:r>
            </w:hyperlink>
          </w:p>
        </w:tc>
      </w:tr>
    </w:tbl>
    <w:p w14:paraId="5B29B2A3" w14:textId="77777777" w:rsidR="00923CF1" w:rsidRPr="00A42E8B" w:rsidRDefault="00923CF1">
      <w:pPr>
        <w:tabs>
          <w:tab w:val="clear" w:pos="794"/>
          <w:tab w:val="clear" w:pos="1191"/>
          <w:tab w:val="clear" w:pos="1588"/>
          <w:tab w:val="clear" w:pos="1985"/>
        </w:tabs>
        <w:overflowPunct/>
        <w:autoSpaceDE/>
        <w:autoSpaceDN/>
        <w:adjustRightInd/>
        <w:spacing w:before="0"/>
        <w:textAlignment w:val="auto"/>
        <w:rPr>
          <w:lang w:val="fr-FR"/>
        </w:rPr>
      </w:pPr>
      <w:r w:rsidRPr="00A42E8B">
        <w:rPr>
          <w:lang w:val="fr-FR"/>
        </w:rPr>
        <w:br w:type="page"/>
      </w:r>
    </w:p>
    <w:p w14:paraId="25FC865F" w14:textId="4CBE35FB" w:rsidR="004B3EC1" w:rsidRPr="006E3A1B" w:rsidRDefault="004B3EC1" w:rsidP="004B3EC1">
      <w:pPr>
        <w:pStyle w:val="Heading1"/>
      </w:pPr>
      <w:r>
        <w:rPr>
          <w:lang w:val="fr-FR"/>
        </w:rPr>
        <w:lastRenderedPageBreak/>
        <w:t>1</w:t>
      </w:r>
      <w:r>
        <w:rPr>
          <w:lang w:val="fr-FR"/>
        </w:rPr>
        <w:tab/>
        <w:t>Introduction</w:t>
      </w:r>
    </w:p>
    <w:p w14:paraId="63BBB969" w14:textId="0CC55ABA" w:rsidR="004B3EC1" w:rsidRPr="004B3EC1" w:rsidRDefault="004B3EC1" w:rsidP="004B3EC1">
      <w:pPr>
        <w:rPr>
          <w:rFonts w:cstheme="minorBidi"/>
          <w:lang w:val="fr-FR"/>
        </w:rPr>
      </w:pPr>
      <w:r>
        <w:rPr>
          <w:lang w:val="fr-FR"/>
        </w:rPr>
        <w:t>1.1</w:t>
      </w:r>
      <w:r>
        <w:rPr>
          <w:lang w:val="fr-FR"/>
        </w:rPr>
        <w:tab/>
        <w:t>La Conférence mondiale de développement des télécommunications de 2025 (CMDT-25), qui s'est tenue à Bakou (Azerbaïdjan) du 15 au 28 novembre 2025, a adopté un plan d'action pour le Secteur du développement des télécommunications de l'Union internationale des télécommunications (UIT-D), à savoir le Plan d'action de Bakou, afin d'orienter les travaux du</w:t>
      </w:r>
      <w:r w:rsidR="0086518F">
        <w:rPr>
          <w:lang w:val="fr-FR"/>
        </w:rPr>
        <w:t> </w:t>
      </w:r>
      <w:r>
        <w:rPr>
          <w:lang w:val="fr-FR"/>
        </w:rPr>
        <w:t>Secteur pour la période 2026-2029.</w:t>
      </w:r>
    </w:p>
    <w:p w14:paraId="33C4D540" w14:textId="5FF5242B" w:rsidR="004B3EC1" w:rsidRPr="004B3EC1" w:rsidRDefault="004B3EC1" w:rsidP="004B3EC1">
      <w:pPr>
        <w:rPr>
          <w:rFonts w:cstheme="minorBidi"/>
          <w:color w:val="000000"/>
          <w:lang w:val="fr-FR"/>
        </w:rPr>
      </w:pPr>
      <w:r>
        <w:rPr>
          <w:lang w:val="fr-FR"/>
        </w:rPr>
        <w:t>1.2</w:t>
      </w:r>
      <w:r>
        <w:rPr>
          <w:lang w:val="fr-FR"/>
        </w:rPr>
        <w:tab/>
        <w:t>Sur la base des priorités thématiques, des offres de produits et de services et des catalyseurs définis dans le Plan stratégique de l'UIT pour la période 2024-2027, le Plan d'action de</w:t>
      </w:r>
      <w:r w:rsidR="0086518F">
        <w:rPr>
          <w:lang w:val="fr-FR"/>
        </w:rPr>
        <w:t> </w:t>
      </w:r>
      <w:r>
        <w:rPr>
          <w:lang w:val="fr-FR"/>
        </w:rPr>
        <w:t>Bakou aligne les travaux de l'UIT-D sur les Résolutions et Recommandations de l'UIT relevant du mandat de l'UIT-D, les initiatives régionales et les Questions confiées aux commissions d'étude et établit un lien entre eux.</w:t>
      </w:r>
    </w:p>
    <w:p w14:paraId="2135C581" w14:textId="7D1C45DD" w:rsidR="004B3EC1" w:rsidRPr="004B3EC1" w:rsidRDefault="004B3EC1" w:rsidP="004B3EC1">
      <w:pPr>
        <w:rPr>
          <w:rFonts w:cstheme="minorBidi"/>
          <w:lang w:val="fr-FR"/>
        </w:rPr>
      </w:pPr>
      <w:r>
        <w:rPr>
          <w:lang w:val="fr-FR"/>
        </w:rPr>
        <w:t>1.3</w:t>
      </w:r>
      <w:r>
        <w:rPr>
          <w:lang w:val="fr-FR"/>
        </w:rPr>
        <w:tab/>
        <w:t>Le présent document traite de deux points complémentaires. L'Addendum 1 rend compte des travaux menés par le Bureau de développement des télécommunications (BDT) entre septembre et décembre 2025 en vue de l'achèvement de la mise en œuvre du Plan d'action de</w:t>
      </w:r>
      <w:r w:rsidR="0086518F">
        <w:rPr>
          <w:lang w:val="fr-FR"/>
        </w:rPr>
        <w:t> </w:t>
      </w:r>
      <w:r>
        <w:rPr>
          <w:lang w:val="fr-FR"/>
        </w:rPr>
        <w:t>Kigali adopté à la CMDT-22. L'Addendum 2 contient le cadre des incidences pour la mise en œuvre du Plan d'action de Bakou et la répartition des fonds alloués au titre du plan opérationnel pour 2026.</w:t>
      </w:r>
    </w:p>
    <w:p w14:paraId="26E6A3C2" w14:textId="46640211" w:rsidR="004B3EC1" w:rsidRPr="004B3EC1" w:rsidRDefault="004B3EC1" w:rsidP="004B3EC1">
      <w:pPr>
        <w:pStyle w:val="Heading1"/>
        <w:rPr>
          <w:lang w:val="fr-FR"/>
        </w:rPr>
      </w:pPr>
      <w:r>
        <w:rPr>
          <w:lang w:val="fr-FR"/>
        </w:rPr>
        <w:t>2</w:t>
      </w:r>
      <w:r>
        <w:rPr>
          <w:lang w:val="fr-FR"/>
        </w:rPr>
        <w:tab/>
        <w:t>Septembre-décembre 2025: fin de la mise en œuvre du Plan d'action de</w:t>
      </w:r>
      <w:r w:rsidR="008066F9">
        <w:rPr>
          <w:lang w:val="fr-FR"/>
        </w:rPr>
        <w:t> </w:t>
      </w:r>
      <w:r>
        <w:rPr>
          <w:lang w:val="fr-FR"/>
        </w:rPr>
        <w:t>Kigali</w:t>
      </w:r>
    </w:p>
    <w:p w14:paraId="7924FE4C" w14:textId="4FC376E5" w:rsidR="004B3EC1" w:rsidRPr="004A551E" w:rsidRDefault="004B3EC1" w:rsidP="004B3EC1">
      <w:pPr>
        <w:rPr>
          <w:rFonts w:cstheme="minorHAnsi"/>
          <w:szCs w:val="24"/>
          <w:lang w:val="fr-FR"/>
        </w:rPr>
      </w:pPr>
      <w:r>
        <w:rPr>
          <w:lang w:val="fr-FR"/>
        </w:rPr>
        <w:t>À la CMDT-25, le Directeur du BDT a soumis un rapport détaillé sur la mise en œuvre du Plan</w:t>
      </w:r>
      <w:r w:rsidR="00C741FF">
        <w:rPr>
          <w:lang w:val="fr-FR"/>
        </w:rPr>
        <w:t> </w:t>
      </w:r>
      <w:r>
        <w:rPr>
          <w:lang w:val="fr-FR"/>
        </w:rPr>
        <w:t>d'action de Kigali durant la période comprise entre janvier 2023 et août 2025 (</w:t>
      </w:r>
      <w:r w:rsidRPr="00C741FF">
        <w:rPr>
          <w:lang w:val="fr-FR"/>
        </w:rPr>
        <w:t xml:space="preserve">Document </w:t>
      </w:r>
      <w:hyperlink r:id="rId18" w:history="1">
        <w:r w:rsidRPr="00C741FF">
          <w:rPr>
            <w:rStyle w:val="Hyperlink"/>
            <w:lang w:val="fr-FR"/>
          </w:rPr>
          <w:t>2</w:t>
        </w:r>
      </w:hyperlink>
      <w:r w:rsidRPr="00C741FF">
        <w:rPr>
          <w:lang w:val="fr-FR"/>
        </w:rPr>
        <w:t xml:space="preserve"> de la CMDT-25</w:t>
      </w:r>
      <w:r>
        <w:rPr>
          <w:lang w:val="fr-FR"/>
        </w:rPr>
        <w:t xml:space="preserve">). Le BDT a poursuivi la mise en œuvre des activités relatives au Plan d'action de Kigali jusqu'à la fin du cycle correspondant, soit le 31 décembre 2025. L'Addendum 1 au présent document (Document </w:t>
      </w:r>
      <w:hyperlink r:id="rId19" w:history="1">
        <w:r w:rsidRPr="00C741FF">
          <w:rPr>
            <w:rStyle w:val="Hyperlink"/>
            <w:lang w:val="fr-FR"/>
          </w:rPr>
          <w:t>TDAG-26/2(Add.1)</w:t>
        </w:r>
      </w:hyperlink>
      <w:r w:rsidRPr="00C741FF">
        <w:rPr>
          <w:lang w:val="fr-FR"/>
        </w:rPr>
        <w:t>)</w:t>
      </w:r>
      <w:r>
        <w:rPr>
          <w:lang w:val="fr-FR"/>
        </w:rPr>
        <w:t xml:space="preserve"> vient compléter le rapport qui a été présenté à la</w:t>
      </w:r>
      <w:r w:rsidR="008066F9">
        <w:rPr>
          <w:lang w:val="fr-FR"/>
        </w:rPr>
        <w:t> </w:t>
      </w:r>
      <w:r>
        <w:rPr>
          <w:lang w:val="fr-FR"/>
        </w:rPr>
        <w:t>CMDT-25, afin de fournir des informations détaillées sur les travaux menés par le BDT durant la période comprise entre septembre et décembre 2025 et d'établir le compte rendu de la mise en œuvre du Plan d'action de Kigali dans sa version définitive.</w:t>
      </w:r>
      <w:hyperlink r:id="rId20" w:history="1"/>
      <w:hyperlink r:id="rId21" w:history="1"/>
    </w:p>
    <w:p w14:paraId="1B3CABFD" w14:textId="3169282A" w:rsidR="004B3EC1" w:rsidRPr="004B3EC1" w:rsidRDefault="004B3EC1" w:rsidP="004B3EC1">
      <w:pPr>
        <w:pStyle w:val="Heading1"/>
        <w:rPr>
          <w:rFonts w:cstheme="minorHAnsi"/>
          <w:szCs w:val="24"/>
          <w:lang w:val="fr-FR"/>
        </w:rPr>
      </w:pPr>
      <w:r>
        <w:rPr>
          <w:lang w:val="fr-FR"/>
        </w:rPr>
        <w:t>3</w:t>
      </w:r>
      <w:r>
        <w:rPr>
          <w:lang w:val="fr-FR"/>
        </w:rPr>
        <w:tab/>
        <w:t>Cadre des incidences pour la mise en œuvre du Plan d'action de Bakou</w:t>
      </w:r>
    </w:p>
    <w:p w14:paraId="019EBE7D" w14:textId="0B14481F" w:rsidR="004B3EC1" w:rsidRPr="004A551E" w:rsidRDefault="004B3EC1" w:rsidP="004B3EC1">
      <w:pPr>
        <w:rPr>
          <w:rFonts w:ascii="Calibri" w:hAnsi="Calibri" w:cs="Calibri"/>
          <w:color w:val="000000" w:themeColor="text1"/>
          <w:lang w:val="fr-FR"/>
        </w:rPr>
      </w:pPr>
      <w:r>
        <w:rPr>
          <w:lang w:val="fr-FR"/>
        </w:rPr>
        <w:t xml:space="preserve">En janvier 2026, le BDT a entamé la mise en œuvre </w:t>
      </w:r>
      <w:r w:rsidR="00C741FF">
        <w:rPr>
          <w:lang w:val="fr-FR"/>
        </w:rPr>
        <w:t>du</w:t>
      </w:r>
      <w:r>
        <w:rPr>
          <w:lang w:val="fr-FR"/>
        </w:rPr>
        <w:t xml:space="preserve"> Plan d'action de Bakou. Le processus de planification, tel qu'il est exposé dans </w:t>
      </w:r>
      <w:r w:rsidR="00C741FF">
        <w:rPr>
          <w:lang w:val="fr-FR"/>
        </w:rPr>
        <w:t>l'</w:t>
      </w:r>
      <w:hyperlink r:id="rId22" w:history="1">
        <w:r w:rsidR="00C741FF" w:rsidRPr="00C741FF">
          <w:rPr>
            <w:rStyle w:val="Hyperlink"/>
            <w:lang w:val="fr-FR"/>
          </w:rPr>
          <w:t>Addendum 2 au Document 2</w:t>
        </w:r>
      </w:hyperlink>
      <w:r w:rsidRPr="00C741FF">
        <w:rPr>
          <w:lang w:val="fr-FR"/>
        </w:rPr>
        <w:t xml:space="preserve"> du GCDT</w:t>
      </w:r>
      <w:r>
        <w:rPr>
          <w:lang w:val="fr-FR"/>
        </w:rPr>
        <w:t>, a consisté à définir les principes fondamentaux à appliquer pour donner effet aux mesures relevant du plan et a été suivi de consultations internes et externes approfondies. Ce processus a également tenu compte des travaux du Groupe de travail du Conseil chargé d'élaborer le Plan stratégique et le</w:t>
      </w:r>
      <w:r w:rsidR="00C741FF">
        <w:rPr>
          <w:lang w:val="fr-FR"/>
        </w:rPr>
        <w:t> </w:t>
      </w:r>
      <w:r>
        <w:rPr>
          <w:lang w:val="fr-FR"/>
        </w:rPr>
        <w:t>Plan</w:t>
      </w:r>
      <w:r w:rsidR="00C741FF">
        <w:rPr>
          <w:lang w:val="fr-FR"/>
        </w:rPr>
        <w:t> </w:t>
      </w:r>
      <w:r>
        <w:rPr>
          <w:lang w:val="fr-FR"/>
        </w:rPr>
        <w:t>financier. Compte tenu de ce qui précède, le BDT a élaboré un cadre des incidences pour appuyer la mise en œuvre du P</w:t>
      </w:r>
      <w:r w:rsidR="00C741FF">
        <w:rPr>
          <w:lang w:val="fr-FR"/>
        </w:rPr>
        <w:t>l</w:t>
      </w:r>
      <w:r>
        <w:rPr>
          <w:lang w:val="fr-FR"/>
        </w:rPr>
        <w:t>an d'action de Bakou (Addendum 2). Des efforts ont également été déployés pour assurer la cohérence d'ensemble. Dans ce contexte, le plan opérationnel et le budget pour 2026 ont été approuvés en décembre 2025, dans le cadre des réalisations financières et de planification d'ensemble pour la période quadriennale 2026-2029.</w:t>
      </w:r>
      <w:hyperlink r:id="rId23"/>
    </w:p>
    <w:p w14:paraId="41FE7004" w14:textId="2A36B424" w:rsidR="004B3EC1" w:rsidRPr="004B3EC1" w:rsidRDefault="004B3EC1" w:rsidP="004B3EC1">
      <w:pPr>
        <w:pStyle w:val="Heading1"/>
        <w:rPr>
          <w:rStyle w:val="eop"/>
          <w:rFonts w:ascii="Calibri" w:hAnsi="Calibri" w:cs="Calibri"/>
          <w:b w:val="0"/>
          <w:bCs/>
          <w:color w:val="000000" w:themeColor="text1"/>
          <w:lang w:val="fr-FR"/>
        </w:rPr>
      </w:pPr>
      <w:r>
        <w:rPr>
          <w:lang w:val="fr-FR"/>
        </w:rPr>
        <w:lastRenderedPageBreak/>
        <w:t>4</w:t>
      </w:r>
      <w:r>
        <w:rPr>
          <w:lang w:val="fr-FR"/>
        </w:rPr>
        <w:tab/>
        <w:t>Conclusion</w:t>
      </w:r>
    </w:p>
    <w:p w14:paraId="591C228B" w14:textId="72CC7939" w:rsidR="004B3EC1" w:rsidRPr="004B3EC1" w:rsidRDefault="004B3EC1" w:rsidP="004B3EC1">
      <w:pPr>
        <w:rPr>
          <w:lang w:val="fr-FR"/>
        </w:rPr>
      </w:pPr>
      <w:r>
        <w:rPr>
          <w:lang w:val="fr-FR"/>
        </w:rPr>
        <w:t>4.1</w:t>
      </w:r>
      <w:r>
        <w:rPr>
          <w:lang w:val="fr-FR"/>
        </w:rPr>
        <w:tab/>
        <w:t>Le Groupe consultatif pour le développement des télécommunications (GCDT) est invité à</w:t>
      </w:r>
      <w:r w:rsidR="0086518F">
        <w:rPr>
          <w:lang w:val="fr-FR"/>
        </w:rPr>
        <w:t> </w:t>
      </w:r>
      <w:r>
        <w:rPr>
          <w:lang w:val="fr-FR"/>
        </w:rPr>
        <w:t>examiner le rapport sur la fin de la mise en œuvre du Plan d'action de Kigali figurant dans l'Addendum</w:t>
      </w:r>
      <w:r w:rsidR="008066F9">
        <w:rPr>
          <w:lang w:val="fr-FR"/>
        </w:rPr>
        <w:t> </w:t>
      </w:r>
      <w:r>
        <w:rPr>
          <w:lang w:val="fr-FR"/>
        </w:rPr>
        <w:t>1 et à en prendre note.</w:t>
      </w:r>
    </w:p>
    <w:p w14:paraId="276612AD" w14:textId="711DB2D2" w:rsidR="004B3EC1" w:rsidRPr="004B3EC1" w:rsidRDefault="004B3EC1" w:rsidP="004B3EC1">
      <w:pPr>
        <w:rPr>
          <w:lang w:val="fr-FR"/>
        </w:rPr>
      </w:pPr>
      <w:r>
        <w:rPr>
          <w:lang w:val="fr-FR"/>
        </w:rPr>
        <w:t>4.2</w:t>
      </w:r>
      <w:r>
        <w:rPr>
          <w:lang w:val="fr-FR"/>
        </w:rPr>
        <w:tab/>
        <w:t>Il est rappelé au GCDT que la CMDT-25 a demandé que les liens entre les produits et les réalisations escomptées soient présentés dans le rapport du Directeur du BDT au GCDT. Par</w:t>
      </w:r>
      <w:r w:rsidR="0086518F">
        <w:rPr>
          <w:lang w:val="fr-FR"/>
        </w:rPr>
        <w:t> </w:t>
      </w:r>
      <w:r>
        <w:rPr>
          <w:lang w:val="fr-FR"/>
        </w:rPr>
        <w:t>conséquent, le GCDT est invité à prendre note du cadre des incidences pour la mise en œuvre du Plan d'action de Bakou, à fournir les orientations y afférentes qu'il jugera utiles et à approuver le cadre en question, tel que reproduit dans l'Addendum 2 et le tableau de bord associé.</w:t>
      </w:r>
    </w:p>
    <w:p w14:paraId="11E74B12" w14:textId="2F7ADF57" w:rsidR="004B3EC1" w:rsidRPr="004B3EC1" w:rsidRDefault="004B3EC1" w:rsidP="004B3EC1">
      <w:pPr>
        <w:rPr>
          <w:rFonts w:ascii="Calibri" w:hAnsi="Calibri" w:cs="Calibri"/>
          <w:color w:val="000000" w:themeColor="text1"/>
          <w:lang w:val="fr-FR"/>
        </w:rPr>
      </w:pPr>
      <w:r>
        <w:rPr>
          <w:lang w:val="fr-FR"/>
        </w:rPr>
        <w:t>4.3</w:t>
      </w:r>
      <w:r>
        <w:rPr>
          <w:lang w:val="fr-FR"/>
        </w:rPr>
        <w:tab/>
        <w:t>La mise en œuvre du Plan d'action de Bakou s'étendra sur la période quadriennale comprise entre 2026 et 2029. Le Directeur du BDT continuera de faire rapport chaque année au</w:t>
      </w:r>
      <w:r w:rsidR="00707671">
        <w:rPr>
          <w:lang w:val="fr-FR"/>
        </w:rPr>
        <w:t> </w:t>
      </w:r>
      <w:r>
        <w:rPr>
          <w:lang w:val="fr-FR"/>
        </w:rPr>
        <w:t>GCDT sur l'état d'avancement de la mise en œuvre et sur les progrès accomplis.</w:t>
      </w:r>
    </w:p>
    <w:p w14:paraId="7137AB4E" w14:textId="77777777" w:rsidR="004B3EC1" w:rsidRPr="0084734D" w:rsidRDefault="004B3EC1" w:rsidP="00707671">
      <w:pPr>
        <w:jc w:val="center"/>
        <w:rPr>
          <w:szCs w:val="24"/>
        </w:rPr>
      </w:pPr>
      <w:r>
        <w:rPr>
          <w:lang w:val="fr-FR"/>
        </w:rPr>
        <w:t>______________</w:t>
      </w:r>
    </w:p>
    <w:sectPr w:rsidR="004B3EC1" w:rsidRPr="0084734D" w:rsidSect="00473791">
      <w:headerReference w:type="default" r:id="rId24"/>
      <w:footerReference w:type="first" r:id="rId25"/>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35159" w14:textId="77777777" w:rsidR="005125E5" w:rsidRDefault="005125E5">
      <w:r>
        <w:separator/>
      </w:r>
    </w:p>
  </w:endnote>
  <w:endnote w:type="continuationSeparator" w:id="0">
    <w:p w14:paraId="5729DB95" w14:textId="77777777" w:rsidR="005125E5" w:rsidRDefault="0051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modern"/>
    <w:pitch w:val="fixed"/>
    <w:sig w:usb0="800002BF" w:usb1="38CF7CFA"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1B030A" w:rsidRPr="008066F9" w14:paraId="5C2B0E2D" w14:textId="77777777" w:rsidTr="005539C3">
      <w:tc>
        <w:tcPr>
          <w:tcW w:w="1526" w:type="dxa"/>
          <w:tcBorders>
            <w:top w:val="single" w:sz="4" w:space="0" w:color="000000" w:themeColor="text1"/>
          </w:tcBorders>
        </w:tcPr>
        <w:p w14:paraId="176205BE" w14:textId="77777777" w:rsidR="001B030A" w:rsidRPr="00BA0009" w:rsidRDefault="001B030A" w:rsidP="001B030A">
          <w:pPr>
            <w:pStyle w:val="FirstFooter"/>
            <w:tabs>
              <w:tab w:val="left" w:pos="1559"/>
              <w:tab w:val="left" w:pos="3828"/>
            </w:tabs>
            <w:rPr>
              <w:sz w:val="18"/>
              <w:szCs w:val="18"/>
            </w:rPr>
          </w:pPr>
          <w:bookmarkStart w:id="6" w:name="Email"/>
          <w:bookmarkEnd w:id="6"/>
          <w:r w:rsidRPr="00E62753">
            <w:rPr>
              <w:sz w:val="18"/>
              <w:szCs w:val="18"/>
            </w:rPr>
            <w:t>Contact:</w:t>
          </w:r>
        </w:p>
      </w:tc>
      <w:tc>
        <w:tcPr>
          <w:tcW w:w="2410" w:type="dxa"/>
          <w:tcBorders>
            <w:top w:val="single" w:sz="4" w:space="0" w:color="000000" w:themeColor="text1"/>
          </w:tcBorders>
        </w:tcPr>
        <w:p w14:paraId="26830CB6" w14:textId="77777777" w:rsidR="001B030A" w:rsidRPr="00CB110F" w:rsidRDefault="001B030A" w:rsidP="001B030A">
          <w:pPr>
            <w:pStyle w:val="FirstFooter"/>
            <w:tabs>
              <w:tab w:val="left" w:pos="2302"/>
            </w:tabs>
            <w:ind w:left="2302" w:hanging="2302"/>
            <w:rPr>
              <w:sz w:val="18"/>
              <w:szCs w:val="18"/>
              <w:lang w:val="en-US"/>
            </w:rPr>
          </w:pPr>
          <w:r w:rsidRPr="00E62753">
            <w:rPr>
              <w:sz w:val="18"/>
              <w:szCs w:val="18"/>
              <w:lang w:val="fr-CH"/>
            </w:rPr>
            <w:t>Nom/Organisation/Entité:</w:t>
          </w:r>
        </w:p>
      </w:tc>
      <w:tc>
        <w:tcPr>
          <w:tcW w:w="5919" w:type="dxa"/>
          <w:tcBorders>
            <w:top w:val="single" w:sz="4" w:space="0" w:color="000000" w:themeColor="text1"/>
          </w:tcBorders>
        </w:tcPr>
        <w:p w14:paraId="0C8B6EEC" w14:textId="1E1E6B69" w:rsidR="001B030A" w:rsidRPr="004B3EC1" w:rsidRDefault="004B3EC1" w:rsidP="001B030A">
          <w:pPr>
            <w:pStyle w:val="FirstFooter"/>
            <w:rPr>
              <w:sz w:val="18"/>
              <w:szCs w:val="18"/>
              <w:highlight w:val="yellow"/>
            </w:rPr>
          </w:pPr>
          <w:r w:rsidRPr="004B3EC1">
            <w:rPr>
              <w:sz w:val="18"/>
              <w:szCs w:val="18"/>
            </w:rPr>
            <w:t>Mme Archana Gulati, Adjointe au Directeur du Bureau de développement des télécommunications</w:t>
          </w:r>
        </w:p>
      </w:tc>
    </w:tr>
    <w:tr w:rsidR="001B030A" w:rsidRPr="00CB110F" w14:paraId="298FE8EB" w14:textId="77777777" w:rsidTr="005539C3">
      <w:tc>
        <w:tcPr>
          <w:tcW w:w="1526" w:type="dxa"/>
        </w:tcPr>
        <w:p w14:paraId="7ACBC842" w14:textId="77777777" w:rsidR="001B030A" w:rsidRPr="009C2903" w:rsidRDefault="001B030A" w:rsidP="001B030A">
          <w:pPr>
            <w:pStyle w:val="FirstFooter"/>
            <w:tabs>
              <w:tab w:val="left" w:pos="1559"/>
              <w:tab w:val="left" w:pos="3828"/>
            </w:tabs>
            <w:rPr>
              <w:sz w:val="20"/>
            </w:rPr>
          </w:pPr>
        </w:p>
      </w:tc>
      <w:tc>
        <w:tcPr>
          <w:tcW w:w="2410" w:type="dxa"/>
        </w:tcPr>
        <w:p w14:paraId="76CE8C1A" w14:textId="77777777" w:rsidR="001B030A" w:rsidRPr="00CB110F" w:rsidRDefault="001B030A" w:rsidP="001B030A">
          <w:pPr>
            <w:pStyle w:val="FirstFooter"/>
            <w:tabs>
              <w:tab w:val="left" w:pos="2302"/>
            </w:tabs>
            <w:rPr>
              <w:sz w:val="18"/>
              <w:szCs w:val="18"/>
              <w:lang w:val="en-US"/>
            </w:rPr>
          </w:pPr>
          <w:r w:rsidRPr="00E62753">
            <w:rPr>
              <w:sz w:val="18"/>
              <w:szCs w:val="18"/>
              <w:lang w:val="fr-CH"/>
            </w:rPr>
            <w:t>Numéro de téléphone:</w:t>
          </w:r>
        </w:p>
      </w:tc>
      <w:tc>
        <w:tcPr>
          <w:tcW w:w="5919" w:type="dxa"/>
        </w:tcPr>
        <w:p w14:paraId="6CE1B2A9" w14:textId="55AABED5" w:rsidR="001B030A" w:rsidRPr="009359B8" w:rsidRDefault="004B3EC1" w:rsidP="001B030A">
          <w:pPr>
            <w:pStyle w:val="FirstFooter"/>
            <w:tabs>
              <w:tab w:val="left" w:pos="2302"/>
            </w:tabs>
            <w:rPr>
              <w:sz w:val="18"/>
              <w:szCs w:val="18"/>
              <w:highlight w:val="yellow"/>
              <w:lang w:val="en-US"/>
            </w:rPr>
          </w:pPr>
          <w:r w:rsidRPr="004B3EC1">
            <w:rPr>
              <w:sz w:val="18"/>
              <w:szCs w:val="18"/>
              <w:lang w:val="en-US"/>
            </w:rPr>
            <w:t>+41 22 730 6475</w:t>
          </w:r>
        </w:p>
      </w:tc>
    </w:tr>
    <w:tr w:rsidR="001B030A" w:rsidRPr="00CB110F" w14:paraId="336F05F8" w14:textId="77777777" w:rsidTr="005539C3">
      <w:tc>
        <w:tcPr>
          <w:tcW w:w="1526" w:type="dxa"/>
        </w:tcPr>
        <w:p w14:paraId="10E74C07" w14:textId="77777777" w:rsidR="001B030A" w:rsidRPr="00CB110F" w:rsidRDefault="001B030A" w:rsidP="001B030A">
          <w:pPr>
            <w:pStyle w:val="FirstFooter"/>
            <w:tabs>
              <w:tab w:val="left" w:pos="1559"/>
              <w:tab w:val="left" w:pos="3828"/>
            </w:tabs>
            <w:rPr>
              <w:sz w:val="20"/>
              <w:lang w:val="en-US"/>
            </w:rPr>
          </w:pPr>
        </w:p>
      </w:tc>
      <w:tc>
        <w:tcPr>
          <w:tcW w:w="2410" w:type="dxa"/>
        </w:tcPr>
        <w:p w14:paraId="145C550E" w14:textId="77777777" w:rsidR="001B030A" w:rsidRPr="00CB110F" w:rsidRDefault="001B030A" w:rsidP="001B030A">
          <w:pPr>
            <w:pStyle w:val="FirstFooter"/>
            <w:tabs>
              <w:tab w:val="left" w:pos="2302"/>
            </w:tabs>
            <w:rPr>
              <w:sz w:val="18"/>
              <w:szCs w:val="18"/>
              <w:lang w:val="en-US"/>
            </w:rPr>
          </w:pPr>
          <w:r w:rsidRPr="00E62753">
            <w:rPr>
              <w:sz w:val="18"/>
              <w:szCs w:val="18"/>
              <w:lang w:val="fr-CH"/>
            </w:rPr>
            <w:t>Courriel</w:t>
          </w:r>
          <w:r w:rsidRPr="00E62753">
            <w:rPr>
              <w:sz w:val="18"/>
              <w:szCs w:val="18"/>
              <w:lang w:val="en-US"/>
            </w:rPr>
            <w:t>:</w:t>
          </w:r>
        </w:p>
      </w:tc>
      <w:tc>
        <w:tcPr>
          <w:tcW w:w="5919" w:type="dxa"/>
        </w:tcPr>
        <w:p w14:paraId="3537A984" w14:textId="6BF70F0F" w:rsidR="001B030A" w:rsidRPr="00B80715" w:rsidRDefault="004B3EC1" w:rsidP="004B3EC1">
          <w:pPr>
            <w:spacing w:before="40"/>
            <w:rPr>
              <w:sz w:val="18"/>
              <w:szCs w:val="18"/>
              <w:lang w:val="en-US"/>
            </w:rPr>
          </w:pPr>
          <w:hyperlink r:id="rId1" w:history="1">
            <w:r w:rsidRPr="00BE3F12">
              <w:rPr>
                <w:rStyle w:val="Hyperlink"/>
                <w:sz w:val="18"/>
                <w:szCs w:val="18"/>
                <w:lang w:val="en-US"/>
              </w:rPr>
              <w:t>archana.gulati@itu.int</w:t>
            </w:r>
          </w:hyperlink>
        </w:p>
      </w:tc>
    </w:tr>
  </w:tbl>
  <w:p w14:paraId="4830D301" w14:textId="77777777" w:rsidR="00C80022" w:rsidRPr="001B030A" w:rsidRDefault="00C80022" w:rsidP="001B0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1BD0D" w14:textId="77777777" w:rsidR="005125E5" w:rsidRDefault="005125E5">
      <w:r>
        <w:t>____________________</w:t>
      </w:r>
    </w:p>
  </w:footnote>
  <w:footnote w:type="continuationSeparator" w:id="0">
    <w:p w14:paraId="6FC42220" w14:textId="77777777" w:rsidR="005125E5" w:rsidRDefault="00512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FE77" w14:textId="70F90A9C" w:rsidR="00721657" w:rsidRPr="00A525CC" w:rsidRDefault="00A525CC" w:rsidP="00307769">
    <w:pPr>
      <w:tabs>
        <w:tab w:val="clear" w:pos="794"/>
        <w:tab w:val="clear" w:pos="1191"/>
        <w:tab w:val="clear" w:pos="1588"/>
        <w:tab w:val="clear" w:pos="1985"/>
        <w:tab w:val="center" w:pos="4820"/>
        <w:tab w:val="right" w:pos="9639"/>
      </w:tabs>
      <w:ind w:right="1"/>
      <w:rPr>
        <w:rStyle w:val="PageNumber"/>
      </w:rPr>
    </w:pPr>
    <w:r w:rsidRPr="00972BCD">
      <w:rPr>
        <w:sz w:val="22"/>
        <w:szCs w:val="22"/>
      </w:rPr>
      <w:tab/>
    </w:r>
    <w:r w:rsidRPr="00A54E72">
      <w:rPr>
        <w:sz w:val="22"/>
        <w:szCs w:val="22"/>
        <w:lang w:val="de-CH"/>
      </w:rPr>
      <w:t>TDAG</w:t>
    </w:r>
    <w:r w:rsidR="003242AB">
      <w:rPr>
        <w:sz w:val="22"/>
        <w:szCs w:val="22"/>
        <w:lang w:val="de-CH"/>
      </w:rPr>
      <w:t>-</w:t>
    </w:r>
    <w:r w:rsidR="00923CF1">
      <w:rPr>
        <w:sz w:val="22"/>
        <w:szCs w:val="22"/>
        <w:lang w:val="de-CH"/>
      </w:rPr>
      <w:t>2</w:t>
    </w:r>
    <w:r w:rsidR="00F7434A">
      <w:rPr>
        <w:sz w:val="22"/>
        <w:szCs w:val="22"/>
        <w:lang w:val="de-CH"/>
      </w:rPr>
      <w:t>6</w:t>
    </w:r>
    <w:r w:rsidRPr="00A54E72">
      <w:rPr>
        <w:sz w:val="22"/>
        <w:szCs w:val="22"/>
        <w:lang w:val="de-CH"/>
      </w:rPr>
      <w:t>/</w:t>
    </w:r>
    <w:r w:rsidR="00716423">
      <w:rPr>
        <w:sz w:val="22"/>
        <w:szCs w:val="22"/>
        <w:lang w:val="de-CH"/>
      </w:rPr>
      <w:t>2</w:t>
    </w:r>
    <w:r w:rsidRPr="006D271A">
      <w:rPr>
        <w:sz w:val="22"/>
        <w:szCs w:val="22"/>
        <w:lang w:val="de-CH"/>
      </w:rPr>
      <w:t>-</w:t>
    </w:r>
    <w:r w:rsidR="00700F2B">
      <w:rPr>
        <w:sz w:val="22"/>
        <w:szCs w:val="22"/>
        <w:lang w:val="de-CH"/>
      </w:rPr>
      <w:t>F</w:t>
    </w:r>
    <w:r w:rsidRPr="006D271A">
      <w:rPr>
        <w:sz w:val="22"/>
        <w:szCs w:val="22"/>
        <w:lang w:val="de-CH"/>
      </w:rPr>
      <w:tab/>
      <w:t xml:space="preserve">Page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E25345">
      <w:rPr>
        <w:noProof/>
        <w:sz w:val="22"/>
        <w:szCs w:val="22"/>
        <w:lang w:val="de-CH"/>
      </w:rPr>
      <w:t>2</w:t>
    </w:r>
    <w:r w:rsidRPr="00972BC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73395"/>
    <w:multiLevelType w:val="hybridMultilevel"/>
    <w:tmpl w:val="3BE2BF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num w:numId="1" w16cid:durableId="1950357019">
    <w:abstractNumId w:val="1"/>
  </w:num>
  <w:num w:numId="2" w16cid:durableId="931356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C43"/>
    <w:rsid w:val="00002716"/>
    <w:rsid w:val="00003C43"/>
    <w:rsid w:val="00005791"/>
    <w:rsid w:val="00010827"/>
    <w:rsid w:val="00015089"/>
    <w:rsid w:val="0002520B"/>
    <w:rsid w:val="000325DF"/>
    <w:rsid w:val="00037A9E"/>
    <w:rsid w:val="00037F91"/>
    <w:rsid w:val="000539F1"/>
    <w:rsid w:val="00054747"/>
    <w:rsid w:val="00055A2A"/>
    <w:rsid w:val="000615C1"/>
    <w:rsid w:val="00061675"/>
    <w:rsid w:val="000743AA"/>
    <w:rsid w:val="0007632A"/>
    <w:rsid w:val="0009076F"/>
    <w:rsid w:val="0009225C"/>
    <w:rsid w:val="000A17C4"/>
    <w:rsid w:val="000A36A4"/>
    <w:rsid w:val="000B2352"/>
    <w:rsid w:val="000C7B84"/>
    <w:rsid w:val="000D261B"/>
    <w:rsid w:val="000D58A3"/>
    <w:rsid w:val="000E3ED4"/>
    <w:rsid w:val="000E3F9C"/>
    <w:rsid w:val="000F1550"/>
    <w:rsid w:val="000F251B"/>
    <w:rsid w:val="000F5FE8"/>
    <w:rsid w:val="000F6644"/>
    <w:rsid w:val="00100833"/>
    <w:rsid w:val="001011EB"/>
    <w:rsid w:val="00102F72"/>
    <w:rsid w:val="00107E85"/>
    <w:rsid w:val="00113EE8"/>
    <w:rsid w:val="0011455A"/>
    <w:rsid w:val="00114A65"/>
    <w:rsid w:val="00133061"/>
    <w:rsid w:val="00141699"/>
    <w:rsid w:val="00147000"/>
    <w:rsid w:val="00163091"/>
    <w:rsid w:val="001645CB"/>
    <w:rsid w:val="00166305"/>
    <w:rsid w:val="00167545"/>
    <w:rsid w:val="001703C6"/>
    <w:rsid w:val="00173781"/>
    <w:rsid w:val="00173CA1"/>
    <w:rsid w:val="00175ADF"/>
    <w:rsid w:val="00175CAE"/>
    <w:rsid w:val="001828DB"/>
    <w:rsid w:val="001850FE"/>
    <w:rsid w:val="00185135"/>
    <w:rsid w:val="0019037C"/>
    <w:rsid w:val="001905A9"/>
    <w:rsid w:val="00191273"/>
    <w:rsid w:val="001942A7"/>
    <w:rsid w:val="0019587B"/>
    <w:rsid w:val="001A163D"/>
    <w:rsid w:val="001A441E"/>
    <w:rsid w:val="001A6733"/>
    <w:rsid w:val="001B030A"/>
    <w:rsid w:val="001B357F"/>
    <w:rsid w:val="001C3444"/>
    <w:rsid w:val="001C3702"/>
    <w:rsid w:val="001C4656"/>
    <w:rsid w:val="001C46BC"/>
    <w:rsid w:val="001C48D3"/>
    <w:rsid w:val="001D1E06"/>
    <w:rsid w:val="001D5E71"/>
    <w:rsid w:val="001E5219"/>
    <w:rsid w:val="001E66DC"/>
    <w:rsid w:val="001F23E6"/>
    <w:rsid w:val="001F4238"/>
    <w:rsid w:val="00200A38"/>
    <w:rsid w:val="00200A46"/>
    <w:rsid w:val="00211B6F"/>
    <w:rsid w:val="00217CC3"/>
    <w:rsid w:val="00220AB6"/>
    <w:rsid w:val="0022120F"/>
    <w:rsid w:val="0022754A"/>
    <w:rsid w:val="00236560"/>
    <w:rsid w:val="0023662E"/>
    <w:rsid w:val="00245D0F"/>
    <w:rsid w:val="002548C3"/>
    <w:rsid w:val="00257ACD"/>
    <w:rsid w:val="00262908"/>
    <w:rsid w:val="002650F4"/>
    <w:rsid w:val="002715FD"/>
    <w:rsid w:val="002770B1"/>
    <w:rsid w:val="00285B33"/>
    <w:rsid w:val="00287A3C"/>
    <w:rsid w:val="002A2FC6"/>
    <w:rsid w:val="002C1EC7"/>
    <w:rsid w:val="002C3015"/>
    <w:rsid w:val="002C4342"/>
    <w:rsid w:val="002C7EA3"/>
    <w:rsid w:val="002D20AE"/>
    <w:rsid w:val="002D6C61"/>
    <w:rsid w:val="002E2104"/>
    <w:rsid w:val="002E2DAC"/>
    <w:rsid w:val="002E6963"/>
    <w:rsid w:val="002E6F8F"/>
    <w:rsid w:val="002F05D8"/>
    <w:rsid w:val="002F2DE0"/>
    <w:rsid w:val="002F5E25"/>
    <w:rsid w:val="0030353C"/>
    <w:rsid w:val="00307769"/>
    <w:rsid w:val="00312147"/>
    <w:rsid w:val="003125C3"/>
    <w:rsid w:val="00312AE6"/>
    <w:rsid w:val="00317D1A"/>
    <w:rsid w:val="003211FF"/>
    <w:rsid w:val="003242AB"/>
    <w:rsid w:val="00327247"/>
    <w:rsid w:val="00327A9D"/>
    <w:rsid w:val="0033130E"/>
    <w:rsid w:val="0033269C"/>
    <w:rsid w:val="00351C79"/>
    <w:rsid w:val="0035516C"/>
    <w:rsid w:val="00355A4C"/>
    <w:rsid w:val="003604FB"/>
    <w:rsid w:val="00360B73"/>
    <w:rsid w:val="00380B71"/>
    <w:rsid w:val="0038365A"/>
    <w:rsid w:val="00386A89"/>
    <w:rsid w:val="0039648E"/>
    <w:rsid w:val="003A5AFE"/>
    <w:rsid w:val="003A5D5F"/>
    <w:rsid w:val="003A7FFE"/>
    <w:rsid w:val="003B0A63"/>
    <w:rsid w:val="003B50E1"/>
    <w:rsid w:val="003C1746"/>
    <w:rsid w:val="003C2AA9"/>
    <w:rsid w:val="003C58BF"/>
    <w:rsid w:val="003D451D"/>
    <w:rsid w:val="003F2DD8"/>
    <w:rsid w:val="003F3F2D"/>
    <w:rsid w:val="003F50B2"/>
    <w:rsid w:val="00400CCF"/>
    <w:rsid w:val="00401BFF"/>
    <w:rsid w:val="004037AF"/>
    <w:rsid w:val="00404424"/>
    <w:rsid w:val="0041156B"/>
    <w:rsid w:val="004122C5"/>
    <w:rsid w:val="00413B78"/>
    <w:rsid w:val="00416DDE"/>
    <w:rsid w:val="0044411E"/>
    <w:rsid w:val="00453435"/>
    <w:rsid w:val="00460089"/>
    <w:rsid w:val="00466398"/>
    <w:rsid w:val="0047306D"/>
    <w:rsid w:val="00473791"/>
    <w:rsid w:val="00476E48"/>
    <w:rsid w:val="00481DE9"/>
    <w:rsid w:val="0049128B"/>
    <w:rsid w:val="00493B49"/>
    <w:rsid w:val="00495501"/>
    <w:rsid w:val="004A070A"/>
    <w:rsid w:val="004A320E"/>
    <w:rsid w:val="004A4E9C"/>
    <w:rsid w:val="004B1A3C"/>
    <w:rsid w:val="004B3EC1"/>
    <w:rsid w:val="004D2CC3"/>
    <w:rsid w:val="004D35CB"/>
    <w:rsid w:val="004D7DAB"/>
    <w:rsid w:val="004E20E5"/>
    <w:rsid w:val="004E64EA"/>
    <w:rsid w:val="004E7828"/>
    <w:rsid w:val="004E785D"/>
    <w:rsid w:val="004F46AA"/>
    <w:rsid w:val="004F6A70"/>
    <w:rsid w:val="00500AD7"/>
    <w:rsid w:val="00502ABF"/>
    <w:rsid w:val="00504DB0"/>
    <w:rsid w:val="00507C35"/>
    <w:rsid w:val="00510735"/>
    <w:rsid w:val="005125E5"/>
    <w:rsid w:val="00514D2F"/>
    <w:rsid w:val="00541E8A"/>
    <w:rsid w:val="0054420E"/>
    <w:rsid w:val="00544D1B"/>
    <w:rsid w:val="00545DC0"/>
    <w:rsid w:val="00545F6C"/>
    <w:rsid w:val="005477D9"/>
    <w:rsid w:val="0055720C"/>
    <w:rsid w:val="00561796"/>
    <w:rsid w:val="005632DD"/>
    <w:rsid w:val="0056423B"/>
    <w:rsid w:val="00573424"/>
    <w:rsid w:val="0057402F"/>
    <w:rsid w:val="00581653"/>
    <w:rsid w:val="005849D6"/>
    <w:rsid w:val="00585367"/>
    <w:rsid w:val="005871A1"/>
    <w:rsid w:val="0058737E"/>
    <w:rsid w:val="00592518"/>
    <w:rsid w:val="00592E87"/>
    <w:rsid w:val="0059420B"/>
    <w:rsid w:val="00594C4D"/>
    <w:rsid w:val="005A33B0"/>
    <w:rsid w:val="005C2DC2"/>
    <w:rsid w:val="005C304A"/>
    <w:rsid w:val="005C3D69"/>
    <w:rsid w:val="005C7C98"/>
    <w:rsid w:val="005D2C3A"/>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11EAF"/>
    <w:rsid w:val="00623F30"/>
    <w:rsid w:val="00625FB8"/>
    <w:rsid w:val="006261BD"/>
    <w:rsid w:val="00635EDB"/>
    <w:rsid w:val="0064734E"/>
    <w:rsid w:val="00650137"/>
    <w:rsid w:val="006509D7"/>
    <w:rsid w:val="00651CE8"/>
    <w:rsid w:val="0065521B"/>
    <w:rsid w:val="0066288F"/>
    <w:rsid w:val="00671EF6"/>
    <w:rsid w:val="0067205B"/>
    <w:rsid w:val="006748F8"/>
    <w:rsid w:val="00680489"/>
    <w:rsid w:val="00683C32"/>
    <w:rsid w:val="00690BB2"/>
    <w:rsid w:val="00693D09"/>
    <w:rsid w:val="006A6549"/>
    <w:rsid w:val="006A7710"/>
    <w:rsid w:val="006A7A61"/>
    <w:rsid w:val="006B1E59"/>
    <w:rsid w:val="006B2FFB"/>
    <w:rsid w:val="006B5AA9"/>
    <w:rsid w:val="006C10A2"/>
    <w:rsid w:val="006C1F18"/>
    <w:rsid w:val="006D40D5"/>
    <w:rsid w:val="006F009A"/>
    <w:rsid w:val="006F3D93"/>
    <w:rsid w:val="00700F2B"/>
    <w:rsid w:val="007019B1"/>
    <w:rsid w:val="00707671"/>
    <w:rsid w:val="00716423"/>
    <w:rsid w:val="00721657"/>
    <w:rsid w:val="007279A8"/>
    <w:rsid w:val="00727B1A"/>
    <w:rsid w:val="00741337"/>
    <w:rsid w:val="00752258"/>
    <w:rsid w:val="007529E1"/>
    <w:rsid w:val="00762880"/>
    <w:rsid w:val="00762AD6"/>
    <w:rsid w:val="00762E02"/>
    <w:rsid w:val="00772290"/>
    <w:rsid w:val="00777265"/>
    <w:rsid w:val="007805E7"/>
    <w:rsid w:val="0078222A"/>
    <w:rsid w:val="00787D48"/>
    <w:rsid w:val="00793C6C"/>
    <w:rsid w:val="00795294"/>
    <w:rsid w:val="007A4E50"/>
    <w:rsid w:val="007A7D3C"/>
    <w:rsid w:val="007B18A7"/>
    <w:rsid w:val="007B250E"/>
    <w:rsid w:val="007C27FC"/>
    <w:rsid w:val="007C51FF"/>
    <w:rsid w:val="007C7EF5"/>
    <w:rsid w:val="007D50E4"/>
    <w:rsid w:val="007E2DC5"/>
    <w:rsid w:val="007F1CC7"/>
    <w:rsid w:val="008027AC"/>
    <w:rsid w:val="008028CE"/>
    <w:rsid w:val="0080332E"/>
    <w:rsid w:val="008066F9"/>
    <w:rsid w:val="008141E0"/>
    <w:rsid w:val="00816EE1"/>
    <w:rsid w:val="00816F88"/>
    <w:rsid w:val="00821996"/>
    <w:rsid w:val="00822323"/>
    <w:rsid w:val="00827BC6"/>
    <w:rsid w:val="008300AD"/>
    <w:rsid w:val="00833024"/>
    <w:rsid w:val="008415EA"/>
    <w:rsid w:val="008419B1"/>
    <w:rsid w:val="00844A56"/>
    <w:rsid w:val="00845B11"/>
    <w:rsid w:val="00852081"/>
    <w:rsid w:val="0086518F"/>
    <w:rsid w:val="00872B6E"/>
    <w:rsid w:val="00874DFD"/>
    <w:rsid w:val="008802F9"/>
    <w:rsid w:val="00883086"/>
    <w:rsid w:val="008879FD"/>
    <w:rsid w:val="00894C37"/>
    <w:rsid w:val="008A00EA"/>
    <w:rsid w:val="008A3F93"/>
    <w:rsid w:val="008A6236"/>
    <w:rsid w:val="008A6E1C"/>
    <w:rsid w:val="008A72FD"/>
    <w:rsid w:val="008B2EDF"/>
    <w:rsid w:val="008B47C7"/>
    <w:rsid w:val="008B54CB"/>
    <w:rsid w:val="008B5A3D"/>
    <w:rsid w:val="008C0AD9"/>
    <w:rsid w:val="008C4010"/>
    <w:rsid w:val="008C4FDF"/>
    <w:rsid w:val="008C6B1F"/>
    <w:rsid w:val="008D0784"/>
    <w:rsid w:val="008D5E4F"/>
    <w:rsid w:val="008E34F0"/>
    <w:rsid w:val="008F14F5"/>
    <w:rsid w:val="008F71C1"/>
    <w:rsid w:val="00902D41"/>
    <w:rsid w:val="00902F49"/>
    <w:rsid w:val="00904230"/>
    <w:rsid w:val="00914004"/>
    <w:rsid w:val="00921A30"/>
    <w:rsid w:val="00922EC1"/>
    <w:rsid w:val="00923CF1"/>
    <w:rsid w:val="009301F1"/>
    <w:rsid w:val="009307DF"/>
    <w:rsid w:val="009359B8"/>
    <w:rsid w:val="00935FF0"/>
    <w:rsid w:val="009431F8"/>
    <w:rsid w:val="00946023"/>
    <w:rsid w:val="00947A35"/>
    <w:rsid w:val="00952667"/>
    <w:rsid w:val="0096201B"/>
    <w:rsid w:val="00962081"/>
    <w:rsid w:val="00966CB5"/>
    <w:rsid w:val="00975786"/>
    <w:rsid w:val="00981CB7"/>
    <w:rsid w:val="00983E1F"/>
    <w:rsid w:val="00993F46"/>
    <w:rsid w:val="00997358"/>
    <w:rsid w:val="009A452B"/>
    <w:rsid w:val="009B050C"/>
    <w:rsid w:val="009B087F"/>
    <w:rsid w:val="009B2AF4"/>
    <w:rsid w:val="009C110B"/>
    <w:rsid w:val="009C5441"/>
    <w:rsid w:val="009D119F"/>
    <w:rsid w:val="009D49A2"/>
    <w:rsid w:val="009D6733"/>
    <w:rsid w:val="009F3940"/>
    <w:rsid w:val="009F3EB2"/>
    <w:rsid w:val="009F6EB1"/>
    <w:rsid w:val="00A11D05"/>
    <w:rsid w:val="00A13162"/>
    <w:rsid w:val="00A20267"/>
    <w:rsid w:val="00A3158C"/>
    <w:rsid w:val="00A32DF3"/>
    <w:rsid w:val="00A33E32"/>
    <w:rsid w:val="00A35E20"/>
    <w:rsid w:val="00A36F6D"/>
    <w:rsid w:val="00A42E8B"/>
    <w:rsid w:val="00A50CA0"/>
    <w:rsid w:val="00A525CC"/>
    <w:rsid w:val="00A53E7C"/>
    <w:rsid w:val="00A60087"/>
    <w:rsid w:val="00A66C4C"/>
    <w:rsid w:val="00A67E68"/>
    <w:rsid w:val="00A705E8"/>
    <w:rsid w:val="00A721F4"/>
    <w:rsid w:val="00A9392C"/>
    <w:rsid w:val="00A9462B"/>
    <w:rsid w:val="00A97D59"/>
    <w:rsid w:val="00AA3E09"/>
    <w:rsid w:val="00AA4BEF"/>
    <w:rsid w:val="00AB1659"/>
    <w:rsid w:val="00AB4962"/>
    <w:rsid w:val="00AB734E"/>
    <w:rsid w:val="00AB740F"/>
    <w:rsid w:val="00AC2BF7"/>
    <w:rsid w:val="00AC6F14"/>
    <w:rsid w:val="00AC7221"/>
    <w:rsid w:val="00AD4677"/>
    <w:rsid w:val="00AD6CBD"/>
    <w:rsid w:val="00AE5961"/>
    <w:rsid w:val="00AF0745"/>
    <w:rsid w:val="00AF4971"/>
    <w:rsid w:val="00AF5276"/>
    <w:rsid w:val="00AF7C86"/>
    <w:rsid w:val="00B01046"/>
    <w:rsid w:val="00B310F9"/>
    <w:rsid w:val="00B37866"/>
    <w:rsid w:val="00B412FB"/>
    <w:rsid w:val="00B4576B"/>
    <w:rsid w:val="00B46350"/>
    <w:rsid w:val="00B46DF3"/>
    <w:rsid w:val="00B53A29"/>
    <w:rsid w:val="00B648C7"/>
    <w:rsid w:val="00B66E8F"/>
    <w:rsid w:val="00B80157"/>
    <w:rsid w:val="00B83D5E"/>
    <w:rsid w:val="00B8460A"/>
    <w:rsid w:val="00B8650D"/>
    <w:rsid w:val="00B879B4"/>
    <w:rsid w:val="00B90F07"/>
    <w:rsid w:val="00B97BB9"/>
    <w:rsid w:val="00BA0009"/>
    <w:rsid w:val="00BB02B5"/>
    <w:rsid w:val="00BB1863"/>
    <w:rsid w:val="00BB25EE"/>
    <w:rsid w:val="00BB363A"/>
    <w:rsid w:val="00BC10A0"/>
    <w:rsid w:val="00BC7BA2"/>
    <w:rsid w:val="00BD426B"/>
    <w:rsid w:val="00BD79F0"/>
    <w:rsid w:val="00BE2B4D"/>
    <w:rsid w:val="00BF798B"/>
    <w:rsid w:val="00C015F8"/>
    <w:rsid w:val="00C02C2A"/>
    <w:rsid w:val="00C07E26"/>
    <w:rsid w:val="00C1011C"/>
    <w:rsid w:val="00C12F94"/>
    <w:rsid w:val="00C177C5"/>
    <w:rsid w:val="00C34EC3"/>
    <w:rsid w:val="00C4038C"/>
    <w:rsid w:val="00C42BA2"/>
    <w:rsid w:val="00C44066"/>
    <w:rsid w:val="00C44E13"/>
    <w:rsid w:val="00C60A41"/>
    <w:rsid w:val="00C62DE8"/>
    <w:rsid w:val="00C62DFB"/>
    <w:rsid w:val="00C630E6"/>
    <w:rsid w:val="00C63812"/>
    <w:rsid w:val="00C64AF3"/>
    <w:rsid w:val="00C66F4D"/>
    <w:rsid w:val="00C67BB5"/>
    <w:rsid w:val="00C72713"/>
    <w:rsid w:val="00C741FF"/>
    <w:rsid w:val="00C80022"/>
    <w:rsid w:val="00C83230"/>
    <w:rsid w:val="00C848EF"/>
    <w:rsid w:val="00C86600"/>
    <w:rsid w:val="00C87BCA"/>
    <w:rsid w:val="00C87EED"/>
    <w:rsid w:val="00C94506"/>
    <w:rsid w:val="00C954BC"/>
    <w:rsid w:val="00CA1F0B"/>
    <w:rsid w:val="00CA3BF2"/>
    <w:rsid w:val="00CB110F"/>
    <w:rsid w:val="00CB2A2E"/>
    <w:rsid w:val="00CB338A"/>
    <w:rsid w:val="00CB79C5"/>
    <w:rsid w:val="00CC411F"/>
    <w:rsid w:val="00CC4B75"/>
    <w:rsid w:val="00CC732E"/>
    <w:rsid w:val="00CD2FCD"/>
    <w:rsid w:val="00CD7207"/>
    <w:rsid w:val="00CE0422"/>
    <w:rsid w:val="00CE0DBE"/>
    <w:rsid w:val="00CE5E4D"/>
    <w:rsid w:val="00CF02C4"/>
    <w:rsid w:val="00CF167F"/>
    <w:rsid w:val="00CF72E5"/>
    <w:rsid w:val="00D013EE"/>
    <w:rsid w:val="00D01F54"/>
    <w:rsid w:val="00D040F7"/>
    <w:rsid w:val="00D04A76"/>
    <w:rsid w:val="00D10FC7"/>
    <w:rsid w:val="00D1519F"/>
    <w:rsid w:val="00D20E99"/>
    <w:rsid w:val="00D21C83"/>
    <w:rsid w:val="00D25ABA"/>
    <w:rsid w:val="00D35BDD"/>
    <w:rsid w:val="00D63006"/>
    <w:rsid w:val="00D72301"/>
    <w:rsid w:val="00D911DE"/>
    <w:rsid w:val="00D91B97"/>
    <w:rsid w:val="00D93ACC"/>
    <w:rsid w:val="00D93C08"/>
    <w:rsid w:val="00D95DAC"/>
    <w:rsid w:val="00DA0B53"/>
    <w:rsid w:val="00DB1171"/>
    <w:rsid w:val="00DB1519"/>
    <w:rsid w:val="00DB2840"/>
    <w:rsid w:val="00DB5A08"/>
    <w:rsid w:val="00DC1BD3"/>
    <w:rsid w:val="00DC2C1A"/>
    <w:rsid w:val="00DD66B4"/>
    <w:rsid w:val="00DE1972"/>
    <w:rsid w:val="00DE27AB"/>
    <w:rsid w:val="00DF2AB3"/>
    <w:rsid w:val="00DF7250"/>
    <w:rsid w:val="00E00CAA"/>
    <w:rsid w:val="00E03EBF"/>
    <w:rsid w:val="00E05209"/>
    <w:rsid w:val="00E05AC1"/>
    <w:rsid w:val="00E11BCF"/>
    <w:rsid w:val="00E133A7"/>
    <w:rsid w:val="00E2258E"/>
    <w:rsid w:val="00E24DE9"/>
    <w:rsid w:val="00E25345"/>
    <w:rsid w:val="00E260C2"/>
    <w:rsid w:val="00E32596"/>
    <w:rsid w:val="00E368F7"/>
    <w:rsid w:val="00E36EB8"/>
    <w:rsid w:val="00E37FB8"/>
    <w:rsid w:val="00E40B07"/>
    <w:rsid w:val="00E42326"/>
    <w:rsid w:val="00E43544"/>
    <w:rsid w:val="00E44D89"/>
    <w:rsid w:val="00E477EA"/>
    <w:rsid w:val="00E55807"/>
    <w:rsid w:val="00E63B14"/>
    <w:rsid w:val="00E65CA0"/>
    <w:rsid w:val="00E70D9F"/>
    <w:rsid w:val="00E83810"/>
    <w:rsid w:val="00E857A8"/>
    <w:rsid w:val="00E86933"/>
    <w:rsid w:val="00E950F8"/>
    <w:rsid w:val="00E9605B"/>
    <w:rsid w:val="00E97298"/>
    <w:rsid w:val="00E97753"/>
    <w:rsid w:val="00EA0C51"/>
    <w:rsid w:val="00EA7DE7"/>
    <w:rsid w:val="00EB7A8A"/>
    <w:rsid w:val="00EC6FED"/>
    <w:rsid w:val="00EC7F3B"/>
    <w:rsid w:val="00ED5299"/>
    <w:rsid w:val="00EE3A64"/>
    <w:rsid w:val="00EE50E5"/>
    <w:rsid w:val="00EF01CF"/>
    <w:rsid w:val="00F03590"/>
    <w:rsid w:val="00F03622"/>
    <w:rsid w:val="00F077FD"/>
    <w:rsid w:val="00F204F3"/>
    <w:rsid w:val="00F218AB"/>
    <w:rsid w:val="00F21D10"/>
    <w:rsid w:val="00F238B3"/>
    <w:rsid w:val="00F24FED"/>
    <w:rsid w:val="00F25586"/>
    <w:rsid w:val="00F2651D"/>
    <w:rsid w:val="00F27362"/>
    <w:rsid w:val="00F31498"/>
    <w:rsid w:val="00F32FEF"/>
    <w:rsid w:val="00F3719C"/>
    <w:rsid w:val="00F41B1C"/>
    <w:rsid w:val="00F42E13"/>
    <w:rsid w:val="00F42F1C"/>
    <w:rsid w:val="00F43B44"/>
    <w:rsid w:val="00F440E5"/>
    <w:rsid w:val="00F448F6"/>
    <w:rsid w:val="00F52741"/>
    <w:rsid w:val="00F53D8A"/>
    <w:rsid w:val="00F626F7"/>
    <w:rsid w:val="00F736F9"/>
    <w:rsid w:val="00F73833"/>
    <w:rsid w:val="00F7434A"/>
    <w:rsid w:val="00F9211C"/>
    <w:rsid w:val="00FA095D"/>
    <w:rsid w:val="00FA6C8B"/>
    <w:rsid w:val="00FA6CDA"/>
    <w:rsid w:val="00FA7C89"/>
    <w:rsid w:val="00FB4139"/>
    <w:rsid w:val="00FB476E"/>
    <w:rsid w:val="00FC0D90"/>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AF29E"/>
  <w15:docId w15:val="{DDEE480D-52BF-4038-9942-1B7C16C2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7C8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rsid w:val="00F52741"/>
    <w:rPr>
      <w:rFonts w:asciiTheme="minorHAnsi" w:hAnsiTheme="minorHAnsi"/>
      <w:position w:val="6"/>
      <w:sz w:val="18"/>
    </w:rPr>
  </w:style>
  <w:style w:type="paragraph" w:styleId="FootnoteText">
    <w:name w:val="footnote text"/>
    <w:basedOn w:val="Normal"/>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EC6FED"/>
    <w:pPr>
      <w:spacing w:before="240" w:after="240"/>
      <w:jc w:val="center"/>
    </w:pPr>
    <w:rPr>
      <w:b/>
      <w:sz w:val="28"/>
    </w:rPr>
  </w:style>
  <w:style w:type="paragraph" w:customStyle="1" w:styleId="Title1">
    <w:name w:val="Title 1"/>
    <w:basedOn w:val="Source"/>
    <w:next w:val="Title2"/>
    <w:rsid w:val="00EC6FED"/>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aliases w:val="CEO_Hyperlink"/>
    <w:basedOn w:val="DefaultParagraphFont"/>
    <w:uiPriority w:val="99"/>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basedOn w:val="Normal"/>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904230"/>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rsid w:val="005D2C3A"/>
    <w:pPr>
      <w:tabs>
        <w:tab w:val="clear" w:pos="794"/>
        <w:tab w:val="clear" w:pos="1191"/>
        <w:tab w:val="left" w:pos="1134"/>
        <w:tab w:val="left" w:pos="1871"/>
      </w:tabs>
    </w:pPr>
  </w:style>
  <w:style w:type="character" w:styleId="FollowedHyperlink">
    <w:name w:val="FollowedHyperlink"/>
    <w:basedOn w:val="DefaultParagraphFont"/>
    <w:semiHidden/>
    <w:unhideWhenUsed/>
    <w:rsid w:val="00AD4677"/>
    <w:rPr>
      <w:color w:val="800080" w:themeColor="followedHyperlink"/>
      <w:u w:val="single"/>
    </w:rPr>
  </w:style>
  <w:style w:type="character" w:styleId="UnresolvedMention">
    <w:name w:val="Unresolved Mention"/>
    <w:basedOn w:val="DefaultParagraphFont"/>
    <w:uiPriority w:val="99"/>
    <w:semiHidden/>
    <w:unhideWhenUsed/>
    <w:rsid w:val="004B3EC1"/>
    <w:rPr>
      <w:color w:val="605E5C"/>
      <w:shd w:val="clear" w:color="auto" w:fill="E1DFDD"/>
    </w:rPr>
  </w:style>
  <w:style w:type="character" w:customStyle="1" w:styleId="eop">
    <w:name w:val="eop"/>
    <w:basedOn w:val="DefaultParagraphFont"/>
    <w:rsid w:val="004B3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D22-WTDC25-C-0002/fr" TargetMode="External"/><Relationship Id="rId18" Type="http://schemas.openxmlformats.org/officeDocument/2006/relationships/hyperlink" Target="https://www.itu.int/md/D22-WTDC25-C-0002/f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itu.int/md/D26-TDAG33-C-0002/en" TargetMode="External"/><Relationship Id="rId7" Type="http://schemas.openxmlformats.org/officeDocument/2006/relationships/settings" Target="settings.xml"/><Relationship Id="rId12" Type="http://schemas.openxmlformats.org/officeDocument/2006/relationships/hyperlink" Target="https://www.itu.int/md/D26-TDAG33-C-0002/fr" TargetMode="External"/><Relationship Id="rId17" Type="http://schemas.openxmlformats.org/officeDocument/2006/relationships/hyperlink" Target="https://www.itu.int/md/D22-WTDC25-C-0002/f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tu.int/itu-d/meetings/wtdc25/wp-content/uploads/sites/29/2025/11/090-E.pdf" TargetMode="External"/><Relationship Id="rId20" Type="http://schemas.openxmlformats.org/officeDocument/2006/relationships/hyperlink" Target="https://www.itu.int/md/D22-WTDC25-C-0002/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itu.int/dms_pub/itu-d/opb/tdc/D-TDC-WTDC-2022-PDF-F.pdf" TargetMode="External"/><Relationship Id="rId23" Type="http://schemas.openxmlformats.org/officeDocument/2006/relationships/hyperlink" Target="https://www.itu.int/md/D26-TDAG33-C-0002/en" TargetMode="External"/><Relationship Id="rId10" Type="http://schemas.openxmlformats.org/officeDocument/2006/relationships/endnotes" Target="endnotes.xml"/><Relationship Id="rId19" Type="http://schemas.openxmlformats.org/officeDocument/2006/relationships/hyperlink" Target="https://www.itu.int/md/D26-TDAG33-C-0002/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D26-TDAG33-C-0002/fr" TargetMode="External"/><Relationship Id="rId22" Type="http://schemas.openxmlformats.org/officeDocument/2006/relationships/hyperlink" Target="https://www.itu.int/md/D26-TDAG33-C-0002/f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000670-633D-4F9E-9C1D-E70D7D1C056E}">
  <ds:schemaRefs>
    <ds:schemaRef ds:uri="http://schemas.microsoft.com/sharepoint/v3/contenttype/forms"/>
  </ds:schemaRefs>
</ds:datastoreItem>
</file>

<file path=customXml/itemProps2.xml><?xml version="1.0" encoding="utf-8"?>
<ds:datastoreItem xmlns:ds="http://schemas.openxmlformats.org/officeDocument/2006/customXml" ds:itemID="{04AFF22B-E34E-4D13-BF0E-743F259223BD}">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customXml/itemProps3.xml><?xml version="1.0" encoding="utf-8"?>
<ds:datastoreItem xmlns:ds="http://schemas.openxmlformats.org/officeDocument/2006/customXml" ds:itemID="{6F2BB1AA-1BE5-470E-9C9E-C1004C2937AF}">
  <ds:schemaRefs>
    <ds:schemaRef ds:uri="http://schemas.openxmlformats.org/officeDocument/2006/bibliography"/>
  </ds:schemaRefs>
</ds:datastoreItem>
</file>

<file path=customXml/itemProps4.xml><?xml version="1.0" encoding="utf-8"?>
<ds:datastoreItem xmlns:ds="http://schemas.openxmlformats.org/officeDocument/2006/customXml" ds:itemID="{4B1C224A-AFEA-47AE-B11B-7AC68BF8C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879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TDAG19</vt:lpstr>
    </vt:vector>
  </TitlesOfParts>
  <Manager>General Secretariat - Pool</Manager>
  <Company>International Telecommunication Union (ITU)</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TDAG19</dc:title>
  <dc:creator>BDT-nd</dc:creator>
  <cp:lastModifiedBy>French</cp:lastModifiedBy>
  <cp:revision>6</cp:revision>
  <cp:lastPrinted>2014-11-04T09:22:00Z</cp:lastPrinted>
  <dcterms:created xsi:type="dcterms:W3CDTF">2026-03-16T07:28:00Z</dcterms:created>
  <dcterms:modified xsi:type="dcterms:W3CDTF">2026-03-16T09:00:00Z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y fmtid="{D5CDD505-2E9C-101B-9397-08002B2CF9AE}" pid="8" name="ContentTypeId">
    <vt:lpwstr>0x0101000421F7F6C5263B4B928A068E40912AB8</vt:lpwstr>
  </property>
</Properties>
</file>