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37678" w14:paraId="475C61A4" w14:textId="77777777" w:rsidTr="00A023EF">
        <w:trPr>
          <w:cantSplit/>
          <w:trHeight w:val="1134"/>
        </w:trPr>
        <w:tc>
          <w:tcPr>
            <w:tcW w:w="1560" w:type="dxa"/>
          </w:tcPr>
          <w:p w14:paraId="48827F7C" w14:textId="744EF8BA" w:rsidR="00F55058" w:rsidRPr="00F37678" w:rsidRDefault="00076615" w:rsidP="006C5E3F">
            <w:pPr>
              <w:tabs>
                <w:tab w:val="clear" w:pos="1134"/>
              </w:tabs>
              <w:ind w:left="34"/>
              <w:rPr>
                <w:b/>
                <w:bCs/>
                <w:szCs w:val="24"/>
                <w:lang w:val="es-ES"/>
              </w:rPr>
            </w:pPr>
            <w:r w:rsidRPr="00F37678">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F37678" w:rsidRDefault="00F55058" w:rsidP="00F55058">
            <w:pPr>
              <w:tabs>
                <w:tab w:val="clear" w:pos="1134"/>
              </w:tabs>
              <w:spacing w:before="240" w:after="48" w:line="240" w:lineRule="atLeast"/>
              <w:ind w:left="34"/>
              <w:rPr>
                <w:rFonts w:cstheme="minorHAnsi"/>
                <w:b/>
                <w:bCs/>
                <w:lang w:val="es-ES"/>
              </w:rPr>
            </w:pPr>
            <w:r w:rsidRPr="00F37678">
              <w:rPr>
                <w:b/>
                <w:bCs/>
                <w:sz w:val="32"/>
                <w:szCs w:val="32"/>
                <w:lang w:val="es-ES"/>
              </w:rPr>
              <w:t>Conferencia Mundial de Desarrollo de las Telecomunicaciones de 2025 (CMDT-25)</w:t>
            </w:r>
            <w:r w:rsidRPr="00F37678">
              <w:rPr>
                <w:b/>
                <w:bCs/>
                <w:sz w:val="32"/>
                <w:szCs w:val="32"/>
                <w:lang w:val="es-ES"/>
              </w:rPr>
              <w:br/>
            </w:r>
            <w:r w:rsidRPr="00F37678">
              <w:rPr>
                <w:b/>
                <w:bCs/>
                <w:lang w:val="es-ES"/>
              </w:rPr>
              <w:t>Bak</w:t>
            </w:r>
            <w:r w:rsidR="00D90A5E" w:rsidRPr="00F37678">
              <w:rPr>
                <w:b/>
                <w:bCs/>
                <w:lang w:val="es-ES"/>
              </w:rPr>
              <w:t>ú</w:t>
            </w:r>
            <w:r w:rsidRPr="00F37678">
              <w:rPr>
                <w:b/>
                <w:bCs/>
                <w:lang w:val="es-ES"/>
              </w:rPr>
              <w:t>, República de Azerbaiyán,</w:t>
            </w:r>
            <w:r w:rsidRPr="00F37678">
              <w:rPr>
                <w:b/>
                <w:bCs/>
                <w:szCs w:val="24"/>
                <w:lang w:val="es-ES"/>
              </w:rPr>
              <w:t xml:space="preserve"> </w:t>
            </w:r>
            <w:r w:rsidRPr="00F37678">
              <w:rPr>
                <w:b/>
                <w:bCs/>
                <w:lang w:val="es-ES"/>
              </w:rPr>
              <w:t>17</w:t>
            </w:r>
            <w:r w:rsidR="00F9616C" w:rsidRPr="00F37678">
              <w:rPr>
                <w:sz w:val="18"/>
                <w:szCs w:val="18"/>
                <w:lang w:val="es-ES"/>
              </w:rPr>
              <w:t>-</w:t>
            </w:r>
            <w:r w:rsidRPr="00F37678">
              <w:rPr>
                <w:b/>
                <w:bCs/>
                <w:lang w:val="es-ES"/>
              </w:rPr>
              <w:t>28 de noviembre de 2025</w:t>
            </w:r>
          </w:p>
        </w:tc>
        <w:tc>
          <w:tcPr>
            <w:tcW w:w="1842" w:type="dxa"/>
          </w:tcPr>
          <w:p w14:paraId="5CA52A80" w14:textId="7E9EA92E" w:rsidR="00F55058" w:rsidRPr="00F37678" w:rsidRDefault="00D90A5E" w:rsidP="006C5E3F">
            <w:pPr>
              <w:tabs>
                <w:tab w:val="clear" w:pos="1134"/>
              </w:tabs>
              <w:spacing w:line="240" w:lineRule="atLeast"/>
              <w:ind w:left="34"/>
              <w:jc w:val="right"/>
              <w:rPr>
                <w:rFonts w:cstheme="minorHAnsi"/>
                <w:b/>
                <w:bCs/>
                <w:lang w:val="es-ES"/>
              </w:rPr>
            </w:pPr>
            <w:bookmarkStart w:id="0" w:name="ditulogo"/>
            <w:bookmarkEnd w:id="0"/>
            <w:r w:rsidRPr="00F37678">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37678" w14:paraId="55C01F90" w14:textId="77777777" w:rsidTr="00A023EF">
        <w:trPr>
          <w:cantSplit/>
        </w:trPr>
        <w:tc>
          <w:tcPr>
            <w:tcW w:w="6530" w:type="dxa"/>
            <w:gridSpan w:val="2"/>
            <w:tcBorders>
              <w:top w:val="single" w:sz="12" w:space="0" w:color="auto"/>
            </w:tcBorders>
          </w:tcPr>
          <w:p w14:paraId="732B78F2" w14:textId="77777777" w:rsidR="00D83BF5" w:rsidRPr="00F37678"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F37678" w:rsidRDefault="00D83BF5" w:rsidP="00B951D0">
            <w:pPr>
              <w:spacing w:before="0" w:line="240" w:lineRule="atLeast"/>
              <w:rPr>
                <w:rFonts w:cstheme="minorHAnsi"/>
                <w:sz w:val="20"/>
                <w:lang w:val="es-ES"/>
              </w:rPr>
            </w:pPr>
          </w:p>
        </w:tc>
      </w:tr>
      <w:tr w:rsidR="007A1872" w:rsidRPr="00F37678" w14:paraId="29BC3FC4" w14:textId="77777777" w:rsidTr="00A023EF">
        <w:trPr>
          <w:cantSplit/>
          <w:trHeight w:val="23"/>
        </w:trPr>
        <w:tc>
          <w:tcPr>
            <w:tcW w:w="6530" w:type="dxa"/>
            <w:gridSpan w:val="2"/>
            <w:shd w:val="clear" w:color="auto" w:fill="auto"/>
          </w:tcPr>
          <w:p w14:paraId="4687B7D2" w14:textId="0104720E" w:rsidR="007A1872" w:rsidRPr="00F37678"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F37678">
              <w:rPr>
                <w:rFonts w:cstheme="minorHAnsi"/>
                <w:b/>
                <w:szCs w:val="24"/>
                <w:lang w:val="es-ES"/>
              </w:rPr>
              <w:t>SESIÓN PLENARIA</w:t>
            </w:r>
          </w:p>
        </w:tc>
        <w:tc>
          <w:tcPr>
            <w:tcW w:w="3251" w:type="dxa"/>
            <w:gridSpan w:val="2"/>
          </w:tcPr>
          <w:p w14:paraId="06FADB01" w14:textId="77777777" w:rsidR="002E0363" w:rsidRPr="00F37678" w:rsidRDefault="002E0363" w:rsidP="0003264C">
            <w:pPr>
              <w:tabs>
                <w:tab w:val="left" w:pos="851"/>
              </w:tabs>
              <w:spacing w:before="0" w:line="240" w:lineRule="atLeast"/>
              <w:rPr>
                <w:rFonts w:cstheme="minorHAnsi"/>
                <w:b/>
                <w:szCs w:val="24"/>
                <w:lang w:val="es-ES"/>
              </w:rPr>
            </w:pPr>
            <w:r w:rsidRPr="00F37678">
              <w:rPr>
                <w:rFonts w:cstheme="minorHAnsi"/>
                <w:b/>
                <w:szCs w:val="24"/>
                <w:lang w:val="es-ES"/>
              </w:rPr>
              <w:t>Revisión 1 al</w:t>
            </w:r>
          </w:p>
          <w:p w14:paraId="5FA3CB54" w14:textId="165A7370" w:rsidR="007A1872" w:rsidRPr="00F37678" w:rsidRDefault="007A1872" w:rsidP="0003264C">
            <w:pPr>
              <w:tabs>
                <w:tab w:val="left" w:pos="851"/>
              </w:tabs>
              <w:spacing w:before="0" w:line="240" w:lineRule="atLeast"/>
              <w:rPr>
                <w:rFonts w:cstheme="minorHAnsi"/>
                <w:b/>
                <w:szCs w:val="24"/>
                <w:lang w:val="es-ES"/>
              </w:rPr>
            </w:pPr>
            <w:r w:rsidRPr="00F37678">
              <w:rPr>
                <w:rFonts w:cstheme="minorHAnsi"/>
                <w:b/>
                <w:szCs w:val="24"/>
                <w:lang w:val="es-ES"/>
              </w:rPr>
              <w:t xml:space="preserve">Documento </w:t>
            </w:r>
            <w:r w:rsidR="001451CC" w:rsidRPr="00F37678">
              <w:rPr>
                <w:rFonts w:cstheme="minorHAnsi"/>
                <w:b/>
                <w:szCs w:val="24"/>
                <w:lang w:val="es-ES"/>
              </w:rPr>
              <w:t>WTDC-25/</w:t>
            </w:r>
            <w:r w:rsidR="002E0363" w:rsidRPr="00F37678">
              <w:rPr>
                <w:rFonts w:cstheme="minorHAnsi"/>
                <w:b/>
                <w:szCs w:val="24"/>
                <w:lang w:val="es-ES"/>
              </w:rPr>
              <w:t>16</w:t>
            </w:r>
            <w:r w:rsidRPr="00F37678">
              <w:rPr>
                <w:rFonts w:cstheme="minorHAnsi"/>
                <w:b/>
                <w:szCs w:val="24"/>
                <w:lang w:val="es-ES"/>
              </w:rPr>
              <w:t>-S</w:t>
            </w:r>
          </w:p>
        </w:tc>
      </w:tr>
      <w:tr w:rsidR="007A1872" w:rsidRPr="00F37678" w14:paraId="4A22DCC8" w14:textId="77777777" w:rsidTr="00A023EF">
        <w:trPr>
          <w:cantSplit/>
          <w:trHeight w:val="23"/>
        </w:trPr>
        <w:tc>
          <w:tcPr>
            <w:tcW w:w="6530" w:type="dxa"/>
            <w:gridSpan w:val="2"/>
            <w:shd w:val="clear" w:color="auto" w:fill="auto"/>
          </w:tcPr>
          <w:p w14:paraId="35E70B69" w14:textId="5BE875FE" w:rsidR="007A1872" w:rsidRPr="00F37678"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23C024DB" w:rsidR="007A1872" w:rsidRPr="00F37678" w:rsidRDefault="002E0363" w:rsidP="007A1872">
            <w:pPr>
              <w:spacing w:before="0" w:line="240" w:lineRule="atLeast"/>
              <w:rPr>
                <w:rFonts w:cstheme="minorHAnsi"/>
                <w:b/>
                <w:szCs w:val="24"/>
                <w:lang w:val="es-ES"/>
              </w:rPr>
            </w:pPr>
            <w:r w:rsidRPr="00F37678">
              <w:rPr>
                <w:rFonts w:cstheme="minorHAnsi"/>
                <w:b/>
                <w:szCs w:val="24"/>
                <w:lang w:val="es-ES"/>
              </w:rPr>
              <w:t>12</w:t>
            </w:r>
            <w:r w:rsidR="007A1872" w:rsidRPr="00F37678">
              <w:rPr>
                <w:rFonts w:cstheme="minorHAnsi"/>
                <w:b/>
                <w:szCs w:val="24"/>
                <w:lang w:val="es-ES"/>
              </w:rPr>
              <w:t xml:space="preserve"> de </w:t>
            </w:r>
            <w:r w:rsidRPr="00F37678">
              <w:rPr>
                <w:rFonts w:cstheme="minorHAnsi"/>
                <w:b/>
                <w:szCs w:val="24"/>
                <w:lang w:val="es-ES"/>
              </w:rPr>
              <w:t>noviembre</w:t>
            </w:r>
            <w:r w:rsidR="007A1872" w:rsidRPr="00F37678">
              <w:rPr>
                <w:rFonts w:cstheme="minorHAnsi"/>
                <w:b/>
                <w:szCs w:val="24"/>
                <w:lang w:val="es-ES"/>
              </w:rPr>
              <w:t xml:space="preserve"> de 2025</w:t>
            </w:r>
          </w:p>
        </w:tc>
      </w:tr>
      <w:tr w:rsidR="007A1872" w:rsidRPr="00F37678" w14:paraId="7CFB63D8" w14:textId="77777777" w:rsidTr="00A023EF">
        <w:trPr>
          <w:cantSplit/>
          <w:trHeight w:val="23"/>
        </w:trPr>
        <w:tc>
          <w:tcPr>
            <w:tcW w:w="6530" w:type="dxa"/>
            <w:gridSpan w:val="2"/>
            <w:shd w:val="clear" w:color="auto" w:fill="auto"/>
          </w:tcPr>
          <w:p w14:paraId="367CD2E0" w14:textId="54957AFE" w:rsidR="007A1872" w:rsidRPr="00F37678"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F37678" w:rsidRDefault="007A1872" w:rsidP="007A1872">
            <w:pPr>
              <w:tabs>
                <w:tab w:val="left" w:pos="993"/>
              </w:tabs>
              <w:spacing w:before="0"/>
              <w:rPr>
                <w:rFonts w:cstheme="minorHAnsi"/>
                <w:b/>
                <w:szCs w:val="24"/>
                <w:lang w:val="es-ES"/>
              </w:rPr>
            </w:pPr>
            <w:r w:rsidRPr="00F37678">
              <w:rPr>
                <w:rFonts w:cstheme="minorHAnsi"/>
                <w:b/>
                <w:szCs w:val="24"/>
                <w:lang w:val="es-ES"/>
              </w:rPr>
              <w:t>Original: inglés</w:t>
            </w:r>
          </w:p>
        </w:tc>
      </w:tr>
      <w:tr w:rsidR="002E0363" w:rsidRPr="00F37678" w14:paraId="4F18A1B1" w14:textId="77777777" w:rsidTr="00A023EF">
        <w:trPr>
          <w:cantSplit/>
          <w:trHeight w:val="23"/>
        </w:trPr>
        <w:tc>
          <w:tcPr>
            <w:tcW w:w="9781" w:type="dxa"/>
            <w:gridSpan w:val="4"/>
            <w:shd w:val="clear" w:color="auto" w:fill="auto"/>
          </w:tcPr>
          <w:p w14:paraId="5332634F" w14:textId="5CBCB986" w:rsidR="002E0363" w:rsidRPr="00F37678" w:rsidRDefault="002E0363" w:rsidP="002E0363">
            <w:pPr>
              <w:pStyle w:val="Source"/>
              <w:spacing w:before="240" w:after="240"/>
              <w:rPr>
                <w:lang w:val="es-ES"/>
              </w:rPr>
            </w:pPr>
            <w:r w:rsidRPr="00F37678">
              <w:rPr>
                <w:bCs/>
                <w:color w:val="000000"/>
                <w:lang w:val="es-ES"/>
              </w:rPr>
              <w:t>Director de la Oficina de Desarrollo de las Telecomunicaciones</w:t>
            </w:r>
          </w:p>
        </w:tc>
      </w:tr>
      <w:tr w:rsidR="002E0363" w:rsidRPr="00F37678" w14:paraId="3C62B6C1" w14:textId="77777777" w:rsidTr="00A023EF">
        <w:trPr>
          <w:cantSplit/>
          <w:trHeight w:val="23"/>
        </w:trPr>
        <w:tc>
          <w:tcPr>
            <w:tcW w:w="9781" w:type="dxa"/>
            <w:gridSpan w:val="4"/>
            <w:shd w:val="clear" w:color="auto" w:fill="auto"/>
            <w:vAlign w:val="center"/>
          </w:tcPr>
          <w:p w14:paraId="7EFFF4E3" w14:textId="086F117D" w:rsidR="002E0363" w:rsidRPr="00F37678" w:rsidRDefault="002E0363" w:rsidP="002E0363">
            <w:pPr>
              <w:pStyle w:val="Title1"/>
              <w:spacing w:before="120" w:after="120"/>
              <w:rPr>
                <w:lang w:val="es-ES"/>
              </w:rPr>
            </w:pPr>
            <w:r w:rsidRPr="00F37678">
              <w:rPr>
                <w:color w:val="000000"/>
                <w:lang w:val="es-ES"/>
              </w:rPr>
              <w:t>Informe sobre las actividades de la BDT en apoyo a los países menos adelantados (PMA), los países en desarrollo sin litoral (PDSL) y los pequeños Estados insulares en desarrollo (PEID)</w:t>
            </w:r>
          </w:p>
        </w:tc>
      </w:tr>
      <w:tr w:rsidR="007A1872" w:rsidRPr="00F37678" w14:paraId="401EDD74" w14:textId="77777777" w:rsidTr="00A023EF">
        <w:trPr>
          <w:cantSplit/>
          <w:trHeight w:val="23"/>
        </w:trPr>
        <w:tc>
          <w:tcPr>
            <w:tcW w:w="9781" w:type="dxa"/>
            <w:gridSpan w:val="4"/>
            <w:shd w:val="clear" w:color="auto" w:fill="auto"/>
          </w:tcPr>
          <w:p w14:paraId="3209E18E" w14:textId="41061CE6" w:rsidR="007A1872" w:rsidRPr="00F37678" w:rsidRDefault="007A1872" w:rsidP="007A1872">
            <w:pPr>
              <w:pStyle w:val="Title2"/>
              <w:spacing w:before="240"/>
              <w:rPr>
                <w:lang w:val="es-ES"/>
              </w:rPr>
            </w:pPr>
          </w:p>
        </w:tc>
      </w:tr>
      <w:tr w:rsidR="007A1872" w:rsidRPr="00F37678" w14:paraId="0661C2E9" w14:textId="77777777" w:rsidTr="00A023EF">
        <w:trPr>
          <w:cantSplit/>
          <w:trHeight w:val="23"/>
        </w:trPr>
        <w:tc>
          <w:tcPr>
            <w:tcW w:w="9781" w:type="dxa"/>
            <w:gridSpan w:val="4"/>
            <w:shd w:val="clear" w:color="auto" w:fill="auto"/>
          </w:tcPr>
          <w:p w14:paraId="091504B1" w14:textId="30592BF6" w:rsidR="007A1872" w:rsidRPr="00F37678" w:rsidRDefault="007A1872" w:rsidP="007A1872">
            <w:pPr>
              <w:pStyle w:val="Title2"/>
              <w:spacing w:before="240"/>
              <w:rPr>
                <w:lang w:val="es-ES"/>
              </w:rPr>
            </w:pPr>
          </w:p>
        </w:tc>
      </w:tr>
      <w:bookmarkEnd w:id="6"/>
      <w:bookmarkEnd w:id="7"/>
      <w:tr w:rsidR="00A023EF" w:rsidRPr="00F37678"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440530D" w14:textId="77777777" w:rsidR="002E0363" w:rsidRPr="00F37678" w:rsidRDefault="00A023EF" w:rsidP="002E0363">
            <w:pPr>
              <w:spacing w:after="120"/>
              <w:rPr>
                <w:rFonts w:cs="Times New Roman Bold"/>
                <w:b/>
                <w:bCs/>
                <w:szCs w:val="24"/>
                <w:lang w:val="es-ES"/>
              </w:rPr>
            </w:pPr>
            <w:r w:rsidRPr="00F37678">
              <w:rPr>
                <w:rFonts w:cs="Times New Roman Bold"/>
                <w:b/>
                <w:bCs/>
                <w:szCs w:val="24"/>
                <w:lang w:val="es-ES"/>
              </w:rPr>
              <w:t>Área prioritaria:</w:t>
            </w:r>
          </w:p>
          <w:p w14:paraId="3BE243F6" w14:textId="7E9A65CD" w:rsidR="002E0363" w:rsidRPr="00F37678" w:rsidRDefault="002E0363" w:rsidP="002E0363">
            <w:pPr>
              <w:spacing w:after="120"/>
              <w:rPr>
                <w:color w:val="000000"/>
                <w:lang w:val="es-ES"/>
              </w:rPr>
            </w:pPr>
            <w:r w:rsidRPr="00F37678">
              <w:rPr>
                <w:color w:val="000000"/>
                <w:lang w:val="es-ES"/>
              </w:rPr>
              <w:t>Conectividad asequible, transformación digital, entorno político y reglamentario propicio, movilización de recursos y cooperación internacional, y telecomunicaciones/TIC inclusivas y seguras para el desarrollo sostenible.</w:t>
            </w:r>
          </w:p>
          <w:p w14:paraId="72560044" w14:textId="77777777" w:rsidR="002E0363" w:rsidRPr="00F37678" w:rsidRDefault="002E0363" w:rsidP="002E0363">
            <w:pPr>
              <w:spacing w:after="120"/>
              <w:rPr>
                <w:rFonts w:eastAsiaTheme="minorEastAsia" w:cstheme="minorHAnsi"/>
                <w:b/>
                <w:szCs w:val="24"/>
                <w:lang w:val="es-ES"/>
              </w:rPr>
            </w:pPr>
            <w:r w:rsidRPr="00F37678">
              <w:rPr>
                <w:b/>
                <w:bCs/>
                <w:color w:val="000000"/>
                <w:lang w:val="es-ES"/>
              </w:rPr>
              <w:t>Resumen:</w:t>
            </w:r>
          </w:p>
          <w:p w14:paraId="685530FA" w14:textId="77777777" w:rsidR="002E0363" w:rsidRPr="00F37678" w:rsidRDefault="002E0363" w:rsidP="002E0363">
            <w:pPr>
              <w:spacing w:after="120"/>
              <w:rPr>
                <w:rFonts w:eastAsiaTheme="minorEastAsia" w:cstheme="minorBidi"/>
                <w:lang w:val="es-ES"/>
              </w:rPr>
            </w:pPr>
            <w:r w:rsidRPr="00F37678">
              <w:rPr>
                <w:color w:val="000000"/>
                <w:lang w:val="es-ES"/>
              </w:rPr>
              <w:t>En este documento se presentan los trabajos realizados por la Oficina de Desarrollo de las Telecomunicaciones (BDT) desde la CMDT-22 en relación con los países menos adelantados (PMA), los países en desarrollo sin litoral (PDSL) y los pequeños Estados insulares en desarrollo (PEID). El informe contiene información sobre la contribución de la BDT de la Unión Internacional de Telecomunicaciones (UIT) a las conferencias mundiales en las que se adoptaron programas de acción para cada uno de esos países, así como una visión general de las actividades del plan operacional y proyectos del Sector de Desarrollo de las Telecomunicaciones de la UIT (UIT-D) pertinentes que han contribuido a promover la transformación digital y la conectividad universal efectiva en los PMA, los PDSL y los PEID.</w:t>
            </w:r>
          </w:p>
          <w:p w14:paraId="2744E5D3" w14:textId="77777777" w:rsidR="002E0363" w:rsidRPr="00F37678" w:rsidRDefault="002E0363" w:rsidP="002E0363">
            <w:pPr>
              <w:spacing w:after="120"/>
              <w:rPr>
                <w:rFonts w:eastAsiaTheme="minorEastAsia" w:cstheme="minorHAnsi"/>
                <w:b/>
                <w:lang w:val="es-ES"/>
              </w:rPr>
            </w:pPr>
            <w:r w:rsidRPr="00F37678">
              <w:rPr>
                <w:b/>
                <w:bCs/>
                <w:color w:val="000000"/>
                <w:lang w:val="es-ES"/>
              </w:rPr>
              <w:t>Resultados previstos:</w:t>
            </w:r>
          </w:p>
          <w:p w14:paraId="1931A4EC" w14:textId="22072852" w:rsidR="002E0363" w:rsidRPr="00F37678" w:rsidRDefault="002E0363" w:rsidP="002E0363">
            <w:pPr>
              <w:spacing w:after="120"/>
              <w:rPr>
                <w:rFonts w:eastAsiaTheme="minorEastAsia" w:cstheme="minorHAnsi"/>
                <w:szCs w:val="24"/>
                <w:lang w:val="es-ES"/>
              </w:rPr>
            </w:pPr>
            <w:r w:rsidRPr="00F37678">
              <w:rPr>
                <w:color w:val="000000"/>
                <w:lang w:val="es-ES"/>
              </w:rPr>
              <w:t>Se invita a la CMDT-25 a tomar nota del presente documento.</w:t>
            </w:r>
          </w:p>
          <w:p w14:paraId="2090C056" w14:textId="77777777" w:rsidR="002E0363" w:rsidRPr="00F37678" w:rsidRDefault="002E0363" w:rsidP="002E0363">
            <w:pPr>
              <w:spacing w:after="120"/>
              <w:rPr>
                <w:rFonts w:eastAsiaTheme="minorEastAsia" w:cstheme="minorHAnsi"/>
                <w:b/>
                <w:lang w:val="es-ES"/>
              </w:rPr>
            </w:pPr>
            <w:r w:rsidRPr="00F37678">
              <w:rPr>
                <w:b/>
                <w:bCs/>
                <w:color w:val="000000"/>
                <w:lang w:val="es-ES"/>
              </w:rPr>
              <w:t>Referencias:</w:t>
            </w:r>
          </w:p>
          <w:p w14:paraId="1D4C986E" w14:textId="6C2F6B78" w:rsidR="00A023EF" w:rsidRPr="00F37678" w:rsidRDefault="002E0363" w:rsidP="002E0363">
            <w:pPr>
              <w:rPr>
                <w:lang w:val="es-ES"/>
              </w:rPr>
            </w:pPr>
            <w:hyperlink r:id="rId14" w:history="1">
              <w:r w:rsidRPr="00F37678">
                <w:rPr>
                  <w:rStyle w:val="Hyperlink"/>
                  <w:lang w:val="es-ES"/>
                </w:rPr>
                <w:t>Resolución 16 (Rev. Buenos Aires, 2017) de la CMDT-22</w:t>
              </w:r>
            </w:hyperlink>
            <w:r w:rsidRPr="00F37678">
              <w:rPr>
                <w:lang w:val="es-ES"/>
              </w:rPr>
              <w:t xml:space="preserve">, </w:t>
            </w:r>
            <w:hyperlink r:id="rId15" w:history="1">
              <w:r w:rsidRPr="00F37678">
                <w:rPr>
                  <w:rStyle w:val="Hyperlink"/>
                  <w:lang w:val="es-ES"/>
                </w:rPr>
                <w:t>WTDC25/2</w:t>
              </w:r>
            </w:hyperlink>
            <w:r w:rsidRPr="00F37678">
              <w:rPr>
                <w:lang w:val="es-ES"/>
              </w:rPr>
              <w:t xml:space="preserve">, </w:t>
            </w:r>
            <w:hyperlink r:id="rId16" w:history="1">
              <w:r w:rsidRPr="00F37678">
                <w:rPr>
                  <w:rStyle w:val="Hyperlink"/>
                  <w:lang w:val="es-ES"/>
                </w:rPr>
                <w:t>Resolución 30 (Rev. Bucarest, 2022) de la PP-22</w:t>
              </w:r>
            </w:hyperlink>
          </w:p>
        </w:tc>
      </w:tr>
    </w:tbl>
    <w:p w14:paraId="420F62B3" w14:textId="5E97A1F4" w:rsidR="00A023EF" w:rsidRPr="00F37678" w:rsidRDefault="00A023EF" w:rsidP="00A023EF">
      <w:pPr>
        <w:rPr>
          <w:lang w:val="es-ES"/>
        </w:rPr>
      </w:pPr>
    </w:p>
    <w:p w14:paraId="7A2CF7BD" w14:textId="77777777" w:rsidR="00A023EF" w:rsidRPr="00F37678" w:rsidRDefault="00A023EF">
      <w:pPr>
        <w:tabs>
          <w:tab w:val="clear" w:pos="1134"/>
          <w:tab w:val="clear" w:pos="1871"/>
          <w:tab w:val="clear" w:pos="2268"/>
        </w:tabs>
        <w:overflowPunct/>
        <w:autoSpaceDE/>
        <w:autoSpaceDN/>
        <w:adjustRightInd/>
        <w:spacing w:before="0"/>
        <w:textAlignment w:val="auto"/>
        <w:rPr>
          <w:lang w:val="es-ES"/>
        </w:rPr>
      </w:pPr>
      <w:r w:rsidRPr="00F37678">
        <w:rPr>
          <w:lang w:val="es-ES"/>
        </w:rPr>
        <w:br w:type="page"/>
      </w:r>
    </w:p>
    <w:p w14:paraId="383B8CA4" w14:textId="77777777" w:rsidR="002E0363" w:rsidRPr="00F37678" w:rsidRDefault="002E0363" w:rsidP="002E0363">
      <w:pPr>
        <w:pStyle w:val="Heading1"/>
        <w:rPr>
          <w:rFonts w:eastAsiaTheme="minorEastAsia" w:cstheme="minorHAnsi"/>
          <w:sz w:val="24"/>
          <w:szCs w:val="24"/>
          <w:lang w:val="es-ES"/>
        </w:rPr>
      </w:pPr>
      <w:r w:rsidRPr="00F37678">
        <w:rPr>
          <w:lang w:val="es-ES"/>
        </w:rPr>
        <w:lastRenderedPageBreak/>
        <w:t>1</w:t>
      </w:r>
      <w:r w:rsidRPr="00F37678">
        <w:rPr>
          <w:lang w:val="es-ES"/>
        </w:rPr>
        <w:tab/>
        <w:t>Introducción</w:t>
      </w:r>
    </w:p>
    <w:p w14:paraId="5F8F4E49" w14:textId="7F7A14CC" w:rsidR="002E0363" w:rsidRPr="00F37678" w:rsidRDefault="002E0363" w:rsidP="002E0363">
      <w:pPr>
        <w:rPr>
          <w:rFonts w:eastAsia="Calibri" w:cstheme="minorBidi"/>
          <w:lang w:val="es-ES"/>
        </w:rPr>
      </w:pPr>
      <w:r w:rsidRPr="00F37678">
        <w:rPr>
          <w:lang w:val="es-ES"/>
        </w:rPr>
        <w:t>La Conferencia Mundial de Desarrollo de las Telecomunicaciones (CMDT), celebrada en Kigali en 2022, reafirmó el compromiso de la Oficina de Desarrollo de las Telecomunicaciones (BDT) de la UIT de prestar asistencia a los países menos adelantados (PMA), los países en desarrollo sin litoral (PDSL) y los pequeños Estados insulares en desarrollo (PEID)</w:t>
      </w:r>
      <w:r w:rsidRPr="00F37678">
        <w:rPr>
          <w:rStyle w:val="FootnoteReference"/>
          <w:rFonts w:eastAsiaTheme="minorEastAsia" w:cstheme="minorBidi"/>
          <w:lang w:val="es-ES"/>
        </w:rPr>
        <w:footnoteReference w:id="1"/>
      </w:r>
      <w:r w:rsidRPr="00F37678">
        <w:rPr>
          <w:lang w:val="es-ES"/>
        </w:rPr>
        <w:t>. La Conferencia destacó la importante contribución de unas telecomunicaciones y TIC sólidas al desarrollo socioeconómico. Por este motivo, la reorganización de la BDT de 2024 estableció una unidad especializada centrada en la prestación de apoyo específico a PMA, PDSL, PEID y países con necesidades especiales en todos los ámbitos sujetos al mandato de la Oficina.</w:t>
      </w:r>
    </w:p>
    <w:p w14:paraId="17BB3724" w14:textId="77777777" w:rsidR="002E0363" w:rsidRPr="00F37678" w:rsidRDefault="002E0363" w:rsidP="002E0363">
      <w:pPr>
        <w:pStyle w:val="Heading1"/>
        <w:rPr>
          <w:rFonts w:eastAsia="SimSun" w:cstheme="minorHAnsi"/>
          <w:lang w:val="es-ES"/>
        </w:rPr>
      </w:pPr>
      <w:r w:rsidRPr="00F37678">
        <w:rPr>
          <w:lang w:val="es-ES"/>
        </w:rPr>
        <w:t>2</w:t>
      </w:r>
      <w:r w:rsidRPr="00F37678">
        <w:rPr>
          <w:lang w:val="es-ES"/>
        </w:rPr>
        <w:tab/>
        <w:t>Situación del desarrollo digital de los PMA, los PDSL y los PEID</w:t>
      </w:r>
      <w:r w:rsidRPr="00F37678">
        <w:rPr>
          <w:rStyle w:val="FootnoteReference"/>
          <w:rFonts w:eastAsiaTheme="minorEastAsia"/>
          <w:lang w:val="es-ES"/>
        </w:rPr>
        <w:footnoteReference w:id="2"/>
      </w:r>
    </w:p>
    <w:p w14:paraId="043F13C8" w14:textId="4B086D22" w:rsidR="002E0363" w:rsidRPr="00F37678" w:rsidRDefault="002E0363" w:rsidP="002E0363">
      <w:pPr>
        <w:rPr>
          <w:rFonts w:eastAsia="SimSun" w:cstheme="minorBidi"/>
          <w:lang w:val="es-ES"/>
        </w:rPr>
      </w:pPr>
      <w:r w:rsidRPr="00F37678">
        <w:rPr>
          <w:b/>
          <w:bCs/>
          <w:lang w:val="es-ES"/>
        </w:rPr>
        <w:t>Visión general</w:t>
      </w:r>
      <w:r w:rsidRPr="00F37678">
        <w:rPr>
          <w:rStyle w:val="FootnoteReference"/>
          <w:rFonts w:eastAsia="SimSun" w:cstheme="minorBidi"/>
          <w:b/>
          <w:bCs/>
          <w:lang w:val="es-ES"/>
        </w:rPr>
        <w:footnoteReference w:id="3"/>
      </w:r>
      <w:r w:rsidRPr="00F37678">
        <w:rPr>
          <w:b/>
          <w:bCs/>
          <w:lang w:val="es-ES"/>
        </w:rPr>
        <w:t xml:space="preserve">: </w:t>
      </w:r>
      <w:r w:rsidRPr="00F37678">
        <w:rPr>
          <w:lang w:val="es-ES"/>
        </w:rPr>
        <w:t>Los PMA, los PDSL y los PEID continúan enfrentándose a problemas propios a la hora de impulsar la conectividad digital. La distancia geográfica, el pequeño tamaño o la dispersión de las poblaciones, la escasez de infraestructuras y la vulnerabilidad económica dificultan y encarecen el despliegue de redes y la prestación de servicios. Pese a estas limitaciones, los tres grupos han registrado un progreso constante entre 2020 y 2024. Según las estimaciones de la UIT para 2025, la utilización de Internet aumentó del 25 % al 35 % en los PMA, del 30 % al 39 % en los PDSL y del 60 % al 65 % en los PEID, en comparación con una media global del 68 % en 2024. La juventud sigue siendo el grupo más conectado: en los PMA, el 52 % de los jóvenes utilizó Internet en 2024, frente al 31 % de la población de más edad, y se observa una tendencia similar en los PDSL. La brecha de género en cuanto a utilización de Internet persiste, pero se está reduciendo. En los PMA, el 29 % de las mujeres y el 41 % de los hombres utilizaron Internet en 2024, mientras que los PEID casi han alcanzado la paridad de género, con un 64 % tanto de mujeres como de hombres en línea.</w:t>
      </w:r>
    </w:p>
    <w:p w14:paraId="02E69FE0" w14:textId="0395ECB4" w:rsidR="002E0363" w:rsidRPr="00F37678" w:rsidRDefault="002E0363" w:rsidP="002E0363">
      <w:pPr>
        <w:rPr>
          <w:rFonts w:eastAsia="SimSun" w:cstheme="minorBidi"/>
          <w:lang w:val="es-ES"/>
        </w:rPr>
      </w:pPr>
      <w:r w:rsidRPr="00F37678">
        <w:rPr>
          <w:lang w:val="es-ES"/>
        </w:rPr>
        <w:t xml:space="preserve">También se han registrado progresos en materia de ciberseguridad. El Índice Mundial de Ciberseguridad (ICG) muestra que se han reducido las diferencias entre los PMA y PDSL y otros países en desarrollo en un 27 % y un 20 % respectivamente entre 2017 y 2024. Además, en el caso de los PEID la diferencia disminuyó un 14 %. Estas mejoras indican un mayor interés por fortalecer la resiliencia de la ciberseguridad en estos países. </w:t>
      </w:r>
    </w:p>
    <w:p w14:paraId="648FFB09" w14:textId="3FA621DA" w:rsidR="002E0363" w:rsidRPr="00F37678" w:rsidRDefault="002E0363" w:rsidP="002E0363">
      <w:pPr>
        <w:rPr>
          <w:rFonts w:eastAsia="SimSun" w:cstheme="minorBidi"/>
          <w:lang w:val="es-ES"/>
        </w:rPr>
      </w:pPr>
      <w:r w:rsidRPr="00F37678">
        <w:rPr>
          <w:lang w:val="es-ES"/>
        </w:rPr>
        <w:t>En 2024, la cobertura de banda ancha móvil siguió ampliándose, hasta el 85 % de la población en los PMA, el 86 % en los PDSL y el 85 % en los PEID, en comparación con un promedio mundial del 96 %. La asequibilidad también mejoró: el precio de una cesta de banda ancha móvil solo para datos de 2 GB cayó al 4,6 % del ingreso nacional bruno (INB) per cápita en los PMA y al 2 % aproximadamente en los PDSL y PEID, en comparación con el 1,4 % a nivel mundial.</w:t>
      </w:r>
    </w:p>
    <w:p w14:paraId="029E7DFD" w14:textId="636D810F" w:rsidR="002E0363" w:rsidRPr="00F37678" w:rsidRDefault="002E0363" w:rsidP="002E0363">
      <w:pPr>
        <w:pStyle w:val="Heading1"/>
        <w:rPr>
          <w:rFonts w:eastAsiaTheme="minorEastAsia" w:cstheme="minorBidi"/>
          <w:lang w:val="es-ES"/>
        </w:rPr>
      </w:pPr>
      <w:r w:rsidRPr="00F37678">
        <w:rPr>
          <w:lang w:val="es-ES"/>
        </w:rPr>
        <w:lastRenderedPageBreak/>
        <w:t>3</w:t>
      </w:r>
      <w:r w:rsidRPr="00F37678">
        <w:rPr>
          <w:lang w:val="es-ES"/>
        </w:rPr>
        <w:tab/>
        <w:t>Actividades del plan operacional en los PMA, los PDSL y los PEID</w:t>
      </w:r>
    </w:p>
    <w:p w14:paraId="155404BE" w14:textId="7AFD069F" w:rsidR="002E0363" w:rsidRPr="00F37678" w:rsidRDefault="002E0363" w:rsidP="002E0363">
      <w:pPr>
        <w:rPr>
          <w:rFonts w:eastAsiaTheme="minorEastAsia" w:cstheme="minorBidi"/>
          <w:lang w:val="es-ES"/>
        </w:rPr>
      </w:pPr>
      <w:r w:rsidRPr="00F37678">
        <w:rPr>
          <w:lang w:val="es-ES"/>
        </w:rPr>
        <w:t>Entre enero de 2023 y agosto de 2025, la BDT llevó a cabo actividades del plan operacional de apoyo a PMA, PDSL y PEID</w:t>
      </w:r>
      <w:r w:rsidRPr="00F37678">
        <w:rPr>
          <w:rStyle w:val="FootnoteReference"/>
          <w:rFonts w:eastAsiaTheme="minorEastAsia" w:cstheme="minorBidi"/>
          <w:szCs w:val="24"/>
          <w:lang w:val="es-ES"/>
        </w:rPr>
        <w:footnoteReference w:id="4"/>
      </w:r>
      <w:r w:rsidRPr="00F37678">
        <w:rPr>
          <w:lang w:val="es-ES"/>
        </w:rPr>
        <w:t xml:space="preserve">, a través de las oficinas regionales y de zona, en países específicos. Las actividades abarcaron todas las prioridades del UIT-D, tal y como se detallan en el </w:t>
      </w:r>
      <w:hyperlink r:id="rId17" w:history="1">
        <w:r w:rsidRPr="00F37678">
          <w:rPr>
            <w:rStyle w:val="Hyperlink"/>
            <w:lang w:val="es-ES"/>
          </w:rPr>
          <w:t>Documento WTDC-25/2</w:t>
        </w:r>
      </w:hyperlink>
      <w:r w:rsidRPr="00F37678">
        <w:rPr>
          <w:lang w:val="es-ES"/>
        </w:rPr>
        <w:t>.</w:t>
      </w:r>
    </w:p>
    <w:p w14:paraId="5346987C" w14:textId="77777777" w:rsidR="002E0363" w:rsidRPr="00F37678" w:rsidRDefault="002E0363" w:rsidP="002E0363">
      <w:pPr>
        <w:pStyle w:val="Heading1"/>
        <w:rPr>
          <w:lang w:val="es-ES"/>
        </w:rPr>
      </w:pPr>
      <w:r w:rsidRPr="00F37678">
        <w:rPr>
          <w:lang w:val="es-ES"/>
        </w:rPr>
        <w:t>4</w:t>
      </w:r>
      <w:r w:rsidRPr="00F37678">
        <w:rPr>
          <w:lang w:val="es-ES"/>
        </w:rPr>
        <w:tab/>
        <w:t>Proyectos en curso</w:t>
      </w:r>
      <w:r w:rsidRPr="00F37678">
        <w:rPr>
          <w:rStyle w:val="FootnoteReference"/>
          <w:rFonts w:eastAsiaTheme="minorEastAsia"/>
          <w:lang w:val="es-ES"/>
        </w:rPr>
        <w:footnoteReference w:id="5"/>
      </w:r>
    </w:p>
    <w:p w14:paraId="5654A503" w14:textId="77777777" w:rsidR="002E0363" w:rsidRPr="00F37678" w:rsidRDefault="002E0363" w:rsidP="002E0363">
      <w:pPr>
        <w:rPr>
          <w:rFonts w:eastAsia="SimSun" w:cstheme="minorBidi"/>
          <w:lang w:val="es-ES"/>
        </w:rPr>
      </w:pPr>
      <w:r w:rsidRPr="00F37678">
        <w:rPr>
          <w:lang w:val="es-ES"/>
        </w:rPr>
        <w:t>Entre 2023 y 2025, la BDT ejecutó varios proyectos en PMA, PDSL y PEID:</w:t>
      </w:r>
    </w:p>
    <w:p w14:paraId="084B4760" w14:textId="49FB6DE8" w:rsidR="002E0363" w:rsidRPr="00F37678" w:rsidRDefault="002E0363" w:rsidP="002E0363">
      <w:pPr>
        <w:pStyle w:val="enumlev1"/>
        <w:rPr>
          <w:rFonts w:eastAsia="SimSun" w:cstheme="minorBidi"/>
          <w:lang w:val="es-ES"/>
        </w:rPr>
      </w:pPr>
      <w:r w:rsidRPr="00F37678">
        <w:rPr>
          <w:lang w:val="es-ES"/>
        </w:rPr>
        <w:t>–</w:t>
      </w:r>
      <w:r w:rsidRPr="00F37678">
        <w:rPr>
          <w:b/>
          <w:bCs/>
          <w:lang w:val="es-ES"/>
        </w:rPr>
        <w:tab/>
        <w:t xml:space="preserve">PMA (20 proyectos): </w:t>
      </w:r>
      <w:r w:rsidRPr="00F37678">
        <w:rPr>
          <w:lang w:val="es-ES"/>
        </w:rPr>
        <w:t>Las actividades se centraron en la ciberseguridad, la transformación digital, los sistemas de alerta temprana y el acceso a la banda ancha. Entre los proyectos más destacados figuran el proyecto Cyber for Good, la iniciativa Alertas tempranas para todos (EW4All) —que comprende varios países como la República Democrática Federal de Nepal, la República Federal de Somalia, la República Popular de Bangladesh, la República de Liberia, la República de Madagascar, la República de Mozambique, la República de Sudán del Sur y la República Unida de Tanzanía— y los servicios de gobierno digital basados en GovStack en el Reino de Eswatini y la República Islámica de Mauritania, con fechas de finalización entre 2025 y</w:t>
      </w:r>
      <w:r w:rsidR="00EB7780" w:rsidRPr="00F37678">
        <w:rPr>
          <w:lang w:val="es-ES"/>
        </w:rPr>
        <w:t> </w:t>
      </w:r>
      <w:r w:rsidRPr="00F37678">
        <w:rPr>
          <w:lang w:val="es-ES"/>
        </w:rPr>
        <w:t>2028.</w:t>
      </w:r>
    </w:p>
    <w:p w14:paraId="4AFDD4D6" w14:textId="156B952B" w:rsidR="002E0363" w:rsidRPr="00F37678" w:rsidRDefault="002E0363" w:rsidP="002E0363">
      <w:pPr>
        <w:pStyle w:val="enumlev1"/>
        <w:rPr>
          <w:rFonts w:eastAsia="SimSun" w:cstheme="minorBidi"/>
          <w:lang w:val="es-ES"/>
        </w:rPr>
      </w:pPr>
      <w:r w:rsidRPr="00F37678">
        <w:rPr>
          <w:lang w:val="es-ES"/>
        </w:rPr>
        <w:t>–</w:t>
      </w:r>
      <w:r w:rsidRPr="00F37678">
        <w:rPr>
          <w:b/>
          <w:bCs/>
          <w:lang w:val="es-ES"/>
        </w:rPr>
        <w:tab/>
        <w:t xml:space="preserve">PDSL (16 proyectos): </w:t>
      </w:r>
      <w:r w:rsidRPr="00F37678">
        <w:rPr>
          <w:lang w:val="es-ES"/>
        </w:rPr>
        <w:t>Las actividades se centraron en el gobierno digital, los sistemas de alerta temprana, la economía circular para la electrónica, la cartografía de la banda ancha y la ciberseguridad. Entre las iniciativas clave figuran la cooperación de gobierno digital en Asia Central y el Cáucaso, EW4All y el proyecto Sistemas Nacionales de Cartografía de la Banda Ancha de África, que abarca varios países como la República Democrática Federal de Etiopía, Mongolia, la República de Armenia, la República del Níger y la República de Uganda, con fechas de finalización comprendidas entre 2025 y</w:t>
      </w:r>
      <w:r w:rsidR="00EB7780" w:rsidRPr="00F37678">
        <w:rPr>
          <w:lang w:val="es-ES"/>
        </w:rPr>
        <w:t> </w:t>
      </w:r>
      <w:r w:rsidRPr="00F37678">
        <w:rPr>
          <w:lang w:val="es-ES"/>
        </w:rPr>
        <w:t>2028.</w:t>
      </w:r>
    </w:p>
    <w:p w14:paraId="06DB00F8" w14:textId="30BE7637" w:rsidR="002E0363" w:rsidRPr="00F37678" w:rsidRDefault="002E0363" w:rsidP="002E0363">
      <w:pPr>
        <w:pStyle w:val="enumlev1"/>
        <w:rPr>
          <w:rFonts w:eastAsia="SimSun" w:cstheme="minorBidi"/>
          <w:lang w:val="es-ES"/>
        </w:rPr>
      </w:pPr>
      <w:r w:rsidRPr="00F37678">
        <w:rPr>
          <w:lang w:val="es-ES"/>
        </w:rPr>
        <w:t>–</w:t>
      </w:r>
      <w:r w:rsidRPr="00F37678">
        <w:rPr>
          <w:b/>
          <w:bCs/>
          <w:lang w:val="es-ES"/>
        </w:rPr>
        <w:tab/>
        <w:t>PEID (22 proyectos):</w:t>
      </w:r>
      <w:r w:rsidRPr="00F37678">
        <w:rPr>
          <w:lang w:val="es-ES"/>
        </w:rPr>
        <w:t xml:space="preserve"> Las actividades se centraron en la conectividad, la ciberseguridad y la resiliencia a las catástrofes. Algunos proyectos son el proyecto de conectividad escolar Giga en la República Democrática de Santo Tomé y Príncipe, EW4All en el Reino</w:t>
      </w:r>
      <w:r w:rsidR="00F37678">
        <w:rPr>
          <w:lang w:val="es-ES"/>
        </w:rPr>
        <w:t xml:space="preserve"> </w:t>
      </w:r>
      <w:r w:rsidRPr="00F37678">
        <w:rPr>
          <w:lang w:val="es-ES"/>
        </w:rPr>
        <w:t>de Tonga, la República de Haití, la República de Kiribati, la República de Mauricio, Islas Salomón y la Unión de las Comoras. Los proyectos sobre estudios de las telecomunicaciones están dirigidos a diferentes países, como la República de Fiji, la República de Maldivas y la República de Vanuatu, con fechas de ejecución comprendidas entre 2024 y 2027. Actualmente se están llevando a cabo otros proyectos, por ejemplo, sobre islas inteligentes, agricultura digital y transformación digital en los PEID del Pacífico.</w:t>
      </w:r>
    </w:p>
    <w:p w14:paraId="1AC0DACD" w14:textId="6D70791E" w:rsidR="002E0363" w:rsidRPr="00F37678" w:rsidRDefault="002E0363" w:rsidP="002E0363">
      <w:pPr>
        <w:rPr>
          <w:rFonts w:eastAsia="SimSun" w:cstheme="minorBidi"/>
          <w:i/>
          <w:iCs/>
          <w:lang w:val="es-ES"/>
        </w:rPr>
      </w:pPr>
      <w:r w:rsidRPr="00F37678">
        <w:rPr>
          <w:lang w:val="es-ES"/>
        </w:rPr>
        <w:lastRenderedPageBreak/>
        <w:t>En el Anexo 1 se presenta información detallada sobre la asistencia brindada a PMA, PDSL y PEID de acuerdo con las esferas prioritarias y los factores habilitadores, y en el Anexo 2 se incluye una lista detallada de los proyectos.</w:t>
      </w:r>
    </w:p>
    <w:p w14:paraId="7396A07E" w14:textId="77777777" w:rsidR="002E0363" w:rsidRPr="00F37678" w:rsidRDefault="002E0363" w:rsidP="002E0363">
      <w:pPr>
        <w:pStyle w:val="Heading1"/>
        <w:rPr>
          <w:lang w:val="es-ES"/>
        </w:rPr>
      </w:pPr>
      <w:r w:rsidRPr="00F37678">
        <w:rPr>
          <w:lang w:val="es-ES"/>
        </w:rPr>
        <w:t>5</w:t>
      </w:r>
      <w:r w:rsidRPr="00F37678">
        <w:rPr>
          <w:lang w:val="es-ES"/>
        </w:rPr>
        <w:tab/>
        <w:t>Principales iniciativas innovadoras</w:t>
      </w:r>
    </w:p>
    <w:p w14:paraId="7498008D" w14:textId="3BF5BA6E" w:rsidR="002E0363" w:rsidRPr="00F37678" w:rsidRDefault="002E0363" w:rsidP="002E0363">
      <w:pPr>
        <w:rPr>
          <w:rFonts w:eastAsiaTheme="minorEastAsia" w:cstheme="minorBidi"/>
          <w:b/>
          <w:bCs/>
          <w:lang w:val="es-ES"/>
        </w:rPr>
      </w:pPr>
      <w:r w:rsidRPr="00F37678">
        <w:rPr>
          <w:b/>
          <w:bCs/>
          <w:u w:val="single"/>
          <w:lang w:val="es-ES"/>
        </w:rPr>
        <w:t>Sistemas de cartografía de la banda ancha en África</w:t>
      </w:r>
      <w:r w:rsidRPr="00F37678">
        <w:rPr>
          <w:lang w:val="es-ES"/>
        </w:rPr>
        <w:t>: En 2024, la BDT puso en marcha un proyecto nuevo financiado por la Unión Europea y cofinanciado por el Fondo para el Desarrollo de las Tecnologías de la Información y la Comunicación (FD-TIC) de la UIT para ayudar y apoyar a 11</w:t>
      </w:r>
      <w:r w:rsidR="00EB7780" w:rsidRPr="00F37678">
        <w:rPr>
          <w:lang w:val="es-ES"/>
        </w:rPr>
        <w:t> </w:t>
      </w:r>
      <w:r w:rsidRPr="00F37678">
        <w:rPr>
          <w:lang w:val="es-ES"/>
        </w:rPr>
        <w:t>países de la región de África subsahariana en el desarrollo de sistemas de cartografiado de la banda ancha unificados que permitan invertir en infraestructuras digitales basadas en datos. El proyecto tiene por objeto fortalecer la capacidad de los encargados de la toma de decisiones, como organismos reguladores, ministerios y otras autoridades públicas, para planificar y desplegar con eficacia la infraestructura y los servicios de banda ancha. Un objetivo clave es armonizar y garantizar la interoperabilidad de los sistemas cartográficos en toda la región, lo que permite fomentar la colaboración transfronteriza y el intercambio de prácticas idóneas. En el Anexo 2 del presente documento se proporciona información detallada adicional sobre los países beneficiarios de este proyecto.</w:t>
      </w:r>
    </w:p>
    <w:p w14:paraId="065A07F4" w14:textId="07BD7D86" w:rsidR="002E0363" w:rsidRPr="00F37678" w:rsidRDefault="002E0363" w:rsidP="002E0363">
      <w:pPr>
        <w:rPr>
          <w:rFonts w:cstheme="minorHAnsi"/>
          <w:lang w:val="es-ES"/>
        </w:rPr>
      </w:pPr>
      <w:hyperlink r:id="rId18" w:history="1">
        <w:r w:rsidRPr="00F37678">
          <w:rPr>
            <w:rStyle w:val="Hyperlink"/>
            <w:b/>
            <w:bCs/>
            <w:i/>
            <w:iCs/>
            <w:lang w:val="es-ES"/>
          </w:rPr>
          <w:t>Cyber for Good</w:t>
        </w:r>
      </w:hyperlink>
      <w:r w:rsidRPr="00F37678">
        <w:rPr>
          <w:lang w:val="es-ES"/>
        </w:rPr>
        <w:t>: La iniciativa Cyber for Good, financiada por el Ministerio de Ciencia y TIC de la República de Corea y cofinanciada por el Fondo para el Desarrollo de las Tecnologías de la Información y la Comunicación (FD-TIC), tiene por objeto dar respuesta a las necesidades de ciberseguridad de los PMA y los PEID. Mediante la prestación de apoyo específico y la realización de completas actividades de creación de capacidad, su objetivo es mejorar la resiliencia y las capacidades técnicas en materia de ciberseguridad, lo que en última instancia conducirá a una mejora de la postura nacional sobre la ciberseguridad, permitiendo a los países proteger mejor sus ecosistemas digitales. La primera fase del proyecto benefició a 30 PMA, a saber, 21 países de la región de África, seis de la región Asia-Pacífico y tres de la región de los Estados Árabes. En la segunda fase del proyecto, iniciada en 2025, se amplió el alcance para incluir otros países beneficiarios de los grupos de PMA, PDSL y PEID. El proyecto presta asistencia para la ejecución de las herramientas y servicios de ciberseguridad proporcionados por Miembros de Sector del UIT-D, la elaboración de informes de evaluación del ICG, la organización de sesiones de formación en diferentes campos, como la respuesta a incidentes, la gobernanza de la ciberseguridad y la estrategia nacional de ciberseguridad. En una fecha de 2026 que todavía no se ha anunciado, está previsto realizar un cibersimulacro adaptado a las amenazas específicas de los PMA. En el Anexo 2 se facilita más información detallada sobre los países beneficiarios de este proyecto.</w:t>
      </w:r>
    </w:p>
    <w:p w14:paraId="46EFD051" w14:textId="6BFF7F00" w:rsidR="002E0363" w:rsidRPr="00F37678" w:rsidRDefault="002E0363" w:rsidP="002E0363">
      <w:pPr>
        <w:rPr>
          <w:rFonts w:cstheme="minorHAnsi"/>
          <w:lang w:val="es-ES"/>
        </w:rPr>
      </w:pPr>
      <w:hyperlink r:id="rId19" w:history="1">
        <w:r w:rsidRPr="00F37678">
          <w:rPr>
            <w:rStyle w:val="Hyperlink"/>
            <w:b/>
            <w:bCs/>
            <w:i/>
            <w:iCs/>
            <w:lang w:val="es-ES"/>
          </w:rPr>
          <w:t>Her Cyber Tracks</w:t>
        </w:r>
      </w:hyperlink>
      <w:r w:rsidRPr="00F37678">
        <w:rPr>
          <w:lang w:val="es-ES"/>
        </w:rPr>
        <w:t>: Lanzada en 2023, Her CyberTracks es una iniciativa conjunta con la Agencia Alemana de Cooperación Internacional (Deutsche Gesellschaft für Internationale Zusammenarbeit, GIZ) de la República Federal de Alemania. El programa tiene por objeto empoderar a las mujeres para desarrollar profesiones relacionadas con la ciberseguridad mediante el aprendizaje electrónico, la capacitación, la mentoría y la creación de redes de expertos. Promueve la representación equitativa de las mujeres en la ciberseguridad y refuerza la ciberresiliencia mediante la integración de enfoques con perspectiva de género en la creación de capacidad. En 2024, el 99 % de los participantes señalaron que el contenido del curso era muy pertinente para su trabajo, el 98 % comunicó una mejora importante de sus competencias y conocimientos y el 85 % indicó que el programa ofrecía valiosas oportunidades para establecer contactos. En 2025, se lanzó la fase 3 del proyecto sobre temas relacionados con la ciberdelincuencia en asociación con la GIZ, el LAC4 (en la región de las</w:t>
      </w:r>
      <w:r w:rsidR="001425EE" w:rsidRPr="00F37678">
        <w:rPr>
          <w:lang w:val="es-ES"/>
        </w:rPr>
        <w:t xml:space="preserve"> </w:t>
      </w:r>
      <w:r w:rsidRPr="00F37678">
        <w:rPr>
          <w:lang w:val="es-ES"/>
        </w:rPr>
        <w:t xml:space="preserve">Américas) y la Oficina de las Naciones Unidas contra la Droga y el </w:t>
      </w:r>
      <w:r w:rsidRPr="00F37678">
        <w:rPr>
          <w:lang w:val="es-ES"/>
        </w:rPr>
        <w:lastRenderedPageBreak/>
        <w:t>Delito (UNODC), con financiación del Ministerio de Asuntos Exteriores de Alemania, Global Gateway, la Unión Europea y Microsoft. Se puede obtener más información detallada sobre los países beneficiarios de este proyecto en el Anexo 2.</w:t>
      </w:r>
    </w:p>
    <w:p w14:paraId="7917817F" w14:textId="56EFD34C" w:rsidR="002E0363" w:rsidRPr="00F37678" w:rsidRDefault="002E0363" w:rsidP="002E0363">
      <w:pPr>
        <w:rPr>
          <w:rFonts w:cstheme="minorHAnsi"/>
          <w:color w:val="000000" w:themeColor="text1"/>
          <w:lang w:val="es-ES"/>
        </w:rPr>
      </w:pPr>
      <w:hyperlink r:id="rId20" w:anchor=":~:text=This%20workshop%20was%20conducted%20as%20part%20of%20the,main%20areas%3A%20data%20collection%20and%20analysis%2C%20and%20benchmarking." w:history="1">
        <w:r w:rsidRPr="00F37678">
          <w:rPr>
            <w:rStyle w:val="Hyperlink"/>
            <w:b/>
            <w:bCs/>
            <w:lang w:val="es-ES"/>
          </w:rPr>
          <w:t>Evaluación comparativa de las TIC en África central</w:t>
        </w:r>
      </w:hyperlink>
      <w:r w:rsidRPr="00F37678">
        <w:rPr>
          <w:lang w:val="es-ES"/>
        </w:rPr>
        <w:t>: Financiado por la Unión Europea a través de la Cellule d'appui à l'Ordonnateur national du Fonds européen de développement (COFED) y cofinanciado por el FDTIC de la UIT, este proyecto prestó asistencia a 11 países de la región de África central para reforzar las mediciones y análisis económicos y reglamentarios digitales, realizar evaluaciones por países y elaborar hojas de ruta estratégicas. Se puede obtener más información detallada sobre los países beneficiarios de este proyecto en el Anexo 2.</w:t>
      </w:r>
    </w:p>
    <w:p w14:paraId="15CFEFAF" w14:textId="3EA871A0" w:rsidR="002E0363" w:rsidRPr="00F37678" w:rsidRDefault="002E0363" w:rsidP="002E0363">
      <w:pPr>
        <w:spacing w:after="120"/>
        <w:rPr>
          <w:rFonts w:eastAsiaTheme="minorEastAsia" w:cstheme="minorBidi"/>
          <w:b/>
          <w:bCs/>
          <w:lang w:val="es-ES"/>
        </w:rPr>
      </w:pPr>
      <w:hyperlink r:id="rId21" w:anchor="/es" w:history="1">
        <w:r w:rsidRPr="00F37678">
          <w:rPr>
            <w:rStyle w:val="Hyperlink"/>
            <w:b/>
            <w:bCs/>
            <w:lang w:val="es-ES"/>
          </w:rPr>
          <w:t>Conectividad universal y efectiva</w:t>
        </w:r>
      </w:hyperlink>
      <w:r w:rsidRPr="00F37678">
        <w:rPr>
          <w:lang w:val="es-ES"/>
        </w:rPr>
        <w:t>: A fin de acelerar el progreso hacia la conectividad universal y efectiva (UMC), la BDT y la Comisión Europea lanzaron un proyecto conjunto en 2023 para promover la UMC como objetivo normativo estratégico. El proyecto se centra en mejorar la calidad y disponibilidad de las estadísticas relacionadas con la UMC y presenta enfoques de políticas eficaces que se pueden adaptar a las distintas regiones. Se organizan talleres regionales para responsables de la formulación de políticas y estadísticos con miras a apoyar la integración de la UMC en las estrategias digitales, crear capacidad nacional para producir y divulgar datos sobre la UMC y facilitar el intercambio de buenas prácticas.</w:t>
      </w:r>
    </w:p>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765"/>
      </w:tblGrid>
      <w:tr w:rsidR="002E0363" w:rsidRPr="00F37678" w14:paraId="3341CDF7" w14:textId="77777777" w:rsidTr="00611905">
        <w:tc>
          <w:tcPr>
            <w:tcW w:w="9634" w:type="dxa"/>
            <w:gridSpan w:val="2"/>
            <w:tcBorders>
              <w:top w:val="single" w:sz="4" w:space="0" w:color="auto"/>
              <w:left w:val="single" w:sz="4" w:space="0" w:color="auto"/>
              <w:bottom w:val="single" w:sz="4" w:space="0" w:color="auto"/>
              <w:right w:val="single" w:sz="4" w:space="0" w:color="auto"/>
            </w:tcBorders>
            <w:hideMark/>
          </w:tcPr>
          <w:p w14:paraId="652ABA81" w14:textId="5F1BE635" w:rsidR="002E0363" w:rsidRPr="00F37678" w:rsidRDefault="002E0363" w:rsidP="00611905">
            <w:pPr>
              <w:pStyle w:val="Tablehead"/>
              <w:rPr>
                <w:rFonts w:eastAsiaTheme="minorEastAsia" w:cstheme="minorBidi"/>
                <w:sz w:val="22"/>
                <w:szCs w:val="22"/>
                <w:lang w:val="es-ES"/>
              </w:rPr>
            </w:pPr>
            <w:r w:rsidRPr="00F37678">
              <w:rPr>
                <w:lang w:val="es-ES"/>
              </w:rPr>
              <w:t>Participación de PMA, PDSL y PEID en los talleres regionales sobre promoción y medición de la UMC y en seminarios web sobre estadísticas de las TIC</w:t>
            </w:r>
          </w:p>
        </w:tc>
      </w:tr>
      <w:tr w:rsidR="002E0363" w:rsidRPr="00F37678" w14:paraId="41221328" w14:textId="77777777" w:rsidTr="00611905">
        <w:tc>
          <w:tcPr>
            <w:tcW w:w="869" w:type="dxa"/>
            <w:tcBorders>
              <w:top w:val="single" w:sz="4" w:space="0" w:color="auto"/>
              <w:left w:val="single" w:sz="4" w:space="0" w:color="auto"/>
              <w:bottom w:val="single" w:sz="4" w:space="0" w:color="auto"/>
              <w:right w:val="single" w:sz="4" w:space="0" w:color="auto"/>
            </w:tcBorders>
            <w:hideMark/>
          </w:tcPr>
          <w:p w14:paraId="7E87542B" w14:textId="77777777" w:rsidR="002E0363" w:rsidRPr="00F37678" w:rsidRDefault="002E0363" w:rsidP="00611905">
            <w:pPr>
              <w:pStyle w:val="Tabletext"/>
              <w:rPr>
                <w:rFonts w:eastAsiaTheme="minorEastAsia" w:cstheme="minorBidi"/>
                <w:b/>
                <w:bCs/>
                <w:sz w:val="22"/>
                <w:szCs w:val="22"/>
                <w:lang w:val="es-ES"/>
              </w:rPr>
            </w:pPr>
            <w:r w:rsidRPr="00F37678">
              <w:rPr>
                <w:b/>
                <w:bCs/>
                <w:lang w:val="es-ES"/>
              </w:rPr>
              <w:t>PMA</w:t>
            </w:r>
          </w:p>
        </w:tc>
        <w:tc>
          <w:tcPr>
            <w:tcW w:w="8765" w:type="dxa"/>
            <w:tcBorders>
              <w:top w:val="single" w:sz="4" w:space="0" w:color="auto"/>
              <w:left w:val="single" w:sz="4" w:space="0" w:color="auto"/>
              <w:bottom w:val="single" w:sz="4" w:space="0" w:color="auto"/>
              <w:right w:val="single" w:sz="4" w:space="0" w:color="auto"/>
            </w:tcBorders>
            <w:hideMark/>
          </w:tcPr>
          <w:p w14:paraId="28B4F4DA" w14:textId="094EAAD4" w:rsidR="002E0363" w:rsidRPr="00F37678" w:rsidRDefault="002E0363" w:rsidP="00611905">
            <w:pPr>
              <w:pStyle w:val="Tabletext"/>
              <w:rPr>
                <w:rFonts w:eastAsiaTheme="minorEastAsia" w:cstheme="minorBidi"/>
                <w:sz w:val="22"/>
                <w:szCs w:val="22"/>
                <w:lang w:val="es-ES"/>
              </w:rPr>
            </w:pPr>
            <w:r w:rsidRPr="00F37678">
              <w:rPr>
                <w:lang w:val="es-ES"/>
              </w:rPr>
              <w:t>66 participantes de</w:t>
            </w:r>
            <w:r w:rsidR="005A2101" w:rsidRPr="00F37678">
              <w:rPr>
                <w:lang w:val="es-ES"/>
              </w:rPr>
              <w:t xml:space="preserve"> </w:t>
            </w:r>
            <w:r w:rsidR="001425EE" w:rsidRPr="00F37678">
              <w:rPr>
                <w:lang w:val="es-ES"/>
              </w:rPr>
              <w:t>Angola (República de), Bangladesh, Camboya (Reino de), Comoras, Djibouti (República de), Etiopía, Gambia (República de), Kiribati, Lao (República Democrática Popular), Lesotho (Reino de), Liberia (República de), Mauritania, Mozambique, Nepal (República de), Rwanda (República de), Santo Tomé y Príncipe, Somalia, Sudán (República del), Timor-Leste (República Democrática de), Togolesa (República), Tuvalu, Uganda, Vanuatu, Yemen (República del) y Zambia (República de)</w:t>
            </w:r>
            <w:r w:rsidR="00E37F38" w:rsidRPr="00F37678">
              <w:rPr>
                <w:lang w:val="es-ES"/>
              </w:rPr>
              <w:t>.</w:t>
            </w:r>
          </w:p>
        </w:tc>
      </w:tr>
      <w:tr w:rsidR="002E0363" w:rsidRPr="00F37678" w14:paraId="47469591" w14:textId="77777777" w:rsidTr="00611905">
        <w:trPr>
          <w:trHeight w:val="998"/>
        </w:trPr>
        <w:tc>
          <w:tcPr>
            <w:tcW w:w="869" w:type="dxa"/>
            <w:tcBorders>
              <w:top w:val="single" w:sz="4" w:space="0" w:color="auto"/>
              <w:left w:val="single" w:sz="4" w:space="0" w:color="auto"/>
              <w:bottom w:val="single" w:sz="4" w:space="0" w:color="auto"/>
              <w:right w:val="single" w:sz="4" w:space="0" w:color="auto"/>
            </w:tcBorders>
            <w:hideMark/>
          </w:tcPr>
          <w:p w14:paraId="5345B5B4" w14:textId="77777777" w:rsidR="002E0363" w:rsidRPr="00F37678" w:rsidRDefault="002E0363" w:rsidP="00611905">
            <w:pPr>
              <w:pStyle w:val="Tabletext"/>
              <w:rPr>
                <w:rFonts w:eastAsiaTheme="minorEastAsia" w:cstheme="minorBidi"/>
                <w:b/>
                <w:bCs/>
                <w:sz w:val="22"/>
                <w:szCs w:val="22"/>
                <w:lang w:val="es-ES"/>
              </w:rPr>
            </w:pPr>
            <w:r w:rsidRPr="00F37678">
              <w:rPr>
                <w:b/>
                <w:bCs/>
                <w:lang w:val="es-ES"/>
              </w:rPr>
              <w:t>PDSL</w:t>
            </w:r>
          </w:p>
        </w:tc>
        <w:tc>
          <w:tcPr>
            <w:tcW w:w="8765" w:type="dxa"/>
            <w:tcBorders>
              <w:top w:val="single" w:sz="4" w:space="0" w:color="auto"/>
              <w:left w:val="single" w:sz="4" w:space="0" w:color="auto"/>
              <w:bottom w:val="single" w:sz="4" w:space="0" w:color="auto"/>
              <w:right w:val="single" w:sz="4" w:space="0" w:color="auto"/>
            </w:tcBorders>
            <w:hideMark/>
          </w:tcPr>
          <w:p w14:paraId="3458A1DE" w14:textId="4E38E91F" w:rsidR="002E0363" w:rsidRPr="00F37678" w:rsidRDefault="002E0363" w:rsidP="00611905">
            <w:pPr>
              <w:pStyle w:val="Tabletext"/>
              <w:rPr>
                <w:rFonts w:eastAsiaTheme="minorEastAsia" w:cstheme="minorBidi"/>
                <w:sz w:val="22"/>
                <w:szCs w:val="22"/>
                <w:lang w:val="es-ES"/>
              </w:rPr>
            </w:pPr>
            <w:r w:rsidRPr="00F37678">
              <w:rPr>
                <w:lang w:val="es-ES"/>
              </w:rPr>
              <w:t>105 participantes de Armenia, Azerbaiyán (República de), Bhután (Reino de), Bolivia (Estado Plurinacional de), Eswatini, Etiopía, Kazajstán (República de), Kirguisa (República), Lao (R.D.P.), Lesotho, Moldova (República de), Mongolia, Nepal (República de), Paraguay, Rwanda, Tayikistán (República de), Uganda, Uzbekistán (República de), Zambia y Zimbabwe (República de)</w:t>
            </w:r>
            <w:r w:rsidR="00E37F38" w:rsidRPr="00F37678">
              <w:rPr>
                <w:lang w:val="es-ES"/>
              </w:rPr>
              <w:t>.</w:t>
            </w:r>
          </w:p>
        </w:tc>
      </w:tr>
      <w:tr w:rsidR="002E0363" w:rsidRPr="00F37678" w14:paraId="63822D2C" w14:textId="77777777" w:rsidTr="00611905">
        <w:tc>
          <w:tcPr>
            <w:tcW w:w="869" w:type="dxa"/>
            <w:tcBorders>
              <w:top w:val="single" w:sz="4" w:space="0" w:color="auto"/>
              <w:left w:val="single" w:sz="4" w:space="0" w:color="auto"/>
              <w:bottom w:val="single" w:sz="4" w:space="0" w:color="auto"/>
              <w:right w:val="single" w:sz="4" w:space="0" w:color="auto"/>
            </w:tcBorders>
            <w:hideMark/>
          </w:tcPr>
          <w:p w14:paraId="79E4C64C" w14:textId="77777777" w:rsidR="002E0363" w:rsidRPr="00F37678" w:rsidRDefault="002E0363" w:rsidP="00611905">
            <w:pPr>
              <w:pStyle w:val="Tabletext"/>
              <w:rPr>
                <w:rFonts w:eastAsiaTheme="minorEastAsia" w:cstheme="minorBidi"/>
                <w:b/>
                <w:bCs/>
                <w:sz w:val="22"/>
                <w:szCs w:val="22"/>
                <w:lang w:val="es-ES"/>
              </w:rPr>
            </w:pPr>
            <w:r w:rsidRPr="00F37678">
              <w:rPr>
                <w:b/>
                <w:bCs/>
                <w:lang w:val="es-ES"/>
              </w:rPr>
              <w:t>PEID</w:t>
            </w:r>
          </w:p>
        </w:tc>
        <w:tc>
          <w:tcPr>
            <w:tcW w:w="8765" w:type="dxa"/>
            <w:tcBorders>
              <w:top w:val="single" w:sz="4" w:space="0" w:color="auto"/>
              <w:left w:val="single" w:sz="4" w:space="0" w:color="auto"/>
              <w:bottom w:val="single" w:sz="4" w:space="0" w:color="auto"/>
              <w:right w:val="single" w:sz="4" w:space="0" w:color="auto"/>
            </w:tcBorders>
            <w:hideMark/>
          </w:tcPr>
          <w:p w14:paraId="58983DA8" w14:textId="0DDC2F5C" w:rsidR="002E0363" w:rsidRPr="00F37678" w:rsidRDefault="002E0363" w:rsidP="00611905">
            <w:pPr>
              <w:pStyle w:val="Tabletext"/>
              <w:rPr>
                <w:rFonts w:eastAsiaTheme="minorEastAsia" w:cstheme="minorBidi"/>
                <w:sz w:val="22"/>
                <w:szCs w:val="22"/>
                <w:lang w:val="es-ES"/>
              </w:rPr>
            </w:pPr>
            <w:r w:rsidRPr="00F37678">
              <w:rPr>
                <w:lang w:val="es-ES"/>
              </w:rPr>
              <w:t>100 participantes de Antigua y Barbuda, Bahamas (Commonwealth de las), Belice, Cabo Verde (República de), Comoras, Cuba, Dominicana (República), Fiji, Granada, Guyana, Jamaica, Kiribati, Maldivas, Micronesia (Estados Federados de), Nauru (República de), Palau (República de), Papua Nueva Guinea, Saint Kitts y Nevis (Federación de), Samoa (Estado Independiente de), Santo Tomé y Príncipe, Suriname (República de), Timor-Leste, Tonga, Trinidad y Tabago, Tuvalu y Vanuatu</w:t>
            </w:r>
            <w:r w:rsidR="00E37F38" w:rsidRPr="00F37678">
              <w:rPr>
                <w:lang w:val="es-ES"/>
              </w:rPr>
              <w:t>.</w:t>
            </w:r>
          </w:p>
        </w:tc>
      </w:tr>
    </w:tbl>
    <w:p w14:paraId="140BD458" w14:textId="09D2C1A6" w:rsidR="002E0363" w:rsidRPr="00F37678" w:rsidRDefault="002E0363" w:rsidP="002E0363">
      <w:pPr>
        <w:rPr>
          <w:rFonts w:eastAsia="SimSun" w:cstheme="minorHAnsi"/>
          <w:lang w:val="es-ES"/>
        </w:rPr>
      </w:pPr>
      <w:hyperlink r:id="rId22" w:anchor="/es" w:history="1">
        <w:r w:rsidRPr="00F37678">
          <w:rPr>
            <w:rStyle w:val="Hyperlink"/>
            <w:b/>
            <w:bCs/>
            <w:lang w:val="es-ES"/>
          </w:rPr>
          <w:t>Alianza para la Innovación y el Emprendimiento en aras del Desarrollo Digital</w:t>
        </w:r>
      </w:hyperlink>
      <w:r w:rsidRPr="00F37678">
        <w:rPr>
          <w:b/>
          <w:bCs/>
          <w:lang w:val="es-ES"/>
        </w:rPr>
        <w:t>:</w:t>
      </w:r>
      <w:r w:rsidRPr="00F37678">
        <w:rPr>
          <w:lang w:val="es-ES"/>
        </w:rPr>
        <w:t xml:space="preserve"> Iniciada en enero de 2023, la Alianza para la Innovación y el Emprendimiento en aras del Desarrollo Digital tiene por objeto desarrollar facilitadores locales y reducir las brechas de innovación digital. Actualmente, la iniciativa está presente en la región de África, la región de las Américas (por ejemplo, República Dominicana – PEID), la región de Asia-Pacífico, entre otras.</w:t>
      </w:r>
    </w:p>
    <w:p w14:paraId="24DDE1E7" w14:textId="20E29DC3" w:rsidR="002E0363" w:rsidRPr="00F37678" w:rsidRDefault="002E0363" w:rsidP="002E0363">
      <w:pPr>
        <w:rPr>
          <w:rFonts w:cstheme="minorBidi"/>
          <w:lang w:val="es-ES"/>
        </w:rPr>
      </w:pPr>
      <w:r w:rsidRPr="00F37678">
        <w:rPr>
          <w:lang w:val="es-ES"/>
        </w:rPr>
        <w:t xml:space="preserve">GovStack es una iniciativa multilateral para acelerar la transformación digital de los servicios gubernamentales mediante la promoción del uso de componentes digitales interoperables y reutilizables conocidos como "bloques constitutivos". Estos bloques proporcionan un marco modular que permite a los gobiernos diseñar, desplegar y ampliar los servicios digitales de manera más eficiente y rentable. Dado que GovStack normaliza funcionalidades básicas como la gestión de identidades, los pagos y la mensajería, los países pueden evitar la duplicación de esfuerzos y centrarse en la prestación de servicios focalizados en el usuario que se adapten a los contextos locales. En 2023 se lanzó el proyecto Cuerno de África, con financiación de la GIZ (Alemania) por </w:t>
      </w:r>
      <w:r w:rsidRPr="00F37678">
        <w:rPr>
          <w:lang w:val="es-ES"/>
        </w:rPr>
        <w:lastRenderedPageBreak/>
        <w:t>valor de 1,24 millones de EUR. La colaboración Digital for Development (D4D) sobre gobierno digital y ciberseguridad, cofinanciada por la Unión Europea, respalda el pilar 1 (Infraestructura) y, en particular, la esfera de actuación sobre estrategia y servicios de cibergobierno. En 2025, el Banco Mundial y la UIT cofinanciaron los proyectos de GovStack en Gambia, la República de Guinea-Bissau, la República de Guinea y la República del Senegal, y la UIT prestó apoyo técnico y coordinó la ejecución sobre el terreno. Al utilizar los principios, especificaciones y recursos de GovStack, el proyecto busca acelerar el desarrollo de los servicios de cibergobierno en esos países, garantizando una mayor eficiencia y accesibilidad en la prestación de servicios públicos.</w:t>
      </w:r>
      <w:bookmarkStart w:id="8" w:name="_Hlt210921123"/>
      <w:bookmarkStart w:id="9" w:name="_Hlt210921124"/>
      <w:bookmarkStart w:id="10" w:name="_Int_Er5IMsnZ"/>
      <w:bookmarkStart w:id="11" w:name="_Int_dkXRz1Rj"/>
      <w:bookmarkEnd w:id="8"/>
      <w:bookmarkEnd w:id="9"/>
      <w:bookmarkEnd w:id="10"/>
      <w:bookmarkEnd w:id="11"/>
    </w:p>
    <w:p w14:paraId="6F301BA7" w14:textId="1250E50E" w:rsidR="002E0363" w:rsidRPr="00F37678" w:rsidRDefault="002E0363" w:rsidP="002E0363">
      <w:pPr>
        <w:rPr>
          <w:lang w:val="es-ES"/>
        </w:rPr>
      </w:pPr>
      <w:hyperlink r:id="rId23" w:history="1">
        <w:r w:rsidRPr="00F37678">
          <w:rPr>
            <w:rStyle w:val="Hyperlink"/>
            <w:b/>
            <w:bCs/>
            <w:lang w:val="es-ES"/>
          </w:rPr>
          <w:t>Aldeas Inteligentes e Islas Inteligentes</w:t>
        </w:r>
      </w:hyperlink>
      <w:r w:rsidRPr="00F37678">
        <w:rPr>
          <w:b/>
          <w:bCs/>
          <w:lang w:val="es-ES"/>
        </w:rPr>
        <w:t>:</w:t>
      </w:r>
      <w:r w:rsidRPr="00F37678">
        <w:rPr>
          <w:rFonts w:ascii="Segoe UI" w:hAnsi="Segoe UI" w:cs="Segoe UI"/>
          <w:color w:val="000000"/>
          <w:sz w:val="20"/>
          <w:shd w:val="clear" w:color="auto" w:fill="FFFFFF"/>
          <w:lang w:val="es-ES"/>
        </w:rPr>
        <w:t xml:space="preserve"> Diez PEID del Pacífico </w:t>
      </w:r>
      <w:r w:rsidRPr="00F37678">
        <w:rPr>
          <w:lang w:val="es-ES"/>
        </w:rPr>
        <w:t xml:space="preserve">(Fiji, Kiribati, Marshall [República de las Islas], Micronesia, Nauru, Palau, Papua Nueva Guinea, Samoa, Tonga y Vanuatu) aceleraron la prestación de servicios digitales a las comunidades rurales y remotas de la región de Asia-Pacífico, por conducto de la iniciativa Aldeas Inteligentes e Islas Inteligentes y los programas y proyectos de STREIT de la Unión Europea, apoyados por la UIT, la Unión Europea, </w:t>
      </w:r>
      <w:r w:rsidRPr="00F37678">
        <w:rPr>
          <w:rFonts w:ascii="Calibri" w:eastAsia="Calibri" w:hAnsi="Calibri" w:cs="Calibri"/>
          <w:lang w:val="es-ES"/>
        </w:rPr>
        <w:t>DITRDCSA (</w:t>
      </w:r>
      <w:r w:rsidRPr="00F37678">
        <w:rPr>
          <w:lang w:val="es-ES"/>
        </w:rPr>
        <w:t>Australia), MIC</w:t>
      </w:r>
      <w:r w:rsidR="00EB7780" w:rsidRPr="00F37678">
        <w:rPr>
          <w:lang w:val="es-ES"/>
        </w:rPr>
        <w:t> </w:t>
      </w:r>
      <w:r w:rsidRPr="00F37678">
        <w:rPr>
          <w:lang w:val="es-ES"/>
        </w:rPr>
        <w:t>(Japón), el Banco Asiático de Desarrollo (BAD), el Fondo Conjunto para los ODS y Huawei. Estos programas y proyectos implementados en colaboración con los gobiernos nacionales, los organismos de las Naciones Unidas, las instituciones académicas y la industria mejoraron las competencias digitales de miembros comunitarios, crearon centros digitales y mejoraron el acceso de la comunidad a los servicios relacionados con la agricultura, la salud, la educación, el comercio y las finanzas, entre otros.</w:t>
      </w:r>
    </w:p>
    <w:p w14:paraId="23A1D37A" w14:textId="5D242354" w:rsidR="002E0363" w:rsidRPr="00F37678" w:rsidRDefault="002E0363" w:rsidP="002E0363">
      <w:pPr>
        <w:rPr>
          <w:rFonts w:eastAsia="Calibri" w:cstheme="minorBidi"/>
          <w:color w:val="000000" w:themeColor="text1"/>
          <w:lang w:val="es-ES"/>
        </w:rPr>
      </w:pPr>
      <w:hyperlink r:id="rId24" w:anchor="/es" w:history="1">
        <w:r w:rsidRPr="00F37678">
          <w:rPr>
            <w:rStyle w:val="Hyperlink"/>
            <w:b/>
            <w:bCs/>
            <w:lang w:val="es-ES"/>
          </w:rPr>
          <w:t>Academia de la UIT</w:t>
        </w:r>
      </w:hyperlink>
      <w:r w:rsidRPr="00F37678">
        <w:rPr>
          <w:b/>
          <w:bCs/>
          <w:lang w:val="es-ES"/>
        </w:rPr>
        <w:t>:</w:t>
      </w:r>
      <w:r w:rsidRPr="00F37678">
        <w:rPr>
          <w:lang w:val="es-ES"/>
        </w:rPr>
        <w:t xml:space="preserve"> La Academia de la UIT es el principal método de acceso a las actividades de creación de capacidad y formación de la UIT y permite que los profesionales de TIC y encargados de la formulación de políticas accedan a diferentes oportunidades de creación de capacidad con metodologías diversas y adaptadas a estilos de aprendizaje diferentes, como cursos en línea con docente, cursos autogestionados y cursos presenciales. El amplísimo catálogo de formaciones de la Academia de la UIT abarca una amplia gama de temas de interés para los Miembros de la UIT, como son la inteligencia artificial, la ciberseguridad, los residuos electrónicos, la gestión del espectro, la transformación digital, las comunicaciones por satélite, las telecomunicaciones de emergencia, la gobernanza de datos, la medición de las TIC, las políticas y la reglamentación y la banda ancha fija e inalámbrica. </w:t>
      </w:r>
    </w:p>
    <w:p w14:paraId="123AA1E6" w14:textId="2A33B16F" w:rsidR="002E0363" w:rsidRPr="00F37678" w:rsidRDefault="002E0363" w:rsidP="002E0363">
      <w:pPr>
        <w:pStyle w:val="enumlev1"/>
        <w:rPr>
          <w:rFonts w:eastAsia="SimSun" w:cstheme="minorBidi"/>
          <w:lang w:val="es-ES"/>
        </w:rPr>
      </w:pPr>
      <w:r w:rsidRPr="00F37678">
        <w:rPr>
          <w:lang w:val="es-ES"/>
        </w:rPr>
        <w:t>–</w:t>
      </w:r>
      <w:r w:rsidRPr="00F37678">
        <w:rPr>
          <w:lang w:val="es-ES"/>
        </w:rPr>
        <w:tab/>
        <w:t>Desde enero de 2023, se han registrado más de 14 000 inscripciones de participantes procedentes de PMA, PDSL y PEID en más de 300 cursos, de los cuales el 38 % eran mujeres. Casi 4 500 participantes recibieron su certificado de finalización.</w:t>
      </w:r>
    </w:p>
    <w:p w14:paraId="6E61BF55" w14:textId="2DC240F8" w:rsidR="002E0363" w:rsidRPr="00F37678" w:rsidRDefault="002E0363" w:rsidP="002E0363">
      <w:pPr>
        <w:pStyle w:val="enumlev1"/>
        <w:rPr>
          <w:rFonts w:eastAsia="SimSun" w:cstheme="minorHAnsi"/>
          <w:lang w:val="es-ES"/>
        </w:rPr>
      </w:pPr>
      <w:r w:rsidRPr="00F37678">
        <w:rPr>
          <w:lang w:val="es-ES"/>
        </w:rPr>
        <w:t>–</w:t>
      </w:r>
      <w:r w:rsidRPr="00F37678">
        <w:rPr>
          <w:b/>
          <w:bCs/>
          <w:lang w:val="es-ES"/>
        </w:rPr>
        <w:tab/>
      </w:r>
      <w:r w:rsidRPr="00F37678">
        <w:rPr>
          <w:lang w:val="es-ES"/>
        </w:rPr>
        <w:t xml:space="preserve">Cerca de 2 000 inscripciones se realizaron a través del </w:t>
      </w:r>
      <w:hyperlink r:id="rId25" w:anchor="/es" w:history="1">
        <w:r w:rsidRPr="00F37678">
          <w:rPr>
            <w:rStyle w:val="Hyperlink"/>
            <w:b/>
            <w:bCs/>
            <w:lang w:val="es-ES"/>
          </w:rPr>
          <w:t>proyecto Desarrollo de Capacidades para la Transformación Digital</w:t>
        </w:r>
      </w:hyperlink>
      <w:r w:rsidRPr="00F37678">
        <w:rPr>
          <w:rStyle w:val="Hyperlink"/>
          <w:b/>
          <w:bCs/>
          <w:lang w:val="es-ES"/>
        </w:rPr>
        <w:t xml:space="preserve"> (2023-2027)</w:t>
      </w:r>
      <w:r w:rsidRPr="00F37678">
        <w:rPr>
          <w:rStyle w:val="Hyperlink"/>
          <w:color w:val="auto"/>
          <w:u w:val="none"/>
          <w:lang w:val="es-ES"/>
        </w:rPr>
        <w:t>, una iniciativa financiada por la Unión Europea</w:t>
      </w:r>
      <w:r w:rsidRPr="00F37678">
        <w:rPr>
          <w:lang w:val="es-ES"/>
        </w:rPr>
        <w:t>. Este proyecto cuatrienal tiene por objeto formar a 5 000 profesionales como mínimo, principalmente de países en desarrollo, mediante una combinación de cursos de formación presenciales y en línea organizados bajo los auspicios de la Academia de la UIT. Los cursos de formación se organizan en colaboración con los 14 Centros de Formación de la Academia de la UIT y otros organismos de las Naciones Unidas.</w:t>
      </w:r>
    </w:p>
    <w:p w14:paraId="36F6045C" w14:textId="1D52A375" w:rsidR="002E0363" w:rsidRPr="00F37678" w:rsidRDefault="002E0363" w:rsidP="002E0363">
      <w:pPr>
        <w:rPr>
          <w:rFonts w:eastAsia="Calibri" w:cstheme="minorBidi"/>
          <w:lang w:val="es-ES"/>
        </w:rPr>
      </w:pPr>
      <w:hyperlink r:id="rId26" w:anchor="/es" w:history="1">
        <w:r w:rsidRPr="00F37678">
          <w:rPr>
            <w:rStyle w:val="Hyperlink"/>
            <w:b/>
            <w:bCs/>
            <w:lang w:val="es-ES"/>
          </w:rPr>
          <w:t>Iniciativa Centros de Transformación Digital (CTD)</w:t>
        </w:r>
      </w:hyperlink>
      <w:r w:rsidRPr="00F37678">
        <w:rPr>
          <w:b/>
          <w:bCs/>
          <w:lang w:val="es-ES"/>
        </w:rPr>
        <w:t>:</w:t>
      </w:r>
      <w:r w:rsidRPr="00F37678">
        <w:rPr>
          <w:lang w:val="es-ES"/>
        </w:rPr>
        <w:t xml:space="preserve"> Iniciada por la BDT en asociación con Cisco, la iniciativa Centros de Transformación Digital (CTD)</w:t>
      </w:r>
      <w:r w:rsidRPr="00F37678">
        <w:rPr>
          <w:rStyle w:val="Hyperlink"/>
          <w:lang w:val="es-ES"/>
        </w:rPr>
        <w:t xml:space="preserve"> </w:t>
      </w:r>
      <w:r w:rsidRPr="00F37678">
        <w:rPr>
          <w:lang w:val="es-ES"/>
        </w:rPr>
        <w:t xml:space="preserve">tiene por objeto ayudar a los países a fortalecer las capacidades digitales de su población, en particular de las comunidades rurales e insuficientemente atendidas. La Iniciativa opera a través de una red mundial de instituciones nacionales, los CTD, que tienen el mandato de impartir los programas sobre competencias digitales en sus países. Los CTD operan a nivel nacional y han demostrado que cuentan con </w:t>
      </w:r>
      <w:r w:rsidRPr="00F37678">
        <w:rPr>
          <w:lang w:val="es-ES"/>
        </w:rPr>
        <w:lastRenderedPageBreak/>
        <w:t>capacidad, infraestructura y experiencia para impartir formación a nivel básico e intermedio. El número de CTD ha aumentado a 14 centros en total, y ocho de ellos están ubicados en PMA, PDSL y PEID, concretamente en Papua Nueva Guinea, República Democrática del Congo, República Dominicana, Rwanda, Senegal, Sierra Leona, Uganda y Zambia. Desde enero de 2023, más de 287 000 beneficiarios de PMA, PDSL y PEID, de los cuales el 46 % mujeres, recibieron formación en competencias digitales básicas e intermedias gracias a la iniciativa.</w:t>
      </w:r>
    </w:p>
    <w:p w14:paraId="29AC12B0" w14:textId="380D1EC4" w:rsidR="002E0363" w:rsidRPr="00F37678" w:rsidRDefault="002E0363" w:rsidP="002E0363">
      <w:pPr>
        <w:rPr>
          <w:rFonts w:cstheme="minorBidi"/>
          <w:lang w:val="es-ES"/>
        </w:rPr>
      </w:pPr>
      <w:hyperlink r:id="rId27" w:history="1">
        <w:r w:rsidRPr="00F37678">
          <w:rPr>
            <w:rStyle w:val="Hyperlink"/>
            <w:b/>
            <w:bCs/>
            <w:lang w:val="es-ES"/>
          </w:rPr>
          <w:t>Telecomunicaciones de emergencia</w:t>
        </w:r>
      </w:hyperlink>
      <w:r w:rsidRPr="00F37678">
        <w:rPr>
          <w:b/>
          <w:bCs/>
          <w:lang w:val="es-ES"/>
        </w:rPr>
        <w:t>:</w:t>
      </w:r>
      <w:r w:rsidRPr="00F37678">
        <w:rPr>
          <w:lang w:val="es-ES"/>
        </w:rPr>
        <w:t xml:space="preserve"> En el marco de la iniciativa Alertas tempranas para todos (EW4All), la UIT lidera la aplicación del pilar 3, que se ocupa de la comunicación y divulgación de alertas. Tres proyectos financiados por Dinamarca, Suecia y la iniciativa CREWS respectivamente proporcionaron apoyo específico a Bangladesh, Comoras, Haití, Islas Salomón, Kiribati, Liberia, Madagascar, Mauricio, Mozambique, Nepal, Níger, Somalia, Sudán del Sur, Tanzanía, Tonga y Uganda, a fin de fortalecer su resiliencia a las catástrofes y sus capacidades de alerta temprana. Además, por conducto de las fases 1 a 3 de la iniciativa Connect2Recover,una contribución voluntaria del Ministerio de Asuntos Internos y Comunicaciones de Japón, también se proporcionó asistencia técnica a República de Botswana, Cabo Verde, Comoras, Djibouti, Gambia, República de</w:t>
      </w:r>
      <w:r w:rsidRPr="00F37678" w:rsidDel="00EF69D7">
        <w:rPr>
          <w:lang w:val="es-ES"/>
        </w:rPr>
        <w:t xml:space="preserve"> </w:t>
      </w:r>
      <w:r w:rsidRPr="00F37678">
        <w:rPr>
          <w:lang w:val="es-ES"/>
        </w:rPr>
        <w:t xml:space="preserve">Guinea Bissau, Malawi, Mauritania, Rwanda, Seychelles, Somalia y Zambia. Este apoyo incluye la elaboración de planes nacionales de telecomunicaciones de emergencia (PNTE) y el despliegue de sistemas de alerta temprana para mejorar la comunicación de riesgos y fomentar la utilización de tecnologías de emisión de alertas de peligro. Se ha prestado asistencia técnica crítica y mediante diagnósticos exhaustivos y hojas de ruta adaptadas, y mediante la integración de herramientas basadas en IA y de mapas de conectividad en caso de catástrofe. Las labores de ayuda también incluyen evaluaciones nacionales, así como el diseño, establecimiento y mantenimiento de canales de difusión sólidos, incluida la radiodifusión celular y el protocolo de alerta común (PAC), junto con otras soluciones multicanal, a fin de garantizar alertas oportunas, confiables y prácticas para todas las comunidades y personas en riesgo. Además, se imparten talleres y cursos de formación especializados para continuar reforzando la capacidad. Los procesos colaborativos con gobiernos, instituciones académicas, la sociedad civil y las comunidades garantizan el diseño conjunto de mensajes de alerta prácticos y su adaptación a los contextos locales, mejorando la confianza, la pertinencia y la eficacia. </w:t>
      </w:r>
      <w:bookmarkStart w:id="12" w:name="_Int_N243wwZD"/>
      <w:bookmarkEnd w:id="12"/>
    </w:p>
    <w:p w14:paraId="4955C2E1" w14:textId="2A06EF75" w:rsidR="002E0363" w:rsidRPr="00F37678" w:rsidRDefault="002E0363" w:rsidP="002E0363">
      <w:pPr>
        <w:rPr>
          <w:rFonts w:cstheme="minorHAnsi"/>
          <w:lang w:val="es-ES"/>
        </w:rPr>
      </w:pPr>
      <w:hyperlink r:id="rId28" w:history="1">
        <w:r w:rsidRPr="00F37678">
          <w:rPr>
            <w:rStyle w:val="Hyperlink"/>
            <w:b/>
            <w:bCs/>
            <w:lang w:val="es-ES"/>
          </w:rPr>
          <w:t>Inclusión digital</w:t>
        </w:r>
      </w:hyperlink>
      <w:r w:rsidRPr="00F37678">
        <w:rPr>
          <w:b/>
          <w:bCs/>
          <w:lang w:val="es-ES"/>
        </w:rPr>
        <w:t>:</w:t>
      </w:r>
      <w:r w:rsidRPr="00F37678">
        <w:rPr>
          <w:lang w:val="es-ES"/>
        </w:rPr>
        <w:t xml:space="preserve"> Los trabajos del Servicio de Inclusión Digital se centran en apoyar a los Estados Miembros de la UIT y a las comunidades en situación de vulnerabilidad y/o con necesidades especiales. En consecuencia, gran parte de la participación de la BDT se destina de forma natural a PMA, PDSL y PEID. Estas iniciativas tienen por objeto promover una transformación digital inclusiva y equitativa. Algunos ejemplos son las iniciativas específicas para incrementar la accesibilidad de las TIC, mejorar las competencias digitales y fomentar la participación inclusiva, como la </w:t>
      </w:r>
      <w:hyperlink r:id="rId29" w:anchor="/es" w:history="1">
        <w:r w:rsidRPr="00F37678">
          <w:rPr>
            <w:rStyle w:val="Hyperlink"/>
            <w:lang w:val="es-ES"/>
          </w:rPr>
          <w:t>Cumbre Mundial de la Juventud de la UIT</w:t>
        </w:r>
      </w:hyperlink>
      <w:r w:rsidRPr="00F37678">
        <w:rPr>
          <w:lang w:val="es-ES"/>
        </w:rPr>
        <w:t xml:space="preserve"> de Cuba (2025) y las </w:t>
      </w:r>
      <w:hyperlink r:id="rId30" w:history="1">
        <w:r w:rsidRPr="00F37678">
          <w:rPr>
            <w:rStyle w:val="Hyperlink"/>
            <w:lang w:val="es-ES"/>
          </w:rPr>
          <w:t>celebraciones mundiales de las Niñas en las TIC</w:t>
        </w:r>
      </w:hyperlink>
      <w:r w:rsidRPr="00F37678">
        <w:rPr>
          <w:lang w:val="es-ES"/>
        </w:rPr>
        <w:t xml:space="preserve"> de Zimbabwe (2023) y Kirguistán y Mauritania (ambas en 2025), así como otros programas e iniciativas específicas, tales como:</w:t>
      </w:r>
    </w:p>
    <w:p w14:paraId="7A21FC83" w14:textId="3CF32161" w:rsidR="002E0363" w:rsidRPr="00F37678" w:rsidRDefault="002E0363" w:rsidP="002E0363">
      <w:pPr>
        <w:pStyle w:val="enumlev1"/>
        <w:rPr>
          <w:rFonts w:cstheme="minorHAnsi"/>
          <w:szCs w:val="24"/>
          <w:lang w:val="es-ES"/>
        </w:rPr>
      </w:pPr>
      <w:r w:rsidRPr="00F37678">
        <w:rPr>
          <w:lang w:val="es-ES"/>
        </w:rPr>
        <w:t>–</w:t>
      </w:r>
      <w:r w:rsidRPr="00F37678">
        <w:rPr>
          <w:b/>
          <w:bCs/>
          <w:lang w:val="es-ES"/>
        </w:rPr>
        <w:tab/>
      </w:r>
      <w:r w:rsidRPr="00F37678">
        <w:rPr>
          <w:lang w:val="es-ES"/>
        </w:rPr>
        <w:t>Se facilitó conocimiento técnico especializado para la elaboración de planes estratégicos nacionales sobre inclusión digital</w:t>
      </w:r>
      <w:r w:rsidR="003B62FD" w:rsidRPr="00F37678">
        <w:rPr>
          <w:lang w:val="es-ES"/>
        </w:rPr>
        <w:t>.</w:t>
      </w:r>
      <w:r w:rsidRPr="00F37678">
        <w:rPr>
          <w:lang w:val="es-ES"/>
        </w:rPr>
        <w:t xml:space="preserve"> Estos planes se han diseñado desde una perspectiva integral e interseccional para garantizar que se tienen en cuenta las necesidades y requisitos de todas las personas en cuanto a la utilización de la tecnología, la comunicación y la participación en la sociedad digital. Se prestó asistencia a la República de Burundi, Etiopía, Haití, la República Dominicana y el Estado de la Libia, y se brindó apoyo específico a Burundi para la formulación de su plan nacional.</w:t>
      </w:r>
    </w:p>
    <w:p w14:paraId="4F3EC421" w14:textId="6CDDB0F4" w:rsidR="002E0363" w:rsidRPr="00F37678" w:rsidRDefault="002E0363" w:rsidP="002E0363">
      <w:pPr>
        <w:pStyle w:val="enumlev1"/>
        <w:rPr>
          <w:rFonts w:eastAsia="Aptos" w:cstheme="minorBidi"/>
          <w:lang w:val="es-ES"/>
        </w:rPr>
      </w:pPr>
      <w:r w:rsidRPr="00F37678">
        <w:rPr>
          <w:lang w:val="es-ES"/>
        </w:rPr>
        <w:lastRenderedPageBreak/>
        <w:t>–</w:t>
      </w:r>
      <w:r w:rsidRPr="00F37678">
        <w:rPr>
          <w:b/>
          <w:bCs/>
          <w:lang w:val="es-ES"/>
        </w:rPr>
        <w:tab/>
      </w:r>
      <w:hyperlink r:id="rId31">
        <w:r w:rsidRPr="00F37678">
          <w:rPr>
            <w:rStyle w:val="Hyperlink"/>
            <w:rFonts w:eastAsia="Aptos"/>
            <w:b/>
            <w:bCs/>
            <w:lang w:val="es-ES"/>
          </w:rPr>
          <w:t>AI Skills Accelerator for Girls</w:t>
        </w:r>
      </w:hyperlink>
      <w:r w:rsidRPr="00F37678">
        <w:rPr>
          <w:lang w:val="es-ES"/>
        </w:rPr>
        <w:t xml:space="preserve"> es una iniciativa global dirigida por la Oficina de Desarrollo de la UIT y la organización mundial EY para ayudar a las niñas y mujeres jóvenes a desarrollar competencias fundamentales en materia de inteligencia artificial (IA) y tecnologías incipientes. Hasta la fecha, se ha impartido formación a más de 820</w:t>
      </w:r>
      <w:r w:rsidR="00EB7780" w:rsidRPr="00F37678">
        <w:rPr>
          <w:lang w:val="es-ES"/>
        </w:rPr>
        <w:t> </w:t>
      </w:r>
      <w:r w:rsidRPr="00F37678">
        <w:rPr>
          <w:lang w:val="es-ES"/>
        </w:rPr>
        <w:t>participantes de diferentes países, como Paraguay, Kazajstán y Uzbekistán.</w:t>
      </w:r>
    </w:p>
    <w:p w14:paraId="35F6FC9B" w14:textId="0882022A" w:rsidR="002E0363" w:rsidRPr="00F37678" w:rsidRDefault="002E0363" w:rsidP="002E0363">
      <w:pPr>
        <w:rPr>
          <w:rFonts w:cstheme="minorBidi"/>
          <w:lang w:val="es-ES"/>
        </w:rPr>
      </w:pPr>
      <w:hyperlink r:id="rId32" w:history="1">
        <w:r w:rsidRPr="00F37678">
          <w:rPr>
            <w:rStyle w:val="Hyperlink"/>
            <w:b/>
            <w:bCs/>
            <w:lang w:val="es-ES"/>
          </w:rPr>
          <w:t>Juventud</w:t>
        </w:r>
      </w:hyperlink>
      <w:r w:rsidRPr="00F37678">
        <w:rPr>
          <w:b/>
          <w:bCs/>
          <w:lang w:val="es-ES"/>
        </w:rPr>
        <w:t>:</w:t>
      </w:r>
      <w:r w:rsidRPr="00F37678">
        <w:rPr>
          <w:lang w:val="es-ES"/>
        </w:rPr>
        <w:t xml:space="preserve"> La creciente población juvenil de la región de África y la transición del continente hacia la economía digital representan una gran oportunidad para impulsar las economías africanas y, al mismo tiempo, abordar los elevados niveles de desempleo y pobreza laboral entre los jóvenes. El proyecto "Fomento del empleo decente y mejora de las competencias de los jóvenes en la economía digital de África" propone aprovechar los mercados digitales en crecimiento de seis países africanos, entre ellos la República de Côte d'Ivoire y Rwanda, para crear empleos decentes para los jóvenes. Ejecutada conjuntamente con la UIT y la Organización Internacional del Trabajo (OIT), su objetivo es que los jóvenes africanos puedan acceder a trabajos dignos en la economía digital a través de un enfoque holístico del nivel del sistema que impulsa la creación de empleo y las oportunidades de emprendimiento en la economía digital, al tiempo que promueve el respeto de los derechos laborales de los jóvenes, invierte en capacidades y competencias digitales para los jóvenes y mejora el mecanismo de intermediación en el mercado laboral de los servicios de empleo.</w:t>
      </w:r>
    </w:p>
    <w:p w14:paraId="5F459F3F" w14:textId="343A358A" w:rsidR="002E0363" w:rsidRPr="00F37678" w:rsidRDefault="002E0363" w:rsidP="002E0363">
      <w:pPr>
        <w:rPr>
          <w:rFonts w:eastAsia="Aptos" w:cstheme="minorBidi"/>
          <w:lang w:val="es-ES"/>
        </w:rPr>
      </w:pPr>
      <w:r w:rsidRPr="00F37678">
        <w:rPr>
          <w:lang w:val="es-ES"/>
        </w:rPr>
        <w:t>La BDT también ha logrado importantes avances en la implicación de los jóvenes gracias a la iniciativa Generation Connect, que convierte a los jóvenes en contribuyentes activos a la agenda de desarrollo digital de la UIT. En asociación con los Estados Miembros, la UIT nombró 184</w:t>
      </w:r>
      <w:r w:rsidR="00EB7780" w:rsidRPr="00F37678">
        <w:rPr>
          <w:lang w:val="es-ES"/>
        </w:rPr>
        <w:t> </w:t>
      </w:r>
      <w:hyperlink r:id="rId33" w:history="1">
        <w:r w:rsidRPr="00F37678">
          <w:rPr>
            <w:rStyle w:val="Hyperlink"/>
            <w:b/>
            <w:bCs/>
            <w:lang w:val="es-ES"/>
          </w:rPr>
          <w:t>Enviados de la Juventud de Generation Connect (GCYE)</w:t>
        </w:r>
      </w:hyperlink>
      <w:r w:rsidRPr="00F37678">
        <w:rPr>
          <w:b/>
          <w:bCs/>
          <w:lang w:val="es-ES"/>
        </w:rPr>
        <w:t xml:space="preserve"> </w:t>
      </w:r>
      <w:r w:rsidRPr="00F37678">
        <w:rPr>
          <w:lang w:val="es-ES"/>
        </w:rPr>
        <w:t>de 64 países, el 52 % de los cuales procedían de PMA, PDSL y PEID. Además, en colaboración con Huawei, se formaron dos grupos globales compuestos por 60 jóvenes innovadores de 40 países, que fueron seleccionados de entre más de 10 000 postulantes</w:t>
      </w:r>
      <w:r w:rsidRPr="00F37678" w:rsidDel="003F571C">
        <w:rPr>
          <w:lang w:val="es-ES"/>
        </w:rPr>
        <w:t xml:space="preserve"> </w:t>
      </w:r>
      <w:r w:rsidRPr="00F37678">
        <w:rPr>
          <w:lang w:val="es-ES"/>
        </w:rPr>
        <w:t xml:space="preserve">y nombrados </w:t>
      </w:r>
      <w:hyperlink r:id="rId34" w:history="1">
        <w:r w:rsidRPr="00F37678">
          <w:rPr>
            <w:rStyle w:val="Hyperlink"/>
            <w:b/>
            <w:bCs/>
            <w:lang w:val="es-ES"/>
          </w:rPr>
          <w:t>becarios del Programa de Jóvenes Líderes de la iniciativa Generation Connect</w:t>
        </w:r>
      </w:hyperlink>
      <w:r w:rsidRPr="00F37678">
        <w:rPr>
          <w:lang w:val="es-ES"/>
        </w:rPr>
        <w:t>. Cada becario recibió una subvención de 5 000 USD para la puesta en marcha de proyectos digitales comunitarios y todos ellos siguen beneficiándose de mentorías virtuales mensuales, así como de sesiones y ejercicios de presentación de informes. En concreto, el 43 % de los becarios seleccionados proceden de PMA, PDSL y PEID.</w:t>
      </w:r>
    </w:p>
    <w:p w14:paraId="0CFB2508" w14:textId="77777777" w:rsidR="002E0363" w:rsidRPr="00F37678" w:rsidRDefault="002E0363" w:rsidP="002E0363">
      <w:pPr>
        <w:pStyle w:val="Heading1"/>
        <w:rPr>
          <w:lang w:val="es-ES"/>
        </w:rPr>
      </w:pPr>
      <w:r w:rsidRPr="00F37678">
        <w:rPr>
          <w:lang w:val="es-ES"/>
        </w:rPr>
        <w:t>6</w:t>
      </w:r>
      <w:r w:rsidRPr="00F37678">
        <w:rPr>
          <w:lang w:val="es-ES"/>
        </w:rPr>
        <w:tab/>
        <w:t>Becas</w:t>
      </w:r>
    </w:p>
    <w:p w14:paraId="19C86206" w14:textId="40E425A8" w:rsidR="002E0363" w:rsidRPr="00F37678" w:rsidRDefault="002E0363" w:rsidP="002E0363">
      <w:pPr>
        <w:rPr>
          <w:rFonts w:eastAsia="SimSun" w:cstheme="minorHAnsi"/>
          <w:lang w:val="es-ES"/>
        </w:rPr>
      </w:pPr>
      <w:r w:rsidRPr="00F37678">
        <w:rPr>
          <w:lang w:val="es-ES"/>
        </w:rPr>
        <w:t>Entre 2023 y el primer semestre de 2025, se concedió un total de 2 081 becas a representantes de PMA, PDSL y PEID. Estas becas, que representaron más del 80 % del total de becas concedidas durante el periodo, se financiaron con fondos extrapresupuestarios y con cargo al presupuesto ordinario.</w:t>
      </w:r>
    </w:p>
    <w:p w14:paraId="376549E9" w14:textId="10A3A58F" w:rsidR="002E0363" w:rsidRPr="00F37678" w:rsidRDefault="002E0363" w:rsidP="002E0363">
      <w:pPr>
        <w:pStyle w:val="Heading1"/>
        <w:rPr>
          <w:lang w:val="es-ES"/>
        </w:rPr>
      </w:pPr>
      <w:r w:rsidRPr="00F37678">
        <w:rPr>
          <w:lang w:val="es-ES"/>
        </w:rPr>
        <w:t>7</w:t>
      </w:r>
      <w:r w:rsidRPr="00F37678">
        <w:rPr>
          <w:lang w:val="es-ES"/>
        </w:rPr>
        <w:tab/>
        <w:t>Contribución de la UIT a las conferencias de las Naciones Unidas</w:t>
      </w:r>
    </w:p>
    <w:p w14:paraId="43D13F4B" w14:textId="1C48A12F" w:rsidR="002E0363" w:rsidRPr="00F37678" w:rsidRDefault="002E0363" w:rsidP="002E0363">
      <w:pPr>
        <w:rPr>
          <w:rFonts w:cstheme="minorBidi"/>
          <w:b/>
          <w:bCs/>
          <w:lang w:val="es-ES"/>
        </w:rPr>
      </w:pPr>
      <w:r w:rsidRPr="00F37678">
        <w:rPr>
          <w:lang w:val="es-ES"/>
        </w:rPr>
        <w:t xml:space="preserve">La UIT participó activamente en varias conferencias mundiales cuyo objetivo era responder a los desafíos singulares a los que se enfrentan los PMA, PDSL y PEID, promoviendo la inclusión de la conectividad universal efectiva (UMC) y la transformación digital en las agendas de desarrollo de esos países. Algunas de estas conferencias son: </w:t>
      </w:r>
    </w:p>
    <w:p w14:paraId="4D75FD4E" w14:textId="77777777" w:rsidR="002E0363" w:rsidRPr="00F37678" w:rsidRDefault="002E0363" w:rsidP="002E0363">
      <w:pPr>
        <w:pStyle w:val="enumlev1"/>
        <w:rPr>
          <w:rFonts w:cstheme="minorHAnsi"/>
          <w:b/>
          <w:bCs/>
          <w:lang w:val="es-ES"/>
        </w:rPr>
      </w:pPr>
      <w:r w:rsidRPr="00F37678">
        <w:rPr>
          <w:b/>
          <w:bCs/>
          <w:lang w:val="es-ES"/>
        </w:rPr>
        <w:t>i)</w:t>
      </w:r>
      <w:r w:rsidRPr="00F37678">
        <w:rPr>
          <w:b/>
          <w:bCs/>
          <w:lang w:val="es-ES"/>
        </w:rPr>
        <w:tab/>
        <w:t>5ª Conferencia de las Naciones Unidas sobre los Países Menos Adelantados (PMA5) y Programa de Acción de Doha</w:t>
      </w:r>
    </w:p>
    <w:p w14:paraId="42838A1A" w14:textId="07037BE2" w:rsidR="002E0363" w:rsidRPr="00F37678" w:rsidRDefault="002E0363" w:rsidP="002E0363">
      <w:pPr>
        <w:rPr>
          <w:rFonts w:eastAsia="SimSun" w:cstheme="minorHAnsi"/>
          <w:lang w:val="es-ES"/>
        </w:rPr>
      </w:pPr>
      <w:r w:rsidRPr="00F37678">
        <w:rPr>
          <w:lang w:val="es-ES"/>
        </w:rPr>
        <w:t xml:space="preserve">La 5ª Conferencia de las Naciones Unidas sobre los Países Menos Adelantados (PMA5) se celebró del 5 al 9 de marzo de 2023 en Doha (Qatar). La UIT participó en el programa principal, organizó </w:t>
      </w:r>
      <w:r w:rsidRPr="00F37678">
        <w:rPr>
          <w:lang w:val="es-ES"/>
        </w:rPr>
        <w:lastRenderedPageBreak/>
        <w:t xml:space="preserve">eventos paralelos y tomó parte en la exposición sobre "Conectividad para el desarrollo sostenible". La UIT lanzó la publicación especial </w:t>
      </w:r>
      <w:hyperlink r:id="rId35" w:history="1">
        <w:r w:rsidRPr="00F37678">
          <w:rPr>
            <w:rStyle w:val="Hyperlink"/>
            <w:i/>
            <w:iCs/>
            <w:lang w:val="es-ES"/>
          </w:rPr>
          <w:t>Facts and Figures: Focus on Least Developed Countries</w:t>
        </w:r>
      </w:hyperlink>
      <w:r w:rsidRPr="00F37678">
        <w:rPr>
          <w:lang w:val="es-ES"/>
        </w:rPr>
        <w:t>, formuló una declaración en el debate general y contribuyó a las mesas redondas temáticas</w:t>
      </w:r>
      <w:r w:rsidR="003B62FD" w:rsidRPr="00F37678">
        <w:rPr>
          <w:lang w:val="es-ES"/>
        </w:rPr>
        <w:t>,</w:t>
      </w:r>
      <w:r w:rsidRPr="00F37678">
        <w:rPr>
          <w:lang w:val="es-ES"/>
        </w:rPr>
        <w:t xml:space="preserve"> el Foro del Sector Privado, la sesión de Cooperación Sur-Sur y el Foro de la Juventud, y también participó en diferentes espacios de exposición e interacción de la Conferencia.</w:t>
      </w:r>
    </w:p>
    <w:p w14:paraId="4B55EF72" w14:textId="77777777" w:rsidR="002E0363" w:rsidRPr="00F37678" w:rsidRDefault="002E0363" w:rsidP="002E0363">
      <w:pPr>
        <w:rPr>
          <w:rFonts w:eastAsia="SimSun" w:cstheme="minorHAnsi"/>
          <w:szCs w:val="24"/>
          <w:lang w:val="es-ES"/>
        </w:rPr>
      </w:pPr>
      <w:r w:rsidRPr="00F37678">
        <w:rPr>
          <w:lang w:val="es-ES"/>
        </w:rPr>
        <w:t>Antes de la conferencia principal, la UIT también se implicó en el proceso preparatorio, que incluyó exámenes nacionales, regionales y mundiales de la ejecución del Programa de Acción de Estambul en favor de los Países Menos Adelantados para el Decenio 2011-2020.</w:t>
      </w:r>
    </w:p>
    <w:p w14:paraId="3ACFC6C0" w14:textId="77777777" w:rsidR="002E0363" w:rsidRPr="00F37678" w:rsidRDefault="002E0363" w:rsidP="002E0363">
      <w:pPr>
        <w:rPr>
          <w:rFonts w:eastAsia="SimSun" w:cstheme="minorHAnsi"/>
          <w:lang w:val="es-ES"/>
        </w:rPr>
      </w:pPr>
      <w:r w:rsidRPr="00F37678">
        <w:rPr>
          <w:lang w:val="es-ES"/>
        </w:rPr>
        <w:t>La UIT también contribuyó a la hoja de ruta para la ejecución del Programa de Acción de Doha, que contenía varias referencias digitales.</w:t>
      </w:r>
    </w:p>
    <w:p w14:paraId="50088186" w14:textId="481A6975" w:rsidR="002E0363" w:rsidRPr="00F37678" w:rsidRDefault="002E0363" w:rsidP="002E0363">
      <w:pPr>
        <w:pStyle w:val="enumlev1"/>
        <w:rPr>
          <w:rFonts w:cstheme="minorHAnsi"/>
          <w:lang w:val="es-ES"/>
        </w:rPr>
      </w:pPr>
      <w:r w:rsidRPr="00F37678">
        <w:rPr>
          <w:b/>
          <w:bCs/>
          <w:lang w:val="es-ES"/>
        </w:rPr>
        <w:t>ii)</w:t>
      </w:r>
      <w:r w:rsidRPr="00F37678">
        <w:rPr>
          <w:b/>
          <w:bCs/>
          <w:lang w:val="es-ES"/>
        </w:rPr>
        <w:tab/>
        <w:t>Cuarta Conferencia Internacional sobre los Pequeños Estados Insulares en Desarrollo y</w:t>
      </w:r>
      <w:r w:rsidRPr="00F37678">
        <w:rPr>
          <w:lang w:val="es-ES"/>
        </w:rPr>
        <w:t xml:space="preserve"> Agenda de Antigua y Barbuda para los Pequeños Estados Insulares en Desarrollo</w:t>
      </w:r>
    </w:p>
    <w:p w14:paraId="715DE059" w14:textId="384C7BE1" w:rsidR="002E0363" w:rsidRPr="00F37678" w:rsidRDefault="002E0363" w:rsidP="002E0363">
      <w:pPr>
        <w:rPr>
          <w:rFonts w:eastAsia="SimSun" w:cstheme="minorHAnsi"/>
          <w:szCs w:val="24"/>
          <w:lang w:val="es-ES"/>
        </w:rPr>
      </w:pPr>
      <w:r w:rsidRPr="00F37678">
        <w:rPr>
          <w:lang w:val="es-ES"/>
        </w:rPr>
        <w:t xml:space="preserve">La Cuarta Conferencia Internacional sobre los Pequeños Estados Insulares en Desarrollo (PEID4) se celebró del 27 al 30 de mayo de 2024 en Antigua y Barbuda. </w:t>
      </w:r>
    </w:p>
    <w:p w14:paraId="39749B09" w14:textId="6E54B14B" w:rsidR="002E0363" w:rsidRPr="00F37678" w:rsidRDefault="002E0363" w:rsidP="002E0363">
      <w:pPr>
        <w:rPr>
          <w:rFonts w:eastAsia="SimSun" w:cstheme="minorHAnsi"/>
          <w:szCs w:val="24"/>
          <w:lang w:val="es-ES"/>
        </w:rPr>
      </w:pPr>
      <w:r w:rsidRPr="00F37678">
        <w:rPr>
          <w:lang w:val="es-ES"/>
        </w:rPr>
        <w:t>La delegación de la UIT, dirigida por el Director de la BDT, participó en el debate general de la PEID4 para defender la conectividad efectiva y la transformación digital sostenible como imperativo normativo y como facilitador del progreso hacia los ODS. La UIT también hizo hincapié en el papel fundamental de las tecnologías digitales para la resolución de los desafíos que afrontan los PEID.</w:t>
      </w:r>
    </w:p>
    <w:p w14:paraId="496C86E7" w14:textId="3A9AA7F3" w:rsidR="002E0363" w:rsidRPr="00F37678" w:rsidRDefault="002E0363" w:rsidP="002E0363">
      <w:pPr>
        <w:rPr>
          <w:rFonts w:eastAsia="SimSun" w:cstheme="minorHAnsi"/>
          <w:lang w:val="es-ES"/>
        </w:rPr>
      </w:pPr>
      <w:r w:rsidRPr="00F37678">
        <w:rPr>
          <w:lang w:val="es-ES"/>
        </w:rPr>
        <w:t xml:space="preserve">La UIT contribuyó al debate general y codirigió un diálogo interactivo sobre "Aprovechar los datos y las tecnologías digitales", un diálogo de políticas de alto nivel sobre conectividad universal efectiva y una sesión de la P2C. La BDT publicó una edición especial de </w:t>
      </w:r>
      <w:hyperlink r:id="rId36" w:history="1">
        <w:r w:rsidRPr="00F37678">
          <w:rPr>
            <w:rStyle w:val="Hyperlink"/>
            <w:i/>
            <w:iCs/>
            <w:lang w:val="es-ES"/>
          </w:rPr>
          <w:t>Facts and Figures: Focus for Small Island Developing States</w:t>
        </w:r>
      </w:hyperlink>
      <w:r w:rsidRPr="00F37678">
        <w:rPr>
          <w:lang w:val="es-ES"/>
        </w:rPr>
        <w:t>.</w:t>
      </w:r>
    </w:p>
    <w:p w14:paraId="63803591" w14:textId="258524A6" w:rsidR="002E0363" w:rsidRPr="00F37678" w:rsidRDefault="002E0363" w:rsidP="002E0363">
      <w:pPr>
        <w:rPr>
          <w:rFonts w:eastAsia="SimSun" w:cstheme="minorHAnsi"/>
          <w:szCs w:val="24"/>
          <w:lang w:val="es-ES"/>
        </w:rPr>
      </w:pPr>
      <w:r w:rsidRPr="00F37678">
        <w:rPr>
          <w:lang w:val="es-ES"/>
        </w:rPr>
        <w:t xml:space="preserve">La UIT se unió a entidades estratégicas asociadas de las Naciones Unidas, los Estados Miembros (en particular, PEID) y la comunidad general de partes interesadas para estudiar las sinergias futuras con miras a la aplicación de la Agenda de Antigua y Barbuda para los Pequeños Estados Insulares en Desarrollo: Declaración renovada para una prosperidad resiliente. </w:t>
      </w:r>
    </w:p>
    <w:p w14:paraId="4893D9DC" w14:textId="77777777" w:rsidR="002E0363" w:rsidRPr="00F37678" w:rsidRDefault="002E0363" w:rsidP="002E0363">
      <w:pPr>
        <w:pStyle w:val="enumlev1"/>
        <w:rPr>
          <w:b/>
          <w:bCs/>
          <w:lang w:val="es-ES"/>
        </w:rPr>
      </w:pPr>
      <w:r w:rsidRPr="00F37678">
        <w:rPr>
          <w:b/>
          <w:bCs/>
          <w:lang w:val="es-ES"/>
        </w:rPr>
        <w:t>iii)</w:t>
      </w:r>
      <w:r w:rsidRPr="00F37678">
        <w:rPr>
          <w:b/>
          <w:bCs/>
          <w:lang w:val="es-ES"/>
        </w:rPr>
        <w:tab/>
        <w:t>Tercera Conferencia de las Naciones Unidas sobre los Países en Desarrollo Sin Litoral y Programa de Acción de Awaza para los PDSL 2024-2034</w:t>
      </w:r>
    </w:p>
    <w:p w14:paraId="6B19B31F" w14:textId="737317D9" w:rsidR="002E0363" w:rsidRPr="00F37678" w:rsidRDefault="002E0363" w:rsidP="002E0363">
      <w:pPr>
        <w:rPr>
          <w:rFonts w:eastAsia="SimSun" w:cstheme="minorHAnsi"/>
          <w:lang w:val="es-ES"/>
        </w:rPr>
      </w:pPr>
      <w:r w:rsidRPr="00F37678">
        <w:rPr>
          <w:lang w:val="es-ES"/>
        </w:rPr>
        <w:t xml:space="preserve">La Tercera Conferencia de las Naciones Unidas sobre los Países en Desarrollo sin Litoral (PDSL3), que se celebró del 5 al 8 de agosto de 2025 en Awaza (Turkmenistán), se centró en los retos singulares a los que se enfrentan los PDSL. Entre los principales resultados de la Conferencia figuran la aprobación del Programa de Acción de Awaza para los Países en Desarrollo sin Litoral 2024-2034 y la Declaración política de Awaza. La delegación de la UIT, encabezada por el Director de la BDT, contribuyó al debate general y coorganizó la vía sobre Conectividad del programa principal, reforzando el compromiso de la UIT con el desarrollo digital inclusivo y el apoyo constante al Programa Awaza. La UIT organizó varios eventos paralelos que hacían hincapié en el desarrollo digital y su contribución a la gestión de los retos de los PDSL y consiguió implicar a las partes interesadas con una cabina de exposición en la Conferencia. En colaboración con la Conferencia, la UIT publicó el informe </w:t>
      </w:r>
      <w:hyperlink r:id="rId37" w:history="1">
        <w:r w:rsidRPr="00F37678">
          <w:rPr>
            <w:rStyle w:val="Hyperlink"/>
            <w:i/>
            <w:iCs/>
            <w:lang w:val="es-ES"/>
          </w:rPr>
          <w:t>Facts and Figures: Focus on Landlocked Developing Countries</w:t>
        </w:r>
      </w:hyperlink>
      <w:r w:rsidRPr="00F37678">
        <w:rPr>
          <w:lang w:val="es-ES"/>
        </w:rPr>
        <w:t xml:space="preserve">, en el que se presenta un panorama completo de los avances digitales en los PDSL, con datos y análisis fundamentales sobre conectividad, asequibilidad y política digital. En esta publicación se destaca tanto la diversidad de experiencias entre los PDSL como los desafíos </w:t>
      </w:r>
      <w:r w:rsidRPr="00F37678">
        <w:rPr>
          <w:lang w:val="es-ES"/>
        </w:rPr>
        <w:lastRenderedPageBreak/>
        <w:t>comunes a los que se enfrentan, y se ofrecen ideas para orientar la acción hacia una conectividad universal y efectiva (UMC).</w:t>
      </w:r>
    </w:p>
    <w:p w14:paraId="53F9A32C" w14:textId="77777777" w:rsidR="002E0363" w:rsidRPr="00F37678" w:rsidRDefault="002E0363" w:rsidP="002E0363">
      <w:pPr>
        <w:pStyle w:val="Heading1"/>
        <w:rPr>
          <w:rFonts w:eastAsiaTheme="minorEastAsia" w:cstheme="minorBidi"/>
          <w:bCs/>
          <w:lang w:val="es-ES"/>
        </w:rPr>
      </w:pPr>
      <w:r w:rsidRPr="00F37678">
        <w:rPr>
          <w:lang w:val="es-ES"/>
        </w:rPr>
        <w:t>8</w:t>
      </w:r>
      <w:r w:rsidRPr="00F37678">
        <w:rPr>
          <w:lang w:val="es-ES"/>
        </w:rPr>
        <w:tab/>
      </w:r>
      <w:hyperlink r:id="rId38" w:anchor="/es" w:history="1">
        <w:r w:rsidRPr="00F37678">
          <w:rPr>
            <w:rStyle w:val="Hyperlink"/>
            <w:lang w:val="es-ES"/>
          </w:rPr>
          <w:t>Partner to Connect (P2C)</w:t>
        </w:r>
      </w:hyperlink>
    </w:p>
    <w:p w14:paraId="2AF5B304" w14:textId="38E78EC2" w:rsidR="002E0363" w:rsidRPr="00F37678" w:rsidRDefault="002E0363" w:rsidP="002E0363">
      <w:pPr>
        <w:rPr>
          <w:lang w:val="es-ES"/>
        </w:rPr>
      </w:pPr>
      <w:r w:rsidRPr="00F37678">
        <w:rPr>
          <w:lang w:val="es-ES"/>
        </w:rPr>
        <w:t>La coalición Partner to Connect (P2C) es una alianza multilateral de la UIT para movilizar recursos y promover asociaciones con el objetivo de alcanzar la conectividad universal y efectiva y la transformación digital sostenible en todos los países, prestando una atención particular a las comunidades más difíciles de conectar, especialmente en los PMA, los PDSL y los PEID. Desde 2023, se ha reforzado el alcance global de la coalición con sesiones de establecimiento de contactos organizadas por la BDT durante los Foros Regionales de Desarrollo, donde los países presentaron sus necesidades concretas y los asociados respondieron con ofertas de apoyo personalizadas, garantizando que la movilización se traducía en resultados mensurables.</w:t>
      </w:r>
    </w:p>
    <w:p w14:paraId="2EE166BD" w14:textId="265C7C2C" w:rsidR="002E0363" w:rsidRPr="00F37678" w:rsidRDefault="002E0363" w:rsidP="002E0363">
      <w:pPr>
        <w:rPr>
          <w:rFonts w:eastAsiaTheme="minorEastAsia" w:cstheme="minorHAnsi"/>
          <w:lang w:val="es-ES"/>
        </w:rPr>
      </w:pPr>
      <w:r w:rsidRPr="00F37678">
        <w:rPr>
          <w:lang w:val="es-ES"/>
        </w:rPr>
        <w:t>Hasta 2025, la P2C ha movilizado los siguientes compromisos para los PMA, PDSL y PEID:</w:t>
      </w:r>
    </w:p>
    <w:p w14:paraId="182F22AD" w14:textId="451479B4" w:rsidR="002E0363" w:rsidRPr="00F37678" w:rsidRDefault="002E0363" w:rsidP="002E0363">
      <w:pPr>
        <w:pStyle w:val="enumlev1"/>
        <w:rPr>
          <w:rFonts w:eastAsiaTheme="minorEastAsia" w:cstheme="minorHAnsi"/>
          <w:lang w:val="es-ES"/>
        </w:rPr>
      </w:pPr>
      <w:r w:rsidRPr="00F37678">
        <w:rPr>
          <w:lang w:val="es-ES"/>
        </w:rPr>
        <w:t>–</w:t>
      </w:r>
      <w:r w:rsidRPr="00F37678">
        <w:rPr>
          <w:b/>
          <w:bCs/>
          <w:lang w:val="es-ES"/>
        </w:rPr>
        <w:tab/>
      </w:r>
      <w:r w:rsidRPr="00F37678">
        <w:rPr>
          <w:lang w:val="es-ES"/>
        </w:rPr>
        <w:t>PMA: 317 compromisos con un valor financiero estimado de 29 560 millones de USD.</w:t>
      </w:r>
    </w:p>
    <w:p w14:paraId="6351FB4C" w14:textId="3D8DC070" w:rsidR="002E0363" w:rsidRPr="00F37678" w:rsidRDefault="002E0363" w:rsidP="002E0363">
      <w:pPr>
        <w:pStyle w:val="enumlev1"/>
        <w:rPr>
          <w:rFonts w:eastAsiaTheme="minorEastAsia" w:cstheme="minorHAnsi"/>
          <w:lang w:val="es-ES"/>
        </w:rPr>
      </w:pPr>
      <w:r w:rsidRPr="00F37678">
        <w:rPr>
          <w:lang w:val="es-ES"/>
        </w:rPr>
        <w:t>–</w:t>
      </w:r>
      <w:r w:rsidRPr="00F37678">
        <w:rPr>
          <w:b/>
          <w:bCs/>
          <w:lang w:val="es-ES"/>
        </w:rPr>
        <w:tab/>
      </w:r>
      <w:r w:rsidRPr="00F37678">
        <w:rPr>
          <w:lang w:val="es-ES"/>
        </w:rPr>
        <w:t>PDSL: 268 compromisos con un valor financiero estimado de 30 010 millones de USD.</w:t>
      </w:r>
    </w:p>
    <w:p w14:paraId="5B227224" w14:textId="021C5E8F" w:rsidR="002E0363" w:rsidRPr="00F37678" w:rsidRDefault="002E0363" w:rsidP="002E0363">
      <w:pPr>
        <w:pStyle w:val="enumlev1"/>
        <w:rPr>
          <w:rFonts w:eastAsiaTheme="minorEastAsia" w:cstheme="minorHAnsi"/>
          <w:lang w:val="es-ES"/>
        </w:rPr>
      </w:pPr>
      <w:r w:rsidRPr="00F37678">
        <w:rPr>
          <w:lang w:val="es-ES"/>
        </w:rPr>
        <w:t>–</w:t>
      </w:r>
      <w:r w:rsidRPr="00F37678">
        <w:rPr>
          <w:b/>
          <w:bCs/>
          <w:lang w:val="es-ES"/>
        </w:rPr>
        <w:tab/>
      </w:r>
      <w:r w:rsidRPr="00F37678">
        <w:rPr>
          <w:lang w:val="es-ES"/>
        </w:rPr>
        <w:t xml:space="preserve">PEID: 158 compromisos con un valor financiero estimado de 25 980 millones de USD. </w:t>
      </w:r>
    </w:p>
    <w:p w14:paraId="33A109DC" w14:textId="5DD0C184" w:rsidR="002E0363" w:rsidRPr="00F37678" w:rsidRDefault="002E0363" w:rsidP="00B13697">
      <w:pPr>
        <w:pStyle w:val="Heading1"/>
        <w:rPr>
          <w:rFonts w:ascii="Calibri" w:eastAsia="Calibri" w:hAnsi="Calibri" w:cs="Calibri"/>
          <w:b w:val="0"/>
          <w:bCs/>
          <w:color w:val="242424"/>
          <w:lang w:val="es-ES"/>
        </w:rPr>
      </w:pPr>
      <w:r w:rsidRPr="00F37678">
        <w:rPr>
          <w:bCs/>
          <w:lang w:val="es-ES"/>
        </w:rPr>
        <w:t>9</w:t>
      </w:r>
      <w:r w:rsidR="00B13697" w:rsidRPr="00F37678">
        <w:rPr>
          <w:bCs/>
          <w:lang w:val="es-ES"/>
        </w:rPr>
        <w:tab/>
      </w:r>
      <w:r w:rsidRPr="00F37678">
        <w:rPr>
          <w:rStyle w:val="Hyperlink"/>
          <w:lang w:val="es-ES"/>
        </w:rPr>
        <w:t>Implicaciones</w:t>
      </w:r>
      <w:r w:rsidRPr="00F37678">
        <w:rPr>
          <w:bCs/>
          <w:lang w:val="es-ES"/>
        </w:rPr>
        <w:t xml:space="preserve"> para la programación de la UIT: Utilización de la conectividad para apoyar a los PMA en las transiciones de graduación de su categoría y después de ella</w:t>
      </w:r>
    </w:p>
    <w:p w14:paraId="68B10DA0" w14:textId="6A050163" w:rsidR="002E0363" w:rsidRPr="00F37678" w:rsidRDefault="002E0363" w:rsidP="00B13697">
      <w:pPr>
        <w:rPr>
          <w:rFonts w:ascii="Calibri" w:eastAsia="Calibri" w:hAnsi="Calibri" w:cs="Calibri"/>
          <w:color w:val="242424"/>
          <w:lang w:val="es-ES"/>
        </w:rPr>
      </w:pPr>
      <w:r w:rsidRPr="00F37678">
        <w:rPr>
          <w:lang w:val="es-ES"/>
        </w:rPr>
        <w:t xml:space="preserve">Entre 2014 y 2024, cinco PMA se graduaron de la categoría de país menos adelantado (Bhután, Guinea Ecuatorial [República de], Samoa, Santo Tomé y Príncipe [República Democrática de] y Vanuatu), y otros seis están en vías de hacerlo en 2029 (Bangladesh, Camboya, Lao </w:t>
      </w:r>
      <w:r w:rsidR="00B13697" w:rsidRPr="00F37678">
        <w:rPr>
          <w:lang w:val="es-ES"/>
        </w:rPr>
        <w:t>[</w:t>
      </w:r>
      <w:r w:rsidRPr="00F37678">
        <w:rPr>
          <w:lang w:val="es-ES"/>
        </w:rPr>
        <w:t xml:space="preserve">R.D.P.], Nepal, Salomón [Islas] y Senegal). Según el informe de la UIT </w:t>
      </w:r>
      <w:r w:rsidRPr="00F37678">
        <w:rPr>
          <w:i/>
          <w:iCs/>
          <w:lang w:val="es-ES"/>
        </w:rPr>
        <w:t>Measuring digital development: ICT Development Index 2025</w:t>
      </w:r>
      <w:r w:rsidRPr="00F37678">
        <w:rPr>
          <w:rStyle w:val="FootnoteReference"/>
          <w:rFonts w:ascii="Calibri" w:eastAsia="Calibri" w:hAnsi="Calibri" w:cs="Calibri"/>
          <w:i/>
          <w:color w:val="242424"/>
          <w:sz w:val="20"/>
          <w:lang w:val="es-ES"/>
        </w:rPr>
        <w:footnoteReference w:id="6"/>
      </w:r>
      <w:r w:rsidRPr="00F37678">
        <w:rPr>
          <w:lang w:val="es-ES"/>
        </w:rPr>
        <w:t>, la utilización de Internet en estos países aumentó considerablemente durante sus ciclos de graduación, lo que evidencia una correlación estrecha con los criterios básicos de graduación de los PMA, a saber, la mejora de los ingresos, la educación y la resiliencia.</w:t>
      </w:r>
    </w:p>
    <w:p w14:paraId="6B64AC5B" w14:textId="77777777" w:rsidR="002E0363" w:rsidRPr="00F37678" w:rsidRDefault="002E0363" w:rsidP="00B13697">
      <w:pPr>
        <w:rPr>
          <w:rFonts w:ascii="Calibri" w:eastAsia="Calibri" w:hAnsi="Calibri" w:cs="Calibri"/>
          <w:color w:val="242424"/>
          <w:lang w:val="es-ES"/>
        </w:rPr>
      </w:pPr>
      <w:r w:rsidRPr="00F37678">
        <w:rPr>
          <w:lang w:val="es-ES"/>
        </w:rPr>
        <w:t>En los países recién graduados, el uso de Internet creció del 21 % en promedio en 2014 a más del 65 % en 2023, lo que pone de manifiesto la fuerte correlación entre la expansión de la conectividad y las mejoras en los indicadores de ingresos, educación y resiliencia en los que se basan los requisitos de graduación.</w:t>
      </w:r>
    </w:p>
    <w:p w14:paraId="6061E612" w14:textId="6277F712" w:rsidR="002E0363" w:rsidRPr="00F37678" w:rsidRDefault="002E0363" w:rsidP="00B13697">
      <w:pPr>
        <w:rPr>
          <w:rFonts w:ascii="Calibri" w:eastAsia="Calibri" w:hAnsi="Calibri" w:cs="Calibri"/>
          <w:color w:val="242424"/>
          <w:lang w:val="es-ES"/>
        </w:rPr>
      </w:pPr>
      <w:r w:rsidRPr="00F37678">
        <w:rPr>
          <w:lang w:val="es-ES"/>
        </w:rPr>
        <w:t>Esta evidencia muestra que la conectividad digital y la innovación de las TIC son los principales aceleradores de la transformación estructural. En el marco del Programa de Acción de Doha (2022</w:t>
      </w:r>
      <w:r w:rsidR="00B13697" w:rsidRPr="00F37678">
        <w:rPr>
          <w:lang w:val="es-ES"/>
        </w:rPr>
        <w:noBreakHyphen/>
      </w:r>
      <w:r w:rsidRPr="00F37678">
        <w:rPr>
          <w:lang w:val="es-ES"/>
        </w:rPr>
        <w:t>2031) para los PMA, el Programa de Acción de Awaza (2024-2034) para los PDSL y la Agenda de Antigua y Barbuda para los PEID (2024-2034), la UIT puede integrar la transformación digital en las estrategias nacionales de graduación y mantener los logros obtenidos después de la graduación, centrándose en tres pilares:</w:t>
      </w:r>
    </w:p>
    <w:p w14:paraId="4C09AED9" w14:textId="28A3E056" w:rsidR="002E0363" w:rsidRPr="00F37678" w:rsidRDefault="00B13697" w:rsidP="00B13697">
      <w:pPr>
        <w:pStyle w:val="enumlev1"/>
        <w:rPr>
          <w:rFonts w:ascii="Calibri" w:eastAsia="Calibri" w:hAnsi="Calibri" w:cs="Calibri"/>
          <w:color w:val="242424"/>
          <w:lang w:val="es-ES"/>
        </w:rPr>
      </w:pPr>
      <w:r w:rsidRPr="00F37678">
        <w:rPr>
          <w:lang w:val="es-ES"/>
        </w:rPr>
        <w:t>1</w:t>
      </w:r>
      <w:r w:rsidRPr="00F37678">
        <w:rPr>
          <w:b/>
          <w:bCs/>
          <w:lang w:val="es-ES"/>
        </w:rPr>
        <w:tab/>
      </w:r>
      <w:r w:rsidR="002E0363" w:rsidRPr="00F37678">
        <w:rPr>
          <w:b/>
          <w:bCs/>
          <w:lang w:val="es-ES"/>
        </w:rPr>
        <w:t>Aceleración previa a la graduación</w:t>
      </w:r>
      <w:r w:rsidR="002E0363" w:rsidRPr="00F37678">
        <w:rPr>
          <w:lang w:val="es-ES"/>
        </w:rPr>
        <w:t>: Apoyar infraestructuras digitales, competencias y apoyo normativo específicos para ayudar a los países a alcanzar los umbrales de graduación.</w:t>
      </w:r>
    </w:p>
    <w:p w14:paraId="2A85ABAD" w14:textId="477A6338" w:rsidR="002E0363" w:rsidRPr="00F37678" w:rsidRDefault="00B13697" w:rsidP="00B13697">
      <w:pPr>
        <w:pStyle w:val="enumlev1"/>
        <w:rPr>
          <w:rFonts w:ascii="Calibri" w:eastAsia="Calibri" w:hAnsi="Calibri" w:cs="Calibri"/>
          <w:color w:val="242424"/>
          <w:lang w:val="es-ES"/>
        </w:rPr>
      </w:pPr>
      <w:r w:rsidRPr="00F37678">
        <w:rPr>
          <w:lang w:val="es-ES"/>
        </w:rPr>
        <w:lastRenderedPageBreak/>
        <w:t>2</w:t>
      </w:r>
      <w:r w:rsidRPr="00F37678">
        <w:rPr>
          <w:b/>
          <w:bCs/>
          <w:lang w:val="es-ES"/>
        </w:rPr>
        <w:tab/>
      </w:r>
      <w:r w:rsidR="002E0363" w:rsidRPr="00F37678">
        <w:rPr>
          <w:b/>
          <w:bCs/>
          <w:lang w:val="es-ES"/>
        </w:rPr>
        <w:t>Garantizar una transición fluida:</w:t>
      </w:r>
      <w:r w:rsidR="002E0363" w:rsidRPr="00F37678">
        <w:rPr>
          <w:lang w:val="es-ES"/>
        </w:rPr>
        <w:t xml:space="preserve"> Ofrecer un paquete de resiliencia digital posterior a la graduación, incluida la asistencia técnica en comercio digital, ciberseguridad y gobernanza de datos.</w:t>
      </w:r>
    </w:p>
    <w:p w14:paraId="6517D474" w14:textId="70229E43" w:rsidR="002E0363" w:rsidRPr="00F37678" w:rsidRDefault="00B13697" w:rsidP="00B13697">
      <w:pPr>
        <w:pStyle w:val="enumlev1"/>
        <w:rPr>
          <w:rFonts w:ascii="Calibri" w:eastAsia="Calibri" w:hAnsi="Calibri" w:cs="Calibri"/>
          <w:color w:val="242424"/>
          <w:lang w:val="es-ES"/>
        </w:rPr>
      </w:pPr>
      <w:r w:rsidRPr="00F37678">
        <w:rPr>
          <w:lang w:val="es-ES"/>
        </w:rPr>
        <w:t>3</w:t>
      </w:r>
      <w:r w:rsidRPr="00F37678">
        <w:rPr>
          <w:b/>
          <w:bCs/>
          <w:lang w:val="es-ES"/>
        </w:rPr>
        <w:tab/>
      </w:r>
      <w:r w:rsidR="002E0363" w:rsidRPr="00F37678">
        <w:rPr>
          <w:b/>
          <w:bCs/>
          <w:lang w:val="es-ES"/>
        </w:rPr>
        <w:t>Supervisión de los facilitadores digitales:</w:t>
      </w:r>
      <w:r w:rsidR="002E0363" w:rsidRPr="00F37678">
        <w:rPr>
          <w:lang w:val="es-ES"/>
        </w:rPr>
        <w:t xml:space="preserve"> Integrar los indicadores de conectividad, asequibilidad y competencias en el seguimiento de la graduación de los PMA de la UIT para obtener asesoramiento político basado en datos empíricos.</w:t>
      </w:r>
    </w:p>
    <w:p w14:paraId="1537B136" w14:textId="77777777" w:rsidR="002E0363" w:rsidRPr="00F37678" w:rsidRDefault="002E0363" w:rsidP="00B13697">
      <w:pPr>
        <w:rPr>
          <w:rFonts w:ascii="Calibri" w:eastAsia="Calibri" w:hAnsi="Calibri" w:cs="Calibri"/>
          <w:color w:val="242424"/>
          <w:lang w:val="es-ES"/>
        </w:rPr>
      </w:pPr>
      <w:r w:rsidRPr="00F37678">
        <w:rPr>
          <w:lang w:val="es-ES"/>
        </w:rPr>
        <w:t>La BDT seguirá armonizando las intervenciones digitales con las estrategias nacionales de progreso y resiliencia para la graduación de PMA, PDSL y PEID, apoyando la conectividad, los ecosistemas de innovación y los marcos reglamentarios para crear resiliencia económica y climática. Las medidas intermedias posteriores a la graduación garantizarán un impulso sostenido de la infraestructura digital y evitarán que se reviertan los avances.</w:t>
      </w:r>
    </w:p>
    <w:p w14:paraId="5FBF2484" w14:textId="77777777" w:rsidR="002E0363" w:rsidRPr="00F37678" w:rsidRDefault="002E0363" w:rsidP="00EB7780">
      <w:pPr>
        <w:spacing w:after="240"/>
        <w:rPr>
          <w:rFonts w:ascii="Calibri" w:eastAsia="Calibri" w:hAnsi="Calibri" w:cs="Calibri"/>
          <w:color w:val="242424"/>
          <w:lang w:val="es-ES"/>
        </w:rPr>
      </w:pPr>
      <w:r w:rsidRPr="00F37678">
        <w:rPr>
          <w:lang w:val="es-ES"/>
        </w:rPr>
        <w:t>De cara al futuro, la BDT seguirá armonizando las intervenciones de transformación digital con las estrategias nacionales de graduación y resiliencia en los PMA, PDSL y PEID. Al apoyar la conectividad, las competencias digitales, los ecosistemas de innovación y los marcos reglamentarios, la BDT puede ayudar a los países a cumplir los criterios de graduación, aumentar la resiliencia climática y económica y gestionar las transiciones. El apoyo posterior a la graduación será fundamental e incluirá mantener el impulso de la infraestructura digital, evitar que se pierdan los logros alcanzados y garantizar que los países siguen obteniendo beneficios una vez que termine su condición de PMA. Por consiguiente, la supervisión de la BDT incluirá el seguimiento de los países durante el proceso de graduación, la identificación de los facilitadores digitales del cambio estructural y el apoyo a las medidas intermedias para lograr la sostenibilidad después de la graduación.</w:t>
      </w:r>
    </w:p>
    <w:tbl>
      <w:tblPr>
        <w:tblStyle w:val="TableGrid"/>
        <w:tblW w:w="9630" w:type="dxa"/>
        <w:tblInd w:w="0" w:type="dxa"/>
        <w:tblLayout w:type="fixed"/>
        <w:tblLook w:val="06A0" w:firstRow="1" w:lastRow="0" w:firstColumn="1" w:lastColumn="0" w:noHBand="1" w:noVBand="1"/>
      </w:tblPr>
      <w:tblGrid>
        <w:gridCol w:w="9630"/>
      </w:tblGrid>
      <w:tr w:rsidR="002E0363" w:rsidRPr="00F37678" w14:paraId="57616C8B" w14:textId="77777777" w:rsidTr="00B13697">
        <w:trPr>
          <w:trHeight w:val="300"/>
        </w:trPr>
        <w:tc>
          <w:tcPr>
            <w:tcW w:w="9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B1F888" w14:textId="77777777" w:rsidR="002E0363" w:rsidRPr="00F37678" w:rsidRDefault="002E0363" w:rsidP="00B13697">
            <w:pPr>
              <w:keepNext/>
              <w:shd w:val="clear" w:color="auto" w:fill="FFFFFF" w:themeFill="background1"/>
              <w:spacing w:before="0"/>
              <w:rPr>
                <w:rFonts w:ascii="Calibri" w:hAnsi="Calibri" w:cs="Calibri"/>
                <w:b/>
                <w:lang w:val="es-ES"/>
              </w:rPr>
            </w:pPr>
            <w:r w:rsidRPr="00F37678">
              <w:rPr>
                <w:b/>
                <w:bCs/>
                <w:color w:val="000000"/>
                <w:lang w:val="es-ES"/>
              </w:rPr>
              <w:t>Datos principales</w:t>
            </w:r>
            <w:r w:rsidRPr="00F37678">
              <w:rPr>
                <w:color w:val="000000"/>
                <w:lang w:val="es-ES"/>
              </w:rPr>
              <w:t xml:space="preserve"> </w:t>
            </w:r>
          </w:p>
          <w:p w14:paraId="729842C2" w14:textId="0B2F530A" w:rsidR="002E0363" w:rsidRPr="00F37678" w:rsidRDefault="002E0363" w:rsidP="00B13697">
            <w:pPr>
              <w:keepNext/>
              <w:shd w:val="clear" w:color="auto" w:fill="FFFFFF" w:themeFill="background1"/>
              <w:spacing w:before="0"/>
              <w:rPr>
                <w:rFonts w:ascii="Calibri" w:hAnsi="Calibri" w:cs="Calibri"/>
                <w:lang w:val="es-ES"/>
              </w:rPr>
            </w:pPr>
            <w:r w:rsidRPr="00F37678">
              <w:rPr>
                <w:color w:val="000000"/>
                <w:lang w:val="es-ES"/>
              </w:rPr>
              <w:t xml:space="preserve">En general, entre 2022 y 2024, la conectividad a Internet creció un </w:t>
            </w:r>
            <w:r w:rsidRPr="00F37678">
              <w:rPr>
                <w:b/>
                <w:bCs/>
                <w:color w:val="000000"/>
                <w:lang w:val="es-ES"/>
              </w:rPr>
              <w:t xml:space="preserve">14 % </w:t>
            </w:r>
            <w:r w:rsidRPr="00F37678">
              <w:rPr>
                <w:color w:val="000000"/>
                <w:lang w:val="es-ES"/>
              </w:rPr>
              <w:t xml:space="preserve">en los </w:t>
            </w:r>
            <w:r w:rsidRPr="00F37678">
              <w:rPr>
                <w:b/>
                <w:bCs/>
                <w:color w:val="000000"/>
                <w:lang w:val="es-ES"/>
              </w:rPr>
              <w:t>PMA</w:t>
            </w:r>
            <w:r w:rsidRPr="00F37678">
              <w:rPr>
                <w:color w:val="000000"/>
                <w:lang w:val="es-ES"/>
              </w:rPr>
              <w:t xml:space="preserve">, un </w:t>
            </w:r>
            <w:r w:rsidRPr="00F37678">
              <w:rPr>
                <w:b/>
                <w:bCs/>
                <w:color w:val="000000"/>
                <w:lang w:val="es-ES"/>
              </w:rPr>
              <w:t xml:space="preserve">11 % </w:t>
            </w:r>
            <w:r w:rsidRPr="00F37678">
              <w:rPr>
                <w:color w:val="000000"/>
                <w:lang w:val="es-ES"/>
              </w:rPr>
              <w:t xml:space="preserve">en los </w:t>
            </w:r>
            <w:r w:rsidRPr="00F37678">
              <w:rPr>
                <w:b/>
                <w:bCs/>
                <w:color w:val="000000"/>
                <w:lang w:val="es-ES"/>
              </w:rPr>
              <w:t xml:space="preserve">PDSL </w:t>
            </w:r>
            <w:r w:rsidRPr="00F37678">
              <w:rPr>
                <w:color w:val="000000"/>
                <w:lang w:val="es-ES"/>
              </w:rPr>
              <w:t xml:space="preserve">y un </w:t>
            </w:r>
            <w:r w:rsidRPr="00F37678">
              <w:rPr>
                <w:b/>
                <w:bCs/>
                <w:color w:val="000000"/>
                <w:lang w:val="es-ES"/>
              </w:rPr>
              <w:t xml:space="preserve">4 % </w:t>
            </w:r>
            <w:r w:rsidRPr="00F37678">
              <w:rPr>
                <w:color w:val="000000"/>
                <w:lang w:val="es-ES"/>
              </w:rPr>
              <w:t xml:space="preserve">en los </w:t>
            </w:r>
            <w:r w:rsidRPr="00F37678">
              <w:rPr>
                <w:b/>
                <w:bCs/>
                <w:color w:val="000000"/>
                <w:lang w:val="es-ES"/>
              </w:rPr>
              <w:t>PEID</w:t>
            </w:r>
            <w:r w:rsidRPr="00F37678">
              <w:rPr>
                <w:color w:val="000000"/>
                <w:lang w:val="es-ES"/>
              </w:rPr>
              <w:t>, lo que refleja un avance significativo hacia el desarrollo digital mundial</w:t>
            </w:r>
          </w:p>
          <w:p w14:paraId="56460602" w14:textId="77777777" w:rsidR="002E0363" w:rsidRPr="00F37678" w:rsidRDefault="002E0363" w:rsidP="00B13697">
            <w:pPr>
              <w:keepNext/>
              <w:shd w:val="clear" w:color="auto" w:fill="FFFFFF" w:themeFill="background1"/>
              <w:spacing w:before="0"/>
              <w:rPr>
                <w:rFonts w:ascii="Calibri" w:hAnsi="Calibri" w:cs="Calibri"/>
                <w:lang w:val="es-ES"/>
              </w:rPr>
            </w:pPr>
            <w:r w:rsidRPr="00F37678">
              <w:rPr>
                <w:i/>
                <w:iCs/>
                <w:color w:val="000000"/>
                <w:lang w:val="es-ES"/>
              </w:rPr>
              <w:t xml:space="preserve">(Fuente: UIT, </w:t>
            </w:r>
            <w:hyperlink r:id="rId39" w:history="1">
              <w:r w:rsidRPr="00F37678">
                <w:rPr>
                  <w:rStyle w:val="Hyperlink"/>
                  <w:lang w:val="es-ES"/>
                </w:rPr>
                <w:t>Measuring digital development: ICT Develo</w:t>
              </w:r>
              <w:r w:rsidRPr="00F37678">
                <w:rPr>
                  <w:rStyle w:val="Hyperlink"/>
                  <w:lang w:val="es-ES"/>
                </w:rPr>
                <w:t>p</w:t>
              </w:r>
              <w:r w:rsidRPr="00F37678">
                <w:rPr>
                  <w:rStyle w:val="Hyperlink"/>
                  <w:lang w:val="es-ES"/>
                </w:rPr>
                <w:t>ment Index</w:t>
              </w:r>
            </w:hyperlink>
            <w:r w:rsidRPr="00F37678">
              <w:rPr>
                <w:color w:val="000000"/>
                <w:lang w:val="es-ES"/>
              </w:rPr>
              <w:t xml:space="preserve">, </w:t>
            </w:r>
            <w:r w:rsidRPr="00F37678">
              <w:rPr>
                <w:i/>
                <w:iCs/>
                <w:color w:val="000000"/>
                <w:lang w:val="es-ES"/>
              </w:rPr>
              <w:t>2024)</w:t>
            </w:r>
            <w:hyperlink r:id="rId40"/>
          </w:p>
        </w:tc>
      </w:tr>
    </w:tbl>
    <w:p w14:paraId="11E25CBD" w14:textId="682D1C7E" w:rsidR="002E0363" w:rsidRPr="00F37678" w:rsidRDefault="002E0363" w:rsidP="002E0363">
      <w:pPr>
        <w:pStyle w:val="Heading1"/>
        <w:rPr>
          <w:lang w:val="es-ES"/>
        </w:rPr>
      </w:pPr>
      <w:r w:rsidRPr="00F37678">
        <w:rPr>
          <w:lang w:val="es-ES"/>
        </w:rPr>
        <w:t>10</w:t>
      </w:r>
      <w:r w:rsidR="00B13697" w:rsidRPr="00F37678">
        <w:rPr>
          <w:lang w:val="es-ES"/>
        </w:rPr>
        <w:tab/>
      </w:r>
      <w:r w:rsidRPr="00F37678">
        <w:rPr>
          <w:lang w:val="es-ES"/>
        </w:rPr>
        <w:t>Conclusión</w:t>
      </w:r>
    </w:p>
    <w:p w14:paraId="340C6B52" w14:textId="2E01BD7E" w:rsidR="002E0363" w:rsidRPr="00F37678" w:rsidRDefault="002E0363" w:rsidP="002E0363">
      <w:pPr>
        <w:rPr>
          <w:rFonts w:eastAsia="SimSun" w:cstheme="minorBidi"/>
          <w:lang w:val="es-ES"/>
        </w:rPr>
      </w:pPr>
      <w:r w:rsidRPr="00F37678">
        <w:rPr>
          <w:b/>
          <w:bCs/>
          <w:lang w:val="es-ES"/>
        </w:rPr>
        <w:t>Papel fundamental de la conectividad digital en apoyo a los PMA, los PDSL y los PEID</w:t>
      </w:r>
      <w:r w:rsidRPr="00F37678">
        <w:rPr>
          <w:lang w:val="es-ES"/>
        </w:rPr>
        <w:t>: El poder transformador de la conectividad digital y las TIC es fundamental para el desarrollo sostenible de los PMA, los PDSL y los PEID. Al armonizarse con los marcos mundiales como el Programa de Acción de Doha, la Agenda de Antigua y Barbuda para los Pequeños Estados Insulares en Desarrollo y el Programa de Acción de Awaza (2024-2034), las iniciativas de la UIT, que abarcan la conectividad asequible, la transformación digital, la innovación reglamentaria, la cooperación internacional y las TIC inclusivas, impulsan un progreso mensurable. Estos esfuerzos no sólo reducen las brechas digitales, sino que también empoderan a las comunidades, mejoran la resiliencia y catalizan el crecimiento económico. La colaboración continua con los gobiernos, el sector privado, los asociados internacionales y las partes interesadas locales resulta esencial para mantener la dinámica de avance y garantizar ecosistemas digitales equitativos, seguros y sostenibles que mejoren las regiones más vulnerables.</w:t>
      </w:r>
    </w:p>
    <w:p w14:paraId="631D03B1" w14:textId="77777777" w:rsidR="002E0363" w:rsidRPr="00F37678" w:rsidRDefault="002E0363" w:rsidP="002E0363">
      <w:pPr>
        <w:pStyle w:val="AnnexNo"/>
        <w:rPr>
          <w:lang w:val="es-ES"/>
        </w:rPr>
      </w:pPr>
      <w:r w:rsidRPr="00F37678">
        <w:rPr>
          <w:lang w:val="es-ES"/>
        </w:rPr>
        <w:lastRenderedPageBreak/>
        <w:t>Anexo 1</w:t>
      </w:r>
    </w:p>
    <w:p w14:paraId="6B238AEB" w14:textId="77777777" w:rsidR="002E0363" w:rsidRPr="00F37678" w:rsidRDefault="002E0363" w:rsidP="002E0363">
      <w:pPr>
        <w:pStyle w:val="Annextitle"/>
        <w:rPr>
          <w:rFonts w:ascii="Calibri" w:eastAsia="SimSun" w:hAnsi="Calibri" w:cs="Calibri"/>
          <w:lang w:val="es-ES"/>
        </w:rPr>
      </w:pPr>
      <w:r w:rsidRPr="00F37678">
        <w:rPr>
          <w:lang w:val="es-ES"/>
        </w:rPr>
        <w:t xml:space="preserve">Visión general de las actividades del Plan Operacional </w:t>
      </w:r>
      <w:r w:rsidRPr="00F37678">
        <w:rPr>
          <w:lang w:val="es-ES"/>
        </w:rPr>
        <w:br/>
        <w:t>ejecutadas en PMA, PDSL y PEID (2023-2025)</w:t>
      </w:r>
    </w:p>
    <w:p w14:paraId="4D954F9C" w14:textId="77777777" w:rsidR="002E0363" w:rsidRPr="00F37678" w:rsidRDefault="002E0363" w:rsidP="002E0363">
      <w:pPr>
        <w:jc w:val="center"/>
        <w:rPr>
          <w:rFonts w:ascii="Calibri" w:eastAsia="SimSun" w:hAnsi="Calibri" w:cs="Calibri"/>
          <w:b/>
          <w:bCs/>
          <w:szCs w:val="24"/>
          <w:lang w:val="es-ES"/>
        </w:rPr>
      </w:pPr>
    </w:p>
    <w:tbl>
      <w:tblPr>
        <w:tblStyle w:val="TableGridLight"/>
        <w:tblW w:w="9630" w:type="dxa"/>
        <w:jc w:val="center"/>
        <w:tblInd w:w="0" w:type="dxa"/>
        <w:tblLayout w:type="fixed"/>
        <w:tblLook w:val="04A0" w:firstRow="1" w:lastRow="0" w:firstColumn="1" w:lastColumn="0" w:noHBand="0" w:noVBand="1"/>
      </w:tblPr>
      <w:tblGrid>
        <w:gridCol w:w="2495"/>
        <w:gridCol w:w="3437"/>
        <w:gridCol w:w="3698"/>
      </w:tblGrid>
      <w:tr w:rsidR="002E0363" w:rsidRPr="00F37678" w14:paraId="673B10DA" w14:textId="77777777" w:rsidTr="00611905">
        <w:trPr>
          <w:trHeight w:val="300"/>
          <w:tblHeader/>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41BDF6C" w14:textId="77777777" w:rsidR="002E0363" w:rsidRPr="00F37678" w:rsidRDefault="002E0363" w:rsidP="00611905">
            <w:pPr>
              <w:pStyle w:val="Tablehead"/>
              <w:rPr>
                <w:rFonts w:eastAsiaTheme="minorEastAsia" w:cstheme="minorHAnsi"/>
                <w:lang w:val="es-ES"/>
              </w:rPr>
            </w:pPr>
            <w:r w:rsidRPr="00F37678">
              <w:rPr>
                <w:lang w:val="es-ES"/>
              </w:rPr>
              <w:t>Prioridades/Facilitadores del UIT-D</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C572493" w14:textId="77777777" w:rsidR="002E0363" w:rsidRPr="00F37678" w:rsidRDefault="002E0363" w:rsidP="00611905">
            <w:pPr>
              <w:pStyle w:val="Tablehead"/>
              <w:rPr>
                <w:rFonts w:eastAsiaTheme="minorEastAsia" w:cstheme="minorHAnsi"/>
                <w:szCs w:val="24"/>
                <w:lang w:val="es-ES"/>
              </w:rPr>
            </w:pPr>
            <w:r w:rsidRPr="00F37678">
              <w:rPr>
                <w:lang w:val="es-ES"/>
              </w:rPr>
              <w:t>Proyectos adaptados, intervenciones de asesoramiento normativo e iniciativas de creación de capacidad</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622FC6F" w14:textId="77777777" w:rsidR="002E0363" w:rsidRPr="00F37678" w:rsidRDefault="002E0363" w:rsidP="00611905">
            <w:pPr>
              <w:pStyle w:val="Tablehead"/>
              <w:rPr>
                <w:rFonts w:eastAsiaTheme="minorEastAsia" w:cstheme="minorHAnsi"/>
                <w:szCs w:val="24"/>
                <w:lang w:val="es-ES"/>
              </w:rPr>
            </w:pPr>
            <w:r w:rsidRPr="00F37678">
              <w:rPr>
                <w:rFonts w:cstheme="minorHAnsi"/>
                <w:lang w:val="es-ES"/>
              </w:rPr>
              <w:t>Países beneficiados</w:t>
            </w:r>
          </w:p>
        </w:tc>
      </w:tr>
      <w:tr w:rsidR="002E0363" w:rsidRPr="00F37678" w14:paraId="5D066AEE"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275ED" w14:textId="77777777" w:rsidR="002E0363" w:rsidRPr="00F37678" w:rsidRDefault="002E0363" w:rsidP="00611905">
            <w:pPr>
              <w:pStyle w:val="Tabletext"/>
              <w:rPr>
                <w:rFonts w:eastAsiaTheme="minorEastAsia" w:cstheme="minorHAnsi"/>
                <w:b/>
                <w:szCs w:val="24"/>
                <w:lang w:val="es-ES"/>
              </w:rPr>
            </w:pPr>
            <w:r w:rsidRPr="00F37678">
              <w:rPr>
                <w:b/>
                <w:lang w:val="es-ES"/>
              </w:rPr>
              <w:t xml:space="preserve">Conectividad asequible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2F32B" w14:textId="0A36DFB6" w:rsidR="002E0363" w:rsidRPr="00F37678" w:rsidRDefault="002E0363" w:rsidP="00611905">
            <w:pPr>
              <w:pStyle w:val="Tabletext"/>
              <w:rPr>
                <w:rFonts w:eastAsiaTheme="minorEastAsia" w:cstheme="minorBidi"/>
                <w:lang w:val="es-ES"/>
              </w:rPr>
            </w:pPr>
            <w:r w:rsidRPr="00F37678">
              <w:rPr>
                <w:lang w:val="es-ES"/>
              </w:rPr>
              <w:t xml:space="preserve">63 PMA, PDSL y PEID recibieron apoyo. </w:t>
            </w:r>
          </w:p>
          <w:p w14:paraId="29E78BF1" w14:textId="7630F612" w:rsidR="002E0363" w:rsidRPr="00F37678" w:rsidRDefault="002E0363" w:rsidP="00611905">
            <w:pPr>
              <w:pStyle w:val="Tabletext"/>
              <w:ind w:left="284" w:hanging="284"/>
              <w:jc w:val="both"/>
              <w:rPr>
                <w:lang w:val="es-ES"/>
              </w:rPr>
            </w:pPr>
            <w:r w:rsidRPr="00F37678">
              <w:rPr>
                <w:lang w:val="es-ES"/>
              </w:rPr>
              <w:t>•</w:t>
            </w:r>
            <w:r w:rsidRPr="00F37678">
              <w:rPr>
                <w:lang w:val="es-ES"/>
              </w:rPr>
              <w:tab/>
              <w:t xml:space="preserve">Se prestó asistencia técnica a más de 20 países. </w:t>
            </w:r>
            <w:bookmarkStart w:id="13" w:name="_Int_fwwZq54F"/>
            <w:bookmarkEnd w:id="13"/>
          </w:p>
          <w:p w14:paraId="32F075CB" w14:textId="77777777" w:rsidR="002E0363" w:rsidRPr="00F37678" w:rsidRDefault="002E0363" w:rsidP="00611905">
            <w:pPr>
              <w:pStyle w:val="Tabletext"/>
              <w:ind w:left="284" w:hanging="284"/>
              <w:jc w:val="both"/>
              <w:rPr>
                <w:rFonts w:eastAsiaTheme="minorEastAsia" w:cstheme="minorHAnsi"/>
                <w:lang w:val="es-ES"/>
              </w:rPr>
            </w:pPr>
            <w:r w:rsidRPr="00F37678">
              <w:rPr>
                <w:lang w:val="es-ES"/>
              </w:rPr>
              <w:t>•</w:t>
            </w:r>
            <w:r w:rsidRPr="00F37678">
              <w:rPr>
                <w:lang w:val="es-ES"/>
              </w:rPr>
              <w:tab/>
              <w:t>Se prestó asistencia técnica a 12 países.</w:t>
            </w:r>
          </w:p>
          <w:p w14:paraId="4DE3AD09"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impartió formación sobre gestión del espectro y competencias profesionales en materia de TIC a 10 países. </w:t>
            </w:r>
          </w:p>
          <w:p w14:paraId="32720644"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promovió la conectividad de las escuelas en siete países. </w:t>
            </w:r>
          </w:p>
          <w:p w14:paraId="5B6729EE"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Seis PDSL participaron en talleres especializados. </w:t>
            </w:r>
          </w:p>
          <w:p w14:paraId="1FC07764" w14:textId="4F5D1024" w:rsidR="002E0363" w:rsidRPr="00F37678" w:rsidRDefault="002E0363" w:rsidP="00611905">
            <w:pPr>
              <w:pStyle w:val="Tabletext"/>
              <w:rPr>
                <w:rFonts w:eastAsiaTheme="minorEastAsia" w:cstheme="minorHAnsi"/>
                <w:szCs w:val="24"/>
                <w:lang w:val="es-ES"/>
              </w:rPr>
            </w:pPr>
            <w:r w:rsidRPr="00F37678">
              <w:rPr>
                <w:lang w:val="es-ES"/>
              </w:rPr>
              <w:t>Se celebraron varias sesiones regionales de sensibilización en las regiones de África, Asia-Pacífico, la CEI y los Estados Árabes.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B0E855" w14:textId="1CD488CD" w:rsidR="002E0363" w:rsidRPr="00F37678" w:rsidRDefault="002E0363" w:rsidP="00611905">
            <w:pPr>
              <w:pStyle w:val="Tabletext"/>
              <w:rPr>
                <w:rFonts w:eastAsia="SimSun" w:cstheme="minorHAnsi"/>
                <w:lang w:val="es-ES"/>
              </w:rPr>
            </w:pPr>
            <w:r w:rsidRPr="00F37678">
              <w:rPr>
                <w:rFonts w:cstheme="minorHAnsi"/>
                <w:lang w:val="es-ES"/>
              </w:rPr>
              <w:t xml:space="preserve">PMA: Angola, Bangladesh, Benin, Burkina Faso, Camboya, </w:t>
            </w:r>
            <w:r w:rsidRPr="00F37678">
              <w:rPr>
                <w:rFonts w:cstheme="minorHAnsi"/>
                <w:color w:val="000000"/>
                <w:shd w:val="clear" w:color="auto" w:fill="FFFFFF"/>
                <w:lang w:val="es-ES"/>
              </w:rPr>
              <w:t xml:space="preserve">Centroafricana (República), </w:t>
            </w:r>
            <w:r w:rsidRPr="00F37678">
              <w:rPr>
                <w:rFonts w:cstheme="minorHAnsi"/>
                <w:lang w:val="es-ES"/>
              </w:rPr>
              <w:t>Chad,</w:t>
            </w:r>
            <w:r w:rsidRPr="00F37678">
              <w:rPr>
                <w:rFonts w:cstheme="minorHAnsi"/>
                <w:color w:val="000000"/>
                <w:shd w:val="clear" w:color="auto" w:fill="FFFFFF"/>
                <w:lang w:val="es-ES"/>
              </w:rPr>
              <w:t xml:space="preserve"> </w:t>
            </w:r>
            <w:r w:rsidRPr="00F37678">
              <w:rPr>
                <w:rFonts w:cstheme="minorHAnsi"/>
                <w:lang w:val="es-ES"/>
              </w:rPr>
              <w:t>Comoras, Djibouti, Gambia, Guinea, Guinea-Bissau, Haití, Kiribati, Liberia, Malawi, Malí, Mauritania, Mozambique, Nepal, Níger, Rwanda, Salomón (Islas), Senegal, Sierra Leona, Somalia, Sudán, Sudán del Sur, Tanzanía, Togo, Tuvalu, Uganda, Yemen y Zambia.</w:t>
            </w:r>
          </w:p>
          <w:p w14:paraId="5ECDD6C6" w14:textId="72110110" w:rsidR="002E0363" w:rsidRPr="00F37678" w:rsidRDefault="002E0363" w:rsidP="00611905">
            <w:pPr>
              <w:pStyle w:val="Tabletext"/>
              <w:rPr>
                <w:rFonts w:eastAsia="SimSun" w:cstheme="minorHAnsi"/>
                <w:lang w:val="es-ES"/>
              </w:rPr>
            </w:pPr>
            <w:r w:rsidRPr="00F37678">
              <w:rPr>
                <w:rFonts w:cstheme="minorHAnsi"/>
                <w:lang w:val="es-ES"/>
              </w:rPr>
              <w:t xml:space="preserve">PDSL: Armenia, Azerbaiyán, Bhután, Botswana, Burkina Faso, </w:t>
            </w:r>
            <w:r w:rsidRPr="00F37678">
              <w:rPr>
                <w:rFonts w:cstheme="minorHAnsi"/>
                <w:color w:val="000000"/>
                <w:shd w:val="clear" w:color="auto" w:fill="FFFFFF"/>
                <w:lang w:val="es-ES"/>
              </w:rPr>
              <w:t xml:space="preserve">Centroafricana (República), </w:t>
            </w:r>
            <w:r w:rsidRPr="00F37678">
              <w:rPr>
                <w:rFonts w:cstheme="minorHAnsi"/>
                <w:lang w:val="es-ES"/>
              </w:rPr>
              <w:t>Chad, Kazajstán, Kirguistán, Macedonia del Norte, Malawi, Malí, Moldova, Mongolia, Nepal, Níger, Rwanda, Sudán del Sur, Tayikistán, Uganda, Uzbekistán y Zambia.</w:t>
            </w:r>
          </w:p>
          <w:p w14:paraId="19B5583A" w14:textId="045767A3" w:rsidR="002E0363" w:rsidRPr="00F37678" w:rsidRDefault="002E0363" w:rsidP="00611905">
            <w:pPr>
              <w:pStyle w:val="Tabletext"/>
              <w:rPr>
                <w:rFonts w:eastAsiaTheme="minorEastAsia" w:cstheme="minorHAnsi"/>
                <w:szCs w:val="24"/>
                <w:lang w:val="es-ES"/>
              </w:rPr>
            </w:pPr>
            <w:r w:rsidRPr="00F37678">
              <w:rPr>
                <w:rFonts w:cstheme="minorHAnsi"/>
                <w:lang w:val="es-ES"/>
              </w:rPr>
              <w:t>PEID: Bahamas, Barbados, Cabo Verde, Comoras, Fiji, Granada, Guinea-Bissau, Haití, Jamaica, Kiribati, Marshall (Islas), Nauru, Palau, Papua Nueva Guinea, Saint Kitts y Nevis, Salomón (Islas), Samoa, Santa Lucía, Santo Tomé y Príncipe, Seychelles, Tonga, Trinidad y Tabago, Tuvalu y Vanuatu.</w:t>
            </w:r>
          </w:p>
        </w:tc>
      </w:tr>
      <w:tr w:rsidR="002E0363" w:rsidRPr="00F37678" w14:paraId="5BAAD7AE"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411FB3" w14:textId="77777777" w:rsidR="002E0363" w:rsidRPr="00F37678" w:rsidRDefault="002E0363" w:rsidP="00611905">
            <w:pPr>
              <w:pStyle w:val="Tabletext"/>
              <w:rPr>
                <w:rFonts w:eastAsiaTheme="minorEastAsia" w:cstheme="minorHAnsi"/>
                <w:b/>
                <w:szCs w:val="24"/>
                <w:lang w:val="es-ES"/>
              </w:rPr>
            </w:pPr>
            <w:r w:rsidRPr="00F37678">
              <w:rPr>
                <w:b/>
                <w:lang w:val="es-ES"/>
              </w:rPr>
              <w:t xml:space="preserve">Transformación digital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9FDCE" w14:textId="282F8459" w:rsidR="002E0363" w:rsidRPr="00F37678" w:rsidRDefault="002E0363" w:rsidP="00611905">
            <w:pPr>
              <w:pStyle w:val="Tabletext"/>
              <w:rPr>
                <w:rFonts w:eastAsiaTheme="minorEastAsia" w:cstheme="minorBidi"/>
                <w:lang w:val="es-ES"/>
              </w:rPr>
            </w:pPr>
            <w:r w:rsidRPr="00F37678">
              <w:rPr>
                <w:lang w:val="es-ES"/>
              </w:rPr>
              <w:t xml:space="preserve">Se prestó apoyo a 39 PMA, PDSL y PEID. </w:t>
            </w:r>
          </w:p>
          <w:p w14:paraId="703A9143" w14:textId="41F523A6"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 xml:space="preserve">Se prestó asistencia técnica a 17 países. </w:t>
            </w:r>
            <w:bookmarkStart w:id="14" w:name="_Int_fZazFjZi"/>
            <w:bookmarkEnd w:id="14"/>
          </w:p>
          <w:p w14:paraId="11E3B7D8" w14:textId="74655E8F"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Se elaboraron marcos normativos y productos de conocimiento en 22 países.</w:t>
            </w:r>
          </w:p>
          <w:p w14:paraId="6810A0B9" w14:textId="77777777"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Se celebraron sesiones de sensibilización en seis países.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2CF71" w14:textId="6D671F30" w:rsidR="002E0363" w:rsidRPr="00F37678" w:rsidRDefault="002E0363" w:rsidP="00611905">
            <w:pPr>
              <w:pStyle w:val="Tabletext"/>
              <w:rPr>
                <w:rFonts w:eastAsia="SimSun" w:cstheme="minorHAnsi"/>
                <w:lang w:val="es-ES"/>
              </w:rPr>
            </w:pPr>
            <w:r w:rsidRPr="00F37678">
              <w:rPr>
                <w:rFonts w:cstheme="minorHAnsi"/>
                <w:lang w:val="es-ES"/>
              </w:rPr>
              <w:t>PMA: Benin, Camboya, Djibouti, Gambia, Kiribati, Lao (R.D.P.), Lesotho, Liberia, Malawi, Malí, Mauritania, Mozambique, Níger, Rwanda, Senegal, Somalia, Tanzanía y Zambia</w:t>
            </w:r>
          </w:p>
          <w:p w14:paraId="5E0D1404" w14:textId="282466DB" w:rsidR="002E0363" w:rsidRPr="00F37678" w:rsidRDefault="002E0363" w:rsidP="00611905">
            <w:pPr>
              <w:pStyle w:val="Tabletext"/>
              <w:rPr>
                <w:rFonts w:eastAsia="SimSun" w:cstheme="minorHAnsi"/>
                <w:lang w:val="es-ES"/>
              </w:rPr>
            </w:pPr>
            <w:r w:rsidRPr="00F37678">
              <w:rPr>
                <w:rFonts w:cstheme="minorHAnsi"/>
                <w:lang w:val="es-ES"/>
              </w:rPr>
              <w:t xml:space="preserve">PDSL: Armenia, Azerbaiyán, </w:t>
            </w:r>
            <w:r w:rsidRPr="00F37678">
              <w:rPr>
                <w:rFonts w:cstheme="minorHAnsi"/>
                <w:color w:val="000000"/>
                <w:shd w:val="clear" w:color="auto" w:fill="FFFFFF"/>
                <w:lang w:val="es-ES"/>
              </w:rPr>
              <w:t xml:space="preserve">Bolivia (Estado Plurinacional de), </w:t>
            </w:r>
            <w:r w:rsidRPr="00F37678">
              <w:rPr>
                <w:rFonts w:cstheme="minorHAnsi"/>
                <w:lang w:val="es-ES"/>
              </w:rPr>
              <w:t>Eswatini, Kazajstán, Kirguistán, Lao (R.D.P.), Lesotho, Macedonia del Norte, Malawi, Malí, Moldova, Níger, Rwanda, Tayikistán, Turkmenistán, Uganda, Uzbekistán, Zambia y Zimbabwe</w:t>
            </w:r>
          </w:p>
          <w:p w14:paraId="36C5C1DC" w14:textId="178AA120" w:rsidR="002E0363" w:rsidRPr="00F37678" w:rsidRDefault="002E0363" w:rsidP="00611905">
            <w:pPr>
              <w:pStyle w:val="Tabletext"/>
              <w:rPr>
                <w:rFonts w:eastAsia="SimSun" w:cstheme="minorHAnsi"/>
                <w:lang w:val="es-ES"/>
              </w:rPr>
            </w:pPr>
            <w:r w:rsidRPr="00F37678">
              <w:rPr>
                <w:rFonts w:cstheme="minorHAnsi"/>
                <w:lang w:val="es-ES"/>
              </w:rPr>
              <w:t xml:space="preserve">PEID: Cabo Verde, Cuba, Dominicana (República), Fiji, Kiribati, Papua Nueva Guinea, Marshall (Islas), Mauricio, Micronesia, Nauru, </w:t>
            </w:r>
            <w:r w:rsidRPr="00F37678">
              <w:rPr>
                <w:rFonts w:cstheme="minorHAnsi"/>
                <w:color w:val="000000"/>
                <w:shd w:val="clear" w:color="auto" w:fill="FFFFFF"/>
                <w:lang w:val="es-ES"/>
              </w:rPr>
              <w:t xml:space="preserve">Saint Kitts y Nevis, Salomón (Islas), </w:t>
            </w:r>
            <w:r w:rsidRPr="00F37678">
              <w:rPr>
                <w:rFonts w:cstheme="minorHAnsi"/>
                <w:lang w:val="es-ES"/>
              </w:rPr>
              <w:t>Samoa, Singapur, Tonga, Trinidad y Tabago y Vanuatu.</w:t>
            </w:r>
          </w:p>
        </w:tc>
      </w:tr>
      <w:tr w:rsidR="002E0363" w:rsidRPr="00F37678" w14:paraId="38AF8C21"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12858" w14:textId="77777777" w:rsidR="002E0363" w:rsidRPr="00F37678" w:rsidRDefault="002E0363" w:rsidP="00EB7780">
            <w:pPr>
              <w:pStyle w:val="Tabletext"/>
              <w:keepNext/>
              <w:rPr>
                <w:rFonts w:eastAsiaTheme="minorEastAsia" w:cstheme="minorHAnsi"/>
                <w:b/>
                <w:szCs w:val="24"/>
                <w:lang w:val="es-ES"/>
              </w:rPr>
            </w:pPr>
            <w:r w:rsidRPr="00F37678">
              <w:rPr>
                <w:b/>
                <w:lang w:val="es-ES"/>
              </w:rPr>
              <w:lastRenderedPageBreak/>
              <w:t xml:space="preserve">Entorno normativo y reglamentario propicio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1594A8" w14:textId="77777777" w:rsidR="002E0363" w:rsidRPr="00F37678" w:rsidRDefault="002E0363" w:rsidP="00EB7780">
            <w:pPr>
              <w:pStyle w:val="Tabletext"/>
              <w:keepNext/>
              <w:rPr>
                <w:rFonts w:eastAsiaTheme="minorEastAsia" w:cstheme="minorBidi"/>
                <w:lang w:val="es-ES"/>
              </w:rPr>
            </w:pPr>
            <w:r w:rsidRPr="00F37678">
              <w:rPr>
                <w:lang w:val="es-ES"/>
              </w:rPr>
              <w:t xml:space="preserve">Se trabajó con 46 PMA, PDSL y PEID en total. </w:t>
            </w:r>
          </w:p>
          <w:p w14:paraId="21F4BEF5" w14:textId="77777777" w:rsidR="002E0363" w:rsidRPr="00F37678" w:rsidRDefault="002E0363" w:rsidP="00EB7780">
            <w:pPr>
              <w:pStyle w:val="Tabletext"/>
              <w:keepNext/>
              <w:ind w:left="284" w:hanging="284"/>
              <w:rPr>
                <w:rFonts w:eastAsiaTheme="minorEastAsia" w:cstheme="minorHAnsi"/>
                <w:lang w:val="es-ES"/>
              </w:rPr>
            </w:pPr>
            <w:r w:rsidRPr="00F37678">
              <w:rPr>
                <w:lang w:val="es-ES"/>
              </w:rPr>
              <w:t>•</w:t>
            </w:r>
            <w:r w:rsidRPr="00F37678">
              <w:rPr>
                <w:lang w:val="es-ES"/>
              </w:rPr>
              <w:tab/>
              <w:t xml:space="preserve">Se prestó asistencia técnica a 32 países. </w:t>
            </w:r>
            <w:bookmarkStart w:id="15" w:name="_Int_6dHYj1yf"/>
            <w:bookmarkEnd w:id="15"/>
          </w:p>
          <w:p w14:paraId="454E933F" w14:textId="77777777" w:rsidR="002E0363" w:rsidRPr="00F37678" w:rsidRDefault="002E0363" w:rsidP="00EB7780">
            <w:pPr>
              <w:pStyle w:val="Tabletext"/>
              <w:keepNext/>
              <w:ind w:left="284" w:hanging="284"/>
              <w:rPr>
                <w:rFonts w:eastAsiaTheme="minorEastAsia" w:cstheme="minorHAnsi"/>
                <w:szCs w:val="24"/>
                <w:lang w:val="es-ES"/>
              </w:rPr>
            </w:pPr>
            <w:r w:rsidRPr="00F37678">
              <w:rPr>
                <w:lang w:val="es-ES"/>
              </w:rPr>
              <w:t>•</w:t>
            </w:r>
            <w:r w:rsidRPr="00F37678">
              <w:rPr>
                <w:lang w:val="es-ES"/>
              </w:rPr>
              <w:tab/>
              <w:t>Se elaboraron marcos normativos y productos de conocimiento en 14 países.</w:t>
            </w:r>
          </w:p>
          <w:p w14:paraId="7273B458" w14:textId="77777777" w:rsidR="002E0363" w:rsidRPr="00F37678" w:rsidRDefault="002E0363" w:rsidP="00EB7780">
            <w:pPr>
              <w:pStyle w:val="Tabletext"/>
              <w:keepNext/>
              <w:ind w:left="284" w:hanging="284"/>
              <w:rPr>
                <w:rFonts w:eastAsiaTheme="minorEastAsia" w:cstheme="minorHAnsi"/>
                <w:szCs w:val="24"/>
                <w:lang w:val="es-ES"/>
              </w:rPr>
            </w:pPr>
            <w:r w:rsidRPr="00F37678">
              <w:rPr>
                <w:lang w:val="es-ES"/>
              </w:rPr>
              <w:t>•</w:t>
            </w:r>
            <w:r w:rsidRPr="00F37678">
              <w:rPr>
                <w:lang w:val="es-ES"/>
              </w:rPr>
              <w:tab/>
              <w:t>Se celebraron sesiones de sensibilización en seis países.</w:t>
            </w:r>
          </w:p>
          <w:p w14:paraId="5BDA99B7" w14:textId="3C53F9A1" w:rsidR="002E0363" w:rsidRPr="00F37678" w:rsidRDefault="002E0363" w:rsidP="00EB7780">
            <w:pPr>
              <w:pStyle w:val="Tabletext"/>
              <w:keepNext/>
              <w:ind w:left="284" w:hanging="284"/>
              <w:rPr>
                <w:rFonts w:eastAsiaTheme="minorEastAsia" w:cstheme="minorHAnsi"/>
                <w:lang w:val="es-ES"/>
              </w:rPr>
            </w:pPr>
            <w:r w:rsidRPr="00F37678">
              <w:rPr>
                <w:lang w:val="es-ES"/>
              </w:rPr>
              <w:t>•</w:t>
            </w:r>
            <w:r w:rsidRPr="00F37678">
              <w:rPr>
                <w:lang w:val="es-ES"/>
              </w:rPr>
              <w:tab/>
              <w:t>Se creó una plataforma de colaboración en tres países.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7E429" w14:textId="02BCD12B" w:rsidR="002E0363" w:rsidRPr="00F37678" w:rsidRDefault="002E0363" w:rsidP="00EB7780">
            <w:pPr>
              <w:pStyle w:val="Tabletext"/>
              <w:keepNext/>
              <w:rPr>
                <w:rFonts w:eastAsiaTheme="minorEastAsia" w:cstheme="minorHAnsi"/>
                <w:lang w:val="es-ES"/>
              </w:rPr>
            </w:pPr>
            <w:r w:rsidRPr="00F37678">
              <w:rPr>
                <w:rFonts w:cstheme="minorHAnsi"/>
                <w:lang w:val="es-ES"/>
              </w:rPr>
              <w:t>PMA: Angola, Benin, Burkina Faso, Burundi, Camboya, Centroafricana (República), Chad, Comoras, Gambia, Guinea, Guinea-Bissau, Lao (R.D.P.), Lesotho, Liberia, Malawi, Malí, Mozambique, Nepal, Níger, República Democrática del Congo, Rwanda, Salomón (Islas), Senegal, Sierra Leona, Somalia, Sudán del Sur, Tanzanía, Timor-Leste, Togo y Zambia.</w:t>
            </w:r>
          </w:p>
          <w:p w14:paraId="1D08DB34" w14:textId="77777777" w:rsidR="002E0363" w:rsidRPr="00F37678" w:rsidRDefault="002E0363" w:rsidP="00EB7780">
            <w:pPr>
              <w:pStyle w:val="Tabletext"/>
              <w:keepNext/>
              <w:rPr>
                <w:rFonts w:eastAsiaTheme="minorEastAsia" w:cstheme="minorHAnsi"/>
                <w:lang w:val="es-ES"/>
              </w:rPr>
            </w:pPr>
            <w:r w:rsidRPr="00F37678">
              <w:rPr>
                <w:rFonts w:cstheme="minorHAnsi"/>
                <w:lang w:val="es-ES"/>
              </w:rPr>
              <w:t>PDSL: Armenia, Azerbaiyán, Botswana, Burkina Faso, Burundi, Centroafricana (República), Chad, Eswatini, Kazajstán, Kirguistán, Lao (R.D.P.), Lesotho, Macedonia del Norte, Malawi, Malí, Moldova, Mongolia, Nepal (República de), Níger, Rwanda, Sudán del Sur, Tayikistán, Uzbekistán, Zambia y Zimbabwe.</w:t>
            </w:r>
          </w:p>
          <w:p w14:paraId="77CE195A" w14:textId="20B101B1" w:rsidR="002E0363" w:rsidRPr="00F37678" w:rsidRDefault="002E0363" w:rsidP="00EB7780">
            <w:pPr>
              <w:pStyle w:val="Tabletext"/>
              <w:keepNext/>
              <w:rPr>
                <w:rFonts w:eastAsiaTheme="minorEastAsia" w:cstheme="minorHAnsi"/>
                <w:szCs w:val="24"/>
                <w:lang w:val="es-ES"/>
              </w:rPr>
            </w:pPr>
            <w:r w:rsidRPr="00F37678">
              <w:rPr>
                <w:rFonts w:cstheme="minorHAnsi"/>
                <w:lang w:val="es-ES"/>
              </w:rPr>
              <w:t>PEID: Antigua y Barbuda, Bahamas, Barbados, Belice, Cabo Verde, Comoras, Dominica, Fiji, Granada, Guyana, Guinea-Bissau, Jamaica, Mauricio, Papua Nueva Guinea, Saint Kitts y Nevis, Salomón (Islas), Santa Lucía, Santo Tomé y Príncipe, San Vicente y las Granadinas, Seychelles, Singapur, Suriname, Timor-Leste y Trinidad y Tabago.</w:t>
            </w:r>
          </w:p>
        </w:tc>
      </w:tr>
      <w:tr w:rsidR="002E0363" w:rsidRPr="00F37678" w14:paraId="5D4214CC"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9FA056" w14:textId="77777777" w:rsidR="002E0363" w:rsidRPr="00F37678" w:rsidRDefault="002E0363" w:rsidP="00611905">
            <w:pPr>
              <w:pStyle w:val="Tabletext"/>
              <w:rPr>
                <w:rFonts w:eastAsiaTheme="minorEastAsia" w:cstheme="minorHAnsi"/>
                <w:b/>
                <w:szCs w:val="24"/>
                <w:lang w:val="es-ES"/>
              </w:rPr>
            </w:pPr>
            <w:r w:rsidRPr="00F37678">
              <w:rPr>
                <w:b/>
                <w:lang w:val="es-ES"/>
              </w:rPr>
              <w:t xml:space="preserve">Movilización de recursos y cooperación internacional </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D6CE9F" w14:textId="77777777" w:rsidR="002E0363" w:rsidRPr="00F37678" w:rsidRDefault="002E0363" w:rsidP="00611905">
            <w:pPr>
              <w:pStyle w:val="Tabletext"/>
              <w:rPr>
                <w:rFonts w:eastAsiaTheme="minorEastAsia" w:cstheme="minorBidi"/>
                <w:lang w:val="es-ES"/>
              </w:rPr>
            </w:pPr>
            <w:r w:rsidRPr="00F37678">
              <w:rPr>
                <w:lang w:val="es-ES"/>
              </w:rPr>
              <w:t>Se prestó apoyo a siete PMA, PDSL y PEID.</w:t>
            </w:r>
          </w:p>
          <w:p w14:paraId="02C17944" w14:textId="77777777" w:rsidR="002E0363" w:rsidRPr="00F37678" w:rsidRDefault="002E0363" w:rsidP="00611905">
            <w:pPr>
              <w:pStyle w:val="Tabletext"/>
              <w:ind w:left="851" w:hanging="851"/>
              <w:rPr>
                <w:rFonts w:eastAsiaTheme="minorEastAsia" w:cstheme="minorHAnsi"/>
                <w:szCs w:val="24"/>
                <w:lang w:val="es-ES"/>
              </w:rPr>
            </w:pPr>
            <w:r w:rsidRPr="00F37678">
              <w:rPr>
                <w:lang w:val="es-ES"/>
              </w:rPr>
              <w:t>•</w:t>
            </w:r>
            <w:r w:rsidRPr="00F37678">
              <w:rPr>
                <w:lang w:val="es-ES"/>
              </w:rPr>
              <w:tab/>
              <w:t>Participaron seis PMA, PDSL y PEID.</w:t>
            </w:r>
          </w:p>
          <w:p w14:paraId="5355CE77"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Cuatro de ellos recibieron apoyo del Sistema de las Naciones Unidas para el Desarrollo a nivel nacional.</w:t>
            </w:r>
          </w:p>
          <w:p w14:paraId="1DDE7DE2" w14:textId="77777777" w:rsidR="002E0363" w:rsidRPr="00F37678" w:rsidRDefault="002E0363" w:rsidP="00611905">
            <w:pPr>
              <w:pStyle w:val="Tabletext"/>
              <w:rPr>
                <w:rFonts w:eastAsiaTheme="minorEastAsia" w:cstheme="minorHAnsi"/>
                <w:lang w:val="es-ES"/>
              </w:rPr>
            </w:pPr>
            <w:r w:rsidRPr="00F37678">
              <w:rPr>
                <w:lang w:val="es-ES"/>
              </w:rPr>
              <w:t>Las asociaciones integraron la promoción política, la ejecución técnica y la financiación sostenible, garantizando así una inclusión digital equitativa y la integración regional.</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FF8A0" w14:textId="419A9714" w:rsidR="002E0363" w:rsidRPr="00F37678" w:rsidRDefault="002E0363" w:rsidP="00611905">
            <w:pPr>
              <w:pStyle w:val="Tabletext"/>
              <w:rPr>
                <w:rFonts w:eastAsiaTheme="minorEastAsia" w:cstheme="minorHAnsi"/>
                <w:lang w:val="es-ES"/>
              </w:rPr>
            </w:pPr>
            <w:r w:rsidRPr="00F37678">
              <w:rPr>
                <w:rFonts w:cstheme="minorHAnsi"/>
                <w:lang w:val="es-ES"/>
              </w:rPr>
              <w:t>Dominicana (República), Etiopía, Macedonia del Norte, Mauricio, Moldova, Rwanda y Seychelles.</w:t>
            </w:r>
          </w:p>
        </w:tc>
      </w:tr>
      <w:tr w:rsidR="002E0363" w:rsidRPr="00F37678" w14:paraId="4FA1047E"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24CDEB" w14:textId="77777777" w:rsidR="002E0363" w:rsidRPr="00F37678" w:rsidRDefault="002E0363" w:rsidP="00611905">
            <w:pPr>
              <w:pStyle w:val="Tabletext"/>
              <w:rPr>
                <w:rFonts w:eastAsiaTheme="minorEastAsia" w:cstheme="minorHAnsi"/>
                <w:b/>
                <w:szCs w:val="24"/>
                <w:lang w:val="es-ES"/>
              </w:rPr>
            </w:pPr>
            <w:r w:rsidRPr="00F37678">
              <w:rPr>
                <w:b/>
                <w:lang w:val="es-ES"/>
              </w:rPr>
              <w:t>Telecomunicaciones/TIC inclusivas y seguras para el desarrollo sostenible</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C9B38" w14:textId="62A2B873" w:rsidR="002E0363" w:rsidRPr="00F37678" w:rsidRDefault="002E0363" w:rsidP="00611905">
            <w:pPr>
              <w:pStyle w:val="Tabletext"/>
              <w:rPr>
                <w:rFonts w:eastAsiaTheme="minorEastAsia" w:cstheme="minorBidi"/>
                <w:lang w:val="es-ES"/>
              </w:rPr>
            </w:pPr>
            <w:r w:rsidRPr="00F37678">
              <w:rPr>
                <w:lang w:val="es-ES"/>
              </w:rPr>
              <w:t xml:space="preserve">Se prestó asistencia a un total de 40 PMA, PDSL y PEID. </w:t>
            </w:r>
            <w:bookmarkStart w:id="16" w:name="_Int_BjwdIh5C"/>
            <w:bookmarkEnd w:id="16"/>
          </w:p>
          <w:p w14:paraId="3EDB8DEF" w14:textId="77777777"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 xml:space="preserve">Se prestó asistencia técnica a 11 de ellos. </w:t>
            </w:r>
            <w:bookmarkStart w:id="17" w:name="_Int_wvRJahIA"/>
            <w:bookmarkEnd w:id="17"/>
          </w:p>
          <w:p w14:paraId="07E0D475"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elaboraron marcos normativos y productos de conocimiento en 28 países. </w:t>
            </w:r>
          </w:p>
          <w:p w14:paraId="57433CAF"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celebraron sesiones de sensibilización en cinco países. </w:t>
            </w:r>
          </w:p>
          <w:p w14:paraId="497BD78C" w14:textId="178AF9FB"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crearon plataformas de colaboración en dos países. </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08E4C3" w14:textId="08EA762A" w:rsidR="002E0363" w:rsidRPr="00F37678" w:rsidRDefault="002E0363" w:rsidP="00611905">
            <w:pPr>
              <w:pStyle w:val="Tabletext"/>
              <w:rPr>
                <w:rFonts w:eastAsiaTheme="minorEastAsia" w:cstheme="minorHAnsi"/>
                <w:lang w:val="es-ES"/>
              </w:rPr>
            </w:pPr>
            <w:r w:rsidRPr="00F37678">
              <w:rPr>
                <w:rFonts w:cstheme="minorHAnsi"/>
                <w:lang w:val="es-ES"/>
              </w:rPr>
              <w:t>PMA: Angola, Benin, Burkina Faso, Burundi, Camboya, Centroafricana (República), Chad, Comoras, Djibouti, Etiopía, Gambia, Guinea, Guinea-Bissau, Kiribati, Lesotho, Liberia, Madagascar, Malawi, Malí, Mauritania, Mozambique, Níger, República Democrática del Congo, Rwanda, Senegal, Sierra Leona, Somalia, Sudán, Sudán del Sur, Tanzanía, Timor-Leste, Togo, Uganda y Zambia.</w:t>
            </w:r>
          </w:p>
          <w:p w14:paraId="033CCA96" w14:textId="25C3E1D5" w:rsidR="002E0363" w:rsidRPr="00F37678" w:rsidRDefault="002E0363" w:rsidP="00611905">
            <w:pPr>
              <w:pStyle w:val="Tabletext"/>
              <w:rPr>
                <w:rFonts w:eastAsiaTheme="minorEastAsia" w:cstheme="minorHAnsi"/>
                <w:lang w:val="es-ES"/>
              </w:rPr>
            </w:pPr>
            <w:r w:rsidRPr="00F37678">
              <w:rPr>
                <w:rFonts w:cstheme="minorHAnsi"/>
                <w:lang w:val="es-ES"/>
              </w:rPr>
              <w:t xml:space="preserve">PDSL: Armenia, Azerbaiyán, Bhután, Botswana, Burkina Faso, Burundi, Centroafricana (República), Chad, </w:t>
            </w:r>
            <w:r w:rsidRPr="00F37678">
              <w:rPr>
                <w:rFonts w:cstheme="minorHAnsi"/>
                <w:lang w:val="es-ES"/>
              </w:rPr>
              <w:lastRenderedPageBreak/>
              <w:t>Eswatini, Etiopía, Kazajstán, Kirguistán, Lesotho, Macedonia del Norte, Malawi, Malí, Moldova, Mongolia, Níger, Rwanda, Sudán del Sur, Tayikistán, Turkmenistán, Uganda, Uzbekistán, Zambia y Zimbabwe.</w:t>
            </w:r>
          </w:p>
          <w:p w14:paraId="4E348361" w14:textId="66BB612C" w:rsidR="002E0363" w:rsidRPr="00F37678" w:rsidRDefault="002E0363" w:rsidP="00611905">
            <w:pPr>
              <w:pStyle w:val="Tabletext"/>
              <w:rPr>
                <w:rFonts w:eastAsiaTheme="minorEastAsia" w:cstheme="minorHAnsi"/>
                <w:lang w:val="es-ES"/>
              </w:rPr>
            </w:pPr>
            <w:r w:rsidRPr="00F37678">
              <w:rPr>
                <w:rFonts w:cstheme="minorHAnsi"/>
                <w:lang w:val="es-ES"/>
              </w:rPr>
              <w:t>PEID: Cabo Verde, Comoras, Guinea-Bissau, Kiribati, Maldivas, Mauricio, Palau, Santo Tomé y Príncipe, Seychelles y Timor-Leste.</w:t>
            </w:r>
          </w:p>
        </w:tc>
      </w:tr>
      <w:tr w:rsidR="002E0363" w:rsidRPr="00F37678" w14:paraId="45D3BE06" w14:textId="77777777" w:rsidTr="00611905">
        <w:trPr>
          <w:trHeight w:val="300"/>
          <w:jc w:val="center"/>
        </w:trPr>
        <w:tc>
          <w:tcPr>
            <w:tcW w:w="2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3647F6" w14:textId="77777777" w:rsidR="002E0363" w:rsidRPr="00F37678" w:rsidRDefault="002E0363" w:rsidP="00611905">
            <w:pPr>
              <w:pStyle w:val="Tabletext"/>
              <w:rPr>
                <w:rFonts w:eastAsiaTheme="minorEastAsia" w:cstheme="minorHAnsi"/>
                <w:b/>
                <w:szCs w:val="24"/>
                <w:lang w:val="es-ES"/>
              </w:rPr>
            </w:pPr>
            <w:r w:rsidRPr="00F37678">
              <w:rPr>
                <w:b/>
                <w:lang w:val="es-ES"/>
              </w:rPr>
              <w:lastRenderedPageBreak/>
              <w:t>Diversidad e inclusión</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3A1AE" w14:textId="3D8BC90C" w:rsidR="002E0363" w:rsidRPr="00F37678" w:rsidRDefault="002E0363" w:rsidP="00611905">
            <w:pPr>
              <w:pStyle w:val="Tabletext"/>
              <w:rPr>
                <w:rFonts w:eastAsiaTheme="minorEastAsia" w:cstheme="minorBidi"/>
                <w:lang w:val="es-ES"/>
              </w:rPr>
            </w:pPr>
            <w:r w:rsidRPr="00F37678">
              <w:rPr>
                <w:lang w:val="es-ES"/>
              </w:rPr>
              <w:t xml:space="preserve">Se trabajó con 21 PMA, PDSL y PEID. </w:t>
            </w:r>
          </w:p>
          <w:p w14:paraId="3F0E46AF" w14:textId="36ACB910"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 xml:space="preserve">Se prestó asistencia técnica a 10 países. </w:t>
            </w:r>
            <w:bookmarkStart w:id="18" w:name="_Int_YD0fbMtw"/>
            <w:bookmarkEnd w:id="18"/>
          </w:p>
          <w:p w14:paraId="21BA8370" w14:textId="1B445D47" w:rsidR="002E0363" w:rsidRPr="00F37678" w:rsidRDefault="002E0363" w:rsidP="00611905">
            <w:pPr>
              <w:pStyle w:val="Tabletext"/>
              <w:ind w:left="284" w:hanging="284"/>
              <w:rPr>
                <w:rFonts w:eastAsiaTheme="minorEastAsia" w:cstheme="minorHAnsi"/>
                <w:lang w:val="es-ES"/>
              </w:rPr>
            </w:pPr>
            <w:r w:rsidRPr="00F37678">
              <w:rPr>
                <w:lang w:val="es-ES"/>
              </w:rPr>
              <w:t>•</w:t>
            </w:r>
            <w:r w:rsidRPr="00F37678">
              <w:rPr>
                <w:lang w:val="es-ES"/>
              </w:rPr>
              <w:tab/>
              <w:t xml:space="preserve">Se elaboraron marcos normativos y productos de conocimiento en 11 países. </w:t>
            </w:r>
          </w:p>
          <w:p w14:paraId="0B512DB1" w14:textId="77777777"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 xml:space="preserve">Se celebraron sesiones de sensibilización en siete países. </w:t>
            </w:r>
          </w:p>
          <w:p w14:paraId="44529626" w14:textId="28BB24B1" w:rsidR="002E0363" w:rsidRPr="00F37678" w:rsidRDefault="002E0363" w:rsidP="00611905">
            <w:pPr>
              <w:pStyle w:val="Tabletext"/>
              <w:ind w:left="284" w:hanging="284"/>
              <w:rPr>
                <w:rFonts w:eastAsiaTheme="minorEastAsia" w:cstheme="minorHAnsi"/>
                <w:szCs w:val="24"/>
                <w:lang w:val="es-ES"/>
              </w:rPr>
            </w:pPr>
            <w:r w:rsidRPr="00F37678">
              <w:rPr>
                <w:lang w:val="es-ES"/>
              </w:rPr>
              <w:t>•</w:t>
            </w:r>
            <w:r w:rsidRPr="00F37678">
              <w:rPr>
                <w:lang w:val="es-ES"/>
              </w:rPr>
              <w:tab/>
              <w:t>Se crearon plataformas de colaboración en 11 países.</w:t>
            </w:r>
          </w:p>
        </w:tc>
        <w:tc>
          <w:tcPr>
            <w:tcW w:w="3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70826" w14:textId="2522B582" w:rsidR="002E0363" w:rsidRPr="00F37678" w:rsidRDefault="002E0363" w:rsidP="00611905">
            <w:pPr>
              <w:pStyle w:val="Tabletext"/>
              <w:rPr>
                <w:rFonts w:eastAsiaTheme="minorEastAsia" w:cstheme="minorHAnsi"/>
                <w:lang w:val="es-ES"/>
              </w:rPr>
            </w:pPr>
            <w:r w:rsidRPr="00F37678">
              <w:rPr>
                <w:rFonts w:cstheme="minorHAnsi"/>
                <w:lang w:val="es-ES"/>
              </w:rPr>
              <w:t>PMA: Burundi, Camboya, Comoras, Djibouti, Etiopía, Kiribati, Lao (R.D.P.), Mauritania, Nepal, Somalia, Sudán, Timor-Leste y Yemen.</w:t>
            </w:r>
          </w:p>
          <w:p w14:paraId="10E4AA9D" w14:textId="64052E90" w:rsidR="002E0363" w:rsidRPr="00F37678" w:rsidRDefault="002E0363" w:rsidP="00611905">
            <w:pPr>
              <w:pStyle w:val="Tabletext"/>
              <w:rPr>
                <w:rFonts w:eastAsiaTheme="minorEastAsia" w:cstheme="minorHAnsi"/>
                <w:lang w:val="es-ES"/>
              </w:rPr>
            </w:pPr>
            <w:r w:rsidRPr="00F37678">
              <w:rPr>
                <w:rFonts w:cstheme="minorHAnsi"/>
                <w:lang w:val="es-ES"/>
              </w:rPr>
              <w:t>PDSL: Armenia, Burundi, Etiopía, Kirguistán, L</w:t>
            </w:r>
            <w:r w:rsidRPr="00F37678">
              <w:rPr>
                <w:rFonts w:cstheme="minorHAnsi"/>
                <w:color w:val="000000"/>
                <w:shd w:val="clear" w:color="auto" w:fill="FFFFFF"/>
                <w:lang w:val="es-ES"/>
              </w:rPr>
              <w:t xml:space="preserve">ao (R.D.P.), </w:t>
            </w:r>
            <w:r w:rsidRPr="00F37678">
              <w:rPr>
                <w:rFonts w:cstheme="minorHAnsi"/>
                <w:lang w:val="es-ES"/>
              </w:rPr>
              <w:t>Moldova, Nepal y Uzbekistán.</w:t>
            </w:r>
          </w:p>
          <w:p w14:paraId="2F720FC5" w14:textId="683F6FCC" w:rsidR="002E0363" w:rsidRPr="00F37678" w:rsidRDefault="002E0363" w:rsidP="00611905">
            <w:pPr>
              <w:pStyle w:val="Tabletext"/>
              <w:rPr>
                <w:rFonts w:eastAsiaTheme="minorEastAsia" w:cstheme="minorHAnsi"/>
                <w:lang w:val="es-ES"/>
              </w:rPr>
            </w:pPr>
            <w:r w:rsidRPr="00F37678">
              <w:rPr>
                <w:rFonts w:cstheme="minorHAnsi"/>
                <w:lang w:val="es-ES"/>
              </w:rPr>
              <w:t>PEID: Comoras, Fiji, Kiribati, Micronesia, Nauru, Timor-Leste y Tonga.</w:t>
            </w:r>
          </w:p>
        </w:tc>
      </w:tr>
    </w:tbl>
    <w:p w14:paraId="672DD4A1" w14:textId="4154ACEE" w:rsidR="002E0363" w:rsidRPr="00F37678" w:rsidRDefault="002E0363" w:rsidP="002E0363">
      <w:pPr>
        <w:pStyle w:val="Note"/>
        <w:rPr>
          <w:lang w:val="es-ES"/>
        </w:rPr>
      </w:pPr>
      <w:r w:rsidRPr="00F37678">
        <w:rPr>
          <w:lang w:val="es-ES"/>
        </w:rPr>
        <w:t xml:space="preserve">Nota: Se puede obtener información detallada en el Documento </w:t>
      </w:r>
      <w:hyperlink r:id="rId41" w:history="1">
        <w:r w:rsidRPr="00F37678">
          <w:rPr>
            <w:rStyle w:val="Hyperlink"/>
            <w:lang w:val="es-ES"/>
          </w:rPr>
          <w:t>WTDC-25/2</w:t>
        </w:r>
      </w:hyperlink>
      <w:r w:rsidRPr="00F37678">
        <w:rPr>
          <w:lang w:val="es-ES"/>
        </w:rPr>
        <w:t>.</w:t>
      </w:r>
    </w:p>
    <w:p w14:paraId="687AEFAA" w14:textId="4F49385B" w:rsidR="00EB7780" w:rsidRPr="00F37678" w:rsidRDefault="00EB7780">
      <w:pPr>
        <w:tabs>
          <w:tab w:val="clear" w:pos="1134"/>
          <w:tab w:val="clear" w:pos="1871"/>
          <w:tab w:val="clear" w:pos="2268"/>
        </w:tabs>
        <w:overflowPunct/>
        <w:autoSpaceDE/>
        <w:autoSpaceDN/>
        <w:adjustRightInd/>
        <w:spacing w:before="0"/>
        <w:textAlignment w:val="auto"/>
        <w:rPr>
          <w:rFonts w:eastAsia="SimSun"/>
          <w:lang w:val="es-ES"/>
        </w:rPr>
      </w:pPr>
      <w:r w:rsidRPr="00F37678">
        <w:rPr>
          <w:rFonts w:eastAsia="SimSun"/>
          <w:lang w:val="es-ES"/>
        </w:rPr>
        <w:br w:type="page"/>
      </w:r>
    </w:p>
    <w:p w14:paraId="1206193E" w14:textId="77777777" w:rsidR="002E0363" w:rsidRPr="00F37678" w:rsidRDefault="002E0363" w:rsidP="002E0363">
      <w:pPr>
        <w:pStyle w:val="AnnexNo"/>
        <w:rPr>
          <w:lang w:val="es-ES"/>
        </w:rPr>
      </w:pPr>
      <w:r w:rsidRPr="00F37678">
        <w:rPr>
          <w:lang w:val="es-ES"/>
        </w:rPr>
        <w:lastRenderedPageBreak/>
        <w:t>Anexo 2</w:t>
      </w:r>
    </w:p>
    <w:p w14:paraId="0F0308D0" w14:textId="77777777" w:rsidR="002E0363" w:rsidRPr="00F37678" w:rsidRDefault="002E0363" w:rsidP="002E0363">
      <w:pPr>
        <w:pStyle w:val="Annextitle"/>
        <w:rPr>
          <w:rFonts w:ascii="Calibri" w:eastAsia="SimSun" w:hAnsi="Calibri" w:cs="Calibri"/>
          <w:lang w:val="es-ES"/>
        </w:rPr>
      </w:pPr>
      <w:r w:rsidRPr="00F37678">
        <w:rPr>
          <w:lang w:val="es-ES"/>
        </w:rPr>
        <w:t>Visión general de los proyectos ejecutados en PMA, PDSL y PEID (2023-2025)</w:t>
      </w:r>
    </w:p>
    <w:p w14:paraId="0275CA44" w14:textId="77777777" w:rsidR="002E0363" w:rsidRPr="00F37678" w:rsidRDefault="002E0363" w:rsidP="002E0363">
      <w:pPr>
        <w:pStyle w:val="Headingb"/>
        <w:spacing w:after="120"/>
        <w:rPr>
          <w:rFonts w:ascii="Calibri" w:eastAsia="SimSun" w:hAnsi="Calibri" w:cs="Calibri"/>
          <w:b w:val="0"/>
          <w:bCs/>
          <w:lang w:val="es-ES"/>
        </w:rPr>
      </w:pPr>
      <w:r w:rsidRPr="00F37678">
        <w:rPr>
          <w:b w:val="0"/>
          <w:bCs/>
          <w:lang w:val="es-ES"/>
        </w:rPr>
        <w:t>A)</w:t>
      </w:r>
      <w:r w:rsidRPr="00F37678">
        <w:rPr>
          <w:b w:val="0"/>
          <w:bCs/>
          <w:lang w:val="es-ES"/>
        </w:rPr>
        <w:tab/>
      </w:r>
      <w:r w:rsidRPr="00F37678">
        <w:rPr>
          <w:b w:val="0"/>
          <w:bCs/>
          <w:u w:val="single"/>
          <w:lang w:val="es-ES"/>
        </w:rPr>
        <w:t>Proyectos en curso y ejecutados en PMA entre 2023 y 2025</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404"/>
        <w:gridCol w:w="3121"/>
      </w:tblGrid>
      <w:tr w:rsidR="002E0363" w:rsidRPr="00F37678" w14:paraId="0DD3A728" w14:textId="77777777" w:rsidTr="00611905">
        <w:trPr>
          <w:trHeight w:val="300"/>
          <w:tblHead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D36BE" w14:textId="77777777" w:rsidR="002E0363" w:rsidRPr="00F37678" w:rsidRDefault="002E0363" w:rsidP="00611905">
            <w:pPr>
              <w:pStyle w:val="Tablehead"/>
              <w:rPr>
                <w:rFonts w:eastAsia="SimSu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9FF06" w14:textId="77777777" w:rsidR="002E0363" w:rsidRPr="00F37678" w:rsidRDefault="002E0363" w:rsidP="00611905">
            <w:pPr>
              <w:pStyle w:val="Tablehead"/>
              <w:rPr>
                <w:rFonts w:eastAsia="SimSun"/>
                <w:lang w:val="es-ES"/>
              </w:rPr>
            </w:pPr>
            <w:r w:rsidRPr="00F37678">
              <w:rPr>
                <w:color w:val="000000"/>
                <w:lang w:val="es-ES"/>
              </w:rPr>
              <w:t>N.º proyecto</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7E97" w14:textId="77777777" w:rsidR="002E0363" w:rsidRPr="00F37678" w:rsidRDefault="002E0363" w:rsidP="00611905">
            <w:pPr>
              <w:pStyle w:val="Tablehead"/>
              <w:rPr>
                <w:rFonts w:eastAsia="SimSun"/>
                <w:lang w:val="es-ES"/>
              </w:rPr>
            </w:pPr>
            <w:r w:rsidRPr="00F37678">
              <w:rPr>
                <w:color w:val="000000"/>
                <w:lang w:val="es-ES"/>
              </w:rPr>
              <w:t>Título</w:t>
            </w:r>
          </w:p>
        </w:tc>
        <w:tc>
          <w:tcPr>
            <w:tcW w:w="1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A58F8" w14:textId="77777777" w:rsidR="002E0363" w:rsidRPr="00F37678" w:rsidRDefault="002E0363" w:rsidP="00611905">
            <w:pPr>
              <w:pStyle w:val="Tablehead"/>
              <w:rPr>
                <w:rFonts w:eastAsia="SimSun"/>
                <w:lang w:val="es-ES"/>
              </w:rPr>
            </w:pPr>
            <w:r w:rsidRPr="00F37678">
              <w:rPr>
                <w:color w:val="000000"/>
                <w:lang w:val="es-ES"/>
              </w:rPr>
              <w:t>Fecha de finalización</w:t>
            </w:r>
          </w:p>
        </w:tc>
        <w:tc>
          <w:tcPr>
            <w:tcW w:w="3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41482" w14:textId="77777777" w:rsidR="002E0363" w:rsidRPr="00F37678" w:rsidRDefault="002E0363" w:rsidP="00611905">
            <w:pPr>
              <w:pStyle w:val="Tablehead"/>
              <w:rPr>
                <w:rFonts w:eastAsia="SimSun"/>
                <w:lang w:val="es-ES"/>
              </w:rPr>
            </w:pPr>
            <w:r w:rsidRPr="00F37678">
              <w:rPr>
                <w:color w:val="000000"/>
                <w:lang w:val="es-ES"/>
              </w:rPr>
              <w:t>Países beneficiados</w:t>
            </w:r>
          </w:p>
        </w:tc>
      </w:tr>
      <w:tr w:rsidR="002E0363" w:rsidRPr="00F37678" w14:paraId="66ECE7F1"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05A8A" w14:textId="77777777" w:rsidR="002E0363" w:rsidRPr="00F37678" w:rsidRDefault="002E0363" w:rsidP="00611905">
            <w:pPr>
              <w:pStyle w:val="Tabletext"/>
              <w:jc w:val="center"/>
              <w:rPr>
                <w:rFonts w:eastAsia="SimSun"/>
                <w:lang w:val="es-ES"/>
              </w:rPr>
            </w:pPr>
            <w:r w:rsidRPr="00F37678">
              <w:rPr>
                <w:rFonts w:eastAsia="SimSun"/>
                <w:lang w:val="es-ES"/>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E0BAA" w14:textId="77777777" w:rsidR="002E0363" w:rsidRPr="00F37678" w:rsidRDefault="002E0363" w:rsidP="00611905">
            <w:pPr>
              <w:pStyle w:val="Tabletext"/>
              <w:jc w:val="center"/>
              <w:rPr>
                <w:rFonts w:eastAsia="SimSun"/>
                <w:lang w:val="es-ES"/>
              </w:rPr>
            </w:pPr>
            <w:r w:rsidRPr="00F37678">
              <w:rPr>
                <w:color w:val="000000"/>
                <w:lang w:val="es-ES"/>
              </w:rPr>
              <w:t>9GLO23135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F2670D" w14:textId="77777777" w:rsidR="002E0363" w:rsidRPr="00F37678" w:rsidRDefault="002E0363" w:rsidP="00611905">
            <w:pPr>
              <w:pStyle w:val="Tabletext"/>
              <w:jc w:val="center"/>
              <w:rPr>
                <w:rFonts w:eastAsia="SimSun"/>
                <w:lang w:val="es-ES"/>
              </w:rPr>
            </w:pPr>
            <w:r w:rsidRPr="00F37678">
              <w:rPr>
                <w:color w:val="000000"/>
                <w:lang w:val="es-ES"/>
              </w:rPr>
              <w:t>Apoyo a las actividades futuras en Lesotho en relación con la expansión de los servicios de gobierno digital y la elaboración de estrategias digitales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845F3" w14:textId="77777777" w:rsidR="002E0363" w:rsidRPr="00F37678" w:rsidRDefault="002E0363" w:rsidP="00611905">
            <w:pPr>
              <w:pStyle w:val="Tabletext"/>
              <w:jc w:val="center"/>
              <w:rPr>
                <w:rFonts w:eastAsia="Calibri"/>
                <w:lang w:val="es-ES"/>
              </w:rPr>
            </w:pPr>
            <w:r w:rsidRPr="00F37678">
              <w:rPr>
                <w:color w:val="000000"/>
                <w:lang w:val="es-ES"/>
              </w:rPr>
              <w:t>31/12/2024</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504828" w14:textId="77777777" w:rsidR="002E0363" w:rsidRPr="00F37678" w:rsidRDefault="002E0363" w:rsidP="00611905">
            <w:pPr>
              <w:pStyle w:val="Tabletext"/>
              <w:jc w:val="center"/>
              <w:rPr>
                <w:rFonts w:eastAsia="SimSun"/>
                <w:lang w:val="es-ES"/>
              </w:rPr>
            </w:pPr>
            <w:r w:rsidRPr="00F37678">
              <w:rPr>
                <w:color w:val="000000"/>
                <w:lang w:val="es-ES"/>
              </w:rPr>
              <w:t>Lesotho</w:t>
            </w:r>
          </w:p>
        </w:tc>
      </w:tr>
      <w:tr w:rsidR="002E0363" w:rsidRPr="00F37678" w14:paraId="72338F2B"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AF858" w14:textId="77777777" w:rsidR="002E0363" w:rsidRPr="00F37678" w:rsidRDefault="002E0363" w:rsidP="00611905">
            <w:pPr>
              <w:pStyle w:val="Tabletext"/>
              <w:jc w:val="center"/>
              <w:rPr>
                <w:rFonts w:eastAsia="SimSun"/>
                <w:lang w:val="es-ES"/>
              </w:rPr>
            </w:pPr>
            <w:r w:rsidRPr="00F37678">
              <w:rPr>
                <w:rFonts w:eastAsia="SimSun"/>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6221B" w14:textId="77777777" w:rsidR="002E0363" w:rsidRPr="00F37678" w:rsidRDefault="002E0363" w:rsidP="00611905">
            <w:pPr>
              <w:pStyle w:val="Tabletext"/>
              <w:jc w:val="center"/>
              <w:rPr>
                <w:rFonts w:eastAsia="SimSun"/>
                <w:lang w:val="es-ES"/>
              </w:rPr>
            </w:pPr>
            <w:r w:rsidRPr="00F37678">
              <w:rPr>
                <w:color w:val="000000"/>
                <w:lang w:val="es-ES"/>
              </w:rPr>
              <w:t>7RAS23072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7535B" w14:textId="77777777" w:rsidR="002E0363" w:rsidRPr="00F37678" w:rsidRDefault="002E0363" w:rsidP="00611905">
            <w:pPr>
              <w:pStyle w:val="Tabletext"/>
              <w:jc w:val="center"/>
              <w:rPr>
                <w:rFonts w:eastAsia="SimSun"/>
                <w:lang w:val="es-ES"/>
              </w:rPr>
            </w:pPr>
            <w:r w:rsidRPr="00F37678">
              <w:rPr>
                <w:color w:val="000000"/>
                <w:lang w:val="es-ES"/>
              </w:rPr>
              <w:t>Acelerar la transformación digital en Asia-Pacífico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592F7" w14:textId="77777777" w:rsidR="002E0363" w:rsidRPr="00F37678" w:rsidRDefault="002E0363" w:rsidP="00611905">
            <w:pPr>
              <w:pStyle w:val="Tabletext"/>
              <w:jc w:val="center"/>
              <w:rPr>
                <w:rFonts w:eastAsia="SimSun"/>
                <w:lang w:val="es-ES"/>
              </w:rPr>
            </w:pPr>
            <w:r w:rsidRPr="00F37678">
              <w:rPr>
                <w:color w:val="000000"/>
                <w:lang w:val="es-ES"/>
              </w:rPr>
              <w:t>31/07/2025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3DD74" w14:textId="77777777" w:rsidR="002E0363" w:rsidRPr="00F37678" w:rsidRDefault="002E0363" w:rsidP="00611905">
            <w:pPr>
              <w:pStyle w:val="Tabletext"/>
              <w:jc w:val="center"/>
              <w:rPr>
                <w:rFonts w:eastAsia="SimSun"/>
                <w:lang w:val="es-ES"/>
              </w:rPr>
            </w:pPr>
            <w:r w:rsidRPr="00F37678">
              <w:rPr>
                <w:color w:val="000000"/>
                <w:lang w:val="es-ES"/>
              </w:rPr>
              <w:t>Camboya, Lao (R.D.P.)</w:t>
            </w:r>
          </w:p>
        </w:tc>
      </w:tr>
      <w:tr w:rsidR="002E0363" w:rsidRPr="00F37678" w14:paraId="3998985F"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5144" w14:textId="77777777" w:rsidR="002E0363" w:rsidRPr="00F37678" w:rsidRDefault="002E0363" w:rsidP="00611905">
            <w:pPr>
              <w:pStyle w:val="Tabletext"/>
              <w:jc w:val="center"/>
              <w:rPr>
                <w:rFonts w:eastAsia="SimSun"/>
                <w:lang w:val="es-ES"/>
              </w:rPr>
            </w:pPr>
            <w:r w:rsidRPr="00F37678">
              <w:rPr>
                <w:rFonts w:eastAsia="SimSun"/>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2863B" w14:textId="77777777" w:rsidR="002E0363" w:rsidRPr="00F37678" w:rsidRDefault="002E0363" w:rsidP="00611905">
            <w:pPr>
              <w:pStyle w:val="Tabletext"/>
              <w:jc w:val="center"/>
              <w:rPr>
                <w:rFonts w:eastAsia="SimSun"/>
                <w:lang w:val="es-ES"/>
              </w:rPr>
            </w:pPr>
            <w:r w:rsidRPr="00F37678">
              <w:rPr>
                <w:color w:val="000000"/>
                <w:lang w:val="es-ES"/>
              </w:rPr>
              <w:t>7GLO23133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447D1" w14:textId="77777777" w:rsidR="002E0363" w:rsidRPr="00F37678" w:rsidRDefault="002E0363" w:rsidP="00611905">
            <w:pPr>
              <w:pStyle w:val="Tabletext"/>
              <w:jc w:val="center"/>
              <w:rPr>
                <w:rFonts w:eastAsia="SimSun"/>
                <w:lang w:val="es-ES"/>
              </w:rPr>
            </w:pPr>
            <w:r w:rsidRPr="00F37678">
              <w:rPr>
                <w:color w:val="000000"/>
                <w:lang w:val="es-ES"/>
              </w:rPr>
              <w:t>Fomento de las competencias digitales a través de los Centros de Transformación Digital (CTD) – Segunda fase</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41A95" w14:textId="77777777" w:rsidR="002E0363" w:rsidRPr="00F37678" w:rsidRDefault="002E0363" w:rsidP="00611905">
            <w:pPr>
              <w:pStyle w:val="Tabletext"/>
              <w:jc w:val="center"/>
              <w:rPr>
                <w:rFonts w:eastAsia="SimSun"/>
                <w:lang w:val="es-ES"/>
              </w:rPr>
            </w:pPr>
            <w:r w:rsidRPr="00F37678">
              <w:rPr>
                <w:color w:val="000000"/>
                <w:lang w:val="es-ES"/>
              </w:rPr>
              <w:t>14/01/2026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C9123" w14:textId="6DA28A8A" w:rsidR="002E0363" w:rsidRPr="00F37678" w:rsidRDefault="002E0363" w:rsidP="00611905">
            <w:pPr>
              <w:pStyle w:val="Tabletext"/>
              <w:jc w:val="center"/>
              <w:rPr>
                <w:rFonts w:eastAsia="SimSun"/>
                <w:lang w:val="es-ES"/>
              </w:rPr>
            </w:pPr>
            <w:r w:rsidRPr="00F37678">
              <w:rPr>
                <w:color w:val="000000"/>
                <w:lang w:val="es-ES"/>
              </w:rPr>
              <w:t>Indonesia, República Democrática del Congo, Rwanda, Senegal, Uganda, Zambia</w:t>
            </w:r>
          </w:p>
        </w:tc>
      </w:tr>
      <w:tr w:rsidR="002E0363" w:rsidRPr="00F37678" w14:paraId="4D2715FA"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583E" w14:textId="77777777" w:rsidR="002E0363" w:rsidRPr="00F37678" w:rsidRDefault="002E0363" w:rsidP="00611905">
            <w:pPr>
              <w:pStyle w:val="Tabletext"/>
              <w:jc w:val="center"/>
              <w:rPr>
                <w:rFonts w:eastAsia="SimSun"/>
                <w:lang w:val="es-ES"/>
              </w:rPr>
            </w:pPr>
            <w:r w:rsidRPr="00F37678">
              <w:rPr>
                <w:rFonts w:eastAsia="SimSun"/>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8134C" w14:textId="77777777" w:rsidR="002E0363" w:rsidRPr="00F37678" w:rsidRDefault="002E0363" w:rsidP="00611905">
            <w:pPr>
              <w:pStyle w:val="Tabletext"/>
              <w:jc w:val="center"/>
              <w:rPr>
                <w:rFonts w:eastAsia="SimSun"/>
                <w:lang w:val="es-ES"/>
              </w:rPr>
            </w:pPr>
            <w:r w:rsidRPr="00F37678">
              <w:rPr>
                <w:color w:val="000000"/>
                <w:lang w:val="es-ES"/>
              </w:rPr>
              <w:t>9GLO23126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91D1C" w14:textId="77777777" w:rsidR="002E0363" w:rsidRPr="00F37678" w:rsidRDefault="002E0363" w:rsidP="00611905">
            <w:pPr>
              <w:pStyle w:val="Tabletext"/>
              <w:jc w:val="center"/>
              <w:rPr>
                <w:rFonts w:eastAsia="SimSun"/>
                <w:lang w:val="es-ES"/>
              </w:rPr>
            </w:pPr>
            <w:r w:rsidRPr="00F37678">
              <w:rPr>
                <w:color w:val="000000"/>
                <w:lang w:val="es-ES"/>
              </w:rPr>
              <w:t>Desarrollo y aplicación de políticas y reglamentaciones en materia de residuos electrónicos para una economía circular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E6E1F" w14:textId="77777777" w:rsidR="002E0363" w:rsidRPr="00F37678" w:rsidRDefault="002E0363" w:rsidP="00611905">
            <w:pPr>
              <w:pStyle w:val="Tabletext"/>
              <w:jc w:val="center"/>
              <w:rPr>
                <w:rFonts w:eastAsia="SimSun"/>
                <w:lang w:val="es-ES"/>
              </w:rPr>
            </w:pPr>
            <w:r w:rsidRPr="00F37678">
              <w:rPr>
                <w:color w:val="000000"/>
                <w:lang w:val="es-ES"/>
              </w:rPr>
              <w:t>01/07/2026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388E2" w14:textId="77777777" w:rsidR="002E0363" w:rsidRPr="00F37678" w:rsidRDefault="002E0363" w:rsidP="00611905">
            <w:pPr>
              <w:pStyle w:val="Tabletext"/>
              <w:jc w:val="center"/>
              <w:rPr>
                <w:rFonts w:eastAsia="SimSun" w:cstheme="minorBidi"/>
                <w:lang w:val="es-ES"/>
              </w:rPr>
            </w:pPr>
            <w:r w:rsidRPr="00F37678">
              <w:rPr>
                <w:color w:val="000000"/>
                <w:lang w:val="es-ES"/>
              </w:rPr>
              <w:t>Rwanda (República de), Zambia</w:t>
            </w:r>
          </w:p>
        </w:tc>
      </w:tr>
      <w:tr w:rsidR="002E0363" w:rsidRPr="00F37678" w14:paraId="31062250"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2E36C" w14:textId="77777777" w:rsidR="002E0363" w:rsidRPr="00F37678" w:rsidRDefault="002E0363" w:rsidP="00611905">
            <w:pPr>
              <w:pStyle w:val="Tabletext"/>
              <w:jc w:val="center"/>
              <w:rPr>
                <w:rFonts w:eastAsia="SimSun"/>
                <w:lang w:val="es-ES"/>
              </w:rPr>
            </w:pPr>
            <w:r w:rsidRPr="00F37678">
              <w:rPr>
                <w:rFonts w:eastAsia="SimSun"/>
                <w:lang w:val="es-E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B8AA4" w14:textId="77777777" w:rsidR="002E0363" w:rsidRPr="00F37678" w:rsidRDefault="002E0363" w:rsidP="00611905">
            <w:pPr>
              <w:pStyle w:val="Tabletext"/>
              <w:jc w:val="center"/>
              <w:rPr>
                <w:rFonts w:eastAsia="SimSun"/>
                <w:lang w:val="es-ES"/>
              </w:rPr>
            </w:pPr>
            <w:r w:rsidRPr="00F37678">
              <w:rPr>
                <w:color w:val="000000"/>
                <w:lang w:val="es-ES"/>
              </w:rPr>
              <w:t>2RER20008-03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27857" w14:textId="77777777" w:rsidR="002E0363" w:rsidRPr="00F37678" w:rsidRDefault="002E0363" w:rsidP="00611905">
            <w:pPr>
              <w:pStyle w:val="Tabletext"/>
              <w:jc w:val="center"/>
              <w:rPr>
                <w:rFonts w:eastAsia="SimSun"/>
                <w:lang w:val="es-ES"/>
              </w:rPr>
            </w:pPr>
            <w:r w:rsidRPr="00F37678">
              <w:rPr>
                <w:color w:val="000000"/>
                <w:lang w:val="es-ES"/>
              </w:rPr>
              <w:t>Programa Mundial de Transformación Digital – Iniciativa de gobierno digital Cuerno de África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F755F" w14:textId="77777777" w:rsidR="002E0363" w:rsidRPr="00F37678" w:rsidRDefault="002E0363" w:rsidP="00611905">
            <w:pPr>
              <w:pStyle w:val="Tabletext"/>
              <w:jc w:val="center"/>
              <w:rPr>
                <w:rFonts w:eastAsia="SimSun"/>
                <w:lang w:val="es-ES"/>
              </w:rPr>
            </w:pPr>
            <w:r w:rsidRPr="00F37678">
              <w:rPr>
                <w:color w:val="000000"/>
                <w:lang w:val="es-ES"/>
              </w:rPr>
              <w:t>30/9/2025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6C090" w14:textId="77777777" w:rsidR="002E0363" w:rsidRPr="00F37678" w:rsidRDefault="002E0363" w:rsidP="00611905">
            <w:pPr>
              <w:pStyle w:val="Tabletext"/>
              <w:jc w:val="center"/>
              <w:rPr>
                <w:rFonts w:eastAsia="Calibri"/>
                <w:lang w:val="es-ES"/>
              </w:rPr>
            </w:pPr>
            <w:r w:rsidRPr="00F37678">
              <w:rPr>
                <w:color w:val="000000"/>
                <w:lang w:val="es-ES"/>
              </w:rPr>
              <w:t>Djibouti, Somalia</w:t>
            </w:r>
          </w:p>
        </w:tc>
      </w:tr>
      <w:tr w:rsidR="002E0363" w:rsidRPr="00F37678" w14:paraId="12648186"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F3446" w14:textId="77777777" w:rsidR="002E0363" w:rsidRPr="00F37678" w:rsidRDefault="002E0363" w:rsidP="00611905">
            <w:pPr>
              <w:pStyle w:val="Tabletext"/>
              <w:jc w:val="center"/>
              <w:rPr>
                <w:rFonts w:eastAsia="SimSun"/>
                <w:lang w:val="es-ES"/>
              </w:rPr>
            </w:pPr>
            <w:r w:rsidRPr="00F37678">
              <w:rPr>
                <w:rFonts w:eastAsia="SimSun"/>
                <w:lang w:val="es-E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539C6" w14:textId="77777777" w:rsidR="002E0363" w:rsidRPr="00F37678" w:rsidRDefault="002E0363" w:rsidP="00611905">
            <w:pPr>
              <w:pStyle w:val="Tabletext"/>
              <w:jc w:val="center"/>
              <w:rPr>
                <w:rFonts w:eastAsia="SimSun"/>
                <w:lang w:val="es-ES"/>
              </w:rPr>
            </w:pPr>
            <w:r w:rsidRPr="00F37678">
              <w:rPr>
                <w:color w:val="000000"/>
                <w:lang w:val="es-ES"/>
              </w:rPr>
              <w:t>9MOZ23005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661A52" w14:textId="77777777" w:rsidR="002E0363" w:rsidRPr="00F37678" w:rsidRDefault="002E0363" w:rsidP="00611905">
            <w:pPr>
              <w:pStyle w:val="Tabletext"/>
              <w:jc w:val="center"/>
              <w:rPr>
                <w:rFonts w:eastAsia="SimSun"/>
                <w:lang w:val="es-ES"/>
              </w:rPr>
            </w:pPr>
            <w:r w:rsidRPr="00F37678">
              <w:rPr>
                <w:color w:val="000000"/>
                <w:lang w:val="es-ES"/>
              </w:rPr>
              <w:t>Sentar las bases de VaMoz Digital</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CC13D" w14:textId="77777777" w:rsidR="002E0363" w:rsidRPr="00F37678" w:rsidRDefault="002E0363" w:rsidP="00611905">
            <w:pPr>
              <w:pStyle w:val="Tabletext"/>
              <w:jc w:val="center"/>
              <w:rPr>
                <w:rFonts w:eastAsia="SimSun"/>
                <w:lang w:val="es-ES"/>
              </w:rPr>
            </w:pPr>
            <w:r w:rsidRPr="00F37678">
              <w:rPr>
                <w:color w:val="000000"/>
                <w:lang w:val="es-ES"/>
              </w:rPr>
              <w:t>01/04/2027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E07F7" w14:textId="77777777" w:rsidR="002E0363" w:rsidRPr="00F37678" w:rsidRDefault="002E0363" w:rsidP="00611905">
            <w:pPr>
              <w:pStyle w:val="Tabletext"/>
              <w:jc w:val="center"/>
              <w:rPr>
                <w:rFonts w:eastAsia="SimSun"/>
                <w:lang w:val="es-ES"/>
              </w:rPr>
            </w:pPr>
            <w:r w:rsidRPr="00F37678">
              <w:rPr>
                <w:color w:val="000000"/>
                <w:lang w:val="es-ES"/>
              </w:rPr>
              <w:t>Mozambique</w:t>
            </w:r>
          </w:p>
        </w:tc>
      </w:tr>
      <w:tr w:rsidR="002E0363" w:rsidRPr="00F37678" w14:paraId="526FD1F0"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9AFA5" w14:textId="77777777" w:rsidR="002E0363" w:rsidRPr="00F37678" w:rsidRDefault="002E0363" w:rsidP="00611905">
            <w:pPr>
              <w:pStyle w:val="Tabletext"/>
              <w:jc w:val="center"/>
              <w:rPr>
                <w:rFonts w:eastAsia="SimSun"/>
                <w:lang w:val="es-ES"/>
              </w:rPr>
            </w:pPr>
            <w:r w:rsidRPr="00F37678">
              <w:rPr>
                <w:rFonts w:eastAsia="SimSun"/>
                <w:lang w:val="es-ES"/>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642F19" w14:textId="77777777" w:rsidR="002E0363" w:rsidRPr="00F37678" w:rsidRDefault="002E0363" w:rsidP="00611905">
            <w:pPr>
              <w:pStyle w:val="Tabletext"/>
              <w:jc w:val="center"/>
              <w:rPr>
                <w:rFonts w:eastAsia="SimSun"/>
                <w:lang w:val="es-ES"/>
              </w:rPr>
            </w:pPr>
            <w:r w:rsidRPr="00F37678">
              <w:rPr>
                <w:color w:val="000000"/>
                <w:lang w:val="es-ES"/>
              </w:rPr>
              <w:t>7GLO23133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FA9F8" w14:textId="77777777" w:rsidR="002E0363" w:rsidRPr="00F37678" w:rsidRDefault="002E0363" w:rsidP="00611905">
            <w:pPr>
              <w:pStyle w:val="Tabletext"/>
              <w:jc w:val="center"/>
              <w:rPr>
                <w:rFonts w:eastAsia="SimSun"/>
                <w:lang w:val="es-ES"/>
              </w:rPr>
            </w:pPr>
            <w:r w:rsidRPr="00F37678">
              <w:rPr>
                <w:color w:val="000000"/>
                <w:lang w:val="es-ES"/>
              </w:rPr>
              <w:t>Fomento de las competencias digitales a través de los Centros de Transformación Digital (CTD) – Segunda fase</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891C5" w14:textId="77777777" w:rsidR="002E0363" w:rsidRPr="00F37678" w:rsidRDefault="002E0363" w:rsidP="00611905">
            <w:pPr>
              <w:pStyle w:val="Tabletext"/>
              <w:jc w:val="center"/>
              <w:rPr>
                <w:rFonts w:eastAsia="SimSun"/>
                <w:lang w:val="es-ES"/>
              </w:rPr>
            </w:pPr>
            <w:r w:rsidRPr="00F37678">
              <w:rPr>
                <w:color w:val="000000"/>
                <w:lang w:val="es-ES"/>
              </w:rPr>
              <w:t>14/01/2026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D0403" w14:textId="7E0C8331" w:rsidR="002E0363" w:rsidRPr="00F37678" w:rsidRDefault="002E0363" w:rsidP="00611905">
            <w:pPr>
              <w:pStyle w:val="Tabletext"/>
              <w:jc w:val="center"/>
              <w:rPr>
                <w:rFonts w:eastAsia="SimSun"/>
                <w:lang w:val="es-ES"/>
              </w:rPr>
            </w:pPr>
            <w:r w:rsidRPr="00F37678">
              <w:rPr>
                <w:color w:val="000000"/>
                <w:lang w:val="es-ES"/>
              </w:rPr>
              <w:t>República Democrática del Congo, Rwanda, Senegal, Uganda, Zambia</w:t>
            </w:r>
          </w:p>
        </w:tc>
      </w:tr>
      <w:tr w:rsidR="002E0363" w:rsidRPr="00F37678" w14:paraId="0B9D9242"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5BEED" w14:textId="77777777" w:rsidR="002E0363" w:rsidRPr="00F37678" w:rsidRDefault="002E0363" w:rsidP="00611905">
            <w:pPr>
              <w:pStyle w:val="Tabletext"/>
              <w:jc w:val="center"/>
              <w:rPr>
                <w:rFonts w:eastAsia="SimSun"/>
                <w:lang w:val="es-ES"/>
              </w:rPr>
            </w:pPr>
            <w:r w:rsidRPr="00F37678">
              <w:rPr>
                <w:rFonts w:eastAsia="SimSun"/>
                <w:lang w:val="es-E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A62A9" w14:textId="77777777" w:rsidR="002E0363" w:rsidRPr="00F37678" w:rsidRDefault="002E0363" w:rsidP="00611905">
            <w:pPr>
              <w:pStyle w:val="Tabletext"/>
              <w:jc w:val="center"/>
              <w:rPr>
                <w:rFonts w:eastAsia="SimSun"/>
                <w:lang w:val="es-ES"/>
              </w:rPr>
            </w:pPr>
            <w:r w:rsidRPr="00F37678">
              <w:rPr>
                <w:color w:val="000000"/>
                <w:lang w:val="es-ES"/>
              </w:rPr>
              <w:t>2CAF23002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7E20F" w14:textId="77777777" w:rsidR="002E0363" w:rsidRPr="00F37678" w:rsidRDefault="002E0363" w:rsidP="00611905">
            <w:pPr>
              <w:pStyle w:val="Tabletext"/>
              <w:jc w:val="center"/>
              <w:rPr>
                <w:rFonts w:eastAsia="SimSun"/>
                <w:lang w:val="es-ES"/>
              </w:rPr>
            </w:pPr>
            <w:r w:rsidRPr="00F37678">
              <w:rPr>
                <w:color w:val="000000"/>
                <w:lang w:val="es-ES"/>
              </w:rPr>
              <w:t>Creación de un centro de formación en fibra óptica en la República Centroafricana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82C3F" w14:textId="77777777" w:rsidR="002E0363" w:rsidRPr="00F37678" w:rsidRDefault="002E0363" w:rsidP="00611905">
            <w:pPr>
              <w:pStyle w:val="Tabletext"/>
              <w:jc w:val="center"/>
              <w:rPr>
                <w:rFonts w:eastAsia="SimSun"/>
                <w:lang w:val="es-ES"/>
              </w:rPr>
            </w:pPr>
            <w:r w:rsidRPr="00F37678">
              <w:rPr>
                <w:color w:val="000000"/>
                <w:lang w:val="es-ES"/>
              </w:rPr>
              <w:t>31/12/2025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63BB7" w14:textId="77777777" w:rsidR="002E0363" w:rsidRPr="00F37678" w:rsidRDefault="002E0363" w:rsidP="00611905">
            <w:pPr>
              <w:pStyle w:val="Tabletext"/>
              <w:jc w:val="center"/>
              <w:rPr>
                <w:rFonts w:eastAsia="SimSun"/>
                <w:lang w:val="es-ES"/>
              </w:rPr>
            </w:pPr>
            <w:r w:rsidRPr="00F37678">
              <w:rPr>
                <w:color w:val="000000"/>
                <w:lang w:val="es-ES"/>
              </w:rPr>
              <w:t>Centroafricana (Rep.)</w:t>
            </w:r>
          </w:p>
        </w:tc>
      </w:tr>
      <w:tr w:rsidR="002E0363" w:rsidRPr="00F37678" w14:paraId="7B37151D"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098FC" w14:textId="77777777" w:rsidR="002E0363" w:rsidRPr="00F37678" w:rsidRDefault="002E0363" w:rsidP="00611905">
            <w:pPr>
              <w:pStyle w:val="Tabletext"/>
              <w:jc w:val="center"/>
              <w:rPr>
                <w:rFonts w:eastAsia="SimSun"/>
                <w:lang w:val="es-ES"/>
              </w:rPr>
            </w:pPr>
            <w:r w:rsidRPr="00F37678">
              <w:rPr>
                <w:rFonts w:eastAsia="SimSun"/>
                <w:lang w:val="es-ES"/>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9DF6E" w14:textId="77777777" w:rsidR="002E0363" w:rsidRPr="00F37678" w:rsidRDefault="002E0363" w:rsidP="00611905">
            <w:pPr>
              <w:pStyle w:val="Tabletext"/>
              <w:jc w:val="center"/>
              <w:rPr>
                <w:rFonts w:eastAsia="SimSun"/>
                <w:lang w:val="es-ES"/>
              </w:rPr>
            </w:pPr>
            <w:r w:rsidRPr="00F37678">
              <w:rPr>
                <w:color w:val="000000"/>
                <w:lang w:val="es-ES"/>
              </w:rPr>
              <w:t>7GLO24144</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D3750" w14:textId="77777777" w:rsidR="002E0363" w:rsidRPr="00F37678" w:rsidRDefault="002E0363" w:rsidP="00611905">
            <w:pPr>
              <w:pStyle w:val="Tabletext"/>
              <w:jc w:val="center"/>
              <w:rPr>
                <w:rFonts w:eastAsia="SimSun"/>
                <w:lang w:val="es-ES"/>
              </w:rPr>
            </w:pPr>
            <w:r w:rsidRPr="00F37678">
              <w:rPr>
                <w:color w:val="000000"/>
                <w:lang w:val="es-ES"/>
              </w:rPr>
              <w:t>Alertas Tempranas para todos (EW4ALL) – Fondos de la UIT para la ejecución de la iniciativa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3F9BF3" w14:textId="77777777" w:rsidR="002E0363" w:rsidRPr="00F37678" w:rsidRDefault="002E0363" w:rsidP="00611905">
            <w:pPr>
              <w:pStyle w:val="Tabletext"/>
              <w:jc w:val="center"/>
              <w:rPr>
                <w:rFonts w:eastAsia="SimSun"/>
                <w:lang w:val="es-ES"/>
              </w:rPr>
            </w:pPr>
            <w:r w:rsidRPr="00F37678">
              <w:rPr>
                <w:color w:val="000000"/>
                <w:lang w:val="es-ES"/>
              </w:rPr>
              <w:t>30/09/2027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EB9B5" w14:textId="77777777" w:rsidR="002E0363" w:rsidRPr="00F37678" w:rsidRDefault="002E0363" w:rsidP="00611905">
            <w:pPr>
              <w:pStyle w:val="Tabletext"/>
              <w:jc w:val="center"/>
              <w:rPr>
                <w:rFonts w:eastAsia="SimSun"/>
                <w:lang w:val="es-ES"/>
              </w:rPr>
            </w:pPr>
            <w:r w:rsidRPr="00F37678">
              <w:rPr>
                <w:color w:val="000000"/>
                <w:lang w:val="es-ES"/>
              </w:rPr>
              <w:t>Djibouti</w:t>
            </w:r>
          </w:p>
        </w:tc>
      </w:tr>
      <w:tr w:rsidR="002E0363" w:rsidRPr="00F37678" w14:paraId="028A900D"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1FADD" w14:textId="77777777" w:rsidR="002E0363" w:rsidRPr="00F37678" w:rsidRDefault="002E0363" w:rsidP="00611905">
            <w:pPr>
              <w:pStyle w:val="Tabletext"/>
              <w:jc w:val="center"/>
              <w:rPr>
                <w:rFonts w:eastAsia="SimSun"/>
                <w:lang w:val="es-ES"/>
              </w:rPr>
            </w:pPr>
            <w:r w:rsidRPr="00F37678">
              <w:rPr>
                <w:rFonts w:eastAsia="SimSun"/>
                <w:lang w:val="es-ES"/>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71B78B" w14:textId="77777777" w:rsidR="002E0363" w:rsidRPr="00F37678" w:rsidRDefault="002E0363" w:rsidP="00611905">
            <w:pPr>
              <w:pStyle w:val="Tabletext"/>
              <w:jc w:val="center"/>
              <w:rPr>
                <w:rFonts w:eastAsia="SimSun"/>
                <w:lang w:val="es-ES"/>
              </w:rPr>
            </w:pPr>
            <w:r w:rsidRPr="00F37678">
              <w:rPr>
                <w:color w:val="000000"/>
                <w:lang w:val="es-ES"/>
              </w:rPr>
              <w:t>7GLO24143</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9B1F60" w14:textId="77777777" w:rsidR="002E0363" w:rsidRPr="00F37678" w:rsidRDefault="002E0363" w:rsidP="00611905">
            <w:pPr>
              <w:pStyle w:val="Tabletext"/>
              <w:jc w:val="center"/>
              <w:rPr>
                <w:rFonts w:eastAsia="SimSun"/>
                <w:lang w:val="es-ES"/>
              </w:rPr>
            </w:pPr>
            <w:r w:rsidRPr="00F37678">
              <w:rPr>
                <w:color w:val="000000"/>
                <w:lang w:val="es-ES"/>
              </w:rPr>
              <w:t>Acelerador multipartito EW4All en los PMA y los PEID</w:t>
            </w:r>
          </w:p>
          <w:p w14:paraId="5A0F4B1D" w14:textId="77777777" w:rsidR="002E0363" w:rsidRPr="00F37678" w:rsidRDefault="002E0363" w:rsidP="00611905">
            <w:pPr>
              <w:pStyle w:val="Tabletext"/>
              <w:jc w:val="center"/>
              <w:rPr>
                <w:rFonts w:eastAsia="SimSun"/>
                <w:lang w:val="es-ES"/>
              </w:rPr>
            </w:pPr>
            <w:r w:rsidRPr="00F37678">
              <w:rPr>
                <w:color w:val="000000"/>
                <w:lang w:val="es-ES"/>
              </w:rPr>
              <w:t>(Riesgo Climático y Sistemas de Alerta Temprana - CREWS)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17BF1" w14:textId="77777777" w:rsidR="002E0363" w:rsidRPr="00F37678" w:rsidRDefault="002E0363" w:rsidP="00611905">
            <w:pPr>
              <w:pStyle w:val="Tabletext"/>
              <w:jc w:val="center"/>
              <w:rPr>
                <w:rFonts w:eastAsia="SimSun"/>
                <w:lang w:val="es-ES"/>
              </w:rPr>
            </w:pPr>
            <w:r w:rsidRPr="00F37678">
              <w:rPr>
                <w:color w:val="000000"/>
                <w:lang w:val="es-ES"/>
              </w:rPr>
              <w:t>07/10/2025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C9AC6" w14:textId="77777777" w:rsidR="002E0363" w:rsidRPr="00F37678" w:rsidRDefault="002E0363" w:rsidP="00611905">
            <w:pPr>
              <w:pStyle w:val="Tabletext"/>
              <w:jc w:val="center"/>
              <w:rPr>
                <w:rFonts w:eastAsia="SimSun"/>
                <w:lang w:val="es-ES"/>
              </w:rPr>
            </w:pPr>
            <w:r w:rsidRPr="00F37678">
              <w:rPr>
                <w:color w:val="000000"/>
                <w:lang w:val="es-ES"/>
              </w:rPr>
              <w:t>Madagascar, Nepal</w:t>
            </w:r>
          </w:p>
        </w:tc>
      </w:tr>
      <w:tr w:rsidR="002E0363" w:rsidRPr="00F37678" w14:paraId="252F6DB0"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E86A" w14:textId="77777777" w:rsidR="002E0363" w:rsidRPr="00F37678" w:rsidRDefault="002E0363" w:rsidP="00611905">
            <w:pPr>
              <w:pStyle w:val="Tabletext"/>
              <w:jc w:val="center"/>
              <w:rPr>
                <w:rFonts w:eastAsia="SimSun"/>
                <w:lang w:val="es-ES"/>
              </w:rPr>
            </w:pPr>
            <w:r w:rsidRPr="00F37678">
              <w:rPr>
                <w:rFonts w:eastAsia="SimSun"/>
                <w:lang w:val="es-ES"/>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4EBFF" w14:textId="77777777" w:rsidR="002E0363" w:rsidRPr="00F37678" w:rsidRDefault="002E0363" w:rsidP="00611905">
            <w:pPr>
              <w:pStyle w:val="Tabletext"/>
              <w:jc w:val="center"/>
              <w:rPr>
                <w:rFonts w:eastAsia="SimSun"/>
                <w:lang w:val="es-ES"/>
              </w:rPr>
            </w:pPr>
            <w:r w:rsidRPr="00F37678">
              <w:rPr>
                <w:color w:val="000000"/>
                <w:lang w:val="es-ES"/>
              </w:rPr>
              <w:t>7GLO24146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E7D0A" w14:textId="77777777" w:rsidR="002E0363" w:rsidRPr="00F37678" w:rsidRDefault="002E0363" w:rsidP="00611905">
            <w:pPr>
              <w:pStyle w:val="Tabletext"/>
              <w:jc w:val="center"/>
              <w:rPr>
                <w:rFonts w:eastAsia="SimSun"/>
                <w:lang w:val="es-ES"/>
              </w:rPr>
            </w:pPr>
            <w:r w:rsidRPr="00F37678">
              <w:rPr>
                <w:color w:val="000000"/>
                <w:lang w:val="es-ES"/>
              </w:rPr>
              <w:t>Segunda fase del proyecto Cyber for Good (MSIT)</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FB596" w14:textId="77777777" w:rsidR="002E0363" w:rsidRPr="00F37678" w:rsidRDefault="002E0363" w:rsidP="00611905">
            <w:pPr>
              <w:pStyle w:val="Tabletext"/>
              <w:jc w:val="center"/>
              <w:rPr>
                <w:rFonts w:eastAsia="SimSun"/>
                <w:lang w:val="es-ES"/>
              </w:rPr>
            </w:pPr>
            <w:r w:rsidRPr="00F37678">
              <w:rPr>
                <w:color w:val="000000"/>
                <w:lang w:val="es-ES"/>
              </w:rPr>
              <w:t>31/12/2026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603E0" w14:textId="639D4F6D" w:rsidR="002E0363" w:rsidRPr="00F37678" w:rsidRDefault="002E0363" w:rsidP="00611905">
            <w:pPr>
              <w:pStyle w:val="Tabletext"/>
              <w:jc w:val="center"/>
              <w:rPr>
                <w:rFonts w:eastAsia="SimSun"/>
                <w:lang w:val="es-ES"/>
              </w:rPr>
            </w:pPr>
            <w:r w:rsidRPr="00F37678">
              <w:rPr>
                <w:color w:val="000000"/>
                <w:lang w:val="es-ES"/>
              </w:rPr>
              <w:t xml:space="preserve">Angola, Bangladesh, Benin, Burkina Faso, Burundi, Camboya, Centroafricana (Rep.), Chad, Comoras, Djibouti, Eritrea, Etiopía, Gambia, Guinea, Guinea-Bissau, Haití, Kiribati, Lao (R.D.P.), Lesotho, Liberia, Madagascar, Malí, </w:t>
            </w:r>
            <w:r w:rsidRPr="00F37678">
              <w:rPr>
                <w:color w:val="000000"/>
                <w:lang w:val="es-ES"/>
              </w:rPr>
              <w:lastRenderedPageBreak/>
              <w:t>Mauritania, Mozambique, Nepal, Níger, República Democrática del Congo, Rwanda, Senegal, Sierra Leona, Salomón (Islas), Somalia, Sudán, Sudán del Sur, Tanzanía, Timor-Leste, Togo, Tuvalu, Uganda, Yemen, Zambia</w:t>
            </w:r>
          </w:p>
        </w:tc>
      </w:tr>
      <w:tr w:rsidR="002E0363" w:rsidRPr="00F37678" w14:paraId="25A0C54C"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AD17" w14:textId="77777777" w:rsidR="002E0363" w:rsidRPr="00F37678" w:rsidRDefault="002E0363" w:rsidP="00611905">
            <w:pPr>
              <w:pStyle w:val="Tabletext"/>
              <w:jc w:val="center"/>
              <w:rPr>
                <w:rFonts w:eastAsia="SimSun"/>
                <w:lang w:val="es-ES"/>
              </w:rPr>
            </w:pPr>
            <w:r w:rsidRPr="00F37678">
              <w:rPr>
                <w:rFonts w:eastAsia="SimSun"/>
                <w:lang w:val="es-ES"/>
              </w:rPr>
              <w:lastRenderedPageBreak/>
              <w:t>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00F04" w14:textId="77777777" w:rsidR="002E0363" w:rsidRPr="00F37678" w:rsidRDefault="002E0363" w:rsidP="00611905">
            <w:pPr>
              <w:pStyle w:val="Tabletext"/>
              <w:jc w:val="center"/>
              <w:rPr>
                <w:rFonts w:eastAsia="SimSun"/>
                <w:lang w:val="es-ES"/>
              </w:rPr>
            </w:pPr>
            <w:r w:rsidRPr="00F37678">
              <w:rPr>
                <w:color w:val="000000"/>
                <w:lang w:val="es-ES"/>
              </w:rPr>
              <w:t>7RAF24106</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CE71F" w14:textId="77777777" w:rsidR="002E0363" w:rsidRPr="00F37678" w:rsidRDefault="002E0363" w:rsidP="00611905">
            <w:pPr>
              <w:pStyle w:val="Tabletext"/>
              <w:jc w:val="center"/>
              <w:rPr>
                <w:rFonts w:eastAsia="SimSun"/>
                <w:lang w:val="es-ES"/>
              </w:rPr>
            </w:pPr>
            <w:r w:rsidRPr="00F37678">
              <w:rPr>
                <w:color w:val="000000"/>
                <w:lang w:val="es-ES"/>
              </w:rPr>
              <w:t>Ciberresiliencia para el desarrollo digital en los países menos adelantados (CRDD</w:t>
            </w:r>
            <w:r w:rsidRPr="00F37678">
              <w:rPr>
                <w:color w:val="000000"/>
                <w:lang w:val="es-ES"/>
              </w:rPr>
              <w:noBreakHyphen/>
              <w:t>LDCs)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B3B80" w14:textId="77777777" w:rsidR="002E0363" w:rsidRPr="00F37678" w:rsidRDefault="002E0363" w:rsidP="00611905">
            <w:pPr>
              <w:pStyle w:val="Tabletext"/>
              <w:jc w:val="center"/>
              <w:rPr>
                <w:rFonts w:eastAsia="SimSun"/>
                <w:lang w:val="es-ES"/>
              </w:rPr>
            </w:pPr>
            <w:r w:rsidRPr="00F37678">
              <w:rPr>
                <w:color w:val="000000"/>
                <w:lang w:val="es-ES"/>
              </w:rPr>
              <w:t>31/08/2025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6498F" w14:textId="24FCE506" w:rsidR="002E0363" w:rsidRPr="00F37678" w:rsidRDefault="002E0363" w:rsidP="00611905">
            <w:pPr>
              <w:pStyle w:val="Tabletext"/>
              <w:jc w:val="center"/>
              <w:rPr>
                <w:rFonts w:eastAsia="SimSun"/>
                <w:lang w:val="es-ES"/>
              </w:rPr>
            </w:pPr>
            <w:r w:rsidRPr="00F37678">
              <w:rPr>
                <w:color w:val="000000"/>
                <w:lang w:val="es-ES"/>
              </w:rPr>
              <w:t>Mozambique, Rwanda, Zambia</w:t>
            </w:r>
          </w:p>
        </w:tc>
      </w:tr>
      <w:tr w:rsidR="002E0363" w:rsidRPr="00F37678" w14:paraId="47C21887"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BFFD" w14:textId="77777777" w:rsidR="002E0363" w:rsidRPr="00F37678" w:rsidRDefault="002E0363" w:rsidP="00611905">
            <w:pPr>
              <w:pStyle w:val="Tabletext"/>
              <w:jc w:val="center"/>
              <w:rPr>
                <w:rFonts w:eastAsia="SimSun"/>
                <w:lang w:val="es-ES"/>
              </w:rPr>
            </w:pPr>
            <w:r w:rsidRPr="00F37678">
              <w:rPr>
                <w:rFonts w:eastAsia="SimSun"/>
                <w:lang w:val="es-ES"/>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B1C69" w14:textId="77777777" w:rsidR="002E0363" w:rsidRPr="00F37678" w:rsidRDefault="002E0363" w:rsidP="00611905">
            <w:pPr>
              <w:pStyle w:val="Tabletext"/>
              <w:jc w:val="center"/>
              <w:rPr>
                <w:rFonts w:eastAsia="SimSun"/>
                <w:lang w:val="es-ES"/>
              </w:rPr>
            </w:pPr>
            <w:r w:rsidRPr="00F37678">
              <w:rPr>
                <w:color w:val="000000"/>
                <w:lang w:val="es-ES"/>
              </w:rPr>
              <w:t>9GLO24137</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DB745" w14:textId="77777777" w:rsidR="002E0363" w:rsidRPr="00F37678" w:rsidRDefault="002E0363" w:rsidP="00611905">
            <w:pPr>
              <w:pStyle w:val="Tabletext"/>
              <w:jc w:val="center"/>
              <w:rPr>
                <w:rFonts w:eastAsia="SimSun"/>
                <w:lang w:val="es-ES"/>
              </w:rPr>
            </w:pPr>
            <w:r w:rsidRPr="00F37678">
              <w:rPr>
                <w:color w:val="000000"/>
                <w:lang w:val="es-ES"/>
              </w:rPr>
              <w:t>Acelerador multipartito EW4All en los PMA y los PEID (financiación de Suecia y la UNDRR)</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CA4B6" w14:textId="77777777" w:rsidR="002E0363" w:rsidRPr="00F37678" w:rsidRDefault="002E0363" w:rsidP="00611905">
            <w:pPr>
              <w:pStyle w:val="Tabletext"/>
              <w:jc w:val="center"/>
              <w:rPr>
                <w:rFonts w:eastAsia="SimSun"/>
                <w:lang w:val="es-ES"/>
              </w:rPr>
            </w:pPr>
            <w:r w:rsidRPr="00F37678">
              <w:rPr>
                <w:color w:val="000000"/>
                <w:lang w:val="es-ES"/>
              </w:rPr>
              <w:t>30/06/2025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7C15D" w14:textId="77777777" w:rsidR="002E0363" w:rsidRPr="00F37678" w:rsidRDefault="002E0363" w:rsidP="00611905">
            <w:pPr>
              <w:pStyle w:val="Tabletext"/>
              <w:jc w:val="center"/>
              <w:rPr>
                <w:rFonts w:eastAsia="SimSun"/>
                <w:lang w:val="es-ES"/>
              </w:rPr>
            </w:pPr>
            <w:r w:rsidRPr="00F37678">
              <w:rPr>
                <w:color w:val="000000"/>
                <w:lang w:val="es-ES"/>
              </w:rPr>
              <w:t>Bangladesh, Haití, Liberia, Mozambique, Somalia</w:t>
            </w:r>
          </w:p>
        </w:tc>
      </w:tr>
      <w:tr w:rsidR="002E0363" w:rsidRPr="00F37678" w14:paraId="06A6B7A6"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3C3BD" w14:textId="77777777" w:rsidR="002E0363" w:rsidRPr="00F37678" w:rsidRDefault="002E0363" w:rsidP="00611905">
            <w:pPr>
              <w:pStyle w:val="Tabletext"/>
              <w:jc w:val="center"/>
              <w:rPr>
                <w:rFonts w:eastAsia="SimSun"/>
                <w:lang w:val="es-ES"/>
              </w:rPr>
            </w:pPr>
            <w:r w:rsidRPr="00F37678">
              <w:rPr>
                <w:rFonts w:eastAsia="SimSun"/>
                <w:lang w:val="es-ES"/>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E91B8D" w14:textId="77777777" w:rsidR="002E0363" w:rsidRPr="00F37678" w:rsidRDefault="002E0363" w:rsidP="00611905">
            <w:pPr>
              <w:pStyle w:val="Tabletext"/>
              <w:jc w:val="center"/>
              <w:rPr>
                <w:rFonts w:eastAsia="SimSun"/>
                <w:lang w:val="es-ES"/>
              </w:rPr>
            </w:pPr>
            <w:r w:rsidRPr="00F37678">
              <w:rPr>
                <w:color w:val="000000"/>
                <w:lang w:val="es-ES"/>
              </w:rPr>
              <w:t>9RAF24105</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2CDA8" w14:textId="77777777" w:rsidR="002E0363" w:rsidRPr="00F37678" w:rsidRDefault="002E0363" w:rsidP="00611905">
            <w:pPr>
              <w:pStyle w:val="Tabletext"/>
              <w:jc w:val="center"/>
              <w:rPr>
                <w:rFonts w:eastAsia="SimSun"/>
                <w:lang w:val="es-ES"/>
              </w:rPr>
            </w:pPr>
            <w:r w:rsidRPr="00F37678">
              <w:rPr>
                <w:color w:val="000000"/>
                <w:lang w:val="es-ES"/>
              </w:rPr>
              <w:t>Contribución de Dinamarca a la iniciativa Alertas Tempranas para todos (EW4All) (OMM</w:t>
            </w:r>
            <w:r w:rsidRPr="00F37678">
              <w:rPr>
                <w:color w:val="000000"/>
                <w:lang w:val="es-ES"/>
              </w:rPr>
              <w:noBreakHyphen/>
              <w:t>Dinamarca)</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89347" w14:textId="77777777" w:rsidR="002E0363" w:rsidRPr="00F37678" w:rsidRDefault="002E0363" w:rsidP="00611905">
            <w:pPr>
              <w:pStyle w:val="Tabletext"/>
              <w:jc w:val="center"/>
              <w:rPr>
                <w:rFonts w:eastAsia="SimSun"/>
                <w:lang w:val="es-ES"/>
              </w:rPr>
            </w:pPr>
            <w:r w:rsidRPr="00F37678">
              <w:rPr>
                <w:color w:val="000000"/>
                <w:lang w:val="es-ES"/>
              </w:rPr>
              <w:t>30/09/2027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6DE2F" w14:textId="77777777" w:rsidR="002E0363" w:rsidRPr="00F37678" w:rsidRDefault="002E0363" w:rsidP="00611905">
            <w:pPr>
              <w:pStyle w:val="Tabletext"/>
              <w:jc w:val="center"/>
              <w:rPr>
                <w:rFonts w:eastAsia="SimSun"/>
                <w:lang w:val="es-ES"/>
              </w:rPr>
            </w:pPr>
            <w:r w:rsidRPr="00F37678">
              <w:rPr>
                <w:color w:val="000000"/>
                <w:lang w:val="es-ES"/>
              </w:rPr>
              <w:t>Níger, Somalia, Sudán del Sur, Tanzanía, Uganda</w:t>
            </w:r>
          </w:p>
        </w:tc>
      </w:tr>
      <w:tr w:rsidR="002E0363" w:rsidRPr="00F37678" w14:paraId="4DEAD54F"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1779" w14:textId="77777777" w:rsidR="002E0363" w:rsidRPr="00F37678" w:rsidRDefault="002E0363" w:rsidP="00611905">
            <w:pPr>
              <w:pStyle w:val="Tabletext"/>
              <w:jc w:val="center"/>
              <w:rPr>
                <w:rFonts w:eastAsia="SimSun"/>
                <w:lang w:val="es-ES"/>
              </w:rPr>
            </w:pPr>
            <w:r w:rsidRPr="00F37678">
              <w:rPr>
                <w:rFonts w:eastAsia="SimSun"/>
                <w:lang w:val="es-ES"/>
              </w:rPr>
              <w:t>15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15153" w14:textId="77777777" w:rsidR="002E0363" w:rsidRPr="00F37678" w:rsidRDefault="002E0363" w:rsidP="00611905">
            <w:pPr>
              <w:pStyle w:val="Tabletext"/>
              <w:jc w:val="center"/>
              <w:rPr>
                <w:rFonts w:eastAsia="SimSun"/>
                <w:lang w:val="es-ES"/>
              </w:rPr>
            </w:pPr>
            <w:r w:rsidRPr="00F37678">
              <w:rPr>
                <w:color w:val="000000"/>
                <w:lang w:val="es-ES"/>
              </w:rPr>
              <w:t>9RAF24107</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9CB39" w14:textId="77777777" w:rsidR="002E0363" w:rsidRPr="00F37678" w:rsidRDefault="002E0363" w:rsidP="00611905">
            <w:pPr>
              <w:pStyle w:val="Tabletext"/>
              <w:jc w:val="center"/>
              <w:rPr>
                <w:rFonts w:eastAsia="SimSun"/>
                <w:lang w:val="es-ES"/>
              </w:rPr>
            </w:pPr>
            <w:r w:rsidRPr="00F37678">
              <w:rPr>
                <w:color w:val="000000"/>
                <w:lang w:val="es-ES"/>
              </w:rPr>
              <w:t>Apoyo de la UE para los sistemas de mapas nacionales de la banda ancha en África (AfricaBBMaps)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61D07" w14:textId="77777777" w:rsidR="002E0363" w:rsidRPr="00F37678" w:rsidRDefault="002E0363" w:rsidP="00611905">
            <w:pPr>
              <w:pStyle w:val="Tabletext"/>
              <w:jc w:val="center"/>
              <w:rPr>
                <w:rFonts w:eastAsia="SimSun"/>
                <w:lang w:val="es-ES"/>
              </w:rPr>
            </w:pPr>
            <w:r w:rsidRPr="00F37678">
              <w:rPr>
                <w:color w:val="000000"/>
                <w:lang w:val="es-ES"/>
              </w:rPr>
              <w:t>30/09/2028</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146EC7" w14:textId="77777777" w:rsidR="002E0363" w:rsidRPr="00F37678" w:rsidRDefault="002E0363" w:rsidP="00611905">
            <w:pPr>
              <w:pStyle w:val="Tabletext"/>
              <w:jc w:val="center"/>
              <w:rPr>
                <w:rFonts w:eastAsia="SimSun"/>
                <w:lang w:val="es-ES"/>
              </w:rPr>
            </w:pPr>
            <w:r w:rsidRPr="00F37678">
              <w:rPr>
                <w:color w:val="000000"/>
                <w:lang w:val="es-ES"/>
              </w:rPr>
              <w:t>Benín, Burundi, Etiopía, Malawi, Uganda, Zambia,</w:t>
            </w:r>
          </w:p>
        </w:tc>
      </w:tr>
      <w:tr w:rsidR="002E0363" w:rsidRPr="00F37678" w14:paraId="304BACE0"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60BD8" w14:textId="77777777" w:rsidR="002E0363" w:rsidRPr="00F37678" w:rsidRDefault="002E0363" w:rsidP="00611905">
            <w:pPr>
              <w:pStyle w:val="Tabletext"/>
              <w:jc w:val="center"/>
              <w:rPr>
                <w:rFonts w:eastAsia="SimSun"/>
                <w:lang w:val="es-ES"/>
              </w:rPr>
            </w:pPr>
            <w:r w:rsidRPr="00F37678">
              <w:rPr>
                <w:rFonts w:eastAsia="SimSun"/>
                <w:lang w:val="es-ES"/>
              </w:rPr>
              <w:t>16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136A3" w14:textId="77777777" w:rsidR="002E0363" w:rsidRPr="00F37678" w:rsidRDefault="002E0363" w:rsidP="00611905">
            <w:pPr>
              <w:pStyle w:val="Tabletext"/>
              <w:jc w:val="center"/>
              <w:rPr>
                <w:rFonts w:eastAsia="SimSun"/>
                <w:lang w:val="es-ES"/>
              </w:rPr>
            </w:pPr>
            <w:r w:rsidRPr="00F37678">
              <w:rPr>
                <w:color w:val="000000"/>
                <w:lang w:val="es-ES"/>
              </w:rPr>
              <w:t>7GLO25151</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9C48A" w14:textId="77777777" w:rsidR="002E0363" w:rsidRPr="00F37678" w:rsidRDefault="002E0363" w:rsidP="00611905">
            <w:pPr>
              <w:pStyle w:val="Tabletext"/>
              <w:jc w:val="center"/>
              <w:rPr>
                <w:rFonts w:eastAsia="SimSun"/>
                <w:lang w:val="es-ES"/>
              </w:rPr>
            </w:pPr>
            <w:r w:rsidRPr="00F37678">
              <w:rPr>
                <w:color w:val="000000"/>
                <w:lang w:val="es-ES"/>
              </w:rPr>
              <w:t>Fase III del programa Her Cyber Tracks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593E2" w14:textId="77777777" w:rsidR="002E0363" w:rsidRPr="00F37678" w:rsidRDefault="002E0363" w:rsidP="00611905">
            <w:pPr>
              <w:pStyle w:val="Tabletext"/>
              <w:jc w:val="center"/>
              <w:rPr>
                <w:rFonts w:eastAsia="SimSun"/>
                <w:lang w:val="es-ES"/>
              </w:rPr>
            </w:pPr>
            <w:r w:rsidRPr="00F37678">
              <w:rPr>
                <w:color w:val="000000"/>
                <w:lang w:val="es-ES"/>
              </w:rPr>
              <w:t>28/02/2026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D73651" w14:textId="77777777" w:rsidR="002E0363" w:rsidRPr="00F37678" w:rsidRDefault="002E0363" w:rsidP="00611905">
            <w:pPr>
              <w:pStyle w:val="Tabletext"/>
              <w:jc w:val="center"/>
              <w:rPr>
                <w:rFonts w:eastAsia="SimSun"/>
                <w:lang w:val="es-ES"/>
              </w:rPr>
            </w:pPr>
            <w:r w:rsidRPr="00F37678">
              <w:rPr>
                <w:color w:val="000000"/>
                <w:lang w:val="es-ES"/>
              </w:rPr>
              <w:t>Benín, Burkina Faso, Gambia, Guinea, Guinea-Bissau, Liberia, Malí, Níger, Senegal, Sierra Leona, Togo</w:t>
            </w:r>
          </w:p>
        </w:tc>
      </w:tr>
      <w:tr w:rsidR="002E0363" w:rsidRPr="00F37678" w14:paraId="1603403A"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3D2FB" w14:textId="77777777" w:rsidR="002E0363" w:rsidRPr="00F37678" w:rsidRDefault="002E0363" w:rsidP="00611905">
            <w:pPr>
              <w:pStyle w:val="Tabletext"/>
              <w:jc w:val="center"/>
              <w:rPr>
                <w:rFonts w:eastAsia="SimSun"/>
                <w:lang w:val="es-ES"/>
              </w:rPr>
            </w:pPr>
            <w:r w:rsidRPr="00F37678">
              <w:rPr>
                <w:rFonts w:eastAsia="SimSun"/>
                <w:lang w:val="es-ES"/>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1DD91" w14:textId="77777777" w:rsidR="002E0363" w:rsidRPr="00F37678" w:rsidRDefault="002E0363" w:rsidP="00611905">
            <w:pPr>
              <w:pStyle w:val="Tabletext"/>
              <w:jc w:val="center"/>
              <w:rPr>
                <w:rFonts w:eastAsia="SimSun"/>
                <w:lang w:val="es-ES"/>
              </w:rPr>
            </w:pPr>
            <w:r w:rsidRPr="00F37678">
              <w:rPr>
                <w:color w:val="000000"/>
                <w:lang w:val="es-ES"/>
              </w:rPr>
              <w:t>9MAU25002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E0395" w14:textId="77777777" w:rsidR="002E0363" w:rsidRPr="00F37678" w:rsidRDefault="002E0363" w:rsidP="00611905">
            <w:pPr>
              <w:pStyle w:val="Tabletext"/>
              <w:jc w:val="center"/>
              <w:rPr>
                <w:rFonts w:eastAsia="SimSun"/>
                <w:lang w:val="es-ES"/>
              </w:rPr>
            </w:pPr>
            <w:r w:rsidRPr="00F37678">
              <w:rPr>
                <w:color w:val="000000"/>
                <w:lang w:val="es-ES"/>
              </w:rPr>
              <w:t>Asistencia técnica para el desarrollo de servicios de gobierno digital sobre la base de los principios, las especificaciones y los recursos de GovStack</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AC2100" w14:textId="77777777" w:rsidR="002E0363" w:rsidRPr="00F37678" w:rsidRDefault="002E0363" w:rsidP="00611905">
            <w:pPr>
              <w:pStyle w:val="Tabletext"/>
              <w:jc w:val="center"/>
              <w:rPr>
                <w:rFonts w:eastAsia="SimSun"/>
                <w:lang w:val="es-ES"/>
              </w:rPr>
            </w:pPr>
            <w:r w:rsidRPr="00F37678">
              <w:rPr>
                <w:color w:val="000000"/>
                <w:lang w:val="es-ES"/>
              </w:rPr>
              <w:t>31/10/2025</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7AEDD7" w14:textId="77777777" w:rsidR="002E0363" w:rsidRPr="00F37678" w:rsidRDefault="002E0363" w:rsidP="00611905">
            <w:pPr>
              <w:pStyle w:val="Tabletext"/>
              <w:jc w:val="center"/>
              <w:rPr>
                <w:rFonts w:eastAsia="SimSun"/>
                <w:lang w:val="es-ES"/>
              </w:rPr>
            </w:pPr>
            <w:r w:rsidRPr="00F37678">
              <w:rPr>
                <w:color w:val="000000"/>
                <w:lang w:val="es-ES"/>
              </w:rPr>
              <w:t>Mauritania</w:t>
            </w:r>
          </w:p>
        </w:tc>
      </w:tr>
      <w:tr w:rsidR="002E0363" w:rsidRPr="00F37678" w14:paraId="17C605BF"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3B2DC" w14:textId="77777777" w:rsidR="002E0363" w:rsidRPr="00F37678" w:rsidRDefault="002E0363" w:rsidP="00611905">
            <w:pPr>
              <w:pStyle w:val="Tabletext"/>
              <w:jc w:val="center"/>
              <w:rPr>
                <w:rFonts w:eastAsia="SimSun"/>
                <w:lang w:val="es-ES"/>
              </w:rPr>
            </w:pPr>
            <w:r w:rsidRPr="00F37678">
              <w:rPr>
                <w:rFonts w:eastAsia="SimSun"/>
                <w:lang w:val="es-ES"/>
              </w:rPr>
              <w:t>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167D5" w14:textId="77777777" w:rsidR="002E0363" w:rsidRPr="00F37678" w:rsidRDefault="002E0363" w:rsidP="00611905">
            <w:pPr>
              <w:pStyle w:val="Tabletext"/>
              <w:jc w:val="center"/>
              <w:rPr>
                <w:rFonts w:eastAsia="SimSun"/>
                <w:lang w:val="es-ES"/>
              </w:rPr>
            </w:pPr>
            <w:r w:rsidRPr="00F37678">
              <w:rPr>
                <w:color w:val="000000"/>
                <w:lang w:val="es-ES"/>
              </w:rPr>
              <w:t>9RAF25152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91BEA" w14:textId="77777777" w:rsidR="002E0363" w:rsidRPr="00F37678" w:rsidRDefault="002E0363" w:rsidP="00611905">
            <w:pPr>
              <w:pStyle w:val="Tabletext"/>
              <w:jc w:val="center"/>
              <w:rPr>
                <w:rFonts w:eastAsia="SimSun"/>
                <w:lang w:val="es-ES"/>
              </w:rPr>
            </w:pPr>
            <w:r w:rsidRPr="00F37678">
              <w:rPr>
                <w:color w:val="000000"/>
                <w:lang w:val="es-ES"/>
              </w:rPr>
              <w:t>Transformación digital para África/Proyecto de integración digital regional para África Occidental (DfTA/WARDIP)</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E0A910" w14:textId="77777777" w:rsidR="002E0363" w:rsidRPr="00F37678" w:rsidRDefault="002E0363" w:rsidP="00611905">
            <w:pPr>
              <w:pStyle w:val="Tabletext"/>
              <w:jc w:val="center"/>
              <w:rPr>
                <w:rFonts w:eastAsia="SimSun"/>
                <w:lang w:val="es-ES"/>
              </w:rPr>
            </w:pPr>
            <w:r w:rsidRPr="00F37678">
              <w:rPr>
                <w:color w:val="000000"/>
                <w:lang w:val="es-ES"/>
              </w:rPr>
              <w:t>30/01/2026</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2A87A" w14:textId="77777777" w:rsidR="002E0363" w:rsidRPr="00F37678" w:rsidRDefault="002E0363" w:rsidP="00611905">
            <w:pPr>
              <w:pStyle w:val="Tabletext"/>
              <w:jc w:val="center"/>
              <w:rPr>
                <w:rFonts w:eastAsia="SimSun"/>
                <w:lang w:val="es-ES"/>
              </w:rPr>
            </w:pPr>
            <w:r w:rsidRPr="00F37678">
              <w:rPr>
                <w:color w:val="000000"/>
                <w:lang w:val="es-ES"/>
              </w:rPr>
              <w:t>Gambia</w:t>
            </w:r>
          </w:p>
        </w:tc>
      </w:tr>
      <w:tr w:rsidR="002E0363" w:rsidRPr="00F37678" w14:paraId="6A56AB2E"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7376C" w14:textId="77777777" w:rsidR="002E0363" w:rsidRPr="00F37678" w:rsidRDefault="002E0363" w:rsidP="00611905">
            <w:pPr>
              <w:pStyle w:val="Tabletext"/>
              <w:jc w:val="center"/>
              <w:rPr>
                <w:rFonts w:eastAsia="SimSun"/>
                <w:lang w:val="es-ES"/>
              </w:rPr>
            </w:pPr>
            <w:r w:rsidRPr="00F37678">
              <w:rPr>
                <w:rFonts w:eastAsia="SimSun"/>
                <w:lang w:val="es-ES"/>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5E534" w14:textId="77777777" w:rsidR="002E0363" w:rsidRPr="00F37678" w:rsidRDefault="002E0363" w:rsidP="00611905">
            <w:pPr>
              <w:pStyle w:val="Tabletext"/>
              <w:jc w:val="center"/>
              <w:rPr>
                <w:rFonts w:eastAsia="SimSun"/>
                <w:lang w:val="es-ES"/>
              </w:rPr>
            </w:pPr>
            <w:r w:rsidRPr="00F37678">
              <w:rPr>
                <w:color w:val="000000"/>
                <w:lang w:val="es-ES"/>
              </w:rPr>
              <w:t>9RAS25002</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6D3DC" w14:textId="77777777" w:rsidR="002E0363" w:rsidRPr="00F37678" w:rsidRDefault="002E0363" w:rsidP="00611905">
            <w:pPr>
              <w:pStyle w:val="Tabletext"/>
              <w:jc w:val="center"/>
              <w:rPr>
                <w:rFonts w:eastAsia="SimSun"/>
                <w:lang w:val="es-ES"/>
              </w:rPr>
            </w:pPr>
            <w:r w:rsidRPr="00F37678">
              <w:rPr>
                <w:color w:val="000000"/>
                <w:lang w:val="es-ES"/>
              </w:rPr>
              <w:t>Mejora de la infraestructura digital y de la asequibilidad del acceso a servicios de TIC en Asia y el Pacífico</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A5BD6" w14:textId="77777777" w:rsidR="002E0363" w:rsidRPr="00F37678" w:rsidRDefault="002E0363" w:rsidP="00611905">
            <w:pPr>
              <w:pStyle w:val="Tabletext"/>
              <w:jc w:val="center"/>
              <w:rPr>
                <w:rFonts w:eastAsia="SimSun"/>
                <w:lang w:val="es-ES"/>
              </w:rPr>
            </w:pPr>
            <w:r w:rsidRPr="00F37678">
              <w:rPr>
                <w:color w:val="000000"/>
                <w:lang w:val="es-ES"/>
              </w:rPr>
              <w:t>30/11/2027</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2146F" w14:textId="77777777" w:rsidR="002E0363" w:rsidRPr="00F37678" w:rsidRDefault="002E0363" w:rsidP="00611905">
            <w:pPr>
              <w:pStyle w:val="Tabletext"/>
              <w:jc w:val="center"/>
              <w:rPr>
                <w:rFonts w:eastAsia="SimSun"/>
                <w:lang w:val="es-ES"/>
              </w:rPr>
            </w:pPr>
            <w:r w:rsidRPr="00F37678">
              <w:rPr>
                <w:color w:val="000000"/>
                <w:lang w:val="es-ES"/>
              </w:rPr>
              <w:t>Bangladesh, Camboya</w:t>
            </w:r>
          </w:p>
        </w:tc>
      </w:tr>
      <w:tr w:rsidR="002E0363" w:rsidRPr="00F37678" w14:paraId="3990A0F8"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20125" w14:textId="77777777" w:rsidR="002E0363" w:rsidRPr="00F37678" w:rsidRDefault="002E0363" w:rsidP="00611905">
            <w:pPr>
              <w:pStyle w:val="Tabletext"/>
              <w:jc w:val="center"/>
              <w:rPr>
                <w:rFonts w:eastAsia="SimSun"/>
                <w:lang w:val="es-ES"/>
              </w:rPr>
            </w:pPr>
            <w:r w:rsidRPr="00F37678">
              <w:rPr>
                <w:rFonts w:eastAsia="SimSun"/>
                <w:lang w:val="es-ES"/>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29E76" w14:textId="77777777" w:rsidR="002E0363" w:rsidRPr="00F37678" w:rsidRDefault="002E0363" w:rsidP="00611905">
            <w:pPr>
              <w:pStyle w:val="Tabletext"/>
              <w:jc w:val="center"/>
              <w:rPr>
                <w:rFonts w:eastAsia="SimSun"/>
                <w:lang w:val="es-ES"/>
              </w:rPr>
            </w:pPr>
            <w:r w:rsidRPr="00F37678">
              <w:rPr>
                <w:color w:val="000000"/>
                <w:lang w:val="es-ES"/>
              </w:rPr>
              <w:t>7RAF21102</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F2613A5" w14:textId="77777777" w:rsidR="002E0363" w:rsidRPr="00F37678" w:rsidRDefault="002E0363" w:rsidP="00611905">
            <w:pPr>
              <w:pStyle w:val="Tabletext"/>
              <w:jc w:val="center"/>
              <w:rPr>
                <w:rFonts w:eastAsia="SimSun"/>
                <w:lang w:val="es-ES"/>
              </w:rPr>
            </w:pPr>
            <w:r w:rsidRPr="00F37678">
              <w:rPr>
                <w:color w:val="000000"/>
                <w:lang w:val="es-ES"/>
              </w:rPr>
              <w:t>Comparación de las TIC en África central</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2CC87AC" w14:textId="77777777" w:rsidR="002E0363" w:rsidRPr="00F37678" w:rsidRDefault="002E0363" w:rsidP="00611905">
            <w:pPr>
              <w:pStyle w:val="Tabletext"/>
              <w:jc w:val="center"/>
              <w:rPr>
                <w:rFonts w:eastAsia="SimSun"/>
                <w:lang w:val="es-ES"/>
              </w:rPr>
            </w:pPr>
            <w:r w:rsidRPr="00F37678">
              <w:rPr>
                <w:color w:val="000000"/>
                <w:lang w:val="es-ES"/>
              </w:rPr>
              <w:t>24/12/2024</w:t>
            </w:r>
          </w:p>
        </w:tc>
        <w:tc>
          <w:tcPr>
            <w:tcW w:w="3121" w:type="dxa"/>
            <w:tcBorders>
              <w:top w:val="single" w:sz="4" w:space="0" w:color="auto"/>
              <w:left w:val="single" w:sz="4" w:space="0" w:color="auto"/>
              <w:bottom w:val="single" w:sz="4" w:space="0" w:color="auto"/>
              <w:right w:val="single" w:sz="4" w:space="0" w:color="auto"/>
            </w:tcBorders>
            <w:vAlign w:val="center"/>
            <w:hideMark/>
          </w:tcPr>
          <w:p w14:paraId="1B7D8629" w14:textId="77777777" w:rsidR="002E0363" w:rsidRPr="00F37678" w:rsidRDefault="002E0363" w:rsidP="00611905">
            <w:pPr>
              <w:pStyle w:val="Tabletext"/>
              <w:jc w:val="center"/>
              <w:rPr>
                <w:rFonts w:eastAsia="SimSun"/>
                <w:lang w:val="es-ES"/>
              </w:rPr>
            </w:pPr>
            <w:r w:rsidRPr="00F37678">
              <w:rPr>
                <w:color w:val="000000"/>
                <w:lang w:val="es-ES"/>
              </w:rPr>
              <w:t>Angola Burundi, Centroafricana (República), Chad, Rep. Dem. del Congo</w:t>
            </w:r>
          </w:p>
        </w:tc>
      </w:tr>
    </w:tbl>
    <w:p w14:paraId="7C7C2E45" w14:textId="77777777" w:rsidR="002E0363" w:rsidRPr="00F37678" w:rsidRDefault="002E0363" w:rsidP="002E0363">
      <w:pPr>
        <w:pStyle w:val="Headingb"/>
        <w:keepNext/>
        <w:spacing w:after="120"/>
        <w:rPr>
          <w:rFonts w:ascii="Calibri" w:eastAsia="SimSun" w:hAnsi="Calibri" w:cs="Calibri"/>
          <w:b w:val="0"/>
          <w:bCs/>
          <w:lang w:val="es-ES"/>
        </w:rPr>
      </w:pPr>
      <w:r w:rsidRPr="00F37678">
        <w:rPr>
          <w:b w:val="0"/>
          <w:bCs/>
          <w:lang w:val="es-ES"/>
        </w:rPr>
        <w:lastRenderedPageBreak/>
        <w:t>B)</w:t>
      </w:r>
      <w:r w:rsidRPr="00F37678">
        <w:rPr>
          <w:b w:val="0"/>
          <w:bCs/>
          <w:lang w:val="es-ES"/>
        </w:rPr>
        <w:tab/>
      </w:r>
      <w:r w:rsidRPr="00F37678">
        <w:rPr>
          <w:b w:val="0"/>
          <w:bCs/>
          <w:u w:val="single"/>
          <w:lang w:val="es-ES"/>
        </w:rPr>
        <w:t>Proyectos en curso y ejecutados en PDSL entre 2023 y 2025</w:t>
      </w:r>
    </w:p>
    <w:tbl>
      <w:tblPr>
        <w:tblStyle w:val="TableGrid"/>
        <w:tblW w:w="96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440"/>
        <w:gridCol w:w="3060"/>
      </w:tblGrid>
      <w:tr w:rsidR="002E0363" w:rsidRPr="00F37678" w14:paraId="297F4FE7" w14:textId="77777777" w:rsidTr="0040746F">
        <w:trPr>
          <w:trHeight w:val="299"/>
          <w:tblHeader/>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807A6" w14:textId="77777777" w:rsidR="002E0363" w:rsidRPr="00F37678" w:rsidRDefault="002E0363" w:rsidP="00611905">
            <w:pPr>
              <w:pStyle w:val="Tablehead"/>
              <w:rPr>
                <w:rFonts w:eastAsia="SimSun"/>
                <w:lang w:val="es-ES"/>
              </w:rPr>
            </w:pPr>
          </w:p>
        </w:tc>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A4B71" w14:textId="77777777" w:rsidR="002E0363" w:rsidRPr="00F37678" w:rsidRDefault="002E0363" w:rsidP="00611905">
            <w:pPr>
              <w:pStyle w:val="Tablehead"/>
              <w:rPr>
                <w:rFonts w:eastAsia="SimSun"/>
                <w:lang w:val="es-ES"/>
              </w:rPr>
            </w:pPr>
            <w:r w:rsidRPr="00F37678">
              <w:rPr>
                <w:color w:val="000000"/>
                <w:lang w:val="es-ES"/>
              </w:rPr>
              <w:t>Nº proyecto</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CE340" w14:textId="77777777" w:rsidR="002E0363" w:rsidRPr="00F37678" w:rsidRDefault="002E0363" w:rsidP="00611905">
            <w:pPr>
              <w:pStyle w:val="Tablehead"/>
              <w:rPr>
                <w:rFonts w:eastAsia="SimSun"/>
                <w:lang w:val="es-ES"/>
              </w:rPr>
            </w:pPr>
            <w:r w:rsidRPr="00F37678">
              <w:rPr>
                <w:color w:val="000000"/>
                <w:lang w:val="es-ES"/>
              </w:rPr>
              <w:t>Título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6E6BE" w14:textId="77777777" w:rsidR="002E0363" w:rsidRPr="00F37678" w:rsidRDefault="002E0363" w:rsidP="00611905">
            <w:pPr>
              <w:pStyle w:val="Tablehead"/>
              <w:rPr>
                <w:rFonts w:eastAsia="SimSun"/>
                <w:lang w:val="es-ES"/>
              </w:rPr>
            </w:pPr>
            <w:r w:rsidRPr="00F37678">
              <w:rPr>
                <w:color w:val="000000"/>
                <w:lang w:val="es-ES"/>
              </w:rPr>
              <w:t>Fecha de finalización</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ECE5A" w14:textId="77777777" w:rsidR="002E0363" w:rsidRPr="00F37678" w:rsidRDefault="002E0363" w:rsidP="00611905">
            <w:pPr>
              <w:pStyle w:val="Tablehead"/>
              <w:rPr>
                <w:rFonts w:eastAsia="SimSun"/>
                <w:lang w:val="es-ES"/>
              </w:rPr>
            </w:pPr>
            <w:r w:rsidRPr="00F37678">
              <w:rPr>
                <w:color w:val="000000"/>
                <w:lang w:val="es-ES"/>
              </w:rPr>
              <w:t>Países beneficiados</w:t>
            </w:r>
          </w:p>
        </w:tc>
      </w:tr>
      <w:tr w:rsidR="002E0363" w:rsidRPr="00F37678" w14:paraId="4ADCFA87"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14291867" w14:textId="77777777" w:rsidR="002E0363" w:rsidRPr="00F37678" w:rsidRDefault="002E0363" w:rsidP="00611905">
            <w:pPr>
              <w:pStyle w:val="Tabletext"/>
              <w:jc w:val="center"/>
              <w:rPr>
                <w:rFonts w:eastAsia="SimSun"/>
                <w:lang w:val="es-ES"/>
              </w:rPr>
            </w:pPr>
            <w:r w:rsidRPr="00F37678">
              <w:rPr>
                <w:rFonts w:eastAsia="SimSun"/>
                <w:lang w:val="es-ES"/>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799E5D6" w14:textId="77777777" w:rsidR="002E0363" w:rsidRPr="00F37678" w:rsidRDefault="002E0363" w:rsidP="00611905">
            <w:pPr>
              <w:pStyle w:val="Tabletext"/>
              <w:jc w:val="center"/>
              <w:rPr>
                <w:rFonts w:eastAsia="SimSun" w:cstheme="minorHAnsi"/>
                <w:lang w:val="es-ES"/>
              </w:rPr>
            </w:pPr>
            <w:r w:rsidRPr="00F37678">
              <w:rPr>
                <w:color w:val="000000"/>
                <w:lang w:val="es-ES"/>
              </w:rPr>
              <w:t>7CIS25001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61301FC" w14:textId="77777777" w:rsidR="002E0363" w:rsidRPr="00F37678" w:rsidRDefault="002E0363" w:rsidP="00611905">
            <w:pPr>
              <w:pStyle w:val="Tabletext"/>
              <w:jc w:val="center"/>
              <w:rPr>
                <w:rFonts w:eastAsia="SimSun" w:cstheme="minorHAnsi"/>
                <w:lang w:val="es-ES"/>
              </w:rPr>
            </w:pPr>
            <w:r w:rsidRPr="00F37678">
              <w:rPr>
                <w:color w:val="000000"/>
                <w:lang w:val="es-ES"/>
              </w:rPr>
              <w:t>Cooperación en materia de gobierno digital en los países de Asia Central y el Cáucaso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3FDFB7" w14:textId="77777777" w:rsidR="002E0363" w:rsidRPr="00F37678" w:rsidRDefault="002E0363" w:rsidP="00611905">
            <w:pPr>
              <w:pStyle w:val="Tabletext"/>
              <w:jc w:val="center"/>
              <w:rPr>
                <w:rFonts w:eastAsia="SimSun" w:cstheme="minorHAnsi"/>
                <w:lang w:val="es-ES"/>
              </w:rPr>
            </w:pPr>
            <w:r w:rsidRPr="00F37678">
              <w:rPr>
                <w:color w:val="000000"/>
                <w:lang w:val="es-ES"/>
              </w:rPr>
              <w:t>31/12/2026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77627AD" w14:textId="77777777" w:rsidR="002E0363" w:rsidRPr="00F37678" w:rsidRDefault="002E0363" w:rsidP="00611905">
            <w:pPr>
              <w:pStyle w:val="Tabletext"/>
              <w:jc w:val="center"/>
              <w:rPr>
                <w:rFonts w:eastAsia="SimSun" w:cstheme="minorHAnsi"/>
                <w:lang w:val="es-ES"/>
              </w:rPr>
            </w:pPr>
            <w:r w:rsidRPr="00F37678">
              <w:rPr>
                <w:color w:val="000000"/>
                <w:lang w:val="es-ES"/>
              </w:rPr>
              <w:t>Armenia, Azerbaiyán, Kazajstán, Kirguistán, Turkmenistán, Uzbekistán</w:t>
            </w:r>
          </w:p>
        </w:tc>
      </w:tr>
      <w:tr w:rsidR="002E0363" w:rsidRPr="00F37678" w14:paraId="0BC634AA"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1A83EF5A" w14:textId="77777777" w:rsidR="002E0363" w:rsidRPr="00F37678" w:rsidRDefault="002E0363" w:rsidP="00611905">
            <w:pPr>
              <w:pStyle w:val="Tabletext"/>
              <w:jc w:val="center"/>
              <w:rPr>
                <w:rFonts w:eastAsia="SimSun"/>
                <w:lang w:val="es-ES"/>
              </w:rPr>
            </w:pPr>
            <w:r w:rsidRPr="00F37678">
              <w:rPr>
                <w:rFonts w:eastAsia="SimSun"/>
                <w:lang w:val="es-ES"/>
              </w:rPr>
              <w:t>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2820F29" w14:textId="77777777" w:rsidR="002E0363" w:rsidRPr="00F37678" w:rsidRDefault="002E0363" w:rsidP="00611905">
            <w:pPr>
              <w:pStyle w:val="Tabletext"/>
              <w:jc w:val="center"/>
              <w:rPr>
                <w:rFonts w:eastAsia="SimSun" w:cstheme="minorHAnsi"/>
                <w:lang w:val="es-ES"/>
              </w:rPr>
            </w:pPr>
            <w:r w:rsidRPr="00F37678">
              <w:rPr>
                <w:color w:val="000000"/>
                <w:lang w:val="es-ES"/>
              </w:rPr>
              <w:t>7GLO24144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28C6BF6" w14:textId="77777777" w:rsidR="002E0363" w:rsidRPr="00F37678" w:rsidRDefault="002E0363" w:rsidP="00611905">
            <w:pPr>
              <w:pStyle w:val="Tabletext"/>
              <w:jc w:val="center"/>
              <w:rPr>
                <w:rFonts w:eastAsia="SimSun" w:cstheme="minorHAnsi"/>
                <w:lang w:val="es-ES"/>
              </w:rPr>
            </w:pPr>
            <w:r w:rsidRPr="00F37678">
              <w:rPr>
                <w:color w:val="000000"/>
                <w:lang w:val="es-ES"/>
              </w:rPr>
              <w:t>Alertas Tempranas para todos (EW4ALL) – Fondos de la UIT para la ejecución de la iniciativa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16B4ED" w14:textId="77777777" w:rsidR="002E0363" w:rsidRPr="00F37678" w:rsidRDefault="002E0363" w:rsidP="00611905">
            <w:pPr>
              <w:pStyle w:val="Tabletext"/>
              <w:jc w:val="center"/>
              <w:rPr>
                <w:rFonts w:eastAsia="SimSun" w:cstheme="minorHAnsi"/>
                <w:lang w:val="es-ES"/>
              </w:rPr>
            </w:pPr>
            <w:r w:rsidRPr="00F37678">
              <w:rPr>
                <w:color w:val="000000"/>
                <w:lang w:val="es-ES"/>
              </w:rPr>
              <w:t>30/09/2027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227CBE7" w14:textId="77777777" w:rsidR="002E0363" w:rsidRPr="00F37678" w:rsidRDefault="002E0363" w:rsidP="00611905">
            <w:pPr>
              <w:pStyle w:val="Tabletext"/>
              <w:jc w:val="center"/>
              <w:rPr>
                <w:rFonts w:eastAsia="SimSun" w:cstheme="minorHAnsi"/>
                <w:lang w:val="es-ES"/>
              </w:rPr>
            </w:pPr>
            <w:r w:rsidRPr="00F37678">
              <w:rPr>
                <w:color w:val="000000"/>
                <w:lang w:val="es-ES"/>
              </w:rPr>
              <w:t>Macedonia del Norte</w:t>
            </w:r>
          </w:p>
        </w:tc>
      </w:tr>
      <w:tr w:rsidR="002E0363" w:rsidRPr="00F37678" w14:paraId="7330FCDD"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4DDF05C5" w14:textId="77777777" w:rsidR="002E0363" w:rsidRPr="00F37678" w:rsidRDefault="002E0363" w:rsidP="00611905">
            <w:pPr>
              <w:pStyle w:val="Tabletext"/>
              <w:jc w:val="center"/>
              <w:rPr>
                <w:rFonts w:eastAsia="SimSun"/>
                <w:lang w:val="es-ES"/>
              </w:rPr>
            </w:pPr>
            <w:r w:rsidRPr="00F37678">
              <w:rPr>
                <w:rFonts w:eastAsia="SimSun"/>
                <w:lang w:val="es-ES"/>
              </w:rPr>
              <w:t>3</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FED3041" w14:textId="77777777" w:rsidR="002E0363" w:rsidRPr="00F37678" w:rsidRDefault="002E0363" w:rsidP="00611905">
            <w:pPr>
              <w:pStyle w:val="Tabletext"/>
              <w:jc w:val="center"/>
              <w:rPr>
                <w:rFonts w:eastAsia="SimSun" w:cstheme="minorHAnsi"/>
                <w:lang w:val="es-ES"/>
              </w:rPr>
            </w:pPr>
            <w:r w:rsidRPr="00F37678">
              <w:rPr>
                <w:color w:val="000000"/>
                <w:lang w:val="es-ES"/>
              </w:rPr>
              <w:t>2ARM23001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6117B6" w14:textId="77777777" w:rsidR="002E0363" w:rsidRPr="00F37678" w:rsidRDefault="002E0363" w:rsidP="00611905">
            <w:pPr>
              <w:pStyle w:val="Tabletext"/>
              <w:jc w:val="center"/>
              <w:rPr>
                <w:rFonts w:eastAsia="SimSun" w:cstheme="minorHAnsi"/>
                <w:lang w:val="es-ES"/>
              </w:rPr>
            </w:pPr>
            <w:r w:rsidRPr="00F37678">
              <w:rPr>
                <w:color w:val="000000"/>
                <w:lang w:val="es-ES"/>
              </w:rPr>
              <w:t>Proyecto piloto de redes rurales en Armenia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D782C0" w14:textId="77777777" w:rsidR="002E0363" w:rsidRPr="00F37678" w:rsidRDefault="002E0363" w:rsidP="00611905">
            <w:pPr>
              <w:pStyle w:val="Tabletext"/>
              <w:jc w:val="center"/>
              <w:rPr>
                <w:rFonts w:eastAsia="SimSun" w:cstheme="minorHAnsi"/>
                <w:lang w:val="es-ES"/>
              </w:rPr>
            </w:pPr>
            <w:r w:rsidRPr="00F37678">
              <w:rPr>
                <w:color w:val="000000"/>
                <w:lang w:val="es-ES"/>
              </w:rPr>
              <w:t>31/12/2024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2BFCD39" w14:textId="77777777" w:rsidR="002E0363" w:rsidRPr="00F37678" w:rsidRDefault="002E0363" w:rsidP="00611905">
            <w:pPr>
              <w:pStyle w:val="Tabletext"/>
              <w:jc w:val="center"/>
              <w:rPr>
                <w:rFonts w:eastAsia="SimSun" w:cstheme="minorHAnsi"/>
                <w:lang w:val="es-ES"/>
              </w:rPr>
            </w:pPr>
            <w:r w:rsidRPr="00F37678">
              <w:rPr>
                <w:color w:val="000000"/>
                <w:lang w:val="es-ES"/>
              </w:rPr>
              <w:t>Armenia</w:t>
            </w:r>
          </w:p>
        </w:tc>
      </w:tr>
      <w:tr w:rsidR="002E0363" w:rsidRPr="00F37678" w14:paraId="1DC4FF44"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39619F79" w14:textId="77777777" w:rsidR="002E0363" w:rsidRPr="00F37678" w:rsidRDefault="002E0363" w:rsidP="00611905">
            <w:pPr>
              <w:pStyle w:val="Tabletext"/>
              <w:jc w:val="center"/>
              <w:rPr>
                <w:rFonts w:eastAsia="SimSun"/>
                <w:lang w:val="es-ES"/>
              </w:rPr>
            </w:pPr>
            <w:r w:rsidRPr="00F37678">
              <w:rPr>
                <w:rFonts w:eastAsia="SimSun"/>
                <w:lang w:val="es-ES"/>
              </w:rPr>
              <w:t>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12FC217" w14:textId="77777777" w:rsidR="002E0363" w:rsidRPr="00F37678" w:rsidRDefault="002E0363" w:rsidP="00611905">
            <w:pPr>
              <w:pStyle w:val="Tabletext"/>
              <w:jc w:val="center"/>
              <w:rPr>
                <w:rFonts w:eastAsia="SimSun" w:cstheme="minorHAnsi"/>
                <w:lang w:val="es-ES"/>
              </w:rPr>
            </w:pPr>
            <w:r w:rsidRPr="00F37678">
              <w:rPr>
                <w:color w:val="000000"/>
                <w:lang w:val="es-ES"/>
              </w:rPr>
              <w:t>9GLO23126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035E417" w14:textId="77777777" w:rsidR="002E0363" w:rsidRPr="00F37678" w:rsidRDefault="002E0363" w:rsidP="00611905">
            <w:pPr>
              <w:pStyle w:val="Tabletext"/>
              <w:jc w:val="center"/>
              <w:rPr>
                <w:rFonts w:eastAsia="SimSun" w:cstheme="minorHAnsi"/>
                <w:lang w:val="es-ES"/>
              </w:rPr>
            </w:pPr>
            <w:r w:rsidRPr="00F37678">
              <w:rPr>
                <w:color w:val="000000"/>
                <w:lang w:val="es-ES"/>
              </w:rPr>
              <w:t>Desarrollo y aplicación de políticas y reglamentaciones en materia de residuos electrónicos para una economía circular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7C2A63" w14:textId="77777777" w:rsidR="002E0363" w:rsidRPr="00F37678" w:rsidRDefault="002E0363" w:rsidP="00611905">
            <w:pPr>
              <w:pStyle w:val="Tabletext"/>
              <w:jc w:val="center"/>
              <w:rPr>
                <w:rFonts w:eastAsia="SimSun" w:cstheme="minorHAnsi"/>
                <w:lang w:val="es-ES"/>
              </w:rPr>
            </w:pPr>
            <w:r w:rsidRPr="00F37678">
              <w:rPr>
                <w:color w:val="000000"/>
                <w:lang w:val="es-ES"/>
              </w:rPr>
              <w:t>01/07/2026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C72DE40" w14:textId="77777777" w:rsidR="002E0363" w:rsidRPr="00F37678" w:rsidRDefault="002E0363" w:rsidP="00611905">
            <w:pPr>
              <w:pStyle w:val="Tabletext"/>
              <w:jc w:val="center"/>
              <w:rPr>
                <w:rFonts w:eastAsia="SimSun" w:cstheme="minorHAnsi"/>
                <w:lang w:val="es-ES"/>
              </w:rPr>
            </w:pPr>
            <w:r w:rsidRPr="00F37678">
              <w:rPr>
                <w:color w:val="000000"/>
                <w:lang w:val="es-ES"/>
              </w:rPr>
              <w:t>Paraguay</w:t>
            </w:r>
          </w:p>
        </w:tc>
      </w:tr>
      <w:tr w:rsidR="002E0363" w:rsidRPr="00F37678" w14:paraId="26014860"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9818828" w14:textId="77777777" w:rsidR="002E0363" w:rsidRPr="00F37678" w:rsidRDefault="002E0363" w:rsidP="00611905">
            <w:pPr>
              <w:pStyle w:val="Tabletext"/>
              <w:jc w:val="center"/>
              <w:rPr>
                <w:rFonts w:eastAsia="SimSun"/>
                <w:lang w:val="es-ES"/>
              </w:rPr>
            </w:pPr>
            <w:r w:rsidRPr="00F37678">
              <w:rPr>
                <w:rFonts w:eastAsia="SimSun"/>
                <w:lang w:val="es-ES"/>
              </w:rPr>
              <w:t>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9511FB3" w14:textId="77777777" w:rsidR="002E0363" w:rsidRPr="00F37678" w:rsidRDefault="002E0363" w:rsidP="00611905">
            <w:pPr>
              <w:pStyle w:val="Tabletext"/>
              <w:jc w:val="center"/>
              <w:rPr>
                <w:rFonts w:eastAsia="SimSun" w:cstheme="minorHAnsi"/>
                <w:lang w:val="es-ES"/>
              </w:rPr>
            </w:pPr>
            <w:r w:rsidRPr="00F37678">
              <w:rPr>
                <w:color w:val="000000"/>
                <w:lang w:val="es-ES"/>
              </w:rPr>
              <w:t>9SWZ24001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3A0691" w14:textId="77777777" w:rsidR="002E0363" w:rsidRPr="00F37678" w:rsidRDefault="002E0363" w:rsidP="00611905">
            <w:pPr>
              <w:pStyle w:val="Tabletext"/>
              <w:jc w:val="center"/>
              <w:rPr>
                <w:rFonts w:eastAsia="SimSun" w:cstheme="minorHAnsi"/>
                <w:lang w:val="es-ES"/>
              </w:rPr>
            </w:pPr>
            <w:r w:rsidRPr="00F37678">
              <w:rPr>
                <w:color w:val="000000"/>
                <w:lang w:val="es-ES"/>
              </w:rPr>
              <w:t>Aceleración del desarrollo de los servicios de gobierno digital en Eswatini mediante los principios de GovStack</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1AE223" w14:textId="77777777" w:rsidR="002E0363" w:rsidRPr="00F37678" w:rsidRDefault="002E0363" w:rsidP="00611905">
            <w:pPr>
              <w:pStyle w:val="Tabletext"/>
              <w:jc w:val="center"/>
              <w:rPr>
                <w:rFonts w:eastAsia="SimSun" w:cstheme="minorHAnsi"/>
                <w:lang w:val="es-ES"/>
              </w:rPr>
            </w:pPr>
            <w:r w:rsidRPr="00F37678">
              <w:rPr>
                <w:color w:val="000000"/>
                <w:lang w:val="es-ES"/>
              </w:rPr>
              <w:t>30/09/2025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3621D0D" w14:textId="77777777" w:rsidR="002E0363" w:rsidRPr="00F37678" w:rsidRDefault="002E0363" w:rsidP="00611905">
            <w:pPr>
              <w:pStyle w:val="Tabletext"/>
              <w:jc w:val="center"/>
              <w:rPr>
                <w:rFonts w:eastAsia="SimSun" w:cstheme="minorHAnsi"/>
                <w:lang w:val="es-ES"/>
              </w:rPr>
            </w:pPr>
            <w:r w:rsidRPr="00F37678">
              <w:rPr>
                <w:color w:val="000000"/>
                <w:lang w:val="es-ES"/>
              </w:rPr>
              <w:t>Eswatini</w:t>
            </w:r>
          </w:p>
        </w:tc>
      </w:tr>
      <w:tr w:rsidR="002E0363" w:rsidRPr="00F37678" w14:paraId="0D054821"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1A425DC0" w14:textId="77777777" w:rsidR="002E0363" w:rsidRPr="00F37678" w:rsidRDefault="002E0363" w:rsidP="00611905">
            <w:pPr>
              <w:pStyle w:val="Tabletext"/>
              <w:jc w:val="center"/>
              <w:rPr>
                <w:rFonts w:eastAsia="SimSun"/>
                <w:lang w:val="es-ES"/>
              </w:rPr>
            </w:pPr>
            <w:r w:rsidRPr="00F37678">
              <w:rPr>
                <w:rFonts w:eastAsia="SimSun"/>
                <w:lang w:val="es-ES"/>
              </w:rPr>
              <w:t>6</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F133E2D" w14:textId="77777777" w:rsidR="002E0363" w:rsidRPr="00F37678" w:rsidRDefault="002E0363" w:rsidP="00611905">
            <w:pPr>
              <w:pStyle w:val="Tabletext"/>
              <w:jc w:val="center"/>
              <w:rPr>
                <w:rFonts w:eastAsia="SimSun" w:cstheme="minorHAnsi"/>
                <w:lang w:val="es-ES"/>
              </w:rPr>
            </w:pPr>
            <w:r w:rsidRPr="00F37678">
              <w:rPr>
                <w:color w:val="000000"/>
                <w:lang w:val="es-ES"/>
              </w:rPr>
              <w:t>7RAS24075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04543BA" w14:textId="77777777" w:rsidR="002E0363" w:rsidRPr="00F37678" w:rsidRDefault="002E0363" w:rsidP="00611905">
            <w:pPr>
              <w:pStyle w:val="Tabletext"/>
              <w:jc w:val="center"/>
              <w:rPr>
                <w:rFonts w:eastAsia="SimSun" w:cstheme="minorHAnsi"/>
                <w:lang w:val="es-ES"/>
              </w:rPr>
            </w:pPr>
            <w:r w:rsidRPr="00F37678">
              <w:rPr>
                <w:color w:val="000000"/>
                <w:lang w:val="es-ES"/>
              </w:rPr>
              <w:t>Creación de una economía circular para los productos electrónicos y eléctricos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440852" w14:textId="77777777" w:rsidR="002E0363" w:rsidRPr="00F37678" w:rsidRDefault="002E0363" w:rsidP="00611905">
            <w:pPr>
              <w:pStyle w:val="Tabletext"/>
              <w:jc w:val="center"/>
              <w:rPr>
                <w:rFonts w:eastAsia="SimSun" w:cstheme="minorHAnsi"/>
                <w:lang w:val="es-ES"/>
              </w:rPr>
            </w:pPr>
            <w:r w:rsidRPr="00F37678">
              <w:rPr>
                <w:color w:val="000000"/>
                <w:lang w:val="es-ES"/>
              </w:rPr>
              <w:t>15/03/2026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8FFEBC8" w14:textId="77777777" w:rsidR="002E0363" w:rsidRPr="00F37678" w:rsidRDefault="002E0363" w:rsidP="00611905">
            <w:pPr>
              <w:pStyle w:val="Tabletext"/>
              <w:jc w:val="center"/>
              <w:rPr>
                <w:rFonts w:eastAsia="SimSun" w:cstheme="minorHAnsi"/>
                <w:lang w:val="es-ES"/>
              </w:rPr>
            </w:pPr>
            <w:r w:rsidRPr="00F37678">
              <w:rPr>
                <w:color w:val="000000"/>
                <w:lang w:val="es-ES"/>
              </w:rPr>
              <w:t>Mongolia</w:t>
            </w:r>
          </w:p>
        </w:tc>
      </w:tr>
      <w:tr w:rsidR="002E0363" w:rsidRPr="00F37678" w14:paraId="0F67FF34"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1EACBFD4" w14:textId="77777777" w:rsidR="002E0363" w:rsidRPr="00F37678" w:rsidRDefault="002E0363" w:rsidP="00611905">
            <w:pPr>
              <w:pStyle w:val="Tabletext"/>
              <w:jc w:val="center"/>
              <w:rPr>
                <w:rFonts w:eastAsia="SimSun"/>
                <w:lang w:val="es-ES"/>
              </w:rPr>
            </w:pPr>
            <w:r w:rsidRPr="00F37678">
              <w:rPr>
                <w:rFonts w:eastAsia="SimSun"/>
                <w:lang w:val="es-ES"/>
              </w:rPr>
              <w:t>7</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447F770" w14:textId="77777777" w:rsidR="002E0363" w:rsidRPr="00F37678" w:rsidRDefault="002E0363" w:rsidP="00611905">
            <w:pPr>
              <w:pStyle w:val="Tabletext"/>
              <w:jc w:val="center"/>
              <w:rPr>
                <w:rFonts w:eastAsia="SimSun" w:cstheme="minorHAnsi"/>
                <w:lang w:val="es-ES"/>
              </w:rPr>
            </w:pPr>
            <w:r w:rsidRPr="00F37678">
              <w:rPr>
                <w:color w:val="000000"/>
                <w:lang w:val="es-ES"/>
              </w:rPr>
              <w:t>9RAF24107</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EC7235" w14:textId="77777777" w:rsidR="002E0363" w:rsidRPr="00F37678" w:rsidRDefault="002E0363" w:rsidP="00611905">
            <w:pPr>
              <w:pStyle w:val="Tabletext"/>
              <w:jc w:val="center"/>
              <w:rPr>
                <w:rFonts w:eastAsia="SimSun" w:cstheme="minorHAnsi"/>
                <w:lang w:val="es-ES"/>
              </w:rPr>
            </w:pPr>
            <w:r w:rsidRPr="00F37678">
              <w:rPr>
                <w:color w:val="000000"/>
                <w:lang w:val="es-ES"/>
              </w:rPr>
              <w:t>Apoyo de la UE para los sistemas de mapas nacionales de la banda ancha en África (AfricaBBMaps)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E63206" w14:textId="77777777" w:rsidR="002E0363" w:rsidRPr="00F37678" w:rsidRDefault="002E0363" w:rsidP="00611905">
            <w:pPr>
              <w:pStyle w:val="Tabletext"/>
              <w:jc w:val="center"/>
              <w:rPr>
                <w:rFonts w:eastAsia="SimSun" w:cstheme="minorHAnsi"/>
                <w:lang w:val="es-ES"/>
              </w:rPr>
            </w:pPr>
            <w:r w:rsidRPr="00F37678">
              <w:rPr>
                <w:color w:val="000000"/>
                <w:lang w:val="es-ES"/>
              </w:rPr>
              <w:t>30/09/2028</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E19D0B2" w14:textId="77777777" w:rsidR="002E0363" w:rsidRPr="00F37678" w:rsidRDefault="002E0363" w:rsidP="00611905">
            <w:pPr>
              <w:pStyle w:val="Tabletext"/>
              <w:jc w:val="center"/>
              <w:rPr>
                <w:rFonts w:eastAsia="SimSun" w:cstheme="minorHAnsi"/>
                <w:lang w:val="es-ES"/>
              </w:rPr>
            </w:pPr>
            <w:r w:rsidRPr="00F37678">
              <w:rPr>
                <w:color w:val="000000"/>
                <w:lang w:val="es-ES"/>
              </w:rPr>
              <w:t>Botswana, Burundi, Etiopía, Malawi, Uganda, Zambia, Zimbabwe</w:t>
            </w:r>
          </w:p>
        </w:tc>
      </w:tr>
      <w:tr w:rsidR="002E0363" w:rsidRPr="00F37678" w14:paraId="36159ACF"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23B62CC2" w14:textId="77777777" w:rsidR="002E0363" w:rsidRPr="00F37678" w:rsidRDefault="002E0363" w:rsidP="00611905">
            <w:pPr>
              <w:pStyle w:val="Tabletext"/>
              <w:jc w:val="center"/>
              <w:rPr>
                <w:rFonts w:eastAsia="SimSun"/>
                <w:lang w:val="es-ES"/>
              </w:rPr>
            </w:pPr>
            <w:r w:rsidRPr="00F37678">
              <w:rPr>
                <w:rFonts w:eastAsia="SimSun"/>
                <w:lang w:val="es-ES"/>
              </w:rPr>
              <w:t>8</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EDFD12A" w14:textId="77777777" w:rsidR="002E0363" w:rsidRPr="00F37678" w:rsidRDefault="002E0363" w:rsidP="00611905">
            <w:pPr>
              <w:pStyle w:val="Tabletext"/>
              <w:jc w:val="center"/>
              <w:rPr>
                <w:rFonts w:eastAsia="SimSun" w:cstheme="minorHAnsi"/>
                <w:lang w:val="es-ES"/>
              </w:rPr>
            </w:pPr>
            <w:r w:rsidRPr="00F37678">
              <w:rPr>
                <w:color w:val="000000"/>
                <w:lang w:val="es-ES"/>
              </w:rPr>
              <w:t>7GLO25151</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B680510" w14:textId="77777777" w:rsidR="002E0363" w:rsidRPr="00F37678" w:rsidRDefault="002E0363" w:rsidP="00611905">
            <w:pPr>
              <w:pStyle w:val="Tabletext"/>
              <w:jc w:val="center"/>
              <w:rPr>
                <w:rFonts w:eastAsia="SimSun" w:cstheme="minorHAnsi"/>
                <w:lang w:val="es-ES"/>
              </w:rPr>
            </w:pPr>
            <w:r w:rsidRPr="00F37678">
              <w:rPr>
                <w:color w:val="000000"/>
                <w:lang w:val="es-ES"/>
              </w:rPr>
              <w:t>Fase III del programa Her Cyber Tracks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96F142" w14:textId="77777777" w:rsidR="002E0363" w:rsidRPr="00F37678" w:rsidRDefault="002E0363" w:rsidP="00611905">
            <w:pPr>
              <w:pStyle w:val="Tabletext"/>
              <w:jc w:val="center"/>
              <w:rPr>
                <w:rFonts w:eastAsia="SimSun" w:cstheme="minorHAnsi"/>
                <w:lang w:val="es-ES"/>
              </w:rPr>
            </w:pPr>
            <w:r w:rsidRPr="00F37678">
              <w:rPr>
                <w:color w:val="000000"/>
                <w:lang w:val="es-ES"/>
              </w:rPr>
              <w:t>28/02/2026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9B23E87" w14:textId="77777777" w:rsidR="002E0363" w:rsidRPr="00F37678" w:rsidRDefault="002E0363" w:rsidP="00611905">
            <w:pPr>
              <w:pStyle w:val="Tabletext"/>
              <w:jc w:val="center"/>
              <w:rPr>
                <w:rFonts w:eastAsia="SimSun" w:cstheme="minorHAnsi"/>
                <w:lang w:val="es-ES"/>
              </w:rPr>
            </w:pPr>
            <w:r w:rsidRPr="00F37678">
              <w:rPr>
                <w:color w:val="000000"/>
                <w:lang w:val="es-ES"/>
              </w:rPr>
              <w:t>Armenia, Burkina Faso, Macedonia del Norte, Malí, Moldova, Níger</w:t>
            </w:r>
          </w:p>
        </w:tc>
      </w:tr>
      <w:tr w:rsidR="002E0363" w:rsidRPr="00F37678" w14:paraId="161C1F2B"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75E0C1E6" w14:textId="77777777" w:rsidR="002E0363" w:rsidRPr="00F37678" w:rsidRDefault="002E0363" w:rsidP="00611905">
            <w:pPr>
              <w:pStyle w:val="Tabletext"/>
              <w:jc w:val="center"/>
              <w:rPr>
                <w:rFonts w:eastAsia="SimSun"/>
                <w:lang w:val="es-ES"/>
              </w:rPr>
            </w:pPr>
            <w:r w:rsidRPr="00F37678">
              <w:rPr>
                <w:rFonts w:eastAsia="SimSun"/>
                <w:lang w:val="es-ES"/>
              </w:rPr>
              <w:t>9</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A7B986E" w14:textId="77777777" w:rsidR="002E0363" w:rsidRPr="00F37678" w:rsidRDefault="002E0363" w:rsidP="00611905">
            <w:pPr>
              <w:pStyle w:val="Tabletext"/>
              <w:jc w:val="center"/>
              <w:rPr>
                <w:rFonts w:eastAsia="SimSun" w:cstheme="minorHAnsi"/>
                <w:lang w:val="es-ES"/>
              </w:rPr>
            </w:pPr>
            <w:r w:rsidRPr="00F37678">
              <w:rPr>
                <w:color w:val="000000"/>
                <w:lang w:val="es-ES"/>
              </w:rPr>
              <w:t>9MOL25002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29381D1" w14:textId="77777777" w:rsidR="002E0363" w:rsidRPr="00F37678" w:rsidRDefault="002E0363" w:rsidP="00611905">
            <w:pPr>
              <w:pStyle w:val="Tabletext"/>
              <w:jc w:val="center"/>
              <w:rPr>
                <w:rFonts w:eastAsia="SimSun" w:cstheme="minorHAnsi"/>
                <w:lang w:val="es-ES"/>
              </w:rPr>
            </w:pPr>
            <w:r w:rsidRPr="00F37678">
              <w:rPr>
                <w:color w:val="000000"/>
                <w:lang w:val="es-ES"/>
              </w:rPr>
              <w:t>Evaluación de la alfabetización digital de la población adulta en Moldova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7D7D6" w14:textId="77777777" w:rsidR="002E0363" w:rsidRPr="00F37678" w:rsidRDefault="002E0363" w:rsidP="00611905">
            <w:pPr>
              <w:pStyle w:val="Tabletext"/>
              <w:jc w:val="center"/>
              <w:rPr>
                <w:rFonts w:eastAsia="SimSun" w:cstheme="minorHAnsi"/>
                <w:lang w:val="es-ES"/>
              </w:rPr>
            </w:pPr>
            <w:r w:rsidRPr="00F37678">
              <w:rPr>
                <w:color w:val="000000"/>
                <w:lang w:val="es-ES"/>
              </w:rPr>
              <w:t>20/06/2025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C500D54" w14:textId="77777777" w:rsidR="002E0363" w:rsidRPr="00F37678" w:rsidRDefault="002E0363" w:rsidP="00611905">
            <w:pPr>
              <w:pStyle w:val="Tabletext"/>
              <w:jc w:val="center"/>
              <w:rPr>
                <w:rFonts w:eastAsia="SimSun" w:cstheme="minorHAnsi"/>
                <w:lang w:val="es-ES"/>
              </w:rPr>
            </w:pPr>
            <w:r w:rsidRPr="00F37678">
              <w:rPr>
                <w:color w:val="000000"/>
                <w:lang w:val="es-ES"/>
              </w:rPr>
              <w:t>Moldova</w:t>
            </w:r>
          </w:p>
        </w:tc>
      </w:tr>
      <w:tr w:rsidR="002E0363" w:rsidRPr="00F37678" w14:paraId="536DED20"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4FE46B51" w14:textId="77777777" w:rsidR="002E0363" w:rsidRPr="00F37678" w:rsidRDefault="002E0363" w:rsidP="00611905">
            <w:pPr>
              <w:pStyle w:val="Tabletext"/>
              <w:jc w:val="center"/>
              <w:rPr>
                <w:rFonts w:eastAsia="SimSun"/>
                <w:lang w:val="es-ES"/>
              </w:rPr>
            </w:pPr>
            <w:r w:rsidRPr="00F37678">
              <w:rPr>
                <w:rFonts w:eastAsia="SimSun"/>
                <w:lang w:val="es-ES"/>
              </w:rPr>
              <w:t>10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8F5F332" w14:textId="77777777" w:rsidR="002E0363" w:rsidRPr="00F37678" w:rsidRDefault="002E0363" w:rsidP="00611905">
            <w:pPr>
              <w:pStyle w:val="Tabletext"/>
              <w:jc w:val="center"/>
              <w:rPr>
                <w:rFonts w:eastAsia="SimSun" w:cstheme="minorHAnsi"/>
                <w:lang w:val="es-ES"/>
              </w:rPr>
            </w:pPr>
            <w:r w:rsidRPr="00F37678">
              <w:rPr>
                <w:color w:val="000000"/>
                <w:lang w:val="es-ES"/>
              </w:rPr>
              <w:t>9RAS25002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E7F86CD" w14:textId="77777777" w:rsidR="002E0363" w:rsidRPr="00F37678" w:rsidRDefault="002E0363" w:rsidP="00611905">
            <w:pPr>
              <w:pStyle w:val="Tabletext"/>
              <w:jc w:val="center"/>
              <w:rPr>
                <w:rFonts w:eastAsia="SimSun" w:cstheme="minorHAnsi"/>
                <w:lang w:val="es-ES"/>
              </w:rPr>
            </w:pPr>
            <w:r w:rsidRPr="00F37678">
              <w:rPr>
                <w:color w:val="000000"/>
                <w:lang w:val="es-ES"/>
              </w:rPr>
              <w:t>Mejora de la infraestructura digital y de la asequibilidad del acceso a servicios de TIC en Asia y el Pacífico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6344CE" w14:textId="77777777" w:rsidR="002E0363" w:rsidRPr="00F37678" w:rsidRDefault="002E0363" w:rsidP="00611905">
            <w:pPr>
              <w:pStyle w:val="Tabletext"/>
              <w:jc w:val="center"/>
              <w:rPr>
                <w:rFonts w:eastAsia="SimSun" w:cstheme="minorHAnsi"/>
                <w:lang w:val="es-ES"/>
              </w:rPr>
            </w:pPr>
            <w:r w:rsidRPr="00F37678">
              <w:rPr>
                <w:color w:val="000000"/>
                <w:lang w:val="es-ES"/>
              </w:rPr>
              <w:t>30/11/2027</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45386FA" w14:textId="77777777" w:rsidR="002E0363" w:rsidRPr="00F37678" w:rsidRDefault="002E0363" w:rsidP="00611905">
            <w:pPr>
              <w:pStyle w:val="Tabletext"/>
              <w:jc w:val="center"/>
              <w:rPr>
                <w:rFonts w:eastAsia="SimSun" w:cstheme="minorHAnsi"/>
                <w:lang w:val="es-ES"/>
              </w:rPr>
            </w:pPr>
            <w:r w:rsidRPr="00F37678">
              <w:rPr>
                <w:color w:val="000000"/>
                <w:lang w:val="es-ES"/>
              </w:rPr>
              <w:t>Mongolia</w:t>
            </w:r>
          </w:p>
        </w:tc>
      </w:tr>
      <w:tr w:rsidR="002E0363" w:rsidRPr="00F37678" w14:paraId="294F929C" w14:textId="77777777" w:rsidTr="0040746F">
        <w:trPr>
          <w:trHeight w:val="1358"/>
        </w:trPr>
        <w:tc>
          <w:tcPr>
            <w:tcW w:w="787" w:type="dxa"/>
            <w:tcBorders>
              <w:top w:val="single" w:sz="4" w:space="0" w:color="auto"/>
              <w:left w:val="single" w:sz="4" w:space="0" w:color="auto"/>
              <w:bottom w:val="single" w:sz="4" w:space="0" w:color="auto"/>
              <w:right w:val="single" w:sz="4" w:space="0" w:color="auto"/>
            </w:tcBorders>
            <w:vAlign w:val="center"/>
          </w:tcPr>
          <w:p w14:paraId="3B2EC954" w14:textId="77777777" w:rsidR="002E0363" w:rsidRPr="00F37678" w:rsidRDefault="002E0363" w:rsidP="00611905">
            <w:pPr>
              <w:pStyle w:val="Tabletext"/>
              <w:jc w:val="center"/>
              <w:rPr>
                <w:rFonts w:eastAsia="SimSun"/>
                <w:lang w:val="es-ES"/>
              </w:rPr>
            </w:pPr>
            <w:r w:rsidRPr="00F37678">
              <w:rPr>
                <w:rFonts w:eastAsia="SimSun"/>
                <w:lang w:val="es-ES"/>
              </w:rPr>
              <w:t>11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CEE7A27" w14:textId="77777777" w:rsidR="002E0363" w:rsidRPr="00F37678" w:rsidRDefault="002E0363" w:rsidP="00611905">
            <w:pPr>
              <w:pStyle w:val="Tabletext"/>
              <w:jc w:val="center"/>
              <w:rPr>
                <w:rFonts w:eastAsia="SimSun" w:cstheme="minorHAnsi"/>
                <w:lang w:val="es-ES"/>
              </w:rPr>
            </w:pPr>
            <w:r w:rsidRPr="00F37678">
              <w:rPr>
                <w:color w:val="000000"/>
                <w:lang w:val="es-ES"/>
              </w:rPr>
              <w:t>7GLO24146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3D0ED74" w14:textId="77777777" w:rsidR="002E0363" w:rsidRPr="00F37678" w:rsidRDefault="002E0363" w:rsidP="00611905">
            <w:pPr>
              <w:pStyle w:val="Tabletext"/>
              <w:jc w:val="center"/>
              <w:rPr>
                <w:rFonts w:eastAsia="SimSun" w:cstheme="minorHAnsi"/>
                <w:lang w:val="es-ES"/>
              </w:rPr>
            </w:pPr>
            <w:r w:rsidRPr="00F37678">
              <w:rPr>
                <w:color w:val="000000"/>
                <w:lang w:val="es-ES"/>
              </w:rPr>
              <w:t>Segunda fase del proyecto Cyber for Good (MSIT)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325953" w14:textId="77777777" w:rsidR="002E0363" w:rsidRPr="00F37678" w:rsidRDefault="002E0363" w:rsidP="00611905">
            <w:pPr>
              <w:pStyle w:val="Tabletext"/>
              <w:jc w:val="center"/>
              <w:rPr>
                <w:rFonts w:eastAsia="SimSun" w:cstheme="minorHAnsi"/>
                <w:lang w:val="es-ES"/>
              </w:rPr>
            </w:pPr>
            <w:r w:rsidRPr="00F37678">
              <w:rPr>
                <w:color w:val="000000"/>
                <w:lang w:val="es-ES"/>
              </w:rPr>
              <w:t>31/12/2026</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399AB5B" w14:textId="7CFAC1D6" w:rsidR="002E0363" w:rsidRPr="00F37678" w:rsidRDefault="002E0363" w:rsidP="00611905">
            <w:pPr>
              <w:pStyle w:val="Tabletext"/>
              <w:jc w:val="center"/>
              <w:rPr>
                <w:rFonts w:eastAsia="SimSun" w:cstheme="minorHAnsi"/>
                <w:lang w:val="es-ES"/>
              </w:rPr>
            </w:pPr>
            <w:r w:rsidRPr="00F37678">
              <w:rPr>
                <w:color w:val="000000"/>
                <w:lang w:val="es-ES"/>
              </w:rPr>
              <w:t>Burkina Faso, Burundi, Centroafricana (Rep.), Chad, Etiopía, Lao (R.D.P.), Lesotho, Malí, Nepal, Níger, Rwanda, Sudán del Sur, Uganda, Zambia</w:t>
            </w:r>
          </w:p>
        </w:tc>
      </w:tr>
      <w:tr w:rsidR="002E0363" w:rsidRPr="00F37678" w14:paraId="7D47C8A5"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6CB82843" w14:textId="77777777" w:rsidR="002E0363" w:rsidRPr="00F37678" w:rsidRDefault="002E0363" w:rsidP="00611905">
            <w:pPr>
              <w:pStyle w:val="Tabletext"/>
              <w:jc w:val="center"/>
              <w:rPr>
                <w:rFonts w:eastAsia="SimSun"/>
                <w:lang w:val="es-ES"/>
              </w:rPr>
            </w:pPr>
            <w:r w:rsidRPr="00F37678">
              <w:rPr>
                <w:rFonts w:eastAsia="SimSun"/>
                <w:lang w:val="es-ES"/>
              </w:rPr>
              <w:t>12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FED7804" w14:textId="77777777" w:rsidR="002E0363" w:rsidRPr="00F37678" w:rsidRDefault="002E0363" w:rsidP="00611905">
            <w:pPr>
              <w:pStyle w:val="Tabletext"/>
              <w:jc w:val="center"/>
              <w:rPr>
                <w:rFonts w:eastAsia="SimSun" w:cstheme="minorHAnsi"/>
                <w:lang w:val="es-ES"/>
              </w:rPr>
            </w:pPr>
            <w:r w:rsidRPr="00F37678">
              <w:rPr>
                <w:color w:val="000000"/>
                <w:lang w:val="es-ES"/>
              </w:rPr>
              <w:t>9RLA23022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4221E07" w14:textId="77777777" w:rsidR="002E0363" w:rsidRPr="00F37678" w:rsidRDefault="002E0363" w:rsidP="00611905">
            <w:pPr>
              <w:pStyle w:val="Tabletext"/>
              <w:jc w:val="center"/>
              <w:rPr>
                <w:rFonts w:eastAsia="SimSun" w:cstheme="minorHAnsi"/>
                <w:lang w:val="es-ES"/>
              </w:rPr>
            </w:pPr>
            <w:r w:rsidRPr="00F37678">
              <w:rPr>
                <w:color w:val="000000"/>
                <w:lang w:val="es-ES"/>
              </w:rPr>
              <w:t>Apoyo para la ejecución de iniciativas regionales para la región de las Américas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E6ADAA" w14:textId="77777777" w:rsidR="002E0363" w:rsidRPr="00F37678" w:rsidRDefault="002E0363" w:rsidP="00611905">
            <w:pPr>
              <w:pStyle w:val="Tabletext"/>
              <w:jc w:val="center"/>
              <w:rPr>
                <w:rFonts w:eastAsia="SimSun" w:cstheme="minorHAnsi"/>
                <w:lang w:val="es-ES"/>
              </w:rPr>
            </w:pPr>
            <w:r w:rsidRPr="00F37678">
              <w:rPr>
                <w:color w:val="000000"/>
                <w:lang w:val="es-ES"/>
              </w:rPr>
              <w:t>31/10/2025</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BA1124C" w14:textId="77777777" w:rsidR="002E0363" w:rsidRPr="00F37678" w:rsidRDefault="002E0363" w:rsidP="00611905">
            <w:pPr>
              <w:pStyle w:val="Tabletext"/>
              <w:jc w:val="center"/>
              <w:rPr>
                <w:rFonts w:eastAsia="SimSun" w:cstheme="minorHAnsi"/>
                <w:lang w:val="es-ES"/>
              </w:rPr>
            </w:pPr>
            <w:r w:rsidRPr="00F37678">
              <w:rPr>
                <w:color w:val="000000"/>
                <w:lang w:val="es-ES"/>
              </w:rPr>
              <w:t>Paraguay</w:t>
            </w:r>
          </w:p>
        </w:tc>
      </w:tr>
      <w:tr w:rsidR="002E0363" w:rsidRPr="00F37678" w14:paraId="3B2FA3B0" w14:textId="77777777" w:rsidTr="0040746F">
        <w:trPr>
          <w:trHeight w:val="299"/>
        </w:trPr>
        <w:tc>
          <w:tcPr>
            <w:tcW w:w="787" w:type="dxa"/>
            <w:tcBorders>
              <w:top w:val="single" w:sz="4" w:space="0" w:color="auto"/>
              <w:left w:val="single" w:sz="4" w:space="0" w:color="auto"/>
              <w:bottom w:val="single" w:sz="4" w:space="0" w:color="auto"/>
              <w:right w:val="single" w:sz="4" w:space="0" w:color="auto"/>
            </w:tcBorders>
            <w:vAlign w:val="center"/>
          </w:tcPr>
          <w:p w14:paraId="45E95661" w14:textId="77777777" w:rsidR="002E0363" w:rsidRPr="00F37678" w:rsidRDefault="002E0363" w:rsidP="007C4097">
            <w:pPr>
              <w:pStyle w:val="Tabletext"/>
              <w:jc w:val="center"/>
              <w:rPr>
                <w:rFonts w:eastAsia="SimSun"/>
                <w:lang w:val="es-ES"/>
              </w:rPr>
            </w:pPr>
            <w:bookmarkStart w:id="19" w:name="_Hlk211242191"/>
            <w:r w:rsidRPr="00F37678">
              <w:rPr>
                <w:rFonts w:eastAsia="SimSun"/>
                <w:lang w:val="es-ES"/>
              </w:rPr>
              <w:t>13</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3A3AB92" w14:textId="77777777" w:rsidR="002E0363" w:rsidRPr="00F37678" w:rsidRDefault="002E0363" w:rsidP="00611905">
            <w:pPr>
              <w:pStyle w:val="Tabletext"/>
              <w:jc w:val="center"/>
              <w:rPr>
                <w:rFonts w:eastAsia="SimSun" w:cstheme="minorHAnsi"/>
                <w:lang w:val="es-ES"/>
              </w:rPr>
            </w:pPr>
            <w:r w:rsidRPr="00F37678">
              <w:rPr>
                <w:color w:val="000000"/>
                <w:lang w:val="es-ES"/>
              </w:rPr>
              <w:t>7RAF21102</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8F9BBD5" w14:textId="77777777" w:rsidR="002E0363" w:rsidRPr="00F37678" w:rsidRDefault="002E0363" w:rsidP="00611905">
            <w:pPr>
              <w:pStyle w:val="Tabletext"/>
              <w:jc w:val="center"/>
              <w:rPr>
                <w:rFonts w:eastAsia="SimSun" w:cstheme="minorHAnsi"/>
                <w:lang w:val="es-ES"/>
              </w:rPr>
            </w:pPr>
            <w:r w:rsidRPr="00F37678">
              <w:rPr>
                <w:color w:val="000000"/>
                <w:lang w:val="es-ES"/>
              </w:rPr>
              <w:t>Comparación de las TIC en África central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A7B244" w14:textId="77777777" w:rsidR="002E0363" w:rsidRPr="00F37678" w:rsidRDefault="002E0363" w:rsidP="00611905">
            <w:pPr>
              <w:pStyle w:val="Tabletext"/>
              <w:jc w:val="center"/>
              <w:rPr>
                <w:rFonts w:eastAsia="SimSun" w:cstheme="minorHAnsi"/>
                <w:lang w:val="es-ES"/>
              </w:rPr>
            </w:pPr>
            <w:r w:rsidRPr="00F37678">
              <w:rPr>
                <w:color w:val="000000"/>
                <w:lang w:val="es-ES"/>
              </w:rPr>
              <w:t>24/12/2024</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F6EDD60" w14:textId="3AEB1A44" w:rsidR="002E0363" w:rsidRPr="00F37678" w:rsidRDefault="002E0363" w:rsidP="00611905">
            <w:pPr>
              <w:pStyle w:val="Tabletext"/>
              <w:jc w:val="center"/>
              <w:rPr>
                <w:rFonts w:eastAsia="SimSun"/>
                <w:lang w:val="es-ES"/>
              </w:rPr>
            </w:pPr>
            <w:r w:rsidRPr="00F37678">
              <w:rPr>
                <w:color w:val="000000"/>
                <w:lang w:val="es-ES"/>
              </w:rPr>
              <w:t>Burundi, Centroafricana (Rep.), Chad, Rwanda</w:t>
            </w:r>
          </w:p>
        </w:tc>
      </w:tr>
      <w:tr w:rsidR="002E0363" w:rsidRPr="00F37678" w14:paraId="2C9B04E7" w14:textId="77777777" w:rsidTr="007C4097">
        <w:trPr>
          <w:trHeight w:val="294"/>
        </w:trPr>
        <w:tc>
          <w:tcPr>
            <w:tcW w:w="787" w:type="dxa"/>
            <w:tcMar>
              <w:left w:w="108" w:type="dxa"/>
              <w:right w:w="108" w:type="dxa"/>
            </w:tcMar>
            <w:vAlign w:val="center"/>
          </w:tcPr>
          <w:p w14:paraId="2DA75B6C" w14:textId="77777777" w:rsidR="002E0363" w:rsidRPr="00F37678" w:rsidRDefault="002E0363" w:rsidP="00EB7780">
            <w:pPr>
              <w:keepNext/>
              <w:tabs>
                <w:tab w:val="clear" w:pos="1134"/>
                <w:tab w:val="clear" w:pos="1871"/>
                <w:tab w:val="clear" w:pos="2268"/>
              </w:tabs>
              <w:spacing w:before="60" w:after="60"/>
              <w:ind w:left="24"/>
              <w:jc w:val="center"/>
              <w:rPr>
                <w:rFonts w:ascii="Calibri" w:eastAsia="SimSun" w:hAnsi="Calibri" w:cs="Calibri"/>
                <w:sz w:val="20"/>
                <w:lang w:val="es-ES"/>
              </w:rPr>
            </w:pPr>
            <w:r w:rsidRPr="00F37678">
              <w:rPr>
                <w:rFonts w:ascii="Calibri" w:eastAsia="SimSun" w:hAnsi="Calibri" w:cs="Calibri"/>
                <w:sz w:val="20"/>
                <w:lang w:val="es-ES"/>
              </w:rPr>
              <w:lastRenderedPageBreak/>
              <w:t>14</w:t>
            </w:r>
          </w:p>
        </w:tc>
        <w:tc>
          <w:tcPr>
            <w:tcW w:w="1543" w:type="dxa"/>
            <w:tcMar>
              <w:left w:w="108" w:type="dxa"/>
              <w:right w:w="108" w:type="dxa"/>
            </w:tcMar>
            <w:vAlign w:val="center"/>
          </w:tcPr>
          <w:p w14:paraId="086B18D4" w14:textId="77777777" w:rsidR="002E0363" w:rsidRPr="00F37678" w:rsidRDefault="002E0363" w:rsidP="00EB7780">
            <w:pPr>
              <w:keepNext/>
              <w:spacing w:before="60" w:after="60"/>
              <w:jc w:val="center"/>
              <w:rPr>
                <w:rFonts w:ascii="Calibri" w:eastAsia="SimSun" w:hAnsi="Calibri" w:cs="Calibri"/>
                <w:sz w:val="20"/>
                <w:lang w:val="es-ES"/>
              </w:rPr>
            </w:pPr>
            <w:r w:rsidRPr="00F37678">
              <w:rPr>
                <w:rFonts w:ascii="Calibri" w:eastAsia="SimSun" w:hAnsi="Calibri" w:cs="Calibri"/>
                <w:sz w:val="20"/>
                <w:lang w:val="es-ES"/>
              </w:rPr>
              <w:t>9RAF24105</w:t>
            </w:r>
          </w:p>
        </w:tc>
        <w:tc>
          <w:tcPr>
            <w:tcW w:w="2790" w:type="dxa"/>
            <w:tcMar>
              <w:left w:w="108" w:type="dxa"/>
              <w:right w:w="108" w:type="dxa"/>
            </w:tcMar>
          </w:tcPr>
          <w:p w14:paraId="0FA42149" w14:textId="5A759892" w:rsidR="002E0363" w:rsidRPr="00F37678" w:rsidRDefault="002E0363" w:rsidP="00EB7780">
            <w:pPr>
              <w:keepNext/>
              <w:spacing w:before="60" w:after="60"/>
              <w:jc w:val="center"/>
              <w:rPr>
                <w:rFonts w:ascii="Calibri" w:eastAsia="SimSun" w:hAnsi="Calibri" w:cs="Calibri"/>
                <w:sz w:val="20"/>
                <w:lang w:val="es-ES"/>
              </w:rPr>
            </w:pPr>
            <w:r w:rsidRPr="00F37678">
              <w:rPr>
                <w:rFonts w:ascii="Calibri" w:eastAsia="SimSun" w:hAnsi="Calibri" w:cs="Calibri"/>
                <w:sz w:val="20"/>
                <w:lang w:val="es-ES"/>
              </w:rPr>
              <w:t>Contribución de Dinamarca a la iniciativa Alertas Tempranas para todos (EW4All) (OMM</w:t>
            </w:r>
            <w:r w:rsidR="007C4097" w:rsidRPr="00F37678">
              <w:rPr>
                <w:rFonts w:ascii="Calibri" w:eastAsia="SimSun" w:hAnsi="Calibri" w:cs="Calibri"/>
                <w:sz w:val="20"/>
                <w:lang w:val="es-ES"/>
              </w:rPr>
              <w:noBreakHyphen/>
            </w:r>
            <w:r w:rsidRPr="00F37678">
              <w:rPr>
                <w:rFonts w:ascii="Calibri" w:eastAsia="SimSun" w:hAnsi="Calibri" w:cs="Calibri"/>
                <w:sz w:val="20"/>
                <w:lang w:val="es-ES"/>
              </w:rPr>
              <w:t>Dinamarca)</w:t>
            </w:r>
          </w:p>
        </w:tc>
        <w:tc>
          <w:tcPr>
            <w:tcW w:w="1440" w:type="dxa"/>
            <w:tcMar>
              <w:left w:w="108" w:type="dxa"/>
              <w:right w:w="108" w:type="dxa"/>
            </w:tcMar>
            <w:vAlign w:val="center"/>
          </w:tcPr>
          <w:p w14:paraId="269D9DB3" w14:textId="77777777" w:rsidR="002E0363" w:rsidRPr="00F37678" w:rsidRDefault="002E0363" w:rsidP="00EB7780">
            <w:pPr>
              <w:keepNext/>
              <w:spacing w:before="60" w:after="60"/>
              <w:jc w:val="center"/>
              <w:rPr>
                <w:rFonts w:ascii="Calibri" w:eastAsia="SimSun" w:hAnsi="Calibri" w:cs="Calibri"/>
                <w:sz w:val="20"/>
                <w:lang w:val="es-ES"/>
              </w:rPr>
            </w:pPr>
            <w:r w:rsidRPr="00F37678">
              <w:rPr>
                <w:rFonts w:ascii="Calibri" w:eastAsia="SimSun" w:hAnsi="Calibri" w:cs="Calibri"/>
                <w:sz w:val="20"/>
                <w:lang w:val="es-ES"/>
              </w:rPr>
              <w:t>30/09/2027</w:t>
            </w:r>
          </w:p>
        </w:tc>
        <w:tc>
          <w:tcPr>
            <w:tcW w:w="3060" w:type="dxa"/>
            <w:tcMar>
              <w:left w:w="108" w:type="dxa"/>
              <w:right w:w="108" w:type="dxa"/>
            </w:tcMar>
            <w:vAlign w:val="center"/>
          </w:tcPr>
          <w:p w14:paraId="07B7AE01" w14:textId="77777777" w:rsidR="002E0363" w:rsidRPr="00F37678" w:rsidRDefault="002E0363" w:rsidP="00EB7780">
            <w:pPr>
              <w:keepNext/>
              <w:spacing w:before="60" w:after="60"/>
              <w:jc w:val="center"/>
              <w:rPr>
                <w:rFonts w:ascii="Calibri" w:eastAsia="SimSun" w:hAnsi="Calibri" w:cs="Calibri"/>
                <w:sz w:val="20"/>
                <w:lang w:val="es-ES"/>
              </w:rPr>
            </w:pPr>
            <w:r w:rsidRPr="00F37678">
              <w:rPr>
                <w:rFonts w:ascii="Calibri" w:eastAsia="SimSun" w:hAnsi="Calibri" w:cs="Calibri"/>
                <w:sz w:val="20"/>
                <w:lang w:val="es-ES"/>
              </w:rPr>
              <w:t>Níger, Somalia, Sudán del Sur, Tanzanía, Uganda</w:t>
            </w:r>
          </w:p>
        </w:tc>
      </w:tr>
      <w:tr w:rsidR="002E0363" w:rsidRPr="00F37678" w14:paraId="3D408179" w14:textId="77777777" w:rsidTr="007C4097">
        <w:trPr>
          <w:trHeight w:val="294"/>
        </w:trPr>
        <w:tc>
          <w:tcPr>
            <w:tcW w:w="787" w:type="dxa"/>
            <w:shd w:val="clear" w:color="auto" w:fill="FFFFFF" w:themeFill="background1"/>
            <w:tcMar>
              <w:left w:w="108" w:type="dxa"/>
              <w:right w:w="108" w:type="dxa"/>
            </w:tcMar>
            <w:vAlign w:val="center"/>
          </w:tcPr>
          <w:p w14:paraId="5217CFA8" w14:textId="77777777" w:rsidR="002E0363" w:rsidRPr="00F37678" w:rsidRDefault="002E0363" w:rsidP="0040746F">
            <w:pPr>
              <w:tabs>
                <w:tab w:val="clear" w:pos="1134"/>
                <w:tab w:val="clear" w:pos="1871"/>
                <w:tab w:val="clear" w:pos="2268"/>
              </w:tabs>
              <w:spacing w:before="60" w:after="60"/>
              <w:ind w:left="24"/>
              <w:jc w:val="center"/>
              <w:rPr>
                <w:rFonts w:ascii="Calibri" w:eastAsia="SimSun" w:hAnsi="Calibri" w:cs="Calibri"/>
                <w:sz w:val="20"/>
                <w:lang w:val="es-ES"/>
              </w:rPr>
            </w:pPr>
            <w:r w:rsidRPr="00F37678">
              <w:rPr>
                <w:rFonts w:ascii="Calibri" w:eastAsia="SimSun" w:hAnsi="Calibri" w:cs="Calibri"/>
                <w:sz w:val="20"/>
                <w:lang w:val="es-ES"/>
              </w:rPr>
              <w:t>15</w:t>
            </w:r>
          </w:p>
        </w:tc>
        <w:tc>
          <w:tcPr>
            <w:tcW w:w="1543" w:type="dxa"/>
            <w:shd w:val="clear" w:color="auto" w:fill="FFFFFF" w:themeFill="background1"/>
            <w:tcMar>
              <w:left w:w="108" w:type="dxa"/>
              <w:right w:w="108" w:type="dxa"/>
            </w:tcMar>
            <w:vAlign w:val="center"/>
          </w:tcPr>
          <w:p w14:paraId="768653A5" w14:textId="77777777" w:rsidR="002E0363" w:rsidRPr="00F37678" w:rsidRDefault="002E0363" w:rsidP="007C4097">
            <w:pPr>
              <w:spacing w:before="60" w:after="60"/>
              <w:jc w:val="center"/>
              <w:rPr>
                <w:rFonts w:ascii="Calibri" w:eastAsia="SimSun" w:hAnsi="Calibri" w:cs="Calibri"/>
                <w:sz w:val="20"/>
                <w:lang w:val="es-ES"/>
              </w:rPr>
            </w:pPr>
            <w:r w:rsidRPr="00F37678">
              <w:rPr>
                <w:rFonts w:ascii="Calibri" w:eastAsia="SimSun" w:hAnsi="Calibri" w:cs="Calibri"/>
                <w:sz w:val="20"/>
                <w:lang w:val="es-ES"/>
              </w:rPr>
              <w:t>9GLO23135</w:t>
            </w:r>
          </w:p>
        </w:tc>
        <w:tc>
          <w:tcPr>
            <w:tcW w:w="2790" w:type="dxa"/>
            <w:shd w:val="clear" w:color="auto" w:fill="FFFFFF" w:themeFill="background1"/>
            <w:tcMar>
              <w:left w:w="108" w:type="dxa"/>
              <w:right w:w="108" w:type="dxa"/>
            </w:tcMar>
            <w:vAlign w:val="center"/>
          </w:tcPr>
          <w:p w14:paraId="1A43C533" w14:textId="77777777" w:rsidR="002E0363" w:rsidRPr="00F37678" w:rsidRDefault="002E0363" w:rsidP="00611905">
            <w:pPr>
              <w:spacing w:before="60" w:after="60"/>
              <w:jc w:val="center"/>
              <w:rPr>
                <w:rFonts w:ascii="Calibri" w:eastAsia="SimSun" w:hAnsi="Calibri" w:cs="Calibri"/>
                <w:sz w:val="20"/>
                <w:lang w:val="es-ES"/>
              </w:rPr>
            </w:pPr>
            <w:r w:rsidRPr="00F37678">
              <w:rPr>
                <w:rFonts w:ascii="Calibri" w:eastAsia="SimSun" w:hAnsi="Calibri" w:cs="Calibri"/>
                <w:sz w:val="20"/>
                <w:lang w:val="es-ES"/>
              </w:rPr>
              <w:t>Apoyo a las actividades futuras en Lesotho en relación con la expansión de los servicios de gobierno digital y la elaboración de estrategias digitales</w:t>
            </w:r>
          </w:p>
        </w:tc>
        <w:tc>
          <w:tcPr>
            <w:tcW w:w="1440" w:type="dxa"/>
            <w:shd w:val="clear" w:color="auto" w:fill="FFFFFF" w:themeFill="background1"/>
            <w:tcMar>
              <w:left w:w="108" w:type="dxa"/>
              <w:right w:w="108" w:type="dxa"/>
            </w:tcMar>
            <w:vAlign w:val="center"/>
          </w:tcPr>
          <w:p w14:paraId="34F0EA81" w14:textId="77777777" w:rsidR="002E0363" w:rsidRPr="00F37678" w:rsidRDefault="002E0363" w:rsidP="007C4097">
            <w:pPr>
              <w:spacing w:before="60" w:after="60"/>
              <w:jc w:val="center"/>
              <w:rPr>
                <w:rFonts w:ascii="Calibri" w:eastAsia="SimSun" w:hAnsi="Calibri" w:cs="Calibri"/>
                <w:sz w:val="20"/>
                <w:lang w:val="es-ES"/>
              </w:rPr>
            </w:pPr>
            <w:r w:rsidRPr="00F37678">
              <w:rPr>
                <w:rFonts w:ascii="Calibri" w:hAnsi="Calibri" w:cs="Calibri"/>
                <w:color w:val="000000" w:themeColor="text1"/>
                <w:sz w:val="20"/>
                <w:lang w:val="es-ES"/>
              </w:rPr>
              <w:t>31/12/2024</w:t>
            </w:r>
          </w:p>
        </w:tc>
        <w:tc>
          <w:tcPr>
            <w:tcW w:w="3060" w:type="dxa"/>
            <w:shd w:val="clear" w:color="auto" w:fill="FFFFFF" w:themeFill="background1"/>
            <w:tcMar>
              <w:left w:w="108" w:type="dxa"/>
              <w:right w:w="108" w:type="dxa"/>
            </w:tcMar>
            <w:vAlign w:val="center"/>
          </w:tcPr>
          <w:p w14:paraId="19611A74" w14:textId="77777777" w:rsidR="002E0363" w:rsidRPr="00F37678" w:rsidRDefault="002E0363" w:rsidP="007C4097">
            <w:pPr>
              <w:spacing w:before="60" w:after="60"/>
              <w:jc w:val="center"/>
              <w:rPr>
                <w:rFonts w:ascii="Calibri" w:eastAsia="SimSun" w:hAnsi="Calibri" w:cs="Calibri"/>
                <w:sz w:val="20"/>
                <w:lang w:val="es-ES"/>
              </w:rPr>
            </w:pPr>
            <w:r w:rsidRPr="00F37678">
              <w:rPr>
                <w:rFonts w:ascii="Calibri" w:eastAsia="SimSun" w:hAnsi="Calibri" w:cs="Calibri"/>
                <w:sz w:val="20"/>
                <w:lang w:val="es-ES"/>
              </w:rPr>
              <w:t>Lesotho</w:t>
            </w:r>
          </w:p>
        </w:tc>
      </w:tr>
      <w:tr w:rsidR="002E0363" w:rsidRPr="00F37678" w14:paraId="62B0830A" w14:textId="77777777" w:rsidTr="007C4097">
        <w:trPr>
          <w:trHeight w:val="294"/>
        </w:trPr>
        <w:tc>
          <w:tcPr>
            <w:tcW w:w="787" w:type="dxa"/>
            <w:shd w:val="clear" w:color="auto" w:fill="FFFFFF" w:themeFill="background1"/>
            <w:tcMar>
              <w:left w:w="108" w:type="dxa"/>
              <w:right w:w="108" w:type="dxa"/>
            </w:tcMar>
            <w:vAlign w:val="center"/>
          </w:tcPr>
          <w:p w14:paraId="6EB3D4AC" w14:textId="77777777" w:rsidR="002E0363" w:rsidRPr="00F37678" w:rsidRDefault="002E0363" w:rsidP="0040746F">
            <w:pPr>
              <w:tabs>
                <w:tab w:val="clear" w:pos="1134"/>
                <w:tab w:val="clear" w:pos="1871"/>
                <w:tab w:val="clear" w:pos="2268"/>
              </w:tabs>
              <w:spacing w:before="60" w:after="60"/>
              <w:ind w:left="24"/>
              <w:jc w:val="center"/>
              <w:rPr>
                <w:rFonts w:ascii="Calibri" w:eastAsia="SimSun" w:hAnsi="Calibri" w:cs="Calibri"/>
                <w:sz w:val="20"/>
                <w:lang w:val="es-ES"/>
              </w:rPr>
            </w:pPr>
            <w:r w:rsidRPr="00F37678">
              <w:rPr>
                <w:rFonts w:ascii="Calibri" w:eastAsia="SimSun" w:hAnsi="Calibri" w:cs="Calibri"/>
                <w:sz w:val="20"/>
                <w:lang w:val="es-ES"/>
              </w:rPr>
              <w:t>16</w:t>
            </w:r>
          </w:p>
        </w:tc>
        <w:tc>
          <w:tcPr>
            <w:tcW w:w="1543" w:type="dxa"/>
            <w:shd w:val="clear" w:color="auto" w:fill="FFFFFF" w:themeFill="background1"/>
            <w:tcMar>
              <w:left w:w="108" w:type="dxa"/>
              <w:right w:w="108" w:type="dxa"/>
            </w:tcMar>
            <w:vAlign w:val="center"/>
          </w:tcPr>
          <w:p w14:paraId="03F2C2E6" w14:textId="77777777" w:rsidR="002E0363" w:rsidRPr="00F37678" w:rsidRDefault="002E0363" w:rsidP="007C4097">
            <w:pPr>
              <w:spacing w:before="60" w:after="60"/>
              <w:jc w:val="center"/>
              <w:rPr>
                <w:rFonts w:ascii="Calibri" w:eastAsia="SimSun" w:hAnsi="Calibri" w:cs="Calibri"/>
                <w:sz w:val="20"/>
                <w:lang w:val="es-ES"/>
              </w:rPr>
            </w:pPr>
            <w:r w:rsidRPr="00F37678">
              <w:rPr>
                <w:rFonts w:ascii="Calibri" w:eastAsia="SimSun" w:hAnsi="Calibri" w:cs="Calibri"/>
                <w:sz w:val="20"/>
                <w:lang w:val="es-ES"/>
              </w:rPr>
              <w:t>7GLO24143</w:t>
            </w:r>
          </w:p>
        </w:tc>
        <w:tc>
          <w:tcPr>
            <w:tcW w:w="2790" w:type="dxa"/>
            <w:shd w:val="clear" w:color="auto" w:fill="FFFFFF" w:themeFill="background1"/>
            <w:tcMar>
              <w:left w:w="108" w:type="dxa"/>
              <w:right w:w="108" w:type="dxa"/>
            </w:tcMar>
            <w:vAlign w:val="center"/>
          </w:tcPr>
          <w:p w14:paraId="132BA123" w14:textId="77777777" w:rsidR="002E0363" w:rsidRPr="00F37678" w:rsidRDefault="002E0363" w:rsidP="0040746F">
            <w:pPr>
              <w:spacing w:before="60" w:after="60"/>
              <w:jc w:val="center"/>
              <w:rPr>
                <w:rFonts w:ascii="Calibri" w:eastAsia="SimSun" w:hAnsi="Calibri" w:cs="Calibri"/>
                <w:sz w:val="20"/>
                <w:lang w:val="es-ES"/>
              </w:rPr>
            </w:pPr>
            <w:r w:rsidRPr="00F37678">
              <w:rPr>
                <w:rFonts w:ascii="Calibri" w:eastAsia="SimSun" w:hAnsi="Calibri" w:cs="Calibri"/>
                <w:sz w:val="20"/>
                <w:lang w:val="es-ES"/>
              </w:rPr>
              <w:t>Acelerador multipartito EW4All en los PMA y los PEID</w:t>
            </w:r>
          </w:p>
          <w:p w14:paraId="0BD17C4E" w14:textId="627ADF4A" w:rsidR="002E0363" w:rsidRPr="00F37678" w:rsidRDefault="002E0363" w:rsidP="00611905">
            <w:pPr>
              <w:spacing w:before="60" w:after="60"/>
              <w:jc w:val="center"/>
              <w:rPr>
                <w:rFonts w:ascii="Calibri" w:eastAsia="SimSun" w:hAnsi="Calibri" w:cs="Calibri"/>
                <w:sz w:val="20"/>
                <w:lang w:val="es-ES"/>
              </w:rPr>
            </w:pPr>
            <w:r w:rsidRPr="00F37678">
              <w:rPr>
                <w:rFonts w:ascii="Calibri" w:eastAsia="SimSun" w:hAnsi="Calibri" w:cs="Calibri"/>
                <w:sz w:val="20"/>
                <w:lang w:val="es-ES"/>
              </w:rPr>
              <w:t xml:space="preserve">(Riesgo Climático y Sistemas de Alerta Temprana </w:t>
            </w:r>
            <w:r w:rsidR="007C4097" w:rsidRPr="00F37678">
              <w:rPr>
                <w:rFonts w:ascii="Calibri" w:eastAsia="SimSun" w:hAnsi="Calibri" w:cs="Calibri"/>
                <w:sz w:val="20"/>
                <w:lang w:val="es-ES"/>
              </w:rPr>
              <w:t>–</w:t>
            </w:r>
            <w:r w:rsidRPr="00F37678">
              <w:rPr>
                <w:rFonts w:ascii="Calibri" w:eastAsia="SimSun" w:hAnsi="Calibri" w:cs="Calibri"/>
                <w:sz w:val="20"/>
                <w:lang w:val="es-ES"/>
              </w:rPr>
              <w:t xml:space="preserve"> CREWS)</w:t>
            </w:r>
          </w:p>
        </w:tc>
        <w:tc>
          <w:tcPr>
            <w:tcW w:w="1440" w:type="dxa"/>
            <w:shd w:val="clear" w:color="auto" w:fill="FFFFFF" w:themeFill="background1"/>
            <w:tcMar>
              <w:left w:w="108" w:type="dxa"/>
              <w:right w:w="108" w:type="dxa"/>
            </w:tcMar>
            <w:vAlign w:val="center"/>
          </w:tcPr>
          <w:p w14:paraId="7E9A85D6" w14:textId="77777777" w:rsidR="002E0363" w:rsidRPr="00F37678" w:rsidRDefault="002E0363" w:rsidP="007C4097">
            <w:pPr>
              <w:spacing w:before="60" w:after="60"/>
              <w:jc w:val="center"/>
              <w:rPr>
                <w:rFonts w:ascii="Calibri" w:hAnsi="Calibri" w:cs="Calibri"/>
                <w:color w:val="000000" w:themeColor="text1"/>
                <w:sz w:val="20"/>
                <w:lang w:val="es-ES"/>
              </w:rPr>
            </w:pPr>
            <w:r w:rsidRPr="00F37678">
              <w:rPr>
                <w:rFonts w:ascii="Calibri" w:eastAsia="SimSun" w:hAnsi="Calibri" w:cs="Calibri"/>
                <w:sz w:val="20"/>
                <w:lang w:val="es-ES"/>
              </w:rPr>
              <w:t>07/10/2025</w:t>
            </w:r>
          </w:p>
        </w:tc>
        <w:tc>
          <w:tcPr>
            <w:tcW w:w="3060" w:type="dxa"/>
            <w:shd w:val="clear" w:color="auto" w:fill="FFFFFF" w:themeFill="background1"/>
            <w:tcMar>
              <w:left w:w="108" w:type="dxa"/>
              <w:right w:w="108" w:type="dxa"/>
            </w:tcMar>
            <w:vAlign w:val="center"/>
          </w:tcPr>
          <w:p w14:paraId="090D6A37" w14:textId="6D7692FC" w:rsidR="002E0363" w:rsidRPr="00F37678" w:rsidRDefault="002E0363" w:rsidP="007C4097">
            <w:pPr>
              <w:spacing w:before="60" w:after="60"/>
              <w:jc w:val="center"/>
              <w:rPr>
                <w:rFonts w:ascii="Calibri" w:eastAsia="SimSun" w:hAnsi="Calibri" w:cs="Calibri"/>
                <w:sz w:val="20"/>
                <w:lang w:val="es-ES"/>
              </w:rPr>
            </w:pPr>
            <w:r w:rsidRPr="00F37678">
              <w:rPr>
                <w:rFonts w:ascii="Calibri" w:eastAsia="SimSun" w:hAnsi="Calibri" w:cs="Calibri"/>
                <w:sz w:val="20"/>
                <w:lang w:val="es-ES"/>
              </w:rPr>
              <w:t>Nepal</w:t>
            </w:r>
          </w:p>
        </w:tc>
      </w:tr>
    </w:tbl>
    <w:bookmarkEnd w:id="19"/>
    <w:p w14:paraId="28A00647" w14:textId="77777777" w:rsidR="002E0363" w:rsidRPr="00F37678" w:rsidRDefault="002E0363" w:rsidP="002E0363">
      <w:pPr>
        <w:pStyle w:val="Headingb"/>
        <w:keepNext/>
        <w:spacing w:after="120"/>
        <w:rPr>
          <w:rFonts w:ascii="Calibri" w:eastAsia="SimSun" w:hAnsi="Calibri" w:cs="Calibri"/>
          <w:b w:val="0"/>
          <w:bCs/>
          <w:lang w:val="es-ES"/>
        </w:rPr>
      </w:pPr>
      <w:r w:rsidRPr="00F37678">
        <w:rPr>
          <w:b w:val="0"/>
          <w:bCs/>
          <w:lang w:val="es-ES"/>
        </w:rPr>
        <w:t>C)</w:t>
      </w:r>
      <w:r w:rsidRPr="00F37678">
        <w:rPr>
          <w:b w:val="0"/>
          <w:bCs/>
          <w:lang w:val="es-ES"/>
        </w:rPr>
        <w:tab/>
      </w:r>
      <w:r w:rsidRPr="00F37678">
        <w:rPr>
          <w:b w:val="0"/>
          <w:bCs/>
          <w:u w:val="single"/>
          <w:lang w:val="es-ES"/>
        </w:rPr>
        <w:t>Proyectos en curso y ejecutados en PEID entre 2023 y 2025</w:t>
      </w:r>
    </w:p>
    <w:tbl>
      <w:tblPr>
        <w:tblStyle w:val="TableGrid"/>
        <w:tblW w:w="96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6"/>
        <w:gridCol w:w="2693"/>
        <w:gridCol w:w="1607"/>
        <w:gridCol w:w="3058"/>
      </w:tblGrid>
      <w:tr w:rsidR="002E0363" w:rsidRPr="00F37678" w14:paraId="488DAAE6" w14:textId="77777777" w:rsidTr="00611905">
        <w:trPr>
          <w:trHeight w:val="285"/>
          <w:tblHeader/>
        </w:trPr>
        <w:tc>
          <w:tcPr>
            <w:tcW w:w="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D9DFF" w14:textId="77777777" w:rsidR="002E0363" w:rsidRPr="00F37678" w:rsidRDefault="002E0363" w:rsidP="00611905">
            <w:pPr>
              <w:pStyle w:val="Tablehead"/>
              <w:rPr>
                <w:rFonts w:eastAsia="SimSun"/>
                <w:lang w:val="es-ES"/>
              </w:rPr>
            </w:pP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30F0F" w14:textId="77777777" w:rsidR="002E0363" w:rsidRPr="00F37678" w:rsidRDefault="002E0363" w:rsidP="00611905">
            <w:pPr>
              <w:pStyle w:val="Tablehead"/>
              <w:rPr>
                <w:rFonts w:eastAsia="SimSun"/>
                <w:bCs/>
                <w:lang w:val="es-ES"/>
              </w:rPr>
            </w:pPr>
            <w:r w:rsidRPr="00F37678">
              <w:rPr>
                <w:bCs/>
                <w:color w:val="000000"/>
                <w:lang w:val="es-ES"/>
              </w:rPr>
              <w:t>Nº proyecto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5A0F8" w14:textId="77777777" w:rsidR="002E0363" w:rsidRPr="00F37678" w:rsidRDefault="002E0363" w:rsidP="00611905">
            <w:pPr>
              <w:pStyle w:val="Tablehead"/>
              <w:rPr>
                <w:rFonts w:eastAsia="SimSun"/>
                <w:bCs/>
                <w:lang w:val="es-ES"/>
              </w:rPr>
            </w:pPr>
            <w:r w:rsidRPr="00F37678">
              <w:rPr>
                <w:bCs/>
                <w:color w:val="000000"/>
                <w:lang w:val="es-ES"/>
              </w:rPr>
              <w:t>Título</w:t>
            </w:r>
          </w:p>
        </w:tc>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D20EF" w14:textId="77777777" w:rsidR="002E0363" w:rsidRPr="00F37678" w:rsidRDefault="002E0363" w:rsidP="00611905">
            <w:pPr>
              <w:pStyle w:val="Tablehead"/>
              <w:rPr>
                <w:rFonts w:eastAsia="SimSun"/>
                <w:bCs/>
                <w:lang w:val="es-ES"/>
              </w:rPr>
            </w:pPr>
            <w:r w:rsidRPr="00F37678">
              <w:rPr>
                <w:bCs/>
                <w:color w:val="000000"/>
                <w:lang w:val="es-ES"/>
              </w:rPr>
              <w:t>Fecha de finalización</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55EAB" w14:textId="77777777" w:rsidR="002E0363" w:rsidRPr="00F37678" w:rsidRDefault="002E0363" w:rsidP="00611905">
            <w:pPr>
              <w:pStyle w:val="Tablehead"/>
              <w:rPr>
                <w:rFonts w:eastAsia="SimSun"/>
                <w:bCs/>
                <w:lang w:val="es-ES"/>
              </w:rPr>
            </w:pPr>
            <w:r w:rsidRPr="00F37678">
              <w:rPr>
                <w:bCs/>
                <w:color w:val="000000"/>
                <w:lang w:val="es-ES"/>
              </w:rPr>
              <w:t>Países</w:t>
            </w:r>
          </w:p>
        </w:tc>
      </w:tr>
      <w:tr w:rsidR="002E0363" w:rsidRPr="00F37678" w14:paraId="387CACBA"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7DE21F27" w14:textId="77777777" w:rsidR="002E0363" w:rsidRPr="00F37678" w:rsidRDefault="002E0363" w:rsidP="00611905">
            <w:pPr>
              <w:pStyle w:val="Tabletext"/>
              <w:jc w:val="center"/>
              <w:rPr>
                <w:rFonts w:eastAsia="SimSun"/>
                <w:lang w:val="es-ES"/>
              </w:rPr>
            </w:pPr>
            <w:r w:rsidRPr="00F37678">
              <w:rPr>
                <w:rFonts w:eastAsia="SimSun"/>
                <w:lang w:val="es-ES"/>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6D2270F" w14:textId="77777777" w:rsidR="002E0363" w:rsidRPr="00F37678" w:rsidRDefault="002E0363" w:rsidP="00611905">
            <w:pPr>
              <w:pStyle w:val="Tabletext"/>
              <w:jc w:val="center"/>
              <w:rPr>
                <w:rFonts w:eastAsia="SimSun"/>
                <w:lang w:val="es-ES"/>
              </w:rPr>
            </w:pPr>
            <w:r w:rsidRPr="00F37678">
              <w:rPr>
                <w:color w:val="000000"/>
                <w:lang w:val="es-ES"/>
              </w:rPr>
              <w:t>7GLO24143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314916" w14:textId="77777777" w:rsidR="002E0363" w:rsidRPr="00F37678" w:rsidRDefault="002E0363" w:rsidP="00611905">
            <w:pPr>
              <w:pStyle w:val="Tabletext"/>
              <w:jc w:val="center"/>
              <w:rPr>
                <w:rFonts w:eastAsia="SimSun"/>
                <w:lang w:val="es-ES"/>
              </w:rPr>
            </w:pPr>
            <w:r w:rsidRPr="00F37678">
              <w:rPr>
                <w:color w:val="000000"/>
                <w:lang w:val="es-ES"/>
              </w:rPr>
              <w:t>Acelerador multipartito EW4All en los PMA y los PEID</w:t>
            </w:r>
          </w:p>
          <w:p w14:paraId="28CD9448" w14:textId="77777777" w:rsidR="002E0363" w:rsidRPr="00F37678" w:rsidRDefault="002E0363" w:rsidP="00611905">
            <w:pPr>
              <w:pStyle w:val="Tabletext"/>
              <w:jc w:val="center"/>
              <w:rPr>
                <w:rFonts w:eastAsia="SimSun"/>
                <w:lang w:val="es-ES"/>
              </w:rPr>
            </w:pPr>
            <w:r w:rsidRPr="00F37678">
              <w:rPr>
                <w:color w:val="000000"/>
                <w:lang w:val="es-ES"/>
              </w:rPr>
              <w:t>(Riesgo Climático y Sistemas de Alerta Temprana - CREWS)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1BE45FA" w14:textId="77777777" w:rsidR="002E0363" w:rsidRPr="00F37678" w:rsidRDefault="002E0363" w:rsidP="00611905">
            <w:pPr>
              <w:pStyle w:val="Tabletext"/>
              <w:jc w:val="center"/>
              <w:rPr>
                <w:rFonts w:eastAsia="SimSun"/>
                <w:lang w:val="es-ES"/>
              </w:rPr>
            </w:pPr>
            <w:r w:rsidRPr="00F37678">
              <w:rPr>
                <w:color w:val="000000"/>
                <w:lang w:val="es-ES"/>
              </w:rPr>
              <w:t>07/10/2025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B8F6E06" w14:textId="77777777" w:rsidR="002E0363" w:rsidRPr="00F37678" w:rsidRDefault="002E0363" w:rsidP="00611905">
            <w:pPr>
              <w:pStyle w:val="Tabletext"/>
              <w:jc w:val="center"/>
              <w:rPr>
                <w:rFonts w:eastAsia="SimSun"/>
                <w:lang w:val="es-ES"/>
              </w:rPr>
            </w:pPr>
            <w:r w:rsidRPr="00F37678">
              <w:rPr>
                <w:color w:val="000000"/>
                <w:lang w:val="es-ES"/>
              </w:rPr>
              <w:t>Comoras, Kiribati, Mauricio, Salomón (Islas), Tonga</w:t>
            </w:r>
          </w:p>
        </w:tc>
      </w:tr>
      <w:tr w:rsidR="002E0363" w:rsidRPr="00F37678" w14:paraId="7270CBBA" w14:textId="77777777" w:rsidTr="00611905">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21FB3F87" w14:textId="77777777" w:rsidR="002E0363" w:rsidRPr="00F37678" w:rsidRDefault="002E0363" w:rsidP="00611905">
            <w:pPr>
              <w:pStyle w:val="Tabletext"/>
              <w:jc w:val="center"/>
              <w:rPr>
                <w:rFonts w:eastAsia="SimSun"/>
                <w:lang w:val="es-ES"/>
              </w:rPr>
            </w:pPr>
            <w:r w:rsidRPr="00F37678">
              <w:rPr>
                <w:rFonts w:eastAsia="SimSun"/>
                <w:lang w:val="es-ES"/>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EC0DD5C" w14:textId="77777777" w:rsidR="002E0363" w:rsidRPr="00F37678" w:rsidRDefault="002E0363" w:rsidP="00611905">
            <w:pPr>
              <w:pStyle w:val="Tabletext"/>
              <w:jc w:val="center"/>
              <w:rPr>
                <w:rFonts w:eastAsia="SimSun"/>
                <w:lang w:val="es-ES"/>
              </w:rPr>
            </w:pPr>
            <w:r w:rsidRPr="00F37678">
              <w:rPr>
                <w:color w:val="000000"/>
                <w:lang w:val="es-ES"/>
              </w:rPr>
              <w:t>7GLO24144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F8D88F" w14:textId="77777777" w:rsidR="002E0363" w:rsidRPr="00F37678" w:rsidRDefault="002E0363" w:rsidP="00611905">
            <w:pPr>
              <w:pStyle w:val="Tabletext"/>
              <w:jc w:val="center"/>
              <w:rPr>
                <w:rFonts w:eastAsia="SimSun"/>
                <w:lang w:val="es-ES"/>
              </w:rPr>
            </w:pPr>
            <w:r w:rsidRPr="00F37678">
              <w:rPr>
                <w:color w:val="000000"/>
                <w:lang w:val="es-ES"/>
              </w:rPr>
              <w:t>Alertas Tempranas para todos (EW4ALL) – Fondos de la UIT para la ejecución de la iniciativa</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0989A06" w14:textId="77777777" w:rsidR="002E0363" w:rsidRPr="00F37678" w:rsidRDefault="002E0363" w:rsidP="00611905">
            <w:pPr>
              <w:pStyle w:val="Tabletext"/>
              <w:jc w:val="center"/>
              <w:rPr>
                <w:rFonts w:eastAsia="SimSun"/>
                <w:lang w:val="es-ES"/>
              </w:rPr>
            </w:pPr>
            <w:r w:rsidRPr="00F37678">
              <w:rPr>
                <w:color w:val="000000"/>
                <w:lang w:val="es-ES"/>
              </w:rPr>
              <w:t>30/09/2027</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959BB3D" w14:textId="77777777" w:rsidR="002E0363" w:rsidRPr="00F37678" w:rsidRDefault="002E0363" w:rsidP="00611905">
            <w:pPr>
              <w:pStyle w:val="Tabletext"/>
              <w:jc w:val="center"/>
              <w:rPr>
                <w:rFonts w:eastAsia="SimSun"/>
                <w:lang w:val="es-ES"/>
              </w:rPr>
            </w:pPr>
            <w:r w:rsidRPr="00F37678">
              <w:rPr>
                <w:color w:val="000000"/>
                <w:lang w:val="es-ES"/>
              </w:rPr>
              <w:t>Cabo Verde, Guyana, Santo Tomé y Príncipe</w:t>
            </w:r>
          </w:p>
        </w:tc>
      </w:tr>
      <w:tr w:rsidR="002E0363" w:rsidRPr="00F37678" w14:paraId="52FAE7AE"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6C44A417" w14:textId="77777777" w:rsidR="002E0363" w:rsidRPr="00F37678" w:rsidRDefault="002E0363" w:rsidP="00611905">
            <w:pPr>
              <w:pStyle w:val="Tabletext"/>
              <w:jc w:val="center"/>
              <w:rPr>
                <w:rFonts w:eastAsia="SimSun"/>
                <w:lang w:val="es-ES"/>
              </w:rPr>
            </w:pPr>
            <w:r w:rsidRPr="00F37678">
              <w:rPr>
                <w:rFonts w:eastAsia="SimSun"/>
                <w:lang w:val="es-ES"/>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057FA92" w14:textId="77777777" w:rsidR="002E0363" w:rsidRPr="00F37678" w:rsidRDefault="002E0363" w:rsidP="00611905">
            <w:pPr>
              <w:pStyle w:val="Tabletext"/>
              <w:jc w:val="center"/>
              <w:rPr>
                <w:rFonts w:eastAsia="SimSun"/>
                <w:lang w:val="es-ES"/>
              </w:rPr>
            </w:pPr>
            <w:r w:rsidRPr="00F37678">
              <w:rPr>
                <w:color w:val="000000"/>
                <w:lang w:val="es-ES"/>
              </w:rPr>
              <w:t>7GLO24146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348263" w14:textId="77777777" w:rsidR="002E0363" w:rsidRPr="00F37678" w:rsidRDefault="002E0363" w:rsidP="00611905">
            <w:pPr>
              <w:pStyle w:val="Tabletext"/>
              <w:jc w:val="center"/>
              <w:rPr>
                <w:rFonts w:eastAsia="SimSun"/>
                <w:lang w:val="es-ES"/>
              </w:rPr>
            </w:pPr>
            <w:r w:rsidRPr="00F37678">
              <w:rPr>
                <w:color w:val="000000"/>
                <w:lang w:val="es-ES"/>
              </w:rPr>
              <w:t>Segunda fase del proyecto Cyber for Good (MSIT)</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B7AF783" w14:textId="77777777" w:rsidR="002E0363" w:rsidRPr="00F37678" w:rsidRDefault="002E0363" w:rsidP="00611905">
            <w:pPr>
              <w:pStyle w:val="Tabletext"/>
              <w:jc w:val="center"/>
              <w:rPr>
                <w:rFonts w:eastAsia="SimSun"/>
                <w:lang w:val="es-ES"/>
              </w:rPr>
            </w:pPr>
            <w:r w:rsidRPr="00F37678">
              <w:rPr>
                <w:color w:val="000000"/>
                <w:lang w:val="es-ES"/>
              </w:rPr>
              <w:t>31/12/2026</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7765DD8" w14:textId="469048A4" w:rsidR="002E0363" w:rsidRPr="00F37678" w:rsidRDefault="002E0363" w:rsidP="00611905">
            <w:pPr>
              <w:pStyle w:val="Tabletext"/>
              <w:jc w:val="center"/>
              <w:rPr>
                <w:rFonts w:eastAsia="SimSun"/>
                <w:lang w:val="es-ES"/>
              </w:rPr>
            </w:pPr>
            <w:r w:rsidRPr="00F37678">
              <w:rPr>
                <w:color w:val="000000"/>
                <w:lang w:val="es-ES"/>
              </w:rPr>
              <w:t>Antigua y Barbuda, Bahamas, Barbados, Belice, Cabo Verde, Comoras, Cuba, Dominica, Dominicana (República), Fiji, Granada, Guinea-Bissau, Guyana, Haití, Jamaica, Kiribati, Maldivas, Marshall (Islas), Mauricio, Micronesia, Nauru, Palau, Papua Nueva Guinea, Saint Kitts y Nevis, Salomón (Islas), Santa Lucía, San Vicente y las Granadinas, Samoa, Santo Tomé y Príncipe, Seychelles, Singapur, Timor-Leste, Tonga, Trinidad y Tabago, Tuvalu, Vanuatu</w:t>
            </w:r>
          </w:p>
        </w:tc>
      </w:tr>
      <w:tr w:rsidR="002E0363" w:rsidRPr="00F37678" w14:paraId="5D4E3E19"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7E96F199" w14:textId="77777777" w:rsidR="002E0363" w:rsidRPr="00F37678" w:rsidRDefault="002E0363" w:rsidP="00611905">
            <w:pPr>
              <w:pStyle w:val="Tabletext"/>
              <w:jc w:val="center"/>
              <w:rPr>
                <w:rFonts w:eastAsia="SimSun"/>
                <w:lang w:val="es-ES"/>
              </w:rPr>
            </w:pPr>
            <w:r w:rsidRPr="00F37678">
              <w:rPr>
                <w:rFonts w:eastAsia="SimSun"/>
                <w:lang w:val="es-ES"/>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FBF704A" w14:textId="77777777" w:rsidR="002E0363" w:rsidRPr="00F37678" w:rsidRDefault="002E0363" w:rsidP="00611905">
            <w:pPr>
              <w:pStyle w:val="Tabletext"/>
              <w:jc w:val="center"/>
              <w:rPr>
                <w:rFonts w:eastAsia="SimSun"/>
                <w:lang w:val="es-ES"/>
              </w:rPr>
            </w:pPr>
            <w:r w:rsidRPr="00F37678">
              <w:rPr>
                <w:color w:val="000000"/>
                <w:lang w:val="es-ES"/>
              </w:rPr>
              <w:t>7RAS24076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43D4DF" w14:textId="77777777" w:rsidR="002E0363" w:rsidRPr="00F37678" w:rsidRDefault="002E0363" w:rsidP="00611905">
            <w:pPr>
              <w:pStyle w:val="Tabletext"/>
              <w:jc w:val="center"/>
              <w:rPr>
                <w:rFonts w:eastAsia="SimSun"/>
                <w:lang w:val="es-ES"/>
              </w:rPr>
            </w:pPr>
            <w:r w:rsidRPr="00F37678">
              <w:rPr>
                <w:color w:val="000000"/>
                <w:lang w:val="es-ES"/>
              </w:rPr>
              <w:t>Estudio de viabilidad: Atender las necesidades especiales en materia de telecomunicaciones y TIC de los pequeños Estados insulares en desarrollo (PEID) del Pacífico</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B4A50F2" w14:textId="77777777" w:rsidR="002E0363" w:rsidRPr="00F37678" w:rsidRDefault="002E0363" w:rsidP="00611905">
            <w:pPr>
              <w:pStyle w:val="Tabletext"/>
              <w:jc w:val="center"/>
              <w:rPr>
                <w:rFonts w:eastAsia="SimSun"/>
                <w:lang w:val="es-ES"/>
              </w:rPr>
            </w:pPr>
            <w:r w:rsidRPr="00F37678">
              <w:rPr>
                <w:color w:val="000000"/>
                <w:lang w:val="es-ES"/>
              </w:rPr>
              <w:t>31/12/2025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D1016FA" w14:textId="283F8D67" w:rsidR="002E0363" w:rsidRPr="00F37678" w:rsidRDefault="002E0363" w:rsidP="00611905">
            <w:pPr>
              <w:pStyle w:val="Tabletext"/>
              <w:jc w:val="center"/>
              <w:rPr>
                <w:rFonts w:eastAsia="SimSun"/>
                <w:lang w:val="es-ES"/>
              </w:rPr>
            </w:pPr>
            <w:r w:rsidRPr="00F37678">
              <w:rPr>
                <w:color w:val="000000"/>
                <w:lang w:val="es-ES"/>
              </w:rPr>
              <w:t>Fiji, Kiribati, Marshall (Islas), Micronesia, Nauru, Palau, Papua Nueva Guinea, Samoa, Salomón (Islas), Tonga, Tuvalu, Vanuatu.</w:t>
            </w:r>
          </w:p>
        </w:tc>
      </w:tr>
      <w:tr w:rsidR="002E0363" w:rsidRPr="00F37678" w14:paraId="3145249E" w14:textId="77777777" w:rsidTr="00611905">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1DB137A6" w14:textId="77777777" w:rsidR="002E0363" w:rsidRPr="00F37678" w:rsidRDefault="002E0363" w:rsidP="00611905">
            <w:pPr>
              <w:pStyle w:val="Tabletext"/>
              <w:jc w:val="center"/>
              <w:rPr>
                <w:rFonts w:eastAsia="SimSun"/>
                <w:lang w:val="es-ES"/>
              </w:rPr>
            </w:pPr>
            <w:r w:rsidRPr="00F37678">
              <w:rPr>
                <w:rFonts w:eastAsia="SimSun"/>
                <w:lang w:val="es-ES"/>
              </w:rPr>
              <w:lastRenderedPageBreak/>
              <w: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2B0AABB" w14:textId="77777777" w:rsidR="002E0363" w:rsidRPr="00F37678" w:rsidRDefault="002E0363" w:rsidP="00611905">
            <w:pPr>
              <w:pStyle w:val="Tabletext"/>
              <w:jc w:val="center"/>
              <w:rPr>
                <w:rFonts w:eastAsia="SimSun"/>
                <w:lang w:val="es-ES"/>
              </w:rPr>
            </w:pPr>
            <w:r w:rsidRPr="00F37678">
              <w:rPr>
                <w:color w:val="000000"/>
                <w:lang w:val="es-ES"/>
              </w:rPr>
              <w:t>9GLO24137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E929017" w14:textId="77777777" w:rsidR="002E0363" w:rsidRPr="00F37678" w:rsidRDefault="002E0363" w:rsidP="00611905">
            <w:pPr>
              <w:pStyle w:val="Tabletext"/>
              <w:jc w:val="center"/>
              <w:rPr>
                <w:rFonts w:eastAsia="SimSun"/>
                <w:lang w:val="es-ES"/>
              </w:rPr>
            </w:pPr>
            <w:r w:rsidRPr="00F37678">
              <w:rPr>
                <w:color w:val="000000"/>
                <w:lang w:val="es-ES"/>
              </w:rPr>
              <w:t>Acelerador multipartito EW4All en los PMA y los PEID (financiación de Suecia y la UNDRR)</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7AE9920" w14:textId="77777777" w:rsidR="002E0363" w:rsidRPr="00F37678" w:rsidRDefault="002E0363" w:rsidP="00611905">
            <w:pPr>
              <w:pStyle w:val="Tabletext"/>
              <w:jc w:val="center"/>
              <w:rPr>
                <w:rFonts w:eastAsia="SimSun"/>
                <w:lang w:val="es-ES"/>
              </w:rPr>
            </w:pPr>
            <w:r w:rsidRPr="00F37678">
              <w:rPr>
                <w:color w:val="000000"/>
                <w:lang w:val="es-ES"/>
              </w:rPr>
              <w:t>30/06/2025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0352124" w14:textId="77777777" w:rsidR="002E0363" w:rsidRPr="00F37678" w:rsidRDefault="002E0363" w:rsidP="00611905">
            <w:pPr>
              <w:pStyle w:val="Tabletext"/>
              <w:jc w:val="center"/>
              <w:rPr>
                <w:rFonts w:eastAsia="SimSun"/>
                <w:lang w:val="es-ES"/>
              </w:rPr>
            </w:pPr>
            <w:r w:rsidRPr="00F37678">
              <w:rPr>
                <w:color w:val="000000"/>
                <w:lang w:val="es-ES"/>
              </w:rPr>
              <w:t>Haití</w:t>
            </w:r>
          </w:p>
        </w:tc>
      </w:tr>
      <w:tr w:rsidR="002E0363" w:rsidRPr="00F37678" w14:paraId="096CCC0E" w14:textId="77777777" w:rsidTr="00611905">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449A8043" w14:textId="77777777" w:rsidR="002E0363" w:rsidRPr="00F37678" w:rsidRDefault="002E0363" w:rsidP="00611905">
            <w:pPr>
              <w:pStyle w:val="Tabletext"/>
              <w:jc w:val="center"/>
              <w:rPr>
                <w:rFonts w:eastAsia="SimSun"/>
                <w:lang w:val="es-ES"/>
              </w:rPr>
            </w:pPr>
            <w:r w:rsidRPr="00F37678">
              <w:rPr>
                <w:rFonts w:eastAsia="SimSun"/>
                <w:lang w:val="es-ES"/>
              </w:rPr>
              <w: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6377363" w14:textId="77777777" w:rsidR="002E0363" w:rsidRPr="00F37678" w:rsidRDefault="002E0363" w:rsidP="00611905">
            <w:pPr>
              <w:pStyle w:val="Tabletext"/>
              <w:jc w:val="center"/>
              <w:rPr>
                <w:rFonts w:eastAsia="SimSun"/>
                <w:lang w:val="es-ES"/>
              </w:rPr>
            </w:pPr>
            <w:r w:rsidRPr="00F37678">
              <w:rPr>
                <w:color w:val="000000"/>
                <w:lang w:val="es-ES"/>
              </w:rPr>
              <w:t>9RCA24005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529021" w14:textId="77777777" w:rsidR="002E0363" w:rsidRPr="00F37678" w:rsidRDefault="002E0363" w:rsidP="00611905">
            <w:pPr>
              <w:pStyle w:val="Tabletext"/>
              <w:jc w:val="center"/>
              <w:rPr>
                <w:rFonts w:eastAsia="SimSun"/>
                <w:lang w:val="es-ES"/>
              </w:rPr>
            </w:pPr>
            <w:r w:rsidRPr="00F37678">
              <w:rPr>
                <w:color w:val="000000"/>
                <w:lang w:val="es-ES"/>
              </w:rPr>
              <w:t>Innovación reglamentaria regional para América central – Entorno de pruebas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27022DF" w14:textId="77777777" w:rsidR="002E0363" w:rsidRPr="00F37678" w:rsidRDefault="002E0363" w:rsidP="00611905">
            <w:pPr>
              <w:pStyle w:val="Tabletext"/>
              <w:jc w:val="center"/>
              <w:rPr>
                <w:rFonts w:eastAsia="SimSun"/>
                <w:lang w:val="es-ES"/>
              </w:rPr>
            </w:pPr>
            <w:r w:rsidRPr="00F37678">
              <w:rPr>
                <w:color w:val="000000"/>
                <w:lang w:val="es-ES"/>
              </w:rPr>
              <w:t>31/10/2027</w:t>
            </w:r>
          </w:p>
        </w:tc>
        <w:tc>
          <w:tcPr>
            <w:tcW w:w="3058" w:type="dxa"/>
            <w:tcBorders>
              <w:top w:val="single" w:sz="4" w:space="0" w:color="auto"/>
              <w:left w:val="single" w:sz="4" w:space="0" w:color="auto"/>
              <w:bottom w:val="single" w:sz="4" w:space="0" w:color="auto"/>
              <w:right w:val="single" w:sz="4" w:space="0" w:color="auto"/>
            </w:tcBorders>
            <w:vAlign w:val="center"/>
            <w:hideMark/>
          </w:tcPr>
          <w:p w14:paraId="42F69988" w14:textId="29206962" w:rsidR="002E0363" w:rsidRPr="00F37678" w:rsidRDefault="002E0363" w:rsidP="00611905">
            <w:pPr>
              <w:pStyle w:val="Tabletext"/>
              <w:jc w:val="center"/>
              <w:rPr>
                <w:rFonts w:eastAsia="SimSun"/>
                <w:lang w:val="es-ES"/>
              </w:rPr>
            </w:pPr>
            <w:r w:rsidRPr="00F37678">
              <w:rPr>
                <w:color w:val="000000"/>
                <w:lang w:val="es-ES"/>
              </w:rPr>
              <w:t>Belice, Dominicana (República)</w:t>
            </w:r>
          </w:p>
        </w:tc>
      </w:tr>
      <w:tr w:rsidR="002E0363" w:rsidRPr="00F37678" w14:paraId="78D785BF" w14:textId="77777777" w:rsidTr="00611905">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2DDCD9CD" w14:textId="77777777" w:rsidR="002E0363" w:rsidRPr="00F37678" w:rsidRDefault="002E0363" w:rsidP="00611905">
            <w:pPr>
              <w:pStyle w:val="Tabletext"/>
              <w:jc w:val="center"/>
              <w:rPr>
                <w:rFonts w:eastAsia="SimSun"/>
                <w:lang w:val="es-ES"/>
              </w:rPr>
            </w:pPr>
            <w:r w:rsidRPr="00F37678">
              <w:rPr>
                <w:rFonts w:eastAsia="SimSun"/>
                <w:lang w:val="es-ES"/>
              </w:rPr>
              <w:t>7</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C9C6777" w14:textId="77777777" w:rsidR="002E0363" w:rsidRPr="00F37678" w:rsidRDefault="002E0363" w:rsidP="00611905">
            <w:pPr>
              <w:pStyle w:val="Tabletext"/>
              <w:jc w:val="center"/>
              <w:rPr>
                <w:rFonts w:eastAsia="SimSun"/>
                <w:lang w:val="es-ES"/>
              </w:rPr>
            </w:pPr>
            <w:r w:rsidRPr="00F37678">
              <w:rPr>
                <w:color w:val="000000"/>
                <w:lang w:val="es-ES"/>
              </w:rPr>
              <w:t>9STP24004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9F979" w14:textId="77777777" w:rsidR="002E0363" w:rsidRPr="00F37678" w:rsidRDefault="002E0363" w:rsidP="00611905">
            <w:pPr>
              <w:pStyle w:val="Tabletext"/>
              <w:jc w:val="center"/>
              <w:rPr>
                <w:rFonts w:eastAsia="SimSun"/>
                <w:lang w:val="es-ES"/>
              </w:rPr>
            </w:pPr>
            <w:r w:rsidRPr="00F37678">
              <w:rPr>
                <w:color w:val="000000"/>
                <w:lang w:val="es-ES"/>
              </w:rPr>
              <w:t>Proyecto de conectividad escolar Giga – Santo Tomé y Príncipe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6248E78" w14:textId="77777777" w:rsidR="002E0363" w:rsidRPr="00F37678" w:rsidRDefault="002E0363" w:rsidP="00611905">
            <w:pPr>
              <w:pStyle w:val="Tabletext"/>
              <w:jc w:val="center"/>
              <w:rPr>
                <w:rFonts w:eastAsia="SimSun"/>
                <w:lang w:val="es-ES"/>
              </w:rPr>
            </w:pPr>
            <w:r w:rsidRPr="00F37678">
              <w:rPr>
                <w:color w:val="000000"/>
                <w:lang w:val="es-ES"/>
              </w:rPr>
              <w:t>31/12/2024</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37A6092" w14:textId="77777777" w:rsidR="002E0363" w:rsidRPr="00F37678" w:rsidRDefault="002E0363" w:rsidP="00611905">
            <w:pPr>
              <w:pStyle w:val="Tabletext"/>
              <w:jc w:val="center"/>
              <w:rPr>
                <w:rFonts w:eastAsia="SimSun"/>
                <w:lang w:val="es-ES"/>
              </w:rPr>
            </w:pPr>
            <w:r w:rsidRPr="00F37678">
              <w:rPr>
                <w:color w:val="000000"/>
                <w:lang w:val="es-ES"/>
              </w:rPr>
              <w:t>Santo Tomé y Príncipe</w:t>
            </w:r>
          </w:p>
        </w:tc>
      </w:tr>
      <w:tr w:rsidR="002E0363" w:rsidRPr="00F37678" w14:paraId="580D9CDD" w14:textId="77777777" w:rsidTr="00611905">
        <w:trPr>
          <w:trHeight w:val="705"/>
        </w:trPr>
        <w:tc>
          <w:tcPr>
            <w:tcW w:w="841" w:type="dxa"/>
            <w:tcBorders>
              <w:top w:val="single" w:sz="4" w:space="0" w:color="auto"/>
              <w:left w:val="single" w:sz="4" w:space="0" w:color="auto"/>
              <w:bottom w:val="single" w:sz="4" w:space="0" w:color="auto"/>
              <w:right w:val="single" w:sz="4" w:space="0" w:color="auto"/>
            </w:tcBorders>
            <w:vAlign w:val="center"/>
          </w:tcPr>
          <w:p w14:paraId="7F32DFE0" w14:textId="77777777" w:rsidR="002E0363" w:rsidRPr="00F37678" w:rsidRDefault="002E0363" w:rsidP="00611905">
            <w:pPr>
              <w:pStyle w:val="Tabletext"/>
              <w:jc w:val="center"/>
              <w:rPr>
                <w:rFonts w:eastAsia="SimSun"/>
                <w:lang w:val="es-ES"/>
              </w:rPr>
            </w:pPr>
            <w:r w:rsidRPr="00F37678">
              <w:rPr>
                <w:rFonts w:eastAsia="SimSun"/>
                <w:lang w:val="es-ES"/>
              </w:rPr>
              <w:t>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DC39F5E" w14:textId="77777777" w:rsidR="002E0363" w:rsidRPr="00F37678" w:rsidRDefault="002E0363" w:rsidP="00611905">
            <w:pPr>
              <w:pStyle w:val="Tabletext"/>
              <w:jc w:val="center"/>
              <w:rPr>
                <w:rFonts w:eastAsia="SimSun"/>
                <w:lang w:val="es-ES"/>
              </w:rPr>
            </w:pPr>
            <w:r w:rsidRPr="00F37678">
              <w:rPr>
                <w:color w:val="000000"/>
                <w:lang w:val="es-ES"/>
              </w:rPr>
              <w:t>7GLO25151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C5B0E4" w14:textId="77777777" w:rsidR="002E0363" w:rsidRPr="00F37678" w:rsidRDefault="002E0363" w:rsidP="00611905">
            <w:pPr>
              <w:pStyle w:val="Tabletext"/>
              <w:jc w:val="center"/>
              <w:rPr>
                <w:rFonts w:eastAsia="SimSun"/>
                <w:lang w:val="es-ES"/>
              </w:rPr>
            </w:pPr>
            <w:r w:rsidRPr="00F37678">
              <w:rPr>
                <w:color w:val="000000"/>
                <w:lang w:val="es-ES"/>
              </w:rPr>
              <w:t>Fase III del programa Her Cyber Tracks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F1FE935" w14:textId="77777777" w:rsidR="002E0363" w:rsidRPr="00F37678" w:rsidRDefault="002E0363" w:rsidP="00611905">
            <w:pPr>
              <w:pStyle w:val="Tabletext"/>
              <w:jc w:val="center"/>
              <w:rPr>
                <w:rFonts w:eastAsia="SimSun"/>
                <w:lang w:val="es-ES"/>
              </w:rPr>
            </w:pPr>
            <w:r w:rsidRPr="00F37678">
              <w:rPr>
                <w:color w:val="000000"/>
                <w:lang w:val="es-ES"/>
              </w:rPr>
              <w:t>28/02/2026</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6424995" w14:textId="77777777" w:rsidR="002E0363" w:rsidRPr="00F37678" w:rsidRDefault="002E0363" w:rsidP="00611905">
            <w:pPr>
              <w:pStyle w:val="Tabletext"/>
              <w:jc w:val="center"/>
              <w:rPr>
                <w:rFonts w:eastAsia="SimSun"/>
                <w:lang w:val="es-ES"/>
              </w:rPr>
            </w:pPr>
            <w:r w:rsidRPr="00F37678">
              <w:rPr>
                <w:color w:val="000000"/>
                <w:lang w:val="es-ES"/>
              </w:rPr>
              <w:t>Cabo Verde, Guinea-Bissau.</w:t>
            </w:r>
          </w:p>
        </w:tc>
      </w:tr>
      <w:tr w:rsidR="002E0363" w:rsidRPr="00F37678" w14:paraId="2C8194FA"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D47ABEB" w14:textId="77777777" w:rsidR="002E0363" w:rsidRPr="00F37678" w:rsidRDefault="002E0363" w:rsidP="00611905">
            <w:pPr>
              <w:pStyle w:val="Tabletext"/>
              <w:jc w:val="center"/>
              <w:rPr>
                <w:rFonts w:eastAsia="SimSun"/>
                <w:lang w:val="es-ES"/>
              </w:rPr>
            </w:pPr>
            <w:r w:rsidRPr="00F37678">
              <w:rPr>
                <w:rFonts w:eastAsia="SimSun"/>
                <w:lang w:val="es-ES"/>
              </w:rPr>
              <w:t>9</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19B23D8" w14:textId="77777777" w:rsidR="002E0363" w:rsidRPr="00F37678" w:rsidRDefault="002E0363" w:rsidP="00611905">
            <w:pPr>
              <w:pStyle w:val="Tabletext"/>
              <w:jc w:val="center"/>
              <w:rPr>
                <w:rFonts w:eastAsia="SimSun"/>
                <w:lang w:val="es-ES"/>
              </w:rPr>
            </w:pPr>
            <w:r w:rsidRPr="00F37678">
              <w:rPr>
                <w:color w:val="000000"/>
                <w:lang w:val="es-ES"/>
              </w:rPr>
              <w:t>9RAS25002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BB0EA1" w14:textId="77777777" w:rsidR="002E0363" w:rsidRPr="00F37678" w:rsidRDefault="002E0363" w:rsidP="00611905">
            <w:pPr>
              <w:pStyle w:val="Tabletext"/>
              <w:jc w:val="center"/>
              <w:rPr>
                <w:rFonts w:eastAsia="SimSun"/>
                <w:lang w:val="es-ES"/>
              </w:rPr>
            </w:pPr>
            <w:r w:rsidRPr="00F37678">
              <w:rPr>
                <w:color w:val="000000"/>
                <w:lang w:val="es-ES"/>
              </w:rPr>
              <w:t>Mejora de la infraestructura digital y de la asequibilidad del acceso a servicios de TIC en Asia y el Pacífico</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E2D054F" w14:textId="77777777" w:rsidR="002E0363" w:rsidRPr="00F37678" w:rsidRDefault="002E0363" w:rsidP="00611905">
            <w:pPr>
              <w:pStyle w:val="Tabletext"/>
              <w:jc w:val="center"/>
              <w:rPr>
                <w:rFonts w:eastAsia="SimSun"/>
                <w:lang w:val="es-ES"/>
              </w:rPr>
            </w:pPr>
            <w:r w:rsidRPr="00F37678">
              <w:rPr>
                <w:color w:val="000000"/>
                <w:lang w:val="es-ES"/>
              </w:rPr>
              <w:t>30/11/2027</w:t>
            </w:r>
          </w:p>
        </w:tc>
        <w:tc>
          <w:tcPr>
            <w:tcW w:w="3058" w:type="dxa"/>
            <w:tcBorders>
              <w:top w:val="single" w:sz="4" w:space="0" w:color="auto"/>
              <w:left w:val="single" w:sz="4" w:space="0" w:color="auto"/>
              <w:bottom w:val="single" w:sz="4" w:space="0" w:color="auto"/>
              <w:right w:val="single" w:sz="4" w:space="0" w:color="auto"/>
            </w:tcBorders>
            <w:vAlign w:val="center"/>
            <w:hideMark/>
          </w:tcPr>
          <w:p w14:paraId="2031AB33" w14:textId="77777777" w:rsidR="002E0363" w:rsidRPr="00F37678" w:rsidRDefault="002E0363" w:rsidP="00611905">
            <w:pPr>
              <w:pStyle w:val="Tabletext"/>
              <w:jc w:val="center"/>
              <w:rPr>
                <w:rFonts w:eastAsia="SimSun"/>
                <w:lang w:val="es-ES"/>
              </w:rPr>
            </w:pPr>
            <w:r w:rsidRPr="00F37678">
              <w:rPr>
                <w:color w:val="000000"/>
                <w:lang w:val="es-ES"/>
              </w:rPr>
              <w:t>Maldivas, Marshall (Islas), Nauru, Papua Nueva Guinea, Vanuatu.</w:t>
            </w:r>
          </w:p>
        </w:tc>
      </w:tr>
      <w:tr w:rsidR="002E0363" w:rsidRPr="00F37678" w14:paraId="51D11B73"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023CFF4F" w14:textId="77777777" w:rsidR="002E0363" w:rsidRPr="00F37678" w:rsidRDefault="002E0363" w:rsidP="00611905">
            <w:pPr>
              <w:pStyle w:val="Tabletext"/>
              <w:jc w:val="center"/>
              <w:rPr>
                <w:rFonts w:eastAsia="SimSun"/>
                <w:lang w:val="es-ES"/>
              </w:rPr>
            </w:pPr>
            <w:r w:rsidRPr="00F37678">
              <w:rPr>
                <w:rFonts w:eastAsia="SimSun"/>
                <w:lang w:val="es-ES"/>
              </w:rPr>
              <w:t>10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1B2DEC" w14:textId="77777777" w:rsidR="002E0363" w:rsidRPr="00F37678" w:rsidRDefault="002E0363" w:rsidP="00611905">
            <w:pPr>
              <w:pStyle w:val="Tabletext"/>
              <w:jc w:val="center"/>
              <w:rPr>
                <w:rFonts w:eastAsia="SimSun"/>
                <w:lang w:val="es-ES"/>
              </w:rPr>
            </w:pPr>
            <w:r w:rsidRPr="00F37678">
              <w:rPr>
                <w:color w:val="000000"/>
                <w:lang w:val="es-ES"/>
              </w:rPr>
              <w:t>9DOM23004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BDA7BB" w14:textId="77777777" w:rsidR="002E0363" w:rsidRPr="00F37678" w:rsidRDefault="002E0363" w:rsidP="00611905">
            <w:pPr>
              <w:pStyle w:val="Tabletext"/>
              <w:jc w:val="center"/>
              <w:rPr>
                <w:rFonts w:eastAsia="SimSun"/>
                <w:lang w:val="es-ES"/>
              </w:rPr>
            </w:pPr>
            <w:r w:rsidRPr="00F37678">
              <w:rPr>
                <w:color w:val="000000"/>
                <w:lang w:val="es-ES"/>
              </w:rPr>
              <w:t>Soporte institucional al Instituto Dominicano de las Telecomunicaciones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0D87830" w14:textId="77777777" w:rsidR="002E0363" w:rsidRPr="00F37678" w:rsidRDefault="002E0363" w:rsidP="00611905">
            <w:pPr>
              <w:pStyle w:val="Tabletext"/>
              <w:jc w:val="center"/>
              <w:rPr>
                <w:rFonts w:eastAsia="SimSun"/>
                <w:lang w:val="es-ES"/>
              </w:rPr>
            </w:pPr>
            <w:r w:rsidRPr="00F37678">
              <w:rPr>
                <w:color w:val="000000"/>
                <w:lang w:val="es-ES"/>
              </w:rPr>
              <w:t>28/2/2025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B87BFAC" w14:textId="77777777" w:rsidR="002E0363" w:rsidRPr="00F37678" w:rsidRDefault="002E0363" w:rsidP="00611905">
            <w:pPr>
              <w:pStyle w:val="Tabletext"/>
              <w:jc w:val="center"/>
              <w:rPr>
                <w:rFonts w:eastAsia="SimSun"/>
                <w:lang w:val="es-ES"/>
              </w:rPr>
            </w:pPr>
            <w:r w:rsidRPr="00F37678">
              <w:rPr>
                <w:color w:val="000000"/>
                <w:lang w:val="es-ES"/>
              </w:rPr>
              <w:t>Dominicana (República)</w:t>
            </w:r>
          </w:p>
        </w:tc>
      </w:tr>
      <w:tr w:rsidR="002E0363" w:rsidRPr="00F37678" w14:paraId="72947FBB"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5E16EF41" w14:textId="77777777" w:rsidR="002E0363" w:rsidRPr="00F37678" w:rsidRDefault="002E0363" w:rsidP="00611905">
            <w:pPr>
              <w:pStyle w:val="Tabletext"/>
              <w:jc w:val="center"/>
              <w:rPr>
                <w:rFonts w:eastAsia="SimSun"/>
                <w:lang w:val="es-ES"/>
              </w:rPr>
            </w:pPr>
            <w:r w:rsidRPr="00F37678">
              <w:rPr>
                <w:rFonts w:eastAsia="SimSun"/>
                <w:lang w:val="es-ES"/>
              </w:rPr>
              <w:t>11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0E580B5" w14:textId="77777777" w:rsidR="002E0363" w:rsidRPr="00F37678" w:rsidRDefault="002E0363" w:rsidP="00611905">
            <w:pPr>
              <w:pStyle w:val="Tabletext"/>
              <w:jc w:val="center"/>
              <w:rPr>
                <w:rFonts w:eastAsia="SimSun"/>
                <w:lang w:val="es-ES"/>
              </w:rPr>
            </w:pPr>
            <w:r w:rsidRPr="00F37678">
              <w:rPr>
                <w:color w:val="000000"/>
                <w:lang w:val="es-ES"/>
              </w:rPr>
              <w:t>9RLA23022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876F66" w14:textId="77777777" w:rsidR="002E0363" w:rsidRPr="00F37678" w:rsidRDefault="002E0363" w:rsidP="00611905">
            <w:pPr>
              <w:pStyle w:val="Tabletext"/>
              <w:jc w:val="center"/>
              <w:rPr>
                <w:rFonts w:eastAsia="SimSun"/>
                <w:lang w:val="es-ES"/>
              </w:rPr>
            </w:pPr>
            <w:r w:rsidRPr="00F37678">
              <w:rPr>
                <w:color w:val="000000"/>
                <w:lang w:val="es-ES"/>
              </w:rPr>
              <w:t>Apoyo para la ejecución de iniciativas regionales para la región de las Américas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9C99F7B" w14:textId="77777777" w:rsidR="002E0363" w:rsidRPr="00F37678" w:rsidRDefault="002E0363" w:rsidP="00611905">
            <w:pPr>
              <w:pStyle w:val="Tabletext"/>
              <w:jc w:val="center"/>
              <w:rPr>
                <w:rFonts w:eastAsia="SimSun"/>
                <w:lang w:val="es-ES"/>
              </w:rPr>
            </w:pPr>
            <w:r w:rsidRPr="00F37678">
              <w:rPr>
                <w:color w:val="000000"/>
                <w:lang w:val="es-ES"/>
              </w:rPr>
              <w:t>31/10/2025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06F7FC3E" w14:textId="77777777" w:rsidR="002E0363" w:rsidRPr="00F37678" w:rsidRDefault="002E0363" w:rsidP="00611905">
            <w:pPr>
              <w:pStyle w:val="Tabletext"/>
              <w:jc w:val="center"/>
              <w:rPr>
                <w:rFonts w:eastAsia="SimSun"/>
                <w:lang w:val="es-ES"/>
              </w:rPr>
            </w:pPr>
            <w:r w:rsidRPr="00F37678">
              <w:rPr>
                <w:color w:val="000000"/>
                <w:lang w:val="es-ES"/>
              </w:rPr>
              <w:t>Cuba</w:t>
            </w:r>
          </w:p>
        </w:tc>
      </w:tr>
      <w:tr w:rsidR="002E0363" w:rsidRPr="00F37678" w14:paraId="66FA8474"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45F52564" w14:textId="77777777" w:rsidR="002E0363" w:rsidRPr="00F37678" w:rsidRDefault="002E0363" w:rsidP="00611905">
            <w:pPr>
              <w:pStyle w:val="Tabletext"/>
              <w:jc w:val="center"/>
              <w:rPr>
                <w:rFonts w:eastAsia="SimSun"/>
                <w:lang w:val="es-ES"/>
              </w:rPr>
            </w:pPr>
            <w:r w:rsidRPr="00F37678">
              <w:rPr>
                <w:rFonts w:eastAsia="SimSun"/>
                <w:lang w:val="es-ES"/>
              </w:rPr>
              <w:t>12</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8A83BED" w14:textId="77777777" w:rsidR="002E0363" w:rsidRPr="00F37678" w:rsidRDefault="002E0363" w:rsidP="00611905">
            <w:pPr>
              <w:pStyle w:val="Tabletext"/>
              <w:jc w:val="center"/>
              <w:rPr>
                <w:rFonts w:eastAsia="SimSun"/>
                <w:lang w:val="es-ES"/>
              </w:rPr>
            </w:pPr>
            <w:r w:rsidRPr="00F37678">
              <w:rPr>
                <w:color w:val="000000"/>
                <w:lang w:val="es-ES"/>
              </w:rPr>
              <w:t>7RAS23072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0FE1B2" w14:textId="77777777" w:rsidR="002E0363" w:rsidRPr="00F37678" w:rsidRDefault="002E0363" w:rsidP="00611905">
            <w:pPr>
              <w:pStyle w:val="Tabletext"/>
              <w:jc w:val="center"/>
              <w:rPr>
                <w:rFonts w:eastAsia="SimSun"/>
                <w:lang w:val="es-ES"/>
              </w:rPr>
            </w:pPr>
            <w:r w:rsidRPr="00F37678">
              <w:rPr>
                <w:color w:val="000000"/>
                <w:lang w:val="es-ES"/>
              </w:rPr>
              <w:t>Acelerar la transformación digital en Asia-Pacífico</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152210A" w14:textId="77777777" w:rsidR="002E0363" w:rsidRPr="00F37678" w:rsidRDefault="002E0363" w:rsidP="00611905">
            <w:pPr>
              <w:pStyle w:val="Tabletext"/>
              <w:jc w:val="center"/>
              <w:rPr>
                <w:rFonts w:eastAsia="SimSun"/>
                <w:lang w:val="es-ES"/>
              </w:rPr>
            </w:pPr>
            <w:r w:rsidRPr="00F37678">
              <w:rPr>
                <w:color w:val="000000"/>
                <w:lang w:val="es-ES"/>
              </w:rPr>
              <w:t>31/07/2025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16CA3907" w14:textId="77777777" w:rsidR="002E0363" w:rsidRPr="00F37678" w:rsidRDefault="002E0363" w:rsidP="00611905">
            <w:pPr>
              <w:pStyle w:val="Tabletext"/>
              <w:jc w:val="center"/>
              <w:rPr>
                <w:rFonts w:eastAsia="SimSun"/>
                <w:lang w:val="es-ES"/>
              </w:rPr>
            </w:pPr>
            <w:r w:rsidRPr="00F37678">
              <w:rPr>
                <w:color w:val="000000"/>
                <w:lang w:val="es-ES"/>
              </w:rPr>
              <w:t>Papua Nueva Guinea, Vanuatu</w:t>
            </w:r>
          </w:p>
        </w:tc>
      </w:tr>
      <w:tr w:rsidR="002E0363" w:rsidRPr="00F37678" w14:paraId="0BA8258E"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33B837D9" w14:textId="77777777" w:rsidR="002E0363" w:rsidRPr="00F37678" w:rsidRDefault="002E0363" w:rsidP="00611905">
            <w:pPr>
              <w:pStyle w:val="Tabletext"/>
              <w:jc w:val="center"/>
              <w:rPr>
                <w:rFonts w:eastAsia="SimSun"/>
                <w:lang w:val="es-ES"/>
              </w:rPr>
            </w:pPr>
            <w:r w:rsidRPr="00F37678">
              <w:rPr>
                <w:rFonts w:eastAsia="SimSun"/>
                <w:lang w:val="es-ES"/>
              </w:rPr>
              <w:t>13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D435447" w14:textId="77777777" w:rsidR="002E0363" w:rsidRPr="00F37678" w:rsidRDefault="002E0363" w:rsidP="00611905">
            <w:pPr>
              <w:pStyle w:val="Tabletext"/>
              <w:jc w:val="center"/>
              <w:rPr>
                <w:rFonts w:eastAsia="SimSun"/>
                <w:lang w:val="es-ES"/>
              </w:rPr>
            </w:pPr>
            <w:r w:rsidRPr="00F37678">
              <w:rPr>
                <w:color w:val="000000"/>
                <w:lang w:val="es-ES"/>
              </w:rPr>
              <w:t>7SUR23017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04F677" w14:textId="77777777" w:rsidR="002E0363" w:rsidRPr="00F37678" w:rsidRDefault="002E0363" w:rsidP="00611905">
            <w:pPr>
              <w:pStyle w:val="Tabletext"/>
              <w:jc w:val="center"/>
              <w:rPr>
                <w:rFonts w:eastAsia="SimSun"/>
                <w:color w:val="000000" w:themeColor="text1"/>
                <w:lang w:val="es-ES"/>
              </w:rPr>
            </w:pPr>
            <w:r w:rsidRPr="00F37678">
              <w:rPr>
                <w:color w:val="000000"/>
                <w:lang w:val="es-ES"/>
              </w:rPr>
              <w:t>Implementación de equipos nacionales de intervención en caso de incidente informático (EIII) - Suriname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87028CA" w14:textId="77777777" w:rsidR="002E0363" w:rsidRPr="00F37678" w:rsidRDefault="002E0363" w:rsidP="00611905">
            <w:pPr>
              <w:pStyle w:val="Tabletext"/>
              <w:jc w:val="center"/>
              <w:rPr>
                <w:rFonts w:eastAsia="SimSun"/>
                <w:lang w:val="es-ES"/>
              </w:rPr>
            </w:pPr>
            <w:r w:rsidRPr="00F37678">
              <w:rPr>
                <w:color w:val="000000"/>
                <w:lang w:val="es-ES"/>
              </w:rPr>
              <w:t>28/07/2027</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1D9CD5D" w14:textId="77777777" w:rsidR="002E0363" w:rsidRPr="00F37678" w:rsidRDefault="002E0363" w:rsidP="00611905">
            <w:pPr>
              <w:pStyle w:val="Tabletext"/>
              <w:jc w:val="center"/>
              <w:rPr>
                <w:rFonts w:eastAsia="SimSun"/>
                <w:lang w:val="es-ES"/>
              </w:rPr>
            </w:pPr>
            <w:r w:rsidRPr="00F37678">
              <w:rPr>
                <w:color w:val="000000"/>
                <w:lang w:val="es-ES"/>
              </w:rPr>
              <w:t>Suriname</w:t>
            </w:r>
          </w:p>
        </w:tc>
      </w:tr>
      <w:tr w:rsidR="002E0363" w:rsidRPr="00F37678" w14:paraId="17132DE4"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4CB577FA" w14:textId="77777777" w:rsidR="002E0363" w:rsidRPr="00F37678" w:rsidRDefault="002E0363" w:rsidP="00611905">
            <w:pPr>
              <w:pStyle w:val="Tabletext"/>
              <w:jc w:val="center"/>
              <w:rPr>
                <w:rFonts w:eastAsia="SimSun"/>
                <w:lang w:val="es-ES"/>
              </w:rPr>
            </w:pPr>
            <w:r w:rsidRPr="00F37678">
              <w:rPr>
                <w:rFonts w:eastAsia="SimSun"/>
                <w:lang w:val="es-ES"/>
              </w:rPr>
              <w:t>14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8C87EEB" w14:textId="77777777" w:rsidR="002E0363" w:rsidRPr="00F37678" w:rsidRDefault="002E0363" w:rsidP="00611905">
            <w:pPr>
              <w:pStyle w:val="Tabletext"/>
              <w:jc w:val="center"/>
              <w:rPr>
                <w:rFonts w:eastAsia="SimSun"/>
                <w:lang w:val="es-ES"/>
              </w:rPr>
            </w:pPr>
            <w:r w:rsidRPr="00F37678">
              <w:rPr>
                <w:color w:val="000000"/>
                <w:lang w:val="es-ES"/>
              </w:rPr>
              <w:t>7GLO23133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B9FA0D" w14:textId="77777777" w:rsidR="002E0363" w:rsidRPr="00F37678" w:rsidRDefault="002E0363" w:rsidP="00611905">
            <w:pPr>
              <w:pStyle w:val="Tabletext"/>
              <w:jc w:val="center"/>
              <w:rPr>
                <w:rFonts w:eastAsia="SimSun"/>
                <w:lang w:val="es-ES"/>
              </w:rPr>
            </w:pPr>
            <w:r w:rsidRPr="00F37678">
              <w:rPr>
                <w:color w:val="000000"/>
                <w:lang w:val="es-ES"/>
              </w:rPr>
              <w:t>Fomento de las competencias digitales a través de los Centros de Transformación Digital (CTD) – Segunda fase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FBAA826" w14:textId="77777777" w:rsidR="002E0363" w:rsidRPr="00F37678" w:rsidRDefault="002E0363" w:rsidP="00611905">
            <w:pPr>
              <w:pStyle w:val="Tabletext"/>
              <w:jc w:val="center"/>
              <w:rPr>
                <w:rFonts w:eastAsia="SimSun"/>
                <w:lang w:val="es-ES"/>
              </w:rPr>
            </w:pPr>
            <w:r w:rsidRPr="00F37678">
              <w:rPr>
                <w:color w:val="000000"/>
                <w:lang w:val="es-ES"/>
              </w:rPr>
              <w:t>14/01/2026</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6D1BB81" w14:textId="77777777" w:rsidR="002E0363" w:rsidRPr="00F37678" w:rsidRDefault="002E0363" w:rsidP="00611905">
            <w:pPr>
              <w:pStyle w:val="Tabletext"/>
              <w:jc w:val="center"/>
              <w:rPr>
                <w:rFonts w:eastAsia="SimSun"/>
                <w:lang w:val="es-ES"/>
              </w:rPr>
            </w:pPr>
            <w:r w:rsidRPr="00F37678">
              <w:rPr>
                <w:color w:val="000000"/>
                <w:lang w:val="es-ES"/>
              </w:rPr>
              <w:t>Dominica, Papua Nueva Guinea</w:t>
            </w:r>
          </w:p>
        </w:tc>
      </w:tr>
      <w:tr w:rsidR="002E0363" w:rsidRPr="00F37678" w14:paraId="2CDC300F" w14:textId="77777777" w:rsidTr="00611905">
        <w:trPr>
          <w:trHeight w:val="300"/>
        </w:trPr>
        <w:tc>
          <w:tcPr>
            <w:tcW w:w="841" w:type="dxa"/>
            <w:tcBorders>
              <w:top w:val="single" w:sz="4" w:space="0" w:color="auto"/>
              <w:left w:val="single" w:sz="4" w:space="0" w:color="auto"/>
              <w:bottom w:val="single" w:sz="4" w:space="0" w:color="auto"/>
              <w:right w:val="single" w:sz="4" w:space="0" w:color="auto"/>
            </w:tcBorders>
            <w:vAlign w:val="center"/>
          </w:tcPr>
          <w:p w14:paraId="55D43821" w14:textId="77777777" w:rsidR="002E0363" w:rsidRPr="00F37678" w:rsidRDefault="002E0363" w:rsidP="00611905">
            <w:pPr>
              <w:pStyle w:val="Tabletext"/>
              <w:jc w:val="center"/>
              <w:rPr>
                <w:rFonts w:eastAsia="SimSun"/>
                <w:lang w:val="es-ES"/>
              </w:rPr>
            </w:pPr>
            <w:r w:rsidRPr="00F37678">
              <w:rPr>
                <w:rFonts w:eastAsia="SimSun"/>
                <w:lang w:val="es-ES"/>
              </w:rPr>
              <w:t>15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97A1B96" w14:textId="77777777" w:rsidR="002E0363" w:rsidRPr="00F37678" w:rsidRDefault="002E0363" w:rsidP="00611905">
            <w:pPr>
              <w:pStyle w:val="Tabletext"/>
              <w:jc w:val="center"/>
              <w:rPr>
                <w:rFonts w:eastAsia="SimSun"/>
                <w:lang w:val="es-ES"/>
              </w:rPr>
            </w:pPr>
            <w:r w:rsidRPr="00F37678">
              <w:rPr>
                <w:color w:val="000000"/>
                <w:lang w:val="es-ES"/>
              </w:rPr>
              <w:t>9RCA24004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811BE9" w14:textId="77777777" w:rsidR="002E0363" w:rsidRPr="00F37678" w:rsidRDefault="002E0363" w:rsidP="00611905">
            <w:pPr>
              <w:pStyle w:val="Tabletext"/>
              <w:jc w:val="center"/>
              <w:rPr>
                <w:rFonts w:eastAsia="SimSun"/>
                <w:lang w:val="es-ES"/>
              </w:rPr>
            </w:pPr>
            <w:r w:rsidRPr="00F37678">
              <w:rPr>
                <w:color w:val="000000"/>
                <w:lang w:val="es-ES"/>
              </w:rPr>
              <w:t>Optimización de la financiación innovadora para grupos desatendidos a fin de crear resiliencia y acelerar el logro de los ODS en Antigua y Barbuda y Santa Lucía</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018B25B" w14:textId="77777777" w:rsidR="002E0363" w:rsidRPr="00F37678" w:rsidRDefault="002E0363" w:rsidP="00611905">
            <w:pPr>
              <w:pStyle w:val="Tabletext"/>
              <w:jc w:val="center"/>
              <w:rPr>
                <w:rFonts w:eastAsia="SimSun"/>
                <w:lang w:val="es-ES"/>
              </w:rPr>
            </w:pPr>
            <w:r w:rsidRPr="00F37678">
              <w:rPr>
                <w:color w:val="000000"/>
                <w:lang w:val="es-ES"/>
              </w:rPr>
              <w:t>31/12/2025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E7F1883" w14:textId="77777777" w:rsidR="002E0363" w:rsidRPr="00F37678" w:rsidRDefault="002E0363" w:rsidP="00611905">
            <w:pPr>
              <w:pStyle w:val="Tabletext"/>
              <w:jc w:val="center"/>
              <w:rPr>
                <w:rFonts w:eastAsia="SimSun"/>
                <w:lang w:val="es-ES"/>
              </w:rPr>
            </w:pPr>
            <w:r w:rsidRPr="00F37678">
              <w:rPr>
                <w:color w:val="000000"/>
                <w:lang w:val="es-ES"/>
              </w:rPr>
              <w:t>Antigua y Barbuda y Santa Lucía</w:t>
            </w:r>
          </w:p>
        </w:tc>
      </w:tr>
      <w:tr w:rsidR="002E0363" w:rsidRPr="00F37678" w14:paraId="349DA70A"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62C7A75" w14:textId="77777777" w:rsidR="002E0363" w:rsidRPr="00F37678" w:rsidRDefault="002E0363" w:rsidP="00611905">
            <w:pPr>
              <w:pStyle w:val="Tabletext"/>
              <w:jc w:val="center"/>
              <w:rPr>
                <w:rFonts w:eastAsia="SimSun"/>
                <w:lang w:val="es-ES"/>
              </w:rPr>
            </w:pPr>
            <w:r w:rsidRPr="00F37678">
              <w:rPr>
                <w:rFonts w:eastAsia="SimSun"/>
                <w:lang w:val="es-ES"/>
              </w:rPr>
              <w:t>16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3628729" w14:textId="77777777" w:rsidR="002E0363" w:rsidRPr="00F37678" w:rsidRDefault="002E0363" w:rsidP="00611905">
            <w:pPr>
              <w:pStyle w:val="Tabletext"/>
              <w:jc w:val="center"/>
              <w:rPr>
                <w:rFonts w:eastAsia="SimSun"/>
                <w:lang w:val="es-ES"/>
              </w:rPr>
            </w:pPr>
            <w:r w:rsidRPr="00F37678">
              <w:rPr>
                <w:color w:val="000000"/>
                <w:lang w:val="es-ES"/>
              </w:rPr>
              <w:t>7RAS23073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E813A0" w14:textId="77777777" w:rsidR="002E0363" w:rsidRPr="00F37678" w:rsidRDefault="002E0363" w:rsidP="00611905">
            <w:pPr>
              <w:pStyle w:val="Tabletext"/>
              <w:jc w:val="center"/>
              <w:rPr>
                <w:rFonts w:eastAsia="SimSun"/>
                <w:lang w:val="es-ES"/>
              </w:rPr>
            </w:pPr>
            <w:r w:rsidRPr="00F37678">
              <w:rPr>
                <w:color w:val="000000"/>
                <w:lang w:val="es-ES"/>
              </w:rPr>
              <w:t>Caminos hacia la ciberseguridad en el Pacífico</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345B1E6" w14:textId="77777777" w:rsidR="002E0363" w:rsidRPr="00F37678" w:rsidRDefault="002E0363" w:rsidP="00611905">
            <w:pPr>
              <w:pStyle w:val="Tabletext"/>
              <w:jc w:val="center"/>
              <w:rPr>
                <w:rFonts w:eastAsia="SimSun"/>
                <w:lang w:val="es-ES"/>
              </w:rPr>
            </w:pPr>
            <w:r w:rsidRPr="00F37678">
              <w:rPr>
                <w:color w:val="000000"/>
                <w:lang w:val="es-ES"/>
              </w:rPr>
              <w:t>30/06/2026</w:t>
            </w:r>
          </w:p>
        </w:tc>
        <w:tc>
          <w:tcPr>
            <w:tcW w:w="3058" w:type="dxa"/>
            <w:tcBorders>
              <w:top w:val="single" w:sz="4" w:space="0" w:color="auto"/>
              <w:left w:val="single" w:sz="4" w:space="0" w:color="auto"/>
              <w:bottom w:val="single" w:sz="4" w:space="0" w:color="auto"/>
              <w:right w:val="single" w:sz="4" w:space="0" w:color="auto"/>
            </w:tcBorders>
            <w:vAlign w:val="center"/>
            <w:hideMark/>
          </w:tcPr>
          <w:p w14:paraId="43C6970D" w14:textId="5B779A95" w:rsidR="002E0363" w:rsidRPr="00F37678" w:rsidRDefault="002E0363" w:rsidP="00611905">
            <w:pPr>
              <w:pStyle w:val="Tabletext"/>
              <w:jc w:val="center"/>
              <w:rPr>
                <w:rFonts w:eastAsia="SimSun"/>
                <w:lang w:val="es-ES"/>
              </w:rPr>
            </w:pPr>
            <w:r w:rsidRPr="00F37678">
              <w:rPr>
                <w:color w:val="000000"/>
                <w:lang w:val="es-ES"/>
              </w:rPr>
              <w:t>Islas Cook, Fiji, Kiribati, Marshall (Islas), Micronesia, Niue, Palau, Papua Nueva Guinea, Samoa, Salomón (Islas), Tonga, Tuvalu, Vanuatu.</w:t>
            </w:r>
          </w:p>
        </w:tc>
      </w:tr>
      <w:tr w:rsidR="002E0363" w:rsidRPr="00F37678" w14:paraId="579C243A"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F1DF1E4" w14:textId="77777777" w:rsidR="002E0363" w:rsidRPr="00F37678" w:rsidRDefault="002E0363" w:rsidP="00EB7780">
            <w:pPr>
              <w:pStyle w:val="Tabletext"/>
              <w:keepNext/>
              <w:jc w:val="center"/>
              <w:rPr>
                <w:rFonts w:eastAsia="SimSun"/>
                <w:lang w:val="es-ES"/>
              </w:rPr>
            </w:pPr>
            <w:r w:rsidRPr="00F37678">
              <w:rPr>
                <w:rFonts w:eastAsia="SimSun"/>
                <w:lang w:val="es-ES"/>
              </w:rPr>
              <w:lastRenderedPageBreak/>
              <w:t>17</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AD587B3" w14:textId="77777777" w:rsidR="002E0363" w:rsidRPr="00F37678" w:rsidRDefault="002E0363" w:rsidP="00EB7780">
            <w:pPr>
              <w:pStyle w:val="Tabletext"/>
              <w:keepNext/>
              <w:jc w:val="center"/>
              <w:rPr>
                <w:rFonts w:eastAsia="SimSun"/>
                <w:lang w:val="es-ES"/>
              </w:rPr>
            </w:pPr>
            <w:r w:rsidRPr="00F37678">
              <w:rPr>
                <w:color w:val="000000"/>
                <w:lang w:val="es-ES"/>
              </w:rPr>
              <w:t>7RAS24076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C3CFFE" w14:textId="77777777" w:rsidR="002E0363" w:rsidRPr="00F37678" w:rsidRDefault="002E0363" w:rsidP="00EB7780">
            <w:pPr>
              <w:pStyle w:val="Tabletext"/>
              <w:keepNext/>
              <w:jc w:val="center"/>
              <w:rPr>
                <w:rFonts w:eastAsia="SimSun"/>
                <w:lang w:val="es-ES"/>
              </w:rPr>
            </w:pPr>
            <w:r w:rsidRPr="00F37678">
              <w:rPr>
                <w:color w:val="000000"/>
                <w:lang w:val="es-ES"/>
              </w:rPr>
              <w:t>Estudio de viabilidad: Atender las necesidades especiales en materia de telecomunicaciones y TIC de los pequeños Estados insulares en desarrollo (PEID) del Pacífico</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F0F27AE" w14:textId="77777777" w:rsidR="002E0363" w:rsidRPr="00F37678" w:rsidRDefault="002E0363" w:rsidP="00EB7780">
            <w:pPr>
              <w:pStyle w:val="Tabletext"/>
              <w:keepNext/>
              <w:jc w:val="center"/>
              <w:rPr>
                <w:rFonts w:eastAsia="SimSun"/>
                <w:lang w:val="es-ES"/>
              </w:rPr>
            </w:pPr>
            <w:r w:rsidRPr="00F37678">
              <w:rPr>
                <w:color w:val="000000"/>
                <w:lang w:val="es-ES"/>
              </w:rPr>
              <w:t>31/12/2025</w:t>
            </w:r>
          </w:p>
        </w:tc>
        <w:tc>
          <w:tcPr>
            <w:tcW w:w="3058" w:type="dxa"/>
            <w:tcBorders>
              <w:top w:val="single" w:sz="4" w:space="0" w:color="auto"/>
              <w:left w:val="single" w:sz="4" w:space="0" w:color="auto"/>
              <w:bottom w:val="single" w:sz="4" w:space="0" w:color="auto"/>
              <w:right w:val="single" w:sz="4" w:space="0" w:color="auto"/>
            </w:tcBorders>
            <w:vAlign w:val="center"/>
            <w:hideMark/>
          </w:tcPr>
          <w:p w14:paraId="537200F9" w14:textId="77777777" w:rsidR="002E0363" w:rsidRPr="00F37678" w:rsidRDefault="002E0363" w:rsidP="00EB7780">
            <w:pPr>
              <w:pStyle w:val="Tabletext"/>
              <w:keepNext/>
              <w:jc w:val="center"/>
              <w:rPr>
                <w:rFonts w:eastAsia="SimSun"/>
                <w:lang w:val="es-ES"/>
              </w:rPr>
            </w:pPr>
            <w:r w:rsidRPr="00F37678">
              <w:rPr>
                <w:color w:val="000000"/>
                <w:lang w:val="es-ES"/>
              </w:rPr>
              <w:t>Kiribati, Salomón (Islas), Tuvalu</w:t>
            </w:r>
          </w:p>
        </w:tc>
      </w:tr>
      <w:tr w:rsidR="002E0363" w:rsidRPr="00F37678" w14:paraId="3461DCF9"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C26A1C2" w14:textId="77777777" w:rsidR="002E0363" w:rsidRPr="00F37678" w:rsidRDefault="002E0363" w:rsidP="00611905">
            <w:pPr>
              <w:pStyle w:val="Tabletext"/>
              <w:jc w:val="center"/>
              <w:rPr>
                <w:rFonts w:eastAsia="SimSun"/>
                <w:lang w:val="es-ES"/>
              </w:rPr>
            </w:pPr>
            <w:r w:rsidRPr="00F37678">
              <w:rPr>
                <w:rFonts w:eastAsia="SimSun"/>
                <w:lang w:val="es-ES"/>
              </w:rPr>
              <w:t>18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1185D68" w14:textId="77777777" w:rsidR="002E0363" w:rsidRPr="00F37678" w:rsidRDefault="002E0363" w:rsidP="00611905">
            <w:pPr>
              <w:pStyle w:val="Tabletext"/>
              <w:jc w:val="center"/>
              <w:rPr>
                <w:rFonts w:ascii="Calibri" w:eastAsia="Calibri" w:hAnsi="Calibri" w:cs="Calibri"/>
                <w:lang w:val="es-ES"/>
              </w:rPr>
            </w:pPr>
            <w:r w:rsidRPr="00F37678">
              <w:rPr>
                <w:color w:val="000000"/>
                <w:lang w:val="es-ES"/>
              </w:rPr>
              <w:t>7RAF21102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C40EA8" w14:textId="77777777" w:rsidR="002E0363" w:rsidRPr="00F37678" w:rsidRDefault="002E0363" w:rsidP="00611905">
            <w:pPr>
              <w:pStyle w:val="Tabletext"/>
              <w:jc w:val="center"/>
              <w:rPr>
                <w:rFonts w:ascii="Calibri" w:eastAsia="Calibri" w:hAnsi="Calibri" w:cs="Calibri"/>
                <w:lang w:val="es-ES"/>
              </w:rPr>
            </w:pPr>
            <w:r w:rsidRPr="00F37678">
              <w:rPr>
                <w:color w:val="000000"/>
                <w:lang w:val="es-ES"/>
              </w:rPr>
              <w:t>Comparación de las TIC en África central</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27345DA" w14:textId="77777777" w:rsidR="002E0363" w:rsidRPr="00F37678" w:rsidRDefault="002E0363" w:rsidP="00611905">
            <w:pPr>
              <w:pStyle w:val="Tabletext"/>
              <w:jc w:val="center"/>
              <w:rPr>
                <w:rFonts w:eastAsia="SimSun"/>
                <w:lang w:val="es-ES"/>
              </w:rPr>
            </w:pPr>
            <w:r w:rsidRPr="00F37678">
              <w:rPr>
                <w:color w:val="000000"/>
                <w:lang w:val="es-ES"/>
              </w:rPr>
              <w:t>24/12/2024</w:t>
            </w:r>
          </w:p>
        </w:tc>
        <w:tc>
          <w:tcPr>
            <w:tcW w:w="3058" w:type="dxa"/>
            <w:tcBorders>
              <w:top w:val="single" w:sz="4" w:space="0" w:color="auto"/>
              <w:left w:val="single" w:sz="4" w:space="0" w:color="auto"/>
              <w:bottom w:val="single" w:sz="4" w:space="0" w:color="auto"/>
              <w:right w:val="single" w:sz="4" w:space="0" w:color="auto"/>
            </w:tcBorders>
            <w:vAlign w:val="center"/>
            <w:hideMark/>
          </w:tcPr>
          <w:p w14:paraId="4B4BC218" w14:textId="77777777" w:rsidR="002E0363" w:rsidRPr="00F37678" w:rsidRDefault="002E0363" w:rsidP="00611905">
            <w:pPr>
              <w:pStyle w:val="Tabletext"/>
              <w:jc w:val="center"/>
              <w:rPr>
                <w:rFonts w:eastAsia="SimSun"/>
                <w:lang w:val="es-ES"/>
              </w:rPr>
            </w:pPr>
            <w:r w:rsidRPr="00F37678">
              <w:rPr>
                <w:color w:val="000000"/>
                <w:lang w:val="es-ES"/>
              </w:rPr>
              <w:t>Santo Tomé y Príncipe</w:t>
            </w:r>
          </w:p>
        </w:tc>
      </w:tr>
      <w:tr w:rsidR="002E0363" w:rsidRPr="00F37678" w14:paraId="0FBC3622"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9671686" w14:textId="77777777" w:rsidR="002E0363" w:rsidRPr="00F37678" w:rsidRDefault="002E0363" w:rsidP="00611905">
            <w:pPr>
              <w:pStyle w:val="Tabletext"/>
              <w:jc w:val="center"/>
              <w:rPr>
                <w:rFonts w:eastAsia="SimSun"/>
                <w:lang w:val="es-ES"/>
              </w:rPr>
            </w:pPr>
            <w:r w:rsidRPr="00F37678">
              <w:rPr>
                <w:rFonts w:eastAsia="SimSun"/>
                <w:lang w:val="es-ES"/>
              </w:rPr>
              <w:t>19</w:t>
            </w:r>
          </w:p>
        </w:tc>
        <w:tc>
          <w:tcPr>
            <w:tcW w:w="1416" w:type="dxa"/>
            <w:tcBorders>
              <w:top w:val="single" w:sz="4" w:space="0" w:color="auto"/>
              <w:left w:val="single" w:sz="4" w:space="0" w:color="auto"/>
              <w:bottom w:val="single" w:sz="4" w:space="0" w:color="auto"/>
              <w:right w:val="single" w:sz="4" w:space="0" w:color="auto"/>
            </w:tcBorders>
            <w:vAlign w:val="center"/>
          </w:tcPr>
          <w:p w14:paraId="5CC26837" w14:textId="6E9BE394" w:rsidR="002E0363" w:rsidRPr="00F37678" w:rsidRDefault="002E0363" w:rsidP="007C4097">
            <w:pPr>
              <w:jc w:val="center"/>
              <w:rPr>
                <w:rFonts w:ascii="Calibri" w:eastAsia="Calibri" w:hAnsi="Calibri" w:cs="Calibri"/>
                <w:sz w:val="20"/>
                <w:lang w:val="es-ES"/>
              </w:rPr>
            </w:pPr>
            <w:r w:rsidRPr="00F37678">
              <w:rPr>
                <w:rFonts w:ascii="Calibri" w:eastAsia="Calibri" w:hAnsi="Calibri" w:cs="Calibri"/>
                <w:sz w:val="20"/>
                <w:lang w:val="es-ES"/>
              </w:rPr>
              <w:t>2RAS22070</w:t>
            </w:r>
          </w:p>
        </w:tc>
        <w:tc>
          <w:tcPr>
            <w:tcW w:w="2693" w:type="dxa"/>
            <w:tcBorders>
              <w:top w:val="single" w:sz="4" w:space="0" w:color="auto"/>
              <w:left w:val="single" w:sz="4" w:space="0" w:color="auto"/>
              <w:bottom w:val="single" w:sz="4" w:space="0" w:color="auto"/>
              <w:right w:val="single" w:sz="4" w:space="0" w:color="auto"/>
            </w:tcBorders>
            <w:vAlign w:val="center"/>
          </w:tcPr>
          <w:p w14:paraId="2924FBB2"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Islas inteligentes en el Pacífico</w:t>
            </w:r>
          </w:p>
        </w:tc>
        <w:tc>
          <w:tcPr>
            <w:tcW w:w="1607" w:type="dxa"/>
            <w:tcBorders>
              <w:top w:val="single" w:sz="4" w:space="0" w:color="auto"/>
              <w:left w:val="single" w:sz="4" w:space="0" w:color="auto"/>
              <w:bottom w:val="single" w:sz="4" w:space="0" w:color="auto"/>
              <w:right w:val="single" w:sz="4" w:space="0" w:color="auto"/>
            </w:tcBorders>
            <w:vAlign w:val="center"/>
          </w:tcPr>
          <w:p w14:paraId="0AD89CDB" w14:textId="77777777" w:rsidR="002E0363" w:rsidRPr="00F37678" w:rsidRDefault="002E0363" w:rsidP="00611905">
            <w:pPr>
              <w:pStyle w:val="Tabletext"/>
              <w:jc w:val="center"/>
              <w:rPr>
                <w:color w:val="000000"/>
                <w:lang w:val="es-ES"/>
              </w:rPr>
            </w:pPr>
            <w:r w:rsidRPr="00F37678">
              <w:rPr>
                <w:rFonts w:ascii="Calibri" w:eastAsia="Calibri" w:hAnsi="Calibri" w:cs="Calibri"/>
                <w:lang w:val="es-ES"/>
              </w:rPr>
              <w:t>31/12/2025</w:t>
            </w:r>
          </w:p>
        </w:tc>
        <w:tc>
          <w:tcPr>
            <w:tcW w:w="3058" w:type="dxa"/>
            <w:tcBorders>
              <w:top w:val="single" w:sz="4" w:space="0" w:color="auto"/>
              <w:left w:val="single" w:sz="4" w:space="0" w:color="auto"/>
              <w:bottom w:val="single" w:sz="4" w:space="0" w:color="auto"/>
              <w:right w:val="single" w:sz="4" w:space="0" w:color="auto"/>
            </w:tcBorders>
            <w:vAlign w:val="center"/>
          </w:tcPr>
          <w:p w14:paraId="33063216" w14:textId="77777777" w:rsidR="002E0363" w:rsidRPr="00F37678" w:rsidRDefault="002E0363" w:rsidP="00611905">
            <w:pPr>
              <w:pStyle w:val="Tabletext"/>
              <w:jc w:val="center"/>
              <w:rPr>
                <w:color w:val="000000"/>
                <w:lang w:val="es-ES"/>
              </w:rPr>
            </w:pPr>
            <w:r w:rsidRPr="00F37678">
              <w:rPr>
                <w:rFonts w:ascii="Calibri" w:eastAsia="SimSun" w:hAnsi="Calibri" w:cs="Calibri"/>
                <w:lang w:val="es-ES"/>
              </w:rPr>
              <w:t>Fiji, Papua Nueva Guinea, Vanuatu</w:t>
            </w:r>
          </w:p>
        </w:tc>
      </w:tr>
      <w:tr w:rsidR="002E0363" w:rsidRPr="00F37678" w14:paraId="3684C441"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42757C69" w14:textId="77777777" w:rsidR="002E0363" w:rsidRPr="00F37678" w:rsidRDefault="002E0363" w:rsidP="00611905">
            <w:pPr>
              <w:pStyle w:val="Tabletext"/>
              <w:jc w:val="center"/>
              <w:rPr>
                <w:rFonts w:eastAsia="SimSun"/>
                <w:lang w:val="es-ES"/>
              </w:rPr>
            </w:pPr>
            <w:r w:rsidRPr="00F37678">
              <w:rPr>
                <w:rFonts w:eastAsia="SimSun"/>
                <w:lang w:val="es-ES"/>
              </w:rPr>
              <w:t>20</w:t>
            </w:r>
          </w:p>
        </w:tc>
        <w:tc>
          <w:tcPr>
            <w:tcW w:w="1416" w:type="dxa"/>
            <w:tcBorders>
              <w:top w:val="single" w:sz="4" w:space="0" w:color="auto"/>
              <w:left w:val="single" w:sz="4" w:space="0" w:color="auto"/>
              <w:bottom w:val="single" w:sz="4" w:space="0" w:color="auto"/>
              <w:right w:val="single" w:sz="4" w:space="0" w:color="auto"/>
            </w:tcBorders>
            <w:vAlign w:val="center"/>
          </w:tcPr>
          <w:p w14:paraId="2088BD37" w14:textId="1ED50E8C" w:rsidR="002E0363" w:rsidRPr="00F37678" w:rsidRDefault="002E0363" w:rsidP="007C4097">
            <w:pPr>
              <w:jc w:val="center"/>
              <w:rPr>
                <w:rFonts w:ascii="Calibri" w:eastAsia="Calibri" w:hAnsi="Calibri" w:cs="Calibri"/>
                <w:sz w:val="20"/>
                <w:lang w:val="es-ES"/>
              </w:rPr>
            </w:pPr>
            <w:r w:rsidRPr="00F37678">
              <w:rPr>
                <w:rFonts w:ascii="Calibri" w:eastAsia="Calibri" w:hAnsi="Calibri" w:cs="Calibri"/>
                <w:sz w:val="20"/>
                <w:lang w:val="es-ES"/>
              </w:rPr>
              <w:t>9RAS22071</w:t>
            </w:r>
          </w:p>
        </w:tc>
        <w:tc>
          <w:tcPr>
            <w:tcW w:w="2693" w:type="dxa"/>
            <w:tcBorders>
              <w:top w:val="single" w:sz="4" w:space="0" w:color="auto"/>
              <w:left w:val="single" w:sz="4" w:space="0" w:color="auto"/>
              <w:bottom w:val="single" w:sz="4" w:space="0" w:color="auto"/>
              <w:right w:val="single" w:sz="4" w:space="0" w:color="auto"/>
            </w:tcBorders>
            <w:vAlign w:val="center"/>
          </w:tcPr>
          <w:p w14:paraId="38CF9F07"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Promover los ODS mejorando los medios de subsistencia y la resiliencia a través de la diversificación económica y la transformación digital</w:t>
            </w:r>
          </w:p>
        </w:tc>
        <w:tc>
          <w:tcPr>
            <w:tcW w:w="1607" w:type="dxa"/>
            <w:tcBorders>
              <w:top w:val="single" w:sz="4" w:space="0" w:color="auto"/>
              <w:left w:val="single" w:sz="4" w:space="0" w:color="auto"/>
              <w:bottom w:val="single" w:sz="4" w:space="0" w:color="auto"/>
              <w:right w:val="single" w:sz="4" w:space="0" w:color="auto"/>
            </w:tcBorders>
            <w:vAlign w:val="center"/>
          </w:tcPr>
          <w:p w14:paraId="1014A44A"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31/05/2025</w:t>
            </w:r>
          </w:p>
        </w:tc>
        <w:tc>
          <w:tcPr>
            <w:tcW w:w="3058" w:type="dxa"/>
            <w:tcBorders>
              <w:top w:val="single" w:sz="4" w:space="0" w:color="auto"/>
              <w:left w:val="single" w:sz="4" w:space="0" w:color="auto"/>
              <w:bottom w:val="single" w:sz="4" w:space="0" w:color="auto"/>
              <w:right w:val="single" w:sz="4" w:space="0" w:color="auto"/>
            </w:tcBorders>
            <w:vAlign w:val="center"/>
          </w:tcPr>
          <w:p w14:paraId="02EF6F12" w14:textId="77777777" w:rsidR="002E0363" w:rsidRPr="00F37678" w:rsidRDefault="002E0363" w:rsidP="00611905">
            <w:pPr>
              <w:pStyle w:val="Tabletext"/>
              <w:jc w:val="center"/>
              <w:rPr>
                <w:rFonts w:ascii="Calibri" w:eastAsia="SimSun" w:hAnsi="Calibri" w:cs="Calibri"/>
                <w:lang w:val="es-ES"/>
              </w:rPr>
            </w:pPr>
            <w:r w:rsidRPr="00F37678">
              <w:rPr>
                <w:rFonts w:ascii="Calibri" w:eastAsia="Calibri" w:hAnsi="Calibri" w:cs="Calibri"/>
                <w:lang w:val="es-ES"/>
              </w:rPr>
              <w:t>Fiji, Salomón (Islas), Tonga, Tuvalu, Vanuatu</w:t>
            </w:r>
          </w:p>
        </w:tc>
      </w:tr>
      <w:tr w:rsidR="002E0363" w:rsidRPr="00F37678" w14:paraId="353B3716"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E69CCBB" w14:textId="77777777" w:rsidR="002E0363" w:rsidRPr="00F37678" w:rsidRDefault="002E0363" w:rsidP="00611905">
            <w:pPr>
              <w:pStyle w:val="Tabletext"/>
              <w:jc w:val="center"/>
              <w:rPr>
                <w:rFonts w:eastAsia="SimSun"/>
                <w:lang w:val="es-ES"/>
              </w:rPr>
            </w:pPr>
            <w:r w:rsidRPr="00F37678">
              <w:rPr>
                <w:rFonts w:eastAsia="SimSun"/>
                <w:lang w:val="es-ES"/>
              </w:rPr>
              <w:t>21</w:t>
            </w:r>
          </w:p>
        </w:tc>
        <w:tc>
          <w:tcPr>
            <w:tcW w:w="1416" w:type="dxa"/>
            <w:tcBorders>
              <w:top w:val="single" w:sz="4" w:space="0" w:color="auto"/>
              <w:left w:val="single" w:sz="4" w:space="0" w:color="auto"/>
              <w:bottom w:val="single" w:sz="4" w:space="0" w:color="auto"/>
              <w:right w:val="single" w:sz="4" w:space="0" w:color="auto"/>
            </w:tcBorders>
            <w:vAlign w:val="center"/>
          </w:tcPr>
          <w:p w14:paraId="5BDFE79E" w14:textId="77777777" w:rsidR="002E0363" w:rsidRPr="00F37678" w:rsidRDefault="002E0363" w:rsidP="00611905">
            <w:pPr>
              <w:jc w:val="center"/>
              <w:rPr>
                <w:rFonts w:ascii="Calibri" w:eastAsia="Calibri" w:hAnsi="Calibri" w:cs="Calibri"/>
                <w:sz w:val="20"/>
                <w:lang w:val="es-ES"/>
              </w:rPr>
            </w:pPr>
            <w:r w:rsidRPr="00F37678">
              <w:rPr>
                <w:rFonts w:ascii="Calibri" w:eastAsia="Calibri" w:hAnsi="Calibri" w:cs="Calibri"/>
                <w:sz w:val="20"/>
                <w:lang w:val="es-ES"/>
              </w:rPr>
              <w:t>9PNG2003</w:t>
            </w:r>
          </w:p>
        </w:tc>
        <w:tc>
          <w:tcPr>
            <w:tcW w:w="2693" w:type="dxa"/>
            <w:tcBorders>
              <w:top w:val="single" w:sz="4" w:space="0" w:color="auto"/>
              <w:left w:val="single" w:sz="4" w:space="0" w:color="auto"/>
              <w:bottom w:val="single" w:sz="4" w:space="0" w:color="auto"/>
              <w:right w:val="single" w:sz="4" w:space="0" w:color="auto"/>
            </w:tcBorders>
            <w:vAlign w:val="center"/>
          </w:tcPr>
          <w:p w14:paraId="37C56F64" w14:textId="6ACEC5C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Proyecto financiado por la Unión Europea para apoyar el emprendimiento rural, las inversiones y el comercio (EU</w:t>
            </w:r>
            <w:r w:rsidR="007C4097" w:rsidRPr="00F37678">
              <w:rPr>
                <w:rFonts w:ascii="Calibri" w:eastAsia="Calibri" w:hAnsi="Calibri" w:cs="Calibri"/>
                <w:lang w:val="es-ES"/>
              </w:rPr>
              <w:noBreakHyphen/>
            </w:r>
            <w:r w:rsidRPr="00F37678">
              <w:rPr>
                <w:rFonts w:ascii="Calibri" w:eastAsia="Calibri" w:hAnsi="Calibri" w:cs="Calibri"/>
                <w:lang w:val="es-ES"/>
              </w:rPr>
              <w:t>STREIT)</w:t>
            </w:r>
          </w:p>
        </w:tc>
        <w:tc>
          <w:tcPr>
            <w:tcW w:w="1607" w:type="dxa"/>
            <w:tcBorders>
              <w:top w:val="single" w:sz="4" w:space="0" w:color="auto"/>
              <w:left w:val="single" w:sz="4" w:space="0" w:color="auto"/>
              <w:bottom w:val="single" w:sz="4" w:space="0" w:color="auto"/>
              <w:right w:val="single" w:sz="4" w:space="0" w:color="auto"/>
            </w:tcBorders>
            <w:vAlign w:val="center"/>
          </w:tcPr>
          <w:p w14:paraId="2C4F24BF"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30/11/2025</w:t>
            </w:r>
          </w:p>
        </w:tc>
        <w:tc>
          <w:tcPr>
            <w:tcW w:w="3058" w:type="dxa"/>
            <w:tcBorders>
              <w:top w:val="single" w:sz="4" w:space="0" w:color="auto"/>
              <w:left w:val="single" w:sz="4" w:space="0" w:color="auto"/>
              <w:bottom w:val="single" w:sz="4" w:space="0" w:color="auto"/>
              <w:right w:val="single" w:sz="4" w:space="0" w:color="auto"/>
            </w:tcBorders>
            <w:vAlign w:val="center"/>
          </w:tcPr>
          <w:p w14:paraId="73418FEC" w14:textId="77777777" w:rsidR="002E0363" w:rsidRPr="00F37678" w:rsidRDefault="002E0363" w:rsidP="00611905">
            <w:pPr>
              <w:pStyle w:val="Tabletext"/>
              <w:jc w:val="center"/>
              <w:rPr>
                <w:rFonts w:ascii="Calibri" w:eastAsia="SimSun" w:hAnsi="Calibri" w:cs="Calibri"/>
                <w:lang w:val="es-ES"/>
              </w:rPr>
            </w:pPr>
            <w:r w:rsidRPr="00F37678">
              <w:rPr>
                <w:rFonts w:ascii="Calibri" w:eastAsia="Calibri" w:hAnsi="Calibri" w:cs="Calibri"/>
                <w:lang w:val="es-ES"/>
              </w:rPr>
              <w:t>Papua Nueva Guinea</w:t>
            </w:r>
          </w:p>
        </w:tc>
      </w:tr>
      <w:tr w:rsidR="002E0363" w:rsidRPr="00F37678" w14:paraId="0EE68036" w14:textId="77777777" w:rsidTr="00611905">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3BBD25A1" w14:textId="77777777" w:rsidR="002E0363" w:rsidRPr="00F37678" w:rsidRDefault="002E0363" w:rsidP="00611905">
            <w:pPr>
              <w:pStyle w:val="Tabletext"/>
              <w:jc w:val="center"/>
              <w:rPr>
                <w:rFonts w:eastAsia="SimSun"/>
                <w:lang w:val="es-ES"/>
              </w:rPr>
            </w:pPr>
            <w:r w:rsidRPr="00F37678">
              <w:rPr>
                <w:rFonts w:eastAsia="SimSun"/>
                <w:lang w:val="es-ES"/>
              </w:rPr>
              <w:t>22</w:t>
            </w:r>
          </w:p>
        </w:tc>
        <w:tc>
          <w:tcPr>
            <w:tcW w:w="1416" w:type="dxa"/>
            <w:tcBorders>
              <w:top w:val="single" w:sz="4" w:space="0" w:color="auto"/>
              <w:left w:val="single" w:sz="4" w:space="0" w:color="auto"/>
              <w:bottom w:val="single" w:sz="4" w:space="0" w:color="auto"/>
              <w:right w:val="single" w:sz="4" w:space="0" w:color="auto"/>
            </w:tcBorders>
            <w:vAlign w:val="center"/>
          </w:tcPr>
          <w:p w14:paraId="625954C6" w14:textId="77777777" w:rsidR="002E0363" w:rsidRPr="00F37678" w:rsidRDefault="002E0363" w:rsidP="00611905">
            <w:pPr>
              <w:jc w:val="center"/>
              <w:rPr>
                <w:rFonts w:ascii="Calibri" w:eastAsia="Calibri" w:hAnsi="Calibri" w:cs="Calibri"/>
                <w:sz w:val="20"/>
                <w:lang w:val="es-ES"/>
              </w:rPr>
            </w:pPr>
            <w:r w:rsidRPr="00F37678">
              <w:rPr>
                <w:rFonts w:ascii="Calibri" w:eastAsia="Calibri" w:hAnsi="Calibri" w:cs="Calibri"/>
                <w:sz w:val="20"/>
                <w:lang w:val="es-ES"/>
              </w:rPr>
              <w:t>9FSM22001</w:t>
            </w:r>
          </w:p>
        </w:tc>
        <w:tc>
          <w:tcPr>
            <w:tcW w:w="2693" w:type="dxa"/>
            <w:tcBorders>
              <w:top w:val="single" w:sz="4" w:space="0" w:color="auto"/>
              <w:left w:val="single" w:sz="4" w:space="0" w:color="auto"/>
              <w:bottom w:val="single" w:sz="4" w:space="0" w:color="auto"/>
              <w:right w:val="single" w:sz="4" w:space="0" w:color="auto"/>
            </w:tcBorders>
            <w:vAlign w:val="center"/>
          </w:tcPr>
          <w:p w14:paraId="18160E1E"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Acelerar el logro de los ODS mediante la transformación digital para reforzar la resiliencia de las comunidades en Micronesia</w:t>
            </w:r>
          </w:p>
        </w:tc>
        <w:tc>
          <w:tcPr>
            <w:tcW w:w="1607" w:type="dxa"/>
            <w:tcBorders>
              <w:top w:val="single" w:sz="4" w:space="0" w:color="auto"/>
              <w:left w:val="single" w:sz="4" w:space="0" w:color="auto"/>
              <w:bottom w:val="single" w:sz="4" w:space="0" w:color="auto"/>
              <w:right w:val="single" w:sz="4" w:space="0" w:color="auto"/>
            </w:tcBorders>
            <w:vAlign w:val="center"/>
          </w:tcPr>
          <w:p w14:paraId="212854BD" w14:textId="77777777" w:rsidR="002E0363" w:rsidRPr="00F37678" w:rsidRDefault="002E0363" w:rsidP="00611905">
            <w:pPr>
              <w:pStyle w:val="Tabletext"/>
              <w:jc w:val="center"/>
              <w:rPr>
                <w:rFonts w:ascii="Calibri" w:eastAsia="Calibri" w:hAnsi="Calibri" w:cs="Calibri"/>
                <w:lang w:val="es-ES"/>
              </w:rPr>
            </w:pPr>
            <w:r w:rsidRPr="00F37678">
              <w:rPr>
                <w:rFonts w:ascii="Calibri" w:eastAsia="Calibri" w:hAnsi="Calibri" w:cs="Calibri"/>
                <w:lang w:val="es-ES"/>
              </w:rPr>
              <w:t>31/07/2025</w:t>
            </w:r>
          </w:p>
        </w:tc>
        <w:tc>
          <w:tcPr>
            <w:tcW w:w="3058" w:type="dxa"/>
            <w:tcBorders>
              <w:top w:val="single" w:sz="4" w:space="0" w:color="auto"/>
              <w:left w:val="single" w:sz="4" w:space="0" w:color="auto"/>
              <w:bottom w:val="single" w:sz="4" w:space="0" w:color="auto"/>
              <w:right w:val="single" w:sz="4" w:space="0" w:color="auto"/>
            </w:tcBorders>
            <w:vAlign w:val="center"/>
          </w:tcPr>
          <w:p w14:paraId="2347A736" w14:textId="77777777" w:rsidR="002E0363" w:rsidRPr="00F37678" w:rsidRDefault="002E0363" w:rsidP="00611905">
            <w:pPr>
              <w:pStyle w:val="Tabletext"/>
              <w:jc w:val="center"/>
              <w:rPr>
                <w:rFonts w:ascii="Calibri" w:eastAsia="SimSun" w:hAnsi="Calibri" w:cs="Calibri"/>
                <w:lang w:val="es-ES"/>
              </w:rPr>
            </w:pPr>
            <w:r w:rsidRPr="00F37678">
              <w:rPr>
                <w:rFonts w:ascii="Calibri" w:eastAsia="Calibri" w:hAnsi="Calibri" w:cs="Calibri"/>
                <w:lang w:val="es-ES"/>
              </w:rPr>
              <w:t>Micronesia, Marshall (Islas), Nauru, Palau, Kiribati</w:t>
            </w:r>
          </w:p>
        </w:tc>
      </w:tr>
    </w:tbl>
    <w:p w14:paraId="4A0047D2" w14:textId="77777777" w:rsidR="00DC0E31" w:rsidRPr="00F37678" w:rsidRDefault="00DC0E31" w:rsidP="00411C49">
      <w:pPr>
        <w:pStyle w:val="Reasons"/>
        <w:rPr>
          <w:lang w:val="es-ES"/>
        </w:rPr>
      </w:pPr>
    </w:p>
    <w:p w14:paraId="07D0187C" w14:textId="77777777" w:rsidR="00DC0E31" w:rsidRPr="00F37678" w:rsidRDefault="00DC0E31">
      <w:pPr>
        <w:jc w:val="center"/>
        <w:rPr>
          <w:lang w:val="es-ES"/>
        </w:rPr>
      </w:pPr>
      <w:r w:rsidRPr="00F37678">
        <w:rPr>
          <w:lang w:val="es-ES"/>
        </w:rPr>
        <w:t>______________</w:t>
      </w:r>
    </w:p>
    <w:sectPr w:rsidR="00DC0E31" w:rsidRPr="00F37678" w:rsidSect="0039169B">
      <w:headerReference w:type="default" r:id="rId42"/>
      <w:footerReference w:type="even" r:id="rId43"/>
      <w:footerReference w:type="first" r:id="rId44"/>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7B7" w14:textId="77777777" w:rsidR="000970EB" w:rsidRDefault="000970EB">
      <w:r>
        <w:separator/>
      </w:r>
    </w:p>
  </w:endnote>
  <w:endnote w:type="continuationSeparator" w:id="0">
    <w:p w14:paraId="55D923EA" w14:textId="77777777" w:rsidR="000970EB" w:rsidRDefault="000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67638A8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F37678">
      <w:rPr>
        <w:noProof/>
      </w:rPr>
      <w:t>13.11.25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2E0363" w:rsidRPr="002E0363" w14:paraId="7EA83A66" w14:textId="77777777" w:rsidTr="002E0363">
      <w:tc>
        <w:tcPr>
          <w:tcW w:w="1134" w:type="dxa"/>
          <w:tcBorders>
            <w:top w:val="single" w:sz="4" w:space="0" w:color="000000"/>
          </w:tcBorders>
          <w:shd w:val="clear" w:color="auto" w:fill="auto"/>
        </w:tcPr>
        <w:p w14:paraId="54BF4A44" w14:textId="77777777" w:rsidR="002E0363" w:rsidRPr="002E0363" w:rsidRDefault="002E0363" w:rsidP="002E0363">
          <w:pPr>
            <w:pStyle w:val="FirstFooter"/>
            <w:tabs>
              <w:tab w:val="left" w:pos="1559"/>
              <w:tab w:val="left" w:pos="3828"/>
            </w:tabs>
            <w:rPr>
              <w:sz w:val="18"/>
              <w:szCs w:val="18"/>
              <w:lang w:val="es-ES"/>
            </w:rPr>
          </w:pPr>
          <w:r w:rsidRPr="002E0363">
            <w:rPr>
              <w:sz w:val="18"/>
              <w:szCs w:val="18"/>
              <w:lang w:val="es-ES"/>
            </w:rPr>
            <w:t>Contacto:</w:t>
          </w:r>
        </w:p>
      </w:tc>
      <w:tc>
        <w:tcPr>
          <w:tcW w:w="2552" w:type="dxa"/>
          <w:tcBorders>
            <w:top w:val="single" w:sz="4" w:space="0" w:color="000000"/>
          </w:tcBorders>
          <w:shd w:val="clear" w:color="auto" w:fill="auto"/>
        </w:tcPr>
        <w:p w14:paraId="4990EBCC" w14:textId="49B3D218" w:rsidR="002E0363" w:rsidRPr="002E0363" w:rsidRDefault="002E0363" w:rsidP="002E0363">
          <w:pPr>
            <w:pStyle w:val="FirstFooter"/>
            <w:tabs>
              <w:tab w:val="left" w:pos="2302"/>
            </w:tabs>
            <w:ind w:left="2302" w:hanging="2302"/>
            <w:rPr>
              <w:sz w:val="18"/>
              <w:szCs w:val="18"/>
              <w:lang w:val="es-ES"/>
            </w:rPr>
          </w:pPr>
          <w:r w:rsidRPr="002E0363">
            <w:rPr>
              <w:sz w:val="18"/>
              <w:szCs w:val="18"/>
              <w:lang w:val="es-ES"/>
            </w:rPr>
            <w:t>Nombre/Organización/Entidad:</w:t>
          </w:r>
        </w:p>
      </w:tc>
      <w:tc>
        <w:tcPr>
          <w:tcW w:w="6095" w:type="dxa"/>
          <w:tcBorders>
            <w:top w:val="single" w:sz="4" w:space="0" w:color="000000"/>
          </w:tcBorders>
        </w:tcPr>
        <w:p w14:paraId="3477AD86" w14:textId="465F6382" w:rsidR="002E0363" w:rsidRPr="002E0363" w:rsidRDefault="002E0363" w:rsidP="002E0363">
          <w:pPr>
            <w:pStyle w:val="FirstFooter"/>
            <w:tabs>
              <w:tab w:val="left" w:pos="2302"/>
            </w:tabs>
            <w:rPr>
              <w:sz w:val="18"/>
              <w:szCs w:val="18"/>
              <w:highlight w:val="yellow"/>
              <w:lang w:val="es-ES"/>
            </w:rPr>
          </w:pPr>
          <w:r w:rsidRPr="002E0363">
            <w:rPr>
              <w:lang w:val="es-ES"/>
            </w:rPr>
            <w:t>Sra. Archana Gulati, Directora Adjunta, Oficina de Desarrollo de las Telecomunicaciones</w:t>
          </w:r>
        </w:p>
      </w:tc>
      <w:bookmarkStart w:id="21" w:name="OrgName"/>
      <w:bookmarkEnd w:id="21"/>
    </w:tr>
    <w:tr w:rsidR="002E0363" w:rsidRPr="002E0363" w14:paraId="357B3672" w14:textId="77777777" w:rsidTr="002E0363">
      <w:tc>
        <w:tcPr>
          <w:tcW w:w="1134" w:type="dxa"/>
          <w:shd w:val="clear" w:color="auto" w:fill="auto"/>
        </w:tcPr>
        <w:p w14:paraId="16D54CB9" w14:textId="77777777" w:rsidR="002E0363" w:rsidRPr="002E0363" w:rsidRDefault="002E0363" w:rsidP="002E0363">
          <w:pPr>
            <w:pStyle w:val="FirstFooter"/>
            <w:tabs>
              <w:tab w:val="left" w:pos="1559"/>
              <w:tab w:val="left" w:pos="3828"/>
            </w:tabs>
            <w:rPr>
              <w:sz w:val="20"/>
              <w:lang w:val="es-ES"/>
            </w:rPr>
          </w:pPr>
        </w:p>
      </w:tc>
      <w:tc>
        <w:tcPr>
          <w:tcW w:w="2552" w:type="dxa"/>
          <w:shd w:val="clear" w:color="auto" w:fill="auto"/>
        </w:tcPr>
        <w:p w14:paraId="0FED1DD1" w14:textId="31441479" w:rsidR="002E0363" w:rsidRPr="002E0363" w:rsidRDefault="002E0363" w:rsidP="002E0363">
          <w:pPr>
            <w:pStyle w:val="FirstFooter"/>
            <w:tabs>
              <w:tab w:val="left" w:pos="2302"/>
            </w:tabs>
            <w:rPr>
              <w:sz w:val="18"/>
              <w:szCs w:val="18"/>
              <w:lang w:val="es-ES"/>
            </w:rPr>
          </w:pPr>
          <w:r w:rsidRPr="002E0363">
            <w:rPr>
              <w:sz w:val="18"/>
              <w:szCs w:val="18"/>
              <w:lang w:val="es-ES"/>
            </w:rPr>
            <w:t>Teléfono:</w:t>
          </w:r>
        </w:p>
      </w:tc>
      <w:tc>
        <w:tcPr>
          <w:tcW w:w="6095" w:type="dxa"/>
        </w:tcPr>
        <w:p w14:paraId="7724019E" w14:textId="54795E7F" w:rsidR="002E0363" w:rsidRPr="002E0363" w:rsidRDefault="002E0363" w:rsidP="002E0363">
          <w:pPr>
            <w:pStyle w:val="FirstFooter"/>
            <w:tabs>
              <w:tab w:val="left" w:pos="2302"/>
            </w:tabs>
            <w:rPr>
              <w:sz w:val="18"/>
              <w:szCs w:val="18"/>
              <w:highlight w:val="yellow"/>
              <w:lang w:val="es-ES"/>
            </w:rPr>
          </w:pPr>
          <w:r w:rsidRPr="002E0363">
            <w:rPr>
              <w:lang w:val="es-ES"/>
            </w:rPr>
            <w:t>+41 22 730 6475</w:t>
          </w:r>
        </w:p>
      </w:tc>
      <w:bookmarkStart w:id="22" w:name="PhoneNo"/>
      <w:bookmarkEnd w:id="22"/>
    </w:tr>
    <w:tr w:rsidR="002E0363" w:rsidRPr="002E0363" w14:paraId="5CCDBCE4" w14:textId="77777777" w:rsidTr="002E0363">
      <w:tc>
        <w:tcPr>
          <w:tcW w:w="1134" w:type="dxa"/>
          <w:shd w:val="clear" w:color="auto" w:fill="auto"/>
        </w:tcPr>
        <w:p w14:paraId="52E47833" w14:textId="77777777" w:rsidR="002E0363" w:rsidRPr="002E0363" w:rsidRDefault="002E0363" w:rsidP="002E0363">
          <w:pPr>
            <w:pStyle w:val="FirstFooter"/>
            <w:tabs>
              <w:tab w:val="left" w:pos="1559"/>
              <w:tab w:val="left" w:pos="3828"/>
            </w:tabs>
            <w:rPr>
              <w:sz w:val="20"/>
              <w:lang w:val="es-ES"/>
            </w:rPr>
          </w:pPr>
        </w:p>
      </w:tc>
      <w:tc>
        <w:tcPr>
          <w:tcW w:w="2552" w:type="dxa"/>
          <w:shd w:val="clear" w:color="auto" w:fill="auto"/>
        </w:tcPr>
        <w:p w14:paraId="21E40CA1" w14:textId="6A84B6B0" w:rsidR="002E0363" w:rsidRPr="002E0363" w:rsidRDefault="002E0363" w:rsidP="002E0363">
          <w:pPr>
            <w:pStyle w:val="FirstFooter"/>
            <w:tabs>
              <w:tab w:val="left" w:pos="2302"/>
            </w:tabs>
            <w:rPr>
              <w:sz w:val="18"/>
              <w:szCs w:val="18"/>
              <w:lang w:val="es-ES"/>
            </w:rPr>
          </w:pPr>
          <w:r w:rsidRPr="002E0363">
            <w:rPr>
              <w:sz w:val="18"/>
              <w:szCs w:val="18"/>
              <w:lang w:val="es-ES"/>
            </w:rPr>
            <w:t>Correo-e:</w:t>
          </w:r>
        </w:p>
      </w:tc>
      <w:tc>
        <w:tcPr>
          <w:tcW w:w="6095" w:type="dxa"/>
        </w:tcPr>
        <w:p w14:paraId="46F015A9" w14:textId="4F2B1A08" w:rsidR="002E0363" w:rsidRPr="002E0363" w:rsidRDefault="002E0363" w:rsidP="002E0363">
          <w:pPr>
            <w:pStyle w:val="FirstFooter"/>
            <w:tabs>
              <w:tab w:val="left" w:pos="2302"/>
            </w:tabs>
            <w:rPr>
              <w:sz w:val="18"/>
              <w:szCs w:val="18"/>
              <w:highlight w:val="yellow"/>
              <w:lang w:val="es-ES"/>
            </w:rPr>
          </w:pPr>
          <w:hyperlink r:id="rId1" w:history="1">
            <w:r w:rsidRPr="002E0363">
              <w:rPr>
                <w:rStyle w:val="Hyperlink"/>
                <w:lang w:val="es-ES"/>
              </w:rPr>
              <w:t xml:space="preserve">archana.gulati@itu.int </w:t>
            </w:r>
          </w:hyperlink>
        </w:p>
      </w:tc>
      <w:bookmarkStart w:id="23" w:name="Email"/>
      <w:bookmarkEnd w:id="23"/>
    </w:tr>
  </w:tbl>
  <w:p w14:paraId="7D9D0578" w14:textId="41D71847" w:rsidR="000B1248" w:rsidRPr="00D83BF5" w:rsidRDefault="00F37678" w:rsidP="00616175">
    <w:pPr>
      <w:jc w:val="center"/>
    </w:pPr>
    <w:hyperlink r:id="rId2"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A352" w14:textId="77777777" w:rsidR="000970EB" w:rsidRDefault="000970EB">
      <w:r>
        <w:rPr>
          <w:b/>
        </w:rPr>
        <w:t>_______________</w:t>
      </w:r>
    </w:p>
  </w:footnote>
  <w:footnote w:type="continuationSeparator" w:id="0">
    <w:p w14:paraId="327B2F06" w14:textId="77777777" w:rsidR="000970EB" w:rsidRDefault="000970EB">
      <w:r>
        <w:continuationSeparator/>
      </w:r>
    </w:p>
  </w:footnote>
  <w:footnote w:id="1">
    <w:p w14:paraId="5FF69571" w14:textId="77777777" w:rsidR="002E0363" w:rsidRPr="00F37678" w:rsidRDefault="002E0363" w:rsidP="002E0363">
      <w:pPr>
        <w:pStyle w:val="FootnoteText"/>
        <w:spacing w:before="0"/>
        <w:rPr>
          <w:sz w:val="20"/>
          <w:lang w:val="es-ES"/>
        </w:rPr>
      </w:pPr>
      <w:r w:rsidRPr="00F37678">
        <w:rPr>
          <w:rStyle w:val="FootnoteReference"/>
          <w:sz w:val="20"/>
          <w:lang w:val="es-ES"/>
        </w:rPr>
        <w:footnoteRef/>
      </w:r>
      <w:r w:rsidRPr="00F37678">
        <w:rPr>
          <w:lang w:val="es-ES"/>
        </w:rPr>
        <w:tab/>
      </w:r>
      <w:hyperlink r:id="rId1" w:anchor="/es" w:history="1">
        <w:r w:rsidRPr="00F37678">
          <w:rPr>
            <w:rStyle w:val="Hyperlink"/>
            <w:lang w:val="es-ES"/>
          </w:rPr>
          <w:t>https://www.itu.int/itu-d/sites/ldcs/focus-areas/lldc/list-of-lldcs/</w:t>
        </w:r>
      </w:hyperlink>
    </w:p>
  </w:footnote>
  <w:footnote w:id="2">
    <w:p w14:paraId="11CFF31C" w14:textId="77777777" w:rsidR="002E0363" w:rsidRPr="00F37678" w:rsidRDefault="002E0363" w:rsidP="002E0363">
      <w:pPr>
        <w:pStyle w:val="FootnoteText"/>
        <w:spacing w:before="0"/>
        <w:rPr>
          <w:rFonts w:ascii="Calibri" w:hAnsi="Calibri"/>
          <w:sz w:val="20"/>
          <w:lang w:val="es-ES"/>
        </w:rPr>
      </w:pPr>
      <w:r w:rsidRPr="00F37678">
        <w:rPr>
          <w:rStyle w:val="FootnoteReference"/>
          <w:sz w:val="20"/>
          <w:lang w:val="es-ES"/>
        </w:rPr>
        <w:footnoteRef/>
      </w:r>
      <w:r w:rsidRPr="00F37678">
        <w:rPr>
          <w:lang w:val="es-ES"/>
        </w:rPr>
        <w:tab/>
      </w:r>
      <w:hyperlink r:id="rId2" w:anchor="/es" w:history="1">
        <w:r w:rsidRPr="00F37678">
          <w:rPr>
            <w:rStyle w:val="Hyperlink"/>
            <w:lang w:val="es-ES"/>
          </w:rPr>
          <w:t>https://www.itu.int/hub/publication/D-IND-ICT_MDD-2025-1/</w:t>
        </w:r>
      </w:hyperlink>
    </w:p>
  </w:footnote>
  <w:footnote w:id="3">
    <w:p w14:paraId="71AE3197" w14:textId="77777777" w:rsidR="002E0363" w:rsidRDefault="002E0363" w:rsidP="002E0363">
      <w:pPr>
        <w:pStyle w:val="FootnoteText"/>
        <w:spacing w:before="0"/>
        <w:rPr>
          <w:sz w:val="20"/>
        </w:rPr>
      </w:pPr>
      <w:r w:rsidRPr="00F37678">
        <w:rPr>
          <w:rStyle w:val="FootnoteReference"/>
          <w:sz w:val="20"/>
          <w:lang w:val="es-ES"/>
        </w:rPr>
        <w:footnoteRef/>
      </w:r>
      <w:r w:rsidRPr="00F37678">
        <w:rPr>
          <w:lang w:val="es-ES"/>
        </w:rPr>
        <w:tab/>
        <w:t xml:space="preserve">Basado en UIT, </w:t>
      </w:r>
      <w:r w:rsidRPr="00F37678">
        <w:rPr>
          <w:i/>
          <w:iCs/>
          <w:lang w:val="es-ES"/>
        </w:rPr>
        <w:t>Facts and Figures 2024</w:t>
      </w:r>
      <w:r w:rsidRPr="00F37678">
        <w:rPr>
          <w:lang w:val="es-ES"/>
        </w:rPr>
        <w:t xml:space="preserve">, </w:t>
      </w:r>
      <w:hyperlink r:id="rId3" w:history="1">
        <w:r w:rsidRPr="00F37678">
          <w:rPr>
            <w:rStyle w:val="Hyperlink"/>
            <w:lang w:val="es-ES"/>
          </w:rPr>
          <w:t>https://www.itu.int/itu-d/reports/statistics/facts-figures-2024/</w:t>
        </w:r>
      </w:hyperlink>
      <w:r>
        <w:rPr>
          <w:lang w:val="en-US"/>
        </w:rPr>
        <w:t xml:space="preserve"> </w:t>
      </w:r>
    </w:p>
  </w:footnote>
  <w:footnote w:id="4">
    <w:p w14:paraId="42B16571" w14:textId="77777777" w:rsidR="002E0363" w:rsidRDefault="002E0363" w:rsidP="002E0363">
      <w:pPr>
        <w:pStyle w:val="FootnoteText"/>
        <w:spacing w:before="0"/>
        <w:ind w:left="255" w:hanging="255"/>
        <w:rPr>
          <w:sz w:val="20"/>
        </w:rPr>
      </w:pPr>
      <w:r>
        <w:rPr>
          <w:rStyle w:val="FootnoteReference"/>
          <w:sz w:val="20"/>
          <w:lang w:val="es-ES"/>
        </w:rPr>
        <w:footnoteRef/>
      </w:r>
      <w:r>
        <w:tab/>
      </w:r>
      <w:hyperlink r:id="rId4" w:history="1">
        <w:r>
          <w:rPr>
            <w:rStyle w:val="Hyperlink"/>
          </w:rPr>
          <w:t>https://www.itu.int/itu-d/sites/year-in-review-2022/</w:t>
        </w:r>
      </w:hyperlink>
      <w:r>
        <w:br/>
      </w:r>
      <w:hyperlink r:id="rId5" w:history="1">
        <w:r w:rsidRPr="00A94E25">
          <w:rPr>
            <w:rStyle w:val="Hyperlink"/>
          </w:rPr>
          <w:t>https://www.itu.int/itu-d/sites/year-in-review-2023/</w:t>
        </w:r>
      </w:hyperlink>
      <w:r>
        <w:br/>
      </w:r>
      <w:hyperlink r:id="rId6" w:history="1">
        <w:r w:rsidRPr="00A94E25">
          <w:rPr>
            <w:rStyle w:val="Hyperlink"/>
          </w:rPr>
          <w:t>https://www.itu.int/itu-d/sites/year-in-review-2024/</w:t>
        </w:r>
      </w:hyperlink>
    </w:p>
  </w:footnote>
  <w:footnote w:id="5">
    <w:p w14:paraId="2A8D75FF" w14:textId="77777777" w:rsidR="002E0363" w:rsidRDefault="002E0363" w:rsidP="002E0363">
      <w:pPr>
        <w:pStyle w:val="FootnoteText"/>
        <w:spacing w:before="0"/>
        <w:ind w:left="255" w:hanging="255"/>
        <w:rPr>
          <w:sz w:val="20"/>
          <w:lang w:val="es-ES"/>
        </w:rPr>
      </w:pPr>
      <w:r>
        <w:rPr>
          <w:rStyle w:val="FootnoteReference"/>
          <w:sz w:val="20"/>
          <w:lang w:val="es-ES"/>
        </w:rPr>
        <w:footnoteRef/>
      </w:r>
      <w:r>
        <w:rPr>
          <w:lang w:val="es-ES"/>
        </w:rPr>
        <w:tab/>
        <w:t xml:space="preserve">Se puede consultar más información sobre proyectos financiados con recursos extrapresupuestarios en la </w:t>
      </w:r>
      <w:hyperlink r:id="rId7" w:anchor="/es" w:history="1">
        <w:r w:rsidRPr="00A94E25">
          <w:rPr>
            <w:rStyle w:val="Hyperlink"/>
            <w:lang w:val="es-ES"/>
          </w:rPr>
          <w:t>cartera de proyectos del UIT-D</w:t>
        </w:r>
      </w:hyperlink>
    </w:p>
  </w:footnote>
  <w:footnote w:id="6">
    <w:p w14:paraId="0FF4783A" w14:textId="3C555DC0" w:rsidR="002E0363" w:rsidRPr="00017D1F" w:rsidRDefault="002E0363" w:rsidP="002E0363">
      <w:pPr>
        <w:shd w:val="clear" w:color="auto" w:fill="FFFFFF" w:themeFill="background1"/>
        <w:tabs>
          <w:tab w:val="clear" w:pos="1134"/>
          <w:tab w:val="clear" w:pos="1871"/>
          <w:tab w:val="clear" w:pos="2268"/>
        </w:tabs>
        <w:overflowPunct/>
        <w:autoSpaceDE/>
        <w:autoSpaceDN/>
        <w:adjustRightInd/>
        <w:spacing w:before="0"/>
        <w:textAlignment w:val="auto"/>
        <w:rPr>
          <w:rFonts w:ascii="Calibri" w:hAnsi="Calibri" w:cs="Calibri"/>
          <w:color w:val="242424"/>
          <w:sz w:val="22"/>
          <w:szCs w:val="22"/>
        </w:rPr>
      </w:pPr>
      <w:r>
        <w:rPr>
          <w:rStyle w:val="FootnoteReference"/>
          <w:lang w:val="es-ES"/>
        </w:rPr>
        <w:footnoteRef/>
      </w:r>
      <w:r w:rsidR="00B13697">
        <w:rPr>
          <w:lang w:val="en-US"/>
        </w:rPr>
        <w:tab/>
      </w:r>
      <w:r w:rsidRPr="00EB7780">
        <w:rPr>
          <w:lang w:val="en-US"/>
        </w:rPr>
        <w:t xml:space="preserve">UIT, </w:t>
      </w:r>
      <w:r w:rsidRPr="00EB7780">
        <w:rPr>
          <w:i/>
          <w:iCs/>
          <w:lang w:val="en-US"/>
        </w:rPr>
        <w:t>Measuring digital development: ICT Development Index, 2025</w:t>
      </w:r>
      <w:r w:rsidRPr="00EB7780">
        <w:rPr>
          <w:lang w:val="en-US"/>
        </w:rPr>
        <w:t xml:space="preserve">. </w:t>
      </w:r>
      <w:r w:rsidRPr="00EB7780">
        <w:rPr>
          <w:rStyle w:val="Hyperlink"/>
          <w:lang w:val="en-US"/>
        </w:rPr>
        <w:t>itu.int/facts</w:t>
      </w:r>
      <w:hyperlink r:id="rId8" w:tooltip="https://www.itu.int/en/ITU-D/Statistics/Pages/facts/default.aspx"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2480B58E"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20"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20"/>
    <w:r w:rsidR="002E0363">
      <w:rPr>
        <w:sz w:val="22"/>
        <w:szCs w:val="22"/>
      </w:rPr>
      <w:t>16</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9D5542C"/>
    <w:multiLevelType w:val="hybridMultilevel"/>
    <w:tmpl w:val="FFFFFFFF"/>
    <w:lvl w:ilvl="0" w:tplc="9198E184">
      <w:start w:val="1"/>
      <w:numFmt w:val="decimal"/>
      <w:lvlText w:val="%1."/>
      <w:lvlJc w:val="left"/>
      <w:pPr>
        <w:ind w:left="1080" w:hanging="360"/>
      </w:pPr>
    </w:lvl>
    <w:lvl w:ilvl="1" w:tplc="2C88B270">
      <w:start w:val="1"/>
      <w:numFmt w:val="lowerLetter"/>
      <w:lvlText w:val="%2."/>
      <w:lvlJc w:val="left"/>
      <w:pPr>
        <w:ind w:left="1800" w:hanging="360"/>
      </w:pPr>
    </w:lvl>
    <w:lvl w:ilvl="2" w:tplc="F27AEDE0">
      <w:start w:val="1"/>
      <w:numFmt w:val="lowerRoman"/>
      <w:lvlText w:val="%3."/>
      <w:lvlJc w:val="right"/>
      <w:pPr>
        <w:ind w:left="2520" w:hanging="180"/>
      </w:pPr>
    </w:lvl>
    <w:lvl w:ilvl="3" w:tplc="5EE4D8CE">
      <w:start w:val="1"/>
      <w:numFmt w:val="decimal"/>
      <w:lvlText w:val="%4."/>
      <w:lvlJc w:val="left"/>
      <w:pPr>
        <w:ind w:left="3240" w:hanging="360"/>
      </w:pPr>
    </w:lvl>
    <w:lvl w:ilvl="4" w:tplc="0EAA13A0">
      <w:start w:val="1"/>
      <w:numFmt w:val="lowerLetter"/>
      <w:lvlText w:val="%5."/>
      <w:lvlJc w:val="left"/>
      <w:pPr>
        <w:ind w:left="3960" w:hanging="360"/>
      </w:pPr>
    </w:lvl>
    <w:lvl w:ilvl="5" w:tplc="1DD83CC2">
      <w:start w:val="1"/>
      <w:numFmt w:val="lowerRoman"/>
      <w:lvlText w:val="%6."/>
      <w:lvlJc w:val="right"/>
      <w:pPr>
        <w:ind w:left="4680" w:hanging="180"/>
      </w:pPr>
    </w:lvl>
    <w:lvl w:ilvl="6" w:tplc="6A5CBBD0">
      <w:start w:val="1"/>
      <w:numFmt w:val="decimal"/>
      <w:lvlText w:val="%7."/>
      <w:lvlJc w:val="left"/>
      <w:pPr>
        <w:ind w:left="5400" w:hanging="360"/>
      </w:pPr>
    </w:lvl>
    <w:lvl w:ilvl="7" w:tplc="8A0C57EE">
      <w:start w:val="1"/>
      <w:numFmt w:val="lowerLetter"/>
      <w:lvlText w:val="%8."/>
      <w:lvlJc w:val="left"/>
      <w:pPr>
        <w:ind w:left="6120" w:hanging="360"/>
      </w:pPr>
    </w:lvl>
    <w:lvl w:ilvl="8" w:tplc="ACFE2D4C">
      <w:start w:val="1"/>
      <w:numFmt w:val="lowerRoman"/>
      <w:lvlText w:val="%9."/>
      <w:lvlJc w:val="right"/>
      <w:pPr>
        <w:ind w:left="6840" w:hanging="180"/>
      </w:p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AE25DE"/>
    <w:multiLevelType w:val="hybridMultilevel"/>
    <w:tmpl w:val="A5E6DB3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2E4B49"/>
    <w:multiLevelType w:val="hybridMultilevel"/>
    <w:tmpl w:val="E16C9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cs="Times New Roman"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cs="Times New Roman"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cs="Times New Roman" w:hint="default"/>
      </w:rPr>
    </w:lvl>
    <w:lvl w:ilvl="8" w:tplc="CBD66DD6">
      <w:start w:val="1"/>
      <w:numFmt w:val="bullet"/>
      <w:lvlText w:val=""/>
      <w:lvlJc w:val="left"/>
      <w:pPr>
        <w:ind w:left="6480" w:hanging="360"/>
      </w:pPr>
      <w:rPr>
        <w:rFonts w:ascii="Wingdings" w:hAnsi="Wingdings" w:hint="default"/>
      </w:rPr>
    </w:lvl>
  </w:abstractNum>
  <w:abstractNum w:abstractNumId="8"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cs="Times New Roman"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cs="Times New Roman"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cs="Times New Roman" w:hint="default"/>
      </w:rPr>
    </w:lvl>
    <w:lvl w:ilvl="8" w:tplc="D592F642">
      <w:start w:val="1"/>
      <w:numFmt w:val="bullet"/>
      <w:lvlText w:val=""/>
      <w:lvlJc w:val="left"/>
      <w:pPr>
        <w:ind w:left="6480" w:hanging="360"/>
      </w:pPr>
      <w:rPr>
        <w:rFonts w:ascii="Wingdings" w:hAnsi="Wingdings" w:hint="default"/>
      </w:rPr>
    </w:lvl>
  </w:abstractNum>
  <w:abstractNum w:abstractNumId="9"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cs="Times New Roman"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cs="Times New Roman"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cs="Times New Roman" w:hint="default"/>
      </w:rPr>
    </w:lvl>
    <w:lvl w:ilvl="8" w:tplc="E118F46A">
      <w:start w:val="1"/>
      <w:numFmt w:val="bullet"/>
      <w:lvlText w:val=""/>
      <w:lvlJc w:val="left"/>
      <w:pPr>
        <w:ind w:left="6480" w:hanging="360"/>
      </w:pPr>
      <w:rPr>
        <w:rFonts w:ascii="Wingdings" w:hAnsi="Wingdings" w:hint="default"/>
      </w:rPr>
    </w:lvl>
  </w:abstractNum>
  <w:abstractNum w:abstractNumId="10" w15:restartNumberingAfterBreak="0">
    <w:nsid w:val="34E1470C"/>
    <w:multiLevelType w:val="hybridMultilevel"/>
    <w:tmpl w:val="B6E4E296"/>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cs="Times New Roman"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cs="Times New Roman"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cs="Times New Roman" w:hint="default"/>
      </w:rPr>
    </w:lvl>
    <w:lvl w:ilvl="8" w:tplc="9F5ABD76">
      <w:start w:val="1"/>
      <w:numFmt w:val="bullet"/>
      <w:lvlText w:val=""/>
      <w:lvlJc w:val="left"/>
      <w:pPr>
        <w:ind w:left="6480" w:hanging="360"/>
      </w:pPr>
      <w:rPr>
        <w:rFonts w:ascii="Wingdings" w:hAnsi="Wingdings" w:hint="default"/>
      </w:rPr>
    </w:lvl>
  </w:abstractNum>
  <w:abstractNum w:abstractNumId="12"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cs="Times New Roman"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cs="Times New Roman"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cs="Times New Roman" w:hint="default"/>
      </w:rPr>
    </w:lvl>
    <w:lvl w:ilvl="8" w:tplc="C04A64B8">
      <w:start w:val="1"/>
      <w:numFmt w:val="bullet"/>
      <w:lvlText w:val=""/>
      <w:lvlJc w:val="left"/>
      <w:pPr>
        <w:ind w:left="6480" w:hanging="360"/>
      </w:pPr>
      <w:rPr>
        <w:rFonts w:ascii="Wingdings" w:hAnsi="Wingdings" w:hint="default"/>
      </w:rPr>
    </w:lvl>
  </w:abstractNum>
  <w:abstractNum w:abstractNumId="14"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start w:val="1"/>
      <w:numFmt w:val="bullet"/>
      <w:lvlText w:val="o"/>
      <w:lvlJc w:val="left"/>
      <w:pPr>
        <w:ind w:left="1440" w:hanging="360"/>
      </w:pPr>
      <w:rPr>
        <w:rFonts w:ascii="Courier New" w:hAnsi="Courier New" w:cs="Times New Roman" w:hint="default"/>
      </w:rPr>
    </w:lvl>
    <w:lvl w:ilvl="2" w:tplc="F768E31C">
      <w:start w:val="1"/>
      <w:numFmt w:val="bullet"/>
      <w:lvlText w:val=""/>
      <w:lvlJc w:val="left"/>
      <w:pPr>
        <w:ind w:left="2160" w:hanging="360"/>
      </w:pPr>
      <w:rPr>
        <w:rFonts w:ascii="Wingdings" w:hAnsi="Wingdings" w:hint="default"/>
      </w:rPr>
    </w:lvl>
    <w:lvl w:ilvl="3" w:tplc="289435D4">
      <w:start w:val="1"/>
      <w:numFmt w:val="bullet"/>
      <w:lvlText w:val=""/>
      <w:lvlJc w:val="left"/>
      <w:pPr>
        <w:ind w:left="2880" w:hanging="360"/>
      </w:pPr>
      <w:rPr>
        <w:rFonts w:ascii="Symbol" w:hAnsi="Symbol" w:hint="default"/>
      </w:rPr>
    </w:lvl>
    <w:lvl w:ilvl="4" w:tplc="5D82BC9C">
      <w:start w:val="1"/>
      <w:numFmt w:val="bullet"/>
      <w:lvlText w:val="o"/>
      <w:lvlJc w:val="left"/>
      <w:pPr>
        <w:ind w:left="3600" w:hanging="360"/>
      </w:pPr>
      <w:rPr>
        <w:rFonts w:ascii="Courier New" w:hAnsi="Courier New" w:cs="Times New Roman" w:hint="default"/>
      </w:rPr>
    </w:lvl>
    <w:lvl w:ilvl="5" w:tplc="236E9456">
      <w:start w:val="1"/>
      <w:numFmt w:val="bullet"/>
      <w:lvlText w:val=""/>
      <w:lvlJc w:val="left"/>
      <w:pPr>
        <w:ind w:left="4320" w:hanging="360"/>
      </w:pPr>
      <w:rPr>
        <w:rFonts w:ascii="Wingdings" w:hAnsi="Wingdings" w:hint="default"/>
      </w:rPr>
    </w:lvl>
    <w:lvl w:ilvl="6" w:tplc="114AAC52">
      <w:start w:val="1"/>
      <w:numFmt w:val="bullet"/>
      <w:lvlText w:val=""/>
      <w:lvlJc w:val="left"/>
      <w:pPr>
        <w:ind w:left="5040" w:hanging="360"/>
      </w:pPr>
      <w:rPr>
        <w:rFonts w:ascii="Symbol" w:hAnsi="Symbol" w:hint="default"/>
      </w:rPr>
    </w:lvl>
    <w:lvl w:ilvl="7" w:tplc="6C18446E">
      <w:start w:val="1"/>
      <w:numFmt w:val="bullet"/>
      <w:lvlText w:val="o"/>
      <w:lvlJc w:val="left"/>
      <w:pPr>
        <w:ind w:left="5760" w:hanging="360"/>
      </w:pPr>
      <w:rPr>
        <w:rFonts w:ascii="Courier New" w:hAnsi="Courier New" w:cs="Times New Roman" w:hint="default"/>
      </w:rPr>
    </w:lvl>
    <w:lvl w:ilvl="8" w:tplc="885CCF38">
      <w:start w:val="1"/>
      <w:numFmt w:val="bullet"/>
      <w:lvlText w:val=""/>
      <w:lvlJc w:val="left"/>
      <w:pPr>
        <w:ind w:left="6480" w:hanging="360"/>
      </w:pPr>
      <w:rPr>
        <w:rFonts w:ascii="Wingdings" w:hAnsi="Wingdings" w:hint="default"/>
      </w:rPr>
    </w:lvl>
  </w:abstractNum>
  <w:abstractNum w:abstractNumId="16" w15:restartNumberingAfterBreak="0">
    <w:nsid w:val="53703A7E"/>
    <w:multiLevelType w:val="hybridMultilevel"/>
    <w:tmpl w:val="F3665406"/>
    <w:lvl w:ilvl="0" w:tplc="0809000F">
      <w:start w:val="1"/>
      <w:numFmt w:val="decimal"/>
      <w:lvlText w:val="%1."/>
      <w:lvlJc w:val="left"/>
      <w:pPr>
        <w:ind w:left="720" w:hanging="360"/>
      </w:pPr>
    </w:lvl>
    <w:lvl w:ilvl="1" w:tplc="CD4C72B8">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start w:val="1"/>
      <w:numFmt w:val="bullet"/>
      <w:lvlText w:val="o"/>
      <w:lvlJc w:val="left"/>
      <w:pPr>
        <w:ind w:left="1440" w:hanging="360"/>
      </w:pPr>
      <w:rPr>
        <w:rFonts w:ascii="Courier New" w:hAnsi="Courier New" w:cs="Times New Roman" w:hint="default"/>
      </w:rPr>
    </w:lvl>
    <w:lvl w:ilvl="2" w:tplc="6522324C">
      <w:start w:val="1"/>
      <w:numFmt w:val="bullet"/>
      <w:lvlText w:val=""/>
      <w:lvlJc w:val="left"/>
      <w:pPr>
        <w:ind w:left="2160" w:hanging="360"/>
      </w:pPr>
      <w:rPr>
        <w:rFonts w:ascii="Wingdings" w:hAnsi="Wingdings" w:hint="default"/>
      </w:rPr>
    </w:lvl>
    <w:lvl w:ilvl="3" w:tplc="E1226F10">
      <w:start w:val="1"/>
      <w:numFmt w:val="bullet"/>
      <w:lvlText w:val=""/>
      <w:lvlJc w:val="left"/>
      <w:pPr>
        <w:ind w:left="2880" w:hanging="360"/>
      </w:pPr>
      <w:rPr>
        <w:rFonts w:ascii="Symbol" w:hAnsi="Symbol" w:hint="default"/>
      </w:rPr>
    </w:lvl>
    <w:lvl w:ilvl="4" w:tplc="171834D8">
      <w:start w:val="1"/>
      <w:numFmt w:val="bullet"/>
      <w:lvlText w:val="o"/>
      <w:lvlJc w:val="left"/>
      <w:pPr>
        <w:ind w:left="3600" w:hanging="360"/>
      </w:pPr>
      <w:rPr>
        <w:rFonts w:ascii="Courier New" w:hAnsi="Courier New" w:cs="Times New Roman" w:hint="default"/>
      </w:rPr>
    </w:lvl>
    <w:lvl w:ilvl="5" w:tplc="A45E233C">
      <w:start w:val="1"/>
      <w:numFmt w:val="bullet"/>
      <w:lvlText w:val=""/>
      <w:lvlJc w:val="left"/>
      <w:pPr>
        <w:ind w:left="4320" w:hanging="360"/>
      </w:pPr>
      <w:rPr>
        <w:rFonts w:ascii="Wingdings" w:hAnsi="Wingdings" w:hint="default"/>
      </w:rPr>
    </w:lvl>
    <w:lvl w:ilvl="6" w:tplc="31F4C9DE">
      <w:start w:val="1"/>
      <w:numFmt w:val="bullet"/>
      <w:lvlText w:val=""/>
      <w:lvlJc w:val="left"/>
      <w:pPr>
        <w:ind w:left="5040" w:hanging="360"/>
      </w:pPr>
      <w:rPr>
        <w:rFonts w:ascii="Symbol" w:hAnsi="Symbol" w:hint="default"/>
      </w:rPr>
    </w:lvl>
    <w:lvl w:ilvl="7" w:tplc="C9FEB4A2">
      <w:start w:val="1"/>
      <w:numFmt w:val="bullet"/>
      <w:lvlText w:val="o"/>
      <w:lvlJc w:val="left"/>
      <w:pPr>
        <w:ind w:left="5760" w:hanging="360"/>
      </w:pPr>
      <w:rPr>
        <w:rFonts w:ascii="Courier New" w:hAnsi="Courier New" w:cs="Times New Roman" w:hint="default"/>
      </w:rPr>
    </w:lvl>
    <w:lvl w:ilvl="8" w:tplc="496641CA">
      <w:start w:val="1"/>
      <w:numFmt w:val="bullet"/>
      <w:lvlText w:val=""/>
      <w:lvlJc w:val="left"/>
      <w:pPr>
        <w:ind w:left="6480" w:hanging="360"/>
      </w:pPr>
      <w:rPr>
        <w:rFonts w:ascii="Wingdings" w:hAnsi="Wingdings" w:hint="default"/>
      </w:rPr>
    </w:lvl>
  </w:abstractNum>
  <w:abstractNum w:abstractNumId="19"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cs="Times New Roman"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cs="Times New Roman"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cs="Times New Roman" w:hint="default"/>
      </w:rPr>
    </w:lvl>
    <w:lvl w:ilvl="8" w:tplc="54467708">
      <w:start w:val="1"/>
      <w:numFmt w:val="bullet"/>
      <w:lvlText w:val=""/>
      <w:lvlJc w:val="left"/>
      <w:pPr>
        <w:ind w:left="6480" w:hanging="360"/>
      </w:pPr>
      <w:rPr>
        <w:rFonts w:ascii="Wingdings" w:hAnsi="Wingdings" w:hint="default"/>
      </w:rPr>
    </w:lvl>
  </w:abstractNum>
  <w:abstractNum w:abstractNumId="20"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2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start w:val="1"/>
      <w:numFmt w:val="bullet"/>
      <w:lvlText w:val="o"/>
      <w:lvlJc w:val="left"/>
      <w:pPr>
        <w:ind w:left="1440" w:hanging="360"/>
      </w:pPr>
      <w:rPr>
        <w:rFonts w:ascii="Courier New" w:hAnsi="Courier New" w:cs="Times New Roman" w:hint="default"/>
      </w:rPr>
    </w:lvl>
    <w:lvl w:ilvl="2" w:tplc="B70CC184">
      <w:start w:val="1"/>
      <w:numFmt w:val="bullet"/>
      <w:lvlText w:val=""/>
      <w:lvlJc w:val="left"/>
      <w:pPr>
        <w:ind w:left="2160" w:hanging="360"/>
      </w:pPr>
      <w:rPr>
        <w:rFonts w:ascii="Wingdings" w:hAnsi="Wingdings" w:hint="default"/>
      </w:rPr>
    </w:lvl>
    <w:lvl w:ilvl="3" w:tplc="87007DA8">
      <w:start w:val="1"/>
      <w:numFmt w:val="bullet"/>
      <w:lvlText w:val=""/>
      <w:lvlJc w:val="left"/>
      <w:pPr>
        <w:ind w:left="2880" w:hanging="360"/>
      </w:pPr>
      <w:rPr>
        <w:rFonts w:ascii="Symbol" w:hAnsi="Symbol" w:hint="default"/>
      </w:rPr>
    </w:lvl>
    <w:lvl w:ilvl="4" w:tplc="F6325D34">
      <w:start w:val="1"/>
      <w:numFmt w:val="bullet"/>
      <w:lvlText w:val="o"/>
      <w:lvlJc w:val="left"/>
      <w:pPr>
        <w:ind w:left="3600" w:hanging="360"/>
      </w:pPr>
      <w:rPr>
        <w:rFonts w:ascii="Courier New" w:hAnsi="Courier New" w:cs="Times New Roman" w:hint="default"/>
      </w:rPr>
    </w:lvl>
    <w:lvl w:ilvl="5" w:tplc="2D349DD2">
      <w:start w:val="1"/>
      <w:numFmt w:val="bullet"/>
      <w:lvlText w:val=""/>
      <w:lvlJc w:val="left"/>
      <w:pPr>
        <w:ind w:left="4320" w:hanging="360"/>
      </w:pPr>
      <w:rPr>
        <w:rFonts w:ascii="Wingdings" w:hAnsi="Wingdings" w:hint="default"/>
      </w:rPr>
    </w:lvl>
    <w:lvl w:ilvl="6" w:tplc="248433F0">
      <w:start w:val="1"/>
      <w:numFmt w:val="bullet"/>
      <w:lvlText w:val=""/>
      <w:lvlJc w:val="left"/>
      <w:pPr>
        <w:ind w:left="5040" w:hanging="360"/>
      </w:pPr>
      <w:rPr>
        <w:rFonts w:ascii="Symbol" w:hAnsi="Symbol" w:hint="default"/>
      </w:rPr>
    </w:lvl>
    <w:lvl w:ilvl="7" w:tplc="E6000F1E">
      <w:start w:val="1"/>
      <w:numFmt w:val="bullet"/>
      <w:lvlText w:val="o"/>
      <w:lvlJc w:val="left"/>
      <w:pPr>
        <w:ind w:left="5760" w:hanging="360"/>
      </w:pPr>
      <w:rPr>
        <w:rFonts w:ascii="Courier New" w:hAnsi="Courier New" w:cs="Times New Roman" w:hint="default"/>
      </w:rPr>
    </w:lvl>
    <w:lvl w:ilvl="8" w:tplc="5B2C4316">
      <w:start w:val="1"/>
      <w:numFmt w:val="bullet"/>
      <w:lvlText w:val=""/>
      <w:lvlJc w:val="left"/>
      <w:pPr>
        <w:ind w:left="6480" w:hanging="360"/>
      </w:pPr>
      <w:rPr>
        <w:rFonts w:ascii="Wingdings" w:hAnsi="Wingdings" w:hint="default"/>
      </w:r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4"/>
  </w:num>
  <w:num w:numId="4">
    <w:abstractNumId w:val="4"/>
  </w:num>
  <w:num w:numId="5">
    <w:abstractNumId w:val="2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14"/>
  </w:num>
  <w:num w:numId="10">
    <w:abstractNumId w:val="1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9"/>
  </w:num>
  <w:num w:numId="15">
    <w:abstractNumId w:val="15"/>
  </w:num>
  <w:num w:numId="16">
    <w:abstractNumId w:val="19"/>
  </w:num>
  <w:num w:numId="17">
    <w:abstractNumId w:val="11"/>
  </w:num>
  <w:num w:numId="18">
    <w:abstractNumId w:val="13"/>
  </w:num>
  <w:num w:numId="19">
    <w:abstractNumId w:val="23"/>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B7F22"/>
    <w:rsid w:val="000F73FF"/>
    <w:rsid w:val="00114CF7"/>
    <w:rsid w:val="00123B68"/>
    <w:rsid w:val="00126F2E"/>
    <w:rsid w:val="001425EE"/>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2E0363"/>
    <w:rsid w:val="003013EE"/>
    <w:rsid w:val="003711D7"/>
    <w:rsid w:val="00371686"/>
    <w:rsid w:val="00377BD3"/>
    <w:rsid w:val="00384088"/>
    <w:rsid w:val="0038489B"/>
    <w:rsid w:val="0039169B"/>
    <w:rsid w:val="003A7F8C"/>
    <w:rsid w:val="003B532E"/>
    <w:rsid w:val="003B62FD"/>
    <w:rsid w:val="003B6F14"/>
    <w:rsid w:val="003D009F"/>
    <w:rsid w:val="003D0F8B"/>
    <w:rsid w:val="0040746F"/>
    <w:rsid w:val="004131D4"/>
    <w:rsid w:val="0041348E"/>
    <w:rsid w:val="00437E3B"/>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A2101"/>
    <w:rsid w:val="005B44F5"/>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A3B90"/>
    <w:rsid w:val="006A6E9B"/>
    <w:rsid w:val="006B7C2A"/>
    <w:rsid w:val="006C23DA"/>
    <w:rsid w:val="006C59B9"/>
    <w:rsid w:val="006C5E3F"/>
    <w:rsid w:val="006E3D45"/>
    <w:rsid w:val="007149F9"/>
    <w:rsid w:val="00716D34"/>
    <w:rsid w:val="00733A30"/>
    <w:rsid w:val="00745AEE"/>
    <w:rsid w:val="007479EA"/>
    <w:rsid w:val="00750F10"/>
    <w:rsid w:val="007742CA"/>
    <w:rsid w:val="007A1872"/>
    <w:rsid w:val="007C4097"/>
    <w:rsid w:val="007D06F0"/>
    <w:rsid w:val="007D45E3"/>
    <w:rsid w:val="007D5320"/>
    <w:rsid w:val="007E1CA3"/>
    <w:rsid w:val="007F735C"/>
    <w:rsid w:val="00800972"/>
    <w:rsid w:val="00804475"/>
    <w:rsid w:val="00811633"/>
    <w:rsid w:val="00821CEF"/>
    <w:rsid w:val="00832828"/>
    <w:rsid w:val="0083645A"/>
    <w:rsid w:val="00840B0F"/>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666F"/>
    <w:rsid w:val="00AB4927"/>
    <w:rsid w:val="00B004E5"/>
    <w:rsid w:val="00B13697"/>
    <w:rsid w:val="00B15F9D"/>
    <w:rsid w:val="00B639E9"/>
    <w:rsid w:val="00B817CD"/>
    <w:rsid w:val="00B911B2"/>
    <w:rsid w:val="00B951D0"/>
    <w:rsid w:val="00BA04AE"/>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C0E31"/>
    <w:rsid w:val="00DD08B4"/>
    <w:rsid w:val="00DD44AF"/>
    <w:rsid w:val="00DE2AC3"/>
    <w:rsid w:val="00DE434C"/>
    <w:rsid w:val="00DE5692"/>
    <w:rsid w:val="00DF6F8E"/>
    <w:rsid w:val="00E03C94"/>
    <w:rsid w:val="00E07105"/>
    <w:rsid w:val="00E245CC"/>
    <w:rsid w:val="00E26226"/>
    <w:rsid w:val="00E37F38"/>
    <w:rsid w:val="00E4165C"/>
    <w:rsid w:val="00E45D05"/>
    <w:rsid w:val="00E55816"/>
    <w:rsid w:val="00E55AEF"/>
    <w:rsid w:val="00E976C1"/>
    <w:rsid w:val="00EA12E5"/>
    <w:rsid w:val="00EB7780"/>
    <w:rsid w:val="00F02766"/>
    <w:rsid w:val="00F04067"/>
    <w:rsid w:val="00F05BD4"/>
    <w:rsid w:val="00F10562"/>
    <w:rsid w:val="00F11A98"/>
    <w:rsid w:val="00F21A1D"/>
    <w:rsid w:val="00F2683C"/>
    <w:rsid w:val="00F37678"/>
    <w:rsid w:val="00F55058"/>
    <w:rsid w:val="00F65C19"/>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2E0363"/>
    <w:rPr>
      <w:rFonts w:asciiTheme="minorHAnsi" w:hAnsiTheme="minorHAnsi"/>
      <w:sz w:val="24"/>
      <w:lang w:val="en-GB" w:eastAsia="en-US"/>
    </w:rPr>
  </w:style>
  <w:style w:type="table" w:styleId="TableGrid">
    <w:name w:val="Table Grid"/>
    <w:basedOn w:val="TableNormal"/>
    <w:uiPriority w:val="59"/>
    <w:rsid w:val="002E0363"/>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2E0363"/>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2E0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en/ITU-D/Cybersecurity/Pages/Cyber4Good/Cyber4Good.aspx" TargetMode="External"/><Relationship Id="rId26" Type="http://schemas.openxmlformats.org/officeDocument/2006/relationships/hyperlink" Target="https://academy.itu.int/itu-d/projects-activities/digital-transformation-centres-initiative" TargetMode="External"/><Relationship Id="rId39" Type="http://schemas.openxmlformats.org/officeDocument/2006/relationships/hyperlink" Target="https://www.itu.int/itu-d/reports/statistics/idi2025/" TargetMode="External"/><Relationship Id="rId21" Type="http://schemas.openxmlformats.org/officeDocument/2006/relationships/hyperlink" Target="https://www.itu.int/itu-d/sites/projectumc/" TargetMode="External"/><Relationship Id="rId34" Type="http://schemas.openxmlformats.org/officeDocument/2006/relationships/hyperlink" Target="https://www.itu.int/generationconnect/empower/generation-connect-young-leadership-programme-in-partnership-with-huawei/itu-generation-connect-young-leadership-programme-cohort-2025/"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en/council/Documents/basic-texts-2023/RES-030-S.pdf" TargetMode="External"/><Relationship Id="rId29" Type="http://schemas.openxmlformats.org/officeDocument/2006/relationships/hyperlink" Target="https://www.itu.int/itu-d/meetings/global-youth-summit-25/" TargetMode="External"/><Relationship Id="rId20" Type="http://schemas.openxmlformats.org/officeDocument/2006/relationships/hyperlink" Target="https://www.itu.int/en/ITU-D/Regional-Presence/Africa/Pages/EVENTS/2024/benchmarking-ICT-in-Central-Africa-Workshop-Malabo-2024.aspx" TargetMode="External"/><Relationship Id="rId41" Type="http://schemas.openxmlformats.org/officeDocument/2006/relationships/hyperlink" Target="https://www.itu.int/md/D22-WTDC25-C-0002/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ademy.itu.int/" TargetMode="External"/><Relationship Id="rId32" Type="http://schemas.openxmlformats.org/officeDocument/2006/relationships/hyperlink" Target="https://www.itu.int/ITU-D/youth/" TargetMode="External"/><Relationship Id="rId37" Type="http://schemas.openxmlformats.org/officeDocument/2006/relationships/hyperlink" Target="https://www.itu.int/itu-d/reports/statistics/facts-figures-for-lldc/" TargetMode="External"/><Relationship Id="rId40" Type="http://schemas.openxmlformats.org/officeDocument/2006/relationships/hyperlink" Target="https://www.itu.int/itu-d/reports/statistics/idi2025/" TargetMode="External"/><Relationship Id="rId45" Type="http://schemas.openxmlformats.org/officeDocument/2006/relationships/fontTable" Target="fontTable.xml"/><Relationship Id="rId36" Type="http://schemas.openxmlformats.org/officeDocument/2006/relationships/hyperlink" Target="https://www.itu.int/itu-d/reports/statistics/facts-figures-for-sids/" TargetMode="External"/><Relationship Id="rId15" Type="http://schemas.openxmlformats.org/officeDocument/2006/relationships/hyperlink" Target="https://www.itu.int/md/D22-WTDC25-C-0002/es" TargetMode="External"/><Relationship Id="rId23" Type="http://schemas.openxmlformats.org/officeDocument/2006/relationships/hyperlink" Target="https://www.itu.int/en/ITU-D/ICT-Applications/Pages/Initiatives/ASP/Smart-Islands/Smart-Islands-Initiative.aspx" TargetMode="External"/><Relationship Id="rId28" Type="http://schemas.openxmlformats.org/officeDocument/2006/relationships/hyperlink" Target="https://www.itu.int/itu-d/sites/digital-inclusion/es/" TargetMode="External"/><Relationship Id="rId10" Type="http://schemas.openxmlformats.org/officeDocument/2006/relationships/footnotes" Target="footnotes.xml"/><Relationship Id="rId19" Type="http://schemas.openxmlformats.org/officeDocument/2006/relationships/hyperlink" Target="https://www.itu.int/en/ITU-D/Cybersecurity/Pages/Skills-Development/Her-CyberTracks.aspx" TargetMode="External"/><Relationship Id="rId31" Type="http://schemas.openxmlformats.org/officeDocument/2006/relationships/hyperlink" Target="https://www.itu.int/women-and-girls/women-in-ict/ai-skills-accelerator-for-girl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16-2017/es" TargetMode="External"/><Relationship Id="rId22" Type="http://schemas.openxmlformats.org/officeDocument/2006/relationships/hyperlink" Target="https://www.itu.int/itu-d/sites/innovation-alliance/" TargetMode="External"/><Relationship Id="rId27" Type="http://schemas.openxmlformats.org/officeDocument/2006/relationships/hyperlink" Target="https://www.itu.int/itu-d/sites/emergency-telecommunications/es/" TargetMode="External"/><Relationship Id="rId30" Type="http://schemas.openxmlformats.org/officeDocument/2006/relationships/hyperlink" Target="https://www.itu.int/women-and-girls/girls-in-ict/es/" TargetMode="External"/><Relationship Id="rId35" Type="http://schemas.openxmlformats.org/officeDocument/2006/relationships/hyperlink" Target="https://www.itu.int/itu-d/reports/statistics/facts-figures-for-ldc/"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D22-WTDC25-C-0002/es" TargetMode="External"/><Relationship Id="rId25" Type="http://schemas.openxmlformats.org/officeDocument/2006/relationships/hyperlink" Target="https://academy.itu.int/itu-d/projects-activities/capacity-development-digital-transformation-project" TargetMode="External"/><Relationship Id="rId33" Type="http://schemas.openxmlformats.org/officeDocument/2006/relationships/hyperlink" Target="https://www.itu.int/generationconnect/generation-connect-youth-envoys/" TargetMode="External"/><Relationship Id="rId38" Type="http://schemas.openxmlformats.org/officeDocument/2006/relationships/hyperlink" Target="https://www.itu.int/partner2connect/" TargetMode="External"/><Relationship Id="rId46"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en/ITU-D/Statistics/Pages/facts/default.aspx" TargetMode="External"/><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es" TargetMode="External"/><Relationship Id="rId5" Type="http://schemas.openxmlformats.org/officeDocument/2006/relationships/hyperlink" Target="https://www.itu.int/itu-d/sites/year-in-review-2023/es" TargetMode="External"/><Relationship Id="rId4" Type="http://schemas.openxmlformats.org/officeDocument/2006/relationships/hyperlink" Target="https://www.itu.int/itu-d/sites/year-in-review-2022/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C2BEA7-81C1-4D24-AD7F-ADC783F4BF3A}"/>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http://schemas.microsoft.com/office/2006/metadata/properties"/>
    <ds:schemaRef ds:uri="32a1a8c5-2265-4ebc-b7a0-2071e2c5c9bb"/>
    <ds:schemaRef ds:uri="http://schemas.microsoft.com/office/infopath/2007/PartnerControls"/>
    <ds:schemaRef ds:uri="http://www.w3.org/XML/1998/namespace"/>
    <ds:schemaRef ds:uri="http://schemas.openxmlformats.org/package/2006/metadata/core-properties"/>
    <ds:schemaRef ds:uri="http://purl.org/dc/terms/"/>
    <ds:schemaRef ds:uri="996b2e75-67fd-4955-a3b0-5ab9934cb50b"/>
    <ds:schemaRef ds:uri="http://purl.org/dc/dcmitype/"/>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8060</Words>
  <Characters>48064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56012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9</cp:revision>
  <cp:lastPrinted>2017-03-09T15:07:00Z</cp:lastPrinted>
  <dcterms:created xsi:type="dcterms:W3CDTF">2025-11-13T10:01:00Z</dcterms:created>
  <dcterms:modified xsi:type="dcterms:W3CDTF">2025-11-13T11:51:00Z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