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Layout w:type="fixed"/>
        <w:tblLook w:val="0000" w:firstRow="0" w:lastRow="0" w:firstColumn="0" w:lastColumn="0" w:noHBand="0" w:noVBand="0"/>
      </w:tblPr>
      <w:tblGrid>
        <w:gridCol w:w="1498"/>
        <w:gridCol w:w="4886"/>
        <w:gridCol w:w="1554"/>
        <w:gridCol w:w="1984"/>
      </w:tblGrid>
      <w:tr w:rsidR="00961D12" w:rsidRPr="00314F31" w14:paraId="23658664" w14:textId="77777777" w:rsidTr="00AC2258">
        <w:trPr>
          <w:cantSplit/>
          <w:trHeight w:val="1134"/>
        </w:trPr>
        <w:tc>
          <w:tcPr>
            <w:tcW w:w="755" w:type="pct"/>
          </w:tcPr>
          <w:p w14:paraId="7B75E2CA" w14:textId="2314B8B9" w:rsidR="00E80D1A" w:rsidRPr="00314F31" w:rsidRDefault="00A864A5" w:rsidP="00AA25E0">
            <w:pPr>
              <w:tabs>
                <w:tab w:val="clear" w:pos="1134"/>
              </w:tabs>
              <w:rPr>
                <w:b/>
                <w:bCs/>
                <w:szCs w:val="24"/>
                <w:lang w:val="fr-FR"/>
              </w:rPr>
            </w:pPr>
            <w:r w:rsidRPr="00314F31">
              <w:rPr>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57321995" w:rsidR="00E80D1A" w:rsidRPr="00314F31" w:rsidRDefault="00E80D1A" w:rsidP="0055124D">
            <w:pPr>
              <w:tabs>
                <w:tab w:val="clear" w:pos="1134"/>
              </w:tabs>
              <w:spacing w:before="240" w:line="240" w:lineRule="atLeast"/>
              <w:ind w:left="34"/>
              <w:rPr>
                <w:rFonts w:cstheme="minorHAnsi"/>
                <w:lang w:val="fr-FR"/>
              </w:rPr>
            </w:pPr>
            <w:r w:rsidRPr="00314F31">
              <w:rPr>
                <w:b/>
                <w:bCs/>
                <w:sz w:val="30"/>
                <w:szCs w:val="30"/>
                <w:lang w:val="fr-FR"/>
              </w:rPr>
              <w:t>Conférence mondiale de développement des télécommunications de 2025 (CMDT-25)</w:t>
            </w:r>
            <w:r w:rsidRPr="00314F31">
              <w:rPr>
                <w:b/>
                <w:bCs/>
                <w:sz w:val="32"/>
                <w:szCs w:val="32"/>
                <w:lang w:val="fr-FR"/>
              </w:rPr>
              <w:br/>
            </w:r>
            <w:r w:rsidRPr="00314F31">
              <w:rPr>
                <w:b/>
                <w:bCs/>
                <w:szCs w:val="24"/>
                <w:lang w:val="fr-FR"/>
              </w:rPr>
              <w:t>Bakou (République d</w:t>
            </w:r>
            <w:r w:rsidR="00133D42" w:rsidRPr="00314F31">
              <w:rPr>
                <w:b/>
                <w:bCs/>
                <w:szCs w:val="24"/>
                <w:lang w:val="fr-FR"/>
              </w:rPr>
              <w:t>'</w:t>
            </w:r>
            <w:r w:rsidRPr="00314F31">
              <w:rPr>
                <w:b/>
                <w:bCs/>
                <w:szCs w:val="24"/>
                <w:lang w:val="fr-FR"/>
              </w:rPr>
              <w:t>Azerbaïdjan), 17</w:t>
            </w:r>
            <w:r w:rsidR="009903FC" w:rsidRPr="00314F31">
              <w:rPr>
                <w:b/>
                <w:bCs/>
                <w:szCs w:val="24"/>
                <w:lang w:val="fr-FR"/>
              </w:rPr>
              <w:t>-</w:t>
            </w:r>
            <w:r w:rsidRPr="00314F31">
              <w:rPr>
                <w:b/>
                <w:bCs/>
                <w:szCs w:val="24"/>
                <w:lang w:val="fr-FR"/>
              </w:rPr>
              <w:t>28 novembre 2025</w:t>
            </w:r>
          </w:p>
        </w:tc>
        <w:tc>
          <w:tcPr>
            <w:tcW w:w="1000" w:type="pct"/>
          </w:tcPr>
          <w:p w14:paraId="2C5DBE98" w14:textId="2E00326C" w:rsidR="00E80D1A" w:rsidRPr="00314F31" w:rsidRDefault="00A864A5" w:rsidP="0055124D">
            <w:pPr>
              <w:tabs>
                <w:tab w:val="clear" w:pos="1134"/>
              </w:tabs>
              <w:spacing w:line="240" w:lineRule="atLeast"/>
              <w:ind w:left="34"/>
              <w:jc w:val="right"/>
              <w:rPr>
                <w:rFonts w:cstheme="minorHAnsi"/>
                <w:lang w:val="fr-FR"/>
              </w:rPr>
            </w:pPr>
            <w:r w:rsidRPr="00314F31">
              <w:rPr>
                <w:b/>
                <w:bCs/>
                <w:sz w:val="32"/>
                <w:szCs w:val="32"/>
                <w:lang w:val="fr-FR"/>
              </w:rPr>
              <w:drawing>
                <wp:inline distT="0" distB="0" distL="0" distR="0" wp14:anchorId="589B2DD4" wp14:editId="022F5253">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314F31" w14:paraId="679DB3BF" w14:textId="77777777" w:rsidTr="00AC2258">
        <w:trPr>
          <w:cantSplit/>
        </w:trPr>
        <w:tc>
          <w:tcPr>
            <w:tcW w:w="3217" w:type="pct"/>
            <w:gridSpan w:val="2"/>
            <w:tcBorders>
              <w:top w:val="single" w:sz="12" w:space="0" w:color="auto"/>
            </w:tcBorders>
          </w:tcPr>
          <w:p w14:paraId="4C62B06C" w14:textId="77777777" w:rsidR="00D83BF5" w:rsidRPr="00314F31"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314F31" w:rsidRDefault="00D83BF5" w:rsidP="00A327AF">
            <w:pPr>
              <w:spacing w:before="0" w:line="240" w:lineRule="atLeast"/>
              <w:rPr>
                <w:rFonts w:cstheme="minorHAnsi"/>
                <w:sz w:val="20"/>
                <w:lang w:val="fr-FR"/>
              </w:rPr>
            </w:pPr>
          </w:p>
        </w:tc>
      </w:tr>
      <w:tr w:rsidR="00D83BF5" w:rsidRPr="00314F31" w14:paraId="2DE0DADC" w14:textId="77777777" w:rsidTr="00AC2258">
        <w:trPr>
          <w:cantSplit/>
          <w:trHeight w:val="23"/>
        </w:trPr>
        <w:tc>
          <w:tcPr>
            <w:tcW w:w="3217" w:type="pct"/>
            <w:gridSpan w:val="2"/>
          </w:tcPr>
          <w:p w14:paraId="28059CDA" w14:textId="152BF734" w:rsidR="00D83BF5" w:rsidRPr="00314F31"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314F31">
              <w:rPr>
                <w:lang w:val="fr-FR"/>
              </w:rPr>
              <w:t>SÉANCE PLÉNIÈRE</w:t>
            </w:r>
          </w:p>
        </w:tc>
        <w:tc>
          <w:tcPr>
            <w:tcW w:w="1783" w:type="pct"/>
            <w:gridSpan w:val="2"/>
          </w:tcPr>
          <w:p w14:paraId="7A5F1CCD" w14:textId="31B73A06" w:rsidR="00D83BF5" w:rsidRPr="00314F31" w:rsidRDefault="00F40E33" w:rsidP="009903FC">
            <w:pPr>
              <w:pStyle w:val="Committee"/>
              <w:framePr w:hSpace="0" w:wrap="auto" w:hAnchor="text" w:yAlign="inline"/>
              <w:rPr>
                <w:lang w:val="fr-FR"/>
              </w:rPr>
            </w:pPr>
            <w:r w:rsidRPr="00314F31">
              <w:rPr>
                <w:lang w:val="fr-FR"/>
              </w:rPr>
              <w:t xml:space="preserve">Document </w:t>
            </w:r>
            <w:r w:rsidR="009D3060" w:rsidRPr="00314F31">
              <w:rPr>
                <w:bCs/>
                <w:lang w:val="fr-FR"/>
              </w:rPr>
              <w:t>WTDC-25/</w:t>
            </w:r>
            <w:r w:rsidR="00FF0960" w:rsidRPr="00314F31">
              <w:rPr>
                <w:lang w:val="fr-FR"/>
              </w:rPr>
              <w:t>16(Rév.1)</w:t>
            </w:r>
            <w:r w:rsidRPr="00314F31">
              <w:rPr>
                <w:lang w:val="fr-FR"/>
              </w:rPr>
              <w:t>-F</w:t>
            </w:r>
          </w:p>
        </w:tc>
      </w:tr>
      <w:tr w:rsidR="00D83BF5" w:rsidRPr="00314F31" w14:paraId="54C2D06A" w14:textId="77777777" w:rsidTr="00AC2258">
        <w:trPr>
          <w:cantSplit/>
          <w:trHeight w:val="23"/>
        </w:trPr>
        <w:tc>
          <w:tcPr>
            <w:tcW w:w="3217" w:type="pct"/>
            <w:gridSpan w:val="2"/>
          </w:tcPr>
          <w:p w14:paraId="26390377" w14:textId="50BB1F0F" w:rsidR="00D83BF5" w:rsidRPr="00314F31"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2F3455EB" w:rsidR="00D83BF5" w:rsidRPr="00314F31" w:rsidRDefault="00FF0960" w:rsidP="009903FC">
            <w:pPr>
              <w:pStyle w:val="Committee"/>
              <w:framePr w:hSpace="0" w:wrap="auto" w:hAnchor="text" w:yAlign="inline"/>
              <w:rPr>
                <w:lang w:val="fr-FR"/>
              </w:rPr>
            </w:pPr>
            <w:r w:rsidRPr="00314F31">
              <w:rPr>
                <w:lang w:val="fr-FR"/>
              </w:rPr>
              <w:t>12 novembre 2025</w:t>
            </w:r>
          </w:p>
        </w:tc>
      </w:tr>
      <w:tr w:rsidR="00D83BF5" w:rsidRPr="00314F31" w14:paraId="7D1F02CB" w14:textId="77777777" w:rsidTr="00AC2258">
        <w:trPr>
          <w:cantSplit/>
          <w:trHeight w:val="23"/>
        </w:trPr>
        <w:tc>
          <w:tcPr>
            <w:tcW w:w="3217" w:type="pct"/>
            <w:gridSpan w:val="2"/>
          </w:tcPr>
          <w:p w14:paraId="50C265AC" w14:textId="74C2AF68" w:rsidR="00D83BF5" w:rsidRPr="00314F31"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314F31" w:rsidRDefault="00F40E33" w:rsidP="009903FC">
            <w:pPr>
              <w:pStyle w:val="Committee"/>
              <w:framePr w:hSpace="0" w:wrap="auto" w:hAnchor="text" w:yAlign="inline"/>
              <w:rPr>
                <w:lang w:val="fr-FR"/>
              </w:rPr>
            </w:pPr>
            <w:r w:rsidRPr="00314F31">
              <w:rPr>
                <w:lang w:val="fr-FR"/>
              </w:rPr>
              <w:t>Original: anglais</w:t>
            </w:r>
          </w:p>
        </w:tc>
      </w:tr>
      <w:tr w:rsidR="00D83BF5" w:rsidRPr="00314F31" w14:paraId="0BA8CD3B" w14:textId="77777777" w:rsidTr="00AC2258">
        <w:trPr>
          <w:cantSplit/>
          <w:trHeight w:val="23"/>
        </w:trPr>
        <w:tc>
          <w:tcPr>
            <w:tcW w:w="5000" w:type="pct"/>
            <w:gridSpan w:val="4"/>
          </w:tcPr>
          <w:p w14:paraId="29BB25E0" w14:textId="40817011" w:rsidR="00D83BF5" w:rsidRPr="00314F31" w:rsidRDefault="00FF0960" w:rsidP="00A327AF">
            <w:pPr>
              <w:pStyle w:val="Source"/>
              <w:spacing w:before="240" w:after="240"/>
              <w:rPr>
                <w:lang w:val="fr-FR"/>
              </w:rPr>
            </w:pPr>
            <w:r w:rsidRPr="00314F31">
              <w:rPr>
                <w:lang w:val="fr-FR"/>
              </w:rPr>
              <w:t>Directeur du Bureau de développement des télécommunications</w:t>
            </w:r>
          </w:p>
        </w:tc>
      </w:tr>
      <w:tr w:rsidR="00D83BF5" w:rsidRPr="00314F31" w14:paraId="610454EC" w14:textId="77777777" w:rsidTr="00AC2258">
        <w:trPr>
          <w:cantSplit/>
          <w:trHeight w:val="23"/>
        </w:trPr>
        <w:tc>
          <w:tcPr>
            <w:tcW w:w="5000" w:type="pct"/>
            <w:gridSpan w:val="4"/>
            <w:vAlign w:val="center"/>
          </w:tcPr>
          <w:p w14:paraId="65D61584" w14:textId="3A2DE5FE" w:rsidR="00D83BF5" w:rsidRPr="00314F31" w:rsidRDefault="00FF0960" w:rsidP="00A327AF">
            <w:pPr>
              <w:pStyle w:val="Title1"/>
              <w:spacing w:before="120" w:after="120"/>
              <w:rPr>
                <w:lang w:val="fr-FR"/>
              </w:rPr>
            </w:pPr>
            <w:r w:rsidRPr="00314F31">
              <w:rPr>
                <w:lang w:val="fr-FR"/>
              </w:rPr>
              <w:t xml:space="preserve">Rapport sur les activités menées par le bdt en faveur des pays les moins avancés (PMA), des pays en développement sans littoral (PDSL) et </w:t>
            </w:r>
            <w:r w:rsidRPr="00314F31">
              <w:rPr>
                <w:lang w:val="fr-FR"/>
              </w:rPr>
              <w:br/>
              <w:t>des petits États insulaires en développement (peId)</w:t>
            </w:r>
          </w:p>
        </w:tc>
      </w:tr>
      <w:tr w:rsidR="00D83BF5" w:rsidRPr="00314F31" w14:paraId="3281F6CD" w14:textId="77777777" w:rsidTr="00AC2258">
        <w:trPr>
          <w:cantSplit/>
          <w:trHeight w:val="23"/>
        </w:trPr>
        <w:tc>
          <w:tcPr>
            <w:tcW w:w="5000" w:type="pct"/>
            <w:gridSpan w:val="4"/>
          </w:tcPr>
          <w:p w14:paraId="7E3AD81E" w14:textId="1CD7A693" w:rsidR="00D83BF5" w:rsidRPr="00314F31" w:rsidRDefault="00D83BF5" w:rsidP="00A327AF">
            <w:pPr>
              <w:pStyle w:val="Title2"/>
              <w:spacing w:before="240"/>
              <w:rPr>
                <w:lang w:val="fr-FR"/>
              </w:rPr>
            </w:pPr>
          </w:p>
        </w:tc>
      </w:tr>
      <w:tr w:rsidR="00EF1503" w:rsidRPr="00314F31" w14:paraId="3F37EAAA" w14:textId="77777777" w:rsidTr="00AC2258">
        <w:trPr>
          <w:cantSplit/>
          <w:trHeight w:val="23"/>
        </w:trPr>
        <w:tc>
          <w:tcPr>
            <w:tcW w:w="5000" w:type="pct"/>
            <w:gridSpan w:val="4"/>
          </w:tcPr>
          <w:p w14:paraId="5E5D5FFA" w14:textId="195955EA" w:rsidR="00EF1503" w:rsidRPr="00314F31" w:rsidRDefault="00EF1503" w:rsidP="00A327AF">
            <w:pPr>
              <w:pStyle w:val="Title2"/>
              <w:spacing w:before="240"/>
              <w:rPr>
                <w:lang w:val="fr-FR"/>
              </w:rPr>
            </w:pPr>
          </w:p>
        </w:tc>
      </w:tr>
      <w:bookmarkEnd w:id="5"/>
      <w:bookmarkEnd w:id="6"/>
      <w:tr w:rsidR="00AF411C" w:rsidRPr="00314F31"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238F4C61" w14:textId="181E26DA" w:rsidR="000F437C" w:rsidRPr="00314F31" w:rsidRDefault="000F437C" w:rsidP="00FF0960">
            <w:pPr>
              <w:tabs>
                <w:tab w:val="clear" w:pos="1134"/>
                <w:tab w:val="clear" w:pos="1871"/>
                <w:tab w:val="clear" w:pos="2268"/>
                <w:tab w:val="left" w:pos="2015"/>
                <w:tab w:val="left" w:pos="2298"/>
              </w:tabs>
              <w:rPr>
                <w:rFonts w:ascii="Calibri" w:eastAsia="SimSun" w:hAnsi="Calibri" w:cs="Traditional Arabic"/>
                <w:b/>
                <w:bCs/>
                <w:szCs w:val="24"/>
                <w:lang w:val="fr-FR"/>
              </w:rPr>
            </w:pPr>
            <w:r w:rsidRPr="00314F31">
              <w:rPr>
                <w:b/>
                <w:bCs/>
                <w:szCs w:val="24"/>
                <w:lang w:val="fr-FR"/>
              </w:rPr>
              <w:t>Domaine prioritaire</w:t>
            </w:r>
            <w:r w:rsidRPr="00314F31">
              <w:rPr>
                <w:rFonts w:ascii="Calibri" w:eastAsia="SimSun" w:hAnsi="Calibri" w:cs="Traditional Arabic"/>
                <w:b/>
                <w:bCs/>
                <w:szCs w:val="24"/>
                <w:lang w:val="fr-FR"/>
              </w:rPr>
              <w:t>:</w:t>
            </w:r>
          </w:p>
          <w:p w14:paraId="5A76AC06" w14:textId="77777777" w:rsidR="00FF0960" w:rsidRPr="00314F31" w:rsidRDefault="00FF0960" w:rsidP="00FF0960">
            <w:pPr>
              <w:tabs>
                <w:tab w:val="clear" w:pos="1134"/>
                <w:tab w:val="clear" w:pos="1871"/>
                <w:tab w:val="clear" w:pos="2268"/>
                <w:tab w:val="left" w:pos="2015"/>
                <w:tab w:val="left" w:pos="2298"/>
              </w:tabs>
              <w:rPr>
                <w:lang w:val="fr-FR"/>
              </w:rPr>
            </w:pPr>
            <w:r w:rsidRPr="00314F31">
              <w:rPr>
                <w:lang w:val="fr-FR"/>
              </w:rPr>
              <w:t>Connectivité financièrement abordable; transformation numérique; environnement politique et réglementaire propice; mobilisation de ressources et coopération internationale; et télécommunications/TIC inclusives et sûres au service du développement durable.</w:t>
            </w:r>
          </w:p>
          <w:p w14:paraId="530EAF6D" w14:textId="77777777" w:rsidR="00AF411C" w:rsidRPr="00314F31" w:rsidRDefault="00AF411C" w:rsidP="00AF411C">
            <w:pPr>
              <w:spacing w:after="120"/>
              <w:rPr>
                <w:b/>
                <w:bCs/>
                <w:szCs w:val="24"/>
                <w:lang w:val="fr-FR"/>
              </w:rPr>
            </w:pPr>
            <w:r w:rsidRPr="00314F31">
              <w:rPr>
                <w:b/>
                <w:bCs/>
                <w:szCs w:val="24"/>
                <w:lang w:val="fr-FR"/>
              </w:rPr>
              <w:t>Résumé:</w:t>
            </w:r>
          </w:p>
          <w:p w14:paraId="3826FB0D" w14:textId="3FEBD9D8" w:rsidR="00FF0960" w:rsidRPr="00314F31" w:rsidRDefault="00FF0960" w:rsidP="00FF0960">
            <w:pPr>
              <w:spacing w:after="120"/>
              <w:rPr>
                <w:szCs w:val="24"/>
                <w:lang w:val="fr-FR"/>
              </w:rPr>
            </w:pPr>
            <w:r w:rsidRPr="00314F31">
              <w:rPr>
                <w:szCs w:val="24"/>
                <w:lang w:val="fr-FR"/>
              </w:rPr>
              <w:t>Ce document donne un aperçu des travaux entrepris par le Bureau de développement des télécommunications (BDT) de l</w:t>
            </w:r>
            <w:r w:rsidR="00133D42" w:rsidRPr="00314F31">
              <w:rPr>
                <w:szCs w:val="24"/>
                <w:lang w:val="fr-FR"/>
              </w:rPr>
              <w:t>'</w:t>
            </w:r>
            <w:r w:rsidRPr="00314F31">
              <w:rPr>
                <w:szCs w:val="24"/>
                <w:lang w:val="fr-FR"/>
              </w:rPr>
              <w:t>Union internationale des télécommunications (UIT) depuis la CMDT</w:t>
            </w:r>
            <w:r w:rsidRPr="00314F31">
              <w:rPr>
                <w:szCs w:val="24"/>
                <w:lang w:val="fr-FR"/>
              </w:rPr>
              <w:noBreakHyphen/>
              <w:t>22 en faveur des pays les moins avancés (PMA), des pays en développement sans littoral (PDSL) et des petits États insulaires en développement (SIDS). Le rapport contient des renseignements sur la contribution du BDT aux conférences mondiales au cours desquelles un programme d</w:t>
            </w:r>
            <w:r w:rsidR="00133D42" w:rsidRPr="00314F31">
              <w:rPr>
                <w:szCs w:val="24"/>
                <w:lang w:val="fr-FR"/>
              </w:rPr>
              <w:t>'</w:t>
            </w:r>
            <w:r w:rsidRPr="00314F31">
              <w:rPr>
                <w:szCs w:val="24"/>
                <w:lang w:val="fr-FR"/>
              </w:rPr>
              <w:t>action a été adopté pour chacun de ces pays; on y trouvera également un aperçu des projets pertinents du Secteur du développement des télécommunications de l</w:t>
            </w:r>
            <w:r w:rsidR="00133D42" w:rsidRPr="00314F31">
              <w:rPr>
                <w:szCs w:val="24"/>
                <w:lang w:val="fr-FR"/>
              </w:rPr>
              <w:t>'</w:t>
            </w:r>
            <w:r w:rsidRPr="00314F31">
              <w:rPr>
                <w:szCs w:val="24"/>
                <w:lang w:val="fr-FR"/>
              </w:rPr>
              <w:t>UIT (UIT-D) et des activités liées au Plan opérationnel qui ont contribué à faire progresser la transformation numérique et la connectivité universelle et efficace dans les PMA, les PDSL et les PEID.</w:t>
            </w:r>
          </w:p>
          <w:p w14:paraId="6AB959D8" w14:textId="77777777" w:rsidR="00AF411C" w:rsidRPr="00314F31" w:rsidRDefault="00AF411C" w:rsidP="00AF411C">
            <w:pPr>
              <w:spacing w:after="120"/>
              <w:rPr>
                <w:b/>
                <w:bCs/>
                <w:szCs w:val="24"/>
                <w:lang w:val="fr-FR"/>
              </w:rPr>
            </w:pPr>
            <w:r w:rsidRPr="00314F31">
              <w:rPr>
                <w:b/>
                <w:bCs/>
                <w:szCs w:val="24"/>
                <w:lang w:val="fr-FR"/>
              </w:rPr>
              <w:t>Résultats attendus:</w:t>
            </w:r>
          </w:p>
          <w:p w14:paraId="63B8B278" w14:textId="2BCDE398" w:rsidR="00AF411C" w:rsidRPr="00314F31" w:rsidRDefault="00FF0960" w:rsidP="00AF411C">
            <w:pPr>
              <w:spacing w:after="120"/>
              <w:rPr>
                <w:szCs w:val="24"/>
                <w:lang w:val="fr-FR"/>
              </w:rPr>
            </w:pPr>
            <w:r w:rsidRPr="00314F31">
              <w:rPr>
                <w:szCs w:val="24"/>
                <w:lang w:val="fr-FR"/>
              </w:rPr>
              <w:t>La CMDT-25 est invitée à prendre note du présent document.</w:t>
            </w:r>
          </w:p>
          <w:p w14:paraId="3FA3A13A" w14:textId="77777777" w:rsidR="00AF411C" w:rsidRPr="00314F31" w:rsidRDefault="00AF411C" w:rsidP="00AF411C">
            <w:pPr>
              <w:spacing w:after="120"/>
              <w:rPr>
                <w:b/>
                <w:bCs/>
                <w:szCs w:val="24"/>
                <w:lang w:val="fr-FR"/>
              </w:rPr>
            </w:pPr>
            <w:r w:rsidRPr="00314F31">
              <w:rPr>
                <w:b/>
                <w:bCs/>
                <w:szCs w:val="24"/>
                <w:lang w:val="fr-FR"/>
              </w:rPr>
              <w:t>Références:</w:t>
            </w:r>
          </w:p>
          <w:p w14:paraId="036CFCAD" w14:textId="5BF6C486" w:rsidR="00AF411C" w:rsidRPr="00314F31" w:rsidRDefault="00FF0960" w:rsidP="00AF411C">
            <w:pPr>
              <w:spacing w:after="120"/>
              <w:rPr>
                <w:lang w:val="fr-FR"/>
              </w:rPr>
            </w:pPr>
            <w:r w:rsidRPr="00314F31">
              <w:rPr>
                <w:rFonts w:eastAsiaTheme="minorEastAsia" w:cstheme="minorBidi"/>
                <w:lang w:val="fr-FR"/>
              </w:rPr>
              <w:t xml:space="preserve">Résolution </w:t>
            </w:r>
            <w:hyperlink r:id="rId13" w:history="1">
              <w:r w:rsidRPr="00314F31">
                <w:rPr>
                  <w:rStyle w:val="Hyperlink"/>
                  <w:rFonts w:eastAsiaTheme="minorEastAsia" w:cstheme="minorBidi"/>
                  <w:lang w:val="fr-FR"/>
                </w:rPr>
                <w:t>16</w:t>
              </w:r>
            </w:hyperlink>
            <w:r w:rsidRPr="00314F31">
              <w:rPr>
                <w:rFonts w:eastAsiaTheme="minorEastAsia" w:cstheme="minorBidi"/>
                <w:lang w:val="fr-FR"/>
              </w:rPr>
              <w:t xml:space="preserve"> (Rév. Buenos Aires, 2017) de la CMDT-22</w:t>
            </w:r>
            <w:r w:rsidRPr="00314F31">
              <w:rPr>
                <w:rFonts w:cstheme="minorBidi"/>
                <w:lang w:val="fr-FR"/>
              </w:rPr>
              <w:t xml:space="preserve">, Document </w:t>
            </w:r>
            <w:hyperlink r:id="rId14" w:history="1">
              <w:r w:rsidRPr="00314F31">
                <w:rPr>
                  <w:rStyle w:val="Hyperlink"/>
                  <w:rFonts w:cstheme="minorBidi"/>
                  <w:lang w:val="fr-FR"/>
                </w:rPr>
                <w:t>WTDC25/2</w:t>
              </w:r>
            </w:hyperlink>
            <w:r w:rsidRPr="00314F31">
              <w:rPr>
                <w:rFonts w:cstheme="minorBidi"/>
                <w:lang w:val="fr-FR"/>
              </w:rPr>
              <w:t>, Résolution </w:t>
            </w:r>
            <w:hyperlink r:id="rId15" w:history="1">
              <w:r w:rsidRPr="00314F31">
                <w:rPr>
                  <w:rStyle w:val="Hyperlink"/>
                  <w:rFonts w:cstheme="minorBidi"/>
                  <w:lang w:val="fr-FR"/>
                </w:rPr>
                <w:t>30</w:t>
              </w:r>
            </w:hyperlink>
            <w:r w:rsidRPr="00314F31">
              <w:rPr>
                <w:rFonts w:cstheme="minorBidi"/>
                <w:lang w:val="fr-FR"/>
              </w:rPr>
              <w:t> (Rév. Bucarest, 2022) de la PP</w:t>
            </w:r>
          </w:p>
        </w:tc>
      </w:tr>
    </w:tbl>
    <w:p w14:paraId="22E6A03D" w14:textId="535C21CA" w:rsidR="00FF0960" w:rsidRPr="00314F31" w:rsidRDefault="00FF0960" w:rsidP="000F437C">
      <w:pPr>
        <w:rPr>
          <w:lang w:val="fr-FR"/>
        </w:rPr>
      </w:pPr>
      <w:r w:rsidRPr="00314F31">
        <w:rPr>
          <w:lang w:val="fr-FR"/>
        </w:rPr>
        <w:br w:type="page"/>
      </w:r>
    </w:p>
    <w:p w14:paraId="3AB054E1" w14:textId="77777777" w:rsidR="00FF0960" w:rsidRPr="00314F31" w:rsidRDefault="00FF0960" w:rsidP="00FF0960">
      <w:pPr>
        <w:pStyle w:val="Heading1"/>
        <w:rPr>
          <w:lang w:val="fr-FR"/>
        </w:rPr>
      </w:pPr>
      <w:r w:rsidRPr="00314F31">
        <w:rPr>
          <w:lang w:val="fr-FR"/>
        </w:rPr>
        <w:lastRenderedPageBreak/>
        <w:t>1</w:t>
      </w:r>
      <w:r w:rsidRPr="00314F31">
        <w:rPr>
          <w:lang w:val="fr-FR"/>
        </w:rPr>
        <w:tab/>
        <w:t>Introduction</w:t>
      </w:r>
    </w:p>
    <w:p w14:paraId="19B4FD3A" w14:textId="68D36EE0" w:rsidR="00FF0960" w:rsidRPr="00314F31" w:rsidRDefault="00FF0960" w:rsidP="00FF0960">
      <w:pPr>
        <w:rPr>
          <w:lang w:val="fr-FR"/>
        </w:rPr>
      </w:pPr>
      <w:r w:rsidRPr="00314F31">
        <w:rPr>
          <w:lang w:val="fr-FR"/>
        </w:rPr>
        <w:t>Lors de la Conférence mondiale de développement des télécommunications (CMDT) qui s</w:t>
      </w:r>
      <w:r w:rsidR="00133D42" w:rsidRPr="00314F31">
        <w:rPr>
          <w:lang w:val="fr-FR"/>
        </w:rPr>
        <w:t>'</w:t>
      </w:r>
      <w:r w:rsidRPr="00314F31">
        <w:rPr>
          <w:lang w:val="fr-FR"/>
        </w:rPr>
        <w:t>est tenue à Kigali en 2022, le Bureau de développement des télécommunications de l</w:t>
      </w:r>
      <w:r w:rsidR="00133D42" w:rsidRPr="00314F31">
        <w:rPr>
          <w:lang w:val="fr-FR"/>
        </w:rPr>
        <w:t>'</w:t>
      </w:r>
      <w:r w:rsidRPr="00314F31">
        <w:rPr>
          <w:lang w:val="fr-FR"/>
        </w:rPr>
        <w:t>UIT (BDT) a réaffirmé son engagement à soutenir les pays les moins avancés (PMA), les pays en développement sans littoral (PDSL) et les petits États insulaires en développement (PEID)</w:t>
      </w:r>
      <w:r w:rsidRPr="00314F31">
        <w:rPr>
          <w:rStyle w:val="FootnoteReference"/>
          <w:rFonts w:eastAsiaTheme="minorEastAsia"/>
          <w:lang w:val="fr-FR"/>
        </w:rPr>
        <w:footnoteReference w:id="1"/>
      </w:r>
      <w:r w:rsidRPr="00314F31" w:rsidDel="00063BA7">
        <w:rPr>
          <w:lang w:val="fr-FR"/>
        </w:rPr>
        <w:t>.</w:t>
      </w:r>
      <w:r w:rsidRPr="00314F31">
        <w:rPr>
          <w:lang w:val="fr-FR"/>
        </w:rPr>
        <w:t xml:space="preserve"> La conférence a souligné le rôle essentiel que jouent des télécommunications et de</w:t>
      </w:r>
      <w:r w:rsidR="006163B5" w:rsidRPr="00314F31">
        <w:rPr>
          <w:lang w:val="fr-FR"/>
        </w:rPr>
        <w:t>s</w:t>
      </w:r>
      <w:r w:rsidRPr="00314F31">
        <w:rPr>
          <w:lang w:val="fr-FR"/>
        </w:rPr>
        <w:t xml:space="preserve"> TIC solides pour stimuler le développement socio</w:t>
      </w:r>
      <w:r w:rsidRPr="00314F31">
        <w:rPr>
          <w:lang w:val="fr-FR"/>
        </w:rPr>
        <w:noBreakHyphen/>
        <w:t>économique</w:t>
      </w:r>
      <w:r w:rsidRPr="00314F31" w:rsidDel="00063BA7">
        <w:rPr>
          <w:lang w:val="fr-FR"/>
        </w:rPr>
        <w:t>.</w:t>
      </w:r>
      <w:r w:rsidRPr="00314F31">
        <w:rPr>
          <w:lang w:val="fr-FR"/>
        </w:rPr>
        <w:t xml:space="preserve"> Partant de ce constat, la réorganisation du BDT en</w:t>
      </w:r>
      <w:r w:rsidR="006163B5" w:rsidRPr="00314F31">
        <w:rPr>
          <w:lang w:val="fr-FR"/>
        </w:rPr>
        <w:t> </w:t>
      </w:r>
      <w:r w:rsidRPr="00314F31">
        <w:rPr>
          <w:lang w:val="fr-FR"/>
        </w:rPr>
        <w:t>2024 a donné lieu à la création d</w:t>
      </w:r>
      <w:r w:rsidR="00133D42" w:rsidRPr="00314F31">
        <w:rPr>
          <w:lang w:val="fr-FR"/>
        </w:rPr>
        <w:t>'</w:t>
      </w:r>
      <w:r w:rsidRPr="00314F31">
        <w:rPr>
          <w:lang w:val="fr-FR"/>
        </w:rPr>
        <w:t>une unité spéciale chargée de fournir un soutien ciblé aux</w:t>
      </w:r>
      <w:r w:rsidR="006163B5" w:rsidRPr="00314F31">
        <w:rPr>
          <w:lang w:val="fr-FR"/>
        </w:rPr>
        <w:t> </w:t>
      </w:r>
      <w:r w:rsidRPr="00314F31">
        <w:rPr>
          <w:lang w:val="fr-FR"/>
        </w:rPr>
        <w:t>PMA, aux PDSL et aux PEID, ainsi qu</w:t>
      </w:r>
      <w:r w:rsidR="00133D42" w:rsidRPr="00314F31">
        <w:rPr>
          <w:lang w:val="fr-FR"/>
        </w:rPr>
        <w:t>'</w:t>
      </w:r>
      <w:r w:rsidRPr="00314F31">
        <w:rPr>
          <w:lang w:val="fr-FR"/>
        </w:rPr>
        <w:t>aux pays ayant des besoins particuliers dans tous les domaines d</w:t>
      </w:r>
      <w:r w:rsidR="00133D42" w:rsidRPr="00314F31">
        <w:rPr>
          <w:lang w:val="fr-FR"/>
        </w:rPr>
        <w:t>'</w:t>
      </w:r>
      <w:r w:rsidRPr="00314F31">
        <w:rPr>
          <w:lang w:val="fr-FR"/>
        </w:rPr>
        <w:t>activité prévus au mandat du BDT.</w:t>
      </w:r>
    </w:p>
    <w:p w14:paraId="4F636A78" w14:textId="77777777" w:rsidR="00FF0960" w:rsidRPr="00314F31" w:rsidRDefault="00FF0960" w:rsidP="00FF0960">
      <w:pPr>
        <w:pStyle w:val="Heading1"/>
        <w:rPr>
          <w:lang w:val="fr-FR"/>
        </w:rPr>
      </w:pPr>
      <w:r w:rsidRPr="00314F31">
        <w:rPr>
          <w:lang w:val="fr-FR"/>
        </w:rPr>
        <w:t>2</w:t>
      </w:r>
      <w:r w:rsidRPr="00314F31">
        <w:rPr>
          <w:lang w:val="fr-FR"/>
        </w:rPr>
        <w:tab/>
        <w:t>État de développement numérique des PMA, des PDSL et des PEID</w:t>
      </w:r>
      <w:r w:rsidRPr="00314F31">
        <w:rPr>
          <w:rStyle w:val="FootnoteReference"/>
          <w:b w:val="0"/>
          <w:bCs/>
          <w:lang w:val="fr-FR"/>
        </w:rPr>
        <w:footnoteReference w:id="2"/>
      </w:r>
    </w:p>
    <w:p w14:paraId="33F8539D" w14:textId="62B9857A" w:rsidR="00FF0960" w:rsidRPr="00314F31" w:rsidRDefault="00FF0960" w:rsidP="00FF0960">
      <w:pPr>
        <w:rPr>
          <w:lang w:val="fr-FR"/>
        </w:rPr>
      </w:pPr>
      <w:r w:rsidRPr="00314F31">
        <w:rPr>
          <w:b/>
          <w:bCs/>
          <w:lang w:val="fr-FR"/>
        </w:rPr>
        <w:t>Tour d</w:t>
      </w:r>
      <w:r w:rsidR="00133D42" w:rsidRPr="00314F31">
        <w:rPr>
          <w:b/>
          <w:bCs/>
          <w:lang w:val="fr-FR"/>
        </w:rPr>
        <w:t>'</w:t>
      </w:r>
      <w:r w:rsidRPr="00314F31">
        <w:rPr>
          <w:b/>
          <w:bCs/>
          <w:lang w:val="fr-FR"/>
        </w:rPr>
        <w:t>horizon</w:t>
      </w:r>
      <w:r w:rsidRPr="00314F31">
        <w:rPr>
          <w:rStyle w:val="FootnoteReference"/>
          <w:rFonts w:eastAsia="SimSun"/>
          <w:lang w:val="fr-FR"/>
        </w:rPr>
        <w:footnoteReference w:id="3"/>
      </w:r>
      <w:r w:rsidRPr="00314F31">
        <w:rPr>
          <w:lang w:val="fr-FR"/>
        </w:rPr>
        <w:t>: les PMA, les PDSL et les PEID connaissent encore des difficultés qui leurs sont propres en ce qui concerne la promotion de la connectivité numérique. L</w:t>
      </w:r>
      <w:r w:rsidR="00133D42" w:rsidRPr="00314F31">
        <w:rPr>
          <w:lang w:val="fr-FR"/>
        </w:rPr>
        <w:t>'</w:t>
      </w:r>
      <w:r w:rsidRPr="00314F31">
        <w:rPr>
          <w:lang w:val="fr-FR"/>
        </w:rPr>
        <w:t>éloignement géographique, l</w:t>
      </w:r>
      <w:r w:rsidR="00133D42" w:rsidRPr="00314F31">
        <w:rPr>
          <w:lang w:val="fr-FR"/>
        </w:rPr>
        <w:t>'</w:t>
      </w:r>
      <w:r w:rsidRPr="00314F31">
        <w:rPr>
          <w:lang w:val="fr-FR"/>
        </w:rPr>
        <w:t>habitat dispersé, les infrastructures limitées et la vulnérabilité économique font qu</w:t>
      </w:r>
      <w:r w:rsidR="00133D42" w:rsidRPr="00314F31">
        <w:rPr>
          <w:lang w:val="fr-FR"/>
        </w:rPr>
        <w:t>'</w:t>
      </w:r>
      <w:r w:rsidRPr="00314F31">
        <w:rPr>
          <w:lang w:val="fr-FR"/>
        </w:rPr>
        <w:t>il est à la fois complexe et coûteux de déployer les réseaux et les services. Malgré ces contraintes, des progrès réguliers ont été constatés dans les trois catégories de pays entre 2020 et 2024. Selon les estimations publiées par l</w:t>
      </w:r>
      <w:r w:rsidR="00133D42" w:rsidRPr="00314F31">
        <w:rPr>
          <w:lang w:val="fr-FR"/>
        </w:rPr>
        <w:t>'</w:t>
      </w:r>
      <w:r w:rsidRPr="00314F31">
        <w:rPr>
          <w:lang w:val="fr-FR"/>
        </w:rPr>
        <w:t>UIT en 2025, l</w:t>
      </w:r>
      <w:r w:rsidR="00133D42" w:rsidRPr="00314F31">
        <w:rPr>
          <w:lang w:val="fr-FR"/>
        </w:rPr>
        <w:t>'</w:t>
      </w:r>
      <w:r w:rsidRPr="00314F31">
        <w:rPr>
          <w:lang w:val="fr-FR"/>
        </w:rPr>
        <w:t>utilisation de l</w:t>
      </w:r>
      <w:r w:rsidR="00133D42" w:rsidRPr="00314F31">
        <w:rPr>
          <w:lang w:val="fr-FR"/>
        </w:rPr>
        <w:t>'</w:t>
      </w:r>
      <w:r w:rsidRPr="00314F31">
        <w:rPr>
          <w:lang w:val="fr-FR"/>
        </w:rPr>
        <w:t>Internet est passée de</w:t>
      </w:r>
      <w:r w:rsidR="006163B5" w:rsidRPr="00314F31">
        <w:rPr>
          <w:lang w:val="fr-FR"/>
        </w:rPr>
        <w:t> </w:t>
      </w:r>
      <w:r w:rsidRPr="00314F31">
        <w:rPr>
          <w:lang w:val="fr-FR"/>
        </w:rPr>
        <w:t>25</w:t>
      </w:r>
      <w:r w:rsidR="006163B5" w:rsidRPr="00314F31">
        <w:rPr>
          <w:lang w:val="fr-FR"/>
        </w:rPr>
        <w:t> </w:t>
      </w:r>
      <w:r w:rsidRPr="00314F31">
        <w:rPr>
          <w:lang w:val="fr-FR"/>
        </w:rPr>
        <w:t>à 35% dans les PMA, de 30 à 39% dans les PDSL et de 60 à 65% dans les PEID – des chiffres que l</w:t>
      </w:r>
      <w:r w:rsidR="00133D42" w:rsidRPr="00314F31">
        <w:rPr>
          <w:lang w:val="fr-FR"/>
        </w:rPr>
        <w:t>'</w:t>
      </w:r>
      <w:r w:rsidRPr="00314F31">
        <w:rPr>
          <w:lang w:val="fr-FR"/>
        </w:rPr>
        <w:t>on peut comparer à la moyenne mondiale qui s</w:t>
      </w:r>
      <w:r w:rsidR="00133D42" w:rsidRPr="00314F31">
        <w:rPr>
          <w:lang w:val="fr-FR"/>
        </w:rPr>
        <w:t>'</w:t>
      </w:r>
      <w:r w:rsidRPr="00314F31">
        <w:rPr>
          <w:lang w:val="fr-FR"/>
        </w:rPr>
        <w:t>établissait à 68% en 2024. Les jeunes forment toujours le groupe le plus connecté: on comptait 52% d</w:t>
      </w:r>
      <w:r w:rsidR="00133D42" w:rsidRPr="00314F31">
        <w:rPr>
          <w:lang w:val="fr-FR"/>
        </w:rPr>
        <w:t>'</w:t>
      </w:r>
      <w:r w:rsidRPr="00314F31">
        <w:rPr>
          <w:lang w:val="fr-FR"/>
        </w:rPr>
        <w:t>internautes chez les jeunes en</w:t>
      </w:r>
      <w:r w:rsidR="006163B5" w:rsidRPr="00314F31">
        <w:rPr>
          <w:lang w:val="fr-FR"/>
        </w:rPr>
        <w:t> </w:t>
      </w:r>
      <w:r w:rsidRPr="00314F31">
        <w:rPr>
          <w:lang w:val="fr-FR"/>
        </w:rPr>
        <w:t>2024 dans les PMA, contre 31% chez les personnes plus âgées; la tendance est similaire dans les PDSL. L</w:t>
      </w:r>
      <w:r w:rsidR="00133D42" w:rsidRPr="00314F31">
        <w:rPr>
          <w:lang w:val="fr-FR"/>
        </w:rPr>
        <w:t>'</w:t>
      </w:r>
      <w:r w:rsidRPr="00314F31">
        <w:rPr>
          <w:lang w:val="fr-FR"/>
        </w:rPr>
        <w:t>écart persiste entre les hommes et les femmes en ce qui concerne l</w:t>
      </w:r>
      <w:r w:rsidR="00133D42" w:rsidRPr="00314F31">
        <w:rPr>
          <w:lang w:val="fr-FR"/>
        </w:rPr>
        <w:t>'</w:t>
      </w:r>
      <w:r w:rsidRPr="00314F31">
        <w:rPr>
          <w:lang w:val="fr-FR"/>
        </w:rPr>
        <w:t>utilisation de l</w:t>
      </w:r>
      <w:r w:rsidR="00133D42" w:rsidRPr="00314F31">
        <w:rPr>
          <w:lang w:val="fr-FR"/>
        </w:rPr>
        <w:t>'</w:t>
      </w:r>
      <w:r w:rsidRPr="00314F31">
        <w:rPr>
          <w:lang w:val="fr-FR"/>
        </w:rPr>
        <w:t>Internet, mais il se réduit. Dans les PMA, 29% des femmes et 41% des hommes utilisaient l</w:t>
      </w:r>
      <w:r w:rsidR="00133D42" w:rsidRPr="00314F31">
        <w:rPr>
          <w:lang w:val="fr-FR"/>
        </w:rPr>
        <w:t>'</w:t>
      </w:r>
      <w:r w:rsidRPr="00314F31">
        <w:rPr>
          <w:lang w:val="fr-FR"/>
        </w:rPr>
        <w:t>Internet en 2024, tandis que les PEID sont quasiment à la parité en affichant 64% d</w:t>
      </w:r>
      <w:r w:rsidR="00133D42" w:rsidRPr="00314F31">
        <w:rPr>
          <w:lang w:val="fr-FR"/>
        </w:rPr>
        <w:t>'</w:t>
      </w:r>
      <w:r w:rsidRPr="00314F31">
        <w:rPr>
          <w:lang w:val="fr-FR"/>
        </w:rPr>
        <w:t>utilisation d</w:t>
      </w:r>
      <w:r w:rsidR="00133D42" w:rsidRPr="00314F31">
        <w:rPr>
          <w:lang w:val="fr-FR"/>
        </w:rPr>
        <w:t>'</w:t>
      </w:r>
      <w:r w:rsidRPr="00314F31">
        <w:rPr>
          <w:lang w:val="fr-FR"/>
        </w:rPr>
        <w:t>Internet chez les hommes comme chez les femmes.</w:t>
      </w:r>
    </w:p>
    <w:p w14:paraId="58AC7597" w14:textId="28AA0226" w:rsidR="00FF0960" w:rsidRPr="00314F31" w:rsidRDefault="00FF0960" w:rsidP="00FF0960">
      <w:pPr>
        <w:rPr>
          <w:lang w:val="fr-FR"/>
        </w:rPr>
      </w:pPr>
      <w:r w:rsidRPr="00314F31">
        <w:rPr>
          <w:lang w:val="fr-FR"/>
        </w:rPr>
        <w:t>Des progrès ont également été accomplis dans le domaine de la cybersécurité. Les écarts entre les</w:t>
      </w:r>
      <w:r w:rsidR="006163B5" w:rsidRPr="00314F31">
        <w:rPr>
          <w:lang w:val="fr-FR"/>
        </w:rPr>
        <w:t> </w:t>
      </w:r>
      <w:r w:rsidRPr="00314F31">
        <w:rPr>
          <w:lang w:val="fr-FR"/>
        </w:rPr>
        <w:t>PMA/PDSL et les autres pays en développement se sont réduits, comme le montre l</w:t>
      </w:r>
      <w:r w:rsidR="00133D42" w:rsidRPr="00314F31">
        <w:rPr>
          <w:lang w:val="fr-FR"/>
        </w:rPr>
        <w:t>'</w:t>
      </w:r>
      <w:r w:rsidRPr="00314F31">
        <w:rPr>
          <w:lang w:val="fr-FR"/>
        </w:rPr>
        <w:t>indice mondial de cybersécurité, qui a diminué de 27% pour les PMA et de 20% pour les PDSL entre 2017 et 2024. Dans le même temps, l</w:t>
      </w:r>
      <w:r w:rsidR="00133D42" w:rsidRPr="00314F31">
        <w:rPr>
          <w:lang w:val="fr-FR"/>
        </w:rPr>
        <w:t>'</w:t>
      </w:r>
      <w:r w:rsidRPr="00314F31">
        <w:rPr>
          <w:lang w:val="fr-FR"/>
        </w:rPr>
        <w:t xml:space="preserve">écart individuel a diminué de 14% pour les PEID. Ces bons résultats témoignent de la dynamique de renforcement de la cybersécurité, en pleine croissance dans ces pays. </w:t>
      </w:r>
    </w:p>
    <w:p w14:paraId="6B280D9A" w14:textId="1B4FF1FB" w:rsidR="00FF0960" w:rsidRPr="00314F31" w:rsidRDefault="00FF0960" w:rsidP="00FF0960">
      <w:pPr>
        <w:rPr>
          <w:lang w:val="fr-FR"/>
        </w:rPr>
      </w:pPr>
      <w:r w:rsidRPr="00314F31">
        <w:rPr>
          <w:lang w:val="fr-FR"/>
        </w:rPr>
        <w:t>En 2024, la couverture large bande mobile a continué de progresser et atteint désormais 85% de la population dans les PMA, 86% dans les PDSL et 85% dans les PEID, contre 96% en moyenne dans le monde. L</w:t>
      </w:r>
      <w:r w:rsidR="00133D42" w:rsidRPr="00314F31">
        <w:rPr>
          <w:lang w:val="fr-FR"/>
        </w:rPr>
        <w:t>'</w:t>
      </w:r>
      <w:r w:rsidRPr="00314F31">
        <w:rPr>
          <w:lang w:val="fr-FR"/>
        </w:rPr>
        <w:t>accessibilité financière s</w:t>
      </w:r>
      <w:r w:rsidR="00133D42" w:rsidRPr="00314F31">
        <w:rPr>
          <w:lang w:val="fr-FR"/>
        </w:rPr>
        <w:t>'</w:t>
      </w:r>
      <w:r w:rsidRPr="00314F31">
        <w:rPr>
          <w:lang w:val="fr-FR"/>
        </w:rPr>
        <w:t>améliore également: le prix du panier pour le large bande mobile axé uniquement sur les données (2 Go) a baissé à 4,6% du revenu national brut (RNB) par habitant dans les PMA et à environ 2% dans les PDSL et les PEID, contre 1,4% en moyenne mondiale.</w:t>
      </w:r>
    </w:p>
    <w:p w14:paraId="7A9EAE6C" w14:textId="77777777" w:rsidR="00FF0960" w:rsidRPr="00314F31" w:rsidRDefault="00FF0960" w:rsidP="00FF0960">
      <w:pPr>
        <w:pStyle w:val="Heading1"/>
        <w:rPr>
          <w:lang w:val="fr-FR"/>
        </w:rPr>
      </w:pPr>
      <w:r w:rsidRPr="00314F31">
        <w:rPr>
          <w:lang w:val="fr-FR"/>
        </w:rPr>
        <w:lastRenderedPageBreak/>
        <w:t>3</w:t>
      </w:r>
      <w:r w:rsidRPr="00314F31">
        <w:rPr>
          <w:lang w:val="fr-FR"/>
        </w:rPr>
        <w:tab/>
        <w:t>Activités liées au Plan opérationnel dans les PMA, les PDSL et les PEID</w:t>
      </w:r>
    </w:p>
    <w:p w14:paraId="34967193" w14:textId="66AFB13D" w:rsidR="00FF0960" w:rsidRPr="00314F31" w:rsidRDefault="00FF0960" w:rsidP="00FF0960">
      <w:pPr>
        <w:rPr>
          <w:lang w:val="fr-FR"/>
        </w:rPr>
      </w:pPr>
      <w:r w:rsidRPr="00314F31">
        <w:rPr>
          <w:lang w:val="fr-FR"/>
        </w:rPr>
        <w:t>De janvier 2023 à août 2025, le BDT a assuré les activités de soutien aux PMA, aux PDSL et au PEID</w:t>
      </w:r>
      <w:r w:rsidRPr="00314F31">
        <w:rPr>
          <w:rStyle w:val="FootnoteReference"/>
          <w:lang w:val="fr-FR"/>
        </w:rPr>
        <w:footnoteReference w:id="4"/>
      </w:r>
      <w:r w:rsidRPr="00314F31">
        <w:rPr>
          <w:lang w:val="fr-FR"/>
        </w:rPr>
        <w:t xml:space="preserve"> prévues au Plan opérationnel, par l</w:t>
      </w:r>
      <w:r w:rsidR="00133D42" w:rsidRPr="00314F31">
        <w:rPr>
          <w:lang w:val="fr-FR"/>
        </w:rPr>
        <w:t>'</w:t>
      </w:r>
      <w:r w:rsidRPr="00314F31">
        <w:rPr>
          <w:lang w:val="fr-FR"/>
        </w:rPr>
        <w:t>intermédiaire des bureaux régionaux et des bureaux de zone, en ciblant des pays particuliers. Ces activités liées au Plan opérationnel correspondaient à l</w:t>
      </w:r>
      <w:r w:rsidR="00133D42" w:rsidRPr="00314F31">
        <w:rPr>
          <w:lang w:val="fr-FR"/>
        </w:rPr>
        <w:t>'</w:t>
      </w:r>
      <w:r w:rsidRPr="00314F31">
        <w:rPr>
          <w:lang w:val="fr-FR"/>
        </w:rPr>
        <w:t>ensemble des priorités établies pour l</w:t>
      </w:r>
      <w:r w:rsidR="00133D42" w:rsidRPr="00314F31">
        <w:rPr>
          <w:lang w:val="fr-FR"/>
        </w:rPr>
        <w:t>'</w:t>
      </w:r>
      <w:r w:rsidRPr="00314F31">
        <w:rPr>
          <w:lang w:val="fr-FR"/>
        </w:rPr>
        <w:t>UIT-D et présentées en détail dans le Document </w:t>
      </w:r>
      <w:hyperlink r:id="rId16" w:history="1">
        <w:r w:rsidRPr="00314F31">
          <w:rPr>
            <w:rStyle w:val="Hyperlink"/>
            <w:lang w:val="fr-FR"/>
          </w:rPr>
          <w:t>WTDC</w:t>
        </w:r>
        <w:r w:rsidRPr="00314F31">
          <w:rPr>
            <w:rStyle w:val="Hyperlink"/>
            <w:lang w:val="fr-FR"/>
          </w:rPr>
          <w:noBreakHyphen/>
          <w:t>25/2</w:t>
        </w:r>
      </w:hyperlink>
      <w:r w:rsidRPr="00314F31">
        <w:rPr>
          <w:lang w:val="fr-FR"/>
        </w:rPr>
        <w:t>.</w:t>
      </w:r>
    </w:p>
    <w:p w14:paraId="0A8FF67D" w14:textId="77777777" w:rsidR="00FF0960" w:rsidRPr="00314F31" w:rsidRDefault="00FF0960" w:rsidP="00FF0960">
      <w:pPr>
        <w:pStyle w:val="Heading1"/>
        <w:rPr>
          <w:lang w:val="fr-FR"/>
        </w:rPr>
      </w:pPr>
      <w:r w:rsidRPr="00314F31">
        <w:rPr>
          <w:lang w:val="fr-FR"/>
        </w:rPr>
        <w:t>4</w:t>
      </w:r>
      <w:r w:rsidRPr="00314F31">
        <w:rPr>
          <w:lang w:val="fr-FR"/>
        </w:rPr>
        <w:tab/>
        <w:t>Projets en cours</w:t>
      </w:r>
      <w:r w:rsidRPr="00314F31">
        <w:rPr>
          <w:rStyle w:val="FootnoteReference"/>
          <w:b w:val="0"/>
          <w:bCs/>
          <w:lang w:val="fr-FR"/>
        </w:rPr>
        <w:footnoteReference w:id="5"/>
      </w:r>
    </w:p>
    <w:p w14:paraId="4FEFC3F8" w14:textId="44F6896C" w:rsidR="00FF0960" w:rsidRPr="00314F31" w:rsidRDefault="00FF0960" w:rsidP="00FF0960">
      <w:pPr>
        <w:rPr>
          <w:lang w:val="fr-FR"/>
        </w:rPr>
      </w:pPr>
      <w:r w:rsidRPr="00314F31">
        <w:rPr>
          <w:lang w:val="fr-FR"/>
        </w:rPr>
        <w:t>Entre 2023 et 2025, le BDT a mis en œuvre un certain nombre de projets dans les PMA, les PDSL et les PEID:</w:t>
      </w:r>
    </w:p>
    <w:p w14:paraId="3C3DE187" w14:textId="0B49CFE4" w:rsidR="00FF0960" w:rsidRPr="00314F31" w:rsidRDefault="00FF0960" w:rsidP="00FF0960">
      <w:pPr>
        <w:pStyle w:val="enumlev1"/>
        <w:rPr>
          <w:lang w:val="fr-FR"/>
        </w:rPr>
      </w:pPr>
      <w:r w:rsidRPr="00314F31">
        <w:rPr>
          <w:lang w:val="fr-FR"/>
        </w:rPr>
        <w:t>–</w:t>
      </w:r>
      <w:r w:rsidRPr="00314F31">
        <w:rPr>
          <w:b/>
          <w:bCs/>
          <w:lang w:val="fr-FR"/>
        </w:rPr>
        <w:tab/>
        <w:t>PMA (20 projets)</w:t>
      </w:r>
      <w:r w:rsidRPr="00314F31">
        <w:rPr>
          <w:lang w:val="fr-FR"/>
        </w:rPr>
        <w:t>: les activités portaient sur la cybersécurité, la transformation numérique, les systèmes d</w:t>
      </w:r>
      <w:r w:rsidR="00133D42" w:rsidRPr="00314F31">
        <w:rPr>
          <w:lang w:val="fr-FR"/>
        </w:rPr>
        <w:t>'</w:t>
      </w:r>
      <w:r w:rsidRPr="00314F31">
        <w:rPr>
          <w:lang w:val="fr-FR"/>
        </w:rPr>
        <w:t>alerte avancée et l</w:t>
      </w:r>
      <w:r w:rsidR="00133D42" w:rsidRPr="00314F31">
        <w:rPr>
          <w:lang w:val="fr-FR"/>
        </w:rPr>
        <w:t>'</w:t>
      </w:r>
      <w:r w:rsidRPr="00314F31">
        <w:rPr>
          <w:lang w:val="fr-FR"/>
        </w:rPr>
        <w:t>accès au large bande. Le projet "La cybersécurité au service du bien social", le projet "Alertes précoces pour tous" (EW4All), déployé notamment en République fédérale démocratique du Népal, en République fédérale de Somalie, en République populaire du</w:t>
      </w:r>
      <w:r w:rsidRPr="00314F31" w:rsidDel="00147E74">
        <w:rPr>
          <w:lang w:val="fr-FR"/>
        </w:rPr>
        <w:t xml:space="preserve"> </w:t>
      </w:r>
      <w:r w:rsidRPr="00314F31">
        <w:rPr>
          <w:lang w:val="fr-FR"/>
        </w:rPr>
        <w:t>Bangladesh, en République du Libéria, en République de Madagascar, en République du Mozambique, en République du Soudan du Sud et en République-Unie de Tanzanie, et la numérisation des services d</w:t>
      </w:r>
      <w:r w:rsidR="00133D42" w:rsidRPr="00314F31">
        <w:rPr>
          <w:lang w:val="fr-FR"/>
        </w:rPr>
        <w:t>'</w:t>
      </w:r>
      <w:r w:rsidRPr="00314F31">
        <w:rPr>
          <w:lang w:val="fr-FR"/>
        </w:rPr>
        <w:t>administration publique dans le cadre de l</w:t>
      </w:r>
      <w:r w:rsidR="00133D42" w:rsidRPr="00314F31">
        <w:rPr>
          <w:lang w:val="fr-FR"/>
        </w:rPr>
        <w:t>'</w:t>
      </w:r>
      <w:r w:rsidR="0092705A" w:rsidRPr="00314F31">
        <w:rPr>
          <w:lang w:val="fr-FR"/>
        </w:rPr>
        <w:t>I</w:t>
      </w:r>
      <w:r w:rsidRPr="00314F31">
        <w:rPr>
          <w:lang w:val="fr-FR"/>
        </w:rPr>
        <w:t>nitiative GovStack en République islamique de Mauritanie et au Royaume d</w:t>
      </w:r>
      <w:r w:rsidR="00133D42" w:rsidRPr="00314F31">
        <w:rPr>
          <w:lang w:val="fr-FR"/>
        </w:rPr>
        <w:t>'</w:t>
      </w:r>
      <w:r w:rsidRPr="00314F31">
        <w:rPr>
          <w:lang w:val="fr-FR"/>
        </w:rPr>
        <w:t>Eswatini figurent parmi les principaux projets en cours. Les dates d</w:t>
      </w:r>
      <w:r w:rsidR="00133D42" w:rsidRPr="00314F31">
        <w:rPr>
          <w:lang w:val="fr-FR"/>
        </w:rPr>
        <w:t>'</w:t>
      </w:r>
      <w:r w:rsidRPr="00314F31">
        <w:rPr>
          <w:lang w:val="fr-FR"/>
        </w:rPr>
        <w:t>achèvement pour ces projets vont de</w:t>
      </w:r>
      <w:r w:rsidR="0092705A" w:rsidRPr="00314F31">
        <w:rPr>
          <w:lang w:val="fr-FR"/>
        </w:rPr>
        <w:t> </w:t>
      </w:r>
      <w:r w:rsidRPr="00314F31">
        <w:rPr>
          <w:lang w:val="fr-FR"/>
        </w:rPr>
        <w:t>2025 à 2028.</w:t>
      </w:r>
    </w:p>
    <w:p w14:paraId="2D01C91E" w14:textId="61920D27" w:rsidR="00FF0960" w:rsidRPr="00314F31" w:rsidRDefault="00FF0960" w:rsidP="00FF0960">
      <w:pPr>
        <w:pStyle w:val="enumlev1"/>
        <w:rPr>
          <w:lang w:val="fr-FR"/>
        </w:rPr>
      </w:pPr>
      <w:r w:rsidRPr="00314F31">
        <w:rPr>
          <w:lang w:val="fr-FR"/>
        </w:rPr>
        <w:t>–</w:t>
      </w:r>
      <w:r w:rsidRPr="00314F31">
        <w:rPr>
          <w:b/>
          <w:bCs/>
          <w:lang w:val="fr-FR"/>
        </w:rPr>
        <w:tab/>
        <w:t>PDSL (16 projets)</w:t>
      </w:r>
      <w:r w:rsidRPr="00314F31">
        <w:rPr>
          <w:lang w:val="fr-FR"/>
        </w:rPr>
        <w:t>: les activités portaient sur les services d</w:t>
      </w:r>
      <w:r w:rsidR="00133D42" w:rsidRPr="00314F31">
        <w:rPr>
          <w:lang w:val="fr-FR"/>
        </w:rPr>
        <w:t>'</w:t>
      </w:r>
      <w:r w:rsidRPr="00314F31">
        <w:rPr>
          <w:lang w:val="fr-FR"/>
        </w:rPr>
        <w:t>administration publique numériques, les systèmes d</w:t>
      </w:r>
      <w:r w:rsidR="00133D42" w:rsidRPr="00314F31">
        <w:rPr>
          <w:lang w:val="fr-FR"/>
        </w:rPr>
        <w:t>'</w:t>
      </w:r>
      <w:r w:rsidRPr="00314F31">
        <w:rPr>
          <w:lang w:val="fr-FR"/>
        </w:rPr>
        <w:t>alerte avancée, l</w:t>
      </w:r>
      <w:r w:rsidR="00133D42" w:rsidRPr="00314F31">
        <w:rPr>
          <w:lang w:val="fr-FR"/>
        </w:rPr>
        <w:t>'</w:t>
      </w:r>
      <w:r w:rsidRPr="00314F31">
        <w:rPr>
          <w:lang w:val="fr-FR"/>
        </w:rPr>
        <w:t>économie circulaire pour le secteur de l</w:t>
      </w:r>
      <w:r w:rsidR="00133D42" w:rsidRPr="00314F31">
        <w:rPr>
          <w:lang w:val="fr-FR"/>
        </w:rPr>
        <w:t>'</w:t>
      </w:r>
      <w:r w:rsidRPr="00314F31">
        <w:rPr>
          <w:lang w:val="fr-FR"/>
        </w:rPr>
        <w:t>électronique, la cartographie du large bande et la cybersécurité. Le projet intitulé "Coopération en matière de services publics numériques dans les pays d</w:t>
      </w:r>
      <w:r w:rsidR="00133D42" w:rsidRPr="00314F31">
        <w:rPr>
          <w:lang w:val="fr-FR"/>
        </w:rPr>
        <w:t>'</w:t>
      </w:r>
      <w:r w:rsidRPr="00314F31">
        <w:rPr>
          <w:lang w:val="fr-FR"/>
        </w:rPr>
        <w:t>Asie centrale et du Caucase", le projet "Alertes précoces pour tous" (EW4All) et le projet de systèmes nationaux de cartographie large bande en Afrique concernant ainsi un certain nombre de pays comme la République fédérale démocratique d</w:t>
      </w:r>
      <w:r w:rsidR="00133D42" w:rsidRPr="00314F31">
        <w:rPr>
          <w:lang w:val="fr-FR"/>
        </w:rPr>
        <w:t>'</w:t>
      </w:r>
      <w:r w:rsidRPr="00314F31">
        <w:rPr>
          <w:lang w:val="fr-FR"/>
        </w:rPr>
        <w:t>Éthiopie, la Mongolie, la République d</w:t>
      </w:r>
      <w:r w:rsidR="00133D42" w:rsidRPr="00314F31">
        <w:rPr>
          <w:lang w:val="fr-FR"/>
        </w:rPr>
        <w:t>'</w:t>
      </w:r>
      <w:r w:rsidRPr="00314F31">
        <w:rPr>
          <w:lang w:val="fr-FR"/>
        </w:rPr>
        <w:t>Arménie, la République du Niger et la République de l</w:t>
      </w:r>
      <w:r w:rsidR="00133D42" w:rsidRPr="00314F31">
        <w:rPr>
          <w:lang w:val="fr-FR"/>
        </w:rPr>
        <w:t>'</w:t>
      </w:r>
      <w:r w:rsidRPr="00314F31">
        <w:rPr>
          <w:lang w:val="fr-FR"/>
        </w:rPr>
        <w:t>Ouganda. Les dates d</w:t>
      </w:r>
      <w:r w:rsidR="00133D42" w:rsidRPr="00314F31">
        <w:rPr>
          <w:lang w:val="fr-FR"/>
        </w:rPr>
        <w:t>'</w:t>
      </w:r>
      <w:r w:rsidRPr="00314F31">
        <w:rPr>
          <w:lang w:val="fr-FR"/>
        </w:rPr>
        <w:t>achèvement pour ces projets vont de 2025 à 2028.</w:t>
      </w:r>
    </w:p>
    <w:p w14:paraId="543A9C2A" w14:textId="5693681F" w:rsidR="00F241C3" w:rsidRPr="00314F31" w:rsidRDefault="00FF0960" w:rsidP="00F241C3">
      <w:pPr>
        <w:pStyle w:val="enumlev1"/>
        <w:rPr>
          <w:lang w:val="fr-FR"/>
        </w:rPr>
      </w:pPr>
      <w:r w:rsidRPr="00314F31">
        <w:rPr>
          <w:lang w:val="fr-FR"/>
        </w:rPr>
        <w:t>–</w:t>
      </w:r>
      <w:r w:rsidRPr="00314F31">
        <w:rPr>
          <w:b/>
          <w:bCs/>
          <w:lang w:val="fr-FR"/>
        </w:rPr>
        <w:tab/>
        <w:t>PEID (22 projets)</w:t>
      </w:r>
      <w:r w:rsidRPr="00314F31">
        <w:rPr>
          <w:lang w:val="fr-FR"/>
        </w:rPr>
        <w:t>: les activités portaient sur des aspects de la connectivité, de la cybersécurité et de la résilience en cas de catastrophe. Citons par exemple l</w:t>
      </w:r>
      <w:r w:rsidR="00133D42" w:rsidRPr="00314F31">
        <w:rPr>
          <w:lang w:val="fr-FR"/>
        </w:rPr>
        <w:t>'</w:t>
      </w:r>
      <w:r w:rsidR="0092705A" w:rsidRPr="00314F31">
        <w:rPr>
          <w:lang w:val="fr-FR"/>
        </w:rPr>
        <w:t>I</w:t>
      </w:r>
      <w:r w:rsidRPr="00314F31">
        <w:rPr>
          <w:lang w:val="fr-FR"/>
        </w:rPr>
        <w:t>nitiative</w:t>
      </w:r>
      <w:r w:rsidR="00133D42" w:rsidRPr="00314F31">
        <w:rPr>
          <w:lang w:val="fr-FR"/>
        </w:rPr>
        <w:t> </w:t>
      </w:r>
      <w:r w:rsidRPr="00314F31">
        <w:rPr>
          <w:lang w:val="fr-FR"/>
        </w:rPr>
        <w:t>Giga pour la connectivité dans les écoles en République démocratique de Sao Tomé-et-Principe, le projet "Alertes précoces pour tous" (EW4All) en Haïti, en République de Kiribati, en République de Maurice, aux Îles Salomon et en Union des Comores. Des projets portant sur des études relatives aux télécommunications s</w:t>
      </w:r>
      <w:r w:rsidR="00133D42" w:rsidRPr="00314F31">
        <w:rPr>
          <w:lang w:val="fr-FR"/>
        </w:rPr>
        <w:t>'</w:t>
      </w:r>
      <w:r w:rsidRPr="00314F31">
        <w:rPr>
          <w:lang w:val="fr-FR"/>
        </w:rPr>
        <w:t xml:space="preserve">adressent à divers pays, dont la République de Fidji, la République des Maldives et la </w:t>
      </w:r>
      <w:r w:rsidR="00F241C3" w:rsidRPr="00314F31">
        <w:rPr>
          <w:lang w:val="fr-FR"/>
        </w:rPr>
        <w:br w:type="page"/>
      </w:r>
    </w:p>
    <w:p w14:paraId="388D4BE8" w14:textId="613CA33A" w:rsidR="00FF0960" w:rsidRPr="00314F31" w:rsidRDefault="00F241C3" w:rsidP="00FF0960">
      <w:pPr>
        <w:pStyle w:val="enumlev1"/>
        <w:rPr>
          <w:lang w:val="fr-FR"/>
        </w:rPr>
      </w:pPr>
      <w:r w:rsidRPr="00314F31">
        <w:rPr>
          <w:lang w:val="fr-FR"/>
        </w:rPr>
        <w:lastRenderedPageBreak/>
        <w:tab/>
      </w:r>
      <w:r w:rsidR="00FF0960" w:rsidRPr="00314F31">
        <w:rPr>
          <w:lang w:val="fr-FR"/>
        </w:rPr>
        <w:t>République de Vanuatu et courent sur des périodes de mise en œuvre allant de 2024</w:t>
      </w:r>
      <w:r w:rsidR="00133D42" w:rsidRPr="00314F31">
        <w:rPr>
          <w:lang w:val="fr-FR"/>
        </w:rPr>
        <w:t> </w:t>
      </w:r>
      <w:r w:rsidR="00FF0960" w:rsidRPr="00314F31">
        <w:rPr>
          <w:lang w:val="fr-FR"/>
        </w:rPr>
        <w:t>à</w:t>
      </w:r>
      <w:r w:rsidR="00133D42" w:rsidRPr="00314F31">
        <w:rPr>
          <w:lang w:val="fr-FR"/>
        </w:rPr>
        <w:t> </w:t>
      </w:r>
      <w:r w:rsidR="00FF0960" w:rsidRPr="00314F31">
        <w:rPr>
          <w:lang w:val="fr-FR"/>
        </w:rPr>
        <w:t>2027. D</w:t>
      </w:r>
      <w:r w:rsidR="00133D42" w:rsidRPr="00314F31">
        <w:rPr>
          <w:lang w:val="fr-FR"/>
        </w:rPr>
        <w:t>'</w:t>
      </w:r>
      <w:r w:rsidR="00FF0960" w:rsidRPr="00314F31">
        <w:rPr>
          <w:lang w:val="fr-FR"/>
        </w:rPr>
        <w:t xml:space="preserve">autres projets, tels que ceux portant sur les </w:t>
      </w:r>
      <w:r w:rsidR="00133D42" w:rsidRPr="00314F31">
        <w:rPr>
          <w:lang w:val="fr-FR"/>
        </w:rPr>
        <w:t>Î</w:t>
      </w:r>
      <w:r w:rsidR="00FF0960" w:rsidRPr="00314F31">
        <w:rPr>
          <w:lang w:val="fr-FR"/>
        </w:rPr>
        <w:t>les intelligentes, l</w:t>
      </w:r>
      <w:r w:rsidR="00133D42" w:rsidRPr="00314F31">
        <w:rPr>
          <w:lang w:val="fr-FR"/>
        </w:rPr>
        <w:t>'</w:t>
      </w:r>
      <w:r w:rsidR="00FF0960" w:rsidRPr="00314F31">
        <w:rPr>
          <w:lang w:val="fr-FR"/>
        </w:rPr>
        <w:t>agriculture numérique et la transformation numérique dans les PEID du Pacifique sont en cours de mise en œuvre.</w:t>
      </w:r>
    </w:p>
    <w:p w14:paraId="1FA5CC1D" w14:textId="6379D8D5" w:rsidR="00FF0960" w:rsidRPr="00314F31" w:rsidRDefault="00FF0960" w:rsidP="00FF0960">
      <w:pPr>
        <w:rPr>
          <w:lang w:val="fr-FR"/>
        </w:rPr>
      </w:pPr>
      <w:r w:rsidRPr="00314F31">
        <w:rPr>
          <w:lang w:val="fr-FR"/>
        </w:rPr>
        <w:t>On trouvera dans l</w:t>
      </w:r>
      <w:r w:rsidR="00133D42" w:rsidRPr="00314F31">
        <w:rPr>
          <w:lang w:val="fr-FR"/>
        </w:rPr>
        <w:t>'</w:t>
      </w:r>
      <w:r w:rsidRPr="00314F31">
        <w:rPr>
          <w:lang w:val="fr-FR"/>
        </w:rPr>
        <w:t>Annexe</w:t>
      </w:r>
      <w:r w:rsidR="00133D42" w:rsidRPr="00314F31">
        <w:rPr>
          <w:lang w:val="fr-FR"/>
        </w:rPr>
        <w:t> </w:t>
      </w:r>
      <w:r w:rsidRPr="00314F31">
        <w:rPr>
          <w:lang w:val="fr-FR"/>
        </w:rPr>
        <w:t>1 des informations détaillées sur les actions de soutien aux PMA, aux</w:t>
      </w:r>
      <w:r w:rsidR="00133D42" w:rsidRPr="00314F31">
        <w:rPr>
          <w:lang w:val="fr-FR"/>
        </w:rPr>
        <w:t> </w:t>
      </w:r>
      <w:r w:rsidRPr="00314F31">
        <w:rPr>
          <w:lang w:val="fr-FR"/>
        </w:rPr>
        <w:t>PDSL et aux PEID en fonction des domaines prioritaires et des catalyseurs, et dans l</w:t>
      </w:r>
      <w:r w:rsidR="00133D42" w:rsidRPr="00314F31">
        <w:rPr>
          <w:lang w:val="fr-FR"/>
        </w:rPr>
        <w:t>'</w:t>
      </w:r>
      <w:r w:rsidRPr="00314F31">
        <w:rPr>
          <w:lang w:val="fr-FR"/>
        </w:rPr>
        <w:t>Annexe 2 une liste détaillée des projets menés</w:t>
      </w:r>
      <w:r w:rsidRPr="00314F31">
        <w:rPr>
          <w:i/>
          <w:iCs/>
          <w:lang w:val="fr-FR"/>
        </w:rPr>
        <w:t>.</w:t>
      </w:r>
    </w:p>
    <w:p w14:paraId="488A6219" w14:textId="77777777" w:rsidR="00F241C3" w:rsidRPr="00314F31" w:rsidRDefault="00F241C3" w:rsidP="00F241C3">
      <w:pPr>
        <w:pStyle w:val="Heading1"/>
        <w:rPr>
          <w:rFonts w:eastAsia="SimSun"/>
          <w:lang w:val="fr-FR"/>
        </w:rPr>
      </w:pPr>
      <w:r w:rsidRPr="00314F31">
        <w:rPr>
          <w:rFonts w:eastAsiaTheme="minorEastAsia"/>
          <w:lang w:val="fr-FR"/>
        </w:rPr>
        <w:t>5</w:t>
      </w:r>
      <w:r w:rsidRPr="00314F31">
        <w:rPr>
          <w:rFonts w:eastAsiaTheme="minorEastAsia"/>
          <w:lang w:val="fr-FR"/>
        </w:rPr>
        <w:tab/>
        <w:t>Initiatives innovantes majeures</w:t>
      </w:r>
    </w:p>
    <w:p w14:paraId="7FE22B6D" w14:textId="77777777" w:rsidR="00F241C3" w:rsidRPr="00314F31" w:rsidRDefault="00F241C3" w:rsidP="00F241C3">
      <w:pPr>
        <w:rPr>
          <w:rFonts w:eastAsiaTheme="minorEastAsia" w:cstheme="minorBidi"/>
          <w:lang w:val="fr-FR"/>
        </w:rPr>
      </w:pPr>
      <w:hyperlink r:id="rId17" w:anchor="/fr" w:history="1">
        <w:r w:rsidRPr="00314F31">
          <w:rPr>
            <w:rStyle w:val="Hyperlink"/>
            <w:rFonts w:eastAsia="SimSun" w:cstheme="minorHAnsi"/>
            <w:b/>
            <w:bCs/>
            <w:lang w:val="fr-FR"/>
          </w:rPr>
          <w:t>Systèmes de cartographie du large bande en Afrique</w:t>
        </w:r>
      </w:hyperlink>
      <w:r w:rsidRPr="00314F31">
        <w:rPr>
          <w:rFonts w:eastAsia="SimSun" w:cstheme="minorHAnsi"/>
          <w:bCs/>
          <w:lang w:val="fr-FR"/>
        </w:rPr>
        <w:t xml:space="preserve">: </w:t>
      </w:r>
      <w:r w:rsidRPr="00314F31">
        <w:rPr>
          <w:rFonts w:eastAsia="SimSun" w:cstheme="minorHAnsi"/>
          <w:lang w:val="fr-FR"/>
        </w:rPr>
        <w:t>le BDT a lancé en 2024 un nouveau projet financé par l'Union européenne et cofinancé par le Fonds pour le développement des technologies de l'information et de la communication (FDTIC) de l'UIT, visant à aider et assister 11 pays de la région de l'Afrique subsaharienne à développer des systèmes unifiés de cartographie du large bande, afin de guider les investissements dans l'infrastructure numérique en se fondant sur des données. Le projet a pour but de renforcer les capacités des organes décisionnels (agences de régulation, ministères et autres autorités publiques) de planifier et déployer efficacement les infrastructures et les services large bande. Il s'agit notamment d'harmoniser les systèmes de cartographie et d'assurer leur interopérabilité à l'échelle régionale, afin de favoriser la collaboration transfrontalière et l'échange de bonnes pratiques. Des renseignements complémentaires concernant les pays bénéficiaires de ce projet sont donnés en Annexe 2.</w:t>
      </w:r>
    </w:p>
    <w:p w14:paraId="22A8E657" w14:textId="77777777" w:rsidR="00F241C3" w:rsidRPr="00314F31" w:rsidRDefault="00F241C3" w:rsidP="00F241C3">
      <w:pPr>
        <w:rPr>
          <w:lang w:val="fr-FR"/>
        </w:rPr>
      </w:pPr>
      <w:hyperlink r:id="rId18">
        <w:r w:rsidRPr="00314F31">
          <w:rPr>
            <w:rStyle w:val="Hyperlink"/>
            <w:rFonts w:cstheme="minorHAnsi"/>
            <w:b/>
            <w:bCs/>
            <w:lang w:val="fr-FR"/>
          </w:rPr>
          <w:t>La cybersécurité au service du bien social (Cyber for Good)</w:t>
        </w:r>
      </w:hyperlink>
      <w:r w:rsidRPr="00314F31">
        <w:rPr>
          <w:lang w:val="fr-FR"/>
        </w:rPr>
        <w:t xml:space="preserve">: l'Initiative "Cyber For Good", financée par le Ministère des sciences et des TIC du Gouvernement de la République de Corée et cofinancée par le Fonds pour le développement des TIC (FD-TIC), a pour objectif de répondre aux besoins des PMA et des PEID dans le domaine de la cybersécurité. Articulée autour d'un appui ciblé et d'un programme global de renforcement des capacités, elle vise à accroître la résilience et les capacités techniques en matière de cybersécurité, pour améliorer à terme le niveau de cybersécurité national et ainsi permettre aux pays de mieux protéger leurs écosystèmes numériques. Trente pays parmi les moins avancés ont bénéficié de la première phase: 21 pays de la région Afrique, 6 pays de la région Asie-Pacifique et 3 pays de la région des États arabes. La deuxième phase du projet, lancée en 2025, a étendu sa portée à d'autres pays bénéficiaires parmi les groupes des PMA, des PDSL et des PEID. Le projet fournit une aide en trois volets: déploiement d'outils et services de cybersécurité mis à disposition par les Membres du Secteur de l'UIT-D, établissement de rapports sur l'indice mondial de cybersécurité et organisation de séances de formation dans des domaines variés tels que les interventions en cas d'incident, la gouvernance de la cybersécurité et la stratégie nationale de cybersécurité. Il est prévu de réaliser en 2026 un cyberexercice spécialement conçu pour les menaces particulières auxquelles font face les PMA (date à venir). </w:t>
      </w:r>
      <w:r w:rsidRPr="00314F31">
        <w:rPr>
          <w:rFonts w:eastAsia="SimSun"/>
          <w:lang w:val="fr-FR"/>
        </w:rPr>
        <w:t>Des renseignements complémentaires concernant les pays bénéficiaires de ce projet sont donnés en Annexe 2.</w:t>
      </w:r>
    </w:p>
    <w:p w14:paraId="44996741" w14:textId="77777777" w:rsidR="00F241C3" w:rsidRPr="00314F31" w:rsidRDefault="00F241C3" w:rsidP="00F241C3">
      <w:pPr>
        <w:rPr>
          <w:lang w:val="fr-FR"/>
        </w:rPr>
      </w:pPr>
      <w:hyperlink r:id="rId19">
        <w:r w:rsidRPr="00314F31">
          <w:rPr>
            <w:rStyle w:val="Hyperlink"/>
            <w:rFonts w:cstheme="minorHAnsi"/>
            <w:b/>
            <w:bCs/>
            <w:lang w:val="fr-FR"/>
          </w:rPr>
          <w:t>Programme "Her Cyber Tracks"</w:t>
        </w:r>
      </w:hyperlink>
      <w:r w:rsidRPr="00314F31">
        <w:rPr>
          <w:lang w:val="fr-FR"/>
        </w:rPr>
        <w:t>:</w:t>
      </w:r>
      <w:r w:rsidRPr="00314F31">
        <w:rPr>
          <w:i/>
          <w:iCs/>
          <w:lang w:val="fr-FR"/>
        </w:rPr>
        <w:t xml:space="preserve"> </w:t>
      </w:r>
      <w:r w:rsidRPr="00314F31">
        <w:rPr>
          <w:lang w:val="fr-FR"/>
        </w:rPr>
        <w:t xml:space="preserve">lancé en 2023, le programme "Her CyberTracks" est mené conjointement avec l'Agence allemande pour la coopération internationale (GIZ) de la République fédérale d'Allemagne. Il vise à donner aux femmes les moyens de faire carrière dans le secteur de la cybersécurité en leur proposant des apprentissages en ligne, des formations, du mentorat et la possibilité de rencontrer des spécialistes du domaine. Il promeut une représentation équitable des femmes dans la cybersécurité et renforce la cyberrésilience en intégrant des approches sensibles au genre dans le renforcement des capacités. En 2024, 99% des participantes ont indiqué que le contenu du programme présentait un intérêt pour leur travail, 98% ont fait état d'une amélioration significative de leurs compétences et de leurs connaissances et 85% ont déclaré que </w:t>
      </w:r>
      <w:r w:rsidRPr="00314F31">
        <w:rPr>
          <w:lang w:val="fr-FR"/>
        </w:rPr>
        <w:lastRenderedPageBreak/>
        <w:t xml:space="preserve">le programme leur avait permis de nouer des liens utiles. L'année 2025 a vu le lancement de la phase 3 du projet, en partenariat avec l'agence GIZ, le Centre de cybercompétence LAC4 dans la région Amériques et l'Office des Nations Unies contre la drogue et le crime (UNODC) sur les questions en lien avec la cybercriminalité, et grâce à des fonds apportés par le Ministère allemand des affaires étrangères, l'initiative Global Gateway, l'Union européenne et Microsoft. </w:t>
      </w:r>
      <w:r w:rsidRPr="00314F31">
        <w:rPr>
          <w:rFonts w:eastAsia="SimSun"/>
          <w:lang w:val="fr-FR"/>
        </w:rPr>
        <w:t>Des renseignements complémentaires concernant les pays bénéficiaires de ce projet sont donnés en Annexe 2.</w:t>
      </w:r>
    </w:p>
    <w:p w14:paraId="4C1B05AC" w14:textId="77777777" w:rsidR="00F241C3" w:rsidRPr="00314F31" w:rsidRDefault="00F241C3" w:rsidP="00F241C3">
      <w:pPr>
        <w:rPr>
          <w:rFonts w:cstheme="minorHAnsi"/>
          <w:color w:val="000000" w:themeColor="text1"/>
          <w:lang w:val="fr-FR"/>
        </w:rPr>
      </w:pPr>
      <w:hyperlink r:id="rId20" w:anchor=":~:text=This%20workshop%20was%20conducted%20as%20part%20of%20the,main%20areas%3A%20data%20collection%20and%20analysis%2C%20and%20benchmarking." w:history="1">
        <w:r w:rsidRPr="00314F31">
          <w:rPr>
            <w:rStyle w:val="Hyperlink"/>
            <w:rFonts w:cstheme="minorHAnsi"/>
            <w:b/>
            <w:bCs/>
            <w:lang w:val="fr-FR"/>
          </w:rPr>
          <w:t>Analyse comparative des TIC en Afrique centrale</w:t>
        </w:r>
      </w:hyperlink>
      <w:r w:rsidRPr="00314F31">
        <w:rPr>
          <w:rFonts w:cstheme="minorHAnsi"/>
          <w:color w:val="000000" w:themeColor="text1"/>
          <w:lang w:val="fr-FR"/>
        </w:rPr>
        <w:t>: financé par l'Union européenne par le biais de la Cellule d'appui à l'Ordonnateur national du Fonds européen de développement (COFED) et cofinancé par le FD-TIC de l'UIT, ce projet a aidé 11 pays d'Afrique centrale à améliorer les mesures et les analyses de la réglementation et de l'économie numérique, à réaliser des évaluations nationales et à élaborer des feuilles de route stratégiques. Des renseignements complémentaires concernant les</w:t>
      </w:r>
      <w:r w:rsidRPr="00314F31">
        <w:rPr>
          <w:rFonts w:eastAsia="SimSun" w:cstheme="minorHAnsi"/>
          <w:lang w:val="fr-FR"/>
        </w:rPr>
        <w:t xml:space="preserve"> pays bénéficiaires de ce projet sont donnés en Annexe 2.</w:t>
      </w:r>
    </w:p>
    <w:p w14:paraId="43B58840" w14:textId="77777777" w:rsidR="00F241C3" w:rsidRPr="00314F31" w:rsidRDefault="00F241C3" w:rsidP="00F241C3">
      <w:pPr>
        <w:spacing w:after="120"/>
        <w:rPr>
          <w:rFonts w:eastAsiaTheme="minorEastAsia" w:cstheme="minorBidi"/>
          <w:b/>
          <w:bCs/>
          <w:lang w:val="fr-FR"/>
        </w:rPr>
      </w:pPr>
      <w:hyperlink r:id="rId21" w:anchor="/fr" w:history="1">
        <w:r w:rsidRPr="00314F31">
          <w:rPr>
            <w:rStyle w:val="Hyperlink"/>
            <w:rFonts w:cstheme="minorHAnsi"/>
            <w:b/>
            <w:bCs/>
            <w:lang w:val="fr-FR"/>
          </w:rPr>
          <w:t>Connectivité universelle et efficace</w:t>
        </w:r>
      </w:hyperlink>
      <w:r w:rsidRPr="00314F31">
        <w:rPr>
          <w:lang w:val="fr-FR"/>
        </w:rPr>
        <w:t>: désireux d'atteindre plus vite une connectivité universelle et efficace</w:t>
      </w:r>
      <w:r w:rsidRPr="00314F31">
        <w:rPr>
          <w:rFonts w:eastAsia="Calibri"/>
          <w:lang w:val="fr-FR"/>
        </w:rPr>
        <w:t>, le BDT et la Commission européenne ont lancé en 2023 un projet commun pour la promouvoir en tant qu'objectif politique stratégique. Ce projet vise à améliorer la qualité et la disponibilité des statistiques dans le domaine et présente des approches politiques efficaces, qui peuvent être adaptées dans chaque région. Des ateliers régionaux à l'attention des décideurs et des statisticiens permettent d'appuyer l'intégration de la connectivité universelle et efficace dans les stratégies numériques, de renforcer les capacités nationales de production et de diffusion de données dans le domaine et de faciliter l'échange de bonnes pratiques.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757"/>
      </w:tblGrid>
      <w:tr w:rsidR="00F241C3" w:rsidRPr="00314F31" w14:paraId="700C6095" w14:textId="77777777" w:rsidTr="008C75DC">
        <w:tc>
          <w:tcPr>
            <w:tcW w:w="9626" w:type="dxa"/>
            <w:gridSpan w:val="2"/>
          </w:tcPr>
          <w:p w14:paraId="2638E741" w14:textId="77777777" w:rsidR="00F241C3" w:rsidRPr="00314F31" w:rsidRDefault="00F241C3" w:rsidP="008C75DC">
            <w:pPr>
              <w:pStyle w:val="Tablehead"/>
              <w:jc w:val="left"/>
              <w:rPr>
                <w:rFonts w:eastAsiaTheme="minorEastAsia"/>
                <w:sz w:val="22"/>
                <w:szCs w:val="22"/>
                <w:lang w:val="fr-FR"/>
              </w:rPr>
            </w:pPr>
            <w:r w:rsidRPr="00314F31">
              <w:rPr>
                <w:rFonts w:eastAsiaTheme="minorEastAsia"/>
                <w:sz w:val="22"/>
                <w:szCs w:val="22"/>
                <w:lang w:val="fr-FR"/>
              </w:rPr>
              <w:t>Participation des PMA, des PDSL et des PEID aux ateliers régionaux "Promouvoir et mesurer la connectivité numérique universelle et efficace" et aux webinaires portant sur les statistiques relatives aux TIC</w:t>
            </w:r>
          </w:p>
        </w:tc>
      </w:tr>
      <w:tr w:rsidR="00F241C3" w:rsidRPr="00314F31" w14:paraId="6F3A8BF4" w14:textId="77777777" w:rsidTr="008C75DC">
        <w:tc>
          <w:tcPr>
            <w:tcW w:w="869" w:type="dxa"/>
          </w:tcPr>
          <w:p w14:paraId="25E22845" w14:textId="77777777" w:rsidR="00F241C3" w:rsidRPr="00314F31" w:rsidRDefault="00F241C3" w:rsidP="008C75DC">
            <w:pPr>
              <w:pStyle w:val="Tabletext"/>
              <w:rPr>
                <w:rFonts w:eastAsiaTheme="minorEastAsia"/>
                <w:b/>
                <w:bCs/>
                <w:sz w:val="22"/>
                <w:szCs w:val="22"/>
                <w:lang w:val="fr-FR"/>
              </w:rPr>
            </w:pPr>
            <w:r w:rsidRPr="00314F31">
              <w:rPr>
                <w:rFonts w:eastAsiaTheme="minorEastAsia"/>
                <w:b/>
                <w:bCs/>
                <w:sz w:val="22"/>
                <w:szCs w:val="22"/>
                <w:lang w:val="fr-FR"/>
              </w:rPr>
              <w:t>PMA</w:t>
            </w:r>
          </w:p>
        </w:tc>
        <w:tc>
          <w:tcPr>
            <w:tcW w:w="8757" w:type="dxa"/>
          </w:tcPr>
          <w:p w14:paraId="702FA785" w14:textId="77777777" w:rsidR="00F241C3" w:rsidRPr="00314F31" w:rsidRDefault="00F241C3" w:rsidP="008C75DC">
            <w:pPr>
              <w:pStyle w:val="Tabletext"/>
              <w:rPr>
                <w:rFonts w:eastAsiaTheme="minorEastAsia"/>
                <w:sz w:val="22"/>
                <w:szCs w:val="22"/>
                <w:lang w:val="fr-FR"/>
              </w:rPr>
            </w:pPr>
            <w:r w:rsidRPr="00314F31">
              <w:rPr>
                <w:rFonts w:eastAsiaTheme="minorEastAsia"/>
                <w:sz w:val="22"/>
                <w:szCs w:val="22"/>
                <w:lang w:val="fr-FR"/>
              </w:rPr>
              <w:t>66 participants des pays suivants: République d'Angola, Bangladesh, Royaume du Cambodge, Comores, République de Djibouti, Éthiopie, République de Gambie, Kiribati, République démocratique populaire du Lao, Royaume du Lesotho, République du Libéria, Mauritanie, Mozambique, République du Népal, République du Rwanda, Sao Tomé</w:t>
            </w:r>
            <w:r w:rsidRPr="00314F31">
              <w:rPr>
                <w:rFonts w:eastAsiaTheme="minorEastAsia"/>
                <w:sz w:val="22"/>
                <w:szCs w:val="22"/>
                <w:lang w:val="fr-FR"/>
              </w:rPr>
              <w:noBreakHyphen/>
              <w:t>et</w:t>
            </w:r>
            <w:r w:rsidRPr="00314F31">
              <w:rPr>
                <w:rFonts w:eastAsiaTheme="minorEastAsia"/>
                <w:sz w:val="22"/>
                <w:szCs w:val="22"/>
                <w:lang w:val="fr-FR"/>
              </w:rPr>
              <w:noBreakHyphen/>
              <w:t>Principe, Somalie, République du Soudan, République démocratique du Timor-Leste, République togolaise, Tuvalu, Ouganda, Vanuatu, République du Yémen, République de Zambie.</w:t>
            </w:r>
          </w:p>
        </w:tc>
      </w:tr>
      <w:tr w:rsidR="00F241C3" w:rsidRPr="00314F31" w14:paraId="167C2227" w14:textId="77777777" w:rsidTr="008C75DC">
        <w:trPr>
          <w:trHeight w:val="998"/>
        </w:trPr>
        <w:tc>
          <w:tcPr>
            <w:tcW w:w="869" w:type="dxa"/>
          </w:tcPr>
          <w:p w14:paraId="34180C8C" w14:textId="77777777" w:rsidR="00F241C3" w:rsidRPr="00314F31" w:rsidRDefault="00F241C3" w:rsidP="008C75DC">
            <w:pPr>
              <w:pStyle w:val="Tabletext"/>
              <w:rPr>
                <w:rFonts w:eastAsiaTheme="minorEastAsia"/>
                <w:b/>
                <w:bCs/>
                <w:sz w:val="22"/>
                <w:szCs w:val="22"/>
                <w:lang w:val="fr-FR"/>
              </w:rPr>
            </w:pPr>
            <w:r w:rsidRPr="00314F31">
              <w:rPr>
                <w:rFonts w:eastAsiaTheme="minorEastAsia"/>
                <w:b/>
                <w:bCs/>
                <w:sz w:val="22"/>
                <w:szCs w:val="22"/>
                <w:lang w:val="fr-FR"/>
              </w:rPr>
              <w:t>PDSL</w:t>
            </w:r>
          </w:p>
        </w:tc>
        <w:tc>
          <w:tcPr>
            <w:tcW w:w="8757" w:type="dxa"/>
          </w:tcPr>
          <w:p w14:paraId="19A628E9" w14:textId="77777777" w:rsidR="00F241C3" w:rsidRPr="00314F31" w:rsidRDefault="00F241C3" w:rsidP="008C75DC">
            <w:pPr>
              <w:pStyle w:val="Tabletext"/>
              <w:rPr>
                <w:rFonts w:eastAsiaTheme="minorEastAsia"/>
                <w:sz w:val="22"/>
                <w:szCs w:val="22"/>
                <w:lang w:val="fr-FR"/>
              </w:rPr>
            </w:pPr>
            <w:r w:rsidRPr="00314F31">
              <w:rPr>
                <w:rFonts w:eastAsiaTheme="minorEastAsia"/>
                <w:sz w:val="22"/>
                <w:szCs w:val="22"/>
                <w:lang w:val="fr-FR"/>
              </w:rPr>
              <w:t>105 participants des pays suivants: Arménie, République d'Azerbaïdjan, Royaume du Bhoutan, État plurinational de Bolivie, Eswatini, Éthiopie, République du Kazakhstan, République kirghize, République démocratique populaire du Lao, Lesotho, République de Moldova, Mongolie, République du Népal, Ouganda, Ouzbékistan, Paraguay, République du Rwanda, République du Tadjikistan, Zambie et République du Zimbabwe.</w:t>
            </w:r>
          </w:p>
        </w:tc>
      </w:tr>
      <w:tr w:rsidR="00F241C3" w:rsidRPr="00314F31" w14:paraId="75229775" w14:textId="77777777" w:rsidTr="008C75DC">
        <w:tc>
          <w:tcPr>
            <w:tcW w:w="869" w:type="dxa"/>
          </w:tcPr>
          <w:p w14:paraId="3336EBCA" w14:textId="77777777" w:rsidR="00F241C3" w:rsidRPr="00314F31" w:rsidRDefault="00F241C3" w:rsidP="008C75DC">
            <w:pPr>
              <w:pStyle w:val="Tabletext"/>
              <w:rPr>
                <w:rFonts w:eastAsiaTheme="minorEastAsia"/>
                <w:b/>
                <w:bCs/>
                <w:sz w:val="22"/>
                <w:szCs w:val="22"/>
                <w:lang w:val="fr-FR"/>
              </w:rPr>
            </w:pPr>
            <w:r w:rsidRPr="00314F31">
              <w:rPr>
                <w:rFonts w:eastAsiaTheme="minorEastAsia"/>
                <w:b/>
                <w:bCs/>
                <w:sz w:val="22"/>
                <w:szCs w:val="22"/>
                <w:lang w:val="fr-FR"/>
              </w:rPr>
              <w:t>PEID</w:t>
            </w:r>
          </w:p>
        </w:tc>
        <w:tc>
          <w:tcPr>
            <w:tcW w:w="8757" w:type="dxa"/>
          </w:tcPr>
          <w:p w14:paraId="5D007202" w14:textId="77777777" w:rsidR="00F241C3" w:rsidRPr="00314F31" w:rsidRDefault="00F241C3" w:rsidP="008C75DC">
            <w:pPr>
              <w:pStyle w:val="Tabletext"/>
              <w:rPr>
                <w:rFonts w:eastAsiaTheme="minorEastAsia"/>
                <w:sz w:val="22"/>
                <w:szCs w:val="22"/>
                <w:lang w:val="fr-FR"/>
              </w:rPr>
            </w:pPr>
            <w:r w:rsidRPr="00314F31">
              <w:rPr>
                <w:rFonts w:eastAsiaTheme="minorEastAsia"/>
                <w:sz w:val="22"/>
                <w:szCs w:val="22"/>
                <w:lang w:val="fr-FR"/>
              </w:rPr>
              <w:t>100 participants des pays suivants: Antigua-et-Barbuda, Commonwealth des Bahamas, Belize, République de Cabo Verde, Comores, Cuba, République dominicaine, Fidji, Grenade, Guyana, Jamaïque, Kiribati, Maldives, États fédérés de Micronésie, République de Nauru, République des Palaos, Papouasie-Nouvelle-Guinée, Fédération de Saint-Kitts-et-Nevis, État indépendant du Samoa, Sao Tomé-et-Principe, République du Suriname, Timor-Leste, Tonga, Trinité</w:t>
            </w:r>
            <w:r w:rsidRPr="00314F31">
              <w:rPr>
                <w:rFonts w:eastAsiaTheme="minorEastAsia"/>
                <w:sz w:val="22"/>
                <w:szCs w:val="22"/>
                <w:lang w:val="fr-FR"/>
              </w:rPr>
              <w:noBreakHyphen/>
              <w:t>et</w:t>
            </w:r>
            <w:r w:rsidRPr="00314F31">
              <w:rPr>
                <w:rFonts w:eastAsiaTheme="minorEastAsia"/>
                <w:sz w:val="22"/>
                <w:szCs w:val="22"/>
                <w:lang w:val="fr-FR"/>
              </w:rPr>
              <w:noBreakHyphen/>
              <w:t>Tobago, Tuvalu et Vanuatu.</w:t>
            </w:r>
          </w:p>
        </w:tc>
      </w:tr>
    </w:tbl>
    <w:p w14:paraId="4B195073" w14:textId="77777777" w:rsidR="00F241C3" w:rsidRPr="00314F31" w:rsidRDefault="00F241C3" w:rsidP="00F241C3">
      <w:pPr>
        <w:rPr>
          <w:rFonts w:eastAsia="SimSun" w:cstheme="minorHAnsi"/>
          <w:lang w:val="fr-FR"/>
        </w:rPr>
      </w:pPr>
      <w:hyperlink r:id="rId22" w:anchor="/fr" w:history="1">
        <w:r w:rsidRPr="00314F31">
          <w:rPr>
            <w:rStyle w:val="Hyperlink"/>
            <w:rFonts w:eastAsia="SimSun" w:cstheme="minorBidi"/>
            <w:b/>
            <w:bCs/>
            <w:lang w:val="fr-FR"/>
          </w:rPr>
          <w:t>Alliance de l'innovation et de l'entrepreneuriat au service du développement du numérique</w:t>
        </w:r>
      </w:hyperlink>
      <w:r w:rsidRPr="00314F31">
        <w:rPr>
          <w:rFonts w:eastAsia="SimSun"/>
          <w:lang w:val="fr-FR"/>
        </w:rPr>
        <w:t>: lancée en janvier 2023 dans le but de développer des catalyseurs locaux et de combler les écarts en matière d'innovation numérique, cette alliance est active dans la région Afrique, dans la région Amériques (par exemple en République dominicaine au titre des PEID) et dans la région Asie</w:t>
      </w:r>
      <w:r w:rsidRPr="00314F31">
        <w:rPr>
          <w:rFonts w:eastAsia="SimSun"/>
          <w:lang w:val="fr-FR"/>
        </w:rPr>
        <w:noBreakHyphen/>
        <w:t>Pacifique, entre autres.</w:t>
      </w:r>
    </w:p>
    <w:p w14:paraId="253029D0" w14:textId="499C0AAD" w:rsidR="00F241C3" w:rsidRPr="00314F31" w:rsidRDefault="00F241C3" w:rsidP="00F241C3">
      <w:pPr>
        <w:rPr>
          <w:lang w:val="fr-FR"/>
        </w:rPr>
      </w:pPr>
      <w:r w:rsidRPr="00314F31">
        <w:rPr>
          <w:rFonts w:cstheme="minorBidi"/>
          <w:b/>
          <w:bCs/>
          <w:lang w:val="fr-FR"/>
        </w:rPr>
        <w:lastRenderedPageBreak/>
        <w:t>GovS</w:t>
      </w:r>
      <w:bookmarkStart w:id="7" w:name="_Hlt210921123"/>
      <w:bookmarkStart w:id="8" w:name="_Hlt210921124"/>
      <w:r w:rsidRPr="00314F31">
        <w:rPr>
          <w:b/>
          <w:bCs/>
          <w:lang w:val="fr-FR"/>
        </w:rPr>
        <w:t>t</w:t>
      </w:r>
      <w:bookmarkEnd w:id="7"/>
      <w:bookmarkEnd w:id="8"/>
      <w:r w:rsidRPr="00314F31">
        <w:rPr>
          <w:b/>
          <w:bCs/>
          <w:lang w:val="fr-FR"/>
        </w:rPr>
        <w:t>ack</w:t>
      </w:r>
      <w:r w:rsidRPr="00314F31">
        <w:rPr>
          <w:lang w:val="fr-FR"/>
        </w:rPr>
        <w:t>: il s'agit d'une initiative multilatérale visant à accélérer la transformation numérique des services publics grâce à l'utilisation de composantes numériques réutilisables et interopérables appelées "modules". L'environnement modulaire ainsi construit permet aux administrations publiques de concevoir, mettre en œuvre et déployer des services numériques de manière plus efficace et économique. En standardisant les fonctionnalités centrales, par exemple la gestion d'identité, les paiements et la messagerie, GovStack permet aux pays d'éviter les doubles emplois et de privilégier la fourniture de services centrés sur l'utilisateur qui soient adaptables aux contextes locaux. En 2023 a été lancée l'initiative pour la Corne de l'Afrique, qui a bénéficié d'un financement de 1,24 million d'euros de l'agence GIZ (Allemagne). Le projet collaboratif "Le numérique au service du développement" (D4D), portant sur les thèmes de l'administration publique en ligne et de la cybersécurité et cofinancé par l'UE, s'inscrit dans le cadre du pilier 1 "Infrastructure", en particulier dans le domaine d'action "stratégie et services pour l'administration publique en ligne".</w:t>
      </w:r>
      <w:r w:rsidRPr="00314F31">
        <w:rPr>
          <w:rFonts w:eastAsia="SimSun"/>
          <w:lang w:val="fr-FR"/>
        </w:rPr>
        <w:t xml:space="preserve"> </w:t>
      </w:r>
      <w:r w:rsidRPr="00314F31">
        <w:rPr>
          <w:lang w:val="fr-FR"/>
        </w:rPr>
        <w:t>En 2025, la Banque mondiale et l'UIT ont cofinancé les projets GovStack en Gambie, en République de Guinée-Bissau, en République de Guinée et en République du Sénégal, l'UIT apportant un appui technique et assurant la coordination de la mise en œuvre sur le terrain. En tirant parti des principes, des spécifications et des ressources de GovStack, le projet vise à accélérer la transformation numérique de l'administration publique dans ces pays, garantissant ainsi une efficacité et une accessibilité accrues dans la prestation des services publics.</w:t>
      </w:r>
    </w:p>
    <w:p w14:paraId="43C0E8D4" w14:textId="77777777" w:rsidR="00F241C3" w:rsidRPr="00314F31" w:rsidRDefault="00F241C3" w:rsidP="00F241C3">
      <w:pPr>
        <w:rPr>
          <w:rFonts w:ascii="Calibri" w:eastAsia="Calibri" w:hAnsi="Calibri" w:cs="Calibri"/>
          <w:lang w:val="fr-FR"/>
        </w:rPr>
      </w:pPr>
      <w:hyperlink r:id="rId23">
        <w:r w:rsidRPr="00314F31">
          <w:rPr>
            <w:rStyle w:val="Hyperlink"/>
            <w:rFonts w:ascii="Calibri" w:hAnsi="Calibri" w:cs="Calibri"/>
            <w:b/>
            <w:lang w:val="fr-FR"/>
          </w:rPr>
          <w:t>Villages intelligents</w:t>
        </w:r>
        <w:r w:rsidRPr="00314F31">
          <w:rPr>
            <w:rStyle w:val="Hyperlink"/>
            <w:rFonts w:ascii="Calibri" w:hAnsi="Calibri" w:cs="Calibri"/>
            <w:b/>
            <w:lang w:val="fr-FR"/>
          </w:rPr>
          <w:t xml:space="preserve"> </w:t>
        </w:r>
        <w:r w:rsidRPr="00314F31">
          <w:rPr>
            <w:rStyle w:val="Hyperlink"/>
            <w:rFonts w:ascii="Calibri" w:hAnsi="Calibri" w:cs="Calibri"/>
            <w:b/>
            <w:lang w:val="fr-FR"/>
          </w:rPr>
          <w:t>et îles intelligentes</w:t>
        </w:r>
      </w:hyperlink>
      <w:r w:rsidRPr="00314F31">
        <w:rPr>
          <w:rFonts w:ascii="Calibri" w:hAnsi="Calibri" w:cs="Calibri"/>
          <w:b/>
          <w:lang w:val="fr-FR"/>
        </w:rPr>
        <w:t>:</w:t>
      </w:r>
      <w:r w:rsidRPr="00314F31">
        <w:rPr>
          <w:rFonts w:ascii="Calibri" w:hAnsi="Calibri" w:cs="Calibri"/>
          <w:lang w:val="fr-FR"/>
        </w:rPr>
        <w:t xml:space="preserve"> </w:t>
      </w:r>
      <w:r w:rsidRPr="00314F31">
        <w:rPr>
          <w:rFonts w:ascii="Calibri" w:eastAsia="Calibri" w:hAnsi="Calibri" w:cs="Calibri"/>
          <w:lang w:val="fr-FR"/>
        </w:rPr>
        <w:t>dix PEID du Pacifique (Fidji, Kiribati, République des Îles Marshall, Micronésie,</w:t>
      </w:r>
      <w:r w:rsidRPr="00314F31">
        <w:rPr>
          <w:rFonts w:eastAsia="Calibri"/>
          <w:lang w:val="fr-FR"/>
        </w:rPr>
        <w:t xml:space="preserve"> </w:t>
      </w:r>
      <w:r w:rsidRPr="00314F31">
        <w:rPr>
          <w:rFonts w:ascii="Calibri" w:eastAsia="Calibri" w:hAnsi="Calibri" w:cs="Calibri"/>
          <w:lang w:val="fr-FR"/>
        </w:rPr>
        <w:t>Nauru, Palau, Papouasie-Nouvelle-Guinée, Samoa, Tonga et Vanuatu) ont pu accélérer le déploiement de services numériques dans les communautés rurales et isolées de la région Asie-Pacifique grâce à l'initiative "Villages intelligents et îles intelligentes", aux programmes STREIT de l'Union européenne (UE) et à des projets financés par l'UIT, l'UE, le Département des infrastructures, des transports, du développement régional, des communications et des arts de l'Australie (DITRDCSA), le Ministère des affaires intérieures du Japon (MIC), la Banque asiatique de développement (ADB), le Fonds conjoint pour les ODD et l'entreprise Huawei. Ces programmes et projets, mis en œuvre en collaboration avec les gouvernements nationaux, des institutions des Nations Unies, des établissements universitaires et le secteur privé, ont permis de renforcer les compétences numériques des membres des communautés concernées, de créer des pôles numériques et d'améliorer l'accès des communautés à l'agriculture, aux soins de santé, à l'éducation, au commerce et aux services financiers, entre autres.</w:t>
      </w:r>
    </w:p>
    <w:p w14:paraId="5AB0E5CE" w14:textId="77777777" w:rsidR="00F241C3" w:rsidRPr="00314F31" w:rsidRDefault="00F241C3" w:rsidP="00F241C3">
      <w:pPr>
        <w:rPr>
          <w:rFonts w:eastAsia="Calibri"/>
          <w:lang w:val="fr-FR"/>
        </w:rPr>
      </w:pPr>
      <w:hyperlink r:id="rId24" w:anchor="/fr" w:history="1">
        <w:r w:rsidRPr="00314F31">
          <w:rPr>
            <w:rStyle w:val="Hyperlink"/>
            <w:rFonts w:eastAsia="SimSun" w:cstheme="minorBidi"/>
            <w:b/>
            <w:bCs/>
            <w:lang w:val="fr-FR"/>
          </w:rPr>
          <w:t>Académie</w:t>
        </w:r>
        <w:r w:rsidRPr="00314F31">
          <w:rPr>
            <w:rStyle w:val="Hyperlink"/>
            <w:rFonts w:eastAsia="SimSun" w:cstheme="minorBidi"/>
            <w:b/>
            <w:bCs/>
            <w:lang w:val="fr-FR"/>
          </w:rPr>
          <w:t xml:space="preserve"> </w:t>
        </w:r>
        <w:r w:rsidRPr="00314F31">
          <w:rPr>
            <w:rStyle w:val="Hyperlink"/>
            <w:rFonts w:eastAsia="SimSun" w:cstheme="minorBidi"/>
            <w:b/>
            <w:bCs/>
            <w:lang w:val="fr-FR"/>
          </w:rPr>
          <w:t>de l'UIT</w:t>
        </w:r>
      </w:hyperlink>
      <w:r w:rsidRPr="00314F31">
        <w:rPr>
          <w:rFonts w:eastAsia="SimSun"/>
          <w:lang w:val="fr-FR"/>
        </w:rPr>
        <w:t>:</w:t>
      </w:r>
      <w:r w:rsidRPr="00314F31">
        <w:rPr>
          <w:rFonts w:eastAsia="Calibri"/>
          <w:lang w:val="fr-FR"/>
        </w:rPr>
        <w:t xml:space="preserve"> cette plate-forme est le principal portail vers les activités de formation et de renforcement des capacités proposées par l'UIT. Elle offre aux professionnels et aux décideurs du secteur des TIC un accès à diverses possibilités de renforcement des capacités en utilisant diverses méthodes adaptées à différents modes d'apprentissage, tels que des cours en présentiel et des cours en ligne à suivre en autonomie ou dispensés par un instructeur. Son catalogue très complet couvre un large éventail de sujets présentant un intérêt pour les membres de l'UIT, parmi lesquels l'intelligence artificielle (IA), la cybersécurité, les déchets d'équipements électriques et électroniques, la gestion du spectre, la transformation numérique, les communications par satellite, les télécommunications d'urgence, la gouvernance des données, la mesure des TIC, les politiques et les réglementations, ainsi que le large bande fixe et hertzien. </w:t>
      </w:r>
    </w:p>
    <w:p w14:paraId="4F6CF30A" w14:textId="77777777" w:rsidR="00F241C3" w:rsidRPr="00314F31" w:rsidRDefault="00F241C3" w:rsidP="00F241C3">
      <w:pPr>
        <w:pStyle w:val="enumlev1"/>
        <w:rPr>
          <w:rFonts w:eastAsia="Calibri"/>
          <w:lang w:val="fr-FR"/>
        </w:rPr>
      </w:pPr>
      <w:r w:rsidRPr="00314F31">
        <w:rPr>
          <w:rFonts w:eastAsia="Calibri"/>
          <w:lang w:val="fr-FR"/>
        </w:rPr>
        <w:t>–</w:t>
      </w:r>
      <w:r w:rsidRPr="00314F31">
        <w:rPr>
          <w:rFonts w:eastAsia="Calibri"/>
          <w:lang w:val="fr-FR"/>
        </w:rPr>
        <w:tab/>
        <w:t>Depuis janvier 2023, le portail a enregistré plus de 14 000 inscriptions de participants (dont 38% de femmes) issus des PMA, des PDSL et des PEID, à plus de 300 cours. Près de 4 500 inscrits ont mené leur formation à bien et obtenu un certificat d'achèvement.</w:t>
      </w:r>
    </w:p>
    <w:p w14:paraId="21B4B35B" w14:textId="77777777" w:rsidR="00F241C3" w:rsidRPr="00314F31" w:rsidRDefault="00F241C3" w:rsidP="00314F31">
      <w:pPr>
        <w:pStyle w:val="enumlev1"/>
        <w:keepLines/>
        <w:rPr>
          <w:rFonts w:eastAsia="SimSun" w:cstheme="minorHAnsi"/>
          <w:lang w:val="fr-FR"/>
        </w:rPr>
      </w:pPr>
      <w:r w:rsidRPr="00314F31">
        <w:rPr>
          <w:rFonts w:eastAsia="SimSun" w:cstheme="minorHAnsi"/>
          <w:lang w:val="fr-FR"/>
        </w:rPr>
        <w:lastRenderedPageBreak/>
        <w:t>–</w:t>
      </w:r>
      <w:r w:rsidRPr="00314F31">
        <w:rPr>
          <w:rFonts w:eastAsia="SimSun" w:cstheme="minorHAnsi"/>
          <w:lang w:val="fr-FR"/>
        </w:rPr>
        <w:tab/>
        <w:t>Près de 2 000 de ces inscriptions ont été effectuées dans le cadre du projet "</w:t>
      </w:r>
      <w:hyperlink r:id="rId25" w:anchor="/fr" w:history="1">
        <w:r w:rsidRPr="00314F31">
          <w:rPr>
            <w:rStyle w:val="Hyperlink"/>
            <w:rFonts w:eastAsia="SimSun" w:cstheme="minorHAnsi"/>
            <w:b/>
            <w:bCs/>
            <w:lang w:val="fr-FR"/>
          </w:rPr>
          <w:t>Renforcement des capacités pour la transformation numérique</w:t>
        </w:r>
      </w:hyperlink>
      <w:r w:rsidRPr="00314F31">
        <w:rPr>
          <w:b/>
          <w:bCs/>
          <w:lang w:val="fr-FR"/>
        </w:rPr>
        <w:t xml:space="preserve"> (2023-2027)</w:t>
      </w:r>
      <w:r w:rsidRPr="00314F31">
        <w:rPr>
          <w:lang w:val="fr-FR"/>
        </w:rPr>
        <w:t>"</w:t>
      </w:r>
      <w:r w:rsidRPr="00314F31">
        <w:rPr>
          <w:rFonts w:eastAsia="SimSun" w:cstheme="minorHAnsi"/>
          <w:bCs/>
          <w:lang w:val="fr-FR"/>
        </w:rPr>
        <w:t xml:space="preserve"> financé par l'UE</w:t>
      </w:r>
      <w:r w:rsidRPr="00314F31">
        <w:rPr>
          <w:rFonts w:eastAsia="SimSun" w:cstheme="minorHAnsi"/>
          <w:lang w:val="fr-FR"/>
        </w:rPr>
        <w:t>. D'une durée de quatre ans, le projet vise à former au moins 5 000 professionnels – principalement issus de pays en développement – au </w:t>
      </w:r>
      <w:r w:rsidRPr="00314F31">
        <w:rPr>
          <w:rFonts w:eastAsia="Calibri"/>
          <w:lang w:val="fr-FR"/>
        </w:rPr>
        <w:t>moyen</w:t>
      </w:r>
      <w:r w:rsidRPr="00314F31">
        <w:rPr>
          <w:rFonts w:eastAsia="SimSun" w:cstheme="minorHAnsi"/>
          <w:lang w:val="fr-FR"/>
        </w:rPr>
        <w:t xml:space="preserve"> d'un assortiment de cours en présentiel et en ligne organisés sous l'égide de l'Académie de l'UIT, en collaboration avec les 14 centres de formation de l'Académie de l'UIT et d'autres institutions des Nations Unies. </w:t>
      </w:r>
    </w:p>
    <w:p w14:paraId="2C51730A" w14:textId="77777777" w:rsidR="00F241C3" w:rsidRPr="00314F31" w:rsidRDefault="00F241C3" w:rsidP="00F241C3">
      <w:pPr>
        <w:rPr>
          <w:rFonts w:eastAsia="Calibri"/>
          <w:lang w:val="fr-FR"/>
        </w:rPr>
      </w:pPr>
      <w:hyperlink r:id="rId26" w:anchor="/fr" w:history="1">
        <w:r w:rsidRPr="00314F31">
          <w:rPr>
            <w:rStyle w:val="Hyperlink"/>
            <w:rFonts w:eastAsia="Calibri" w:cstheme="minorBidi"/>
            <w:b/>
            <w:bCs/>
            <w:lang w:val="fr-FR"/>
          </w:rPr>
          <w:t>Initiative sur les Centres de transformation numérique (DTC)</w:t>
        </w:r>
      </w:hyperlink>
      <w:r w:rsidRPr="00314F31">
        <w:rPr>
          <w:rFonts w:eastAsia="Calibri"/>
          <w:lang w:val="fr-FR"/>
        </w:rPr>
        <w:t>: projet initié par le BDT en partenariat avec Cisco, dans le but de fournir un appui aux pays souhaitant renforcer les capacités numériques de leurs citoyens, notamment dans les communautés rurales ou mal desservies. L'initiative fonctionne grâce à un réseau mondial d'organismes nationaux, les centres de transformation numérique (DTC), qui ont pour mission de mettre en place des programmes d'acquisition de compétences numériques dans les pays concernés. Œuvrant à l'échelle nationale, ces centres disposent de l'infrastructure, des capacités et de l'expérience nécessaires pour dispenser des formations de niveau élémentaire et intermédiaire. Il existe aujourd'hui 14 DTC, dont huit sont situés dans des PMA, des PDSL ou des PEID (Rép. dém. du Congo, République dominicaine, Papouasie-Nouvelle-Guinée</w:t>
      </w:r>
      <w:r w:rsidRPr="00314F31">
        <w:rPr>
          <w:rFonts w:eastAsia="Calibri"/>
          <w:szCs w:val="24"/>
          <w:lang w:val="fr-FR"/>
        </w:rPr>
        <w:t>, Rwanda, Sé</w:t>
      </w:r>
      <w:r w:rsidRPr="00314F31">
        <w:rPr>
          <w:rFonts w:eastAsia="Calibri"/>
          <w:lang w:val="fr-FR"/>
        </w:rPr>
        <w:t>négal, Sierra Leone, Ouganda et Zambie). Depuis janvier 2023, plus de 287 000 bénéficiaires (dont 46% de femmes) des PMA, PDSL et PEID ont acquis des compétences numériques élémentaires ou intermédiaires grâce à cette initiative.</w:t>
      </w:r>
    </w:p>
    <w:p w14:paraId="4BB71D53" w14:textId="77777777" w:rsidR="00F241C3" w:rsidRPr="00314F31" w:rsidRDefault="00F241C3" w:rsidP="00F241C3">
      <w:pPr>
        <w:rPr>
          <w:lang w:val="fr-FR"/>
        </w:rPr>
      </w:pPr>
      <w:hyperlink r:id="rId27">
        <w:r w:rsidRPr="00314F31">
          <w:rPr>
            <w:rStyle w:val="Hyperlink"/>
            <w:rFonts w:cstheme="minorBidi"/>
            <w:b/>
            <w:bCs/>
            <w:lang w:val="fr-FR"/>
          </w:rPr>
          <w:t>Télécommunications d'urgence</w:t>
        </w:r>
      </w:hyperlink>
      <w:r w:rsidRPr="00314F31">
        <w:rPr>
          <w:lang w:val="fr-FR"/>
        </w:rPr>
        <w:t>: dans le cadre de l'Initiative "Alertes précoces pour tous (EW4All)", l'UIT dirige la mise en œuvre du pilier 3, axé sur la diffusion et la communication des alertes. Trois projets, financés respectivement par le Danemark, la Suède et le Fonds pour les systèmes d'alerte précoce aux risques climatiques (CREWS), ont apporté un appui ciblé au Bangladesh, aux Comores, à Haïti, à Kiribati, au Libéria, à Madagascar, à Maurice, au Mozambique, au Népal, au Niger, à l'Ouganda, à la Somalie, au Soudan du Sud, aux Îles Salomon, à la Tanzanie, et aux Tonga afin d'accroître leur résilience face aux catastrophes et leurs capacités en matière d'alerte avancée. En outre, une contribution volontaire du Ministère japonais des Affaires intérieures et des Communications (phases 1 à 3 de l'initiative "Connect2Recover") a permis d'apporter également une aide technique aux pays suivants: Botswana, Cabo Verde, Comores, Djibouti, Gambie, Guinée-Bissau, Malawi, Mauritanie, Somalie et Zambie. Cette aide concernait notamment l'élaboration de plans</w:t>
      </w:r>
      <w:r w:rsidRPr="00314F31">
        <w:rPr>
          <w:lang w:val="fr-FR"/>
        </w:rPr>
        <w:noBreakHyphen/>
        <w:t>cadres nationaux pour les télécommunications d'urgence, ainsi que la mise en œuvre de systèmes d'alerte avancée afin de mieux informer des risques et d'accroître le recours aux technologies pour diffuser les alertes en cas de danger. Une assistance technique essentielle a été fournie sous la forme de la réalisation de diagnostics poussés et de l'élaboration de feuilles de route personnalisées, qui incluaient l'intégration d'outils fondés sur l'intelligence artificielle et de cartes de connectivité en cas de catastrophe. L'aide a également consisté à mener des évaluations à l'échelle des pays et à concevoir, déployer et maintenir des canaux de diffusion robustes – en particulier la diffusion cellulaire (CB) et le protocole d'alerte commun (PAC) – et d'autres solutions multicanaux, de manière à disposer de systèmes d'alerte rapides, fiables et pratiques permettant de toucher toutes les communautés et les personnes à risque. Des formations et des ateliers spécialisés ont également permis de renforcer les capacités. Des processus de collaboration avec les gouvernements, les établissements universitaires, la société civile et les communautés garantissent l'élaboration collective de messages d'alerte exploitables et adaptés aux contextes locaux, renforçant ainsi la pertinence et l'efficacité du système, et la confiance des populations.</w:t>
      </w:r>
    </w:p>
    <w:p w14:paraId="4AECD90F" w14:textId="77777777" w:rsidR="00F241C3" w:rsidRPr="00314F31" w:rsidRDefault="00F241C3" w:rsidP="00F241C3">
      <w:pPr>
        <w:rPr>
          <w:lang w:val="fr-FR"/>
        </w:rPr>
      </w:pPr>
      <w:hyperlink r:id="rId28">
        <w:r w:rsidRPr="00314F31">
          <w:rPr>
            <w:rStyle w:val="Hyperlink"/>
            <w:rFonts w:cstheme="minorHAnsi"/>
            <w:b/>
            <w:bCs/>
            <w:lang w:val="fr-FR"/>
          </w:rPr>
          <w:t>Inclusion numérique</w:t>
        </w:r>
      </w:hyperlink>
      <w:r w:rsidRPr="00314F31">
        <w:rPr>
          <w:lang w:val="fr-FR"/>
        </w:rPr>
        <w:t xml:space="preserve">: les activités menées par le service Inclusion numérique consistent à apporter un appui aux États Membres de l'UIT et aux communautés se trouvant en situation de vulnérabilité ou présentant des besoins particuliers. En conséquence, une grande partie de la </w:t>
      </w:r>
      <w:r w:rsidRPr="00314F31">
        <w:rPr>
          <w:lang w:val="fr-FR"/>
        </w:rPr>
        <w:lastRenderedPageBreak/>
        <w:t xml:space="preserve">participation du BDT cible naturellement les PMA, les PDSL et les PEID. Les efforts menés ont pour but de progresser vers la réalisation d'une transformation numérique inclusive et équitable; ils se sont traduits par des initiatives ciblées visant à améliorer l'accessibilité des TIC, à développer les compétences numériques et à favoriser la participation inclusive, comme le </w:t>
      </w:r>
      <w:hyperlink r:id="rId29" w:anchor="/fr">
        <w:r w:rsidRPr="00314F31">
          <w:rPr>
            <w:rStyle w:val="Hyperlink"/>
            <w:rFonts w:cstheme="minorHAnsi"/>
            <w:lang w:val="fr-FR"/>
          </w:rPr>
          <w:t>Sommet mondial sur la jeunesse</w:t>
        </w:r>
      </w:hyperlink>
      <w:r w:rsidRPr="00314F31">
        <w:rPr>
          <w:lang w:val="fr-FR"/>
        </w:rPr>
        <w:t xml:space="preserve"> organisé par l'UIT à Cuba en 2025, la </w:t>
      </w:r>
      <w:hyperlink r:id="rId30">
        <w:r w:rsidRPr="00314F31">
          <w:rPr>
            <w:rStyle w:val="Hyperlink"/>
            <w:rFonts w:cstheme="minorHAnsi"/>
            <w:lang w:val="fr-FR"/>
          </w:rPr>
          <w:t>Journée internationale des jeunes filles dans les TIC</w:t>
        </w:r>
      </w:hyperlink>
      <w:r w:rsidRPr="00314F31">
        <w:rPr>
          <w:lang w:val="fr-FR"/>
        </w:rPr>
        <w:t xml:space="preserve"> célébrée au Zimbabwe en 2023 puis en Mauritanie et au </w:t>
      </w:r>
      <w:r w:rsidRPr="00314F31">
        <w:rPr>
          <w:rFonts w:eastAsia="Aptos"/>
          <w:lang w:val="fr-FR"/>
        </w:rPr>
        <w:t>Kirghizistan en 2025. On peut également citer, parmi les initiatives ciblées:</w:t>
      </w:r>
      <w:r w:rsidRPr="00314F31">
        <w:rPr>
          <w:lang w:val="fr-FR"/>
        </w:rPr>
        <w:t xml:space="preserve"> </w:t>
      </w:r>
    </w:p>
    <w:p w14:paraId="7B500177" w14:textId="77777777" w:rsidR="00F241C3" w:rsidRPr="00314F31" w:rsidRDefault="00F241C3" w:rsidP="00F241C3">
      <w:pPr>
        <w:pStyle w:val="enumlev1"/>
        <w:rPr>
          <w:rFonts w:eastAsia="Aptos" w:cstheme="minorHAnsi"/>
          <w:lang w:val="fr-FR"/>
        </w:rPr>
      </w:pPr>
      <w:r w:rsidRPr="00314F31">
        <w:rPr>
          <w:rFonts w:eastAsia="Calibri"/>
          <w:lang w:val="fr-FR"/>
        </w:rPr>
        <w:t>–</w:t>
      </w:r>
      <w:r w:rsidRPr="00314F31">
        <w:rPr>
          <w:rFonts w:eastAsia="Calibri"/>
          <w:lang w:val="fr-FR"/>
        </w:rPr>
        <w:tab/>
        <w:t>Des compétences spécialisées ont été fournies pour</w:t>
      </w:r>
      <w:r w:rsidRPr="00314F31">
        <w:rPr>
          <w:rFonts w:cstheme="minorHAnsi"/>
          <w:lang w:val="fr-FR"/>
        </w:rPr>
        <w:t xml:space="preserve"> appuyer l'élaboration de plans </w:t>
      </w:r>
      <w:r w:rsidRPr="00314F31">
        <w:rPr>
          <w:rFonts w:eastAsia="Calibri"/>
          <w:lang w:val="fr-FR"/>
        </w:rPr>
        <w:t>stratégiques</w:t>
      </w:r>
      <w:r w:rsidRPr="00314F31">
        <w:rPr>
          <w:rFonts w:cstheme="minorHAnsi"/>
          <w:lang w:val="fr-FR"/>
        </w:rPr>
        <w:t xml:space="preserve"> nationaux pour l'inclusion numérique. Ces plans sont conçus d'un point de vue holistique et intersectionnel, afin d'assurer la prise en compte des besoins et des exigences de l'ensemble des citoyens dans l'utilisation de la technologie, la communication et la participation à la société numérique.</w:t>
      </w:r>
      <w:r w:rsidRPr="00314F31">
        <w:rPr>
          <w:rFonts w:eastAsia="Aptos" w:cstheme="minorHAnsi"/>
          <w:szCs w:val="24"/>
          <w:lang w:val="fr-FR"/>
        </w:rPr>
        <w:t xml:space="preserve"> La République du Burundi, l'Éthiopie, Haïti, la République dominicaine et l'État de la Lybie ont ainsi reçu une assistance, le Burundi ayant bénéficié d'un appui particulier pour élaborer son plan stratégique national.</w:t>
      </w:r>
    </w:p>
    <w:p w14:paraId="47553D72" w14:textId="77777777" w:rsidR="00F241C3" w:rsidRPr="00314F31" w:rsidRDefault="00F241C3" w:rsidP="00F241C3">
      <w:pPr>
        <w:pStyle w:val="enumlev1"/>
        <w:keepLines/>
        <w:rPr>
          <w:rFonts w:eastAsia="Aptos" w:cstheme="minorBidi"/>
          <w:lang w:val="fr-FR"/>
        </w:rPr>
      </w:pPr>
      <w:r w:rsidRPr="00314F31">
        <w:rPr>
          <w:lang w:val="fr-FR"/>
        </w:rPr>
        <w:t>–</w:t>
      </w:r>
      <w:r w:rsidRPr="00314F31">
        <w:rPr>
          <w:lang w:val="fr-FR"/>
        </w:rPr>
        <w:tab/>
      </w:r>
      <w:hyperlink r:id="rId31">
        <w:r w:rsidRPr="00314F31">
          <w:rPr>
            <w:rStyle w:val="Hyperlink"/>
            <w:rFonts w:eastAsia="Aptos" w:cstheme="minorBidi"/>
            <w:b/>
            <w:bCs/>
            <w:lang w:val="fr-FR"/>
          </w:rPr>
          <w:t>Accélération des compétences dans le domaine de l'IA pour les jeunes filles</w:t>
        </w:r>
      </w:hyperlink>
      <w:r w:rsidRPr="00314F31">
        <w:rPr>
          <w:lang w:val="fr-FR"/>
        </w:rPr>
        <w:t>:</w:t>
      </w:r>
      <w:r w:rsidRPr="00314F31">
        <w:rPr>
          <w:rFonts w:eastAsia="Aptos" w:cstheme="minorBidi"/>
          <w:lang w:val="fr-FR"/>
        </w:rPr>
        <w:t xml:space="preserve"> </w:t>
      </w:r>
      <w:r w:rsidRPr="00314F31">
        <w:rPr>
          <w:rFonts w:ascii="Calibri" w:eastAsia="Calibri" w:hAnsi="Calibri" w:cs="Calibri"/>
          <w:lang w:val="fr-FR"/>
        </w:rPr>
        <w:t>cette initiative de portée mondiale, menée par Le Bureau de développement des télécommunications de l'UIT et l'organisation internationale EY, aide les filles et les jeunes femmes à acquérir des compétences fondamentales dans le domaine de l'intelligence artificielle et des technologies émergentes. À ce jour, plus de 820 participantes ont bénéficié de formations dans le cadre du programme, notamment au</w:t>
      </w:r>
      <w:r w:rsidRPr="00314F31">
        <w:rPr>
          <w:rFonts w:eastAsia="Aptos" w:cstheme="minorBidi"/>
          <w:lang w:val="fr-FR"/>
        </w:rPr>
        <w:t xml:space="preserve"> Paraguay, au Kazakhstan et en Ouzbékistan.</w:t>
      </w:r>
    </w:p>
    <w:p w14:paraId="2C232B23" w14:textId="77777777" w:rsidR="00F241C3" w:rsidRPr="00314F31" w:rsidRDefault="00F241C3" w:rsidP="00F241C3">
      <w:pPr>
        <w:rPr>
          <w:lang w:val="fr-FR"/>
        </w:rPr>
      </w:pPr>
      <w:hyperlink r:id="rId32">
        <w:r w:rsidRPr="00314F31">
          <w:rPr>
            <w:rStyle w:val="Hyperlink"/>
            <w:rFonts w:cstheme="minorBidi"/>
            <w:b/>
            <w:bCs/>
            <w:lang w:val="fr-FR"/>
          </w:rPr>
          <w:t>Programme pour la jeunesse</w:t>
        </w:r>
      </w:hyperlink>
      <w:r w:rsidRPr="00314F31">
        <w:rPr>
          <w:lang w:val="fr-FR"/>
        </w:rPr>
        <w:t>: la croissance de la population jeune dans la région Afrique et le passage du continent vers l'économie numérique représentent une occasion unique de dynamiser les économies africaines tout en apportant des solutions aux taux élevés de chômage et de précarité au travail chez les jeunes. Le programme, intitulé "Stimuler la création d'emplois décents et à renforcer les compétences numériques en faveur des jeunes dans l'économie numérique africaine", propose de tirer parti de la croissance des marchés du numérique dans six pays africains, parmi lesquels la République de Côte d'Ivoire et le Rwanda</w:t>
      </w:r>
      <w:r w:rsidRPr="00314F31">
        <w:rPr>
          <w:rFonts w:eastAsia="SimSun"/>
          <w:szCs w:val="24"/>
          <w:lang w:val="fr-FR"/>
        </w:rPr>
        <w:t>,</w:t>
      </w:r>
      <w:r w:rsidRPr="00314F31">
        <w:rPr>
          <w:lang w:val="fr-FR"/>
        </w:rPr>
        <w:t xml:space="preserve"> afin de créer des emplois décents destinés aux jeunes. Ce plan mis en œuvre conjointement par l'UIT et l'OIT vise à donner aux jeunes africains la possibilité d'accéder à des emplois décents dans l'économie numérique au moyen d'une approche holistique de niveau système conçue, d'une part, pour stimuler la création d'emplois et les possibilités d'entrepreneuriat dans l'économie numérique, et d'autre part pour promouvoir le respect des droits des jeunes au travail, investir dans les capacités et les compétences numériques des jeunes et améliorer le mécanisme d'intermédiation du marché du travail des services d'aide à l'emploi.</w:t>
      </w:r>
    </w:p>
    <w:p w14:paraId="70BAAF34" w14:textId="51770350" w:rsidR="00314F31" w:rsidRPr="00314F31" w:rsidRDefault="00F241C3" w:rsidP="00314F31">
      <w:pPr>
        <w:rPr>
          <w:rFonts w:ascii="Calibri" w:eastAsia="Calibri" w:hAnsi="Calibri" w:cs="Calibri"/>
          <w:lang w:val="fr-FR"/>
        </w:rPr>
      </w:pPr>
      <w:r w:rsidRPr="00314F31">
        <w:rPr>
          <w:rFonts w:eastAsia="Aptos"/>
          <w:lang w:val="fr-FR"/>
        </w:rPr>
        <w:t xml:space="preserve">L'Initiative Generation Connect du BDT a également fait considérablement progresser la participation des jeunes en leur donnant la possibilité de contribuer activement au programme de développement numérique de l'Union. En partenariat avec les États Membres, l'UIT a nommé 184 </w:t>
      </w:r>
      <w:hyperlink r:id="rId33">
        <w:r w:rsidRPr="00314F31">
          <w:rPr>
            <w:rStyle w:val="Hyperlink"/>
            <w:rFonts w:eastAsia="Aptos" w:cstheme="minorBidi"/>
            <w:b/>
            <w:bCs/>
            <w:lang w:val="fr-FR"/>
          </w:rPr>
          <w:t>représentants des groupes pour la jeunesse Generation Connect</w:t>
        </w:r>
      </w:hyperlink>
      <w:r w:rsidRPr="00314F31">
        <w:rPr>
          <w:rFonts w:eastAsia="Aptos"/>
          <w:lang w:val="fr-FR"/>
        </w:rPr>
        <w:t xml:space="preserve"> choisis dans 64 pays (52% des jeunes sélectionnés sont originaires de PMA, de PDSL et de PEID). Par ailleurs, en </w:t>
      </w:r>
      <w:r w:rsidRPr="00314F31">
        <w:rPr>
          <w:lang w:val="fr-FR"/>
        </w:rPr>
        <w:t xml:space="preserve">collaboration avec Huawei, </w:t>
      </w:r>
      <w:r w:rsidRPr="00314F31">
        <w:rPr>
          <w:rFonts w:ascii="Calibri" w:eastAsia="Calibri" w:hAnsi="Calibri" w:cs="Calibri"/>
          <w:lang w:val="fr-FR"/>
        </w:rPr>
        <w:t>deux cohortes mondiales, constituées au total de 60 jeunes innovateurs et innovatrices de 40 pays</w:t>
      </w:r>
      <w:r w:rsidRPr="00314F31">
        <w:rPr>
          <w:lang w:val="fr-FR"/>
        </w:rPr>
        <w:t xml:space="preserve"> </w:t>
      </w:r>
      <w:r w:rsidRPr="00314F31">
        <w:rPr>
          <w:rFonts w:eastAsia="Aptos"/>
          <w:lang w:val="fr-FR"/>
        </w:rPr>
        <w:t xml:space="preserve">ont été sélectionnées parmi plus de 10 000 candidats pour recevoir une bourse dans le cadre du </w:t>
      </w:r>
      <w:hyperlink r:id="rId34">
        <w:r w:rsidRPr="00314F31">
          <w:rPr>
            <w:rStyle w:val="Hyperlink"/>
            <w:rFonts w:eastAsia="Aptos" w:cstheme="minorBidi"/>
            <w:b/>
            <w:bCs/>
            <w:lang w:val="fr-FR"/>
          </w:rPr>
          <w:t>programme de jeunes dirigeants de l'Initiative Generation Connect</w:t>
        </w:r>
      </w:hyperlink>
      <w:r w:rsidRPr="00314F31">
        <w:rPr>
          <w:rFonts w:eastAsia="Aptos"/>
          <w:lang w:val="fr-FR"/>
        </w:rPr>
        <w:t xml:space="preserve">. </w:t>
      </w:r>
      <w:r w:rsidRPr="00314F31">
        <w:rPr>
          <w:rFonts w:ascii="Calibri" w:eastAsia="Calibri" w:hAnsi="Calibri" w:cs="Calibri"/>
          <w:lang w:val="fr-FR"/>
        </w:rPr>
        <w:t xml:space="preserve">Chaque boursier a reçu une subvention de 5 000 USD pour mettre en œuvre des projets </w:t>
      </w:r>
      <w:r w:rsidR="00314F31" w:rsidRPr="00314F31">
        <w:rPr>
          <w:rFonts w:ascii="Calibri" w:eastAsia="Calibri" w:hAnsi="Calibri" w:cs="Calibri"/>
          <w:lang w:val="fr-FR"/>
        </w:rPr>
        <w:br w:type="page"/>
      </w:r>
    </w:p>
    <w:p w14:paraId="5C3AA6B2" w14:textId="4A7E777C" w:rsidR="00F241C3" w:rsidRPr="00314F31" w:rsidRDefault="00F241C3" w:rsidP="00F241C3">
      <w:pPr>
        <w:rPr>
          <w:rFonts w:eastAsia="Aptos"/>
          <w:lang w:val="fr-FR"/>
        </w:rPr>
      </w:pPr>
      <w:r w:rsidRPr="00314F31">
        <w:rPr>
          <w:rFonts w:ascii="Calibri" w:eastAsia="Calibri" w:hAnsi="Calibri" w:cs="Calibri"/>
          <w:lang w:val="fr-FR"/>
        </w:rPr>
        <w:lastRenderedPageBreak/>
        <w:t>numériques dans sa communauté et continue de bénéficier de séances et d'exercices mensuels virtuels de mentorat et d'établissement de rapports.</w:t>
      </w:r>
      <w:r w:rsidRPr="00314F31">
        <w:rPr>
          <w:rFonts w:eastAsia="Aptos"/>
          <w:lang w:val="fr-FR"/>
        </w:rPr>
        <w:t xml:space="preserve"> Il est à noter que parmi les jeunes sélectionnés, 43% proviennent des PMA, des PDSL et des PEID.</w:t>
      </w:r>
    </w:p>
    <w:p w14:paraId="5119D15B" w14:textId="77777777" w:rsidR="00F241C3" w:rsidRPr="00314F31" w:rsidRDefault="00F241C3" w:rsidP="00F241C3">
      <w:pPr>
        <w:pStyle w:val="Heading1"/>
        <w:rPr>
          <w:rFonts w:eastAsiaTheme="minorEastAsia"/>
          <w:lang w:val="fr-FR" w:eastAsia="en-GB"/>
        </w:rPr>
      </w:pPr>
      <w:r w:rsidRPr="00314F31">
        <w:rPr>
          <w:rFonts w:eastAsiaTheme="minorEastAsia"/>
          <w:lang w:val="fr-FR" w:eastAsia="en-GB"/>
        </w:rPr>
        <w:t>6</w:t>
      </w:r>
      <w:r w:rsidRPr="00314F31">
        <w:rPr>
          <w:rFonts w:eastAsiaTheme="minorEastAsia"/>
          <w:lang w:val="fr-FR" w:eastAsia="en-GB"/>
        </w:rPr>
        <w:tab/>
        <w:t>Bourses</w:t>
      </w:r>
    </w:p>
    <w:p w14:paraId="66816FF7" w14:textId="77777777" w:rsidR="00F241C3" w:rsidRPr="00314F31" w:rsidRDefault="00F241C3" w:rsidP="00F241C3">
      <w:pPr>
        <w:tabs>
          <w:tab w:val="clear" w:pos="1134"/>
          <w:tab w:val="clear" w:pos="1871"/>
          <w:tab w:val="clear" w:pos="2268"/>
        </w:tabs>
        <w:spacing w:after="120"/>
        <w:rPr>
          <w:rFonts w:eastAsia="SimSun" w:cstheme="minorHAnsi"/>
          <w:lang w:val="fr-FR"/>
        </w:rPr>
      </w:pPr>
      <w:r w:rsidRPr="00314F31">
        <w:rPr>
          <w:rFonts w:eastAsia="SimSun" w:cstheme="minorHAnsi"/>
          <w:lang w:val="fr-FR"/>
        </w:rPr>
        <w:t>Entre 2023 et la première moitié de 2025, 2 081 bourses ont été accordées à des représentants des PMA, des PDSL et des PEID. Elles ont été financées à la fois par des fonds extrabudgétaires et par le budget ordinaire, et ont représenté plus de 80% du nombre total de bourses allouées pendant la période considérée.</w:t>
      </w:r>
    </w:p>
    <w:p w14:paraId="0EB143C1" w14:textId="77777777" w:rsidR="00F241C3" w:rsidRPr="00314F31" w:rsidRDefault="00F241C3" w:rsidP="00F241C3">
      <w:pPr>
        <w:pStyle w:val="Heading1"/>
        <w:rPr>
          <w:rFonts w:eastAsia="SimSun" w:cstheme="minorHAnsi"/>
          <w:lang w:val="fr-FR"/>
        </w:rPr>
      </w:pPr>
      <w:r w:rsidRPr="00314F31">
        <w:rPr>
          <w:rFonts w:eastAsiaTheme="minorEastAsia"/>
          <w:lang w:val="fr-FR" w:eastAsia="en-GB"/>
        </w:rPr>
        <w:t>7</w:t>
      </w:r>
      <w:r w:rsidRPr="00314F31">
        <w:rPr>
          <w:rFonts w:eastAsiaTheme="minorEastAsia"/>
          <w:lang w:val="fr-FR" w:eastAsia="en-GB"/>
        </w:rPr>
        <w:tab/>
        <w:t>Contribution de l'UIT aux conférences organisées à l'échelle des Nations Unies</w:t>
      </w:r>
    </w:p>
    <w:p w14:paraId="4181019B" w14:textId="77777777" w:rsidR="00F241C3" w:rsidRPr="00314F31" w:rsidRDefault="00F241C3" w:rsidP="00F241C3">
      <w:pPr>
        <w:overflowPunct/>
        <w:autoSpaceDE/>
        <w:adjustRightInd/>
        <w:spacing w:after="120"/>
        <w:rPr>
          <w:rFonts w:eastAsiaTheme="minorEastAsia" w:cstheme="minorBidi"/>
          <w:lang w:val="fr-FR" w:eastAsia="en-GB"/>
        </w:rPr>
      </w:pPr>
      <w:r w:rsidRPr="00314F31">
        <w:rPr>
          <w:rFonts w:eastAsiaTheme="minorEastAsia" w:cstheme="minorBidi"/>
          <w:lang w:val="fr-FR" w:eastAsia="en-GB"/>
        </w:rPr>
        <w:t>L'UIT a participé activement à plusieurs conférences mondiales visant à traiter les difficultés particulières auxquelles font face les PMA, les PDSL et les PEID et à agir en faveur de l'inclusion d'une connectivité universelle et efficace et de la transformation numérique dans les programmes de développement de ces pays:</w:t>
      </w:r>
    </w:p>
    <w:p w14:paraId="0D275D85" w14:textId="77777777" w:rsidR="00F241C3" w:rsidRPr="00314F31" w:rsidRDefault="00F241C3" w:rsidP="00F241C3">
      <w:pPr>
        <w:pStyle w:val="Heading2"/>
        <w:rPr>
          <w:rFonts w:cstheme="minorBidi"/>
          <w:bCs/>
          <w:lang w:val="fr-FR"/>
        </w:rPr>
      </w:pPr>
      <w:r w:rsidRPr="00314F31">
        <w:rPr>
          <w:lang w:val="fr-FR"/>
        </w:rPr>
        <w:t>i)</w:t>
      </w:r>
      <w:r w:rsidRPr="00314F31">
        <w:rPr>
          <w:lang w:val="fr-FR"/>
        </w:rPr>
        <w:tab/>
        <w:t>Cinquième Conférence des Nations Unies sur les pays les moins avancés (LDC5) et Programme d'action de Doha – (DPoA)</w:t>
      </w:r>
    </w:p>
    <w:p w14:paraId="3A3B725C" w14:textId="6A9EDB9A" w:rsidR="00F241C3" w:rsidRPr="00314F31" w:rsidRDefault="00F241C3" w:rsidP="00F241C3">
      <w:pPr>
        <w:spacing w:after="120"/>
        <w:rPr>
          <w:rFonts w:eastAsia="SimSun" w:cstheme="minorHAnsi"/>
          <w:lang w:val="fr-FR"/>
        </w:rPr>
      </w:pPr>
      <w:r w:rsidRPr="00314F31">
        <w:rPr>
          <w:lang w:val="fr-FR"/>
        </w:rPr>
        <w:t xml:space="preserve">La </w:t>
      </w:r>
      <w:r w:rsidRPr="00314F31">
        <w:rPr>
          <w:rFonts w:eastAsiaTheme="minorEastAsia" w:cstheme="minorHAnsi"/>
          <w:lang w:val="fr-FR"/>
        </w:rPr>
        <w:t xml:space="preserve">Cinquième Conférence des Nations Unies sur les pays les moins avancés </w:t>
      </w:r>
      <w:r w:rsidRPr="00314F31">
        <w:rPr>
          <w:rFonts w:eastAsia="SimSun" w:cstheme="minorHAnsi"/>
          <w:lang w:val="fr-FR"/>
        </w:rPr>
        <w:t>s'est tenue du 5 au 9 mars 2023, à Doha (Qatar). L'UIT a participé au programme principal, organisé des manifestations parallèles et pris part à l'exposition organisée sur le thème "La connectivité au service du développement durable". À cette occasion, l'Union a publié un rapport spécial intitulé</w:t>
      </w:r>
      <w:r w:rsidRPr="00314F31">
        <w:rPr>
          <w:rFonts w:cstheme="minorHAnsi"/>
          <w:lang w:val="fr-FR"/>
        </w:rPr>
        <w:t xml:space="preserve"> </w:t>
      </w:r>
      <w:hyperlink r:id="rId35" w:history="1">
        <w:r w:rsidRPr="00314F31">
          <w:rPr>
            <w:rStyle w:val="Hyperlink"/>
            <w:rFonts w:eastAsia="SimSun" w:cstheme="minorHAnsi"/>
            <w:lang w:val="fr-FR"/>
          </w:rPr>
          <w:t>Faits et chiffres: Le cas des pays les moins avancés</w:t>
        </w:r>
      </w:hyperlink>
      <w:r w:rsidRPr="00314F31">
        <w:rPr>
          <w:lang w:val="fr-FR"/>
        </w:rPr>
        <w:t>.</w:t>
      </w:r>
      <w:r w:rsidRPr="00314F31">
        <w:rPr>
          <w:rFonts w:eastAsia="SimSun" w:cstheme="minorHAnsi"/>
          <w:lang w:val="fr-FR"/>
        </w:rPr>
        <w:t xml:space="preserve"> L'UIT a prononcé une déclaration pendant le débat général et contribué aux tables rondes thématiques. Sa participation s'est également étendue au Forum du secteur privé, à la séance sur la coopération Sud-Sud, au Forum de la jeunesse et aux espaces d'exposition et d'interaction en marge des conférences.</w:t>
      </w:r>
    </w:p>
    <w:p w14:paraId="159F125C" w14:textId="77777777" w:rsidR="00F241C3" w:rsidRPr="00314F31" w:rsidRDefault="00F241C3" w:rsidP="00F241C3">
      <w:pPr>
        <w:spacing w:after="120"/>
        <w:rPr>
          <w:rFonts w:eastAsia="SimSun" w:cstheme="minorHAnsi"/>
          <w:szCs w:val="24"/>
          <w:lang w:val="fr-FR"/>
        </w:rPr>
      </w:pPr>
      <w:r w:rsidRPr="00314F31">
        <w:rPr>
          <w:rFonts w:eastAsia="SimSun" w:cstheme="minorHAnsi"/>
          <w:szCs w:val="24"/>
          <w:lang w:val="fr-FR"/>
        </w:rPr>
        <w:t>Avant la conférence principale, l'UIT a également pris part au processus préparatoire, qui comportait des examens aux niveaux national, régional et mondial de la mise en œuvre du Programme d'action d'Istanbul en faveur des pays les moins avancés (IPoA).</w:t>
      </w:r>
    </w:p>
    <w:p w14:paraId="12900C38" w14:textId="77777777" w:rsidR="00F241C3" w:rsidRPr="00314F31" w:rsidRDefault="00F241C3" w:rsidP="00F241C3">
      <w:pPr>
        <w:spacing w:after="120"/>
        <w:rPr>
          <w:rFonts w:eastAsia="SimSun" w:cstheme="minorHAnsi"/>
          <w:lang w:val="fr-FR"/>
        </w:rPr>
      </w:pPr>
      <w:r w:rsidRPr="00314F31">
        <w:rPr>
          <w:rFonts w:eastAsia="SimSun" w:cstheme="minorHAnsi"/>
          <w:lang w:val="fr-FR"/>
        </w:rPr>
        <w:t xml:space="preserve">L'UIT a contribué à la feuille de route pour la mise en œuvre du </w:t>
      </w:r>
      <w:r w:rsidRPr="00314F31">
        <w:rPr>
          <w:rFonts w:eastAsia="Calibri"/>
          <w:lang w:val="fr-FR"/>
        </w:rPr>
        <w:t>Programme d'action de Doha</w:t>
      </w:r>
      <w:r w:rsidRPr="00314F31">
        <w:rPr>
          <w:rFonts w:eastAsia="SimSun"/>
          <w:lang w:val="fr-FR"/>
        </w:rPr>
        <w:t xml:space="preserve"> </w:t>
      </w:r>
      <w:r w:rsidRPr="00314F31">
        <w:rPr>
          <w:rFonts w:eastAsia="Calibri"/>
          <w:lang w:val="fr-FR"/>
        </w:rPr>
        <w:t>(DPoA)</w:t>
      </w:r>
      <w:r w:rsidRPr="00314F31">
        <w:rPr>
          <w:rFonts w:eastAsia="SimSun" w:cstheme="minorHAnsi"/>
          <w:lang w:val="fr-FR"/>
        </w:rPr>
        <w:t>, en plusieurs endroits duquel il est fait référence au numérique.</w:t>
      </w:r>
    </w:p>
    <w:p w14:paraId="3B318E0C" w14:textId="22C2CB81" w:rsidR="00F241C3" w:rsidRPr="00314F31" w:rsidRDefault="00F241C3" w:rsidP="00F241C3">
      <w:pPr>
        <w:pStyle w:val="Heading2"/>
        <w:rPr>
          <w:rFonts w:eastAsia="SimSun"/>
          <w:lang w:val="fr-FR"/>
        </w:rPr>
      </w:pPr>
      <w:r w:rsidRPr="00314F31">
        <w:rPr>
          <w:lang w:val="fr-FR"/>
        </w:rPr>
        <w:t>ii)</w:t>
      </w:r>
      <w:r w:rsidRPr="00314F31">
        <w:rPr>
          <w:lang w:val="fr-FR"/>
        </w:rPr>
        <w:tab/>
        <w:t>Quatrième Conférence internationale sur les petits États insulaires en développement (SIDS) et Programme d'Antigua-et-Barbuda pour les PEID (</w:t>
      </w:r>
      <w:r w:rsidRPr="00314F31">
        <w:rPr>
          <w:rFonts w:cstheme="minorHAnsi"/>
          <w:szCs w:val="18"/>
          <w:lang w:val="fr-FR"/>
        </w:rPr>
        <w:t>ABAS</w:t>
      </w:r>
      <w:r w:rsidRPr="00314F31">
        <w:rPr>
          <w:lang w:val="fr-FR"/>
        </w:rPr>
        <w:t>)</w:t>
      </w:r>
    </w:p>
    <w:p w14:paraId="772323B2" w14:textId="3D6B5F82" w:rsidR="00F241C3" w:rsidRPr="00314F31" w:rsidRDefault="00F241C3" w:rsidP="00F241C3">
      <w:pPr>
        <w:rPr>
          <w:rFonts w:eastAsia="SimSun"/>
          <w:lang w:val="fr-FR"/>
        </w:rPr>
      </w:pPr>
      <w:r w:rsidRPr="00314F31">
        <w:rPr>
          <w:lang w:val="fr-FR"/>
        </w:rPr>
        <w:t xml:space="preserve">La </w:t>
      </w:r>
      <w:r w:rsidRPr="00314F31">
        <w:rPr>
          <w:rFonts w:eastAsiaTheme="minorEastAsia" w:cstheme="minorHAnsi"/>
          <w:lang w:val="fr-FR"/>
        </w:rPr>
        <w:t>Quatrième conférence internationale sur les petits États insulaires en développement (SIDS4)</w:t>
      </w:r>
      <w:r w:rsidRPr="00314F31">
        <w:rPr>
          <w:rFonts w:eastAsiaTheme="minorEastAsia"/>
          <w:color w:val="000000" w:themeColor="text1"/>
          <w:lang w:val="fr-FR"/>
        </w:rPr>
        <w:t xml:space="preserve"> s'est tenue du </w:t>
      </w:r>
      <w:r w:rsidRPr="00314F31">
        <w:rPr>
          <w:rFonts w:eastAsia="SimSun"/>
          <w:lang w:val="fr-FR"/>
        </w:rPr>
        <w:t>27 au 30 mai 2024 à Antigua-et-Barbuda.</w:t>
      </w:r>
    </w:p>
    <w:p w14:paraId="1A1D4C7E" w14:textId="77777777" w:rsidR="00F241C3" w:rsidRPr="00314F31" w:rsidRDefault="00F241C3" w:rsidP="00F241C3">
      <w:pPr>
        <w:rPr>
          <w:rFonts w:eastAsia="SimSun"/>
          <w:lang w:val="fr-FR"/>
        </w:rPr>
      </w:pPr>
      <w:r w:rsidRPr="00314F31">
        <w:rPr>
          <w:rFonts w:eastAsia="SimSun"/>
          <w:lang w:val="fr-FR"/>
        </w:rPr>
        <w:t>Prenant part au débat général pendant la conférence, la délégation de l'UIT, menée par le Directeur du BDT, a appelé de ses vœux une transformation numérique durable et le développement d'une connectivité efficace en tant qu'impératif politique apte à catalyser la progression vers la réalisation des ODD; l'Union a également plaidé en faveur des technologies numérique et du rôle essentiel que celles-ci peuvent jouer pour résoudre les difficultés rencontrées par les PEID.</w:t>
      </w:r>
    </w:p>
    <w:p w14:paraId="710C35BE" w14:textId="77777777" w:rsidR="00F241C3" w:rsidRPr="00314F31" w:rsidRDefault="00F241C3" w:rsidP="00314F31">
      <w:pPr>
        <w:keepLines/>
        <w:rPr>
          <w:lang w:val="fr-FR"/>
        </w:rPr>
      </w:pPr>
      <w:r w:rsidRPr="00314F31">
        <w:rPr>
          <w:rFonts w:eastAsia="SimSun"/>
          <w:lang w:val="fr-FR"/>
        </w:rPr>
        <w:lastRenderedPageBreak/>
        <w:t xml:space="preserve">Outre sa participation au débat général, l'UIT a coanimé le dialogue interactif organisé sur le thème "Tirer parti des données et des technologies numériques" et participé au dialogue de haut niveau sur la connectivité universelle et efficace et l'initiative P2C. Le BDT a publié une édition spéciale du </w:t>
      </w:r>
      <w:hyperlink r:id="rId36" w:history="1">
        <w:r w:rsidRPr="00314F31">
          <w:rPr>
            <w:rStyle w:val="Hyperlink"/>
            <w:rFonts w:eastAsia="SimSun" w:cstheme="minorHAnsi"/>
            <w:lang w:val="fr-FR"/>
          </w:rPr>
          <w:t>rapport "Faits et chiffres" s'intéressant aux petits États insulaires en développement</w:t>
        </w:r>
      </w:hyperlink>
      <w:r w:rsidRPr="00314F31">
        <w:rPr>
          <w:rFonts w:eastAsia="SimSun"/>
          <w:lang w:val="fr-FR"/>
        </w:rPr>
        <w:t>.</w:t>
      </w:r>
    </w:p>
    <w:p w14:paraId="7C76AE29" w14:textId="3255BF98" w:rsidR="00F241C3" w:rsidRPr="00314F31" w:rsidRDefault="00F241C3" w:rsidP="00F241C3">
      <w:pPr>
        <w:rPr>
          <w:rFonts w:eastAsia="SimSun"/>
          <w:lang w:val="fr-FR"/>
        </w:rPr>
      </w:pPr>
      <w:r w:rsidRPr="00314F31">
        <w:rPr>
          <w:rFonts w:eastAsia="SimSun"/>
          <w:lang w:val="fr-FR"/>
        </w:rPr>
        <w:t xml:space="preserve">L'UIT a échangé avec les entités partenaires stratégiques issues des Nations Unies, les États Membres (en particulier les PEID) et la communauté élargie des parties prenantes afin de réfléchir aux futures synergies en vue de la mise en œuvre du </w:t>
      </w:r>
      <w:r w:rsidRPr="00314F31">
        <w:rPr>
          <w:rFonts w:eastAsia="SimSun" w:cstheme="minorHAnsi"/>
          <w:szCs w:val="24"/>
          <w:lang w:val="fr-FR"/>
        </w:rPr>
        <w:t>Programme d'Antigua-et-Barbuda pour les PEID: une déclaration renouvelée en faveur d'une prospérité résiliente (ABAS)</w:t>
      </w:r>
      <w:r w:rsidRPr="00314F31">
        <w:rPr>
          <w:rFonts w:eastAsia="SimSun"/>
          <w:lang w:val="fr-FR"/>
        </w:rPr>
        <w:t>.</w:t>
      </w:r>
    </w:p>
    <w:p w14:paraId="700449B6" w14:textId="77777777" w:rsidR="00F241C3" w:rsidRPr="00314F31" w:rsidRDefault="00F241C3" w:rsidP="00F241C3">
      <w:pPr>
        <w:pStyle w:val="Heading2"/>
        <w:rPr>
          <w:rFonts w:eastAsia="SimSun"/>
          <w:szCs w:val="22"/>
          <w:lang w:val="fr-FR"/>
        </w:rPr>
      </w:pPr>
      <w:r w:rsidRPr="00314F31">
        <w:rPr>
          <w:rFonts w:eastAsiaTheme="minorEastAsia"/>
          <w:lang w:val="fr-FR"/>
        </w:rPr>
        <w:t>iii)</w:t>
      </w:r>
      <w:r w:rsidRPr="00314F31">
        <w:rPr>
          <w:rFonts w:eastAsiaTheme="minorEastAsia"/>
          <w:lang w:val="fr-FR"/>
        </w:rPr>
        <w:tab/>
        <w:t>Troisième Conférence des Nations Unies sur les pays en développement sans littoral (LLDC3) et Programme d'action d'Awaza pour les PDSL 2024-2034</w:t>
      </w:r>
    </w:p>
    <w:p w14:paraId="6F8CBDD4" w14:textId="51F02D01" w:rsidR="00F241C3" w:rsidRPr="00314F31" w:rsidRDefault="00F241C3" w:rsidP="00F241C3">
      <w:pPr>
        <w:rPr>
          <w:rFonts w:eastAsia="SimSun"/>
          <w:lang w:val="fr-FR"/>
        </w:rPr>
      </w:pPr>
      <w:r w:rsidRPr="00314F31">
        <w:rPr>
          <w:rFonts w:eastAsiaTheme="minorEastAsia"/>
          <w:lang w:val="fr-FR" w:eastAsia="en-GB"/>
        </w:rPr>
        <w:t xml:space="preserve">La </w:t>
      </w:r>
      <w:r w:rsidRPr="00314F31">
        <w:rPr>
          <w:rFonts w:eastAsia="SimSun" w:cstheme="minorHAnsi"/>
          <w:szCs w:val="24"/>
          <w:lang w:val="fr-FR"/>
        </w:rPr>
        <w:t>Troisième Conférence des Nations Unies sur les pays en développement sans littoral</w:t>
      </w:r>
      <w:r w:rsidRPr="00314F31">
        <w:rPr>
          <w:rFonts w:eastAsiaTheme="minorEastAsia" w:cstheme="minorHAnsi"/>
          <w:lang w:val="fr-FR" w:eastAsia="en-GB"/>
        </w:rPr>
        <w:t xml:space="preserve"> (LLDC3)</w:t>
      </w:r>
      <w:r w:rsidRPr="00314F31">
        <w:rPr>
          <w:rFonts w:eastAsiaTheme="minorEastAsia"/>
          <w:lang w:val="fr-FR" w:eastAsia="en-GB"/>
        </w:rPr>
        <w:t xml:space="preserve"> </w:t>
      </w:r>
      <w:r w:rsidRPr="00314F31">
        <w:rPr>
          <w:rFonts w:eastAsia="SimSun"/>
          <w:lang w:val="fr-FR"/>
        </w:rPr>
        <w:t xml:space="preserve">s'est tenue du 5 au 8 août 2025 à Awaza (Turkménistan) afin d'aborder les défis particuliers auxquels font face les PDSL. Parmi les principaux résultats, la conférence a adopté le </w:t>
      </w:r>
      <w:r w:rsidRPr="00314F31">
        <w:rPr>
          <w:rFonts w:eastAsia="SimSun" w:cstheme="minorHAnsi"/>
          <w:lang w:val="fr-FR"/>
        </w:rPr>
        <w:t>Programme d'action d'Awaza pour les pays en développement sans littoral 2024-2034</w:t>
      </w:r>
      <w:r w:rsidRPr="00314F31">
        <w:rPr>
          <w:rFonts w:eastAsia="SimSun"/>
          <w:lang w:val="fr-FR"/>
        </w:rPr>
        <w:t xml:space="preserve"> et la </w:t>
      </w:r>
      <w:r w:rsidRPr="00314F31">
        <w:rPr>
          <w:rFonts w:eastAsia="SimSun" w:cstheme="minorHAnsi"/>
          <w:lang w:val="fr-FR"/>
        </w:rPr>
        <w:t>Déclaration politique d'Awaza</w:t>
      </w:r>
      <w:r w:rsidRPr="00314F31">
        <w:rPr>
          <w:rFonts w:eastAsia="SimSun"/>
          <w:lang w:val="fr-FR"/>
        </w:rPr>
        <w:t xml:space="preserve">. La délégation de l'UIT, sous la houlette du Directeur du BDT, a pris part au débat général et coorganisé le volet du programme principal consacré à la connectivité, renforçant ainsi l'engagement de l'Union en faveur d'un développement numérique inclusif et renouvelant son appui au Programme d'Awaza. L'UIT a organisé plusieurs manifestations parallèles qui ont mis l'accent sur le développement numérique et le rôle joué par celui-ci dans la résolution des défis rencontrés par les PDSL; la tenue d'un stand d'exposition pendant la conférence a également permis d'engager le dialogue avec les parties prenantes. En lien avec la conférence, l'UIT a publié une édition spéciale du </w:t>
      </w:r>
      <w:hyperlink r:id="rId37" w:history="1">
        <w:r w:rsidRPr="00314F31">
          <w:rPr>
            <w:rStyle w:val="Hyperlink"/>
            <w:rFonts w:eastAsia="SimSun" w:cstheme="minorHAnsi"/>
            <w:lang w:val="fr-FR"/>
          </w:rPr>
          <w:t>rapport "Faits et chiffres" consacrée aux pays en développement sans littoral</w:t>
        </w:r>
      </w:hyperlink>
      <w:r w:rsidRPr="00314F31">
        <w:rPr>
          <w:rFonts w:eastAsia="SimSun"/>
          <w:lang w:val="fr-FR"/>
        </w:rPr>
        <w:t>, qui donne un panorama complet des progrès accomplis dans les PDSL dans le domaine du numérique et présente des données et des analyses essentielles sur la connectivité, l'accessibilité financière et les politiques relatives au numérique. Ce rapport souligne à la fois la diversité des expériences et le caractère commun des problèmes qui se posent à ces pays, et il donne des orientations en vue de guider les actions en faveur d'une connectivité universelle et efficace.</w:t>
      </w:r>
    </w:p>
    <w:p w14:paraId="055B71D2" w14:textId="77777777" w:rsidR="00F241C3" w:rsidRPr="00314F31" w:rsidRDefault="00F241C3" w:rsidP="00F241C3">
      <w:pPr>
        <w:pStyle w:val="Heading1"/>
        <w:rPr>
          <w:rFonts w:eastAsia="SimSun"/>
          <w:lang w:val="fr-FR"/>
        </w:rPr>
      </w:pPr>
      <w:r w:rsidRPr="00314F31">
        <w:rPr>
          <w:lang w:val="fr-FR"/>
        </w:rPr>
        <w:t>8</w:t>
      </w:r>
      <w:r w:rsidRPr="00314F31">
        <w:rPr>
          <w:lang w:val="fr-FR"/>
        </w:rPr>
        <w:tab/>
      </w:r>
      <w:hyperlink r:id="rId38" w:anchor="/fr" w:history="1">
        <w:r w:rsidRPr="00314F31">
          <w:rPr>
            <w:rStyle w:val="Hyperlink"/>
            <w:rFonts w:eastAsiaTheme="minorEastAsia"/>
            <w:lang w:val="fr-FR"/>
          </w:rPr>
          <w:t>Partner to Connect</w:t>
        </w:r>
      </w:hyperlink>
    </w:p>
    <w:p w14:paraId="202A25E3" w14:textId="77777777" w:rsidR="00F241C3" w:rsidRPr="00314F31" w:rsidRDefault="00F241C3" w:rsidP="00F241C3">
      <w:pPr>
        <w:rPr>
          <w:rFonts w:eastAsiaTheme="minorEastAsia"/>
          <w:lang w:val="fr-FR"/>
        </w:rPr>
      </w:pPr>
      <w:r w:rsidRPr="00314F31">
        <w:rPr>
          <w:rFonts w:eastAsiaTheme="minorEastAsia"/>
          <w:lang w:val="fr-FR"/>
        </w:rPr>
        <w:t>Alliance multi-parties prenantes ayant pour but de mobiliser des ressources et de favoriser les partenariats en faveur d'une connectivité universelle et efficace et d'une transformation numérique durable dans tous les pays, la coalition Partner to Connect (P2C) prête tout particulièrement attention aux communautés les plus difficiles à connecter, notamment dans les PMA, les PDSL et les PEID. Depuis 2023, la coalition a consolidé sa portée mondiale au moyen de séances de mise en relation organisées par le BDT lors des Forums régionaux sur le développement. Ces séances ont permis aux pays de formuler des besoins concrets et aux partenaires d'y répondre par des propositions d'appui ciblées, pour faire en sorte que la mobilisation se traduise par des résultats mesurables. En 2025, l'initiative P2C avait mobilisé les engagements suivants en faveur des PMA, des PDSL et des PEID:</w:t>
      </w:r>
    </w:p>
    <w:p w14:paraId="0BFC2978" w14:textId="77777777" w:rsidR="00F241C3" w:rsidRPr="00314F31" w:rsidRDefault="00F241C3" w:rsidP="00F241C3">
      <w:pPr>
        <w:pStyle w:val="enumlev1"/>
        <w:rPr>
          <w:rFonts w:eastAsiaTheme="minorEastAsia"/>
          <w:lang w:val="fr-FR"/>
        </w:rPr>
      </w:pPr>
      <w:r w:rsidRPr="00314F31">
        <w:rPr>
          <w:rFonts w:eastAsiaTheme="minorEastAsia"/>
          <w:lang w:val="fr-FR"/>
        </w:rPr>
        <w:t>–</w:t>
      </w:r>
      <w:r w:rsidRPr="00314F31">
        <w:rPr>
          <w:rFonts w:eastAsiaTheme="minorEastAsia"/>
          <w:lang w:val="fr-FR"/>
        </w:rPr>
        <w:tab/>
        <w:t>PMA: 317 engagements, représentant un montant estimé de 29,56 milliards USD.</w:t>
      </w:r>
    </w:p>
    <w:p w14:paraId="63CF9651" w14:textId="77777777" w:rsidR="00F241C3" w:rsidRPr="00314F31" w:rsidRDefault="00F241C3" w:rsidP="00F241C3">
      <w:pPr>
        <w:pStyle w:val="enumlev1"/>
        <w:rPr>
          <w:rFonts w:eastAsiaTheme="minorEastAsia" w:cstheme="minorHAnsi"/>
          <w:lang w:val="fr-FR"/>
        </w:rPr>
      </w:pPr>
      <w:r w:rsidRPr="00314F31">
        <w:rPr>
          <w:rFonts w:eastAsiaTheme="minorEastAsia" w:cstheme="minorHAnsi"/>
          <w:lang w:val="fr-FR"/>
        </w:rPr>
        <w:t>–</w:t>
      </w:r>
      <w:r w:rsidRPr="00314F31">
        <w:rPr>
          <w:rFonts w:eastAsiaTheme="minorEastAsia" w:cstheme="minorHAnsi"/>
          <w:lang w:val="fr-FR"/>
        </w:rPr>
        <w:tab/>
        <w:t xml:space="preserve">PDSL: 268 </w:t>
      </w:r>
      <w:r w:rsidRPr="00314F31">
        <w:rPr>
          <w:rFonts w:eastAsiaTheme="minorEastAsia"/>
          <w:lang w:val="fr-FR"/>
        </w:rPr>
        <w:t>engagements</w:t>
      </w:r>
      <w:r w:rsidRPr="00314F31">
        <w:rPr>
          <w:rFonts w:eastAsiaTheme="minorEastAsia" w:cstheme="minorHAnsi"/>
          <w:lang w:val="fr-FR"/>
        </w:rPr>
        <w:t>, représentant un montant estimé de 30,01 milliards USD.</w:t>
      </w:r>
    </w:p>
    <w:p w14:paraId="2DC68455" w14:textId="77777777" w:rsidR="00F241C3" w:rsidRPr="00314F31" w:rsidRDefault="00F241C3" w:rsidP="00F241C3">
      <w:pPr>
        <w:pStyle w:val="enumlev1"/>
        <w:rPr>
          <w:rFonts w:eastAsiaTheme="minorEastAsia" w:cstheme="minorBidi"/>
          <w:lang w:val="fr-FR"/>
        </w:rPr>
      </w:pPr>
      <w:r w:rsidRPr="00314F31">
        <w:rPr>
          <w:rFonts w:eastAsiaTheme="minorEastAsia" w:cstheme="minorBidi"/>
          <w:lang w:val="fr-FR"/>
        </w:rPr>
        <w:t>–</w:t>
      </w:r>
      <w:r w:rsidRPr="00314F31">
        <w:rPr>
          <w:rFonts w:eastAsiaTheme="minorEastAsia" w:cstheme="minorBidi"/>
          <w:lang w:val="fr-FR"/>
        </w:rPr>
        <w:tab/>
        <w:t xml:space="preserve">PEID: 158 </w:t>
      </w:r>
      <w:r w:rsidRPr="00314F31">
        <w:rPr>
          <w:rFonts w:eastAsiaTheme="minorEastAsia"/>
          <w:lang w:val="fr-FR"/>
        </w:rPr>
        <w:t>engagements</w:t>
      </w:r>
      <w:r w:rsidRPr="00314F31">
        <w:rPr>
          <w:rFonts w:eastAsiaTheme="minorEastAsia" w:cstheme="minorHAnsi"/>
          <w:lang w:val="fr-FR"/>
        </w:rPr>
        <w:t>, représentant un montant estimé de</w:t>
      </w:r>
      <w:r w:rsidRPr="00314F31">
        <w:rPr>
          <w:rFonts w:eastAsiaTheme="minorEastAsia" w:cstheme="minorBidi"/>
          <w:lang w:val="fr-FR"/>
        </w:rPr>
        <w:t xml:space="preserve"> 25,98 milliards USD.</w:t>
      </w:r>
    </w:p>
    <w:p w14:paraId="33CF81BA" w14:textId="77777777" w:rsidR="00F241C3" w:rsidRPr="00314F31" w:rsidRDefault="00F241C3" w:rsidP="00F241C3">
      <w:pPr>
        <w:pStyle w:val="Heading1"/>
        <w:rPr>
          <w:rFonts w:eastAsia="Calibri"/>
          <w:lang w:val="fr-FR"/>
        </w:rPr>
      </w:pPr>
      <w:r w:rsidRPr="00314F31">
        <w:rPr>
          <w:rFonts w:eastAsia="Calibri"/>
          <w:lang w:val="fr-FR"/>
        </w:rPr>
        <w:lastRenderedPageBreak/>
        <w:t>9</w:t>
      </w:r>
      <w:r w:rsidRPr="00314F31">
        <w:rPr>
          <w:rFonts w:eastAsia="Calibri"/>
          <w:lang w:val="fr-FR"/>
        </w:rPr>
        <w:tab/>
        <w:t>Conséquences pour les programmes de l'UIT: Tirer parti de la connectivité pour aider les pays à sortir de la catégorie des PMA et accompagner la transition après le changement de catégorie</w:t>
      </w:r>
    </w:p>
    <w:p w14:paraId="3AB09609" w14:textId="77777777" w:rsidR="00F241C3" w:rsidRPr="00314F31" w:rsidRDefault="00F241C3" w:rsidP="00F241C3">
      <w:pPr>
        <w:rPr>
          <w:rFonts w:eastAsia="Calibri"/>
          <w:lang w:val="fr-FR"/>
        </w:rPr>
      </w:pPr>
      <w:r w:rsidRPr="00314F31">
        <w:rPr>
          <w:rFonts w:eastAsia="Calibri"/>
          <w:lang w:val="fr-FR"/>
        </w:rPr>
        <w:t xml:space="preserve">Cinq pays sont sortis de la catégorie des PMA (Bhoutan, République de Guinée équatoriale, Samoa, Sao Tomé-et-Principe et Vanuatu) entre 2014 et 2024, et six autres pays sont en bonne voie d'y parvenir d'ici à 2029 (Bangladesh, Cambodge, Lao (R.d.p.), Népal, Sénégal et Îles Salomon). Selon le rapport </w:t>
      </w:r>
      <w:r w:rsidRPr="00314F31">
        <w:rPr>
          <w:rFonts w:eastAsia="Calibri"/>
          <w:i/>
          <w:iCs/>
          <w:lang w:val="fr-FR"/>
        </w:rPr>
        <w:t>Mesurer le développement numérique: Indice de développement des TIC en 2025</w:t>
      </w:r>
      <w:r w:rsidRPr="00314F31">
        <w:rPr>
          <w:rStyle w:val="FootnoteReference"/>
          <w:rFonts w:ascii="Calibri" w:eastAsia="Calibri" w:hAnsi="Calibri" w:cs="Calibri"/>
          <w:iCs/>
          <w:color w:val="242424"/>
          <w:sz w:val="20"/>
          <w:lang w:val="fr-FR"/>
        </w:rPr>
        <w:footnoteReference w:id="6"/>
      </w:r>
      <w:r w:rsidRPr="00314F31">
        <w:rPr>
          <w:rFonts w:eastAsia="Calibri"/>
          <w:iCs/>
          <w:lang w:val="fr-FR"/>
        </w:rPr>
        <w:t xml:space="preserve"> </w:t>
      </w:r>
      <w:r w:rsidRPr="00314F31">
        <w:rPr>
          <w:rFonts w:eastAsia="Calibri"/>
          <w:lang w:val="fr-FR"/>
        </w:rPr>
        <w:t>publié par l'UIT, l'utilisation de l'Internet a sensiblement augmenté dans les pays cités pendant le processus de sortie de la catégorie des PMA, un résultat fortement corrélé aux critères à remplir pour quitter cette catégorie, à savoir l'enregistrement d'améliorations en matière de revenu, d'éducation et de résilience.</w:t>
      </w:r>
    </w:p>
    <w:p w14:paraId="2378AC77" w14:textId="77777777" w:rsidR="00F241C3" w:rsidRPr="00314F31" w:rsidRDefault="00F241C3" w:rsidP="00F241C3">
      <w:pPr>
        <w:rPr>
          <w:rFonts w:eastAsia="Calibri"/>
          <w:lang w:val="fr-FR"/>
        </w:rPr>
      </w:pPr>
      <w:r w:rsidRPr="00314F31">
        <w:rPr>
          <w:rFonts w:eastAsia="Calibri"/>
          <w:lang w:val="fr-FR"/>
        </w:rPr>
        <w:t>Dans les pays récemment sortis de la catégorie des PMA, l'utilisation de l'Internet est passée, en moyenne, de 21% en 2014 à plus de 65% en 2023, ce qui souligne la forte corrélation entre l'augmentation de la connectivité et l'amélioration des indicateurs relatifs au revenu, à l'éducation et à la résilience, sur lesquels repose le changement de catégorie.</w:t>
      </w:r>
    </w:p>
    <w:p w14:paraId="677D18DC" w14:textId="77777777" w:rsidR="00F241C3" w:rsidRPr="00314F31" w:rsidRDefault="00F241C3" w:rsidP="00F241C3">
      <w:pPr>
        <w:rPr>
          <w:rFonts w:eastAsia="Calibri"/>
          <w:lang w:val="fr-FR"/>
        </w:rPr>
      </w:pPr>
      <w:r w:rsidRPr="00314F31">
        <w:rPr>
          <w:rFonts w:eastAsia="Calibri"/>
          <w:lang w:val="fr-FR"/>
        </w:rPr>
        <w:t xml:space="preserve">Ces chiffres démontrent que la connectivité numérique et les innovations dans le domaine des TIC jouent un rôle essentiel pour accélérer la transformation structurelle. Le Programme d'action de Doha (2022-2031) en faveur des PMA, le Programme d'Action d'Awaza (2024–2034) en faveur des PDSL et le Programme d'Antigua-et-Barbuda pour les PEID (2024-2034) donnent à l'UIT un cadre pour intégrer la transformation numérique dans les stratégies nationales de sortie de la catégorie des PMA et permettre aux pays de bénéficier durablement des effets consécutifs à cette sortie, suivant les trois piliers d'action ci-après: </w:t>
      </w:r>
    </w:p>
    <w:p w14:paraId="452FA2A3" w14:textId="77777777" w:rsidR="00F241C3" w:rsidRPr="00314F31" w:rsidRDefault="00F241C3" w:rsidP="00F241C3">
      <w:pPr>
        <w:pStyle w:val="enumlev1"/>
        <w:rPr>
          <w:rFonts w:eastAsia="Calibri"/>
          <w:lang w:val="fr-FR"/>
        </w:rPr>
      </w:pPr>
      <w:r w:rsidRPr="00314F31">
        <w:rPr>
          <w:rFonts w:eastAsia="Calibri"/>
          <w:bCs/>
          <w:lang w:val="fr-FR"/>
        </w:rPr>
        <w:t>1)</w:t>
      </w:r>
      <w:r w:rsidRPr="00314F31">
        <w:rPr>
          <w:rFonts w:eastAsia="Calibri"/>
          <w:b/>
          <w:lang w:val="fr-FR"/>
        </w:rPr>
        <w:tab/>
        <w:t>Accélérer en vue de la sortie de catégorie</w:t>
      </w:r>
      <w:r w:rsidRPr="00314F31">
        <w:rPr>
          <w:rFonts w:eastAsia="Calibri"/>
          <w:lang w:val="fr-FR"/>
        </w:rPr>
        <w:t>: en apportant une assistance ciblée sur l'infrastructure, les compétences et la réglementation dans le domaine du numérique afin d'aider les pays à atteindre les seuils permettant de quitter la catégorie des PMA.</w:t>
      </w:r>
    </w:p>
    <w:p w14:paraId="4F7F2493" w14:textId="77777777" w:rsidR="00F241C3" w:rsidRPr="00314F31" w:rsidRDefault="00F241C3" w:rsidP="00F241C3">
      <w:pPr>
        <w:pStyle w:val="enumlev1"/>
        <w:rPr>
          <w:rFonts w:eastAsia="Calibri"/>
          <w:lang w:val="fr-FR"/>
        </w:rPr>
      </w:pPr>
      <w:r w:rsidRPr="00314F31">
        <w:rPr>
          <w:rFonts w:eastAsia="Calibri"/>
          <w:bCs/>
          <w:lang w:val="fr-FR"/>
        </w:rPr>
        <w:t>2)</w:t>
      </w:r>
      <w:r w:rsidRPr="00314F31">
        <w:rPr>
          <w:rFonts w:eastAsia="Calibri"/>
          <w:b/>
          <w:lang w:val="fr-FR"/>
        </w:rPr>
        <w:tab/>
        <w:t xml:space="preserve">Assurer une transition </w:t>
      </w:r>
      <w:r w:rsidRPr="00314F31">
        <w:rPr>
          <w:rFonts w:eastAsia="Calibri"/>
          <w:b/>
          <w:bCs/>
          <w:lang w:val="fr-FR"/>
        </w:rPr>
        <w:t>fluide</w:t>
      </w:r>
      <w:r w:rsidRPr="00314F31">
        <w:rPr>
          <w:rFonts w:eastAsia="Calibri"/>
          <w:lang w:val="fr-FR"/>
        </w:rPr>
        <w:t>: en proposant une offre axée sur la résilience après le changement de catégorie, comportant une assistance technique dans le domaine du commerce électronique, de la cybersécurité et de la gouvernance des données.</w:t>
      </w:r>
    </w:p>
    <w:p w14:paraId="5BAB01AE" w14:textId="77777777" w:rsidR="00F241C3" w:rsidRPr="00314F31" w:rsidRDefault="00F241C3" w:rsidP="00F241C3">
      <w:pPr>
        <w:pStyle w:val="enumlev1"/>
        <w:rPr>
          <w:rFonts w:eastAsia="Calibri"/>
          <w:lang w:val="fr-FR"/>
        </w:rPr>
      </w:pPr>
      <w:r w:rsidRPr="00314F31">
        <w:rPr>
          <w:rFonts w:eastAsia="Calibri"/>
          <w:bCs/>
          <w:lang w:val="fr-FR"/>
        </w:rPr>
        <w:t>3)</w:t>
      </w:r>
      <w:r w:rsidRPr="00314F31">
        <w:rPr>
          <w:rFonts w:eastAsia="Calibri"/>
          <w:b/>
          <w:lang w:val="fr-FR"/>
        </w:rPr>
        <w:tab/>
        <w:t>Surveiller les catalyseurs numériques</w:t>
      </w:r>
      <w:r w:rsidRPr="00314F31">
        <w:rPr>
          <w:rFonts w:eastAsia="Calibri"/>
          <w:lang w:val="fr-FR"/>
        </w:rPr>
        <w:t>: en intégrant des indicateurs sur la connectivité, l'accessibilité financière et les compétences numériques dans le suivi réalisé par l'UIT une fois les pays sortis de la catégorie des PMA, afin de formuler des avis relatifs à l'élaboration de politiques qui soient fondés sur des éléments factuels.</w:t>
      </w:r>
    </w:p>
    <w:p w14:paraId="4A6C47BA" w14:textId="77777777" w:rsidR="00F241C3" w:rsidRPr="00314F31" w:rsidRDefault="00F241C3" w:rsidP="00F241C3">
      <w:pPr>
        <w:rPr>
          <w:rFonts w:eastAsia="Calibri"/>
          <w:lang w:val="fr-FR"/>
        </w:rPr>
      </w:pPr>
      <w:r w:rsidRPr="00314F31">
        <w:rPr>
          <w:rFonts w:eastAsia="Calibri"/>
          <w:lang w:val="fr-FR"/>
        </w:rPr>
        <w:t>Le BDT continuera d'adapter ses interventions dans le domaine du numérique en fonction des progrès accomplis au niveau national en vue de la sortie de la catégorie des PMA et des stratégies en matière de résilience mises en place dans les PMA, les PDSL et les PEID, afin d'appuyer la connectivité, les écosystèmes de l'innovation et les cadres réglementaires en vue de renforcer la résilience économique et climatique. Les mesures "passerelles" mises en place après le changement de catégorie viseront à entretenir l'élan concernant l'infrastructure numérique et à éviter une perte des gains.</w:t>
      </w:r>
    </w:p>
    <w:p w14:paraId="37088A68" w14:textId="77777777" w:rsidR="00F241C3" w:rsidRPr="00314F31" w:rsidRDefault="00F241C3" w:rsidP="00F241C3">
      <w:pPr>
        <w:spacing w:after="120"/>
        <w:rPr>
          <w:rFonts w:ascii="Calibri" w:hAnsi="Calibri" w:cs="Calibri"/>
          <w:szCs w:val="24"/>
          <w:lang w:val="fr-FR"/>
        </w:rPr>
      </w:pPr>
      <w:r w:rsidRPr="00314F31">
        <w:rPr>
          <w:rFonts w:eastAsia="Calibri"/>
          <w:lang w:val="fr-FR"/>
        </w:rPr>
        <w:t xml:space="preserve">Dans une perspective d'avenir, le BDT continuera d'adapter ses interventions dans le domaine du numérique en fonction, d'une part, des progrès accomplis au niveau national en vue de la sortie de la catégorie des PMA, et, d'autre part, des stratégies mises en place dans les PMA, les PDSL et les PEID en matière de résilience. En soutenant la connectivité, les compétences numériques, les </w:t>
      </w:r>
      <w:r w:rsidRPr="00314F31">
        <w:rPr>
          <w:rFonts w:eastAsia="Calibri"/>
          <w:lang w:val="fr-FR"/>
        </w:rPr>
        <w:lastRenderedPageBreak/>
        <w:t>écosystèmes de l'innovation et les cadres réglementaires, le BDT peut aider les pays à satisfaire aux critères de sortie de la catégorie des PMA, à renforcer leur résilience économique et climatique et à gérer la transition. L'appui apporté après le changement de catégorie sera essentiel et visera notamment à entretenir l'élan concernant l'infrastructure, à éviter une perte des gains et à garantir que les pays continuent de bénéficier d'avantages une fois sortis de la catégorie des PMA. Le pilotage assuré par le BDT consistera donc à suivre les pays pendant le processus de sortie, à déterminer les catalyseurs numériques du changement structurel et à appuyer la mise en place de mesures "passerelles" aptes à pérenniser les progrès ayant permis de quitter la catégorie des PMA.</w:t>
      </w:r>
    </w:p>
    <w:tbl>
      <w:tblPr>
        <w:tblStyle w:val="TableGrid"/>
        <w:tblW w:w="0" w:type="auto"/>
        <w:tblLayout w:type="fixed"/>
        <w:tblLook w:val="06A0" w:firstRow="1" w:lastRow="0" w:firstColumn="1" w:lastColumn="0" w:noHBand="1" w:noVBand="1"/>
      </w:tblPr>
      <w:tblGrid>
        <w:gridCol w:w="9630"/>
      </w:tblGrid>
      <w:tr w:rsidR="00F241C3" w:rsidRPr="00314F31" w14:paraId="2771F4F1" w14:textId="77777777" w:rsidTr="008C75DC">
        <w:trPr>
          <w:trHeight w:val="300"/>
        </w:trPr>
        <w:tc>
          <w:tcPr>
            <w:tcW w:w="9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B27778" w14:textId="77777777" w:rsidR="00F241C3" w:rsidRPr="00314F31" w:rsidRDefault="00F241C3" w:rsidP="00314F31">
            <w:pPr>
              <w:pStyle w:val="Headingb"/>
              <w:spacing w:before="120"/>
              <w:rPr>
                <w:lang w:val="fr-FR"/>
              </w:rPr>
            </w:pPr>
            <w:r w:rsidRPr="00314F31">
              <w:rPr>
                <w:lang w:val="fr-FR"/>
              </w:rPr>
              <w:t>À retenir</w:t>
            </w:r>
          </w:p>
          <w:p w14:paraId="229E1F92" w14:textId="77777777" w:rsidR="00F241C3" w:rsidRPr="00314F31" w:rsidRDefault="00F241C3" w:rsidP="008C75DC">
            <w:pPr>
              <w:rPr>
                <w:lang w:val="fr-FR"/>
              </w:rPr>
            </w:pPr>
            <w:r w:rsidRPr="00314F31">
              <w:rPr>
                <w:lang w:val="fr-FR"/>
              </w:rPr>
              <w:t xml:space="preserve">Globalement, entre 2022 et 2024, la connectivité Internet a progressé de </w:t>
            </w:r>
            <w:r w:rsidRPr="00314F31">
              <w:rPr>
                <w:b/>
                <w:bCs/>
                <w:lang w:val="fr-FR"/>
              </w:rPr>
              <w:t>14% dans les PMA</w:t>
            </w:r>
            <w:r w:rsidRPr="00314F31">
              <w:rPr>
                <w:lang w:val="fr-FR"/>
              </w:rPr>
              <w:t xml:space="preserve">, de </w:t>
            </w:r>
            <w:r w:rsidRPr="00314F31">
              <w:rPr>
                <w:b/>
                <w:bCs/>
                <w:lang w:val="fr-FR"/>
              </w:rPr>
              <w:t>11% dans les PDSL</w:t>
            </w:r>
            <w:r w:rsidRPr="00314F31">
              <w:rPr>
                <w:lang w:val="fr-FR"/>
              </w:rPr>
              <w:t xml:space="preserve"> et de </w:t>
            </w:r>
            <w:r w:rsidRPr="00314F31">
              <w:rPr>
                <w:b/>
                <w:bCs/>
                <w:lang w:val="fr-FR"/>
              </w:rPr>
              <w:t>4% dans les PEID</w:t>
            </w:r>
            <w:r w:rsidRPr="00314F31">
              <w:rPr>
                <w:lang w:val="fr-FR"/>
              </w:rPr>
              <w:t>, ce qui représente un progrès notable en matière de développement du numérique à l'échelle mondiale.</w:t>
            </w:r>
          </w:p>
          <w:p w14:paraId="272DE9E0" w14:textId="77777777" w:rsidR="00F241C3" w:rsidRPr="00314F31" w:rsidRDefault="00F241C3" w:rsidP="00314F31">
            <w:pPr>
              <w:spacing w:after="120"/>
              <w:rPr>
                <w:lang w:val="fr-FR"/>
              </w:rPr>
            </w:pPr>
            <w:r w:rsidRPr="00314F31" w:rsidDel="00C13FC7">
              <w:rPr>
                <w:i/>
                <w:lang w:val="fr-FR"/>
              </w:rPr>
              <w:t>(</w:t>
            </w:r>
            <w:r w:rsidRPr="00314F31">
              <w:rPr>
                <w:i/>
                <w:lang w:val="fr-FR"/>
              </w:rPr>
              <w:t>Source: UIT</w:t>
            </w:r>
            <w:r w:rsidRPr="00314F31">
              <w:rPr>
                <w:i/>
                <w:iCs/>
                <w:lang w:val="fr-FR"/>
              </w:rPr>
              <w:t>,</w:t>
            </w:r>
            <w:r w:rsidRPr="00314F31">
              <w:rPr>
                <w:i/>
                <w:lang w:val="fr-FR"/>
              </w:rPr>
              <w:t xml:space="preserve"> </w:t>
            </w:r>
            <w:hyperlink r:id="rId39">
              <w:r w:rsidRPr="00314F31">
                <w:rPr>
                  <w:rStyle w:val="Hyperlink"/>
                  <w:rFonts w:ascii="Calibri" w:hAnsi="Calibri" w:cs="Calibri"/>
                  <w:i/>
                  <w:lang w:val="fr-FR"/>
                </w:rPr>
                <w:t>Measuring digital development: ICT Development Index</w:t>
              </w:r>
            </w:hyperlink>
            <w:r w:rsidRPr="00314F31">
              <w:rPr>
                <w:lang w:val="fr-FR"/>
              </w:rPr>
              <w:t>, 2024</w:t>
            </w:r>
            <w:r w:rsidRPr="00314F31">
              <w:rPr>
                <w:i/>
                <w:iCs/>
                <w:lang w:val="fr-FR"/>
              </w:rPr>
              <w:t>)</w:t>
            </w:r>
          </w:p>
        </w:tc>
      </w:tr>
    </w:tbl>
    <w:p w14:paraId="59CE8EBA" w14:textId="77777777" w:rsidR="00F241C3" w:rsidRPr="00314F31" w:rsidRDefault="00F241C3" w:rsidP="00F241C3">
      <w:pPr>
        <w:pStyle w:val="Heading1"/>
        <w:rPr>
          <w:lang w:val="fr-FR"/>
        </w:rPr>
      </w:pPr>
      <w:r w:rsidRPr="00314F31">
        <w:rPr>
          <w:rFonts w:eastAsiaTheme="minorEastAsia"/>
          <w:lang w:val="fr-FR" w:eastAsia="en-GB"/>
        </w:rPr>
        <w:t>10</w:t>
      </w:r>
      <w:r w:rsidRPr="00314F31">
        <w:rPr>
          <w:rFonts w:eastAsiaTheme="minorEastAsia"/>
          <w:lang w:val="fr-FR" w:eastAsia="en-GB"/>
        </w:rPr>
        <w:tab/>
        <w:t>Conclusion</w:t>
      </w:r>
    </w:p>
    <w:p w14:paraId="644652DB" w14:textId="3EE58E74" w:rsidR="00F241C3" w:rsidRPr="00314F31" w:rsidRDefault="00F241C3" w:rsidP="00F241C3">
      <w:pPr>
        <w:rPr>
          <w:rFonts w:eastAsia="SimSun"/>
          <w:lang w:val="fr-FR"/>
        </w:rPr>
      </w:pPr>
      <w:r w:rsidRPr="00314F31">
        <w:rPr>
          <w:rFonts w:eastAsia="SimSun"/>
          <w:b/>
          <w:bCs/>
          <w:lang w:val="fr-FR"/>
        </w:rPr>
        <w:t>Rôle fondamental de la connectivité numérique dans l'appui aux PMA, aux PDSL et aux PEID</w:t>
      </w:r>
      <w:r w:rsidRPr="00314F31">
        <w:rPr>
          <w:rFonts w:eastAsia="SimSun"/>
          <w:lang w:val="fr-FR"/>
        </w:rPr>
        <w:t>: le pouvoir de transformation de la connectivité numérique et des TIC est essentiel au développement durable des pays les moins avancés, des pays en développement sans littoral et des petits États insulaires en développement. Les initiatives menées par l'UIT, en phase avec des cadres de référence mondiaux tels que le Programme d'action de Doha, le Programme d'Antigua</w:t>
      </w:r>
      <w:r w:rsidR="00314F31" w:rsidRPr="00314F31">
        <w:rPr>
          <w:rFonts w:eastAsia="SimSun"/>
          <w:lang w:val="fr-FR"/>
        </w:rPr>
        <w:noBreakHyphen/>
      </w:r>
      <w:r w:rsidRPr="00314F31">
        <w:rPr>
          <w:rFonts w:eastAsia="SimSun"/>
          <w:lang w:val="fr-FR"/>
        </w:rPr>
        <w:t>et-Barbuda pour les</w:t>
      </w:r>
      <w:r w:rsidR="00314F31" w:rsidRPr="00314F31">
        <w:rPr>
          <w:rFonts w:eastAsia="SimSun"/>
          <w:lang w:val="fr-FR"/>
        </w:rPr>
        <w:t xml:space="preserve"> </w:t>
      </w:r>
      <w:r w:rsidRPr="00314F31">
        <w:rPr>
          <w:rFonts w:eastAsia="SimSun"/>
          <w:lang w:val="fr-FR"/>
        </w:rPr>
        <w:t>PEID et le Programme d'action d'Awaza (2024-2034), et portant sur une connectivité financièrement abordable, la transformation numérique, l'innovation réglementaire, la coopération internationale et les TIC inclusives, conduisent à des progrès mesurables. Au-delà de réduire la fracture numérique, ces efforts permettent d'autonomiser les communautés, d'accroître la résilience et de catalyser la croissance économique. Il est essentiel de poursuivre la collaboration avec les gouvernements, le secteur privé, les partenaires internationaux et les acteurs locaux afin d'entretenir la dynamique en cours, ce qui garantira des écosystèmes numériques équitables, sûrs et durables propres à améliorer la situation des régions les plus vulnérables.</w:t>
      </w:r>
    </w:p>
    <w:p w14:paraId="78E57ADD" w14:textId="77777777" w:rsidR="00F241C3" w:rsidRPr="00314F31" w:rsidRDefault="00F241C3" w:rsidP="00F241C3">
      <w:pPr>
        <w:tabs>
          <w:tab w:val="clear" w:pos="1134"/>
          <w:tab w:val="clear" w:pos="1871"/>
          <w:tab w:val="clear" w:pos="2268"/>
        </w:tabs>
        <w:overflowPunct/>
        <w:autoSpaceDE/>
        <w:autoSpaceDN/>
        <w:adjustRightInd/>
        <w:spacing w:before="0"/>
        <w:textAlignment w:val="auto"/>
        <w:rPr>
          <w:rFonts w:eastAsia="SimSun" w:cstheme="minorBidi"/>
          <w:lang w:val="fr-FR"/>
        </w:rPr>
      </w:pPr>
      <w:r w:rsidRPr="00314F31">
        <w:rPr>
          <w:rFonts w:eastAsia="SimSun" w:cstheme="minorBidi"/>
          <w:lang w:val="fr-FR"/>
        </w:rPr>
        <w:br w:type="page"/>
      </w:r>
    </w:p>
    <w:p w14:paraId="16A7724A" w14:textId="77777777" w:rsidR="00F241C3" w:rsidRPr="00314F31" w:rsidRDefault="00F241C3" w:rsidP="00F241C3">
      <w:pPr>
        <w:pStyle w:val="Annextitle"/>
        <w:rPr>
          <w:rFonts w:eastAsia="SimSun"/>
          <w:sz w:val="24"/>
          <w:szCs w:val="18"/>
          <w:lang w:val="fr-FR"/>
        </w:rPr>
      </w:pPr>
      <w:r w:rsidRPr="00314F31">
        <w:rPr>
          <w:rFonts w:eastAsia="SimSun"/>
          <w:sz w:val="24"/>
          <w:szCs w:val="18"/>
          <w:lang w:val="fr-FR"/>
        </w:rPr>
        <w:lastRenderedPageBreak/>
        <w:t>Annexe 1 – Aperçu des activités prévues au Plan opérationnel mises</w:t>
      </w:r>
      <w:r w:rsidRPr="00314F31">
        <w:rPr>
          <w:rFonts w:eastAsia="SimSun"/>
          <w:sz w:val="24"/>
          <w:szCs w:val="18"/>
          <w:lang w:val="fr-FR"/>
        </w:rPr>
        <w:br/>
        <w:t>en œuvre dans les PMA, les PDSL et les PEID (2023-2025)</w:t>
      </w:r>
    </w:p>
    <w:tbl>
      <w:tblPr>
        <w:tblStyle w:val="TableGridLight"/>
        <w:tblW w:w="9635" w:type="dxa"/>
        <w:jc w:val="center"/>
        <w:tblLayout w:type="fixed"/>
        <w:tblLook w:val="04A0" w:firstRow="1" w:lastRow="0" w:firstColumn="1" w:lastColumn="0" w:noHBand="0" w:noVBand="1"/>
      </w:tblPr>
      <w:tblGrid>
        <w:gridCol w:w="2221"/>
        <w:gridCol w:w="3303"/>
        <w:gridCol w:w="4111"/>
      </w:tblGrid>
      <w:tr w:rsidR="00F241C3" w:rsidRPr="00314F31" w14:paraId="25C9F0E2" w14:textId="77777777" w:rsidTr="008C75DC">
        <w:trPr>
          <w:trHeight w:val="300"/>
          <w:tblHeader/>
          <w:jc w:val="center"/>
        </w:trPr>
        <w:tc>
          <w:tcPr>
            <w:tcW w:w="2221" w:type="dxa"/>
            <w:shd w:val="clear" w:color="auto" w:fill="D9D9D9" w:themeFill="background1" w:themeFillShade="D9"/>
            <w:vAlign w:val="center"/>
          </w:tcPr>
          <w:p w14:paraId="30D83A0E" w14:textId="77777777" w:rsidR="00F241C3" w:rsidRPr="00314F31" w:rsidRDefault="00F241C3" w:rsidP="008C75DC">
            <w:pPr>
              <w:pStyle w:val="Tablehead"/>
              <w:rPr>
                <w:rFonts w:eastAsiaTheme="minorEastAsia"/>
                <w:sz w:val="22"/>
                <w:szCs w:val="22"/>
                <w:lang w:val="fr-FR" w:eastAsia="en-GB"/>
              </w:rPr>
            </w:pPr>
            <w:r w:rsidRPr="00314F31">
              <w:rPr>
                <w:rFonts w:eastAsiaTheme="minorEastAsia"/>
                <w:sz w:val="22"/>
                <w:szCs w:val="22"/>
                <w:lang w:val="fr-FR" w:eastAsia="en-GB"/>
              </w:rPr>
              <w:t xml:space="preserve">Priorités/catalyseurs </w:t>
            </w:r>
            <w:r w:rsidRPr="00314F31">
              <w:rPr>
                <w:rFonts w:eastAsiaTheme="minorEastAsia"/>
                <w:sz w:val="22"/>
                <w:szCs w:val="22"/>
                <w:lang w:val="fr-FR" w:eastAsia="en-GB"/>
              </w:rPr>
              <w:br/>
              <w:t>de l'UIT-D</w:t>
            </w:r>
          </w:p>
        </w:tc>
        <w:tc>
          <w:tcPr>
            <w:tcW w:w="3303" w:type="dxa"/>
            <w:shd w:val="clear" w:color="auto" w:fill="D9D9D9" w:themeFill="background1" w:themeFillShade="D9"/>
            <w:vAlign w:val="center"/>
          </w:tcPr>
          <w:p w14:paraId="7237F543" w14:textId="77777777" w:rsidR="00F241C3" w:rsidRPr="00314F31" w:rsidRDefault="00F241C3" w:rsidP="008C75DC">
            <w:pPr>
              <w:pStyle w:val="Tablehead"/>
              <w:rPr>
                <w:rFonts w:eastAsiaTheme="minorEastAsia"/>
                <w:bCs/>
                <w:sz w:val="22"/>
                <w:szCs w:val="22"/>
                <w:lang w:val="fr-FR" w:eastAsia="en-GB"/>
              </w:rPr>
            </w:pPr>
            <w:r w:rsidRPr="00314F31">
              <w:rPr>
                <w:rFonts w:eastAsiaTheme="minorEastAsia"/>
                <w:bCs/>
                <w:sz w:val="22"/>
                <w:szCs w:val="22"/>
                <w:lang w:val="fr-FR" w:eastAsia="en-GB"/>
              </w:rPr>
              <w:t>Projets sur mesure, interventions de conseil en matière de politiques et initiatives de renforcement des capacités</w:t>
            </w:r>
          </w:p>
        </w:tc>
        <w:tc>
          <w:tcPr>
            <w:tcW w:w="4111" w:type="dxa"/>
            <w:shd w:val="clear" w:color="auto" w:fill="D9D9D9" w:themeFill="background1" w:themeFillShade="D9"/>
            <w:vAlign w:val="center"/>
          </w:tcPr>
          <w:p w14:paraId="67C904CC" w14:textId="77777777" w:rsidR="00F241C3" w:rsidRPr="00314F31" w:rsidRDefault="00F241C3" w:rsidP="008C75DC">
            <w:pPr>
              <w:pStyle w:val="Tablehead"/>
              <w:rPr>
                <w:rFonts w:eastAsiaTheme="minorEastAsia"/>
                <w:bCs/>
                <w:sz w:val="22"/>
                <w:szCs w:val="22"/>
                <w:lang w:val="fr-FR" w:eastAsia="en-GB"/>
              </w:rPr>
            </w:pPr>
            <w:r w:rsidRPr="00314F31">
              <w:rPr>
                <w:rFonts w:eastAsiaTheme="minorEastAsia"/>
                <w:bCs/>
                <w:sz w:val="22"/>
                <w:szCs w:val="22"/>
                <w:lang w:val="fr-FR" w:eastAsia="en-GB"/>
              </w:rPr>
              <w:t>Pays bénéficiaires</w:t>
            </w:r>
          </w:p>
        </w:tc>
      </w:tr>
      <w:tr w:rsidR="00F241C3" w:rsidRPr="00314F31" w14:paraId="698851C1" w14:textId="77777777" w:rsidTr="008C75DC">
        <w:trPr>
          <w:trHeight w:val="300"/>
          <w:jc w:val="center"/>
        </w:trPr>
        <w:tc>
          <w:tcPr>
            <w:tcW w:w="2221" w:type="dxa"/>
          </w:tcPr>
          <w:p w14:paraId="4F2AE1B9" w14:textId="77777777" w:rsidR="00F241C3" w:rsidRPr="00314F31" w:rsidRDefault="00F241C3" w:rsidP="008C75DC">
            <w:pPr>
              <w:pStyle w:val="Tabletext"/>
              <w:rPr>
                <w:rFonts w:eastAsiaTheme="minorEastAsia"/>
                <w:b/>
                <w:bCs/>
                <w:sz w:val="22"/>
                <w:szCs w:val="22"/>
                <w:lang w:val="fr-FR" w:eastAsia="en-GB"/>
              </w:rPr>
            </w:pPr>
            <w:r w:rsidRPr="00314F31">
              <w:rPr>
                <w:rFonts w:eastAsiaTheme="minorEastAsia"/>
                <w:b/>
                <w:bCs/>
                <w:sz w:val="22"/>
                <w:szCs w:val="22"/>
                <w:lang w:val="fr-FR" w:eastAsia="en-GB"/>
              </w:rPr>
              <w:t>Connectivité financièrement abordable</w:t>
            </w:r>
          </w:p>
        </w:tc>
        <w:tc>
          <w:tcPr>
            <w:tcW w:w="3303" w:type="dxa"/>
          </w:tcPr>
          <w:p w14:paraId="3B2244F5" w14:textId="77777777" w:rsidR="00F241C3" w:rsidRPr="00314F31" w:rsidRDefault="00F241C3" w:rsidP="008C75DC">
            <w:pPr>
              <w:pStyle w:val="Tabletext"/>
              <w:rPr>
                <w:rFonts w:eastAsiaTheme="minorEastAsia" w:cstheme="minorBidi"/>
                <w:sz w:val="22"/>
                <w:szCs w:val="22"/>
                <w:lang w:val="fr-FR" w:eastAsia="en-GB"/>
              </w:rPr>
            </w:pPr>
            <w:r w:rsidRPr="00314F31">
              <w:rPr>
                <w:rFonts w:eastAsiaTheme="minorEastAsia" w:cstheme="minorBidi"/>
                <w:sz w:val="22"/>
                <w:szCs w:val="22"/>
                <w:lang w:val="fr-FR" w:eastAsia="en-GB"/>
              </w:rPr>
              <w:t>63 PMA, PDSL et PEID ont bénéficié d'un soutien:</w:t>
            </w:r>
          </w:p>
          <w:p w14:paraId="2CBC412C"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 xml:space="preserve">plus de 20 pays ont reçu une </w:t>
            </w:r>
            <w:bookmarkStart w:id="9" w:name="_Int_fwwZq54F"/>
            <w:r w:rsidRPr="00314F31">
              <w:rPr>
                <w:rFonts w:eastAsiaTheme="minorEastAsia"/>
                <w:sz w:val="22"/>
                <w:szCs w:val="22"/>
                <w:lang w:val="fr-FR" w:eastAsia="en-GB"/>
              </w:rPr>
              <w:t>assistance</w:t>
            </w:r>
            <w:bookmarkEnd w:id="9"/>
            <w:r w:rsidRPr="00314F31">
              <w:rPr>
                <w:rFonts w:eastAsiaTheme="minorEastAsia"/>
                <w:sz w:val="22"/>
                <w:szCs w:val="22"/>
                <w:lang w:val="fr-FR" w:eastAsia="en-GB"/>
              </w:rPr>
              <w:t xml:space="preserve"> technique;</w:t>
            </w:r>
          </w:p>
          <w:p w14:paraId="4D1D0A7A"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12 ont reçu un appui technique;</w:t>
            </w:r>
          </w:p>
          <w:p w14:paraId="6E27CDD3"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10 pays ont bénéficié de formations à la gestion du spectre et de formations d'acquisition de compétences professionnelles en matière de TIC;</w:t>
            </w:r>
          </w:p>
          <w:p w14:paraId="080FF9E3"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7 pays ont amélioré la connectivité des établissements scolaires;</w:t>
            </w:r>
          </w:p>
          <w:p w14:paraId="67F23209"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 xml:space="preserve">6 PDSL ont participé à des ateliers spécialisés. </w:t>
            </w:r>
          </w:p>
          <w:p w14:paraId="5176626D" w14:textId="77777777" w:rsidR="00F241C3" w:rsidRPr="00314F31" w:rsidRDefault="00F241C3" w:rsidP="008C75DC">
            <w:pPr>
              <w:pStyle w:val="Tabletext"/>
              <w:rPr>
                <w:rFonts w:eastAsiaTheme="minorEastAsia"/>
                <w:sz w:val="22"/>
                <w:szCs w:val="22"/>
                <w:lang w:val="fr-FR" w:eastAsia="en-GB"/>
              </w:rPr>
            </w:pPr>
            <w:r w:rsidRPr="00314F31">
              <w:rPr>
                <w:rFonts w:eastAsiaTheme="minorEastAsia"/>
                <w:sz w:val="22"/>
                <w:szCs w:val="22"/>
                <w:lang w:val="fr-FR" w:eastAsia="en-GB"/>
              </w:rPr>
              <w:t>Plusieurs séances de sensibilisation régionales se sont tenues dans les régions Afrique, Asie-Pacifique, CEI et la région des États arabes.</w:t>
            </w:r>
          </w:p>
        </w:tc>
        <w:tc>
          <w:tcPr>
            <w:tcW w:w="4111" w:type="dxa"/>
          </w:tcPr>
          <w:p w14:paraId="45AAE3A9" w14:textId="77777777" w:rsidR="00F241C3" w:rsidRPr="00314F31" w:rsidRDefault="00F241C3" w:rsidP="008C75DC">
            <w:pPr>
              <w:pStyle w:val="Tabletext"/>
              <w:tabs>
                <w:tab w:val="clear" w:pos="3969"/>
              </w:tabs>
              <w:ind w:right="-67"/>
              <w:rPr>
                <w:rFonts w:eastAsia="SimSun" w:cstheme="minorBidi"/>
                <w:sz w:val="22"/>
                <w:szCs w:val="22"/>
                <w:lang w:val="fr-FR"/>
              </w:rPr>
            </w:pPr>
            <w:r w:rsidRPr="00314F31">
              <w:rPr>
                <w:rFonts w:eastAsia="SimSun" w:cstheme="minorBidi"/>
                <w:sz w:val="22"/>
                <w:szCs w:val="22"/>
                <w:lang w:val="fr-FR"/>
              </w:rPr>
              <w:t>PMA: Angola, Bangladesh, Bénin, Burkina Faso, Cambodge, République centrafricaine, Comores, Djibouti, Gambie, Guinée, Guinée</w:t>
            </w:r>
            <w:r w:rsidRPr="00314F31">
              <w:rPr>
                <w:rFonts w:eastAsia="SimSun" w:cstheme="minorBidi"/>
                <w:sz w:val="22"/>
                <w:szCs w:val="22"/>
                <w:lang w:val="fr-FR"/>
              </w:rPr>
              <w:noBreakHyphen/>
              <w:t>Bissau, Haïti, Kiribati, Libéria, Malawi, Mali, Mauritanie, Mozambique, Népal, Niger, Ouganda, Rwanda, Sénégal, Sierra Leone, Îles Salomon, Somalie, Soudan, Soudan du Sud, Tanzanie, Tchad, Togo, Tuvalu, Yémen et Zambie.</w:t>
            </w:r>
          </w:p>
          <w:p w14:paraId="47ECB218" w14:textId="77777777" w:rsidR="00F241C3" w:rsidRPr="00314F31" w:rsidRDefault="00F241C3" w:rsidP="008C75DC">
            <w:pPr>
              <w:pStyle w:val="Tabletext"/>
              <w:spacing w:before="80"/>
              <w:rPr>
                <w:rFonts w:eastAsia="SimSun"/>
                <w:sz w:val="22"/>
                <w:szCs w:val="22"/>
                <w:lang w:val="fr-FR"/>
              </w:rPr>
            </w:pPr>
            <w:r w:rsidRPr="00314F31">
              <w:rPr>
                <w:rFonts w:eastAsia="SimSun"/>
                <w:sz w:val="22"/>
                <w:szCs w:val="22"/>
                <w:lang w:val="fr-FR"/>
              </w:rPr>
              <w:t>PDSL: Arménie, Azerbaïdjan, Bhoutan, Burkina Faso, Botswana, République centrafricaine, Kazakhstan, Kirghizistan, Macédoine du Nord, Malawi, Mali, Moldova, Mongolie, Népal, Niger, Ouganda, Rwanda, Soudan du Sud, Tadjikistan, Tchad, Ouzbékistan et Zambie.</w:t>
            </w:r>
          </w:p>
          <w:p w14:paraId="5E792B8B" w14:textId="77777777" w:rsidR="00F241C3" w:rsidRPr="00314F31" w:rsidRDefault="00F241C3" w:rsidP="008C75DC">
            <w:pPr>
              <w:pStyle w:val="Tabletext"/>
              <w:spacing w:before="80"/>
              <w:rPr>
                <w:rFonts w:eastAsiaTheme="minorEastAsia"/>
                <w:sz w:val="22"/>
                <w:szCs w:val="22"/>
                <w:lang w:val="fr-FR" w:eastAsia="en-GB"/>
              </w:rPr>
            </w:pPr>
            <w:r w:rsidRPr="00314F31">
              <w:rPr>
                <w:rFonts w:eastAsia="SimSun"/>
                <w:sz w:val="22"/>
                <w:szCs w:val="22"/>
                <w:lang w:val="fr-FR"/>
              </w:rPr>
              <w:t>PEID: Bahamas, Barbade, Cabo Verde, Comores, Fidji, Grenade, Guinée-Bissau, Haïti, Jamaïque, Kiribati, Îles Marshall, Nauru, Palaos, Papouasie-Nouvelle</w:t>
            </w:r>
            <w:r w:rsidRPr="00314F31">
              <w:rPr>
                <w:rFonts w:eastAsia="SimSun"/>
                <w:sz w:val="22"/>
                <w:szCs w:val="22"/>
                <w:lang w:val="fr-FR"/>
              </w:rPr>
              <w:noBreakHyphen/>
              <w:t>Guinée, Saint</w:t>
            </w:r>
            <w:r w:rsidRPr="00314F31">
              <w:rPr>
                <w:rFonts w:eastAsia="SimSun"/>
                <w:sz w:val="22"/>
                <w:szCs w:val="22"/>
                <w:lang w:val="fr-FR"/>
              </w:rPr>
              <w:noBreakHyphen/>
              <w:t>Kitts-et-Nevis, Sainte-Lucie, Samoa, Sao Tomé-et-Principe, Trinité-et-Tobago, Seychelles, Îles Salomon, Tonga, Tuvalu et Vanuatu.</w:t>
            </w:r>
          </w:p>
        </w:tc>
      </w:tr>
      <w:tr w:rsidR="00F241C3" w:rsidRPr="00314F31" w14:paraId="607147B7" w14:textId="77777777" w:rsidTr="008C75DC">
        <w:trPr>
          <w:trHeight w:val="300"/>
          <w:jc w:val="center"/>
        </w:trPr>
        <w:tc>
          <w:tcPr>
            <w:tcW w:w="2221" w:type="dxa"/>
          </w:tcPr>
          <w:p w14:paraId="2DB54649" w14:textId="77777777" w:rsidR="00F241C3" w:rsidRPr="00314F31" w:rsidRDefault="00F241C3" w:rsidP="008C75DC">
            <w:pPr>
              <w:pStyle w:val="Tabletext"/>
              <w:rPr>
                <w:rFonts w:eastAsiaTheme="minorEastAsia"/>
                <w:b/>
                <w:bCs/>
                <w:sz w:val="22"/>
                <w:szCs w:val="22"/>
                <w:lang w:val="fr-FR" w:eastAsia="en-GB"/>
              </w:rPr>
            </w:pPr>
            <w:r w:rsidRPr="00314F31">
              <w:rPr>
                <w:rFonts w:eastAsiaTheme="minorEastAsia"/>
                <w:b/>
                <w:bCs/>
                <w:sz w:val="22"/>
                <w:szCs w:val="22"/>
                <w:lang w:val="fr-FR" w:eastAsia="en-GB"/>
              </w:rPr>
              <w:t>Transformation numérique</w:t>
            </w:r>
          </w:p>
        </w:tc>
        <w:tc>
          <w:tcPr>
            <w:tcW w:w="3303" w:type="dxa"/>
          </w:tcPr>
          <w:p w14:paraId="1E562AF3" w14:textId="77777777" w:rsidR="00F241C3" w:rsidRPr="00314F31" w:rsidRDefault="00F241C3" w:rsidP="008C75DC">
            <w:pPr>
              <w:pStyle w:val="Tabletext"/>
              <w:rPr>
                <w:rFonts w:eastAsiaTheme="minorEastAsia"/>
                <w:sz w:val="22"/>
                <w:szCs w:val="22"/>
                <w:lang w:val="fr-FR" w:eastAsia="en-GB"/>
              </w:rPr>
            </w:pPr>
            <w:r w:rsidRPr="00314F31">
              <w:rPr>
                <w:rFonts w:eastAsiaTheme="minorEastAsia"/>
                <w:sz w:val="22"/>
                <w:szCs w:val="22"/>
                <w:lang w:val="fr-FR" w:eastAsia="en-GB"/>
              </w:rPr>
              <w:t>39 PMA, PDSL et PEID ont bénéficié d'un soutien:</w:t>
            </w:r>
          </w:p>
          <w:p w14:paraId="6ABA6A3E"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17 pays ont reçu une assistance technique;</w:t>
            </w:r>
          </w:p>
          <w:p w14:paraId="0C8AAEAF"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22 ont élaboré des cadres politiques et des supports d'information;</w:t>
            </w:r>
          </w:p>
          <w:p w14:paraId="3F5C211A"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 xml:space="preserve">des séances de sensibilisation ont été menées dans 6 pays. </w:t>
            </w:r>
          </w:p>
        </w:tc>
        <w:tc>
          <w:tcPr>
            <w:tcW w:w="4111" w:type="dxa"/>
          </w:tcPr>
          <w:p w14:paraId="4C6EBEC2" w14:textId="77777777" w:rsidR="00F241C3" w:rsidRPr="00314F31" w:rsidRDefault="00F241C3" w:rsidP="008C75DC">
            <w:pPr>
              <w:pStyle w:val="Tabletext"/>
              <w:rPr>
                <w:rFonts w:eastAsia="SimSun"/>
                <w:sz w:val="22"/>
                <w:szCs w:val="22"/>
                <w:lang w:val="fr-FR"/>
              </w:rPr>
            </w:pPr>
            <w:r w:rsidRPr="00314F31">
              <w:rPr>
                <w:rFonts w:eastAsiaTheme="minorEastAsia"/>
                <w:sz w:val="22"/>
                <w:szCs w:val="22"/>
                <w:lang w:val="fr-FR" w:eastAsia="en-GB"/>
              </w:rPr>
              <w:t>PMA:</w:t>
            </w:r>
            <w:r w:rsidRPr="00314F31">
              <w:rPr>
                <w:rFonts w:eastAsia="SimSun"/>
                <w:sz w:val="22"/>
                <w:szCs w:val="22"/>
                <w:lang w:val="fr-FR"/>
              </w:rPr>
              <w:t xml:space="preserve"> Bénin, Cambodge, Djibouti, Gambie, Kiribati, Lao (R.d.p.), Lesotho, Libéria, Malawi, Mali, Mauritanie, Mozambique, Niger, Rwanda, Sénégal, Somalie, Tanzanie et Zambie.</w:t>
            </w:r>
          </w:p>
          <w:p w14:paraId="4F98E9EC" w14:textId="77777777" w:rsidR="00F241C3" w:rsidRPr="00314F31" w:rsidRDefault="00F241C3" w:rsidP="008C75DC">
            <w:pPr>
              <w:pStyle w:val="Tabletext"/>
              <w:spacing w:before="80"/>
              <w:rPr>
                <w:rFonts w:eastAsia="SimSun"/>
                <w:sz w:val="22"/>
                <w:szCs w:val="22"/>
                <w:lang w:val="fr-FR"/>
              </w:rPr>
            </w:pPr>
            <w:r w:rsidRPr="00314F31">
              <w:rPr>
                <w:rFonts w:eastAsia="SimSun"/>
                <w:sz w:val="22"/>
                <w:szCs w:val="22"/>
                <w:lang w:val="fr-FR"/>
              </w:rPr>
              <w:t>PDSL:</w:t>
            </w:r>
            <w:r w:rsidRPr="00314F31">
              <w:rPr>
                <w:rFonts w:eastAsia="Calibri"/>
                <w:sz w:val="22"/>
                <w:szCs w:val="22"/>
                <w:lang w:val="fr-FR"/>
              </w:rPr>
              <w:t xml:space="preserve"> Arménie, Arabie saoudite, Bolivie, Eswatini, Kazakhstan, Kirghizistan, Lao (R.d.p.), Lesotho, Macédoine du Nord, Malawi, Mali, Moldova, Niger, Ouganda, Ouzbékistan, Rwanda, Tadjikistan, Turkménistan, Zambie et Zimbabwe.</w:t>
            </w:r>
          </w:p>
          <w:p w14:paraId="3852ED95" w14:textId="77777777" w:rsidR="00F241C3" w:rsidRPr="00314F31" w:rsidRDefault="00F241C3" w:rsidP="008C75DC">
            <w:pPr>
              <w:pStyle w:val="Tabletext"/>
              <w:widowControl w:val="0"/>
              <w:spacing w:before="80"/>
              <w:rPr>
                <w:rFonts w:eastAsia="SimSun"/>
                <w:sz w:val="22"/>
                <w:szCs w:val="22"/>
                <w:lang w:val="fr-FR"/>
              </w:rPr>
            </w:pPr>
            <w:r w:rsidRPr="00314F31">
              <w:rPr>
                <w:rFonts w:eastAsia="SimSun"/>
                <w:sz w:val="22"/>
                <w:szCs w:val="22"/>
                <w:lang w:val="fr-FR"/>
              </w:rPr>
              <w:t>PEID: Cabo Verde, Cuba, République dominicaine, Fidji, Kiribati, Îles Marshall, Maurice, Micronésie, Nauru, Papouasie-Nouvelle-Guinée, Saint-Kitts-et-Nevis, Îles Salomon, Samoa, Singapour, Tonga, Trinité</w:t>
            </w:r>
            <w:r w:rsidRPr="00314F31">
              <w:rPr>
                <w:rFonts w:eastAsia="SimSun"/>
                <w:sz w:val="22"/>
                <w:szCs w:val="22"/>
                <w:lang w:val="fr-FR"/>
              </w:rPr>
              <w:noBreakHyphen/>
              <w:t>et</w:t>
            </w:r>
            <w:r w:rsidRPr="00314F31">
              <w:rPr>
                <w:rFonts w:eastAsia="SimSun"/>
                <w:sz w:val="22"/>
                <w:szCs w:val="22"/>
                <w:lang w:val="fr-FR"/>
              </w:rPr>
              <w:noBreakHyphen/>
              <w:t>Tobago et Vanuatu.</w:t>
            </w:r>
          </w:p>
        </w:tc>
      </w:tr>
      <w:tr w:rsidR="00F241C3" w:rsidRPr="00314F31" w14:paraId="2EDAE53F" w14:textId="77777777" w:rsidTr="008C75DC">
        <w:trPr>
          <w:trHeight w:val="300"/>
          <w:jc w:val="center"/>
        </w:trPr>
        <w:tc>
          <w:tcPr>
            <w:tcW w:w="2221" w:type="dxa"/>
          </w:tcPr>
          <w:p w14:paraId="74D92878" w14:textId="77777777" w:rsidR="00F241C3" w:rsidRPr="00314F31" w:rsidRDefault="00F241C3" w:rsidP="00314F31">
            <w:pPr>
              <w:pStyle w:val="Tabletext"/>
              <w:keepNext/>
              <w:keepLines/>
              <w:rPr>
                <w:rFonts w:eastAsiaTheme="minorEastAsia"/>
                <w:b/>
                <w:bCs/>
                <w:sz w:val="22"/>
                <w:szCs w:val="22"/>
                <w:lang w:val="fr-FR" w:eastAsia="en-GB"/>
              </w:rPr>
            </w:pPr>
            <w:r w:rsidRPr="00314F31">
              <w:rPr>
                <w:rFonts w:eastAsiaTheme="minorEastAsia"/>
                <w:b/>
                <w:bCs/>
                <w:caps/>
                <w:sz w:val="22"/>
                <w:szCs w:val="22"/>
                <w:lang w:val="fr-FR"/>
              </w:rPr>
              <w:lastRenderedPageBreak/>
              <w:t>e</w:t>
            </w:r>
            <w:r w:rsidRPr="00314F31">
              <w:rPr>
                <w:rFonts w:eastAsiaTheme="minorEastAsia"/>
                <w:b/>
                <w:bCs/>
                <w:sz w:val="22"/>
                <w:szCs w:val="22"/>
                <w:lang w:val="fr-FR"/>
              </w:rPr>
              <w:t>nvironnement politique et réglementaire propice</w:t>
            </w:r>
          </w:p>
        </w:tc>
        <w:tc>
          <w:tcPr>
            <w:tcW w:w="3303" w:type="dxa"/>
          </w:tcPr>
          <w:p w14:paraId="49F28080" w14:textId="77777777" w:rsidR="00F241C3" w:rsidRPr="00314F31" w:rsidRDefault="00F241C3" w:rsidP="00314F31">
            <w:pPr>
              <w:pStyle w:val="Tabletext"/>
              <w:keepNext/>
              <w:keepLines/>
              <w:rPr>
                <w:rFonts w:eastAsiaTheme="minorEastAsia"/>
                <w:sz w:val="22"/>
                <w:szCs w:val="22"/>
                <w:lang w:val="fr-FR" w:eastAsia="en-GB"/>
              </w:rPr>
            </w:pPr>
            <w:r w:rsidRPr="00314F31">
              <w:rPr>
                <w:rFonts w:eastAsiaTheme="minorEastAsia"/>
                <w:sz w:val="22"/>
                <w:szCs w:val="22"/>
                <w:lang w:val="fr-FR" w:eastAsia="en-GB"/>
              </w:rPr>
              <w:t>46 PMA, PDSL et PEID ont bénéficié d'un soutien:</w:t>
            </w:r>
          </w:p>
          <w:p w14:paraId="7738808B" w14:textId="77777777" w:rsidR="00F241C3" w:rsidRPr="00314F31" w:rsidRDefault="00F241C3" w:rsidP="00314F31">
            <w:pPr>
              <w:pStyle w:val="enumlev1"/>
              <w:keepNext/>
              <w:keepLines/>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32 pays ont reçu une assistance technique;</w:t>
            </w:r>
          </w:p>
          <w:p w14:paraId="4DA850BA" w14:textId="77777777" w:rsidR="00F241C3" w:rsidRPr="00314F31" w:rsidRDefault="00F241C3" w:rsidP="00314F31">
            <w:pPr>
              <w:pStyle w:val="enumlev1"/>
              <w:keepNext/>
              <w:keepLines/>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14 ont élaboré des cadres politiques et des supports d'information;</w:t>
            </w:r>
          </w:p>
          <w:p w14:paraId="4D2DCFB4" w14:textId="77777777" w:rsidR="00F241C3" w:rsidRPr="00314F31" w:rsidRDefault="00F241C3" w:rsidP="00314F31">
            <w:pPr>
              <w:pStyle w:val="enumlev1"/>
              <w:keepNext/>
              <w:keepLines/>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des séances de sensibilisation ont été menées dans 6 pays;</w:t>
            </w:r>
          </w:p>
          <w:p w14:paraId="718607F3" w14:textId="77777777" w:rsidR="00F241C3" w:rsidRPr="00314F31" w:rsidRDefault="00F241C3" w:rsidP="00314F31">
            <w:pPr>
              <w:pStyle w:val="enumlev1"/>
              <w:keepNext/>
              <w:keepLines/>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une plate-forme fédératrice a été mise en place dans 3 pays.</w:t>
            </w:r>
          </w:p>
        </w:tc>
        <w:tc>
          <w:tcPr>
            <w:tcW w:w="4111" w:type="dxa"/>
          </w:tcPr>
          <w:p w14:paraId="3DEBF422" w14:textId="77777777" w:rsidR="00F241C3" w:rsidRPr="00314F31" w:rsidRDefault="00F241C3" w:rsidP="00314F31">
            <w:pPr>
              <w:pStyle w:val="Tabletext"/>
              <w:keepNext/>
              <w:keepLines/>
              <w:tabs>
                <w:tab w:val="clear" w:pos="3969"/>
              </w:tabs>
              <w:ind w:right="-11"/>
              <w:rPr>
                <w:rFonts w:eastAsiaTheme="minorEastAsia"/>
                <w:sz w:val="22"/>
                <w:szCs w:val="22"/>
                <w:lang w:val="fr-FR" w:eastAsia="en-GB"/>
              </w:rPr>
            </w:pPr>
            <w:r w:rsidRPr="00314F31">
              <w:rPr>
                <w:rFonts w:eastAsiaTheme="minorEastAsia"/>
                <w:sz w:val="22"/>
                <w:szCs w:val="22"/>
                <w:lang w:val="fr-FR" w:eastAsia="en-GB"/>
              </w:rPr>
              <w:t>PMA:</w:t>
            </w:r>
            <w:r w:rsidRPr="00314F31">
              <w:rPr>
                <w:rFonts w:eastAsia="Calibri"/>
                <w:sz w:val="22"/>
                <w:szCs w:val="22"/>
                <w:lang w:val="fr-FR"/>
              </w:rPr>
              <w:t xml:space="preserve"> Angola, Bénin, Burkina Faso, Burundi, Cambodge, République centrafricaine, Comores, Rép. dém. du Congo, Gambie, Guinée, Guinée-Bissau, Lao (R.d.p.), Lesotho, Libéria, Malawi, Mali, Mozambique, Népal, Niger, Rwanda, Sénégal, Sierra Leone, Îles Salomon, Somalie, Soudan du Sud, Tanzanie, Tchad, Timor-Leste, Togo et Zambie.</w:t>
            </w:r>
          </w:p>
          <w:p w14:paraId="200183C3" w14:textId="77777777" w:rsidR="00F241C3" w:rsidRPr="00314F31" w:rsidRDefault="00F241C3" w:rsidP="00314F31">
            <w:pPr>
              <w:pStyle w:val="Tabletext"/>
              <w:keepNext/>
              <w:keepLines/>
              <w:tabs>
                <w:tab w:val="clear" w:pos="3969"/>
              </w:tabs>
              <w:spacing w:before="80"/>
              <w:ind w:right="-109"/>
              <w:rPr>
                <w:rFonts w:eastAsiaTheme="minorEastAsia"/>
                <w:sz w:val="22"/>
                <w:szCs w:val="22"/>
                <w:lang w:val="fr-FR" w:eastAsia="en-GB"/>
              </w:rPr>
            </w:pPr>
            <w:r w:rsidRPr="00314F31">
              <w:rPr>
                <w:rFonts w:eastAsiaTheme="minorEastAsia"/>
                <w:sz w:val="22"/>
                <w:szCs w:val="22"/>
                <w:lang w:val="fr-FR" w:eastAsia="en-GB"/>
              </w:rPr>
              <w:t>PDSL:</w:t>
            </w:r>
            <w:r w:rsidRPr="00314F31">
              <w:rPr>
                <w:rFonts w:eastAsia="SimSun"/>
                <w:sz w:val="22"/>
                <w:szCs w:val="22"/>
                <w:lang w:val="fr-FR"/>
              </w:rPr>
              <w:t xml:space="preserve"> Arménie, Azerbaïdjan, Botswana, Burkina Faso, Burundi, République centrafricaine, Eswatini, Kazakhstan, Kirghizistan, Lao (R.d.p.), Lesotho, Macédoine du Nord, Malawi, Mali, Moldova, Mongolie, Népal (République du), Niger, Ouzbékistan, Rwanda, Soudan du Sud, Tadjikistan, Tchad, Zambie et Zimbabwe.</w:t>
            </w:r>
          </w:p>
          <w:p w14:paraId="75288749" w14:textId="77777777" w:rsidR="00F241C3" w:rsidRPr="00314F31" w:rsidRDefault="00F241C3" w:rsidP="00314F31">
            <w:pPr>
              <w:pStyle w:val="Tabletext"/>
              <w:keepNext/>
              <w:keepLines/>
              <w:tabs>
                <w:tab w:val="clear" w:pos="3969"/>
              </w:tabs>
              <w:spacing w:before="80"/>
              <w:rPr>
                <w:rFonts w:eastAsiaTheme="minorEastAsia"/>
                <w:sz w:val="22"/>
                <w:szCs w:val="22"/>
                <w:lang w:val="fr-FR" w:eastAsia="en-GB"/>
              </w:rPr>
            </w:pPr>
            <w:r w:rsidRPr="00314F31">
              <w:rPr>
                <w:rFonts w:eastAsiaTheme="minorEastAsia"/>
                <w:sz w:val="22"/>
                <w:szCs w:val="22"/>
                <w:lang w:val="fr-FR" w:eastAsia="en-GB"/>
              </w:rPr>
              <w:t>PEID:</w:t>
            </w:r>
            <w:r w:rsidRPr="00314F31">
              <w:rPr>
                <w:rFonts w:eastAsia="SimSun"/>
                <w:sz w:val="22"/>
                <w:szCs w:val="22"/>
                <w:lang w:val="fr-FR"/>
              </w:rPr>
              <w:t xml:space="preserve"> Antigua-et-Barbuda, Bahamas, Barbade, Belize, Cabo Verde, Comores, Dominique, Fidji, Grenade, Guyana, Guinée-Bissau, Jamaïque, Maurice, Papouasie</w:t>
            </w:r>
            <w:r w:rsidRPr="00314F31">
              <w:rPr>
                <w:rFonts w:eastAsia="SimSun"/>
                <w:sz w:val="22"/>
                <w:szCs w:val="22"/>
                <w:lang w:val="fr-FR"/>
              </w:rPr>
              <w:noBreakHyphen/>
              <w:t>Nouvelle-Guinée, Saint</w:t>
            </w:r>
            <w:r w:rsidRPr="00314F31">
              <w:rPr>
                <w:rFonts w:eastAsia="SimSun"/>
                <w:sz w:val="22"/>
                <w:szCs w:val="22"/>
                <w:lang w:val="fr-FR"/>
              </w:rPr>
              <w:noBreakHyphen/>
              <w:t>Kitts</w:t>
            </w:r>
            <w:r w:rsidRPr="00314F31">
              <w:rPr>
                <w:rFonts w:eastAsia="SimSun"/>
                <w:sz w:val="22"/>
                <w:szCs w:val="22"/>
                <w:lang w:val="fr-FR"/>
              </w:rPr>
              <w:noBreakHyphen/>
              <w:t>et</w:t>
            </w:r>
            <w:r w:rsidRPr="00314F31">
              <w:rPr>
                <w:rFonts w:eastAsia="SimSun"/>
                <w:sz w:val="22"/>
                <w:szCs w:val="22"/>
                <w:lang w:val="fr-FR"/>
              </w:rPr>
              <w:noBreakHyphen/>
              <w:t>Nevis, Sainte-Lucie, Saint</w:t>
            </w:r>
            <w:r w:rsidRPr="00314F31">
              <w:rPr>
                <w:rFonts w:eastAsia="SimSun"/>
                <w:sz w:val="22"/>
                <w:szCs w:val="22"/>
                <w:lang w:val="fr-FR"/>
              </w:rPr>
              <w:noBreakHyphen/>
              <w:t>Vincent-et-les-Grenadines, Sao Tomé-et-Principe, Seychelles, Singapour, Îles Salomon, Suriname, Timor</w:t>
            </w:r>
            <w:r w:rsidRPr="00314F31">
              <w:rPr>
                <w:rFonts w:eastAsia="SimSun"/>
                <w:sz w:val="22"/>
                <w:szCs w:val="22"/>
                <w:lang w:val="fr-FR"/>
              </w:rPr>
              <w:noBreakHyphen/>
              <w:t>Leste et Trinité</w:t>
            </w:r>
            <w:r w:rsidRPr="00314F31">
              <w:rPr>
                <w:rFonts w:eastAsia="SimSun"/>
                <w:sz w:val="22"/>
                <w:szCs w:val="22"/>
                <w:lang w:val="fr-FR"/>
              </w:rPr>
              <w:noBreakHyphen/>
              <w:t>et</w:t>
            </w:r>
            <w:r w:rsidRPr="00314F31">
              <w:rPr>
                <w:rFonts w:eastAsia="SimSun"/>
                <w:sz w:val="22"/>
                <w:szCs w:val="22"/>
                <w:lang w:val="fr-FR"/>
              </w:rPr>
              <w:noBreakHyphen/>
              <w:t>Tobago.</w:t>
            </w:r>
          </w:p>
        </w:tc>
      </w:tr>
      <w:tr w:rsidR="00F241C3" w:rsidRPr="00314F31" w14:paraId="4B175602" w14:textId="77777777" w:rsidTr="008C75DC">
        <w:trPr>
          <w:trHeight w:val="300"/>
          <w:jc w:val="center"/>
        </w:trPr>
        <w:tc>
          <w:tcPr>
            <w:tcW w:w="2221" w:type="dxa"/>
          </w:tcPr>
          <w:p w14:paraId="1E9960C1" w14:textId="77777777" w:rsidR="00F241C3" w:rsidRPr="00314F31" w:rsidRDefault="00F241C3" w:rsidP="008C75DC">
            <w:pPr>
              <w:pStyle w:val="Tabletext"/>
              <w:rPr>
                <w:rFonts w:eastAsiaTheme="minorEastAsia"/>
                <w:b/>
                <w:bCs/>
                <w:sz w:val="22"/>
                <w:szCs w:val="22"/>
                <w:lang w:val="fr-FR" w:eastAsia="en-GB"/>
              </w:rPr>
            </w:pPr>
            <w:r w:rsidRPr="00314F31">
              <w:rPr>
                <w:rFonts w:eastAsiaTheme="minorEastAsia"/>
                <w:b/>
                <w:bCs/>
                <w:sz w:val="22"/>
                <w:szCs w:val="22"/>
                <w:lang w:val="fr-FR" w:eastAsia="en-GB"/>
              </w:rPr>
              <w:t>Mobilisation de ressources et coopération internationale</w:t>
            </w:r>
          </w:p>
        </w:tc>
        <w:tc>
          <w:tcPr>
            <w:tcW w:w="3303" w:type="dxa"/>
          </w:tcPr>
          <w:p w14:paraId="7D218ECC" w14:textId="77777777" w:rsidR="00F241C3" w:rsidRPr="00314F31" w:rsidRDefault="00F241C3" w:rsidP="008C75DC">
            <w:pPr>
              <w:pStyle w:val="Tabletext"/>
              <w:rPr>
                <w:rFonts w:eastAsiaTheme="minorEastAsia" w:cstheme="minorBidi"/>
                <w:sz w:val="22"/>
                <w:szCs w:val="22"/>
                <w:lang w:val="fr-FR" w:eastAsia="en-GB"/>
              </w:rPr>
            </w:pPr>
            <w:r w:rsidRPr="00314F31">
              <w:rPr>
                <w:rFonts w:eastAsiaTheme="minorEastAsia" w:cstheme="minorBidi"/>
                <w:sz w:val="22"/>
                <w:szCs w:val="22"/>
                <w:lang w:val="fr-FR" w:eastAsia="en-GB"/>
              </w:rPr>
              <w:t>7 PMA, PDSL et PEID ont bénéficié d'un soutien:</w:t>
            </w:r>
          </w:p>
          <w:p w14:paraId="0B701B47"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 xml:space="preserve">6 pays ont bénéficié d'une coopération; dont </w:t>
            </w:r>
          </w:p>
          <w:p w14:paraId="66D32D4F"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4 ont reçu une aide au niveau national de la part du système des Nations Unies pour le développement.</w:t>
            </w:r>
          </w:p>
          <w:p w14:paraId="4E7E2A95" w14:textId="77777777" w:rsidR="00F241C3" w:rsidRPr="00314F31" w:rsidRDefault="00F241C3" w:rsidP="008C75DC">
            <w:pPr>
              <w:pStyle w:val="Tabletext"/>
              <w:keepLines/>
              <w:rPr>
                <w:rFonts w:eastAsiaTheme="minorEastAsia"/>
                <w:sz w:val="22"/>
                <w:szCs w:val="22"/>
                <w:lang w:val="fr-FR" w:eastAsia="en-GB"/>
              </w:rPr>
            </w:pPr>
            <w:r w:rsidRPr="00314F31">
              <w:rPr>
                <w:rFonts w:eastAsiaTheme="minorEastAsia"/>
                <w:sz w:val="22"/>
                <w:szCs w:val="22"/>
                <w:lang w:val="fr-FR" w:eastAsia="en-GB"/>
              </w:rPr>
              <w:t>Les partenariats comprenaient des actions de plaidoyer politique, une assistance technique et un financement durable, de façon à assurer une inclusion numérique équitable et une intégration régionale.</w:t>
            </w:r>
          </w:p>
        </w:tc>
        <w:tc>
          <w:tcPr>
            <w:tcW w:w="4111" w:type="dxa"/>
          </w:tcPr>
          <w:p w14:paraId="59346BC5" w14:textId="77777777" w:rsidR="00F241C3" w:rsidRPr="00314F31" w:rsidRDefault="00F241C3" w:rsidP="008C75DC">
            <w:pPr>
              <w:pStyle w:val="Tabletext"/>
              <w:rPr>
                <w:rFonts w:eastAsiaTheme="minorEastAsia"/>
                <w:sz w:val="22"/>
                <w:szCs w:val="22"/>
                <w:lang w:val="fr-FR" w:eastAsia="en-GB"/>
              </w:rPr>
            </w:pPr>
            <w:r w:rsidRPr="00314F31">
              <w:rPr>
                <w:rFonts w:eastAsiaTheme="minorEastAsia"/>
                <w:sz w:val="22"/>
                <w:szCs w:val="22"/>
                <w:lang w:val="fr-FR" w:eastAsia="en-GB"/>
              </w:rPr>
              <w:t>République dominicaine, Éthiopie, Macédoine du Nord, Maurice, Moldova, Rwanda et Seychelles.</w:t>
            </w:r>
          </w:p>
        </w:tc>
      </w:tr>
      <w:tr w:rsidR="00F241C3" w:rsidRPr="00314F31" w14:paraId="5B57206D" w14:textId="77777777" w:rsidTr="008C75DC">
        <w:trPr>
          <w:trHeight w:val="300"/>
          <w:jc w:val="center"/>
        </w:trPr>
        <w:tc>
          <w:tcPr>
            <w:tcW w:w="2221" w:type="dxa"/>
          </w:tcPr>
          <w:p w14:paraId="594B64B7" w14:textId="77777777" w:rsidR="00F241C3" w:rsidRPr="00314F31" w:rsidRDefault="00F241C3" w:rsidP="008C75DC">
            <w:pPr>
              <w:pStyle w:val="Tabletext"/>
              <w:keepLines/>
              <w:rPr>
                <w:rFonts w:eastAsiaTheme="minorEastAsia"/>
                <w:b/>
                <w:bCs/>
                <w:sz w:val="22"/>
                <w:szCs w:val="22"/>
                <w:lang w:val="fr-FR" w:eastAsia="en-GB"/>
              </w:rPr>
            </w:pPr>
            <w:r w:rsidRPr="00314F31">
              <w:rPr>
                <w:rFonts w:eastAsiaTheme="minorEastAsia"/>
                <w:b/>
                <w:bCs/>
                <w:sz w:val="22"/>
                <w:szCs w:val="22"/>
                <w:lang w:val="fr-FR" w:eastAsia="en-GB"/>
              </w:rPr>
              <w:lastRenderedPageBreak/>
              <w:t>T</w:t>
            </w:r>
            <w:r w:rsidRPr="00314F31">
              <w:rPr>
                <w:rFonts w:eastAsiaTheme="minorEastAsia"/>
                <w:b/>
                <w:bCs/>
                <w:sz w:val="22"/>
                <w:szCs w:val="22"/>
                <w:lang w:val="fr-FR"/>
              </w:rPr>
              <w:t>élécommunications/</w:t>
            </w:r>
            <w:r w:rsidRPr="00314F31">
              <w:rPr>
                <w:rFonts w:eastAsiaTheme="minorEastAsia"/>
                <w:b/>
                <w:bCs/>
                <w:sz w:val="22"/>
                <w:szCs w:val="22"/>
                <w:lang w:val="fr-FR"/>
              </w:rPr>
              <w:br/>
              <w:t>TIC inclusives et sûres au service du développement durable</w:t>
            </w:r>
          </w:p>
        </w:tc>
        <w:tc>
          <w:tcPr>
            <w:tcW w:w="3303" w:type="dxa"/>
          </w:tcPr>
          <w:p w14:paraId="3C63A017" w14:textId="77777777" w:rsidR="00F241C3" w:rsidRPr="00314F31" w:rsidRDefault="00F241C3" w:rsidP="008C75DC">
            <w:pPr>
              <w:pStyle w:val="Tabletext"/>
              <w:keepLines/>
              <w:rPr>
                <w:rFonts w:eastAsiaTheme="minorEastAsia" w:cstheme="minorBidi"/>
                <w:sz w:val="22"/>
                <w:szCs w:val="22"/>
                <w:lang w:val="fr-FR" w:eastAsia="en-GB"/>
              </w:rPr>
            </w:pPr>
            <w:r w:rsidRPr="00314F31">
              <w:rPr>
                <w:rFonts w:eastAsiaTheme="minorEastAsia" w:cstheme="minorBidi"/>
                <w:sz w:val="22"/>
                <w:szCs w:val="22"/>
                <w:lang w:val="fr-FR" w:eastAsia="en-GB"/>
              </w:rPr>
              <w:t>40 PMA, PDSL et PEID ont bénéficié d'un soutien:</w:t>
            </w:r>
          </w:p>
          <w:p w14:paraId="55016380" w14:textId="77777777" w:rsidR="00F241C3" w:rsidRPr="00314F31" w:rsidRDefault="00F241C3" w:rsidP="008C75DC">
            <w:pPr>
              <w:pStyle w:val="enumlev1"/>
              <w:keepLines/>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11 pays ont reçu une assistance technique;</w:t>
            </w:r>
          </w:p>
          <w:p w14:paraId="31531AD7" w14:textId="77777777" w:rsidR="00F241C3" w:rsidRPr="00314F31" w:rsidRDefault="00F241C3" w:rsidP="008C75DC">
            <w:pPr>
              <w:pStyle w:val="enumlev1"/>
              <w:keepLines/>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28 ont élaboré des cadres politiques et des supports d'information;</w:t>
            </w:r>
          </w:p>
          <w:p w14:paraId="5C396ED0" w14:textId="77777777" w:rsidR="00F241C3" w:rsidRPr="00314F31" w:rsidRDefault="00F241C3" w:rsidP="008C75DC">
            <w:pPr>
              <w:pStyle w:val="enumlev1"/>
              <w:keepLines/>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des séances de sensibilisation ont été menées dans 5 pays;</w:t>
            </w:r>
          </w:p>
          <w:p w14:paraId="225D110F" w14:textId="77777777" w:rsidR="00F241C3" w:rsidRPr="00314F31" w:rsidRDefault="00F241C3" w:rsidP="008C75DC">
            <w:pPr>
              <w:pStyle w:val="enumlev1"/>
              <w:keepLines/>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 xml:space="preserve">des plates-formes fédératrices ont été mises en place dans 2 pays. </w:t>
            </w:r>
          </w:p>
        </w:tc>
        <w:tc>
          <w:tcPr>
            <w:tcW w:w="4111" w:type="dxa"/>
          </w:tcPr>
          <w:p w14:paraId="67642AB6" w14:textId="77777777" w:rsidR="00F241C3" w:rsidRPr="00314F31" w:rsidRDefault="00F241C3" w:rsidP="008C75DC">
            <w:pPr>
              <w:pStyle w:val="Tabletext"/>
              <w:keepLines/>
              <w:rPr>
                <w:rFonts w:eastAsiaTheme="minorEastAsia"/>
                <w:sz w:val="22"/>
                <w:szCs w:val="22"/>
                <w:lang w:val="fr-FR" w:eastAsia="en-GB"/>
              </w:rPr>
            </w:pPr>
            <w:r w:rsidRPr="00314F31">
              <w:rPr>
                <w:rFonts w:eastAsiaTheme="minorEastAsia"/>
                <w:sz w:val="22"/>
                <w:szCs w:val="22"/>
                <w:lang w:val="fr-FR" w:eastAsia="en-GB"/>
              </w:rPr>
              <w:t>PMA: Angola, Bénin, Burkina Faso, Burundi, Cambodge, République centrafricaine, Comores, Rép. dém. du Congo, Djibouti, Éthiopie, Gambie, Guinée, Guinée-Bissau, Kiribati, Lesotho, Libéria, Madagascar, Malawi, Mali, Mauritanie, Mozambique, Ouganda, Niger, Rwanda (République du), Sénégal, Sierra Leone, Somalie, Soudan, Soudan du Sud, Tanzanie, Tchad, Timor-Leste, Togo et Zambie.</w:t>
            </w:r>
          </w:p>
          <w:p w14:paraId="08C78626" w14:textId="77777777" w:rsidR="00F241C3" w:rsidRPr="00314F31" w:rsidRDefault="00F241C3" w:rsidP="008C75DC">
            <w:pPr>
              <w:pStyle w:val="Tabletext"/>
              <w:keepLines/>
              <w:tabs>
                <w:tab w:val="clear" w:pos="3969"/>
              </w:tabs>
              <w:spacing w:before="80"/>
              <w:ind w:right="-109"/>
              <w:rPr>
                <w:rFonts w:eastAsiaTheme="minorEastAsia"/>
                <w:sz w:val="22"/>
                <w:szCs w:val="22"/>
                <w:lang w:val="fr-FR" w:eastAsia="en-GB"/>
              </w:rPr>
            </w:pPr>
            <w:r w:rsidRPr="00314F31">
              <w:rPr>
                <w:rFonts w:eastAsiaTheme="minorEastAsia"/>
                <w:sz w:val="22"/>
                <w:szCs w:val="22"/>
                <w:lang w:val="fr-FR" w:eastAsia="en-GB"/>
              </w:rPr>
              <w:t>PDSL: Arménie, Azerbaïdjan, Bhoutan, Botswana, Burkina Faso, Burundi, République centrafricaine, Éthiopie, Eswatini, Kazakhstan, Kirghizistan, Lesotho, Macédoine du Nord, Malawi, Mali, Moldova, Mongolie, Niger, Ouganda, Ouzbékistan, Rwanda, Soudan du Sud, Tadjikistan, Tchad, Turkménistan, Zambie et Zimbabwe.</w:t>
            </w:r>
          </w:p>
          <w:p w14:paraId="69722736" w14:textId="77777777" w:rsidR="00F241C3" w:rsidRPr="00314F31" w:rsidRDefault="00F241C3" w:rsidP="008C75DC">
            <w:pPr>
              <w:pStyle w:val="Tabletext"/>
              <w:keepLines/>
              <w:tabs>
                <w:tab w:val="clear" w:pos="3969"/>
              </w:tabs>
              <w:spacing w:before="80"/>
              <w:ind w:right="-109"/>
              <w:rPr>
                <w:rFonts w:eastAsiaTheme="minorEastAsia"/>
                <w:sz w:val="22"/>
                <w:szCs w:val="22"/>
                <w:lang w:val="fr-FR" w:eastAsia="en-GB"/>
              </w:rPr>
            </w:pPr>
            <w:r w:rsidRPr="00314F31">
              <w:rPr>
                <w:rFonts w:eastAsiaTheme="minorEastAsia"/>
                <w:sz w:val="22"/>
                <w:szCs w:val="22"/>
                <w:lang w:val="fr-FR" w:eastAsia="en-GB"/>
              </w:rPr>
              <w:t>PEID: Cabo Verde, Comores, Guinée-Bissau, Kiribati, Maldives, Maurice, Palaos, Sao Tomé-et-Principe, Seychelles et Timor-Leste.</w:t>
            </w:r>
          </w:p>
        </w:tc>
      </w:tr>
      <w:tr w:rsidR="00F241C3" w:rsidRPr="00314F31" w14:paraId="301313A2" w14:textId="77777777" w:rsidTr="008C75DC">
        <w:trPr>
          <w:trHeight w:val="300"/>
          <w:jc w:val="center"/>
        </w:trPr>
        <w:tc>
          <w:tcPr>
            <w:tcW w:w="2221" w:type="dxa"/>
          </w:tcPr>
          <w:p w14:paraId="3883DF52" w14:textId="77777777" w:rsidR="00F241C3" w:rsidRPr="00314F31" w:rsidRDefault="00F241C3" w:rsidP="008C75DC">
            <w:pPr>
              <w:pStyle w:val="Tabletext"/>
              <w:keepLines/>
              <w:rPr>
                <w:rFonts w:eastAsiaTheme="minorEastAsia"/>
                <w:b/>
                <w:bCs/>
                <w:sz w:val="22"/>
                <w:szCs w:val="22"/>
                <w:lang w:val="fr-FR" w:eastAsia="en-GB"/>
              </w:rPr>
            </w:pPr>
            <w:r w:rsidRPr="00314F31">
              <w:rPr>
                <w:rFonts w:eastAsiaTheme="minorEastAsia"/>
                <w:b/>
                <w:bCs/>
                <w:sz w:val="22"/>
                <w:szCs w:val="22"/>
                <w:lang w:val="fr-FR" w:eastAsia="en-GB"/>
              </w:rPr>
              <w:t>Diversité et inclusion</w:t>
            </w:r>
          </w:p>
        </w:tc>
        <w:tc>
          <w:tcPr>
            <w:tcW w:w="3303" w:type="dxa"/>
          </w:tcPr>
          <w:p w14:paraId="361B31F1" w14:textId="77777777" w:rsidR="00F241C3" w:rsidRPr="00314F31" w:rsidRDefault="00F241C3" w:rsidP="008C75DC">
            <w:pPr>
              <w:pStyle w:val="Tabletext"/>
              <w:keepLines/>
              <w:rPr>
                <w:rFonts w:eastAsiaTheme="minorEastAsia" w:cstheme="minorBidi"/>
                <w:sz w:val="22"/>
                <w:szCs w:val="22"/>
                <w:lang w:val="fr-FR" w:eastAsia="en-GB"/>
              </w:rPr>
            </w:pPr>
            <w:r w:rsidRPr="00314F31">
              <w:rPr>
                <w:rFonts w:eastAsiaTheme="minorEastAsia" w:cstheme="minorBidi"/>
                <w:sz w:val="22"/>
                <w:szCs w:val="22"/>
                <w:lang w:val="fr-FR" w:eastAsia="en-GB"/>
              </w:rPr>
              <w:t xml:space="preserve">21 PMA, PDSL et PEID ont bénéficié d'un soutien: </w:t>
            </w:r>
          </w:p>
          <w:p w14:paraId="4C57CCA2"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10 pays ont reçu une assistance technique;</w:t>
            </w:r>
          </w:p>
          <w:p w14:paraId="5F5233C6"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11 ont élaboré des cadres politiques et des supports d'information;</w:t>
            </w:r>
          </w:p>
          <w:p w14:paraId="6F99135C"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des séances de sensibilisation ont été menées dans 7 pays;</w:t>
            </w:r>
          </w:p>
          <w:p w14:paraId="5E88A7DB" w14:textId="77777777" w:rsidR="00F241C3" w:rsidRPr="00314F31" w:rsidRDefault="00F241C3" w:rsidP="008C75DC">
            <w:pPr>
              <w:pStyle w:val="enumlev1"/>
              <w:tabs>
                <w:tab w:val="clear" w:pos="1134"/>
              </w:tabs>
              <w:spacing w:before="40" w:after="40"/>
              <w:ind w:left="501" w:hanging="473"/>
              <w:rPr>
                <w:rFonts w:eastAsiaTheme="minorEastAsia"/>
                <w:sz w:val="22"/>
                <w:szCs w:val="22"/>
                <w:lang w:val="fr-FR" w:eastAsia="en-GB"/>
              </w:rPr>
            </w:pPr>
            <w:r w:rsidRPr="00314F31">
              <w:rPr>
                <w:rFonts w:eastAsiaTheme="minorEastAsia"/>
                <w:sz w:val="22"/>
                <w:szCs w:val="22"/>
                <w:lang w:val="fr-FR" w:eastAsia="en-GB"/>
              </w:rPr>
              <w:t>•</w:t>
            </w:r>
            <w:r w:rsidRPr="00314F31">
              <w:rPr>
                <w:rFonts w:eastAsiaTheme="minorEastAsia"/>
                <w:sz w:val="22"/>
                <w:szCs w:val="22"/>
                <w:lang w:val="fr-FR" w:eastAsia="en-GB"/>
              </w:rPr>
              <w:tab/>
              <w:t>des plates-formes fédératrices ont été mises en place dans 11 pays.</w:t>
            </w:r>
          </w:p>
        </w:tc>
        <w:tc>
          <w:tcPr>
            <w:tcW w:w="4111" w:type="dxa"/>
          </w:tcPr>
          <w:p w14:paraId="3B9C6B14" w14:textId="77777777" w:rsidR="00F241C3" w:rsidRPr="00314F31" w:rsidRDefault="00F241C3" w:rsidP="008C75DC">
            <w:pPr>
              <w:pStyle w:val="Tabletext"/>
              <w:keepLines/>
              <w:rPr>
                <w:rFonts w:eastAsiaTheme="minorEastAsia"/>
                <w:sz w:val="22"/>
                <w:szCs w:val="22"/>
                <w:lang w:val="fr-FR" w:eastAsia="en-GB"/>
              </w:rPr>
            </w:pPr>
            <w:r w:rsidRPr="00314F31">
              <w:rPr>
                <w:rFonts w:eastAsiaTheme="minorEastAsia"/>
                <w:sz w:val="22"/>
                <w:szCs w:val="22"/>
                <w:lang w:val="fr-FR" w:eastAsia="en-GB"/>
              </w:rPr>
              <w:t>PMA: Burundi, Cambodge, Comores, Djibouti, Éthiopie, Kiribati, Lao (R.d.p.), Mauritanie, Népal, Somalie, Soudan, Timor</w:t>
            </w:r>
            <w:r w:rsidRPr="00314F31">
              <w:rPr>
                <w:rFonts w:eastAsiaTheme="minorEastAsia"/>
                <w:sz w:val="22"/>
                <w:szCs w:val="22"/>
                <w:lang w:val="fr-FR" w:eastAsia="en-GB"/>
              </w:rPr>
              <w:noBreakHyphen/>
              <w:t>Leste et Yémen.</w:t>
            </w:r>
          </w:p>
          <w:p w14:paraId="7AC4B508" w14:textId="77777777" w:rsidR="00F241C3" w:rsidRPr="00314F31" w:rsidRDefault="00F241C3" w:rsidP="008C75DC">
            <w:pPr>
              <w:pStyle w:val="Tabletext"/>
              <w:keepLines/>
              <w:spacing w:before="80"/>
              <w:rPr>
                <w:rFonts w:eastAsiaTheme="minorEastAsia"/>
                <w:sz w:val="22"/>
                <w:szCs w:val="22"/>
                <w:lang w:val="fr-FR" w:eastAsia="en-GB"/>
              </w:rPr>
            </w:pPr>
            <w:r w:rsidRPr="00314F31">
              <w:rPr>
                <w:rFonts w:eastAsiaTheme="minorEastAsia"/>
                <w:sz w:val="22"/>
                <w:szCs w:val="22"/>
                <w:lang w:val="fr-FR" w:eastAsia="en-GB"/>
              </w:rPr>
              <w:t>PDSL: Arménie, Burundi, Éthiopie, Kirghizistan, Lao (R.d.p.), Moldova, Népal et Ouzbékistan.</w:t>
            </w:r>
          </w:p>
          <w:p w14:paraId="6761DAC8" w14:textId="77777777" w:rsidR="00F241C3" w:rsidRPr="00314F31" w:rsidRDefault="00F241C3" w:rsidP="008C75DC">
            <w:pPr>
              <w:pStyle w:val="Tabletext"/>
              <w:keepLines/>
              <w:spacing w:before="80"/>
              <w:rPr>
                <w:rFonts w:eastAsiaTheme="minorEastAsia"/>
                <w:sz w:val="22"/>
                <w:szCs w:val="22"/>
                <w:lang w:val="fr-FR" w:eastAsia="en-GB"/>
              </w:rPr>
            </w:pPr>
            <w:r w:rsidRPr="00314F31">
              <w:rPr>
                <w:rFonts w:eastAsiaTheme="minorEastAsia"/>
                <w:sz w:val="22"/>
                <w:szCs w:val="22"/>
                <w:lang w:val="fr-FR" w:eastAsia="en-GB"/>
              </w:rPr>
              <w:t>PEID: Comores, Fidji, Kiribati, Micronésie, Nauru, Timor-Leste et Tonga.</w:t>
            </w:r>
          </w:p>
        </w:tc>
      </w:tr>
    </w:tbl>
    <w:p w14:paraId="66E4F3AF" w14:textId="77777777" w:rsidR="00F241C3" w:rsidRPr="00314F31" w:rsidRDefault="00F241C3" w:rsidP="00F241C3">
      <w:pPr>
        <w:pStyle w:val="Note"/>
        <w:rPr>
          <w:lang w:val="fr-FR"/>
        </w:rPr>
      </w:pPr>
      <w:r w:rsidRPr="00314F31">
        <w:rPr>
          <w:rFonts w:eastAsia="SimSun"/>
          <w:lang w:val="fr-FR"/>
        </w:rPr>
        <w:t xml:space="preserve">Note: on trouvera de plus amples renseignements dans le Document </w:t>
      </w:r>
      <w:hyperlink r:id="rId40">
        <w:r w:rsidRPr="00314F31">
          <w:rPr>
            <w:rStyle w:val="Hyperlink"/>
            <w:rFonts w:ascii="Calibri" w:eastAsia="SimSun" w:hAnsi="Calibri" w:cs="Calibri"/>
            <w:lang w:val="fr-FR"/>
          </w:rPr>
          <w:t>WTDC-25/2</w:t>
        </w:r>
      </w:hyperlink>
      <w:r w:rsidRPr="00314F31">
        <w:rPr>
          <w:lang w:val="fr-FR"/>
        </w:rPr>
        <w:t>.</w:t>
      </w:r>
      <w:r w:rsidRPr="00314F31">
        <w:rPr>
          <w:lang w:val="fr-FR"/>
        </w:rPr>
        <w:br w:type="page"/>
      </w:r>
    </w:p>
    <w:p w14:paraId="78656580" w14:textId="77777777" w:rsidR="00F241C3" w:rsidRPr="00314F31" w:rsidDel="00EE6E87" w:rsidRDefault="00F241C3" w:rsidP="00F241C3">
      <w:pPr>
        <w:pStyle w:val="Annextitle"/>
        <w:rPr>
          <w:rFonts w:eastAsia="SimSun"/>
          <w:lang w:val="fr-FR"/>
        </w:rPr>
      </w:pPr>
      <w:r w:rsidRPr="00314F31">
        <w:rPr>
          <w:rFonts w:eastAsia="SimSun"/>
          <w:sz w:val="24"/>
          <w:szCs w:val="18"/>
          <w:lang w:val="fr-FR"/>
        </w:rPr>
        <w:lastRenderedPageBreak/>
        <w:t>Annexe 2 – Aperçu des projets mis en œuvre dans</w:t>
      </w:r>
      <w:r w:rsidRPr="00314F31">
        <w:rPr>
          <w:rFonts w:eastAsia="SimSun"/>
          <w:sz w:val="24"/>
          <w:szCs w:val="18"/>
          <w:lang w:val="fr-FR"/>
        </w:rPr>
        <w:br/>
        <w:t>les PMA, les PDSL et les PEID (2023-2025)</w:t>
      </w:r>
    </w:p>
    <w:p w14:paraId="64F3D30A" w14:textId="77777777" w:rsidR="00F241C3" w:rsidRPr="00314F31" w:rsidDel="00EE6E87" w:rsidRDefault="00F241C3" w:rsidP="00314F31">
      <w:pPr>
        <w:pStyle w:val="Headingb"/>
        <w:tabs>
          <w:tab w:val="clear" w:pos="1134"/>
          <w:tab w:val="left" w:pos="567"/>
        </w:tabs>
        <w:spacing w:after="240"/>
        <w:rPr>
          <w:rFonts w:eastAsia="SimSun"/>
          <w:b w:val="0"/>
          <w:bCs/>
          <w:lang w:val="fr-FR"/>
        </w:rPr>
      </w:pPr>
      <w:r w:rsidRPr="00314F31">
        <w:rPr>
          <w:rFonts w:eastAsia="SimSun"/>
          <w:b w:val="0"/>
          <w:bCs/>
          <w:lang w:val="fr-FR"/>
        </w:rPr>
        <w:t>A</w:t>
      </w:r>
      <w:r w:rsidRPr="00314F31">
        <w:rPr>
          <w:rFonts w:eastAsia="SimSun"/>
          <w:b w:val="0"/>
          <w:bCs/>
          <w:lang w:val="fr-FR"/>
        </w:rPr>
        <w:tab/>
      </w:r>
      <w:r w:rsidRPr="00314F31">
        <w:rPr>
          <w:rFonts w:eastAsia="SimSun"/>
          <w:b w:val="0"/>
          <w:bCs/>
          <w:u w:val="single"/>
          <w:lang w:val="fr-FR"/>
        </w:rPr>
        <w:t>Projets en cours et projets mis en œuvre dans les PMA pendant la période 2023-2025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976"/>
        <w:gridCol w:w="1418"/>
        <w:gridCol w:w="3103"/>
      </w:tblGrid>
      <w:tr w:rsidR="00F241C3" w:rsidRPr="00314F31" w14:paraId="2C9C6CF1" w14:textId="77777777" w:rsidTr="008C75DC">
        <w:trPr>
          <w:trHeight w:val="300"/>
          <w:tblHeader/>
        </w:trPr>
        <w:tc>
          <w:tcPr>
            <w:tcW w:w="562" w:type="dxa"/>
            <w:shd w:val="clear" w:color="auto" w:fill="D9D9D9" w:themeFill="background1" w:themeFillShade="D9"/>
            <w:tcMar>
              <w:left w:w="108" w:type="dxa"/>
              <w:right w:w="108" w:type="dxa"/>
            </w:tcMar>
            <w:vAlign w:val="center"/>
          </w:tcPr>
          <w:p w14:paraId="78F40411" w14:textId="77777777" w:rsidR="00F241C3" w:rsidRPr="00314F31" w:rsidRDefault="00F241C3" w:rsidP="008C75DC">
            <w:pPr>
              <w:pStyle w:val="Tablehead"/>
              <w:rPr>
                <w:rFonts w:eastAsia="SimSun"/>
                <w:sz w:val="22"/>
                <w:szCs w:val="22"/>
                <w:lang w:val="fr-FR"/>
              </w:rPr>
            </w:pPr>
          </w:p>
        </w:tc>
        <w:tc>
          <w:tcPr>
            <w:tcW w:w="1560" w:type="dxa"/>
            <w:shd w:val="clear" w:color="auto" w:fill="D9D9D9" w:themeFill="background1" w:themeFillShade="D9"/>
            <w:tcMar>
              <w:left w:w="108" w:type="dxa"/>
              <w:right w:w="108" w:type="dxa"/>
            </w:tcMar>
            <w:vAlign w:val="center"/>
          </w:tcPr>
          <w:p w14:paraId="444CED6C" w14:textId="77777777" w:rsidR="00F241C3" w:rsidRPr="00314F31" w:rsidRDefault="00F241C3" w:rsidP="008C75DC">
            <w:pPr>
              <w:pStyle w:val="Tablehead"/>
              <w:rPr>
                <w:rFonts w:eastAsia="SimSun"/>
                <w:sz w:val="22"/>
                <w:szCs w:val="22"/>
                <w:lang w:val="fr-FR"/>
              </w:rPr>
            </w:pPr>
            <w:r w:rsidRPr="00314F31">
              <w:rPr>
                <w:rFonts w:eastAsia="SimSun"/>
                <w:sz w:val="22"/>
                <w:szCs w:val="22"/>
                <w:lang w:val="fr-FR"/>
              </w:rPr>
              <w:t>N</w:t>
            </w:r>
            <w:r w:rsidRPr="00314F31">
              <w:rPr>
                <w:rFonts w:eastAsia="SimSun"/>
                <w:sz w:val="22"/>
                <w:szCs w:val="22"/>
                <w:vertAlign w:val="superscript"/>
                <w:lang w:val="fr-FR"/>
              </w:rPr>
              <w:t>o</w:t>
            </w:r>
            <w:r w:rsidRPr="00314F31">
              <w:rPr>
                <w:rFonts w:eastAsia="SimSun"/>
                <w:sz w:val="22"/>
                <w:szCs w:val="22"/>
                <w:lang w:val="fr-FR"/>
              </w:rPr>
              <w:t xml:space="preserve"> de projet</w:t>
            </w:r>
          </w:p>
        </w:tc>
        <w:tc>
          <w:tcPr>
            <w:tcW w:w="2976" w:type="dxa"/>
            <w:shd w:val="clear" w:color="auto" w:fill="D9D9D9" w:themeFill="background1" w:themeFillShade="D9"/>
            <w:tcMar>
              <w:left w:w="108" w:type="dxa"/>
              <w:right w:w="108" w:type="dxa"/>
            </w:tcMar>
            <w:vAlign w:val="center"/>
          </w:tcPr>
          <w:p w14:paraId="563D1BC7" w14:textId="77777777" w:rsidR="00F241C3" w:rsidRPr="00314F31" w:rsidRDefault="00F241C3" w:rsidP="008C75DC">
            <w:pPr>
              <w:pStyle w:val="Tablehead"/>
              <w:rPr>
                <w:rFonts w:eastAsia="SimSun"/>
                <w:sz w:val="22"/>
                <w:szCs w:val="22"/>
                <w:lang w:val="fr-FR"/>
              </w:rPr>
            </w:pPr>
            <w:r w:rsidRPr="00314F31">
              <w:rPr>
                <w:rFonts w:eastAsia="SimSun"/>
                <w:sz w:val="22"/>
                <w:szCs w:val="22"/>
                <w:lang w:val="fr-FR"/>
              </w:rPr>
              <w:t>Titre</w:t>
            </w:r>
          </w:p>
        </w:tc>
        <w:tc>
          <w:tcPr>
            <w:tcW w:w="1418" w:type="dxa"/>
            <w:shd w:val="clear" w:color="auto" w:fill="D9D9D9" w:themeFill="background1" w:themeFillShade="D9"/>
            <w:tcMar>
              <w:left w:w="108" w:type="dxa"/>
              <w:right w:w="108" w:type="dxa"/>
            </w:tcMar>
            <w:vAlign w:val="center"/>
          </w:tcPr>
          <w:p w14:paraId="015F8F71" w14:textId="77777777" w:rsidR="00F241C3" w:rsidRPr="00314F31" w:rsidRDefault="00F241C3" w:rsidP="008C75DC">
            <w:pPr>
              <w:pStyle w:val="Tablehead"/>
              <w:rPr>
                <w:rFonts w:eastAsia="SimSun"/>
                <w:sz w:val="22"/>
                <w:szCs w:val="22"/>
                <w:lang w:val="fr-FR"/>
              </w:rPr>
            </w:pPr>
            <w:r w:rsidRPr="00314F31">
              <w:rPr>
                <w:rFonts w:eastAsia="SimSun"/>
                <w:sz w:val="22"/>
                <w:szCs w:val="22"/>
                <w:lang w:val="fr-FR"/>
              </w:rPr>
              <w:t>Date de fin</w:t>
            </w:r>
          </w:p>
        </w:tc>
        <w:tc>
          <w:tcPr>
            <w:tcW w:w="3103" w:type="dxa"/>
            <w:shd w:val="clear" w:color="auto" w:fill="D9D9D9" w:themeFill="background1" w:themeFillShade="D9"/>
            <w:tcMar>
              <w:left w:w="108" w:type="dxa"/>
              <w:right w:w="108" w:type="dxa"/>
            </w:tcMar>
            <w:vAlign w:val="center"/>
          </w:tcPr>
          <w:p w14:paraId="4A0E95FA" w14:textId="77777777" w:rsidR="00F241C3" w:rsidRPr="00314F31" w:rsidRDefault="00F241C3" w:rsidP="008C75DC">
            <w:pPr>
              <w:pStyle w:val="Tablehead"/>
              <w:rPr>
                <w:rFonts w:eastAsia="SimSun"/>
                <w:sz w:val="22"/>
                <w:szCs w:val="22"/>
                <w:lang w:val="fr-FR"/>
              </w:rPr>
            </w:pPr>
            <w:r w:rsidRPr="00314F31">
              <w:rPr>
                <w:rFonts w:eastAsia="SimSun"/>
                <w:sz w:val="22"/>
                <w:szCs w:val="22"/>
                <w:lang w:val="fr-FR"/>
              </w:rPr>
              <w:t>Pays bénéficiaires</w:t>
            </w:r>
          </w:p>
        </w:tc>
      </w:tr>
      <w:tr w:rsidR="00F241C3" w:rsidRPr="00314F31" w14:paraId="574324B4" w14:textId="77777777" w:rsidTr="008C75DC">
        <w:trPr>
          <w:trHeight w:val="300"/>
        </w:trPr>
        <w:tc>
          <w:tcPr>
            <w:tcW w:w="562" w:type="dxa"/>
            <w:shd w:val="clear" w:color="auto" w:fill="FFFFFF" w:themeFill="background1"/>
            <w:tcMar>
              <w:left w:w="108" w:type="dxa"/>
              <w:right w:w="108" w:type="dxa"/>
            </w:tcMar>
            <w:vAlign w:val="center"/>
          </w:tcPr>
          <w:p w14:paraId="080C25AF" w14:textId="77777777" w:rsidR="00F241C3" w:rsidRPr="00314F31" w:rsidRDefault="00F241C3" w:rsidP="008C75DC">
            <w:pPr>
              <w:pStyle w:val="Tabletext"/>
              <w:ind w:left="-28"/>
              <w:jc w:val="center"/>
              <w:rPr>
                <w:rFonts w:eastAsia="SimSun"/>
                <w:sz w:val="22"/>
                <w:szCs w:val="22"/>
                <w:lang w:val="fr-FR"/>
              </w:rPr>
            </w:pPr>
            <w:r w:rsidRPr="00314F31">
              <w:rPr>
                <w:rFonts w:eastAsia="SimSun"/>
                <w:sz w:val="22"/>
                <w:szCs w:val="22"/>
                <w:lang w:val="fr-FR"/>
              </w:rPr>
              <w:t>1</w:t>
            </w:r>
          </w:p>
        </w:tc>
        <w:tc>
          <w:tcPr>
            <w:tcW w:w="1560" w:type="dxa"/>
            <w:shd w:val="clear" w:color="auto" w:fill="FFFFFF" w:themeFill="background1"/>
            <w:tcMar>
              <w:left w:w="108" w:type="dxa"/>
              <w:right w:w="108" w:type="dxa"/>
            </w:tcMar>
            <w:vAlign w:val="center"/>
          </w:tcPr>
          <w:p w14:paraId="550E4CAA"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9GLO23135</w:t>
            </w:r>
          </w:p>
        </w:tc>
        <w:tc>
          <w:tcPr>
            <w:tcW w:w="2976" w:type="dxa"/>
            <w:shd w:val="clear" w:color="auto" w:fill="FFFFFF" w:themeFill="background1"/>
            <w:tcMar>
              <w:left w:w="108" w:type="dxa"/>
              <w:right w:w="108" w:type="dxa"/>
            </w:tcMar>
            <w:vAlign w:val="center"/>
          </w:tcPr>
          <w:p w14:paraId="20A00866"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Appui aux activités futures menées au Lesotho en vue du développement des services de l'administration publique en ligne et de l'élaboration d'une stratégie numérique</w:t>
            </w:r>
          </w:p>
        </w:tc>
        <w:tc>
          <w:tcPr>
            <w:tcW w:w="1418" w:type="dxa"/>
            <w:shd w:val="clear" w:color="auto" w:fill="FFFFFF" w:themeFill="background1"/>
            <w:tcMar>
              <w:left w:w="108" w:type="dxa"/>
              <w:right w:w="108" w:type="dxa"/>
            </w:tcMar>
            <w:vAlign w:val="center"/>
          </w:tcPr>
          <w:p w14:paraId="366F0773" w14:textId="77777777" w:rsidR="00F241C3" w:rsidRPr="00314F31" w:rsidRDefault="00F241C3" w:rsidP="008C75DC">
            <w:pPr>
              <w:pStyle w:val="Tabletext"/>
              <w:jc w:val="center"/>
              <w:rPr>
                <w:rFonts w:eastAsia="Calibri"/>
                <w:sz w:val="22"/>
                <w:szCs w:val="22"/>
                <w:lang w:val="fr-FR"/>
              </w:rPr>
            </w:pPr>
            <w:r w:rsidRPr="00314F31">
              <w:rPr>
                <w:color w:val="000000" w:themeColor="text1"/>
                <w:sz w:val="22"/>
                <w:szCs w:val="22"/>
                <w:lang w:val="fr-FR"/>
              </w:rPr>
              <w:t>31/12/2024</w:t>
            </w:r>
          </w:p>
        </w:tc>
        <w:tc>
          <w:tcPr>
            <w:tcW w:w="3103" w:type="dxa"/>
            <w:shd w:val="clear" w:color="auto" w:fill="FFFFFF" w:themeFill="background1"/>
            <w:tcMar>
              <w:left w:w="108" w:type="dxa"/>
              <w:right w:w="108" w:type="dxa"/>
            </w:tcMar>
            <w:vAlign w:val="center"/>
          </w:tcPr>
          <w:p w14:paraId="5C7D8AD0"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Lesotho</w:t>
            </w:r>
          </w:p>
        </w:tc>
      </w:tr>
      <w:tr w:rsidR="00F241C3" w:rsidRPr="00314F31" w14:paraId="7EFD8BBD" w14:textId="77777777" w:rsidTr="008C75DC">
        <w:trPr>
          <w:trHeight w:val="300"/>
        </w:trPr>
        <w:tc>
          <w:tcPr>
            <w:tcW w:w="562" w:type="dxa"/>
            <w:shd w:val="clear" w:color="auto" w:fill="FFFFFF" w:themeFill="background1"/>
            <w:tcMar>
              <w:left w:w="108" w:type="dxa"/>
              <w:right w:w="108" w:type="dxa"/>
            </w:tcMar>
            <w:vAlign w:val="center"/>
          </w:tcPr>
          <w:p w14:paraId="45E3F0B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2</w:t>
            </w:r>
          </w:p>
        </w:tc>
        <w:tc>
          <w:tcPr>
            <w:tcW w:w="1560" w:type="dxa"/>
            <w:shd w:val="clear" w:color="auto" w:fill="FFFFFF" w:themeFill="background1"/>
            <w:tcMar>
              <w:left w:w="108" w:type="dxa"/>
              <w:right w:w="108" w:type="dxa"/>
            </w:tcMar>
            <w:vAlign w:val="center"/>
          </w:tcPr>
          <w:p w14:paraId="5497A3AE"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7RAS23072</w:t>
            </w:r>
          </w:p>
        </w:tc>
        <w:tc>
          <w:tcPr>
            <w:tcW w:w="2976" w:type="dxa"/>
            <w:shd w:val="clear" w:color="auto" w:fill="FFFFFF" w:themeFill="background1"/>
            <w:tcMar>
              <w:left w:w="108" w:type="dxa"/>
              <w:right w:w="108" w:type="dxa"/>
            </w:tcMar>
            <w:vAlign w:val="center"/>
          </w:tcPr>
          <w:p w14:paraId="586F3150"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Accélération de la transformation numérique dans la région Asie-Pacifique</w:t>
            </w:r>
          </w:p>
        </w:tc>
        <w:tc>
          <w:tcPr>
            <w:tcW w:w="1418" w:type="dxa"/>
            <w:shd w:val="clear" w:color="auto" w:fill="FFFFFF" w:themeFill="background1"/>
            <w:tcMar>
              <w:left w:w="108" w:type="dxa"/>
              <w:right w:w="108" w:type="dxa"/>
            </w:tcMar>
            <w:vAlign w:val="center"/>
          </w:tcPr>
          <w:p w14:paraId="3CC3A181"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31/07/2025</w:t>
            </w:r>
          </w:p>
        </w:tc>
        <w:tc>
          <w:tcPr>
            <w:tcW w:w="3103" w:type="dxa"/>
            <w:shd w:val="clear" w:color="auto" w:fill="FFFFFF" w:themeFill="background1"/>
            <w:tcMar>
              <w:left w:w="108" w:type="dxa"/>
              <w:right w:w="108" w:type="dxa"/>
            </w:tcMar>
            <w:vAlign w:val="center"/>
          </w:tcPr>
          <w:p w14:paraId="3817AAB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Cambodge, Lao (R.d.p.)</w:t>
            </w:r>
          </w:p>
        </w:tc>
      </w:tr>
      <w:tr w:rsidR="00F241C3" w:rsidRPr="00314F31" w14:paraId="2012072C" w14:textId="77777777" w:rsidTr="008C75DC">
        <w:trPr>
          <w:trHeight w:val="300"/>
        </w:trPr>
        <w:tc>
          <w:tcPr>
            <w:tcW w:w="562" w:type="dxa"/>
            <w:shd w:val="clear" w:color="auto" w:fill="FFFFFF" w:themeFill="background1"/>
            <w:tcMar>
              <w:left w:w="108" w:type="dxa"/>
              <w:right w:w="108" w:type="dxa"/>
            </w:tcMar>
            <w:vAlign w:val="center"/>
          </w:tcPr>
          <w:p w14:paraId="5FE6E09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w:t>
            </w:r>
          </w:p>
        </w:tc>
        <w:tc>
          <w:tcPr>
            <w:tcW w:w="1560" w:type="dxa"/>
            <w:shd w:val="clear" w:color="auto" w:fill="FFFFFF" w:themeFill="background1"/>
            <w:tcMar>
              <w:left w:w="108" w:type="dxa"/>
              <w:right w:w="108" w:type="dxa"/>
            </w:tcMar>
            <w:vAlign w:val="center"/>
          </w:tcPr>
          <w:p w14:paraId="3744237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7GLO23133</w:t>
            </w:r>
          </w:p>
        </w:tc>
        <w:tc>
          <w:tcPr>
            <w:tcW w:w="2976" w:type="dxa"/>
            <w:shd w:val="clear" w:color="auto" w:fill="FFFFFF" w:themeFill="background1"/>
            <w:tcMar>
              <w:left w:w="108" w:type="dxa"/>
              <w:right w:w="108" w:type="dxa"/>
            </w:tcMar>
            <w:vAlign w:val="center"/>
          </w:tcPr>
          <w:p w14:paraId="4C11F8D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Renforcer les compétences numériques grâce aux centres de transformation numérique (DTC) – Phase 2</w:t>
            </w:r>
          </w:p>
        </w:tc>
        <w:tc>
          <w:tcPr>
            <w:tcW w:w="1418" w:type="dxa"/>
            <w:shd w:val="clear" w:color="auto" w:fill="FFFFFF" w:themeFill="background1"/>
            <w:tcMar>
              <w:left w:w="108" w:type="dxa"/>
              <w:right w:w="108" w:type="dxa"/>
            </w:tcMar>
            <w:vAlign w:val="center"/>
          </w:tcPr>
          <w:p w14:paraId="6884B4D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14/01/2026</w:t>
            </w:r>
          </w:p>
        </w:tc>
        <w:tc>
          <w:tcPr>
            <w:tcW w:w="3103" w:type="dxa"/>
            <w:shd w:val="clear" w:color="auto" w:fill="FFFFFF" w:themeFill="background1"/>
            <w:tcMar>
              <w:left w:w="108" w:type="dxa"/>
              <w:right w:w="108" w:type="dxa"/>
            </w:tcMar>
            <w:vAlign w:val="center"/>
          </w:tcPr>
          <w:p w14:paraId="461B4AD1"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Rép. dém. du Congo, Indonésie, Ouganda, Rwanda, Sénégal, Zambie</w:t>
            </w:r>
          </w:p>
        </w:tc>
      </w:tr>
      <w:tr w:rsidR="00F241C3" w:rsidRPr="00314F31" w14:paraId="03C3E300" w14:textId="77777777" w:rsidTr="008C75DC">
        <w:trPr>
          <w:trHeight w:val="300"/>
        </w:trPr>
        <w:tc>
          <w:tcPr>
            <w:tcW w:w="562" w:type="dxa"/>
            <w:shd w:val="clear" w:color="auto" w:fill="FFFFFF" w:themeFill="background1"/>
            <w:tcMar>
              <w:left w:w="108" w:type="dxa"/>
              <w:right w:w="108" w:type="dxa"/>
            </w:tcMar>
            <w:vAlign w:val="center"/>
          </w:tcPr>
          <w:p w14:paraId="6EA9F541"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4</w:t>
            </w:r>
          </w:p>
        </w:tc>
        <w:tc>
          <w:tcPr>
            <w:tcW w:w="1560" w:type="dxa"/>
            <w:shd w:val="clear" w:color="auto" w:fill="FFFFFF" w:themeFill="background1"/>
            <w:tcMar>
              <w:left w:w="108" w:type="dxa"/>
              <w:right w:w="108" w:type="dxa"/>
            </w:tcMar>
            <w:vAlign w:val="center"/>
          </w:tcPr>
          <w:p w14:paraId="0932A964"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9GLO23126</w:t>
            </w:r>
          </w:p>
        </w:tc>
        <w:tc>
          <w:tcPr>
            <w:tcW w:w="2976" w:type="dxa"/>
            <w:shd w:val="clear" w:color="auto" w:fill="FFFFFF" w:themeFill="background1"/>
            <w:tcMar>
              <w:left w:w="108" w:type="dxa"/>
              <w:right w:w="108" w:type="dxa"/>
            </w:tcMar>
            <w:vAlign w:val="center"/>
          </w:tcPr>
          <w:p w14:paraId="77990EA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Élaboration et mise en œuvre d'une politique et d'une réglementation sur les déchets d'équipements électriques et électroniques pour une économie circulaire</w:t>
            </w:r>
          </w:p>
        </w:tc>
        <w:tc>
          <w:tcPr>
            <w:tcW w:w="1418" w:type="dxa"/>
            <w:shd w:val="clear" w:color="auto" w:fill="FFFFFF" w:themeFill="background1"/>
            <w:tcMar>
              <w:left w:w="108" w:type="dxa"/>
              <w:right w:w="108" w:type="dxa"/>
            </w:tcMar>
            <w:vAlign w:val="center"/>
          </w:tcPr>
          <w:p w14:paraId="45D43F1D"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01/07/2026</w:t>
            </w:r>
          </w:p>
        </w:tc>
        <w:tc>
          <w:tcPr>
            <w:tcW w:w="3103" w:type="dxa"/>
            <w:shd w:val="clear" w:color="auto" w:fill="FFFFFF" w:themeFill="background1"/>
            <w:tcMar>
              <w:left w:w="108" w:type="dxa"/>
              <w:right w:w="108" w:type="dxa"/>
            </w:tcMar>
            <w:vAlign w:val="center"/>
          </w:tcPr>
          <w:p w14:paraId="7A860D94" w14:textId="77777777" w:rsidR="00F241C3" w:rsidRPr="00314F31" w:rsidRDefault="00F241C3" w:rsidP="008C75DC">
            <w:pPr>
              <w:pStyle w:val="Tabletext"/>
              <w:jc w:val="center"/>
              <w:rPr>
                <w:rFonts w:eastAsia="SimSun" w:cstheme="minorBidi"/>
                <w:sz w:val="22"/>
                <w:szCs w:val="22"/>
                <w:lang w:val="fr-FR"/>
              </w:rPr>
            </w:pPr>
            <w:r w:rsidRPr="00314F31">
              <w:rPr>
                <w:rFonts w:eastAsia="SimSun" w:cstheme="minorBidi"/>
                <w:sz w:val="22"/>
                <w:szCs w:val="22"/>
                <w:lang w:val="fr-FR"/>
              </w:rPr>
              <w:t>Rwanda, Zambie</w:t>
            </w:r>
          </w:p>
        </w:tc>
      </w:tr>
      <w:tr w:rsidR="00F241C3" w:rsidRPr="00314F31" w14:paraId="69F6D417" w14:textId="77777777" w:rsidTr="008C75DC">
        <w:trPr>
          <w:trHeight w:val="300"/>
        </w:trPr>
        <w:tc>
          <w:tcPr>
            <w:tcW w:w="562" w:type="dxa"/>
            <w:shd w:val="clear" w:color="auto" w:fill="FFFFFF" w:themeFill="background1"/>
            <w:tcMar>
              <w:left w:w="108" w:type="dxa"/>
              <w:right w:w="108" w:type="dxa"/>
            </w:tcMar>
            <w:vAlign w:val="center"/>
          </w:tcPr>
          <w:p w14:paraId="0CE830C6"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5</w:t>
            </w:r>
          </w:p>
        </w:tc>
        <w:tc>
          <w:tcPr>
            <w:tcW w:w="1560" w:type="dxa"/>
            <w:shd w:val="clear" w:color="auto" w:fill="FFFFFF" w:themeFill="background1"/>
            <w:tcMar>
              <w:left w:w="108" w:type="dxa"/>
              <w:right w:w="108" w:type="dxa"/>
            </w:tcMar>
            <w:vAlign w:val="center"/>
          </w:tcPr>
          <w:p w14:paraId="42A3D121"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2RER20008-03</w:t>
            </w:r>
          </w:p>
        </w:tc>
        <w:tc>
          <w:tcPr>
            <w:tcW w:w="2976" w:type="dxa"/>
            <w:shd w:val="clear" w:color="auto" w:fill="FFFFFF" w:themeFill="background1"/>
            <w:tcMar>
              <w:left w:w="108" w:type="dxa"/>
              <w:right w:w="108" w:type="dxa"/>
            </w:tcMar>
            <w:vAlign w:val="center"/>
          </w:tcPr>
          <w:p w14:paraId="219AB77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Programme mondial de transformation numérique – Initiative pour développer l'administration publique en ligne dans la Corne de l'Afrique</w:t>
            </w:r>
          </w:p>
        </w:tc>
        <w:tc>
          <w:tcPr>
            <w:tcW w:w="1418" w:type="dxa"/>
            <w:shd w:val="clear" w:color="auto" w:fill="FFFFFF" w:themeFill="background1"/>
            <w:tcMar>
              <w:left w:w="108" w:type="dxa"/>
              <w:right w:w="108" w:type="dxa"/>
            </w:tcMar>
            <w:vAlign w:val="center"/>
          </w:tcPr>
          <w:p w14:paraId="477DB104"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30/9/2025</w:t>
            </w:r>
          </w:p>
        </w:tc>
        <w:tc>
          <w:tcPr>
            <w:tcW w:w="3103" w:type="dxa"/>
            <w:shd w:val="clear" w:color="auto" w:fill="FFFFFF" w:themeFill="background1"/>
            <w:tcMar>
              <w:left w:w="108" w:type="dxa"/>
              <w:right w:w="108" w:type="dxa"/>
            </w:tcMar>
            <w:vAlign w:val="center"/>
          </w:tcPr>
          <w:p w14:paraId="3BFCBD4C" w14:textId="77777777" w:rsidR="00F241C3" w:rsidRPr="00314F31" w:rsidRDefault="00F241C3" w:rsidP="008C75DC">
            <w:pPr>
              <w:pStyle w:val="Tabletext"/>
              <w:jc w:val="center"/>
              <w:rPr>
                <w:rFonts w:eastAsia="Calibri"/>
                <w:sz w:val="22"/>
                <w:szCs w:val="22"/>
                <w:lang w:val="fr-FR"/>
              </w:rPr>
            </w:pPr>
            <w:r w:rsidRPr="00314F31">
              <w:rPr>
                <w:color w:val="000000" w:themeColor="text1"/>
                <w:sz w:val="22"/>
                <w:szCs w:val="22"/>
                <w:lang w:val="fr-FR"/>
              </w:rPr>
              <w:t>Djibouti, Somalie</w:t>
            </w:r>
          </w:p>
        </w:tc>
      </w:tr>
      <w:tr w:rsidR="00F241C3" w:rsidRPr="00314F31" w14:paraId="21595D79" w14:textId="77777777" w:rsidTr="008C75DC">
        <w:trPr>
          <w:trHeight w:val="300"/>
        </w:trPr>
        <w:tc>
          <w:tcPr>
            <w:tcW w:w="562" w:type="dxa"/>
            <w:shd w:val="clear" w:color="auto" w:fill="FFFFFF" w:themeFill="background1"/>
            <w:tcMar>
              <w:left w:w="108" w:type="dxa"/>
              <w:right w:w="108" w:type="dxa"/>
            </w:tcMar>
            <w:vAlign w:val="center"/>
          </w:tcPr>
          <w:p w14:paraId="3D335B22"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6</w:t>
            </w:r>
          </w:p>
        </w:tc>
        <w:tc>
          <w:tcPr>
            <w:tcW w:w="1560" w:type="dxa"/>
            <w:shd w:val="clear" w:color="auto" w:fill="FFFFFF" w:themeFill="background1"/>
            <w:tcMar>
              <w:left w:w="108" w:type="dxa"/>
              <w:right w:w="108" w:type="dxa"/>
            </w:tcMar>
            <w:vAlign w:val="center"/>
          </w:tcPr>
          <w:p w14:paraId="763C0CF4"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9MOZ23005</w:t>
            </w:r>
          </w:p>
        </w:tc>
        <w:tc>
          <w:tcPr>
            <w:tcW w:w="2976" w:type="dxa"/>
            <w:shd w:val="clear" w:color="auto" w:fill="FFFFFF" w:themeFill="background1"/>
            <w:tcMar>
              <w:left w:w="108" w:type="dxa"/>
              <w:right w:w="108" w:type="dxa"/>
            </w:tcMar>
            <w:vAlign w:val="center"/>
          </w:tcPr>
          <w:p w14:paraId="78C9D22A"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Construire les bases de VaMoz Digital</w:t>
            </w:r>
          </w:p>
        </w:tc>
        <w:tc>
          <w:tcPr>
            <w:tcW w:w="1418" w:type="dxa"/>
            <w:shd w:val="clear" w:color="auto" w:fill="FFFFFF" w:themeFill="background1"/>
            <w:tcMar>
              <w:left w:w="108" w:type="dxa"/>
              <w:right w:w="108" w:type="dxa"/>
            </w:tcMar>
            <w:vAlign w:val="center"/>
          </w:tcPr>
          <w:p w14:paraId="71909A41"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01/04/2027</w:t>
            </w:r>
          </w:p>
        </w:tc>
        <w:tc>
          <w:tcPr>
            <w:tcW w:w="3103" w:type="dxa"/>
            <w:shd w:val="clear" w:color="auto" w:fill="FFFFFF" w:themeFill="background1"/>
            <w:tcMar>
              <w:left w:w="108" w:type="dxa"/>
              <w:right w:w="108" w:type="dxa"/>
            </w:tcMar>
            <w:vAlign w:val="center"/>
          </w:tcPr>
          <w:p w14:paraId="537A9956"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Mozambique</w:t>
            </w:r>
          </w:p>
        </w:tc>
      </w:tr>
      <w:tr w:rsidR="00F241C3" w:rsidRPr="00314F31" w14:paraId="78C4840C" w14:textId="77777777" w:rsidTr="008C75DC">
        <w:trPr>
          <w:trHeight w:val="300"/>
        </w:trPr>
        <w:tc>
          <w:tcPr>
            <w:tcW w:w="562" w:type="dxa"/>
            <w:shd w:val="clear" w:color="auto" w:fill="FFFFFF" w:themeFill="background1"/>
            <w:tcMar>
              <w:left w:w="108" w:type="dxa"/>
              <w:right w:w="108" w:type="dxa"/>
            </w:tcMar>
            <w:vAlign w:val="center"/>
          </w:tcPr>
          <w:p w14:paraId="7C63ADA4"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w:t>
            </w:r>
          </w:p>
        </w:tc>
        <w:tc>
          <w:tcPr>
            <w:tcW w:w="1560" w:type="dxa"/>
            <w:shd w:val="clear" w:color="auto" w:fill="FFFFFF" w:themeFill="background1"/>
            <w:tcMar>
              <w:left w:w="108" w:type="dxa"/>
              <w:right w:w="108" w:type="dxa"/>
            </w:tcMar>
            <w:vAlign w:val="center"/>
          </w:tcPr>
          <w:p w14:paraId="17095FB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7GLO23133</w:t>
            </w:r>
          </w:p>
        </w:tc>
        <w:tc>
          <w:tcPr>
            <w:tcW w:w="2976" w:type="dxa"/>
            <w:shd w:val="clear" w:color="auto" w:fill="FFFFFF" w:themeFill="background1"/>
            <w:tcMar>
              <w:left w:w="108" w:type="dxa"/>
              <w:right w:w="108" w:type="dxa"/>
            </w:tcMar>
            <w:vAlign w:val="center"/>
          </w:tcPr>
          <w:p w14:paraId="5DAADCE7"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Renforcer les compétences numériques grâce aux centres de transformation numérique (DTC) – Phase 2</w:t>
            </w:r>
          </w:p>
        </w:tc>
        <w:tc>
          <w:tcPr>
            <w:tcW w:w="1418" w:type="dxa"/>
            <w:shd w:val="clear" w:color="auto" w:fill="FFFFFF" w:themeFill="background1"/>
            <w:tcMar>
              <w:left w:w="108" w:type="dxa"/>
              <w:right w:w="108" w:type="dxa"/>
            </w:tcMar>
            <w:vAlign w:val="center"/>
          </w:tcPr>
          <w:p w14:paraId="7EE984C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14/01/2026</w:t>
            </w:r>
          </w:p>
        </w:tc>
        <w:tc>
          <w:tcPr>
            <w:tcW w:w="3103" w:type="dxa"/>
            <w:shd w:val="clear" w:color="auto" w:fill="FFFFFF" w:themeFill="background1"/>
            <w:tcMar>
              <w:left w:w="108" w:type="dxa"/>
              <w:right w:w="108" w:type="dxa"/>
            </w:tcMar>
            <w:vAlign w:val="center"/>
          </w:tcPr>
          <w:p w14:paraId="5F98821D"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Rép. dém. du Congo, Ouganda, Rwanda, Sénégal, Zambie</w:t>
            </w:r>
          </w:p>
        </w:tc>
      </w:tr>
      <w:tr w:rsidR="00F241C3" w:rsidRPr="00314F31" w14:paraId="57CE7D2A" w14:textId="77777777" w:rsidTr="008C75DC">
        <w:trPr>
          <w:trHeight w:val="300"/>
        </w:trPr>
        <w:tc>
          <w:tcPr>
            <w:tcW w:w="562" w:type="dxa"/>
            <w:shd w:val="clear" w:color="auto" w:fill="FFFFFF" w:themeFill="background1"/>
            <w:tcMar>
              <w:left w:w="108" w:type="dxa"/>
              <w:right w:w="108" w:type="dxa"/>
            </w:tcMar>
            <w:vAlign w:val="center"/>
          </w:tcPr>
          <w:p w14:paraId="260AC7A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8</w:t>
            </w:r>
          </w:p>
        </w:tc>
        <w:tc>
          <w:tcPr>
            <w:tcW w:w="1560" w:type="dxa"/>
            <w:shd w:val="clear" w:color="auto" w:fill="FFFFFF" w:themeFill="background1"/>
            <w:tcMar>
              <w:left w:w="108" w:type="dxa"/>
              <w:right w:w="108" w:type="dxa"/>
            </w:tcMar>
            <w:vAlign w:val="center"/>
          </w:tcPr>
          <w:p w14:paraId="069B39DA"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2CAF23002</w:t>
            </w:r>
          </w:p>
        </w:tc>
        <w:tc>
          <w:tcPr>
            <w:tcW w:w="2976" w:type="dxa"/>
            <w:shd w:val="clear" w:color="auto" w:fill="FFFFFF" w:themeFill="background1"/>
            <w:tcMar>
              <w:left w:w="108" w:type="dxa"/>
              <w:right w:w="108" w:type="dxa"/>
            </w:tcMar>
            <w:vAlign w:val="center"/>
          </w:tcPr>
          <w:p w14:paraId="0C07194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Établissement d'un centre de formation pour la fibre optique dans la République centrafricaine</w:t>
            </w:r>
          </w:p>
        </w:tc>
        <w:tc>
          <w:tcPr>
            <w:tcW w:w="1418" w:type="dxa"/>
            <w:shd w:val="clear" w:color="auto" w:fill="FFFFFF" w:themeFill="background1"/>
            <w:tcMar>
              <w:left w:w="108" w:type="dxa"/>
              <w:right w:w="108" w:type="dxa"/>
            </w:tcMar>
            <w:vAlign w:val="center"/>
          </w:tcPr>
          <w:p w14:paraId="07621576"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31/12/2025</w:t>
            </w:r>
          </w:p>
        </w:tc>
        <w:tc>
          <w:tcPr>
            <w:tcW w:w="3103" w:type="dxa"/>
            <w:shd w:val="clear" w:color="auto" w:fill="FFFFFF" w:themeFill="background1"/>
            <w:tcMar>
              <w:left w:w="108" w:type="dxa"/>
              <w:right w:w="108" w:type="dxa"/>
            </w:tcMar>
            <w:vAlign w:val="center"/>
          </w:tcPr>
          <w:p w14:paraId="58DE00B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Centrafricaine (République)</w:t>
            </w:r>
          </w:p>
        </w:tc>
      </w:tr>
      <w:tr w:rsidR="00F241C3" w:rsidRPr="00314F31" w14:paraId="280CD730" w14:textId="77777777" w:rsidTr="008C75DC">
        <w:trPr>
          <w:trHeight w:val="300"/>
        </w:trPr>
        <w:tc>
          <w:tcPr>
            <w:tcW w:w="562" w:type="dxa"/>
            <w:shd w:val="clear" w:color="auto" w:fill="FFFFFF" w:themeFill="background1"/>
            <w:tcMar>
              <w:left w:w="108" w:type="dxa"/>
              <w:right w:w="108" w:type="dxa"/>
            </w:tcMar>
            <w:vAlign w:val="center"/>
          </w:tcPr>
          <w:p w14:paraId="27A4AAC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w:t>
            </w:r>
          </w:p>
        </w:tc>
        <w:tc>
          <w:tcPr>
            <w:tcW w:w="1560" w:type="dxa"/>
            <w:shd w:val="clear" w:color="auto" w:fill="FFFFFF" w:themeFill="background1"/>
            <w:tcMar>
              <w:left w:w="108" w:type="dxa"/>
              <w:right w:w="108" w:type="dxa"/>
            </w:tcMar>
            <w:vAlign w:val="center"/>
          </w:tcPr>
          <w:p w14:paraId="7339153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7GLO24144</w:t>
            </w:r>
          </w:p>
        </w:tc>
        <w:tc>
          <w:tcPr>
            <w:tcW w:w="2976" w:type="dxa"/>
            <w:shd w:val="clear" w:color="auto" w:fill="FFFFFF" w:themeFill="background1"/>
            <w:tcMar>
              <w:left w:w="108" w:type="dxa"/>
              <w:right w:w="108" w:type="dxa"/>
            </w:tcMar>
            <w:vAlign w:val="center"/>
          </w:tcPr>
          <w:p w14:paraId="6FEFFFA0"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Alertes précoces pour tous (EW4All) – Fonds de l'UIT destinés à appuyer la mise en œuvre de l'initiative</w:t>
            </w:r>
          </w:p>
        </w:tc>
        <w:tc>
          <w:tcPr>
            <w:tcW w:w="1418" w:type="dxa"/>
            <w:shd w:val="clear" w:color="auto" w:fill="FFFFFF" w:themeFill="background1"/>
            <w:tcMar>
              <w:left w:w="108" w:type="dxa"/>
              <w:right w:w="108" w:type="dxa"/>
            </w:tcMar>
            <w:vAlign w:val="center"/>
          </w:tcPr>
          <w:p w14:paraId="652E87B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30/09/2027</w:t>
            </w:r>
          </w:p>
        </w:tc>
        <w:tc>
          <w:tcPr>
            <w:tcW w:w="3103" w:type="dxa"/>
            <w:shd w:val="clear" w:color="auto" w:fill="FFFFFF" w:themeFill="background1"/>
            <w:tcMar>
              <w:left w:w="108" w:type="dxa"/>
              <w:right w:w="108" w:type="dxa"/>
            </w:tcMar>
            <w:vAlign w:val="center"/>
          </w:tcPr>
          <w:p w14:paraId="451A9682"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Djibouti</w:t>
            </w:r>
          </w:p>
        </w:tc>
      </w:tr>
      <w:tr w:rsidR="00F241C3" w:rsidRPr="00314F31" w14:paraId="7A00C370" w14:textId="77777777" w:rsidTr="008C75DC">
        <w:trPr>
          <w:trHeight w:val="300"/>
        </w:trPr>
        <w:tc>
          <w:tcPr>
            <w:tcW w:w="562" w:type="dxa"/>
            <w:shd w:val="clear" w:color="auto" w:fill="FFFFFF" w:themeFill="background1"/>
            <w:tcMar>
              <w:left w:w="108" w:type="dxa"/>
              <w:right w:w="108" w:type="dxa"/>
            </w:tcMar>
            <w:vAlign w:val="center"/>
          </w:tcPr>
          <w:p w14:paraId="0FA81DBD"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lastRenderedPageBreak/>
              <w:t>10</w:t>
            </w:r>
          </w:p>
        </w:tc>
        <w:tc>
          <w:tcPr>
            <w:tcW w:w="1560" w:type="dxa"/>
            <w:shd w:val="clear" w:color="auto" w:fill="FFFFFF" w:themeFill="background1"/>
            <w:tcMar>
              <w:left w:w="108" w:type="dxa"/>
              <w:right w:w="108" w:type="dxa"/>
            </w:tcMar>
            <w:vAlign w:val="center"/>
          </w:tcPr>
          <w:p w14:paraId="3F899235"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7GLO24143</w:t>
            </w:r>
          </w:p>
        </w:tc>
        <w:tc>
          <w:tcPr>
            <w:tcW w:w="2976" w:type="dxa"/>
            <w:shd w:val="clear" w:color="auto" w:fill="FFFFFF" w:themeFill="background1"/>
            <w:tcMar>
              <w:left w:w="108" w:type="dxa"/>
              <w:right w:w="108" w:type="dxa"/>
            </w:tcMar>
            <w:vAlign w:val="center"/>
          </w:tcPr>
          <w:p w14:paraId="1BBADE16" w14:textId="77777777" w:rsidR="00F241C3" w:rsidRPr="00314F31" w:rsidRDefault="00F241C3" w:rsidP="008C75DC">
            <w:pPr>
              <w:pStyle w:val="Tabletext"/>
              <w:keepNext/>
              <w:keepLines/>
              <w:jc w:val="center"/>
              <w:rPr>
                <w:rFonts w:eastAsia="SimSun"/>
                <w:sz w:val="22"/>
                <w:szCs w:val="22"/>
                <w:lang w:val="fr-FR"/>
              </w:rPr>
            </w:pPr>
            <w:r w:rsidRPr="00314F31">
              <w:rPr>
                <w:rFonts w:eastAsia="SimSun"/>
                <w:sz w:val="22"/>
                <w:szCs w:val="22"/>
                <w:lang w:val="fr-FR"/>
              </w:rPr>
              <w:t>Accélérateur multi-parties prenantes du projet EW4All dans les PMA et les PEID</w:t>
            </w:r>
          </w:p>
          <w:p w14:paraId="6AE6BBD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(Systèmes d'alerte précoce aux catastrophes du climat – CREWS)</w:t>
            </w:r>
          </w:p>
        </w:tc>
        <w:tc>
          <w:tcPr>
            <w:tcW w:w="1418" w:type="dxa"/>
            <w:shd w:val="clear" w:color="auto" w:fill="FFFFFF" w:themeFill="background1"/>
            <w:tcMar>
              <w:left w:w="108" w:type="dxa"/>
              <w:right w:w="108" w:type="dxa"/>
            </w:tcMar>
            <w:vAlign w:val="center"/>
          </w:tcPr>
          <w:p w14:paraId="30C23799"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07/10/2025</w:t>
            </w:r>
          </w:p>
        </w:tc>
        <w:tc>
          <w:tcPr>
            <w:tcW w:w="3103" w:type="dxa"/>
            <w:shd w:val="clear" w:color="auto" w:fill="FFFFFF" w:themeFill="background1"/>
            <w:tcMar>
              <w:left w:w="108" w:type="dxa"/>
              <w:right w:w="108" w:type="dxa"/>
            </w:tcMar>
            <w:vAlign w:val="center"/>
          </w:tcPr>
          <w:p w14:paraId="25DBBD7A"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Népal, Madagascar</w:t>
            </w:r>
          </w:p>
        </w:tc>
      </w:tr>
      <w:tr w:rsidR="00F241C3" w:rsidRPr="00314F31" w14:paraId="748CB6B5" w14:textId="77777777" w:rsidTr="008C75DC">
        <w:trPr>
          <w:trHeight w:val="300"/>
        </w:trPr>
        <w:tc>
          <w:tcPr>
            <w:tcW w:w="562" w:type="dxa"/>
            <w:shd w:val="clear" w:color="auto" w:fill="FFFFFF" w:themeFill="background1"/>
            <w:tcMar>
              <w:left w:w="108" w:type="dxa"/>
              <w:right w:w="108" w:type="dxa"/>
            </w:tcMar>
            <w:vAlign w:val="center"/>
          </w:tcPr>
          <w:p w14:paraId="0A56A2E4" w14:textId="77777777" w:rsidR="00F241C3" w:rsidRPr="00314F31" w:rsidRDefault="00F241C3" w:rsidP="008C75DC">
            <w:pPr>
              <w:pStyle w:val="Tabletext"/>
              <w:keepNext/>
              <w:jc w:val="center"/>
              <w:rPr>
                <w:rFonts w:eastAsia="SimSun"/>
                <w:sz w:val="22"/>
                <w:szCs w:val="22"/>
                <w:lang w:val="fr-FR"/>
              </w:rPr>
            </w:pPr>
            <w:r w:rsidRPr="00314F31">
              <w:rPr>
                <w:rFonts w:eastAsia="SimSun"/>
                <w:sz w:val="22"/>
                <w:szCs w:val="22"/>
                <w:lang w:val="fr-FR"/>
              </w:rPr>
              <w:t>11</w:t>
            </w:r>
          </w:p>
        </w:tc>
        <w:tc>
          <w:tcPr>
            <w:tcW w:w="1560" w:type="dxa"/>
            <w:shd w:val="clear" w:color="auto" w:fill="FFFFFF" w:themeFill="background1"/>
            <w:tcMar>
              <w:left w:w="108" w:type="dxa"/>
              <w:right w:w="108" w:type="dxa"/>
            </w:tcMar>
            <w:vAlign w:val="center"/>
          </w:tcPr>
          <w:p w14:paraId="38B3BA67" w14:textId="77777777" w:rsidR="00F241C3" w:rsidRPr="00314F31" w:rsidRDefault="00F241C3" w:rsidP="008C75DC">
            <w:pPr>
              <w:pStyle w:val="Tabletext"/>
              <w:keepNext/>
              <w:jc w:val="center"/>
              <w:rPr>
                <w:rFonts w:eastAsia="SimSun"/>
                <w:sz w:val="22"/>
                <w:szCs w:val="22"/>
                <w:lang w:val="fr-FR"/>
              </w:rPr>
            </w:pPr>
            <w:r w:rsidRPr="00314F31">
              <w:rPr>
                <w:rFonts w:eastAsia="SimSun"/>
                <w:sz w:val="22"/>
                <w:szCs w:val="22"/>
                <w:lang w:val="fr-FR"/>
              </w:rPr>
              <w:t>7GLO24146</w:t>
            </w:r>
          </w:p>
        </w:tc>
        <w:tc>
          <w:tcPr>
            <w:tcW w:w="2976" w:type="dxa"/>
            <w:shd w:val="clear" w:color="auto" w:fill="FFFFFF" w:themeFill="background1"/>
            <w:tcMar>
              <w:left w:w="108" w:type="dxa"/>
              <w:right w:w="108" w:type="dxa"/>
            </w:tcMar>
            <w:vAlign w:val="center"/>
          </w:tcPr>
          <w:p w14:paraId="6202D663" w14:textId="77777777" w:rsidR="00F241C3" w:rsidRPr="00314F31" w:rsidRDefault="00F241C3" w:rsidP="008C75DC">
            <w:pPr>
              <w:pStyle w:val="Tabletext"/>
              <w:keepNext/>
              <w:jc w:val="center"/>
              <w:rPr>
                <w:rFonts w:eastAsia="SimSun"/>
                <w:sz w:val="22"/>
                <w:szCs w:val="22"/>
                <w:lang w:val="fr-FR"/>
              </w:rPr>
            </w:pPr>
            <w:r w:rsidRPr="00314F31">
              <w:rPr>
                <w:rFonts w:eastAsia="SimSun"/>
                <w:sz w:val="22"/>
                <w:szCs w:val="22"/>
                <w:lang w:val="fr-FR"/>
              </w:rPr>
              <w:t>Seconde phase du projet "Cyber for Good" (La cybersécurité au service du bien social), MSIT</w:t>
            </w:r>
          </w:p>
        </w:tc>
        <w:tc>
          <w:tcPr>
            <w:tcW w:w="1418" w:type="dxa"/>
            <w:shd w:val="clear" w:color="auto" w:fill="FFFFFF" w:themeFill="background1"/>
            <w:tcMar>
              <w:left w:w="108" w:type="dxa"/>
              <w:right w:w="108" w:type="dxa"/>
            </w:tcMar>
            <w:vAlign w:val="center"/>
          </w:tcPr>
          <w:p w14:paraId="21E76D0F" w14:textId="77777777" w:rsidR="00F241C3" w:rsidRPr="00314F31" w:rsidRDefault="00F241C3" w:rsidP="008C75DC">
            <w:pPr>
              <w:pStyle w:val="Tabletext"/>
              <w:keepNext/>
              <w:jc w:val="center"/>
              <w:rPr>
                <w:rFonts w:eastAsia="SimSun"/>
                <w:sz w:val="22"/>
                <w:szCs w:val="22"/>
                <w:lang w:val="fr-FR"/>
              </w:rPr>
            </w:pPr>
            <w:r w:rsidRPr="00314F31">
              <w:rPr>
                <w:rFonts w:eastAsia="SimSun"/>
                <w:sz w:val="22"/>
                <w:szCs w:val="22"/>
                <w:lang w:val="fr-FR"/>
              </w:rPr>
              <w:t>31/12/2026</w:t>
            </w:r>
          </w:p>
        </w:tc>
        <w:tc>
          <w:tcPr>
            <w:tcW w:w="3103" w:type="dxa"/>
            <w:shd w:val="clear" w:color="auto" w:fill="FFFFFF" w:themeFill="background1"/>
            <w:tcMar>
              <w:left w:w="108" w:type="dxa"/>
              <w:right w:w="108" w:type="dxa"/>
            </w:tcMar>
            <w:vAlign w:val="center"/>
          </w:tcPr>
          <w:p w14:paraId="464F8ACD" w14:textId="77777777" w:rsidR="00F241C3" w:rsidRPr="00314F31" w:rsidRDefault="00F241C3" w:rsidP="008C75DC">
            <w:pPr>
              <w:pStyle w:val="Tabletext"/>
              <w:keepNext/>
              <w:jc w:val="center"/>
              <w:rPr>
                <w:rFonts w:eastAsia="SimSun"/>
                <w:sz w:val="22"/>
                <w:szCs w:val="22"/>
                <w:lang w:val="fr-FR"/>
              </w:rPr>
            </w:pPr>
            <w:r w:rsidRPr="00314F31">
              <w:rPr>
                <w:rFonts w:eastAsia="SimSun"/>
                <w:sz w:val="22"/>
                <w:szCs w:val="22"/>
                <w:lang w:val="fr-FR"/>
              </w:rPr>
              <w:t>Angola, Bangladesh, Bénin, Burkina Faso, Burundi, Cambodge, République centrafricaine, Comores, Rép. dém. du Congo, Djibouti, Érythrée, Éthiopie, Gambie, Guinée, Guinée-Bissau, Haïti, Kiribati, Lao (R.d.p.), Lesotho, Libéria, Madagascar, Mali, Mauritanie, Mozambique, Népal, Niger, Rwanda, Sénégal, Sierra Leone, Îles Salomon, Somalie, Soudan du Sud, Soudan, Tanzanie, Tchad, Timor</w:t>
            </w:r>
            <w:r w:rsidRPr="00314F31">
              <w:rPr>
                <w:rFonts w:eastAsia="SimSun"/>
                <w:sz w:val="22"/>
                <w:szCs w:val="22"/>
                <w:lang w:val="fr-FR"/>
              </w:rPr>
              <w:noBreakHyphen/>
              <w:t>Leste, Togo, Tuvalu, Ouganda, Yémen, Zambie</w:t>
            </w:r>
          </w:p>
        </w:tc>
      </w:tr>
      <w:tr w:rsidR="00F241C3" w:rsidRPr="00314F31" w14:paraId="3D7B57BD" w14:textId="77777777" w:rsidTr="008C75DC">
        <w:trPr>
          <w:trHeight w:val="300"/>
        </w:trPr>
        <w:tc>
          <w:tcPr>
            <w:tcW w:w="562" w:type="dxa"/>
            <w:shd w:val="clear" w:color="auto" w:fill="FFFFFF" w:themeFill="background1"/>
            <w:tcMar>
              <w:left w:w="108" w:type="dxa"/>
              <w:right w:w="108" w:type="dxa"/>
            </w:tcMar>
            <w:vAlign w:val="center"/>
          </w:tcPr>
          <w:p w14:paraId="554A2E9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12</w:t>
            </w:r>
          </w:p>
        </w:tc>
        <w:tc>
          <w:tcPr>
            <w:tcW w:w="1560" w:type="dxa"/>
            <w:shd w:val="clear" w:color="auto" w:fill="FFFFFF" w:themeFill="background1"/>
            <w:tcMar>
              <w:left w:w="108" w:type="dxa"/>
              <w:right w:w="108" w:type="dxa"/>
            </w:tcMar>
            <w:vAlign w:val="center"/>
          </w:tcPr>
          <w:p w14:paraId="19EA6C57"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7RAF24106</w:t>
            </w:r>
          </w:p>
        </w:tc>
        <w:tc>
          <w:tcPr>
            <w:tcW w:w="2976" w:type="dxa"/>
            <w:shd w:val="clear" w:color="auto" w:fill="FFFFFF" w:themeFill="background1"/>
            <w:tcMar>
              <w:left w:w="108" w:type="dxa"/>
              <w:right w:w="108" w:type="dxa"/>
            </w:tcMar>
            <w:vAlign w:val="center"/>
          </w:tcPr>
          <w:p w14:paraId="514B0764"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Cyberrésilience au service du développement numérique dans les pays les moins avancés (CRDD</w:t>
            </w:r>
            <w:r w:rsidRPr="00314F31">
              <w:rPr>
                <w:rFonts w:eastAsia="SimSun"/>
                <w:sz w:val="22"/>
                <w:szCs w:val="22"/>
                <w:lang w:val="fr-FR"/>
              </w:rPr>
              <w:noBreakHyphen/>
              <w:t>LDC)</w:t>
            </w:r>
          </w:p>
        </w:tc>
        <w:tc>
          <w:tcPr>
            <w:tcW w:w="1418" w:type="dxa"/>
            <w:shd w:val="clear" w:color="auto" w:fill="FFFFFF" w:themeFill="background1"/>
            <w:tcMar>
              <w:left w:w="108" w:type="dxa"/>
              <w:right w:w="108" w:type="dxa"/>
            </w:tcMar>
            <w:vAlign w:val="center"/>
          </w:tcPr>
          <w:p w14:paraId="46677399"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31/08/2025</w:t>
            </w:r>
          </w:p>
        </w:tc>
        <w:tc>
          <w:tcPr>
            <w:tcW w:w="3103" w:type="dxa"/>
            <w:shd w:val="clear" w:color="auto" w:fill="FFFFFF" w:themeFill="background1"/>
            <w:tcMar>
              <w:left w:w="108" w:type="dxa"/>
              <w:right w:w="108" w:type="dxa"/>
            </w:tcMar>
            <w:vAlign w:val="center"/>
          </w:tcPr>
          <w:p w14:paraId="09CAA07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Mozambique, Rwanda, Zambie</w:t>
            </w:r>
          </w:p>
        </w:tc>
      </w:tr>
      <w:tr w:rsidR="00F241C3" w:rsidRPr="00314F31" w14:paraId="5545DA9A" w14:textId="77777777" w:rsidTr="008C75DC">
        <w:trPr>
          <w:trHeight w:val="300"/>
        </w:trPr>
        <w:tc>
          <w:tcPr>
            <w:tcW w:w="562" w:type="dxa"/>
            <w:shd w:val="clear" w:color="auto" w:fill="FFFFFF" w:themeFill="background1"/>
            <w:tcMar>
              <w:left w:w="108" w:type="dxa"/>
              <w:right w:w="108" w:type="dxa"/>
            </w:tcMar>
            <w:vAlign w:val="center"/>
          </w:tcPr>
          <w:p w14:paraId="3FE1CB52"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13</w:t>
            </w:r>
          </w:p>
        </w:tc>
        <w:tc>
          <w:tcPr>
            <w:tcW w:w="1560" w:type="dxa"/>
            <w:shd w:val="clear" w:color="auto" w:fill="FFFFFF" w:themeFill="background1"/>
            <w:tcMar>
              <w:left w:w="108" w:type="dxa"/>
              <w:right w:w="108" w:type="dxa"/>
            </w:tcMar>
            <w:vAlign w:val="center"/>
          </w:tcPr>
          <w:p w14:paraId="5441E493"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9GLO24137</w:t>
            </w:r>
          </w:p>
        </w:tc>
        <w:tc>
          <w:tcPr>
            <w:tcW w:w="2976" w:type="dxa"/>
            <w:shd w:val="clear" w:color="auto" w:fill="FFFFFF" w:themeFill="background1"/>
            <w:tcMar>
              <w:left w:w="108" w:type="dxa"/>
              <w:right w:w="108" w:type="dxa"/>
            </w:tcMar>
            <w:vAlign w:val="center"/>
          </w:tcPr>
          <w:p w14:paraId="7EEAC8C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Accélérateur multi-parties prenantes du projet EW4All dans les PMA et les PEID (UNDRR – Fonds de la Suède)</w:t>
            </w:r>
          </w:p>
        </w:tc>
        <w:tc>
          <w:tcPr>
            <w:tcW w:w="1418" w:type="dxa"/>
            <w:shd w:val="clear" w:color="auto" w:fill="FFFFFF" w:themeFill="background1"/>
            <w:tcMar>
              <w:left w:w="108" w:type="dxa"/>
              <w:right w:w="108" w:type="dxa"/>
            </w:tcMar>
            <w:vAlign w:val="center"/>
          </w:tcPr>
          <w:p w14:paraId="10261B72"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30/06/2025</w:t>
            </w:r>
          </w:p>
        </w:tc>
        <w:tc>
          <w:tcPr>
            <w:tcW w:w="3103" w:type="dxa"/>
            <w:shd w:val="clear" w:color="auto" w:fill="FFFFFF" w:themeFill="background1"/>
            <w:tcMar>
              <w:left w:w="108" w:type="dxa"/>
              <w:right w:w="108" w:type="dxa"/>
            </w:tcMar>
            <w:vAlign w:val="center"/>
          </w:tcPr>
          <w:p w14:paraId="20F7961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Bangladesh, Haïti, Libéria, Mozambique, Somalie</w:t>
            </w:r>
          </w:p>
        </w:tc>
      </w:tr>
      <w:tr w:rsidR="00F241C3" w:rsidRPr="00314F31" w14:paraId="50ED32D8" w14:textId="77777777" w:rsidTr="008C75DC">
        <w:trPr>
          <w:trHeight w:val="300"/>
        </w:trPr>
        <w:tc>
          <w:tcPr>
            <w:tcW w:w="562" w:type="dxa"/>
            <w:shd w:val="clear" w:color="auto" w:fill="FFFFFF" w:themeFill="background1"/>
            <w:tcMar>
              <w:left w:w="108" w:type="dxa"/>
              <w:right w:w="108" w:type="dxa"/>
            </w:tcMar>
            <w:vAlign w:val="center"/>
          </w:tcPr>
          <w:p w14:paraId="73E03583"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14</w:t>
            </w:r>
          </w:p>
        </w:tc>
        <w:tc>
          <w:tcPr>
            <w:tcW w:w="1560" w:type="dxa"/>
            <w:shd w:val="clear" w:color="auto" w:fill="FFFFFF" w:themeFill="background1"/>
            <w:tcMar>
              <w:left w:w="108" w:type="dxa"/>
              <w:right w:w="108" w:type="dxa"/>
            </w:tcMar>
            <w:vAlign w:val="center"/>
          </w:tcPr>
          <w:p w14:paraId="7B71CE2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9RAF24105</w:t>
            </w:r>
          </w:p>
        </w:tc>
        <w:tc>
          <w:tcPr>
            <w:tcW w:w="2976" w:type="dxa"/>
            <w:shd w:val="clear" w:color="auto" w:fill="FFFFFF" w:themeFill="background1"/>
            <w:tcMar>
              <w:left w:w="108" w:type="dxa"/>
              <w:right w:w="108" w:type="dxa"/>
            </w:tcMar>
            <w:vAlign w:val="center"/>
          </w:tcPr>
          <w:p w14:paraId="57FFDAF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Contribution danoise au projet "Alertes précoces pour tous" (EW4All) (OMM – Danemark)</w:t>
            </w:r>
          </w:p>
        </w:tc>
        <w:tc>
          <w:tcPr>
            <w:tcW w:w="1418" w:type="dxa"/>
            <w:shd w:val="clear" w:color="auto" w:fill="FFFFFF" w:themeFill="background1"/>
            <w:tcMar>
              <w:left w:w="108" w:type="dxa"/>
              <w:right w:w="108" w:type="dxa"/>
            </w:tcMar>
            <w:vAlign w:val="center"/>
          </w:tcPr>
          <w:p w14:paraId="0D80BD6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30/09/2027</w:t>
            </w:r>
          </w:p>
        </w:tc>
        <w:tc>
          <w:tcPr>
            <w:tcW w:w="3103" w:type="dxa"/>
            <w:shd w:val="clear" w:color="auto" w:fill="FFFFFF" w:themeFill="background1"/>
            <w:tcMar>
              <w:left w:w="108" w:type="dxa"/>
              <w:right w:w="108" w:type="dxa"/>
            </w:tcMar>
            <w:vAlign w:val="center"/>
          </w:tcPr>
          <w:p w14:paraId="1EEEF9AD"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 xml:space="preserve">Niger, Ouganda, Somalie, Soudan du Sud, Tanzanie </w:t>
            </w:r>
          </w:p>
        </w:tc>
      </w:tr>
      <w:tr w:rsidR="00F241C3" w:rsidRPr="00314F31" w14:paraId="5A5C4A35" w14:textId="77777777" w:rsidTr="008C75DC">
        <w:trPr>
          <w:trHeight w:val="300"/>
        </w:trPr>
        <w:tc>
          <w:tcPr>
            <w:tcW w:w="562" w:type="dxa"/>
            <w:shd w:val="clear" w:color="auto" w:fill="FFFFFF" w:themeFill="background1"/>
            <w:tcMar>
              <w:left w:w="108" w:type="dxa"/>
              <w:right w:w="108" w:type="dxa"/>
            </w:tcMar>
            <w:vAlign w:val="center"/>
          </w:tcPr>
          <w:p w14:paraId="36C46FD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15</w:t>
            </w:r>
          </w:p>
        </w:tc>
        <w:tc>
          <w:tcPr>
            <w:tcW w:w="1560" w:type="dxa"/>
            <w:shd w:val="clear" w:color="auto" w:fill="FFFFFF" w:themeFill="background1"/>
            <w:tcMar>
              <w:left w:w="108" w:type="dxa"/>
              <w:right w:w="108" w:type="dxa"/>
            </w:tcMar>
            <w:vAlign w:val="center"/>
          </w:tcPr>
          <w:p w14:paraId="29048AF7"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9RAF24107</w:t>
            </w:r>
          </w:p>
        </w:tc>
        <w:tc>
          <w:tcPr>
            <w:tcW w:w="2976" w:type="dxa"/>
            <w:shd w:val="clear" w:color="auto" w:fill="FFFFFF" w:themeFill="background1"/>
            <w:tcMar>
              <w:left w:w="108" w:type="dxa"/>
              <w:right w:w="108" w:type="dxa"/>
            </w:tcMar>
            <w:vAlign w:val="center"/>
          </w:tcPr>
          <w:p w14:paraId="2E53EE1D"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Soutien de l'UE aux systèmes de cartographie nationale du large bande en Afrique (AfricaBBMaps)</w:t>
            </w:r>
          </w:p>
        </w:tc>
        <w:tc>
          <w:tcPr>
            <w:tcW w:w="1418" w:type="dxa"/>
            <w:shd w:val="clear" w:color="auto" w:fill="FFFFFF" w:themeFill="background1"/>
            <w:tcMar>
              <w:left w:w="108" w:type="dxa"/>
              <w:right w:w="108" w:type="dxa"/>
            </w:tcMar>
            <w:vAlign w:val="center"/>
          </w:tcPr>
          <w:p w14:paraId="64E293D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30/09/2028</w:t>
            </w:r>
          </w:p>
        </w:tc>
        <w:tc>
          <w:tcPr>
            <w:tcW w:w="3103" w:type="dxa"/>
            <w:shd w:val="clear" w:color="auto" w:fill="FFFFFF" w:themeFill="background1"/>
            <w:tcMar>
              <w:left w:w="108" w:type="dxa"/>
              <w:right w:w="108" w:type="dxa"/>
            </w:tcMar>
            <w:vAlign w:val="center"/>
          </w:tcPr>
          <w:p w14:paraId="634E9FF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Bénin, Burundi, Éthiopie, Malawi, Ouganda, Zambie</w:t>
            </w:r>
          </w:p>
        </w:tc>
      </w:tr>
      <w:tr w:rsidR="00F241C3" w:rsidRPr="00314F31" w14:paraId="3499B458" w14:textId="77777777" w:rsidTr="008C75DC">
        <w:trPr>
          <w:trHeight w:val="300"/>
        </w:trPr>
        <w:tc>
          <w:tcPr>
            <w:tcW w:w="562" w:type="dxa"/>
            <w:shd w:val="clear" w:color="auto" w:fill="FFFFFF" w:themeFill="background1"/>
            <w:tcMar>
              <w:left w:w="108" w:type="dxa"/>
              <w:right w:w="108" w:type="dxa"/>
            </w:tcMar>
            <w:vAlign w:val="center"/>
          </w:tcPr>
          <w:p w14:paraId="2197ADE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16</w:t>
            </w:r>
          </w:p>
        </w:tc>
        <w:tc>
          <w:tcPr>
            <w:tcW w:w="1560" w:type="dxa"/>
            <w:shd w:val="clear" w:color="auto" w:fill="FFFFFF" w:themeFill="background1"/>
            <w:tcMar>
              <w:left w:w="108" w:type="dxa"/>
              <w:right w:w="108" w:type="dxa"/>
            </w:tcMar>
            <w:vAlign w:val="center"/>
          </w:tcPr>
          <w:p w14:paraId="52F7E1F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7GLO25151</w:t>
            </w:r>
          </w:p>
        </w:tc>
        <w:tc>
          <w:tcPr>
            <w:tcW w:w="2976" w:type="dxa"/>
            <w:shd w:val="clear" w:color="auto" w:fill="FFFFFF" w:themeFill="background1"/>
            <w:tcMar>
              <w:left w:w="108" w:type="dxa"/>
              <w:right w:w="108" w:type="dxa"/>
            </w:tcMar>
            <w:vAlign w:val="center"/>
          </w:tcPr>
          <w:p w14:paraId="0AA4B985"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Phase III du programme Her Cyber Tracks</w:t>
            </w:r>
          </w:p>
        </w:tc>
        <w:tc>
          <w:tcPr>
            <w:tcW w:w="1418" w:type="dxa"/>
            <w:shd w:val="clear" w:color="auto" w:fill="FFFFFF" w:themeFill="background1"/>
            <w:tcMar>
              <w:left w:w="108" w:type="dxa"/>
              <w:right w:w="108" w:type="dxa"/>
            </w:tcMar>
            <w:vAlign w:val="center"/>
          </w:tcPr>
          <w:p w14:paraId="6C6DCF4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28/02/2026</w:t>
            </w:r>
          </w:p>
        </w:tc>
        <w:tc>
          <w:tcPr>
            <w:tcW w:w="3103" w:type="dxa"/>
            <w:shd w:val="clear" w:color="auto" w:fill="FFFFFF" w:themeFill="background1"/>
            <w:tcMar>
              <w:left w:w="108" w:type="dxa"/>
              <w:right w:w="108" w:type="dxa"/>
            </w:tcMar>
            <w:vAlign w:val="center"/>
          </w:tcPr>
          <w:p w14:paraId="4BB6885A"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Bénin, Burkina Faso, Gambie, Guinée, Guinée</w:t>
            </w:r>
            <w:r w:rsidRPr="00314F31">
              <w:rPr>
                <w:rFonts w:eastAsia="SimSun"/>
                <w:sz w:val="22"/>
                <w:szCs w:val="22"/>
                <w:lang w:val="fr-FR"/>
              </w:rPr>
              <w:noBreakHyphen/>
              <w:t>Bissau, Libéria, Mali, Niger, Sénégal, Sierra Leone, Togo</w:t>
            </w:r>
          </w:p>
        </w:tc>
      </w:tr>
      <w:tr w:rsidR="00F241C3" w:rsidRPr="00314F31" w14:paraId="7FCCDE9D" w14:textId="77777777" w:rsidTr="008C75DC">
        <w:trPr>
          <w:trHeight w:val="300"/>
        </w:trPr>
        <w:tc>
          <w:tcPr>
            <w:tcW w:w="562" w:type="dxa"/>
            <w:shd w:val="clear" w:color="auto" w:fill="FFFFFF" w:themeFill="background1"/>
            <w:tcMar>
              <w:left w:w="108" w:type="dxa"/>
              <w:right w:w="108" w:type="dxa"/>
            </w:tcMar>
            <w:vAlign w:val="center"/>
          </w:tcPr>
          <w:p w14:paraId="07A87109"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17</w:t>
            </w:r>
          </w:p>
        </w:tc>
        <w:tc>
          <w:tcPr>
            <w:tcW w:w="1560" w:type="dxa"/>
            <w:shd w:val="clear" w:color="auto" w:fill="FFFFFF" w:themeFill="background1"/>
            <w:tcMar>
              <w:left w:w="108" w:type="dxa"/>
              <w:right w:w="108" w:type="dxa"/>
            </w:tcMar>
            <w:vAlign w:val="center"/>
          </w:tcPr>
          <w:p w14:paraId="64050A4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9MAU25002</w:t>
            </w:r>
          </w:p>
        </w:tc>
        <w:tc>
          <w:tcPr>
            <w:tcW w:w="2976" w:type="dxa"/>
            <w:shd w:val="clear" w:color="auto" w:fill="FFFFFF" w:themeFill="background1"/>
            <w:tcMar>
              <w:left w:w="108" w:type="dxa"/>
              <w:right w:w="108" w:type="dxa"/>
            </w:tcMar>
            <w:vAlign w:val="center"/>
          </w:tcPr>
          <w:p w14:paraId="306960B3" w14:textId="77777777" w:rsidR="00F241C3" w:rsidRPr="00314F31" w:rsidRDefault="00F241C3" w:rsidP="008C75DC">
            <w:pPr>
              <w:pStyle w:val="Tabletext"/>
              <w:keepLines/>
              <w:jc w:val="center"/>
              <w:rPr>
                <w:rFonts w:eastAsia="SimSun"/>
                <w:sz w:val="22"/>
                <w:szCs w:val="22"/>
                <w:lang w:val="fr-FR"/>
              </w:rPr>
            </w:pPr>
            <w:r w:rsidRPr="00314F31">
              <w:rPr>
                <w:rFonts w:eastAsia="SimSun"/>
                <w:sz w:val="22"/>
                <w:szCs w:val="22"/>
                <w:lang w:val="fr-FR"/>
              </w:rPr>
              <w:t>Assistance technique pour le développement de services gouvernementaux numériques en s'appuyant sur les principes, les spécifications et les ressources de GovStack</w:t>
            </w:r>
          </w:p>
        </w:tc>
        <w:tc>
          <w:tcPr>
            <w:tcW w:w="1418" w:type="dxa"/>
            <w:shd w:val="clear" w:color="auto" w:fill="FFFFFF" w:themeFill="background1"/>
            <w:tcMar>
              <w:left w:w="108" w:type="dxa"/>
              <w:right w:w="108" w:type="dxa"/>
            </w:tcMar>
            <w:vAlign w:val="center"/>
          </w:tcPr>
          <w:p w14:paraId="55AF915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31/10/2025</w:t>
            </w:r>
          </w:p>
        </w:tc>
        <w:tc>
          <w:tcPr>
            <w:tcW w:w="3103" w:type="dxa"/>
            <w:shd w:val="clear" w:color="auto" w:fill="FFFFFF" w:themeFill="background1"/>
            <w:tcMar>
              <w:left w:w="108" w:type="dxa"/>
              <w:right w:w="108" w:type="dxa"/>
            </w:tcMar>
            <w:vAlign w:val="center"/>
          </w:tcPr>
          <w:p w14:paraId="4B686A8F"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Mauritanie</w:t>
            </w:r>
          </w:p>
        </w:tc>
      </w:tr>
      <w:tr w:rsidR="00F241C3" w:rsidRPr="00314F31" w14:paraId="048DD81E" w14:textId="77777777" w:rsidTr="008C75DC">
        <w:trPr>
          <w:trHeight w:val="300"/>
        </w:trPr>
        <w:tc>
          <w:tcPr>
            <w:tcW w:w="562" w:type="dxa"/>
            <w:shd w:val="clear" w:color="auto" w:fill="FFFFFF" w:themeFill="background1"/>
            <w:tcMar>
              <w:left w:w="108" w:type="dxa"/>
              <w:right w:w="108" w:type="dxa"/>
            </w:tcMar>
            <w:vAlign w:val="center"/>
          </w:tcPr>
          <w:p w14:paraId="71853819"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lastRenderedPageBreak/>
              <w:t>18</w:t>
            </w:r>
          </w:p>
        </w:tc>
        <w:tc>
          <w:tcPr>
            <w:tcW w:w="1560" w:type="dxa"/>
            <w:shd w:val="clear" w:color="auto" w:fill="FFFFFF" w:themeFill="background1"/>
            <w:tcMar>
              <w:left w:w="108" w:type="dxa"/>
              <w:right w:w="108" w:type="dxa"/>
            </w:tcMar>
            <w:vAlign w:val="center"/>
          </w:tcPr>
          <w:p w14:paraId="1EC61C15"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9RAF25152</w:t>
            </w:r>
          </w:p>
        </w:tc>
        <w:tc>
          <w:tcPr>
            <w:tcW w:w="2976" w:type="dxa"/>
            <w:shd w:val="clear" w:color="auto" w:fill="FFFFFF" w:themeFill="background1"/>
            <w:tcMar>
              <w:left w:w="108" w:type="dxa"/>
              <w:right w:w="108" w:type="dxa"/>
            </w:tcMar>
            <w:vAlign w:val="center"/>
          </w:tcPr>
          <w:p w14:paraId="313014FE" w14:textId="77777777" w:rsidR="00F241C3" w:rsidRPr="00314F31" w:rsidRDefault="00F241C3" w:rsidP="008C75DC">
            <w:pPr>
              <w:pStyle w:val="Tabletext"/>
              <w:keepLines/>
              <w:jc w:val="center"/>
              <w:rPr>
                <w:rFonts w:eastAsia="SimSun"/>
                <w:sz w:val="22"/>
                <w:szCs w:val="22"/>
                <w:lang w:val="fr-FR"/>
              </w:rPr>
            </w:pPr>
            <w:r w:rsidRPr="00314F31">
              <w:rPr>
                <w:rFonts w:eastAsia="SimSun"/>
                <w:sz w:val="22"/>
                <w:szCs w:val="22"/>
                <w:lang w:val="fr-FR"/>
              </w:rPr>
              <w:t>La transformation numérique au service du projet d'intégration numérique régional Afrique/Afrique de l'Ouest (DfTA/WARDIP)</w:t>
            </w:r>
          </w:p>
        </w:tc>
        <w:tc>
          <w:tcPr>
            <w:tcW w:w="1418" w:type="dxa"/>
            <w:shd w:val="clear" w:color="auto" w:fill="FFFFFF" w:themeFill="background1"/>
            <w:tcMar>
              <w:left w:w="108" w:type="dxa"/>
              <w:right w:w="108" w:type="dxa"/>
            </w:tcMar>
            <w:vAlign w:val="center"/>
          </w:tcPr>
          <w:p w14:paraId="1CA21311"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30/01/2026</w:t>
            </w:r>
          </w:p>
        </w:tc>
        <w:tc>
          <w:tcPr>
            <w:tcW w:w="3103" w:type="dxa"/>
            <w:shd w:val="clear" w:color="auto" w:fill="FFFFFF" w:themeFill="background1"/>
            <w:tcMar>
              <w:left w:w="108" w:type="dxa"/>
              <w:right w:w="108" w:type="dxa"/>
            </w:tcMar>
            <w:vAlign w:val="center"/>
          </w:tcPr>
          <w:p w14:paraId="10C22EE6"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Gambie</w:t>
            </w:r>
          </w:p>
        </w:tc>
      </w:tr>
      <w:tr w:rsidR="00F241C3" w:rsidRPr="00314F31" w14:paraId="654D9989" w14:textId="77777777" w:rsidTr="008C75DC">
        <w:trPr>
          <w:trHeight w:val="300"/>
        </w:trPr>
        <w:tc>
          <w:tcPr>
            <w:tcW w:w="562" w:type="dxa"/>
            <w:shd w:val="clear" w:color="auto" w:fill="FFFFFF" w:themeFill="background1"/>
            <w:tcMar>
              <w:left w:w="108" w:type="dxa"/>
              <w:right w:w="108" w:type="dxa"/>
            </w:tcMar>
            <w:vAlign w:val="center"/>
          </w:tcPr>
          <w:p w14:paraId="50A8B0F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19</w:t>
            </w:r>
          </w:p>
        </w:tc>
        <w:tc>
          <w:tcPr>
            <w:tcW w:w="1560" w:type="dxa"/>
            <w:shd w:val="clear" w:color="auto" w:fill="FFFFFF" w:themeFill="background1"/>
            <w:tcMar>
              <w:left w:w="108" w:type="dxa"/>
              <w:right w:w="108" w:type="dxa"/>
            </w:tcMar>
            <w:vAlign w:val="center"/>
          </w:tcPr>
          <w:p w14:paraId="7299EB2A"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9RAS25002</w:t>
            </w:r>
          </w:p>
        </w:tc>
        <w:tc>
          <w:tcPr>
            <w:tcW w:w="2976" w:type="dxa"/>
            <w:shd w:val="clear" w:color="auto" w:fill="FFFFFF" w:themeFill="background1"/>
            <w:tcMar>
              <w:left w:w="108" w:type="dxa"/>
              <w:right w:w="108" w:type="dxa"/>
            </w:tcMar>
            <w:vAlign w:val="center"/>
          </w:tcPr>
          <w:p w14:paraId="15DF98A1"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Améliorer l'infrastructure numérique et l'accès financièrement abordable aux services TIC en Asie</w:t>
            </w:r>
            <w:r w:rsidRPr="00314F31">
              <w:rPr>
                <w:rFonts w:eastAsia="SimSun"/>
                <w:sz w:val="22"/>
                <w:szCs w:val="22"/>
                <w:lang w:val="fr-FR"/>
              </w:rPr>
              <w:noBreakHyphen/>
              <w:t>Pacifique</w:t>
            </w:r>
          </w:p>
        </w:tc>
        <w:tc>
          <w:tcPr>
            <w:tcW w:w="1418" w:type="dxa"/>
            <w:shd w:val="clear" w:color="auto" w:fill="FFFFFF" w:themeFill="background1"/>
            <w:tcMar>
              <w:left w:w="108" w:type="dxa"/>
              <w:right w:w="108" w:type="dxa"/>
            </w:tcMar>
            <w:vAlign w:val="center"/>
          </w:tcPr>
          <w:p w14:paraId="3DEF2165"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30/11/2027</w:t>
            </w:r>
          </w:p>
        </w:tc>
        <w:tc>
          <w:tcPr>
            <w:tcW w:w="3103" w:type="dxa"/>
            <w:shd w:val="clear" w:color="auto" w:fill="FFFFFF" w:themeFill="background1"/>
            <w:tcMar>
              <w:left w:w="108" w:type="dxa"/>
              <w:right w:w="108" w:type="dxa"/>
            </w:tcMar>
            <w:vAlign w:val="center"/>
          </w:tcPr>
          <w:p w14:paraId="19E0EF6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Bangladesh, Cambodge</w:t>
            </w:r>
          </w:p>
        </w:tc>
      </w:tr>
      <w:tr w:rsidR="00F241C3" w:rsidRPr="00314F31" w14:paraId="606DBD38" w14:textId="77777777" w:rsidTr="008C75DC">
        <w:trPr>
          <w:trHeight w:val="300"/>
        </w:trPr>
        <w:tc>
          <w:tcPr>
            <w:tcW w:w="562" w:type="dxa"/>
            <w:shd w:val="clear" w:color="auto" w:fill="FFFFFF" w:themeFill="background1"/>
            <w:tcMar>
              <w:left w:w="108" w:type="dxa"/>
              <w:right w:w="108" w:type="dxa"/>
            </w:tcMar>
            <w:vAlign w:val="center"/>
          </w:tcPr>
          <w:p w14:paraId="6D08096A"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20</w:t>
            </w:r>
          </w:p>
        </w:tc>
        <w:tc>
          <w:tcPr>
            <w:tcW w:w="1560" w:type="dxa"/>
            <w:tcMar>
              <w:left w:w="108" w:type="dxa"/>
              <w:right w:w="108" w:type="dxa"/>
            </w:tcMar>
            <w:vAlign w:val="center"/>
          </w:tcPr>
          <w:p w14:paraId="685E0FE1"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7RAF21102</w:t>
            </w:r>
          </w:p>
        </w:tc>
        <w:tc>
          <w:tcPr>
            <w:tcW w:w="2976" w:type="dxa"/>
            <w:tcMar>
              <w:left w:w="108" w:type="dxa"/>
              <w:right w:w="108" w:type="dxa"/>
            </w:tcMar>
            <w:vAlign w:val="center"/>
          </w:tcPr>
          <w:p w14:paraId="7B942BF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Analyse comparative des TIC en Afrique centrale</w:t>
            </w:r>
          </w:p>
        </w:tc>
        <w:tc>
          <w:tcPr>
            <w:tcW w:w="1418" w:type="dxa"/>
            <w:tcMar>
              <w:left w:w="108" w:type="dxa"/>
              <w:right w:w="108" w:type="dxa"/>
            </w:tcMar>
            <w:vAlign w:val="center"/>
          </w:tcPr>
          <w:p w14:paraId="7E686F69"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24/12/2024</w:t>
            </w:r>
          </w:p>
        </w:tc>
        <w:tc>
          <w:tcPr>
            <w:tcW w:w="3103" w:type="dxa"/>
            <w:tcMar>
              <w:left w:w="108" w:type="dxa"/>
              <w:right w:w="108" w:type="dxa"/>
            </w:tcMar>
            <w:vAlign w:val="center"/>
          </w:tcPr>
          <w:p w14:paraId="0786FB92"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Angola, Burundi, République centrafricaine, Rép. dém. du Congo, Tchad</w:t>
            </w:r>
          </w:p>
        </w:tc>
      </w:tr>
    </w:tbl>
    <w:p w14:paraId="6D00FB7C" w14:textId="77777777" w:rsidR="00F241C3" w:rsidRPr="00314F31" w:rsidRDefault="00F241C3" w:rsidP="00314F31">
      <w:pPr>
        <w:pStyle w:val="Headingb"/>
        <w:tabs>
          <w:tab w:val="clear" w:pos="1134"/>
          <w:tab w:val="left" w:pos="567"/>
        </w:tabs>
        <w:spacing w:before="360" w:after="240"/>
        <w:rPr>
          <w:rFonts w:eastAsia="SimSun"/>
          <w:b w:val="0"/>
          <w:u w:val="single"/>
          <w:lang w:val="fr-FR"/>
        </w:rPr>
      </w:pPr>
      <w:r w:rsidRPr="00314F31">
        <w:rPr>
          <w:rFonts w:eastAsia="SimSun"/>
          <w:b w:val="0"/>
          <w:lang w:val="fr-FR"/>
        </w:rPr>
        <w:t>B</w:t>
      </w:r>
      <w:r w:rsidRPr="00314F31">
        <w:rPr>
          <w:rFonts w:eastAsia="SimSun"/>
          <w:b w:val="0"/>
          <w:lang w:val="fr-FR"/>
        </w:rPr>
        <w:tab/>
      </w:r>
      <w:r w:rsidRPr="00314F31">
        <w:rPr>
          <w:rFonts w:eastAsia="SimSun"/>
          <w:b w:val="0"/>
          <w:u w:val="single"/>
          <w:lang w:val="fr-FR"/>
        </w:rPr>
        <w:t>Projets en cours et projets mis en œuvre dans les PDSL pendant la période 2023-2025</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708"/>
        <w:gridCol w:w="2694"/>
        <w:gridCol w:w="1421"/>
        <w:gridCol w:w="3242"/>
      </w:tblGrid>
      <w:tr w:rsidR="00F241C3" w:rsidRPr="00314F31" w14:paraId="6DC30D0F" w14:textId="77777777" w:rsidTr="008C75DC">
        <w:trPr>
          <w:trHeight w:val="299"/>
          <w:tblHeader/>
        </w:trPr>
        <w:tc>
          <w:tcPr>
            <w:tcW w:w="555" w:type="dxa"/>
            <w:shd w:val="clear" w:color="auto" w:fill="D9D9D9" w:themeFill="background1" w:themeFillShade="D9"/>
            <w:tcMar>
              <w:left w:w="108" w:type="dxa"/>
              <w:right w:w="108" w:type="dxa"/>
            </w:tcMar>
            <w:vAlign w:val="center"/>
          </w:tcPr>
          <w:p w14:paraId="59BCC4B3" w14:textId="77777777" w:rsidR="00F241C3" w:rsidRPr="00314F31" w:rsidRDefault="00F241C3" w:rsidP="008C75DC">
            <w:pPr>
              <w:pStyle w:val="Tablehead"/>
              <w:rPr>
                <w:rFonts w:eastAsia="SimSun"/>
                <w:sz w:val="22"/>
                <w:szCs w:val="22"/>
                <w:lang w:val="fr-FR"/>
              </w:rPr>
            </w:pPr>
          </w:p>
        </w:tc>
        <w:tc>
          <w:tcPr>
            <w:tcW w:w="1708" w:type="dxa"/>
            <w:shd w:val="clear" w:color="auto" w:fill="D9D9D9" w:themeFill="background1" w:themeFillShade="D9"/>
            <w:tcMar>
              <w:left w:w="108" w:type="dxa"/>
              <w:right w:w="108" w:type="dxa"/>
            </w:tcMar>
            <w:vAlign w:val="center"/>
          </w:tcPr>
          <w:p w14:paraId="39D2DC39" w14:textId="77777777" w:rsidR="00F241C3" w:rsidRPr="00314F31" w:rsidRDefault="00F241C3" w:rsidP="008C75DC">
            <w:pPr>
              <w:pStyle w:val="Tablehead"/>
              <w:rPr>
                <w:rFonts w:eastAsia="SimSun"/>
                <w:sz w:val="22"/>
                <w:szCs w:val="22"/>
                <w:lang w:val="fr-FR"/>
              </w:rPr>
            </w:pPr>
            <w:r w:rsidRPr="00314F31">
              <w:rPr>
                <w:rFonts w:eastAsia="SimSun"/>
                <w:sz w:val="22"/>
                <w:szCs w:val="22"/>
                <w:lang w:val="fr-FR"/>
              </w:rPr>
              <w:t>N</w:t>
            </w:r>
            <w:r w:rsidRPr="00314F31">
              <w:rPr>
                <w:rFonts w:eastAsia="SimSun"/>
                <w:sz w:val="22"/>
                <w:szCs w:val="22"/>
                <w:vertAlign w:val="superscript"/>
                <w:lang w:val="fr-FR"/>
              </w:rPr>
              <w:t>o</w:t>
            </w:r>
            <w:r w:rsidRPr="00314F31">
              <w:rPr>
                <w:rFonts w:eastAsia="SimSun"/>
                <w:sz w:val="22"/>
                <w:szCs w:val="22"/>
                <w:lang w:val="fr-FR"/>
              </w:rPr>
              <w:t xml:space="preserve"> de projet</w:t>
            </w:r>
          </w:p>
        </w:tc>
        <w:tc>
          <w:tcPr>
            <w:tcW w:w="2694" w:type="dxa"/>
            <w:shd w:val="clear" w:color="auto" w:fill="D9D9D9" w:themeFill="background1" w:themeFillShade="D9"/>
            <w:tcMar>
              <w:left w:w="108" w:type="dxa"/>
              <w:right w:w="108" w:type="dxa"/>
            </w:tcMar>
            <w:vAlign w:val="center"/>
          </w:tcPr>
          <w:p w14:paraId="69573E56" w14:textId="77777777" w:rsidR="00F241C3" w:rsidRPr="00314F31" w:rsidRDefault="00F241C3" w:rsidP="008C75DC">
            <w:pPr>
              <w:pStyle w:val="Tablehead"/>
              <w:rPr>
                <w:rFonts w:eastAsia="SimSun"/>
                <w:sz w:val="22"/>
                <w:szCs w:val="22"/>
                <w:lang w:val="fr-FR"/>
              </w:rPr>
            </w:pPr>
            <w:r w:rsidRPr="00314F31">
              <w:rPr>
                <w:rFonts w:eastAsia="SimSun"/>
                <w:sz w:val="22"/>
                <w:szCs w:val="22"/>
                <w:lang w:val="fr-FR"/>
              </w:rPr>
              <w:t>Titre</w:t>
            </w:r>
          </w:p>
        </w:tc>
        <w:tc>
          <w:tcPr>
            <w:tcW w:w="1421" w:type="dxa"/>
            <w:shd w:val="clear" w:color="auto" w:fill="D9D9D9" w:themeFill="background1" w:themeFillShade="D9"/>
            <w:tcMar>
              <w:left w:w="108" w:type="dxa"/>
              <w:right w:w="108" w:type="dxa"/>
            </w:tcMar>
            <w:vAlign w:val="center"/>
          </w:tcPr>
          <w:p w14:paraId="52FF5BF5" w14:textId="77777777" w:rsidR="00F241C3" w:rsidRPr="00314F31" w:rsidRDefault="00F241C3" w:rsidP="008C75DC">
            <w:pPr>
              <w:pStyle w:val="Tablehead"/>
              <w:rPr>
                <w:rFonts w:eastAsia="SimSun"/>
                <w:sz w:val="22"/>
                <w:szCs w:val="22"/>
                <w:lang w:val="fr-FR"/>
              </w:rPr>
            </w:pPr>
            <w:r w:rsidRPr="00314F31">
              <w:rPr>
                <w:rFonts w:eastAsia="SimSun"/>
                <w:sz w:val="22"/>
                <w:szCs w:val="22"/>
                <w:lang w:val="fr-FR"/>
              </w:rPr>
              <w:t>Date de fin</w:t>
            </w:r>
          </w:p>
        </w:tc>
        <w:tc>
          <w:tcPr>
            <w:tcW w:w="3242" w:type="dxa"/>
            <w:shd w:val="clear" w:color="auto" w:fill="D9D9D9" w:themeFill="background1" w:themeFillShade="D9"/>
            <w:tcMar>
              <w:left w:w="108" w:type="dxa"/>
              <w:right w:w="108" w:type="dxa"/>
            </w:tcMar>
            <w:vAlign w:val="center"/>
          </w:tcPr>
          <w:p w14:paraId="2977A35E" w14:textId="77777777" w:rsidR="00F241C3" w:rsidRPr="00314F31" w:rsidRDefault="00F241C3" w:rsidP="008C75DC">
            <w:pPr>
              <w:pStyle w:val="Tablehead"/>
              <w:rPr>
                <w:rFonts w:eastAsia="SimSun"/>
                <w:sz w:val="22"/>
                <w:szCs w:val="22"/>
                <w:lang w:val="fr-FR"/>
              </w:rPr>
            </w:pPr>
            <w:r w:rsidRPr="00314F31">
              <w:rPr>
                <w:rFonts w:eastAsia="SimSun"/>
                <w:sz w:val="22"/>
                <w:szCs w:val="22"/>
                <w:lang w:val="fr-FR"/>
              </w:rPr>
              <w:t>Pays bénéficiaires</w:t>
            </w:r>
          </w:p>
        </w:tc>
      </w:tr>
      <w:tr w:rsidR="00F241C3" w:rsidRPr="00314F31" w14:paraId="7A46C174" w14:textId="77777777" w:rsidTr="008C75DC">
        <w:trPr>
          <w:trHeight w:val="299"/>
        </w:trPr>
        <w:tc>
          <w:tcPr>
            <w:tcW w:w="555" w:type="dxa"/>
            <w:tcMar>
              <w:left w:w="108" w:type="dxa"/>
              <w:right w:w="108" w:type="dxa"/>
            </w:tcMar>
            <w:vAlign w:val="center"/>
          </w:tcPr>
          <w:p w14:paraId="6ED8F654"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w:t>
            </w:r>
          </w:p>
        </w:tc>
        <w:tc>
          <w:tcPr>
            <w:tcW w:w="1708" w:type="dxa"/>
            <w:tcMar>
              <w:left w:w="108" w:type="dxa"/>
              <w:right w:w="108" w:type="dxa"/>
            </w:tcMar>
            <w:vAlign w:val="center"/>
          </w:tcPr>
          <w:p w14:paraId="146ED45A"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7CIS25001</w:t>
            </w:r>
          </w:p>
        </w:tc>
        <w:tc>
          <w:tcPr>
            <w:tcW w:w="2694" w:type="dxa"/>
            <w:tcMar>
              <w:left w:w="108" w:type="dxa"/>
              <w:right w:w="108" w:type="dxa"/>
            </w:tcMar>
            <w:vAlign w:val="center"/>
          </w:tcPr>
          <w:p w14:paraId="7AD54075"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Coopération numérique gouvernementale dans les pays d'Asie centrale et du Caucase</w:t>
            </w:r>
          </w:p>
        </w:tc>
        <w:tc>
          <w:tcPr>
            <w:tcW w:w="1421" w:type="dxa"/>
            <w:tcMar>
              <w:left w:w="108" w:type="dxa"/>
              <w:right w:w="108" w:type="dxa"/>
            </w:tcMar>
            <w:vAlign w:val="center"/>
          </w:tcPr>
          <w:p w14:paraId="6216B87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31/12/2026</w:t>
            </w:r>
          </w:p>
        </w:tc>
        <w:tc>
          <w:tcPr>
            <w:tcW w:w="3242" w:type="dxa"/>
            <w:tcMar>
              <w:left w:w="108" w:type="dxa"/>
              <w:right w:w="108" w:type="dxa"/>
            </w:tcMar>
            <w:vAlign w:val="center"/>
          </w:tcPr>
          <w:p w14:paraId="1CAED5A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 xml:space="preserve">Arménie, Azerbaïdjan, Kazakhstan, Kirghizistan, Ouzbékistan, Turkménistan </w:t>
            </w:r>
          </w:p>
        </w:tc>
      </w:tr>
      <w:tr w:rsidR="00F241C3" w:rsidRPr="00314F31" w14:paraId="7FA8FD49" w14:textId="77777777" w:rsidTr="008C75DC">
        <w:trPr>
          <w:trHeight w:val="299"/>
        </w:trPr>
        <w:tc>
          <w:tcPr>
            <w:tcW w:w="555" w:type="dxa"/>
            <w:tcMar>
              <w:left w:w="108" w:type="dxa"/>
              <w:right w:w="108" w:type="dxa"/>
            </w:tcMar>
            <w:vAlign w:val="center"/>
          </w:tcPr>
          <w:p w14:paraId="077866E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2</w:t>
            </w:r>
          </w:p>
        </w:tc>
        <w:tc>
          <w:tcPr>
            <w:tcW w:w="1708" w:type="dxa"/>
            <w:tcMar>
              <w:left w:w="108" w:type="dxa"/>
              <w:right w:w="108" w:type="dxa"/>
            </w:tcMar>
            <w:vAlign w:val="center"/>
          </w:tcPr>
          <w:p w14:paraId="31110EE1"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7GLO24144</w:t>
            </w:r>
          </w:p>
        </w:tc>
        <w:tc>
          <w:tcPr>
            <w:tcW w:w="2694" w:type="dxa"/>
            <w:tcMar>
              <w:left w:w="108" w:type="dxa"/>
              <w:right w:w="108" w:type="dxa"/>
            </w:tcMar>
            <w:vAlign w:val="center"/>
          </w:tcPr>
          <w:p w14:paraId="7674887B"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Alertes précoces pour tous (EW4All) – Fonds de l'UIT destinés à appuyer la mise en œuvre de l'initiative</w:t>
            </w:r>
          </w:p>
        </w:tc>
        <w:tc>
          <w:tcPr>
            <w:tcW w:w="1421" w:type="dxa"/>
            <w:tcMar>
              <w:left w:w="108" w:type="dxa"/>
              <w:right w:w="108" w:type="dxa"/>
            </w:tcMar>
            <w:vAlign w:val="center"/>
          </w:tcPr>
          <w:p w14:paraId="6FA4C01B"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30/09/2027</w:t>
            </w:r>
          </w:p>
        </w:tc>
        <w:tc>
          <w:tcPr>
            <w:tcW w:w="3242" w:type="dxa"/>
            <w:tcMar>
              <w:left w:w="108" w:type="dxa"/>
              <w:right w:w="108" w:type="dxa"/>
            </w:tcMar>
            <w:vAlign w:val="center"/>
          </w:tcPr>
          <w:p w14:paraId="1E6ABB8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Macédoine du Nord</w:t>
            </w:r>
          </w:p>
        </w:tc>
      </w:tr>
      <w:tr w:rsidR="00F241C3" w:rsidRPr="00314F31" w14:paraId="5105AA76" w14:textId="77777777" w:rsidTr="008C75DC">
        <w:trPr>
          <w:trHeight w:val="299"/>
        </w:trPr>
        <w:tc>
          <w:tcPr>
            <w:tcW w:w="555" w:type="dxa"/>
            <w:tcMar>
              <w:left w:w="108" w:type="dxa"/>
              <w:right w:w="108" w:type="dxa"/>
            </w:tcMar>
            <w:vAlign w:val="center"/>
          </w:tcPr>
          <w:p w14:paraId="1109D22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3</w:t>
            </w:r>
          </w:p>
        </w:tc>
        <w:tc>
          <w:tcPr>
            <w:tcW w:w="1708" w:type="dxa"/>
            <w:tcMar>
              <w:left w:w="108" w:type="dxa"/>
              <w:right w:w="108" w:type="dxa"/>
            </w:tcMar>
            <w:vAlign w:val="center"/>
          </w:tcPr>
          <w:p w14:paraId="40D00D1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2ARM23001</w:t>
            </w:r>
          </w:p>
        </w:tc>
        <w:tc>
          <w:tcPr>
            <w:tcW w:w="2694" w:type="dxa"/>
            <w:tcMar>
              <w:left w:w="108" w:type="dxa"/>
              <w:right w:w="108" w:type="dxa"/>
            </w:tcMar>
            <w:vAlign w:val="center"/>
          </w:tcPr>
          <w:p w14:paraId="08930CEA"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Projet pilote sur les réseaux ruraux en Arménie</w:t>
            </w:r>
          </w:p>
        </w:tc>
        <w:tc>
          <w:tcPr>
            <w:tcW w:w="1421" w:type="dxa"/>
            <w:tcMar>
              <w:left w:w="108" w:type="dxa"/>
              <w:right w:w="108" w:type="dxa"/>
            </w:tcMar>
            <w:vAlign w:val="center"/>
          </w:tcPr>
          <w:p w14:paraId="0C633385"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31/12/2024</w:t>
            </w:r>
          </w:p>
        </w:tc>
        <w:tc>
          <w:tcPr>
            <w:tcW w:w="3242" w:type="dxa"/>
            <w:tcMar>
              <w:left w:w="108" w:type="dxa"/>
              <w:right w:w="108" w:type="dxa"/>
            </w:tcMar>
            <w:vAlign w:val="center"/>
          </w:tcPr>
          <w:p w14:paraId="54BC25DE" w14:textId="77777777" w:rsidR="00F241C3" w:rsidRPr="00314F31" w:rsidRDefault="00F241C3" w:rsidP="008C75DC">
            <w:pPr>
              <w:pStyle w:val="Tabletext"/>
              <w:jc w:val="center"/>
              <w:rPr>
                <w:rFonts w:eastAsia="SimSun" w:cstheme="minorHAnsi"/>
                <w:sz w:val="22"/>
                <w:szCs w:val="22"/>
                <w:lang w:val="fr-FR"/>
              </w:rPr>
            </w:pPr>
            <w:r w:rsidRPr="00314F31">
              <w:rPr>
                <w:rFonts w:cstheme="minorHAnsi"/>
                <w:color w:val="000000" w:themeColor="text1"/>
                <w:sz w:val="22"/>
                <w:szCs w:val="22"/>
                <w:lang w:val="fr-FR"/>
              </w:rPr>
              <w:t>Arménie</w:t>
            </w:r>
          </w:p>
        </w:tc>
      </w:tr>
      <w:tr w:rsidR="00F241C3" w:rsidRPr="00314F31" w14:paraId="5712D30E" w14:textId="77777777" w:rsidTr="008C75DC">
        <w:trPr>
          <w:trHeight w:val="299"/>
        </w:trPr>
        <w:tc>
          <w:tcPr>
            <w:tcW w:w="555" w:type="dxa"/>
            <w:tcMar>
              <w:left w:w="108" w:type="dxa"/>
              <w:right w:w="108" w:type="dxa"/>
            </w:tcMar>
            <w:vAlign w:val="center"/>
          </w:tcPr>
          <w:p w14:paraId="61695186"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4</w:t>
            </w:r>
          </w:p>
        </w:tc>
        <w:tc>
          <w:tcPr>
            <w:tcW w:w="1708" w:type="dxa"/>
            <w:tcMar>
              <w:left w:w="108" w:type="dxa"/>
              <w:right w:w="108" w:type="dxa"/>
            </w:tcMar>
            <w:vAlign w:val="center"/>
          </w:tcPr>
          <w:p w14:paraId="206967A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9GLO23126</w:t>
            </w:r>
          </w:p>
        </w:tc>
        <w:tc>
          <w:tcPr>
            <w:tcW w:w="2694" w:type="dxa"/>
            <w:tcMar>
              <w:left w:w="108" w:type="dxa"/>
              <w:right w:w="108" w:type="dxa"/>
            </w:tcMar>
            <w:vAlign w:val="center"/>
          </w:tcPr>
          <w:p w14:paraId="06BA7A0B"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Élaboration et mise en œuvre d'une politique et d'une réglementation sur les déchets d'équipements électriques et électroniques pour une économie circulaire</w:t>
            </w:r>
          </w:p>
        </w:tc>
        <w:tc>
          <w:tcPr>
            <w:tcW w:w="1421" w:type="dxa"/>
            <w:tcMar>
              <w:left w:w="108" w:type="dxa"/>
              <w:right w:w="108" w:type="dxa"/>
            </w:tcMar>
            <w:vAlign w:val="center"/>
          </w:tcPr>
          <w:p w14:paraId="3AE89B9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01/07/2026</w:t>
            </w:r>
          </w:p>
        </w:tc>
        <w:tc>
          <w:tcPr>
            <w:tcW w:w="3242" w:type="dxa"/>
            <w:tcMar>
              <w:left w:w="108" w:type="dxa"/>
              <w:right w:w="108" w:type="dxa"/>
            </w:tcMar>
            <w:vAlign w:val="center"/>
          </w:tcPr>
          <w:p w14:paraId="08A5AE0D"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Paraguay</w:t>
            </w:r>
          </w:p>
        </w:tc>
      </w:tr>
      <w:tr w:rsidR="00F241C3" w:rsidRPr="00314F31" w14:paraId="622F6661" w14:textId="77777777" w:rsidTr="008C75DC">
        <w:trPr>
          <w:trHeight w:val="299"/>
        </w:trPr>
        <w:tc>
          <w:tcPr>
            <w:tcW w:w="555" w:type="dxa"/>
            <w:tcMar>
              <w:left w:w="108" w:type="dxa"/>
              <w:right w:w="108" w:type="dxa"/>
            </w:tcMar>
            <w:vAlign w:val="center"/>
          </w:tcPr>
          <w:p w14:paraId="0837B1FB"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5</w:t>
            </w:r>
          </w:p>
        </w:tc>
        <w:tc>
          <w:tcPr>
            <w:tcW w:w="1708" w:type="dxa"/>
            <w:tcMar>
              <w:left w:w="108" w:type="dxa"/>
              <w:right w:w="108" w:type="dxa"/>
            </w:tcMar>
            <w:vAlign w:val="center"/>
          </w:tcPr>
          <w:p w14:paraId="5BB3A141"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9SWZ24001</w:t>
            </w:r>
          </w:p>
        </w:tc>
        <w:tc>
          <w:tcPr>
            <w:tcW w:w="2694" w:type="dxa"/>
            <w:tcMar>
              <w:left w:w="108" w:type="dxa"/>
              <w:right w:w="108" w:type="dxa"/>
            </w:tcMar>
            <w:vAlign w:val="center"/>
          </w:tcPr>
          <w:p w14:paraId="153E27DD" w14:textId="77777777" w:rsidR="00F241C3" w:rsidRPr="00314F31" w:rsidRDefault="00F241C3" w:rsidP="008C75DC">
            <w:pPr>
              <w:pStyle w:val="Tabletext"/>
              <w:keepLines/>
              <w:jc w:val="center"/>
              <w:rPr>
                <w:rFonts w:eastAsia="SimSun" w:cstheme="minorHAnsi"/>
                <w:sz w:val="22"/>
                <w:szCs w:val="22"/>
                <w:lang w:val="fr-FR"/>
              </w:rPr>
            </w:pPr>
            <w:r w:rsidRPr="00314F31">
              <w:rPr>
                <w:rFonts w:eastAsia="SimSun" w:cstheme="minorHAnsi"/>
                <w:sz w:val="22"/>
                <w:szCs w:val="22"/>
                <w:lang w:val="fr-FR"/>
              </w:rPr>
              <w:t>Accélérer le développement des services d'administration publique numériques à Eswatini en appliquant les principes de GovStack</w:t>
            </w:r>
          </w:p>
        </w:tc>
        <w:tc>
          <w:tcPr>
            <w:tcW w:w="1421" w:type="dxa"/>
            <w:tcMar>
              <w:left w:w="108" w:type="dxa"/>
              <w:right w:w="108" w:type="dxa"/>
            </w:tcMar>
            <w:vAlign w:val="center"/>
          </w:tcPr>
          <w:p w14:paraId="0C8BF65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30/09/2025</w:t>
            </w:r>
          </w:p>
        </w:tc>
        <w:tc>
          <w:tcPr>
            <w:tcW w:w="3242" w:type="dxa"/>
            <w:tcMar>
              <w:left w:w="108" w:type="dxa"/>
              <w:right w:w="108" w:type="dxa"/>
            </w:tcMar>
            <w:vAlign w:val="center"/>
          </w:tcPr>
          <w:p w14:paraId="707561A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Eswatini</w:t>
            </w:r>
          </w:p>
        </w:tc>
      </w:tr>
      <w:tr w:rsidR="00F241C3" w:rsidRPr="00314F31" w14:paraId="0555535C" w14:textId="77777777" w:rsidTr="008C75DC">
        <w:trPr>
          <w:trHeight w:val="299"/>
        </w:trPr>
        <w:tc>
          <w:tcPr>
            <w:tcW w:w="555" w:type="dxa"/>
            <w:tcMar>
              <w:left w:w="108" w:type="dxa"/>
              <w:right w:w="108" w:type="dxa"/>
            </w:tcMar>
            <w:vAlign w:val="center"/>
          </w:tcPr>
          <w:p w14:paraId="4F77920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6</w:t>
            </w:r>
          </w:p>
        </w:tc>
        <w:tc>
          <w:tcPr>
            <w:tcW w:w="1708" w:type="dxa"/>
            <w:tcMar>
              <w:left w:w="108" w:type="dxa"/>
              <w:right w:w="108" w:type="dxa"/>
            </w:tcMar>
            <w:vAlign w:val="center"/>
          </w:tcPr>
          <w:p w14:paraId="392AA50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7RAS24075</w:t>
            </w:r>
          </w:p>
        </w:tc>
        <w:tc>
          <w:tcPr>
            <w:tcW w:w="2694" w:type="dxa"/>
            <w:tcMar>
              <w:left w:w="108" w:type="dxa"/>
              <w:right w:w="108" w:type="dxa"/>
            </w:tcMar>
            <w:vAlign w:val="center"/>
          </w:tcPr>
          <w:p w14:paraId="340A197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Créer une économie circulaire pour le secteur de l'électronique et de l'électricité</w:t>
            </w:r>
          </w:p>
        </w:tc>
        <w:tc>
          <w:tcPr>
            <w:tcW w:w="1421" w:type="dxa"/>
            <w:tcMar>
              <w:left w:w="108" w:type="dxa"/>
              <w:right w:w="108" w:type="dxa"/>
            </w:tcMar>
            <w:vAlign w:val="center"/>
          </w:tcPr>
          <w:p w14:paraId="027FEA3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15/03/2026</w:t>
            </w:r>
          </w:p>
        </w:tc>
        <w:tc>
          <w:tcPr>
            <w:tcW w:w="3242" w:type="dxa"/>
            <w:tcMar>
              <w:left w:w="108" w:type="dxa"/>
              <w:right w:w="108" w:type="dxa"/>
            </w:tcMar>
            <w:vAlign w:val="center"/>
          </w:tcPr>
          <w:p w14:paraId="0048D663"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Mongolie</w:t>
            </w:r>
          </w:p>
        </w:tc>
      </w:tr>
      <w:tr w:rsidR="00F241C3" w:rsidRPr="00314F31" w14:paraId="49BF4982" w14:textId="77777777" w:rsidTr="008C75DC">
        <w:trPr>
          <w:trHeight w:val="299"/>
        </w:trPr>
        <w:tc>
          <w:tcPr>
            <w:tcW w:w="555" w:type="dxa"/>
            <w:tcMar>
              <w:left w:w="108" w:type="dxa"/>
              <w:right w:w="108" w:type="dxa"/>
            </w:tcMar>
            <w:vAlign w:val="center"/>
          </w:tcPr>
          <w:p w14:paraId="356BAE2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7</w:t>
            </w:r>
          </w:p>
        </w:tc>
        <w:tc>
          <w:tcPr>
            <w:tcW w:w="1708" w:type="dxa"/>
            <w:tcMar>
              <w:left w:w="108" w:type="dxa"/>
              <w:right w:w="108" w:type="dxa"/>
            </w:tcMar>
            <w:vAlign w:val="center"/>
          </w:tcPr>
          <w:p w14:paraId="7F0517E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9RAF24107</w:t>
            </w:r>
          </w:p>
        </w:tc>
        <w:tc>
          <w:tcPr>
            <w:tcW w:w="2694" w:type="dxa"/>
            <w:tcMar>
              <w:left w:w="108" w:type="dxa"/>
              <w:right w:w="108" w:type="dxa"/>
            </w:tcMar>
            <w:vAlign w:val="center"/>
          </w:tcPr>
          <w:p w14:paraId="01728FC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Soutien de l'UE aux systèmes de cartographie nationale du large bande en Afrique (AfricaBBMaps)</w:t>
            </w:r>
          </w:p>
        </w:tc>
        <w:tc>
          <w:tcPr>
            <w:tcW w:w="1421" w:type="dxa"/>
            <w:tcMar>
              <w:left w:w="108" w:type="dxa"/>
              <w:right w:w="108" w:type="dxa"/>
            </w:tcMar>
            <w:vAlign w:val="center"/>
          </w:tcPr>
          <w:p w14:paraId="230261D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30/09/2028</w:t>
            </w:r>
          </w:p>
        </w:tc>
        <w:tc>
          <w:tcPr>
            <w:tcW w:w="3242" w:type="dxa"/>
            <w:tcMar>
              <w:left w:w="108" w:type="dxa"/>
              <w:right w:w="108" w:type="dxa"/>
            </w:tcMar>
            <w:vAlign w:val="center"/>
          </w:tcPr>
          <w:p w14:paraId="2D7056D1"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Botswana, Burundi, Éthiopie, Malawi, Ouganda, Zambie, Zimbabwe</w:t>
            </w:r>
          </w:p>
        </w:tc>
      </w:tr>
      <w:tr w:rsidR="00F241C3" w:rsidRPr="00314F31" w14:paraId="0A920E49" w14:textId="77777777" w:rsidTr="008C75DC">
        <w:trPr>
          <w:trHeight w:val="299"/>
        </w:trPr>
        <w:tc>
          <w:tcPr>
            <w:tcW w:w="555" w:type="dxa"/>
            <w:tcMar>
              <w:left w:w="108" w:type="dxa"/>
              <w:right w:w="108" w:type="dxa"/>
            </w:tcMar>
            <w:vAlign w:val="center"/>
          </w:tcPr>
          <w:p w14:paraId="4A73DD8D"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lastRenderedPageBreak/>
              <w:t>8</w:t>
            </w:r>
          </w:p>
        </w:tc>
        <w:tc>
          <w:tcPr>
            <w:tcW w:w="1708" w:type="dxa"/>
            <w:tcMar>
              <w:left w:w="108" w:type="dxa"/>
              <w:right w:w="108" w:type="dxa"/>
            </w:tcMar>
            <w:vAlign w:val="center"/>
          </w:tcPr>
          <w:p w14:paraId="5A0739CC"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7GLO25151</w:t>
            </w:r>
          </w:p>
        </w:tc>
        <w:tc>
          <w:tcPr>
            <w:tcW w:w="2694" w:type="dxa"/>
            <w:tcMar>
              <w:left w:w="108" w:type="dxa"/>
              <w:right w:w="108" w:type="dxa"/>
            </w:tcMar>
            <w:vAlign w:val="center"/>
          </w:tcPr>
          <w:p w14:paraId="62411D33"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Phase III du programme Her Cyber Tracks</w:t>
            </w:r>
          </w:p>
        </w:tc>
        <w:tc>
          <w:tcPr>
            <w:tcW w:w="1421" w:type="dxa"/>
            <w:tcMar>
              <w:left w:w="108" w:type="dxa"/>
              <w:right w:w="108" w:type="dxa"/>
            </w:tcMar>
            <w:vAlign w:val="center"/>
          </w:tcPr>
          <w:p w14:paraId="770A226A"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28/02/2026</w:t>
            </w:r>
          </w:p>
        </w:tc>
        <w:tc>
          <w:tcPr>
            <w:tcW w:w="3242" w:type="dxa"/>
            <w:tcMar>
              <w:left w:w="108" w:type="dxa"/>
              <w:right w:w="108" w:type="dxa"/>
            </w:tcMar>
            <w:vAlign w:val="center"/>
          </w:tcPr>
          <w:p w14:paraId="5AD7242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Arménie, Burkina Faso, Macédoine du Nord, Mali, Moldova, Niger</w:t>
            </w:r>
          </w:p>
        </w:tc>
      </w:tr>
      <w:tr w:rsidR="00F241C3" w:rsidRPr="00314F31" w14:paraId="095383B7" w14:textId="77777777" w:rsidTr="008C75DC">
        <w:trPr>
          <w:trHeight w:val="299"/>
        </w:trPr>
        <w:tc>
          <w:tcPr>
            <w:tcW w:w="555" w:type="dxa"/>
            <w:tcMar>
              <w:left w:w="108" w:type="dxa"/>
              <w:right w:w="108" w:type="dxa"/>
            </w:tcMar>
            <w:vAlign w:val="center"/>
          </w:tcPr>
          <w:p w14:paraId="203AC982"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9</w:t>
            </w:r>
          </w:p>
        </w:tc>
        <w:tc>
          <w:tcPr>
            <w:tcW w:w="1708" w:type="dxa"/>
            <w:tcMar>
              <w:left w:w="108" w:type="dxa"/>
              <w:right w:w="108" w:type="dxa"/>
            </w:tcMar>
            <w:vAlign w:val="center"/>
          </w:tcPr>
          <w:p w14:paraId="0A51428B"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9MOL25002</w:t>
            </w:r>
          </w:p>
        </w:tc>
        <w:tc>
          <w:tcPr>
            <w:tcW w:w="2694" w:type="dxa"/>
            <w:tcMar>
              <w:left w:w="108" w:type="dxa"/>
              <w:right w:w="108" w:type="dxa"/>
            </w:tcMar>
            <w:vAlign w:val="center"/>
          </w:tcPr>
          <w:p w14:paraId="6A72787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Évaluation de la maîtrise des outils numériques de la population adulte de la République de Moldova</w:t>
            </w:r>
          </w:p>
        </w:tc>
        <w:tc>
          <w:tcPr>
            <w:tcW w:w="1421" w:type="dxa"/>
            <w:tcMar>
              <w:left w:w="108" w:type="dxa"/>
              <w:right w:w="108" w:type="dxa"/>
            </w:tcMar>
            <w:vAlign w:val="center"/>
          </w:tcPr>
          <w:p w14:paraId="4483EF8E"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20/06/2025</w:t>
            </w:r>
          </w:p>
        </w:tc>
        <w:tc>
          <w:tcPr>
            <w:tcW w:w="3242" w:type="dxa"/>
            <w:tcMar>
              <w:left w:w="108" w:type="dxa"/>
              <w:right w:w="108" w:type="dxa"/>
            </w:tcMar>
            <w:vAlign w:val="center"/>
          </w:tcPr>
          <w:p w14:paraId="1489E64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Moldova</w:t>
            </w:r>
          </w:p>
        </w:tc>
      </w:tr>
      <w:tr w:rsidR="00F241C3" w:rsidRPr="00314F31" w14:paraId="5C9F12C0" w14:textId="77777777" w:rsidTr="008C75DC">
        <w:trPr>
          <w:trHeight w:val="299"/>
        </w:trPr>
        <w:tc>
          <w:tcPr>
            <w:tcW w:w="555" w:type="dxa"/>
            <w:tcMar>
              <w:left w:w="108" w:type="dxa"/>
              <w:right w:w="108" w:type="dxa"/>
            </w:tcMar>
            <w:vAlign w:val="center"/>
          </w:tcPr>
          <w:p w14:paraId="63F0C21E"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10</w:t>
            </w:r>
          </w:p>
        </w:tc>
        <w:tc>
          <w:tcPr>
            <w:tcW w:w="1708" w:type="dxa"/>
            <w:tcMar>
              <w:left w:w="108" w:type="dxa"/>
              <w:right w:w="108" w:type="dxa"/>
            </w:tcMar>
            <w:vAlign w:val="center"/>
          </w:tcPr>
          <w:p w14:paraId="2653F36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9RAS25002</w:t>
            </w:r>
          </w:p>
        </w:tc>
        <w:tc>
          <w:tcPr>
            <w:tcW w:w="2694" w:type="dxa"/>
            <w:tcMar>
              <w:left w:w="108" w:type="dxa"/>
              <w:right w:w="108" w:type="dxa"/>
            </w:tcMar>
            <w:vAlign w:val="center"/>
          </w:tcPr>
          <w:p w14:paraId="7DADB5F1"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Améliorer l'infrastructure numérique et l'accès financièrement abordable aux services TIC en Asie</w:t>
            </w:r>
            <w:r w:rsidRPr="00314F31">
              <w:rPr>
                <w:rFonts w:eastAsia="SimSun" w:cstheme="minorHAnsi"/>
                <w:sz w:val="22"/>
                <w:szCs w:val="22"/>
                <w:lang w:val="fr-FR"/>
              </w:rPr>
              <w:noBreakHyphen/>
              <w:t>Pacifique</w:t>
            </w:r>
          </w:p>
        </w:tc>
        <w:tc>
          <w:tcPr>
            <w:tcW w:w="1421" w:type="dxa"/>
            <w:tcMar>
              <w:left w:w="108" w:type="dxa"/>
              <w:right w:w="108" w:type="dxa"/>
            </w:tcMar>
            <w:vAlign w:val="center"/>
          </w:tcPr>
          <w:p w14:paraId="0C29E49A"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30/11/2027</w:t>
            </w:r>
          </w:p>
        </w:tc>
        <w:tc>
          <w:tcPr>
            <w:tcW w:w="3242" w:type="dxa"/>
            <w:tcMar>
              <w:left w:w="108" w:type="dxa"/>
              <w:right w:w="108" w:type="dxa"/>
            </w:tcMar>
            <w:vAlign w:val="center"/>
          </w:tcPr>
          <w:p w14:paraId="3E3399C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Mongolie</w:t>
            </w:r>
          </w:p>
        </w:tc>
      </w:tr>
      <w:tr w:rsidR="00F241C3" w:rsidRPr="00314F31" w14:paraId="6FC964F4" w14:textId="77777777" w:rsidTr="008C75DC">
        <w:trPr>
          <w:trHeight w:val="1358"/>
        </w:trPr>
        <w:tc>
          <w:tcPr>
            <w:tcW w:w="555" w:type="dxa"/>
            <w:tcMar>
              <w:left w:w="108" w:type="dxa"/>
              <w:right w:w="108" w:type="dxa"/>
            </w:tcMar>
            <w:vAlign w:val="center"/>
          </w:tcPr>
          <w:p w14:paraId="5D9F3713"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11</w:t>
            </w:r>
          </w:p>
        </w:tc>
        <w:tc>
          <w:tcPr>
            <w:tcW w:w="1708" w:type="dxa"/>
            <w:tcMar>
              <w:left w:w="108" w:type="dxa"/>
              <w:right w:w="108" w:type="dxa"/>
            </w:tcMar>
            <w:vAlign w:val="center"/>
          </w:tcPr>
          <w:p w14:paraId="4010C040"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7GLO24146</w:t>
            </w:r>
          </w:p>
        </w:tc>
        <w:tc>
          <w:tcPr>
            <w:tcW w:w="2694" w:type="dxa"/>
            <w:tcMar>
              <w:left w:w="108" w:type="dxa"/>
              <w:right w:w="108" w:type="dxa"/>
            </w:tcMar>
            <w:vAlign w:val="center"/>
          </w:tcPr>
          <w:p w14:paraId="5DAC23C0"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Seconde phase du projet "Cyber for Good" (La cybersécurité au service du bien social), MSIT</w:t>
            </w:r>
          </w:p>
        </w:tc>
        <w:tc>
          <w:tcPr>
            <w:tcW w:w="1421" w:type="dxa"/>
            <w:tcMar>
              <w:left w:w="108" w:type="dxa"/>
              <w:right w:w="108" w:type="dxa"/>
            </w:tcMar>
            <w:vAlign w:val="center"/>
          </w:tcPr>
          <w:p w14:paraId="2FE4680C"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31/12/2026</w:t>
            </w:r>
          </w:p>
        </w:tc>
        <w:tc>
          <w:tcPr>
            <w:tcW w:w="3242" w:type="dxa"/>
            <w:tcMar>
              <w:left w:w="108" w:type="dxa"/>
              <w:right w:w="108" w:type="dxa"/>
            </w:tcMar>
            <w:vAlign w:val="center"/>
          </w:tcPr>
          <w:p w14:paraId="6878726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Burkina Faso, Burundi, République centrafricaine, Éthiopie, Lao (R.d.p.), Lesotho, Mali, Népal, Niger, Ouganda, Rwanda, Soudan du Sud, Tchad, Zambie</w:t>
            </w:r>
          </w:p>
        </w:tc>
      </w:tr>
      <w:tr w:rsidR="00F241C3" w:rsidRPr="00314F31" w14:paraId="4C647F86" w14:textId="77777777" w:rsidTr="008C75DC">
        <w:trPr>
          <w:trHeight w:val="299"/>
        </w:trPr>
        <w:tc>
          <w:tcPr>
            <w:tcW w:w="555" w:type="dxa"/>
            <w:tcMar>
              <w:left w:w="108" w:type="dxa"/>
              <w:right w:w="108" w:type="dxa"/>
            </w:tcMar>
            <w:vAlign w:val="center"/>
          </w:tcPr>
          <w:p w14:paraId="1C32E3CC"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12</w:t>
            </w:r>
          </w:p>
        </w:tc>
        <w:tc>
          <w:tcPr>
            <w:tcW w:w="1708" w:type="dxa"/>
            <w:tcMar>
              <w:left w:w="108" w:type="dxa"/>
              <w:right w:w="108" w:type="dxa"/>
            </w:tcMar>
            <w:vAlign w:val="center"/>
          </w:tcPr>
          <w:p w14:paraId="6759C60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9RLA23022</w:t>
            </w:r>
          </w:p>
        </w:tc>
        <w:tc>
          <w:tcPr>
            <w:tcW w:w="2694" w:type="dxa"/>
            <w:tcMar>
              <w:left w:w="108" w:type="dxa"/>
              <w:right w:w="108" w:type="dxa"/>
            </w:tcMar>
            <w:vAlign w:val="center"/>
          </w:tcPr>
          <w:p w14:paraId="7A0EC7DE"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Appui à la mise en œuvre des initiatives régionales de la région Amériques</w:t>
            </w:r>
          </w:p>
        </w:tc>
        <w:tc>
          <w:tcPr>
            <w:tcW w:w="1421" w:type="dxa"/>
            <w:tcMar>
              <w:left w:w="108" w:type="dxa"/>
              <w:right w:w="108" w:type="dxa"/>
            </w:tcMar>
            <w:vAlign w:val="center"/>
          </w:tcPr>
          <w:p w14:paraId="24167ADF"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31/10/2025</w:t>
            </w:r>
          </w:p>
        </w:tc>
        <w:tc>
          <w:tcPr>
            <w:tcW w:w="3242" w:type="dxa"/>
            <w:tcMar>
              <w:left w:w="108" w:type="dxa"/>
              <w:right w:w="108" w:type="dxa"/>
            </w:tcMar>
            <w:vAlign w:val="center"/>
          </w:tcPr>
          <w:p w14:paraId="0D74942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Paraguay</w:t>
            </w:r>
          </w:p>
        </w:tc>
      </w:tr>
      <w:tr w:rsidR="00F241C3" w:rsidRPr="00314F31" w14:paraId="37D9820F" w14:textId="77777777" w:rsidTr="008C75DC">
        <w:trPr>
          <w:trHeight w:val="299"/>
        </w:trPr>
        <w:tc>
          <w:tcPr>
            <w:tcW w:w="555" w:type="dxa"/>
            <w:tcMar>
              <w:left w:w="108" w:type="dxa"/>
              <w:right w:w="108" w:type="dxa"/>
            </w:tcMar>
            <w:vAlign w:val="center"/>
          </w:tcPr>
          <w:p w14:paraId="467D0BF9" w14:textId="77777777" w:rsidR="00F241C3" w:rsidRPr="00314F31" w:rsidRDefault="00F241C3" w:rsidP="008C75DC">
            <w:pPr>
              <w:pStyle w:val="Tabletext"/>
              <w:jc w:val="center"/>
              <w:rPr>
                <w:rFonts w:eastAsia="SimSun"/>
                <w:sz w:val="22"/>
                <w:szCs w:val="22"/>
                <w:lang w:val="fr-FR"/>
              </w:rPr>
            </w:pPr>
            <w:bookmarkStart w:id="10" w:name="_Hlk211242191"/>
            <w:r w:rsidRPr="00314F31">
              <w:rPr>
                <w:rFonts w:eastAsia="SimSun"/>
                <w:sz w:val="22"/>
                <w:szCs w:val="22"/>
                <w:lang w:val="fr-FR"/>
              </w:rPr>
              <w:t>13</w:t>
            </w:r>
          </w:p>
        </w:tc>
        <w:tc>
          <w:tcPr>
            <w:tcW w:w="1708" w:type="dxa"/>
            <w:tcMar>
              <w:left w:w="108" w:type="dxa"/>
              <w:right w:w="108" w:type="dxa"/>
            </w:tcMar>
            <w:vAlign w:val="center"/>
          </w:tcPr>
          <w:p w14:paraId="4641368F"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7RAF21102</w:t>
            </w:r>
          </w:p>
        </w:tc>
        <w:tc>
          <w:tcPr>
            <w:tcW w:w="2694" w:type="dxa"/>
            <w:tcMar>
              <w:left w:w="108" w:type="dxa"/>
              <w:right w:w="108" w:type="dxa"/>
            </w:tcMar>
            <w:vAlign w:val="center"/>
          </w:tcPr>
          <w:p w14:paraId="4ED6E36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Analyse comparative des TIC en Afrique centrale</w:t>
            </w:r>
          </w:p>
        </w:tc>
        <w:tc>
          <w:tcPr>
            <w:tcW w:w="1421" w:type="dxa"/>
            <w:tcMar>
              <w:left w:w="108" w:type="dxa"/>
              <w:right w:w="108" w:type="dxa"/>
            </w:tcMar>
            <w:vAlign w:val="center"/>
          </w:tcPr>
          <w:p w14:paraId="24DE4C3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24/12/2024</w:t>
            </w:r>
          </w:p>
        </w:tc>
        <w:tc>
          <w:tcPr>
            <w:tcW w:w="3242" w:type="dxa"/>
            <w:tcMar>
              <w:left w:w="108" w:type="dxa"/>
              <w:right w:w="108" w:type="dxa"/>
            </w:tcMar>
            <w:vAlign w:val="center"/>
          </w:tcPr>
          <w:p w14:paraId="7F1DDDF8"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Burundi, République centrafricaine, Rwanda, Tchad</w:t>
            </w:r>
          </w:p>
        </w:tc>
      </w:tr>
      <w:tr w:rsidR="00F241C3" w:rsidRPr="00314F31" w14:paraId="7B30E92B" w14:textId="77777777" w:rsidTr="008C75DC">
        <w:trPr>
          <w:trHeight w:val="299"/>
        </w:trPr>
        <w:tc>
          <w:tcPr>
            <w:tcW w:w="555" w:type="dxa"/>
            <w:tcMar>
              <w:left w:w="108" w:type="dxa"/>
              <w:right w:w="108" w:type="dxa"/>
            </w:tcMar>
            <w:vAlign w:val="center"/>
          </w:tcPr>
          <w:p w14:paraId="2E5F42CE"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14</w:t>
            </w:r>
          </w:p>
        </w:tc>
        <w:tc>
          <w:tcPr>
            <w:tcW w:w="1708" w:type="dxa"/>
            <w:tcMar>
              <w:left w:w="108" w:type="dxa"/>
              <w:right w:w="108" w:type="dxa"/>
            </w:tcMar>
          </w:tcPr>
          <w:p w14:paraId="1792AC02"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SimSun" w:hAnsi="Calibri" w:cs="Calibri"/>
                <w:sz w:val="22"/>
                <w:szCs w:val="22"/>
                <w:lang w:val="fr-FR"/>
              </w:rPr>
              <w:t>9RAF24105</w:t>
            </w:r>
          </w:p>
        </w:tc>
        <w:tc>
          <w:tcPr>
            <w:tcW w:w="2694" w:type="dxa"/>
            <w:tcMar>
              <w:left w:w="108" w:type="dxa"/>
              <w:right w:w="108" w:type="dxa"/>
            </w:tcMar>
          </w:tcPr>
          <w:p w14:paraId="70DD9407" w14:textId="77777777" w:rsidR="00F241C3" w:rsidRPr="00314F31" w:rsidRDefault="00F241C3" w:rsidP="008C75DC">
            <w:pPr>
              <w:pStyle w:val="Tabletext"/>
              <w:jc w:val="center"/>
              <w:rPr>
                <w:rFonts w:eastAsia="SimSun" w:cstheme="minorHAnsi"/>
                <w:sz w:val="22"/>
                <w:szCs w:val="22"/>
                <w:lang w:val="fr-FR"/>
              </w:rPr>
            </w:pPr>
            <w:r w:rsidRPr="00314F31">
              <w:rPr>
                <w:rFonts w:eastAsia="SimSun"/>
                <w:sz w:val="22"/>
                <w:szCs w:val="22"/>
                <w:lang w:val="fr-FR"/>
              </w:rPr>
              <w:t>Contribution danoise au projet "Alertes précoces pour tous" (EW4All) (OMM – Danemark)</w:t>
            </w:r>
          </w:p>
        </w:tc>
        <w:tc>
          <w:tcPr>
            <w:tcW w:w="1421" w:type="dxa"/>
            <w:tcMar>
              <w:left w:w="108" w:type="dxa"/>
              <w:right w:w="108" w:type="dxa"/>
            </w:tcMar>
          </w:tcPr>
          <w:p w14:paraId="7F84BF6F"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SimSun" w:hAnsi="Calibri" w:cs="Calibri"/>
                <w:sz w:val="22"/>
                <w:szCs w:val="22"/>
                <w:lang w:val="fr-FR"/>
              </w:rPr>
              <w:t>30/09/2027</w:t>
            </w:r>
          </w:p>
        </w:tc>
        <w:tc>
          <w:tcPr>
            <w:tcW w:w="3242" w:type="dxa"/>
            <w:tcMar>
              <w:left w:w="108" w:type="dxa"/>
              <w:right w:w="108" w:type="dxa"/>
            </w:tcMar>
          </w:tcPr>
          <w:p w14:paraId="22B0FEEF" w14:textId="77777777" w:rsidR="00F241C3" w:rsidRPr="00314F31" w:rsidRDefault="00F241C3" w:rsidP="008C75DC">
            <w:pPr>
              <w:pStyle w:val="Tabletext"/>
              <w:jc w:val="center"/>
              <w:rPr>
                <w:rFonts w:eastAsia="SimSun"/>
                <w:sz w:val="22"/>
                <w:szCs w:val="22"/>
                <w:lang w:val="fr-FR"/>
              </w:rPr>
            </w:pPr>
            <w:r w:rsidRPr="00314F31">
              <w:rPr>
                <w:rFonts w:ascii="Calibri" w:eastAsia="SimSun" w:hAnsi="Calibri" w:cs="Calibri"/>
                <w:sz w:val="22"/>
                <w:szCs w:val="22"/>
                <w:lang w:val="fr-FR"/>
              </w:rPr>
              <w:t>Niger, Ouganda, Somalie, Soudan du Sud, Tanzanie</w:t>
            </w:r>
          </w:p>
        </w:tc>
      </w:tr>
      <w:tr w:rsidR="00F241C3" w:rsidRPr="00314F31" w14:paraId="4D2A1BEC" w14:textId="77777777" w:rsidTr="008C75DC">
        <w:trPr>
          <w:trHeight w:val="299"/>
        </w:trPr>
        <w:tc>
          <w:tcPr>
            <w:tcW w:w="555" w:type="dxa"/>
            <w:tcMar>
              <w:left w:w="108" w:type="dxa"/>
              <w:right w:w="108" w:type="dxa"/>
            </w:tcMar>
            <w:vAlign w:val="center"/>
          </w:tcPr>
          <w:p w14:paraId="1E6E085D"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15</w:t>
            </w:r>
          </w:p>
        </w:tc>
        <w:tc>
          <w:tcPr>
            <w:tcW w:w="1708" w:type="dxa"/>
            <w:tcMar>
              <w:left w:w="108" w:type="dxa"/>
              <w:right w:w="108" w:type="dxa"/>
            </w:tcMar>
            <w:vAlign w:val="center"/>
          </w:tcPr>
          <w:p w14:paraId="7E43A76E" w14:textId="77777777" w:rsidR="00F241C3" w:rsidRPr="00314F31" w:rsidRDefault="00F241C3" w:rsidP="008C75DC">
            <w:pPr>
              <w:pStyle w:val="Tabletext"/>
              <w:jc w:val="center"/>
              <w:rPr>
                <w:rFonts w:ascii="Calibri" w:eastAsia="SimSun" w:hAnsi="Calibri" w:cs="Calibri"/>
                <w:sz w:val="22"/>
                <w:szCs w:val="22"/>
                <w:lang w:val="fr-FR"/>
              </w:rPr>
            </w:pPr>
            <w:r w:rsidRPr="00314F31">
              <w:rPr>
                <w:rFonts w:ascii="Calibri" w:eastAsia="SimSun" w:hAnsi="Calibri" w:cs="Calibri"/>
                <w:sz w:val="22"/>
                <w:szCs w:val="22"/>
                <w:lang w:val="fr-FR"/>
              </w:rPr>
              <w:t>9GLO23135</w:t>
            </w:r>
          </w:p>
        </w:tc>
        <w:tc>
          <w:tcPr>
            <w:tcW w:w="2694" w:type="dxa"/>
            <w:tcMar>
              <w:left w:w="108" w:type="dxa"/>
              <w:right w:w="108" w:type="dxa"/>
            </w:tcMar>
            <w:vAlign w:val="center"/>
          </w:tcPr>
          <w:p w14:paraId="047B2A64" w14:textId="77777777" w:rsidR="00F241C3" w:rsidRPr="00314F31" w:rsidRDefault="00F241C3" w:rsidP="008C75DC">
            <w:pPr>
              <w:pStyle w:val="Tabletext"/>
              <w:jc w:val="center"/>
              <w:rPr>
                <w:rFonts w:ascii="Calibri" w:eastAsia="SimSun" w:hAnsi="Calibri" w:cs="Calibri"/>
                <w:sz w:val="22"/>
                <w:szCs w:val="22"/>
                <w:lang w:val="fr-FR"/>
              </w:rPr>
            </w:pPr>
            <w:r w:rsidRPr="00314F31">
              <w:rPr>
                <w:rFonts w:ascii="Calibri" w:eastAsia="SimSun" w:hAnsi="Calibri" w:cs="Calibri"/>
                <w:sz w:val="22"/>
                <w:szCs w:val="22"/>
                <w:lang w:val="fr-FR"/>
              </w:rPr>
              <w:t>Appui aux activités futures menées au Lesotho en vue du développement des services de l'administration publique en ligne et de l'élaboration d'une stratégie numérique</w:t>
            </w:r>
          </w:p>
        </w:tc>
        <w:tc>
          <w:tcPr>
            <w:tcW w:w="1421" w:type="dxa"/>
            <w:tcMar>
              <w:left w:w="108" w:type="dxa"/>
              <w:right w:w="108" w:type="dxa"/>
            </w:tcMar>
            <w:vAlign w:val="center"/>
          </w:tcPr>
          <w:p w14:paraId="0415E286" w14:textId="77777777" w:rsidR="00F241C3" w:rsidRPr="00314F31" w:rsidRDefault="00F241C3" w:rsidP="008C75DC">
            <w:pPr>
              <w:pStyle w:val="Tabletext"/>
              <w:jc w:val="center"/>
              <w:rPr>
                <w:rFonts w:ascii="Calibri" w:eastAsia="SimSun" w:hAnsi="Calibri" w:cs="Calibri"/>
                <w:sz w:val="22"/>
                <w:szCs w:val="22"/>
                <w:lang w:val="fr-FR"/>
              </w:rPr>
            </w:pPr>
            <w:r w:rsidRPr="00314F31">
              <w:rPr>
                <w:rFonts w:ascii="Calibri" w:hAnsi="Calibri" w:cs="Calibri"/>
                <w:color w:val="000000" w:themeColor="text1"/>
                <w:sz w:val="22"/>
                <w:szCs w:val="22"/>
                <w:lang w:val="fr-FR"/>
              </w:rPr>
              <w:t>31/12/2024</w:t>
            </w:r>
          </w:p>
        </w:tc>
        <w:tc>
          <w:tcPr>
            <w:tcW w:w="3242" w:type="dxa"/>
            <w:tcMar>
              <w:left w:w="108" w:type="dxa"/>
              <w:right w:w="108" w:type="dxa"/>
            </w:tcMar>
            <w:vAlign w:val="center"/>
          </w:tcPr>
          <w:p w14:paraId="569FD7E4" w14:textId="77777777" w:rsidR="00F241C3" w:rsidRPr="00314F31" w:rsidRDefault="00F241C3" w:rsidP="008C75DC">
            <w:pPr>
              <w:pStyle w:val="Tabletext"/>
              <w:jc w:val="center"/>
              <w:rPr>
                <w:rFonts w:ascii="Calibri" w:eastAsia="SimSun" w:hAnsi="Calibri" w:cs="Calibri"/>
                <w:sz w:val="22"/>
                <w:szCs w:val="22"/>
                <w:lang w:val="fr-FR"/>
              </w:rPr>
            </w:pPr>
            <w:r w:rsidRPr="00314F31">
              <w:rPr>
                <w:rFonts w:ascii="Calibri" w:eastAsia="SimSun" w:hAnsi="Calibri" w:cs="Calibri"/>
                <w:sz w:val="22"/>
                <w:szCs w:val="22"/>
                <w:lang w:val="fr-FR"/>
              </w:rPr>
              <w:t>Lesotho</w:t>
            </w:r>
          </w:p>
        </w:tc>
      </w:tr>
      <w:tr w:rsidR="00F241C3" w:rsidRPr="00314F31" w14:paraId="443365AF" w14:textId="77777777" w:rsidTr="008C75DC">
        <w:trPr>
          <w:trHeight w:val="299"/>
        </w:trPr>
        <w:tc>
          <w:tcPr>
            <w:tcW w:w="555" w:type="dxa"/>
            <w:tcMar>
              <w:left w:w="108" w:type="dxa"/>
              <w:right w:w="108" w:type="dxa"/>
            </w:tcMar>
            <w:vAlign w:val="center"/>
          </w:tcPr>
          <w:p w14:paraId="637DFB42" w14:textId="77777777" w:rsidR="00F241C3" w:rsidRPr="00314F31" w:rsidRDefault="00F241C3" w:rsidP="008C75DC">
            <w:pPr>
              <w:pStyle w:val="Tabletext"/>
              <w:jc w:val="center"/>
              <w:rPr>
                <w:rFonts w:eastAsia="SimSun"/>
                <w:sz w:val="22"/>
                <w:szCs w:val="22"/>
                <w:lang w:val="fr-FR"/>
              </w:rPr>
            </w:pPr>
            <w:r w:rsidRPr="00314F31">
              <w:rPr>
                <w:rFonts w:eastAsia="SimSun"/>
                <w:sz w:val="22"/>
                <w:szCs w:val="22"/>
                <w:lang w:val="fr-FR"/>
              </w:rPr>
              <w:t>16</w:t>
            </w:r>
          </w:p>
        </w:tc>
        <w:tc>
          <w:tcPr>
            <w:tcW w:w="1708" w:type="dxa"/>
            <w:tcMar>
              <w:left w:w="108" w:type="dxa"/>
              <w:right w:w="108" w:type="dxa"/>
            </w:tcMar>
            <w:vAlign w:val="center"/>
          </w:tcPr>
          <w:p w14:paraId="731CFA99" w14:textId="77777777" w:rsidR="00F241C3" w:rsidRPr="00314F31" w:rsidRDefault="00F241C3" w:rsidP="008C75DC">
            <w:pPr>
              <w:pStyle w:val="Tabletext"/>
              <w:jc w:val="center"/>
              <w:rPr>
                <w:rFonts w:ascii="Calibri" w:eastAsia="SimSun" w:hAnsi="Calibri" w:cs="Calibri"/>
                <w:sz w:val="22"/>
                <w:szCs w:val="22"/>
                <w:lang w:val="fr-FR"/>
              </w:rPr>
            </w:pPr>
            <w:r w:rsidRPr="00314F31">
              <w:rPr>
                <w:rFonts w:ascii="Calibri" w:eastAsia="SimSun" w:hAnsi="Calibri" w:cs="Calibri"/>
                <w:sz w:val="22"/>
                <w:szCs w:val="22"/>
                <w:lang w:val="fr-FR"/>
              </w:rPr>
              <w:t>7GLO24143</w:t>
            </w:r>
          </w:p>
        </w:tc>
        <w:tc>
          <w:tcPr>
            <w:tcW w:w="2694" w:type="dxa"/>
            <w:tcMar>
              <w:left w:w="108" w:type="dxa"/>
              <w:right w:w="108" w:type="dxa"/>
            </w:tcMar>
            <w:vAlign w:val="center"/>
          </w:tcPr>
          <w:p w14:paraId="39C6C7CD" w14:textId="77777777" w:rsidR="00F241C3" w:rsidRPr="00314F31" w:rsidRDefault="00F241C3" w:rsidP="008C75DC">
            <w:pPr>
              <w:pStyle w:val="Tabletext"/>
              <w:keepNext/>
              <w:keepLines/>
              <w:jc w:val="center"/>
              <w:rPr>
                <w:rFonts w:eastAsia="SimSun"/>
                <w:sz w:val="22"/>
                <w:szCs w:val="22"/>
                <w:lang w:val="fr-FR"/>
              </w:rPr>
            </w:pPr>
            <w:r w:rsidRPr="00314F31">
              <w:rPr>
                <w:rFonts w:eastAsia="SimSun"/>
                <w:sz w:val="22"/>
                <w:szCs w:val="22"/>
                <w:lang w:val="fr-FR"/>
              </w:rPr>
              <w:t>Accélérateur multi-parties prenantes de l'initiative EW4All dans les PMA et les PEID</w:t>
            </w:r>
          </w:p>
          <w:p w14:paraId="19EBE602" w14:textId="77777777" w:rsidR="00F241C3" w:rsidRPr="00314F31" w:rsidRDefault="00F241C3" w:rsidP="008C75DC">
            <w:pPr>
              <w:pStyle w:val="Tabletext"/>
              <w:jc w:val="center"/>
              <w:rPr>
                <w:rFonts w:ascii="Calibri" w:eastAsia="SimSun" w:hAnsi="Calibri" w:cs="Calibri"/>
                <w:sz w:val="22"/>
                <w:szCs w:val="22"/>
                <w:lang w:val="fr-FR"/>
              </w:rPr>
            </w:pPr>
            <w:r w:rsidRPr="00314F31">
              <w:rPr>
                <w:rFonts w:eastAsia="SimSun"/>
                <w:sz w:val="22"/>
                <w:szCs w:val="22"/>
                <w:lang w:val="fr-FR"/>
              </w:rPr>
              <w:t>(Systèmes d'alerte précoce aux risques climatiques – CREWS)</w:t>
            </w:r>
          </w:p>
        </w:tc>
        <w:tc>
          <w:tcPr>
            <w:tcW w:w="1421" w:type="dxa"/>
            <w:tcMar>
              <w:left w:w="108" w:type="dxa"/>
              <w:right w:w="108" w:type="dxa"/>
            </w:tcMar>
            <w:vAlign w:val="center"/>
          </w:tcPr>
          <w:p w14:paraId="09E388BC" w14:textId="77777777" w:rsidR="00F241C3" w:rsidRPr="00314F31" w:rsidRDefault="00F241C3" w:rsidP="008C75DC">
            <w:pPr>
              <w:pStyle w:val="Tabletext"/>
              <w:jc w:val="center"/>
              <w:rPr>
                <w:rFonts w:ascii="Calibri" w:hAnsi="Calibri" w:cs="Calibri"/>
                <w:color w:val="000000" w:themeColor="text1"/>
                <w:sz w:val="22"/>
                <w:szCs w:val="22"/>
                <w:lang w:val="fr-FR"/>
              </w:rPr>
            </w:pPr>
            <w:r w:rsidRPr="00314F31">
              <w:rPr>
                <w:rFonts w:ascii="Calibri" w:eastAsia="SimSun" w:hAnsi="Calibri" w:cs="Calibri"/>
                <w:sz w:val="22"/>
                <w:szCs w:val="22"/>
                <w:lang w:val="fr-FR"/>
              </w:rPr>
              <w:t>07/10/2025</w:t>
            </w:r>
          </w:p>
        </w:tc>
        <w:tc>
          <w:tcPr>
            <w:tcW w:w="3242" w:type="dxa"/>
            <w:tcMar>
              <w:left w:w="108" w:type="dxa"/>
              <w:right w:w="108" w:type="dxa"/>
            </w:tcMar>
            <w:vAlign w:val="center"/>
          </w:tcPr>
          <w:p w14:paraId="79015C00" w14:textId="77777777" w:rsidR="00F241C3" w:rsidRPr="00314F31" w:rsidRDefault="00F241C3" w:rsidP="008C75DC">
            <w:pPr>
              <w:pStyle w:val="Tabletext"/>
              <w:jc w:val="center"/>
              <w:rPr>
                <w:rFonts w:ascii="Calibri" w:eastAsia="SimSun" w:hAnsi="Calibri" w:cs="Calibri"/>
                <w:sz w:val="22"/>
                <w:szCs w:val="22"/>
                <w:lang w:val="fr-FR"/>
              </w:rPr>
            </w:pPr>
            <w:r w:rsidRPr="00314F31">
              <w:rPr>
                <w:rFonts w:ascii="Calibri" w:eastAsia="SimSun" w:hAnsi="Calibri" w:cs="Calibri"/>
                <w:sz w:val="22"/>
                <w:szCs w:val="22"/>
                <w:lang w:val="fr-FR"/>
              </w:rPr>
              <w:t>Népal</w:t>
            </w:r>
          </w:p>
        </w:tc>
      </w:tr>
    </w:tbl>
    <w:bookmarkEnd w:id="10"/>
    <w:p w14:paraId="02D0C3D1" w14:textId="77777777" w:rsidR="00F241C3" w:rsidRPr="00314F31" w:rsidRDefault="00F241C3" w:rsidP="00314F31">
      <w:pPr>
        <w:pStyle w:val="Headingb"/>
        <w:keepNext/>
        <w:keepLines/>
        <w:tabs>
          <w:tab w:val="clear" w:pos="1134"/>
          <w:tab w:val="left" w:pos="567"/>
        </w:tabs>
        <w:spacing w:after="240"/>
        <w:rPr>
          <w:rFonts w:eastAsia="SimSun"/>
          <w:b w:val="0"/>
          <w:u w:val="single"/>
          <w:lang w:val="fr-FR"/>
        </w:rPr>
      </w:pPr>
      <w:r w:rsidRPr="00314F31">
        <w:rPr>
          <w:rFonts w:eastAsia="SimSun"/>
          <w:b w:val="0"/>
          <w:lang w:val="fr-FR"/>
        </w:rPr>
        <w:lastRenderedPageBreak/>
        <w:t>C</w:t>
      </w:r>
      <w:r w:rsidRPr="00314F31">
        <w:rPr>
          <w:rFonts w:eastAsia="SimSun"/>
          <w:b w:val="0"/>
          <w:lang w:val="fr-FR"/>
        </w:rPr>
        <w:tab/>
      </w:r>
      <w:r w:rsidRPr="00314F31">
        <w:rPr>
          <w:rFonts w:eastAsia="SimSun"/>
          <w:b w:val="0"/>
          <w:u w:val="single"/>
          <w:lang w:val="fr-FR"/>
        </w:rPr>
        <w:t>Projets en cours et projets mis en œuvre dans les PEID pendant la période 2023-2025</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708"/>
        <w:gridCol w:w="2688"/>
        <w:gridCol w:w="1409"/>
        <w:gridCol w:w="3246"/>
      </w:tblGrid>
      <w:tr w:rsidR="00F241C3" w:rsidRPr="00314F31" w14:paraId="30BC83B0" w14:textId="77777777" w:rsidTr="008C75DC">
        <w:trPr>
          <w:trHeight w:val="285"/>
          <w:tblHeader/>
        </w:trPr>
        <w:tc>
          <w:tcPr>
            <w:tcW w:w="569" w:type="dxa"/>
            <w:shd w:val="clear" w:color="auto" w:fill="D9D9D9" w:themeFill="background1" w:themeFillShade="D9"/>
            <w:tcMar>
              <w:left w:w="108" w:type="dxa"/>
              <w:right w:w="108" w:type="dxa"/>
            </w:tcMar>
            <w:vAlign w:val="center"/>
          </w:tcPr>
          <w:p w14:paraId="1DF4E937" w14:textId="77777777" w:rsidR="00F241C3" w:rsidRPr="00314F31" w:rsidRDefault="00F241C3" w:rsidP="008C75DC">
            <w:pPr>
              <w:pStyle w:val="Tablehead"/>
              <w:keepLines/>
              <w:rPr>
                <w:rFonts w:eastAsia="SimSun"/>
                <w:sz w:val="22"/>
                <w:szCs w:val="22"/>
                <w:lang w:val="fr-FR"/>
              </w:rPr>
            </w:pPr>
          </w:p>
        </w:tc>
        <w:tc>
          <w:tcPr>
            <w:tcW w:w="1708" w:type="dxa"/>
            <w:shd w:val="clear" w:color="auto" w:fill="D9D9D9" w:themeFill="background1" w:themeFillShade="D9"/>
            <w:tcMar>
              <w:left w:w="108" w:type="dxa"/>
              <w:right w:w="108" w:type="dxa"/>
            </w:tcMar>
            <w:vAlign w:val="center"/>
          </w:tcPr>
          <w:p w14:paraId="57A3B6FA" w14:textId="77777777" w:rsidR="00F241C3" w:rsidRPr="00314F31" w:rsidRDefault="00F241C3" w:rsidP="008C75DC">
            <w:pPr>
              <w:pStyle w:val="Tablehead"/>
              <w:keepLines/>
              <w:rPr>
                <w:rFonts w:eastAsia="SimSun"/>
                <w:bCs/>
                <w:sz w:val="22"/>
                <w:szCs w:val="22"/>
                <w:lang w:val="fr-FR"/>
              </w:rPr>
            </w:pPr>
            <w:r w:rsidRPr="00314F31">
              <w:rPr>
                <w:rFonts w:eastAsia="SimSun"/>
                <w:bCs/>
                <w:sz w:val="22"/>
                <w:szCs w:val="22"/>
                <w:lang w:val="fr-FR"/>
              </w:rPr>
              <w:t>N</w:t>
            </w:r>
            <w:r w:rsidRPr="00314F31">
              <w:rPr>
                <w:rFonts w:eastAsia="SimSun"/>
                <w:bCs/>
                <w:sz w:val="22"/>
                <w:szCs w:val="22"/>
                <w:vertAlign w:val="superscript"/>
                <w:lang w:val="fr-FR"/>
              </w:rPr>
              <w:t>o</w:t>
            </w:r>
            <w:r w:rsidRPr="00314F31">
              <w:rPr>
                <w:rFonts w:eastAsia="SimSun"/>
                <w:bCs/>
                <w:sz w:val="22"/>
                <w:szCs w:val="22"/>
                <w:lang w:val="fr-FR"/>
              </w:rPr>
              <w:t xml:space="preserve"> de projet</w:t>
            </w:r>
          </w:p>
        </w:tc>
        <w:tc>
          <w:tcPr>
            <w:tcW w:w="2688" w:type="dxa"/>
            <w:shd w:val="clear" w:color="auto" w:fill="D9D9D9" w:themeFill="background1" w:themeFillShade="D9"/>
            <w:tcMar>
              <w:left w:w="108" w:type="dxa"/>
              <w:right w:w="108" w:type="dxa"/>
            </w:tcMar>
            <w:vAlign w:val="center"/>
          </w:tcPr>
          <w:p w14:paraId="3EAF770D" w14:textId="77777777" w:rsidR="00F241C3" w:rsidRPr="00314F31" w:rsidRDefault="00F241C3" w:rsidP="008C75DC">
            <w:pPr>
              <w:pStyle w:val="Tablehead"/>
              <w:keepLines/>
              <w:rPr>
                <w:rFonts w:eastAsia="SimSun"/>
                <w:bCs/>
                <w:sz w:val="22"/>
                <w:szCs w:val="22"/>
                <w:lang w:val="fr-FR"/>
              </w:rPr>
            </w:pPr>
            <w:r w:rsidRPr="00314F31">
              <w:rPr>
                <w:rFonts w:eastAsia="SimSun"/>
                <w:bCs/>
                <w:sz w:val="22"/>
                <w:szCs w:val="22"/>
                <w:lang w:val="fr-FR"/>
              </w:rPr>
              <w:t>Titre</w:t>
            </w:r>
          </w:p>
        </w:tc>
        <w:tc>
          <w:tcPr>
            <w:tcW w:w="1409" w:type="dxa"/>
            <w:shd w:val="clear" w:color="auto" w:fill="D9D9D9" w:themeFill="background1" w:themeFillShade="D9"/>
            <w:tcMar>
              <w:left w:w="108" w:type="dxa"/>
              <w:right w:w="108" w:type="dxa"/>
            </w:tcMar>
            <w:vAlign w:val="center"/>
          </w:tcPr>
          <w:p w14:paraId="6C770C94" w14:textId="77777777" w:rsidR="00F241C3" w:rsidRPr="00314F31" w:rsidRDefault="00F241C3" w:rsidP="008C75DC">
            <w:pPr>
              <w:pStyle w:val="Tablehead"/>
              <w:keepLines/>
              <w:rPr>
                <w:rFonts w:eastAsia="SimSun"/>
                <w:bCs/>
                <w:sz w:val="22"/>
                <w:szCs w:val="22"/>
                <w:lang w:val="fr-FR"/>
              </w:rPr>
            </w:pPr>
            <w:r w:rsidRPr="00314F31">
              <w:rPr>
                <w:rFonts w:eastAsia="SimSun"/>
                <w:bCs/>
                <w:sz w:val="22"/>
                <w:szCs w:val="22"/>
                <w:lang w:val="fr-FR"/>
              </w:rPr>
              <w:t>Date de fin</w:t>
            </w:r>
          </w:p>
        </w:tc>
        <w:tc>
          <w:tcPr>
            <w:tcW w:w="3246" w:type="dxa"/>
            <w:shd w:val="clear" w:color="auto" w:fill="D9D9D9" w:themeFill="background1" w:themeFillShade="D9"/>
            <w:tcMar>
              <w:left w:w="108" w:type="dxa"/>
              <w:right w:w="108" w:type="dxa"/>
            </w:tcMar>
            <w:vAlign w:val="center"/>
          </w:tcPr>
          <w:p w14:paraId="2E2A8852" w14:textId="77777777" w:rsidR="00F241C3" w:rsidRPr="00314F31" w:rsidRDefault="00F241C3" w:rsidP="008C75DC">
            <w:pPr>
              <w:pStyle w:val="Tablehead"/>
              <w:keepLines/>
              <w:rPr>
                <w:rFonts w:eastAsia="SimSun"/>
                <w:bCs/>
                <w:sz w:val="22"/>
                <w:szCs w:val="22"/>
                <w:lang w:val="fr-FR"/>
              </w:rPr>
            </w:pPr>
            <w:r w:rsidRPr="00314F31">
              <w:rPr>
                <w:rFonts w:eastAsia="SimSun"/>
                <w:bCs/>
                <w:sz w:val="22"/>
                <w:szCs w:val="22"/>
                <w:lang w:val="fr-FR"/>
              </w:rPr>
              <w:t>Pays bénéficiaires</w:t>
            </w:r>
          </w:p>
        </w:tc>
      </w:tr>
      <w:tr w:rsidR="00F241C3" w:rsidRPr="00314F31" w14:paraId="1419572C" w14:textId="77777777" w:rsidTr="008C75DC">
        <w:trPr>
          <w:trHeight w:val="300"/>
        </w:trPr>
        <w:tc>
          <w:tcPr>
            <w:tcW w:w="569" w:type="dxa"/>
            <w:tcMar>
              <w:left w:w="108" w:type="dxa"/>
              <w:right w:w="108" w:type="dxa"/>
            </w:tcMar>
            <w:vAlign w:val="center"/>
          </w:tcPr>
          <w:p w14:paraId="4B14BEDE" w14:textId="77777777" w:rsidR="00F241C3" w:rsidRPr="00314F31" w:rsidRDefault="00F241C3" w:rsidP="008C75DC">
            <w:pPr>
              <w:pStyle w:val="Tabletext"/>
              <w:keepNext/>
              <w:keepLines/>
              <w:jc w:val="center"/>
              <w:rPr>
                <w:rFonts w:eastAsia="SimSun" w:cstheme="minorHAnsi"/>
                <w:sz w:val="22"/>
                <w:szCs w:val="22"/>
                <w:lang w:val="fr-FR"/>
              </w:rPr>
            </w:pPr>
            <w:r w:rsidRPr="00314F31">
              <w:rPr>
                <w:rFonts w:eastAsia="SimSun" w:cstheme="minorHAnsi"/>
                <w:sz w:val="22"/>
                <w:szCs w:val="22"/>
                <w:lang w:val="fr-FR"/>
              </w:rPr>
              <w:t>1</w:t>
            </w:r>
          </w:p>
        </w:tc>
        <w:tc>
          <w:tcPr>
            <w:tcW w:w="1708" w:type="dxa"/>
            <w:tcMar>
              <w:left w:w="108" w:type="dxa"/>
              <w:right w:w="108" w:type="dxa"/>
            </w:tcMar>
            <w:vAlign w:val="center"/>
          </w:tcPr>
          <w:p w14:paraId="75EB32DF" w14:textId="77777777" w:rsidR="00F241C3" w:rsidRPr="00314F31" w:rsidRDefault="00F241C3" w:rsidP="008C75DC">
            <w:pPr>
              <w:pStyle w:val="Tabletext"/>
              <w:keepNext/>
              <w:keepLines/>
              <w:jc w:val="center"/>
              <w:rPr>
                <w:rFonts w:eastAsia="SimSun" w:cstheme="minorHAnsi"/>
                <w:sz w:val="22"/>
                <w:szCs w:val="22"/>
                <w:lang w:val="fr-FR"/>
              </w:rPr>
            </w:pPr>
            <w:r w:rsidRPr="00314F31">
              <w:rPr>
                <w:rFonts w:eastAsia="SimSun" w:cstheme="minorHAnsi"/>
                <w:sz w:val="22"/>
                <w:szCs w:val="22"/>
                <w:lang w:val="fr-FR"/>
              </w:rPr>
              <w:t>7GLO24143</w:t>
            </w:r>
          </w:p>
        </w:tc>
        <w:tc>
          <w:tcPr>
            <w:tcW w:w="2688" w:type="dxa"/>
            <w:tcMar>
              <w:left w:w="108" w:type="dxa"/>
              <w:right w:w="108" w:type="dxa"/>
            </w:tcMar>
            <w:vAlign w:val="center"/>
          </w:tcPr>
          <w:p w14:paraId="5B0B8840" w14:textId="77777777" w:rsidR="00F241C3" w:rsidRPr="00314F31" w:rsidRDefault="00F241C3" w:rsidP="008C75DC">
            <w:pPr>
              <w:pStyle w:val="Tabletext"/>
              <w:keepNext/>
              <w:keepLines/>
              <w:jc w:val="center"/>
              <w:rPr>
                <w:rFonts w:eastAsia="SimSun" w:cstheme="minorHAnsi"/>
                <w:sz w:val="22"/>
                <w:szCs w:val="22"/>
                <w:lang w:val="fr-FR"/>
              </w:rPr>
            </w:pPr>
            <w:r w:rsidRPr="00314F31">
              <w:rPr>
                <w:rFonts w:eastAsia="SimSun" w:cstheme="minorHAnsi"/>
                <w:sz w:val="22"/>
                <w:szCs w:val="22"/>
                <w:lang w:val="fr-FR"/>
              </w:rPr>
              <w:t>Accélérateur multi-parties prenantes du projet EW4All dans les PMA et les PEID</w:t>
            </w:r>
          </w:p>
          <w:p w14:paraId="6476E72C" w14:textId="77777777" w:rsidR="00F241C3" w:rsidRPr="00314F31" w:rsidRDefault="00F241C3" w:rsidP="008C75DC">
            <w:pPr>
              <w:pStyle w:val="Tabletext"/>
              <w:keepNext/>
              <w:keepLines/>
              <w:jc w:val="center"/>
              <w:rPr>
                <w:rFonts w:eastAsia="SimSun" w:cstheme="minorHAnsi"/>
                <w:sz w:val="22"/>
                <w:szCs w:val="22"/>
                <w:lang w:val="fr-FR"/>
              </w:rPr>
            </w:pPr>
            <w:r w:rsidRPr="00314F31">
              <w:rPr>
                <w:rFonts w:eastAsia="SimSun" w:cstheme="minorHAnsi"/>
                <w:sz w:val="22"/>
                <w:szCs w:val="22"/>
                <w:lang w:val="fr-FR"/>
              </w:rPr>
              <w:t>(Systèmes d'alerte précoce aux catastrophes du climat – CREWS)</w:t>
            </w:r>
          </w:p>
        </w:tc>
        <w:tc>
          <w:tcPr>
            <w:tcW w:w="1409" w:type="dxa"/>
            <w:tcMar>
              <w:left w:w="108" w:type="dxa"/>
              <w:right w:w="108" w:type="dxa"/>
            </w:tcMar>
            <w:vAlign w:val="center"/>
          </w:tcPr>
          <w:p w14:paraId="408F80B7" w14:textId="77777777" w:rsidR="00F241C3" w:rsidRPr="00314F31" w:rsidRDefault="00F241C3" w:rsidP="008C75DC">
            <w:pPr>
              <w:pStyle w:val="Tabletext"/>
              <w:keepNext/>
              <w:keepLines/>
              <w:jc w:val="center"/>
              <w:rPr>
                <w:rFonts w:eastAsia="SimSun" w:cstheme="minorHAnsi"/>
                <w:sz w:val="22"/>
                <w:szCs w:val="22"/>
                <w:lang w:val="fr-FR"/>
              </w:rPr>
            </w:pPr>
            <w:r w:rsidRPr="00314F31">
              <w:rPr>
                <w:rFonts w:eastAsia="SimSun" w:cstheme="minorHAnsi"/>
                <w:sz w:val="22"/>
                <w:szCs w:val="22"/>
                <w:lang w:val="fr-FR"/>
              </w:rPr>
              <w:t>07/10/2025</w:t>
            </w:r>
          </w:p>
        </w:tc>
        <w:tc>
          <w:tcPr>
            <w:tcW w:w="3246" w:type="dxa"/>
            <w:tcMar>
              <w:left w:w="108" w:type="dxa"/>
              <w:right w:w="108" w:type="dxa"/>
            </w:tcMar>
            <w:vAlign w:val="center"/>
          </w:tcPr>
          <w:p w14:paraId="5C49BE60" w14:textId="77777777" w:rsidR="00F241C3" w:rsidRPr="00314F31" w:rsidRDefault="00F241C3" w:rsidP="008C75DC">
            <w:pPr>
              <w:pStyle w:val="Tabletext"/>
              <w:keepNext/>
              <w:keepLines/>
              <w:jc w:val="center"/>
              <w:rPr>
                <w:rFonts w:eastAsia="SimSun" w:cstheme="minorHAnsi"/>
                <w:sz w:val="22"/>
                <w:szCs w:val="22"/>
                <w:lang w:val="fr-FR"/>
              </w:rPr>
            </w:pPr>
            <w:r w:rsidRPr="00314F31">
              <w:rPr>
                <w:rFonts w:eastAsia="SimSun" w:cstheme="minorHAnsi"/>
                <w:sz w:val="22"/>
                <w:szCs w:val="22"/>
                <w:lang w:val="fr-FR"/>
              </w:rPr>
              <w:t>Comores, Maurice, Kiribati, Îles Salomon, Tonga</w:t>
            </w:r>
          </w:p>
        </w:tc>
      </w:tr>
      <w:tr w:rsidR="00F241C3" w:rsidRPr="00314F31" w14:paraId="66B32648" w14:textId="77777777" w:rsidTr="008C75DC">
        <w:trPr>
          <w:trHeight w:val="525"/>
        </w:trPr>
        <w:tc>
          <w:tcPr>
            <w:tcW w:w="569" w:type="dxa"/>
            <w:tcMar>
              <w:left w:w="108" w:type="dxa"/>
              <w:right w:w="108" w:type="dxa"/>
            </w:tcMar>
            <w:vAlign w:val="center"/>
          </w:tcPr>
          <w:p w14:paraId="2B31F4D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w:t>
            </w:r>
          </w:p>
        </w:tc>
        <w:tc>
          <w:tcPr>
            <w:tcW w:w="1708" w:type="dxa"/>
            <w:tcMar>
              <w:left w:w="108" w:type="dxa"/>
              <w:right w:w="108" w:type="dxa"/>
            </w:tcMar>
            <w:vAlign w:val="center"/>
          </w:tcPr>
          <w:p w14:paraId="368AF5B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7GLO24144</w:t>
            </w:r>
          </w:p>
        </w:tc>
        <w:tc>
          <w:tcPr>
            <w:tcW w:w="2688" w:type="dxa"/>
            <w:tcMar>
              <w:left w:w="108" w:type="dxa"/>
              <w:right w:w="108" w:type="dxa"/>
            </w:tcMar>
            <w:vAlign w:val="center"/>
          </w:tcPr>
          <w:p w14:paraId="0C01088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Alertes précoces pour tous (EW4All) – Fonds de l'UIT destinés à appuyer la mise en œuvre de l'initiative</w:t>
            </w:r>
          </w:p>
        </w:tc>
        <w:tc>
          <w:tcPr>
            <w:tcW w:w="1409" w:type="dxa"/>
            <w:tcMar>
              <w:left w:w="108" w:type="dxa"/>
              <w:right w:w="108" w:type="dxa"/>
            </w:tcMar>
            <w:vAlign w:val="center"/>
          </w:tcPr>
          <w:p w14:paraId="1EB112D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30/09/2027</w:t>
            </w:r>
          </w:p>
        </w:tc>
        <w:tc>
          <w:tcPr>
            <w:tcW w:w="3246" w:type="dxa"/>
            <w:tcMar>
              <w:left w:w="108" w:type="dxa"/>
              <w:right w:w="108" w:type="dxa"/>
            </w:tcMar>
            <w:vAlign w:val="center"/>
          </w:tcPr>
          <w:p w14:paraId="0A2C75E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Cabo Verde, Guyana, Sao Tomé</w:t>
            </w:r>
            <w:r w:rsidRPr="00314F31">
              <w:rPr>
                <w:rFonts w:eastAsia="SimSun" w:cstheme="minorHAnsi"/>
                <w:sz w:val="22"/>
                <w:szCs w:val="22"/>
                <w:lang w:val="fr-FR"/>
              </w:rPr>
              <w:noBreakHyphen/>
              <w:t>et</w:t>
            </w:r>
            <w:r w:rsidRPr="00314F31">
              <w:rPr>
                <w:rFonts w:eastAsia="SimSun" w:cstheme="minorHAnsi"/>
                <w:sz w:val="22"/>
                <w:szCs w:val="22"/>
                <w:lang w:val="fr-FR"/>
              </w:rPr>
              <w:noBreakHyphen/>
              <w:t>Principe</w:t>
            </w:r>
          </w:p>
        </w:tc>
      </w:tr>
      <w:tr w:rsidR="00F241C3" w:rsidRPr="00314F31" w14:paraId="7A0E7DC0" w14:textId="77777777" w:rsidTr="008C75DC">
        <w:trPr>
          <w:trHeight w:val="300"/>
        </w:trPr>
        <w:tc>
          <w:tcPr>
            <w:tcW w:w="569" w:type="dxa"/>
            <w:tcMar>
              <w:left w:w="108" w:type="dxa"/>
              <w:right w:w="108" w:type="dxa"/>
            </w:tcMar>
            <w:vAlign w:val="center"/>
          </w:tcPr>
          <w:p w14:paraId="01D0876E"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w:t>
            </w:r>
          </w:p>
        </w:tc>
        <w:tc>
          <w:tcPr>
            <w:tcW w:w="1708" w:type="dxa"/>
            <w:tcMar>
              <w:left w:w="108" w:type="dxa"/>
              <w:right w:w="108" w:type="dxa"/>
            </w:tcMar>
            <w:vAlign w:val="center"/>
          </w:tcPr>
          <w:p w14:paraId="37E8305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7GLO24146</w:t>
            </w:r>
          </w:p>
        </w:tc>
        <w:tc>
          <w:tcPr>
            <w:tcW w:w="2688" w:type="dxa"/>
            <w:tcMar>
              <w:left w:w="108" w:type="dxa"/>
              <w:right w:w="108" w:type="dxa"/>
            </w:tcMar>
            <w:vAlign w:val="center"/>
          </w:tcPr>
          <w:p w14:paraId="61929DD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Seconde phase du projet "Cyber for Good" (La cybersécurité au service du bien social), MSIT</w:t>
            </w:r>
          </w:p>
        </w:tc>
        <w:tc>
          <w:tcPr>
            <w:tcW w:w="1409" w:type="dxa"/>
            <w:tcMar>
              <w:left w:w="108" w:type="dxa"/>
              <w:right w:w="108" w:type="dxa"/>
            </w:tcMar>
            <w:vAlign w:val="center"/>
          </w:tcPr>
          <w:p w14:paraId="50BD5E93"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31/12/2026</w:t>
            </w:r>
          </w:p>
        </w:tc>
        <w:tc>
          <w:tcPr>
            <w:tcW w:w="3246" w:type="dxa"/>
            <w:tcMar>
              <w:left w:w="108" w:type="dxa"/>
              <w:right w:w="108" w:type="dxa"/>
            </w:tcMar>
            <w:vAlign w:val="center"/>
          </w:tcPr>
          <w:p w14:paraId="0BE20CB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Antigua-et-Barbuda, Bahamas, Barbade, Belize, Cabo Verde, Comores, Cuba, Dominique, République dominicaine, Fidji, Grenade, Guinée-Bissau, Guyana, Haïti, Jamaïque, Kiribati, Maldives, Îles Marshall, Maurice, Micronésie, Nauru, Palaos, Papouasie</w:t>
            </w:r>
            <w:r w:rsidRPr="00314F31">
              <w:rPr>
                <w:rFonts w:eastAsia="SimSun" w:cstheme="minorHAnsi"/>
                <w:sz w:val="22"/>
                <w:szCs w:val="22"/>
                <w:lang w:val="fr-FR"/>
              </w:rPr>
              <w:noBreakHyphen/>
              <w:t>Nouvelle-Guinée, Saint</w:t>
            </w:r>
            <w:r w:rsidRPr="00314F31">
              <w:rPr>
                <w:rFonts w:eastAsia="SimSun" w:cstheme="minorHAnsi"/>
                <w:sz w:val="22"/>
                <w:szCs w:val="22"/>
                <w:lang w:val="fr-FR"/>
              </w:rPr>
              <w:noBreakHyphen/>
              <w:t>Kitts-et-Nevis, Sainte</w:t>
            </w:r>
            <w:r w:rsidRPr="00314F31">
              <w:rPr>
                <w:rFonts w:eastAsia="SimSun" w:cstheme="minorHAnsi"/>
                <w:sz w:val="22"/>
                <w:szCs w:val="22"/>
                <w:lang w:val="fr-FR"/>
              </w:rPr>
              <w:noBreakHyphen/>
              <w:t>Lucie, Saint</w:t>
            </w:r>
            <w:r w:rsidRPr="00314F31">
              <w:rPr>
                <w:rFonts w:eastAsia="SimSun" w:cstheme="minorHAnsi"/>
                <w:sz w:val="22"/>
                <w:szCs w:val="22"/>
                <w:lang w:val="fr-FR"/>
              </w:rPr>
              <w:noBreakHyphen/>
              <w:t>Vincent</w:t>
            </w:r>
            <w:r w:rsidRPr="00314F31">
              <w:rPr>
                <w:rFonts w:eastAsia="SimSun" w:cstheme="minorHAnsi"/>
                <w:sz w:val="22"/>
                <w:szCs w:val="22"/>
                <w:lang w:val="fr-FR"/>
              </w:rPr>
              <w:noBreakHyphen/>
              <w:t>et</w:t>
            </w:r>
            <w:r w:rsidRPr="00314F31">
              <w:rPr>
                <w:rFonts w:eastAsia="SimSun" w:cstheme="minorHAnsi"/>
                <w:sz w:val="22"/>
                <w:szCs w:val="22"/>
                <w:lang w:val="fr-FR"/>
              </w:rPr>
              <w:noBreakHyphen/>
              <w:t>les-Grenadines, Samoa, Sao Tomé-et-Principe, Seychelles, Singapour, Îles Salomon, Timor</w:t>
            </w:r>
            <w:r w:rsidRPr="00314F31">
              <w:rPr>
                <w:rFonts w:eastAsia="SimSun" w:cstheme="minorHAnsi"/>
                <w:sz w:val="22"/>
                <w:szCs w:val="22"/>
                <w:lang w:val="fr-FR"/>
              </w:rPr>
              <w:noBreakHyphen/>
              <w:t>Leste, Tonga, Trinité</w:t>
            </w:r>
            <w:r w:rsidRPr="00314F31">
              <w:rPr>
                <w:rFonts w:eastAsia="SimSun" w:cstheme="minorHAnsi"/>
                <w:sz w:val="22"/>
                <w:szCs w:val="22"/>
                <w:lang w:val="fr-FR"/>
              </w:rPr>
              <w:noBreakHyphen/>
              <w:t>et</w:t>
            </w:r>
            <w:r w:rsidRPr="00314F31">
              <w:rPr>
                <w:rFonts w:eastAsia="SimSun" w:cstheme="minorHAnsi"/>
                <w:sz w:val="22"/>
                <w:szCs w:val="22"/>
                <w:lang w:val="fr-FR"/>
              </w:rPr>
              <w:noBreakHyphen/>
              <w:t>Tobago, Tuvalu, Vanuatu</w:t>
            </w:r>
          </w:p>
        </w:tc>
      </w:tr>
      <w:tr w:rsidR="00F241C3" w:rsidRPr="00314F31" w14:paraId="72009944" w14:textId="77777777" w:rsidTr="008C75DC">
        <w:trPr>
          <w:trHeight w:val="780"/>
        </w:trPr>
        <w:tc>
          <w:tcPr>
            <w:tcW w:w="569" w:type="dxa"/>
            <w:tcMar>
              <w:left w:w="108" w:type="dxa"/>
              <w:right w:w="108" w:type="dxa"/>
            </w:tcMar>
            <w:vAlign w:val="center"/>
          </w:tcPr>
          <w:p w14:paraId="18FB3493"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4</w:t>
            </w:r>
          </w:p>
        </w:tc>
        <w:tc>
          <w:tcPr>
            <w:tcW w:w="1708" w:type="dxa"/>
            <w:tcMar>
              <w:left w:w="108" w:type="dxa"/>
              <w:right w:w="108" w:type="dxa"/>
            </w:tcMar>
            <w:vAlign w:val="center"/>
          </w:tcPr>
          <w:p w14:paraId="781CAEC3"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7RAS24076</w:t>
            </w:r>
          </w:p>
        </w:tc>
        <w:tc>
          <w:tcPr>
            <w:tcW w:w="2688" w:type="dxa"/>
            <w:tcMar>
              <w:left w:w="108" w:type="dxa"/>
              <w:right w:w="108" w:type="dxa"/>
            </w:tcMar>
            <w:vAlign w:val="center"/>
          </w:tcPr>
          <w:p w14:paraId="7F6953FD"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Étude de faisabilité: répondre aux besoins particuliers des petits États insulaires en développement (PEID) du Pacifique en matière de télécommunications/TIC</w:t>
            </w:r>
          </w:p>
        </w:tc>
        <w:tc>
          <w:tcPr>
            <w:tcW w:w="1409" w:type="dxa"/>
            <w:tcMar>
              <w:left w:w="108" w:type="dxa"/>
              <w:right w:w="108" w:type="dxa"/>
            </w:tcMar>
            <w:vAlign w:val="center"/>
          </w:tcPr>
          <w:p w14:paraId="06C8198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31/12/2025</w:t>
            </w:r>
          </w:p>
        </w:tc>
        <w:tc>
          <w:tcPr>
            <w:tcW w:w="3246" w:type="dxa"/>
            <w:tcMar>
              <w:left w:w="108" w:type="dxa"/>
              <w:right w:w="108" w:type="dxa"/>
            </w:tcMar>
            <w:vAlign w:val="center"/>
          </w:tcPr>
          <w:p w14:paraId="458748CC"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Fidji, Kiribati, Îles Marshall, Micronésie, Nauru, Palaos, Papouasie-Nouvelle-Guinée, Samoa, Îles Salomon, Tonga, Tuvalu, Vanuatu</w:t>
            </w:r>
          </w:p>
        </w:tc>
      </w:tr>
      <w:tr w:rsidR="00F241C3" w:rsidRPr="00314F31" w14:paraId="70B80D75" w14:textId="77777777" w:rsidTr="008C75DC">
        <w:trPr>
          <w:trHeight w:val="525"/>
        </w:trPr>
        <w:tc>
          <w:tcPr>
            <w:tcW w:w="569" w:type="dxa"/>
            <w:tcMar>
              <w:left w:w="108" w:type="dxa"/>
              <w:right w:w="108" w:type="dxa"/>
            </w:tcMar>
            <w:vAlign w:val="center"/>
          </w:tcPr>
          <w:p w14:paraId="1C04B9C5"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5</w:t>
            </w:r>
          </w:p>
        </w:tc>
        <w:tc>
          <w:tcPr>
            <w:tcW w:w="1708" w:type="dxa"/>
            <w:tcMar>
              <w:left w:w="108" w:type="dxa"/>
              <w:right w:w="108" w:type="dxa"/>
            </w:tcMar>
            <w:vAlign w:val="center"/>
          </w:tcPr>
          <w:p w14:paraId="7C577BFA"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9GLO24137</w:t>
            </w:r>
          </w:p>
        </w:tc>
        <w:tc>
          <w:tcPr>
            <w:tcW w:w="2688" w:type="dxa"/>
            <w:tcMar>
              <w:left w:w="108" w:type="dxa"/>
              <w:right w:w="108" w:type="dxa"/>
            </w:tcMar>
            <w:vAlign w:val="center"/>
          </w:tcPr>
          <w:p w14:paraId="433C159D"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Accélérateur multi-parties prenantes du projet EW4All dans les PMA et les PEID (UNDRR – Fonds de la Suède)</w:t>
            </w:r>
          </w:p>
        </w:tc>
        <w:tc>
          <w:tcPr>
            <w:tcW w:w="1409" w:type="dxa"/>
            <w:tcMar>
              <w:left w:w="108" w:type="dxa"/>
              <w:right w:w="108" w:type="dxa"/>
            </w:tcMar>
            <w:vAlign w:val="center"/>
          </w:tcPr>
          <w:p w14:paraId="7316022C"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30/06/2025</w:t>
            </w:r>
          </w:p>
        </w:tc>
        <w:tc>
          <w:tcPr>
            <w:tcW w:w="3246" w:type="dxa"/>
            <w:tcMar>
              <w:left w:w="108" w:type="dxa"/>
              <w:right w:w="108" w:type="dxa"/>
            </w:tcMar>
            <w:vAlign w:val="center"/>
          </w:tcPr>
          <w:p w14:paraId="2E5E3F8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Haïti</w:t>
            </w:r>
          </w:p>
        </w:tc>
      </w:tr>
      <w:tr w:rsidR="00F241C3" w:rsidRPr="00314F31" w14:paraId="0C35B88A" w14:textId="77777777" w:rsidTr="008C75DC">
        <w:trPr>
          <w:trHeight w:val="525"/>
        </w:trPr>
        <w:tc>
          <w:tcPr>
            <w:tcW w:w="569" w:type="dxa"/>
            <w:tcMar>
              <w:left w:w="108" w:type="dxa"/>
              <w:right w:w="108" w:type="dxa"/>
            </w:tcMar>
            <w:vAlign w:val="center"/>
          </w:tcPr>
          <w:p w14:paraId="5FE9458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6</w:t>
            </w:r>
          </w:p>
        </w:tc>
        <w:tc>
          <w:tcPr>
            <w:tcW w:w="1708" w:type="dxa"/>
            <w:tcMar>
              <w:left w:w="108" w:type="dxa"/>
              <w:right w:w="108" w:type="dxa"/>
            </w:tcMar>
            <w:vAlign w:val="center"/>
          </w:tcPr>
          <w:p w14:paraId="131D27FC"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9RCA24005</w:t>
            </w:r>
          </w:p>
        </w:tc>
        <w:tc>
          <w:tcPr>
            <w:tcW w:w="2688" w:type="dxa"/>
            <w:tcMar>
              <w:left w:w="108" w:type="dxa"/>
              <w:right w:w="108" w:type="dxa"/>
            </w:tcMar>
            <w:vAlign w:val="center"/>
          </w:tcPr>
          <w:p w14:paraId="60939D2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Innovation réglementaire régionale pour l'Amérique centrale – Bac à sable</w:t>
            </w:r>
          </w:p>
        </w:tc>
        <w:tc>
          <w:tcPr>
            <w:tcW w:w="1409" w:type="dxa"/>
            <w:tcMar>
              <w:left w:w="108" w:type="dxa"/>
              <w:right w:w="108" w:type="dxa"/>
            </w:tcMar>
            <w:vAlign w:val="center"/>
          </w:tcPr>
          <w:p w14:paraId="1A00BA43"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31/10/2027</w:t>
            </w:r>
          </w:p>
        </w:tc>
        <w:tc>
          <w:tcPr>
            <w:tcW w:w="3246" w:type="dxa"/>
            <w:tcMar>
              <w:left w:w="108" w:type="dxa"/>
              <w:right w:w="108" w:type="dxa"/>
            </w:tcMar>
            <w:vAlign w:val="center"/>
          </w:tcPr>
          <w:p w14:paraId="28F64EB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Belize, République dominicaine</w:t>
            </w:r>
          </w:p>
        </w:tc>
      </w:tr>
      <w:tr w:rsidR="00F241C3" w:rsidRPr="00314F31" w14:paraId="345B16B4" w14:textId="77777777" w:rsidTr="008C75DC">
        <w:trPr>
          <w:trHeight w:val="525"/>
        </w:trPr>
        <w:tc>
          <w:tcPr>
            <w:tcW w:w="569" w:type="dxa"/>
            <w:tcMar>
              <w:left w:w="108" w:type="dxa"/>
              <w:right w:w="108" w:type="dxa"/>
            </w:tcMar>
            <w:vAlign w:val="center"/>
          </w:tcPr>
          <w:p w14:paraId="03F5509E"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w:t>
            </w:r>
          </w:p>
        </w:tc>
        <w:tc>
          <w:tcPr>
            <w:tcW w:w="1708" w:type="dxa"/>
            <w:tcMar>
              <w:left w:w="108" w:type="dxa"/>
              <w:right w:w="108" w:type="dxa"/>
            </w:tcMar>
            <w:vAlign w:val="center"/>
          </w:tcPr>
          <w:p w14:paraId="75225FA3"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9STP24004</w:t>
            </w:r>
          </w:p>
        </w:tc>
        <w:tc>
          <w:tcPr>
            <w:tcW w:w="2688" w:type="dxa"/>
            <w:tcMar>
              <w:left w:w="108" w:type="dxa"/>
              <w:right w:w="108" w:type="dxa"/>
            </w:tcMar>
            <w:vAlign w:val="center"/>
          </w:tcPr>
          <w:p w14:paraId="42BBF0CB" w14:textId="77777777" w:rsidR="00F241C3" w:rsidRPr="00314F31" w:rsidRDefault="00F241C3" w:rsidP="008C75DC">
            <w:pPr>
              <w:pStyle w:val="Tabletext"/>
              <w:keepLines/>
              <w:tabs>
                <w:tab w:val="clear" w:pos="2552"/>
              </w:tabs>
              <w:ind w:left="-48" w:right="-13"/>
              <w:jc w:val="center"/>
              <w:rPr>
                <w:rFonts w:eastAsia="SimSun" w:cstheme="minorHAnsi"/>
                <w:sz w:val="22"/>
                <w:szCs w:val="22"/>
                <w:lang w:val="fr-FR"/>
              </w:rPr>
            </w:pPr>
            <w:r w:rsidRPr="00314F31">
              <w:rPr>
                <w:rFonts w:eastAsia="SimSun" w:cstheme="minorHAnsi"/>
                <w:sz w:val="22"/>
                <w:szCs w:val="22"/>
                <w:lang w:val="fr-FR"/>
              </w:rPr>
              <w:t>Projet Giga sur la connectivité dans les écoles – Sao Tomé</w:t>
            </w:r>
            <w:r w:rsidRPr="00314F31">
              <w:rPr>
                <w:rFonts w:eastAsia="SimSun" w:cstheme="minorHAnsi"/>
                <w:sz w:val="22"/>
                <w:szCs w:val="22"/>
                <w:lang w:val="fr-FR"/>
              </w:rPr>
              <w:noBreakHyphen/>
              <w:t>et</w:t>
            </w:r>
            <w:r w:rsidRPr="00314F31">
              <w:rPr>
                <w:rFonts w:eastAsia="SimSun" w:cstheme="minorHAnsi"/>
                <w:sz w:val="22"/>
                <w:szCs w:val="22"/>
                <w:lang w:val="fr-FR"/>
              </w:rPr>
              <w:noBreakHyphen/>
              <w:t>Principe</w:t>
            </w:r>
          </w:p>
        </w:tc>
        <w:tc>
          <w:tcPr>
            <w:tcW w:w="1409" w:type="dxa"/>
            <w:tcMar>
              <w:left w:w="108" w:type="dxa"/>
              <w:right w:w="108" w:type="dxa"/>
            </w:tcMar>
            <w:vAlign w:val="center"/>
          </w:tcPr>
          <w:p w14:paraId="3F1169E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31/12/2024</w:t>
            </w:r>
          </w:p>
        </w:tc>
        <w:tc>
          <w:tcPr>
            <w:tcW w:w="3246" w:type="dxa"/>
            <w:tcMar>
              <w:left w:w="108" w:type="dxa"/>
              <w:right w:w="108" w:type="dxa"/>
            </w:tcMar>
            <w:vAlign w:val="center"/>
          </w:tcPr>
          <w:p w14:paraId="1A18615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Sao Tomé-et-Principe</w:t>
            </w:r>
          </w:p>
        </w:tc>
      </w:tr>
      <w:tr w:rsidR="00F241C3" w:rsidRPr="00314F31" w14:paraId="05C91F2C" w14:textId="77777777" w:rsidTr="008C75DC">
        <w:trPr>
          <w:trHeight w:val="705"/>
        </w:trPr>
        <w:tc>
          <w:tcPr>
            <w:tcW w:w="569" w:type="dxa"/>
            <w:tcMar>
              <w:left w:w="108" w:type="dxa"/>
              <w:right w:w="108" w:type="dxa"/>
            </w:tcMar>
            <w:vAlign w:val="center"/>
          </w:tcPr>
          <w:p w14:paraId="2582D7E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lastRenderedPageBreak/>
              <w:t>8</w:t>
            </w:r>
          </w:p>
        </w:tc>
        <w:tc>
          <w:tcPr>
            <w:tcW w:w="1708" w:type="dxa"/>
            <w:tcMar>
              <w:left w:w="108" w:type="dxa"/>
              <w:right w:w="108" w:type="dxa"/>
            </w:tcMar>
            <w:vAlign w:val="center"/>
          </w:tcPr>
          <w:p w14:paraId="27A16A9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7GLO25151</w:t>
            </w:r>
          </w:p>
        </w:tc>
        <w:tc>
          <w:tcPr>
            <w:tcW w:w="2688" w:type="dxa"/>
            <w:tcMar>
              <w:left w:w="108" w:type="dxa"/>
              <w:right w:w="108" w:type="dxa"/>
            </w:tcMar>
            <w:vAlign w:val="center"/>
          </w:tcPr>
          <w:p w14:paraId="7683337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Phase III du Programme Her Cyber Tracks</w:t>
            </w:r>
          </w:p>
        </w:tc>
        <w:tc>
          <w:tcPr>
            <w:tcW w:w="1409" w:type="dxa"/>
            <w:tcMar>
              <w:left w:w="108" w:type="dxa"/>
              <w:right w:w="108" w:type="dxa"/>
            </w:tcMar>
            <w:vAlign w:val="center"/>
          </w:tcPr>
          <w:p w14:paraId="225A4BCD"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28/02/2026</w:t>
            </w:r>
          </w:p>
        </w:tc>
        <w:tc>
          <w:tcPr>
            <w:tcW w:w="3246" w:type="dxa"/>
            <w:tcMar>
              <w:left w:w="108" w:type="dxa"/>
              <w:right w:w="108" w:type="dxa"/>
            </w:tcMar>
            <w:vAlign w:val="center"/>
          </w:tcPr>
          <w:p w14:paraId="7D1ABCC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Cabo Verde, Guinée-Bissau</w:t>
            </w:r>
          </w:p>
        </w:tc>
      </w:tr>
      <w:tr w:rsidR="00F241C3" w:rsidRPr="00314F31" w14:paraId="733A5DED" w14:textId="77777777" w:rsidTr="008C75DC">
        <w:trPr>
          <w:trHeight w:val="780"/>
        </w:trPr>
        <w:tc>
          <w:tcPr>
            <w:tcW w:w="569" w:type="dxa"/>
            <w:tcMar>
              <w:left w:w="108" w:type="dxa"/>
              <w:right w:w="108" w:type="dxa"/>
            </w:tcMar>
            <w:vAlign w:val="center"/>
          </w:tcPr>
          <w:p w14:paraId="0FBD9EA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w:t>
            </w:r>
          </w:p>
        </w:tc>
        <w:tc>
          <w:tcPr>
            <w:tcW w:w="1708" w:type="dxa"/>
            <w:tcMar>
              <w:left w:w="108" w:type="dxa"/>
              <w:right w:w="108" w:type="dxa"/>
            </w:tcMar>
            <w:vAlign w:val="center"/>
          </w:tcPr>
          <w:p w14:paraId="787BFA9A"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9RAS25002</w:t>
            </w:r>
          </w:p>
        </w:tc>
        <w:tc>
          <w:tcPr>
            <w:tcW w:w="2688" w:type="dxa"/>
            <w:tcMar>
              <w:left w:w="108" w:type="dxa"/>
              <w:right w:w="108" w:type="dxa"/>
            </w:tcMar>
            <w:vAlign w:val="center"/>
          </w:tcPr>
          <w:p w14:paraId="4749DDE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Améliorer l'infrastructure numérique et l'accès financièrement abordable aux services TIC en Asie</w:t>
            </w:r>
            <w:r w:rsidRPr="00314F31">
              <w:rPr>
                <w:rFonts w:eastAsia="SimSun" w:cstheme="minorHAnsi"/>
                <w:sz w:val="22"/>
                <w:szCs w:val="22"/>
                <w:lang w:val="fr-FR"/>
              </w:rPr>
              <w:noBreakHyphen/>
              <w:t>Pacifique</w:t>
            </w:r>
          </w:p>
        </w:tc>
        <w:tc>
          <w:tcPr>
            <w:tcW w:w="1409" w:type="dxa"/>
            <w:tcMar>
              <w:left w:w="108" w:type="dxa"/>
              <w:right w:w="108" w:type="dxa"/>
            </w:tcMar>
            <w:vAlign w:val="center"/>
          </w:tcPr>
          <w:p w14:paraId="77D2DFC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30/11/2027</w:t>
            </w:r>
          </w:p>
        </w:tc>
        <w:tc>
          <w:tcPr>
            <w:tcW w:w="3246" w:type="dxa"/>
            <w:tcMar>
              <w:left w:w="108" w:type="dxa"/>
              <w:right w:w="108" w:type="dxa"/>
            </w:tcMar>
            <w:vAlign w:val="center"/>
          </w:tcPr>
          <w:p w14:paraId="6FDFAE9B"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Maldives, Îles Marshall, Nauru, Papouasie-Nouvelle-Guinée, Vanuatu</w:t>
            </w:r>
          </w:p>
        </w:tc>
      </w:tr>
      <w:tr w:rsidR="00F241C3" w:rsidRPr="00314F31" w14:paraId="52EE6902" w14:textId="77777777" w:rsidTr="008C75DC">
        <w:trPr>
          <w:trHeight w:val="300"/>
        </w:trPr>
        <w:tc>
          <w:tcPr>
            <w:tcW w:w="569" w:type="dxa"/>
            <w:tcMar>
              <w:left w:w="108" w:type="dxa"/>
              <w:right w:w="108" w:type="dxa"/>
            </w:tcMar>
            <w:vAlign w:val="center"/>
          </w:tcPr>
          <w:p w14:paraId="2132436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10</w:t>
            </w:r>
          </w:p>
        </w:tc>
        <w:tc>
          <w:tcPr>
            <w:tcW w:w="1708" w:type="dxa"/>
            <w:tcMar>
              <w:left w:w="108" w:type="dxa"/>
              <w:right w:w="108" w:type="dxa"/>
            </w:tcMar>
            <w:vAlign w:val="center"/>
          </w:tcPr>
          <w:p w14:paraId="2050E5CB"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9DOM23004</w:t>
            </w:r>
          </w:p>
        </w:tc>
        <w:tc>
          <w:tcPr>
            <w:tcW w:w="2688" w:type="dxa"/>
            <w:tcMar>
              <w:left w:w="108" w:type="dxa"/>
              <w:right w:w="108" w:type="dxa"/>
            </w:tcMar>
            <w:vAlign w:val="center"/>
          </w:tcPr>
          <w:p w14:paraId="5A8C5DA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Appui institutionnel fourni à l'Institut dominicain des télécommunications</w:t>
            </w:r>
          </w:p>
        </w:tc>
        <w:tc>
          <w:tcPr>
            <w:tcW w:w="1409" w:type="dxa"/>
            <w:tcMar>
              <w:left w:w="108" w:type="dxa"/>
              <w:right w:w="108" w:type="dxa"/>
            </w:tcMar>
            <w:vAlign w:val="center"/>
          </w:tcPr>
          <w:p w14:paraId="55F0F53B"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28/2/2025</w:t>
            </w:r>
          </w:p>
        </w:tc>
        <w:tc>
          <w:tcPr>
            <w:tcW w:w="3246" w:type="dxa"/>
            <w:tcMar>
              <w:left w:w="108" w:type="dxa"/>
              <w:right w:w="108" w:type="dxa"/>
            </w:tcMar>
            <w:vAlign w:val="center"/>
          </w:tcPr>
          <w:p w14:paraId="17FCA90F"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République dominicaine</w:t>
            </w:r>
          </w:p>
        </w:tc>
      </w:tr>
      <w:tr w:rsidR="00F241C3" w:rsidRPr="00314F31" w14:paraId="1526519C" w14:textId="77777777" w:rsidTr="008C75DC">
        <w:trPr>
          <w:trHeight w:val="300"/>
        </w:trPr>
        <w:tc>
          <w:tcPr>
            <w:tcW w:w="569" w:type="dxa"/>
            <w:tcMar>
              <w:left w:w="108" w:type="dxa"/>
              <w:right w:w="108" w:type="dxa"/>
            </w:tcMar>
            <w:vAlign w:val="center"/>
          </w:tcPr>
          <w:p w14:paraId="1F3F534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11</w:t>
            </w:r>
          </w:p>
        </w:tc>
        <w:tc>
          <w:tcPr>
            <w:tcW w:w="1708" w:type="dxa"/>
            <w:tcMar>
              <w:left w:w="108" w:type="dxa"/>
              <w:right w:w="108" w:type="dxa"/>
            </w:tcMar>
            <w:vAlign w:val="center"/>
          </w:tcPr>
          <w:p w14:paraId="5B6ADE0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9RLA23022</w:t>
            </w:r>
          </w:p>
        </w:tc>
        <w:tc>
          <w:tcPr>
            <w:tcW w:w="2688" w:type="dxa"/>
            <w:tcMar>
              <w:left w:w="108" w:type="dxa"/>
              <w:right w:w="108" w:type="dxa"/>
            </w:tcMar>
            <w:vAlign w:val="center"/>
          </w:tcPr>
          <w:p w14:paraId="2DD4897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Appui à la mise en œuvre des initiatives régionales de la région Amériques</w:t>
            </w:r>
          </w:p>
        </w:tc>
        <w:tc>
          <w:tcPr>
            <w:tcW w:w="1409" w:type="dxa"/>
            <w:tcMar>
              <w:left w:w="108" w:type="dxa"/>
              <w:right w:w="108" w:type="dxa"/>
            </w:tcMar>
            <w:vAlign w:val="center"/>
          </w:tcPr>
          <w:p w14:paraId="4DAA4251"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31/10/2025</w:t>
            </w:r>
          </w:p>
        </w:tc>
        <w:tc>
          <w:tcPr>
            <w:tcW w:w="3246" w:type="dxa"/>
            <w:tcMar>
              <w:left w:w="108" w:type="dxa"/>
              <w:right w:w="108" w:type="dxa"/>
            </w:tcMar>
            <w:vAlign w:val="center"/>
          </w:tcPr>
          <w:p w14:paraId="17BEFE16"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Cuba</w:t>
            </w:r>
          </w:p>
        </w:tc>
      </w:tr>
      <w:tr w:rsidR="00F241C3" w:rsidRPr="00314F31" w14:paraId="72C73A30" w14:textId="77777777" w:rsidTr="008C75DC">
        <w:trPr>
          <w:trHeight w:val="300"/>
        </w:trPr>
        <w:tc>
          <w:tcPr>
            <w:tcW w:w="569" w:type="dxa"/>
            <w:tcMar>
              <w:left w:w="108" w:type="dxa"/>
              <w:right w:w="108" w:type="dxa"/>
            </w:tcMar>
            <w:vAlign w:val="center"/>
          </w:tcPr>
          <w:p w14:paraId="7A158950"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12</w:t>
            </w:r>
          </w:p>
        </w:tc>
        <w:tc>
          <w:tcPr>
            <w:tcW w:w="1708" w:type="dxa"/>
            <w:tcMar>
              <w:left w:w="108" w:type="dxa"/>
              <w:right w:w="108" w:type="dxa"/>
            </w:tcMar>
            <w:vAlign w:val="center"/>
          </w:tcPr>
          <w:p w14:paraId="2741B26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7RAS23072</w:t>
            </w:r>
          </w:p>
        </w:tc>
        <w:tc>
          <w:tcPr>
            <w:tcW w:w="2688" w:type="dxa"/>
            <w:tcMar>
              <w:left w:w="108" w:type="dxa"/>
              <w:right w:w="108" w:type="dxa"/>
            </w:tcMar>
            <w:vAlign w:val="center"/>
          </w:tcPr>
          <w:p w14:paraId="1E6517DF"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Accélération de la transformation numérique dans la région Asie-Pacifique</w:t>
            </w:r>
          </w:p>
        </w:tc>
        <w:tc>
          <w:tcPr>
            <w:tcW w:w="1409" w:type="dxa"/>
            <w:tcMar>
              <w:left w:w="108" w:type="dxa"/>
              <w:right w:w="108" w:type="dxa"/>
            </w:tcMar>
            <w:vAlign w:val="center"/>
          </w:tcPr>
          <w:p w14:paraId="27517751"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31/07/2025</w:t>
            </w:r>
          </w:p>
        </w:tc>
        <w:tc>
          <w:tcPr>
            <w:tcW w:w="3246" w:type="dxa"/>
            <w:tcMar>
              <w:left w:w="108" w:type="dxa"/>
              <w:right w:w="108" w:type="dxa"/>
            </w:tcMar>
            <w:vAlign w:val="center"/>
          </w:tcPr>
          <w:p w14:paraId="7B5B25D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Papouasie-Nouvelle-Guinée, Vanuatu</w:t>
            </w:r>
          </w:p>
        </w:tc>
      </w:tr>
      <w:tr w:rsidR="00F241C3" w:rsidRPr="00314F31" w14:paraId="0A597346" w14:textId="77777777" w:rsidTr="008C75DC">
        <w:trPr>
          <w:trHeight w:val="780"/>
        </w:trPr>
        <w:tc>
          <w:tcPr>
            <w:tcW w:w="569" w:type="dxa"/>
            <w:tcMar>
              <w:left w:w="108" w:type="dxa"/>
              <w:right w:w="108" w:type="dxa"/>
            </w:tcMar>
            <w:vAlign w:val="center"/>
          </w:tcPr>
          <w:p w14:paraId="60102D2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13</w:t>
            </w:r>
          </w:p>
        </w:tc>
        <w:tc>
          <w:tcPr>
            <w:tcW w:w="1708" w:type="dxa"/>
            <w:tcMar>
              <w:left w:w="108" w:type="dxa"/>
              <w:right w:w="108" w:type="dxa"/>
            </w:tcMar>
            <w:vAlign w:val="center"/>
          </w:tcPr>
          <w:p w14:paraId="67A1631F"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7SUR23017</w:t>
            </w:r>
          </w:p>
        </w:tc>
        <w:tc>
          <w:tcPr>
            <w:tcW w:w="2688" w:type="dxa"/>
            <w:tcMar>
              <w:left w:w="108" w:type="dxa"/>
              <w:right w:w="108" w:type="dxa"/>
            </w:tcMar>
            <w:vAlign w:val="center"/>
          </w:tcPr>
          <w:p w14:paraId="35648550" w14:textId="77777777" w:rsidR="00F241C3" w:rsidRPr="00314F31" w:rsidRDefault="00F241C3" w:rsidP="008C75DC">
            <w:pPr>
              <w:pStyle w:val="Tabletext"/>
              <w:jc w:val="center"/>
              <w:rPr>
                <w:rFonts w:eastAsia="SimSun" w:cstheme="minorHAnsi"/>
                <w:color w:val="000000" w:themeColor="text1"/>
                <w:sz w:val="22"/>
                <w:szCs w:val="22"/>
                <w:lang w:val="fr-FR"/>
              </w:rPr>
            </w:pPr>
            <w:r w:rsidRPr="00314F31">
              <w:rPr>
                <w:rFonts w:cstheme="minorHAnsi"/>
                <w:color w:val="000000" w:themeColor="text1"/>
                <w:sz w:val="22"/>
                <w:szCs w:val="22"/>
                <w:lang w:val="fr-FR"/>
              </w:rPr>
              <w:t>Mise en œuvre d'une équipe nationale d'intervention en cas d'incident informatique (CIRT) – Suriname</w:t>
            </w:r>
          </w:p>
        </w:tc>
        <w:tc>
          <w:tcPr>
            <w:tcW w:w="1409" w:type="dxa"/>
            <w:tcMar>
              <w:left w:w="108" w:type="dxa"/>
              <w:right w:w="108" w:type="dxa"/>
            </w:tcMar>
            <w:vAlign w:val="center"/>
          </w:tcPr>
          <w:p w14:paraId="6C5B1ADD"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28/07/2027</w:t>
            </w:r>
          </w:p>
        </w:tc>
        <w:tc>
          <w:tcPr>
            <w:tcW w:w="3246" w:type="dxa"/>
            <w:tcMar>
              <w:left w:w="108" w:type="dxa"/>
              <w:right w:w="108" w:type="dxa"/>
            </w:tcMar>
            <w:vAlign w:val="center"/>
          </w:tcPr>
          <w:p w14:paraId="7E227117"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Suriname</w:t>
            </w:r>
          </w:p>
        </w:tc>
      </w:tr>
      <w:tr w:rsidR="00F241C3" w:rsidRPr="00314F31" w14:paraId="0E9AD6DD" w14:textId="77777777" w:rsidTr="008C75DC">
        <w:trPr>
          <w:trHeight w:val="300"/>
        </w:trPr>
        <w:tc>
          <w:tcPr>
            <w:tcW w:w="569" w:type="dxa"/>
            <w:tcMar>
              <w:left w:w="108" w:type="dxa"/>
              <w:right w:w="108" w:type="dxa"/>
            </w:tcMar>
            <w:vAlign w:val="center"/>
          </w:tcPr>
          <w:p w14:paraId="24A7F7E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14</w:t>
            </w:r>
          </w:p>
        </w:tc>
        <w:tc>
          <w:tcPr>
            <w:tcW w:w="1708" w:type="dxa"/>
            <w:tcMar>
              <w:left w:w="108" w:type="dxa"/>
              <w:right w:w="108" w:type="dxa"/>
            </w:tcMar>
            <w:vAlign w:val="center"/>
          </w:tcPr>
          <w:p w14:paraId="5ADE50F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7GLO23133</w:t>
            </w:r>
          </w:p>
        </w:tc>
        <w:tc>
          <w:tcPr>
            <w:tcW w:w="2688" w:type="dxa"/>
            <w:tcMar>
              <w:left w:w="108" w:type="dxa"/>
              <w:right w:w="108" w:type="dxa"/>
            </w:tcMar>
            <w:vAlign w:val="center"/>
          </w:tcPr>
          <w:p w14:paraId="1DD47A0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Renforcer les compétences numériques grâce aux centres de transformation numérique (DTC) – Phase 2</w:t>
            </w:r>
          </w:p>
        </w:tc>
        <w:tc>
          <w:tcPr>
            <w:tcW w:w="1409" w:type="dxa"/>
            <w:tcMar>
              <w:left w:w="108" w:type="dxa"/>
              <w:right w:w="108" w:type="dxa"/>
            </w:tcMar>
            <w:vAlign w:val="center"/>
          </w:tcPr>
          <w:p w14:paraId="7B5A5321"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14/01/2026</w:t>
            </w:r>
          </w:p>
        </w:tc>
        <w:tc>
          <w:tcPr>
            <w:tcW w:w="3246" w:type="dxa"/>
            <w:tcMar>
              <w:left w:w="108" w:type="dxa"/>
              <w:right w:w="108" w:type="dxa"/>
            </w:tcMar>
            <w:vAlign w:val="center"/>
          </w:tcPr>
          <w:p w14:paraId="53340B1A"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Dominique, Papouasie</w:t>
            </w:r>
            <w:r w:rsidRPr="00314F31">
              <w:rPr>
                <w:rFonts w:eastAsia="SimSun" w:cstheme="minorHAnsi"/>
                <w:sz w:val="22"/>
                <w:szCs w:val="22"/>
                <w:lang w:val="fr-FR"/>
              </w:rPr>
              <w:noBreakHyphen/>
              <w:t>Nouvelle</w:t>
            </w:r>
            <w:r w:rsidRPr="00314F31">
              <w:rPr>
                <w:rFonts w:eastAsia="SimSun" w:cstheme="minorHAnsi"/>
                <w:sz w:val="22"/>
                <w:szCs w:val="22"/>
                <w:lang w:val="fr-FR"/>
              </w:rPr>
              <w:noBreakHyphen/>
              <w:t>Guinée</w:t>
            </w:r>
          </w:p>
        </w:tc>
      </w:tr>
      <w:tr w:rsidR="00F241C3" w:rsidRPr="00314F31" w14:paraId="0E10FFE9" w14:textId="77777777" w:rsidTr="008C75DC">
        <w:trPr>
          <w:trHeight w:val="300"/>
        </w:trPr>
        <w:tc>
          <w:tcPr>
            <w:tcW w:w="569" w:type="dxa"/>
            <w:tcMar>
              <w:left w:w="108" w:type="dxa"/>
              <w:right w:w="108" w:type="dxa"/>
            </w:tcMar>
            <w:vAlign w:val="center"/>
          </w:tcPr>
          <w:p w14:paraId="65319DC5"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15</w:t>
            </w:r>
          </w:p>
        </w:tc>
        <w:tc>
          <w:tcPr>
            <w:tcW w:w="1708" w:type="dxa"/>
            <w:tcMar>
              <w:left w:w="108" w:type="dxa"/>
              <w:right w:w="108" w:type="dxa"/>
            </w:tcMar>
            <w:vAlign w:val="center"/>
          </w:tcPr>
          <w:p w14:paraId="3B7E855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9RCA24004</w:t>
            </w:r>
          </w:p>
        </w:tc>
        <w:tc>
          <w:tcPr>
            <w:tcW w:w="2688" w:type="dxa"/>
            <w:tcMar>
              <w:left w:w="108" w:type="dxa"/>
              <w:right w:w="108" w:type="dxa"/>
            </w:tcMar>
            <w:vAlign w:val="center"/>
          </w:tcPr>
          <w:p w14:paraId="7FCDBD88"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Optimiser les ressources financières innovantes pour permettre aux groupes mal desservis d'accroître leur résilience et accélérer la réalisation des ODD à Antigua</w:t>
            </w:r>
            <w:r w:rsidRPr="00314F31">
              <w:rPr>
                <w:rFonts w:eastAsia="SimSun" w:cstheme="minorHAnsi"/>
                <w:sz w:val="22"/>
                <w:szCs w:val="22"/>
                <w:lang w:val="fr-FR"/>
              </w:rPr>
              <w:noBreakHyphen/>
              <w:t>et</w:t>
            </w:r>
            <w:r w:rsidRPr="00314F31">
              <w:rPr>
                <w:rFonts w:eastAsia="SimSun" w:cstheme="minorHAnsi"/>
                <w:sz w:val="22"/>
                <w:szCs w:val="22"/>
                <w:lang w:val="fr-FR"/>
              </w:rPr>
              <w:noBreakHyphen/>
              <w:t>Barbuda et Sainte-Lucie</w:t>
            </w:r>
          </w:p>
        </w:tc>
        <w:tc>
          <w:tcPr>
            <w:tcW w:w="1409" w:type="dxa"/>
            <w:tcMar>
              <w:left w:w="108" w:type="dxa"/>
              <w:right w:w="108" w:type="dxa"/>
            </w:tcMar>
            <w:vAlign w:val="center"/>
          </w:tcPr>
          <w:p w14:paraId="12ECF85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31/12/2025</w:t>
            </w:r>
          </w:p>
        </w:tc>
        <w:tc>
          <w:tcPr>
            <w:tcW w:w="3246" w:type="dxa"/>
            <w:tcMar>
              <w:left w:w="108" w:type="dxa"/>
              <w:right w:w="108" w:type="dxa"/>
            </w:tcMar>
            <w:vAlign w:val="center"/>
          </w:tcPr>
          <w:p w14:paraId="27FF73FA"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Antigua-et-Barbuda, Sainte-Lucie</w:t>
            </w:r>
          </w:p>
        </w:tc>
      </w:tr>
      <w:tr w:rsidR="00F241C3" w:rsidRPr="00314F31" w14:paraId="7CD2B6C8" w14:textId="77777777" w:rsidTr="008C75DC">
        <w:trPr>
          <w:trHeight w:val="780"/>
        </w:trPr>
        <w:tc>
          <w:tcPr>
            <w:tcW w:w="569" w:type="dxa"/>
            <w:tcMar>
              <w:left w:w="108" w:type="dxa"/>
              <w:right w:w="108" w:type="dxa"/>
            </w:tcMar>
            <w:vAlign w:val="center"/>
          </w:tcPr>
          <w:p w14:paraId="3D364910"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16</w:t>
            </w:r>
          </w:p>
        </w:tc>
        <w:tc>
          <w:tcPr>
            <w:tcW w:w="1708" w:type="dxa"/>
            <w:tcMar>
              <w:left w:w="108" w:type="dxa"/>
              <w:right w:w="108" w:type="dxa"/>
            </w:tcMar>
            <w:vAlign w:val="center"/>
          </w:tcPr>
          <w:p w14:paraId="669DC63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7RAS23073</w:t>
            </w:r>
          </w:p>
        </w:tc>
        <w:tc>
          <w:tcPr>
            <w:tcW w:w="2688" w:type="dxa"/>
            <w:tcMar>
              <w:left w:w="108" w:type="dxa"/>
              <w:right w:w="108" w:type="dxa"/>
            </w:tcMar>
            <w:vAlign w:val="center"/>
          </w:tcPr>
          <w:p w14:paraId="4DCA69A0"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Stratégies pour la cybersécurité dans la région du Pacifique</w:t>
            </w:r>
          </w:p>
        </w:tc>
        <w:tc>
          <w:tcPr>
            <w:tcW w:w="1409" w:type="dxa"/>
            <w:tcMar>
              <w:left w:w="108" w:type="dxa"/>
              <w:right w:w="108" w:type="dxa"/>
            </w:tcMar>
            <w:vAlign w:val="center"/>
          </w:tcPr>
          <w:p w14:paraId="6942EEB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30/06/2026</w:t>
            </w:r>
          </w:p>
        </w:tc>
        <w:tc>
          <w:tcPr>
            <w:tcW w:w="3246" w:type="dxa"/>
            <w:tcMar>
              <w:left w:w="108" w:type="dxa"/>
              <w:right w:w="108" w:type="dxa"/>
            </w:tcMar>
            <w:vAlign w:val="center"/>
          </w:tcPr>
          <w:p w14:paraId="47CC1F1F"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Îles Cook, Fidji, Kiribati, Îles Marshall, Micronésie, Niue, Palaos, Papouasie</w:t>
            </w:r>
            <w:r w:rsidRPr="00314F31">
              <w:rPr>
                <w:rFonts w:eastAsia="SimSun" w:cstheme="minorHAnsi"/>
                <w:sz w:val="22"/>
                <w:szCs w:val="22"/>
                <w:lang w:val="fr-FR"/>
              </w:rPr>
              <w:noBreakHyphen/>
              <w:t>Nouvelle</w:t>
            </w:r>
            <w:r w:rsidRPr="00314F31">
              <w:rPr>
                <w:rFonts w:eastAsia="SimSun" w:cstheme="minorHAnsi"/>
                <w:sz w:val="22"/>
                <w:szCs w:val="22"/>
                <w:lang w:val="fr-FR"/>
              </w:rPr>
              <w:noBreakHyphen/>
              <w:t xml:space="preserve">Guinée, Samoa, </w:t>
            </w:r>
            <w:r w:rsidRPr="00314F31">
              <w:rPr>
                <w:rFonts w:ascii="Calibri" w:eastAsia="SimSun" w:hAnsi="Calibri" w:cs="Calibri"/>
                <w:sz w:val="22"/>
                <w:szCs w:val="22"/>
                <w:lang w:val="fr-FR"/>
              </w:rPr>
              <w:t>Î</w:t>
            </w:r>
            <w:r w:rsidRPr="00314F31">
              <w:rPr>
                <w:rFonts w:eastAsia="SimSun" w:cstheme="minorHAnsi"/>
                <w:sz w:val="22"/>
                <w:szCs w:val="22"/>
                <w:lang w:val="fr-FR"/>
              </w:rPr>
              <w:t>les Salomon, Tonga, Tuvalu, Vanuatu</w:t>
            </w:r>
          </w:p>
        </w:tc>
      </w:tr>
      <w:tr w:rsidR="00F241C3" w:rsidRPr="00314F31" w14:paraId="17029CD5" w14:textId="77777777" w:rsidTr="008C75DC">
        <w:trPr>
          <w:trHeight w:val="780"/>
        </w:trPr>
        <w:tc>
          <w:tcPr>
            <w:tcW w:w="569" w:type="dxa"/>
            <w:tcMar>
              <w:left w:w="108" w:type="dxa"/>
              <w:right w:w="108" w:type="dxa"/>
            </w:tcMar>
            <w:vAlign w:val="center"/>
          </w:tcPr>
          <w:p w14:paraId="3ABB24A5"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17</w:t>
            </w:r>
          </w:p>
        </w:tc>
        <w:tc>
          <w:tcPr>
            <w:tcW w:w="1708" w:type="dxa"/>
            <w:tcMar>
              <w:left w:w="108" w:type="dxa"/>
              <w:right w:w="108" w:type="dxa"/>
            </w:tcMar>
            <w:vAlign w:val="center"/>
          </w:tcPr>
          <w:p w14:paraId="3879AFE0"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7RAS24076</w:t>
            </w:r>
          </w:p>
        </w:tc>
        <w:tc>
          <w:tcPr>
            <w:tcW w:w="2688" w:type="dxa"/>
            <w:tcMar>
              <w:left w:w="108" w:type="dxa"/>
              <w:right w:w="108" w:type="dxa"/>
            </w:tcMar>
            <w:vAlign w:val="center"/>
          </w:tcPr>
          <w:p w14:paraId="2F5CE75D" w14:textId="77777777" w:rsidR="00F241C3" w:rsidRPr="00314F31" w:rsidRDefault="00F241C3" w:rsidP="008C75DC">
            <w:pPr>
              <w:pStyle w:val="Tabletext"/>
              <w:keepLines/>
              <w:jc w:val="center"/>
              <w:rPr>
                <w:rFonts w:eastAsia="SimSun" w:cstheme="minorHAnsi"/>
                <w:sz w:val="22"/>
                <w:szCs w:val="22"/>
                <w:lang w:val="fr-FR"/>
              </w:rPr>
            </w:pPr>
            <w:r w:rsidRPr="00314F31">
              <w:rPr>
                <w:rFonts w:eastAsia="SimSun" w:cstheme="minorHAnsi"/>
                <w:sz w:val="22"/>
                <w:szCs w:val="22"/>
                <w:lang w:val="fr-FR"/>
              </w:rPr>
              <w:t>Étude de faisabilité: répondre aux besoins particuliers des petits États insulaires en développement (PEID) du Pacifique en matière de télécommunications/TIC</w:t>
            </w:r>
          </w:p>
        </w:tc>
        <w:tc>
          <w:tcPr>
            <w:tcW w:w="1409" w:type="dxa"/>
            <w:tcMar>
              <w:left w:w="108" w:type="dxa"/>
              <w:right w:w="108" w:type="dxa"/>
            </w:tcMar>
            <w:vAlign w:val="center"/>
          </w:tcPr>
          <w:p w14:paraId="1A249D1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31/12/2025</w:t>
            </w:r>
          </w:p>
        </w:tc>
        <w:tc>
          <w:tcPr>
            <w:tcW w:w="3246" w:type="dxa"/>
            <w:tcMar>
              <w:left w:w="108" w:type="dxa"/>
              <w:right w:w="108" w:type="dxa"/>
            </w:tcMar>
            <w:vAlign w:val="center"/>
          </w:tcPr>
          <w:p w14:paraId="09AB986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Kiribati, Îles Salomon, Tuvalu,</w:t>
            </w:r>
          </w:p>
        </w:tc>
      </w:tr>
      <w:tr w:rsidR="00F241C3" w:rsidRPr="00314F31" w14:paraId="213580AF" w14:textId="77777777" w:rsidTr="008C75DC">
        <w:trPr>
          <w:trHeight w:val="780"/>
        </w:trPr>
        <w:tc>
          <w:tcPr>
            <w:tcW w:w="569" w:type="dxa"/>
            <w:tcMar>
              <w:left w:w="108" w:type="dxa"/>
              <w:right w:w="108" w:type="dxa"/>
            </w:tcMar>
            <w:vAlign w:val="center"/>
          </w:tcPr>
          <w:p w14:paraId="5A47630E"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lastRenderedPageBreak/>
              <w:t>18</w:t>
            </w:r>
          </w:p>
        </w:tc>
        <w:tc>
          <w:tcPr>
            <w:tcW w:w="1708" w:type="dxa"/>
            <w:tcMar>
              <w:left w:w="108" w:type="dxa"/>
              <w:right w:w="108" w:type="dxa"/>
            </w:tcMar>
            <w:vAlign w:val="center"/>
          </w:tcPr>
          <w:p w14:paraId="7FAFFB74" w14:textId="77777777" w:rsidR="00F241C3" w:rsidRPr="00314F31" w:rsidRDefault="00F241C3" w:rsidP="008C75DC">
            <w:pPr>
              <w:pStyle w:val="Tabletext"/>
              <w:jc w:val="center"/>
              <w:rPr>
                <w:rFonts w:eastAsia="Calibri" w:cstheme="minorHAnsi"/>
                <w:sz w:val="22"/>
                <w:szCs w:val="22"/>
                <w:lang w:val="fr-FR"/>
              </w:rPr>
            </w:pPr>
            <w:r w:rsidRPr="00314F31">
              <w:rPr>
                <w:rFonts w:eastAsia="Calibri" w:cstheme="minorHAnsi"/>
                <w:sz w:val="22"/>
                <w:szCs w:val="22"/>
                <w:lang w:val="fr-FR"/>
              </w:rPr>
              <w:t>7RAF21102</w:t>
            </w:r>
          </w:p>
        </w:tc>
        <w:tc>
          <w:tcPr>
            <w:tcW w:w="2688" w:type="dxa"/>
            <w:tcMar>
              <w:left w:w="108" w:type="dxa"/>
              <w:right w:w="108" w:type="dxa"/>
            </w:tcMar>
            <w:vAlign w:val="center"/>
          </w:tcPr>
          <w:p w14:paraId="1D4E9C82" w14:textId="77777777" w:rsidR="00F241C3" w:rsidRPr="00314F31" w:rsidRDefault="00F241C3" w:rsidP="008C75DC">
            <w:pPr>
              <w:pStyle w:val="Tabletext"/>
              <w:jc w:val="center"/>
              <w:rPr>
                <w:rFonts w:eastAsia="Calibri" w:cstheme="minorHAnsi"/>
                <w:sz w:val="22"/>
                <w:szCs w:val="22"/>
                <w:lang w:val="fr-FR"/>
              </w:rPr>
            </w:pPr>
            <w:r w:rsidRPr="00314F31">
              <w:rPr>
                <w:rFonts w:eastAsia="SimSun" w:cstheme="minorHAnsi"/>
                <w:sz w:val="22"/>
                <w:szCs w:val="22"/>
                <w:lang w:val="fr-FR"/>
              </w:rPr>
              <w:t>Analyse comparative des TIC en Afrique centrale</w:t>
            </w:r>
          </w:p>
        </w:tc>
        <w:tc>
          <w:tcPr>
            <w:tcW w:w="1409" w:type="dxa"/>
            <w:tcMar>
              <w:left w:w="108" w:type="dxa"/>
              <w:right w:w="108" w:type="dxa"/>
            </w:tcMar>
            <w:vAlign w:val="center"/>
          </w:tcPr>
          <w:p w14:paraId="6BD6FB5E" w14:textId="77777777" w:rsidR="00F241C3" w:rsidRPr="00314F31" w:rsidRDefault="00F241C3" w:rsidP="008C75DC">
            <w:pPr>
              <w:pStyle w:val="Tabletext"/>
              <w:jc w:val="center"/>
              <w:rPr>
                <w:rFonts w:eastAsia="SimSun" w:cstheme="minorHAnsi"/>
                <w:sz w:val="22"/>
                <w:szCs w:val="22"/>
                <w:lang w:val="fr-FR"/>
              </w:rPr>
            </w:pPr>
            <w:r w:rsidRPr="00314F31">
              <w:rPr>
                <w:rFonts w:eastAsia="Calibri" w:cstheme="minorHAnsi"/>
                <w:sz w:val="22"/>
                <w:szCs w:val="22"/>
                <w:lang w:val="fr-FR"/>
              </w:rPr>
              <w:t>24/12/2024</w:t>
            </w:r>
          </w:p>
        </w:tc>
        <w:tc>
          <w:tcPr>
            <w:tcW w:w="3246" w:type="dxa"/>
            <w:tcMar>
              <w:left w:w="108" w:type="dxa"/>
              <w:right w:w="108" w:type="dxa"/>
            </w:tcMar>
            <w:vAlign w:val="center"/>
          </w:tcPr>
          <w:p w14:paraId="317644AD"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Sao Tomé-et-Principe</w:t>
            </w:r>
          </w:p>
        </w:tc>
      </w:tr>
      <w:tr w:rsidR="00F241C3" w:rsidRPr="00314F31" w14:paraId="51A70FCA" w14:textId="77777777" w:rsidTr="008C75DC">
        <w:trPr>
          <w:trHeight w:val="780"/>
        </w:trPr>
        <w:tc>
          <w:tcPr>
            <w:tcW w:w="569" w:type="dxa"/>
            <w:tcMar>
              <w:left w:w="108" w:type="dxa"/>
              <w:right w:w="108" w:type="dxa"/>
            </w:tcMar>
            <w:vAlign w:val="center"/>
          </w:tcPr>
          <w:p w14:paraId="1C967944"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19</w:t>
            </w:r>
          </w:p>
        </w:tc>
        <w:tc>
          <w:tcPr>
            <w:tcW w:w="1708" w:type="dxa"/>
            <w:tcMar>
              <w:left w:w="108" w:type="dxa"/>
              <w:right w:w="108" w:type="dxa"/>
            </w:tcMar>
            <w:vAlign w:val="center"/>
          </w:tcPr>
          <w:p w14:paraId="53B6E850" w14:textId="77777777" w:rsidR="00F241C3" w:rsidRPr="00314F31" w:rsidRDefault="00F241C3" w:rsidP="008C75DC">
            <w:pPr>
              <w:jc w:val="center"/>
              <w:rPr>
                <w:rFonts w:eastAsia="Calibri" w:cstheme="minorHAnsi"/>
                <w:sz w:val="22"/>
                <w:szCs w:val="22"/>
                <w:lang w:val="fr-FR"/>
              </w:rPr>
            </w:pPr>
            <w:r w:rsidRPr="00314F31">
              <w:rPr>
                <w:rFonts w:ascii="Calibri" w:eastAsia="Calibri" w:hAnsi="Calibri" w:cs="Calibri"/>
                <w:sz w:val="22"/>
                <w:szCs w:val="22"/>
                <w:lang w:val="fr-FR"/>
              </w:rPr>
              <w:t>2RAS22070</w:t>
            </w:r>
          </w:p>
        </w:tc>
        <w:tc>
          <w:tcPr>
            <w:tcW w:w="2688" w:type="dxa"/>
            <w:tcMar>
              <w:left w:w="108" w:type="dxa"/>
              <w:right w:w="108" w:type="dxa"/>
            </w:tcMar>
            <w:vAlign w:val="center"/>
          </w:tcPr>
          <w:p w14:paraId="2AFB3143"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Calibri" w:hAnsi="Calibri" w:cs="Calibri"/>
                <w:sz w:val="22"/>
                <w:szCs w:val="22"/>
                <w:lang w:val="fr-FR"/>
              </w:rPr>
              <w:t> Îles intelligentes dans le Pacifique</w:t>
            </w:r>
          </w:p>
        </w:tc>
        <w:tc>
          <w:tcPr>
            <w:tcW w:w="1409" w:type="dxa"/>
            <w:tcMar>
              <w:left w:w="108" w:type="dxa"/>
              <w:right w:w="108" w:type="dxa"/>
            </w:tcMar>
            <w:vAlign w:val="center"/>
          </w:tcPr>
          <w:p w14:paraId="019D95E9" w14:textId="77777777" w:rsidR="00F241C3" w:rsidRPr="00314F31" w:rsidRDefault="00F241C3" w:rsidP="008C75DC">
            <w:pPr>
              <w:pStyle w:val="Tabletext"/>
              <w:jc w:val="center"/>
              <w:rPr>
                <w:rFonts w:eastAsia="Calibri" w:cstheme="minorHAnsi"/>
                <w:sz w:val="22"/>
                <w:szCs w:val="22"/>
                <w:lang w:val="fr-FR"/>
              </w:rPr>
            </w:pPr>
            <w:r w:rsidRPr="00314F31">
              <w:rPr>
                <w:rFonts w:ascii="Calibri" w:eastAsia="Calibri" w:hAnsi="Calibri" w:cs="Calibri"/>
                <w:sz w:val="22"/>
                <w:szCs w:val="22"/>
                <w:lang w:val="fr-FR"/>
              </w:rPr>
              <w:t>31/12/2025</w:t>
            </w:r>
          </w:p>
        </w:tc>
        <w:tc>
          <w:tcPr>
            <w:tcW w:w="3246" w:type="dxa"/>
            <w:tcMar>
              <w:left w:w="108" w:type="dxa"/>
              <w:right w:w="108" w:type="dxa"/>
            </w:tcMar>
            <w:vAlign w:val="center"/>
          </w:tcPr>
          <w:p w14:paraId="158CB276"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SimSun" w:hAnsi="Calibri" w:cs="Calibri"/>
                <w:sz w:val="22"/>
                <w:szCs w:val="22"/>
                <w:lang w:val="fr-FR"/>
              </w:rPr>
              <w:t>Fidji, Papouasie-Nouvelle-Guinée, Vanuatu</w:t>
            </w:r>
          </w:p>
        </w:tc>
      </w:tr>
      <w:tr w:rsidR="00F241C3" w:rsidRPr="00314F31" w14:paraId="6C9DF665" w14:textId="77777777" w:rsidTr="008C75DC">
        <w:trPr>
          <w:trHeight w:val="780"/>
        </w:trPr>
        <w:tc>
          <w:tcPr>
            <w:tcW w:w="569" w:type="dxa"/>
            <w:tcMar>
              <w:left w:w="108" w:type="dxa"/>
              <w:right w:w="108" w:type="dxa"/>
            </w:tcMar>
            <w:vAlign w:val="center"/>
          </w:tcPr>
          <w:p w14:paraId="1115A33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20</w:t>
            </w:r>
          </w:p>
        </w:tc>
        <w:tc>
          <w:tcPr>
            <w:tcW w:w="1708" w:type="dxa"/>
            <w:tcMar>
              <w:left w:w="108" w:type="dxa"/>
              <w:right w:w="108" w:type="dxa"/>
            </w:tcMar>
            <w:vAlign w:val="center"/>
          </w:tcPr>
          <w:p w14:paraId="0622790E" w14:textId="77777777" w:rsidR="00F241C3" w:rsidRPr="00314F31" w:rsidRDefault="00F241C3" w:rsidP="008C75DC">
            <w:pPr>
              <w:jc w:val="center"/>
              <w:rPr>
                <w:rFonts w:eastAsia="Calibri" w:cstheme="minorHAnsi"/>
                <w:sz w:val="22"/>
                <w:szCs w:val="22"/>
                <w:lang w:val="fr-FR"/>
              </w:rPr>
            </w:pPr>
            <w:r w:rsidRPr="00314F31">
              <w:rPr>
                <w:rFonts w:ascii="Calibri" w:eastAsia="Calibri" w:hAnsi="Calibri" w:cs="Calibri"/>
                <w:sz w:val="22"/>
                <w:szCs w:val="22"/>
                <w:lang w:val="fr-FR"/>
              </w:rPr>
              <w:t>9RAS22071</w:t>
            </w:r>
          </w:p>
        </w:tc>
        <w:tc>
          <w:tcPr>
            <w:tcW w:w="2688" w:type="dxa"/>
            <w:tcMar>
              <w:left w:w="108" w:type="dxa"/>
              <w:right w:w="108" w:type="dxa"/>
            </w:tcMar>
            <w:vAlign w:val="center"/>
          </w:tcPr>
          <w:p w14:paraId="738AB0ED"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Calibri" w:hAnsi="Calibri" w:cs="Calibri"/>
                <w:sz w:val="22"/>
                <w:szCs w:val="22"/>
                <w:lang w:val="fr-FR"/>
              </w:rPr>
              <w:t>Promouvoir la réalisation des ODD en améliorant les moyens d'existence et la résilience, grâce à la diversification économique et à la transformation numérique</w:t>
            </w:r>
          </w:p>
        </w:tc>
        <w:tc>
          <w:tcPr>
            <w:tcW w:w="1409" w:type="dxa"/>
            <w:tcMar>
              <w:left w:w="108" w:type="dxa"/>
              <w:right w:w="108" w:type="dxa"/>
            </w:tcMar>
            <w:vAlign w:val="center"/>
          </w:tcPr>
          <w:p w14:paraId="2AB25FB2" w14:textId="77777777" w:rsidR="00F241C3" w:rsidRPr="00314F31" w:rsidRDefault="00F241C3" w:rsidP="008C75DC">
            <w:pPr>
              <w:pStyle w:val="Tabletext"/>
              <w:jc w:val="center"/>
              <w:rPr>
                <w:rFonts w:eastAsia="Calibri" w:cstheme="minorHAnsi"/>
                <w:sz w:val="22"/>
                <w:szCs w:val="22"/>
                <w:lang w:val="fr-FR"/>
              </w:rPr>
            </w:pPr>
            <w:r w:rsidRPr="00314F31">
              <w:rPr>
                <w:rFonts w:ascii="Calibri" w:eastAsia="Calibri" w:hAnsi="Calibri" w:cs="Calibri"/>
                <w:sz w:val="22"/>
                <w:szCs w:val="22"/>
                <w:lang w:val="fr-FR"/>
              </w:rPr>
              <w:t>31/05/2025</w:t>
            </w:r>
          </w:p>
        </w:tc>
        <w:tc>
          <w:tcPr>
            <w:tcW w:w="3246" w:type="dxa"/>
            <w:tcMar>
              <w:left w:w="108" w:type="dxa"/>
              <w:right w:w="108" w:type="dxa"/>
            </w:tcMar>
            <w:vAlign w:val="center"/>
          </w:tcPr>
          <w:p w14:paraId="180E0336"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Calibri" w:hAnsi="Calibri" w:cs="Calibri"/>
                <w:sz w:val="22"/>
                <w:szCs w:val="22"/>
                <w:lang w:val="fr-FR"/>
              </w:rPr>
              <w:t>Fidji, Îles Salomon, Tonga, Tuvalu, Vanuatu</w:t>
            </w:r>
          </w:p>
        </w:tc>
      </w:tr>
      <w:tr w:rsidR="00F241C3" w:rsidRPr="00314F31" w14:paraId="3572DA40" w14:textId="77777777" w:rsidTr="008C75DC">
        <w:trPr>
          <w:trHeight w:val="780"/>
        </w:trPr>
        <w:tc>
          <w:tcPr>
            <w:tcW w:w="569" w:type="dxa"/>
            <w:tcMar>
              <w:left w:w="108" w:type="dxa"/>
              <w:right w:w="108" w:type="dxa"/>
            </w:tcMar>
            <w:vAlign w:val="center"/>
          </w:tcPr>
          <w:p w14:paraId="03028159"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21</w:t>
            </w:r>
          </w:p>
        </w:tc>
        <w:tc>
          <w:tcPr>
            <w:tcW w:w="1708" w:type="dxa"/>
            <w:tcMar>
              <w:left w:w="108" w:type="dxa"/>
              <w:right w:w="108" w:type="dxa"/>
            </w:tcMar>
            <w:vAlign w:val="center"/>
          </w:tcPr>
          <w:p w14:paraId="1228E22A" w14:textId="77777777" w:rsidR="00F241C3" w:rsidRPr="00314F31" w:rsidRDefault="00F241C3" w:rsidP="008C75DC">
            <w:pPr>
              <w:pStyle w:val="Tabletext"/>
              <w:jc w:val="center"/>
              <w:rPr>
                <w:rFonts w:eastAsia="Calibri" w:cstheme="minorHAnsi"/>
                <w:sz w:val="22"/>
                <w:szCs w:val="22"/>
                <w:lang w:val="fr-FR"/>
              </w:rPr>
            </w:pPr>
            <w:r w:rsidRPr="00314F31">
              <w:rPr>
                <w:rFonts w:ascii="Calibri" w:eastAsia="Calibri" w:hAnsi="Calibri" w:cs="Calibri"/>
                <w:sz w:val="22"/>
                <w:szCs w:val="22"/>
                <w:lang w:val="fr-FR"/>
              </w:rPr>
              <w:t>9PNG2003</w:t>
            </w:r>
          </w:p>
        </w:tc>
        <w:tc>
          <w:tcPr>
            <w:tcW w:w="2688" w:type="dxa"/>
            <w:tcMar>
              <w:left w:w="108" w:type="dxa"/>
              <w:right w:w="108" w:type="dxa"/>
            </w:tcMar>
            <w:vAlign w:val="center"/>
          </w:tcPr>
          <w:p w14:paraId="45792CE4"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Calibri" w:hAnsi="Calibri" w:cs="Calibri"/>
                <w:sz w:val="22"/>
                <w:szCs w:val="22"/>
                <w:lang w:val="fr-FR"/>
              </w:rPr>
              <w:t>Programme d'appui à l'entrepreneuriat, à l'investissement et au commerce en zone rurale financé par l'Union européenne (EU-STREIT)</w:t>
            </w:r>
          </w:p>
        </w:tc>
        <w:tc>
          <w:tcPr>
            <w:tcW w:w="1409" w:type="dxa"/>
            <w:tcMar>
              <w:left w:w="108" w:type="dxa"/>
              <w:right w:w="108" w:type="dxa"/>
            </w:tcMar>
            <w:vAlign w:val="center"/>
          </w:tcPr>
          <w:p w14:paraId="54BC0A2F" w14:textId="77777777" w:rsidR="00F241C3" w:rsidRPr="00314F31" w:rsidRDefault="00F241C3" w:rsidP="008C75DC">
            <w:pPr>
              <w:pStyle w:val="Tabletext"/>
              <w:jc w:val="center"/>
              <w:rPr>
                <w:rFonts w:eastAsia="Calibri" w:cstheme="minorHAnsi"/>
                <w:sz w:val="22"/>
                <w:szCs w:val="22"/>
                <w:lang w:val="fr-FR"/>
              </w:rPr>
            </w:pPr>
            <w:r w:rsidRPr="00314F31">
              <w:rPr>
                <w:rFonts w:ascii="Calibri" w:eastAsia="Calibri" w:hAnsi="Calibri" w:cs="Calibri"/>
                <w:sz w:val="22"/>
                <w:szCs w:val="22"/>
                <w:lang w:val="fr-FR"/>
              </w:rPr>
              <w:t>30/11/2025</w:t>
            </w:r>
          </w:p>
        </w:tc>
        <w:tc>
          <w:tcPr>
            <w:tcW w:w="3246" w:type="dxa"/>
            <w:tcMar>
              <w:left w:w="108" w:type="dxa"/>
              <w:right w:w="108" w:type="dxa"/>
            </w:tcMar>
            <w:vAlign w:val="center"/>
          </w:tcPr>
          <w:p w14:paraId="4CDF815E"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Calibri" w:hAnsi="Calibri" w:cs="Calibri"/>
                <w:sz w:val="22"/>
                <w:szCs w:val="22"/>
                <w:lang w:val="fr-FR"/>
              </w:rPr>
              <w:t>Papouasie-Nouvelle-Guinée</w:t>
            </w:r>
          </w:p>
        </w:tc>
      </w:tr>
      <w:tr w:rsidR="00F241C3" w:rsidRPr="00314F31" w14:paraId="5F60784A" w14:textId="77777777" w:rsidTr="008C75DC">
        <w:trPr>
          <w:trHeight w:val="780"/>
        </w:trPr>
        <w:tc>
          <w:tcPr>
            <w:tcW w:w="569" w:type="dxa"/>
            <w:tcMar>
              <w:left w:w="108" w:type="dxa"/>
              <w:right w:w="108" w:type="dxa"/>
            </w:tcMar>
            <w:vAlign w:val="center"/>
          </w:tcPr>
          <w:p w14:paraId="122BA0B2" w14:textId="77777777" w:rsidR="00F241C3" w:rsidRPr="00314F31" w:rsidRDefault="00F241C3" w:rsidP="008C75DC">
            <w:pPr>
              <w:pStyle w:val="Tabletext"/>
              <w:jc w:val="center"/>
              <w:rPr>
                <w:rFonts w:eastAsia="SimSun" w:cstheme="minorHAnsi"/>
                <w:sz w:val="22"/>
                <w:szCs w:val="22"/>
                <w:lang w:val="fr-FR"/>
              </w:rPr>
            </w:pPr>
            <w:r w:rsidRPr="00314F31">
              <w:rPr>
                <w:rFonts w:eastAsia="SimSun" w:cstheme="minorHAnsi"/>
                <w:sz w:val="22"/>
                <w:szCs w:val="22"/>
                <w:lang w:val="fr-FR"/>
              </w:rPr>
              <w:t>22</w:t>
            </w:r>
          </w:p>
        </w:tc>
        <w:tc>
          <w:tcPr>
            <w:tcW w:w="1708" w:type="dxa"/>
            <w:tcMar>
              <w:left w:w="108" w:type="dxa"/>
              <w:right w:w="108" w:type="dxa"/>
            </w:tcMar>
            <w:vAlign w:val="center"/>
          </w:tcPr>
          <w:p w14:paraId="2EC07F2B" w14:textId="77777777" w:rsidR="00F241C3" w:rsidRPr="00314F31" w:rsidRDefault="00F241C3" w:rsidP="008C75DC">
            <w:pPr>
              <w:pStyle w:val="Tabletext"/>
              <w:jc w:val="center"/>
              <w:rPr>
                <w:rFonts w:eastAsia="Calibri" w:cstheme="minorHAnsi"/>
                <w:sz w:val="22"/>
                <w:szCs w:val="22"/>
                <w:lang w:val="fr-FR"/>
              </w:rPr>
            </w:pPr>
            <w:r w:rsidRPr="00314F31">
              <w:rPr>
                <w:rFonts w:ascii="Calibri" w:eastAsia="Calibri" w:hAnsi="Calibri" w:cs="Calibri"/>
                <w:sz w:val="22"/>
                <w:szCs w:val="22"/>
                <w:lang w:val="fr-FR"/>
              </w:rPr>
              <w:t>9FSM22001</w:t>
            </w:r>
          </w:p>
        </w:tc>
        <w:tc>
          <w:tcPr>
            <w:tcW w:w="2688" w:type="dxa"/>
            <w:tcMar>
              <w:left w:w="108" w:type="dxa"/>
              <w:right w:w="108" w:type="dxa"/>
            </w:tcMar>
            <w:vAlign w:val="center"/>
          </w:tcPr>
          <w:p w14:paraId="29DB586F"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Calibri" w:hAnsi="Calibri" w:cs="Calibri"/>
                <w:sz w:val="22"/>
                <w:szCs w:val="22"/>
                <w:lang w:val="fr-FR"/>
              </w:rPr>
              <w:t>Accélérer la réalisation des ODD grâce à la transformation numérique afin de renforcer la résilience des communautés en Micronésie</w:t>
            </w:r>
          </w:p>
        </w:tc>
        <w:tc>
          <w:tcPr>
            <w:tcW w:w="1409" w:type="dxa"/>
            <w:tcMar>
              <w:left w:w="108" w:type="dxa"/>
              <w:right w:w="108" w:type="dxa"/>
            </w:tcMar>
            <w:vAlign w:val="center"/>
          </w:tcPr>
          <w:p w14:paraId="5EDC5C8F" w14:textId="77777777" w:rsidR="00F241C3" w:rsidRPr="00314F31" w:rsidRDefault="00F241C3" w:rsidP="008C75DC">
            <w:pPr>
              <w:pStyle w:val="Tabletext"/>
              <w:jc w:val="center"/>
              <w:rPr>
                <w:rFonts w:eastAsia="Calibri" w:cstheme="minorHAnsi"/>
                <w:sz w:val="22"/>
                <w:szCs w:val="22"/>
                <w:lang w:val="fr-FR"/>
              </w:rPr>
            </w:pPr>
            <w:r w:rsidRPr="00314F31">
              <w:rPr>
                <w:rFonts w:ascii="Calibri" w:eastAsia="Calibri" w:hAnsi="Calibri" w:cs="Calibri"/>
                <w:sz w:val="22"/>
                <w:szCs w:val="22"/>
                <w:lang w:val="fr-FR"/>
              </w:rPr>
              <w:t>31/07/2025</w:t>
            </w:r>
          </w:p>
        </w:tc>
        <w:tc>
          <w:tcPr>
            <w:tcW w:w="3246" w:type="dxa"/>
            <w:tcMar>
              <w:left w:w="108" w:type="dxa"/>
              <w:right w:w="108" w:type="dxa"/>
            </w:tcMar>
            <w:vAlign w:val="center"/>
          </w:tcPr>
          <w:p w14:paraId="46D7C9AB" w14:textId="77777777" w:rsidR="00F241C3" w:rsidRPr="00314F31" w:rsidRDefault="00F241C3" w:rsidP="008C75DC">
            <w:pPr>
              <w:pStyle w:val="Tabletext"/>
              <w:jc w:val="center"/>
              <w:rPr>
                <w:rFonts w:eastAsia="SimSun" w:cstheme="minorHAnsi"/>
                <w:sz w:val="22"/>
                <w:szCs w:val="22"/>
                <w:lang w:val="fr-FR"/>
              </w:rPr>
            </w:pPr>
            <w:r w:rsidRPr="00314F31">
              <w:rPr>
                <w:rFonts w:ascii="Calibri" w:eastAsia="Calibri" w:hAnsi="Calibri" w:cs="Calibri"/>
                <w:sz w:val="22"/>
                <w:szCs w:val="22"/>
                <w:lang w:val="fr-FR"/>
              </w:rPr>
              <w:t>Kiribati, Îles Marshall, Micronésie, Nauru, Palau</w:t>
            </w:r>
          </w:p>
        </w:tc>
      </w:tr>
    </w:tbl>
    <w:p w14:paraId="10891F5F" w14:textId="68DA4ED4" w:rsidR="000F437C" w:rsidRPr="00314F31" w:rsidRDefault="00F241C3" w:rsidP="00314F31">
      <w:pPr>
        <w:jc w:val="center"/>
        <w:rPr>
          <w:rFonts w:eastAsiaTheme="minorEastAsia" w:cstheme="minorBidi"/>
          <w:lang w:val="fr-FR"/>
        </w:rPr>
      </w:pPr>
      <w:r w:rsidRPr="00314F31">
        <w:rPr>
          <w:rFonts w:eastAsiaTheme="minorEastAsia" w:cstheme="minorBidi"/>
          <w:lang w:val="fr-FR"/>
        </w:rPr>
        <w:t>________________</w:t>
      </w:r>
    </w:p>
    <w:sectPr w:rsidR="000F437C" w:rsidRPr="00314F31" w:rsidSect="00A327AF">
      <w:headerReference w:type="default" r:id="rId41"/>
      <w:footerReference w:type="even" r:id="rId42"/>
      <w:footerReference w:type="first" r:id="rId43"/>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72EB5250"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F241C3">
      <w:rPr>
        <w:noProof/>
      </w:rPr>
      <w:t>12.11.25</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FF0960" w:rsidRPr="004D495C" w14:paraId="18C23297" w14:textId="77777777" w:rsidTr="00FF0960">
      <w:tc>
        <w:tcPr>
          <w:tcW w:w="1526" w:type="dxa"/>
          <w:tcBorders>
            <w:top w:val="single" w:sz="4" w:space="0" w:color="000000"/>
          </w:tcBorders>
        </w:tcPr>
        <w:p w14:paraId="6D62A8E7" w14:textId="77777777" w:rsidR="00FF0960" w:rsidRPr="00FF0960" w:rsidRDefault="00FF0960" w:rsidP="00FF0960">
          <w:pPr>
            <w:pStyle w:val="FirstFooter"/>
            <w:tabs>
              <w:tab w:val="left" w:pos="1559"/>
              <w:tab w:val="left" w:pos="3828"/>
            </w:tabs>
            <w:rPr>
              <w:sz w:val="18"/>
              <w:szCs w:val="18"/>
            </w:rPr>
          </w:pPr>
          <w:r w:rsidRPr="00FF0960">
            <w:rPr>
              <w:sz w:val="18"/>
              <w:szCs w:val="18"/>
              <w:lang w:val="en-US"/>
            </w:rPr>
            <w:t>Contact:</w:t>
          </w:r>
        </w:p>
      </w:tc>
      <w:tc>
        <w:tcPr>
          <w:tcW w:w="2410" w:type="dxa"/>
          <w:tcBorders>
            <w:top w:val="single" w:sz="4" w:space="0" w:color="000000"/>
          </w:tcBorders>
        </w:tcPr>
        <w:p w14:paraId="7CF692A3" w14:textId="77777777" w:rsidR="00FF0960" w:rsidRPr="00FF0960" w:rsidRDefault="00FF0960" w:rsidP="00FF0960">
          <w:pPr>
            <w:pStyle w:val="FirstFooter"/>
            <w:tabs>
              <w:tab w:val="left" w:pos="2302"/>
            </w:tabs>
            <w:ind w:left="2302" w:hanging="2302"/>
            <w:rPr>
              <w:sz w:val="18"/>
              <w:szCs w:val="18"/>
              <w:lang w:val="en-US"/>
            </w:rPr>
          </w:pPr>
          <w:r w:rsidRPr="00FF0960">
            <w:rPr>
              <w:sz w:val="18"/>
              <w:szCs w:val="18"/>
              <w:lang w:val="en-US"/>
            </w:rPr>
            <w:t>Nom/Organisation/Entité:</w:t>
          </w:r>
        </w:p>
      </w:tc>
      <w:tc>
        <w:tcPr>
          <w:tcW w:w="5987" w:type="dxa"/>
          <w:tcBorders>
            <w:top w:val="single" w:sz="4" w:space="0" w:color="auto"/>
          </w:tcBorders>
        </w:tcPr>
        <w:p w14:paraId="3D4B53DC" w14:textId="07C0A745" w:rsidR="00FF0960" w:rsidRPr="00FF0960" w:rsidRDefault="00FF0960" w:rsidP="00FF0960">
          <w:pPr>
            <w:pStyle w:val="FirstFooter"/>
            <w:rPr>
              <w:sz w:val="18"/>
              <w:szCs w:val="18"/>
              <w:highlight w:val="yellow"/>
              <w:lang w:val="en-US"/>
            </w:rPr>
          </w:pPr>
          <w:r w:rsidRPr="00FF0960">
            <w:rPr>
              <w:sz w:val="18"/>
              <w:szCs w:val="18"/>
              <w:lang w:val="fr-CH"/>
            </w:rPr>
            <w:t xml:space="preserve">Mme </w:t>
          </w:r>
          <w:r w:rsidRPr="00FF0960">
            <w:rPr>
              <w:sz w:val="18"/>
              <w:szCs w:val="18"/>
            </w:rPr>
            <w:t>Archana</w:t>
          </w:r>
          <w:r w:rsidRPr="00FF0960">
            <w:rPr>
              <w:sz w:val="18"/>
              <w:szCs w:val="18"/>
              <w:lang w:val="fr-CH"/>
            </w:rPr>
            <w:t xml:space="preserve"> Gulati, Adjointe au Directeur du Bureau de développement des télécommunications</w:t>
          </w:r>
        </w:p>
      </w:tc>
      <w:bookmarkStart w:id="11" w:name="OrgName"/>
      <w:bookmarkEnd w:id="11"/>
    </w:tr>
    <w:tr w:rsidR="00FF0960" w:rsidRPr="004D495C" w14:paraId="16F44343" w14:textId="77777777" w:rsidTr="00FF0960">
      <w:tc>
        <w:tcPr>
          <w:tcW w:w="1526" w:type="dxa"/>
        </w:tcPr>
        <w:p w14:paraId="6D1B873F" w14:textId="77777777" w:rsidR="00FF0960" w:rsidRPr="00FF0960" w:rsidRDefault="00FF0960" w:rsidP="00FF0960">
          <w:pPr>
            <w:pStyle w:val="FirstFooter"/>
            <w:tabs>
              <w:tab w:val="left" w:pos="1559"/>
              <w:tab w:val="left" w:pos="3828"/>
            </w:tabs>
            <w:rPr>
              <w:sz w:val="18"/>
              <w:szCs w:val="18"/>
              <w:lang w:val="en-US"/>
            </w:rPr>
          </w:pPr>
        </w:p>
      </w:tc>
      <w:tc>
        <w:tcPr>
          <w:tcW w:w="2410" w:type="dxa"/>
        </w:tcPr>
        <w:p w14:paraId="54206529" w14:textId="77777777" w:rsidR="00FF0960" w:rsidRPr="00FF0960" w:rsidRDefault="00FF0960" w:rsidP="00FF0960">
          <w:pPr>
            <w:pStyle w:val="FirstFooter"/>
            <w:tabs>
              <w:tab w:val="left" w:pos="2302"/>
            </w:tabs>
            <w:rPr>
              <w:sz w:val="18"/>
              <w:szCs w:val="18"/>
              <w:lang w:val="en-US"/>
            </w:rPr>
          </w:pPr>
          <w:r w:rsidRPr="00FF0960">
            <w:rPr>
              <w:sz w:val="18"/>
              <w:szCs w:val="18"/>
              <w:lang w:val="en-US"/>
            </w:rPr>
            <w:t>Numéro de téléphone:</w:t>
          </w:r>
        </w:p>
      </w:tc>
      <w:tc>
        <w:tcPr>
          <w:tcW w:w="5987" w:type="dxa"/>
        </w:tcPr>
        <w:p w14:paraId="70404E05" w14:textId="04DDBD44" w:rsidR="00FF0960" w:rsidRPr="00FF0960" w:rsidRDefault="00FF0960" w:rsidP="00FF0960">
          <w:pPr>
            <w:pStyle w:val="FirstFooter"/>
            <w:tabs>
              <w:tab w:val="left" w:pos="2302"/>
            </w:tabs>
            <w:rPr>
              <w:sz w:val="18"/>
              <w:szCs w:val="18"/>
              <w:highlight w:val="yellow"/>
              <w:lang w:val="en-US"/>
            </w:rPr>
          </w:pPr>
          <w:r w:rsidRPr="00FF0960">
            <w:rPr>
              <w:rFonts w:cstheme="minorHAnsi"/>
              <w:sz w:val="18"/>
              <w:szCs w:val="18"/>
              <w:lang w:val="fr-CH"/>
            </w:rPr>
            <w:t>+41 22 730 6475</w:t>
          </w:r>
        </w:p>
      </w:tc>
      <w:bookmarkStart w:id="12" w:name="PhoneNo"/>
      <w:bookmarkEnd w:id="12"/>
    </w:tr>
    <w:tr w:rsidR="00FF0960" w:rsidRPr="004D495C" w14:paraId="3D5D6A22" w14:textId="77777777" w:rsidTr="00FF0960">
      <w:tc>
        <w:tcPr>
          <w:tcW w:w="1526" w:type="dxa"/>
        </w:tcPr>
        <w:p w14:paraId="33C52BE5" w14:textId="77777777" w:rsidR="00FF0960" w:rsidRPr="00FF0960" w:rsidRDefault="00FF0960" w:rsidP="00FF0960">
          <w:pPr>
            <w:pStyle w:val="FirstFooter"/>
            <w:tabs>
              <w:tab w:val="left" w:pos="1559"/>
              <w:tab w:val="left" w:pos="3828"/>
            </w:tabs>
            <w:rPr>
              <w:sz w:val="18"/>
              <w:szCs w:val="18"/>
              <w:lang w:val="en-US"/>
            </w:rPr>
          </w:pPr>
        </w:p>
      </w:tc>
      <w:tc>
        <w:tcPr>
          <w:tcW w:w="2410" w:type="dxa"/>
        </w:tcPr>
        <w:p w14:paraId="2E31BFC4" w14:textId="77777777" w:rsidR="00FF0960" w:rsidRPr="00FF0960" w:rsidRDefault="00FF0960" w:rsidP="00FF0960">
          <w:pPr>
            <w:pStyle w:val="FirstFooter"/>
            <w:tabs>
              <w:tab w:val="left" w:pos="2302"/>
            </w:tabs>
            <w:rPr>
              <w:sz w:val="18"/>
              <w:szCs w:val="18"/>
              <w:lang w:val="en-US"/>
            </w:rPr>
          </w:pPr>
          <w:r w:rsidRPr="00FF0960">
            <w:rPr>
              <w:sz w:val="18"/>
              <w:szCs w:val="18"/>
              <w:lang w:val="en-US"/>
            </w:rPr>
            <w:t>Courriel:</w:t>
          </w:r>
        </w:p>
      </w:tc>
      <w:tc>
        <w:tcPr>
          <w:tcW w:w="5987" w:type="dxa"/>
        </w:tcPr>
        <w:p w14:paraId="45078D5D" w14:textId="49B279D9" w:rsidR="00FF0960" w:rsidRPr="00FF0960" w:rsidRDefault="00314F31" w:rsidP="00FF0960">
          <w:pPr>
            <w:pStyle w:val="FirstFooter"/>
            <w:tabs>
              <w:tab w:val="left" w:pos="2302"/>
            </w:tabs>
            <w:rPr>
              <w:sz w:val="18"/>
              <w:szCs w:val="18"/>
              <w:highlight w:val="yellow"/>
              <w:lang w:val="en-US"/>
            </w:rPr>
          </w:pPr>
          <w:hyperlink r:id="rId1" w:history="1">
            <w:r w:rsidR="00FF0960" w:rsidRPr="00FF0960">
              <w:rPr>
                <w:rStyle w:val="Hyperlink"/>
                <w:rFonts w:cstheme="minorHAnsi"/>
                <w:sz w:val="18"/>
                <w:szCs w:val="18"/>
                <w:lang w:val="fr-CH"/>
              </w:rPr>
              <w:t>archana.gulati@itu.int</w:t>
            </w:r>
          </w:hyperlink>
          <w:r w:rsidR="00FF0960" w:rsidRPr="00FF0960">
            <w:rPr>
              <w:rFonts w:cstheme="minorHAnsi"/>
              <w:sz w:val="18"/>
              <w:szCs w:val="18"/>
              <w:lang w:val="fr-CH"/>
            </w:rPr>
            <w:t xml:space="preserve"> </w:t>
          </w:r>
        </w:p>
      </w:tc>
      <w:bookmarkStart w:id="13" w:name="Email"/>
      <w:bookmarkEnd w:id="13"/>
    </w:tr>
  </w:tbl>
  <w:bookmarkStart w:id="14"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fldChar w:fldCharType="separate"/>
    </w:r>
    <w:r>
      <w:rPr>
        <w:rStyle w:val="Hyperlink"/>
        <w:sz w:val="20"/>
      </w:rPr>
      <w:t>CMDT</w:t>
    </w:r>
    <w:r>
      <w:rPr>
        <w:caps/>
        <w:sz w:val="20"/>
      </w:rPr>
      <w:fldChar w:fldCharType="end"/>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 w:id="1">
    <w:p w14:paraId="36943D4B" w14:textId="0CEFDB0D" w:rsidR="00FF0960" w:rsidRPr="00F241C3" w:rsidRDefault="00FF0960" w:rsidP="00F241C3">
      <w:pPr>
        <w:pStyle w:val="FootnoteText"/>
        <w:rPr>
          <w:szCs w:val="24"/>
          <w:lang w:val="en-US"/>
        </w:rPr>
      </w:pPr>
      <w:r w:rsidRPr="00122145">
        <w:rPr>
          <w:rStyle w:val="FootnoteReference"/>
          <w:szCs w:val="18"/>
        </w:rPr>
        <w:footnoteRef/>
      </w:r>
      <w:r>
        <w:rPr>
          <w:sz w:val="20"/>
        </w:rPr>
        <w:tab/>
      </w:r>
      <w:hyperlink r:id="rId1" w:anchor="/fr" w:history="1">
        <w:r w:rsidRPr="00F241C3">
          <w:rPr>
            <w:rStyle w:val="Hyperlink"/>
            <w:szCs w:val="24"/>
          </w:rPr>
          <w:t>https://www.itu.int/itu-d/sites/ldcs/focus-areas/lldc/list-of-lldcs</w:t>
        </w:r>
      </w:hyperlink>
    </w:p>
  </w:footnote>
  <w:footnote w:id="2">
    <w:p w14:paraId="70002808" w14:textId="68B33DE3" w:rsidR="00FF0960" w:rsidRPr="00626985" w:rsidRDefault="00FF0960" w:rsidP="00F241C3">
      <w:pPr>
        <w:pStyle w:val="FootnoteText"/>
        <w:rPr>
          <w:rFonts w:ascii="Calibri" w:hAnsi="Calibri"/>
          <w:sz w:val="22"/>
          <w:szCs w:val="22"/>
        </w:rPr>
      </w:pPr>
      <w:r w:rsidRPr="00122145">
        <w:rPr>
          <w:rStyle w:val="FootnoteReference"/>
          <w:szCs w:val="18"/>
        </w:rPr>
        <w:footnoteRef/>
      </w:r>
      <w:r>
        <w:rPr>
          <w:sz w:val="22"/>
          <w:szCs w:val="22"/>
        </w:rPr>
        <w:tab/>
      </w:r>
      <w:hyperlink r:id="rId2" w:anchor="/fr" w:history="1">
        <w:r w:rsidRPr="00F241C3">
          <w:rPr>
            <w:rStyle w:val="Hyperlink"/>
            <w:szCs w:val="24"/>
          </w:rPr>
          <w:t>https://www.itu.int/hub/publication/D-IND-ICT_MDD-2025-1</w:t>
        </w:r>
      </w:hyperlink>
    </w:p>
  </w:footnote>
  <w:footnote w:id="3">
    <w:p w14:paraId="510CA72D" w14:textId="5788A703" w:rsidR="00FF0960" w:rsidRPr="00626985" w:rsidRDefault="00FF0960" w:rsidP="00F241C3">
      <w:pPr>
        <w:pStyle w:val="FootnoteText"/>
        <w:ind w:left="255" w:hanging="255"/>
        <w:rPr>
          <w:sz w:val="22"/>
          <w:szCs w:val="22"/>
          <w:lang w:val="fr-FR"/>
        </w:rPr>
      </w:pPr>
      <w:r w:rsidRPr="00122145">
        <w:rPr>
          <w:rStyle w:val="FootnoteReference"/>
          <w:szCs w:val="18"/>
        </w:rPr>
        <w:footnoteRef/>
      </w:r>
      <w:r>
        <w:rPr>
          <w:sz w:val="22"/>
          <w:szCs w:val="22"/>
          <w:lang w:val="fr-FR"/>
        </w:rPr>
        <w:tab/>
      </w:r>
      <w:r w:rsidRPr="00F241C3">
        <w:rPr>
          <w:szCs w:val="24"/>
          <w:lang w:val="fr-FR"/>
        </w:rPr>
        <w:t>Selon le rapport "Faits et chiffres" de 2024 de l</w:t>
      </w:r>
      <w:r w:rsidR="00133D42" w:rsidRPr="00F241C3">
        <w:rPr>
          <w:szCs w:val="24"/>
          <w:lang w:val="fr-FR"/>
        </w:rPr>
        <w:t>'</w:t>
      </w:r>
      <w:r w:rsidRPr="00F241C3">
        <w:rPr>
          <w:szCs w:val="24"/>
          <w:lang w:val="fr-FR"/>
        </w:rPr>
        <w:t xml:space="preserve">UIT, </w:t>
      </w:r>
      <w:r w:rsidR="00F241C3">
        <w:rPr>
          <w:szCs w:val="24"/>
          <w:lang w:val="fr-FR"/>
        </w:rPr>
        <w:br/>
      </w:r>
      <w:hyperlink r:id="rId3" w:history="1">
        <w:r w:rsidR="00F241C3" w:rsidRPr="00CF485D">
          <w:rPr>
            <w:rStyle w:val="Hyperlink"/>
            <w:szCs w:val="24"/>
            <w:lang w:val="fr-FR"/>
          </w:rPr>
          <w:t>https://www.itu.int/itu-d/reports/statistics/facts-figures-2024</w:t>
        </w:r>
      </w:hyperlink>
      <w:r w:rsidRPr="00F241C3">
        <w:rPr>
          <w:szCs w:val="24"/>
          <w:lang w:val="fr-FR"/>
        </w:rPr>
        <w:t>.</w:t>
      </w:r>
    </w:p>
  </w:footnote>
  <w:footnote w:id="4">
    <w:p w14:paraId="6D765551" w14:textId="1EDA751F" w:rsidR="00FF0960" w:rsidRPr="003D14D8" w:rsidRDefault="00FF0960" w:rsidP="00F241C3">
      <w:pPr>
        <w:pStyle w:val="FootnoteText"/>
        <w:ind w:left="255" w:hanging="255"/>
        <w:rPr>
          <w:sz w:val="20"/>
          <w:lang w:val="fr-FR"/>
        </w:rPr>
      </w:pPr>
      <w:r w:rsidRPr="003D14D8">
        <w:rPr>
          <w:rStyle w:val="FootnoteReference"/>
          <w:szCs w:val="18"/>
        </w:rPr>
        <w:footnoteRef/>
      </w:r>
      <w:r>
        <w:rPr>
          <w:sz w:val="20"/>
          <w:lang w:val="fr-FR"/>
        </w:rPr>
        <w:tab/>
      </w:r>
      <w:hyperlink r:id="rId4" w:history="1">
        <w:r w:rsidRPr="00F241C3">
          <w:rPr>
            <w:rStyle w:val="Hyperlink"/>
            <w:rFonts w:ascii="Calibri" w:hAnsi="Calibri"/>
            <w:szCs w:val="24"/>
            <w:lang w:val="fr-FR"/>
          </w:rPr>
          <w:t>https://www.itu.int/itu-d/sites/year-in-review-2022</w:t>
        </w:r>
      </w:hyperlink>
      <w:r w:rsidRPr="00F241C3">
        <w:rPr>
          <w:szCs w:val="24"/>
          <w:lang w:val="fr-FR"/>
        </w:rPr>
        <w:t xml:space="preserve"> </w:t>
      </w:r>
      <w:r w:rsidRPr="00F241C3">
        <w:rPr>
          <w:szCs w:val="24"/>
          <w:lang w:val="fr-FR"/>
        </w:rPr>
        <w:br/>
      </w:r>
      <w:hyperlink r:id="rId5" w:anchor="/fr" w:history="1">
        <w:r w:rsidRPr="00F241C3">
          <w:rPr>
            <w:rStyle w:val="Hyperlink"/>
            <w:rFonts w:ascii="Calibri" w:hAnsi="Calibri"/>
            <w:szCs w:val="24"/>
            <w:lang w:val="fr-FR"/>
          </w:rPr>
          <w:t>https://www.itu.int/itu-d/sites/year-in-review-2023</w:t>
        </w:r>
      </w:hyperlink>
      <w:r w:rsidRPr="00F241C3">
        <w:rPr>
          <w:szCs w:val="24"/>
          <w:lang w:val="fr-FR"/>
        </w:rPr>
        <w:t xml:space="preserve"> </w:t>
      </w:r>
      <w:r w:rsidRPr="00F241C3">
        <w:rPr>
          <w:szCs w:val="24"/>
          <w:lang w:val="fr-FR"/>
        </w:rPr>
        <w:br/>
      </w:r>
      <w:hyperlink r:id="rId6" w:anchor="/fr" w:history="1">
        <w:r w:rsidRPr="00F241C3">
          <w:rPr>
            <w:rStyle w:val="Hyperlink"/>
            <w:rFonts w:ascii="Calibri" w:hAnsi="Calibri"/>
            <w:szCs w:val="24"/>
            <w:lang w:val="fr-FR"/>
          </w:rPr>
          <w:t>https://www.itu.int/itu-d/sites/year-in-review-2024</w:t>
        </w:r>
      </w:hyperlink>
    </w:p>
  </w:footnote>
  <w:footnote w:id="5">
    <w:p w14:paraId="6FB3FACF" w14:textId="1CBCAAC4" w:rsidR="00FF0960" w:rsidRPr="003D14D8" w:rsidRDefault="00FF0960" w:rsidP="00F241C3">
      <w:pPr>
        <w:pStyle w:val="FootnoteText"/>
        <w:ind w:left="255" w:hanging="255"/>
        <w:rPr>
          <w:sz w:val="20"/>
          <w:lang w:val="fr-FR"/>
        </w:rPr>
      </w:pPr>
      <w:r w:rsidRPr="003D14D8">
        <w:rPr>
          <w:rStyle w:val="FootnoteReference"/>
          <w:szCs w:val="18"/>
        </w:rPr>
        <w:footnoteRef/>
      </w:r>
      <w:r>
        <w:rPr>
          <w:sz w:val="20"/>
          <w:lang w:val="fr-FR"/>
        </w:rPr>
        <w:tab/>
      </w:r>
      <w:r w:rsidRPr="00F241C3">
        <w:rPr>
          <w:szCs w:val="24"/>
          <w:lang w:val="fr-FR"/>
        </w:rPr>
        <w:t xml:space="preserve">Pour plus de renseignements sur les ressources extrabudgétaires, consulter le </w:t>
      </w:r>
      <w:hyperlink r:id="rId7" w:anchor="/fr" w:history="1">
        <w:r w:rsidRPr="00F241C3">
          <w:rPr>
            <w:rStyle w:val="Hyperlink"/>
            <w:szCs w:val="24"/>
            <w:lang w:val="fr-FR"/>
          </w:rPr>
          <w:t>portefeuille de projets de l</w:t>
        </w:r>
        <w:r w:rsidR="00133D42" w:rsidRPr="00F241C3">
          <w:rPr>
            <w:rStyle w:val="Hyperlink"/>
            <w:szCs w:val="24"/>
            <w:lang w:val="fr-FR"/>
          </w:rPr>
          <w:t>'</w:t>
        </w:r>
        <w:r w:rsidRPr="00F241C3">
          <w:rPr>
            <w:rStyle w:val="Hyperlink"/>
            <w:szCs w:val="24"/>
            <w:lang w:val="fr-FR"/>
          </w:rPr>
          <w:t>UIT-D</w:t>
        </w:r>
      </w:hyperlink>
      <w:r w:rsidRPr="00F241C3">
        <w:rPr>
          <w:szCs w:val="24"/>
          <w:lang w:val="fr-FR"/>
        </w:rPr>
        <w:t>.</w:t>
      </w:r>
    </w:p>
  </w:footnote>
  <w:footnote w:id="6">
    <w:p w14:paraId="276309C1" w14:textId="77777777" w:rsidR="00F241C3" w:rsidRPr="00017D1F" w:rsidRDefault="00F241C3" w:rsidP="00314F31">
      <w:pPr>
        <w:shd w:val="clear" w:color="auto" w:fill="FFFFFF" w:themeFill="background1"/>
        <w:tabs>
          <w:tab w:val="clear" w:pos="1134"/>
          <w:tab w:val="clear" w:pos="1871"/>
          <w:tab w:val="clear" w:pos="2268"/>
          <w:tab w:val="left" w:pos="284"/>
        </w:tabs>
        <w:overflowPunct/>
        <w:autoSpaceDE/>
        <w:autoSpaceDN/>
        <w:adjustRightInd/>
        <w:textAlignment w:val="auto"/>
        <w:rPr>
          <w:rFonts w:ascii="Calibri" w:hAnsi="Calibri" w:cs="Calibri"/>
          <w:color w:val="242424"/>
          <w:sz w:val="22"/>
          <w:szCs w:val="22"/>
          <w:lang w:val="en-US" w:eastAsia="en-GB"/>
        </w:rPr>
      </w:pPr>
      <w:r>
        <w:rPr>
          <w:rStyle w:val="FootnoteReference"/>
        </w:rPr>
        <w:footnoteRef/>
      </w:r>
      <w:r>
        <w:tab/>
      </w:r>
      <w:r w:rsidRPr="00314F31">
        <w:rPr>
          <w:rFonts w:ascii="Calibri" w:hAnsi="Calibri" w:cs="Calibri"/>
          <w:color w:val="242424"/>
          <w:szCs w:val="24"/>
          <w:lang w:eastAsia="en-GB"/>
        </w:rPr>
        <w:t xml:space="preserve">UIT, "Measuring digital development: ICT Development Index", 2025. </w:t>
      </w:r>
      <w:hyperlink r:id="rId8" w:tooltip="https://www.itu.int/en/ITU-D/Statistics/Pages/facts/default.aspx" w:history="1">
        <w:r w:rsidRPr="00314F31">
          <w:rPr>
            <w:rFonts w:ascii="Calibri" w:hAnsi="Calibri" w:cs="Calibri"/>
            <w:color w:val="0000FF"/>
            <w:szCs w:val="24"/>
            <w:u w:val="single"/>
            <w:lang w:eastAsia="en-GB"/>
          </w:rPr>
          <w:t>itu.int/facts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58DFC067"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FF0960">
      <w:rPr>
        <w:sz w:val="22"/>
        <w:szCs w:val="22"/>
      </w:rPr>
      <w:t>16(Rév.1)</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51E39"/>
    <w:rsid w:val="00075C63"/>
    <w:rsid w:val="00077239"/>
    <w:rsid w:val="00080905"/>
    <w:rsid w:val="000822BE"/>
    <w:rsid w:val="00086491"/>
    <w:rsid w:val="00091346"/>
    <w:rsid w:val="000D3E1A"/>
    <w:rsid w:val="000E359D"/>
    <w:rsid w:val="000F437C"/>
    <w:rsid w:val="000F73FF"/>
    <w:rsid w:val="0010345E"/>
    <w:rsid w:val="00114CF7"/>
    <w:rsid w:val="00123B68"/>
    <w:rsid w:val="00126F2E"/>
    <w:rsid w:val="00133D42"/>
    <w:rsid w:val="00146F6F"/>
    <w:rsid w:val="00147DA1"/>
    <w:rsid w:val="00152957"/>
    <w:rsid w:val="00166374"/>
    <w:rsid w:val="00174623"/>
    <w:rsid w:val="001800D3"/>
    <w:rsid w:val="00187BD9"/>
    <w:rsid w:val="00190B55"/>
    <w:rsid w:val="00194CFB"/>
    <w:rsid w:val="001B2ED3"/>
    <w:rsid w:val="001B57A8"/>
    <w:rsid w:val="001B584D"/>
    <w:rsid w:val="001C3B5F"/>
    <w:rsid w:val="001D058F"/>
    <w:rsid w:val="002009EA"/>
    <w:rsid w:val="00202CA0"/>
    <w:rsid w:val="002154A6"/>
    <w:rsid w:val="002162CD"/>
    <w:rsid w:val="002255B3"/>
    <w:rsid w:val="00236E8A"/>
    <w:rsid w:val="0024630C"/>
    <w:rsid w:val="00271316"/>
    <w:rsid w:val="00296313"/>
    <w:rsid w:val="002D58BE"/>
    <w:rsid w:val="003013EE"/>
    <w:rsid w:val="0030479A"/>
    <w:rsid w:val="00314F31"/>
    <w:rsid w:val="00377BD3"/>
    <w:rsid w:val="00384088"/>
    <w:rsid w:val="0038489B"/>
    <w:rsid w:val="0039169B"/>
    <w:rsid w:val="003A7F8C"/>
    <w:rsid w:val="003B532E"/>
    <w:rsid w:val="003B6F14"/>
    <w:rsid w:val="003B7D04"/>
    <w:rsid w:val="003D0F8B"/>
    <w:rsid w:val="00406208"/>
    <w:rsid w:val="004063C5"/>
    <w:rsid w:val="0040711F"/>
    <w:rsid w:val="004131D4"/>
    <w:rsid w:val="0041348E"/>
    <w:rsid w:val="00447308"/>
    <w:rsid w:val="004765FF"/>
    <w:rsid w:val="00492075"/>
    <w:rsid w:val="004969AD"/>
    <w:rsid w:val="004B13CB"/>
    <w:rsid w:val="004B150A"/>
    <w:rsid w:val="004B4FDF"/>
    <w:rsid w:val="004D5D5C"/>
    <w:rsid w:val="004F0EAE"/>
    <w:rsid w:val="0050139F"/>
    <w:rsid w:val="00521223"/>
    <w:rsid w:val="00524DF1"/>
    <w:rsid w:val="005254A7"/>
    <w:rsid w:val="00533926"/>
    <w:rsid w:val="0055124D"/>
    <w:rsid w:val="0055140B"/>
    <w:rsid w:val="00554C4F"/>
    <w:rsid w:val="00561D72"/>
    <w:rsid w:val="00591BD8"/>
    <w:rsid w:val="005964AB"/>
    <w:rsid w:val="005A511B"/>
    <w:rsid w:val="005B44F5"/>
    <w:rsid w:val="005C099A"/>
    <w:rsid w:val="005C31A5"/>
    <w:rsid w:val="005D7E39"/>
    <w:rsid w:val="005E10C9"/>
    <w:rsid w:val="005E61DD"/>
    <w:rsid w:val="005E6321"/>
    <w:rsid w:val="006023DF"/>
    <w:rsid w:val="00607D3E"/>
    <w:rsid w:val="006163B5"/>
    <w:rsid w:val="0064322F"/>
    <w:rsid w:val="00657DE0"/>
    <w:rsid w:val="0067199F"/>
    <w:rsid w:val="00680FBE"/>
    <w:rsid w:val="00685313"/>
    <w:rsid w:val="006A6E9B"/>
    <w:rsid w:val="006B7C2A"/>
    <w:rsid w:val="006C23DA"/>
    <w:rsid w:val="006E1B84"/>
    <w:rsid w:val="006E3D45"/>
    <w:rsid w:val="007149F9"/>
    <w:rsid w:val="00733A30"/>
    <w:rsid w:val="00745AEE"/>
    <w:rsid w:val="007479EA"/>
    <w:rsid w:val="00750F10"/>
    <w:rsid w:val="007742CA"/>
    <w:rsid w:val="007D06F0"/>
    <w:rsid w:val="007D45E3"/>
    <w:rsid w:val="007D5320"/>
    <w:rsid w:val="007F735C"/>
    <w:rsid w:val="00800972"/>
    <w:rsid w:val="00804475"/>
    <w:rsid w:val="00811633"/>
    <w:rsid w:val="00815C0C"/>
    <w:rsid w:val="00821CEF"/>
    <w:rsid w:val="00832828"/>
    <w:rsid w:val="0083645A"/>
    <w:rsid w:val="00840B0F"/>
    <w:rsid w:val="008711AE"/>
    <w:rsid w:val="00872758"/>
    <w:rsid w:val="00872FC8"/>
    <w:rsid w:val="008801D3"/>
    <w:rsid w:val="008845D0"/>
    <w:rsid w:val="008B43F2"/>
    <w:rsid w:val="008B61EA"/>
    <w:rsid w:val="008B6CFF"/>
    <w:rsid w:val="008D7991"/>
    <w:rsid w:val="008F0B73"/>
    <w:rsid w:val="00907654"/>
    <w:rsid w:val="00910B26"/>
    <w:rsid w:val="009249C1"/>
    <w:rsid w:val="0092705A"/>
    <w:rsid w:val="009274B4"/>
    <w:rsid w:val="00934EA2"/>
    <w:rsid w:val="00944A5C"/>
    <w:rsid w:val="00952A66"/>
    <w:rsid w:val="00961D12"/>
    <w:rsid w:val="009903FC"/>
    <w:rsid w:val="009B78D5"/>
    <w:rsid w:val="009C56E5"/>
    <w:rsid w:val="009D3060"/>
    <w:rsid w:val="009E5FC8"/>
    <w:rsid w:val="009E687A"/>
    <w:rsid w:val="009E77CF"/>
    <w:rsid w:val="009F2F26"/>
    <w:rsid w:val="00A03C5C"/>
    <w:rsid w:val="00A066F1"/>
    <w:rsid w:val="00A141AF"/>
    <w:rsid w:val="00A16D29"/>
    <w:rsid w:val="00A20E5E"/>
    <w:rsid w:val="00A30305"/>
    <w:rsid w:val="00A31D2D"/>
    <w:rsid w:val="00A327AF"/>
    <w:rsid w:val="00A4600A"/>
    <w:rsid w:val="00A538A6"/>
    <w:rsid w:val="00A54C25"/>
    <w:rsid w:val="00A710E7"/>
    <w:rsid w:val="00A7372E"/>
    <w:rsid w:val="00A864A5"/>
    <w:rsid w:val="00A93B85"/>
    <w:rsid w:val="00AA0B18"/>
    <w:rsid w:val="00AA25E0"/>
    <w:rsid w:val="00AA666F"/>
    <w:rsid w:val="00AB4927"/>
    <w:rsid w:val="00AC2258"/>
    <w:rsid w:val="00AF411C"/>
    <w:rsid w:val="00B004E5"/>
    <w:rsid w:val="00B15F9D"/>
    <w:rsid w:val="00B639E9"/>
    <w:rsid w:val="00B817CD"/>
    <w:rsid w:val="00B911B2"/>
    <w:rsid w:val="00B951D0"/>
    <w:rsid w:val="00BB29C8"/>
    <w:rsid w:val="00BB3A95"/>
    <w:rsid w:val="00BC0382"/>
    <w:rsid w:val="00C0018F"/>
    <w:rsid w:val="00C010A9"/>
    <w:rsid w:val="00C1132C"/>
    <w:rsid w:val="00C1192C"/>
    <w:rsid w:val="00C20466"/>
    <w:rsid w:val="00C214ED"/>
    <w:rsid w:val="00C234E6"/>
    <w:rsid w:val="00C324A8"/>
    <w:rsid w:val="00C54517"/>
    <w:rsid w:val="00C64CD8"/>
    <w:rsid w:val="00C766A2"/>
    <w:rsid w:val="00C97C68"/>
    <w:rsid w:val="00CA1A47"/>
    <w:rsid w:val="00CC247A"/>
    <w:rsid w:val="00CE5E47"/>
    <w:rsid w:val="00CF020F"/>
    <w:rsid w:val="00CF2B5B"/>
    <w:rsid w:val="00D14CE0"/>
    <w:rsid w:val="00D22342"/>
    <w:rsid w:val="00D36333"/>
    <w:rsid w:val="00D53986"/>
    <w:rsid w:val="00D5651D"/>
    <w:rsid w:val="00D6625E"/>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14630"/>
    <w:rsid w:val="00E26226"/>
    <w:rsid w:val="00E4165C"/>
    <w:rsid w:val="00E45D05"/>
    <w:rsid w:val="00E46B58"/>
    <w:rsid w:val="00E55816"/>
    <w:rsid w:val="00E55AEF"/>
    <w:rsid w:val="00E80D1A"/>
    <w:rsid w:val="00E976C1"/>
    <w:rsid w:val="00EA12E5"/>
    <w:rsid w:val="00EC043A"/>
    <w:rsid w:val="00EF1503"/>
    <w:rsid w:val="00EF4BDF"/>
    <w:rsid w:val="00EF6F6B"/>
    <w:rsid w:val="00F02766"/>
    <w:rsid w:val="00F04067"/>
    <w:rsid w:val="00F05BD4"/>
    <w:rsid w:val="00F11A98"/>
    <w:rsid w:val="00F21A1D"/>
    <w:rsid w:val="00F241C3"/>
    <w:rsid w:val="00F40E33"/>
    <w:rsid w:val="00F41260"/>
    <w:rsid w:val="00F65C19"/>
    <w:rsid w:val="00F71732"/>
    <w:rsid w:val="00F861F9"/>
    <w:rsid w:val="00FB74D7"/>
    <w:rsid w:val="00FC30E4"/>
    <w:rsid w:val="00FD2546"/>
    <w:rsid w:val="00FD772E"/>
    <w:rsid w:val="00FE3926"/>
    <w:rsid w:val="00FE78C7"/>
    <w:rsid w:val="00FF0960"/>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FF0960"/>
    <w:rPr>
      <w:color w:val="605E5C"/>
      <w:shd w:val="clear" w:color="auto" w:fill="E1DFDD"/>
    </w:rPr>
  </w:style>
  <w:style w:type="character" w:styleId="CommentReference">
    <w:name w:val="annotation reference"/>
    <w:basedOn w:val="DefaultParagraphFont"/>
    <w:semiHidden/>
    <w:unhideWhenUsed/>
    <w:rsid w:val="00133D42"/>
    <w:rPr>
      <w:sz w:val="16"/>
      <w:szCs w:val="16"/>
    </w:rPr>
  </w:style>
  <w:style w:type="paragraph" w:styleId="CommentText">
    <w:name w:val="annotation text"/>
    <w:basedOn w:val="Normal"/>
    <w:link w:val="CommentTextChar"/>
    <w:unhideWhenUsed/>
    <w:rsid w:val="00133D42"/>
    <w:rPr>
      <w:sz w:val="20"/>
    </w:rPr>
  </w:style>
  <w:style w:type="character" w:customStyle="1" w:styleId="CommentTextChar">
    <w:name w:val="Comment Text Char"/>
    <w:basedOn w:val="DefaultParagraphFont"/>
    <w:link w:val="CommentText"/>
    <w:rsid w:val="00133D42"/>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133D42"/>
    <w:rPr>
      <w:b/>
      <w:bCs/>
    </w:rPr>
  </w:style>
  <w:style w:type="character" w:customStyle="1" w:styleId="CommentSubjectChar">
    <w:name w:val="Comment Subject Char"/>
    <w:basedOn w:val="CommentTextChar"/>
    <w:link w:val="CommentSubject"/>
    <w:semiHidden/>
    <w:rsid w:val="00133D42"/>
    <w:rPr>
      <w:rFonts w:asciiTheme="minorHAnsi" w:hAnsiTheme="minorHAnsi"/>
      <w:b/>
      <w:bCs/>
      <w:lang w:val="en-GB" w:eastAsia="en-US"/>
    </w:rPr>
  </w:style>
  <w:style w:type="paragraph" w:styleId="Revision">
    <w:name w:val="Revision"/>
    <w:hidden/>
    <w:uiPriority w:val="99"/>
    <w:semiHidden/>
    <w:rsid w:val="00F241C3"/>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F241C3"/>
    <w:rPr>
      <w:color w:val="605E5C"/>
      <w:shd w:val="clear" w:color="auto" w:fill="E1DFDD"/>
    </w:rPr>
  </w:style>
  <w:style w:type="paragraph" w:styleId="NormalWeb">
    <w:name w:val="Normal (Web)"/>
    <w:basedOn w:val="Normal"/>
    <w:uiPriority w:val="99"/>
    <w:unhideWhenUsed/>
    <w:rsid w:val="00F241C3"/>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F241C3"/>
  </w:style>
  <w:style w:type="character" w:customStyle="1" w:styleId="normaltextrun">
    <w:name w:val="normaltextrun"/>
    <w:basedOn w:val="DefaultParagraphFont"/>
    <w:rsid w:val="00F241C3"/>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F241C3"/>
    <w:rPr>
      <w:rFonts w:asciiTheme="minorHAnsi" w:hAnsiTheme="minorHAnsi"/>
      <w:sz w:val="24"/>
      <w:lang w:val="en-GB" w:eastAsia="en-US"/>
    </w:rPr>
  </w:style>
  <w:style w:type="paragraph" w:customStyle="1" w:styleId="paragraph">
    <w:name w:val="paragraph"/>
    <w:basedOn w:val="Normal"/>
    <w:rsid w:val="00F241C3"/>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 w:type="table" w:styleId="TableGrid">
    <w:name w:val="Table Grid"/>
    <w:basedOn w:val="TableNormal"/>
    <w:uiPriority w:val="59"/>
    <w:rsid w:val="00F241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241C3"/>
    <w:rPr>
      <w:color w:val="2B579A"/>
      <w:shd w:val="clear" w:color="auto" w:fill="E1DFDD"/>
    </w:rPr>
  </w:style>
  <w:style w:type="table" w:styleId="TableGridLight">
    <w:name w:val="Grid Table Light"/>
    <w:basedOn w:val="TableNormal"/>
    <w:uiPriority w:val="40"/>
    <w:rsid w:val="00F241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semiHidden/>
    <w:unhideWhenUsed/>
    <w:rsid w:val="00F241C3"/>
    <w:pPr>
      <w:spacing w:before="0"/>
    </w:pPr>
    <w:rPr>
      <w:sz w:val="20"/>
    </w:rPr>
  </w:style>
  <w:style w:type="character" w:customStyle="1" w:styleId="EndnoteTextChar">
    <w:name w:val="Endnote Text Char"/>
    <w:basedOn w:val="DefaultParagraphFont"/>
    <w:link w:val="EndnoteText"/>
    <w:semiHidden/>
    <w:rsid w:val="00F241C3"/>
    <w:rPr>
      <w:rFonts w:asciiTheme="minorHAnsi" w:hAnsiTheme="minorHAnsi"/>
      <w:lang w:val="en-GB" w:eastAsia="en-US"/>
    </w:rPr>
  </w:style>
  <w:style w:type="character" w:styleId="EndnoteReference">
    <w:name w:val="endnote reference"/>
    <w:basedOn w:val="DefaultParagraphFont"/>
    <w:semiHidden/>
    <w:unhideWhenUsed/>
    <w:rsid w:val="00F24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RES-D.16-2017/fr" TargetMode="External"/><Relationship Id="rId18" Type="http://schemas.openxmlformats.org/officeDocument/2006/relationships/hyperlink" Target="https://www.itu.int/en/ITU-D/Cybersecurity/Pages/Cyber4Good/Cyber4Good.aspx" TargetMode="External"/><Relationship Id="rId26" Type="http://schemas.openxmlformats.org/officeDocument/2006/relationships/hyperlink" Target="https://academy.itu.int/itu-d/projects-activities/digital-transformation-centres-initiative" TargetMode="External"/><Relationship Id="rId39" Type="http://schemas.openxmlformats.org/officeDocument/2006/relationships/hyperlink" Target="https://www.itu.int/itu-d/reports/statistics/idi2025/" TargetMode="External"/><Relationship Id="rId21" Type="http://schemas.openxmlformats.org/officeDocument/2006/relationships/hyperlink" Target="https://www.itu.int/itu-d/sites/projectumc/" TargetMode="External"/><Relationship Id="rId34" Type="http://schemas.openxmlformats.org/officeDocument/2006/relationships/hyperlink" Target="https://www.itu.int/generationconnect/empower/generation-connect-young-leadership-programme-in-partnership-with-huawei/itu-generation-connect-young-leadership-programme-cohort-2025/"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WTDC25-C-0002" TargetMode="External"/><Relationship Id="rId29" Type="http://schemas.openxmlformats.org/officeDocument/2006/relationships/hyperlink" Target="https://www.itu.int/itu-d/meetings/global-youth-summit-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cademy.itu.int/" TargetMode="External"/><Relationship Id="rId32" Type="http://schemas.openxmlformats.org/officeDocument/2006/relationships/hyperlink" Target="https://www.itu.int/ITU-D/youth/" TargetMode="External"/><Relationship Id="rId37" Type="http://schemas.openxmlformats.org/officeDocument/2006/relationships/hyperlink" Target="https://www.itu.int/itu-d/reports/statistics/facts-figures-for-lldc/" TargetMode="External"/><Relationship Id="rId40" Type="http://schemas.openxmlformats.org/officeDocument/2006/relationships/hyperlink" Target="https://www.itu.int/md/D22-WTDC25-C-0002"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council/Documents/basic-texts-2023/RES-030-F.pdf" TargetMode="External"/><Relationship Id="rId23" Type="http://schemas.openxmlformats.org/officeDocument/2006/relationships/hyperlink" Target="https://www.itu.int/en/ITU-D/ICT-Applications/Pages/Initiatives/ASP/Smart-Islands/Smart-Islands-Initiative.aspx" TargetMode="External"/><Relationship Id="rId28" Type="http://schemas.openxmlformats.org/officeDocument/2006/relationships/hyperlink" Target="https://www.itu.int/itu-d/sites/digital-inclusion/fr/" TargetMode="External"/><Relationship Id="rId36" Type="http://schemas.openxmlformats.org/officeDocument/2006/relationships/hyperlink" Target="https://www.itu.int/itu-d/reports/statistics/facts-figures-for-sids/" TargetMode="External"/><Relationship Id="rId10" Type="http://schemas.openxmlformats.org/officeDocument/2006/relationships/endnotes" Target="endnotes.xml"/><Relationship Id="rId19" Type="http://schemas.openxmlformats.org/officeDocument/2006/relationships/hyperlink" Target="https://www.itu.int/en/ITU-D/Cybersecurity/Pages/Skills-Development/Her-CyberTracks.aspx" TargetMode="External"/><Relationship Id="rId31" Type="http://schemas.openxmlformats.org/officeDocument/2006/relationships/hyperlink" Target="https://www.itu.int/women-and-girls/women-in-ict/ai-skills-accelerator-for-girl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WTDC25-C-0002" TargetMode="External"/><Relationship Id="rId22" Type="http://schemas.openxmlformats.org/officeDocument/2006/relationships/hyperlink" Target="https://www.itu.int/itu-d/sites/innovation-alliance/" TargetMode="External"/><Relationship Id="rId27" Type="http://schemas.openxmlformats.org/officeDocument/2006/relationships/hyperlink" Target="https://www.itu.int/itu-d/sites/emergency-telecommunications/fr/" TargetMode="External"/><Relationship Id="rId30" Type="http://schemas.openxmlformats.org/officeDocument/2006/relationships/hyperlink" Target="https://www.itu.int/women-and-girls/girls-in-ict/fr/" TargetMode="External"/><Relationship Id="rId35" Type="http://schemas.openxmlformats.org/officeDocument/2006/relationships/hyperlink" Target="https://www.itu.int/itu-d/reports/statistics/facts-figures-for-ldc/"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itu-d/sites/digital-impact-unlocked/implementing-national-broadband-mapping-systems-in-africa/" TargetMode="External"/><Relationship Id="rId25" Type="http://schemas.openxmlformats.org/officeDocument/2006/relationships/hyperlink" Target="https://academy.itu.int/itu-d/projects-activities/capacity-development-digital-transformation-project" TargetMode="External"/><Relationship Id="rId33" Type="http://schemas.openxmlformats.org/officeDocument/2006/relationships/hyperlink" Target="https://www.itu.int/generationconnect/generation-connect-youth-envoys/" TargetMode="External"/><Relationship Id="rId38" Type="http://schemas.openxmlformats.org/officeDocument/2006/relationships/hyperlink" Target="https://www.itu.int/partner2connect/" TargetMode="External"/><Relationship Id="rId20" Type="http://schemas.openxmlformats.org/officeDocument/2006/relationships/hyperlink" Target="https://www.itu.int/en/ITU-D/Regional-Presence/Africa/Pages/EVENTS/2024/benchmarking-ICT-in-Central-Africa-Workshop-Malabo-2024.aspx"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en/ITU-D/Statistics/Pages/facts/default.aspx" TargetMode="External"/><Relationship Id="rId3" Type="http://schemas.openxmlformats.org/officeDocument/2006/relationships/hyperlink" Target="https://www.itu.int/itu-d/reports/statistics/facts-figures-2024" TargetMode="External"/><Relationship Id="rId7" Type="http://schemas.openxmlformats.org/officeDocument/2006/relationships/hyperlink" Target="https://www.itu.int/en/ITU-D/PRJ/Pages/default.aspx"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PM_x0020_Version xmlns="b6109c62-af78-494c-a825-80e1ffe32798" xsi:nil="true"/>
    <DateandTime xmlns="b6109c62-af78-494c-a825-80e1ffe32798" xsi:nil="true"/>
    <Order0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05C82010-5629-44E4-8D7C-AF4401735952}"/>
</file>

<file path=customXml/itemProps4.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8341</Words>
  <Characters>52048</Characters>
  <Application>Microsoft Office Word</Application>
  <DocSecurity>0</DocSecurity>
  <Lines>433</Lines>
  <Paragraphs>120</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60269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7</cp:revision>
  <cp:lastPrinted>2017-03-10T07:43:00Z</cp:lastPrinted>
  <dcterms:created xsi:type="dcterms:W3CDTF">2025-11-12T12:44:00Z</dcterms:created>
  <dcterms:modified xsi:type="dcterms:W3CDTF">2025-11-14T06:54:00Z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