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Layout w:type="fixed"/>
        <w:tblLook w:val="0000" w:firstRow="0" w:lastRow="0" w:firstColumn="0" w:lastColumn="0" w:noHBand="0" w:noVBand="0"/>
      </w:tblPr>
      <w:tblGrid>
        <w:gridCol w:w="1498"/>
        <w:gridCol w:w="4886"/>
        <w:gridCol w:w="1554"/>
        <w:gridCol w:w="1984"/>
      </w:tblGrid>
      <w:tr w:rsidR="00961D12" w:rsidRPr="005F6A32" w14:paraId="23658664" w14:textId="77777777" w:rsidTr="00AC2258">
        <w:trPr>
          <w:cantSplit/>
          <w:trHeight w:val="1134"/>
        </w:trPr>
        <w:tc>
          <w:tcPr>
            <w:tcW w:w="755" w:type="pct"/>
          </w:tcPr>
          <w:p w14:paraId="7B75E2CA" w14:textId="2314B8B9" w:rsidR="00E80D1A" w:rsidRPr="005F6A32" w:rsidRDefault="00A864A5" w:rsidP="00AA25E0">
            <w:pPr>
              <w:tabs>
                <w:tab w:val="clear" w:pos="1134"/>
              </w:tabs>
              <w:rPr>
                <w:b/>
                <w:bCs/>
                <w:szCs w:val="24"/>
                <w:lang w:val="fr-FR"/>
              </w:rPr>
            </w:pPr>
            <w:r w:rsidRPr="005F6A32">
              <w:rPr>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2059173A" w:rsidR="00E80D1A" w:rsidRPr="005F6A32" w:rsidRDefault="00E80D1A" w:rsidP="0055124D">
            <w:pPr>
              <w:tabs>
                <w:tab w:val="clear" w:pos="1134"/>
              </w:tabs>
              <w:spacing w:before="240" w:line="240" w:lineRule="atLeast"/>
              <w:ind w:left="34"/>
              <w:rPr>
                <w:rFonts w:cstheme="minorHAnsi"/>
                <w:lang w:val="fr-FR"/>
              </w:rPr>
            </w:pPr>
            <w:r w:rsidRPr="005F6A32">
              <w:rPr>
                <w:b/>
                <w:bCs/>
                <w:sz w:val="30"/>
                <w:szCs w:val="30"/>
                <w:lang w:val="fr-FR"/>
              </w:rPr>
              <w:t>Conférence mondiale de développement des télécommunications de 2025 (CMDT-25)</w:t>
            </w:r>
            <w:r w:rsidRPr="005F6A32">
              <w:rPr>
                <w:b/>
                <w:bCs/>
                <w:sz w:val="32"/>
                <w:szCs w:val="32"/>
                <w:lang w:val="fr-FR"/>
              </w:rPr>
              <w:br/>
            </w:r>
            <w:r w:rsidRPr="005F6A32">
              <w:rPr>
                <w:b/>
                <w:bCs/>
                <w:szCs w:val="24"/>
                <w:lang w:val="fr-FR"/>
              </w:rPr>
              <w:t>Bakou (République d'Azerbaïdjan), 17</w:t>
            </w:r>
            <w:r w:rsidR="009903FC" w:rsidRPr="005F6A32">
              <w:rPr>
                <w:b/>
                <w:bCs/>
                <w:szCs w:val="24"/>
                <w:lang w:val="fr-FR"/>
              </w:rPr>
              <w:t>-</w:t>
            </w:r>
            <w:r w:rsidRPr="005F6A32">
              <w:rPr>
                <w:b/>
                <w:bCs/>
                <w:szCs w:val="24"/>
                <w:lang w:val="fr-FR"/>
              </w:rPr>
              <w:t>28 novembre 2025</w:t>
            </w:r>
          </w:p>
        </w:tc>
        <w:tc>
          <w:tcPr>
            <w:tcW w:w="1000" w:type="pct"/>
          </w:tcPr>
          <w:p w14:paraId="2C5DBE98" w14:textId="2E00326C" w:rsidR="00E80D1A" w:rsidRPr="005F6A32" w:rsidRDefault="00A864A5" w:rsidP="0055124D">
            <w:pPr>
              <w:tabs>
                <w:tab w:val="clear" w:pos="1134"/>
              </w:tabs>
              <w:spacing w:line="240" w:lineRule="atLeast"/>
              <w:ind w:left="34"/>
              <w:jc w:val="right"/>
              <w:rPr>
                <w:rFonts w:cstheme="minorHAnsi"/>
                <w:lang w:val="fr-FR"/>
              </w:rPr>
            </w:pPr>
            <w:r w:rsidRPr="005F6A32">
              <w:rPr>
                <w:b/>
                <w:bCs/>
                <w:sz w:val="32"/>
                <w:szCs w:val="32"/>
                <w:lang w:val="fr-FR"/>
              </w:rPr>
              <w:drawing>
                <wp:inline distT="0" distB="0" distL="0" distR="0" wp14:anchorId="589B2DD4" wp14:editId="2C823855">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5F6A32" w14:paraId="679DB3BF" w14:textId="77777777" w:rsidTr="00AC2258">
        <w:trPr>
          <w:cantSplit/>
        </w:trPr>
        <w:tc>
          <w:tcPr>
            <w:tcW w:w="3217" w:type="pct"/>
            <w:gridSpan w:val="2"/>
            <w:tcBorders>
              <w:top w:val="single" w:sz="12" w:space="0" w:color="auto"/>
            </w:tcBorders>
          </w:tcPr>
          <w:p w14:paraId="4C62B06C" w14:textId="77777777" w:rsidR="00D83BF5" w:rsidRPr="005F6A32"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5F6A32" w:rsidRDefault="00D83BF5" w:rsidP="00A327AF">
            <w:pPr>
              <w:spacing w:before="0" w:line="240" w:lineRule="atLeast"/>
              <w:rPr>
                <w:rFonts w:cstheme="minorHAnsi"/>
                <w:sz w:val="20"/>
                <w:lang w:val="fr-FR"/>
              </w:rPr>
            </w:pPr>
          </w:p>
        </w:tc>
      </w:tr>
      <w:tr w:rsidR="00D83BF5" w:rsidRPr="005F6A32" w14:paraId="2DE0DADC" w14:textId="77777777" w:rsidTr="00AC2258">
        <w:trPr>
          <w:cantSplit/>
          <w:trHeight w:val="23"/>
        </w:trPr>
        <w:tc>
          <w:tcPr>
            <w:tcW w:w="3217" w:type="pct"/>
            <w:gridSpan w:val="2"/>
          </w:tcPr>
          <w:p w14:paraId="28059CDA" w14:textId="152BF734" w:rsidR="00D83BF5" w:rsidRPr="005F6A32"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5F6A32">
              <w:rPr>
                <w:lang w:val="fr-FR"/>
              </w:rPr>
              <w:t>SÉANCE PLÉNIÈRE</w:t>
            </w:r>
          </w:p>
        </w:tc>
        <w:tc>
          <w:tcPr>
            <w:tcW w:w="1783" w:type="pct"/>
            <w:gridSpan w:val="2"/>
          </w:tcPr>
          <w:p w14:paraId="7A5F1CCD" w14:textId="09EC95BA" w:rsidR="00D83BF5" w:rsidRPr="005F6A32" w:rsidRDefault="00F40E33" w:rsidP="009903FC">
            <w:pPr>
              <w:pStyle w:val="Committee"/>
              <w:framePr w:hSpace="0" w:wrap="auto" w:hAnchor="text" w:yAlign="inline"/>
              <w:rPr>
                <w:lang w:val="fr-FR"/>
              </w:rPr>
            </w:pPr>
            <w:r w:rsidRPr="005F6A32">
              <w:rPr>
                <w:lang w:val="fr-FR"/>
              </w:rPr>
              <w:t xml:space="preserve">Document </w:t>
            </w:r>
            <w:r w:rsidR="009D3060" w:rsidRPr="005F6A32">
              <w:rPr>
                <w:bCs/>
                <w:lang w:val="fr-FR"/>
              </w:rPr>
              <w:t>WTDC-25/</w:t>
            </w:r>
            <w:r w:rsidR="00B4454D" w:rsidRPr="005F6A32">
              <w:rPr>
                <w:lang w:val="fr-FR"/>
              </w:rPr>
              <w:t>15</w:t>
            </w:r>
            <w:r w:rsidRPr="005F6A32">
              <w:rPr>
                <w:lang w:val="fr-FR"/>
              </w:rPr>
              <w:t>-F</w:t>
            </w:r>
          </w:p>
        </w:tc>
      </w:tr>
      <w:tr w:rsidR="00D83BF5" w:rsidRPr="005F6A32" w14:paraId="54C2D06A" w14:textId="77777777" w:rsidTr="00AC2258">
        <w:trPr>
          <w:cantSplit/>
          <w:trHeight w:val="23"/>
        </w:trPr>
        <w:tc>
          <w:tcPr>
            <w:tcW w:w="3217" w:type="pct"/>
            <w:gridSpan w:val="2"/>
          </w:tcPr>
          <w:p w14:paraId="26390377" w14:textId="50BB1F0F" w:rsidR="00D83BF5" w:rsidRPr="005F6A32"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83" w:type="pct"/>
            <w:gridSpan w:val="2"/>
          </w:tcPr>
          <w:p w14:paraId="7446A207" w14:textId="4DD1A47B" w:rsidR="00D83BF5" w:rsidRPr="005F6A32" w:rsidRDefault="00727956" w:rsidP="009903FC">
            <w:pPr>
              <w:pStyle w:val="Committee"/>
              <w:framePr w:hSpace="0" w:wrap="auto" w:hAnchor="text" w:yAlign="inline"/>
              <w:rPr>
                <w:lang w:val="fr-FR"/>
              </w:rPr>
            </w:pPr>
            <w:r w:rsidRPr="005F6A32">
              <w:rPr>
                <w:lang w:val="fr-FR"/>
              </w:rPr>
              <w:t>10 octobre</w:t>
            </w:r>
            <w:r w:rsidR="00F40E33" w:rsidRPr="005F6A32">
              <w:rPr>
                <w:lang w:val="fr-FR"/>
              </w:rPr>
              <w:t xml:space="preserve"> 2025</w:t>
            </w:r>
          </w:p>
        </w:tc>
      </w:tr>
      <w:tr w:rsidR="00D83BF5" w:rsidRPr="005F6A32" w14:paraId="7D1F02CB" w14:textId="77777777" w:rsidTr="00AC2258">
        <w:trPr>
          <w:cantSplit/>
          <w:trHeight w:val="23"/>
        </w:trPr>
        <w:tc>
          <w:tcPr>
            <w:tcW w:w="3217" w:type="pct"/>
            <w:gridSpan w:val="2"/>
          </w:tcPr>
          <w:p w14:paraId="50C265AC" w14:textId="74C2AF68" w:rsidR="00D83BF5" w:rsidRPr="005F6A32"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5F6A32" w:rsidRDefault="00F40E33" w:rsidP="009903FC">
            <w:pPr>
              <w:pStyle w:val="Committee"/>
              <w:framePr w:hSpace="0" w:wrap="auto" w:hAnchor="text" w:yAlign="inline"/>
              <w:rPr>
                <w:lang w:val="fr-FR"/>
              </w:rPr>
            </w:pPr>
            <w:r w:rsidRPr="005F6A32">
              <w:rPr>
                <w:lang w:val="fr-FR"/>
              </w:rPr>
              <w:t>Original: anglais</w:t>
            </w:r>
          </w:p>
        </w:tc>
      </w:tr>
      <w:tr w:rsidR="00D83BF5" w:rsidRPr="005F6A32" w14:paraId="0BA8CD3B" w14:textId="77777777" w:rsidTr="00AC2258">
        <w:trPr>
          <w:cantSplit/>
          <w:trHeight w:val="23"/>
        </w:trPr>
        <w:tc>
          <w:tcPr>
            <w:tcW w:w="5000" w:type="pct"/>
            <w:gridSpan w:val="4"/>
          </w:tcPr>
          <w:p w14:paraId="29BB25E0" w14:textId="4486EC15" w:rsidR="00D83BF5" w:rsidRPr="005F6A32" w:rsidRDefault="00B4454D" w:rsidP="00A327AF">
            <w:pPr>
              <w:pStyle w:val="Source"/>
              <w:spacing w:before="240" w:after="240"/>
              <w:rPr>
                <w:lang w:val="fr-FR"/>
              </w:rPr>
            </w:pPr>
            <w:r w:rsidRPr="005F6A32">
              <w:rPr>
                <w:lang w:val="fr-FR"/>
              </w:rPr>
              <w:t>Directeur du Bureau de développement des télécommunications</w:t>
            </w:r>
          </w:p>
        </w:tc>
      </w:tr>
      <w:tr w:rsidR="004D5C82" w:rsidRPr="005F6A32" w14:paraId="281704F0" w14:textId="77777777" w:rsidTr="00AC2258">
        <w:trPr>
          <w:cantSplit/>
          <w:trHeight w:val="23"/>
        </w:trPr>
        <w:tc>
          <w:tcPr>
            <w:tcW w:w="5000" w:type="pct"/>
            <w:gridSpan w:val="4"/>
          </w:tcPr>
          <w:p w14:paraId="777D9701" w14:textId="4769832B" w:rsidR="004D5C82" w:rsidRPr="005F6A32" w:rsidRDefault="004D5C82" w:rsidP="004D5C82">
            <w:pPr>
              <w:pStyle w:val="Title1"/>
              <w:rPr>
                <w:lang w:val="fr-FR"/>
              </w:rPr>
            </w:pPr>
            <w:r w:rsidRPr="005F6A32">
              <w:rPr>
                <w:lang w:val="fr-FR"/>
              </w:rPr>
              <w:t>RAPPORT SUR LES TRAVAUX DU BDT SUR L'INCLUSION NUMÉRIQUE</w:t>
            </w:r>
          </w:p>
        </w:tc>
      </w:tr>
      <w:tr w:rsidR="004D5C82" w:rsidRPr="005F6A32" w14:paraId="0B0EC324" w14:textId="77777777" w:rsidTr="004D5C82">
        <w:trPr>
          <w:cantSplit/>
          <w:trHeight w:val="23"/>
        </w:trPr>
        <w:tc>
          <w:tcPr>
            <w:tcW w:w="5000" w:type="pct"/>
            <w:gridSpan w:val="4"/>
            <w:tcBorders>
              <w:bottom w:val="single" w:sz="4" w:space="0" w:color="auto"/>
            </w:tcBorders>
          </w:tcPr>
          <w:p w14:paraId="7029B4EC" w14:textId="77777777" w:rsidR="004D5C82" w:rsidRPr="005F6A32" w:rsidRDefault="004D5C82" w:rsidP="004D5C82">
            <w:pPr>
              <w:pStyle w:val="Title2"/>
              <w:spacing w:before="240"/>
              <w:rPr>
                <w:lang w:val="fr-FR"/>
              </w:rPr>
            </w:pPr>
          </w:p>
        </w:tc>
      </w:tr>
      <w:tr w:rsidR="00D83BF5" w:rsidRPr="005F6A32" w14:paraId="610454EC" w14:textId="77777777" w:rsidTr="004D5C82">
        <w:trPr>
          <w:cantSplit/>
          <w:trHeight w:val="2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687F7CE" w14:textId="77777777" w:rsidR="004D5C82" w:rsidRPr="005F6A32" w:rsidRDefault="004D5C82" w:rsidP="004D5C82">
            <w:pPr>
              <w:tabs>
                <w:tab w:val="clear" w:pos="1134"/>
                <w:tab w:val="clear" w:pos="1871"/>
                <w:tab w:val="clear" w:pos="2268"/>
                <w:tab w:val="left" w:pos="2015"/>
                <w:tab w:val="left" w:pos="2298"/>
              </w:tabs>
              <w:ind w:left="2880" w:hanging="2880"/>
              <w:rPr>
                <w:rFonts w:ascii="Calibri" w:eastAsia="SimSun" w:hAnsi="Calibri" w:cs="Traditional Arabic"/>
                <w:szCs w:val="24"/>
                <w:lang w:val="fr-FR"/>
              </w:rPr>
            </w:pPr>
            <w:r w:rsidRPr="005F6A32">
              <w:rPr>
                <w:b/>
                <w:bCs/>
                <w:szCs w:val="24"/>
                <w:lang w:val="fr-FR"/>
              </w:rPr>
              <w:t>Domaine prioritaire</w:t>
            </w:r>
            <w:r w:rsidRPr="005F6A32">
              <w:rPr>
                <w:rFonts w:ascii="Calibri" w:eastAsia="SimSun" w:hAnsi="Calibri" w:cs="Traditional Arabic"/>
                <w:b/>
                <w:bCs/>
                <w:szCs w:val="24"/>
                <w:lang w:val="fr-FR"/>
              </w:rPr>
              <w:t>:</w:t>
            </w:r>
            <w:r w:rsidRPr="005F6A32">
              <w:rPr>
                <w:rFonts w:ascii="Calibri" w:eastAsia="SimSun" w:hAnsi="Calibri" w:cs="Traditional Arabic"/>
                <w:b/>
                <w:bCs/>
                <w:szCs w:val="24"/>
                <w:lang w:val="fr-FR"/>
              </w:rPr>
              <w:tab/>
            </w:r>
            <w:r w:rsidRPr="005F6A32">
              <w:rPr>
                <w:rFonts w:ascii="Calibri" w:eastAsia="SimSun" w:hAnsi="Calibri" w:cs="Traditional Arabic"/>
                <w:szCs w:val="24"/>
                <w:lang w:val="fr-FR"/>
              </w:rPr>
              <w:t>–</w:t>
            </w:r>
            <w:r w:rsidRPr="005F6A32">
              <w:rPr>
                <w:rFonts w:ascii="Calibri" w:eastAsia="SimSun" w:hAnsi="Calibri" w:cs="Traditional Arabic"/>
                <w:szCs w:val="24"/>
                <w:lang w:val="fr-FR"/>
              </w:rPr>
              <w:tab/>
              <w:t>Plan d'action, Initiatives régionales et Questions confiées aux commissions d'études de l'UIT-D</w:t>
            </w:r>
          </w:p>
          <w:p w14:paraId="093A775A" w14:textId="77777777" w:rsidR="004D5C82" w:rsidRPr="005F6A32" w:rsidRDefault="004D5C82" w:rsidP="004D5C82">
            <w:pPr>
              <w:tabs>
                <w:tab w:val="clear" w:pos="1134"/>
                <w:tab w:val="clear" w:pos="1871"/>
                <w:tab w:val="clear" w:pos="2268"/>
                <w:tab w:val="left" w:pos="2296"/>
              </w:tabs>
              <w:spacing w:before="0"/>
              <w:ind w:left="2880" w:hanging="2880"/>
              <w:rPr>
                <w:rFonts w:ascii="Calibri" w:eastAsia="SimSun" w:hAnsi="Calibri" w:cs="Traditional Arabic"/>
                <w:szCs w:val="24"/>
                <w:lang w:val="fr-FR"/>
              </w:rPr>
            </w:pPr>
            <w:r w:rsidRPr="005F6A32">
              <w:rPr>
                <w:rFonts w:cs="Times New Roman Bold"/>
                <w:szCs w:val="24"/>
                <w:lang w:val="fr-FR"/>
              </w:rPr>
              <w:tab/>
              <w:t>–</w:t>
            </w:r>
            <w:r w:rsidRPr="005F6A32">
              <w:rPr>
                <w:rFonts w:cs="Times New Roman Bold"/>
                <w:szCs w:val="24"/>
                <w:lang w:val="fr-FR"/>
              </w:rPr>
              <w:tab/>
            </w:r>
            <w:r w:rsidRPr="005F6A32">
              <w:rPr>
                <w:szCs w:val="24"/>
                <w:lang w:val="fr-FR"/>
              </w:rPr>
              <w:t>Résolutions et Recommandations de l'UIT-D</w:t>
            </w:r>
          </w:p>
          <w:p w14:paraId="23015F2F" w14:textId="77777777" w:rsidR="004D5C82" w:rsidRPr="005F6A32" w:rsidRDefault="004D5C82" w:rsidP="004D5C82">
            <w:pPr>
              <w:pStyle w:val="Headingb0"/>
              <w:rPr>
                <w:lang w:val="fr-FR"/>
              </w:rPr>
            </w:pPr>
            <w:r w:rsidRPr="005F6A32">
              <w:rPr>
                <w:lang w:val="fr-FR"/>
              </w:rPr>
              <w:t>Résumé:</w:t>
            </w:r>
          </w:p>
          <w:p w14:paraId="06AD5D5A" w14:textId="77777777" w:rsidR="004D5C82" w:rsidRPr="005F6A32" w:rsidRDefault="004D5C82" w:rsidP="004D5C82">
            <w:pPr>
              <w:spacing w:after="120"/>
              <w:rPr>
                <w:lang w:val="fr-FR"/>
              </w:rPr>
            </w:pPr>
            <w:r w:rsidRPr="005F6A32">
              <w:rPr>
                <w:lang w:val="fr-FR"/>
              </w:rPr>
              <w:t>Le présent document donne un aperçu des travaux accomplis par le Bureau de développement des télécommunications (BDT) dans le domaine de l'inclusion numérique depuis la CMDT-22.</w:t>
            </w:r>
          </w:p>
          <w:p w14:paraId="43E2FFEA" w14:textId="77777777" w:rsidR="004D5C82" w:rsidRPr="005F6A32" w:rsidRDefault="004D5C82" w:rsidP="004D5C82">
            <w:pPr>
              <w:spacing w:after="120"/>
              <w:rPr>
                <w:lang w:val="fr-FR"/>
              </w:rPr>
            </w:pPr>
            <w:r w:rsidRPr="005F6A32">
              <w:rPr>
                <w:lang w:val="fr-FR"/>
              </w:rPr>
              <w:t>On y trouvera une présentation des activités, initiatives et manifestations organisées en vue de renforcer les capacités des Membres de l'UIT à élaborer des stratégies, des politiques et des pratiques en faveur de l'inclusion et de l'équité numériques, afin que ceux-ci puissent mener à bien, dans leurs pays et régions respectifs, une transformation numérique inclusive – qui ne laisse personne de côté et qui assure l'intégration de tous, indépendamment de l'âge, du sexe, des capacités ou de la localisation géographique, dans la société numérique.</w:t>
            </w:r>
          </w:p>
          <w:p w14:paraId="76809304" w14:textId="77777777" w:rsidR="004D5C82" w:rsidRPr="005F6A32" w:rsidRDefault="004D5C82" w:rsidP="004D5C82">
            <w:pPr>
              <w:spacing w:after="120"/>
              <w:rPr>
                <w:szCs w:val="24"/>
                <w:lang w:val="fr-FR"/>
              </w:rPr>
            </w:pPr>
            <w:r w:rsidRPr="005F6A32">
              <w:rPr>
                <w:lang w:val="fr-FR"/>
              </w:rPr>
              <w:t>Les activités menées par le BDT dans le domaine de l'inclusion numérique comportaient également des projets et des manifestations visant à autonomiser les populations, en particulier les utilisateurs finals en situation de vulnérabilité, parmi lesquels les femmes et les jeunes filles, les jeunes, les personnes handicapées, les membres de communautés autochtones, rurales ou isolées, les personnes âgées, les personnes ayant des besoins particuliers, ainsi que les ménages à faible revenu.</w:t>
            </w:r>
          </w:p>
          <w:p w14:paraId="3D94E695" w14:textId="77777777" w:rsidR="004D5C82" w:rsidRPr="005F6A32" w:rsidRDefault="004D5C82" w:rsidP="004D5C82">
            <w:pPr>
              <w:pStyle w:val="Headingb0"/>
              <w:rPr>
                <w:lang w:val="fr-FR"/>
              </w:rPr>
            </w:pPr>
            <w:r w:rsidRPr="005F6A32">
              <w:rPr>
                <w:lang w:val="fr-FR"/>
              </w:rPr>
              <w:t>Résultats attendus:</w:t>
            </w:r>
          </w:p>
          <w:p w14:paraId="65D61584" w14:textId="145EABC9" w:rsidR="00F138FA" w:rsidRPr="005F6A32" w:rsidRDefault="004D5C82" w:rsidP="004D5C82">
            <w:pPr>
              <w:rPr>
                <w:lang w:val="fr-FR"/>
              </w:rPr>
            </w:pPr>
            <w:r w:rsidRPr="005F6A32">
              <w:rPr>
                <w:szCs w:val="24"/>
                <w:lang w:val="fr-FR"/>
              </w:rPr>
              <w:t>La CMDT est invitée à prendre note de ce document.</w:t>
            </w:r>
          </w:p>
        </w:tc>
      </w:tr>
      <w:bookmarkEnd w:id="5"/>
      <w:bookmarkEnd w:id="6"/>
      <w:tr w:rsidR="00AF411C" w:rsidRPr="005F6A32" w14:paraId="07261AB8" w14:textId="77777777" w:rsidTr="004D5C82">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3FA3A13A" w14:textId="77777777" w:rsidR="00AF411C" w:rsidRPr="005F6A32" w:rsidRDefault="00AF411C" w:rsidP="009A4E8A">
            <w:pPr>
              <w:pStyle w:val="Headingb0"/>
              <w:rPr>
                <w:lang w:val="fr-FR"/>
              </w:rPr>
            </w:pPr>
            <w:r w:rsidRPr="005F6A32">
              <w:rPr>
                <w:lang w:val="fr-FR"/>
              </w:rPr>
              <w:lastRenderedPageBreak/>
              <w:t>Références:</w:t>
            </w:r>
          </w:p>
          <w:p w14:paraId="2B8899B3" w14:textId="5084DF05" w:rsidR="00AF411C" w:rsidRPr="005F6A32" w:rsidRDefault="001905A5" w:rsidP="00AC5B6C">
            <w:pPr>
              <w:rPr>
                <w:lang w:val="fr-FR"/>
              </w:rPr>
            </w:pPr>
            <w:r w:rsidRPr="005F6A32">
              <w:rPr>
                <w:lang w:val="fr-FR"/>
              </w:rPr>
              <w:t>R</w:t>
            </w:r>
            <w:r w:rsidR="004D5C82" w:rsidRPr="005F6A32">
              <w:rPr>
                <w:lang w:val="fr-FR"/>
              </w:rPr>
              <w:t>ésolution</w:t>
            </w:r>
            <w:r w:rsidRPr="005F6A32">
              <w:rPr>
                <w:lang w:val="fr-FR"/>
              </w:rPr>
              <w:t xml:space="preserve"> </w:t>
            </w:r>
            <w:hyperlink r:id="rId13" w:anchor="page=358" w:history="1">
              <w:r w:rsidRPr="005F6A32">
                <w:rPr>
                  <w:rStyle w:val="Hyperlink"/>
                  <w:lang w:val="fr-FR"/>
                </w:rPr>
                <w:t>55 (Rév. Kigali, 2022)</w:t>
              </w:r>
            </w:hyperlink>
            <w:r w:rsidRPr="005F6A32">
              <w:rPr>
                <w:lang w:val="fr-FR"/>
              </w:rPr>
              <w:t xml:space="preserve"> de la CMDT </w:t>
            </w:r>
            <w:r w:rsidR="00727956" w:rsidRPr="005F6A32">
              <w:rPr>
                <w:lang w:val="fr-FR"/>
              </w:rPr>
              <w:t>–</w:t>
            </w:r>
            <w:r w:rsidRPr="005F6A32">
              <w:rPr>
                <w:lang w:val="fr-FR"/>
              </w:rPr>
              <w:t xml:space="preserve"> Intégration du principe de l'égalité entre les femmes et les hommes à l'UIT pour renforcer l'autonomisation des femmes grâce aux télécommunications/TIC</w:t>
            </w:r>
          </w:p>
          <w:p w14:paraId="77FB913D" w14:textId="57B25BDE" w:rsidR="001905A5" w:rsidRPr="005F6A32" w:rsidRDefault="001905A5" w:rsidP="00AC5B6C">
            <w:pPr>
              <w:rPr>
                <w:lang w:val="fr-FR"/>
              </w:rPr>
            </w:pPr>
            <w:r w:rsidRPr="005F6A32">
              <w:rPr>
                <w:lang w:val="fr-FR"/>
              </w:rPr>
              <w:t>R</w:t>
            </w:r>
            <w:r w:rsidR="004D5C82" w:rsidRPr="005F6A32">
              <w:rPr>
                <w:lang w:val="fr-FR"/>
              </w:rPr>
              <w:t xml:space="preserve">ésolution </w:t>
            </w:r>
            <w:hyperlink r:id="rId14" w:anchor="page=436" w:history="1">
              <w:r w:rsidRPr="005F6A32">
                <w:rPr>
                  <w:rStyle w:val="Hyperlink"/>
                  <w:lang w:val="fr-FR"/>
                </w:rPr>
                <w:t>76 (Rév. Kigali, 2022)</w:t>
              </w:r>
            </w:hyperlink>
            <w:r w:rsidRPr="005F6A32">
              <w:rPr>
                <w:lang w:val="fr-FR"/>
              </w:rPr>
              <w:t xml:space="preserve"> de la CMDT </w:t>
            </w:r>
            <w:r w:rsidR="00727956" w:rsidRPr="005F6A32">
              <w:rPr>
                <w:lang w:val="fr-FR"/>
              </w:rPr>
              <w:t>–</w:t>
            </w:r>
            <w:r w:rsidRPr="005F6A32">
              <w:rPr>
                <w:lang w:val="fr-FR"/>
              </w:rPr>
              <w:t xml:space="preserve"> Promouvoir l'utilisation des technologies de l'information et de la communication au service de l'autonomisation socio-économique des jeunes femmes et des jeunes hommes</w:t>
            </w:r>
          </w:p>
          <w:p w14:paraId="3A02EA56" w14:textId="6D55AE66" w:rsidR="001905A5" w:rsidRPr="005F6A32" w:rsidRDefault="001905A5" w:rsidP="00AC5B6C">
            <w:pPr>
              <w:rPr>
                <w:lang w:val="fr-FR"/>
              </w:rPr>
            </w:pPr>
            <w:r w:rsidRPr="005F6A32">
              <w:rPr>
                <w:lang w:val="fr-FR"/>
              </w:rPr>
              <w:t>R</w:t>
            </w:r>
            <w:r w:rsidR="004D5C82" w:rsidRPr="005F6A32">
              <w:rPr>
                <w:lang w:val="fr-FR"/>
              </w:rPr>
              <w:t xml:space="preserve">ésolution </w:t>
            </w:r>
            <w:hyperlink r:id="rId15" w:anchor="page=330" w:history="1">
              <w:r w:rsidRPr="005F6A32">
                <w:rPr>
                  <w:rStyle w:val="Hyperlink"/>
                  <w:lang w:val="fr-FR"/>
                </w:rPr>
                <w:t>46 (Rév. Kigali, 2022)</w:t>
              </w:r>
            </w:hyperlink>
            <w:r w:rsidRPr="005F6A32">
              <w:rPr>
                <w:lang w:val="fr-FR"/>
              </w:rPr>
              <w:t xml:space="preserve"> de la CMDT </w:t>
            </w:r>
            <w:r w:rsidR="00727956" w:rsidRPr="005F6A32">
              <w:rPr>
                <w:lang w:val="fr-FR"/>
              </w:rPr>
              <w:t>–</w:t>
            </w:r>
            <w:r w:rsidRPr="005F6A32">
              <w:rPr>
                <w:lang w:val="fr-FR"/>
              </w:rPr>
              <w:t xml:space="preserve"> Assistance en faveur des peuples et des communautés autochtones par le biais des technologies de l'information et de la communication</w:t>
            </w:r>
          </w:p>
          <w:p w14:paraId="036CFCAD" w14:textId="1E5AAF4B" w:rsidR="001905A5" w:rsidRPr="005F6A32" w:rsidRDefault="001905A5" w:rsidP="00AF411C">
            <w:pPr>
              <w:spacing w:after="120"/>
              <w:rPr>
                <w:lang w:val="fr-FR"/>
              </w:rPr>
            </w:pPr>
            <w:r w:rsidRPr="005F6A32">
              <w:rPr>
                <w:lang w:val="fr-FR"/>
              </w:rPr>
              <w:t>R</w:t>
            </w:r>
            <w:r w:rsidR="004D5C82" w:rsidRPr="005F6A32">
              <w:rPr>
                <w:lang w:val="fr-FR"/>
              </w:rPr>
              <w:t>ésolution</w:t>
            </w:r>
            <w:r w:rsidRPr="005F6A32">
              <w:rPr>
                <w:lang w:val="fr-FR"/>
              </w:rPr>
              <w:t xml:space="preserve"> </w:t>
            </w:r>
            <w:hyperlink r:id="rId16" w:anchor="page=369" w:history="1">
              <w:r w:rsidRPr="005F6A32">
                <w:rPr>
                  <w:rStyle w:val="Hyperlink"/>
                  <w:lang w:val="fr-FR"/>
                </w:rPr>
                <w:t>58 (Rév. Kigali, 2022)</w:t>
              </w:r>
            </w:hyperlink>
            <w:r w:rsidRPr="005F6A32">
              <w:rPr>
                <w:lang w:val="fr-FR"/>
              </w:rPr>
              <w:t xml:space="preserve"> de la CMDT </w:t>
            </w:r>
            <w:r w:rsidR="00727956" w:rsidRPr="005F6A32">
              <w:rPr>
                <w:lang w:val="fr-FR"/>
              </w:rPr>
              <w:t>–</w:t>
            </w:r>
            <w:r w:rsidRPr="005F6A32">
              <w:rPr>
                <w:lang w:val="fr-FR"/>
              </w:rPr>
              <w:t xml:space="preserve"> Accessibilité des télécommunications/technologies de l'information et de la communication pour les personnes handicapées et les personnes ayant des besoins particuliers</w:t>
            </w:r>
          </w:p>
        </w:tc>
      </w:tr>
    </w:tbl>
    <w:p w14:paraId="709B3232" w14:textId="77777777" w:rsidR="001905A5" w:rsidRPr="005F6A32" w:rsidRDefault="001905A5" w:rsidP="009A4E8A">
      <w:pPr>
        <w:pStyle w:val="Headingb0"/>
        <w:rPr>
          <w:lang w:val="fr-FR"/>
        </w:rPr>
      </w:pPr>
      <w:r w:rsidRPr="005F6A32">
        <w:rPr>
          <w:lang w:val="fr-FR"/>
        </w:rPr>
        <w:t>Introduction</w:t>
      </w:r>
    </w:p>
    <w:p w14:paraId="0CE1A898" w14:textId="77777777" w:rsidR="001905A5" w:rsidRPr="005F6A32" w:rsidRDefault="001905A5" w:rsidP="00AC5B6C">
      <w:pPr>
        <w:rPr>
          <w:lang w:val="fr-FR"/>
        </w:rPr>
      </w:pPr>
      <w:r w:rsidRPr="005F6A32">
        <w:rPr>
          <w:lang w:val="fr-FR"/>
        </w:rPr>
        <w:t>Le présent document donne un aperçu des travaux accomplis par le Bureau de développement des télécommunications (BDT) dans le domaine de l'inclusion numérique depuis la CMDT-22.</w:t>
      </w:r>
    </w:p>
    <w:p w14:paraId="480D8F95" w14:textId="77777777" w:rsidR="001905A5" w:rsidRPr="005F6A32" w:rsidRDefault="001905A5" w:rsidP="009A4E8A">
      <w:pPr>
        <w:pStyle w:val="Headingb0"/>
        <w:rPr>
          <w:lang w:val="fr-FR"/>
        </w:rPr>
      </w:pPr>
      <w:r w:rsidRPr="005F6A32">
        <w:rPr>
          <w:lang w:val="fr-FR"/>
        </w:rPr>
        <w:t>Résumé des résultats obtenus</w:t>
      </w:r>
    </w:p>
    <w:p w14:paraId="4B4A2217" w14:textId="7F2D48B0" w:rsidR="001905A5" w:rsidRPr="005F6A32" w:rsidRDefault="001905A5" w:rsidP="00AC5B6C">
      <w:pPr>
        <w:rPr>
          <w:rFonts w:eastAsia="Calibri"/>
          <w:lang w:val="fr-FR"/>
        </w:rPr>
      </w:pPr>
      <w:r w:rsidRPr="005F6A32">
        <w:rPr>
          <w:rFonts w:eastAsia="Calibri"/>
          <w:lang w:val="fr-FR"/>
        </w:rPr>
        <w:t xml:space="preserve">Entre 2023 et 2025, le Catalyseur 3 de l'UIT-D </w:t>
      </w:r>
      <w:r w:rsidR="009A4E8A" w:rsidRPr="005F6A32">
        <w:rPr>
          <w:rFonts w:eastAsia="Calibri"/>
          <w:lang w:val="fr-FR"/>
        </w:rPr>
        <w:t>–</w:t>
      </w:r>
      <w:r w:rsidRPr="005F6A32">
        <w:rPr>
          <w:rFonts w:eastAsia="Calibri"/>
          <w:lang w:val="fr-FR"/>
        </w:rPr>
        <w:t xml:space="preserve"> Diversité et inclusion a joué un rôle central dans la promotion de l'inclusion numérique à l'échelle mondiale en vue d'édifier une société numérique inclusive pour tous, en mettant particulièrement l'accent sur les personnes en situation de vulnérabilité et parmi eux les jeunes, les femmes et les jeunes filles, les membres de communautés rurales, isolées ou autochtones, les personnes handicapées et les personnes âgées.</w:t>
      </w:r>
    </w:p>
    <w:p w14:paraId="22E6A03D" w14:textId="3D91AFBF" w:rsidR="000F437C" w:rsidRPr="005F6A32" w:rsidRDefault="001905A5" w:rsidP="00AC5B6C">
      <w:pPr>
        <w:rPr>
          <w:rFonts w:eastAsia="Calibri"/>
          <w:lang w:val="fr-FR"/>
        </w:rPr>
      </w:pPr>
      <w:r w:rsidRPr="005F6A32">
        <w:rPr>
          <w:rFonts w:eastAsia="Calibri"/>
          <w:lang w:val="fr-FR"/>
        </w:rPr>
        <w:t xml:space="preserve">Les travaux menés par l'UIT-D dans ce domaine suivent une approche holistique et intersectionnelle qui tient compte des différents besoins des individus, qui peuvent varier selon l'âge, les capacités, le sexe, la formation et l'éducation, le statut socio-économique et l'emplacement géographique. Nous demandons que l'accessibilité numérique soit intégrée dès le départ dans l'ensemble des politiques, des produits et des services numériques afin de faire en sorte que chaque personne bénéficie d'un accès sans restriction à la société, à l'économie et à l'écosystème numériques et puisse y participer pleinement (voir la page </w:t>
      </w:r>
      <w:hyperlink r:id="rId17">
        <w:r w:rsidRPr="005F6A32">
          <w:rPr>
            <w:rStyle w:val="Hyperlink"/>
            <w:rFonts w:ascii="Calibri" w:eastAsia="Calibri" w:hAnsi="Calibri" w:cs="Calibri"/>
            <w:color w:val="467886"/>
            <w:lang w:val="fr-FR"/>
          </w:rPr>
          <w:t>Digital Inclusion</w:t>
        </w:r>
      </w:hyperlink>
      <w:r w:rsidRPr="005F6A32">
        <w:rPr>
          <w:rFonts w:eastAsia="Calibri"/>
          <w:lang w:val="fr-FR"/>
        </w:rPr>
        <w:t xml:space="preserve"> consacrée à l'inclusion numérique sur le site de l'UIT).</w:t>
      </w:r>
    </w:p>
    <w:p w14:paraId="6FA425F3" w14:textId="186EDEBB" w:rsidR="00BD6A03" w:rsidRPr="005F6A32" w:rsidRDefault="00BD6A03" w:rsidP="00BD6A03">
      <w:pPr>
        <w:jc w:val="center"/>
        <w:rPr>
          <w:rFonts w:eastAsia="Calibri"/>
          <w:lang w:val="fr-FR"/>
        </w:rPr>
      </w:pPr>
      <w:r w:rsidRPr="005F6A32">
        <w:rPr>
          <w:rFonts w:eastAsia="Calibri"/>
          <w:lang w:val="fr-FR"/>
        </w:rPr>
        <w:drawing>
          <wp:inline distT="0" distB="0" distL="0" distR="0" wp14:anchorId="706359C9" wp14:editId="69ED2A2E">
            <wp:extent cx="3487753" cy="2838615"/>
            <wp:effectExtent l="0" t="0" r="0" b="0"/>
            <wp:docPr id="967798473" name="Picture 1" descr="A diagram of a social distanc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98473" name="Picture 1" descr="A diagram of a social distancing&#10;&#10;AI-generated content may be incorrect."/>
                    <pic:cNvPicPr/>
                  </pic:nvPicPr>
                  <pic:blipFill>
                    <a:blip r:embed="rId18"/>
                    <a:stretch>
                      <a:fillRect/>
                    </a:stretch>
                  </pic:blipFill>
                  <pic:spPr>
                    <a:xfrm>
                      <a:off x="0" y="0"/>
                      <a:ext cx="3506383" cy="2853777"/>
                    </a:xfrm>
                    <a:prstGeom prst="rect">
                      <a:avLst/>
                    </a:prstGeom>
                  </pic:spPr>
                </pic:pic>
              </a:graphicData>
            </a:graphic>
          </wp:inline>
        </w:drawing>
      </w:r>
    </w:p>
    <w:p w14:paraId="41A95883" w14:textId="70636ABB" w:rsidR="001905A5" w:rsidRPr="005F6A32" w:rsidRDefault="001905A5" w:rsidP="00C96323">
      <w:pPr>
        <w:pStyle w:val="Figure"/>
        <w:jc w:val="left"/>
        <w:rPr>
          <w:rFonts w:eastAsia="Calibri"/>
          <w:lang w:val="fr-FR"/>
        </w:rPr>
      </w:pPr>
      <w:bookmarkStart w:id="7" w:name="_Hlk212128264"/>
      <w:r w:rsidRPr="005F6A32">
        <w:rPr>
          <w:rFonts w:eastAsia="Calibri"/>
          <w:lang w:val="fr-FR"/>
        </w:rPr>
        <w:lastRenderedPageBreak/>
        <w:t>Parmi les actions menées par le BDT en faveur de l'inclusion numérique, on peut citer:</w:t>
      </w:r>
      <w:bookmarkEnd w:id="7"/>
    </w:p>
    <w:p w14:paraId="22B43172" w14:textId="6908FC8C" w:rsidR="001905A5" w:rsidRPr="005F6A32" w:rsidRDefault="001905A5" w:rsidP="001905A5">
      <w:pPr>
        <w:pStyle w:val="enumlev1"/>
        <w:rPr>
          <w:rFonts w:eastAsia="Calibri"/>
          <w:lang w:val="fr-FR"/>
        </w:rPr>
      </w:pPr>
      <w:r w:rsidRPr="005F6A32">
        <w:rPr>
          <w:rFonts w:eastAsia="Calibri"/>
          <w:lang w:val="fr-FR"/>
        </w:rPr>
        <w:t>–</w:t>
      </w:r>
      <w:r w:rsidRPr="005F6A32">
        <w:rPr>
          <w:rFonts w:eastAsia="Calibri"/>
          <w:lang w:val="fr-FR"/>
        </w:rPr>
        <w:tab/>
        <w:t>la sensibilisation, la mise à disposition d'experts, des formations personnalisées et la mise en œuvre de projets à l'appui du développement et du déploiement de produits et services TIC inclusifs et de leur utilisation par tous les usagers, y compris ceux en situation de vulnérabilité;</w:t>
      </w:r>
    </w:p>
    <w:p w14:paraId="75D9A971" w14:textId="37C0E08B" w:rsidR="001905A5" w:rsidRPr="005F6A32" w:rsidRDefault="001905A5" w:rsidP="00AC5B6C">
      <w:pPr>
        <w:pStyle w:val="enumlev1"/>
        <w:rPr>
          <w:rFonts w:eastAsia="Calibri"/>
          <w:lang w:val="fr-FR"/>
        </w:rPr>
      </w:pPr>
      <w:r w:rsidRPr="005F6A32">
        <w:rPr>
          <w:rFonts w:eastAsia="Calibri"/>
          <w:lang w:val="fr-FR"/>
        </w:rPr>
        <w:t>–</w:t>
      </w:r>
      <w:r w:rsidRPr="005F6A32">
        <w:rPr>
          <w:rFonts w:eastAsia="Calibri"/>
          <w:lang w:val="fr-FR"/>
        </w:rPr>
        <w:tab/>
        <w:t>la création d'outils et de ressources et l'animation de plates-formes collaboratives avec la participation des pouvoirs publics, du secteur privé, de la société civiles et des établissements universitaires afin de renforcer les connaissances, de mettre en commun les bonnes pratiques et de faciliter les partenariats en vue d'accroître la mise en œuvre de l'inclusion numérique à l'échelle nationale et régionale;</w:t>
      </w:r>
    </w:p>
    <w:p w14:paraId="3A465BBF" w14:textId="05AC15AD" w:rsidR="001905A5" w:rsidRPr="005F6A32" w:rsidRDefault="001905A5" w:rsidP="00AC5B6C">
      <w:pPr>
        <w:pStyle w:val="enumlev1"/>
        <w:rPr>
          <w:rFonts w:eastAsia="Calibri"/>
          <w:lang w:val="fr-FR"/>
        </w:rPr>
      </w:pPr>
      <w:r w:rsidRPr="005F6A32">
        <w:rPr>
          <w:rFonts w:eastAsia="Calibri"/>
          <w:lang w:val="fr-FR"/>
        </w:rPr>
        <w:t>–</w:t>
      </w:r>
      <w:r w:rsidRPr="005F6A32">
        <w:rPr>
          <w:rFonts w:eastAsia="Calibri"/>
          <w:lang w:val="fr-FR"/>
        </w:rPr>
        <w:tab/>
        <w:t>l'assistance aux décideurs, mais aussi aux personnes en situation de vulnérabilité, pour leur permettre, respectivement, d'élaborer des politiques et des stratégies nationales inclusives et de prendre une part active à la société et l'écosystème numériques.</w:t>
      </w:r>
    </w:p>
    <w:p w14:paraId="57B69DEA" w14:textId="77777777" w:rsidR="00A64DDD" w:rsidRPr="005F6A32" w:rsidRDefault="00A64DDD" w:rsidP="00AC5B6C">
      <w:pPr>
        <w:rPr>
          <w:rFonts w:eastAsia="Calibri"/>
          <w:lang w:val="fr-FR"/>
        </w:rPr>
      </w:pPr>
      <w:r w:rsidRPr="005F6A32">
        <w:rPr>
          <w:rFonts w:eastAsia="Calibri"/>
          <w:lang w:val="fr-FR"/>
        </w:rPr>
        <w:t>À cette fin, le BDT a encouragé l'engagement ascendant et descendant, ce qui a eu pour effet de renforcer les capacités, de diffuser les bonnes pratiques et d'élargir les réseaux. Ces efforts ont contribué à autonomiser les femmes et les jeunes filles, les personnes handicapées, les personnes âgées, les jeunes, les personnes vivant dans des zones rurales et isolées et les communautés autochtones, leur donnant la possibilité de participer activement à la société numérique.</w:t>
      </w:r>
    </w:p>
    <w:p w14:paraId="13D50F93" w14:textId="77777777" w:rsidR="00A64DDD" w:rsidRPr="005F6A32" w:rsidRDefault="00A64DDD" w:rsidP="00AC5B6C">
      <w:pPr>
        <w:rPr>
          <w:rFonts w:eastAsia="Calibri"/>
          <w:lang w:val="fr-FR"/>
        </w:rPr>
      </w:pPr>
      <w:r w:rsidRPr="005F6A32">
        <w:rPr>
          <w:rFonts w:eastAsia="Calibri"/>
          <w:lang w:val="fr-FR"/>
        </w:rPr>
        <w:t>Les principales réalisations sont notamment les suivantes:</w:t>
      </w:r>
    </w:p>
    <w:p w14:paraId="6FC32DA7" w14:textId="239599CE" w:rsidR="00A64DDD" w:rsidRPr="005F6A32" w:rsidRDefault="00B80BA2" w:rsidP="00B51EFF">
      <w:pPr>
        <w:pStyle w:val="enumlev1"/>
        <w:rPr>
          <w:rFonts w:eastAsia="Calibri"/>
          <w:lang w:val="fr-FR"/>
        </w:rPr>
      </w:pPr>
      <w:r w:rsidRPr="005F6A32">
        <w:rPr>
          <w:rFonts w:eastAsia="Calibri"/>
          <w:lang w:val="fr-FR"/>
        </w:rPr>
        <w:t>–</w:t>
      </w:r>
      <w:r w:rsidRPr="005F6A32">
        <w:rPr>
          <w:rFonts w:eastAsia="Calibri"/>
          <w:lang w:val="fr-FR"/>
        </w:rPr>
        <w:tab/>
      </w:r>
      <w:r w:rsidR="00A64DDD" w:rsidRPr="005F6A32">
        <w:rPr>
          <w:rFonts w:eastAsia="Calibri"/>
          <w:b/>
          <w:bCs/>
          <w:lang w:val="fr-FR"/>
        </w:rPr>
        <w:t>renforcement des capacités sur les sujets liés à l'inclusion numérique pour plus</w:t>
      </w:r>
      <w:r w:rsidR="00617ED0" w:rsidRPr="005F6A32">
        <w:rPr>
          <w:rFonts w:eastAsia="Calibri"/>
          <w:b/>
          <w:bCs/>
          <w:lang w:val="fr-FR"/>
        </w:rPr>
        <w:t> </w:t>
      </w:r>
      <w:r w:rsidR="00A64DDD" w:rsidRPr="005F6A32">
        <w:rPr>
          <w:rFonts w:eastAsia="Calibri"/>
          <w:b/>
          <w:bCs/>
          <w:lang w:val="fr-FR"/>
        </w:rPr>
        <w:t>de</w:t>
      </w:r>
      <w:r w:rsidR="00617ED0" w:rsidRPr="005F6A32">
        <w:rPr>
          <w:rFonts w:eastAsia="Calibri"/>
          <w:b/>
          <w:bCs/>
          <w:lang w:val="fr-FR"/>
        </w:rPr>
        <w:t> </w:t>
      </w:r>
      <w:r w:rsidR="00A64DDD" w:rsidRPr="005F6A32">
        <w:rPr>
          <w:rFonts w:eastAsia="Calibri"/>
          <w:b/>
          <w:bCs/>
          <w:lang w:val="fr-FR"/>
        </w:rPr>
        <w:t>14 000</w:t>
      </w:r>
      <w:r w:rsidRPr="005F6A32">
        <w:rPr>
          <w:rFonts w:eastAsia="Calibri"/>
          <w:b/>
          <w:bCs/>
          <w:lang w:val="fr-FR"/>
        </w:rPr>
        <w:t> </w:t>
      </w:r>
      <w:r w:rsidR="00A64DDD" w:rsidRPr="005F6A32">
        <w:rPr>
          <w:rFonts w:eastAsia="Calibri"/>
          <w:b/>
          <w:bCs/>
          <w:lang w:val="fr-FR"/>
        </w:rPr>
        <w:t>membres de l'UIT, parties prenantes et décideurs</w:t>
      </w:r>
      <w:r w:rsidR="00A64DDD" w:rsidRPr="005F6A32">
        <w:rPr>
          <w:rFonts w:eastAsia="Calibri"/>
          <w:lang w:val="fr-FR"/>
        </w:rPr>
        <w:t xml:space="preserve"> de plus de 120</w:t>
      </w:r>
      <w:r w:rsidRPr="005F6A32">
        <w:rPr>
          <w:rFonts w:eastAsia="Calibri"/>
          <w:lang w:val="fr-FR"/>
        </w:rPr>
        <w:t xml:space="preserve"> </w:t>
      </w:r>
      <w:r w:rsidR="00A64DDD" w:rsidRPr="005F6A32">
        <w:rPr>
          <w:rFonts w:eastAsia="Calibri"/>
          <w:lang w:val="fr-FR"/>
        </w:rPr>
        <w:t>pays, afin d'accompagner la conception et la mise en œuvre de politiques et de stratégies nationales en faveur de l'inclusion numérique;</w:t>
      </w:r>
    </w:p>
    <w:p w14:paraId="2DBB42CD" w14:textId="7FDCCD5D" w:rsidR="00A64DDD" w:rsidRPr="005F6A32" w:rsidRDefault="00B80BA2" w:rsidP="00B51EFF">
      <w:pPr>
        <w:pStyle w:val="enumlev1"/>
        <w:rPr>
          <w:rFonts w:eastAsia="Calibri"/>
          <w:lang w:val="fr-FR"/>
        </w:rPr>
      </w:pPr>
      <w:r w:rsidRPr="005F6A32">
        <w:rPr>
          <w:rFonts w:eastAsia="Calibri"/>
          <w:lang w:val="fr-FR"/>
        </w:rPr>
        <w:t>–</w:t>
      </w:r>
      <w:r w:rsidRPr="005F6A32">
        <w:rPr>
          <w:rFonts w:eastAsia="Calibri"/>
          <w:b/>
          <w:bCs/>
          <w:lang w:val="fr-FR"/>
        </w:rPr>
        <w:tab/>
      </w:r>
      <w:r w:rsidR="00A64DDD" w:rsidRPr="005F6A32">
        <w:rPr>
          <w:rFonts w:eastAsia="Calibri"/>
          <w:b/>
          <w:bCs/>
          <w:lang w:val="fr-FR"/>
        </w:rPr>
        <w:t>éducation de plus de 13</w:t>
      </w:r>
      <w:r w:rsidR="00617ED0" w:rsidRPr="005F6A32">
        <w:rPr>
          <w:rFonts w:eastAsia="Calibri"/>
          <w:b/>
          <w:bCs/>
          <w:lang w:val="fr-FR"/>
        </w:rPr>
        <w:t xml:space="preserve"> </w:t>
      </w:r>
      <w:r w:rsidR="00A64DDD" w:rsidRPr="005F6A32">
        <w:rPr>
          <w:rFonts w:eastAsia="Calibri"/>
          <w:b/>
          <w:bCs/>
          <w:lang w:val="fr-FR"/>
        </w:rPr>
        <w:t>000</w:t>
      </w:r>
      <w:r w:rsidR="00D05C84" w:rsidRPr="005F6A32">
        <w:rPr>
          <w:rFonts w:eastAsia="Calibri"/>
          <w:b/>
          <w:bCs/>
          <w:lang w:val="fr-FR"/>
        </w:rPr>
        <w:t xml:space="preserve"> </w:t>
      </w:r>
      <w:r w:rsidR="00A64DDD" w:rsidRPr="005F6A32">
        <w:rPr>
          <w:rFonts w:eastAsia="Calibri"/>
          <w:b/>
          <w:bCs/>
          <w:lang w:val="fr-FR"/>
        </w:rPr>
        <w:t>utilisateurs finals à l'inclusion numérique au moyen de formations personnalisées et localisées</w:t>
      </w:r>
      <w:r w:rsidR="00A64DDD" w:rsidRPr="005F6A32">
        <w:rPr>
          <w:rFonts w:eastAsia="Calibri"/>
          <w:lang w:val="fr-FR"/>
        </w:rPr>
        <w:t xml:space="preserve"> dans plus de 40</w:t>
      </w:r>
      <w:r w:rsidRPr="005F6A32">
        <w:rPr>
          <w:rFonts w:eastAsia="Calibri"/>
          <w:lang w:val="fr-FR"/>
        </w:rPr>
        <w:t xml:space="preserve"> </w:t>
      </w:r>
      <w:r w:rsidR="00A64DDD" w:rsidRPr="005F6A32">
        <w:rPr>
          <w:rFonts w:eastAsia="Calibri"/>
          <w:lang w:val="fr-FR"/>
        </w:rPr>
        <w:t>pays, notamment des usagers aveugles au Pakistan, des jeunes en Afrique et des communautés autochtones en Amérique latine;</w:t>
      </w:r>
    </w:p>
    <w:p w14:paraId="03FE71F1" w14:textId="1CC1A7BB" w:rsidR="00A64DDD" w:rsidRPr="005F6A32" w:rsidRDefault="00B80BA2" w:rsidP="00B51EFF">
      <w:pPr>
        <w:pStyle w:val="enumlev1"/>
        <w:rPr>
          <w:rFonts w:eastAsia="Calibri"/>
          <w:lang w:val="fr-FR"/>
        </w:rPr>
      </w:pPr>
      <w:r w:rsidRPr="005F6A32">
        <w:rPr>
          <w:rFonts w:eastAsia="Calibri"/>
          <w:lang w:val="fr-FR"/>
        </w:rPr>
        <w:t>–</w:t>
      </w:r>
      <w:r w:rsidRPr="005F6A32">
        <w:rPr>
          <w:rFonts w:eastAsia="Calibri"/>
          <w:lang w:val="fr-FR"/>
        </w:rPr>
        <w:tab/>
      </w:r>
      <w:r w:rsidR="00A64DDD" w:rsidRPr="005F6A32">
        <w:rPr>
          <w:rFonts w:eastAsia="Calibri"/>
          <w:b/>
          <w:bCs/>
          <w:lang w:val="fr-FR"/>
        </w:rPr>
        <w:t>appui ciblé à 12 États parmi les pays les moins avancés, les pays en développement sans littoral et les petits États insulaires en développement</w:t>
      </w:r>
      <w:r w:rsidR="00A64DDD" w:rsidRPr="005F6A32">
        <w:rPr>
          <w:rFonts w:eastAsia="Calibri"/>
          <w:lang w:val="fr-FR"/>
        </w:rPr>
        <w:t>.</w:t>
      </w:r>
    </w:p>
    <w:p w14:paraId="5365D842" w14:textId="77777777" w:rsidR="00A64DDD" w:rsidRPr="005F6A32" w:rsidRDefault="00A64DDD" w:rsidP="00AE2A4A">
      <w:pPr>
        <w:rPr>
          <w:rFonts w:eastAsia="Calibri"/>
          <w:b/>
          <w:bCs/>
          <w:lang w:val="fr-FR"/>
        </w:rPr>
      </w:pPr>
      <w:r w:rsidRPr="005F6A32">
        <w:rPr>
          <w:rFonts w:eastAsia="Calibri"/>
          <w:b/>
          <w:bCs/>
          <w:lang w:val="fr-FR"/>
        </w:rPr>
        <w:t>Les travaux menés par le BDT en faveur de l'inclusion numérique ont entraîné en particulier des résultats tangibles dans les domaines suivants:</w:t>
      </w:r>
    </w:p>
    <w:p w14:paraId="05262E2D" w14:textId="2AC5E856" w:rsidR="00A64DDD" w:rsidRPr="005F6A32" w:rsidRDefault="00B80BA2" w:rsidP="00B51EFF">
      <w:pPr>
        <w:pStyle w:val="Heading1"/>
        <w:rPr>
          <w:rFonts w:eastAsia="Calibri"/>
          <w:lang w:val="fr-FR"/>
        </w:rPr>
      </w:pPr>
      <w:r w:rsidRPr="005F6A32">
        <w:rPr>
          <w:rFonts w:eastAsia="Calibri"/>
          <w:lang w:val="fr-FR"/>
        </w:rPr>
        <w:t>1</w:t>
      </w:r>
      <w:r w:rsidRPr="005F6A32">
        <w:rPr>
          <w:rFonts w:eastAsia="Calibri"/>
          <w:lang w:val="fr-FR"/>
        </w:rPr>
        <w:tab/>
      </w:r>
      <w:r w:rsidR="00A64DDD" w:rsidRPr="005F6A32">
        <w:rPr>
          <w:rFonts w:eastAsia="Calibri"/>
          <w:lang w:val="fr-FR"/>
        </w:rPr>
        <w:t>Avis spécialisés et renforcement des capacités en vue de l'élaboration de politiques et de stratégies en faveur de l'inclusion numérique</w:t>
      </w:r>
    </w:p>
    <w:p w14:paraId="24C631CA" w14:textId="33F03070" w:rsidR="00A64DDD" w:rsidRPr="005F6A32" w:rsidRDefault="00A64DDD" w:rsidP="00AE2A4A">
      <w:pPr>
        <w:rPr>
          <w:rFonts w:eastAsia="Calibri"/>
          <w:lang w:val="fr-FR"/>
        </w:rPr>
      </w:pPr>
      <w:r w:rsidRPr="005F6A32">
        <w:rPr>
          <w:rFonts w:eastAsia="Calibri"/>
          <w:lang w:val="fr-FR"/>
        </w:rPr>
        <w:t>Le BDT a renforcé les capacités de plus de 10 500</w:t>
      </w:r>
      <w:r w:rsidR="00D05C84" w:rsidRPr="005F6A32">
        <w:rPr>
          <w:rFonts w:eastAsia="Calibri"/>
          <w:lang w:val="fr-FR"/>
        </w:rPr>
        <w:t xml:space="preserve"> </w:t>
      </w:r>
      <w:r w:rsidRPr="005F6A32">
        <w:rPr>
          <w:rFonts w:eastAsia="Calibri"/>
          <w:lang w:val="fr-FR"/>
        </w:rPr>
        <w:t>dirigeants, décideurs et parties prenantes dans plus de 120</w:t>
      </w:r>
      <w:r w:rsidR="001F1713" w:rsidRPr="005F6A32">
        <w:rPr>
          <w:rFonts w:eastAsia="Calibri"/>
          <w:lang w:val="fr-FR"/>
        </w:rPr>
        <w:t xml:space="preserve"> </w:t>
      </w:r>
      <w:r w:rsidRPr="005F6A32">
        <w:rPr>
          <w:rFonts w:eastAsia="Calibri"/>
          <w:lang w:val="fr-FR"/>
        </w:rPr>
        <w:t>pays des régions Afrique, Asie-Pacifique, CEI, États arabes, Amériques et Europe dans le domaine de l'élaboration de politiques en faveur de l'inclusion numérique, grâce à un appui spécialisé et à des interventions ciblées. Ce renforcement de capacité a permis aux personnes accompagnées de concevoir, élaborer et déployer des stratégies, des politiques et des pratiques qui accroissent l'inclusion et l'équité numériques, assurant ainsi que l'ensemble des populations</w:t>
      </w:r>
      <w:r w:rsidR="00620532" w:rsidRPr="005F6A32">
        <w:rPr>
          <w:rFonts w:eastAsia="Calibri"/>
          <w:lang w:val="fr-FR"/>
        </w:rPr>
        <w:t> </w:t>
      </w:r>
      <w:r w:rsidR="001F1713" w:rsidRPr="005F6A32">
        <w:rPr>
          <w:rFonts w:eastAsia="Calibri"/>
          <w:lang w:val="fr-FR"/>
        </w:rPr>
        <w:t>–</w:t>
      </w:r>
      <w:r w:rsidR="00620532" w:rsidRPr="005F6A32">
        <w:rPr>
          <w:rFonts w:eastAsia="Calibri"/>
          <w:lang w:val="fr-FR"/>
        </w:rPr>
        <w:t> </w:t>
      </w:r>
      <w:r w:rsidRPr="005F6A32">
        <w:rPr>
          <w:rFonts w:eastAsia="Calibri"/>
          <w:lang w:val="fr-FR"/>
        </w:rPr>
        <w:t xml:space="preserve">y compris les femmes et les jeunes filles, les personnes âgées, les personnes handicapées et les membres de communautés isolées ou autochtones </w:t>
      </w:r>
      <w:r w:rsidR="001F1713" w:rsidRPr="005F6A32">
        <w:rPr>
          <w:rFonts w:eastAsia="Calibri"/>
          <w:lang w:val="fr-FR"/>
        </w:rPr>
        <w:t>–</w:t>
      </w:r>
      <w:r w:rsidRPr="005F6A32">
        <w:rPr>
          <w:rFonts w:eastAsia="Calibri"/>
          <w:lang w:val="fr-FR"/>
        </w:rPr>
        <w:t xml:space="preserve"> puissent utiliser équitablement les produits et services TIC afin de communiquer, d'être présentes dans l'espace numérique et de s'y épanouir.</w:t>
      </w:r>
    </w:p>
    <w:p w14:paraId="6270EA1F" w14:textId="64BDEDBD" w:rsidR="00A64DDD" w:rsidRPr="005F6A32" w:rsidRDefault="00A64DDD" w:rsidP="00AE2A4A">
      <w:pPr>
        <w:rPr>
          <w:rFonts w:eastAsia="Calibri"/>
          <w:lang w:val="fr-FR"/>
        </w:rPr>
      </w:pPr>
      <w:r w:rsidRPr="005F6A32">
        <w:rPr>
          <w:rFonts w:eastAsia="Calibri"/>
          <w:lang w:val="fr-FR"/>
        </w:rPr>
        <w:lastRenderedPageBreak/>
        <w:t>Ce vaste transfert de connaissances a pu avoir lieu grâce à l'organisation de formations personnalisées en face à face destinées aux cadres, à la tenue d'ateliers et à la participation aux plates-formes régionales, mondiales et des Nations Unies consacrées aux politiques numériques inclusives, à l'intégration du principe de l'égalité hommes-femmes, à l'accessibilité des TIC/du numérique, au vieillissement et à la participation des jeunes.</w:t>
      </w:r>
    </w:p>
    <w:p w14:paraId="20D29C01" w14:textId="4DF4E60A" w:rsidR="00A64DDD" w:rsidRPr="005F6A32" w:rsidRDefault="00A64DDD" w:rsidP="00AE2A4A">
      <w:pPr>
        <w:rPr>
          <w:rFonts w:eastAsia="Calibri"/>
          <w:lang w:val="fr-FR"/>
        </w:rPr>
      </w:pPr>
      <w:r w:rsidRPr="005F6A32">
        <w:rPr>
          <w:rFonts w:eastAsia="Calibri"/>
          <w:lang w:val="fr-FR"/>
        </w:rPr>
        <w:t>En complément de ces mesures, plus de 3 500</w:t>
      </w:r>
      <w:r w:rsidR="00D05C84" w:rsidRPr="005F6A32">
        <w:rPr>
          <w:rFonts w:eastAsia="Calibri"/>
          <w:lang w:val="fr-FR"/>
        </w:rPr>
        <w:t xml:space="preserve"> </w:t>
      </w:r>
      <w:r w:rsidRPr="005F6A32">
        <w:rPr>
          <w:rFonts w:eastAsia="Calibri"/>
          <w:lang w:val="fr-FR"/>
        </w:rPr>
        <w:t>Membres de l'UIT et parties prenantes ont pu renforcer leurs capacités sur les sujets de l'inclusion numérique en prenant part à des formations en ligne, adaptées au rythme de chacun, proposées sur des plates-formes telles que l'Académie de</w:t>
      </w:r>
      <w:r w:rsidR="00617ED0" w:rsidRPr="005F6A32">
        <w:rPr>
          <w:rFonts w:eastAsia="Calibri"/>
          <w:lang w:val="fr-FR"/>
        </w:rPr>
        <w:t> </w:t>
      </w:r>
      <w:r w:rsidRPr="005F6A32">
        <w:rPr>
          <w:rFonts w:eastAsia="Calibri"/>
          <w:lang w:val="fr-FR"/>
        </w:rPr>
        <w:t>l'UIT. Gratuites, présentées sous des formats numériques accessibles (adaptées aux personnes sourdes ou aveugles) et dans différentes langues (par exemple en anglais, français, espagnol, arabe, russe et portugais) avec du contenu localisé, ces formations garantissent l'inclusivité et touchent un large public.</w:t>
      </w:r>
    </w:p>
    <w:p w14:paraId="4AB785B0" w14:textId="7C7B8E48" w:rsidR="00A64DDD" w:rsidRPr="005F6A32" w:rsidRDefault="001F1713" w:rsidP="001F1713">
      <w:pPr>
        <w:pStyle w:val="Heading2"/>
        <w:rPr>
          <w:rFonts w:eastAsia="Calibri"/>
          <w:lang w:val="fr-FR"/>
        </w:rPr>
      </w:pPr>
      <w:r w:rsidRPr="005F6A32">
        <w:rPr>
          <w:rFonts w:eastAsia="Calibri"/>
          <w:lang w:val="fr-FR"/>
        </w:rPr>
        <w:t>1.1</w:t>
      </w:r>
      <w:r w:rsidRPr="005F6A32">
        <w:rPr>
          <w:rFonts w:eastAsia="Calibri"/>
          <w:lang w:val="fr-FR"/>
        </w:rPr>
        <w:tab/>
      </w:r>
      <w:r w:rsidR="00A64DDD" w:rsidRPr="005F6A32">
        <w:rPr>
          <w:rFonts w:eastAsia="Calibri"/>
          <w:lang w:val="fr-FR"/>
        </w:rPr>
        <w:t>Les stratégies nationales pour l'inclusion numérique, un modèle en pleine évolution</w:t>
      </w:r>
    </w:p>
    <w:p w14:paraId="7D909B08" w14:textId="71B85936" w:rsidR="00A64DDD" w:rsidRPr="005F6A32" w:rsidRDefault="00A64DDD" w:rsidP="00AE2A4A">
      <w:pPr>
        <w:rPr>
          <w:rFonts w:eastAsia="Calibri"/>
          <w:lang w:val="fr-FR"/>
        </w:rPr>
      </w:pPr>
      <w:r w:rsidRPr="005F6A32">
        <w:rPr>
          <w:rFonts w:eastAsia="Calibri"/>
          <w:lang w:val="fr-FR"/>
        </w:rPr>
        <w:t>L'acquisition de connaissances spécialisées à l'appui de l'élaboration de Plans nationaux stratégiques pour l'inclusion numérique</w:t>
      </w:r>
      <w:r w:rsidR="00045F37" w:rsidRPr="005F6A32">
        <w:rPr>
          <w:rFonts w:eastAsia="Calibri"/>
          <w:lang w:val="fr-FR"/>
        </w:rPr>
        <w:t xml:space="preserve"> –</w:t>
      </w:r>
      <w:r w:rsidRPr="005F6A32">
        <w:rPr>
          <w:rFonts w:eastAsia="Calibri"/>
          <w:lang w:val="fr-FR"/>
        </w:rPr>
        <w:t xml:space="preserve"> conçus d'un point de vue holistique et intersectionnel afin de s'assurer que soient pris en compte les besoins et les exigences de l'ensemble des citoyens pour permettre à tous d'utiliser la technologie, de communiquer et de participer à la société numérique</w:t>
      </w:r>
      <w:r w:rsidR="00045F37" w:rsidRPr="005F6A32">
        <w:rPr>
          <w:rFonts w:eastAsia="Calibri"/>
          <w:lang w:val="fr-FR"/>
        </w:rPr>
        <w:t xml:space="preserve"> –</w:t>
      </w:r>
      <w:r w:rsidRPr="005F6A32">
        <w:rPr>
          <w:rFonts w:eastAsia="Calibri"/>
          <w:lang w:val="fr-FR"/>
        </w:rPr>
        <w:t xml:space="preserve"> a également été encouragée et facilitée. Un plan pilote a été mis en œuvre au Burundi, l'objectif étant de répliquer et compléter cette approche dans d'autres pays et d'autres régions. Des rapports portant sur les politiques en matière d'égalité hommes-femmes ont en outre été produits concernant le </w:t>
      </w:r>
      <w:hyperlink r:id="rId19" w:anchor="/fr">
        <w:r w:rsidRPr="005F6A32">
          <w:rPr>
            <w:rStyle w:val="Hyperlink"/>
            <w:rFonts w:ascii="Calibri" w:eastAsia="Calibri" w:hAnsi="Calibri" w:cs="Calibri"/>
            <w:lang w:val="fr-FR"/>
          </w:rPr>
          <w:t>Burundi</w:t>
        </w:r>
      </w:hyperlink>
      <w:r w:rsidRPr="005F6A32">
        <w:rPr>
          <w:rFonts w:eastAsia="Calibri"/>
          <w:lang w:val="fr-FR"/>
        </w:rPr>
        <w:t>, l'</w:t>
      </w:r>
      <w:hyperlink r:id="rId20" w:anchor="/fr">
        <w:r w:rsidRPr="005F6A32">
          <w:rPr>
            <w:rStyle w:val="Hyperlink"/>
            <w:rFonts w:ascii="Calibri" w:eastAsia="Calibri" w:hAnsi="Calibri" w:cs="Calibri"/>
            <w:lang w:val="fr-FR"/>
          </w:rPr>
          <w:t>Éthiopie</w:t>
        </w:r>
      </w:hyperlink>
      <w:r w:rsidRPr="005F6A32">
        <w:rPr>
          <w:rFonts w:eastAsia="Calibri"/>
          <w:lang w:val="fr-FR"/>
        </w:rPr>
        <w:t>, Haïti, la République dominicaine et la Libye.</w:t>
      </w:r>
    </w:p>
    <w:p w14:paraId="2F9889E7" w14:textId="79CB7DE4" w:rsidR="00A64DDD" w:rsidRPr="005F6A32" w:rsidRDefault="001F1713" w:rsidP="005D7D19">
      <w:pPr>
        <w:pStyle w:val="Heading2"/>
        <w:rPr>
          <w:rFonts w:eastAsia="Calibri"/>
          <w:lang w:val="fr-FR"/>
        </w:rPr>
      </w:pPr>
      <w:r w:rsidRPr="005F6A32">
        <w:rPr>
          <w:rFonts w:eastAsia="Calibri"/>
          <w:lang w:val="fr-FR"/>
        </w:rPr>
        <w:t>1.2</w:t>
      </w:r>
      <w:r w:rsidRPr="005F6A32">
        <w:rPr>
          <w:rFonts w:eastAsia="Calibri"/>
          <w:lang w:val="fr-FR"/>
        </w:rPr>
        <w:tab/>
      </w:r>
      <w:r w:rsidR="00A64DDD" w:rsidRPr="005F6A32">
        <w:rPr>
          <w:rFonts w:eastAsia="Calibri"/>
          <w:lang w:val="fr-FR"/>
        </w:rPr>
        <w:t>Représentants des groupes pour la jeunesse de l'Initiative Generation Connect</w:t>
      </w:r>
    </w:p>
    <w:p w14:paraId="09EF3079" w14:textId="127F09DF" w:rsidR="00A64DDD" w:rsidRPr="005F6A32" w:rsidRDefault="00A64DDD" w:rsidP="00AE2A4A">
      <w:pPr>
        <w:rPr>
          <w:rFonts w:eastAsia="Calibri"/>
          <w:lang w:val="fr-FR"/>
        </w:rPr>
      </w:pPr>
      <w:r w:rsidRPr="005F6A32">
        <w:rPr>
          <w:rFonts w:eastAsia="Calibri"/>
          <w:lang w:val="fr-FR"/>
        </w:rPr>
        <w:t>Entre 2023 et 2025, le BDT a su mobiliser fortement la jeunesse par l'intermédiaire de l'</w:t>
      </w:r>
      <w:r w:rsidR="00045F37" w:rsidRPr="005F6A32">
        <w:rPr>
          <w:rFonts w:eastAsia="Calibri"/>
          <w:lang w:val="fr-FR"/>
        </w:rPr>
        <w:t>I</w:t>
      </w:r>
      <w:r w:rsidRPr="005F6A32">
        <w:rPr>
          <w:rFonts w:eastAsia="Calibri"/>
          <w:lang w:val="fr-FR"/>
        </w:rPr>
        <w:t>nitiative</w:t>
      </w:r>
      <w:r w:rsidR="005D7D19" w:rsidRPr="005F6A32">
        <w:rPr>
          <w:rFonts w:eastAsia="Calibri"/>
          <w:lang w:val="fr-FR"/>
        </w:rPr>
        <w:t> </w:t>
      </w:r>
      <w:r w:rsidRPr="005F6A32">
        <w:rPr>
          <w:rFonts w:eastAsia="Calibri"/>
          <w:lang w:val="fr-FR"/>
        </w:rPr>
        <w:t xml:space="preserve">Generation Connect, permettant ainsi aux jeunes de contribuer activement au programme de développement du numérique de l'UIT. En partenariat avec les États Membres et à l'issue d'un processus de sélection concurrentiel international, l'UIT a nommé 184 </w:t>
      </w:r>
      <w:hyperlink r:id="rId21">
        <w:r w:rsidRPr="005F6A32">
          <w:rPr>
            <w:rStyle w:val="Hyperlink"/>
            <w:rFonts w:ascii="Calibri" w:eastAsia="Calibri" w:hAnsi="Calibri" w:cs="Calibri"/>
            <w:lang w:val="fr-FR"/>
          </w:rPr>
          <w:t>représentants des groupes pour la jeunesse Generation Connect</w:t>
        </w:r>
      </w:hyperlink>
      <w:r w:rsidRPr="005F6A32">
        <w:rPr>
          <w:rFonts w:eastAsia="Calibri"/>
          <w:lang w:val="fr-FR"/>
        </w:rPr>
        <w:t xml:space="preserve"> originaires de 64</w:t>
      </w:r>
      <w:r w:rsidR="00045F37" w:rsidRPr="005F6A32">
        <w:rPr>
          <w:rFonts w:eastAsia="Calibri"/>
          <w:lang w:val="fr-FR"/>
        </w:rPr>
        <w:t xml:space="preserve"> </w:t>
      </w:r>
      <w:r w:rsidRPr="005F6A32">
        <w:rPr>
          <w:rFonts w:eastAsia="Calibri"/>
          <w:lang w:val="fr-FR"/>
        </w:rPr>
        <w:t>pays, en assurant au passage la quasi-parité hommes-femmes et une forte représentation des pays les moins avancés, des pays en</w:t>
      </w:r>
      <w:r w:rsidR="00CA7158" w:rsidRPr="005F6A32">
        <w:rPr>
          <w:rFonts w:eastAsia="Calibri"/>
          <w:lang w:val="fr-FR"/>
        </w:rPr>
        <w:t> </w:t>
      </w:r>
      <w:r w:rsidRPr="005F6A32">
        <w:rPr>
          <w:rFonts w:eastAsia="Calibri"/>
          <w:lang w:val="fr-FR"/>
        </w:rPr>
        <w:t>développement sans littoral et des petits États insulaires en développement. Ces représentants et représentantes, âgés de 18 à 24</w:t>
      </w:r>
      <w:r w:rsidR="006E38FA" w:rsidRPr="005F6A32">
        <w:rPr>
          <w:rFonts w:eastAsia="Calibri"/>
          <w:lang w:val="fr-FR"/>
        </w:rPr>
        <w:t xml:space="preserve"> </w:t>
      </w:r>
      <w:r w:rsidRPr="005F6A32">
        <w:rPr>
          <w:rFonts w:eastAsia="Calibri"/>
          <w:lang w:val="fr-FR"/>
        </w:rPr>
        <w:t>ans, ont pris une part active aux activités nationales, régionales et mondiales de l'UIT et apporté le point de vue des jeunes lors des débats majeurs concernant les politiques relatives aux TIC, aidant ainsi à façonner un avenir numérique plus inclusif.</w:t>
      </w:r>
    </w:p>
    <w:p w14:paraId="5F3C2EF8" w14:textId="1D08FC02" w:rsidR="001905A5" w:rsidRPr="005F6A32" w:rsidRDefault="00A64DDD" w:rsidP="00AE2A4A">
      <w:pPr>
        <w:rPr>
          <w:rFonts w:eastAsia="Calibri"/>
          <w:lang w:val="fr-FR"/>
        </w:rPr>
      </w:pPr>
      <w:r w:rsidRPr="005F6A32">
        <w:rPr>
          <w:rFonts w:eastAsia="Calibri"/>
          <w:lang w:val="fr-FR"/>
        </w:rPr>
        <w:t xml:space="preserve">Pour renforcer leurs capacités et amplifier leur voix, l'UIT a mis sur pied un Programme de mentorat et de développement des connaissances et organisé des consultations régionales des représentants afin d'inviter ces derniers à définir conjointement les priorités et proposer des solutions. Leurs recommandations ont été présentées directement aux Membres de l'UIT par le biais de plates-formes telles que le </w:t>
      </w:r>
      <w:hyperlink r:id="rId22" w:anchor="/fr">
        <w:r w:rsidRPr="005F6A32">
          <w:rPr>
            <w:rStyle w:val="Hyperlink"/>
            <w:rFonts w:ascii="Calibri" w:eastAsia="Calibri" w:hAnsi="Calibri" w:cs="Calibri"/>
            <w:lang w:val="fr-FR"/>
          </w:rPr>
          <w:t>Groupe de coordination informel du GCDT sur le Sommet mondial sur la jeunesse</w:t>
        </w:r>
      </w:hyperlink>
      <w:r w:rsidRPr="005F6A32">
        <w:rPr>
          <w:rFonts w:eastAsia="Calibri"/>
          <w:lang w:val="fr-FR"/>
        </w:rPr>
        <w:t>, assurant ainsi la tenue d'un dialogue intergénérationnel constructif. Les représentants des groupes pour la jeunesse ont également pris une part active à plusieurs manifestations phares de l'UIT (notamment les Forums régionaux sur le développement, la Journée internationale des jeunes filles dans le secteur des TIC et les Commissions d'études de</w:t>
      </w:r>
      <w:r w:rsidR="00617ED0" w:rsidRPr="005F6A32">
        <w:rPr>
          <w:rFonts w:eastAsia="Calibri"/>
          <w:lang w:val="fr-FR"/>
        </w:rPr>
        <w:t> </w:t>
      </w:r>
      <w:r w:rsidRPr="005F6A32">
        <w:rPr>
          <w:rFonts w:eastAsia="Calibri"/>
          <w:lang w:val="fr-FR"/>
        </w:rPr>
        <w:t>l'UIT</w:t>
      </w:r>
      <w:r w:rsidR="00617ED0" w:rsidRPr="005F6A32">
        <w:rPr>
          <w:rFonts w:eastAsia="Calibri"/>
          <w:lang w:val="fr-FR"/>
        </w:rPr>
        <w:noBreakHyphen/>
      </w:r>
      <w:r w:rsidRPr="005F6A32">
        <w:rPr>
          <w:rFonts w:eastAsia="Calibri"/>
          <w:lang w:val="fr-FR"/>
        </w:rPr>
        <w:t>D), ce qui a consolidé leur rôle précieux de partenaires pour progresser dans la réalisation d'une transformation numérique inclusive et équitable.</w:t>
      </w:r>
    </w:p>
    <w:p w14:paraId="05CEA552" w14:textId="31972950" w:rsidR="006D7C85" w:rsidRPr="005F6A32" w:rsidRDefault="001D4CA0" w:rsidP="000D15FD">
      <w:pPr>
        <w:pStyle w:val="Figure"/>
        <w:rPr>
          <w:lang w:val="fr-FR"/>
        </w:rPr>
      </w:pPr>
      <w:r w:rsidRPr="005F6A32">
        <w:rPr>
          <w:lang w:val="fr-FR"/>
        </w:rPr>
        <w:lastRenderedPageBreak/>
        <w:drawing>
          <wp:inline distT="0" distB="0" distL="0" distR="0" wp14:anchorId="0F18BB4E" wp14:editId="226E3360">
            <wp:extent cx="4405637" cy="3500651"/>
            <wp:effectExtent l="0" t="0" r="0" b="5080"/>
            <wp:docPr id="1342768258"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68258" name="Picture 1" descr="A map of the world&#10;&#10;AI-generated content may be incorrect."/>
                    <pic:cNvPicPr/>
                  </pic:nvPicPr>
                  <pic:blipFill>
                    <a:blip r:embed="rId23"/>
                    <a:stretch>
                      <a:fillRect/>
                    </a:stretch>
                  </pic:blipFill>
                  <pic:spPr>
                    <a:xfrm>
                      <a:off x="0" y="0"/>
                      <a:ext cx="4434551" cy="3523625"/>
                    </a:xfrm>
                    <a:prstGeom prst="rect">
                      <a:avLst/>
                    </a:prstGeom>
                  </pic:spPr>
                </pic:pic>
              </a:graphicData>
            </a:graphic>
          </wp:inline>
        </w:drawing>
      </w:r>
    </w:p>
    <w:p w14:paraId="576166BB" w14:textId="4A0D4B49" w:rsidR="006D7C85" w:rsidRPr="005F6A32" w:rsidRDefault="001F1713" w:rsidP="001F1713">
      <w:pPr>
        <w:pStyle w:val="Heading2"/>
        <w:rPr>
          <w:rFonts w:eastAsia="Calibri"/>
          <w:lang w:val="fr-FR"/>
        </w:rPr>
      </w:pPr>
      <w:r w:rsidRPr="005F6A32">
        <w:rPr>
          <w:rFonts w:eastAsia="Calibri"/>
          <w:lang w:val="fr-FR"/>
        </w:rPr>
        <w:t>1.3</w:t>
      </w:r>
      <w:r w:rsidRPr="005F6A32">
        <w:rPr>
          <w:rFonts w:eastAsia="Calibri"/>
          <w:lang w:val="fr-FR"/>
        </w:rPr>
        <w:tab/>
      </w:r>
      <w:r w:rsidR="006D7C85" w:rsidRPr="005F6A32">
        <w:rPr>
          <w:rFonts w:eastAsia="Calibri"/>
          <w:lang w:val="fr-FR"/>
        </w:rPr>
        <w:t>Réseau de femmes (NoW) de l'UIT-D</w:t>
      </w:r>
    </w:p>
    <w:p w14:paraId="4EAEF1BE" w14:textId="6428247D" w:rsidR="006D7C85" w:rsidRPr="005F6A32" w:rsidRDefault="006D7C85" w:rsidP="00520699">
      <w:pPr>
        <w:rPr>
          <w:rFonts w:eastAsia="Calibri"/>
          <w:lang w:val="fr-FR"/>
        </w:rPr>
      </w:pPr>
      <w:r w:rsidRPr="005F6A32">
        <w:rPr>
          <w:rFonts w:eastAsia="Calibri"/>
          <w:lang w:val="fr-FR"/>
        </w:rPr>
        <w:t xml:space="preserve">Le </w:t>
      </w:r>
      <w:hyperlink r:id="rId24">
        <w:r w:rsidRPr="005F6A32">
          <w:rPr>
            <w:rStyle w:val="Hyperlink"/>
            <w:rFonts w:ascii="Calibri" w:eastAsia="Calibri" w:hAnsi="Calibri" w:cs="Calibri"/>
            <w:lang w:val="fr-FR"/>
          </w:rPr>
          <w:t>Réseau de femmes de l'UIT-D</w:t>
        </w:r>
      </w:hyperlink>
      <w:r w:rsidRPr="005F6A32">
        <w:rPr>
          <w:rFonts w:eastAsia="Calibri"/>
          <w:lang w:val="fr-FR"/>
        </w:rPr>
        <w:t xml:space="preserve"> a amplifié ses efforts en vue de préparer les déléguées à participer activement aux processus de l'UIT-D et à la CMDT-25. Dans le cadre du projet "Créer un réseau de femmes dirigeantes", soutenu par la Commission des communications, de l'espace et de la technologie (CST) d'Arabie saoudite, le Réseau de femmes à l'UIT-D a mené des activités efficaces de mentorat et de renforcement des capacités dont ont bénéficié plus de 400</w:t>
      </w:r>
      <w:r w:rsidR="001F1713" w:rsidRPr="005F6A32">
        <w:rPr>
          <w:rFonts w:eastAsia="Calibri"/>
          <w:lang w:val="fr-FR"/>
        </w:rPr>
        <w:t xml:space="preserve"> </w:t>
      </w:r>
      <w:r w:rsidRPr="005F6A32">
        <w:rPr>
          <w:rFonts w:eastAsia="Calibri"/>
          <w:lang w:val="fr-FR"/>
        </w:rPr>
        <w:t>femmes de toutes les régions.</w:t>
      </w:r>
    </w:p>
    <w:p w14:paraId="287CEFC0" w14:textId="5115569E" w:rsidR="006D7C85" w:rsidRPr="005F6A32" w:rsidRDefault="006D7C85" w:rsidP="00520699">
      <w:pPr>
        <w:rPr>
          <w:rFonts w:ascii="Calibri" w:eastAsia="Calibri" w:hAnsi="Calibri" w:cs="Calibri"/>
          <w:lang w:val="fr-FR"/>
        </w:rPr>
      </w:pPr>
      <w:r w:rsidRPr="005F6A32">
        <w:rPr>
          <w:rFonts w:ascii="Calibri" w:eastAsia="Calibri" w:hAnsi="Calibri" w:cs="Calibri"/>
          <w:lang w:val="fr-FR"/>
        </w:rPr>
        <w:t xml:space="preserve">Parmi les initiatives majeures, le </w:t>
      </w:r>
      <w:hyperlink r:id="rId25">
        <w:r w:rsidRPr="005F6A32">
          <w:rPr>
            <w:rStyle w:val="Hyperlink"/>
            <w:rFonts w:ascii="Calibri" w:eastAsia="Calibri" w:hAnsi="Calibri" w:cs="Calibri"/>
            <w:lang w:val="fr-FR"/>
          </w:rPr>
          <w:t>Programme de mentorat pour préparer les femmes à occuper des fonctions de direction</w:t>
        </w:r>
      </w:hyperlink>
      <w:r w:rsidRPr="005F6A32">
        <w:rPr>
          <w:rFonts w:ascii="Calibri" w:eastAsia="Calibri" w:hAnsi="Calibri" w:cs="Calibri"/>
          <w:lang w:val="fr-FR"/>
        </w:rPr>
        <w:t xml:space="preserve"> a permis d'accompagner plus de 150</w:t>
      </w:r>
      <w:r w:rsidR="000C18DB" w:rsidRPr="005F6A32">
        <w:rPr>
          <w:rFonts w:ascii="Calibri" w:eastAsia="Calibri" w:hAnsi="Calibri" w:cs="Calibri"/>
          <w:lang w:val="fr-FR"/>
        </w:rPr>
        <w:t xml:space="preserve"> </w:t>
      </w:r>
      <w:r w:rsidRPr="005F6A32">
        <w:rPr>
          <w:rFonts w:ascii="Calibri" w:eastAsia="Calibri" w:hAnsi="Calibri" w:cs="Calibri"/>
          <w:lang w:val="fr-FR"/>
        </w:rPr>
        <w:t xml:space="preserve">participantes issues des </w:t>
      </w:r>
      <w:r w:rsidR="001D4CA0" w:rsidRPr="005F6A32">
        <w:rPr>
          <w:rFonts w:ascii="Calibri" w:eastAsia="Calibri" w:hAnsi="Calibri" w:cs="Calibri"/>
          <w:lang w:val="fr-FR"/>
        </w:rPr>
        <w:t>six</w:t>
      </w:r>
      <w:r w:rsidRPr="005F6A32">
        <w:rPr>
          <w:rFonts w:ascii="Calibri" w:eastAsia="Calibri" w:hAnsi="Calibri" w:cs="Calibri"/>
          <w:lang w:val="fr-FR"/>
        </w:rPr>
        <w:t xml:space="preserve"> régions. Pour la toute première fois, 30% des mentors étaient des hommes, ce qui marque une étape importante de l'autonomisation des déléguées avec l'appui actif de leurs pairs masculins. Plus</w:t>
      </w:r>
      <w:r w:rsidR="00507A8D" w:rsidRPr="005F6A32">
        <w:rPr>
          <w:rFonts w:ascii="Calibri" w:eastAsia="Calibri" w:hAnsi="Calibri" w:cs="Calibri"/>
          <w:lang w:val="fr-FR"/>
        </w:rPr>
        <w:t> </w:t>
      </w:r>
      <w:r w:rsidRPr="005F6A32">
        <w:rPr>
          <w:rFonts w:ascii="Calibri" w:eastAsia="Calibri" w:hAnsi="Calibri" w:cs="Calibri"/>
          <w:lang w:val="fr-FR"/>
        </w:rPr>
        <w:t>de</w:t>
      </w:r>
      <w:r w:rsidR="00507A8D" w:rsidRPr="005F6A32">
        <w:rPr>
          <w:rFonts w:ascii="Calibri" w:eastAsia="Calibri" w:hAnsi="Calibri" w:cs="Calibri"/>
          <w:lang w:val="fr-FR"/>
        </w:rPr>
        <w:t> </w:t>
      </w:r>
      <w:r w:rsidRPr="005F6A32">
        <w:rPr>
          <w:rFonts w:ascii="Calibri" w:eastAsia="Calibri" w:hAnsi="Calibri" w:cs="Calibri"/>
          <w:lang w:val="fr-FR"/>
        </w:rPr>
        <w:t>60 participantes de 40</w:t>
      </w:r>
      <w:r w:rsidR="000C18DB" w:rsidRPr="005F6A32">
        <w:rPr>
          <w:rFonts w:ascii="Calibri" w:eastAsia="Calibri" w:hAnsi="Calibri" w:cs="Calibri"/>
          <w:lang w:val="fr-FR"/>
        </w:rPr>
        <w:t xml:space="preserve"> </w:t>
      </w:r>
      <w:r w:rsidRPr="005F6A32">
        <w:rPr>
          <w:rFonts w:ascii="Calibri" w:eastAsia="Calibri" w:hAnsi="Calibri" w:cs="Calibri"/>
          <w:lang w:val="fr-FR"/>
        </w:rPr>
        <w:t>pays ont également pris part au "Cours magistral: Renforcer sa confiance" qui s'est tenu le 31</w:t>
      </w:r>
      <w:r w:rsidR="00745B40" w:rsidRPr="005F6A32">
        <w:rPr>
          <w:rFonts w:ascii="Calibri" w:eastAsia="Calibri" w:hAnsi="Calibri" w:cs="Calibri"/>
          <w:lang w:val="fr-FR"/>
        </w:rPr>
        <w:t xml:space="preserve"> </w:t>
      </w:r>
      <w:r w:rsidRPr="005F6A32">
        <w:rPr>
          <w:rFonts w:ascii="Calibri" w:eastAsia="Calibri" w:hAnsi="Calibri" w:cs="Calibri"/>
          <w:lang w:val="fr-FR"/>
        </w:rPr>
        <w:t>août 2025, la veille du Colloque mondial des régulateurs (GSR-25) en Arabie</w:t>
      </w:r>
      <w:r w:rsidR="00745B40" w:rsidRPr="005F6A32">
        <w:rPr>
          <w:rFonts w:ascii="Calibri" w:eastAsia="Calibri" w:hAnsi="Calibri" w:cs="Calibri"/>
          <w:lang w:val="fr-FR"/>
        </w:rPr>
        <w:t> </w:t>
      </w:r>
      <w:r w:rsidRPr="005F6A32">
        <w:rPr>
          <w:rFonts w:ascii="Calibri" w:eastAsia="Calibri" w:hAnsi="Calibri" w:cs="Calibri"/>
          <w:lang w:val="fr-FR"/>
        </w:rPr>
        <w:t>saoudite; elles y ont appris comment renforcer leur confiance lors des prises de parole en public, améliorer leurs techniques de communication et mettre en place des astuces pratiques pour être plus efficaces dans leurs présentations et interventions.</w:t>
      </w:r>
    </w:p>
    <w:p w14:paraId="5C06578A" w14:textId="77777777" w:rsidR="006D7C85" w:rsidRPr="005F6A32" w:rsidRDefault="006D7C85" w:rsidP="001D4CA0">
      <w:pPr>
        <w:rPr>
          <w:rFonts w:eastAsia="Calibri"/>
          <w:lang w:val="fr-FR"/>
        </w:rPr>
      </w:pPr>
      <w:r w:rsidRPr="005F6A32">
        <w:rPr>
          <w:rFonts w:eastAsia="Calibri"/>
          <w:lang w:val="fr-FR"/>
        </w:rPr>
        <w:t>Le Réseau de femmes de l'UIT-D a également organisé des activités de mise en relation en marge des réunions du GCDT et des tables rondes spéciales pendant les Forums régionaux sur le développement, visant à favoriser la collaboration entre déléguées et à renforcer le sentiment de communauté entre les régions, de manière à accélérer les progrès sur les thèmes et le programme du secteur du développement du numérique.</w:t>
      </w:r>
    </w:p>
    <w:p w14:paraId="7A592B36" w14:textId="206C257C" w:rsidR="006D7C85" w:rsidRPr="005F6A32" w:rsidRDefault="001F1713" w:rsidP="001F1713">
      <w:pPr>
        <w:pStyle w:val="Heading1"/>
        <w:rPr>
          <w:rFonts w:eastAsia="Calibri"/>
          <w:lang w:val="fr-FR"/>
        </w:rPr>
      </w:pPr>
      <w:r w:rsidRPr="005F6A32">
        <w:rPr>
          <w:rFonts w:eastAsia="Calibri"/>
          <w:lang w:val="fr-FR"/>
        </w:rPr>
        <w:lastRenderedPageBreak/>
        <w:t>2</w:t>
      </w:r>
      <w:r w:rsidRPr="005F6A32">
        <w:rPr>
          <w:rFonts w:eastAsia="Calibri"/>
          <w:lang w:val="fr-FR"/>
        </w:rPr>
        <w:tab/>
      </w:r>
      <w:r w:rsidR="006D7C85" w:rsidRPr="005F6A32">
        <w:rPr>
          <w:rFonts w:eastAsia="Calibri"/>
          <w:lang w:val="fr-FR"/>
        </w:rPr>
        <w:t>Autonomisation et renforcement des capacités des utilisateurs finals au niveau communautaire</w:t>
      </w:r>
    </w:p>
    <w:p w14:paraId="49DBADE7" w14:textId="7CDFA535" w:rsidR="006D7C85" w:rsidRPr="005F6A32" w:rsidRDefault="006D7C85" w:rsidP="00617ED0">
      <w:pPr>
        <w:keepLines/>
        <w:rPr>
          <w:rFonts w:eastAsia="Calibri"/>
          <w:lang w:val="fr-FR"/>
        </w:rPr>
      </w:pPr>
      <w:r w:rsidRPr="005F6A32">
        <w:rPr>
          <w:rFonts w:eastAsia="Calibri"/>
          <w:lang w:val="fr-FR"/>
        </w:rPr>
        <w:t>Des projets et des initiatives d'inclusion numérique organisés au niveau communautaire ont permis à plus de 13 000 utilisateurs finals de 40</w:t>
      </w:r>
      <w:r w:rsidR="001F1713" w:rsidRPr="005F6A32">
        <w:rPr>
          <w:rFonts w:eastAsia="Calibri"/>
          <w:lang w:val="fr-FR"/>
        </w:rPr>
        <w:t xml:space="preserve"> </w:t>
      </w:r>
      <w:r w:rsidRPr="005F6A32">
        <w:rPr>
          <w:rFonts w:eastAsia="Calibri"/>
          <w:lang w:val="fr-FR"/>
        </w:rPr>
        <w:t>pays et plus de bénéficier directement de formations, de mentorat et d'initiatives liées au numérique de source locale. Les publics concernés comprenaient notamment des personnes en situation de vulnérabilité: jeunes, femmes et jeunes filles, personnes âgées, personnes handicapées et membres de communautés autochtones isolées.</w:t>
      </w:r>
    </w:p>
    <w:p w14:paraId="0BAB575B" w14:textId="3C3F23AC" w:rsidR="006D7C85" w:rsidRPr="005F6A32" w:rsidRDefault="001F1713" w:rsidP="001F1713">
      <w:pPr>
        <w:pStyle w:val="Heading2"/>
        <w:rPr>
          <w:rFonts w:eastAsia="Calibri"/>
          <w:lang w:val="fr-FR"/>
        </w:rPr>
      </w:pPr>
      <w:r w:rsidRPr="005F6A32">
        <w:rPr>
          <w:rFonts w:eastAsia="Calibri"/>
          <w:lang w:val="fr-FR"/>
        </w:rPr>
        <w:t>2.1</w:t>
      </w:r>
      <w:r w:rsidRPr="005F6A32">
        <w:rPr>
          <w:rFonts w:eastAsia="Calibri"/>
          <w:lang w:val="fr-FR"/>
        </w:rPr>
        <w:tab/>
      </w:r>
      <w:r w:rsidR="006D7C85" w:rsidRPr="005F6A32">
        <w:rPr>
          <w:rFonts w:eastAsia="Calibri"/>
          <w:lang w:val="fr-FR"/>
        </w:rPr>
        <w:t>Amélioration des compétences dans les communautés rurales, isolées ou autochtones</w:t>
      </w:r>
    </w:p>
    <w:p w14:paraId="4742E8C5" w14:textId="716E5BEF" w:rsidR="006D7C85" w:rsidRPr="005F6A32" w:rsidRDefault="006D7C85" w:rsidP="00520699">
      <w:pPr>
        <w:rPr>
          <w:rFonts w:eastAsia="Calibri"/>
          <w:lang w:val="fr-FR"/>
        </w:rPr>
      </w:pPr>
      <w:r w:rsidRPr="005F6A32">
        <w:rPr>
          <w:rFonts w:eastAsia="Calibri"/>
          <w:lang w:val="fr-FR"/>
        </w:rPr>
        <w:t>Depuis 2023, les activités menées par l'UIT en faveur de l'inclusion numérique dans les communautés rurales, isolées ou autochtones se sont fortement développées. En Amérique latine et dans les Caraïbes, la 4ème édition du Programme mixte de formation a permis de former 28 responsables de réseaux issus de 9</w:t>
      </w:r>
      <w:r w:rsidR="001F1713" w:rsidRPr="005F6A32">
        <w:rPr>
          <w:rFonts w:eastAsia="Calibri"/>
          <w:lang w:val="fr-FR"/>
        </w:rPr>
        <w:t xml:space="preserve"> </w:t>
      </w:r>
      <w:r w:rsidRPr="005F6A32">
        <w:rPr>
          <w:rFonts w:eastAsia="Calibri"/>
          <w:lang w:val="fr-FR"/>
        </w:rPr>
        <w:t xml:space="preserve">pays (2023/2024), tandis qu'en 2024, une nouvelle formation courte intitulée </w:t>
      </w:r>
      <w:r w:rsidR="00507A8D" w:rsidRPr="005F6A32">
        <w:rPr>
          <w:rFonts w:eastAsia="Calibri"/>
          <w:lang w:val="fr-FR"/>
        </w:rPr>
        <w:t>"</w:t>
      </w:r>
      <w:r w:rsidRPr="005F6A32">
        <w:rPr>
          <w:rFonts w:eastAsia="Calibri"/>
          <w:lang w:val="fr-FR"/>
        </w:rPr>
        <w:t>Concevoir des stratégies de connexion des communautés</w:t>
      </w:r>
      <w:r w:rsidR="00507A8D" w:rsidRPr="005F6A32">
        <w:rPr>
          <w:rFonts w:eastAsia="Calibri"/>
          <w:lang w:val="fr-FR"/>
        </w:rPr>
        <w:t>"</w:t>
      </w:r>
      <w:r w:rsidRPr="005F6A32">
        <w:rPr>
          <w:rFonts w:eastAsia="Calibri"/>
          <w:lang w:val="fr-FR"/>
        </w:rPr>
        <w:t xml:space="preserve"> a mené à la certification de 50</w:t>
      </w:r>
      <w:r w:rsidR="000C18DB" w:rsidRPr="005F6A32">
        <w:rPr>
          <w:rFonts w:eastAsia="Calibri"/>
          <w:lang w:val="fr-FR"/>
        </w:rPr>
        <w:t xml:space="preserve"> </w:t>
      </w:r>
      <w:r w:rsidRPr="005F6A32">
        <w:rPr>
          <w:rFonts w:eastAsia="Calibri"/>
          <w:lang w:val="fr-FR"/>
        </w:rPr>
        <w:t>participants de 10</w:t>
      </w:r>
      <w:r w:rsidR="002440EF" w:rsidRPr="005F6A32">
        <w:rPr>
          <w:rFonts w:eastAsia="Calibri"/>
          <w:lang w:val="fr-FR"/>
        </w:rPr>
        <w:t xml:space="preserve"> </w:t>
      </w:r>
      <w:r w:rsidRPr="005F6A32">
        <w:rPr>
          <w:rFonts w:eastAsia="Calibri"/>
          <w:lang w:val="fr-FR"/>
        </w:rPr>
        <w:t>pays différents. La 5ème promotion (2025) compte déjà</w:t>
      </w:r>
      <w:r w:rsidR="00507A8D" w:rsidRPr="005F6A32">
        <w:rPr>
          <w:rFonts w:eastAsia="Calibri"/>
          <w:lang w:val="fr-FR"/>
        </w:rPr>
        <w:t> </w:t>
      </w:r>
      <w:r w:rsidRPr="005F6A32">
        <w:rPr>
          <w:rFonts w:eastAsia="Calibri"/>
          <w:lang w:val="fr-FR"/>
        </w:rPr>
        <w:t>69 participants issus de 12</w:t>
      </w:r>
      <w:r w:rsidR="002440EF" w:rsidRPr="005F6A32">
        <w:rPr>
          <w:rFonts w:eastAsia="Calibri"/>
          <w:lang w:val="fr-FR"/>
        </w:rPr>
        <w:t xml:space="preserve"> </w:t>
      </w:r>
      <w:r w:rsidRPr="005F6A32">
        <w:rPr>
          <w:rFonts w:eastAsia="Calibri"/>
          <w:lang w:val="fr-FR"/>
        </w:rPr>
        <w:t>pays. Parallèlement, le programme a été inauguré en Afrique en</w:t>
      </w:r>
      <w:r w:rsidR="00507A8D" w:rsidRPr="005F6A32">
        <w:rPr>
          <w:rFonts w:eastAsia="Calibri"/>
          <w:lang w:val="fr-FR"/>
        </w:rPr>
        <w:t> </w:t>
      </w:r>
      <w:r w:rsidRPr="005F6A32">
        <w:rPr>
          <w:rFonts w:eastAsia="Calibri"/>
          <w:lang w:val="fr-FR"/>
        </w:rPr>
        <w:t>2025, où il est suivi par 65</w:t>
      </w:r>
      <w:r w:rsidR="002440EF" w:rsidRPr="005F6A32">
        <w:rPr>
          <w:rFonts w:eastAsia="Calibri"/>
          <w:lang w:val="fr-FR"/>
        </w:rPr>
        <w:t xml:space="preserve"> </w:t>
      </w:r>
      <w:r w:rsidRPr="005F6A32">
        <w:rPr>
          <w:rFonts w:eastAsia="Calibri"/>
          <w:lang w:val="fr-FR"/>
        </w:rPr>
        <w:t>participants de 18</w:t>
      </w:r>
      <w:r w:rsidR="002440EF" w:rsidRPr="005F6A32">
        <w:rPr>
          <w:rFonts w:eastAsia="Calibri"/>
          <w:lang w:val="fr-FR"/>
        </w:rPr>
        <w:t xml:space="preserve"> </w:t>
      </w:r>
      <w:r w:rsidRPr="005F6A32">
        <w:rPr>
          <w:rFonts w:eastAsia="Calibri"/>
          <w:lang w:val="fr-FR"/>
        </w:rPr>
        <w:t>pays. Ces actions renforcent les capacités locales</w:t>
      </w:r>
      <w:r w:rsidR="00507A8D" w:rsidRPr="005F6A32">
        <w:rPr>
          <w:rFonts w:eastAsia="Calibri"/>
          <w:lang w:val="fr-FR"/>
        </w:rPr>
        <w:t> </w:t>
      </w:r>
      <w:r w:rsidRPr="005F6A32">
        <w:rPr>
          <w:rFonts w:eastAsia="Calibri"/>
          <w:lang w:val="fr-FR"/>
        </w:rPr>
        <w:t>et donnent aux communautés les moyens de mener à bien leur propre développement numérique.</w:t>
      </w:r>
    </w:p>
    <w:p w14:paraId="6CE89592" w14:textId="65565B27" w:rsidR="006D7C85" w:rsidRPr="005F6A32" w:rsidRDefault="002440EF" w:rsidP="00520699">
      <w:pPr>
        <w:pStyle w:val="Heading2"/>
        <w:rPr>
          <w:rFonts w:eastAsia="Calibri"/>
          <w:lang w:val="fr-FR"/>
        </w:rPr>
      </w:pPr>
      <w:r w:rsidRPr="005F6A32">
        <w:rPr>
          <w:rFonts w:eastAsia="Calibri"/>
          <w:lang w:val="fr-FR"/>
        </w:rPr>
        <w:t>2.2</w:t>
      </w:r>
      <w:r w:rsidRPr="005F6A32">
        <w:rPr>
          <w:rFonts w:eastAsia="Calibri"/>
          <w:lang w:val="fr-FR"/>
        </w:rPr>
        <w:tab/>
      </w:r>
      <w:r w:rsidR="006D7C85" w:rsidRPr="005F6A32">
        <w:rPr>
          <w:rFonts w:eastAsia="Calibri"/>
          <w:lang w:val="fr-FR"/>
        </w:rPr>
        <w:t>Projet EQUALS "Her Digital Skills"</w:t>
      </w:r>
    </w:p>
    <w:p w14:paraId="31BEF13C" w14:textId="0E32E2F1" w:rsidR="006D7C85" w:rsidRPr="005F6A32" w:rsidRDefault="006D7C85" w:rsidP="00520699">
      <w:pPr>
        <w:rPr>
          <w:rFonts w:eastAsia="Calibri"/>
          <w:lang w:val="fr-FR"/>
        </w:rPr>
      </w:pPr>
      <w:r w:rsidRPr="005F6A32">
        <w:rPr>
          <w:rFonts w:eastAsia="Calibri"/>
          <w:lang w:val="fr-FR"/>
        </w:rPr>
        <w:t xml:space="preserve">L'initiative </w:t>
      </w:r>
      <w:hyperlink r:id="rId26">
        <w:r w:rsidRPr="005F6A32">
          <w:rPr>
            <w:rStyle w:val="Hyperlink"/>
            <w:rFonts w:ascii="Calibri" w:eastAsia="Calibri" w:hAnsi="Calibri" w:cs="Calibri"/>
            <w:lang w:val="fr-FR"/>
          </w:rPr>
          <w:t>EQUALS Her Digital Skills</w:t>
        </w:r>
      </w:hyperlink>
      <w:r w:rsidRPr="005F6A32">
        <w:rPr>
          <w:rFonts w:eastAsia="Calibri"/>
          <w:lang w:val="fr-FR"/>
        </w:rPr>
        <w:t xml:space="preserve"> vise à doter les jeunes filles et les jeunes femmes du monde entier de compétences numériques afin de leur permettre d'accéder plus facilement à l'emploi formel et à l'entrepreneuriat. Le projet donne un accès gratuit à un programme de certification et de formation aux compétences numériques de haute qualité et universellement reconnu, grâce à des formations en ligne et à des ateliers pratiques en présentiel sur les STIM destinés aux filles et aux femmes des zones mal desservies. Ce projet poursuit un double objectif: 1) encourager les filles et les femmes à poursuivre des études et des carrières dans le domaine des technologies, et</w:t>
      </w:r>
      <w:r w:rsidR="00617ED0" w:rsidRPr="005F6A32">
        <w:rPr>
          <w:rFonts w:eastAsia="Calibri"/>
          <w:lang w:val="fr-FR"/>
        </w:rPr>
        <w:t> </w:t>
      </w:r>
      <w:r w:rsidRPr="005F6A32">
        <w:rPr>
          <w:rFonts w:eastAsia="Calibri"/>
          <w:lang w:val="fr-FR"/>
        </w:rPr>
        <w:t>2)</w:t>
      </w:r>
      <w:r w:rsidR="000C18DB" w:rsidRPr="005F6A32">
        <w:rPr>
          <w:rFonts w:eastAsia="Calibri"/>
          <w:lang w:val="fr-FR"/>
        </w:rPr>
        <w:t xml:space="preserve"> </w:t>
      </w:r>
      <w:r w:rsidRPr="005F6A32">
        <w:rPr>
          <w:rFonts w:eastAsia="Calibri"/>
          <w:lang w:val="fr-FR"/>
        </w:rPr>
        <w:t>faciliter l'accès des filles et des femmes à l'emploi formel et à l'entrepreneuriat, y compris dans les secteurs de la technologie. Parmi les contributeurs à l'initiative, Qualcomm finance la mise en œuvre du programme Her Digital Skills au Cameroun, en Éthiopie, au Ghana, au Kenya et au</w:t>
      </w:r>
      <w:r w:rsidR="001D4CA0" w:rsidRPr="005F6A32">
        <w:rPr>
          <w:rFonts w:eastAsia="Calibri"/>
          <w:lang w:val="fr-FR"/>
        </w:rPr>
        <w:t> </w:t>
      </w:r>
      <w:r w:rsidRPr="005F6A32">
        <w:rPr>
          <w:rFonts w:eastAsia="Calibri"/>
          <w:lang w:val="fr-FR"/>
        </w:rPr>
        <w:t>Nigéria, tandis que le Women's World Wide Web, la GSMA et EY ont financé la création des</w:t>
      </w:r>
      <w:r w:rsidR="001D4CA0" w:rsidRPr="005F6A32">
        <w:rPr>
          <w:rFonts w:eastAsia="Calibri"/>
          <w:lang w:val="fr-FR"/>
        </w:rPr>
        <w:t> </w:t>
      </w:r>
      <w:r w:rsidRPr="005F6A32">
        <w:rPr>
          <w:rFonts w:eastAsia="Calibri"/>
          <w:lang w:val="fr-FR"/>
        </w:rPr>
        <w:t>contenus et le déploiement de l'initiative aux Philippines, au Kenya, dans les Caraïbes, au</w:t>
      </w:r>
      <w:r w:rsidR="00617ED0" w:rsidRPr="005F6A32">
        <w:rPr>
          <w:rFonts w:eastAsia="Calibri"/>
          <w:lang w:val="fr-FR"/>
        </w:rPr>
        <w:t> </w:t>
      </w:r>
      <w:r w:rsidRPr="005F6A32">
        <w:rPr>
          <w:rFonts w:eastAsia="Calibri"/>
          <w:lang w:val="fr-FR"/>
        </w:rPr>
        <w:t>Népal,</w:t>
      </w:r>
      <w:r w:rsidR="001D4CA0" w:rsidRPr="005F6A32">
        <w:rPr>
          <w:rFonts w:eastAsia="Calibri"/>
          <w:lang w:val="fr-FR"/>
        </w:rPr>
        <w:t> </w:t>
      </w:r>
      <w:r w:rsidRPr="005F6A32">
        <w:rPr>
          <w:rFonts w:eastAsia="Calibri"/>
          <w:lang w:val="fr-FR"/>
        </w:rPr>
        <w:t>en Ouganda et en République sudafricaine, moyennant quoi plus de 23</w:t>
      </w:r>
      <w:r w:rsidR="00745B40" w:rsidRPr="005F6A32">
        <w:rPr>
          <w:rFonts w:eastAsia="Calibri"/>
          <w:lang w:val="fr-FR"/>
        </w:rPr>
        <w:t xml:space="preserve"> </w:t>
      </w:r>
      <w:r w:rsidRPr="005F6A32">
        <w:rPr>
          <w:rFonts w:eastAsia="Calibri"/>
          <w:lang w:val="fr-FR"/>
        </w:rPr>
        <w:t>pays et près</w:t>
      </w:r>
      <w:r w:rsidR="001D4CA0" w:rsidRPr="005F6A32">
        <w:rPr>
          <w:rFonts w:eastAsia="Calibri"/>
          <w:lang w:val="fr-FR"/>
        </w:rPr>
        <w:t> </w:t>
      </w:r>
      <w:r w:rsidRPr="005F6A32">
        <w:rPr>
          <w:rFonts w:eastAsia="Calibri"/>
          <w:lang w:val="fr-FR"/>
        </w:rPr>
        <w:t>de</w:t>
      </w:r>
      <w:r w:rsidR="001D4CA0" w:rsidRPr="005F6A32">
        <w:rPr>
          <w:rFonts w:eastAsia="Calibri"/>
          <w:lang w:val="fr-FR"/>
        </w:rPr>
        <w:t> </w:t>
      </w:r>
      <w:r w:rsidRPr="005F6A32">
        <w:rPr>
          <w:rFonts w:eastAsia="Calibri"/>
          <w:lang w:val="fr-FR"/>
        </w:rPr>
        <w:t>5 600 jeunes femmes ont bénéficié du programme.</w:t>
      </w:r>
    </w:p>
    <w:p w14:paraId="0539538E" w14:textId="7A4E3A4A" w:rsidR="006D7C85" w:rsidRPr="005F6A32" w:rsidRDefault="002440EF" w:rsidP="00520699">
      <w:pPr>
        <w:pStyle w:val="Heading2"/>
        <w:rPr>
          <w:rFonts w:eastAsia="Calibri"/>
          <w:lang w:val="fr-FR"/>
        </w:rPr>
      </w:pPr>
      <w:r w:rsidRPr="005F6A32">
        <w:rPr>
          <w:rFonts w:eastAsia="Calibri"/>
          <w:lang w:val="fr-FR"/>
        </w:rPr>
        <w:t>2.3</w:t>
      </w:r>
      <w:r w:rsidRPr="005F6A32">
        <w:rPr>
          <w:rFonts w:eastAsia="Calibri"/>
          <w:lang w:val="fr-FR"/>
        </w:rPr>
        <w:tab/>
      </w:r>
      <w:r w:rsidR="006D7C85" w:rsidRPr="005F6A32">
        <w:rPr>
          <w:rFonts w:eastAsia="Calibri"/>
          <w:lang w:val="fr-FR"/>
        </w:rPr>
        <w:t>Programme de jeunes dirigeants de l'Initiative Generation Connect (GCYLP)</w:t>
      </w:r>
    </w:p>
    <w:p w14:paraId="03473061" w14:textId="71032287" w:rsidR="006D7C85" w:rsidRPr="005F6A32" w:rsidRDefault="006D7C85" w:rsidP="00520699">
      <w:pPr>
        <w:rPr>
          <w:rFonts w:ascii="Calibri" w:eastAsia="Calibri" w:hAnsi="Calibri" w:cs="Calibri"/>
          <w:lang w:val="fr-FR"/>
        </w:rPr>
      </w:pPr>
      <w:r w:rsidRPr="005F6A32">
        <w:rPr>
          <w:rFonts w:ascii="Calibri" w:eastAsia="Calibri" w:hAnsi="Calibri" w:cs="Calibri"/>
          <w:lang w:val="fr-FR"/>
        </w:rPr>
        <w:t xml:space="preserve">Les </w:t>
      </w:r>
      <w:hyperlink r:id="rId27">
        <w:r w:rsidRPr="005F6A32">
          <w:rPr>
            <w:rStyle w:val="Hyperlink"/>
            <w:rFonts w:ascii="Calibri" w:eastAsia="Calibri" w:hAnsi="Calibri" w:cs="Calibri"/>
            <w:lang w:val="fr-FR"/>
          </w:rPr>
          <w:t>boursiers du programme GCYLP</w:t>
        </w:r>
      </w:hyperlink>
      <w:r w:rsidRPr="005F6A32">
        <w:rPr>
          <w:rFonts w:ascii="Calibri" w:eastAsia="Calibri" w:hAnsi="Calibri" w:cs="Calibri"/>
          <w:lang w:val="fr-FR"/>
        </w:rPr>
        <w:t xml:space="preserve"> sont des jeunes âgés de 18 à 28</w:t>
      </w:r>
      <w:r w:rsidR="002440EF" w:rsidRPr="005F6A32">
        <w:rPr>
          <w:rFonts w:ascii="Calibri" w:eastAsia="Calibri" w:hAnsi="Calibri" w:cs="Calibri"/>
          <w:lang w:val="fr-FR"/>
        </w:rPr>
        <w:t xml:space="preserve"> </w:t>
      </w:r>
      <w:r w:rsidRPr="005F6A32">
        <w:rPr>
          <w:rFonts w:ascii="Calibri" w:eastAsia="Calibri" w:hAnsi="Calibri" w:cs="Calibri"/>
          <w:lang w:val="fr-FR"/>
        </w:rPr>
        <w:t>ans résolus à utiliser le développement numérique comme vecteur de changement efficace dans leurs communautés. Les</w:t>
      </w:r>
      <w:r w:rsidR="00617ED0" w:rsidRPr="005F6A32">
        <w:rPr>
          <w:rFonts w:ascii="Calibri" w:eastAsia="Calibri" w:hAnsi="Calibri" w:cs="Calibri"/>
          <w:lang w:val="fr-FR"/>
        </w:rPr>
        <w:t> </w:t>
      </w:r>
      <w:r w:rsidR="005D7D19" w:rsidRPr="005F6A32">
        <w:rPr>
          <w:rFonts w:ascii="Calibri" w:eastAsia="Calibri" w:hAnsi="Calibri" w:cs="Calibri"/>
          <w:lang w:val="fr-FR"/>
        </w:rPr>
        <w:t>deux</w:t>
      </w:r>
      <w:r w:rsidRPr="005F6A32">
        <w:rPr>
          <w:rFonts w:ascii="Calibri" w:eastAsia="Calibri" w:hAnsi="Calibri" w:cs="Calibri"/>
          <w:lang w:val="fr-FR"/>
        </w:rPr>
        <w:t xml:space="preserve"> cohortes mondiales, constituées au total de 60</w:t>
      </w:r>
      <w:r w:rsidR="002440EF" w:rsidRPr="005F6A32">
        <w:rPr>
          <w:rFonts w:ascii="Calibri" w:eastAsia="Calibri" w:hAnsi="Calibri" w:cs="Calibri"/>
          <w:lang w:val="fr-FR"/>
        </w:rPr>
        <w:t xml:space="preserve"> </w:t>
      </w:r>
      <w:r w:rsidRPr="005F6A32">
        <w:rPr>
          <w:rFonts w:ascii="Calibri" w:eastAsia="Calibri" w:hAnsi="Calibri" w:cs="Calibri"/>
          <w:lang w:val="fr-FR"/>
        </w:rPr>
        <w:t>jeunes innovateurs et innovatrices de</w:t>
      </w:r>
      <w:r w:rsidR="00617ED0" w:rsidRPr="005F6A32">
        <w:rPr>
          <w:rFonts w:ascii="Calibri" w:eastAsia="Calibri" w:hAnsi="Calibri" w:cs="Calibri"/>
          <w:lang w:val="fr-FR"/>
        </w:rPr>
        <w:t> </w:t>
      </w:r>
      <w:r w:rsidRPr="005F6A32">
        <w:rPr>
          <w:rFonts w:ascii="Calibri" w:eastAsia="Calibri" w:hAnsi="Calibri" w:cs="Calibri"/>
          <w:lang w:val="fr-FR"/>
        </w:rPr>
        <w:t>40</w:t>
      </w:r>
      <w:r w:rsidR="00617ED0" w:rsidRPr="005F6A32">
        <w:rPr>
          <w:rFonts w:ascii="Calibri" w:eastAsia="Calibri" w:hAnsi="Calibri" w:cs="Calibri"/>
          <w:lang w:val="fr-FR"/>
        </w:rPr>
        <w:t> </w:t>
      </w:r>
      <w:r w:rsidRPr="005F6A32">
        <w:rPr>
          <w:rFonts w:ascii="Calibri" w:eastAsia="Calibri" w:hAnsi="Calibri" w:cs="Calibri"/>
          <w:lang w:val="fr-FR"/>
        </w:rPr>
        <w:t>pays, choisis parmi plus de 10 000</w:t>
      </w:r>
      <w:r w:rsidR="002440EF" w:rsidRPr="005F6A32">
        <w:rPr>
          <w:rFonts w:ascii="Calibri" w:eastAsia="Calibri" w:hAnsi="Calibri" w:cs="Calibri"/>
          <w:lang w:val="fr-FR"/>
        </w:rPr>
        <w:t xml:space="preserve"> </w:t>
      </w:r>
      <w:r w:rsidRPr="005F6A32">
        <w:rPr>
          <w:rFonts w:ascii="Calibri" w:eastAsia="Calibri" w:hAnsi="Calibri" w:cs="Calibri"/>
          <w:lang w:val="fr-FR"/>
        </w:rPr>
        <w:t xml:space="preserve">candidats, ont pu renforcer leurs compétences en matière de direction, de conduite de l'innovation et de gestion de projet lors des Semaines du développement du Programme GCYLP en juin 2024 et en août 2025. En partenariat avec Huawei, chaque boursier a reçu une subvention de 5 000 USD pour mettre en œuvre des projets numériques dans sa communauté et continue de bénéficier de séances et d'exercices mensuels virtuels de mentorat et d'établissement de rapports. Cinq boursiers ont obtenu un financement </w:t>
      </w:r>
      <w:r w:rsidRPr="005F6A32">
        <w:rPr>
          <w:rFonts w:ascii="Calibri" w:eastAsia="Calibri" w:hAnsi="Calibri" w:cs="Calibri"/>
          <w:lang w:val="fr-FR"/>
        </w:rPr>
        <w:lastRenderedPageBreak/>
        <w:t>supplémentaire d'un montant total de 750 000 USD auprès d'autres organisations, ce qui a permis d'améliorer la durabilité du projet. Grâce à cet appui, ils ont élargi leur influence et leurs réseaux en participant en tant qu'intervenants à de grandes manifestations mondiales, notamment au Forum de l'UIT sur les compétences numériques à Bahreïn, au Forum mondial de l'innovation de</w:t>
      </w:r>
      <w:r w:rsidR="00507A8D" w:rsidRPr="005F6A32">
        <w:rPr>
          <w:rFonts w:ascii="Calibri" w:eastAsia="Calibri" w:hAnsi="Calibri" w:cs="Calibri"/>
          <w:lang w:val="fr-FR"/>
        </w:rPr>
        <w:t> </w:t>
      </w:r>
      <w:r w:rsidRPr="005F6A32">
        <w:rPr>
          <w:rFonts w:ascii="Calibri" w:eastAsia="Calibri" w:hAnsi="Calibri" w:cs="Calibri"/>
          <w:lang w:val="fr-FR"/>
        </w:rPr>
        <w:t>l'UIT à Malte, à la réunion de la Commission d'études</w:t>
      </w:r>
      <w:r w:rsidR="000C18DB" w:rsidRPr="005F6A32">
        <w:rPr>
          <w:rFonts w:ascii="Calibri" w:eastAsia="Calibri" w:hAnsi="Calibri" w:cs="Calibri"/>
          <w:lang w:val="fr-FR"/>
        </w:rPr>
        <w:t xml:space="preserve"> </w:t>
      </w:r>
      <w:r w:rsidRPr="005F6A32">
        <w:rPr>
          <w:rFonts w:ascii="Calibri" w:eastAsia="Calibri" w:hAnsi="Calibri" w:cs="Calibri"/>
          <w:lang w:val="fr-FR"/>
        </w:rPr>
        <w:t>1 de l'UIT-D, à la</w:t>
      </w:r>
      <w:r w:rsidR="000C18DB" w:rsidRPr="005F6A32">
        <w:rPr>
          <w:rFonts w:ascii="Calibri" w:eastAsia="Calibri" w:hAnsi="Calibri" w:cs="Calibri"/>
          <w:lang w:val="fr-FR"/>
        </w:rPr>
        <w:t xml:space="preserve"> </w:t>
      </w:r>
      <w:r w:rsidRPr="005F6A32">
        <w:rPr>
          <w:rFonts w:ascii="Calibri" w:eastAsia="Calibri" w:hAnsi="Calibri" w:cs="Calibri"/>
          <w:lang w:val="fr-FR"/>
        </w:rPr>
        <w:t>COP29 en</w:t>
      </w:r>
      <w:r w:rsidR="000C18DB" w:rsidRPr="005F6A32">
        <w:rPr>
          <w:rFonts w:ascii="Calibri" w:eastAsia="Calibri" w:hAnsi="Calibri" w:cs="Calibri"/>
          <w:lang w:val="fr-FR"/>
        </w:rPr>
        <w:t xml:space="preserve"> </w:t>
      </w:r>
      <w:r w:rsidRPr="005F6A32">
        <w:rPr>
          <w:rFonts w:ascii="Calibri" w:eastAsia="Calibri" w:hAnsi="Calibri" w:cs="Calibri"/>
          <w:lang w:val="fr-FR"/>
        </w:rPr>
        <w:t>Azerbaïdjan, à la Journée internationale des jeunes filles dans le secteur des TIC et à la Conférence mondiale de l'Internet en</w:t>
      </w:r>
      <w:r w:rsidR="00617ED0" w:rsidRPr="005F6A32">
        <w:rPr>
          <w:rFonts w:ascii="Calibri" w:eastAsia="Calibri" w:hAnsi="Calibri" w:cs="Calibri"/>
          <w:lang w:val="fr-FR"/>
        </w:rPr>
        <w:t xml:space="preserve"> </w:t>
      </w:r>
      <w:r w:rsidRPr="005F6A32">
        <w:rPr>
          <w:rFonts w:ascii="Calibri" w:eastAsia="Calibri" w:hAnsi="Calibri" w:cs="Calibri"/>
          <w:lang w:val="fr-FR"/>
        </w:rPr>
        <w:t>Chine.</w:t>
      </w:r>
    </w:p>
    <w:p w14:paraId="5D1798C8" w14:textId="1B838B23" w:rsidR="006D7C85" w:rsidRPr="005F6A32" w:rsidRDefault="002440EF" w:rsidP="00B51EFF">
      <w:pPr>
        <w:pStyle w:val="Heading2"/>
        <w:rPr>
          <w:rFonts w:eastAsia="Calibri"/>
          <w:lang w:val="fr-FR"/>
        </w:rPr>
      </w:pPr>
      <w:r w:rsidRPr="005F6A32">
        <w:rPr>
          <w:rFonts w:eastAsia="Calibri"/>
          <w:lang w:val="fr-FR"/>
        </w:rPr>
        <w:t>2.4</w:t>
      </w:r>
      <w:r w:rsidRPr="005F6A32">
        <w:rPr>
          <w:rFonts w:eastAsia="Calibri"/>
          <w:lang w:val="fr-FR"/>
        </w:rPr>
        <w:tab/>
      </w:r>
      <w:r w:rsidR="006D7C85" w:rsidRPr="005F6A32">
        <w:rPr>
          <w:rFonts w:eastAsia="Calibri"/>
          <w:lang w:val="fr-FR"/>
        </w:rPr>
        <w:t>Accélération des compétences dans le domaine de l'IA pour les jeunes filles</w:t>
      </w:r>
    </w:p>
    <w:p w14:paraId="6D4D1C8E" w14:textId="3BEB8F96" w:rsidR="006D7C85" w:rsidRPr="005F6A32" w:rsidRDefault="006D7C85" w:rsidP="00B51EFF">
      <w:pPr>
        <w:rPr>
          <w:rFonts w:eastAsia="Calibri"/>
          <w:lang w:val="fr-FR"/>
        </w:rPr>
      </w:pPr>
      <w:r w:rsidRPr="005F6A32">
        <w:rPr>
          <w:rFonts w:eastAsia="Calibri"/>
          <w:lang w:val="fr-FR"/>
        </w:rPr>
        <w:t>Le projet d'</w:t>
      </w:r>
      <w:hyperlink r:id="rId28">
        <w:r w:rsidRPr="005F6A32">
          <w:rPr>
            <w:rStyle w:val="Hyperlink"/>
            <w:rFonts w:ascii="Calibri" w:eastAsia="Calibri" w:hAnsi="Calibri" w:cs="Calibri"/>
            <w:lang w:val="fr-FR"/>
          </w:rPr>
          <w:t>accélération des compétences dans le domaine de l'IA pour les jeunes filles</w:t>
        </w:r>
      </w:hyperlink>
      <w:r w:rsidRPr="005F6A32">
        <w:rPr>
          <w:rFonts w:eastAsia="Calibri"/>
          <w:lang w:val="fr-FR"/>
        </w:rPr>
        <w:t xml:space="preserve"> est né de la nécessité de s'attaquer au problème de la sous-représentation des femmes dans le domaine de l'intelligence artificielle et les postes de direction dans le secteur des technologies. Le Bureau du développement de l'UIT et EY se sont attelés ensemble à cette tâche en 2024, en se fixant l'objectif de doter au moins 1</w:t>
      </w:r>
      <w:r w:rsidR="007E45F7" w:rsidRPr="005F6A32">
        <w:rPr>
          <w:rFonts w:eastAsia="Calibri"/>
          <w:lang w:val="fr-FR"/>
        </w:rPr>
        <w:t xml:space="preserve"> </w:t>
      </w:r>
      <w:r w:rsidRPr="005F6A32">
        <w:rPr>
          <w:rFonts w:eastAsia="Calibri"/>
          <w:lang w:val="fr-FR"/>
        </w:rPr>
        <w:t>000 jeunes femmes issues de communautés mal desservies des compétences nécessaires pour réussir dans le secteur de l'IA et du numérique. L'objectif du programme est d'aider les jeunes femmes, en particulier dans la tranche d'âge 18-25</w:t>
      </w:r>
      <w:r w:rsidR="00745B40" w:rsidRPr="005F6A32">
        <w:rPr>
          <w:rFonts w:eastAsia="Calibri"/>
          <w:lang w:val="fr-FR"/>
        </w:rPr>
        <w:t xml:space="preserve"> </w:t>
      </w:r>
      <w:r w:rsidRPr="005F6A32">
        <w:rPr>
          <w:rFonts w:eastAsia="Calibri"/>
          <w:lang w:val="fr-FR"/>
        </w:rPr>
        <w:t>ans, à acquérir les compétences pratiques, éthiques et de direction nécessaires pour s'épanouir dans le monde de l'intelligence artificielle. Axé sur la formation pratique, le programme permettra à deux</w:t>
      </w:r>
      <w:r w:rsidR="00745B40" w:rsidRPr="005F6A32">
        <w:rPr>
          <w:rFonts w:eastAsia="Calibri"/>
          <w:lang w:val="fr-FR"/>
        </w:rPr>
        <w:t> </w:t>
      </w:r>
      <w:r w:rsidRPr="005F6A32">
        <w:rPr>
          <w:rFonts w:eastAsia="Calibri"/>
          <w:lang w:val="fr-FR"/>
        </w:rPr>
        <w:t>groupes de jeunes femmes de bénéficier des activités prévues. Le premier groupe a commencé en octobre</w:t>
      </w:r>
      <w:r w:rsidR="00745B40" w:rsidRPr="005F6A32">
        <w:rPr>
          <w:rFonts w:eastAsia="Calibri"/>
          <w:lang w:val="fr-FR"/>
        </w:rPr>
        <w:t xml:space="preserve"> </w:t>
      </w:r>
      <w:r w:rsidRPr="005F6A32">
        <w:rPr>
          <w:rFonts w:eastAsia="Calibri"/>
          <w:lang w:val="fr-FR"/>
        </w:rPr>
        <w:t>2024, avec une série d'ateliers en présentiel organisés dans six pays (un</w:t>
      </w:r>
      <w:r w:rsidR="00745B40" w:rsidRPr="005F6A32">
        <w:rPr>
          <w:rFonts w:eastAsia="Calibri"/>
          <w:lang w:val="fr-FR"/>
        </w:rPr>
        <w:t> </w:t>
      </w:r>
      <w:r w:rsidRPr="005F6A32">
        <w:rPr>
          <w:rFonts w:eastAsia="Calibri"/>
          <w:lang w:val="fr-FR"/>
        </w:rPr>
        <w:t>atelier dans chaque région de l'UIT: Paraguay, Malte, Kenya, Inde, Kazakhstan, Jordanie), suivi en août 2025 par le second groupe qui a participé à des ateliers en Ouzbékistan, au Guatemala et en Égypte. Au total, plus de 820</w:t>
      </w:r>
      <w:r w:rsidR="00745B40" w:rsidRPr="005F6A32">
        <w:rPr>
          <w:rFonts w:eastAsia="Calibri"/>
          <w:lang w:val="fr-FR"/>
        </w:rPr>
        <w:t xml:space="preserve"> </w:t>
      </w:r>
      <w:r w:rsidRPr="005F6A32">
        <w:rPr>
          <w:rFonts w:eastAsia="Calibri"/>
          <w:lang w:val="fr-FR"/>
        </w:rPr>
        <w:t>jeunes femmes ont bénéficié du programme.</w:t>
      </w:r>
    </w:p>
    <w:p w14:paraId="424D53A5" w14:textId="6FE6B6D3" w:rsidR="006D7C85" w:rsidRPr="005F6A32" w:rsidRDefault="002440EF" w:rsidP="00B51EFF">
      <w:pPr>
        <w:pStyle w:val="Heading1"/>
        <w:rPr>
          <w:rFonts w:eastAsia="Calibri"/>
          <w:lang w:val="fr-FR"/>
        </w:rPr>
      </w:pPr>
      <w:r w:rsidRPr="005F6A32">
        <w:rPr>
          <w:rFonts w:eastAsia="Calibri"/>
          <w:lang w:val="fr-FR"/>
        </w:rPr>
        <w:t>3</w:t>
      </w:r>
      <w:r w:rsidRPr="005F6A32">
        <w:rPr>
          <w:rFonts w:eastAsia="Calibri"/>
          <w:lang w:val="fr-FR"/>
        </w:rPr>
        <w:tab/>
      </w:r>
      <w:r w:rsidR="006D7C85" w:rsidRPr="005F6A32">
        <w:rPr>
          <w:rFonts w:eastAsia="Calibri"/>
          <w:lang w:val="fr-FR"/>
        </w:rPr>
        <w:t>Outils et ressources dans le domaine des connaissances à l'appui de la mise en œuvre</w:t>
      </w:r>
    </w:p>
    <w:p w14:paraId="2B8EB5B0" w14:textId="754C522D" w:rsidR="006D7C85" w:rsidRPr="005F6A32" w:rsidRDefault="006D7C85" w:rsidP="00B51EFF">
      <w:pPr>
        <w:rPr>
          <w:rFonts w:eastAsia="Calibri"/>
          <w:lang w:val="fr-FR"/>
        </w:rPr>
      </w:pPr>
      <w:r w:rsidRPr="005F6A32">
        <w:rPr>
          <w:rFonts w:eastAsia="Calibri"/>
          <w:lang w:val="fr-FR"/>
        </w:rPr>
        <w:t>Une série de nouveaux outils et de nouveaux supports de formation, ainsi que des rapports thématiques sur les questions d'inclusion numérique, ont été élaborés pour aider les Membres de</w:t>
      </w:r>
      <w:r w:rsidR="00CA7158" w:rsidRPr="005F6A32">
        <w:rPr>
          <w:rFonts w:eastAsia="Calibri"/>
          <w:lang w:val="fr-FR"/>
        </w:rPr>
        <w:t> </w:t>
      </w:r>
      <w:r w:rsidRPr="005F6A32">
        <w:rPr>
          <w:rFonts w:eastAsia="Calibri"/>
          <w:lang w:val="fr-FR"/>
        </w:rPr>
        <w:t>l'UIT dans leurs actions de mise en œuvre de l'inclusion numérique.</w:t>
      </w:r>
    </w:p>
    <w:p w14:paraId="1CDCE520" w14:textId="1FABE121" w:rsidR="006D7C85" w:rsidRPr="005F6A32" w:rsidRDefault="006D7C85" w:rsidP="00DF1C06">
      <w:pPr>
        <w:rPr>
          <w:rFonts w:ascii="Calibri" w:eastAsia="Calibri" w:hAnsi="Calibri" w:cs="Calibri"/>
          <w:lang w:val="fr-FR"/>
        </w:rPr>
      </w:pPr>
      <w:r w:rsidRPr="005F6A32">
        <w:rPr>
          <w:rFonts w:ascii="Calibri" w:eastAsia="Calibri" w:hAnsi="Calibri" w:cs="Calibri"/>
          <w:lang w:val="fr-FR"/>
        </w:rPr>
        <w:t xml:space="preserve">Dans le cadre de l'évolution du programme d'inclusion numérique mené en partenariat avec l'OMS, l'UIT a publié le </w:t>
      </w:r>
      <w:hyperlink r:id="rId29">
        <w:r w:rsidRPr="005F6A32">
          <w:rPr>
            <w:rStyle w:val="Hyperlink"/>
            <w:rFonts w:eastAsia="Calibri"/>
            <w:lang w:val="fr-FR"/>
          </w:rPr>
          <w:t>Kit pratique UIT-OMS sur la mise en œuvre des services de télésanté accessibles</w:t>
        </w:r>
      </w:hyperlink>
      <w:r w:rsidRPr="005F6A32">
        <w:rPr>
          <w:rFonts w:ascii="Calibri" w:eastAsia="Calibri" w:hAnsi="Calibri" w:cs="Calibri"/>
          <w:lang w:val="fr-FR"/>
        </w:rPr>
        <w:t>, qui contient des conseils pratiques et une méthode par étapes visant à aider les États</w:t>
      </w:r>
      <w:r w:rsidR="00745B40" w:rsidRPr="005F6A32">
        <w:rPr>
          <w:rFonts w:ascii="Calibri" w:eastAsia="Calibri" w:hAnsi="Calibri" w:cs="Calibri"/>
          <w:lang w:val="fr-FR"/>
        </w:rPr>
        <w:t> </w:t>
      </w:r>
      <w:r w:rsidRPr="005F6A32">
        <w:rPr>
          <w:rFonts w:ascii="Calibri" w:eastAsia="Calibri" w:hAnsi="Calibri" w:cs="Calibri"/>
          <w:lang w:val="fr-FR"/>
        </w:rPr>
        <w:t>Membres, le secteur privé, les fournisseurs de service de santé et la société civile à promouvoir et mettre en œuvre des services de santé numériques inclusifs et techniquement accessibles.</w:t>
      </w:r>
    </w:p>
    <w:p w14:paraId="614EBB57" w14:textId="77777777" w:rsidR="006D7C85" w:rsidRPr="005F6A32" w:rsidRDefault="006D7C85" w:rsidP="00B51EFF">
      <w:pPr>
        <w:rPr>
          <w:rFonts w:eastAsia="Calibri"/>
          <w:lang w:val="fr-FR"/>
        </w:rPr>
      </w:pPr>
      <w:r w:rsidRPr="005F6A32">
        <w:rPr>
          <w:rFonts w:eastAsia="Calibri"/>
          <w:lang w:val="fr-FR"/>
        </w:rPr>
        <w:t>Une autre ressource très complète, sur le thème "Intégration stratégique de l'accessibilité des TIC pour une transformation numérique inclusive", a également été élaborée et devrait être publiée prochainement.</w:t>
      </w:r>
    </w:p>
    <w:p w14:paraId="2475D3B8" w14:textId="7686E8EB" w:rsidR="006D7C85" w:rsidRPr="005F6A32" w:rsidRDefault="006D7C85" w:rsidP="00C96323">
      <w:pPr>
        <w:rPr>
          <w:rFonts w:eastAsia="Calibri"/>
          <w:lang w:val="fr-FR"/>
        </w:rPr>
      </w:pPr>
      <w:r w:rsidRPr="005F6A32">
        <w:rPr>
          <w:rFonts w:eastAsia="Calibri"/>
          <w:lang w:val="fr-FR"/>
        </w:rPr>
        <w:t>L'UIT a également créé huit (8) formations, qui portent sur différents sujets (Cadres</w:t>
      </w:r>
      <w:r w:rsidR="00CA7158" w:rsidRPr="005F6A32">
        <w:rPr>
          <w:rFonts w:eastAsia="Calibri"/>
          <w:lang w:val="fr-FR"/>
        </w:rPr>
        <w:t xml:space="preserve"> </w:t>
      </w:r>
      <w:r w:rsidRPr="005F6A32">
        <w:rPr>
          <w:rFonts w:eastAsia="Calibri"/>
          <w:lang w:val="fr-FR"/>
        </w:rPr>
        <w:t>réglementaires et juridiques relatifs à l'inclusion numérique, Services publics numériques inclusifs, Économies numériques inclusives, Compétences et culture numériques pour tous, Effets de l'IA sur le développement de fonctionnalités d'accessibilité, Mobilisation et coordination multi-parties prenantes, Outils et méthodes de suivi, Évaluation et mise en œuvre adaptative) et peuvent être adaptées pour aider les États Membres à faire progresser l'inclusion numérique dans leur pays.</w:t>
      </w:r>
    </w:p>
    <w:p w14:paraId="57480EE3" w14:textId="17454927" w:rsidR="006D7C85" w:rsidRPr="005F6A32" w:rsidRDefault="006D7C85" w:rsidP="00C96323">
      <w:pPr>
        <w:keepLines/>
        <w:rPr>
          <w:rFonts w:eastAsia="Calibri"/>
          <w:lang w:val="fr-FR"/>
        </w:rPr>
      </w:pPr>
      <w:r w:rsidRPr="005F6A32">
        <w:rPr>
          <w:rFonts w:eastAsia="Calibri"/>
          <w:lang w:val="fr-FR"/>
        </w:rPr>
        <w:lastRenderedPageBreak/>
        <w:t xml:space="preserve">Le </w:t>
      </w:r>
      <w:hyperlink r:id="rId30">
        <w:r w:rsidRPr="005F6A32">
          <w:rPr>
            <w:rStyle w:val="Hyperlink"/>
            <w:rFonts w:ascii="Calibri" w:eastAsia="Calibri" w:hAnsi="Calibri" w:cs="Calibri"/>
            <w:lang w:val="fr-FR"/>
          </w:rPr>
          <w:t>Manuel UIT-OIT et des formations en ligne adaptées au rythme de chacun sur la rédaction d'offres d'emploi en ligne accessibles</w:t>
        </w:r>
      </w:hyperlink>
      <w:r w:rsidRPr="005F6A32">
        <w:rPr>
          <w:rFonts w:eastAsia="Calibri"/>
          <w:lang w:val="fr-FR"/>
        </w:rPr>
        <w:t xml:space="preserve"> font partie des nouveaux outils proposés. Tous les cours en ligne en autonomie et tous les tutoriels vidéo sur le thème de l'inclusion numérique sont gratuits et disponibles dans plusieurs langues de l'ONU dans des formats numériques accessibles (notamment pour les personnes sourdes ou aveugles), afin de promouvoir l'intégration systématique de l'accessibilité dans les TIC et, ainsi, garantir une transformation numérique inclusive.</w:t>
      </w:r>
    </w:p>
    <w:p w14:paraId="026FFA87" w14:textId="4CEADCA5" w:rsidR="006D7C85" w:rsidRPr="005F6A32" w:rsidRDefault="006D7C85" w:rsidP="00B51EFF">
      <w:pPr>
        <w:rPr>
          <w:rFonts w:eastAsia="Calibri"/>
          <w:lang w:val="fr-FR"/>
        </w:rPr>
      </w:pPr>
      <w:r w:rsidRPr="005F6A32">
        <w:rPr>
          <w:rFonts w:eastAsia="Calibri"/>
          <w:lang w:val="fr-FR"/>
        </w:rPr>
        <w:t xml:space="preserve">En 2024, le </w:t>
      </w:r>
      <w:hyperlink r:id="rId31" w:anchor="/fr">
        <w:r w:rsidRPr="005F6A32">
          <w:rPr>
            <w:rStyle w:val="Hyperlink"/>
            <w:rFonts w:ascii="Calibri" w:eastAsia="Calibri" w:hAnsi="Calibri" w:cs="Calibri"/>
            <w:lang w:val="fr-FR"/>
          </w:rPr>
          <w:t>Manuel sur l'intégration des questions de genre dans les politiques numériques</w:t>
        </w:r>
      </w:hyperlink>
      <w:r w:rsidRPr="005F6A32">
        <w:rPr>
          <w:rFonts w:eastAsia="Calibri"/>
          <w:lang w:val="fr-FR"/>
        </w:rPr>
        <w:t xml:space="preserve"> a permis aux États Membres de disposer de bonnes pratiques sur la manière de prendre en compte la problématique hommes-femmes dans les politiques numériques actuelles et à venir. S'appuyant sur une série d'expériences menées dans différents pays, ce kit pratique présente une série d'étapes pour intégrer les questions de genre dans la conception et la réglementation des TIC. L'organisation de séances de formation et les partages d'expérience entre pairs ont favorisé la prise en compte de cette problématique et permis aux pouvoirs publics d'aller au-delà des simples mesures ponctuelles et de mettre en place des approches systématiques dans l'élaboration de politiques inclusives.</w:t>
      </w:r>
    </w:p>
    <w:p w14:paraId="1CEABB47" w14:textId="5B99F735" w:rsidR="006D7C85" w:rsidRPr="005F6A32" w:rsidRDefault="006D7C85" w:rsidP="00B51EFF">
      <w:pPr>
        <w:rPr>
          <w:rFonts w:eastAsia="Calibri"/>
          <w:lang w:val="fr-FR"/>
        </w:rPr>
      </w:pPr>
      <w:r w:rsidRPr="005F6A32">
        <w:rPr>
          <w:rFonts w:eastAsia="Calibri"/>
          <w:lang w:val="fr-FR"/>
        </w:rPr>
        <w:t xml:space="preserve">Publié en 2024, le </w:t>
      </w:r>
      <w:r w:rsidR="00C96323" w:rsidRPr="005F6A32">
        <w:rPr>
          <w:rFonts w:eastAsia="Calibri"/>
          <w:lang w:val="fr-FR"/>
        </w:rPr>
        <w:t>D</w:t>
      </w:r>
      <w:r w:rsidRPr="005F6A32">
        <w:rPr>
          <w:rFonts w:eastAsia="Calibri"/>
          <w:lang w:val="fr-FR"/>
        </w:rPr>
        <w:t xml:space="preserve">ocument </w:t>
      </w:r>
      <w:hyperlink r:id="rId32">
        <w:r w:rsidRPr="005F6A32">
          <w:rPr>
            <w:rStyle w:val="Hyperlink"/>
            <w:rFonts w:ascii="Calibri" w:eastAsia="Calibri" w:hAnsi="Calibri" w:cs="Calibri"/>
            <w:lang w:val="fr-FR"/>
          </w:rPr>
          <w:t>Her Digital Skills: Towards a Gender Transformative Approach</w:t>
        </w:r>
      </w:hyperlink>
      <w:r w:rsidRPr="005F6A32">
        <w:rPr>
          <w:rFonts w:eastAsia="Calibri"/>
          <w:lang w:val="fr-FR"/>
        </w:rPr>
        <w:t xml:space="preserve"> (en</w:t>
      </w:r>
      <w:r w:rsidR="00745B40" w:rsidRPr="005F6A32">
        <w:rPr>
          <w:rFonts w:eastAsia="Calibri"/>
          <w:lang w:val="fr-FR"/>
        </w:rPr>
        <w:t> </w:t>
      </w:r>
      <w:r w:rsidRPr="005F6A32">
        <w:rPr>
          <w:rFonts w:eastAsia="Calibri"/>
          <w:lang w:val="fr-FR"/>
        </w:rPr>
        <w:t>anglais uniquement) est un cadre de référence et un guide à l'usage des professionnels, qui propose des approches susceptibles de transformer les aspects relatifs au genre pour la conception de programmes d'éducation aux compétences numériques, dans les salles de classe et en dehors. On y trouve une approche inclusive, contextualisée et fondée sur les compétences pour l'élaboration des stratégies d'apprentissage, des programmes et des contenus, qui met l'accent sur l'importance d'intégrer un changement des normes de genre dans la théorie et la pratique. Les auteurs recommandent également de faire intervenir différentes parties prenantes dans l'écosystème au sens large afin de réduire la fracture numérique entre les filles et les garçons.</w:t>
      </w:r>
    </w:p>
    <w:p w14:paraId="741F490A" w14:textId="1DA3BFF7" w:rsidR="006D7C85" w:rsidRPr="005F6A32" w:rsidRDefault="006D7C85" w:rsidP="00B51EFF">
      <w:pPr>
        <w:rPr>
          <w:rFonts w:eastAsia="Calibri"/>
          <w:lang w:val="fr-FR"/>
        </w:rPr>
      </w:pPr>
      <w:r w:rsidRPr="005F6A32">
        <w:rPr>
          <w:rFonts w:eastAsia="Calibri"/>
          <w:lang w:val="fr-FR"/>
        </w:rPr>
        <w:t xml:space="preserve">L'UIT-D propose actuellement </w:t>
      </w:r>
      <w:hyperlink r:id="rId33">
        <w:r w:rsidRPr="005F6A32">
          <w:rPr>
            <w:rStyle w:val="Hyperlink"/>
            <w:rFonts w:ascii="Calibri" w:eastAsia="Calibri" w:hAnsi="Calibri" w:cs="Calibri"/>
            <w:lang w:val="fr-FR"/>
          </w:rPr>
          <w:t>plus de 75 outils et ressources</w:t>
        </w:r>
      </w:hyperlink>
      <w:r w:rsidRPr="005F6A32">
        <w:rPr>
          <w:rFonts w:eastAsia="Calibri"/>
          <w:lang w:val="fr-FR"/>
        </w:rPr>
        <w:t xml:space="preserve"> </w:t>
      </w:r>
      <w:r w:rsidR="00745B40" w:rsidRPr="005F6A32">
        <w:rPr>
          <w:rFonts w:eastAsia="Calibri"/>
          <w:lang w:val="fr-FR"/>
        </w:rPr>
        <w:t>–</w:t>
      </w:r>
      <w:r w:rsidRPr="005F6A32">
        <w:rPr>
          <w:rFonts w:eastAsia="Calibri"/>
          <w:lang w:val="fr-FR"/>
        </w:rPr>
        <w:t xml:space="preserve"> rapports thématiques, lignes directrices, kits pratiques et formations – afin d'aider les États Membres à mettre en œuvre des programmes d'inclusion numérique aux niveaux national, régional et mondial. Consulter la page </w:t>
      </w:r>
      <w:hyperlink r:id="rId34">
        <w:r w:rsidRPr="005F6A32">
          <w:rPr>
            <w:rStyle w:val="Hyperlink"/>
            <w:rFonts w:ascii="Calibri" w:eastAsia="Calibri" w:hAnsi="Calibri" w:cs="Calibri"/>
            <w:color w:val="467886"/>
            <w:lang w:val="fr-FR"/>
          </w:rPr>
          <w:t>Resources on ICT/digital accessibility</w:t>
        </w:r>
      </w:hyperlink>
      <w:r w:rsidRPr="005F6A32">
        <w:rPr>
          <w:rFonts w:eastAsia="Calibri"/>
          <w:lang w:val="fr-FR"/>
        </w:rPr>
        <w:t>, pour plus d'informations sur les ressources consacrées à l'accessibilité des TIC et du numérique.</w:t>
      </w:r>
    </w:p>
    <w:p w14:paraId="6F4208F4" w14:textId="77777777" w:rsidR="006D7C85" w:rsidRPr="005F6A32" w:rsidRDefault="006D7C85" w:rsidP="00B51EFF">
      <w:pPr>
        <w:rPr>
          <w:rFonts w:eastAsia="Calibri"/>
          <w:lang w:val="fr-FR"/>
        </w:rPr>
      </w:pPr>
      <w:r w:rsidRPr="005F6A32">
        <w:rPr>
          <w:rFonts w:eastAsia="Calibri"/>
          <w:lang w:val="fr-FR"/>
        </w:rPr>
        <w:t>D'après les statistiques de fréquentation, plus de 3 000 utilisateurs par an consultent les ressources mises en ligne par l'UIT-D.</w:t>
      </w:r>
    </w:p>
    <w:p w14:paraId="535E7073" w14:textId="0100A003" w:rsidR="006D7C85" w:rsidRPr="005F6A32" w:rsidRDefault="002440EF" w:rsidP="00C96323">
      <w:pPr>
        <w:pStyle w:val="Heading1"/>
        <w:keepNext w:val="0"/>
        <w:keepLines w:val="0"/>
        <w:rPr>
          <w:rFonts w:eastAsia="Calibri"/>
          <w:lang w:val="fr-FR"/>
        </w:rPr>
      </w:pPr>
      <w:r w:rsidRPr="005F6A32">
        <w:rPr>
          <w:rFonts w:eastAsia="Calibri"/>
          <w:lang w:val="fr-FR"/>
        </w:rPr>
        <w:t>4</w:t>
      </w:r>
      <w:r w:rsidRPr="005F6A32">
        <w:rPr>
          <w:rFonts w:eastAsia="Calibri"/>
          <w:lang w:val="fr-FR"/>
        </w:rPr>
        <w:tab/>
      </w:r>
      <w:r w:rsidR="006D7C85" w:rsidRPr="005F6A32">
        <w:rPr>
          <w:rFonts w:eastAsia="Calibri"/>
          <w:lang w:val="fr-FR"/>
        </w:rPr>
        <w:t>Plates-formes de promotion, de travail et de portée mondiale pour l'échange d'expérience, la collaboration et l'appui à la mise en œuvre</w:t>
      </w:r>
    </w:p>
    <w:p w14:paraId="690CD6B3" w14:textId="142CE7B3" w:rsidR="006D7C85" w:rsidRPr="005F6A32" w:rsidRDefault="002440EF" w:rsidP="00C96323">
      <w:pPr>
        <w:pStyle w:val="Heading2"/>
        <w:keepNext w:val="0"/>
        <w:keepLines w:val="0"/>
        <w:rPr>
          <w:rFonts w:eastAsia="Calibri"/>
          <w:lang w:val="fr-FR"/>
        </w:rPr>
      </w:pPr>
      <w:r w:rsidRPr="005F6A32">
        <w:rPr>
          <w:rFonts w:eastAsia="Calibri"/>
          <w:lang w:val="fr-FR"/>
        </w:rPr>
        <w:t>4.1</w:t>
      </w:r>
      <w:r w:rsidRPr="005F6A32">
        <w:rPr>
          <w:rFonts w:eastAsia="Calibri"/>
          <w:lang w:val="fr-FR"/>
        </w:rPr>
        <w:tab/>
      </w:r>
      <w:r w:rsidR="006D7C85" w:rsidRPr="005F6A32">
        <w:rPr>
          <w:rFonts w:eastAsia="Calibri"/>
          <w:lang w:val="fr-FR"/>
        </w:rPr>
        <w:t>Commission d'études de l'UIT-D pour la Question 7/1</w:t>
      </w:r>
    </w:p>
    <w:p w14:paraId="2C957296" w14:textId="4F7F2598" w:rsidR="006D7C85" w:rsidRPr="005F6A32" w:rsidRDefault="006D7C85" w:rsidP="00C96323">
      <w:pPr>
        <w:rPr>
          <w:rFonts w:eastAsia="Calibri"/>
          <w:lang w:val="fr-FR"/>
        </w:rPr>
      </w:pPr>
      <w:r w:rsidRPr="005F6A32">
        <w:rPr>
          <w:rFonts w:eastAsia="Calibri"/>
          <w:lang w:val="fr-FR"/>
        </w:rPr>
        <w:t xml:space="preserve">Les travaux sur l'inclusion numérique sont fortement guidés par la </w:t>
      </w:r>
      <w:hyperlink r:id="rId35">
        <w:r w:rsidRPr="005F6A32">
          <w:rPr>
            <w:rStyle w:val="Hyperlink"/>
            <w:rFonts w:ascii="Calibri" w:eastAsia="Calibri" w:hAnsi="Calibri" w:cs="Calibri"/>
            <w:lang w:val="fr-FR"/>
          </w:rPr>
          <w:t>Commission d'études de l'UIT-D chargée de l'étude de la Question 7/1 "Accessibilité des télécommunications/TIC pour permettre des communications inclusives, en particulier pour les personnes handicapées</w:t>
        </w:r>
        <w:r w:rsidRPr="005F6A32">
          <w:rPr>
            <w:rStyle w:val="Hyperlink"/>
            <w:rFonts w:ascii="Calibri" w:eastAsia="Calibri" w:hAnsi="Calibri" w:cs="Calibri"/>
            <w:u w:val="none"/>
            <w:lang w:val="fr-FR"/>
          </w:rPr>
          <w:t>"</w:t>
        </w:r>
      </w:hyperlink>
      <w:r w:rsidRPr="005F6A32">
        <w:rPr>
          <w:rFonts w:eastAsia="Calibri"/>
          <w:lang w:val="fr-FR"/>
        </w:rPr>
        <w:t>, qui facilite l'échange d'expériences, les bonnes pratiques pour l'organisation aux niveaux national et régional d'activités thématiques enrichies relatives à la communication inclusive dans l'espace numérique et la promotion de la mise en œuvre mondiale. Ces travaux ont également donné lieu à l'élaboration de lignes directrices présentées dans le Rapport de la Commission d'études sur la Question 7/1 pour la période 2023-2025 (</w:t>
      </w:r>
      <w:hyperlink r:id="rId36">
        <w:r w:rsidRPr="005F6A32">
          <w:rPr>
            <w:rStyle w:val="Hyperlink"/>
            <w:rFonts w:ascii="Calibri" w:eastAsia="Calibri" w:hAnsi="Calibri" w:cs="Calibri"/>
            <w:lang w:val="fr-FR"/>
          </w:rPr>
          <w:t>https://www.itu.int/md/D22-SG01-C-0490/en</w:t>
        </w:r>
      </w:hyperlink>
      <w:r w:rsidRPr="005F6A32">
        <w:rPr>
          <w:rFonts w:eastAsia="Calibri"/>
          <w:lang w:val="fr-FR"/>
        </w:rPr>
        <w:t>).</w:t>
      </w:r>
    </w:p>
    <w:p w14:paraId="7C59AAFF" w14:textId="27637E14" w:rsidR="006D7C85" w:rsidRPr="005F6A32" w:rsidRDefault="002440EF" w:rsidP="00B51EFF">
      <w:pPr>
        <w:pStyle w:val="Heading2"/>
        <w:rPr>
          <w:rFonts w:eastAsia="Calibri"/>
          <w:lang w:val="fr-FR"/>
        </w:rPr>
      </w:pPr>
      <w:r w:rsidRPr="005F6A32">
        <w:rPr>
          <w:rFonts w:eastAsia="Calibri"/>
          <w:lang w:val="fr-FR"/>
        </w:rPr>
        <w:lastRenderedPageBreak/>
        <w:t>4.2</w:t>
      </w:r>
      <w:r w:rsidRPr="005F6A32">
        <w:rPr>
          <w:rFonts w:eastAsia="Calibri"/>
          <w:lang w:val="fr-FR"/>
        </w:rPr>
        <w:tab/>
      </w:r>
      <w:r w:rsidR="006D7C85" w:rsidRPr="005F6A32">
        <w:rPr>
          <w:rFonts w:eastAsia="Calibri"/>
          <w:lang w:val="fr-FR"/>
        </w:rPr>
        <w:t>Les TIC accessibles pour TOUS et autres plates-formes fédératrices importantes</w:t>
      </w:r>
    </w:p>
    <w:p w14:paraId="1701F5EB" w14:textId="77777777" w:rsidR="006D7C85" w:rsidRPr="005F6A32" w:rsidRDefault="006D7C85" w:rsidP="00B51EFF">
      <w:pPr>
        <w:rPr>
          <w:rFonts w:eastAsia="Calibri"/>
          <w:lang w:val="fr-FR"/>
        </w:rPr>
      </w:pPr>
      <w:r w:rsidRPr="005F6A32">
        <w:rPr>
          <w:rFonts w:eastAsia="Calibri"/>
          <w:lang w:val="fr-FR"/>
        </w:rPr>
        <w:t xml:space="preserve">Le BDT a joué un rôle déterminant dans l'autonomisation des Membres de l'UIT en leur donnant les moyens d'accroître leurs connaissances, d'échanger des expériences et de concevoir des stratégies politiques concrètes pour accroître l'accessibilité numérique aux niveaux national, régional et mondial. Grâce à des manifestations régionales phares telles que </w:t>
      </w:r>
      <w:r w:rsidRPr="005F6A32">
        <w:rPr>
          <w:rFonts w:eastAsia="Calibri"/>
          <w:i/>
          <w:iCs/>
          <w:lang w:val="fr-FR"/>
        </w:rPr>
        <w:t>Des TIC accessibles pour tous</w:t>
      </w:r>
      <w:r w:rsidRPr="005F6A32">
        <w:rPr>
          <w:rFonts w:eastAsia="Calibri"/>
          <w:lang w:val="fr-FR"/>
        </w:rPr>
        <w:t xml:space="preserve"> (organisées à Cuba, au Mexique, au Guatemala, en Espagne, en Belgique, au Maroc et en Jordanie), auxquelles ont participé plus de 80% des pays de chaque région et 200 participants en moyenne pour chaque manifestation, grâce également aux plates-formes majeures pour l'inclusion et l'accessibilité numériques telles que la Conférence des États Parties à la CDPH, les Forums régionaux sur l'inclusion numérique (comme l'ASP), le Forum mondial sur le vieillissement (Japon) et le Forum sur l'accessibilité numérique (Émirats arabes unis), le BDT a créé des espaces dynamiques de mise en commun des bonnes pratiques, afin de progresser dans la mise en œuvre. Ces plates-formes ont agi comme des catalyseurs permettant de mener à l'action, en renforçant les compétences spécialisées et en consolidant les partenariats, et en plaidant en faveur de technologies inclusives par conception et accessibles à tous, en particulier aux personnes handicapées, aux personnes âgées, aux migrants, aux personnes peu alphabétisées et aux membres des communautés autochtones, rurales ou isolées.</w:t>
      </w:r>
    </w:p>
    <w:p w14:paraId="414406D2" w14:textId="243C183C" w:rsidR="006D7C85" w:rsidRPr="005F6A32" w:rsidRDefault="006D7C85" w:rsidP="00B51EFF">
      <w:pPr>
        <w:rPr>
          <w:rFonts w:eastAsia="Calibri"/>
          <w:lang w:val="fr-FR"/>
        </w:rPr>
      </w:pPr>
      <w:r w:rsidRPr="005F6A32">
        <w:rPr>
          <w:rFonts w:eastAsia="Calibri"/>
          <w:lang w:val="fr-FR"/>
        </w:rPr>
        <w:t>En réunissant des gouvernements, des dirigeants du secteur privé, des universitaires, des ONG et des organisations d'utilisateurs finals, le BDT a partagé ses compétences techniques, présenté des outils et des ressources pratiques et positionné résolument l'UIT-D en tant que chef de file mondial de la promotion de l'inclusion numérique. Ces efforts collectifs se traduisent par des progrès tangibles et stimulent l'élaboration de politiques et d'innovations qui veillent à que personne ne soit laissé de côté dans la transformation numérique</w:t>
      </w:r>
      <w:r w:rsidR="00C96323" w:rsidRPr="005F6A32">
        <w:rPr>
          <w:rFonts w:eastAsia="Calibri"/>
          <w:lang w:val="fr-FR"/>
        </w:rPr>
        <w:t>.</w:t>
      </w:r>
    </w:p>
    <w:p w14:paraId="69C686F2" w14:textId="5B25F489" w:rsidR="006D7C85" w:rsidRPr="005F6A32" w:rsidRDefault="002440EF" w:rsidP="00B51EFF">
      <w:pPr>
        <w:pStyle w:val="Heading2"/>
        <w:rPr>
          <w:rFonts w:eastAsia="Calibri"/>
          <w:lang w:val="fr-FR"/>
        </w:rPr>
      </w:pPr>
      <w:r w:rsidRPr="005F6A32">
        <w:rPr>
          <w:rFonts w:eastAsia="Calibri"/>
          <w:lang w:val="fr-FR"/>
        </w:rPr>
        <w:t>4.3</w:t>
      </w:r>
      <w:r w:rsidRPr="005F6A32">
        <w:rPr>
          <w:rFonts w:eastAsia="Calibri"/>
          <w:lang w:val="fr-FR"/>
        </w:rPr>
        <w:tab/>
      </w:r>
      <w:r w:rsidR="006D7C85" w:rsidRPr="005F6A32">
        <w:rPr>
          <w:rFonts w:eastAsia="Calibri"/>
          <w:lang w:val="fr-FR"/>
        </w:rPr>
        <w:t>Journée internationale des jeunes filles dans le secteur des TIC</w:t>
      </w:r>
    </w:p>
    <w:p w14:paraId="0033D7E5" w14:textId="0880653D" w:rsidR="006D7C85" w:rsidRPr="005F6A32" w:rsidRDefault="006D7C85" w:rsidP="00B51EFF">
      <w:pPr>
        <w:rPr>
          <w:rFonts w:eastAsia="Calibri"/>
          <w:lang w:val="fr-FR"/>
        </w:rPr>
      </w:pPr>
      <w:r w:rsidRPr="005F6A32">
        <w:rPr>
          <w:rFonts w:eastAsia="Calibri"/>
          <w:lang w:val="fr-FR"/>
        </w:rPr>
        <w:t xml:space="preserve">La célébration annuelle de la </w:t>
      </w:r>
      <w:hyperlink r:id="rId37">
        <w:r w:rsidRPr="005F6A32">
          <w:rPr>
            <w:rStyle w:val="Hyperlink"/>
            <w:rFonts w:ascii="Calibri" w:eastAsia="Calibri" w:hAnsi="Calibri" w:cs="Calibri"/>
            <w:lang w:val="fr-FR"/>
          </w:rPr>
          <w:t>Journée internationale des jeunes filles dans le secteur des TIC</w:t>
        </w:r>
      </w:hyperlink>
      <w:r w:rsidRPr="005F6A32">
        <w:rPr>
          <w:rFonts w:eastAsia="Calibri"/>
          <w:lang w:val="fr-FR"/>
        </w:rPr>
        <w:t xml:space="preserve"> continue de prendre de l'ampleur. C'est désormais une journée de mobilisation mondiale de compétences et de forces mobilisatrices en faveur de l'inclusion. Les thèmes retenus pour la période 2023</w:t>
      </w:r>
      <w:r w:rsidR="00620532" w:rsidRPr="005F6A32">
        <w:rPr>
          <w:rFonts w:eastAsia="Calibri"/>
          <w:lang w:val="fr-FR"/>
        </w:rPr>
        <w:t>-</w:t>
      </w:r>
      <w:r w:rsidRPr="005F6A32">
        <w:rPr>
          <w:rFonts w:eastAsia="Calibri"/>
          <w:lang w:val="fr-FR"/>
        </w:rPr>
        <w:t>2025 étaient les suivants: "Des compétences numériques essentielles pour la vie", "Leadership" puis "Les jeunes filles dans le secteur des TIC au service d'une transformation numérique inclusive", reflétant le passage de l'acquisition des compétences fondamentales à la représentation dans les processus décisionnels, jusqu'au rôle des jeunes filles dans l'édification d'un avenir numérique juste et centré sur l'humain. Des manifestations phares ont été organisées sur différents continents (au Zimbabwe pour l'Afrique, aux Philippines pour l'Asie, au Kirghizistan pour la CEI et en Mauritanie pour les États arabes), avec des formats hybrides associant des dialogues de haut niveau, des séances de mentorat et des ateliers pratiques. En total cumulé, l'initiative a touché plus de 76 000 filles et jeunes femmes de 2023 à 2025, grâce à 472</w:t>
      </w:r>
      <w:r w:rsidR="00745B40" w:rsidRPr="005F6A32">
        <w:rPr>
          <w:rFonts w:eastAsia="Calibri"/>
          <w:lang w:val="fr-FR"/>
        </w:rPr>
        <w:t> </w:t>
      </w:r>
      <w:r w:rsidRPr="005F6A32">
        <w:rPr>
          <w:rFonts w:eastAsia="Calibri"/>
          <w:lang w:val="fr-FR"/>
        </w:rPr>
        <w:t xml:space="preserve">manifestations organisées dans les </w:t>
      </w:r>
      <w:r w:rsidR="00B268D4" w:rsidRPr="005F6A32">
        <w:rPr>
          <w:rFonts w:eastAsia="Calibri"/>
          <w:lang w:val="fr-FR"/>
        </w:rPr>
        <w:t>six</w:t>
      </w:r>
      <w:r w:rsidRPr="005F6A32">
        <w:rPr>
          <w:rFonts w:eastAsia="Calibri"/>
          <w:lang w:val="fr-FR"/>
        </w:rPr>
        <w:t xml:space="preserve"> régions de l'UIT.</w:t>
      </w:r>
    </w:p>
    <w:p w14:paraId="5FEE27D5" w14:textId="307A782F" w:rsidR="006D7C85" w:rsidRPr="005F6A32" w:rsidRDefault="002440EF" w:rsidP="00B51EFF">
      <w:pPr>
        <w:pStyle w:val="Heading2"/>
        <w:rPr>
          <w:rFonts w:eastAsia="Calibri"/>
          <w:lang w:val="fr-FR"/>
        </w:rPr>
      </w:pPr>
      <w:r w:rsidRPr="005F6A32">
        <w:rPr>
          <w:rFonts w:eastAsia="Calibri"/>
          <w:lang w:val="fr-FR"/>
        </w:rPr>
        <w:t>4.4</w:t>
      </w:r>
      <w:r w:rsidRPr="005F6A32">
        <w:rPr>
          <w:rFonts w:eastAsia="Calibri"/>
          <w:lang w:val="fr-FR"/>
        </w:rPr>
        <w:tab/>
      </w:r>
      <w:r w:rsidR="006D7C85" w:rsidRPr="005F6A32">
        <w:rPr>
          <w:rFonts w:eastAsia="Calibri"/>
          <w:lang w:val="fr-FR"/>
        </w:rPr>
        <w:t>Sommet mondial de la jeunesse</w:t>
      </w:r>
    </w:p>
    <w:p w14:paraId="4E7B06B3" w14:textId="171A110D" w:rsidR="006D7C85" w:rsidRPr="005F6A32" w:rsidRDefault="006D7C85" w:rsidP="00B51EFF">
      <w:pPr>
        <w:rPr>
          <w:rFonts w:eastAsia="Calibri"/>
          <w:lang w:val="fr-FR"/>
        </w:rPr>
      </w:pPr>
      <w:r w:rsidRPr="005F6A32">
        <w:rPr>
          <w:rFonts w:eastAsia="Calibri"/>
          <w:lang w:val="fr-FR"/>
        </w:rPr>
        <w:t xml:space="preserve">L'édition de 2025 du </w:t>
      </w:r>
      <w:hyperlink r:id="rId38" w:anchor="/fr">
        <w:r w:rsidRPr="005F6A32">
          <w:rPr>
            <w:rStyle w:val="Hyperlink"/>
            <w:rFonts w:ascii="Calibri" w:eastAsia="Calibri" w:hAnsi="Calibri" w:cs="Calibri"/>
            <w:lang w:val="fr-FR"/>
          </w:rPr>
          <w:t>Sommet mondial de la jeunesse</w:t>
        </w:r>
      </w:hyperlink>
      <w:r w:rsidRPr="005F6A32">
        <w:rPr>
          <w:rFonts w:eastAsia="Calibri"/>
          <w:lang w:val="fr-FR"/>
        </w:rPr>
        <w:t xml:space="preserve"> (GYS-25) organisée par l'UIT s'est tenue à Varadero (Cuba) du 11 au 13 mars 2025, sur le thème "Faire entendre la voix des jeunes dans le domaine des TIC en vue de bâtir un avenir inclusif et connecté". Il s'agissait de la 17ème</w:t>
      </w:r>
      <w:r w:rsidR="00620532" w:rsidRPr="005F6A32">
        <w:rPr>
          <w:rFonts w:eastAsia="Calibri"/>
          <w:lang w:val="fr-FR"/>
        </w:rPr>
        <w:t> </w:t>
      </w:r>
      <w:r w:rsidRPr="005F6A32">
        <w:rPr>
          <w:rFonts w:eastAsia="Calibri"/>
          <w:lang w:val="fr-FR"/>
        </w:rPr>
        <w:t>manifestation pour la jeunesse organisée par l'Union, poursuivant ainsi une aventure commencée en 2001 avec le tout premier forum pour la jeunesse, qui s'était tenu à Johannesburg en République sudafricaine. Le Sommet a rassemblé quelque 400 participants originaires de</w:t>
      </w:r>
      <w:r w:rsidR="002440EF" w:rsidRPr="005F6A32">
        <w:rPr>
          <w:rFonts w:eastAsia="Calibri"/>
          <w:lang w:val="fr-FR"/>
        </w:rPr>
        <w:t xml:space="preserve"> </w:t>
      </w:r>
      <w:r w:rsidRPr="005F6A32">
        <w:rPr>
          <w:rFonts w:eastAsia="Calibri"/>
          <w:lang w:val="fr-FR"/>
        </w:rPr>
        <w:t>31</w:t>
      </w:r>
      <w:r w:rsidR="00620532" w:rsidRPr="005F6A32">
        <w:rPr>
          <w:rFonts w:eastAsia="Calibri"/>
          <w:lang w:val="fr-FR"/>
        </w:rPr>
        <w:t> </w:t>
      </w:r>
      <w:r w:rsidRPr="005F6A32">
        <w:rPr>
          <w:rFonts w:eastAsia="Calibri"/>
          <w:lang w:val="fr-FR"/>
        </w:rPr>
        <w:t xml:space="preserve">pays des </w:t>
      </w:r>
      <w:r w:rsidR="00B268D4" w:rsidRPr="005F6A32">
        <w:rPr>
          <w:rFonts w:eastAsia="Calibri"/>
          <w:lang w:val="fr-FR"/>
        </w:rPr>
        <w:t>six</w:t>
      </w:r>
      <w:r w:rsidRPr="005F6A32">
        <w:rPr>
          <w:rFonts w:eastAsia="Calibri"/>
          <w:lang w:val="fr-FR"/>
        </w:rPr>
        <w:t xml:space="preserve"> régions de l'UIT. Les jeunes, filles et garçons à parts égales, venaient de toutes les parties du globe, notamment des pays les moins avancés, des pays en développement sans littoral </w:t>
      </w:r>
      <w:r w:rsidRPr="005F6A32">
        <w:rPr>
          <w:rFonts w:eastAsia="Calibri"/>
          <w:lang w:val="fr-FR"/>
        </w:rPr>
        <w:lastRenderedPageBreak/>
        <w:t>et des petits États insulaires en développement. Des représentants de gouvernements, d'organisations internationales et régionales, du secteur privé et d'établissements universitaires étaient également présents, ainsi que des représentants d'autres institutions des Nations Unies et des représentants des groupes pour la jeunesse du programme Generation Connect de l'UIT.</w:t>
      </w:r>
    </w:p>
    <w:p w14:paraId="60BCCD9A" w14:textId="7D16ECB1" w:rsidR="006D7C85" w:rsidRPr="005F6A32" w:rsidRDefault="006D7C85" w:rsidP="00B51EFF">
      <w:pPr>
        <w:rPr>
          <w:rFonts w:eastAsia="Calibri"/>
          <w:lang w:val="fr-FR"/>
        </w:rPr>
      </w:pPr>
      <w:r w:rsidRPr="005F6A32">
        <w:rPr>
          <w:rFonts w:eastAsia="Calibri"/>
          <w:lang w:val="fr-FR"/>
        </w:rPr>
        <w:t xml:space="preserve">Organisé par l'UIT sous les auspices du Ministère des communications du </w:t>
      </w:r>
      <w:proofErr w:type="spellStart"/>
      <w:r w:rsidRPr="005F6A32">
        <w:rPr>
          <w:rFonts w:eastAsia="Calibri"/>
          <w:lang w:val="fr-FR"/>
        </w:rPr>
        <w:t>Gouvernment</w:t>
      </w:r>
      <w:proofErr w:type="spellEnd"/>
      <w:r w:rsidRPr="005F6A32">
        <w:rPr>
          <w:rFonts w:eastAsia="Calibri"/>
          <w:lang w:val="fr-FR"/>
        </w:rPr>
        <w:t xml:space="preserve"> de Cuba, le GYS-25 visait à faire entendre les voix des jeunes sur un avenir axé sur les technologies. Des participants du monde entier ont recensé les aspects qu'ils jugent prioritaires pour que les technologies de l'information et de la communication soient sûres, financièrement abordables et accessibles.</w:t>
      </w:r>
      <w:r w:rsidRPr="005F6A32">
        <w:rPr>
          <w:rFonts w:ascii="Segoe UI" w:hAnsi="Segoe UI" w:cs="Segoe UI"/>
          <w:color w:val="000000"/>
          <w:sz w:val="20"/>
          <w:shd w:val="clear" w:color="auto" w:fill="FFFFFF"/>
          <w:lang w:val="fr-FR"/>
        </w:rPr>
        <w:t xml:space="preserve"> </w:t>
      </w:r>
      <w:r w:rsidRPr="005F6A32">
        <w:rPr>
          <w:rFonts w:eastAsia="Calibri"/>
          <w:lang w:val="fr-FR"/>
        </w:rPr>
        <w:t>Au nombre des principales questions en lien avec les technologies que les jeunes ont abordées figuraient la connectivité, l'inclusion numérique, la sécurité en ligne, le développement et l'utilisation éthiques de l'intelligence artificielle et des technologies émergentes, l'avenir du travail et la participation de tous au monde numérique pour favoriser l'autonomisation socio</w:t>
      </w:r>
      <w:r w:rsidR="00B60A41" w:rsidRPr="005F6A32">
        <w:rPr>
          <w:rFonts w:eastAsia="Calibri"/>
          <w:lang w:val="fr-FR"/>
        </w:rPr>
        <w:noBreakHyphen/>
      </w:r>
      <w:r w:rsidRPr="005F6A32">
        <w:rPr>
          <w:rFonts w:eastAsia="Calibri"/>
          <w:lang w:val="fr-FR"/>
        </w:rPr>
        <w:t>économique des jeunes dans le monde entier. Les possibilités offertes par ce Sommet de nouer des contacts et de prendre part à des dialogues intergénérationnels ont permis aux jeunes de dialoguer avec des experts et des décideurs. Les discussions ont mis en lumière la nécessité de garantir l'inclusion numérique des jeunes et de les doter de compétences dans ce domaine pour ouvrir des perspectives en matière d'entrepreneuriat, d'innovation et de développement durable.</w:t>
      </w:r>
    </w:p>
    <w:p w14:paraId="46287F36" w14:textId="24B520D9" w:rsidR="006D7C85" w:rsidRPr="005F6A32" w:rsidRDefault="002440EF" w:rsidP="00B51EFF">
      <w:pPr>
        <w:pStyle w:val="Heading2"/>
        <w:rPr>
          <w:rFonts w:eastAsia="Calibri"/>
          <w:lang w:val="fr-FR"/>
        </w:rPr>
      </w:pPr>
      <w:r w:rsidRPr="005F6A32">
        <w:rPr>
          <w:rFonts w:eastAsia="Calibri"/>
          <w:lang w:val="fr-FR"/>
        </w:rPr>
        <w:t>4.5</w:t>
      </w:r>
      <w:r w:rsidRPr="005F6A32">
        <w:rPr>
          <w:rFonts w:eastAsia="Calibri"/>
          <w:lang w:val="fr-FR"/>
        </w:rPr>
        <w:tab/>
      </w:r>
      <w:r w:rsidR="006D7C85" w:rsidRPr="005F6A32">
        <w:rPr>
          <w:rFonts w:eastAsia="Calibri"/>
          <w:lang w:val="fr-FR"/>
        </w:rPr>
        <w:t>Partenariats en faveur de l'inclusion numérique</w:t>
      </w:r>
    </w:p>
    <w:p w14:paraId="692BBE01" w14:textId="626EC5ED" w:rsidR="002440EF" w:rsidRPr="005F6A32" w:rsidRDefault="006D7C85" w:rsidP="00B51EFF">
      <w:pPr>
        <w:rPr>
          <w:lang w:val="fr-FR"/>
        </w:rPr>
      </w:pPr>
      <w:r w:rsidRPr="005F6A32">
        <w:rPr>
          <w:rFonts w:eastAsia="Calibri"/>
          <w:lang w:val="fr-FR"/>
        </w:rPr>
        <w:t>Les travaux menés sur le thème de l'inclusion numérique ont également donné lieu à une coordination intersectorielle et à des collaborations avec plusieurs partenaires au sein du système des Nations Unies, parmi lesquels la CESAO, la CESAP, la CNUCED, le DAES, le HCDH des Nations</w:t>
      </w:r>
      <w:r w:rsidR="00620532" w:rsidRPr="005F6A32">
        <w:rPr>
          <w:rFonts w:eastAsia="Calibri"/>
          <w:lang w:val="fr-FR"/>
        </w:rPr>
        <w:t> </w:t>
      </w:r>
      <w:r w:rsidRPr="005F6A32">
        <w:rPr>
          <w:rFonts w:eastAsia="Calibri"/>
          <w:lang w:val="fr-FR"/>
        </w:rPr>
        <w:t xml:space="preserve">Unies et l'OMS, afin de faire progresser l'accessibilité numérique et de promouvoir un monde numérique inclusif, dans lequel personne n'est laissé de côté. Des partenariats avec des organisations telles que l'UNITAR, le CCI, l'OIT, l'UNICEF, Qualcomm, </w:t>
      </w:r>
      <w:proofErr w:type="spellStart"/>
      <w:r w:rsidRPr="005F6A32">
        <w:rPr>
          <w:rFonts w:eastAsia="Calibri"/>
          <w:lang w:val="fr-FR"/>
        </w:rPr>
        <w:t>Verizon,le</w:t>
      </w:r>
      <w:proofErr w:type="spellEnd"/>
      <w:r w:rsidRPr="005F6A32">
        <w:rPr>
          <w:rFonts w:eastAsia="Calibri"/>
          <w:lang w:val="fr-FR"/>
        </w:rPr>
        <w:t xml:space="preserve"> Women World Wide Web (W4), EY, la GSMA, KAIST, Huawei, APC, </w:t>
      </w:r>
      <w:proofErr w:type="spellStart"/>
      <w:r w:rsidRPr="005F6A32">
        <w:rPr>
          <w:rFonts w:eastAsia="Calibri"/>
          <w:lang w:val="fr-FR"/>
        </w:rPr>
        <w:t>Rhizomatica</w:t>
      </w:r>
      <w:proofErr w:type="spellEnd"/>
      <w:r w:rsidRPr="005F6A32">
        <w:rPr>
          <w:rFonts w:eastAsia="Calibri"/>
          <w:lang w:val="fr-FR"/>
        </w:rPr>
        <w:t>, REDES A.C., AFRALTI, Intersputnik, ZTI-Chine, d'autres institutions des Nations Unies et de nouveaux établissements universitaires ont amplifié la portée et la mise en œuvre du programme d'inclusion numérique.</w:t>
      </w:r>
    </w:p>
    <w:p w14:paraId="4E251304" w14:textId="77777777" w:rsidR="002440EF" w:rsidRPr="005F6A32" w:rsidRDefault="002440EF">
      <w:pPr>
        <w:jc w:val="center"/>
        <w:rPr>
          <w:lang w:val="fr-FR"/>
        </w:rPr>
      </w:pPr>
      <w:r w:rsidRPr="005F6A32">
        <w:rPr>
          <w:lang w:val="fr-FR"/>
        </w:rPr>
        <w:t>______________</w:t>
      </w:r>
    </w:p>
    <w:sectPr w:rsidR="002440EF" w:rsidRPr="005F6A32" w:rsidSect="00A327AF">
      <w:headerReference w:type="default" r:id="rId39"/>
      <w:footerReference w:type="even" r:id="rId40"/>
      <w:footerReference w:type="first" r:id="rId41"/>
      <w:pgSz w:w="11907" w:h="16840" w:code="9"/>
      <w:pgMar w:top="1134" w:right="1134" w:bottom="1134"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27174157" w:rsidR="00E45D05" w:rsidRPr="009306E6" w:rsidRDefault="00E45D05">
    <w:pPr>
      <w:ind w:right="360"/>
    </w:pPr>
    <w:r>
      <w:fldChar w:fldCharType="begin"/>
    </w:r>
    <w:r w:rsidRPr="009306E6">
      <w:instrText xml:space="preserve"> FILENAME \p  \* MERGEFORMAT </w:instrText>
    </w:r>
    <w:r>
      <w:fldChar w:fldCharType="separate"/>
    </w:r>
    <w:r w:rsidR="009306E6" w:rsidRPr="009306E6">
      <w:rPr>
        <w:noProof/>
      </w:rPr>
      <w:t>P:\FRA\gDoc\BDT\CMDT-25\2502253F.docx</w:t>
    </w:r>
    <w:r>
      <w:fldChar w:fldCharType="end"/>
    </w:r>
    <w:r w:rsidRPr="009306E6">
      <w:tab/>
    </w:r>
    <w:r>
      <w:fldChar w:fldCharType="begin"/>
    </w:r>
    <w:r>
      <w:instrText xml:space="preserve"> SAVEDATE \@ DD.MM.YY </w:instrText>
    </w:r>
    <w:r>
      <w:fldChar w:fldCharType="separate"/>
    </w:r>
    <w:r w:rsidR="00C96323">
      <w:rPr>
        <w:noProof/>
      </w:rPr>
      <w:t>23.10.25</w:t>
    </w:r>
    <w:r>
      <w:fldChar w:fldCharType="end"/>
    </w:r>
    <w:r w:rsidRPr="009306E6">
      <w:tab/>
    </w:r>
    <w:r>
      <w:fldChar w:fldCharType="begin"/>
    </w:r>
    <w:r>
      <w:instrText xml:space="preserve"> PRINTDATE \@ DD.MM.YY </w:instrText>
    </w:r>
    <w:r>
      <w:fldChar w:fldCharType="separate"/>
    </w:r>
    <w:r w:rsidR="009306E6">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D83BF5" w:rsidRPr="009306E6" w14:paraId="18C23297" w14:textId="77777777" w:rsidTr="008B61EA">
      <w:tc>
        <w:tcPr>
          <w:tcW w:w="1526" w:type="dxa"/>
          <w:tcBorders>
            <w:top w:val="single" w:sz="4" w:space="0" w:color="000000"/>
          </w:tcBorders>
        </w:tcPr>
        <w:p w14:paraId="6D62A8E7" w14:textId="77777777"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tcPr>
        <w:p w14:paraId="7CF692A3" w14:textId="77777777" w:rsidR="00D83BF5" w:rsidRPr="004D495C" w:rsidRDefault="00F861F9" w:rsidP="00F861F9">
          <w:pPr>
            <w:pStyle w:val="FirstFooter"/>
            <w:tabs>
              <w:tab w:val="left" w:pos="2302"/>
            </w:tabs>
            <w:ind w:left="2302" w:hanging="2302"/>
            <w:rPr>
              <w:sz w:val="18"/>
              <w:szCs w:val="18"/>
              <w:lang w:val="en-US"/>
            </w:rPr>
          </w:pPr>
          <w:r>
            <w:rPr>
              <w:sz w:val="18"/>
              <w:szCs w:val="18"/>
              <w:lang w:val="en-US"/>
            </w:rPr>
            <w:t>Nom</w:t>
          </w:r>
          <w:r w:rsidR="00D83BF5" w:rsidRPr="004D495C">
            <w:rPr>
              <w:sz w:val="18"/>
              <w:szCs w:val="18"/>
              <w:lang w:val="en-US"/>
            </w:rPr>
            <w:t>/Organi</w:t>
          </w:r>
          <w:r>
            <w:rPr>
              <w:sz w:val="18"/>
              <w:szCs w:val="18"/>
              <w:lang w:val="en-US"/>
            </w:rPr>
            <w:t>s</w:t>
          </w:r>
          <w:r w:rsidR="00D83BF5" w:rsidRPr="004D495C">
            <w:rPr>
              <w:sz w:val="18"/>
              <w:szCs w:val="18"/>
              <w:lang w:val="en-US"/>
            </w:rPr>
            <w:t>ation/Entit</w:t>
          </w:r>
          <w:r>
            <w:rPr>
              <w:sz w:val="18"/>
              <w:szCs w:val="18"/>
              <w:lang w:val="en-US"/>
            </w:rPr>
            <w:t>é</w:t>
          </w:r>
          <w:r w:rsidR="00D83BF5" w:rsidRPr="004D495C">
            <w:rPr>
              <w:sz w:val="18"/>
              <w:szCs w:val="18"/>
              <w:lang w:val="en-US"/>
            </w:rPr>
            <w:t>:</w:t>
          </w:r>
        </w:p>
      </w:tc>
      <w:tc>
        <w:tcPr>
          <w:tcW w:w="5987" w:type="dxa"/>
          <w:tcBorders>
            <w:top w:val="single" w:sz="4" w:space="0" w:color="000000"/>
          </w:tcBorders>
        </w:tcPr>
        <w:p w14:paraId="1A6466A3" w14:textId="65C82CF7" w:rsidR="00D83BF5" w:rsidRPr="001905A5" w:rsidRDefault="001905A5" w:rsidP="00D83BF5">
          <w:pPr>
            <w:pStyle w:val="FirstFooter"/>
            <w:tabs>
              <w:tab w:val="left" w:pos="2302"/>
            </w:tabs>
            <w:ind w:left="2302" w:hanging="2302"/>
            <w:rPr>
              <w:sz w:val="18"/>
              <w:szCs w:val="18"/>
              <w:highlight w:val="yellow"/>
              <w:lang w:val="fr-CH"/>
            </w:rPr>
          </w:pPr>
          <w:bookmarkStart w:id="8" w:name="OrgName"/>
          <w:bookmarkEnd w:id="8"/>
          <w:r w:rsidRPr="00342C59">
            <w:rPr>
              <w:sz w:val="18"/>
              <w:szCs w:val="18"/>
              <w:lang w:val="fr-FR"/>
            </w:rPr>
            <w:t xml:space="preserve">Mme Roxana Widmer-Iliescu, </w:t>
          </w:r>
          <w:r>
            <w:rPr>
              <w:sz w:val="18"/>
              <w:szCs w:val="18"/>
              <w:lang w:val="fr-FR"/>
            </w:rPr>
            <w:t>UIT</w:t>
          </w:r>
          <w:r w:rsidRPr="00342C59">
            <w:rPr>
              <w:sz w:val="18"/>
              <w:szCs w:val="18"/>
              <w:lang w:val="fr-FR"/>
            </w:rPr>
            <w:t>/BDT/DKS/DI</w:t>
          </w:r>
        </w:p>
      </w:tc>
    </w:tr>
    <w:tr w:rsidR="00D83BF5" w:rsidRPr="004D495C" w14:paraId="16F44343" w14:textId="77777777" w:rsidTr="008B61EA">
      <w:tc>
        <w:tcPr>
          <w:tcW w:w="1526" w:type="dxa"/>
        </w:tcPr>
        <w:p w14:paraId="6D1B873F" w14:textId="77777777" w:rsidR="00D83BF5" w:rsidRPr="001905A5" w:rsidRDefault="00D83BF5" w:rsidP="00D83BF5">
          <w:pPr>
            <w:pStyle w:val="FirstFooter"/>
            <w:tabs>
              <w:tab w:val="left" w:pos="1559"/>
              <w:tab w:val="left" w:pos="3828"/>
            </w:tabs>
            <w:rPr>
              <w:sz w:val="20"/>
              <w:lang w:val="fr-CH"/>
            </w:rPr>
          </w:pPr>
        </w:p>
      </w:tc>
      <w:tc>
        <w:tcPr>
          <w:tcW w:w="2410" w:type="dxa"/>
        </w:tcPr>
        <w:p w14:paraId="54206529" w14:textId="77777777" w:rsidR="00D83BF5" w:rsidRPr="004D495C" w:rsidRDefault="00F861F9" w:rsidP="00D83BF5">
          <w:pPr>
            <w:pStyle w:val="FirstFooter"/>
            <w:tabs>
              <w:tab w:val="left" w:pos="2302"/>
            </w:tabs>
            <w:rPr>
              <w:sz w:val="18"/>
              <w:szCs w:val="18"/>
              <w:lang w:val="en-US"/>
            </w:rPr>
          </w:pPr>
          <w:r>
            <w:rPr>
              <w:sz w:val="18"/>
              <w:szCs w:val="18"/>
              <w:lang w:val="en-US"/>
            </w:rPr>
            <w:t>Numéro de télép</w:t>
          </w:r>
          <w:r w:rsidR="001B57A8">
            <w:rPr>
              <w:sz w:val="18"/>
              <w:szCs w:val="18"/>
              <w:lang w:val="en-US"/>
            </w:rPr>
            <w:t>h</w:t>
          </w:r>
          <w:r>
            <w:rPr>
              <w:sz w:val="18"/>
              <w:szCs w:val="18"/>
              <w:lang w:val="en-US"/>
            </w:rPr>
            <w:t>one</w:t>
          </w:r>
          <w:r w:rsidR="00D83BF5" w:rsidRPr="004D495C">
            <w:rPr>
              <w:sz w:val="18"/>
              <w:szCs w:val="18"/>
              <w:lang w:val="en-US"/>
            </w:rPr>
            <w:t>:</w:t>
          </w:r>
        </w:p>
      </w:tc>
      <w:tc>
        <w:tcPr>
          <w:tcW w:w="5987" w:type="dxa"/>
        </w:tcPr>
        <w:p w14:paraId="79D5B7AC" w14:textId="69E3EF22" w:rsidR="00D83BF5" w:rsidRPr="004D495C" w:rsidRDefault="001905A5" w:rsidP="00D83BF5">
          <w:pPr>
            <w:pStyle w:val="FirstFooter"/>
            <w:tabs>
              <w:tab w:val="left" w:pos="2302"/>
            </w:tabs>
            <w:rPr>
              <w:sz w:val="18"/>
              <w:szCs w:val="18"/>
              <w:highlight w:val="yellow"/>
              <w:lang w:val="en-US"/>
            </w:rPr>
          </w:pPr>
          <w:bookmarkStart w:id="9" w:name="PhoneNo"/>
          <w:bookmarkEnd w:id="9"/>
          <w:r w:rsidRPr="004061E8">
            <w:rPr>
              <w:sz w:val="18"/>
              <w:szCs w:val="18"/>
              <w:lang w:val="en-US"/>
            </w:rPr>
            <w:t>+41 22 730 5474</w:t>
          </w:r>
        </w:p>
      </w:tc>
    </w:tr>
    <w:tr w:rsidR="00D83BF5" w:rsidRPr="004D495C" w14:paraId="3D5D6A22" w14:textId="77777777" w:rsidTr="008B61EA">
      <w:tc>
        <w:tcPr>
          <w:tcW w:w="1526" w:type="dxa"/>
        </w:tcPr>
        <w:p w14:paraId="33C52BE5" w14:textId="77777777" w:rsidR="00D83BF5" w:rsidRPr="004D495C" w:rsidRDefault="00D83BF5" w:rsidP="00D83BF5">
          <w:pPr>
            <w:pStyle w:val="FirstFooter"/>
            <w:tabs>
              <w:tab w:val="left" w:pos="1559"/>
              <w:tab w:val="left" w:pos="3828"/>
            </w:tabs>
            <w:rPr>
              <w:sz w:val="20"/>
              <w:lang w:val="en-US"/>
            </w:rPr>
          </w:pPr>
        </w:p>
      </w:tc>
      <w:tc>
        <w:tcPr>
          <w:tcW w:w="2410" w:type="dxa"/>
        </w:tcPr>
        <w:p w14:paraId="2E31BFC4" w14:textId="77777777" w:rsidR="00D83BF5" w:rsidRPr="004D495C" w:rsidRDefault="00F861F9" w:rsidP="00D83BF5">
          <w:pPr>
            <w:pStyle w:val="FirstFooter"/>
            <w:tabs>
              <w:tab w:val="left" w:pos="2302"/>
            </w:tabs>
            <w:rPr>
              <w:sz w:val="18"/>
              <w:szCs w:val="18"/>
              <w:lang w:val="en-US"/>
            </w:rPr>
          </w:pPr>
          <w:r>
            <w:rPr>
              <w:sz w:val="18"/>
              <w:szCs w:val="18"/>
              <w:lang w:val="en-US"/>
            </w:rPr>
            <w:t>Courriel:</w:t>
          </w:r>
        </w:p>
      </w:tc>
      <w:bookmarkStart w:id="10" w:name="Email"/>
      <w:bookmarkEnd w:id="10"/>
      <w:tc>
        <w:tcPr>
          <w:tcW w:w="5987" w:type="dxa"/>
        </w:tcPr>
        <w:p w14:paraId="4596984C" w14:textId="3008CBD8" w:rsidR="00D83BF5" w:rsidRPr="004D495C" w:rsidRDefault="001905A5" w:rsidP="00D83BF5">
          <w:pPr>
            <w:pStyle w:val="FirstFooter"/>
            <w:tabs>
              <w:tab w:val="left" w:pos="2302"/>
            </w:tabs>
            <w:rPr>
              <w:sz w:val="18"/>
              <w:szCs w:val="18"/>
              <w:highlight w:val="yellow"/>
              <w:lang w:val="en-US"/>
            </w:rPr>
          </w:pPr>
          <w:r>
            <w:fldChar w:fldCharType="begin"/>
          </w:r>
          <w:r>
            <w:instrText xml:space="preserve"> HYPERLINK "mailto:roxana.widmer-iliescu@itu.int" </w:instrText>
          </w:r>
          <w:r>
            <w:fldChar w:fldCharType="separate"/>
          </w:r>
          <w:r w:rsidRPr="004061E8">
            <w:rPr>
              <w:rStyle w:val="Hyperlink"/>
              <w:sz w:val="18"/>
              <w:szCs w:val="18"/>
              <w:lang w:val="en-US"/>
            </w:rPr>
            <w:t>roxana.widmer-iliescu@itu.int</w:t>
          </w:r>
          <w:r>
            <w:rPr>
              <w:rStyle w:val="Hyperlink"/>
              <w:sz w:val="18"/>
              <w:szCs w:val="18"/>
              <w:lang w:val="en-US"/>
            </w:rPr>
            <w:fldChar w:fldCharType="end"/>
          </w:r>
        </w:p>
      </w:tc>
    </w:tr>
  </w:tbl>
  <w:bookmarkStart w:id="11"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fldChar w:fldCharType="separate"/>
    </w:r>
    <w:r>
      <w:rPr>
        <w:rStyle w:val="Hyperlink"/>
        <w:sz w:val="20"/>
      </w:rPr>
      <w:t>CMDT</w:t>
    </w:r>
    <w:r>
      <w:rPr>
        <w:caps/>
        <w:sz w:val="20"/>
      </w:rPr>
      <w:fldChar w:fldCharType="end"/>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D34" w14:textId="3FD0D839" w:rsidR="00A066F1" w:rsidRPr="00D83BF5" w:rsidRDefault="00D83BF5" w:rsidP="00F41260">
    <w:pPr>
      <w:tabs>
        <w:tab w:val="clear" w:pos="1134"/>
        <w:tab w:val="clear" w:pos="1871"/>
        <w:tab w:val="clear" w:pos="2268"/>
        <w:tab w:val="center" w:pos="5103"/>
        <w:tab w:val="right" w:pos="10206"/>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1905A5">
      <w:rPr>
        <w:sz w:val="22"/>
        <w:szCs w:val="22"/>
      </w:rPr>
      <w:t>15</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426A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DC4F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80AD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2885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5863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2C34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6C9C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3E99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00DB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B65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A6E2D68"/>
    <w:multiLevelType w:val="hybridMultilevel"/>
    <w:tmpl w:val="6BF61E3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EAA1220"/>
    <w:multiLevelType w:val="hybridMultilevel"/>
    <w:tmpl w:val="2234AAB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5" w15:restartNumberingAfterBreak="0">
    <w:nsid w:val="608C25C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099125">
    <w:abstractNumId w:val="8"/>
  </w:num>
  <w:num w:numId="2" w16cid:durableId="24565742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46775267">
    <w:abstractNumId w:val="16"/>
  </w:num>
  <w:num w:numId="4" w16cid:durableId="921721933">
    <w:abstractNumId w:val="11"/>
  </w:num>
  <w:num w:numId="5" w16cid:durableId="998772385">
    <w:abstractNumId w:val="14"/>
  </w:num>
  <w:num w:numId="6" w16cid:durableId="40833575">
    <w:abstractNumId w:val="12"/>
  </w:num>
  <w:num w:numId="7" w16cid:durableId="1488548369">
    <w:abstractNumId w:val="15"/>
  </w:num>
  <w:num w:numId="8" w16cid:durableId="1078752573">
    <w:abstractNumId w:val="13"/>
  </w:num>
  <w:num w:numId="9" w16cid:durableId="1655524290">
    <w:abstractNumId w:val="9"/>
  </w:num>
  <w:num w:numId="10" w16cid:durableId="1493762654">
    <w:abstractNumId w:val="7"/>
  </w:num>
  <w:num w:numId="11" w16cid:durableId="1450927664">
    <w:abstractNumId w:val="6"/>
  </w:num>
  <w:num w:numId="12" w16cid:durableId="981471142">
    <w:abstractNumId w:val="5"/>
  </w:num>
  <w:num w:numId="13" w16cid:durableId="772942692">
    <w:abstractNumId w:val="4"/>
  </w:num>
  <w:num w:numId="14" w16cid:durableId="901984922">
    <w:abstractNumId w:val="8"/>
  </w:num>
  <w:num w:numId="15" w16cid:durableId="240483097">
    <w:abstractNumId w:val="3"/>
  </w:num>
  <w:num w:numId="16" w16cid:durableId="281956598">
    <w:abstractNumId w:val="2"/>
  </w:num>
  <w:num w:numId="17" w16cid:durableId="1793598331">
    <w:abstractNumId w:val="1"/>
  </w:num>
  <w:num w:numId="18" w16cid:durableId="2137794702">
    <w:abstractNumId w:val="0"/>
  </w:num>
  <w:num w:numId="19" w16cid:durableId="1452241986">
    <w:abstractNumId w:val="8"/>
  </w:num>
  <w:num w:numId="20" w16cid:durableId="266350749">
    <w:abstractNumId w:val="3"/>
  </w:num>
  <w:num w:numId="21" w16cid:durableId="229005994">
    <w:abstractNumId w:val="2"/>
  </w:num>
  <w:num w:numId="22" w16cid:durableId="837502646">
    <w:abstractNumId w:val="1"/>
  </w:num>
  <w:num w:numId="23" w16cid:durableId="811679383">
    <w:abstractNumId w:val="0"/>
  </w:num>
  <w:num w:numId="24" w16cid:durableId="1241064270">
    <w:abstractNumId w:val="8"/>
  </w:num>
  <w:num w:numId="25" w16cid:durableId="880215518">
    <w:abstractNumId w:val="3"/>
  </w:num>
  <w:num w:numId="26" w16cid:durableId="996490926">
    <w:abstractNumId w:val="2"/>
  </w:num>
  <w:num w:numId="27" w16cid:durableId="1427918191">
    <w:abstractNumId w:val="1"/>
  </w:num>
  <w:num w:numId="28" w16cid:durableId="445779642">
    <w:abstractNumId w:val="0"/>
  </w:num>
  <w:num w:numId="29" w16cid:durableId="341130309">
    <w:abstractNumId w:val="8"/>
  </w:num>
  <w:num w:numId="30" w16cid:durableId="2054960793">
    <w:abstractNumId w:val="3"/>
  </w:num>
  <w:num w:numId="31" w16cid:durableId="1550804570">
    <w:abstractNumId w:val="2"/>
  </w:num>
  <w:num w:numId="32" w16cid:durableId="868639023">
    <w:abstractNumId w:val="1"/>
  </w:num>
  <w:num w:numId="33" w16cid:durableId="127547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4CD3"/>
    <w:rsid w:val="00045F37"/>
    <w:rsid w:val="00051E39"/>
    <w:rsid w:val="000611AC"/>
    <w:rsid w:val="00075C63"/>
    <w:rsid w:val="00077239"/>
    <w:rsid w:val="00080905"/>
    <w:rsid w:val="000822BE"/>
    <w:rsid w:val="00086491"/>
    <w:rsid w:val="00091346"/>
    <w:rsid w:val="000C18DB"/>
    <w:rsid w:val="000D15FD"/>
    <w:rsid w:val="000D3E1A"/>
    <w:rsid w:val="000E359D"/>
    <w:rsid w:val="000F437C"/>
    <w:rsid w:val="000F73FF"/>
    <w:rsid w:val="00101716"/>
    <w:rsid w:val="0010345E"/>
    <w:rsid w:val="00114CF7"/>
    <w:rsid w:val="00123B68"/>
    <w:rsid w:val="00126F2E"/>
    <w:rsid w:val="00146F6F"/>
    <w:rsid w:val="00147DA1"/>
    <w:rsid w:val="00150F4F"/>
    <w:rsid w:val="00152957"/>
    <w:rsid w:val="00166374"/>
    <w:rsid w:val="00174623"/>
    <w:rsid w:val="001800D3"/>
    <w:rsid w:val="00187BD9"/>
    <w:rsid w:val="001905A5"/>
    <w:rsid w:val="00190B55"/>
    <w:rsid w:val="00194CFB"/>
    <w:rsid w:val="001B2ED3"/>
    <w:rsid w:val="001B57A8"/>
    <w:rsid w:val="001C3B5F"/>
    <w:rsid w:val="001D058F"/>
    <w:rsid w:val="001D4CA0"/>
    <w:rsid w:val="001F1713"/>
    <w:rsid w:val="002009EA"/>
    <w:rsid w:val="00202CA0"/>
    <w:rsid w:val="002154A6"/>
    <w:rsid w:val="002162CD"/>
    <w:rsid w:val="002255B3"/>
    <w:rsid w:val="00236E8A"/>
    <w:rsid w:val="002440EF"/>
    <w:rsid w:val="0024630C"/>
    <w:rsid w:val="00271316"/>
    <w:rsid w:val="00296313"/>
    <w:rsid w:val="002D58BE"/>
    <w:rsid w:val="002F5074"/>
    <w:rsid w:val="003013EE"/>
    <w:rsid w:val="00377BD3"/>
    <w:rsid w:val="00384088"/>
    <w:rsid w:val="0038489B"/>
    <w:rsid w:val="0039169B"/>
    <w:rsid w:val="003A7F8C"/>
    <w:rsid w:val="003B532E"/>
    <w:rsid w:val="003B6F14"/>
    <w:rsid w:val="003B7D04"/>
    <w:rsid w:val="003D0F8B"/>
    <w:rsid w:val="00406208"/>
    <w:rsid w:val="004063C5"/>
    <w:rsid w:val="0040711F"/>
    <w:rsid w:val="004131D4"/>
    <w:rsid w:val="0041348E"/>
    <w:rsid w:val="00425C63"/>
    <w:rsid w:val="00447308"/>
    <w:rsid w:val="004765FF"/>
    <w:rsid w:val="00492075"/>
    <w:rsid w:val="004969AD"/>
    <w:rsid w:val="004B13CB"/>
    <w:rsid w:val="004B150A"/>
    <w:rsid w:val="004B4FDF"/>
    <w:rsid w:val="004D5C82"/>
    <w:rsid w:val="004D5D5C"/>
    <w:rsid w:val="004E17FA"/>
    <w:rsid w:val="004F0EAE"/>
    <w:rsid w:val="0050139F"/>
    <w:rsid w:val="00507A8D"/>
    <w:rsid w:val="00520699"/>
    <w:rsid w:val="00521223"/>
    <w:rsid w:val="00524DF1"/>
    <w:rsid w:val="005254A7"/>
    <w:rsid w:val="00533926"/>
    <w:rsid w:val="0055124D"/>
    <w:rsid w:val="0055140B"/>
    <w:rsid w:val="00554C4F"/>
    <w:rsid w:val="00561D72"/>
    <w:rsid w:val="00591BD8"/>
    <w:rsid w:val="005964AB"/>
    <w:rsid w:val="00597F6B"/>
    <w:rsid w:val="005A511B"/>
    <w:rsid w:val="005B44F5"/>
    <w:rsid w:val="005C099A"/>
    <w:rsid w:val="005C31A5"/>
    <w:rsid w:val="005D7D19"/>
    <w:rsid w:val="005D7E39"/>
    <w:rsid w:val="005E10C9"/>
    <w:rsid w:val="005E61DD"/>
    <w:rsid w:val="005E6321"/>
    <w:rsid w:val="005F6A32"/>
    <w:rsid w:val="006023DF"/>
    <w:rsid w:val="00607D3E"/>
    <w:rsid w:val="00612703"/>
    <w:rsid w:val="0061410E"/>
    <w:rsid w:val="00617ED0"/>
    <w:rsid w:val="00620532"/>
    <w:rsid w:val="0064322F"/>
    <w:rsid w:val="00657DE0"/>
    <w:rsid w:val="0067199F"/>
    <w:rsid w:val="00680FBE"/>
    <w:rsid w:val="00685313"/>
    <w:rsid w:val="0068554F"/>
    <w:rsid w:val="006A6E9B"/>
    <w:rsid w:val="006B7C2A"/>
    <w:rsid w:val="006C23DA"/>
    <w:rsid w:val="006D7C85"/>
    <w:rsid w:val="006E1B84"/>
    <w:rsid w:val="006E38FA"/>
    <w:rsid w:val="006E3D45"/>
    <w:rsid w:val="007149F9"/>
    <w:rsid w:val="00727956"/>
    <w:rsid w:val="00733A30"/>
    <w:rsid w:val="00745AEE"/>
    <w:rsid w:val="00745B40"/>
    <w:rsid w:val="007479EA"/>
    <w:rsid w:val="00750F10"/>
    <w:rsid w:val="00756B7C"/>
    <w:rsid w:val="007742CA"/>
    <w:rsid w:val="007D06F0"/>
    <w:rsid w:val="007D45E3"/>
    <w:rsid w:val="007D5320"/>
    <w:rsid w:val="007E45F7"/>
    <w:rsid w:val="007F35F2"/>
    <w:rsid w:val="007F735C"/>
    <w:rsid w:val="00800972"/>
    <w:rsid w:val="00804475"/>
    <w:rsid w:val="00811633"/>
    <w:rsid w:val="00815C0C"/>
    <w:rsid w:val="00821CEF"/>
    <w:rsid w:val="00832828"/>
    <w:rsid w:val="0083645A"/>
    <w:rsid w:val="00840B0F"/>
    <w:rsid w:val="008711AE"/>
    <w:rsid w:val="00872758"/>
    <w:rsid w:val="00872FC8"/>
    <w:rsid w:val="008801D3"/>
    <w:rsid w:val="008845D0"/>
    <w:rsid w:val="008B43F2"/>
    <w:rsid w:val="008B61EA"/>
    <w:rsid w:val="008B6CFF"/>
    <w:rsid w:val="008D7991"/>
    <w:rsid w:val="008F0B73"/>
    <w:rsid w:val="00907654"/>
    <w:rsid w:val="00910B26"/>
    <w:rsid w:val="009249C1"/>
    <w:rsid w:val="009274B4"/>
    <w:rsid w:val="009306E6"/>
    <w:rsid w:val="00934EA2"/>
    <w:rsid w:val="00944A5C"/>
    <w:rsid w:val="00952A66"/>
    <w:rsid w:val="00961D12"/>
    <w:rsid w:val="009903FC"/>
    <w:rsid w:val="009A0867"/>
    <w:rsid w:val="009A4E8A"/>
    <w:rsid w:val="009B78D5"/>
    <w:rsid w:val="009C56E5"/>
    <w:rsid w:val="009D3060"/>
    <w:rsid w:val="009E5FC8"/>
    <w:rsid w:val="009E687A"/>
    <w:rsid w:val="009E77CF"/>
    <w:rsid w:val="00A03C5C"/>
    <w:rsid w:val="00A066F1"/>
    <w:rsid w:val="00A141AF"/>
    <w:rsid w:val="00A16D29"/>
    <w:rsid w:val="00A20E5E"/>
    <w:rsid w:val="00A30305"/>
    <w:rsid w:val="00A31D06"/>
    <w:rsid w:val="00A31D2D"/>
    <w:rsid w:val="00A31F99"/>
    <w:rsid w:val="00A327AF"/>
    <w:rsid w:val="00A4600A"/>
    <w:rsid w:val="00A538A6"/>
    <w:rsid w:val="00A54C25"/>
    <w:rsid w:val="00A64DDD"/>
    <w:rsid w:val="00A710E7"/>
    <w:rsid w:val="00A7372E"/>
    <w:rsid w:val="00A864A5"/>
    <w:rsid w:val="00A93B85"/>
    <w:rsid w:val="00A964EB"/>
    <w:rsid w:val="00AA0B18"/>
    <w:rsid w:val="00AA25E0"/>
    <w:rsid w:val="00AA666F"/>
    <w:rsid w:val="00AB4927"/>
    <w:rsid w:val="00AC2258"/>
    <w:rsid w:val="00AC5B6C"/>
    <w:rsid w:val="00AE2A4A"/>
    <w:rsid w:val="00AF411C"/>
    <w:rsid w:val="00B004E5"/>
    <w:rsid w:val="00B15F9D"/>
    <w:rsid w:val="00B268D4"/>
    <w:rsid w:val="00B4114B"/>
    <w:rsid w:val="00B4454D"/>
    <w:rsid w:val="00B51EFF"/>
    <w:rsid w:val="00B60A41"/>
    <w:rsid w:val="00B639E9"/>
    <w:rsid w:val="00B80BA2"/>
    <w:rsid w:val="00B817CD"/>
    <w:rsid w:val="00B911B2"/>
    <w:rsid w:val="00B951D0"/>
    <w:rsid w:val="00BB29C8"/>
    <w:rsid w:val="00BB3A95"/>
    <w:rsid w:val="00BC0382"/>
    <w:rsid w:val="00BD6A03"/>
    <w:rsid w:val="00C0018F"/>
    <w:rsid w:val="00C010A9"/>
    <w:rsid w:val="00C1132C"/>
    <w:rsid w:val="00C1192C"/>
    <w:rsid w:val="00C20466"/>
    <w:rsid w:val="00C214ED"/>
    <w:rsid w:val="00C234E6"/>
    <w:rsid w:val="00C324A8"/>
    <w:rsid w:val="00C54517"/>
    <w:rsid w:val="00C64CD8"/>
    <w:rsid w:val="00C766A2"/>
    <w:rsid w:val="00C96323"/>
    <w:rsid w:val="00C97C68"/>
    <w:rsid w:val="00CA1A47"/>
    <w:rsid w:val="00CA7158"/>
    <w:rsid w:val="00CC247A"/>
    <w:rsid w:val="00CE5E47"/>
    <w:rsid w:val="00CF020F"/>
    <w:rsid w:val="00CF2B5B"/>
    <w:rsid w:val="00D05C84"/>
    <w:rsid w:val="00D14CE0"/>
    <w:rsid w:val="00D22342"/>
    <w:rsid w:val="00D36333"/>
    <w:rsid w:val="00D5651D"/>
    <w:rsid w:val="00D6625E"/>
    <w:rsid w:val="00D74898"/>
    <w:rsid w:val="00D801ED"/>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1C06"/>
    <w:rsid w:val="00DF6F8E"/>
    <w:rsid w:val="00E03C94"/>
    <w:rsid w:val="00E07105"/>
    <w:rsid w:val="00E105E4"/>
    <w:rsid w:val="00E14630"/>
    <w:rsid w:val="00E26226"/>
    <w:rsid w:val="00E4165C"/>
    <w:rsid w:val="00E45D05"/>
    <w:rsid w:val="00E46B58"/>
    <w:rsid w:val="00E55816"/>
    <w:rsid w:val="00E55AEF"/>
    <w:rsid w:val="00E80D1A"/>
    <w:rsid w:val="00E82DDA"/>
    <w:rsid w:val="00E976C1"/>
    <w:rsid w:val="00EA12E5"/>
    <w:rsid w:val="00EC043A"/>
    <w:rsid w:val="00EF1503"/>
    <w:rsid w:val="00EF4BDF"/>
    <w:rsid w:val="00EF6F6B"/>
    <w:rsid w:val="00F02766"/>
    <w:rsid w:val="00F04067"/>
    <w:rsid w:val="00F05BD4"/>
    <w:rsid w:val="00F11A98"/>
    <w:rsid w:val="00F138FA"/>
    <w:rsid w:val="00F21A1D"/>
    <w:rsid w:val="00F40E33"/>
    <w:rsid w:val="00F41260"/>
    <w:rsid w:val="00F65C19"/>
    <w:rsid w:val="00F6736E"/>
    <w:rsid w:val="00F713C7"/>
    <w:rsid w:val="00F71732"/>
    <w:rsid w:val="00F861F9"/>
    <w:rsid w:val="00FB74D7"/>
    <w:rsid w:val="00FC30E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table" w:styleId="TableGrid">
    <w:name w:val="Table Grid"/>
    <w:basedOn w:val="TableNormal"/>
    <w:rsid w:val="00A64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9A4E8A"/>
    <w:pPr>
      <w:spacing w:after="120"/>
    </w:pPr>
    <w:rPr>
      <w:b/>
      <w:bCs/>
      <w:szCs w:val="24"/>
      <w:lang w:val="fr-CH"/>
    </w:rPr>
  </w:style>
  <w:style w:type="paragraph" w:styleId="Revision">
    <w:name w:val="Revision"/>
    <w:hidden/>
    <w:uiPriority w:val="99"/>
    <w:semiHidden/>
    <w:rsid w:val="00A31D06"/>
    <w:rPr>
      <w:rFonts w:asciiTheme="minorHAnsi" w:hAnsiTheme="minorHAnsi"/>
      <w:sz w:val="24"/>
      <w:lang w:val="en-GB" w:eastAsia="en-US"/>
    </w:rPr>
  </w:style>
  <w:style w:type="paragraph" w:customStyle="1" w:styleId="Legendtitle">
    <w:name w:val="Legend_title"/>
    <w:basedOn w:val="Normal"/>
    <w:rsid w:val="00B51EFF"/>
    <w:pPr>
      <w:keepNext/>
      <w:keepLines/>
      <w:jc w:val="center"/>
    </w:pPr>
    <w:rPr>
      <w:b/>
      <w:bCs/>
      <w:sz w:val="18"/>
      <w:szCs w:val="18"/>
      <w:u w:val="single"/>
      <w:lang w:val="fr-CH"/>
    </w:rPr>
  </w:style>
  <w:style w:type="character" w:styleId="UnresolvedMention">
    <w:name w:val="Unresolved Mention"/>
    <w:basedOn w:val="DefaultParagraphFont"/>
    <w:uiPriority w:val="99"/>
    <w:semiHidden/>
    <w:unhideWhenUsed/>
    <w:rsid w:val="004D5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dms_pub/itu-d/opb/tdc/D-TDC-WTDC-2022-PDF-F.pdf" TargetMode="External"/><Relationship Id="rId18" Type="http://schemas.openxmlformats.org/officeDocument/2006/relationships/image" Target="media/image3.png"/><Relationship Id="rId26" Type="http://schemas.openxmlformats.org/officeDocument/2006/relationships/hyperlink" Target="https://www.equalsintech.org/her-digital-skills" TargetMode="External"/><Relationship Id="rId39" Type="http://schemas.openxmlformats.org/officeDocument/2006/relationships/header" Target="header1.xml"/><Relationship Id="rId21" Type="http://schemas.openxmlformats.org/officeDocument/2006/relationships/hyperlink" Target="https://www.itu.int/generationconnect/generation-connect-youth-envoys/" TargetMode="External"/><Relationship Id="rId34" Type="http://schemas.openxmlformats.org/officeDocument/2006/relationships/hyperlink" Target="https://www.itu.int/en/ITU-D/Digital-Inclusion/Pages/resources-on-ICT-accessibility/default.asp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dms_pub/itu-d/opb/tdc/D-TDC-WTDC-2022-PDF-F.pdf" TargetMode="External"/><Relationship Id="rId20" Type="http://schemas.openxmlformats.org/officeDocument/2006/relationships/hyperlink" Target="https://www.itu.int/hub/publication/d-phcb-equal-03-2023/" TargetMode="External"/><Relationship Id="rId29" Type="http://schemas.openxmlformats.org/officeDocument/2006/relationships/hyperlink" Target="https://www.itu.int/en/ITU-D/Digital-Inclusion/Documents/2025/itu-who-toolkit/ITU-WHO-Implementation-toolkit-for-accessible-telehealth-services.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en/ITU-D/Digital-Inclusion/Women-and-Girls/NoW/Pages/default.aspx" TargetMode="External"/><Relationship Id="rId32" Type="http://schemas.openxmlformats.org/officeDocument/2006/relationships/hyperlink" Target="https://www.equalsintech.org/_files/ugd/04bfff_cc8e6f166c2e41beabc88cbb3226f66f.pdf" TargetMode="External"/><Relationship Id="rId37" Type="http://schemas.openxmlformats.org/officeDocument/2006/relationships/hyperlink" Target="https://www.itu.int/women-and-girls/girls-in-ict/fr/"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dms_pub/itu-d/opb/tdc/D-TDC-WTDC-2022-PDF-F.pdf" TargetMode="External"/><Relationship Id="rId23" Type="http://schemas.openxmlformats.org/officeDocument/2006/relationships/image" Target="media/image4.png"/><Relationship Id="rId28" Type="http://schemas.openxmlformats.org/officeDocument/2006/relationships/hyperlink" Target="https://www.itu.int/women-and-girls/women-in-ict/ai-skills-accelerator-for-girls/" TargetMode="External"/><Relationship Id="rId36" Type="http://schemas.openxmlformats.org/officeDocument/2006/relationships/hyperlink" Target="https://www.itu.int/md/D22-SG01-C-0490/fr" TargetMode="External"/><Relationship Id="rId10" Type="http://schemas.openxmlformats.org/officeDocument/2006/relationships/endnotes" Target="endnotes.xml"/><Relationship Id="rId19" Type="http://schemas.openxmlformats.org/officeDocument/2006/relationships/hyperlink" Target="https://www.itu.int/hub/publication/d-phcb-equal-02-2023/" TargetMode="External"/><Relationship Id="rId31" Type="http://schemas.openxmlformats.org/officeDocument/2006/relationships/hyperlink" Target="https://www.itu.int/hub/publication/d-hdb-gender-2023-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pub/itu-d/opb/tdc/D-TDC-WTDC-2022-PDF-F.pdf" TargetMode="External"/><Relationship Id="rId22" Type="http://schemas.openxmlformats.org/officeDocument/2006/relationships/hyperlink" Target="https://www.itu.int/en/ITU-D/Conferences/TDAG/Pages/2024/TDAG_ICG_GYS.aspx" TargetMode="External"/><Relationship Id="rId27" Type="http://schemas.openxmlformats.org/officeDocument/2006/relationships/hyperlink" Target="https://www.itu.int/generationconnect/empower/generation-connect-young-leadership-programme-in-partnership-with-huawei/itu-generation-connect-young-leadership-programme-cohort-2025/" TargetMode="External"/><Relationship Id="rId30" Type="http://schemas.openxmlformats.org/officeDocument/2006/relationships/hyperlink" Target="https://www.itu.int/en/ITU-D/Digital-Inclusion/Pages/itu-ilo/default.aspx" TargetMode="External"/><Relationship Id="rId35" Type="http://schemas.openxmlformats.org/officeDocument/2006/relationships/hyperlink" Target="https://www.itu.int/en/ITU-D/Study-Groups/2022-2025/Pages/reference/SG1/questions/Question-7-1.asp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itu-d/sites/digital-inclusion/fr/" TargetMode="External"/><Relationship Id="rId25" Type="http://schemas.openxmlformats.org/officeDocument/2006/relationships/hyperlink" Target="https://www.itu.int/en/ITU-D/Digital-Inclusion/Women-and-Girls/NoW/Pages/mentorship/2024/Empowering-Women-Leaders-Mentorship-Programme.aspx" TargetMode="External"/><Relationship Id="rId33" Type="http://schemas.openxmlformats.org/officeDocument/2006/relationships/hyperlink" Target="https://www.itu.int/en/ITU-D/Digital-Inclusion/Pages/resources-on-ICT-accessibility/default.aspx" TargetMode="External"/><Relationship Id="rId38" Type="http://schemas.openxmlformats.org/officeDocument/2006/relationships/hyperlink" Target="https://www.itu.int/itu-d/meetings/global-youth-summit-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bc0b450c-ff0a-44fa-a43c-58f6e857e634"/>
    <ds:schemaRef ds:uri="http://purl.org/dc/terms/"/>
    <ds:schemaRef ds:uri="060e8e06-0ab1-43d2-b04a-41299106b25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C45A3FB-C905-43DE-8A17-FF4BB674796A}"/>
</file>

<file path=customXml/itemProps4.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4585</Words>
  <Characters>28638</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33157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20</cp:revision>
  <cp:lastPrinted>2017-03-10T07:43:00Z</cp:lastPrinted>
  <dcterms:created xsi:type="dcterms:W3CDTF">2025-10-23T11:40:00Z</dcterms:created>
  <dcterms:modified xsi:type="dcterms:W3CDTF">2025-10-24T08:52:00Z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