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5004" w:type="pct"/>
        <w:jc w:val="center"/>
        <w:tblLayout w:type="fixed"/>
        <w:tblLook w:val="0000" w:firstRow="0" w:lastRow="0" w:firstColumn="0" w:lastColumn="0" w:noHBand="0" w:noVBand="0"/>
        <w:tblCaption w:val="معلومات عن الوثيقة (لجنة الدراسات، الاجتماع، المسألة، المصدر، العنوان)"/>
      </w:tblPr>
      <w:tblGrid>
        <w:gridCol w:w="8"/>
        <w:gridCol w:w="1691"/>
        <w:gridCol w:w="4962"/>
        <w:gridCol w:w="1559"/>
        <w:gridCol w:w="1420"/>
        <w:gridCol w:w="7"/>
      </w:tblGrid>
      <w:tr w:rsidR="00AD1E92" w:rsidRPr="00783A69" w14:paraId="5DB9D0CF" w14:textId="77777777" w:rsidTr="00F64B36">
        <w:trPr>
          <w:gridAfter w:val="1"/>
          <w:wAfter w:w="7" w:type="dxa"/>
          <w:cantSplit/>
          <w:trHeight w:val="1310"/>
          <w:jc w:val="center"/>
        </w:trPr>
        <w:tc>
          <w:tcPr>
            <w:tcW w:w="1699" w:type="dxa"/>
            <w:gridSpan w:val="2"/>
            <w:tcBorders>
              <w:bottom w:val="single" w:sz="12" w:space="0" w:color="auto"/>
            </w:tcBorders>
            <w:vAlign w:val="center"/>
          </w:tcPr>
          <w:p w14:paraId="6ADAFD46" w14:textId="77777777" w:rsidR="00AD1E92" w:rsidRPr="00C85CB5" w:rsidRDefault="00AD1E92" w:rsidP="001277E6">
            <w:pPr>
              <w:keepNext/>
              <w:keepLines/>
              <w:spacing w:before="240"/>
              <w:jc w:val="center"/>
              <w:rPr>
                <w:b/>
                <w:bCs/>
                <w:sz w:val="32"/>
                <w:szCs w:val="32"/>
                <w:rtl/>
                <w:lang w:bidi="ar-SY"/>
              </w:rPr>
            </w:pPr>
            <w:r>
              <w:rPr>
                <w:b/>
                <w:bCs/>
                <w:noProof/>
                <w:sz w:val="28"/>
                <w:szCs w:val="28"/>
                <w:lang w:bidi="ar-SY"/>
              </w:rPr>
              <w:drawing>
                <wp:inline distT="0" distB="0" distL="0" distR="0" wp14:anchorId="09E5FE1E" wp14:editId="57528303">
                  <wp:extent cx="1080000" cy="990000"/>
                  <wp:effectExtent l="0" t="0" r="6350" b="635"/>
                  <wp:docPr id="15064232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7655" t="8159" r="25763" b="17753"/>
                          <a:stretch/>
                        </pic:blipFill>
                        <pic:spPr bwMode="auto">
                          <a:xfrm>
                            <a:off x="0" y="0"/>
                            <a:ext cx="1080000" cy="99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520" w:type="dxa"/>
            <w:gridSpan w:val="2"/>
            <w:tcBorders>
              <w:bottom w:val="single" w:sz="12" w:space="0" w:color="auto"/>
            </w:tcBorders>
            <w:vAlign w:val="center"/>
          </w:tcPr>
          <w:p w14:paraId="6E3358B1" w14:textId="77777777" w:rsidR="00AD1E92" w:rsidRDefault="00062F2F" w:rsidP="001277E6">
            <w:pPr>
              <w:keepNext/>
              <w:keepLines/>
              <w:jc w:val="left"/>
              <w:rPr>
                <w:b/>
                <w:bCs/>
                <w:sz w:val="32"/>
                <w:szCs w:val="32"/>
                <w:lang w:bidi="ar-EG"/>
              </w:rPr>
            </w:pPr>
            <w:r>
              <w:rPr>
                <w:rFonts w:hint="cs"/>
                <w:b/>
                <w:bCs/>
                <w:sz w:val="32"/>
                <w:szCs w:val="32"/>
                <w:rtl/>
                <w:lang w:bidi="ar-EG"/>
              </w:rPr>
              <w:t xml:space="preserve">المؤتمر العالمي لتنمية الاتصالات </w:t>
            </w:r>
            <w:r>
              <w:rPr>
                <w:b/>
                <w:bCs/>
                <w:sz w:val="32"/>
                <w:szCs w:val="32"/>
                <w:rtl/>
                <w:lang w:bidi="ar-EG"/>
              </w:rPr>
              <w:br/>
            </w:r>
            <w:r>
              <w:rPr>
                <w:rFonts w:hint="cs"/>
                <w:b/>
                <w:bCs/>
                <w:sz w:val="32"/>
                <w:szCs w:val="32"/>
                <w:rtl/>
                <w:lang w:bidi="ar-EG"/>
              </w:rPr>
              <w:t xml:space="preserve">لعام </w:t>
            </w:r>
            <w:r>
              <w:rPr>
                <w:b/>
                <w:bCs/>
                <w:sz w:val="32"/>
                <w:szCs w:val="32"/>
                <w:lang w:bidi="ar-EG"/>
              </w:rPr>
              <w:t>2025</w:t>
            </w:r>
            <w:r>
              <w:rPr>
                <w:rFonts w:hint="cs"/>
                <w:b/>
                <w:bCs/>
                <w:sz w:val="32"/>
                <w:szCs w:val="32"/>
                <w:rtl/>
                <w:lang w:bidi="ar-EG"/>
              </w:rPr>
              <w:t xml:space="preserve"> </w:t>
            </w:r>
            <w:r>
              <w:rPr>
                <w:b/>
                <w:bCs/>
                <w:sz w:val="32"/>
                <w:szCs w:val="32"/>
                <w:lang w:bidi="ar-EG"/>
              </w:rPr>
              <w:t>(WTDC-25)</w:t>
            </w:r>
          </w:p>
          <w:p w14:paraId="42DE7EA7" w14:textId="77777777" w:rsidR="00AD1E92" w:rsidRPr="00457D22" w:rsidRDefault="00062F2F" w:rsidP="001277E6">
            <w:pPr>
              <w:keepNext/>
              <w:keepLines/>
              <w:jc w:val="left"/>
              <w:rPr>
                <w:b/>
                <w:bCs/>
                <w:sz w:val="28"/>
                <w:szCs w:val="28"/>
                <w:rtl/>
                <w:lang w:bidi="ar-EG"/>
              </w:rPr>
            </w:pPr>
            <w:r>
              <w:rPr>
                <w:rFonts w:hint="cs"/>
                <w:b/>
                <w:bCs/>
                <w:sz w:val="26"/>
                <w:szCs w:val="26"/>
                <w:rtl/>
              </w:rPr>
              <w:t xml:space="preserve">باكو، جمهورية أذربيجان، في الفترة من </w:t>
            </w:r>
            <w:r>
              <w:rPr>
                <w:b/>
                <w:bCs/>
                <w:sz w:val="26"/>
                <w:szCs w:val="26"/>
              </w:rPr>
              <w:t>17</w:t>
            </w:r>
            <w:r>
              <w:rPr>
                <w:rFonts w:hint="cs"/>
                <w:b/>
                <w:bCs/>
                <w:sz w:val="26"/>
                <w:szCs w:val="26"/>
                <w:rtl/>
                <w:lang w:bidi="ar-EG"/>
              </w:rPr>
              <w:t xml:space="preserve"> إلى </w:t>
            </w:r>
            <w:r>
              <w:rPr>
                <w:b/>
                <w:bCs/>
                <w:sz w:val="26"/>
                <w:szCs w:val="26"/>
                <w:lang w:bidi="ar-EG"/>
              </w:rPr>
              <w:t>28</w:t>
            </w:r>
            <w:r>
              <w:rPr>
                <w:rFonts w:hint="cs"/>
                <w:b/>
                <w:bCs/>
                <w:sz w:val="26"/>
                <w:szCs w:val="26"/>
                <w:rtl/>
                <w:lang w:bidi="ar-EG"/>
              </w:rPr>
              <w:t xml:space="preserve"> نوفمبر </w:t>
            </w:r>
            <w:r>
              <w:rPr>
                <w:b/>
                <w:bCs/>
                <w:sz w:val="26"/>
                <w:szCs w:val="26"/>
                <w:lang w:bidi="ar-EG"/>
              </w:rPr>
              <w:t>2025</w:t>
            </w:r>
          </w:p>
        </w:tc>
        <w:tc>
          <w:tcPr>
            <w:tcW w:w="1420" w:type="dxa"/>
            <w:tcBorders>
              <w:bottom w:val="single" w:sz="12" w:space="0" w:color="auto"/>
            </w:tcBorders>
            <w:vAlign w:val="center"/>
          </w:tcPr>
          <w:p w14:paraId="6CADAC59" w14:textId="77777777" w:rsidR="00AD1E92" w:rsidRPr="00783A69" w:rsidRDefault="00AD1E92" w:rsidP="001277E6">
            <w:pPr>
              <w:keepNext/>
              <w:keepLines/>
              <w:jc w:val="center"/>
              <w:rPr>
                <w:lang w:val="en-GB" w:bidi="ar-EG"/>
              </w:rPr>
            </w:pPr>
            <w:bookmarkStart w:id="0" w:name="ditulogo"/>
            <w:bookmarkEnd w:id="0"/>
            <w:r>
              <w:rPr>
                <w:noProof/>
                <w:lang w:val="fr-FR" w:eastAsia="fr-FR"/>
              </w:rPr>
              <w:drawing>
                <wp:inline distT="0" distB="0" distL="0" distR="0" wp14:anchorId="1378FA30" wp14:editId="2322ACBA">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CA08BA" w:rsidRPr="00783A69" w14:paraId="7E592B9C" w14:textId="77777777" w:rsidTr="00F64B36">
        <w:trPr>
          <w:gridAfter w:val="1"/>
          <w:wAfter w:w="7" w:type="dxa"/>
          <w:cantSplit/>
          <w:jc w:val="center"/>
        </w:trPr>
        <w:tc>
          <w:tcPr>
            <w:tcW w:w="6660" w:type="dxa"/>
            <w:gridSpan w:val="3"/>
            <w:tcBorders>
              <w:top w:val="single" w:sz="12" w:space="0" w:color="auto"/>
            </w:tcBorders>
          </w:tcPr>
          <w:p w14:paraId="3C8C866B" w14:textId="77777777" w:rsidR="00CA08BA" w:rsidRPr="00783A69" w:rsidRDefault="00CA08BA" w:rsidP="001277E6">
            <w:pPr>
              <w:keepNext/>
              <w:keepLines/>
              <w:spacing w:before="20" w:after="20" w:line="300" w:lineRule="exact"/>
              <w:rPr>
                <w:b/>
                <w:bCs/>
                <w:rtl/>
                <w:lang w:bidi="ar-EG"/>
              </w:rPr>
            </w:pPr>
          </w:p>
        </w:tc>
        <w:tc>
          <w:tcPr>
            <w:tcW w:w="2979" w:type="dxa"/>
            <w:gridSpan w:val="2"/>
            <w:tcBorders>
              <w:top w:val="single" w:sz="12" w:space="0" w:color="auto"/>
            </w:tcBorders>
          </w:tcPr>
          <w:p w14:paraId="760D7BF4" w14:textId="77777777" w:rsidR="00CA08BA" w:rsidRPr="00C85CB5" w:rsidRDefault="00CA08BA" w:rsidP="001277E6">
            <w:pPr>
              <w:keepNext/>
              <w:keepLines/>
              <w:spacing w:before="20" w:after="20" w:line="300" w:lineRule="exact"/>
              <w:rPr>
                <w:b/>
                <w:bCs/>
                <w:highlight w:val="yellow"/>
                <w:rtl/>
                <w:lang w:bidi="ar-EG"/>
              </w:rPr>
            </w:pPr>
          </w:p>
        </w:tc>
      </w:tr>
      <w:tr w:rsidR="00783A69" w:rsidRPr="00783A69" w14:paraId="3AA0EDD5" w14:textId="77777777" w:rsidTr="00F64B36">
        <w:trPr>
          <w:gridAfter w:val="1"/>
          <w:wAfter w:w="7" w:type="dxa"/>
          <w:cantSplit/>
          <w:jc w:val="center"/>
        </w:trPr>
        <w:tc>
          <w:tcPr>
            <w:tcW w:w="6660" w:type="dxa"/>
            <w:gridSpan w:val="3"/>
          </w:tcPr>
          <w:p w14:paraId="3DEAF622" w14:textId="77777777" w:rsidR="00783A69" w:rsidRPr="00783A69" w:rsidRDefault="00BE739F" w:rsidP="00723E2C">
            <w:pPr>
              <w:pStyle w:val="Committee"/>
            </w:pPr>
            <w:r>
              <w:rPr>
                <w:rFonts w:hint="cs"/>
                <w:rtl/>
              </w:rPr>
              <w:t>الجلسة العامة</w:t>
            </w:r>
          </w:p>
        </w:tc>
        <w:tc>
          <w:tcPr>
            <w:tcW w:w="2979" w:type="dxa"/>
            <w:gridSpan w:val="2"/>
          </w:tcPr>
          <w:p w14:paraId="79F156EE" w14:textId="7856944D" w:rsidR="00783A69" w:rsidRPr="00153471" w:rsidRDefault="00CC3C10" w:rsidP="001277E6">
            <w:pPr>
              <w:keepNext/>
              <w:keepLines/>
              <w:spacing w:before="20" w:after="20" w:line="300" w:lineRule="exact"/>
              <w:rPr>
                <w:b/>
                <w:bCs/>
                <w:rtl/>
                <w:lang w:bidi="ar-SY"/>
              </w:rPr>
            </w:pPr>
            <w:r w:rsidRPr="00CC3C10">
              <w:rPr>
                <w:b/>
                <w:bCs/>
                <w:rtl/>
                <w:lang w:bidi="ar-EG"/>
              </w:rPr>
              <w:t xml:space="preserve">الوثيقة </w:t>
            </w:r>
            <w:r w:rsidRPr="00CC3C10">
              <w:rPr>
                <w:b/>
                <w:bCs/>
                <w:lang w:bidi="ar-EG"/>
              </w:rPr>
              <w:t>WTDC-25/15-A</w:t>
            </w:r>
          </w:p>
        </w:tc>
      </w:tr>
      <w:tr w:rsidR="00783A69" w:rsidRPr="00783A69" w14:paraId="50C634E9" w14:textId="77777777" w:rsidTr="00F64B36">
        <w:trPr>
          <w:gridAfter w:val="1"/>
          <w:wAfter w:w="7" w:type="dxa"/>
          <w:cantSplit/>
          <w:jc w:val="center"/>
        </w:trPr>
        <w:tc>
          <w:tcPr>
            <w:tcW w:w="6660" w:type="dxa"/>
            <w:gridSpan w:val="3"/>
          </w:tcPr>
          <w:p w14:paraId="4AD0EA81" w14:textId="77777777" w:rsidR="00783A69" w:rsidRPr="00783A69" w:rsidRDefault="00783A69" w:rsidP="001277E6">
            <w:pPr>
              <w:keepNext/>
              <w:keepLines/>
              <w:spacing w:before="20" w:after="20" w:line="300" w:lineRule="exact"/>
              <w:rPr>
                <w:b/>
                <w:bCs/>
              </w:rPr>
            </w:pPr>
          </w:p>
        </w:tc>
        <w:tc>
          <w:tcPr>
            <w:tcW w:w="2979" w:type="dxa"/>
            <w:gridSpan w:val="2"/>
          </w:tcPr>
          <w:p w14:paraId="4BC146CE" w14:textId="77E924D8" w:rsidR="00783A69" w:rsidRPr="00C85CB5" w:rsidRDefault="00CC3C10" w:rsidP="001277E6">
            <w:pPr>
              <w:keepNext/>
              <w:keepLines/>
              <w:spacing w:before="20" w:after="20" w:line="300" w:lineRule="exact"/>
              <w:rPr>
                <w:b/>
                <w:bCs/>
                <w:highlight w:val="yellow"/>
                <w:rtl/>
              </w:rPr>
            </w:pPr>
            <w:r w:rsidRPr="00CC3C10">
              <w:rPr>
                <w:b/>
                <w:bCs/>
                <w:rtl/>
                <w:lang w:bidi="ar-EG"/>
              </w:rPr>
              <w:t>10 أكتوبر 2025</w:t>
            </w:r>
          </w:p>
        </w:tc>
      </w:tr>
      <w:tr w:rsidR="00783A69" w:rsidRPr="00783A69" w14:paraId="277DAB82" w14:textId="77777777" w:rsidTr="00F64B36">
        <w:trPr>
          <w:gridAfter w:val="1"/>
          <w:wAfter w:w="7" w:type="dxa"/>
          <w:cantSplit/>
          <w:jc w:val="center"/>
        </w:trPr>
        <w:tc>
          <w:tcPr>
            <w:tcW w:w="6660" w:type="dxa"/>
            <w:gridSpan w:val="3"/>
          </w:tcPr>
          <w:p w14:paraId="5EE8B3F2" w14:textId="77777777" w:rsidR="00783A69" w:rsidRPr="00783A69" w:rsidRDefault="00783A69" w:rsidP="001277E6">
            <w:pPr>
              <w:keepNext/>
              <w:keepLines/>
              <w:spacing w:before="20" w:after="20" w:line="300" w:lineRule="exact"/>
              <w:rPr>
                <w:b/>
                <w:bCs/>
                <w:lang w:bidi="ar-EG"/>
              </w:rPr>
            </w:pPr>
          </w:p>
        </w:tc>
        <w:tc>
          <w:tcPr>
            <w:tcW w:w="2979" w:type="dxa"/>
            <w:gridSpan w:val="2"/>
          </w:tcPr>
          <w:p w14:paraId="204C3AEF" w14:textId="19E7EF6D" w:rsidR="00783A69" w:rsidRPr="00153471" w:rsidRDefault="00CC3C10" w:rsidP="001277E6">
            <w:pPr>
              <w:keepNext/>
              <w:keepLines/>
              <w:spacing w:before="20" w:after="20" w:line="300" w:lineRule="exact"/>
              <w:rPr>
                <w:b/>
                <w:bCs/>
                <w:rtl/>
                <w:lang w:bidi="ar-EG"/>
              </w:rPr>
            </w:pPr>
            <w:r w:rsidRPr="00CC3C10">
              <w:rPr>
                <w:b/>
                <w:bCs/>
                <w:rtl/>
                <w:lang w:bidi="ar-EG"/>
              </w:rPr>
              <w:t>الأصل: بالإنكليزية</w:t>
            </w:r>
          </w:p>
        </w:tc>
      </w:tr>
      <w:tr w:rsidR="00783A69" w:rsidRPr="00783A69" w14:paraId="1BB07764" w14:textId="77777777" w:rsidTr="00F64B36">
        <w:trPr>
          <w:gridAfter w:val="1"/>
          <w:wAfter w:w="7" w:type="dxa"/>
          <w:cantSplit/>
          <w:jc w:val="center"/>
        </w:trPr>
        <w:tc>
          <w:tcPr>
            <w:tcW w:w="9639" w:type="dxa"/>
            <w:gridSpan w:val="5"/>
          </w:tcPr>
          <w:p w14:paraId="1B29550C" w14:textId="32526762" w:rsidR="00783A69" w:rsidRPr="009F0BAA" w:rsidRDefault="00CC3C10" w:rsidP="00723E2C">
            <w:pPr>
              <w:pStyle w:val="Source"/>
              <w:keepNext w:val="0"/>
              <w:keepLines w:val="0"/>
            </w:pPr>
            <w:r w:rsidRPr="00723E2C">
              <w:rPr>
                <w:rtl/>
              </w:rPr>
              <w:t>مدير مكتب تنمية الاتصالات</w:t>
            </w:r>
          </w:p>
        </w:tc>
      </w:tr>
      <w:tr w:rsidR="00783A69" w:rsidRPr="00783A69" w14:paraId="614313FC" w14:textId="77777777" w:rsidTr="00F64B36">
        <w:trPr>
          <w:gridAfter w:val="1"/>
          <w:wAfter w:w="7" w:type="dxa"/>
          <w:cantSplit/>
          <w:jc w:val="center"/>
        </w:trPr>
        <w:tc>
          <w:tcPr>
            <w:tcW w:w="9639" w:type="dxa"/>
            <w:gridSpan w:val="5"/>
          </w:tcPr>
          <w:p w14:paraId="5BE0FC7C" w14:textId="2183665E" w:rsidR="00783A69" w:rsidRPr="00783A69" w:rsidRDefault="00CC3C10" w:rsidP="00723E2C">
            <w:pPr>
              <w:pStyle w:val="Title1"/>
              <w:keepNext w:val="0"/>
              <w:rPr>
                <w:lang w:bidi="ar-EG"/>
              </w:rPr>
            </w:pPr>
            <w:r w:rsidRPr="00CC3C10">
              <w:rPr>
                <w:rtl/>
                <w:lang w:bidi="ar-EG"/>
              </w:rPr>
              <w:t>تقرير عن عمل مكتب تنمية الاتصالات المتعلق بالشمول الرقمي</w:t>
            </w:r>
          </w:p>
        </w:tc>
      </w:tr>
      <w:tr w:rsidR="00783A69" w:rsidRPr="00153471" w14:paraId="0F422C18" w14:textId="77777777" w:rsidTr="00723E2C">
        <w:trPr>
          <w:gridBefore w:val="1"/>
          <w:wBefore w:w="8" w:type="dxa"/>
          <w:jc w:val="center"/>
        </w:trPr>
        <w:tc>
          <w:tcPr>
            <w:tcW w:w="9638" w:type="dxa"/>
            <w:gridSpan w:val="5"/>
            <w:tcBorders>
              <w:top w:val="single" w:sz="6" w:space="0" w:color="auto"/>
              <w:left w:val="single" w:sz="6" w:space="0" w:color="auto"/>
              <w:bottom w:val="single" w:sz="6" w:space="0" w:color="auto"/>
              <w:right w:val="single" w:sz="6" w:space="0" w:color="auto"/>
            </w:tcBorders>
          </w:tcPr>
          <w:p w14:paraId="7A3C02F9" w14:textId="0F7D4DB5" w:rsidR="00F545F0" w:rsidRDefault="009E5762" w:rsidP="00BE3A8F">
            <w:pPr>
              <w:tabs>
                <w:tab w:val="left" w:pos="2016"/>
                <w:tab w:val="left" w:pos="2299"/>
              </w:tabs>
              <w:rPr>
                <w:lang w:bidi="ar-SY"/>
              </w:rPr>
            </w:pPr>
            <w:r>
              <w:rPr>
                <w:rFonts w:hint="cs"/>
                <w:b/>
                <w:bCs/>
                <w:rtl/>
                <w:lang w:bidi="ar-SY"/>
              </w:rPr>
              <w:t>المجال ذو الأولوية</w:t>
            </w:r>
            <w:r w:rsidR="005874F2" w:rsidRPr="00153471">
              <w:rPr>
                <w:rFonts w:hint="cs"/>
                <w:b/>
                <w:bCs/>
                <w:rtl/>
                <w:lang w:bidi="ar-SY"/>
              </w:rPr>
              <w:t>:</w:t>
            </w:r>
          </w:p>
          <w:p w14:paraId="46023EE4" w14:textId="551AD778" w:rsidR="00F545F0" w:rsidRDefault="009E5762" w:rsidP="00BE3A8F">
            <w:pPr>
              <w:tabs>
                <w:tab w:val="left" w:pos="2016"/>
                <w:tab w:val="left" w:pos="2299"/>
              </w:tabs>
              <w:rPr>
                <w:lang w:bidi="ar-SY"/>
              </w:rPr>
            </w:pPr>
            <w:r w:rsidRPr="009E5762">
              <w:rPr>
                <w:rFonts w:hint="cs"/>
                <w:rtl/>
                <w:lang w:bidi="ar-SY"/>
              </w:rPr>
              <w:t>-</w:t>
            </w:r>
            <w:r w:rsidRPr="009E5762">
              <w:rPr>
                <w:rtl/>
                <w:lang w:bidi="ar-SY"/>
              </w:rPr>
              <w:tab/>
            </w:r>
            <w:r w:rsidR="00CC3C10" w:rsidRPr="00CC3C10">
              <w:rPr>
                <w:rtl/>
                <w:lang w:bidi="ar-SY"/>
              </w:rPr>
              <w:t xml:space="preserve">خطة العمل والمبادرات الإقليمية والمسائل التي تتناولها لجنتا دراسات قطاع تنمية الاتصالات </w:t>
            </w:r>
          </w:p>
          <w:p w14:paraId="1326B17B" w14:textId="2AB3925A" w:rsidR="00783A69" w:rsidRDefault="00F545F0" w:rsidP="00BE3A8F">
            <w:pPr>
              <w:tabs>
                <w:tab w:val="left" w:pos="2016"/>
                <w:tab w:val="left" w:pos="2299"/>
              </w:tabs>
              <w:rPr>
                <w:rtl/>
                <w:lang w:bidi="ar-SY"/>
              </w:rPr>
            </w:pPr>
            <w:r>
              <w:rPr>
                <w:lang w:bidi="ar-SY"/>
              </w:rPr>
              <w:t>-</w:t>
            </w:r>
            <w:r w:rsidR="00CC3C10" w:rsidRPr="00CC3C10">
              <w:rPr>
                <w:rtl/>
                <w:lang w:bidi="ar-SY"/>
              </w:rPr>
              <w:tab/>
              <w:t>قرارات قطاع تنمية الاتصالات وتوصياته</w:t>
            </w:r>
          </w:p>
          <w:p w14:paraId="634C6C28" w14:textId="77777777" w:rsidR="00783A69" w:rsidRPr="00E43176" w:rsidRDefault="009E5762" w:rsidP="00BE3A8F">
            <w:pPr>
              <w:rPr>
                <w:rtl/>
                <w:lang w:bidi="ar-SY"/>
              </w:rPr>
            </w:pPr>
            <w:r>
              <w:rPr>
                <w:rFonts w:hint="cs"/>
                <w:b/>
                <w:bCs/>
                <w:rtl/>
                <w:lang w:bidi="ar-SY"/>
              </w:rPr>
              <w:t>الملخص:</w:t>
            </w:r>
          </w:p>
          <w:p w14:paraId="0560679F" w14:textId="77777777" w:rsidR="00FA14E0" w:rsidRPr="00CD32AC" w:rsidRDefault="00FA14E0" w:rsidP="00BE3A8F">
            <w:pPr>
              <w:rPr>
                <w:lang w:val="ar-SA" w:eastAsia="zh-TW" w:bidi="en-GB"/>
              </w:rPr>
            </w:pPr>
            <w:r w:rsidRPr="00CD32AC">
              <w:rPr>
                <w:color w:val="000000"/>
                <w:rtl/>
              </w:rPr>
              <w:t xml:space="preserve">تقدم هذه الوثيقة لمحة عامة عن العمل الذي أنجزه مكتب تنمية الاتصالات </w:t>
            </w:r>
            <w:r w:rsidRPr="00CD32AC">
              <w:rPr>
                <w:color w:val="000000"/>
              </w:rPr>
              <w:t>(BDT)</w:t>
            </w:r>
            <w:r w:rsidRPr="00CD32AC">
              <w:rPr>
                <w:color w:val="000000"/>
                <w:rtl/>
              </w:rPr>
              <w:t xml:space="preserve"> في مجال الشمول الرقمي منذ المؤتمر العالمي لتنمية الاتصالات لعام 2022 حتى الآن.</w:t>
            </w:r>
          </w:p>
          <w:p w14:paraId="5E73F622" w14:textId="77777777" w:rsidR="00FA14E0" w:rsidRPr="00CD32AC" w:rsidRDefault="00FA14E0" w:rsidP="00BE3A8F">
            <w:pPr>
              <w:rPr>
                <w:lang w:val="ar-SA" w:eastAsia="zh-TW" w:bidi="en-GB"/>
              </w:rPr>
            </w:pPr>
            <w:r w:rsidRPr="00CD32AC">
              <w:rPr>
                <w:color w:val="000000"/>
                <w:rtl/>
              </w:rPr>
              <w:t xml:space="preserve">وتسلط الوثيقة الضوء على الأنشطة والمبادرات والأحداث التي تم تنفيذها لتعزيز قدرة أعضاء الاتحاد على وضع استراتيجيات وسياسات وممارسات بشأن الشمول والإنصاف الرقميين، ما يدعم تحقيق تحول رقمي شامل في بلدانهم ومناطقهم - تحول رقمي لا يتخلف فيه أحد عن الركب ويكون فيه الجميع، بغض النظر عن </w:t>
            </w:r>
            <w:proofErr w:type="gramStart"/>
            <w:r w:rsidRPr="00CD32AC">
              <w:rPr>
                <w:color w:val="000000"/>
                <w:rtl/>
              </w:rPr>
              <w:t>سنهم</w:t>
            </w:r>
            <w:proofErr w:type="gramEnd"/>
            <w:r w:rsidRPr="00CD32AC">
              <w:rPr>
                <w:color w:val="000000"/>
                <w:rtl/>
              </w:rPr>
              <w:t xml:space="preserve"> أو نوعهم الاجتماعي أو قدرتهم أو موقعهم الجغرافي، مشمولين بالمجتمع الرقمي.</w:t>
            </w:r>
          </w:p>
          <w:p w14:paraId="05DE1845" w14:textId="21B6591C" w:rsidR="004F0F62" w:rsidRPr="004F0F62" w:rsidRDefault="00FA14E0" w:rsidP="00BE3A8F">
            <w:pPr>
              <w:rPr>
                <w:color w:val="000000"/>
                <w:rtl/>
                <w:lang w:bidi="ar-EG"/>
              </w:rPr>
            </w:pPr>
            <w:r w:rsidRPr="00CD32AC">
              <w:rPr>
                <w:color w:val="000000"/>
                <w:rtl/>
              </w:rPr>
              <w:t>وشمل عمل مكتب تنمية الاتصالات في مجال الشمول الرقمي أيضاً مشاريع وأحداثاً تهدف إلى تمكين الناس، ولا سيما المستعملين النهائيين الذين يعيشون في أوضاع هشة، بمن فيهم النساء والفتيات والشباب والأشخاص ذوو الإعاقة وأفراد المجتمعات الريفية والمجتمعات النائية والمجتمعات الأصلية وكبار السن والأشخاص ذوو الاحتياجات المحددة أو من الأسر ذات الدخل المنخفض.</w:t>
            </w:r>
          </w:p>
          <w:p w14:paraId="3455CB76" w14:textId="77777777" w:rsidR="00783A69" w:rsidRDefault="009E5762" w:rsidP="00723E2C">
            <w:pPr>
              <w:rPr>
                <w:b/>
                <w:bCs/>
                <w:rtl/>
                <w:lang w:bidi="ar-SY"/>
              </w:rPr>
            </w:pPr>
            <w:r>
              <w:rPr>
                <w:rFonts w:hint="cs"/>
                <w:b/>
                <w:bCs/>
                <w:rtl/>
                <w:lang w:bidi="ar-SY"/>
              </w:rPr>
              <w:t>النتائج المتوقعة</w:t>
            </w:r>
            <w:r w:rsidR="005874F2" w:rsidRPr="00153471">
              <w:rPr>
                <w:rFonts w:hint="cs"/>
                <w:b/>
                <w:bCs/>
                <w:rtl/>
                <w:lang w:bidi="ar-SY"/>
              </w:rPr>
              <w:t>:</w:t>
            </w:r>
          </w:p>
          <w:p w14:paraId="5A6B30C7" w14:textId="4145AD39" w:rsidR="009E5762" w:rsidRPr="004F0F62" w:rsidRDefault="00FA14E0" w:rsidP="00723E2C">
            <w:pPr>
              <w:rPr>
                <w:color w:val="000000"/>
                <w:rtl/>
                <w:lang w:bidi="ar-EG"/>
              </w:rPr>
            </w:pPr>
            <w:r w:rsidRPr="00FA14E0">
              <w:rPr>
                <w:color w:val="000000"/>
                <w:rtl/>
                <w:lang w:bidi="ar-EG"/>
              </w:rPr>
              <w:t>يُدعى المؤتمر العالمي لتنمية الاتصالات إلى الإحاطة علماً بهذه الوثيقة.</w:t>
            </w:r>
          </w:p>
          <w:p w14:paraId="5D3B23FF" w14:textId="77777777" w:rsidR="009E5762" w:rsidRDefault="009E5762" w:rsidP="00723E2C">
            <w:pPr>
              <w:rPr>
                <w:b/>
                <w:bCs/>
                <w:rtl/>
                <w:lang w:bidi="ar-SY"/>
              </w:rPr>
            </w:pPr>
            <w:r>
              <w:rPr>
                <w:rFonts w:hint="cs"/>
                <w:b/>
                <w:bCs/>
                <w:rtl/>
                <w:lang w:bidi="ar-SY"/>
              </w:rPr>
              <w:t>المراجع:</w:t>
            </w:r>
          </w:p>
          <w:p w14:paraId="0BAFD3CA" w14:textId="69CFF67D" w:rsidR="00FA14E0" w:rsidRPr="00CD32AC" w:rsidRDefault="00E6540B" w:rsidP="00723E2C">
            <w:pPr>
              <w:rPr>
                <w:rtl/>
                <w:lang w:val="ar-SA" w:eastAsia="zh-TW" w:bidi="en-GB"/>
              </w:rPr>
            </w:pPr>
            <w:hyperlink r:id="rId10" w:anchor="page=358" w:history="1">
              <w:r w:rsidR="00FA14E0" w:rsidRPr="00E6540B">
                <w:rPr>
                  <w:rStyle w:val="Hyperlink"/>
                  <w:rtl/>
                </w:rPr>
                <w:t xml:space="preserve">قـرار </w:t>
              </w:r>
              <w:r w:rsidR="00723E2C">
                <w:rPr>
                  <w:rStyle w:val="Hyperlink"/>
                  <w:rFonts w:hint="cs"/>
                  <w:rtl/>
                  <w:lang w:bidi="ar-EG"/>
                </w:rPr>
                <w:t xml:space="preserve">المؤتمر العالمي لتنمية الاتصالات </w:t>
              </w:r>
              <w:r w:rsidR="00FA14E0" w:rsidRPr="00E6540B">
                <w:rPr>
                  <w:rStyle w:val="Hyperlink"/>
                  <w:rtl/>
                </w:rPr>
                <w:t>55</w:t>
              </w:r>
              <w:r w:rsidR="00791672" w:rsidRPr="00E6540B">
                <w:rPr>
                  <w:rStyle w:val="Hyperlink"/>
                  <w:rFonts w:hint="cs"/>
                  <w:rtl/>
                </w:rPr>
                <w:t xml:space="preserve"> </w:t>
              </w:r>
              <w:r w:rsidR="00FA14E0" w:rsidRPr="00E6540B">
                <w:rPr>
                  <w:rStyle w:val="Hyperlink"/>
                  <w:rtl/>
                </w:rPr>
                <w:t>(المراجَع في كيغالي، 2022)</w:t>
              </w:r>
            </w:hyperlink>
            <w:r w:rsidR="00FA14E0" w:rsidRPr="00E6540B">
              <w:rPr>
                <w:rtl/>
              </w:rPr>
              <w:t xml:space="preserve"> – تعميم منظور المساواة بين الجنسين في الاتحاد من أجل تمكين المرأة من خلال الاتصالات/تكنولوجيا المعلومات والاتصالات</w:t>
            </w:r>
          </w:p>
          <w:p w14:paraId="735C9631" w14:textId="69AC5BB2" w:rsidR="00FA14E0" w:rsidRPr="00CD32AC" w:rsidRDefault="00E6540B" w:rsidP="00723E2C">
            <w:pPr>
              <w:rPr>
                <w:rtl/>
                <w:lang w:val="ar-SA" w:eastAsia="zh-TW" w:bidi="en-GB"/>
              </w:rPr>
            </w:pPr>
            <w:hyperlink r:id="rId11" w:anchor="page=436" w:history="1">
              <w:r w:rsidR="00FA14E0" w:rsidRPr="00E6540B">
                <w:rPr>
                  <w:rStyle w:val="Hyperlink"/>
                  <w:rtl/>
                </w:rPr>
                <w:t xml:space="preserve">قـرار </w:t>
              </w:r>
              <w:r w:rsidR="00723E2C">
                <w:rPr>
                  <w:rStyle w:val="Hyperlink"/>
                  <w:rFonts w:hint="cs"/>
                  <w:rtl/>
                </w:rPr>
                <w:t xml:space="preserve">المؤتمر العالمي لتنمية الاتصالات </w:t>
              </w:r>
              <w:r w:rsidR="00FA14E0" w:rsidRPr="00E6540B">
                <w:rPr>
                  <w:rStyle w:val="Hyperlink"/>
                  <w:rtl/>
                </w:rPr>
                <w:t>76 (المراجَع في كيغالي، 2022)</w:t>
              </w:r>
            </w:hyperlink>
            <w:r w:rsidR="00FA14E0" w:rsidRPr="00E6540B">
              <w:rPr>
                <w:rtl/>
              </w:rPr>
              <w:t xml:space="preserve"> – تعزيز استخدام تكنولوجيا المعلومات والاتصالات بين الشباب من الجنسين من أجل تمكينهم اجتماعياً واقتصادياً</w:t>
            </w:r>
          </w:p>
          <w:p w14:paraId="41FABD47" w14:textId="0C19D940" w:rsidR="00FA14E0" w:rsidRPr="00723E2C" w:rsidRDefault="00E6540B" w:rsidP="00723E2C">
            <w:pPr>
              <w:rPr>
                <w:spacing w:val="-2"/>
                <w:rtl/>
                <w:lang w:val="ar-SA" w:eastAsia="zh-TW" w:bidi="en-GB"/>
              </w:rPr>
            </w:pPr>
            <w:hyperlink r:id="rId12" w:anchor="page=330" w:history="1">
              <w:r w:rsidR="00FA14E0" w:rsidRPr="00723E2C">
                <w:rPr>
                  <w:rStyle w:val="Hyperlink"/>
                  <w:spacing w:val="-2"/>
                  <w:rtl/>
                </w:rPr>
                <w:t xml:space="preserve">قـرار </w:t>
              </w:r>
              <w:r w:rsidR="00723E2C">
                <w:rPr>
                  <w:rStyle w:val="Hyperlink"/>
                  <w:rFonts w:hint="cs"/>
                  <w:spacing w:val="-2"/>
                  <w:rtl/>
                </w:rPr>
                <w:t xml:space="preserve">المؤتمر العالمي لتنمية الاتصالات </w:t>
              </w:r>
              <w:r w:rsidR="00FA14E0" w:rsidRPr="00723E2C">
                <w:rPr>
                  <w:rStyle w:val="Hyperlink"/>
                  <w:spacing w:val="-2"/>
                  <w:rtl/>
                </w:rPr>
                <w:t>46 (المراجَع في كيغالي، 2022)</w:t>
              </w:r>
            </w:hyperlink>
            <w:r w:rsidR="00FA14E0" w:rsidRPr="00723E2C">
              <w:rPr>
                <w:rtl/>
              </w:rPr>
              <w:t xml:space="preserve"> – مساعدة الشعوب والمجتمعات الأصلية بواسطة تكنولوجيات المعلومات والاتصالات</w:t>
            </w:r>
          </w:p>
          <w:p w14:paraId="40E0E872" w14:textId="015FA58B" w:rsidR="00783A69" w:rsidRPr="00153471" w:rsidRDefault="00AC24E3" w:rsidP="00BE3A8F">
            <w:pPr>
              <w:rPr>
                <w:rtl/>
                <w:lang w:bidi="ar-EG"/>
              </w:rPr>
            </w:pPr>
            <w:hyperlink r:id="rId13" w:anchor="page=369" w:history="1">
              <w:r w:rsidR="00FA14E0" w:rsidRPr="00E6540B">
                <w:rPr>
                  <w:rStyle w:val="Hyperlink"/>
                  <w:rtl/>
                </w:rPr>
                <w:t xml:space="preserve">قـرار </w:t>
              </w:r>
              <w:r w:rsidR="00723E2C">
                <w:rPr>
                  <w:rStyle w:val="Hyperlink"/>
                  <w:rFonts w:hint="cs"/>
                  <w:rtl/>
                </w:rPr>
                <w:t xml:space="preserve">المؤتمر العالمي لتنمية الاتصالات </w:t>
              </w:r>
              <w:r w:rsidR="00FA14E0" w:rsidRPr="00E6540B">
                <w:rPr>
                  <w:rStyle w:val="Hyperlink"/>
                  <w:rtl/>
                </w:rPr>
                <w:t>58 (المراجَع في كيغالي، 2022)</w:t>
              </w:r>
            </w:hyperlink>
            <w:r w:rsidR="00FA14E0">
              <w:rPr>
                <w:color w:val="000000"/>
                <w:rtl/>
              </w:rPr>
              <w:t xml:space="preserve"> </w:t>
            </w:r>
            <w:r w:rsidR="00FA14E0" w:rsidRPr="00CD32AC">
              <w:rPr>
                <w:color w:val="000000"/>
                <w:rtl/>
              </w:rPr>
              <w:t>–</w:t>
            </w:r>
            <w:r w:rsidR="00FA14E0">
              <w:rPr>
                <w:color w:val="000000"/>
                <w:rtl/>
              </w:rPr>
              <w:t xml:space="preserve"> </w:t>
            </w:r>
            <w:r w:rsidR="00FA14E0" w:rsidRPr="00CD32AC">
              <w:rPr>
                <w:color w:val="000000"/>
                <w:rtl/>
              </w:rPr>
              <w:t>إمكانية</w:t>
            </w:r>
            <w:r w:rsidR="00FA14E0">
              <w:rPr>
                <w:color w:val="000000"/>
                <w:rtl/>
              </w:rPr>
              <w:t xml:space="preserve"> </w:t>
            </w:r>
            <w:r w:rsidR="00FA14E0" w:rsidRPr="00CD32AC">
              <w:rPr>
                <w:color w:val="000000"/>
                <w:rtl/>
              </w:rPr>
              <w:t>نفاذ</w:t>
            </w:r>
            <w:r w:rsidR="00FA14E0">
              <w:rPr>
                <w:color w:val="000000"/>
                <w:rtl/>
              </w:rPr>
              <w:t xml:space="preserve"> </w:t>
            </w:r>
            <w:r w:rsidR="00FA14E0" w:rsidRPr="00CD32AC">
              <w:rPr>
                <w:color w:val="000000"/>
                <w:rtl/>
              </w:rPr>
              <w:t>الأشخاص</w:t>
            </w:r>
            <w:r w:rsidR="00FA14E0">
              <w:rPr>
                <w:color w:val="000000"/>
                <w:rtl/>
              </w:rPr>
              <w:t xml:space="preserve"> </w:t>
            </w:r>
            <w:r w:rsidR="00FA14E0" w:rsidRPr="00CD32AC">
              <w:rPr>
                <w:color w:val="000000"/>
                <w:rtl/>
              </w:rPr>
              <w:t>ذوي</w:t>
            </w:r>
            <w:r w:rsidR="00FA14E0">
              <w:rPr>
                <w:color w:val="000000"/>
                <w:rtl/>
              </w:rPr>
              <w:t xml:space="preserve"> </w:t>
            </w:r>
            <w:r w:rsidR="00FA14E0" w:rsidRPr="00CD32AC">
              <w:rPr>
                <w:color w:val="000000"/>
                <w:rtl/>
              </w:rPr>
              <w:t>الإعاقة</w:t>
            </w:r>
            <w:r w:rsidR="00FA14E0">
              <w:rPr>
                <w:color w:val="000000"/>
                <w:rtl/>
              </w:rPr>
              <w:t xml:space="preserve"> </w:t>
            </w:r>
            <w:r w:rsidR="00FA14E0" w:rsidRPr="00CD32AC">
              <w:rPr>
                <w:color w:val="000000"/>
                <w:rtl/>
              </w:rPr>
              <w:t>والأشخاص</w:t>
            </w:r>
            <w:r w:rsidR="00FA14E0">
              <w:rPr>
                <w:color w:val="000000"/>
                <w:rtl/>
              </w:rPr>
              <w:t xml:space="preserve"> </w:t>
            </w:r>
            <w:r w:rsidR="00FA14E0" w:rsidRPr="00CD32AC">
              <w:rPr>
                <w:color w:val="000000"/>
                <w:rtl/>
              </w:rPr>
              <w:t>ذوي</w:t>
            </w:r>
            <w:r w:rsidR="00FA14E0">
              <w:rPr>
                <w:color w:val="000000"/>
                <w:rtl/>
              </w:rPr>
              <w:t xml:space="preserve"> </w:t>
            </w:r>
            <w:r w:rsidR="00FA14E0" w:rsidRPr="00CD32AC">
              <w:rPr>
                <w:color w:val="000000"/>
                <w:rtl/>
              </w:rPr>
              <w:t>الاحتياجات</w:t>
            </w:r>
            <w:r w:rsidR="00FA14E0">
              <w:rPr>
                <w:color w:val="000000"/>
                <w:rtl/>
              </w:rPr>
              <w:t xml:space="preserve"> </w:t>
            </w:r>
            <w:r w:rsidR="00FA14E0" w:rsidRPr="00CD32AC">
              <w:rPr>
                <w:color w:val="000000"/>
                <w:rtl/>
              </w:rPr>
              <w:t>المحددة</w:t>
            </w:r>
            <w:r w:rsidR="00FA14E0">
              <w:rPr>
                <w:color w:val="000000"/>
                <w:rtl/>
              </w:rPr>
              <w:t xml:space="preserve"> </w:t>
            </w:r>
            <w:r w:rsidR="00FA14E0" w:rsidRPr="00CD32AC">
              <w:rPr>
                <w:color w:val="000000"/>
                <w:rtl/>
              </w:rPr>
              <w:t>إلى</w:t>
            </w:r>
            <w:r w:rsidR="00FA14E0">
              <w:rPr>
                <w:color w:val="000000"/>
                <w:rtl/>
              </w:rPr>
              <w:t xml:space="preserve"> </w:t>
            </w:r>
            <w:r w:rsidR="00FA14E0" w:rsidRPr="00CD32AC">
              <w:rPr>
                <w:color w:val="000000"/>
                <w:rtl/>
              </w:rPr>
              <w:t>الاتصالات/تكنولوجيا</w:t>
            </w:r>
            <w:r w:rsidR="00FA14E0">
              <w:rPr>
                <w:color w:val="000000"/>
                <w:rtl/>
              </w:rPr>
              <w:t xml:space="preserve"> </w:t>
            </w:r>
            <w:r w:rsidR="00FA14E0" w:rsidRPr="00CD32AC">
              <w:rPr>
                <w:color w:val="000000"/>
                <w:rtl/>
              </w:rPr>
              <w:t>المعلومات</w:t>
            </w:r>
            <w:r w:rsidR="00FA14E0">
              <w:rPr>
                <w:color w:val="000000"/>
                <w:rtl/>
              </w:rPr>
              <w:t xml:space="preserve"> </w:t>
            </w:r>
            <w:r w:rsidR="00FA14E0" w:rsidRPr="00CD32AC">
              <w:rPr>
                <w:color w:val="000000"/>
                <w:rtl/>
              </w:rPr>
              <w:t>والاتصالات</w:t>
            </w:r>
          </w:p>
        </w:tc>
      </w:tr>
    </w:tbl>
    <w:p w14:paraId="627D9A93" w14:textId="77777777" w:rsidR="00FA14E0" w:rsidRPr="00CD32AC" w:rsidRDefault="00FA14E0" w:rsidP="004D48AE">
      <w:pPr>
        <w:pStyle w:val="Headingb"/>
        <w:rPr>
          <w:lang w:val="ar-SA" w:eastAsia="zh-TW" w:bidi="en-GB"/>
        </w:rPr>
      </w:pPr>
      <w:r w:rsidRPr="00CD32AC">
        <w:rPr>
          <w:rtl/>
        </w:rPr>
        <w:lastRenderedPageBreak/>
        <w:t>مقدمة</w:t>
      </w:r>
    </w:p>
    <w:p w14:paraId="079FE23B" w14:textId="77777777" w:rsidR="00FA14E0" w:rsidRPr="004D48AE" w:rsidRDefault="00FA14E0" w:rsidP="00FA14E0">
      <w:pPr>
        <w:textDirection w:val="tbRlV"/>
        <w:rPr>
          <w:spacing w:val="-2"/>
          <w:lang w:val="ar-SA" w:eastAsia="zh-TW" w:bidi="en-GB"/>
        </w:rPr>
      </w:pPr>
      <w:r w:rsidRPr="004D48AE">
        <w:rPr>
          <w:spacing w:val="-2"/>
          <w:rtl/>
        </w:rPr>
        <w:t xml:space="preserve">تقدم هذه الوثيقة لمحة عامة عن العمل الذي أنجزه مكتب تنمية الاتصالات </w:t>
      </w:r>
      <w:r w:rsidRPr="004D48AE">
        <w:rPr>
          <w:spacing w:val="-2"/>
        </w:rPr>
        <w:t>(BDT)</w:t>
      </w:r>
      <w:r w:rsidRPr="004D48AE">
        <w:rPr>
          <w:spacing w:val="-2"/>
          <w:rtl/>
        </w:rPr>
        <w:t xml:space="preserve"> في مجال الشمول الرقمي منذ المؤتمر العالمي لتنمية الاتصالات لعام 2022 حتى الآن.</w:t>
      </w:r>
    </w:p>
    <w:p w14:paraId="1BB6B7B8" w14:textId="77777777" w:rsidR="00FA14E0" w:rsidRPr="00CD32AC" w:rsidRDefault="00FA14E0" w:rsidP="004D48AE">
      <w:pPr>
        <w:pStyle w:val="Headingb"/>
        <w:rPr>
          <w:lang w:val="ar-SA" w:eastAsia="zh-TW" w:bidi="en-GB"/>
        </w:rPr>
      </w:pPr>
      <w:r w:rsidRPr="00CD32AC">
        <w:rPr>
          <w:rtl/>
        </w:rPr>
        <w:t>ملخص الإنجازات</w:t>
      </w:r>
    </w:p>
    <w:p w14:paraId="4BB2CFDB" w14:textId="77777777" w:rsidR="00FA14E0" w:rsidRPr="004D48AE" w:rsidRDefault="00FA14E0" w:rsidP="004D48AE">
      <w:pPr>
        <w:rPr>
          <w:rFonts w:eastAsia="Calibri"/>
          <w:spacing w:val="-2"/>
          <w:lang w:val="ar-SA" w:eastAsia="zh-TW" w:bidi="en-GB"/>
        </w:rPr>
      </w:pPr>
      <w:r w:rsidRPr="004D48AE">
        <w:rPr>
          <w:spacing w:val="-2"/>
          <w:rtl/>
        </w:rPr>
        <w:t xml:space="preserve">أدى العامل </w:t>
      </w:r>
      <w:proofErr w:type="spellStart"/>
      <w:r w:rsidRPr="004D48AE">
        <w:rPr>
          <w:spacing w:val="-2"/>
          <w:rtl/>
        </w:rPr>
        <w:t>التمكيني</w:t>
      </w:r>
      <w:proofErr w:type="spellEnd"/>
      <w:r w:rsidRPr="004D48AE">
        <w:rPr>
          <w:spacing w:val="-2"/>
          <w:rtl/>
        </w:rPr>
        <w:t xml:space="preserve"> 3 لقطاع تنمية الاتصالات: التنوع والشمول، في الفترة ما بين عامي 2023 و2025، دوراً محورياً في تعزيز الشمول الرقمي العالمي من أجل بناء مجتمع رقمي شامل لجميع الناس مع التركيز بشكل خاص على الأشخاص الذين يعيشون في أوضاع هشة من بين الشباب والنساء والفتيات والأشخاص من المجتمعات الريفية والمجتمعات النائية والمجتمعات الأصلية والأشخاص ذوي الإعاقة وكبار السن.</w:t>
      </w:r>
    </w:p>
    <w:p w14:paraId="25DCDF60" w14:textId="437654C6" w:rsidR="00FA14E0" w:rsidRPr="004D48AE" w:rsidRDefault="00FA14E0" w:rsidP="00FA14E0">
      <w:pPr>
        <w:textDirection w:val="tbRlV"/>
        <w:rPr>
          <w:rFonts w:eastAsia="Calibri"/>
          <w:spacing w:val="-2"/>
          <w:lang w:val="ar-SA" w:eastAsia="zh-TW" w:bidi="en-GB"/>
        </w:rPr>
      </w:pPr>
      <w:r w:rsidRPr="004D48AE">
        <w:rPr>
          <w:spacing w:val="-2"/>
          <w:rtl/>
        </w:rPr>
        <w:t xml:space="preserve">ويسترشد قطاع تنمية الاتصالات في عمله المتعلق بالشمول الرقمي بنهج شامل ومتعدد الجوانب يلبي الاحتياجات المتنوعة للناس من مختلف الأعمار والقدرات والأنواع الاجتماعية والخلفيات التعليمية والحالات الاجتماعية والاقتصادية والمواقع الجغرافية. وندعو إلى دمج إمكانية النفاذ الرقمي منذ البداية في جميع السياسات والمنتجات والخدمات الرقمية لضمان إمكانية النفاذ بدون عوائق الجميع وتمكنيهم من المشاركة الكاملة في المجتمع الرقمي والاقتصاد الرقمي والنظام الإيكولوجي الرقمي (انظر </w:t>
      </w:r>
      <w:hyperlink r:id="rId14" w:history="1">
        <w:r w:rsidRPr="004D48AE">
          <w:rPr>
            <w:rStyle w:val="Hyperlink"/>
            <w:spacing w:val="-2"/>
            <w:rtl/>
          </w:rPr>
          <w:t>الشمول الرقمي في قطاع تنمية الاتصالات بالاتحاد الدولي للاتصالات</w:t>
        </w:r>
      </w:hyperlink>
      <w:r w:rsidRPr="004D48AE">
        <w:rPr>
          <w:spacing w:val="-2"/>
          <w:rtl/>
        </w:rPr>
        <w:t>).</w:t>
      </w:r>
      <w:hyperlink r:id="rId15"/>
    </w:p>
    <w:p w14:paraId="1AC07200" w14:textId="6F12AE45" w:rsidR="00964269" w:rsidRPr="00281D02" w:rsidRDefault="00745CE9" w:rsidP="004D48AE">
      <w:pPr>
        <w:pStyle w:val="Figure"/>
        <w:bidi/>
        <w:rPr>
          <w:rFonts w:ascii="Dubai" w:hAnsi="Dubai" w:cs="Dubai"/>
          <w:sz w:val="22"/>
          <w:szCs w:val="22"/>
        </w:rPr>
      </w:pPr>
      <w:bookmarkStart w:id="1" w:name="_Hlk211502675"/>
      <w:r>
        <w:rPr>
          <w:rFonts w:ascii="Dubai" w:hAnsi="Dubai" w:cs="Dubai"/>
          <w:noProof/>
          <w:sz w:val="22"/>
          <w:szCs w:val="22"/>
        </w:rPr>
        <w:drawing>
          <wp:inline distT="0" distB="0" distL="0" distR="0" wp14:anchorId="1E94787F" wp14:editId="3824991D">
            <wp:extent cx="3474720" cy="3066415"/>
            <wp:effectExtent l="0" t="0" r="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74720" cy="3066415"/>
                    </a:xfrm>
                    <a:prstGeom prst="rect">
                      <a:avLst/>
                    </a:prstGeom>
                    <a:noFill/>
                  </pic:spPr>
                </pic:pic>
              </a:graphicData>
            </a:graphic>
          </wp:inline>
        </w:drawing>
      </w:r>
    </w:p>
    <w:bookmarkEnd w:id="1"/>
    <w:p w14:paraId="0D2EA239" w14:textId="77777777" w:rsidR="00FA14E0" w:rsidRPr="00CD32AC" w:rsidRDefault="00FA14E0" w:rsidP="008B074D">
      <w:pPr>
        <w:tabs>
          <w:tab w:val="clear" w:pos="794"/>
        </w:tabs>
        <w:textDirection w:val="tbRlV"/>
        <w:rPr>
          <w:rFonts w:eastAsia="Calibri"/>
          <w:lang w:val="ar-SA" w:eastAsia="zh-TW" w:bidi="en-GB"/>
        </w:rPr>
      </w:pPr>
      <w:r w:rsidRPr="00CD32AC">
        <w:rPr>
          <w:rtl/>
        </w:rPr>
        <w:t>وشملت جهود مكتب تنمية الاتصالات في مجال الشمول الرقمي ما يلي:</w:t>
      </w:r>
    </w:p>
    <w:p w14:paraId="511227C4" w14:textId="681F8BCD" w:rsidR="00FA14E0" w:rsidRPr="00F54A23" w:rsidRDefault="008B074D" w:rsidP="00387FF3">
      <w:pPr>
        <w:pStyle w:val="enumlev1"/>
        <w:rPr>
          <w:rFonts w:eastAsia="Calibri"/>
          <w:spacing w:val="-6"/>
          <w:lang w:val="ar-SA" w:eastAsia="zh-TW" w:bidi="en-GB"/>
        </w:rPr>
      </w:pPr>
      <w:r w:rsidRPr="00F54A23">
        <w:rPr>
          <w:spacing w:val="-6"/>
          <w:rtl/>
          <w:lang w:bidi="ar-EG"/>
        </w:rPr>
        <w:t>-</w:t>
      </w:r>
      <w:r w:rsidRPr="00F54A23">
        <w:rPr>
          <w:spacing w:val="-6"/>
          <w:rtl/>
          <w:lang w:bidi="ar-EG"/>
        </w:rPr>
        <w:tab/>
      </w:r>
      <w:r w:rsidR="00FA14E0" w:rsidRPr="00F54A23">
        <w:rPr>
          <w:spacing w:val="-6"/>
          <w:rtl/>
        </w:rPr>
        <w:t>إذكاء الوعي، وتقديم دعم الخبراء، والتدريب المخصص، وتنفيذ المشاريع لدعم تطوير ونشر منتجات وخدمات شاملة لتكنولوجيا المعلومات والاتصالات واستخدامها من جانب جميع الناس، بمن فيهم الأشخاص الذين يعيشون في أوضاع هشة؛</w:t>
      </w:r>
    </w:p>
    <w:p w14:paraId="408C79D9" w14:textId="32ED455D" w:rsidR="00FA14E0" w:rsidRPr="00F54A23" w:rsidRDefault="008B074D" w:rsidP="00387FF3">
      <w:pPr>
        <w:pStyle w:val="enumlev1"/>
        <w:rPr>
          <w:rFonts w:eastAsia="Calibri"/>
          <w:spacing w:val="-4"/>
          <w:lang w:val="ar-SA" w:eastAsia="zh-TW" w:bidi="en-GB"/>
        </w:rPr>
      </w:pPr>
      <w:r w:rsidRPr="00F54A23">
        <w:rPr>
          <w:spacing w:val="-4"/>
          <w:rtl/>
        </w:rPr>
        <w:t>-</w:t>
      </w:r>
      <w:r w:rsidRPr="00F54A23">
        <w:rPr>
          <w:spacing w:val="-4"/>
          <w:rtl/>
        </w:rPr>
        <w:tab/>
      </w:r>
      <w:r w:rsidR="00FA14E0" w:rsidRPr="00F54A23">
        <w:rPr>
          <w:spacing w:val="-4"/>
          <w:rtl/>
        </w:rPr>
        <w:t>إعداد أدوات وموارد، وتيسير منصات تعاونية تضم الحكومات والقطاع الخاص والمجتمع المدني والهيئات الأكاديمية لتعزيز المعارف وتبادل الممارسات الجيدة وتسهيل الشراكات للنهوض بتنفيذ الشمول الرقمي على الصعيدين الوطني والإقليمي؛</w:t>
      </w:r>
    </w:p>
    <w:p w14:paraId="682B4608" w14:textId="0D85453F" w:rsidR="00FA14E0" w:rsidRPr="00F54A23" w:rsidRDefault="008B074D" w:rsidP="00387FF3">
      <w:pPr>
        <w:pStyle w:val="enumlev1"/>
        <w:rPr>
          <w:rFonts w:eastAsia="Calibri"/>
          <w:spacing w:val="-4"/>
          <w:lang w:val="ar-SA" w:eastAsia="zh-TW" w:bidi="en-GB"/>
        </w:rPr>
      </w:pPr>
      <w:r w:rsidRPr="00F54A23">
        <w:rPr>
          <w:spacing w:val="-4"/>
          <w:rtl/>
        </w:rPr>
        <w:lastRenderedPageBreak/>
        <w:t>-</w:t>
      </w:r>
      <w:r w:rsidRPr="00F54A23">
        <w:rPr>
          <w:spacing w:val="-4"/>
          <w:rtl/>
        </w:rPr>
        <w:tab/>
      </w:r>
      <w:r w:rsidR="00FA14E0" w:rsidRPr="00F54A23">
        <w:rPr>
          <w:spacing w:val="-4"/>
          <w:rtl/>
        </w:rPr>
        <w:t>تقديم الدعم لواضعي السياسات وللأشخاص الذين يعيشون في أوضاع هشة بهدف وضع سياسات واستراتيجيات وطنية شاملة وتمكين هؤلاء الأشخاص من أن يكونوا مشاركين نشطين في المجتمع الرقمي وفي النظام الإيكولوجي الرقمي.</w:t>
      </w:r>
    </w:p>
    <w:p w14:paraId="5F2A96B1" w14:textId="46E4F328" w:rsidR="00FA14E0" w:rsidRPr="00CD32AC" w:rsidRDefault="00FA14E0" w:rsidP="00FA14E0">
      <w:pPr>
        <w:textDirection w:val="tbRlV"/>
        <w:rPr>
          <w:rFonts w:eastAsia="Calibri"/>
          <w:lang w:val="ar-SA" w:eastAsia="zh-TW" w:bidi="en-GB"/>
        </w:rPr>
      </w:pPr>
      <w:r w:rsidRPr="00CD32AC">
        <w:rPr>
          <w:rtl/>
        </w:rPr>
        <w:t xml:space="preserve">ولتحقيق ذلك، شجع مكتب تنمية الاتصالات المشاركة التنازلية والتصاعدية على السواء، ما أدى إلى تعزيز القدرات وتبادل الممارسات الجيدة وتوسيع الشبكات. وأتاحت هذه الجهود تمكين النساء والفتيات والأشخاص ذوي الإعاقة وكبار السن والشباب والمجتمعات في المناطق الريفية والمناطق النائية ومناطق الشعوب الأصلية ومكنتهم من أن يكونوا مشاركين نشطين </w:t>
      </w:r>
      <w:r w:rsidR="00F747D7" w:rsidRPr="00CD32AC">
        <w:rPr>
          <w:rtl/>
        </w:rPr>
        <w:t>في</w:t>
      </w:r>
      <w:r w:rsidR="00F747D7">
        <w:rPr>
          <w:rFonts w:hint="cs"/>
          <w:rtl/>
        </w:rPr>
        <w:t> </w:t>
      </w:r>
      <w:r w:rsidRPr="00CD32AC">
        <w:rPr>
          <w:rtl/>
        </w:rPr>
        <w:t>المجتمع الرقمي.</w:t>
      </w:r>
    </w:p>
    <w:p w14:paraId="7FE3F2D1" w14:textId="77777777" w:rsidR="00FA14E0" w:rsidRPr="00CD32AC" w:rsidRDefault="00FA14E0" w:rsidP="00F54A23">
      <w:pPr>
        <w:keepNext/>
        <w:keepLines/>
        <w:textDirection w:val="tbRlV"/>
        <w:rPr>
          <w:rFonts w:eastAsia="Calibri"/>
          <w:lang w:val="ar-SA" w:eastAsia="zh-TW" w:bidi="en-GB"/>
        </w:rPr>
      </w:pPr>
      <w:r w:rsidRPr="00CD32AC">
        <w:rPr>
          <w:rtl/>
        </w:rPr>
        <w:t>وتشمل الإنجازات الرئيسية ما يلي:</w:t>
      </w:r>
    </w:p>
    <w:p w14:paraId="66E7390E" w14:textId="36A4F2E2" w:rsidR="00FA14E0" w:rsidRPr="00F54A23" w:rsidRDefault="008B074D" w:rsidP="00387FF3">
      <w:pPr>
        <w:pStyle w:val="enumlev1"/>
        <w:rPr>
          <w:rFonts w:eastAsia="Calibri"/>
          <w:spacing w:val="-2"/>
          <w:lang w:val="ar-SA" w:eastAsia="zh-TW" w:bidi="en-GB"/>
        </w:rPr>
      </w:pPr>
      <w:r w:rsidRPr="00F54A23">
        <w:rPr>
          <w:spacing w:val="-2"/>
          <w:rtl/>
        </w:rPr>
        <w:t>-</w:t>
      </w:r>
      <w:r w:rsidRPr="00F54A23">
        <w:rPr>
          <w:spacing w:val="-2"/>
          <w:rtl/>
        </w:rPr>
        <w:tab/>
      </w:r>
      <w:r w:rsidR="00FA14E0" w:rsidRPr="00F54A23">
        <w:rPr>
          <w:b/>
          <w:bCs/>
          <w:spacing w:val="-2"/>
          <w:rtl/>
        </w:rPr>
        <w:t xml:space="preserve">تعزيز القدرات بشأن مواضيع الشمول الرقمي لما يزيد على </w:t>
      </w:r>
      <w:r w:rsidR="00FA14E0" w:rsidRPr="00F54A23">
        <w:rPr>
          <w:b/>
          <w:bCs/>
          <w:spacing w:val="-2"/>
        </w:rPr>
        <w:t>14 000</w:t>
      </w:r>
      <w:r w:rsidR="00FA14E0" w:rsidRPr="00F54A23">
        <w:rPr>
          <w:b/>
          <w:bCs/>
          <w:spacing w:val="-2"/>
          <w:rtl/>
        </w:rPr>
        <w:t xml:space="preserve"> من أعضاء الاتحاد وأصحاب المصلحة وواضعي السياسات</w:t>
      </w:r>
      <w:r w:rsidR="00FA14E0" w:rsidRPr="00F54A23">
        <w:rPr>
          <w:spacing w:val="-2"/>
          <w:rtl/>
        </w:rPr>
        <w:t xml:space="preserve"> من أكثر من 120 بلداً لدعم تصميم سياسات واستراتيجيات وطنية للشمول الرقمي وتنفيذها؛</w:t>
      </w:r>
    </w:p>
    <w:p w14:paraId="4F84B51D" w14:textId="176B72D7" w:rsidR="00FA14E0" w:rsidRPr="00F54A23" w:rsidRDefault="008B074D" w:rsidP="00387FF3">
      <w:pPr>
        <w:pStyle w:val="enumlev1"/>
        <w:rPr>
          <w:rFonts w:eastAsia="Calibri"/>
          <w:spacing w:val="-6"/>
          <w:lang w:val="ar-SA" w:eastAsia="zh-TW" w:bidi="en-GB"/>
        </w:rPr>
      </w:pPr>
      <w:r w:rsidRPr="00F54A23">
        <w:rPr>
          <w:spacing w:val="-6"/>
          <w:rtl/>
        </w:rPr>
        <w:t>-</w:t>
      </w:r>
      <w:r w:rsidRPr="00F54A23">
        <w:rPr>
          <w:spacing w:val="-6"/>
          <w:rtl/>
        </w:rPr>
        <w:tab/>
      </w:r>
      <w:r w:rsidR="00FA14E0" w:rsidRPr="00F54A23">
        <w:rPr>
          <w:b/>
          <w:bCs/>
          <w:spacing w:val="-6"/>
          <w:rtl/>
        </w:rPr>
        <w:t xml:space="preserve">تقديم دورات تدريبية مخصصة ومحلية بشأن الشمول الرقمي لما يزيد على </w:t>
      </w:r>
      <w:r w:rsidR="00FA14E0" w:rsidRPr="00F54A23">
        <w:rPr>
          <w:b/>
          <w:bCs/>
          <w:spacing w:val="-6"/>
        </w:rPr>
        <w:t>13 000</w:t>
      </w:r>
      <w:r w:rsidR="00FA14E0" w:rsidRPr="00F54A23">
        <w:rPr>
          <w:b/>
          <w:bCs/>
          <w:spacing w:val="-6"/>
          <w:rtl/>
        </w:rPr>
        <w:t xml:space="preserve"> مستعمل نهائي</w:t>
      </w:r>
      <w:r w:rsidR="00FA14E0" w:rsidRPr="00F54A23">
        <w:rPr>
          <w:spacing w:val="-6"/>
          <w:rtl/>
        </w:rPr>
        <w:t xml:space="preserve"> في أكثر من 40 بلداً، بما في ذلك المستعملون المكفوفون في باكستان والشباب في إفريقيا ومجتمعات الشعوب الأصلية في أمريكا اللاتينية؛</w:t>
      </w:r>
    </w:p>
    <w:p w14:paraId="3124EA02" w14:textId="0C6CBD0F" w:rsidR="00FA14E0" w:rsidRPr="00F54A23" w:rsidRDefault="008B074D" w:rsidP="00387FF3">
      <w:pPr>
        <w:pStyle w:val="enumlev1"/>
        <w:rPr>
          <w:rFonts w:eastAsia="Calibri"/>
          <w:spacing w:val="-4"/>
          <w:lang w:val="ar-SA" w:eastAsia="zh-TW" w:bidi="en-GB"/>
        </w:rPr>
      </w:pPr>
      <w:r w:rsidRPr="00F54A23">
        <w:rPr>
          <w:spacing w:val="-4"/>
          <w:rtl/>
        </w:rPr>
        <w:t>-</w:t>
      </w:r>
      <w:r w:rsidRPr="00F54A23">
        <w:rPr>
          <w:spacing w:val="-4"/>
          <w:rtl/>
        </w:rPr>
        <w:tab/>
      </w:r>
      <w:r w:rsidR="00FA14E0" w:rsidRPr="00F54A23">
        <w:rPr>
          <w:b/>
          <w:bCs/>
          <w:spacing w:val="-4"/>
          <w:rtl/>
        </w:rPr>
        <w:t>تقديم دعم مستهدف إلى 12 بلداً من أقل البلدان نمواً والبلدان النامية غير الساحلية والدول الجزرية الصغيرة النامية</w:t>
      </w:r>
      <w:r w:rsidR="00FA14E0" w:rsidRPr="00F54A23">
        <w:rPr>
          <w:spacing w:val="-4"/>
          <w:rtl/>
        </w:rPr>
        <w:t>.</w:t>
      </w:r>
    </w:p>
    <w:p w14:paraId="70322BB6" w14:textId="77777777" w:rsidR="00FA14E0" w:rsidRPr="00CD32AC" w:rsidRDefault="00FA14E0" w:rsidP="00FA14E0">
      <w:pPr>
        <w:textDirection w:val="tbRlV"/>
        <w:rPr>
          <w:rFonts w:eastAsia="Calibri"/>
          <w:b/>
          <w:bCs/>
          <w:lang w:val="ar-SA" w:eastAsia="zh-TW" w:bidi="en-GB"/>
        </w:rPr>
      </w:pPr>
      <w:r w:rsidRPr="00CD32AC">
        <w:rPr>
          <w:b/>
          <w:bCs/>
          <w:rtl/>
        </w:rPr>
        <w:t>وعلى وجه الخصوص، أحدث عمل مكتب تنمية الاتصالات بشأن الشمول الرقمي تأثيراً ملموساً في المجالات التالية:</w:t>
      </w:r>
    </w:p>
    <w:p w14:paraId="4FC3CEEA" w14:textId="72FFF8BA" w:rsidR="00FA14E0" w:rsidRPr="00CD32AC" w:rsidRDefault="00387FF3" w:rsidP="00387FF3">
      <w:pPr>
        <w:pStyle w:val="Heading1"/>
        <w:rPr>
          <w:rFonts w:eastAsia="Calibri"/>
          <w:lang w:val="ar-SA" w:eastAsia="zh-TW" w:bidi="en-GB"/>
        </w:rPr>
      </w:pPr>
      <w:r>
        <w:t>1</w:t>
      </w:r>
      <w:r>
        <w:tab/>
      </w:r>
      <w:r w:rsidR="00FA14E0" w:rsidRPr="00CD32AC">
        <w:rPr>
          <w:rtl/>
        </w:rPr>
        <w:t>تقديم المشورة المتخصصة وتعزيز القدرة على وضع سياسات واستراتيجيات الشمول الرقمي</w:t>
      </w:r>
    </w:p>
    <w:p w14:paraId="25E5D322" w14:textId="4C22FED7" w:rsidR="00FA14E0" w:rsidRPr="00F54A23" w:rsidRDefault="00FA14E0" w:rsidP="00FA14E0">
      <w:pPr>
        <w:textDirection w:val="tbRlV"/>
        <w:rPr>
          <w:rFonts w:eastAsia="Calibri"/>
          <w:spacing w:val="-2"/>
          <w:lang w:val="ar-SA" w:eastAsia="zh-TW" w:bidi="en-GB"/>
        </w:rPr>
      </w:pPr>
      <w:r w:rsidRPr="00F54A23">
        <w:rPr>
          <w:spacing w:val="-2"/>
          <w:rtl/>
        </w:rPr>
        <w:t xml:space="preserve">عزز مكتب تنمية الاتصالات القدرات بشأن سياسات الشمول الرقمي من خلال الدعم المتخصص والتدخلات المصممة حسب الاحتياجات، ما أدى إلى تمكين ما يزيد على </w:t>
      </w:r>
      <w:r w:rsidRPr="00F54A23">
        <w:rPr>
          <w:spacing w:val="-2"/>
        </w:rPr>
        <w:t>10 500</w:t>
      </w:r>
      <w:r w:rsidRPr="00F54A23">
        <w:rPr>
          <w:spacing w:val="-2"/>
          <w:rtl/>
        </w:rPr>
        <w:t xml:space="preserve"> من واضعي السياسات وصانعي القرار وأصحاب المصلحة من أكثر من 120 بلداً عبر مناطق إفريقيا وآسيا والمحيط الهادئ وكومنولث الدول المستقلة والدول العربية </w:t>
      </w:r>
      <w:proofErr w:type="spellStart"/>
      <w:r w:rsidRPr="00F54A23">
        <w:rPr>
          <w:spacing w:val="-2"/>
          <w:rtl/>
        </w:rPr>
        <w:t>والأمريكتين</w:t>
      </w:r>
      <w:proofErr w:type="spellEnd"/>
      <w:r w:rsidRPr="00F54A23">
        <w:rPr>
          <w:spacing w:val="-2"/>
          <w:rtl/>
        </w:rPr>
        <w:t xml:space="preserve"> وأوروبا. وقد مكنهم بناء القدرات هذا من تصميم ووضع وتنفيذ استراتيجيات وسياسات وممارسات تعزز الشمول والإنصاف الرقميين، ما يضمن أن يتمكن جميع الناس </w:t>
      </w:r>
      <w:r w:rsidR="00F54A23">
        <w:rPr>
          <w:rFonts w:hint="cs"/>
          <w:spacing w:val="-2"/>
          <w:rtl/>
        </w:rPr>
        <w:t>-</w:t>
      </w:r>
      <w:r w:rsidRPr="00F54A23">
        <w:rPr>
          <w:spacing w:val="-2"/>
          <w:rtl/>
        </w:rPr>
        <w:t xml:space="preserve"> بمن فيهم النساء والفتيات وكبار السن والأشخاص ذوو الإعاقة وأفراد المجتمعات النائية ومجتمعات الشعوب الأصلية </w:t>
      </w:r>
      <w:r w:rsidR="00F54A23">
        <w:rPr>
          <w:rFonts w:hint="cs"/>
          <w:spacing w:val="-2"/>
          <w:rtl/>
        </w:rPr>
        <w:t>-</w:t>
      </w:r>
      <w:r w:rsidRPr="00F54A23">
        <w:rPr>
          <w:spacing w:val="-2"/>
          <w:rtl/>
        </w:rPr>
        <w:t xml:space="preserve"> من استخدام منتجات تكنولوجيا المعلومات والاتصالات وخدماتها بشكل منصف من أجل التواصل والمشاركة والازدهار في الفضاء الرقمي.</w:t>
      </w:r>
    </w:p>
    <w:p w14:paraId="7CE176F2" w14:textId="3D947582" w:rsidR="00FA14E0" w:rsidRPr="00CD32AC" w:rsidRDefault="00FA14E0" w:rsidP="00FA14E0">
      <w:pPr>
        <w:textDirection w:val="tbRlV"/>
        <w:rPr>
          <w:rFonts w:eastAsia="Calibri"/>
          <w:lang w:val="ar-SA" w:eastAsia="zh-TW" w:bidi="en-GB"/>
        </w:rPr>
      </w:pPr>
      <w:r w:rsidRPr="00CD32AC">
        <w:rPr>
          <w:rtl/>
        </w:rPr>
        <w:t>وتحقق هذا النقل المكثف للمعارف من خلال الدورات التدريبية وورش العمل التنفيذية المصممة حسب الاحتياجات والمقدمة وجهاً لوجه والمشاركة في المنصات الإقليمية والعالمية ومنصات الأمم المتحدة التي تتناول السياسات الرقمية الشاملة وتعميم مبدأ المساواة بين الجنسين وإمكانية النفاذ إلى تكنولوجيا المعلومات والاتصالات/النفاذ الرقمي والشيخوخة ومشاركة الشباب.</w:t>
      </w:r>
    </w:p>
    <w:p w14:paraId="709D1992" w14:textId="77777777" w:rsidR="00FA14E0" w:rsidRPr="00CD32AC" w:rsidRDefault="00FA14E0" w:rsidP="00FA14E0">
      <w:pPr>
        <w:textDirection w:val="tbRlV"/>
        <w:rPr>
          <w:rFonts w:eastAsia="Calibri"/>
          <w:lang w:val="ar-SA" w:eastAsia="zh-TW" w:bidi="en-GB"/>
        </w:rPr>
      </w:pPr>
      <w:r w:rsidRPr="00CD32AC">
        <w:rPr>
          <w:rtl/>
        </w:rPr>
        <w:t xml:space="preserve">وبالإضافة إلى ذلك، قام أكثر من </w:t>
      </w:r>
      <w:r w:rsidRPr="00CD32AC">
        <w:t>3 500</w:t>
      </w:r>
      <w:r w:rsidRPr="00CD32AC">
        <w:rPr>
          <w:rtl/>
        </w:rPr>
        <w:t xml:space="preserve"> من أعضاء الاتحاد وأصحاب المصلحة بتعزيز قدراتهم بشأن مواضيع الشمول الرقمي من خلال المشاركة عن طريق التدريب الذاتي الوتيرة عبر الإنترنت المتاح من خلال منصات من قبيل أكاديمية الاتحاد. وتقدَّم هذه الدورات التدريبية مجاناً بأنساق يمكن النفاذ إليها رقمياً (يمكن للمكفوفين والصم استخدامها أيضاً)، وبلغات متعددة (مثل الإنكليزية والفرنسية والإسبانية والعربية والروسية والبرتغالية) مع محتوى محلي، ما يضمن شموليتها وإتاحتها على نطاق واسع.</w:t>
      </w:r>
    </w:p>
    <w:p w14:paraId="55EAF963" w14:textId="40D79701" w:rsidR="00FA14E0" w:rsidRPr="00CD32AC" w:rsidRDefault="00387FF3" w:rsidP="00387FF3">
      <w:pPr>
        <w:pStyle w:val="Heading2"/>
        <w:rPr>
          <w:rFonts w:eastAsia="Calibri"/>
          <w:lang w:val="ar-SA" w:eastAsia="zh-TW" w:bidi="en-GB"/>
        </w:rPr>
      </w:pPr>
      <w:r>
        <w:t>1.1</w:t>
      </w:r>
      <w:r>
        <w:tab/>
      </w:r>
      <w:r w:rsidR="00FA14E0" w:rsidRPr="00CD32AC">
        <w:rPr>
          <w:rtl/>
        </w:rPr>
        <w:t>الاستراتيجية الوطنية بشأن الشمول الرقمي - نموذج متطور</w:t>
      </w:r>
    </w:p>
    <w:p w14:paraId="326E34D7" w14:textId="02907178" w:rsidR="00FA14E0" w:rsidRPr="00CD32AC" w:rsidRDefault="00FA14E0" w:rsidP="00FA14E0">
      <w:pPr>
        <w:textDirection w:val="tbRlV"/>
        <w:rPr>
          <w:rFonts w:eastAsia="Calibri"/>
          <w:lang w:val="ar-SA" w:eastAsia="zh-TW" w:bidi="en-GB"/>
        </w:rPr>
      </w:pPr>
      <w:r w:rsidRPr="00CD32AC">
        <w:rPr>
          <w:rtl/>
        </w:rPr>
        <w:t xml:space="preserve">تم أيضاً تعزيز وتيسير الخبرة المتخصصة في هذا الموضوع لدعم وضع خطط استراتيجية وطنية بشأن الشمول الرقمي </w:t>
      </w:r>
      <w:r w:rsidR="00F54A23">
        <w:rPr>
          <w:rFonts w:hint="cs"/>
          <w:rtl/>
        </w:rPr>
        <w:t>-</w:t>
      </w:r>
      <w:r w:rsidRPr="00CD32AC">
        <w:rPr>
          <w:rtl/>
        </w:rPr>
        <w:t xml:space="preserve"> مصممة من منظور شامل ومتعدد القطاعات لضمان تلبية احتياجات ومتطلبات جميع المواطنين فيما يتعلق باستخدام التكنولوجيا والتواصل والمشاركة في المجتمع الرقمي. ونُفذت خطة تجريبية في بوروندي بهدف تكرار هذا النهج وزيادة تطويره في بلدان ومناطق أخرى. وبالإضافة إلى ذلك، أُعدت تقارير عن سياسة المساواة بين الجنسين من أجل </w:t>
      </w:r>
      <w:hyperlink r:id="rId17" w:anchor="/ar" w:history="1">
        <w:r w:rsidRPr="008B074D">
          <w:rPr>
            <w:rStyle w:val="Hyperlink"/>
            <w:rtl/>
          </w:rPr>
          <w:t>بوروندي</w:t>
        </w:r>
      </w:hyperlink>
      <w:r w:rsidRPr="00CD32AC">
        <w:rPr>
          <w:rtl/>
        </w:rPr>
        <w:t xml:space="preserve"> </w:t>
      </w:r>
      <w:r w:rsidRPr="008B074D">
        <w:rPr>
          <w:rtl/>
        </w:rPr>
        <w:t>و</w:t>
      </w:r>
      <w:hyperlink r:id="rId18" w:anchor="/ar" w:history="1">
        <w:r w:rsidRPr="008B074D">
          <w:rPr>
            <w:rStyle w:val="Hyperlink"/>
            <w:rtl/>
          </w:rPr>
          <w:t>إثيوبيا</w:t>
        </w:r>
      </w:hyperlink>
      <w:r w:rsidRPr="00CD32AC">
        <w:rPr>
          <w:rtl/>
        </w:rPr>
        <w:t xml:space="preserve"> وهايتي والجمهورية </w:t>
      </w:r>
      <w:proofErr w:type="spellStart"/>
      <w:r w:rsidRPr="00CD32AC">
        <w:rPr>
          <w:rtl/>
        </w:rPr>
        <w:t>الدومينيكية</w:t>
      </w:r>
      <w:proofErr w:type="spellEnd"/>
      <w:r w:rsidRPr="00CD32AC">
        <w:rPr>
          <w:rtl/>
        </w:rPr>
        <w:t xml:space="preserve"> وليبيا.</w:t>
      </w:r>
      <w:hyperlink r:id="rId19"/>
      <w:hyperlink r:id="rId20"/>
    </w:p>
    <w:p w14:paraId="48EDE8D5" w14:textId="76C50813" w:rsidR="00FA14E0" w:rsidRPr="00CD32AC" w:rsidRDefault="00387FF3" w:rsidP="00387FF3">
      <w:pPr>
        <w:pStyle w:val="Heading2"/>
        <w:rPr>
          <w:rFonts w:eastAsia="Calibri"/>
          <w:lang w:val="ar-SA" w:eastAsia="zh-TW" w:bidi="en-GB"/>
        </w:rPr>
      </w:pPr>
      <w:r>
        <w:t>2.1</w:t>
      </w:r>
      <w:r>
        <w:tab/>
      </w:r>
      <w:r w:rsidR="00FA14E0" w:rsidRPr="00CD32AC">
        <w:rPr>
          <w:rtl/>
        </w:rPr>
        <w:t>المبعوثون الشباب لمبادرة توصيل الجيل</w:t>
      </w:r>
    </w:p>
    <w:p w14:paraId="6A0A0D37" w14:textId="10B25612" w:rsidR="00FA14E0" w:rsidRPr="00CD32AC" w:rsidRDefault="00FA14E0" w:rsidP="00FA14E0">
      <w:pPr>
        <w:textDirection w:val="tbRlV"/>
        <w:rPr>
          <w:rFonts w:eastAsia="Calibri"/>
          <w:lang w:val="ar-SA" w:eastAsia="zh-TW" w:bidi="en-GB"/>
        </w:rPr>
      </w:pPr>
      <w:r w:rsidRPr="00CD32AC">
        <w:rPr>
          <w:rtl/>
        </w:rPr>
        <w:t xml:space="preserve">حقق مكتب تنمية الاتصالات في الفترة ما بين عامي 2023 و2025، تقدماً كبيراً في تعزيز إشراك الشباب من خلال مبادرة توصيل الجيل، ما جعل الشباب مساهمين نشطين في برنامج التنمية الرقمية للاتحاد. وعيّن الاتحاد، بشراكة مع الدول الأعضاء، 184 </w:t>
      </w:r>
      <w:r>
        <w:rPr>
          <w:rtl/>
        </w:rPr>
        <w:t xml:space="preserve">من </w:t>
      </w:r>
      <w:hyperlink r:id="rId21" w:history="1">
        <w:r w:rsidRPr="008B074D">
          <w:rPr>
            <w:rStyle w:val="Hyperlink"/>
            <w:rtl/>
          </w:rPr>
          <w:t xml:space="preserve">المبعوثين الشباب لمبادرة توصيل الجيل </w:t>
        </w:r>
        <w:r w:rsidRPr="008B074D">
          <w:rPr>
            <w:rStyle w:val="Hyperlink"/>
          </w:rPr>
          <w:t>(GCYE)</w:t>
        </w:r>
      </w:hyperlink>
      <w:r w:rsidRPr="00CD32AC">
        <w:rPr>
          <w:rtl/>
        </w:rPr>
        <w:t xml:space="preserve"> من 64 بلداً - ما حقق شبه تكافؤ بين الجنسين وتمثيلاً قوياً من أقل البلدان نمواً والبلدان النامية غير الساحلية والدول الجزرية الصغيرة النامية - بعد عملية اختيار عالمية تنافسية. وشارك هؤلاء المبعوثون، الذين تتراوح أعمارهم بين 18 و24 عاماً، بنشاط في أنشطة الاتحاد الوطنية والإقليمية والعالمية، حيث قدموا وجهات </w:t>
      </w:r>
      <w:r w:rsidRPr="00CD32AC">
        <w:rPr>
          <w:rtl/>
        </w:rPr>
        <w:lastRenderedPageBreak/>
        <w:t>نظر الشباب في المناقشات الرئيسية المتعلقة بسياسات تكنولوجيا المعلومات والاتصالات وساعدوا في رسم معالم مستقبل رقمي أكثر شمولاً.</w:t>
      </w:r>
      <w:hyperlink r:id="rId22"/>
    </w:p>
    <w:p w14:paraId="1EA9EF05" w14:textId="7A5DAE0E" w:rsidR="00FA14E0" w:rsidRPr="00F54A23" w:rsidRDefault="00FA14E0" w:rsidP="00F54A23">
      <w:pPr>
        <w:keepNext/>
        <w:keepLines/>
        <w:textDirection w:val="tbRlV"/>
        <w:rPr>
          <w:spacing w:val="-2"/>
          <w:rtl/>
        </w:rPr>
      </w:pPr>
      <w:r w:rsidRPr="00F54A23">
        <w:rPr>
          <w:spacing w:val="-2"/>
          <w:rtl/>
        </w:rPr>
        <w:t xml:space="preserve">ولبناء قدراتهم وإعلاء أصواتهم، نظم الاتحاد برنامجاً لتنمية المعارف والتوجيه وعقد مشاورات إقليمية للشباب، ما أتاح للمبعوثين المشاركة في تحديد الأولويات واقتراح الحلول. وقدم الشباب توصياتهم مباشرة إلى أعضاء الاتحاد من خلال منصات مثل </w:t>
      </w:r>
      <w:hyperlink r:id="rId23" w:anchor="/ar" w:history="1">
        <w:r w:rsidRPr="00F54A23">
          <w:rPr>
            <w:rStyle w:val="Hyperlink"/>
            <w:spacing w:val="-2"/>
            <w:rtl/>
          </w:rPr>
          <w:t>فريق التنسيق غير الرسمي المعني بقمة الشباب العالمية</w:t>
        </w:r>
      </w:hyperlink>
      <w:r w:rsidRPr="00F54A23">
        <w:rPr>
          <w:spacing w:val="-2"/>
          <w:rtl/>
        </w:rPr>
        <w:t>، ما يضمن حواراً هادفاً بين الأجيال. واضطلع المبعوثون الشباب أيضاً بأدوار نشطة في أحداث الاتحاد الرئيسية - بما في ذلك المنتديات الإقليمية للتنمية، واليوم الدولي للفتيات في مجال تكنولوجيا المعلومات والاتصالات، ولجنتا دراسات قطاع تنمية الاتصالات - ما عزز دورهم كشركاء قيّمين في النهوض بالتحول الرقمي الشامل والمنصف.</w:t>
      </w:r>
    </w:p>
    <w:p w14:paraId="45EFE6DB" w14:textId="7248C7E2" w:rsidR="00DB3CDE" w:rsidRDefault="008824C7" w:rsidP="008824C7">
      <w:pPr>
        <w:pStyle w:val="Figure"/>
        <w:bidi/>
        <w:rPr>
          <w:rFonts w:ascii="Dubai" w:hAnsi="Dubai" w:cs="Dubai"/>
          <w:sz w:val="22"/>
          <w:szCs w:val="22"/>
          <w:highlight w:val="green"/>
          <w:rtl/>
        </w:rPr>
      </w:pPr>
      <w:r w:rsidRPr="008824C7">
        <w:rPr>
          <w:rFonts w:ascii="Dubai" w:hAnsi="Dubai" w:cs="Dubai"/>
          <w:noProof/>
          <w:sz w:val="22"/>
          <w:szCs w:val="22"/>
        </w:rPr>
        <w:drawing>
          <wp:inline distT="0" distB="0" distL="0" distR="0" wp14:anchorId="12BBCB3E" wp14:editId="0F615C35">
            <wp:extent cx="4114800" cy="301956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114800" cy="3019568"/>
                    </a:xfrm>
                    <a:prstGeom prst="rect">
                      <a:avLst/>
                    </a:prstGeom>
                    <a:noFill/>
                  </pic:spPr>
                </pic:pic>
              </a:graphicData>
            </a:graphic>
          </wp:inline>
        </w:drawing>
      </w:r>
    </w:p>
    <w:p w14:paraId="60480905" w14:textId="1949FB39" w:rsidR="00FA14E0" w:rsidRPr="00CD32AC" w:rsidRDefault="00387FF3" w:rsidP="00387FF3">
      <w:pPr>
        <w:pStyle w:val="Heading2"/>
        <w:rPr>
          <w:rFonts w:eastAsia="Calibri"/>
          <w:lang w:val="ar-SA" w:eastAsia="zh-TW" w:bidi="en-GB"/>
        </w:rPr>
      </w:pPr>
      <w:r>
        <w:t>3.1</w:t>
      </w:r>
      <w:r>
        <w:tab/>
      </w:r>
      <w:r w:rsidR="00FA14E0" w:rsidRPr="00CD32AC">
        <w:rPr>
          <w:rtl/>
        </w:rPr>
        <w:t xml:space="preserve">شبكة المرأة </w:t>
      </w:r>
      <w:r w:rsidR="00FA14E0" w:rsidRPr="00CD32AC">
        <w:t>(</w:t>
      </w:r>
      <w:proofErr w:type="spellStart"/>
      <w:r w:rsidR="00FA14E0" w:rsidRPr="00CD32AC">
        <w:t>NoW</w:t>
      </w:r>
      <w:proofErr w:type="spellEnd"/>
      <w:r w:rsidR="00FA14E0" w:rsidRPr="00CD32AC">
        <w:t>)</w:t>
      </w:r>
      <w:r w:rsidR="00FA14E0" w:rsidRPr="00CD32AC">
        <w:rPr>
          <w:rtl/>
        </w:rPr>
        <w:t xml:space="preserve"> في قطاع تنمية الاتصالا</w:t>
      </w:r>
      <w:r w:rsidR="00FA14E0">
        <w:rPr>
          <w:rtl/>
        </w:rPr>
        <w:t>ت</w:t>
      </w:r>
    </w:p>
    <w:p w14:paraId="468EDEF4" w14:textId="6D1B0B68" w:rsidR="00FA14E0" w:rsidRPr="00CD32AC" w:rsidRDefault="00FA14E0" w:rsidP="00FA14E0">
      <w:pPr>
        <w:textDirection w:val="tbRlV"/>
        <w:rPr>
          <w:rFonts w:eastAsia="Calibri"/>
          <w:lang w:val="ar-SA" w:eastAsia="zh-TW" w:bidi="en-GB"/>
        </w:rPr>
      </w:pPr>
      <w:r w:rsidRPr="00CD32AC">
        <w:rPr>
          <w:rtl/>
        </w:rPr>
        <w:t xml:space="preserve">عززت </w:t>
      </w:r>
      <w:hyperlink r:id="rId25" w:history="1">
        <w:r w:rsidRPr="00387FF3">
          <w:rPr>
            <w:rStyle w:val="Hyperlink"/>
            <w:rtl/>
          </w:rPr>
          <w:t>شبكة المرأة في قطاع تنمية الاتصالات</w:t>
        </w:r>
      </w:hyperlink>
      <w:r w:rsidRPr="00CD32AC">
        <w:rPr>
          <w:rtl/>
        </w:rPr>
        <w:t xml:space="preserve"> جهودها لإعداد المندوبات للمشاركة الفعالة في عمليات قطاع تنمية الاتصالات والمؤتمر العالمي المقبل لتنمية الاتصالات لعام 2025 (WTDC-25). ومن خلال مشروع "بناء شبكة من القيادات النسائية" الذي تدعمه هيئة الاتصالات والفضاء والتقنية </w:t>
      </w:r>
      <w:r w:rsidRPr="00CD32AC">
        <w:t>(CST)</w:t>
      </w:r>
      <w:r w:rsidRPr="00CD32AC">
        <w:rPr>
          <w:rtl/>
        </w:rPr>
        <w:t xml:space="preserve"> في المملكة العربية السعودية، قدمت شبكة المرأة في قطاع تنمية الاتصالات أنشطة مؤثرة للإرشاد وبناء القدرات استفادت منها أكثر من 400 امرأة من جميع المناطق.</w:t>
      </w:r>
      <w:hyperlink r:id="rId26"/>
    </w:p>
    <w:p w14:paraId="720C242F" w14:textId="1BF2F55F" w:rsidR="00FA14E0" w:rsidRPr="00CD32AC" w:rsidRDefault="00FA14E0" w:rsidP="008824C7">
      <w:pPr>
        <w:rPr>
          <w:rFonts w:eastAsia="Calibri"/>
          <w:lang w:val="ar-SA" w:eastAsia="zh-TW" w:bidi="en-GB"/>
        </w:rPr>
      </w:pPr>
      <w:r w:rsidRPr="00CD32AC">
        <w:rPr>
          <w:rtl/>
        </w:rPr>
        <w:t xml:space="preserve">وتشمل المبادرات الرئيسية </w:t>
      </w:r>
      <w:hyperlink r:id="rId27" w:history="1">
        <w:r w:rsidRPr="00387FF3">
          <w:rPr>
            <w:rStyle w:val="Hyperlink"/>
            <w:rtl/>
          </w:rPr>
          <w:t>برنامج الإرشاد لتمكين القيادات النسائية</w:t>
        </w:r>
      </w:hyperlink>
      <w:r w:rsidRPr="00CD32AC">
        <w:rPr>
          <w:rtl/>
        </w:rPr>
        <w:t xml:space="preserve"> الذي شارك فيه أكثر من 150 مشاركاً من جميع المناطق الست. وللمرة الأولى، بلغت نسبة المرشدين من الرجال </w:t>
      </w:r>
      <w:r w:rsidR="002160AA">
        <w:t>%30</w:t>
      </w:r>
      <w:r w:rsidRPr="00CD32AC">
        <w:rPr>
          <w:rtl/>
        </w:rPr>
        <w:t>، ما يمثل إنجازاً هاماً في مجال تشجيع تمكين المندوبات من خلال الدعم النشط من نظرائهن من الذكور. وجمعت "دورة تدريبية متقدمة لتعزيز الثقة" عُقدت عشية الندوة العالمية لمنظمي الاتصالات لعام 2025 (GSR-25) في المملكة العربية السعودية، في اليوم الأخير من شهر أغسطس 2025، أكثر من 60 مشاركاً من 40 بلداً، ما ساعدهم على تعزيز ثقتهم في التحدث أمام الجمهور، وتحسين تقنيات التواصل، والحصول على نصائح عملية لتقديم عروض ومداخلات فعالة.</w:t>
      </w:r>
      <w:hyperlink r:id="rId28"/>
    </w:p>
    <w:p w14:paraId="56D50E57" w14:textId="77777777" w:rsidR="00FA14E0" w:rsidRPr="00CD32AC" w:rsidRDefault="00FA14E0" w:rsidP="00FA14E0">
      <w:pPr>
        <w:textDirection w:val="tbRlV"/>
        <w:rPr>
          <w:rFonts w:eastAsia="Calibri"/>
          <w:lang w:val="ar-SA" w:eastAsia="zh-TW" w:bidi="en-GB"/>
        </w:rPr>
      </w:pPr>
      <w:r w:rsidRPr="00CD32AC">
        <w:rPr>
          <w:rtl/>
        </w:rPr>
        <w:t xml:space="preserve">واستضافت شبكة المرأة في قطاع تنمية الاتصالات أيضاً جلسات تواصل خلال اجتماعات الفريق الاستشاري لتنمية الاتصالات، وحلقات نقاش مخصصة خلال المنتديات الإقليمية للتنمية </w:t>
      </w:r>
      <w:r w:rsidRPr="00CD32AC">
        <w:t>(RDF)</w:t>
      </w:r>
      <w:r w:rsidRPr="00CD32AC">
        <w:rPr>
          <w:rtl/>
        </w:rPr>
        <w:t>، ما أدى إلى تعزيز التعاون بين المندوبات وخلق شعور أقوى بالانتماء المجتمعي عبر المناطق، والنهوض بمواضيع وجدول أعمال قطاع التنمية الرقمية.</w:t>
      </w:r>
    </w:p>
    <w:p w14:paraId="469415C4" w14:textId="5B77E6CD" w:rsidR="00FA14E0" w:rsidRPr="00CD32AC" w:rsidRDefault="00387FF3" w:rsidP="00387FF3">
      <w:pPr>
        <w:pStyle w:val="Heading1"/>
        <w:rPr>
          <w:rFonts w:eastAsia="Calibri"/>
          <w:lang w:val="ar-SA" w:eastAsia="zh-TW" w:bidi="en-GB"/>
        </w:rPr>
      </w:pPr>
      <w:r>
        <w:t>2</w:t>
      </w:r>
      <w:r>
        <w:tab/>
      </w:r>
      <w:r w:rsidR="00FA14E0" w:rsidRPr="00CD32AC">
        <w:rPr>
          <w:rtl/>
        </w:rPr>
        <w:t>تمكين وتنمية قدرات المستعملين النهائيين على المستوى المجتمعي</w:t>
      </w:r>
    </w:p>
    <w:p w14:paraId="3A13EB34" w14:textId="77777777" w:rsidR="00FA14E0" w:rsidRPr="008824C7" w:rsidRDefault="00FA14E0" w:rsidP="00FA14E0">
      <w:pPr>
        <w:textDirection w:val="tbRlV"/>
        <w:rPr>
          <w:rFonts w:eastAsia="Calibri"/>
          <w:spacing w:val="-2"/>
          <w:lang w:val="ar-SA" w:eastAsia="zh-TW" w:bidi="en-GB"/>
        </w:rPr>
      </w:pPr>
      <w:r w:rsidRPr="008824C7">
        <w:rPr>
          <w:spacing w:val="-2"/>
          <w:rtl/>
        </w:rPr>
        <w:t xml:space="preserve">على المستوى المجتمعي، استفاد من خلال مشاريع ومبادرات الشمول الرقمي ما يزيد على </w:t>
      </w:r>
      <w:r w:rsidRPr="008824C7">
        <w:rPr>
          <w:spacing w:val="-2"/>
        </w:rPr>
        <w:t>13 000</w:t>
      </w:r>
      <w:r w:rsidRPr="008824C7">
        <w:rPr>
          <w:spacing w:val="-2"/>
          <w:rtl/>
        </w:rPr>
        <w:t xml:space="preserve"> مستعمل نهائي من أكثر من 40 بلداً بشكل مباشر من التدريب والإرشاد والمبادرات الرقمية الموجهة نحو الاحتياجات المحلية. وشمل ذلك الأشخاص الذين يعيشون في أوضاع هشة من بين النساء والفتيات والشباب وكبار السن والأشخاص ذوي الإعاقة والأشخاص من المجتمعات النائية ومجتمعات الشعوب الأصلية.</w:t>
      </w:r>
    </w:p>
    <w:p w14:paraId="2932EC0E" w14:textId="60CD6C8D" w:rsidR="00FA14E0" w:rsidRPr="00CD32AC" w:rsidRDefault="00387FF3" w:rsidP="00387FF3">
      <w:pPr>
        <w:pStyle w:val="Heading2"/>
        <w:rPr>
          <w:rFonts w:eastAsia="Calibri"/>
          <w:lang w:val="ar-SA" w:eastAsia="zh-TW" w:bidi="en-GB"/>
        </w:rPr>
      </w:pPr>
      <w:r>
        <w:lastRenderedPageBreak/>
        <w:t>1.2</w:t>
      </w:r>
      <w:r>
        <w:tab/>
      </w:r>
      <w:r w:rsidR="00FA14E0" w:rsidRPr="00CD32AC">
        <w:rPr>
          <w:rtl/>
        </w:rPr>
        <w:t>تعزيز المهارات في المجتمعات الريفية والمجتمعات النائية ومجتمعات الشعوب الأصلية</w:t>
      </w:r>
    </w:p>
    <w:p w14:paraId="21969779" w14:textId="77777777" w:rsidR="00FA14E0" w:rsidRPr="00CD32AC" w:rsidRDefault="00FA14E0" w:rsidP="00FA14E0">
      <w:pPr>
        <w:textDirection w:val="tbRlV"/>
        <w:rPr>
          <w:rFonts w:eastAsia="Calibri"/>
          <w:lang w:val="ar-SA" w:eastAsia="zh-TW" w:bidi="en-GB"/>
        </w:rPr>
      </w:pPr>
      <w:r w:rsidRPr="00CD32AC">
        <w:rPr>
          <w:rtl/>
        </w:rPr>
        <w:t xml:space="preserve">منذ عام 2023، شهد عمل الاتحاد في مجال الشمول الرقمي للمجتمعات الريفية والمجتمعات النائية ومجتمعات الشعوب الأصلية توسعاً كبيراً. ففي أمريكا اللاتينية ومنطقة البحر الكاريبي، تخرج من الجيل الرابع لبرنامج التدريب المختلط 28 مدير شبكة من 9 بلدان (2023/2024)، في حين أن دورة قصيرة جديدة بشأن </w:t>
      </w:r>
      <w:r w:rsidRPr="00CD32AC">
        <w:rPr>
          <w:i/>
          <w:iCs/>
          <w:rtl/>
        </w:rPr>
        <w:t>تصميم استراتيجيات التوصيلية المجتمعية</w:t>
      </w:r>
      <w:r w:rsidRPr="00CD32AC">
        <w:rPr>
          <w:rtl/>
        </w:rPr>
        <w:t xml:space="preserve"> منحت 50 مشاركاً من 10 بلدان شهادات في عام 2024. وقد اضم إلى الجيل الخامس الجاري (2025) بالفعل 69 مشاركاً من 12 بلداً. وبالتوازي مع ذلك، أُطلق البرنامج في إفريقيا للمرة الأولى في عام 2025، والتحق به حتى الآن 65 مشاركاً من 18 بلداً. وتعزز هذه الجهود القدرات المحلية وتمكِّن المجتمعات من قيادة التنمية الرقمية الخاصة بها.</w:t>
      </w:r>
    </w:p>
    <w:p w14:paraId="293DD440" w14:textId="52BC1148" w:rsidR="00FA14E0" w:rsidRPr="00CD32AC" w:rsidRDefault="00387FF3" w:rsidP="00387FF3">
      <w:pPr>
        <w:pStyle w:val="Heading2"/>
        <w:rPr>
          <w:rFonts w:eastAsia="Calibri"/>
          <w:lang w:val="ar-SA" w:eastAsia="zh-TW" w:bidi="en-GB"/>
        </w:rPr>
      </w:pPr>
      <w:r>
        <w:t>2.2</w:t>
      </w:r>
      <w:r>
        <w:tab/>
      </w:r>
      <w:r w:rsidR="00FA14E0" w:rsidRPr="00CD32AC">
        <w:rPr>
          <w:rtl/>
        </w:rPr>
        <w:t xml:space="preserve">مبادرة "مهاراتها الرقمية" لشراكة </w:t>
      </w:r>
      <w:r w:rsidR="00FA14E0" w:rsidRPr="00CD32AC">
        <w:t>EQUALS</w:t>
      </w:r>
    </w:p>
    <w:p w14:paraId="4404662E" w14:textId="729ED364" w:rsidR="00FA14E0" w:rsidRPr="00CD32AC" w:rsidRDefault="00FA14E0" w:rsidP="00FA14E0">
      <w:pPr>
        <w:textDirection w:val="tbRlV"/>
        <w:rPr>
          <w:rFonts w:eastAsia="Calibri"/>
          <w:lang w:val="ar-SA" w:eastAsia="zh-TW" w:bidi="en-GB"/>
        </w:rPr>
      </w:pPr>
      <w:r w:rsidRPr="00CD32AC">
        <w:rPr>
          <w:rtl/>
        </w:rPr>
        <w:t xml:space="preserve">تزود مبادرة </w:t>
      </w:r>
      <w:hyperlink r:id="rId29" w:history="1">
        <w:r w:rsidRPr="00387FF3">
          <w:rPr>
            <w:rStyle w:val="Hyperlink"/>
            <w:rtl/>
          </w:rPr>
          <w:t xml:space="preserve">"مهاراتها الرقمية" لشراكة </w:t>
        </w:r>
        <w:r w:rsidRPr="00387FF3">
          <w:rPr>
            <w:rStyle w:val="Hyperlink"/>
          </w:rPr>
          <w:t>EQUALS</w:t>
        </w:r>
      </w:hyperlink>
      <w:r>
        <w:rPr>
          <w:rtl/>
        </w:rPr>
        <w:t xml:space="preserve"> ال</w:t>
      </w:r>
      <w:r w:rsidRPr="00CD32AC">
        <w:rPr>
          <w:rtl/>
        </w:rPr>
        <w:t xml:space="preserve">فتيات والشابات في جميع أنحاء العالم بالمهارات الرقمية الكفيلة بتعزيز فرصهن في الحصول على وظائف رسمية وريادة الأعمال. ويتيح المشروع للمشاركين إمكانية النفاذ المجاني إلى برنامج عالي الجودة ومعترف به عالمياً للتدريب ونيل شهادات في المهارات الرقمية، وذلك من خلال التدريب عبر الإنترنت، وورش عمل تطبيقية في مجالات العلوم والتكنولوجيا والهندسة والرياضيات </w:t>
      </w:r>
      <w:r w:rsidRPr="00CD32AC">
        <w:t>(STEM</w:t>
      </w:r>
      <w:r>
        <w:t>)</w:t>
      </w:r>
      <w:r w:rsidRPr="00CD32AC">
        <w:rPr>
          <w:rtl/>
        </w:rPr>
        <w:t xml:space="preserve"> تُنظَّم حضورياً، من أجل الوصول إلى الفتيات والنساء في المناطق التي تعاني نقص الخدمات، ولتحقيق هدفين، هما:</w:t>
      </w:r>
      <w:r>
        <w:rPr>
          <w:rtl/>
        </w:rPr>
        <w:t xml:space="preserve"> </w:t>
      </w:r>
      <w:r w:rsidRPr="00CD32AC">
        <w:rPr>
          <w:rtl/>
        </w:rPr>
        <w:t xml:space="preserve">(1) تشجيع الفتيات والنساء على مواصلة دراسة التخصصات التكنولوجية وبناء مسارات وظيفية فيها، (2) تيسير حصول الفتيات والنساء على وظائف رسمية وفرص لريادة الأعمال </w:t>
      </w:r>
      <w:r w:rsidR="00444830" w:rsidRPr="00CD32AC">
        <w:rPr>
          <w:rtl/>
        </w:rPr>
        <w:t>في</w:t>
      </w:r>
      <w:r w:rsidR="00444830">
        <w:rPr>
          <w:rFonts w:hint="cs"/>
          <w:rtl/>
        </w:rPr>
        <w:t> </w:t>
      </w:r>
      <w:r w:rsidRPr="00CD32AC">
        <w:rPr>
          <w:rtl/>
        </w:rPr>
        <w:t xml:space="preserve">مختلف القطاعات، بما فيها القطاعات التكنولوجية. وتشمل المساهمات في المبادرة شركة </w:t>
      </w:r>
      <w:r w:rsidRPr="00CD32AC">
        <w:t>Qualcomm</w:t>
      </w:r>
      <w:r w:rsidRPr="00CD32AC">
        <w:rPr>
          <w:rtl/>
        </w:rPr>
        <w:t xml:space="preserve"> التي تدعم تنفيذ مبادرة "مهاراتها الرقمية" في الكاميرون وإثيوبيا وغانا وكينيا ونيجيريا، وشبكة الويب العالمية للمرأة ورابطة النظام العالمي للاتصالات المتنقلة (</w:t>
      </w:r>
      <w:r w:rsidRPr="00CD32AC">
        <w:t>GSMA</w:t>
      </w:r>
      <w:r w:rsidRPr="00CD32AC">
        <w:rPr>
          <w:rtl/>
        </w:rPr>
        <w:t xml:space="preserve">) وشركة </w:t>
      </w:r>
      <w:r w:rsidRPr="00CD32AC">
        <w:t>EY</w:t>
      </w:r>
      <w:r w:rsidRPr="00CD32AC">
        <w:rPr>
          <w:rtl/>
        </w:rPr>
        <w:t xml:space="preserve"> التي دعمت إعداد المحتوى وتنفيذ المبادرة في الفلبين وكينيا ومنطقة البحر الكاريبي ونيبال وأوغندا وجنوب إفريقيا، ووصلت إلى أكثر من 23 بلداً وأثرت على حوالي </w:t>
      </w:r>
      <w:r w:rsidRPr="00CD32AC">
        <w:t>5</w:t>
      </w:r>
      <w:r w:rsidR="00D46E01">
        <w:t xml:space="preserve"> </w:t>
      </w:r>
      <w:r w:rsidRPr="00CD32AC">
        <w:t>600</w:t>
      </w:r>
      <w:r w:rsidRPr="00CD32AC">
        <w:rPr>
          <w:rtl/>
        </w:rPr>
        <w:t xml:space="preserve"> شابة.</w:t>
      </w:r>
      <w:hyperlink r:id="rId30"/>
    </w:p>
    <w:p w14:paraId="77D0BEC3" w14:textId="51EF79CA" w:rsidR="00FA14E0" w:rsidRPr="00CD32AC" w:rsidRDefault="00387FF3" w:rsidP="00387FF3">
      <w:pPr>
        <w:pStyle w:val="Heading2"/>
        <w:rPr>
          <w:rFonts w:eastAsia="Calibri"/>
          <w:lang w:val="ar-SA" w:eastAsia="zh-TW" w:bidi="en-GB"/>
        </w:rPr>
      </w:pPr>
      <w:r>
        <w:t>3.2</w:t>
      </w:r>
      <w:r>
        <w:tab/>
      </w:r>
      <w:r w:rsidR="00FA14E0" w:rsidRPr="00CD32AC">
        <w:rPr>
          <w:rtl/>
        </w:rPr>
        <w:t xml:space="preserve">برنامج القيادة الشبابية لمبادرة توصيل الجيل </w:t>
      </w:r>
      <w:r w:rsidR="00FA14E0" w:rsidRPr="00CD32AC">
        <w:t>(GCYLP)</w:t>
      </w:r>
    </w:p>
    <w:p w14:paraId="1E3326B1" w14:textId="67775FC6" w:rsidR="00FA14E0" w:rsidRPr="00CD32AC" w:rsidRDefault="00AC24E3" w:rsidP="00FA14E0">
      <w:pPr>
        <w:textDirection w:val="tbRlV"/>
        <w:rPr>
          <w:rFonts w:eastAsia="Calibri"/>
          <w:lang w:val="ar-SA" w:eastAsia="zh-TW" w:bidi="en-GB"/>
        </w:rPr>
      </w:pPr>
      <w:hyperlink r:id="rId31" w:history="1">
        <w:r w:rsidR="00FA14E0" w:rsidRPr="00387FF3">
          <w:rPr>
            <w:rStyle w:val="Hyperlink"/>
            <w:rtl/>
          </w:rPr>
          <w:t xml:space="preserve">المستفيدون من برنامج </w:t>
        </w:r>
        <w:r w:rsidR="00FA14E0" w:rsidRPr="00387FF3">
          <w:rPr>
            <w:rStyle w:val="Hyperlink"/>
          </w:rPr>
          <w:t>GCYLP</w:t>
        </w:r>
      </w:hyperlink>
      <w:r w:rsidR="00FA14E0" w:rsidRPr="00CD32AC">
        <w:rPr>
          <w:rtl/>
        </w:rPr>
        <w:t xml:space="preserve"> هم أفراد شباب تتراوح أعمارهم بين 18 و28 عاماً متحمسون لإحداث تغيير هادف </w:t>
      </w:r>
      <w:r w:rsidR="008F3557" w:rsidRPr="00CD32AC">
        <w:rPr>
          <w:rtl/>
        </w:rPr>
        <w:t>في</w:t>
      </w:r>
      <w:r w:rsidR="008F3557">
        <w:rPr>
          <w:rFonts w:hint="cs"/>
          <w:rtl/>
        </w:rPr>
        <w:t> </w:t>
      </w:r>
      <w:r w:rsidR="00FA14E0" w:rsidRPr="00CD32AC">
        <w:rPr>
          <w:rtl/>
        </w:rPr>
        <w:t xml:space="preserve">مجتمعاتهم من خلال التنمية الرقمية. وتعمل مجموعتان عالميتان تضم ما مجموعه 60 مبتكراً شاباً من 40 بلداً، تم اختيارهم من بين أكثر من </w:t>
      </w:r>
      <w:r w:rsidR="00FA14E0" w:rsidRPr="00CD32AC">
        <w:t>10 000</w:t>
      </w:r>
      <w:r w:rsidR="00FA14E0" w:rsidRPr="00CD32AC">
        <w:rPr>
          <w:rtl/>
        </w:rPr>
        <w:t xml:space="preserve"> مقدم طلب، على تعزيز مهاراتهم في مجال القيادة والابتكار وإدارة المشاريع من خلال أسبوعي إعداد برنامج </w:t>
      </w:r>
      <w:r w:rsidR="00FA14E0" w:rsidRPr="00CD32AC">
        <w:t>GCYLP</w:t>
      </w:r>
      <w:r w:rsidR="00FA14E0" w:rsidRPr="00CD32AC">
        <w:rPr>
          <w:rtl/>
        </w:rPr>
        <w:t xml:space="preserve"> في يونيو 2024 وأغسطس 2025. وفي إطار شراكة مع شركة </w:t>
      </w:r>
      <w:r w:rsidR="00FA14E0" w:rsidRPr="00CD32AC">
        <w:t>Huawei</w:t>
      </w:r>
      <w:r w:rsidR="00FA14E0" w:rsidRPr="00CD32AC">
        <w:rPr>
          <w:rtl/>
        </w:rPr>
        <w:t>، حصل كل مستفيد على منحة قدرها 000 5 دولار أمريكي لتنفيذ مشاريع رقمية في مجتمعاتهم ولا يزال كل منهم يستفيد من جلسات وتمارين افتراضية شهرية للإرشاد وإعداد التقارير. وقد حصل خمسة مستفيدين على تمويل إضافي بلغ مجموعه 000 750 دولار أمريكي من منظمات أخرى، وهو ما عزز استدامة المشروع. وبفضل دعم المشروع، وسّع هؤلاء المستفيدون نطاق تأثيرهم وشبكاتهم من خلال المشاركة كمتحدثين في الأحداث العالمية الكبرى، بما في ذلك منتدى المهارات الرقمية الذي عقده الاتحاد في البحرين، والمنتدى العالمي للابتكار الذي عقده الاتحاد في مالطة، واجتماع لجنة الدراسات 1 لقطاع تنمية الاتصالات، والدورة التاسعة والعشرون لمؤتمر الأطراف في اتفاقية الأمم المتحدة الإطارية بشأن تغير المناخ (COP29) التي عُقدت في أذربيجان، والاحتفالات باليوم الدولي للفتيات في مجال تكنولوجيا المعلومات والاتصالات، والمؤتمر العالمي للإنترنت (</w:t>
      </w:r>
      <w:r w:rsidR="00FA14E0" w:rsidRPr="00CD32AC">
        <w:t>WIC</w:t>
      </w:r>
      <w:r w:rsidR="00FA14E0" w:rsidRPr="00CD32AC">
        <w:rPr>
          <w:rtl/>
        </w:rPr>
        <w:t>) الذي عُقد في الصين، إلى جانب أحداث أخرى.</w:t>
      </w:r>
      <w:hyperlink r:id="rId32"/>
    </w:p>
    <w:p w14:paraId="2B6024DA" w14:textId="364BDEB9" w:rsidR="00FA14E0" w:rsidRPr="00CD32AC" w:rsidRDefault="00387FF3" w:rsidP="00387FF3">
      <w:pPr>
        <w:pStyle w:val="Heading2"/>
        <w:rPr>
          <w:rFonts w:eastAsia="Calibri"/>
          <w:lang w:val="ar-SA" w:eastAsia="zh-TW" w:bidi="en-GB"/>
        </w:rPr>
      </w:pPr>
      <w:r>
        <w:t>4.2</w:t>
      </w:r>
      <w:r>
        <w:tab/>
      </w:r>
      <w:r w:rsidR="00FA14E0" w:rsidRPr="00CD32AC">
        <w:rPr>
          <w:rtl/>
        </w:rPr>
        <w:t xml:space="preserve">مسرِّع مهارات الذكاء الاصطناعي </w:t>
      </w:r>
      <w:r w:rsidR="00FA14E0">
        <w:rPr>
          <w:rtl/>
        </w:rPr>
        <w:t>من أجل ا</w:t>
      </w:r>
      <w:r w:rsidR="00FA14E0" w:rsidRPr="00CD32AC">
        <w:rPr>
          <w:rtl/>
        </w:rPr>
        <w:t>لفتيات</w:t>
      </w:r>
    </w:p>
    <w:p w14:paraId="22727CCA" w14:textId="7F8F85C4" w:rsidR="00FA14E0" w:rsidRPr="00CD32AC" w:rsidRDefault="00FA14E0" w:rsidP="00FA14E0">
      <w:pPr>
        <w:textDirection w:val="tbRlV"/>
        <w:rPr>
          <w:rFonts w:eastAsia="Calibri"/>
          <w:lang w:val="ar-SA" w:eastAsia="zh-TW" w:bidi="en-GB"/>
        </w:rPr>
      </w:pPr>
      <w:r w:rsidRPr="00CD32AC">
        <w:rPr>
          <w:rtl/>
        </w:rPr>
        <w:t xml:space="preserve">انبثق </w:t>
      </w:r>
      <w:hyperlink r:id="rId33" w:history="1">
        <w:r w:rsidRPr="00387FF3">
          <w:rPr>
            <w:rStyle w:val="Hyperlink"/>
            <w:rtl/>
          </w:rPr>
          <w:t>برنامج مسرِّع مهارات الذكاء الاصطناعي من أجل الفتيات</w:t>
        </w:r>
      </w:hyperlink>
      <w:r w:rsidRPr="00CD32AC">
        <w:rPr>
          <w:rtl/>
        </w:rPr>
        <w:t xml:space="preserve"> عن الحاجة إلى معالجة التمثيل الضعيف للمرأة في مجال الذكاء الاصطناعي والأدوار القيادية في قطاع التكنولوجيا. وتعاون مكتب تنمية الاتصالات بالاتحاد وشركة </w:t>
      </w:r>
      <w:r w:rsidRPr="00CD32AC">
        <w:t>EY</w:t>
      </w:r>
      <w:r w:rsidRPr="00CD32AC">
        <w:rPr>
          <w:rtl/>
        </w:rPr>
        <w:t xml:space="preserve"> في هذا البرنامج عام 2024، بهدف تمكين ما لا يقل عن </w:t>
      </w:r>
      <w:r w:rsidRPr="00CD32AC">
        <w:t>1 000</w:t>
      </w:r>
      <w:r w:rsidRPr="00CD32AC">
        <w:rPr>
          <w:rtl/>
        </w:rPr>
        <w:t xml:space="preserve"> شابة من المجتمعات التي تعاني من نقص الخدمات بالمهارات التي يحتجنها للنجاح </w:t>
      </w:r>
      <w:r w:rsidR="008F3557" w:rsidRPr="00CD32AC">
        <w:rPr>
          <w:rtl/>
        </w:rPr>
        <w:t>في</w:t>
      </w:r>
      <w:r w:rsidR="008F3557">
        <w:rPr>
          <w:rFonts w:hint="cs"/>
          <w:rtl/>
        </w:rPr>
        <w:t> </w:t>
      </w:r>
      <w:r w:rsidRPr="00CD32AC">
        <w:rPr>
          <w:rtl/>
        </w:rPr>
        <w:t xml:space="preserve">مجال الذكاء الاصطناعي والمجال الرقمي. ويهدف البرنامج إلى تزويد الشابات، ولا سيما اللاتي تتراوح أعمارهن بين 18 </w:t>
      </w:r>
      <w:r w:rsidR="003E27B7" w:rsidRPr="00CD32AC">
        <w:rPr>
          <w:rtl/>
        </w:rPr>
        <w:t>و25</w:t>
      </w:r>
      <w:r w:rsidR="003E27B7">
        <w:rPr>
          <w:rFonts w:hint="cs"/>
          <w:rtl/>
        </w:rPr>
        <w:t> </w:t>
      </w:r>
      <w:r w:rsidRPr="00CD32AC">
        <w:rPr>
          <w:rtl/>
        </w:rPr>
        <w:t xml:space="preserve">عاماً، بالمهارات العملية والأخلاقية والقيادية التي تمكِّنهن من الازدهار في مجال الذكاء الاصطناعي. والبرنامج تطبيقي وستضم مجموعتين من الشابات المستفيدات من الأنشطة. وبدأت المجموعة الأولى في أكتوبر 2024 بورش عمل حضورية </w:t>
      </w:r>
      <w:r w:rsidR="003E27B7" w:rsidRPr="00CD32AC">
        <w:rPr>
          <w:rtl/>
        </w:rPr>
        <w:t>في</w:t>
      </w:r>
      <w:r w:rsidR="003E27B7">
        <w:rPr>
          <w:rFonts w:hint="cs"/>
          <w:rtl/>
        </w:rPr>
        <w:t> </w:t>
      </w:r>
      <w:r w:rsidRPr="00CD32AC">
        <w:rPr>
          <w:rtl/>
        </w:rPr>
        <w:t>6 بلدان (واحدة لكل منطقة من مناطق الاتحاد: باراغواي ومالطة وكينيا والهند وكازاخستان والأردن)، وفي أغسطس 202، ستستفيد بلدان أخرى ضمن المجموعة الثانية (أوزبكستان وغواتيمالا ومصر). وقد استفادت أكثر من 820 شابة من البرنامج.</w:t>
      </w:r>
      <w:hyperlink r:id="rId34"/>
    </w:p>
    <w:p w14:paraId="1D2A10B3" w14:textId="44129EAC" w:rsidR="00FA14E0" w:rsidRPr="00CD32AC" w:rsidRDefault="00387FF3" w:rsidP="00387FF3">
      <w:pPr>
        <w:pStyle w:val="Heading1"/>
        <w:rPr>
          <w:rFonts w:eastAsia="Calibri"/>
          <w:lang w:val="ar-SA" w:eastAsia="zh-TW" w:bidi="en-GB"/>
        </w:rPr>
      </w:pPr>
      <w:r>
        <w:lastRenderedPageBreak/>
        <w:t>3</w:t>
      </w:r>
      <w:r>
        <w:tab/>
      </w:r>
      <w:r w:rsidR="00FA14E0" w:rsidRPr="00CD32AC">
        <w:rPr>
          <w:rtl/>
        </w:rPr>
        <w:t>الأدوات والموارد المعرفية لدعم التنفيذ</w:t>
      </w:r>
    </w:p>
    <w:p w14:paraId="71CF6928" w14:textId="77777777" w:rsidR="00FA14E0" w:rsidRPr="00CD32AC" w:rsidRDefault="00FA14E0" w:rsidP="00FA14E0">
      <w:pPr>
        <w:textDirection w:val="tbRlV"/>
        <w:rPr>
          <w:rFonts w:eastAsia="Calibri"/>
          <w:lang w:val="ar-SA" w:eastAsia="zh-TW" w:bidi="en-GB"/>
        </w:rPr>
      </w:pPr>
      <w:r w:rsidRPr="00CD32AC">
        <w:rPr>
          <w:rtl/>
        </w:rPr>
        <w:t xml:space="preserve">أعدت مجموعة من الأدوات والمواد التدريبية الجديدة والتقارير </w:t>
      </w:r>
      <w:proofErr w:type="spellStart"/>
      <w:r w:rsidRPr="00CD32AC">
        <w:rPr>
          <w:rtl/>
        </w:rPr>
        <w:t>المواضيعية</w:t>
      </w:r>
      <w:proofErr w:type="spellEnd"/>
      <w:r w:rsidRPr="00CD32AC">
        <w:rPr>
          <w:rtl/>
        </w:rPr>
        <w:t xml:space="preserve"> المتعلقة بالشمول الرقمي لدعم جهود أعضاء الاتحاد في تنفيذ الشمول الرقمي.</w:t>
      </w:r>
    </w:p>
    <w:p w14:paraId="3D022455" w14:textId="705F0573" w:rsidR="00FA14E0" w:rsidRPr="00CD32AC" w:rsidRDefault="00FA14E0" w:rsidP="00FA14E0">
      <w:pPr>
        <w:textDirection w:val="tbRlV"/>
        <w:rPr>
          <w:rFonts w:eastAsia="Calibri"/>
          <w:lang w:val="ar-SA" w:eastAsia="zh-TW" w:bidi="en-GB"/>
        </w:rPr>
      </w:pPr>
      <w:r w:rsidRPr="00CD32AC">
        <w:rPr>
          <w:rtl/>
        </w:rPr>
        <w:t xml:space="preserve">واستجابةً لبرنامج الشمول الرقمي المتطور باستمرار، وبشراكة مع منظمة الصحة العالمية، أطلق الاتحاد </w:t>
      </w:r>
      <w:hyperlink r:id="rId35" w:history="1">
        <w:r w:rsidRPr="00387FF3">
          <w:rPr>
            <w:rStyle w:val="Hyperlink"/>
            <w:rtl/>
          </w:rPr>
          <w:t>مجموعة أدوات بشأن خدمات الرعاية الصحية عن بُعد</w:t>
        </w:r>
      </w:hyperlink>
      <w:r w:rsidRPr="00CD32AC">
        <w:rPr>
          <w:rtl/>
        </w:rPr>
        <w:t>، تقدم الإرشادات العملية اللازمة ونهجاً تدريجياً لدعم الدول الأعضاء والصناعة ومقدمي الخدمات الصحية والمجتمع المدني في تعزيز وتنفيذ الخدمة الصحية الرقمية الشاملة التي يمكن النفاذ إليها رقمياً.</w:t>
      </w:r>
      <w:hyperlink r:id="rId36"/>
    </w:p>
    <w:p w14:paraId="1638B403" w14:textId="77777777" w:rsidR="00FA14E0" w:rsidRPr="00CD32AC" w:rsidRDefault="00FA14E0" w:rsidP="00FA14E0">
      <w:pPr>
        <w:textDirection w:val="tbRlV"/>
        <w:rPr>
          <w:rFonts w:eastAsia="Calibri"/>
          <w:lang w:val="ar-SA" w:eastAsia="zh-TW" w:bidi="en-GB"/>
        </w:rPr>
      </w:pPr>
      <w:r w:rsidRPr="00CD32AC">
        <w:rPr>
          <w:rtl/>
        </w:rPr>
        <w:t>وأُعد أيضاً مورد إضافي شامل بشأن التعميم الاستراتيجي لإمكانية النفاذ إلى تكنولوجيا المعلومات والاتصالات من أجل تحول رقمي شامل، وسيصدر قريباً.</w:t>
      </w:r>
    </w:p>
    <w:p w14:paraId="185E967B" w14:textId="36B685A2" w:rsidR="00FA14E0" w:rsidRPr="00CD32AC" w:rsidRDefault="00FA14E0" w:rsidP="00FA14E0">
      <w:pPr>
        <w:textDirection w:val="tbRlV"/>
        <w:rPr>
          <w:rFonts w:eastAsia="Calibri"/>
          <w:lang w:val="ar-SA" w:eastAsia="zh-TW" w:bidi="en-GB"/>
        </w:rPr>
      </w:pPr>
      <w:r w:rsidRPr="00CD32AC">
        <w:rPr>
          <w:rtl/>
        </w:rPr>
        <w:t>كما أعدت ثماني (8) دورات تدريبية بشأن مواضيع من قبيل: الأطر القانونية والتنظيمية المتعلقة بالشمول الرقمي، والحكومة الرقمية الشاملة، والاقتصادات الرقمية الشاملة، والمهارات الرقمية والإلمام بالتكنولوجيا الرقمية للجميع، وتأثير الذكاء الاصطناعي في تطوير ميزات إمكانية النفاذ، وإشراك أصحاب المصلحة المتعددين والتنسيق بينهم، والرصد والتقييم والتنفيذ التكيفي، بحيث تلبي احتياجات أعضاء الاتحاد وتدعمهم في جهودهم القُطرية للنهوض ببرنامج الشمول الرقمي.</w:t>
      </w:r>
    </w:p>
    <w:p w14:paraId="7FBFB9C8" w14:textId="59FADD03" w:rsidR="00FA14E0" w:rsidRPr="00CD32AC" w:rsidRDefault="00FA14E0" w:rsidP="00FA14E0">
      <w:pPr>
        <w:textDirection w:val="tbRlV"/>
        <w:rPr>
          <w:rFonts w:eastAsia="Calibri"/>
          <w:lang w:val="ar-SA" w:eastAsia="zh-TW" w:bidi="en-GB"/>
        </w:rPr>
      </w:pPr>
      <w:r w:rsidRPr="00CD32AC">
        <w:rPr>
          <w:rtl/>
        </w:rPr>
        <w:t xml:space="preserve">وتشمل الأدوات الجديدة </w:t>
      </w:r>
      <w:hyperlink r:id="rId37" w:history="1">
        <w:r w:rsidRPr="00387FF3">
          <w:rPr>
            <w:rStyle w:val="Hyperlink"/>
            <w:rtl/>
          </w:rPr>
          <w:t>دليل الاتحاد الدولي للاتصالات ومنظمة العمل الدولية والتدريب الذاتي الوتيرة عبر الإنترنت بشأن إمكانية النفاذ إلى طلبات التوظيف على الإنترنت</w:t>
        </w:r>
      </w:hyperlink>
      <w:r w:rsidRPr="00CD32AC">
        <w:rPr>
          <w:rtl/>
        </w:rPr>
        <w:t xml:space="preserve">. وجميع الدورات التدريبية الذاتية الوتيرة والبرامج التعليمية </w:t>
      </w:r>
      <w:proofErr w:type="spellStart"/>
      <w:r w:rsidRPr="00CD32AC">
        <w:rPr>
          <w:rtl/>
        </w:rPr>
        <w:t>الفيديوية</w:t>
      </w:r>
      <w:proofErr w:type="spellEnd"/>
      <w:r w:rsidRPr="00CD32AC">
        <w:rPr>
          <w:rtl/>
        </w:rPr>
        <w:t xml:space="preserve"> المتعلقة بالشمول الرقمي متاحة على الإنترنت مجاناً، بأنساق يمكن النفاذ إليها رقمياً (يمكن للمكفوفين أو الصم استخدامها أيضاً) بلغات الأمم المتحدة المتعددة لدعم تعميم إمكانية النفاذ إلى تكنولوجيا المعلومات والاتصالات لضمان تحول رقمي شامل.</w:t>
      </w:r>
      <w:hyperlink r:id="rId38"/>
    </w:p>
    <w:p w14:paraId="79472A55" w14:textId="53DA6FDA" w:rsidR="00FA14E0" w:rsidRPr="008824C7" w:rsidRDefault="00FA14E0" w:rsidP="00FA14E0">
      <w:pPr>
        <w:textDirection w:val="tbRlV"/>
        <w:rPr>
          <w:rFonts w:eastAsia="Calibri"/>
          <w:spacing w:val="-2"/>
          <w:lang w:val="ar-SA" w:eastAsia="zh-TW" w:bidi="en-GB"/>
        </w:rPr>
      </w:pPr>
      <w:r w:rsidRPr="008824C7">
        <w:rPr>
          <w:spacing w:val="-2"/>
          <w:rtl/>
        </w:rPr>
        <w:t xml:space="preserve">وفي عام 2024، قدم </w:t>
      </w:r>
      <w:hyperlink r:id="rId39" w:anchor="/ar" w:history="1">
        <w:r w:rsidRPr="008824C7">
          <w:rPr>
            <w:rStyle w:val="Hyperlink"/>
            <w:spacing w:val="-2"/>
            <w:rtl/>
          </w:rPr>
          <w:t>كتيب تعميم مراعاة منظور المساواة بين الجنسين في السياسات الرقمية</w:t>
        </w:r>
      </w:hyperlink>
      <w:r w:rsidRPr="008824C7">
        <w:rPr>
          <w:spacing w:val="-2"/>
          <w:rtl/>
        </w:rPr>
        <w:t xml:space="preserve"> للدول الأعضاء ممارسات جيدة بشأن كيفية تعميم مراعاة هذا المنظور في السياسات الرقمية الحالية والمستقبلية. وتقدم مجموعة الأدوات، التي أُعدت استناداً إلى مجموعة واسعة من التجارب القُطرية، إرشادات خطوة بخطوة بشأن تعميم مراعاة منظور المساواة بين الجنسين والشمول </w:t>
      </w:r>
      <w:r w:rsidR="00ED0E20" w:rsidRPr="008824C7">
        <w:rPr>
          <w:spacing w:val="-2"/>
          <w:rtl/>
        </w:rPr>
        <w:t>في</w:t>
      </w:r>
      <w:r w:rsidR="00ED0E20">
        <w:rPr>
          <w:rFonts w:hint="cs"/>
          <w:spacing w:val="-2"/>
          <w:rtl/>
        </w:rPr>
        <w:t> </w:t>
      </w:r>
      <w:r w:rsidRPr="008824C7">
        <w:rPr>
          <w:spacing w:val="-2"/>
          <w:rtl/>
        </w:rPr>
        <w:t>تصميم تكنولوجيا المعلومات والاتصالات وتنظيمها. وأدت الدورات التدريبية وعمليات تبادل الآراء بين النظراء إلى تعزيز الاستيعاب، ما مكّن الحكومات من تجاوز التدابير المخصصة واعتماد نهج منهجية لوضع السياسات الشاملة.</w:t>
      </w:r>
      <w:hyperlink r:id="rId40"/>
    </w:p>
    <w:p w14:paraId="3A3008AC" w14:textId="399E5BA3" w:rsidR="00FA14E0" w:rsidRPr="008824C7" w:rsidRDefault="00FA14E0" w:rsidP="00FA14E0">
      <w:pPr>
        <w:textDirection w:val="tbRlV"/>
        <w:rPr>
          <w:rFonts w:eastAsia="Calibri"/>
          <w:spacing w:val="-2"/>
          <w:lang w:val="ar-SA" w:eastAsia="zh-TW" w:bidi="en-GB"/>
        </w:rPr>
      </w:pPr>
      <w:r w:rsidRPr="008824C7">
        <w:rPr>
          <w:spacing w:val="-2"/>
          <w:rtl/>
        </w:rPr>
        <w:t>ويمثل تقرير "</w:t>
      </w:r>
      <w:hyperlink r:id="rId41" w:history="1">
        <w:r w:rsidRPr="008824C7">
          <w:rPr>
            <w:rStyle w:val="Hyperlink"/>
            <w:spacing w:val="-2"/>
            <w:rtl/>
          </w:rPr>
          <w:t>مهاراتها الرقمية: نحو نهج تحويلي في مجال المساواة بين الجنسين</w:t>
        </w:r>
      </w:hyperlink>
      <w:r w:rsidRPr="008824C7">
        <w:rPr>
          <w:spacing w:val="-2"/>
          <w:u w:val="single"/>
          <w:rtl/>
        </w:rPr>
        <w:t>"</w:t>
      </w:r>
      <w:r w:rsidR="00387FF3" w:rsidRPr="008824C7">
        <w:rPr>
          <w:spacing w:val="-2"/>
          <w:rtl/>
          <w:lang w:bidi="ar-EG"/>
        </w:rPr>
        <w:t xml:space="preserve"> </w:t>
      </w:r>
      <w:r w:rsidRPr="008824C7">
        <w:rPr>
          <w:spacing w:val="-2"/>
          <w:rtl/>
        </w:rPr>
        <w:t xml:space="preserve">الذي صدر في عام 2024، إطاراً ودليلاً للممارسين يوصي باعتماد نهج تحويلية في مجال المساواة بين الجنسين لتصميم برامج تعليم المهارات الرقمية، داخل الفصل الدراسي وخارجه. ويحدد الإطار نهجاً شاملاً </w:t>
      </w:r>
      <w:proofErr w:type="spellStart"/>
      <w:r w:rsidRPr="008824C7">
        <w:rPr>
          <w:spacing w:val="-2"/>
          <w:rtl/>
        </w:rPr>
        <w:t>وسياقياً</w:t>
      </w:r>
      <w:proofErr w:type="spellEnd"/>
      <w:r w:rsidRPr="008824C7">
        <w:rPr>
          <w:spacing w:val="-2"/>
          <w:rtl/>
        </w:rPr>
        <w:t xml:space="preserve"> قائماً على الكفاءة لاستراتيجيات التعلم ومناهجه الدراسية ومحتواه، ويؤكد أهمية دمج نظرية وممارسة تغيير معايير المساواة بين الجنسين. ويوصي التقرير أيضاً بكيفية تدخل مختلف أصحاب المصلحة في النظام الإيكولوجي الأوسع لسد الفجوة الرقمية بين الجنسين.</w:t>
      </w:r>
      <w:hyperlink r:id="rId42"/>
    </w:p>
    <w:p w14:paraId="5FC989D2" w14:textId="277EE64E" w:rsidR="00FA14E0" w:rsidRPr="00CD32AC" w:rsidRDefault="00FA14E0" w:rsidP="00FA14E0">
      <w:pPr>
        <w:textDirection w:val="tbRlV"/>
        <w:rPr>
          <w:rFonts w:eastAsia="Calibri"/>
          <w:lang w:val="ar-SA" w:eastAsia="zh-TW" w:bidi="en-GB"/>
        </w:rPr>
      </w:pPr>
      <w:r w:rsidRPr="00CD32AC">
        <w:rPr>
          <w:rtl/>
        </w:rPr>
        <w:t xml:space="preserve">وفي الوقت الحالي، </w:t>
      </w:r>
      <w:hyperlink r:id="rId43" w:history="1">
        <w:r w:rsidRPr="00387FF3">
          <w:rPr>
            <w:rStyle w:val="Hyperlink"/>
            <w:rtl/>
          </w:rPr>
          <w:t>يوفر قطاع تنمية الاتصالات أكثر من 75 أداة ومورداً</w:t>
        </w:r>
      </w:hyperlink>
      <w:r w:rsidRPr="00CD32AC">
        <w:rPr>
          <w:rtl/>
        </w:rPr>
        <w:t xml:space="preserve"> - بما في ذلك التقارير </w:t>
      </w:r>
      <w:proofErr w:type="spellStart"/>
      <w:r w:rsidRPr="00CD32AC">
        <w:rPr>
          <w:rtl/>
        </w:rPr>
        <w:t>المواضيعية</w:t>
      </w:r>
      <w:proofErr w:type="spellEnd"/>
      <w:r w:rsidRPr="00CD32AC">
        <w:rPr>
          <w:rtl/>
        </w:rPr>
        <w:t xml:space="preserve"> والمبادئ التوجيهية ومجموعات الأدوات والدورات التدريبية - لدعم الدول الأعضاء في تنفيذ برامج الشمول الرقمي على المستويات الوطنية والإقليمية والعالمية. اطلع على مزيد من </w:t>
      </w:r>
      <w:hyperlink r:id="rId44" w:history="1">
        <w:r w:rsidRPr="00387FF3">
          <w:rPr>
            <w:rStyle w:val="Hyperlink"/>
            <w:rtl/>
          </w:rPr>
          <w:t>الموارد المتعلقة بإمكانية النفاذ إلى تكنولوجيا المعلومات والاتصالات/النفاذ الرقمي</w:t>
        </w:r>
      </w:hyperlink>
      <w:hyperlink r:id="rId45"/>
      <w:hyperlink r:id="rId46"/>
      <w:r w:rsidR="008824C7">
        <w:rPr>
          <w:rFonts w:hint="cs"/>
          <w:rtl/>
        </w:rPr>
        <w:t>.</w:t>
      </w:r>
    </w:p>
    <w:p w14:paraId="51B9273D" w14:textId="77777777" w:rsidR="00FA14E0" w:rsidRPr="00CD32AC" w:rsidRDefault="00FA14E0" w:rsidP="00FA14E0">
      <w:pPr>
        <w:textDirection w:val="tbRlV"/>
        <w:rPr>
          <w:rFonts w:eastAsia="Calibri"/>
          <w:lang w:val="ar-SA" w:eastAsia="zh-TW" w:bidi="en-GB"/>
        </w:rPr>
      </w:pPr>
      <w:r w:rsidRPr="00CD32AC">
        <w:rPr>
          <w:rtl/>
        </w:rPr>
        <w:t xml:space="preserve">وإجمالاً، استخدم مواردَ قطاع تنمية الاتصالات أكثر من </w:t>
      </w:r>
      <w:r w:rsidRPr="00CD32AC">
        <w:t>3 000</w:t>
      </w:r>
      <w:r w:rsidRPr="00CD32AC">
        <w:rPr>
          <w:rtl/>
        </w:rPr>
        <w:t xml:space="preserve"> مستخدم سنوياً، استناداً إلى تحليلات الإنترنت.</w:t>
      </w:r>
    </w:p>
    <w:p w14:paraId="472322DB" w14:textId="452B8696" w:rsidR="00FA14E0" w:rsidRPr="00CD32AC" w:rsidRDefault="00387FF3" w:rsidP="00387FF3">
      <w:pPr>
        <w:pStyle w:val="Heading1"/>
        <w:rPr>
          <w:rFonts w:eastAsia="Calibri"/>
          <w:lang w:val="ar-SA" w:eastAsia="zh-TW" w:bidi="en-GB"/>
        </w:rPr>
      </w:pPr>
      <w:r>
        <w:t>4</w:t>
      </w:r>
      <w:r>
        <w:tab/>
      </w:r>
      <w:r w:rsidR="00FA14E0" w:rsidRPr="00CD32AC">
        <w:rPr>
          <w:rtl/>
        </w:rPr>
        <w:t>منصات الدعوة و</w:t>
      </w:r>
      <w:r w:rsidR="00FA14E0">
        <w:rPr>
          <w:rtl/>
        </w:rPr>
        <w:t xml:space="preserve">المنصات العالمية ومنصات </w:t>
      </w:r>
      <w:r w:rsidR="00FA14E0" w:rsidRPr="00CD32AC">
        <w:rPr>
          <w:rtl/>
        </w:rPr>
        <w:t>العمل الرامية إلى تبادل الخبرات وزيادة التعاون ودعم التنفيذ</w:t>
      </w:r>
    </w:p>
    <w:p w14:paraId="29FD0147" w14:textId="17AA1D25" w:rsidR="00FA14E0" w:rsidRPr="00CD32AC" w:rsidRDefault="00387FF3" w:rsidP="00387FF3">
      <w:pPr>
        <w:pStyle w:val="Heading2"/>
        <w:rPr>
          <w:rFonts w:eastAsia="Calibri"/>
          <w:lang w:val="ar-SA" w:eastAsia="zh-TW" w:bidi="en-GB"/>
        </w:rPr>
      </w:pPr>
      <w:r w:rsidRPr="008824C7">
        <w:t>1.4</w:t>
      </w:r>
      <w:r w:rsidRPr="008824C7">
        <w:tab/>
      </w:r>
      <w:r w:rsidR="00FA14E0" w:rsidRPr="008824C7">
        <w:rPr>
          <w:rtl/>
        </w:rPr>
        <w:t xml:space="preserve">المسألة </w:t>
      </w:r>
      <w:r w:rsidR="008824C7" w:rsidRPr="008824C7">
        <w:t>7/1</w:t>
      </w:r>
      <w:r w:rsidR="00FA14E0" w:rsidRPr="008824C7">
        <w:rPr>
          <w:rtl/>
        </w:rPr>
        <w:t xml:space="preserve"> للجنة الدراسات 1</w:t>
      </w:r>
    </w:p>
    <w:p w14:paraId="6A26D2D6" w14:textId="74D074EC" w:rsidR="00FA14E0" w:rsidRPr="008824C7" w:rsidRDefault="00FA14E0" w:rsidP="00750848">
      <w:pPr>
        <w:textDirection w:val="tbRlV"/>
        <w:rPr>
          <w:rFonts w:eastAsia="Calibri"/>
          <w:spacing w:val="-2"/>
          <w:lang w:val="ar-SA" w:eastAsia="zh-TW" w:bidi="en-GB"/>
        </w:rPr>
      </w:pPr>
      <w:r w:rsidRPr="008824C7">
        <w:rPr>
          <w:spacing w:val="-2"/>
          <w:rtl/>
        </w:rPr>
        <w:t xml:space="preserve">يُسترشد بقوة </w:t>
      </w:r>
      <w:hyperlink r:id="rId47" w:history="1">
        <w:r w:rsidRPr="008824C7">
          <w:rPr>
            <w:rStyle w:val="Hyperlink"/>
            <w:spacing w:val="-2"/>
            <w:rtl/>
          </w:rPr>
          <w:t>بالمسألة 1/7 للجنة الدراسات 1 لقطاع تنمية الاتصالات بشأن إمكانية النفاذ إلى الاتصالات/تكنولوجيا المعلومات والاتصالات لتمكين الاتصالات الشاملة</w:t>
        </w:r>
      </w:hyperlink>
      <w:r w:rsidRPr="008824C7">
        <w:rPr>
          <w:spacing w:val="-2"/>
          <w:rtl/>
        </w:rPr>
        <w:t xml:space="preserve">، ما ييسر تبادل الخبرات والممارسات الجيدة لإثراء الأنشطة الوطنية والإقليمية </w:t>
      </w:r>
      <w:proofErr w:type="spellStart"/>
      <w:r w:rsidRPr="008824C7">
        <w:rPr>
          <w:spacing w:val="-2"/>
          <w:rtl/>
        </w:rPr>
        <w:t>المواضيعية</w:t>
      </w:r>
      <w:proofErr w:type="spellEnd"/>
      <w:r w:rsidRPr="008824C7">
        <w:rPr>
          <w:spacing w:val="-2"/>
          <w:rtl/>
        </w:rPr>
        <w:t xml:space="preserve"> المتعلقة بالاتصالات الشاملة في المجال الرقمي والنهوض بالتنفيذ على الصعيد العالمي. وأسفر هذا العمل أيضاً عن مجموعة من المبادئ التوجيهية الواردة في تقرير المسألة 1/7 للفترة 2023-2025 </w:t>
      </w:r>
      <w:hyperlink r:id="rId48">
        <w:r w:rsidR="00750848" w:rsidRPr="00750848">
          <w:rPr>
            <w:rStyle w:val="Hyperlink"/>
            <w:spacing w:val="-2"/>
            <w:lang w:val="en-GB"/>
          </w:rPr>
          <w:t>https://www.itu.int/md/D22-SG01-C-0490/en</w:t>
        </w:r>
      </w:hyperlink>
      <w:hyperlink r:id="rId49"/>
      <w:hyperlink r:id="rId50"/>
      <w:r w:rsidR="00750848">
        <w:rPr>
          <w:rFonts w:hint="cs"/>
          <w:spacing w:val="-2"/>
          <w:rtl/>
        </w:rPr>
        <w:t>.</w:t>
      </w:r>
    </w:p>
    <w:p w14:paraId="6E7357F9" w14:textId="2AC3896C" w:rsidR="00FA14E0" w:rsidRPr="00CD32AC" w:rsidRDefault="00387FF3" w:rsidP="00387FF3">
      <w:pPr>
        <w:pStyle w:val="Heading2"/>
        <w:rPr>
          <w:rFonts w:eastAsia="Calibri"/>
          <w:lang w:val="ar-SA" w:eastAsia="zh-TW" w:bidi="en-GB"/>
        </w:rPr>
      </w:pPr>
      <w:r>
        <w:lastRenderedPageBreak/>
        <w:t>2.4</w:t>
      </w:r>
      <w:r>
        <w:tab/>
      </w:r>
      <w:r w:rsidR="00FA14E0" w:rsidRPr="00CD32AC">
        <w:rPr>
          <w:rtl/>
        </w:rPr>
        <w:t>إمكانية نفاذ الجميع إلى تكنولوجيا المعلومات والاتصالات والمنصات الجامعة ذات الصلة</w:t>
      </w:r>
    </w:p>
    <w:p w14:paraId="5A02CB70" w14:textId="5C97C679" w:rsidR="00FA14E0" w:rsidRPr="00CD32AC" w:rsidRDefault="00FA14E0" w:rsidP="00FA14E0">
      <w:pPr>
        <w:textDirection w:val="tbRlV"/>
        <w:rPr>
          <w:rFonts w:eastAsia="Calibri"/>
          <w:lang w:val="ar-SA" w:eastAsia="zh-TW" w:bidi="en-GB"/>
        </w:rPr>
      </w:pPr>
      <w:r w:rsidRPr="00CD32AC">
        <w:rPr>
          <w:rtl/>
        </w:rPr>
        <w:t>أدى مكتب تنمية الاتصالات دوراً أساسياً في تمكين أعضاء الاتحاد من تعزيز المعارف وتبادل الخبرات ووضع سياسات واستراتيجيات قابلة للتنفيذ من أجل النهوض بإمكانية النفاذ الرقمي على المستويات العالمية والإقليمية والوطنية. ومن خلال الأحداث الإقليمية الرئيسية من قبيل حدث </w:t>
      </w:r>
      <w:r w:rsidRPr="00CD32AC">
        <w:rPr>
          <w:i/>
          <w:iCs/>
          <w:rtl/>
        </w:rPr>
        <w:t>إمكانية نفاذ الجميع إلى تكنولوجيا المعلومات والاتصالات</w:t>
      </w:r>
      <w:r w:rsidRPr="00CD32AC">
        <w:rPr>
          <w:rtl/>
        </w:rPr>
        <w:t xml:space="preserve"> (الذي عُقد في كوبا والمكسيك وغواتيمالا وإسبانيا وبلجيكا والمغرب والأردن)، بمشاركة أكثر من </w:t>
      </w:r>
      <w:r w:rsidR="00750848" w:rsidRPr="00CD32AC">
        <w:t>%</w:t>
      </w:r>
      <w:r w:rsidRPr="00CD32AC">
        <w:t>80</w:t>
      </w:r>
      <w:r w:rsidRPr="00CD32AC">
        <w:rPr>
          <w:rtl/>
        </w:rPr>
        <w:t xml:space="preserve"> من البلدان من كل منطقة و200 مشارك في المتوسط في كل حدث، بالاشتراك مع المنصات الرئيسية للشمول الرقمي وإمكانية النفاذ الرقمي بما في ذلك مؤتمرات الدول الأطراف في اتفاقية حقوق الأشخاص ذوي الإعاقة، والمنتديات الإقليمية للشمول الرقمي (لمنطقة آسيا والمحيط الهادي مثلاً)، والمنتدى العالمي للشيخوخة (اليابان)، ومنتدى إمكانية النفاذ الرقمي (الإمارات العربية المتحدة)، أنشأ مكتب تنمية الاتصالات فضاءات دينامية لتبادل الممارسات الجيدة، من أجل النهوض بالتنفيذ. وكانت هذه المنصات بمثابة محفزات للعمل - بتعزيز الخبرات وتقوية الشراكات والدعوة إلى اعتماد تكنولوجيات شاملة في تصميمها ويمكن للجميع النفاذ إليها، خاصة الأشخاص ذوو الإعاقة وكبار السن والمهاجرون والأشخاص ذوو مستويات الإلمام المحدودة وأفراد المجتمعات الريفية أو المجتمعات النائية أو مجتمعات الشعوب الأصلية.</w:t>
      </w:r>
    </w:p>
    <w:p w14:paraId="38437BC1" w14:textId="77777777" w:rsidR="00FA14E0" w:rsidRPr="00CD32AC" w:rsidRDefault="00FA14E0" w:rsidP="00FA14E0">
      <w:pPr>
        <w:textDirection w:val="tbRlV"/>
        <w:rPr>
          <w:rFonts w:eastAsia="Calibri"/>
          <w:lang w:val="ar-SA" w:eastAsia="zh-TW" w:bidi="en-GB"/>
        </w:rPr>
      </w:pPr>
      <w:r w:rsidRPr="00CD32AC">
        <w:rPr>
          <w:rtl/>
        </w:rPr>
        <w:t>ومن خلال الجمع بين الحكومات وقادة القطاع الخاص والهيئات الأكاديمية والمنظمات غير الحكومية ومنظمات المستعملين النهائيين، قدم مكتب تنمية الاتصالات الخبرة التقنية، وعزز الأدوات والموارد العملية، ورسَّخ مكانة قطاع تنمية الاتصالات كرائد عالمي في النهوض بالشمول الرقمي. وتتحول هذه الجهود الجماعية إلى تقدم ملموس، وتدفع السياسات والابتكارات التي تضمن عدم تخلف أي أحد عن الركب في مجال التحول الرقمي.</w:t>
      </w:r>
    </w:p>
    <w:p w14:paraId="0FEF5C74" w14:textId="1A0741A9" w:rsidR="00FA14E0" w:rsidRPr="00CD32AC" w:rsidRDefault="00387FF3" w:rsidP="00387FF3">
      <w:pPr>
        <w:pStyle w:val="Heading2"/>
        <w:rPr>
          <w:rFonts w:eastAsia="Calibri"/>
          <w:lang w:val="ar-SA" w:eastAsia="zh-TW" w:bidi="en-GB"/>
        </w:rPr>
      </w:pPr>
      <w:r>
        <w:t>3.4</w:t>
      </w:r>
      <w:r>
        <w:tab/>
      </w:r>
      <w:r w:rsidR="00FA14E0" w:rsidRPr="00CD32AC">
        <w:rPr>
          <w:rtl/>
        </w:rPr>
        <w:t>اليوم الدولي للفتيات في مجال تكنولوجيا المعلومات والاتصالات</w:t>
      </w:r>
    </w:p>
    <w:p w14:paraId="6CBA909A" w14:textId="14B39F32" w:rsidR="00FA14E0" w:rsidRPr="00CD32AC" w:rsidRDefault="00FA14E0" w:rsidP="00FA14E0">
      <w:pPr>
        <w:textDirection w:val="tbRlV"/>
        <w:rPr>
          <w:rFonts w:eastAsia="Calibri"/>
          <w:lang w:val="ar-SA" w:eastAsia="zh-TW" w:bidi="en-GB"/>
        </w:rPr>
      </w:pPr>
      <w:r w:rsidRPr="00CD32AC">
        <w:rPr>
          <w:rtl/>
        </w:rPr>
        <w:t xml:space="preserve">استمر الاحتفال السنوي </w:t>
      </w:r>
      <w:hyperlink r:id="rId51" w:history="1">
        <w:r w:rsidRPr="00387FF3">
          <w:rPr>
            <w:rStyle w:val="Hyperlink"/>
            <w:rtl/>
          </w:rPr>
          <w:t>باليوم الدولي للفتيات في مجال تكنولوجيا المعلومات والاتصالات</w:t>
        </w:r>
      </w:hyperlink>
      <w:r w:rsidRPr="00CD32AC">
        <w:rPr>
          <w:rtl/>
        </w:rPr>
        <w:t xml:space="preserve"> في التوسع كتعبئة عالمية للمهارات والقيادة والشمول. وانتقل مواضيع الفترة 2023-2025 من "المهارات الرقمية من أجل الحياة" إلى "القيادة" ثم إلى "الفتيات في مجال تكنولوجيا المعلومات والاتصالات من أجل تحول رقمي شامل"، ما يعكس تقدماً من المهارات الأساسية إلى التمثيل في عمليات صنع القرار وأخيراً إلى تشكيل مستقبل رقمي عادل يركز على الأفراد. واستضيفت الاحتفالات الرئيسية في مختلف القارات (إفريقيا - زمبابوي، آسيا - الفلبين، كومنولث الدول المستقلة - قيرغيزستان، الدول العربية - موريتانيا)، بأنساق مختلطة جمعت بين الحوارات رفيعة المستوى، والجلسات التوجيهية، وورش العمل العملية. وفي الفترة ما بين عامي 2023 و2025، شملت </w:t>
      </w:r>
      <w:r w:rsidR="00750848" w:rsidRPr="00CD32AC">
        <w:rPr>
          <w:rFonts w:hint="cs"/>
          <w:rtl/>
        </w:rPr>
        <w:t>المبادرة</w:t>
      </w:r>
      <w:r w:rsidRPr="00CD32AC">
        <w:rPr>
          <w:rtl/>
        </w:rPr>
        <w:t xml:space="preserve"> تراكمياً أكثر من </w:t>
      </w:r>
      <w:r w:rsidRPr="00CD32AC">
        <w:t>76 000</w:t>
      </w:r>
      <w:r w:rsidRPr="00CD32AC">
        <w:rPr>
          <w:rtl/>
        </w:rPr>
        <w:t xml:space="preserve"> فتاة وشابة من خلال تنظيم 472 حدثاً في جميع مناطق الاتحاد الست.</w:t>
      </w:r>
      <w:hyperlink r:id="rId52"/>
    </w:p>
    <w:p w14:paraId="4C4A4234" w14:textId="634E3FC3" w:rsidR="00FA14E0" w:rsidRPr="00CD32AC" w:rsidRDefault="00387FF3" w:rsidP="00E5238B">
      <w:pPr>
        <w:pStyle w:val="Heading2"/>
        <w:rPr>
          <w:rFonts w:eastAsia="Calibri"/>
          <w:lang w:val="ar-SA" w:eastAsia="zh-TW" w:bidi="en-GB"/>
        </w:rPr>
      </w:pPr>
      <w:r>
        <w:t>4.4</w:t>
      </w:r>
      <w:r>
        <w:tab/>
      </w:r>
      <w:r w:rsidR="00FA14E0" w:rsidRPr="00CD32AC">
        <w:rPr>
          <w:rtl/>
        </w:rPr>
        <w:t>قمة الشباب العالمية</w:t>
      </w:r>
    </w:p>
    <w:p w14:paraId="57DAB236" w14:textId="74B5AC5F" w:rsidR="00FA14E0" w:rsidRPr="00CD32AC" w:rsidRDefault="00FA14E0" w:rsidP="00750848">
      <w:pPr>
        <w:rPr>
          <w:rFonts w:eastAsia="Calibri"/>
          <w:lang w:val="ar-SA" w:eastAsia="zh-TW" w:bidi="en-GB"/>
        </w:rPr>
      </w:pPr>
      <w:r w:rsidRPr="00CD32AC">
        <w:rPr>
          <w:rtl/>
        </w:rPr>
        <w:t xml:space="preserve">عُقدت نسخة عام 2025 من </w:t>
      </w:r>
      <w:hyperlink r:id="rId53" w:anchor="/ar" w:history="1">
        <w:r w:rsidRPr="00387FF3">
          <w:rPr>
            <w:rStyle w:val="Hyperlink"/>
            <w:rtl/>
          </w:rPr>
          <w:t>قمة الشباب العالمية للاتحاد</w:t>
        </w:r>
      </w:hyperlink>
      <w:r w:rsidRPr="00CD32AC">
        <w:rPr>
          <w:rtl/>
        </w:rPr>
        <w:t xml:space="preserve"> (GYS-25) في </w:t>
      </w:r>
      <w:proofErr w:type="spellStart"/>
      <w:r w:rsidRPr="00CD32AC">
        <w:rPr>
          <w:rtl/>
        </w:rPr>
        <w:t>فاراديرو</w:t>
      </w:r>
      <w:proofErr w:type="spellEnd"/>
      <w:r w:rsidRPr="00CD32AC">
        <w:rPr>
          <w:rtl/>
        </w:rPr>
        <w:t>، كوبا في الفترة من 11 إلى 13 مارس 2025 تحت شعار "إعلاء أصوات الشباب في مجال تكنولوجيا المعلومات والاتصالات من أجل مستقبل شامل وموصول". وكانت القمة</w:t>
      </w:r>
      <w:r w:rsidR="00750848">
        <w:rPr>
          <w:rFonts w:hint="cs"/>
          <w:rtl/>
        </w:rPr>
        <w:t> </w:t>
      </w:r>
      <w:r w:rsidRPr="00CD32AC">
        <w:rPr>
          <w:rtl/>
        </w:rPr>
        <w:t>GYS-25 الحدث السابع عشر للشباب الذي ينظمه الاتحاد الدولي للاتصالات (</w:t>
      </w:r>
      <w:r w:rsidRPr="00CD32AC">
        <w:t>ITU</w:t>
      </w:r>
      <w:r w:rsidRPr="00CD32AC">
        <w:rPr>
          <w:rtl/>
        </w:rPr>
        <w:t>)، استمراراً لمسيرة بدأت بأول منتدى للشباب على الإطلاق، عُقد في جوهانسبرغ، جنوب إفريقيا في عام 2001. وحضر الحدث نحو 400 مشارك من 31 بلداً من جميع مناطق الاتحاد، بمشاركة شباب من جميع أنحاء العالم، مع مراعاة التوازن بين الجنسين، وتمثيل أقل البلدان نمواً والبلدان النامية غير الساحلية والدول الجزرية الصغيرة النامية، إلى جانب اعتبارات أخرى. وشاركت في الحدث أيضاً حكومات ومنظمات دولية وإقليمية وكيانات من القطاع الخاص وهيئات أكاديمية، إلى جانب ممثلي وكالات الأمم المتحدة الأخرى والمبعوثين الشباب لبرنامج توصيل الجيل للاتحاد.</w:t>
      </w:r>
      <w:hyperlink r:id="rId54"/>
    </w:p>
    <w:p w14:paraId="7BF39BFA" w14:textId="6E170FF8" w:rsidR="00FA14E0" w:rsidRPr="00750848" w:rsidRDefault="00FA14E0" w:rsidP="00750848">
      <w:pPr>
        <w:rPr>
          <w:rFonts w:eastAsia="Calibri"/>
          <w:lang w:val="ar-SA" w:eastAsia="zh-TW" w:bidi="en-GB"/>
        </w:rPr>
      </w:pPr>
      <w:r w:rsidRPr="00750848">
        <w:rPr>
          <w:rtl/>
        </w:rPr>
        <w:t xml:space="preserve">وكان هدف القمة </w:t>
      </w:r>
      <w:r w:rsidRPr="00750848">
        <w:t>GYS-25</w:t>
      </w:r>
      <w:r w:rsidRPr="00750848">
        <w:rPr>
          <w:rtl/>
        </w:rPr>
        <w:t xml:space="preserve"> التي نظمها الاتحاد واستضافتها وزارة الاتصالات في حكومة كوبا إعلاء أصوات الشباب بشأن المستقبل القائم على التكنولوجيا. وحدد المشاركون الشباب من جميع أنحاء العالم أولوياتهم لضمان أن تكون تكنولوجيا المعلومات والاتصالات آمنة وميسورة التكلفة وقابلة للنفاذ. وفي القمة، ناقش الشباب قضايا تكنولوجية رئيسية من قبيل التوصيلية والشمول الرقمي والسلامة على الإنترنت وأخلاقيات الذكاء الاصطناعي ومستقبل العمل والمشاركة الرقمية من أجل تمكين الشباب على الصعيد العالمي. ومن خلال التواصل والحوار بين الأجيال وعرض المشاريع وأنشطة أخرى، تبادل الشباب الأفكار مع الخبراء وواضعي السياسات، مؤكدين أهمية الشمول الرقمي والمهارات الرقمية لدفع ريادة الشباب للأعمال ومشاركتهم في الابتكار والتنمية المستدامة.</w:t>
      </w:r>
    </w:p>
    <w:p w14:paraId="4BB3C845" w14:textId="12838F18" w:rsidR="00FA14E0" w:rsidRPr="00CD32AC" w:rsidRDefault="00387FF3" w:rsidP="00387FF3">
      <w:pPr>
        <w:pStyle w:val="Heading2"/>
        <w:rPr>
          <w:rFonts w:eastAsia="Calibri"/>
          <w:lang w:val="ar-SA" w:eastAsia="zh-TW" w:bidi="en-GB"/>
        </w:rPr>
      </w:pPr>
      <w:r>
        <w:lastRenderedPageBreak/>
        <w:t>5.4</w:t>
      </w:r>
      <w:r>
        <w:tab/>
      </w:r>
      <w:r w:rsidR="00FA14E0" w:rsidRPr="00CD32AC">
        <w:rPr>
          <w:rtl/>
        </w:rPr>
        <w:t>الشراكات من أجل الشمول الرقمي</w:t>
      </w:r>
    </w:p>
    <w:p w14:paraId="00269061" w14:textId="0F6444E4" w:rsidR="00FA14E0" w:rsidRPr="00750848" w:rsidRDefault="00FA14E0" w:rsidP="00750848">
      <w:pPr>
        <w:rPr>
          <w:spacing w:val="-2"/>
          <w:lang w:bidi="ar-EG"/>
        </w:rPr>
      </w:pPr>
      <w:r w:rsidRPr="00750848">
        <w:rPr>
          <w:spacing w:val="-2"/>
          <w:rtl/>
        </w:rPr>
        <w:t xml:space="preserve">تضمن العمل المتعلق بالشمول الرقمي أيضاً التنسيق بين القطاعات وتقديم المساهمات والتعاون مع شركاء الأمم المتحدة، </w:t>
      </w:r>
      <w:r w:rsidR="00E87602" w:rsidRPr="00750848">
        <w:rPr>
          <w:spacing w:val="-2"/>
          <w:rtl/>
        </w:rPr>
        <w:t>بما</w:t>
      </w:r>
      <w:r w:rsidR="00E87602">
        <w:rPr>
          <w:rFonts w:hint="cs"/>
          <w:spacing w:val="-2"/>
          <w:rtl/>
        </w:rPr>
        <w:t> </w:t>
      </w:r>
      <w:r w:rsidRPr="00750848">
        <w:rPr>
          <w:spacing w:val="-2"/>
          <w:rtl/>
        </w:rPr>
        <w:t xml:space="preserve">في ذلك اللجنة الاقتصادية والاجتماعية لغرب آسيا </w:t>
      </w:r>
      <w:r w:rsidRPr="00750848">
        <w:rPr>
          <w:spacing w:val="-2"/>
        </w:rPr>
        <w:t>(ESCWA)</w:t>
      </w:r>
      <w:r w:rsidRPr="00750848">
        <w:rPr>
          <w:spacing w:val="-2"/>
          <w:rtl/>
        </w:rPr>
        <w:t xml:space="preserve"> واللجنة الاقتصادية والاجتماعية لآسيا والمحيط الهادئ (</w:t>
      </w:r>
      <w:r w:rsidRPr="00750848">
        <w:rPr>
          <w:spacing w:val="-2"/>
        </w:rPr>
        <w:t>ESCAP</w:t>
      </w:r>
      <w:r w:rsidRPr="00750848">
        <w:rPr>
          <w:spacing w:val="-2"/>
          <w:rtl/>
        </w:rPr>
        <w:t>) ومؤتمر الأمم المتحدة للتجارة والتنمية (</w:t>
      </w:r>
      <w:r w:rsidRPr="00750848">
        <w:rPr>
          <w:spacing w:val="-2"/>
        </w:rPr>
        <w:t>UNCTAD</w:t>
      </w:r>
      <w:r w:rsidRPr="00750848">
        <w:rPr>
          <w:spacing w:val="-2"/>
          <w:rtl/>
        </w:rPr>
        <w:t>) وإدارة الشؤون الاقتصادية والاجتماعية التابعة للأمم المتحدة (</w:t>
      </w:r>
      <w:r w:rsidRPr="00750848">
        <w:rPr>
          <w:spacing w:val="-2"/>
        </w:rPr>
        <w:t>UNDESA</w:t>
      </w:r>
      <w:r w:rsidRPr="00750848">
        <w:rPr>
          <w:spacing w:val="-2"/>
          <w:rtl/>
        </w:rPr>
        <w:t>) ومفوضية الأمم المتحدة السامية لحقوق الإنسان (</w:t>
      </w:r>
      <w:r w:rsidRPr="00750848">
        <w:rPr>
          <w:spacing w:val="-2"/>
        </w:rPr>
        <w:t>UN-OHCHR</w:t>
      </w:r>
      <w:r w:rsidRPr="00750848">
        <w:rPr>
          <w:spacing w:val="-2"/>
          <w:rtl/>
        </w:rPr>
        <w:t>)</w:t>
      </w:r>
      <w:r w:rsidR="00750848">
        <w:rPr>
          <w:rFonts w:hint="cs"/>
          <w:spacing w:val="-2"/>
          <w:rtl/>
        </w:rPr>
        <w:t xml:space="preserve"> ومنظمة الصحة العالمية </w:t>
      </w:r>
      <w:r w:rsidR="00750848">
        <w:rPr>
          <w:spacing w:val="-2"/>
        </w:rPr>
        <w:t>(WHO)</w:t>
      </w:r>
      <w:r w:rsidRPr="00750848">
        <w:rPr>
          <w:spacing w:val="-2"/>
          <w:rtl/>
        </w:rPr>
        <w:t>، في النهوض بإمكانية النفاذ الرقمي وبناء عالم يسوده الشمول الرقمي ولا يتخلف فيه أحد عن الركب. وأسهم في توسيع نطاق التوعية وتنفيذ برنامج الشمول الرقمي عقدُ شراكات مع منظمات مثل معهد الأمم المتحدة للتدريب والبحث (</w:t>
      </w:r>
      <w:r w:rsidRPr="00750848">
        <w:rPr>
          <w:spacing w:val="-2"/>
        </w:rPr>
        <w:t>UNITAR</w:t>
      </w:r>
      <w:r w:rsidRPr="00750848">
        <w:rPr>
          <w:spacing w:val="-2"/>
          <w:rtl/>
        </w:rPr>
        <w:t>)، ومركز التجارة الدولية (</w:t>
      </w:r>
      <w:r w:rsidRPr="00750848">
        <w:rPr>
          <w:spacing w:val="-2"/>
        </w:rPr>
        <w:t>ITC</w:t>
      </w:r>
      <w:r w:rsidRPr="00750848">
        <w:rPr>
          <w:spacing w:val="-2"/>
          <w:rtl/>
        </w:rPr>
        <w:t>)، ومنظمة العمل الدولية (</w:t>
      </w:r>
      <w:r w:rsidRPr="00750848">
        <w:rPr>
          <w:spacing w:val="-2"/>
        </w:rPr>
        <w:t>ILO</w:t>
      </w:r>
      <w:r w:rsidRPr="00750848">
        <w:rPr>
          <w:spacing w:val="-2"/>
          <w:rtl/>
        </w:rPr>
        <w:t>)، ومنظمة الأمم المتحدة للطفولة (</w:t>
      </w:r>
      <w:r w:rsidRPr="00750848">
        <w:rPr>
          <w:spacing w:val="-2"/>
        </w:rPr>
        <w:t>UNICEF</w:t>
      </w:r>
      <w:r w:rsidRPr="00750848">
        <w:rPr>
          <w:spacing w:val="-2"/>
          <w:rtl/>
        </w:rPr>
        <w:t xml:space="preserve">)، وشركة </w:t>
      </w:r>
      <w:r w:rsidRPr="00750848">
        <w:rPr>
          <w:spacing w:val="-2"/>
        </w:rPr>
        <w:t>Qualcomm</w:t>
      </w:r>
      <w:r w:rsidRPr="00750848">
        <w:rPr>
          <w:spacing w:val="-2"/>
          <w:rtl/>
        </w:rPr>
        <w:t xml:space="preserve">، وشركة </w:t>
      </w:r>
      <w:r w:rsidRPr="00750848">
        <w:rPr>
          <w:spacing w:val="-2"/>
        </w:rPr>
        <w:t>Verizon</w:t>
      </w:r>
      <w:r w:rsidRPr="00750848">
        <w:rPr>
          <w:spacing w:val="-2"/>
          <w:rtl/>
        </w:rPr>
        <w:t xml:space="preserve">، وشبكة الويب العالمية للمرأة </w:t>
      </w:r>
      <w:r w:rsidRPr="00750848">
        <w:rPr>
          <w:spacing w:val="-2"/>
        </w:rPr>
        <w:t>(W4)</w:t>
      </w:r>
      <w:r w:rsidRPr="00750848">
        <w:rPr>
          <w:spacing w:val="-2"/>
          <w:rtl/>
        </w:rPr>
        <w:t xml:space="preserve">، وشركة </w:t>
      </w:r>
      <w:r w:rsidRPr="00750848">
        <w:rPr>
          <w:spacing w:val="-2"/>
        </w:rPr>
        <w:t>EY</w:t>
      </w:r>
      <w:r w:rsidRPr="00750848">
        <w:rPr>
          <w:spacing w:val="-2"/>
          <w:rtl/>
        </w:rPr>
        <w:t>، ورابطة النظام العالمي للاتصالات المتنقلة (</w:t>
      </w:r>
      <w:r w:rsidRPr="00750848">
        <w:rPr>
          <w:spacing w:val="-2"/>
        </w:rPr>
        <w:t>GSMA</w:t>
      </w:r>
      <w:r w:rsidRPr="00750848">
        <w:rPr>
          <w:spacing w:val="-2"/>
          <w:rtl/>
        </w:rPr>
        <w:t>)، والمعهد الكوري المتقدم للعلوم والتكنولوجيا</w:t>
      </w:r>
      <w:r w:rsidR="00750848">
        <w:rPr>
          <w:rFonts w:hint="cs"/>
          <w:spacing w:val="-2"/>
          <w:rtl/>
        </w:rPr>
        <w:t> </w:t>
      </w:r>
      <w:r w:rsidRPr="00750848">
        <w:rPr>
          <w:spacing w:val="-2"/>
          <w:rtl/>
        </w:rPr>
        <w:t>(</w:t>
      </w:r>
      <w:r w:rsidRPr="00750848">
        <w:rPr>
          <w:spacing w:val="-2"/>
        </w:rPr>
        <w:t>KAIST</w:t>
      </w:r>
      <w:r w:rsidRPr="00750848">
        <w:rPr>
          <w:spacing w:val="-2"/>
          <w:rtl/>
        </w:rPr>
        <w:t xml:space="preserve">)، وشركة </w:t>
      </w:r>
      <w:r w:rsidR="00750848" w:rsidRPr="00750848">
        <w:rPr>
          <w:spacing w:val="-2"/>
        </w:rPr>
        <w:t>Huawei</w:t>
      </w:r>
      <w:r w:rsidRPr="00750848">
        <w:rPr>
          <w:spacing w:val="-2"/>
          <w:rtl/>
        </w:rPr>
        <w:t>، ورابطة الاتصالات التقدمية (</w:t>
      </w:r>
      <w:r w:rsidRPr="00750848">
        <w:rPr>
          <w:spacing w:val="-2"/>
        </w:rPr>
        <w:t>APC</w:t>
      </w:r>
      <w:r w:rsidRPr="00750848">
        <w:rPr>
          <w:spacing w:val="-2"/>
          <w:rtl/>
        </w:rPr>
        <w:t xml:space="preserve">)، ومؤسسة </w:t>
      </w:r>
      <w:proofErr w:type="spellStart"/>
      <w:r w:rsidRPr="00750848">
        <w:rPr>
          <w:spacing w:val="-2"/>
        </w:rPr>
        <w:t>Rhizomatica</w:t>
      </w:r>
      <w:proofErr w:type="spellEnd"/>
      <w:r w:rsidRPr="00750848">
        <w:rPr>
          <w:spacing w:val="-2"/>
          <w:rtl/>
        </w:rPr>
        <w:t xml:space="preserve">، ومنظمة </w:t>
      </w:r>
      <w:r w:rsidR="00750848" w:rsidRPr="00750848">
        <w:rPr>
          <w:spacing w:val="-2"/>
          <w:lang w:val="en-GB"/>
        </w:rPr>
        <w:t>REDES A.C.</w:t>
      </w:r>
      <w:r w:rsidRPr="00750848">
        <w:rPr>
          <w:spacing w:val="-2"/>
          <w:rtl/>
        </w:rPr>
        <w:t>، والمعهد الإفريقي المتقدم للاتصالات (</w:t>
      </w:r>
      <w:r w:rsidRPr="00750848">
        <w:rPr>
          <w:spacing w:val="-2"/>
        </w:rPr>
        <w:t>AFRALTI</w:t>
      </w:r>
      <w:r w:rsidRPr="00750848">
        <w:rPr>
          <w:spacing w:val="-2"/>
          <w:rtl/>
        </w:rPr>
        <w:t xml:space="preserve">)، ومنظمة </w:t>
      </w:r>
      <w:proofErr w:type="spellStart"/>
      <w:r w:rsidRPr="00750848">
        <w:rPr>
          <w:spacing w:val="-2"/>
        </w:rPr>
        <w:t>Intersputnik</w:t>
      </w:r>
      <w:proofErr w:type="spellEnd"/>
      <w:r w:rsidRPr="00750848">
        <w:rPr>
          <w:spacing w:val="-2"/>
          <w:rtl/>
        </w:rPr>
        <w:t xml:space="preserve">، وشركة </w:t>
      </w:r>
      <w:r w:rsidRPr="00750848">
        <w:rPr>
          <w:spacing w:val="-2"/>
        </w:rPr>
        <w:t>ZTI-China</w:t>
      </w:r>
      <w:r w:rsidRPr="00750848">
        <w:rPr>
          <w:spacing w:val="-2"/>
          <w:rtl/>
        </w:rPr>
        <w:t>، ووكالات أخرى للأمم المتحدة وأعضاء جدد من الهيئات الأكاديمية.</w:t>
      </w:r>
    </w:p>
    <w:p w14:paraId="7EA137C8" w14:textId="77777777" w:rsidR="007B4FA0" w:rsidRDefault="00153471" w:rsidP="00FA14E0">
      <w:pPr>
        <w:spacing w:before="600"/>
        <w:jc w:val="center"/>
        <w:rPr>
          <w:lang w:bidi="ar-EG"/>
        </w:rPr>
      </w:pPr>
      <w:r w:rsidRPr="00FC4592">
        <w:rPr>
          <w:rFonts w:hint="cs"/>
          <w:rtl/>
          <w:lang w:bidi="ar-EG"/>
        </w:rPr>
        <w:t>ــــــــــــــــــــــــــــــــــــــــــــــــــــــــــــــــــــــــــــــــــــــــــــــــ</w:t>
      </w:r>
    </w:p>
    <w:sectPr w:rsidR="007B4FA0" w:rsidSect="006C3242">
      <w:headerReference w:type="default" r:id="rId55"/>
      <w:footerReference w:type="first" r:id="rId56"/>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B9779" w14:textId="77777777" w:rsidR="00D63F1F" w:rsidRDefault="00D63F1F" w:rsidP="006C3242">
      <w:pPr>
        <w:spacing w:before="0" w:line="240" w:lineRule="auto"/>
      </w:pPr>
      <w:r>
        <w:separator/>
      </w:r>
    </w:p>
  </w:endnote>
  <w:endnote w:type="continuationSeparator" w:id="0">
    <w:p w14:paraId="66031BC7" w14:textId="77777777" w:rsidR="00D63F1F" w:rsidRDefault="00D63F1F"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0" w:type="auto"/>
      <w:tblLook w:val="04A0" w:firstRow="1" w:lastRow="0" w:firstColumn="1" w:lastColumn="0" w:noHBand="0" w:noVBand="1"/>
      <w:tblCaption w:val="اسم الشخص الذي يمكن الاتصال به بشأن الوثيقة وبيانات الاتصال الخاصة به"/>
    </w:tblPr>
    <w:tblGrid>
      <w:gridCol w:w="991"/>
      <w:gridCol w:w="2411"/>
      <w:gridCol w:w="6237"/>
    </w:tblGrid>
    <w:tr w:rsidR="00AD1E92" w:rsidRPr="00AD1E92" w14:paraId="7A1903AA" w14:textId="77777777" w:rsidTr="00031158">
      <w:tc>
        <w:tcPr>
          <w:tcW w:w="991" w:type="dxa"/>
          <w:tcBorders>
            <w:top w:val="single" w:sz="4" w:space="0" w:color="auto"/>
            <w:left w:val="nil"/>
            <w:bottom w:val="nil"/>
            <w:right w:val="nil"/>
          </w:tcBorders>
          <w:shd w:val="clear" w:color="auto" w:fill="FFFFFF" w:themeFill="background1"/>
          <w:hideMark/>
        </w:tcPr>
        <w:p w14:paraId="2DD18DB8" w14:textId="77777777" w:rsidR="00AD1E92" w:rsidRPr="00AD1E92" w:rsidRDefault="00AD1E92" w:rsidP="00AD1E92">
          <w:pPr>
            <w:spacing w:before="60" w:after="40" w:line="260" w:lineRule="exact"/>
            <w:rPr>
              <w:position w:val="2"/>
              <w:sz w:val="18"/>
              <w:szCs w:val="18"/>
              <w:lang w:val="en-GB"/>
            </w:rPr>
          </w:pPr>
          <w:r w:rsidRPr="00AD1E92">
            <w:rPr>
              <w:position w:val="2"/>
              <w:sz w:val="18"/>
              <w:szCs w:val="18"/>
              <w:rtl/>
              <w:lang w:val="fr-FR" w:bidi="ar-EG"/>
            </w:rPr>
            <w:t>للاتصال:</w:t>
          </w:r>
        </w:p>
      </w:tc>
      <w:tc>
        <w:tcPr>
          <w:tcW w:w="2411" w:type="dxa"/>
          <w:tcBorders>
            <w:top w:val="single" w:sz="4" w:space="0" w:color="auto"/>
            <w:left w:val="nil"/>
            <w:bottom w:val="nil"/>
            <w:right w:val="nil"/>
          </w:tcBorders>
          <w:shd w:val="clear" w:color="auto" w:fill="FFFFFF" w:themeFill="background1"/>
          <w:hideMark/>
        </w:tcPr>
        <w:p w14:paraId="5B36A35C" w14:textId="77777777" w:rsidR="00AD1E92" w:rsidRPr="00AD1E92" w:rsidRDefault="00AD1E92" w:rsidP="00AD1E92">
          <w:pPr>
            <w:spacing w:before="60" w:after="40" w:line="260" w:lineRule="exact"/>
            <w:rPr>
              <w:position w:val="2"/>
              <w:sz w:val="18"/>
              <w:szCs w:val="18"/>
              <w:lang w:val="en-GB"/>
            </w:rPr>
          </w:pPr>
          <w:r w:rsidRPr="00AD1E92">
            <w:rPr>
              <w:position w:val="2"/>
              <w:sz w:val="18"/>
              <w:szCs w:val="18"/>
              <w:rtl/>
              <w:lang w:val="fr-FR" w:bidi="ar-EG"/>
            </w:rPr>
            <w:t>الاسم/المنظمة/الكيان:</w:t>
          </w:r>
        </w:p>
      </w:tc>
      <w:tc>
        <w:tcPr>
          <w:tcW w:w="6237" w:type="dxa"/>
          <w:tcBorders>
            <w:top w:val="single" w:sz="4" w:space="0" w:color="auto"/>
            <w:left w:val="nil"/>
            <w:bottom w:val="nil"/>
            <w:right w:val="nil"/>
          </w:tcBorders>
          <w:shd w:val="clear" w:color="auto" w:fill="FFFFFF" w:themeFill="background1"/>
        </w:tcPr>
        <w:p w14:paraId="5A25E041" w14:textId="12DE34A3" w:rsidR="00AD1E92" w:rsidRPr="00723E2C" w:rsidRDefault="00FA14E0" w:rsidP="00AD1E92">
          <w:pPr>
            <w:spacing w:before="60" w:after="40" w:line="260" w:lineRule="exact"/>
            <w:rPr>
              <w:spacing w:val="-2"/>
              <w:position w:val="2"/>
              <w:sz w:val="18"/>
              <w:szCs w:val="18"/>
              <w:lang w:val="en-GB"/>
            </w:rPr>
          </w:pPr>
          <w:r w:rsidRPr="00723E2C">
            <w:rPr>
              <w:spacing w:val="-2"/>
              <w:position w:val="2"/>
              <w:sz w:val="18"/>
              <w:szCs w:val="18"/>
              <w:rtl/>
              <w:lang w:val="en-GB"/>
            </w:rPr>
            <w:t xml:space="preserve">السيدة </w:t>
          </w:r>
          <w:r w:rsidRPr="00723E2C">
            <w:rPr>
              <w:spacing w:val="-2"/>
              <w:position w:val="2"/>
              <w:sz w:val="18"/>
              <w:szCs w:val="18"/>
              <w:lang w:val="en-GB"/>
            </w:rPr>
            <w:t>Roxana Widmer-Iliescu</w:t>
          </w:r>
          <w:r w:rsidRPr="00723E2C">
            <w:rPr>
              <w:spacing w:val="-2"/>
              <w:position w:val="2"/>
              <w:sz w:val="18"/>
              <w:szCs w:val="18"/>
              <w:rtl/>
              <w:lang w:val="en-GB"/>
            </w:rPr>
            <w:t>، الشمول الرقمي/دائرة مجتمع المعارف الرقمية/مكتب تنمية الاتصالات/الاتحاد الدولي للاتصالات</w:t>
          </w:r>
        </w:p>
      </w:tc>
    </w:tr>
    <w:tr w:rsidR="00AD1E92" w:rsidRPr="00AD1E92" w14:paraId="09758B71" w14:textId="77777777" w:rsidTr="00031158">
      <w:tc>
        <w:tcPr>
          <w:tcW w:w="991" w:type="dxa"/>
        </w:tcPr>
        <w:p w14:paraId="2CAE79BC" w14:textId="77777777" w:rsidR="00AD1E92" w:rsidRPr="00AD1E92" w:rsidRDefault="00AD1E92" w:rsidP="00AD1E92">
          <w:pPr>
            <w:spacing w:before="60" w:after="40" w:line="260" w:lineRule="exact"/>
            <w:rPr>
              <w:position w:val="2"/>
              <w:sz w:val="18"/>
              <w:szCs w:val="18"/>
              <w:lang w:val="en-GB"/>
            </w:rPr>
          </w:pPr>
        </w:p>
      </w:tc>
      <w:tc>
        <w:tcPr>
          <w:tcW w:w="2411" w:type="dxa"/>
          <w:hideMark/>
        </w:tcPr>
        <w:p w14:paraId="3C80E735" w14:textId="77777777" w:rsidR="00AD1E92" w:rsidRPr="00AD1E92" w:rsidRDefault="00AD1E92" w:rsidP="00AD1E92">
          <w:pPr>
            <w:spacing w:before="60" w:after="40" w:line="260" w:lineRule="exact"/>
            <w:rPr>
              <w:position w:val="2"/>
              <w:sz w:val="18"/>
              <w:szCs w:val="18"/>
              <w:lang w:val="en-GB"/>
            </w:rPr>
          </w:pPr>
          <w:r w:rsidRPr="00AD1E92">
            <w:rPr>
              <w:position w:val="2"/>
              <w:sz w:val="18"/>
              <w:szCs w:val="18"/>
              <w:rtl/>
              <w:lang w:val="fr-FR" w:bidi="ar-EG"/>
            </w:rPr>
            <w:t>رقم الهاتف:</w:t>
          </w:r>
        </w:p>
      </w:tc>
      <w:tc>
        <w:tcPr>
          <w:tcW w:w="6237" w:type="dxa"/>
        </w:tcPr>
        <w:p w14:paraId="3832A1CA" w14:textId="73684F5F" w:rsidR="00AD1E92" w:rsidRPr="00AD1E92" w:rsidRDefault="00FA14E0" w:rsidP="00FA14E0">
          <w:pPr>
            <w:spacing w:before="60" w:after="40" w:line="260" w:lineRule="exact"/>
            <w:rPr>
              <w:position w:val="2"/>
              <w:sz w:val="18"/>
              <w:szCs w:val="18"/>
              <w:lang w:val="en-GB"/>
            </w:rPr>
          </w:pPr>
          <w:r>
            <w:rPr>
              <w:position w:val="2"/>
              <w:sz w:val="18"/>
              <w:szCs w:val="18"/>
              <w:lang w:val="en-GB"/>
            </w:rPr>
            <w:t>+41 22 730 5474</w:t>
          </w:r>
        </w:p>
      </w:tc>
    </w:tr>
    <w:tr w:rsidR="00AD1E92" w:rsidRPr="00AD1E92" w14:paraId="5A1A3573" w14:textId="77777777" w:rsidTr="00031158">
      <w:tc>
        <w:tcPr>
          <w:tcW w:w="991" w:type="dxa"/>
        </w:tcPr>
        <w:p w14:paraId="7D732558" w14:textId="77777777" w:rsidR="00AD1E92" w:rsidRPr="00AD1E92" w:rsidRDefault="00AD1E92" w:rsidP="00AD1E92">
          <w:pPr>
            <w:spacing w:before="60" w:after="40" w:line="260" w:lineRule="exact"/>
            <w:rPr>
              <w:position w:val="2"/>
              <w:sz w:val="18"/>
              <w:szCs w:val="18"/>
              <w:lang w:val="en-GB"/>
            </w:rPr>
          </w:pPr>
        </w:p>
      </w:tc>
      <w:tc>
        <w:tcPr>
          <w:tcW w:w="2411" w:type="dxa"/>
          <w:hideMark/>
        </w:tcPr>
        <w:p w14:paraId="456CA31F" w14:textId="77777777" w:rsidR="00AD1E92" w:rsidRPr="00AD1E92" w:rsidRDefault="00AD1E92" w:rsidP="00AD1E92">
          <w:pPr>
            <w:spacing w:before="60" w:after="40" w:line="260" w:lineRule="exact"/>
            <w:rPr>
              <w:position w:val="2"/>
              <w:sz w:val="18"/>
              <w:szCs w:val="18"/>
              <w:lang w:val="en-GB"/>
            </w:rPr>
          </w:pPr>
          <w:r w:rsidRPr="00AD1E92">
            <w:rPr>
              <w:position w:val="2"/>
              <w:sz w:val="18"/>
              <w:szCs w:val="18"/>
              <w:rtl/>
              <w:lang w:val="fr-FR" w:bidi="ar-EG"/>
            </w:rPr>
            <w:t>البريد الإلكتروني:</w:t>
          </w:r>
        </w:p>
      </w:tc>
      <w:tc>
        <w:tcPr>
          <w:tcW w:w="6237" w:type="dxa"/>
        </w:tcPr>
        <w:p w14:paraId="73BAA35E" w14:textId="51C854F9" w:rsidR="00AD1E92" w:rsidRPr="00F64B36" w:rsidRDefault="00EB7C1C" w:rsidP="00AD1E92">
          <w:pPr>
            <w:spacing w:before="60" w:after="40" w:line="260" w:lineRule="exact"/>
            <w:rPr>
              <w:position w:val="2"/>
              <w:sz w:val="18"/>
              <w:szCs w:val="18"/>
              <w:rtl/>
              <w:lang w:val="fr-FR" w:bidi="ar-EG"/>
            </w:rPr>
          </w:pPr>
          <w:hyperlink r:id="rId1" w:history="1">
            <w:r w:rsidR="00FA14E0" w:rsidRPr="00723E2C">
              <w:rPr>
                <w:rStyle w:val="Hyperlink"/>
                <w:sz w:val="18"/>
                <w:szCs w:val="18"/>
              </w:rPr>
              <w:t>roxana.widmer-iliescu@itu.int</w:t>
            </w:r>
          </w:hyperlink>
        </w:p>
      </w:tc>
    </w:tr>
  </w:tbl>
  <w:bookmarkStart w:id="2" w:name="_Hlk56495155"/>
  <w:p w14:paraId="3A81509F" w14:textId="4EEEB585" w:rsidR="009E5762" w:rsidRPr="009E5762" w:rsidRDefault="009E5762" w:rsidP="009E5762">
    <w:pPr>
      <w:tabs>
        <w:tab w:val="clear" w:pos="794"/>
        <w:tab w:val="left" w:pos="1134"/>
        <w:tab w:val="left" w:pos="1871"/>
        <w:tab w:val="left" w:pos="2268"/>
      </w:tabs>
      <w:overflowPunct w:val="0"/>
      <w:autoSpaceDE w:val="0"/>
      <w:autoSpaceDN w:val="0"/>
      <w:bidi w:val="0"/>
      <w:adjustRightInd w:val="0"/>
      <w:spacing w:after="0" w:line="240" w:lineRule="auto"/>
      <w:jc w:val="center"/>
      <w:textAlignment w:val="baseline"/>
      <w:rPr>
        <w:rFonts w:ascii="Calibri" w:eastAsia="Times New Roman" w:hAnsi="Calibri" w:cs="Times New Roman"/>
        <w:sz w:val="24"/>
        <w:szCs w:val="20"/>
        <w:lang w:val="en-GB" w:eastAsia="en-US"/>
      </w:rPr>
    </w:pPr>
    <w:r w:rsidRPr="009E5762">
      <w:rPr>
        <w:rFonts w:ascii="Calibri" w:eastAsia="Times New Roman" w:hAnsi="Calibri" w:cs="Times New Roman"/>
        <w:sz w:val="20"/>
        <w:szCs w:val="20"/>
        <w:lang w:val="en-GB" w:eastAsia="en-US"/>
      </w:rPr>
      <w:fldChar w:fldCharType="begin"/>
    </w:r>
    <w:r w:rsidRPr="009E5762">
      <w:rPr>
        <w:rFonts w:ascii="Calibri" w:eastAsia="Times New Roman" w:hAnsi="Calibri" w:cs="Times New Roman"/>
        <w:sz w:val="20"/>
        <w:szCs w:val="20"/>
        <w:lang w:val="en-GB" w:eastAsia="en-US"/>
      </w:rPr>
      <w:instrText>HYPERLINK "https://www.itu.int/en/ITU-D/Conferences/WTDC/WTDC25/Pages/default.aspx"</w:instrText>
    </w:r>
    <w:r w:rsidRPr="009E5762">
      <w:rPr>
        <w:rFonts w:ascii="Calibri" w:eastAsia="Times New Roman" w:hAnsi="Calibri" w:cs="Times New Roman"/>
        <w:sz w:val="20"/>
        <w:szCs w:val="20"/>
        <w:lang w:val="en-GB" w:eastAsia="en-US"/>
      </w:rPr>
      <w:fldChar w:fldCharType="separate"/>
    </w:r>
    <w:r w:rsidRPr="009E5762">
      <w:rPr>
        <w:rFonts w:ascii="Calibri" w:eastAsia="Times New Roman" w:hAnsi="Calibri" w:cs="Times New Roman"/>
        <w:color w:val="0000FF"/>
        <w:sz w:val="20"/>
        <w:szCs w:val="20"/>
        <w:u w:val="single"/>
        <w:lang w:val="en-GB" w:eastAsia="en-US"/>
      </w:rPr>
      <w:t>WTDC</w:t>
    </w:r>
    <w:r w:rsidRPr="009E5762">
      <w:rPr>
        <w:rFonts w:ascii="Calibri" w:eastAsia="Times New Roman" w:hAnsi="Calibri" w:cs="Times New Roman"/>
        <w:caps/>
        <w:sz w:val="20"/>
        <w:szCs w:val="20"/>
        <w:lang w:val="en-GB" w:eastAsia="en-US"/>
      </w:rPr>
      <w:fldChar w:fldCharType="end"/>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0B004" w14:textId="77777777" w:rsidR="00D63F1F" w:rsidRDefault="00D63F1F" w:rsidP="006C3242">
      <w:pPr>
        <w:spacing w:before="0" w:line="240" w:lineRule="auto"/>
      </w:pPr>
      <w:r>
        <w:separator/>
      </w:r>
    </w:p>
  </w:footnote>
  <w:footnote w:type="continuationSeparator" w:id="0">
    <w:p w14:paraId="3BC1B827" w14:textId="77777777" w:rsidR="00D63F1F" w:rsidRDefault="00D63F1F"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tl/>
      </w:rPr>
      <w:id w:val="-1375531529"/>
      <w:docPartObj>
        <w:docPartGallery w:val="Page Numbers (Top of Page)"/>
        <w:docPartUnique/>
      </w:docPartObj>
    </w:sdtPr>
    <w:sdtEndPr>
      <w:rPr>
        <w:rFonts w:cs="Calibri"/>
        <w:noProof/>
        <w:sz w:val="18"/>
        <w:szCs w:val="18"/>
      </w:rPr>
    </w:sdtEndPr>
    <w:sdtContent>
      <w:p w14:paraId="7E5B1A6D" w14:textId="0C1B10FC" w:rsidR="00882A17" w:rsidRPr="00FC3D2F" w:rsidRDefault="00882A17" w:rsidP="004F0F62">
        <w:pPr>
          <w:pStyle w:val="Header"/>
          <w:tabs>
            <w:tab w:val="clear" w:pos="794"/>
            <w:tab w:val="clear" w:pos="4680"/>
            <w:tab w:val="clear" w:pos="9360"/>
            <w:tab w:val="center" w:pos="4819"/>
            <w:tab w:val="right" w:pos="9639"/>
          </w:tabs>
          <w:spacing w:before="120" w:line="192" w:lineRule="auto"/>
          <w:rPr>
            <w:sz w:val="20"/>
            <w:szCs w:val="20"/>
            <w:rtl/>
            <w:lang w:bidi="ar-EG"/>
          </w:rPr>
        </w:pPr>
        <w:r w:rsidRPr="00FC3D2F">
          <w:rPr>
            <w:sz w:val="20"/>
            <w:szCs w:val="20"/>
          </w:rPr>
          <w:tab/>
        </w:r>
        <w:r w:rsidR="00FA14E0" w:rsidRPr="00FA14E0">
          <w:rPr>
            <w:sz w:val="20"/>
            <w:szCs w:val="20"/>
            <w:lang w:val="es-ES_tradnl"/>
          </w:rPr>
          <w:t>WTDC-25/15-</w:t>
        </w:r>
        <w:r w:rsidR="00FA14E0">
          <w:rPr>
            <w:sz w:val="20"/>
            <w:szCs w:val="20"/>
            <w:lang w:val="es-ES_tradnl"/>
          </w:rPr>
          <w:t>A</w:t>
        </w:r>
        <w:r w:rsidRPr="00FC3D2F">
          <w:rPr>
            <w:sz w:val="20"/>
            <w:szCs w:val="20"/>
            <w:rtl/>
            <w:lang w:bidi="ar-EG"/>
          </w:rPr>
          <w:tab/>
        </w:r>
        <w:r w:rsidRPr="00FC3D2F">
          <w:rPr>
            <w:rFonts w:hint="cs"/>
            <w:sz w:val="20"/>
            <w:szCs w:val="20"/>
            <w:rtl/>
          </w:rPr>
          <w:t>الصفحة</w:t>
        </w:r>
        <w:r w:rsidRPr="00FC3D2F">
          <w:rPr>
            <w:rFonts w:hint="cs"/>
            <w:sz w:val="20"/>
            <w:szCs w:val="20"/>
            <w:rtl/>
            <w:lang w:bidi="ar-EG"/>
          </w:rPr>
          <w:t xml:space="preserve"> </w:t>
        </w:r>
        <w:r w:rsidRPr="00FC3D2F">
          <w:rPr>
            <w:sz w:val="20"/>
            <w:szCs w:val="20"/>
            <w:lang w:val="en-GB"/>
          </w:rPr>
          <w:fldChar w:fldCharType="begin"/>
        </w:r>
        <w:r w:rsidRPr="00FC3D2F">
          <w:rPr>
            <w:sz w:val="20"/>
            <w:szCs w:val="20"/>
            <w:lang w:val="en-GB"/>
          </w:rPr>
          <w:instrText xml:space="preserve"> PAGE </w:instrText>
        </w:r>
        <w:r w:rsidRPr="00FC3D2F">
          <w:rPr>
            <w:sz w:val="20"/>
            <w:szCs w:val="20"/>
            <w:lang w:val="en-GB"/>
          </w:rPr>
          <w:fldChar w:fldCharType="separate"/>
        </w:r>
        <w:r>
          <w:rPr>
            <w:sz w:val="20"/>
            <w:szCs w:val="20"/>
            <w:lang w:val="en-GB"/>
          </w:rPr>
          <w:t>2</w:t>
        </w:r>
        <w:r w:rsidRPr="00FC3D2F">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A6E2D68"/>
    <w:multiLevelType w:val="hybridMultilevel"/>
    <w:tmpl w:val="6BF61E36"/>
    <w:lvl w:ilvl="0" w:tplc="93E6492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4EAA1220"/>
    <w:multiLevelType w:val="hybridMultilevel"/>
    <w:tmpl w:val="2234AAB6"/>
    <w:lvl w:ilvl="0" w:tplc="93E6492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608C25CE"/>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79055848">
    <w:abstractNumId w:val="9"/>
  </w:num>
  <w:num w:numId="2" w16cid:durableId="278032336">
    <w:abstractNumId w:val="7"/>
  </w:num>
  <w:num w:numId="3" w16cid:durableId="2117014624">
    <w:abstractNumId w:val="6"/>
  </w:num>
  <w:num w:numId="4" w16cid:durableId="1018123782">
    <w:abstractNumId w:val="5"/>
  </w:num>
  <w:num w:numId="5" w16cid:durableId="1285501260">
    <w:abstractNumId w:val="4"/>
  </w:num>
  <w:num w:numId="6" w16cid:durableId="2058360318">
    <w:abstractNumId w:val="8"/>
  </w:num>
  <w:num w:numId="7" w16cid:durableId="922026142">
    <w:abstractNumId w:val="3"/>
  </w:num>
  <w:num w:numId="8" w16cid:durableId="806315248">
    <w:abstractNumId w:val="2"/>
  </w:num>
  <w:num w:numId="9" w16cid:durableId="85658639">
    <w:abstractNumId w:val="1"/>
  </w:num>
  <w:num w:numId="10" w16cid:durableId="1272473642">
    <w:abstractNumId w:val="0"/>
  </w:num>
  <w:num w:numId="11" w16cid:durableId="809979688">
    <w:abstractNumId w:val="10"/>
  </w:num>
  <w:num w:numId="12" w16cid:durableId="1988434523">
    <w:abstractNumId w:val="1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lvl>
    </w:lvlOverride>
  </w:num>
  <w:num w:numId="13" w16cid:durableId="518353097">
    <w:abstractNumId w:val="11"/>
    <w:lvlOverride w:ilvl="0">
      <w:lvl w:ilvl="0" w:tplc="93E6492E">
        <w:start w:val="1"/>
        <w:numFmt w:val="bullet"/>
        <w:lvlText w:val=""/>
        <w:lvlJc w:val="left"/>
        <w:pPr>
          <w:ind w:left="720" w:hanging="360"/>
        </w:pPr>
        <w:rPr>
          <w:rFonts w:ascii="Symbol" w:hAnsi="Symbol" w:hint="default"/>
        </w:rPr>
      </w:lvl>
    </w:lvlOverride>
  </w:num>
  <w:num w:numId="14" w16cid:durableId="942225863">
    <w:abstractNumId w:val="12"/>
    <w:lvlOverride w:ilvl="0">
      <w:lvl w:ilvl="0" w:tplc="93E6492E">
        <w:start w:val="1"/>
        <w:numFmt w:val="bullet"/>
        <w:lvlText w:val=""/>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C10"/>
    <w:rsid w:val="00026D7C"/>
    <w:rsid w:val="00034526"/>
    <w:rsid w:val="00062F2F"/>
    <w:rsid w:val="0006468A"/>
    <w:rsid w:val="00090574"/>
    <w:rsid w:val="000C1C0E"/>
    <w:rsid w:val="000C548A"/>
    <w:rsid w:val="00122BB5"/>
    <w:rsid w:val="001277E6"/>
    <w:rsid w:val="00145668"/>
    <w:rsid w:val="00146028"/>
    <w:rsid w:val="00153471"/>
    <w:rsid w:val="00157A2A"/>
    <w:rsid w:val="0019128D"/>
    <w:rsid w:val="001C0169"/>
    <w:rsid w:val="001D1D50"/>
    <w:rsid w:val="001D6745"/>
    <w:rsid w:val="001E446E"/>
    <w:rsid w:val="0021016E"/>
    <w:rsid w:val="002154EE"/>
    <w:rsid w:val="002160AA"/>
    <w:rsid w:val="002276D2"/>
    <w:rsid w:val="0023283D"/>
    <w:rsid w:val="0026373E"/>
    <w:rsid w:val="00271C43"/>
    <w:rsid w:val="002809CB"/>
    <w:rsid w:val="00290728"/>
    <w:rsid w:val="002978CE"/>
    <w:rsid w:val="002978F4"/>
    <w:rsid w:val="002B028D"/>
    <w:rsid w:val="002D695E"/>
    <w:rsid w:val="002E6541"/>
    <w:rsid w:val="002F0965"/>
    <w:rsid w:val="00300E95"/>
    <w:rsid w:val="00317741"/>
    <w:rsid w:val="0032762B"/>
    <w:rsid w:val="00334924"/>
    <w:rsid w:val="003409BC"/>
    <w:rsid w:val="00352462"/>
    <w:rsid w:val="00357185"/>
    <w:rsid w:val="00383829"/>
    <w:rsid w:val="00387FF3"/>
    <w:rsid w:val="003971E3"/>
    <w:rsid w:val="003C4402"/>
    <w:rsid w:val="003D1641"/>
    <w:rsid w:val="003E27B7"/>
    <w:rsid w:val="003F4B29"/>
    <w:rsid w:val="00415474"/>
    <w:rsid w:val="004200BD"/>
    <w:rsid w:val="0042552A"/>
    <w:rsid w:val="0042686F"/>
    <w:rsid w:val="004317D8"/>
    <w:rsid w:val="00434183"/>
    <w:rsid w:val="00443869"/>
    <w:rsid w:val="00444830"/>
    <w:rsid w:val="00447F32"/>
    <w:rsid w:val="00457868"/>
    <w:rsid w:val="00457D22"/>
    <w:rsid w:val="004A0B7B"/>
    <w:rsid w:val="004A66AD"/>
    <w:rsid w:val="004D48AE"/>
    <w:rsid w:val="004E11DC"/>
    <w:rsid w:val="004F0F62"/>
    <w:rsid w:val="004F3C48"/>
    <w:rsid w:val="00506E94"/>
    <w:rsid w:val="00525DDD"/>
    <w:rsid w:val="005401B4"/>
    <w:rsid w:val="005409AC"/>
    <w:rsid w:val="0055516A"/>
    <w:rsid w:val="00575B40"/>
    <w:rsid w:val="0058491B"/>
    <w:rsid w:val="005874F2"/>
    <w:rsid w:val="00591822"/>
    <w:rsid w:val="00592EA5"/>
    <w:rsid w:val="00596FBD"/>
    <w:rsid w:val="005A3170"/>
    <w:rsid w:val="005B2C89"/>
    <w:rsid w:val="005C0C76"/>
    <w:rsid w:val="005D610E"/>
    <w:rsid w:val="005D63D6"/>
    <w:rsid w:val="005E1E6D"/>
    <w:rsid w:val="005F3DBA"/>
    <w:rsid w:val="00603A1D"/>
    <w:rsid w:val="006128FC"/>
    <w:rsid w:val="00677396"/>
    <w:rsid w:val="0069200F"/>
    <w:rsid w:val="006A5FEC"/>
    <w:rsid w:val="006A65CB"/>
    <w:rsid w:val="006B266A"/>
    <w:rsid w:val="006C3242"/>
    <w:rsid w:val="006C7CC0"/>
    <w:rsid w:val="006E4285"/>
    <w:rsid w:val="006F63F7"/>
    <w:rsid w:val="007025C7"/>
    <w:rsid w:val="00706D7A"/>
    <w:rsid w:val="00722F0D"/>
    <w:rsid w:val="00723E2C"/>
    <w:rsid w:val="00741CEA"/>
    <w:rsid w:val="0074420E"/>
    <w:rsid w:val="00745CE9"/>
    <w:rsid w:val="0074742E"/>
    <w:rsid w:val="00747A70"/>
    <w:rsid w:val="00750848"/>
    <w:rsid w:val="00783A69"/>
    <w:rsid w:val="00783E26"/>
    <w:rsid w:val="0079054F"/>
    <w:rsid w:val="00791672"/>
    <w:rsid w:val="007A1D77"/>
    <w:rsid w:val="007B4FA0"/>
    <w:rsid w:val="007C3BC7"/>
    <w:rsid w:val="007C3BCD"/>
    <w:rsid w:val="007D345C"/>
    <w:rsid w:val="007D4ACF"/>
    <w:rsid w:val="007F0787"/>
    <w:rsid w:val="008075FC"/>
    <w:rsid w:val="00810B7B"/>
    <w:rsid w:val="0082358A"/>
    <w:rsid w:val="008235CD"/>
    <w:rsid w:val="00823D9C"/>
    <w:rsid w:val="008247DE"/>
    <w:rsid w:val="00840B10"/>
    <w:rsid w:val="008513CB"/>
    <w:rsid w:val="00855F97"/>
    <w:rsid w:val="008562F3"/>
    <w:rsid w:val="00874F08"/>
    <w:rsid w:val="00876299"/>
    <w:rsid w:val="008824C7"/>
    <w:rsid w:val="00882A17"/>
    <w:rsid w:val="008A7F84"/>
    <w:rsid w:val="008B074D"/>
    <w:rsid w:val="008F3557"/>
    <w:rsid w:val="0091702E"/>
    <w:rsid w:val="00923B0C"/>
    <w:rsid w:val="0094021C"/>
    <w:rsid w:val="0094065A"/>
    <w:rsid w:val="00952F86"/>
    <w:rsid w:val="00957084"/>
    <w:rsid w:val="0096266B"/>
    <w:rsid w:val="00964269"/>
    <w:rsid w:val="00982B28"/>
    <w:rsid w:val="00983DA5"/>
    <w:rsid w:val="009A750F"/>
    <w:rsid w:val="009D313F"/>
    <w:rsid w:val="009E5762"/>
    <w:rsid w:val="009F0BAA"/>
    <w:rsid w:val="00A15396"/>
    <w:rsid w:val="00A21F86"/>
    <w:rsid w:val="00A24359"/>
    <w:rsid w:val="00A47A5A"/>
    <w:rsid w:val="00A6683B"/>
    <w:rsid w:val="00A97F94"/>
    <w:rsid w:val="00AA7EA2"/>
    <w:rsid w:val="00AC24E3"/>
    <w:rsid w:val="00AC63AF"/>
    <w:rsid w:val="00AC73A2"/>
    <w:rsid w:val="00AD1E92"/>
    <w:rsid w:val="00B03099"/>
    <w:rsid w:val="00B05BC8"/>
    <w:rsid w:val="00B319BC"/>
    <w:rsid w:val="00B64B47"/>
    <w:rsid w:val="00B93B7B"/>
    <w:rsid w:val="00B977D3"/>
    <w:rsid w:val="00BC4B48"/>
    <w:rsid w:val="00BE3A8F"/>
    <w:rsid w:val="00BE739F"/>
    <w:rsid w:val="00C002DE"/>
    <w:rsid w:val="00C007E1"/>
    <w:rsid w:val="00C0168D"/>
    <w:rsid w:val="00C53770"/>
    <w:rsid w:val="00C53BF8"/>
    <w:rsid w:val="00C56B5F"/>
    <w:rsid w:val="00C66157"/>
    <w:rsid w:val="00C674FE"/>
    <w:rsid w:val="00C67501"/>
    <w:rsid w:val="00C75633"/>
    <w:rsid w:val="00C8133A"/>
    <w:rsid w:val="00C85CB5"/>
    <w:rsid w:val="00CA08BA"/>
    <w:rsid w:val="00CC3C10"/>
    <w:rsid w:val="00CE2EE1"/>
    <w:rsid w:val="00CE3349"/>
    <w:rsid w:val="00CE36E5"/>
    <w:rsid w:val="00CE4F14"/>
    <w:rsid w:val="00CF27F5"/>
    <w:rsid w:val="00CF3FFD"/>
    <w:rsid w:val="00CF4342"/>
    <w:rsid w:val="00D10CCF"/>
    <w:rsid w:val="00D344C1"/>
    <w:rsid w:val="00D46E01"/>
    <w:rsid w:val="00D63F1F"/>
    <w:rsid w:val="00D741B1"/>
    <w:rsid w:val="00D77D0F"/>
    <w:rsid w:val="00D8311F"/>
    <w:rsid w:val="00D84440"/>
    <w:rsid w:val="00DA1CF0"/>
    <w:rsid w:val="00DB3CDE"/>
    <w:rsid w:val="00DC1E02"/>
    <w:rsid w:val="00DC24B4"/>
    <w:rsid w:val="00DC5FB0"/>
    <w:rsid w:val="00DD1CF5"/>
    <w:rsid w:val="00DF16DC"/>
    <w:rsid w:val="00E43176"/>
    <w:rsid w:val="00E45211"/>
    <w:rsid w:val="00E473C5"/>
    <w:rsid w:val="00E5238B"/>
    <w:rsid w:val="00E6000A"/>
    <w:rsid w:val="00E61E5D"/>
    <w:rsid w:val="00E6540B"/>
    <w:rsid w:val="00E87602"/>
    <w:rsid w:val="00E92863"/>
    <w:rsid w:val="00EB66F0"/>
    <w:rsid w:val="00EB796D"/>
    <w:rsid w:val="00EB7C1C"/>
    <w:rsid w:val="00ED0E20"/>
    <w:rsid w:val="00EE5CF2"/>
    <w:rsid w:val="00F058DC"/>
    <w:rsid w:val="00F24FC4"/>
    <w:rsid w:val="00F2676C"/>
    <w:rsid w:val="00F43D01"/>
    <w:rsid w:val="00F545F0"/>
    <w:rsid w:val="00F54A23"/>
    <w:rsid w:val="00F64B36"/>
    <w:rsid w:val="00F747D7"/>
    <w:rsid w:val="00F77022"/>
    <w:rsid w:val="00F84366"/>
    <w:rsid w:val="00F85089"/>
    <w:rsid w:val="00F974C5"/>
    <w:rsid w:val="00FA14E0"/>
    <w:rsid w:val="00FA6F46"/>
    <w:rsid w:val="00FD7DD2"/>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424A2C"/>
  <w15:chartTrackingRefBased/>
  <w15:docId w15:val="{475DA52B-4F97-4980-BCD2-1718B65F6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668"/>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BE739F"/>
    <w:pPr>
      <w:spacing w:before="80" w:after="80"/>
      <w:ind w:left="794" w:hanging="794"/>
      <w:outlineLvl w:val="0"/>
    </w:pPr>
    <w:rPr>
      <w:lang w:bidi="ar-SY"/>
    </w:rPr>
  </w:style>
  <w:style w:type="paragraph" w:customStyle="1" w:styleId="enumlev2">
    <w:name w:val="enumlev 2"/>
    <w:basedOn w:val="Normal"/>
    <w:next w:val="enumlev1"/>
    <w:qFormat/>
    <w:rsid w:val="00BE739F"/>
    <w:pPr>
      <w:spacing w:before="80" w:after="80"/>
      <w:ind w:left="1588" w:hanging="794"/>
      <w:outlineLvl w:val="1"/>
    </w:pPr>
  </w:style>
  <w:style w:type="paragraph" w:customStyle="1" w:styleId="enumlev3">
    <w:name w:val="enumlev 3"/>
    <w:basedOn w:val="Normal"/>
    <w:qFormat/>
    <w:rsid w:val="00BE739F"/>
    <w:pPr>
      <w:spacing w:before="80" w:after="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autoRedefine/>
    <w:uiPriority w:val="99"/>
    <w:semiHidden/>
    <w:unhideWhenUsed/>
    <w:qFormat/>
    <w:rsid w:val="00747A70"/>
    <w:pPr>
      <w:spacing w:before="60" w:line="168" w:lineRule="auto"/>
    </w:pPr>
    <w:rPr>
      <w:sz w:val="18"/>
      <w:szCs w:val="18"/>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747A70"/>
    <w:rPr>
      <w:rFonts w:ascii="Dubai" w:hAnsi="Dubai" w:cs="Dubai"/>
      <w:sz w:val="18"/>
      <w:szCs w:val="18"/>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aliases w:val="CEO_Hyperlink,超级链接,超?级链,Style 58,超????,하이퍼링크2,超链接1,超?级链?,Style?,S,하이퍼링크21,ECC Hyperlink,超??级链Ú,fL????,fL?级,超??级链,超?级链ïÈ,õ±?级链,õ±链ïÈ1,õ±???,超?级链Ú,’´?级链,’´????,’´??级链Ú,’´??级"/>
    <w:basedOn w:val="DefaultParagraphFont"/>
    <w:uiPriority w:val="99"/>
    <w:unhideWhenUsed/>
    <w:qFormat/>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qFormat/>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8B074D"/>
    <w:rPr>
      <w:color w:val="605E5C"/>
      <w:shd w:val="clear" w:color="auto" w:fill="E1DFDD"/>
    </w:rPr>
  </w:style>
  <w:style w:type="paragraph" w:styleId="Revision">
    <w:name w:val="Revision"/>
    <w:hidden/>
    <w:uiPriority w:val="99"/>
    <w:semiHidden/>
    <w:rsid w:val="009F0BAA"/>
    <w:pPr>
      <w:spacing w:after="0" w:line="240" w:lineRule="auto"/>
    </w:pPr>
    <w:rPr>
      <w:rFonts w:ascii="Dubai" w:hAnsi="Dubai" w:cs="Dubai"/>
    </w:rPr>
  </w:style>
  <w:style w:type="character" w:styleId="FollowedHyperlink">
    <w:name w:val="FollowedHyperlink"/>
    <w:basedOn w:val="DefaultParagraphFont"/>
    <w:uiPriority w:val="99"/>
    <w:semiHidden/>
    <w:unhideWhenUsed/>
    <w:rsid w:val="00823D9C"/>
    <w:rPr>
      <w:color w:val="954F72" w:themeColor="followedHyperlink"/>
      <w:u w:val="single"/>
    </w:rPr>
  </w:style>
  <w:style w:type="paragraph" w:customStyle="1" w:styleId="Figure">
    <w:name w:val="Figure"/>
    <w:basedOn w:val="Normal"/>
    <w:next w:val="Normal"/>
    <w:qFormat/>
    <w:rsid w:val="00964269"/>
    <w:pPr>
      <w:keepNext/>
      <w:keepLines/>
      <w:tabs>
        <w:tab w:val="clear" w:pos="794"/>
        <w:tab w:val="left" w:pos="1134"/>
        <w:tab w:val="left" w:pos="1871"/>
        <w:tab w:val="left" w:pos="2268"/>
      </w:tabs>
      <w:overflowPunct w:val="0"/>
      <w:autoSpaceDE w:val="0"/>
      <w:autoSpaceDN w:val="0"/>
      <w:bidi w:val="0"/>
      <w:adjustRightInd w:val="0"/>
      <w:spacing w:line="240" w:lineRule="auto"/>
      <w:jc w:val="center"/>
      <w:textAlignment w:val="baseline"/>
    </w:pPr>
    <w:rPr>
      <w:rFonts w:ascii="Times New Roman" w:eastAsia="Batang" w:hAnsi="Times" w:cs="Simplified Arabic"/>
      <w:sz w:val="24"/>
      <w:szCs w:val="30"/>
    </w:rPr>
  </w:style>
  <w:style w:type="paragraph" w:customStyle="1" w:styleId="Committee">
    <w:name w:val="Committee"/>
    <w:basedOn w:val="Normal"/>
    <w:rsid w:val="00723E2C"/>
    <w:pPr>
      <w:keepNext/>
      <w:keepLines/>
      <w:spacing w:before="20" w:after="20" w:line="300" w:lineRule="exact"/>
    </w:pPr>
    <w:rPr>
      <w:b/>
      <w:bCs/>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dms_pub/itu-d/opb/tdc/D-TDC-WTDC-2022-PDF-A.pdf" TargetMode="External"/><Relationship Id="rId18" Type="http://schemas.openxmlformats.org/officeDocument/2006/relationships/hyperlink" Target="https://www.itu.int/hub/publication/d-phcb-equal-03-2023/" TargetMode="External"/><Relationship Id="rId26" Type="http://schemas.openxmlformats.org/officeDocument/2006/relationships/hyperlink" Target="https://www.itu.int/en/ITU-D/Digital-Inclusion/Women-and-Girls/NoW/Pages/default.aspx" TargetMode="External"/><Relationship Id="rId39" Type="http://schemas.openxmlformats.org/officeDocument/2006/relationships/hyperlink" Target="https://www.itu.int/hub/publication/d-hdb-gender-2023-01/" TargetMode="External"/><Relationship Id="rId21" Type="http://schemas.openxmlformats.org/officeDocument/2006/relationships/hyperlink" Target="https://www.itu.int/generationconnect/generation-connect-youth-envoys/" TargetMode="External"/><Relationship Id="rId34" Type="http://schemas.openxmlformats.org/officeDocument/2006/relationships/hyperlink" Target="https://www.itu.int/women-and-girls/women-in-ict/ai-skills-accelerator-for-girls/" TargetMode="External"/><Relationship Id="rId42" Type="http://schemas.openxmlformats.org/officeDocument/2006/relationships/hyperlink" Target="https://www.equalsintech.org/_files/ugd/04bfff_cc8e6f166c2e41beabc88cbb3226f66f.pdf" TargetMode="External"/><Relationship Id="rId47" Type="http://schemas.openxmlformats.org/officeDocument/2006/relationships/hyperlink" Target="https://www.itu.int/en/ITU-D/Study-Groups/2022-2025/Pages/reference/SG1/questions/Question-7-1.aspx" TargetMode="External"/><Relationship Id="rId50" Type="http://schemas.openxmlformats.org/officeDocument/2006/relationships/hyperlink" Target="https://www.itu.int/md/D22-SG01-C-0490/en" TargetMode="External"/><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s://www.equalsintech.org/her-digital-skills" TargetMode="External"/><Relationship Id="rId11" Type="http://schemas.openxmlformats.org/officeDocument/2006/relationships/hyperlink" Target="https://www.itu.int/dms_pub/itu-d/opb/tdc/D-TDC-WTDC-2022-PDF-A.pdf" TargetMode="External"/><Relationship Id="rId24" Type="http://schemas.openxmlformats.org/officeDocument/2006/relationships/image" Target="media/image4.png"/><Relationship Id="rId32" Type="http://schemas.openxmlformats.org/officeDocument/2006/relationships/hyperlink" Target="https://www.itu.int/generationconnect/empower/generation-connect-young-leadership-programme-in-partnership-with-huawei/itu-generation-connect-young-leadership-programme-cohort-2025/" TargetMode="External"/><Relationship Id="rId37" Type="http://schemas.openxmlformats.org/officeDocument/2006/relationships/hyperlink" Target="https://www.itu.int/en/ITU-D/Digital-Inclusion/Pages/itu-ilo/default.aspx" TargetMode="External"/><Relationship Id="rId40" Type="http://schemas.openxmlformats.org/officeDocument/2006/relationships/hyperlink" Target="https://www.itu.int/hub/publication/d-hdb-gender-2023-01/" TargetMode="External"/><Relationship Id="rId45" Type="http://schemas.openxmlformats.org/officeDocument/2006/relationships/hyperlink" Target="https://www.itu.int/en/ITU-D/Digital-Inclusion/Pages/resources-on-ICT-accessibility/default.aspx" TargetMode="External"/><Relationship Id="rId53" Type="http://schemas.openxmlformats.org/officeDocument/2006/relationships/hyperlink" Target="https://www.itu.int/itu-d/meetings/global-youth-summit-25/" TargetMode="External"/><Relationship Id="rId58"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customXml" Target="../customXml/item4.xml"/><Relationship Id="rId19" Type="http://schemas.openxmlformats.org/officeDocument/2006/relationships/hyperlink" Target="https://www.itu.int/hub/publication/d-phcb-equal-02-2023" TargetMode="External"/><Relationship Id="rId14" Type="http://schemas.openxmlformats.org/officeDocument/2006/relationships/hyperlink" Target="https://www.itu.int/itu-d/sites/digital-inclusion/ar/" TargetMode="External"/><Relationship Id="rId22" Type="http://schemas.openxmlformats.org/officeDocument/2006/relationships/hyperlink" Target="https://www.itu.int/generationconnect/generation-connect-youth-envoys/" TargetMode="External"/><Relationship Id="rId27" Type="http://schemas.openxmlformats.org/officeDocument/2006/relationships/hyperlink" Target="https://www.itu.int/en/ITU-D/Digital-Inclusion/Women-and-Girls/NoW/Pages/mentorship/2024/Empowering-Women-Leaders-Mentorship-Programme.aspx" TargetMode="External"/><Relationship Id="rId30" Type="http://schemas.openxmlformats.org/officeDocument/2006/relationships/hyperlink" Target="https://www.equalsintech.org/her-digital-skills" TargetMode="External"/><Relationship Id="rId35" Type="http://schemas.openxmlformats.org/officeDocument/2006/relationships/hyperlink" Target="https://www.itu.int/en/ITU-D/Digital-Inclusion/Documents/2025/itu-who-toolkit/ITU-WHO-Implementation-toolkit-for-accessible-telehealth-services.pdf" TargetMode="External"/><Relationship Id="rId43" Type="http://schemas.openxmlformats.org/officeDocument/2006/relationships/hyperlink" Target="https://www.itu.int/en/ITU-D/Digital-Inclusion/Pages/resources-on-ICT-accessibility/default.aspx" TargetMode="External"/><Relationship Id="rId48" Type="http://schemas.openxmlformats.org/officeDocument/2006/relationships/hyperlink" Target="https://www.itu.int/md/D22-SG01-C-0490/en" TargetMode="External"/><Relationship Id="rId56"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https://www.itu.int/women-and-girls/girls-in-ict/ar/" TargetMode="External"/><Relationship Id="rId3" Type="http://schemas.openxmlformats.org/officeDocument/2006/relationships/styles" Target="styles.xml"/><Relationship Id="rId12" Type="http://schemas.openxmlformats.org/officeDocument/2006/relationships/hyperlink" Target="https://www.itu.int/dms_pub/itu-d/opb/tdc/D-TDC-WTDC-2022-PDF-A.pdf" TargetMode="External"/><Relationship Id="rId17" Type="http://schemas.openxmlformats.org/officeDocument/2006/relationships/hyperlink" Target="https://www.itu.int/hub/publication/d-phcb-equal-02-2023/" TargetMode="External"/><Relationship Id="rId25" Type="http://schemas.openxmlformats.org/officeDocument/2006/relationships/hyperlink" Target="https://www.itu.int/en/ITU-D/Digital-Inclusion/Women-and-Girls/NoW/Pages/default.aspx" TargetMode="External"/><Relationship Id="rId33" Type="http://schemas.openxmlformats.org/officeDocument/2006/relationships/hyperlink" Target="https://www.itu.int/women-and-girls/women-in-ict/ai-skills-accelerator-for-girls/" TargetMode="External"/><Relationship Id="rId38" Type="http://schemas.openxmlformats.org/officeDocument/2006/relationships/hyperlink" Target="https://www.itu.int/en/ITU-D/Digital-Inclusion/Pages/itu-ilo/default.aspx" TargetMode="External"/><Relationship Id="rId46" Type="http://schemas.openxmlformats.org/officeDocument/2006/relationships/hyperlink" Target="https://www.itu.int/en/ITU-D/Digital-Inclusion/Pages/resources-on-ICT-accessibility/default.aspx" TargetMode="External"/><Relationship Id="rId59" Type="http://schemas.openxmlformats.org/officeDocument/2006/relationships/customXml" Target="../customXml/item2.xml"/><Relationship Id="rId20" Type="http://schemas.openxmlformats.org/officeDocument/2006/relationships/hyperlink" Target="https://www.itu.int/hub/publication/d-phcb-equal-03-2023" TargetMode="External"/><Relationship Id="rId41" Type="http://schemas.openxmlformats.org/officeDocument/2006/relationships/hyperlink" Target="https://www.equalsintech.org/_files/ugd/04bfff_cc8e6f166c2e41beabc88cbb3226f66f.pdf" TargetMode="External"/><Relationship Id="rId54" Type="http://schemas.openxmlformats.org/officeDocument/2006/relationships/hyperlink" Target="https://www.itu.int/itu-d/meetings/global-youth-summit-2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tu.int/itu-d/sites/digital-inclusion/" TargetMode="External"/><Relationship Id="rId23" Type="http://schemas.openxmlformats.org/officeDocument/2006/relationships/hyperlink" Target="https://www.itu.int/en/ITU-D/Conferences/TDAG/Pages/2024/TDAG_ICG_GYS.aspx" TargetMode="External"/><Relationship Id="rId28" Type="http://schemas.openxmlformats.org/officeDocument/2006/relationships/hyperlink" Target="https://www.itu.int/en/ITU-D/Digital-Inclusion/Women-and-Girls/NoW/Pages/mentorship/2024/Empowering-Women-Leaders-Mentorship-Programme.aspx" TargetMode="External"/><Relationship Id="rId36" Type="http://schemas.openxmlformats.org/officeDocument/2006/relationships/hyperlink" Target="https://www.itu.int/en/ITU-D/Digital-Inclusion/Documents/2025/itu-who-toolkit/ITU-WHO-Implementation-toolkit-for-accessible-telehealth-services.pdf" TargetMode="External"/><Relationship Id="rId49" Type="http://schemas.openxmlformats.org/officeDocument/2006/relationships/hyperlink" Target="https://www.itu.int/en/ITU-D/Study-Groups/2022-2025/Pages/reference/SG1/questions/Question-7-1.aspx" TargetMode="External"/><Relationship Id="rId57" Type="http://schemas.openxmlformats.org/officeDocument/2006/relationships/fontTable" Target="fontTable.xml"/><Relationship Id="rId10" Type="http://schemas.openxmlformats.org/officeDocument/2006/relationships/hyperlink" Target="https://www.itu.int/dms_pub/itu-d/opb/tdc/D-TDC-WTDC-2022-PDF-A.pdf" TargetMode="External"/><Relationship Id="rId31" Type="http://schemas.openxmlformats.org/officeDocument/2006/relationships/hyperlink" Target="https://www.itu.int/generationconnect/empower/generation-connect-young-leadership-programme-in-partnership-with-huawei/itu-generation-connect-young-leadership-programme-cohort-2025/" TargetMode="External"/><Relationship Id="rId44" Type="http://schemas.openxmlformats.org/officeDocument/2006/relationships/hyperlink" Target="https://www.itu.int/en/ITU-D/Digital-Inclusion/Pages/resources-on-ICT-accessibility/default.aspx" TargetMode="External"/><Relationship Id="rId52" Type="http://schemas.openxmlformats.org/officeDocument/2006/relationships/hyperlink" Target="https://www.itu.int/women-and-girls/girls-in-ict/" TargetMode="External"/><Relationship Id="rId6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mailto:roxana.widmer-iliescu@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Pool\Templates\Arabic%20Templates%202025\ITU-D%20(BDT)\PA_WTDC-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CCE0E51E9C1044807BC3B58DFAB656" ma:contentTypeVersion="16" ma:contentTypeDescription="Create a new document." ma:contentTypeScope="" ma:versionID="ab12712e4028b34aeaf4cf7fd8fb582e">
  <xsd:schema xmlns:xsd="http://www.w3.org/2001/XMLSchema" xmlns:xs="http://www.w3.org/2001/XMLSchema" xmlns:p="http://schemas.microsoft.com/office/2006/metadata/properties" xmlns:ns2="b6109c62-af78-494c-a825-80e1ffe32798" xmlns:ns3="54151c7f-6a84-4427-a6ce-bf1d7f28364f" targetNamespace="http://schemas.microsoft.com/office/2006/metadata/properties" ma:root="true" ma:fieldsID="ca99c64ba2ec2f76f3b111b15c4f090c" ns2:_="" ns3:_="">
    <xsd:import namespace="b6109c62-af78-494c-a825-80e1ffe32798"/>
    <xsd:import namespace="54151c7f-6a84-4427-a6ce-bf1d7f2836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09c62-af78-494c-a825-80e1ffe32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Order0" ma:index="23" nillable="true" ma:displayName="Order" ma:format="Dropdown" ma:internalName="Ord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4151c7f-6a84-4427-a6ce-bf1d7f2836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29b382-fa5a-4cbe-be10-aecbe8bfdefe}" ma:internalName="TaxCatchAll" ma:showField="CatchAllData" ma:web="54151c7f-6a84-4427-a6ce-bf1d7f283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6109c62-af78-494c-a825-80e1ffe32798">
      <Terms xmlns="http://schemas.microsoft.com/office/infopath/2007/PartnerControls"/>
    </lcf76f155ced4ddcb4097134ff3c332f>
    <Order0 xmlns="b6109c62-af78-494c-a825-80e1ffe32798" xsi:nil="true"/>
    <TaxCatchAll xmlns="54151c7f-6a84-4427-a6ce-bf1d7f28364f" xsi:nil="true"/>
  </documentManagement>
</p:properties>
</file>

<file path=customXml/itemProps1.xml><?xml version="1.0" encoding="utf-8"?>
<ds:datastoreItem xmlns:ds="http://schemas.openxmlformats.org/officeDocument/2006/customXml" ds:itemID="{D2A43E68-FEE1-4201-87D6-0DF5EF736C30}">
  <ds:schemaRefs>
    <ds:schemaRef ds:uri="http://schemas.openxmlformats.org/officeDocument/2006/bibliography"/>
  </ds:schemaRefs>
</ds:datastoreItem>
</file>

<file path=customXml/itemProps2.xml><?xml version="1.0" encoding="utf-8"?>
<ds:datastoreItem xmlns:ds="http://schemas.openxmlformats.org/officeDocument/2006/customXml" ds:itemID="{FFFAEB3B-CD8C-4C36-931F-030EA6C779FF}"/>
</file>

<file path=customXml/itemProps3.xml><?xml version="1.0" encoding="utf-8"?>
<ds:datastoreItem xmlns:ds="http://schemas.openxmlformats.org/officeDocument/2006/customXml" ds:itemID="{3F971B02-AD7B-4BA8-811C-CB0C293EDAE1}"/>
</file>

<file path=customXml/itemProps4.xml><?xml version="1.0" encoding="utf-8"?>
<ds:datastoreItem xmlns:ds="http://schemas.openxmlformats.org/officeDocument/2006/customXml" ds:itemID="{43EFA03D-2474-49A0-865B-1A36480BC595}"/>
</file>

<file path=docProps/app.xml><?xml version="1.0" encoding="utf-8"?>
<Properties xmlns="http://schemas.openxmlformats.org/officeDocument/2006/extended-properties" xmlns:vt="http://schemas.openxmlformats.org/officeDocument/2006/docPropsVTypes">
  <Template>PA_WTDC-25.dotx</Template>
  <TotalTime>1</TotalTime>
  <Pages>8</Pages>
  <Words>4110</Words>
  <Characters>23428</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Kamaleldin, Mohamed</dc:creator>
  <cp:keywords/>
  <dc:description/>
  <cp:lastModifiedBy>GE</cp:lastModifiedBy>
  <cp:revision>3</cp:revision>
  <dcterms:created xsi:type="dcterms:W3CDTF">2025-10-16T10:35:00Z</dcterms:created>
  <dcterms:modified xsi:type="dcterms:W3CDTF">2025-10-16T10:36:00Z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0x010100B3CCE0E51E9C1044807BC3B58DFAB656</vt:lpwstr>
  </property>
</Properties>
</file>