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55058" w14:paraId="475C61A4" w14:textId="77777777" w:rsidTr="00A023EF">
        <w:trPr>
          <w:cantSplit/>
          <w:trHeight w:val="1134"/>
        </w:trPr>
        <w:tc>
          <w:tcPr>
            <w:tcW w:w="1560" w:type="dxa"/>
          </w:tcPr>
          <w:p w14:paraId="48827F7C" w14:textId="744EF8BA"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Conferencia Mundial de Desarrollo de las Telecomunicaciones de 2025 (CMDT-25)</w:t>
            </w:r>
            <w:r>
              <w:rPr>
                <w:b/>
                <w:bCs/>
                <w:sz w:val="32"/>
                <w:szCs w:val="32"/>
                <w:lang w:val="es-ES"/>
              </w:rPr>
              <w:br/>
            </w:r>
            <w:r w:rsidRPr="00F55058">
              <w:rPr>
                <w:b/>
                <w:bCs/>
                <w:lang w:val="es-ES"/>
              </w:rPr>
              <w:t>Bak</w:t>
            </w:r>
            <w:r w:rsidR="00D90A5E">
              <w:rPr>
                <w:b/>
                <w:bCs/>
                <w:lang w:val="es-ES"/>
              </w:rPr>
              <w:t>ú</w:t>
            </w:r>
            <w:r w:rsidRPr="00F55058">
              <w:rPr>
                <w:b/>
                <w:bCs/>
                <w:lang w:val="es-ES"/>
              </w:rPr>
              <w:t>,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28 de noviembre de 2025</w:t>
            </w:r>
          </w:p>
        </w:tc>
        <w:tc>
          <w:tcPr>
            <w:tcW w:w="1842" w:type="dxa"/>
          </w:tcPr>
          <w:p w14:paraId="5CA52A80" w14:textId="7E9EA92E" w:rsidR="00F55058" w:rsidRPr="004E5C86" w:rsidRDefault="00D90A5E" w:rsidP="006C5E3F">
            <w:pPr>
              <w:tabs>
                <w:tab w:val="clear" w:pos="1134"/>
              </w:tabs>
              <w:spacing w:line="240" w:lineRule="atLeast"/>
              <w:ind w:left="34"/>
              <w:jc w:val="right"/>
              <w:rPr>
                <w:rFonts w:cstheme="minorHAnsi"/>
                <w:b/>
                <w:bCs/>
                <w:lang w:val="es-ES"/>
              </w:rPr>
            </w:pPr>
            <w:bookmarkStart w:id="0" w:name="ditulogo"/>
            <w:bookmarkEnd w:id="0"/>
            <w:r>
              <w:rPr>
                <w:noProof/>
              </w:rPr>
              <w:drawing>
                <wp:inline distT="0" distB="0" distL="0" distR="0" wp14:anchorId="27CD37EF" wp14:editId="58D80A17">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55C01F90" w14:textId="77777777" w:rsidTr="00A023EF">
        <w:trPr>
          <w:cantSplit/>
        </w:trPr>
        <w:tc>
          <w:tcPr>
            <w:tcW w:w="6530" w:type="dxa"/>
            <w:gridSpan w:val="2"/>
            <w:tcBorders>
              <w:top w:val="single" w:sz="12" w:space="0" w:color="auto"/>
            </w:tcBorders>
          </w:tcPr>
          <w:p w14:paraId="732B78F2" w14:textId="77777777" w:rsidR="00D83BF5" w:rsidRPr="000B1248"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0B1248" w:rsidRDefault="00D83BF5" w:rsidP="00B951D0">
            <w:pPr>
              <w:spacing w:before="0" w:line="240" w:lineRule="atLeast"/>
              <w:rPr>
                <w:rFonts w:cstheme="minorHAnsi"/>
                <w:sz w:val="20"/>
                <w:lang w:val="es-ES"/>
              </w:rPr>
            </w:pPr>
          </w:p>
        </w:tc>
      </w:tr>
      <w:tr w:rsidR="007A1872" w:rsidRPr="001451CC" w14:paraId="29BC3FC4" w14:textId="77777777" w:rsidTr="00A023EF">
        <w:trPr>
          <w:cantSplit/>
          <w:trHeight w:val="23"/>
        </w:trPr>
        <w:tc>
          <w:tcPr>
            <w:tcW w:w="6530" w:type="dxa"/>
            <w:gridSpan w:val="2"/>
          </w:tcPr>
          <w:p w14:paraId="4687B7D2" w14:textId="0104720E" w:rsidR="007A1872" w:rsidRPr="001451CC" w:rsidRDefault="007A1872" w:rsidP="0003264C">
            <w:pPr>
              <w:tabs>
                <w:tab w:val="left" w:pos="851"/>
              </w:tabs>
              <w:spacing w:before="0" w:line="240" w:lineRule="atLeast"/>
              <w:rPr>
                <w:rFonts w:cstheme="minorHAnsi"/>
                <w:b/>
                <w:szCs w:val="24"/>
              </w:rPr>
            </w:pPr>
            <w:bookmarkStart w:id="2" w:name="dnum" w:colFirst="1" w:colLast="1"/>
            <w:bookmarkStart w:id="3" w:name="dmeeting" w:colFirst="0" w:colLast="0"/>
            <w:bookmarkEnd w:id="1"/>
            <w:r w:rsidRPr="001451CC">
              <w:rPr>
                <w:rFonts w:cstheme="minorHAnsi"/>
                <w:b/>
                <w:szCs w:val="24"/>
              </w:rPr>
              <w:t>SESIÓN PLENARIA</w:t>
            </w:r>
          </w:p>
        </w:tc>
        <w:tc>
          <w:tcPr>
            <w:tcW w:w="3251" w:type="dxa"/>
            <w:gridSpan w:val="2"/>
          </w:tcPr>
          <w:p w14:paraId="5FA3CB54" w14:textId="43D0C732" w:rsidR="007A1872" w:rsidRPr="001451CC" w:rsidRDefault="007A1872" w:rsidP="0003264C">
            <w:pPr>
              <w:tabs>
                <w:tab w:val="left" w:pos="851"/>
              </w:tabs>
              <w:spacing w:before="0" w:line="240" w:lineRule="atLeast"/>
              <w:rPr>
                <w:rFonts w:cstheme="minorHAnsi"/>
                <w:b/>
                <w:szCs w:val="24"/>
              </w:rPr>
            </w:pPr>
            <w:r w:rsidRPr="001451CC">
              <w:rPr>
                <w:rFonts w:cstheme="minorHAnsi"/>
                <w:b/>
                <w:szCs w:val="24"/>
              </w:rPr>
              <w:t xml:space="preserve">Documento </w:t>
            </w:r>
            <w:r w:rsidR="001451CC">
              <w:rPr>
                <w:rFonts w:cstheme="minorHAnsi"/>
                <w:b/>
                <w:szCs w:val="24"/>
              </w:rPr>
              <w:t>WTDC-25/</w:t>
            </w:r>
            <w:r w:rsidR="00623233">
              <w:rPr>
                <w:rFonts w:cstheme="minorHAnsi"/>
                <w:b/>
                <w:szCs w:val="24"/>
              </w:rPr>
              <w:t>14</w:t>
            </w:r>
            <w:r w:rsidRPr="001451CC">
              <w:rPr>
                <w:rFonts w:cstheme="minorHAnsi"/>
                <w:b/>
                <w:szCs w:val="24"/>
              </w:rPr>
              <w:t>-S</w:t>
            </w:r>
          </w:p>
        </w:tc>
      </w:tr>
      <w:tr w:rsidR="007A1872" w:rsidRPr="001451CC" w14:paraId="4A22DCC8" w14:textId="77777777" w:rsidTr="00A023EF">
        <w:trPr>
          <w:cantSplit/>
          <w:trHeight w:val="23"/>
        </w:trPr>
        <w:tc>
          <w:tcPr>
            <w:tcW w:w="6530" w:type="dxa"/>
            <w:gridSpan w:val="2"/>
          </w:tcPr>
          <w:p w14:paraId="35E70B69" w14:textId="5BE875FE" w:rsidR="007A1872" w:rsidRPr="001451CC" w:rsidRDefault="007A1872" w:rsidP="007A1872">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51" w:type="dxa"/>
            <w:gridSpan w:val="2"/>
          </w:tcPr>
          <w:p w14:paraId="7BAD8060" w14:textId="3728DC32" w:rsidR="007A1872" w:rsidRPr="001451CC" w:rsidRDefault="00623233" w:rsidP="007A1872">
            <w:pPr>
              <w:spacing w:before="0" w:line="240" w:lineRule="atLeast"/>
              <w:rPr>
                <w:rFonts w:cstheme="minorHAnsi"/>
                <w:b/>
                <w:szCs w:val="24"/>
              </w:rPr>
            </w:pPr>
            <w:r>
              <w:rPr>
                <w:rFonts w:cstheme="minorHAnsi"/>
                <w:b/>
                <w:szCs w:val="24"/>
              </w:rPr>
              <w:t>13</w:t>
            </w:r>
            <w:r w:rsidR="007A1872" w:rsidRPr="001451CC">
              <w:rPr>
                <w:rFonts w:cstheme="minorHAnsi"/>
                <w:b/>
                <w:szCs w:val="24"/>
              </w:rPr>
              <w:t xml:space="preserve"> de </w:t>
            </w:r>
            <w:r>
              <w:rPr>
                <w:rFonts w:cstheme="minorHAnsi"/>
                <w:b/>
                <w:szCs w:val="24"/>
              </w:rPr>
              <w:t>octubre</w:t>
            </w:r>
            <w:r w:rsidR="007A1872" w:rsidRPr="001451CC">
              <w:rPr>
                <w:rFonts w:cstheme="minorHAnsi"/>
                <w:b/>
                <w:szCs w:val="24"/>
              </w:rPr>
              <w:t xml:space="preserve"> de 2025</w:t>
            </w:r>
          </w:p>
        </w:tc>
      </w:tr>
      <w:tr w:rsidR="007A1872" w:rsidRPr="001451CC" w14:paraId="7CFB63D8" w14:textId="77777777" w:rsidTr="00A023EF">
        <w:trPr>
          <w:cantSplit/>
          <w:trHeight w:val="23"/>
        </w:trPr>
        <w:tc>
          <w:tcPr>
            <w:tcW w:w="6530" w:type="dxa"/>
            <w:gridSpan w:val="2"/>
          </w:tcPr>
          <w:p w14:paraId="367CD2E0" w14:textId="54957AFE" w:rsidR="007A1872" w:rsidRPr="001451CC" w:rsidRDefault="007A1872" w:rsidP="007A1872">
            <w:pPr>
              <w:tabs>
                <w:tab w:val="left" w:pos="851"/>
              </w:tabs>
              <w:spacing w:before="0" w:line="240" w:lineRule="atLeast"/>
              <w:rPr>
                <w:rFonts w:cstheme="minorHAnsi"/>
                <w:b/>
                <w:szCs w:val="24"/>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1451CC" w:rsidRDefault="007A1872" w:rsidP="007A1872">
            <w:pPr>
              <w:tabs>
                <w:tab w:val="left" w:pos="993"/>
              </w:tabs>
              <w:spacing w:before="0"/>
              <w:rPr>
                <w:rFonts w:cstheme="minorHAnsi"/>
                <w:b/>
                <w:szCs w:val="24"/>
              </w:rPr>
            </w:pPr>
            <w:r w:rsidRPr="001451CC">
              <w:rPr>
                <w:rFonts w:cstheme="minorHAnsi"/>
                <w:b/>
                <w:szCs w:val="24"/>
              </w:rPr>
              <w:t>Original: inglés</w:t>
            </w:r>
          </w:p>
        </w:tc>
      </w:tr>
      <w:tr w:rsidR="007A1872" w:rsidRPr="00623233" w14:paraId="4F18A1B1" w14:textId="77777777" w:rsidTr="00A023EF">
        <w:trPr>
          <w:cantSplit/>
          <w:trHeight w:val="23"/>
        </w:trPr>
        <w:tc>
          <w:tcPr>
            <w:tcW w:w="9781" w:type="dxa"/>
            <w:gridSpan w:val="4"/>
          </w:tcPr>
          <w:p w14:paraId="5332634F" w14:textId="6E421722" w:rsidR="007A1872" w:rsidRPr="00623233" w:rsidRDefault="00623233" w:rsidP="007A1872">
            <w:pPr>
              <w:pStyle w:val="Source"/>
              <w:spacing w:before="240" w:after="240"/>
              <w:rPr>
                <w:lang w:val="es-ES"/>
              </w:rPr>
            </w:pPr>
            <w:r w:rsidRPr="00623233">
              <w:rPr>
                <w:lang w:val="es-ES"/>
              </w:rPr>
              <w:t>Director de la Oficina de Desarrollo de las Telecomunicaciones</w:t>
            </w:r>
          </w:p>
        </w:tc>
      </w:tr>
      <w:tr w:rsidR="007A1872" w:rsidRPr="00623233" w14:paraId="3C62B6C1" w14:textId="77777777" w:rsidTr="00A023EF">
        <w:trPr>
          <w:cantSplit/>
          <w:trHeight w:val="23"/>
        </w:trPr>
        <w:tc>
          <w:tcPr>
            <w:tcW w:w="9781" w:type="dxa"/>
            <w:gridSpan w:val="4"/>
            <w:vAlign w:val="center"/>
          </w:tcPr>
          <w:p w14:paraId="7EFFF4E3" w14:textId="1A9DADCE" w:rsidR="007A1872" w:rsidRPr="00623233" w:rsidRDefault="00623233" w:rsidP="007A1872">
            <w:pPr>
              <w:pStyle w:val="Title1"/>
              <w:spacing w:before="120" w:after="120"/>
              <w:rPr>
                <w:lang w:val="es-ES"/>
              </w:rPr>
            </w:pPr>
            <w:r w:rsidRPr="00623233">
              <w:rPr>
                <w:lang w:val="es-ES"/>
              </w:rPr>
              <w:t>INFORME SOBRE LOS TRABAJOS DE LA BDT SOBRE LA ALIANZA SOBRE INNOVACIÓN E INICIATIVA EMPRESARIAL EN ARAS DEL DESARROLLO DIGITAL</w:t>
            </w:r>
          </w:p>
        </w:tc>
      </w:tr>
      <w:tr w:rsidR="007A1872" w:rsidRPr="000B1248" w14:paraId="0661C2E9" w14:textId="77777777" w:rsidTr="00A023EF">
        <w:trPr>
          <w:cantSplit/>
          <w:trHeight w:val="23"/>
        </w:trPr>
        <w:tc>
          <w:tcPr>
            <w:tcW w:w="9781" w:type="dxa"/>
            <w:gridSpan w:val="4"/>
          </w:tcPr>
          <w:p w14:paraId="091504B1" w14:textId="30592BF6" w:rsidR="007A1872" w:rsidRPr="00D02508" w:rsidRDefault="007A1872" w:rsidP="007A1872">
            <w:pPr>
              <w:pStyle w:val="Title2"/>
              <w:spacing w:before="240"/>
            </w:pPr>
          </w:p>
        </w:tc>
      </w:tr>
      <w:bookmarkEnd w:id="6"/>
      <w:bookmarkEnd w:id="7"/>
      <w:tr w:rsidR="00A023EF" w:rsidRPr="009A55C7"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6CFAE2D6" w14:textId="1A7CECA2" w:rsidR="00A023EF" w:rsidRPr="00E245CC" w:rsidRDefault="00A023EF" w:rsidP="009A55C7">
            <w:pPr>
              <w:spacing w:after="120"/>
              <w:rPr>
                <w:lang w:val="es-ES_tradnl"/>
              </w:rPr>
            </w:pPr>
            <w:r w:rsidRPr="00E245CC">
              <w:rPr>
                <w:rFonts w:cs="Times New Roman Bold"/>
                <w:b/>
                <w:bCs/>
                <w:lang w:val="es-ES_tradnl"/>
              </w:rPr>
              <w:t xml:space="preserve">Área </w:t>
            </w:r>
            <w:r w:rsidRPr="00607EF3">
              <w:rPr>
                <w:rFonts w:cs="Times New Roman Bold"/>
                <w:b/>
                <w:bCs/>
                <w:lang w:val="es-ES_tradnl"/>
              </w:rPr>
              <w:t>prioritaria:</w:t>
            </w:r>
            <w:r w:rsidR="009A55C7" w:rsidRPr="001378AF">
              <w:rPr>
                <w:lang w:val="es-ES"/>
              </w:rPr>
              <w:t xml:space="preserve"> </w:t>
            </w:r>
            <w:r w:rsidR="009A55C7" w:rsidRPr="009A55C7">
              <w:rPr>
                <w:szCs w:val="24"/>
                <w:lang w:val="es-ES"/>
              </w:rPr>
              <w:t>Transformación</w:t>
            </w:r>
            <w:r w:rsidR="009A55C7" w:rsidRPr="001378AF">
              <w:rPr>
                <w:lang w:val="es-ES"/>
              </w:rPr>
              <w:t xml:space="preserve"> digital</w:t>
            </w:r>
          </w:p>
          <w:p w14:paraId="6FDD21FA" w14:textId="77777777" w:rsidR="00A023EF" w:rsidRPr="000B1248" w:rsidRDefault="00A023EF">
            <w:pPr>
              <w:spacing w:after="120"/>
              <w:rPr>
                <w:b/>
                <w:bCs/>
                <w:szCs w:val="24"/>
                <w:lang w:val="es-ES"/>
              </w:rPr>
            </w:pPr>
            <w:r>
              <w:rPr>
                <w:b/>
                <w:bCs/>
                <w:szCs w:val="24"/>
                <w:lang w:val="es-ES"/>
              </w:rPr>
              <w:t>Resumen</w:t>
            </w:r>
            <w:r w:rsidRPr="000B1248">
              <w:rPr>
                <w:b/>
                <w:bCs/>
                <w:szCs w:val="24"/>
                <w:lang w:val="es-ES"/>
              </w:rPr>
              <w:t>:</w:t>
            </w:r>
          </w:p>
          <w:p w14:paraId="2A69DD64" w14:textId="7832595B" w:rsidR="009A55C7" w:rsidRPr="009A55C7" w:rsidRDefault="009A55C7" w:rsidP="009A55C7">
            <w:pPr>
              <w:spacing w:after="120"/>
              <w:rPr>
                <w:szCs w:val="24"/>
                <w:lang w:val="es-ES"/>
              </w:rPr>
            </w:pPr>
            <w:r w:rsidRPr="009A55C7">
              <w:rPr>
                <w:szCs w:val="24"/>
                <w:lang w:val="es-ES"/>
              </w:rPr>
              <w:t xml:space="preserve">En este documento se ofrece una visión general de la labor realizada por la Oficina de Desarrollo de las Telecomunicaciones (BDT) en materia de innovación digital a través de la </w:t>
            </w:r>
            <w:hyperlink r:id="rId14" w:anchor="/es" w:history="1">
              <w:r w:rsidRPr="005B759F">
                <w:rPr>
                  <w:rStyle w:val="Hyperlink"/>
                  <w:szCs w:val="24"/>
                  <w:lang w:val="es-ES"/>
                </w:rPr>
                <w:t>Alianza sobre innovación e iniciativa empresarial en aras del desarrollo digital</w:t>
              </w:r>
            </w:hyperlink>
            <w:r w:rsidRPr="009A55C7">
              <w:rPr>
                <w:szCs w:val="24"/>
                <w:lang w:val="es-ES"/>
              </w:rPr>
              <w:t xml:space="preserve"> desde la CMDT-22 hasta la actualidad.</w:t>
            </w:r>
          </w:p>
          <w:p w14:paraId="3A5F1055" w14:textId="77777777" w:rsidR="009A55C7" w:rsidRPr="009A55C7" w:rsidRDefault="009A55C7" w:rsidP="009A55C7">
            <w:pPr>
              <w:spacing w:after="120"/>
              <w:rPr>
                <w:szCs w:val="24"/>
                <w:lang w:val="es-ES"/>
              </w:rPr>
            </w:pPr>
            <w:r w:rsidRPr="009A55C7">
              <w:rPr>
                <w:szCs w:val="24"/>
                <w:lang w:val="es-ES"/>
              </w:rPr>
              <w:t>Se destacan las actividades, iniciativas y eventos emprendidos para fortalecer la capacidad de los Miembros de la UIT para integrar la innovación de las telecomunicaciones/TIC, así como la digitalización, en sus agendas nacionales de desarrollo, y para desarrollar la capacidad humana e institucional relacionada con el desarrollo de ecosistemas de innovación digital.</w:t>
            </w:r>
          </w:p>
          <w:p w14:paraId="116D65F0" w14:textId="30590B78" w:rsidR="00A023EF" w:rsidRPr="000B1248" w:rsidRDefault="009A55C7" w:rsidP="009A55C7">
            <w:pPr>
              <w:spacing w:after="120"/>
              <w:rPr>
                <w:szCs w:val="24"/>
                <w:lang w:val="es-ES"/>
              </w:rPr>
            </w:pPr>
            <w:r w:rsidRPr="009A55C7">
              <w:rPr>
                <w:szCs w:val="24"/>
                <w:lang w:val="es-ES"/>
              </w:rPr>
              <w:t xml:space="preserve">La labor de la Alianza complementa y se basa en otras actividades del UIT-D relativas al tema de los </w:t>
            </w:r>
            <w:hyperlink r:id="rId15" w:history="1">
              <w:r w:rsidRPr="005B759F">
                <w:rPr>
                  <w:rStyle w:val="Hyperlink"/>
                  <w:szCs w:val="24"/>
                  <w:lang w:val="es-ES"/>
                </w:rPr>
                <w:t>ecosistemas de innovación digital</w:t>
              </w:r>
            </w:hyperlink>
            <w:r w:rsidRPr="009A55C7">
              <w:rPr>
                <w:szCs w:val="24"/>
                <w:lang w:val="es-ES"/>
              </w:rPr>
              <w:t xml:space="preserve">, como los </w:t>
            </w:r>
            <w:hyperlink r:id="rId16" w:history="1">
              <w:r w:rsidRPr="005B759F">
                <w:rPr>
                  <w:rStyle w:val="Hyperlink"/>
                  <w:szCs w:val="24"/>
                  <w:lang w:val="es-ES"/>
                </w:rPr>
                <w:t>perfiles de innovación digital</w:t>
              </w:r>
            </w:hyperlink>
            <w:r w:rsidRPr="009A55C7">
              <w:rPr>
                <w:szCs w:val="24"/>
                <w:lang w:val="es-ES"/>
              </w:rPr>
              <w:t xml:space="preserve">, las actividades de capacitación y el </w:t>
            </w:r>
            <w:hyperlink r:id="rId17" w:history="1">
              <w:r w:rsidRPr="005B759F">
                <w:rPr>
                  <w:rStyle w:val="Hyperlink"/>
                  <w:szCs w:val="24"/>
                  <w:lang w:val="es-ES"/>
                </w:rPr>
                <w:t>Foro Mundial</w:t>
              </w:r>
            </w:hyperlink>
            <w:r w:rsidRPr="009A55C7">
              <w:rPr>
                <w:szCs w:val="24"/>
                <w:lang w:val="es-ES"/>
              </w:rPr>
              <w:t xml:space="preserve"> de Innovación, entre otros.</w:t>
            </w:r>
          </w:p>
          <w:p w14:paraId="2CEC743E" w14:textId="77777777" w:rsidR="00A023EF" w:rsidRPr="000B1248" w:rsidRDefault="00A023EF">
            <w:pPr>
              <w:spacing w:after="120"/>
              <w:rPr>
                <w:b/>
                <w:bCs/>
                <w:szCs w:val="24"/>
                <w:lang w:val="es-ES"/>
              </w:rPr>
            </w:pPr>
            <w:r>
              <w:rPr>
                <w:b/>
                <w:bCs/>
                <w:szCs w:val="24"/>
                <w:lang w:val="es-ES"/>
              </w:rPr>
              <w:t>Resultados previstos</w:t>
            </w:r>
            <w:r w:rsidRPr="000B1248">
              <w:rPr>
                <w:b/>
                <w:bCs/>
                <w:szCs w:val="24"/>
                <w:lang w:val="es-ES"/>
              </w:rPr>
              <w:t>:</w:t>
            </w:r>
          </w:p>
          <w:p w14:paraId="06343004" w14:textId="71CD675D" w:rsidR="00A023EF" w:rsidRPr="000B1248" w:rsidRDefault="009A55C7">
            <w:pPr>
              <w:spacing w:after="120"/>
              <w:rPr>
                <w:szCs w:val="24"/>
                <w:lang w:val="es-ES"/>
              </w:rPr>
            </w:pPr>
            <w:r w:rsidRPr="009A55C7">
              <w:rPr>
                <w:szCs w:val="24"/>
                <w:lang w:val="es-ES"/>
              </w:rPr>
              <w:t>Se invita a la CMDT a tomar nota del presente Informe y a formular los comentarios que estime oportunos.</w:t>
            </w:r>
          </w:p>
          <w:p w14:paraId="1B22B37E" w14:textId="77777777" w:rsidR="00A023EF" w:rsidRPr="000B1248" w:rsidRDefault="00A023EF">
            <w:pPr>
              <w:spacing w:after="120"/>
              <w:rPr>
                <w:b/>
                <w:bCs/>
                <w:szCs w:val="24"/>
                <w:lang w:val="es-ES"/>
              </w:rPr>
            </w:pPr>
            <w:r w:rsidRPr="000B1248">
              <w:rPr>
                <w:b/>
                <w:bCs/>
                <w:szCs w:val="24"/>
                <w:lang w:val="es-ES"/>
              </w:rPr>
              <w:t>Referenc</w:t>
            </w:r>
            <w:r>
              <w:rPr>
                <w:b/>
                <w:bCs/>
                <w:szCs w:val="24"/>
                <w:lang w:val="es-ES"/>
              </w:rPr>
              <w:t>ia</w:t>
            </w:r>
            <w:r w:rsidRPr="000B1248">
              <w:rPr>
                <w:b/>
                <w:bCs/>
                <w:szCs w:val="24"/>
                <w:lang w:val="es-ES"/>
              </w:rPr>
              <w:t>s:</w:t>
            </w:r>
          </w:p>
          <w:p w14:paraId="28BBF22E" w14:textId="304B9FA5" w:rsidR="009A55C7" w:rsidRPr="009A55C7" w:rsidRDefault="009A55C7" w:rsidP="009A55C7">
            <w:pPr>
              <w:rPr>
                <w:u w:val="single"/>
                <w:lang w:val="es-ES"/>
              </w:rPr>
            </w:pPr>
            <w:hyperlink r:id="rId18" w:anchor="/es" w:history="1">
              <w:r w:rsidRPr="009A55C7">
                <w:rPr>
                  <w:rStyle w:val="Hyperlink"/>
                  <w:lang w:val="es-ES"/>
                </w:rPr>
                <w:t>Labor de la BDT sobre la Alianza sobre innovación e iniciativa empresarial en aras del desarrollo digital</w:t>
              </w:r>
            </w:hyperlink>
          </w:p>
          <w:p w14:paraId="4D46851C" w14:textId="52A5BF97" w:rsidR="009A55C7" w:rsidRPr="009A55C7" w:rsidRDefault="009A55C7" w:rsidP="009A55C7">
            <w:pPr>
              <w:rPr>
                <w:u w:val="single"/>
                <w:lang w:val="es-ES"/>
              </w:rPr>
            </w:pPr>
            <w:hyperlink r:id="rId19" w:history="1">
              <w:r w:rsidRPr="009A55C7">
                <w:rPr>
                  <w:rStyle w:val="Hyperlink"/>
                  <w:lang w:val="es-ES"/>
                </w:rPr>
                <w:t>Labor de la BDT sobre ecosistemas de innovación digital</w:t>
              </w:r>
            </w:hyperlink>
          </w:p>
          <w:p w14:paraId="256D5811" w14:textId="77777777" w:rsidR="009A55C7" w:rsidRPr="009A55C7" w:rsidRDefault="009A55C7" w:rsidP="009A55C7">
            <w:pPr>
              <w:rPr>
                <w:lang w:val="es-ES"/>
              </w:rPr>
            </w:pPr>
            <w:r w:rsidRPr="009A55C7">
              <w:rPr>
                <w:lang w:val="es-ES"/>
              </w:rPr>
              <w:t xml:space="preserve">Resoluciones </w:t>
            </w:r>
            <w:hyperlink r:id="rId20" w:history="1">
              <w:r w:rsidRPr="009A55C7">
                <w:rPr>
                  <w:rStyle w:val="Hyperlink"/>
                  <w:lang w:val="es-ES"/>
                </w:rPr>
                <w:t>90</w:t>
              </w:r>
            </w:hyperlink>
            <w:r w:rsidRPr="009A55C7">
              <w:rPr>
                <w:lang w:val="es-ES"/>
              </w:rPr>
              <w:t xml:space="preserve">, </w:t>
            </w:r>
            <w:hyperlink r:id="rId21" w:history="1">
              <w:r w:rsidRPr="009A55C7">
                <w:rPr>
                  <w:rStyle w:val="Hyperlink"/>
                  <w:lang w:val="es-ES"/>
                </w:rPr>
                <w:t>89</w:t>
              </w:r>
            </w:hyperlink>
            <w:r w:rsidRPr="009A55C7">
              <w:rPr>
                <w:lang w:val="es-ES"/>
              </w:rPr>
              <w:t xml:space="preserve"> y </w:t>
            </w:r>
            <w:hyperlink r:id="rId22" w:history="1">
              <w:r w:rsidRPr="009A55C7">
                <w:rPr>
                  <w:rStyle w:val="Hyperlink"/>
                  <w:lang w:val="es-ES"/>
                </w:rPr>
                <w:t>85</w:t>
              </w:r>
            </w:hyperlink>
            <w:r w:rsidRPr="009A55C7">
              <w:rPr>
                <w:lang w:val="es-ES"/>
              </w:rPr>
              <w:t xml:space="preserve"> (Rev. Kigali, 2022) de la CMDT</w:t>
            </w:r>
            <w:hyperlink r:id="rId23" w:history="1"/>
            <w:hyperlink r:id="rId24" w:history="1"/>
            <w:hyperlink r:id="rId25" w:history="1"/>
          </w:p>
          <w:p w14:paraId="6ED8564B" w14:textId="77777777" w:rsidR="009A55C7" w:rsidRPr="009A55C7" w:rsidRDefault="009A55C7" w:rsidP="009A55C7">
            <w:pPr>
              <w:rPr>
                <w:lang w:val="es-ES"/>
              </w:rPr>
            </w:pPr>
            <w:r w:rsidRPr="009A55C7">
              <w:rPr>
                <w:lang w:val="es-ES"/>
              </w:rPr>
              <w:t>Iniciativas regionales AFR4, AMS3, ARB4, ASP4, CEI3, CEI5 y EUR5 de la UIT</w:t>
            </w:r>
          </w:p>
          <w:p w14:paraId="1D4C986E" w14:textId="7C737E71" w:rsidR="00A023EF" w:rsidRPr="000B1248" w:rsidRDefault="009A55C7" w:rsidP="009A55C7">
            <w:pPr>
              <w:rPr>
                <w:lang w:val="es-ES"/>
              </w:rPr>
            </w:pPr>
            <w:r w:rsidRPr="009A55C7">
              <w:rPr>
                <w:lang w:val="es-ES"/>
              </w:rPr>
              <w:t>Resolución 205 de la PP; Plan Estratégico de la UIT (Resolución 71 de la PP, Rev. Bucarest, 2022)</w:t>
            </w:r>
          </w:p>
        </w:tc>
      </w:tr>
    </w:tbl>
    <w:p w14:paraId="420F62B3" w14:textId="5E97A1F4" w:rsidR="00A023EF" w:rsidRDefault="00A023EF" w:rsidP="00A023EF">
      <w:pPr>
        <w:rPr>
          <w:lang w:val="es-ES"/>
        </w:rPr>
      </w:pPr>
    </w:p>
    <w:p w14:paraId="7A2CF7BD" w14:textId="77777777" w:rsidR="00A023EF" w:rsidRDefault="00A023EF">
      <w:pPr>
        <w:tabs>
          <w:tab w:val="clear" w:pos="1134"/>
          <w:tab w:val="clear" w:pos="1871"/>
          <w:tab w:val="clear" w:pos="2268"/>
        </w:tabs>
        <w:overflowPunct/>
        <w:autoSpaceDE/>
        <w:autoSpaceDN/>
        <w:adjustRightInd/>
        <w:spacing w:before="0"/>
        <w:textAlignment w:val="auto"/>
        <w:rPr>
          <w:lang w:val="es-ES"/>
        </w:rPr>
      </w:pPr>
      <w:r>
        <w:rPr>
          <w:lang w:val="es-ES"/>
        </w:rPr>
        <w:br w:type="page"/>
      </w:r>
    </w:p>
    <w:p w14:paraId="79A96DD1" w14:textId="199C83A1" w:rsidR="00527D0A" w:rsidRPr="00D875B6" w:rsidRDefault="00527D0A" w:rsidP="00527D0A">
      <w:pPr>
        <w:pStyle w:val="Heading1"/>
        <w:rPr>
          <w:lang w:val="es-ES"/>
        </w:rPr>
      </w:pPr>
      <w:r>
        <w:rPr>
          <w:lang w:val="es-ES"/>
        </w:rPr>
        <w:lastRenderedPageBreak/>
        <w:t>1</w:t>
      </w:r>
      <w:r>
        <w:rPr>
          <w:lang w:val="es-ES"/>
        </w:rPr>
        <w:tab/>
      </w:r>
      <w:r w:rsidRPr="001378AF">
        <w:rPr>
          <w:lang w:val="es-ES"/>
        </w:rPr>
        <w:t>Antecedentes</w:t>
      </w:r>
    </w:p>
    <w:p w14:paraId="73E6E462" w14:textId="5CBEA0EF" w:rsidR="00527D0A" w:rsidRPr="008A7E65" w:rsidRDefault="00527D0A" w:rsidP="00527D0A">
      <w:pPr>
        <w:rPr>
          <w:rFonts w:cs="Calibri"/>
          <w:lang w:val="es-ES"/>
        </w:rPr>
      </w:pPr>
      <w:r>
        <w:rPr>
          <w:lang w:val="es-ES"/>
        </w:rPr>
        <w:t>La Alianza sobre innovación e iniciativa empresarial en aras del desarrollo digital fue creada por el</w:t>
      </w:r>
      <w:r w:rsidR="00D875B6">
        <w:rPr>
          <w:lang w:val="es-ES"/>
        </w:rPr>
        <w:t xml:space="preserve"> </w:t>
      </w:r>
      <w:r>
        <w:rPr>
          <w:lang w:val="es-ES"/>
        </w:rPr>
        <w:t>Director de la BDT el 25 de enero de 2023 para atender las importantes necesidades insatisfechas de los Miembros de la UIT en el ámbito de la innovación, como se articula en el Plan de Acción de Kigali adoptado en la Conferencia Mundial de Desarrollo de las Telecomunicaciones de 2022 (CMDT-22) y los resultados de la Conferencia de Plenipotenciarios de la UIT de 2022</w:t>
      </w:r>
      <w:r w:rsidR="00D875B6">
        <w:rPr>
          <w:lang w:val="es-ES"/>
        </w:rPr>
        <w:t xml:space="preserve"> </w:t>
      </w:r>
      <w:r>
        <w:rPr>
          <w:lang w:val="es-ES"/>
        </w:rPr>
        <w:t>(PP-22).</w:t>
      </w:r>
    </w:p>
    <w:p w14:paraId="7BD46E5F" w14:textId="77777777" w:rsidR="00527D0A" w:rsidRPr="008A7E65" w:rsidRDefault="00527D0A" w:rsidP="00527D0A">
      <w:pPr>
        <w:rPr>
          <w:rFonts w:cs="Calibri"/>
          <w:lang w:val="es-ES"/>
        </w:rPr>
      </w:pPr>
      <w:r>
        <w:rPr>
          <w:lang w:val="es-ES"/>
        </w:rPr>
        <w:t>La Alianza tiene por objeto crear "un futuro más equitativo y digital para todos" y cumplir dos resultados de las prioridades del UIT-D en materia de transformación digital, a saber:</w:t>
      </w:r>
    </w:p>
    <w:p w14:paraId="1F9B2C92" w14:textId="038E94B3" w:rsidR="00527D0A" w:rsidRPr="008A7E65" w:rsidRDefault="00527D0A" w:rsidP="00527D0A">
      <w:pPr>
        <w:pStyle w:val="enumlev1"/>
        <w:rPr>
          <w:rFonts w:cs="Calibri"/>
          <w:lang w:val="es-ES"/>
        </w:rPr>
      </w:pPr>
      <w:r w:rsidRPr="00527D0A">
        <w:rPr>
          <w:lang w:val="es-ES"/>
        </w:rPr>
        <w:t>–</w:t>
      </w:r>
      <w:r>
        <w:rPr>
          <w:lang w:val="es-ES"/>
        </w:rPr>
        <w:tab/>
        <w:t>Capacidad reforzada de los miembros de la UIT para integrar la innovación y la digitalización de las telecomunicaciones/TIC en sus agendas nacionales de desarrollo y para elaborar estrategias de promoción de iniciativas innovadoras, incluso mediante asociaciones públicas, privadas y público-privadas.</w:t>
      </w:r>
    </w:p>
    <w:p w14:paraId="1F09B2D6" w14:textId="023FC60D" w:rsidR="00527D0A" w:rsidRPr="008A7E65" w:rsidRDefault="00527D0A" w:rsidP="00527D0A">
      <w:pPr>
        <w:pStyle w:val="enumlev1"/>
        <w:rPr>
          <w:rFonts w:cs="Calibri"/>
          <w:lang w:val="es-ES"/>
        </w:rPr>
      </w:pPr>
      <w:r w:rsidRPr="00527D0A">
        <w:rPr>
          <w:lang w:val="es-ES"/>
        </w:rPr>
        <w:t>–</w:t>
      </w:r>
      <w:r>
        <w:rPr>
          <w:lang w:val="es-ES"/>
        </w:rPr>
        <w:tab/>
        <w:t>Mejora de la capacidad de los Miembros de la UIT en los planos humano e institucional en las esferas de las telecomunicaciones y las TIC para fomentar la transformación digital.</w:t>
      </w:r>
    </w:p>
    <w:p w14:paraId="521E6E65" w14:textId="77777777" w:rsidR="00527D0A" w:rsidRPr="008A7E65" w:rsidRDefault="00527D0A" w:rsidP="00527D0A">
      <w:pPr>
        <w:rPr>
          <w:rFonts w:cs="Calibri"/>
          <w:lang w:val="es-ES"/>
        </w:rPr>
      </w:pPr>
      <w:r>
        <w:rPr>
          <w:lang w:val="es-ES"/>
        </w:rPr>
        <w:t>El trabajo de la Alianza está en consonancia con:</w:t>
      </w:r>
    </w:p>
    <w:p w14:paraId="747DEA6F" w14:textId="54DCAF5F" w:rsidR="00527D0A" w:rsidRPr="008A7E65" w:rsidRDefault="00527D0A" w:rsidP="00527D0A">
      <w:pPr>
        <w:pStyle w:val="enumlev1"/>
        <w:rPr>
          <w:rFonts w:cs="Calibri"/>
          <w:lang w:val="es-ES"/>
        </w:rPr>
      </w:pPr>
      <w:r w:rsidRPr="00527D0A">
        <w:rPr>
          <w:lang w:val="es-ES"/>
        </w:rPr>
        <w:t>–</w:t>
      </w:r>
      <w:r>
        <w:rPr>
          <w:lang w:val="es-ES"/>
        </w:rPr>
        <w:tab/>
        <w:t>las Resoluciones 90, 89 y 85 (Kigali, 2022) de la CMDT, en las que se proporcionan orientaciones claras sobre la función de la innovación con respecto a la transformación digital de la sociedad</w:t>
      </w:r>
      <w:r w:rsidR="00B51C0C">
        <w:rPr>
          <w:lang w:val="es-ES"/>
        </w:rPr>
        <w:t>;</w:t>
      </w:r>
    </w:p>
    <w:p w14:paraId="1D97AB0C" w14:textId="6ED991C0" w:rsidR="00527D0A" w:rsidRPr="008A7E65" w:rsidRDefault="00527D0A" w:rsidP="00527D0A">
      <w:pPr>
        <w:pStyle w:val="enumlev1"/>
        <w:rPr>
          <w:rFonts w:cs="Calibri"/>
          <w:lang w:val="es-ES"/>
        </w:rPr>
      </w:pPr>
      <w:r w:rsidRPr="00527D0A">
        <w:rPr>
          <w:lang w:val="es-ES"/>
        </w:rPr>
        <w:t>–</w:t>
      </w:r>
      <w:r>
        <w:rPr>
          <w:lang w:val="es-ES"/>
        </w:rPr>
        <w:tab/>
        <w:t>las Iniciativas Regionales de la UIT para todas las regiones, en virtud de las cuales se solicita mayor atención en esta área;</w:t>
      </w:r>
    </w:p>
    <w:p w14:paraId="5E89B59D" w14:textId="1C1A6BED" w:rsidR="00527D0A" w:rsidRPr="008A7E65" w:rsidRDefault="00527D0A" w:rsidP="00527D0A">
      <w:pPr>
        <w:pStyle w:val="enumlev1"/>
        <w:rPr>
          <w:rFonts w:cs="Calibri"/>
          <w:lang w:val="es-ES"/>
        </w:rPr>
      </w:pPr>
      <w:r w:rsidRPr="00527D0A">
        <w:rPr>
          <w:lang w:val="es-ES"/>
        </w:rPr>
        <w:t>–</w:t>
      </w:r>
      <w:r>
        <w:rPr>
          <w:lang w:val="es-ES"/>
        </w:rPr>
        <w:tab/>
        <w:t>la Resolución 205 de la PP "Fomento de la innovación centrada en las TIC para impulsar la economía y la sociedad digitales", en la que se pone de manifiesto la destacada función de la BDT en la innovación en el desarrollo digital,</w:t>
      </w:r>
      <w:r w:rsidR="00B51C0C">
        <w:rPr>
          <w:lang w:val="es-ES"/>
        </w:rPr>
        <w:t xml:space="preserve"> y</w:t>
      </w:r>
    </w:p>
    <w:p w14:paraId="64092219" w14:textId="53F4B570" w:rsidR="00527D0A" w:rsidRPr="008A7E65" w:rsidRDefault="00527D0A" w:rsidP="00527D0A">
      <w:pPr>
        <w:pStyle w:val="enumlev1"/>
        <w:rPr>
          <w:rFonts w:cs="Calibri"/>
          <w:lang w:val="es-ES"/>
        </w:rPr>
      </w:pPr>
      <w:r w:rsidRPr="00527D0A">
        <w:rPr>
          <w:lang w:val="es-ES"/>
        </w:rPr>
        <w:t>–</w:t>
      </w:r>
      <w:r>
        <w:rPr>
          <w:lang w:val="es-ES"/>
        </w:rPr>
        <w:tab/>
        <w:t>el Plan Estratégico de la UIT (Resolución 71 de la PP, Rev. Bucarest, 2022).</w:t>
      </w:r>
    </w:p>
    <w:p w14:paraId="4D6DFFA9" w14:textId="77777777" w:rsidR="00527D0A" w:rsidRPr="008A7E65" w:rsidRDefault="00527D0A" w:rsidP="00527D0A">
      <w:pPr>
        <w:rPr>
          <w:rFonts w:cs="Calibri"/>
          <w:lang w:val="es-ES"/>
        </w:rPr>
      </w:pPr>
      <w:r>
        <w:rPr>
          <w:lang w:val="es-ES"/>
        </w:rPr>
        <w:t xml:space="preserve">La </w:t>
      </w:r>
      <w:r w:rsidRPr="00F259BB">
        <w:rPr>
          <w:b/>
          <w:bCs/>
          <w:lang w:val="es-ES"/>
        </w:rPr>
        <w:t>visión de la Alianza</w:t>
      </w:r>
      <w:r>
        <w:rPr>
          <w:lang w:val="es-ES"/>
        </w:rPr>
        <w:t xml:space="preserve"> es "prestar apoyo a los Miembros del UIT-D con enfoques nuevos, más resilientes y adaptados al futuro para afrontar de forma segura un mundo digital cada vez más inestable, incierto, complejo y ambiguo, y lograr los resultados del Plan de Acción de Kigali". </w:t>
      </w:r>
    </w:p>
    <w:p w14:paraId="0FF5C36D" w14:textId="27A71636" w:rsidR="00527D0A" w:rsidRDefault="00527D0A" w:rsidP="00527D0A">
      <w:pPr>
        <w:rPr>
          <w:lang w:val="es-ES"/>
        </w:rPr>
      </w:pPr>
      <w:r>
        <w:rPr>
          <w:lang w:val="es-ES"/>
        </w:rPr>
        <w:t xml:space="preserve">La </w:t>
      </w:r>
      <w:r>
        <w:rPr>
          <w:b/>
          <w:bCs/>
          <w:lang w:val="es-ES"/>
        </w:rPr>
        <w:t>misión de la Alianza</w:t>
      </w:r>
      <w:r>
        <w:rPr>
          <w:lang w:val="es-ES"/>
        </w:rPr>
        <w:t xml:space="preserve"> es "reducir la brecha de innovación digital y empoderar a los Miembros del</w:t>
      </w:r>
      <w:r w:rsidR="00D875B6">
        <w:rPr>
          <w:lang w:val="es-ES"/>
        </w:rPr>
        <w:t> </w:t>
      </w:r>
      <w:r>
        <w:rPr>
          <w:lang w:val="es-ES"/>
        </w:rPr>
        <w:t>UIT-D para afrontar los retos que plantea la transformación digital y lograr que sus ecosistemas repercutan en mayor medida en sectores transversales con objeto de propiciar una sociedad inclusiva y sostenible".</w:t>
      </w:r>
    </w:p>
    <w:p w14:paraId="2B72E0F0" w14:textId="77777777" w:rsidR="00527D0A" w:rsidRDefault="00527D0A">
      <w:pPr>
        <w:tabs>
          <w:tab w:val="clear" w:pos="1134"/>
          <w:tab w:val="clear" w:pos="1871"/>
          <w:tab w:val="clear" w:pos="2268"/>
        </w:tabs>
        <w:overflowPunct/>
        <w:autoSpaceDE/>
        <w:autoSpaceDN/>
        <w:adjustRightInd/>
        <w:spacing w:before="0"/>
        <w:textAlignment w:val="auto"/>
        <w:rPr>
          <w:lang w:val="es-ES"/>
        </w:rPr>
      </w:pPr>
      <w:r>
        <w:rPr>
          <w:lang w:val="es-ES"/>
        </w:rPr>
        <w:br w:type="page"/>
      </w:r>
    </w:p>
    <w:p w14:paraId="6256D595" w14:textId="77777777" w:rsidR="00527D0A" w:rsidRPr="008A7E65" w:rsidRDefault="00527D0A" w:rsidP="00527D0A">
      <w:pPr>
        <w:spacing w:after="120"/>
        <w:rPr>
          <w:rFonts w:cs="Calibri"/>
          <w:lang w:val="es-ES"/>
        </w:rPr>
      </w:pPr>
      <w:r>
        <w:rPr>
          <w:lang w:val="es-ES"/>
        </w:rPr>
        <w:lastRenderedPageBreak/>
        <w:t>La Alianza ayuda a los países a crear capacidades locales en innovación y emprendimiento para alcanzar cinco objetivos estratégicos:</w:t>
      </w:r>
    </w:p>
    <w:tbl>
      <w:tblPr>
        <w:tblStyle w:val="TableGrid"/>
        <w:tblW w:w="0" w:type="auto"/>
        <w:jc w:val="center"/>
        <w:tblLayout w:type="fixed"/>
        <w:tblCellMar>
          <w:top w:w="108" w:type="dxa"/>
          <w:bottom w:w="108" w:type="dxa"/>
        </w:tblCellMar>
        <w:tblLook w:val="04A0" w:firstRow="1" w:lastRow="0" w:firstColumn="1" w:lastColumn="0" w:noHBand="0" w:noVBand="1"/>
      </w:tblPr>
      <w:tblGrid>
        <w:gridCol w:w="2405"/>
        <w:gridCol w:w="6611"/>
      </w:tblGrid>
      <w:tr w:rsidR="00527D0A" w:rsidRPr="00030509" w14:paraId="66DB9795" w14:textId="77777777" w:rsidTr="00527D0A">
        <w:trPr>
          <w:jc w:val="center"/>
        </w:trPr>
        <w:tc>
          <w:tcPr>
            <w:tcW w:w="2405" w:type="dxa"/>
          </w:tcPr>
          <w:p w14:paraId="384C9CAE" w14:textId="77777777" w:rsidR="00527D0A" w:rsidRPr="00527D0A" w:rsidRDefault="00527D0A" w:rsidP="00527D0A">
            <w:pPr>
              <w:pStyle w:val="Tabletext"/>
              <w:rPr>
                <w:b/>
                <w:bCs/>
                <w:lang w:val="es-ES"/>
              </w:rPr>
            </w:pPr>
            <w:r w:rsidRPr="00527D0A">
              <w:rPr>
                <w:b/>
                <w:bCs/>
                <w:lang w:val="es-ES"/>
              </w:rPr>
              <w:t>Preparación para el estudio de tendencias</w:t>
            </w:r>
          </w:p>
        </w:tc>
        <w:tc>
          <w:tcPr>
            <w:tcW w:w="6611" w:type="dxa"/>
          </w:tcPr>
          <w:p w14:paraId="6E239A19" w14:textId="77777777" w:rsidR="00527D0A" w:rsidRPr="00410EDA" w:rsidRDefault="00527D0A" w:rsidP="00527D0A">
            <w:pPr>
              <w:pStyle w:val="Tabletext"/>
              <w:rPr>
                <w:lang w:val="es-ES"/>
              </w:rPr>
            </w:pPr>
            <w:r w:rsidRPr="00410EDA">
              <w:rPr>
                <w:lang w:val="es-ES"/>
              </w:rPr>
              <w:t>Permitir que los países se adelanten y entiendan la evolución de la tecnología, las políticas y la dinámica de la innovación.</w:t>
            </w:r>
          </w:p>
        </w:tc>
      </w:tr>
      <w:tr w:rsidR="00527D0A" w:rsidRPr="00030509" w14:paraId="1AE4447B" w14:textId="77777777" w:rsidTr="00527D0A">
        <w:trPr>
          <w:jc w:val="center"/>
        </w:trPr>
        <w:tc>
          <w:tcPr>
            <w:tcW w:w="2405" w:type="dxa"/>
          </w:tcPr>
          <w:p w14:paraId="11531B8E" w14:textId="77777777" w:rsidR="00527D0A" w:rsidRPr="00527D0A" w:rsidRDefault="00527D0A" w:rsidP="00527D0A">
            <w:pPr>
              <w:pStyle w:val="Tabletext"/>
              <w:rPr>
                <w:b/>
                <w:bCs/>
              </w:rPr>
            </w:pPr>
            <w:r w:rsidRPr="00527D0A">
              <w:rPr>
                <w:b/>
                <w:bCs/>
                <w:lang w:val="es-ES"/>
              </w:rPr>
              <w:t>Innovación tecnológica abierta</w:t>
            </w:r>
          </w:p>
        </w:tc>
        <w:tc>
          <w:tcPr>
            <w:tcW w:w="6611" w:type="dxa"/>
          </w:tcPr>
          <w:p w14:paraId="3C54C3B1" w14:textId="77777777" w:rsidR="00527D0A" w:rsidRPr="00410EDA" w:rsidRDefault="00527D0A" w:rsidP="00527D0A">
            <w:pPr>
              <w:pStyle w:val="Tabletext"/>
              <w:rPr>
                <w:lang w:val="es-ES"/>
              </w:rPr>
            </w:pPr>
            <w:r w:rsidRPr="00410EDA">
              <w:rPr>
                <w:lang w:val="es-ES"/>
              </w:rPr>
              <w:t>Convertir los conocimientos tecnológicos en bienes mundiales mediante la innovación abierta y mecanismos multipartitos, acelerando el acceso de todos a las tecnologías emergentes.</w:t>
            </w:r>
          </w:p>
        </w:tc>
      </w:tr>
      <w:tr w:rsidR="00527D0A" w:rsidRPr="00030509" w14:paraId="15723366" w14:textId="77777777" w:rsidTr="00527D0A">
        <w:trPr>
          <w:jc w:val="center"/>
        </w:trPr>
        <w:tc>
          <w:tcPr>
            <w:tcW w:w="2405" w:type="dxa"/>
          </w:tcPr>
          <w:p w14:paraId="4223DABB" w14:textId="46CB240A" w:rsidR="00527D0A" w:rsidRPr="00527D0A" w:rsidRDefault="00527D0A" w:rsidP="00527D0A">
            <w:pPr>
              <w:pStyle w:val="Tabletext"/>
              <w:rPr>
                <w:b/>
                <w:bCs/>
                <w:lang w:val="es-ES"/>
              </w:rPr>
            </w:pPr>
            <w:r w:rsidRPr="00527D0A">
              <w:rPr>
                <w:b/>
                <w:bCs/>
                <w:lang w:val="es-ES"/>
              </w:rPr>
              <w:t xml:space="preserve">Iniciativa empresarial y crecimiento de </w:t>
            </w:r>
            <w:r w:rsidR="00E26AA9" w:rsidRPr="00527D0A">
              <w:rPr>
                <w:b/>
                <w:bCs/>
                <w:lang w:val="es-ES"/>
              </w:rPr>
              <w:t>las pymes</w:t>
            </w:r>
          </w:p>
        </w:tc>
        <w:tc>
          <w:tcPr>
            <w:tcW w:w="6611" w:type="dxa"/>
          </w:tcPr>
          <w:p w14:paraId="748B0CAD" w14:textId="77777777" w:rsidR="00527D0A" w:rsidRPr="00410EDA" w:rsidRDefault="00527D0A" w:rsidP="00527D0A">
            <w:pPr>
              <w:pStyle w:val="Tabletext"/>
              <w:rPr>
                <w:lang w:val="es-ES"/>
              </w:rPr>
            </w:pPr>
            <w:r w:rsidRPr="00410EDA">
              <w:rPr>
                <w:lang w:val="es-ES"/>
              </w:rPr>
              <w:t>Acelerar la adopción del emprendimiento impulsado por la innovación digital y las oportunidades de talento para lograr la inclusión socioeconómica en sus comunidades.</w:t>
            </w:r>
          </w:p>
        </w:tc>
      </w:tr>
      <w:tr w:rsidR="00527D0A" w:rsidRPr="00030509" w14:paraId="7F981A08" w14:textId="77777777" w:rsidTr="00527D0A">
        <w:trPr>
          <w:jc w:val="center"/>
        </w:trPr>
        <w:tc>
          <w:tcPr>
            <w:tcW w:w="2405" w:type="dxa"/>
          </w:tcPr>
          <w:p w14:paraId="592A8EEB" w14:textId="77777777" w:rsidR="00527D0A" w:rsidRPr="00527D0A" w:rsidRDefault="00527D0A" w:rsidP="00527D0A">
            <w:pPr>
              <w:pStyle w:val="Tabletext"/>
              <w:rPr>
                <w:b/>
                <w:bCs/>
              </w:rPr>
            </w:pPr>
            <w:r w:rsidRPr="00527D0A">
              <w:rPr>
                <w:b/>
                <w:bCs/>
                <w:lang w:val="es-ES"/>
              </w:rPr>
              <w:t>Ensayo de políticas</w:t>
            </w:r>
          </w:p>
        </w:tc>
        <w:tc>
          <w:tcPr>
            <w:tcW w:w="6611" w:type="dxa"/>
          </w:tcPr>
          <w:p w14:paraId="50B9B66B" w14:textId="77777777" w:rsidR="00527D0A" w:rsidRPr="00410EDA" w:rsidRDefault="00527D0A" w:rsidP="00527D0A">
            <w:pPr>
              <w:pStyle w:val="Tabletext"/>
              <w:rPr>
                <w:lang w:val="es-ES"/>
              </w:rPr>
            </w:pPr>
            <w:r w:rsidRPr="00410EDA">
              <w:rPr>
                <w:lang w:val="es-ES"/>
              </w:rPr>
              <w:t>Formular políticas eficaces que brinden a las partes interesadas un espacio seguro para la realización de ensayos y fomenten la innovación y las inversiones en el ecosistema digital.</w:t>
            </w:r>
          </w:p>
        </w:tc>
      </w:tr>
      <w:tr w:rsidR="00527D0A" w:rsidRPr="00030509" w14:paraId="0D7753B1" w14:textId="77777777" w:rsidTr="00527D0A">
        <w:trPr>
          <w:jc w:val="center"/>
        </w:trPr>
        <w:tc>
          <w:tcPr>
            <w:tcW w:w="2405" w:type="dxa"/>
          </w:tcPr>
          <w:p w14:paraId="092BAC15" w14:textId="77777777" w:rsidR="00527D0A" w:rsidRPr="00527D0A" w:rsidRDefault="00527D0A" w:rsidP="00527D0A">
            <w:pPr>
              <w:pStyle w:val="Tabletext"/>
              <w:rPr>
                <w:b/>
                <w:bCs/>
                <w:lang w:val="es-ES"/>
              </w:rPr>
            </w:pPr>
            <w:r w:rsidRPr="00527D0A">
              <w:rPr>
                <w:b/>
                <w:bCs/>
                <w:lang w:val="es-ES"/>
              </w:rPr>
              <w:t>Aceleración de las iniciativas del ecosistema</w:t>
            </w:r>
          </w:p>
        </w:tc>
        <w:tc>
          <w:tcPr>
            <w:tcW w:w="6611" w:type="dxa"/>
          </w:tcPr>
          <w:p w14:paraId="6B7548D0" w14:textId="77777777" w:rsidR="00527D0A" w:rsidRPr="00410EDA" w:rsidRDefault="00527D0A" w:rsidP="00527D0A">
            <w:pPr>
              <w:pStyle w:val="Tabletext"/>
              <w:rPr>
                <w:lang w:val="es-ES"/>
              </w:rPr>
            </w:pPr>
            <w:r w:rsidRPr="00410EDA">
              <w:rPr>
                <w:lang w:val="es-ES"/>
              </w:rPr>
              <w:t>Promover la colaboración y las sinergias que amplíen las innovaciones digitales y creen valor en todos los sectores económicos para una economía digital competitiva.</w:t>
            </w:r>
          </w:p>
        </w:tc>
      </w:tr>
    </w:tbl>
    <w:p w14:paraId="35D27828" w14:textId="77777777" w:rsidR="00527D0A" w:rsidRPr="008A7E65" w:rsidRDefault="00527D0A" w:rsidP="00D875B6">
      <w:pPr>
        <w:rPr>
          <w:rFonts w:cs="Calibri"/>
          <w:lang w:val="es-ES"/>
        </w:rPr>
      </w:pPr>
      <w:r>
        <w:rPr>
          <w:lang w:val="es-ES"/>
        </w:rPr>
        <w:t xml:space="preserve">La Alianza es una </w:t>
      </w:r>
      <w:r>
        <w:rPr>
          <w:b/>
          <w:bCs/>
          <w:lang w:val="es-ES"/>
        </w:rPr>
        <w:t>iniciativa mundial</w:t>
      </w:r>
      <w:r>
        <w:rPr>
          <w:lang w:val="es-ES"/>
        </w:rPr>
        <w:t xml:space="preserve"> para ayudar a los países a afrontar los retos y oportunidades de un panorama tecnológico y mundial en rápida evolución, en 2023. </w:t>
      </w:r>
    </w:p>
    <w:p w14:paraId="66585B9D" w14:textId="77777777" w:rsidR="00527D0A" w:rsidRPr="008A7E65" w:rsidRDefault="00527D0A" w:rsidP="00D875B6">
      <w:pPr>
        <w:rPr>
          <w:rFonts w:cs="Calibri"/>
          <w:lang w:val="es-ES"/>
        </w:rPr>
      </w:pPr>
      <w:r>
        <w:rPr>
          <w:lang w:val="es-ES"/>
        </w:rPr>
        <w:t>La Alianza opera mediante</w:t>
      </w:r>
      <w:r>
        <w:rPr>
          <w:b/>
          <w:bCs/>
          <w:lang w:val="es-ES"/>
        </w:rPr>
        <w:t xml:space="preserve"> tres mecanismos principales:</w:t>
      </w:r>
    </w:p>
    <w:p w14:paraId="66BF8201" w14:textId="2D45411C" w:rsidR="00527D0A" w:rsidRPr="008A7E65" w:rsidRDefault="00D875B6" w:rsidP="00D875B6">
      <w:pPr>
        <w:pStyle w:val="enumlev1"/>
        <w:rPr>
          <w:rFonts w:cs="Calibri"/>
          <w:lang w:val="es-ES"/>
        </w:rPr>
      </w:pPr>
      <w:r w:rsidRPr="00527D0A">
        <w:rPr>
          <w:lang w:val="es-ES"/>
        </w:rPr>
        <w:t>–</w:t>
      </w:r>
      <w:r>
        <w:rPr>
          <w:lang w:val="es-ES"/>
        </w:rPr>
        <w:tab/>
      </w:r>
      <w:r w:rsidR="00527D0A">
        <w:rPr>
          <w:b/>
          <w:bCs/>
          <w:lang w:val="es-ES"/>
        </w:rPr>
        <w:t xml:space="preserve">Junta de </w:t>
      </w:r>
      <w:r w:rsidR="000F5D2E">
        <w:rPr>
          <w:b/>
          <w:bCs/>
          <w:lang w:val="es-ES"/>
        </w:rPr>
        <w:t>I</w:t>
      </w:r>
      <w:r w:rsidR="00527D0A">
        <w:rPr>
          <w:b/>
          <w:bCs/>
          <w:lang w:val="es-ES"/>
        </w:rPr>
        <w:t xml:space="preserve">nnovación </w:t>
      </w:r>
      <w:r w:rsidR="000F5D2E">
        <w:rPr>
          <w:b/>
          <w:bCs/>
          <w:lang w:val="es-ES"/>
        </w:rPr>
        <w:t>D</w:t>
      </w:r>
      <w:r w:rsidR="00527D0A">
        <w:rPr>
          <w:b/>
          <w:bCs/>
          <w:lang w:val="es-ES"/>
        </w:rPr>
        <w:t xml:space="preserve">igital: </w:t>
      </w:r>
      <w:r w:rsidR="00527D0A">
        <w:rPr>
          <w:lang w:val="es-ES"/>
        </w:rPr>
        <w:t>proporciona orientación estratégica, garantizando que la Alianza se mantenga en consonancia con las prioridades y los planes de acción del UIT</w:t>
      </w:r>
      <w:r>
        <w:rPr>
          <w:lang w:val="es-ES"/>
        </w:rPr>
        <w:noBreakHyphen/>
      </w:r>
      <w:r w:rsidR="00527D0A">
        <w:rPr>
          <w:lang w:val="es-ES"/>
        </w:rPr>
        <w:t>D. Se dedica a la promoción de alto nivel y hace un seguimiento de los avances en ámbitos clave, al tiempo que defiende el diálogo y las asociaciones mundiales para fomentar la innovación digital inclusiva y la iniciativa empresarial</w:t>
      </w:r>
      <w:r w:rsidR="00B51C0C">
        <w:rPr>
          <w:lang w:val="es-ES"/>
        </w:rPr>
        <w:t>,</w:t>
      </w:r>
    </w:p>
    <w:p w14:paraId="5BEB56C0" w14:textId="32BEF8BE" w:rsidR="00527D0A" w:rsidRPr="008A7E65" w:rsidRDefault="00D875B6" w:rsidP="00D875B6">
      <w:pPr>
        <w:pStyle w:val="enumlev1"/>
        <w:rPr>
          <w:rFonts w:cs="Calibri"/>
          <w:lang w:val="es-ES"/>
        </w:rPr>
      </w:pPr>
      <w:r w:rsidRPr="00527D0A">
        <w:rPr>
          <w:lang w:val="es-ES"/>
        </w:rPr>
        <w:t>–</w:t>
      </w:r>
      <w:r>
        <w:rPr>
          <w:lang w:val="es-ES"/>
        </w:rPr>
        <w:tab/>
      </w:r>
      <w:r w:rsidR="00527D0A">
        <w:rPr>
          <w:b/>
          <w:bCs/>
          <w:lang w:val="es-ES"/>
        </w:rPr>
        <w:t>Laboratorio de transformación digital:</w:t>
      </w:r>
      <w:r w:rsidR="00527D0A">
        <w:rPr>
          <w:lang w:val="es-ES"/>
        </w:rPr>
        <w:t xml:space="preserve"> una instalación virtual para crear capacidades de innovación. Desarrolla programas de conocimientos y apoya el diseño y capacitación de los Centros de Aceleración de la UIT</w:t>
      </w:r>
      <w:r w:rsidR="00B51C0C">
        <w:rPr>
          <w:lang w:val="es-ES"/>
        </w:rPr>
        <w:t>,</w:t>
      </w:r>
      <w:r w:rsidR="00527D0A">
        <w:rPr>
          <w:lang w:val="es-ES"/>
        </w:rPr>
        <w:t xml:space="preserve"> y</w:t>
      </w:r>
    </w:p>
    <w:p w14:paraId="6E6BDD49" w14:textId="0F689970" w:rsidR="00527D0A" w:rsidRPr="008A7E65" w:rsidRDefault="00D875B6" w:rsidP="00D875B6">
      <w:pPr>
        <w:pStyle w:val="enumlev1"/>
        <w:rPr>
          <w:rFonts w:cs="Calibri"/>
          <w:lang w:val="es-ES"/>
        </w:rPr>
      </w:pPr>
      <w:r w:rsidRPr="00527D0A">
        <w:rPr>
          <w:lang w:val="es-ES"/>
        </w:rPr>
        <w:t>–</w:t>
      </w:r>
      <w:r>
        <w:rPr>
          <w:lang w:val="es-ES"/>
        </w:rPr>
        <w:tab/>
      </w:r>
      <w:r w:rsidR="00527D0A">
        <w:rPr>
          <w:b/>
          <w:bCs/>
          <w:lang w:val="es-ES"/>
        </w:rPr>
        <w:t xml:space="preserve">Una </w:t>
      </w:r>
      <w:r w:rsidR="000F5D2E">
        <w:rPr>
          <w:b/>
          <w:bCs/>
          <w:lang w:val="es-ES"/>
        </w:rPr>
        <w:t>R</w:t>
      </w:r>
      <w:r w:rsidR="00527D0A">
        <w:rPr>
          <w:b/>
          <w:bCs/>
          <w:lang w:val="es-ES"/>
        </w:rPr>
        <w:t xml:space="preserve">ed de </w:t>
      </w:r>
      <w:r w:rsidR="000F5D2E">
        <w:rPr>
          <w:b/>
          <w:bCs/>
          <w:lang w:val="es-ES"/>
        </w:rPr>
        <w:t>C</w:t>
      </w:r>
      <w:r w:rsidR="00527D0A">
        <w:rPr>
          <w:b/>
          <w:bCs/>
          <w:lang w:val="es-ES"/>
        </w:rPr>
        <w:t xml:space="preserve">entros de </w:t>
      </w:r>
      <w:r w:rsidR="000F5D2E">
        <w:rPr>
          <w:b/>
          <w:bCs/>
          <w:lang w:val="es-ES"/>
        </w:rPr>
        <w:t>A</w:t>
      </w:r>
      <w:r w:rsidR="00527D0A">
        <w:rPr>
          <w:b/>
          <w:bCs/>
          <w:lang w:val="es-ES"/>
        </w:rPr>
        <w:t>celeración de la UIT:</w:t>
      </w:r>
      <w:r w:rsidR="00527D0A">
        <w:rPr>
          <w:lang w:val="es-ES"/>
        </w:rPr>
        <w:t xml:space="preserve"> una red de centros nacionales de propietarios que mejora los ecosistemas de innovación mundiales, regionales y nacionales. Ayuda a los países a aprovechar la tecnología, las políticas y las iniciativas emblemáticas, al tiempo que integra la innovación de las TIC en las agendas nacionales de desarrollo y fomenta el emprendimiento que acelera la transformación digital.</w:t>
      </w:r>
    </w:p>
    <w:p w14:paraId="3B153C0C" w14:textId="77777777" w:rsidR="00527D0A" w:rsidRPr="008A7E65" w:rsidRDefault="00527D0A" w:rsidP="00D875B6">
      <w:pPr>
        <w:rPr>
          <w:rFonts w:cs="Calibri"/>
          <w:lang w:val="es-ES"/>
        </w:rPr>
      </w:pPr>
      <w:r>
        <w:rPr>
          <w:lang w:val="es-ES"/>
        </w:rPr>
        <w:t>Juntos, estos mecanismos proporcionan productos y servicios eficaces para que los Miembros de la UIT sean más ágiles, se adapten al entorno digital cambiante y aprovechen su valor.</w:t>
      </w:r>
    </w:p>
    <w:p w14:paraId="38AD5C05" w14:textId="77777777" w:rsidR="00527D0A" w:rsidRPr="008A7E65" w:rsidRDefault="00527D0A" w:rsidP="00D875B6">
      <w:pPr>
        <w:rPr>
          <w:rFonts w:cs="Calibri"/>
          <w:lang w:val="es-ES"/>
        </w:rPr>
      </w:pPr>
      <w:r>
        <w:rPr>
          <w:lang w:val="es-ES"/>
        </w:rPr>
        <w:t>El valor añadido único de la Alianza reside en su red de centros y arquitecturas, que proporciona a los países un nuevo mecanismo o plataforma para asociaciones públicas, privadas y público-privadas con recursos, conocimientos y oportunidades en innovación digital.</w:t>
      </w:r>
    </w:p>
    <w:p w14:paraId="6DB0067A" w14:textId="1B499D45" w:rsidR="00527D0A" w:rsidRPr="001378AF" w:rsidRDefault="00D875B6" w:rsidP="00D875B6">
      <w:pPr>
        <w:pStyle w:val="Heading1"/>
      </w:pPr>
      <w:r>
        <w:rPr>
          <w:lang w:val="es-ES"/>
        </w:rPr>
        <w:lastRenderedPageBreak/>
        <w:t>2</w:t>
      </w:r>
      <w:r>
        <w:rPr>
          <w:lang w:val="es-ES"/>
        </w:rPr>
        <w:tab/>
      </w:r>
      <w:r w:rsidR="00527D0A" w:rsidRPr="001378AF">
        <w:rPr>
          <w:lang w:val="es-ES"/>
        </w:rPr>
        <w:t>Actividades principales</w:t>
      </w:r>
    </w:p>
    <w:p w14:paraId="14F56E49" w14:textId="77777777" w:rsidR="00527D0A" w:rsidRPr="001378AF" w:rsidRDefault="00527D0A" w:rsidP="00D875B6">
      <w:pPr>
        <w:rPr>
          <w:rFonts w:cs="Calibri"/>
          <w:lang w:val="es-ES"/>
        </w:rPr>
      </w:pPr>
      <w:r w:rsidRPr="001378AF">
        <w:rPr>
          <w:rFonts w:cs="Calibri"/>
          <w:lang w:val="es-ES"/>
        </w:rPr>
        <w:t>Entre 2023 y 2025, la BDT llevó a cabo actividades clave para poner en práctica esta Alianza y permitir que los países se beneficien de su impacto, en consonancia con la prioridad del UIT-D en materia de transformación digital.</w:t>
      </w:r>
    </w:p>
    <w:p w14:paraId="269492A7" w14:textId="77777777" w:rsidR="00527D0A" w:rsidRPr="001378AF" w:rsidRDefault="00527D0A" w:rsidP="00D875B6">
      <w:pPr>
        <w:rPr>
          <w:rFonts w:cs="Calibri"/>
          <w:lang w:val="es-ES"/>
        </w:rPr>
      </w:pPr>
      <w:r w:rsidRPr="001378AF">
        <w:rPr>
          <w:rFonts w:cs="Calibri"/>
          <w:lang w:val="es-ES"/>
        </w:rPr>
        <w:t xml:space="preserve">A continuación se </w:t>
      </w:r>
      <w:r w:rsidRPr="00D875B6">
        <w:rPr>
          <w:lang w:val="es-ES"/>
        </w:rPr>
        <w:t>presentan</w:t>
      </w:r>
      <w:r w:rsidRPr="001378AF">
        <w:rPr>
          <w:rFonts w:cs="Calibri"/>
          <w:lang w:val="es-ES"/>
        </w:rPr>
        <w:t xml:space="preserve"> algunas actualizaciones sobre los </w:t>
      </w:r>
      <w:r>
        <w:rPr>
          <w:rFonts w:cs="Calibri"/>
          <w:lang w:val="es-ES"/>
        </w:rPr>
        <w:t>mecanismos</w:t>
      </w:r>
      <w:r w:rsidRPr="001378AF">
        <w:rPr>
          <w:rFonts w:cs="Calibri"/>
          <w:lang w:val="es-ES"/>
        </w:rPr>
        <w:t xml:space="preserve">, productos y servicios ofrecidos por la Alianza. </w:t>
      </w:r>
    </w:p>
    <w:p w14:paraId="2CCAE9FC" w14:textId="74EBCC04" w:rsidR="00527D0A" w:rsidRPr="00D875B6" w:rsidRDefault="00D875B6" w:rsidP="00D875B6">
      <w:pPr>
        <w:pStyle w:val="Heading2"/>
        <w:rPr>
          <w:lang w:val="es-ES"/>
        </w:rPr>
      </w:pPr>
      <w:r w:rsidRPr="00D875B6">
        <w:rPr>
          <w:lang w:val="es-ES"/>
        </w:rPr>
        <w:t>a)</w:t>
      </w:r>
      <w:r w:rsidRPr="00D875B6">
        <w:rPr>
          <w:lang w:val="es-ES"/>
        </w:rPr>
        <w:tab/>
      </w:r>
      <w:r w:rsidR="00527D0A" w:rsidRPr="00D875B6">
        <w:rPr>
          <w:lang w:val="es-ES"/>
        </w:rPr>
        <w:t>Junta</w:t>
      </w:r>
      <w:r w:rsidR="00527D0A" w:rsidRPr="001378AF">
        <w:rPr>
          <w:lang w:val="es-ES"/>
        </w:rPr>
        <w:t xml:space="preserve"> de </w:t>
      </w:r>
      <w:r w:rsidR="000F5D2E">
        <w:rPr>
          <w:lang w:val="es-ES"/>
        </w:rPr>
        <w:t>I</w:t>
      </w:r>
      <w:r w:rsidR="00527D0A" w:rsidRPr="001378AF">
        <w:rPr>
          <w:lang w:val="es-ES"/>
        </w:rPr>
        <w:t xml:space="preserve">nnovación </w:t>
      </w:r>
      <w:r w:rsidR="000F5D2E">
        <w:rPr>
          <w:lang w:val="es-ES"/>
        </w:rPr>
        <w:t>D</w:t>
      </w:r>
      <w:r w:rsidR="00527D0A" w:rsidRPr="001378AF">
        <w:rPr>
          <w:lang w:val="es-ES"/>
        </w:rPr>
        <w:t>igital</w:t>
      </w:r>
    </w:p>
    <w:p w14:paraId="7F7F2FCD" w14:textId="1A00137A" w:rsidR="00527D0A" w:rsidRPr="001378AF" w:rsidRDefault="00527D0A" w:rsidP="00D875B6">
      <w:pPr>
        <w:rPr>
          <w:rFonts w:cs="Calibri"/>
          <w:lang w:val="es-ES"/>
        </w:rPr>
      </w:pPr>
      <w:r w:rsidRPr="001378AF">
        <w:rPr>
          <w:rFonts w:cs="Calibri"/>
          <w:lang w:val="es-ES"/>
        </w:rPr>
        <w:t xml:space="preserve">La Junta de </w:t>
      </w:r>
      <w:r w:rsidR="000F5D2E">
        <w:rPr>
          <w:rFonts w:cs="Calibri"/>
          <w:lang w:val="es-ES"/>
        </w:rPr>
        <w:t>I</w:t>
      </w:r>
      <w:r w:rsidRPr="001378AF">
        <w:rPr>
          <w:rFonts w:cs="Calibri"/>
          <w:lang w:val="es-ES"/>
        </w:rPr>
        <w:t xml:space="preserve">nnovación </w:t>
      </w:r>
      <w:r w:rsidR="000F5D2E">
        <w:rPr>
          <w:rFonts w:cs="Calibri"/>
          <w:lang w:val="es-ES"/>
        </w:rPr>
        <w:t>D</w:t>
      </w:r>
      <w:r w:rsidRPr="001378AF">
        <w:rPr>
          <w:rFonts w:cs="Calibri"/>
          <w:lang w:val="es-ES"/>
        </w:rPr>
        <w:t>igital orienta los trabajos de la Alianza para garantizar la eficacia, la rendición de cuentas y el progreso estratégico de la Alianza con respecto al Plan de Acción de la</w:t>
      </w:r>
      <w:r w:rsidR="00D875B6">
        <w:rPr>
          <w:rFonts w:cs="Calibri"/>
          <w:lang w:val="es-ES"/>
        </w:rPr>
        <w:t> </w:t>
      </w:r>
      <w:r w:rsidRPr="001378AF">
        <w:rPr>
          <w:rFonts w:cs="Calibri"/>
          <w:lang w:val="es-ES"/>
        </w:rPr>
        <w:t xml:space="preserve">CMDT, al </w:t>
      </w:r>
      <w:r w:rsidRPr="00D875B6">
        <w:rPr>
          <w:lang w:val="es-ES"/>
        </w:rPr>
        <w:t>tiempo</w:t>
      </w:r>
      <w:r w:rsidRPr="001378AF">
        <w:rPr>
          <w:rFonts w:cs="Calibri"/>
          <w:lang w:val="es-ES"/>
        </w:rPr>
        <w:t xml:space="preserve"> que facilita la promoción de alto nivel y la presentación de informes sobre los principales flujos de trabajo para alcanzar los objetivos. </w:t>
      </w:r>
    </w:p>
    <w:p w14:paraId="4D59C1B6" w14:textId="5CD9EC76" w:rsidR="00527D0A" w:rsidRPr="001378AF" w:rsidRDefault="00527D0A" w:rsidP="00D875B6">
      <w:pPr>
        <w:rPr>
          <w:rFonts w:cs="Calibri"/>
          <w:lang w:val="es-ES"/>
        </w:rPr>
      </w:pPr>
      <w:r w:rsidRPr="001378AF">
        <w:rPr>
          <w:rFonts w:cs="Calibri"/>
          <w:lang w:val="es-ES"/>
        </w:rPr>
        <w:t xml:space="preserve">La Junta está integrada por distinguidas personas que prestan sus servicios a título personal y garantizan que la Alianza cumpla las misiones y los planes estratégicos de la UIT, así como el mandato de la BDT. La composición de la Junta es diversa y sus miembros actúan de forma gratuita y </w:t>
      </w:r>
      <w:r w:rsidRPr="00D875B6">
        <w:rPr>
          <w:lang w:val="es-ES"/>
        </w:rPr>
        <w:t>cubren</w:t>
      </w:r>
      <w:r w:rsidRPr="001378AF">
        <w:rPr>
          <w:rFonts w:cs="Calibri"/>
          <w:lang w:val="es-ES"/>
        </w:rPr>
        <w:t xml:space="preserve"> sus propios gastos de las reuniones de la Junta. En octubre de 2025, </w:t>
      </w:r>
      <w:hyperlink r:id="rId26" w:anchor="/es" w:history="1">
        <w:r w:rsidRPr="001521A6">
          <w:rPr>
            <w:rStyle w:val="Hyperlink"/>
            <w:rFonts w:cs="Calibri"/>
            <w:lang w:val="es-ES"/>
          </w:rPr>
          <w:t xml:space="preserve">36 personas distinguidas formaban parte de la Junta de </w:t>
        </w:r>
        <w:r w:rsidR="000F5D2E">
          <w:rPr>
            <w:rStyle w:val="Hyperlink"/>
            <w:rFonts w:cs="Calibri"/>
            <w:lang w:val="es-ES"/>
          </w:rPr>
          <w:t>I</w:t>
        </w:r>
        <w:r w:rsidRPr="001521A6">
          <w:rPr>
            <w:rStyle w:val="Hyperlink"/>
            <w:rFonts w:cs="Calibri"/>
            <w:lang w:val="es-ES"/>
          </w:rPr>
          <w:t xml:space="preserve">nnovación </w:t>
        </w:r>
        <w:r w:rsidR="000F5D2E">
          <w:rPr>
            <w:rStyle w:val="Hyperlink"/>
            <w:rFonts w:cs="Calibri"/>
            <w:lang w:val="es-ES"/>
          </w:rPr>
          <w:t>D</w:t>
        </w:r>
        <w:r w:rsidRPr="001521A6">
          <w:rPr>
            <w:rStyle w:val="Hyperlink"/>
            <w:rFonts w:cs="Calibri"/>
            <w:lang w:val="es-ES"/>
          </w:rPr>
          <w:t>igital</w:t>
        </w:r>
      </w:hyperlink>
      <w:r w:rsidRPr="001378AF">
        <w:rPr>
          <w:rFonts w:cs="Calibri"/>
          <w:lang w:val="es-ES"/>
        </w:rPr>
        <w:t>.</w:t>
      </w:r>
      <w:hyperlink r:id="rId27" w:history="1"/>
    </w:p>
    <w:p w14:paraId="07692EE0" w14:textId="5A811534"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En cada reunión de la Junta, los miembros participan activamente compartiendo sus experiencias, </w:t>
      </w:r>
      <w:r w:rsidRPr="00D875B6">
        <w:rPr>
          <w:lang w:val="es-ES"/>
        </w:rPr>
        <w:t>proponiendo</w:t>
      </w:r>
      <w:r w:rsidRPr="001378AF">
        <w:rPr>
          <w:rFonts w:cs="Calibri"/>
          <w:lang w:val="es-ES"/>
        </w:rPr>
        <w:t xml:space="preserve"> futuras iniciativas, ofreciendo apoyo a los proyectos de la Alianza, sugiriendo medidas concretas para avanzar y reafirmando su compromiso de avanzar en el mandato de la</w:t>
      </w:r>
      <w:r w:rsidR="00D875B6">
        <w:rPr>
          <w:rFonts w:cs="Calibri"/>
          <w:lang w:val="es-ES"/>
        </w:rPr>
        <w:t> </w:t>
      </w:r>
      <w:r w:rsidRPr="001378AF">
        <w:rPr>
          <w:rFonts w:cs="Calibri"/>
          <w:lang w:val="es-ES"/>
        </w:rPr>
        <w:t>UIT.</w:t>
      </w:r>
    </w:p>
    <w:p w14:paraId="6937ECFD" w14:textId="4B6AFEB4"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La </w:t>
      </w:r>
      <w:hyperlink r:id="rId28" w:anchor="/es" w:history="1">
        <w:r w:rsidRPr="00FD0279">
          <w:rPr>
            <w:rStyle w:val="Hyperlink"/>
            <w:rFonts w:cs="Calibri"/>
            <w:lang w:val="es-ES"/>
          </w:rPr>
          <w:t xml:space="preserve">reunión de la Junta de </w:t>
        </w:r>
        <w:r w:rsidR="000F5D2E">
          <w:rPr>
            <w:rStyle w:val="Hyperlink"/>
            <w:rFonts w:cs="Calibri"/>
            <w:lang w:val="es-ES"/>
          </w:rPr>
          <w:t>I</w:t>
        </w:r>
        <w:r w:rsidRPr="00FD0279">
          <w:rPr>
            <w:rStyle w:val="Hyperlink"/>
            <w:rFonts w:cs="Calibri"/>
            <w:lang w:val="es-ES"/>
          </w:rPr>
          <w:t xml:space="preserve">nnovación </w:t>
        </w:r>
        <w:r w:rsidR="000F5D2E">
          <w:rPr>
            <w:rStyle w:val="Hyperlink"/>
            <w:rFonts w:cs="Calibri"/>
            <w:lang w:val="es-ES"/>
          </w:rPr>
          <w:t>D</w:t>
        </w:r>
        <w:r w:rsidRPr="00FD0279">
          <w:rPr>
            <w:rStyle w:val="Hyperlink"/>
            <w:rFonts w:cs="Calibri"/>
            <w:lang w:val="es-ES"/>
          </w:rPr>
          <w:t>igital</w:t>
        </w:r>
      </w:hyperlink>
      <w:r w:rsidRPr="001378AF">
        <w:rPr>
          <w:rFonts w:cs="Calibri"/>
          <w:lang w:val="es-ES"/>
        </w:rPr>
        <w:t xml:space="preserve"> se celebró los días 19 y 20 de marzo de 2024 en Ginebra (Suiza). Como </w:t>
      </w:r>
      <w:hyperlink r:id="rId29" w:history="1">
        <w:r w:rsidRPr="00586210">
          <w:rPr>
            <w:rStyle w:val="Hyperlink"/>
            <w:rFonts w:cs="Calibri"/>
            <w:lang w:val="es-ES"/>
          </w:rPr>
          <w:t>resultado de la reunión</w:t>
        </w:r>
      </w:hyperlink>
      <w:r w:rsidRPr="001378AF">
        <w:rPr>
          <w:rFonts w:cs="Calibri"/>
          <w:lang w:val="es-ES"/>
        </w:rPr>
        <w:t xml:space="preserve">, los miembros de la Junta sentaron las bases para las </w:t>
      </w:r>
      <w:r w:rsidRPr="00D875B6">
        <w:rPr>
          <w:lang w:val="es-ES"/>
        </w:rPr>
        <w:t>operaciones</w:t>
      </w:r>
      <w:r w:rsidRPr="001378AF">
        <w:rPr>
          <w:rFonts w:cs="Calibri"/>
          <w:lang w:val="es-ES"/>
        </w:rPr>
        <w:t xml:space="preserve"> de la Alianza, el desarrollo de un plan de trabajo de alto nivel y métricas de impacto, y la elaboración de estrategias para avanzar en la innovación digital mundial.</w:t>
      </w:r>
      <w:hyperlink r:id="rId30" w:history="1"/>
      <w:hyperlink r:id="rId31" w:history="1"/>
    </w:p>
    <w:p w14:paraId="218B86CB" w14:textId="1A2B0EF5"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La </w:t>
      </w:r>
      <w:hyperlink r:id="rId32" w:history="1">
        <w:r w:rsidRPr="00CD565C">
          <w:rPr>
            <w:rStyle w:val="Hyperlink"/>
            <w:rFonts w:cs="Calibri"/>
            <w:lang w:val="es-ES"/>
          </w:rPr>
          <w:t xml:space="preserve">segunda reunión de la Junta de </w:t>
        </w:r>
        <w:r w:rsidR="000F5D2E">
          <w:rPr>
            <w:rStyle w:val="Hyperlink"/>
            <w:rFonts w:cs="Calibri"/>
            <w:lang w:val="es-ES"/>
          </w:rPr>
          <w:t>I</w:t>
        </w:r>
        <w:r w:rsidRPr="00CD565C">
          <w:rPr>
            <w:rStyle w:val="Hyperlink"/>
            <w:rFonts w:cs="Calibri"/>
            <w:lang w:val="es-ES"/>
          </w:rPr>
          <w:t xml:space="preserve">nnovación </w:t>
        </w:r>
        <w:r w:rsidR="000F5D2E">
          <w:rPr>
            <w:rStyle w:val="Hyperlink"/>
            <w:rFonts w:cs="Calibri"/>
            <w:lang w:val="es-ES"/>
          </w:rPr>
          <w:t>D</w:t>
        </w:r>
        <w:r w:rsidRPr="00CD565C">
          <w:rPr>
            <w:rStyle w:val="Hyperlink"/>
            <w:rFonts w:cs="Calibri"/>
            <w:lang w:val="es-ES"/>
          </w:rPr>
          <w:t>igital</w:t>
        </w:r>
      </w:hyperlink>
      <w:r w:rsidRPr="001378AF">
        <w:rPr>
          <w:rFonts w:cs="Calibri"/>
          <w:lang w:val="es-ES"/>
        </w:rPr>
        <w:t xml:space="preserve"> se celebró el 28 de octubre de 2024, al margen del </w:t>
      </w:r>
      <w:hyperlink r:id="rId33" w:anchor="/es" w:history="1">
        <w:r w:rsidRPr="001D1E64">
          <w:rPr>
            <w:rStyle w:val="Hyperlink"/>
            <w:rFonts w:cs="Calibri"/>
            <w:lang w:val="es-ES"/>
          </w:rPr>
          <w:t>Foro Mundial de Innovación de 2024</w:t>
        </w:r>
      </w:hyperlink>
      <w:r w:rsidRPr="001378AF">
        <w:rPr>
          <w:rFonts w:cs="Calibri"/>
          <w:lang w:val="es-ES"/>
        </w:rPr>
        <w:t xml:space="preserve"> en La Valetta (Malta). Los miembros de la Junta examinaron los progresos realizados en la aplicación de las recomendaciones adoptadas en la </w:t>
      </w:r>
      <w:r w:rsidRPr="00D875B6">
        <w:rPr>
          <w:lang w:val="es-ES"/>
        </w:rPr>
        <w:t>primera</w:t>
      </w:r>
      <w:r w:rsidRPr="001378AF">
        <w:rPr>
          <w:rFonts w:cs="Calibri"/>
          <w:lang w:val="es-ES"/>
        </w:rPr>
        <w:t xml:space="preserve"> reunión de la Junta. En esa reunión, la </w:t>
      </w:r>
      <w:hyperlink r:id="rId34" w:history="1">
        <w:r w:rsidRPr="00A700BE">
          <w:rPr>
            <w:rStyle w:val="Hyperlink"/>
            <w:rFonts w:cs="Calibri"/>
            <w:lang w:val="es-ES"/>
          </w:rPr>
          <w:t>Junta aprobó</w:t>
        </w:r>
      </w:hyperlink>
      <w:r w:rsidRPr="001378AF">
        <w:rPr>
          <w:rFonts w:cs="Calibri"/>
          <w:lang w:val="es-ES"/>
        </w:rPr>
        <w:t xml:space="preserve"> el Plan de Trabajo integral para</w:t>
      </w:r>
      <w:r w:rsidR="007E2155">
        <w:rPr>
          <w:rFonts w:cs="Calibri"/>
          <w:lang w:val="es-ES"/>
        </w:rPr>
        <w:t> </w:t>
      </w:r>
      <w:r w:rsidRPr="001378AF">
        <w:rPr>
          <w:rFonts w:cs="Calibri"/>
          <w:lang w:val="es-ES"/>
        </w:rPr>
        <w:t>2024</w:t>
      </w:r>
      <w:r w:rsidR="00D875B6">
        <w:rPr>
          <w:rFonts w:cs="Calibri"/>
          <w:lang w:val="es-ES"/>
        </w:rPr>
        <w:noBreakHyphen/>
      </w:r>
      <w:r w:rsidRPr="001378AF">
        <w:rPr>
          <w:rFonts w:cs="Calibri"/>
          <w:lang w:val="es-ES"/>
        </w:rPr>
        <w:t xml:space="preserve">2026 en torno a dos objetivos principales (Serie de Prospectiva y el Ecosistema de Asociaciones), refrendó la puesta en marcha del </w:t>
      </w:r>
      <w:hyperlink r:id="rId35" w:anchor="/es" w:history="1">
        <w:r w:rsidRPr="002C2AE6">
          <w:rPr>
            <w:rStyle w:val="Hyperlink"/>
            <w:rFonts w:cs="Calibri"/>
            <w:lang w:val="es-ES"/>
          </w:rPr>
          <w:t>Acelerador de Iniciativas Regionales</w:t>
        </w:r>
      </w:hyperlink>
      <w:r w:rsidRPr="001378AF">
        <w:rPr>
          <w:rFonts w:cs="Calibri"/>
          <w:lang w:val="es-ES"/>
        </w:rPr>
        <w:t xml:space="preserve"> y aprobó la puesta en marcha de una Red de Expertos para apoyar la labor de la Junta.</w:t>
      </w:r>
      <w:hyperlink r:id="rId36" w:history="1"/>
      <w:hyperlink r:id="rId37" w:history="1"/>
      <w:hyperlink r:id="rId38" w:history="1"/>
      <w:hyperlink r:id="rId39" w:history="1"/>
    </w:p>
    <w:p w14:paraId="00BEEE45" w14:textId="7C4B80B7"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La </w:t>
      </w:r>
      <w:hyperlink r:id="rId40" w:anchor="/es" w:history="1">
        <w:r w:rsidRPr="00A74C17">
          <w:rPr>
            <w:rStyle w:val="Hyperlink"/>
            <w:rFonts w:cs="Calibri"/>
            <w:lang w:val="es-ES"/>
          </w:rPr>
          <w:t xml:space="preserve">tercera reunión de la Junta de </w:t>
        </w:r>
        <w:r w:rsidR="000F5D2E">
          <w:rPr>
            <w:rStyle w:val="Hyperlink"/>
            <w:rFonts w:cs="Calibri"/>
            <w:lang w:val="es-ES"/>
          </w:rPr>
          <w:t>I</w:t>
        </w:r>
        <w:r w:rsidRPr="00A74C17">
          <w:rPr>
            <w:rStyle w:val="Hyperlink"/>
            <w:rFonts w:cs="Calibri"/>
            <w:lang w:val="es-ES"/>
          </w:rPr>
          <w:t xml:space="preserve">nnovación </w:t>
        </w:r>
        <w:r w:rsidR="000F5D2E">
          <w:rPr>
            <w:rStyle w:val="Hyperlink"/>
            <w:rFonts w:cs="Calibri"/>
            <w:lang w:val="es-ES"/>
          </w:rPr>
          <w:t>D</w:t>
        </w:r>
        <w:r w:rsidRPr="00A74C17">
          <w:rPr>
            <w:rStyle w:val="Hyperlink"/>
            <w:rFonts w:cs="Calibri"/>
            <w:lang w:val="es-ES"/>
          </w:rPr>
          <w:t>igital</w:t>
        </w:r>
      </w:hyperlink>
      <w:r w:rsidRPr="001378AF">
        <w:rPr>
          <w:rFonts w:cs="Calibri"/>
          <w:lang w:val="es-ES"/>
        </w:rPr>
        <w:t xml:space="preserve"> se celebró los días 1 y 2 de octubre de 2025 en Santo Domingo (República Dominicana). Los miembros de la Junta se reunieron para examinar los avances de las iniciativas de la Alianza, incluida la puesta en marcha de la Red de Expertos, los </w:t>
      </w:r>
      <w:r w:rsidRPr="00D875B6">
        <w:rPr>
          <w:lang w:val="es-ES"/>
        </w:rPr>
        <w:t>Centros</w:t>
      </w:r>
      <w:r w:rsidRPr="001378AF">
        <w:rPr>
          <w:rFonts w:cs="Calibri"/>
          <w:lang w:val="es-ES"/>
        </w:rPr>
        <w:t xml:space="preserve"> y el plan de trabajo de alto nivel. La Junta también aprobó el lanzamiento de </w:t>
      </w:r>
      <w:hyperlink r:id="rId41" w:anchor="/es" w:history="1">
        <w:r w:rsidRPr="004C471E">
          <w:rPr>
            <w:rStyle w:val="Hyperlink"/>
            <w:rFonts w:cs="Calibri"/>
            <w:lang w:val="es-ES"/>
          </w:rPr>
          <w:t>cinco informes de prospectiva estratégica</w:t>
        </w:r>
      </w:hyperlink>
      <w:r w:rsidRPr="001378AF">
        <w:rPr>
          <w:rFonts w:cs="Calibri"/>
          <w:lang w:val="es-ES"/>
        </w:rPr>
        <w:t xml:space="preserve"> y tomó nota de los avances realizados en el desarrollo de un ecosistema de asociaciones.</w:t>
      </w:r>
      <w:hyperlink r:id="rId42" w:history="1"/>
      <w:hyperlink r:id="rId43" w:history="1"/>
    </w:p>
    <w:p w14:paraId="37C77C59" w14:textId="77777777"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Además, la </w:t>
      </w:r>
      <w:hyperlink r:id="rId44" w:history="1">
        <w:r w:rsidRPr="005473E5">
          <w:rPr>
            <w:rStyle w:val="Hyperlink"/>
            <w:rFonts w:cs="Calibri"/>
            <w:lang w:val="es-ES"/>
          </w:rPr>
          <w:t>Junta refrendó</w:t>
        </w:r>
      </w:hyperlink>
      <w:r w:rsidRPr="001378AF">
        <w:rPr>
          <w:rFonts w:cs="Calibri"/>
          <w:lang w:val="es-ES"/>
        </w:rPr>
        <w:t xml:space="preserve"> el </w:t>
      </w:r>
      <w:hyperlink r:id="rId45" w:anchor="/es" w:history="1">
        <w:r>
          <w:rPr>
            <w:rStyle w:val="Hyperlink"/>
            <w:rFonts w:cs="Calibri"/>
            <w:lang w:val="es-ES"/>
          </w:rPr>
          <w:t>Manifiesto de reducción de la innovación digital</w:t>
        </w:r>
      </w:hyperlink>
      <w:r w:rsidRPr="001378AF">
        <w:rPr>
          <w:rFonts w:cs="Calibri"/>
          <w:lang w:val="es-ES"/>
        </w:rPr>
        <w:t xml:space="preserve">, junto con una serie de </w:t>
      </w:r>
      <w:r w:rsidRPr="00D875B6">
        <w:rPr>
          <w:lang w:val="es-ES"/>
        </w:rPr>
        <w:t>resultados</w:t>
      </w:r>
      <w:r w:rsidRPr="001378AF">
        <w:rPr>
          <w:rFonts w:cs="Calibri"/>
          <w:lang w:val="es-ES"/>
        </w:rPr>
        <w:t xml:space="preserve"> relacionados con el progreso de los vehículos de la Alianza. </w:t>
      </w:r>
      <w:hyperlink r:id="rId46" w:history="1"/>
      <w:hyperlink r:id="rId47" w:history="1"/>
    </w:p>
    <w:p w14:paraId="7AFA2D68" w14:textId="77777777" w:rsidR="00527D0A" w:rsidRPr="001378AF" w:rsidRDefault="00527D0A" w:rsidP="00D875B6">
      <w:pPr>
        <w:rPr>
          <w:rFonts w:cs="Calibri"/>
          <w:lang w:val="es-ES"/>
          <w14:textOutline w14:w="12700" w14:cap="flat" w14:cmpd="sng" w14:algn="ctr">
            <w14:noFill/>
            <w14:prstDash w14:val="solid"/>
            <w14:miter w14:lim="400000"/>
          </w14:textOutline>
        </w:rPr>
      </w:pPr>
      <w:r w:rsidRPr="001378AF">
        <w:rPr>
          <w:rFonts w:cs="Calibri"/>
          <w:lang w:val="es-ES"/>
        </w:rPr>
        <w:t xml:space="preserve">Este manifiesto representa el compromiso de los miembros de la Alianza de trazar nuevos caminos en el </w:t>
      </w:r>
      <w:r w:rsidRPr="00D875B6">
        <w:rPr>
          <w:lang w:val="es-ES"/>
        </w:rPr>
        <w:t>desarrollo</w:t>
      </w:r>
      <w:r w:rsidRPr="001378AF">
        <w:rPr>
          <w:rFonts w:cs="Calibri"/>
          <w:lang w:val="es-ES"/>
        </w:rPr>
        <w:t xml:space="preserve"> digital y afirmar el papel de la Alianza como plataforma que fomenta un enfoque </w:t>
      </w:r>
      <w:r w:rsidRPr="001378AF">
        <w:rPr>
          <w:rFonts w:cs="Calibri"/>
          <w:lang w:val="es-ES"/>
        </w:rPr>
        <w:lastRenderedPageBreak/>
        <w:t>novedoso para crear capacidades locales de innovación y emprendimiento en todas partes, asegurando que el progreso perdure y sea compartido.</w:t>
      </w:r>
    </w:p>
    <w:p w14:paraId="6AACFA98" w14:textId="1BA4D09E" w:rsidR="00527D0A" w:rsidRPr="001378AF" w:rsidRDefault="007E2155" w:rsidP="007E2155">
      <w:pPr>
        <w:pStyle w:val="Heading2"/>
        <w:rPr>
          <w:rFonts w:ascii="Calibri" w:hAnsi="Calibri" w:cs="Calibri"/>
          <w:szCs w:val="24"/>
        </w:rPr>
      </w:pPr>
      <w:r>
        <w:rPr>
          <w:lang w:val="es-ES"/>
        </w:rPr>
        <w:t>b)</w:t>
      </w:r>
      <w:r>
        <w:rPr>
          <w:lang w:val="es-ES"/>
        </w:rPr>
        <w:tab/>
      </w:r>
      <w:r w:rsidR="00527D0A" w:rsidRPr="007E2155">
        <w:rPr>
          <w:lang w:val="es-ES"/>
        </w:rPr>
        <w:t>Laboratorio</w:t>
      </w:r>
      <w:r w:rsidR="00527D0A" w:rsidRPr="001378AF">
        <w:rPr>
          <w:rFonts w:ascii="Calibri" w:hAnsi="Calibri" w:cs="Calibri"/>
          <w:szCs w:val="24"/>
          <w:lang w:val="es-ES"/>
        </w:rPr>
        <w:t xml:space="preserve"> de Transformación Digital</w:t>
      </w:r>
    </w:p>
    <w:p w14:paraId="09169754" w14:textId="77777777" w:rsidR="00527D0A" w:rsidRPr="001378AF" w:rsidRDefault="00527D0A" w:rsidP="00D875B6">
      <w:pPr>
        <w:rPr>
          <w:rFonts w:cs="Calibri"/>
          <w:lang w:val="es-ES"/>
        </w:rPr>
      </w:pPr>
      <w:r w:rsidRPr="001378AF">
        <w:rPr>
          <w:rFonts w:cs="Calibri"/>
          <w:lang w:val="es-ES"/>
        </w:rPr>
        <w:t xml:space="preserve">Como uno de los mecanismos clave de la Alianza, el </w:t>
      </w:r>
      <w:hyperlink r:id="rId48" w:anchor="/es" w:history="1">
        <w:r w:rsidRPr="0036046F">
          <w:rPr>
            <w:rStyle w:val="Hyperlink"/>
            <w:rFonts w:cs="Calibri"/>
            <w:lang w:val="es-ES"/>
          </w:rPr>
          <w:t>Laboratorio de Transformación Digital</w:t>
        </w:r>
      </w:hyperlink>
      <w:r w:rsidRPr="001378AF">
        <w:rPr>
          <w:rFonts w:cs="Calibri"/>
          <w:lang w:val="es-ES"/>
        </w:rPr>
        <w:t xml:space="preserve"> tiene la doble </w:t>
      </w:r>
      <w:r w:rsidRPr="00D875B6">
        <w:rPr>
          <w:lang w:val="es-ES"/>
        </w:rPr>
        <w:t>función</w:t>
      </w:r>
      <w:r w:rsidRPr="001378AF">
        <w:rPr>
          <w:rFonts w:cs="Calibri"/>
          <w:lang w:val="es-ES"/>
        </w:rPr>
        <w:t xml:space="preserve"> de apoyar el diseño y la implementación del trabajo de la Red de Centros de Aceleración y proporcionar asistencia técnica a los países que buscan el apoyo de la BDT en innovación y emprendimiento en el marco de la Alianza.</w:t>
      </w:r>
      <w:hyperlink r:id="rId49" w:history="1"/>
    </w:p>
    <w:p w14:paraId="42B81987" w14:textId="6FD8F054" w:rsidR="00527D0A" w:rsidRPr="001378AF" w:rsidRDefault="00527D0A" w:rsidP="00D875B6">
      <w:pPr>
        <w:rPr>
          <w:rFonts w:cs="Calibri"/>
          <w:lang w:val="es-ES"/>
        </w:rPr>
      </w:pPr>
      <w:r w:rsidRPr="001378AF">
        <w:rPr>
          <w:rFonts w:cs="Calibri"/>
          <w:lang w:val="es-ES"/>
        </w:rPr>
        <w:t xml:space="preserve">El </w:t>
      </w:r>
      <w:r w:rsidRPr="00D875B6">
        <w:rPr>
          <w:lang w:val="es-ES"/>
        </w:rPr>
        <w:t>Laboratorio</w:t>
      </w:r>
      <w:r w:rsidRPr="001378AF">
        <w:rPr>
          <w:rFonts w:cs="Calibri"/>
          <w:lang w:val="es-ES"/>
        </w:rPr>
        <w:t xml:space="preserve"> de Transformación Digital (DT Lab) elabora programas de formación sobre innovación para la capacitación de la Red de Centros de Aceleración y presta asistencia a estos Centros para que pongan en marcha sus iniciativas en materia de políticas y ecosistemas. Tiene la doble función de aprovechar los conocimientos adquiridos a través de la Alianza para ayudar a la</w:t>
      </w:r>
      <w:r w:rsidR="007E2155">
        <w:rPr>
          <w:rFonts w:cs="Calibri"/>
          <w:lang w:val="es-ES"/>
        </w:rPr>
        <w:t> </w:t>
      </w:r>
      <w:r w:rsidRPr="001378AF">
        <w:rPr>
          <w:rFonts w:cs="Calibri"/>
          <w:lang w:val="es-ES"/>
        </w:rPr>
        <w:t xml:space="preserve">BDT a acelerar el desarrollo digital y fomentar la colaboración entre las partes interesadas. </w:t>
      </w:r>
    </w:p>
    <w:p w14:paraId="2BB829BC" w14:textId="1D38E4E0" w:rsidR="00527D0A" w:rsidRPr="001378AF" w:rsidRDefault="00527D0A" w:rsidP="00D875B6">
      <w:pPr>
        <w:rPr>
          <w:rFonts w:cs="Calibri"/>
          <w:lang w:val="es-ES"/>
        </w:rPr>
      </w:pPr>
      <w:r w:rsidRPr="001378AF">
        <w:rPr>
          <w:rFonts w:cs="Calibri"/>
          <w:lang w:val="es-ES"/>
        </w:rPr>
        <w:t xml:space="preserve">Gracias a la financiación del MIC de Japón, el </w:t>
      </w:r>
      <w:r w:rsidR="00264BCD">
        <w:rPr>
          <w:rFonts w:cs="Calibri"/>
          <w:lang w:val="es-ES"/>
        </w:rPr>
        <w:t>L</w:t>
      </w:r>
      <w:r w:rsidRPr="001378AF">
        <w:rPr>
          <w:rFonts w:cs="Calibri"/>
          <w:lang w:val="es-ES"/>
        </w:rPr>
        <w:t xml:space="preserve">aboratorio de </w:t>
      </w:r>
      <w:r w:rsidR="00264BCD">
        <w:rPr>
          <w:rFonts w:cs="Calibri"/>
          <w:lang w:val="es-ES"/>
        </w:rPr>
        <w:t>T</w:t>
      </w:r>
      <w:r w:rsidRPr="001378AF">
        <w:rPr>
          <w:rFonts w:cs="Calibri"/>
          <w:lang w:val="es-ES"/>
        </w:rPr>
        <w:t xml:space="preserve">ransformación </w:t>
      </w:r>
      <w:r w:rsidR="00264BCD">
        <w:rPr>
          <w:rFonts w:cs="Calibri"/>
          <w:lang w:val="es-ES"/>
        </w:rPr>
        <w:t>D</w:t>
      </w:r>
      <w:r w:rsidRPr="001378AF">
        <w:rPr>
          <w:rFonts w:cs="Calibri"/>
          <w:lang w:val="es-ES"/>
        </w:rPr>
        <w:t xml:space="preserve">igital ha preparado ocho </w:t>
      </w:r>
      <w:r w:rsidRPr="00D875B6">
        <w:rPr>
          <w:lang w:val="es-ES"/>
        </w:rPr>
        <w:t>manuales</w:t>
      </w:r>
      <w:r w:rsidRPr="001378AF">
        <w:rPr>
          <w:rFonts w:cs="Calibri"/>
          <w:lang w:val="es-ES"/>
        </w:rPr>
        <w:t xml:space="preserve"> para la Alianza. Entre ell</w:t>
      </w:r>
      <w:r w:rsidR="00423322">
        <w:rPr>
          <w:rFonts w:cs="Calibri"/>
          <w:lang w:val="es-ES"/>
        </w:rPr>
        <w:t>o</w:t>
      </w:r>
      <w:r w:rsidRPr="001378AF">
        <w:rPr>
          <w:rFonts w:cs="Calibri"/>
          <w:lang w:val="es-ES"/>
        </w:rPr>
        <w:t>s figuran el manual de prospectiva estratégica, el manual de desarrollo de iniciativas de ecosistemas, el manual de innovación tecnológica abierta, el manual de experimentación de políticas y el manual de desarrollo de las pymes y el espíritu empresarial.</w:t>
      </w:r>
    </w:p>
    <w:p w14:paraId="5325D508" w14:textId="77777777" w:rsidR="00527D0A" w:rsidRPr="001378AF" w:rsidRDefault="00527D0A" w:rsidP="00D875B6">
      <w:pPr>
        <w:rPr>
          <w:rFonts w:cs="Calibri"/>
          <w:lang w:val="es-ES"/>
        </w:rPr>
      </w:pPr>
      <w:r w:rsidRPr="001378AF">
        <w:rPr>
          <w:rFonts w:cs="Calibri"/>
          <w:lang w:val="es-ES"/>
        </w:rPr>
        <w:t xml:space="preserve">Los </w:t>
      </w:r>
      <w:r w:rsidRPr="00D875B6">
        <w:rPr>
          <w:lang w:val="es-ES"/>
        </w:rPr>
        <w:t>manuales</w:t>
      </w:r>
      <w:r w:rsidRPr="001378AF">
        <w:rPr>
          <w:rFonts w:cs="Calibri"/>
          <w:lang w:val="es-ES"/>
        </w:rPr>
        <w:t xml:space="preserve"> y herramientas están diseñados para su utilización por los centros, pero también pueden reorientarse para ofrecer nuevos servicios a la BDT. Dos guías transversales creadas por el Laboratorio </w:t>
      </w:r>
      <w:r w:rsidRPr="00D875B6">
        <w:rPr>
          <w:lang w:val="es-ES"/>
        </w:rPr>
        <w:t>de</w:t>
      </w:r>
      <w:r w:rsidRPr="001378AF">
        <w:rPr>
          <w:rFonts w:cs="Calibri"/>
          <w:lang w:val="es-ES"/>
        </w:rPr>
        <w:t xml:space="preserve"> Transformación Digital son muy pertinentes para cualquier centro que pretenda </w:t>
      </w:r>
      <w:r w:rsidRPr="00D875B6">
        <w:rPr>
          <w:lang w:val="es-ES"/>
        </w:rPr>
        <w:t>garantizar</w:t>
      </w:r>
      <w:r w:rsidRPr="001378AF">
        <w:rPr>
          <w:rFonts w:cs="Calibri"/>
          <w:lang w:val="es-ES"/>
        </w:rPr>
        <w:t xml:space="preserve"> la agilidad y sostenibilidad operativas.</w:t>
      </w:r>
    </w:p>
    <w:p w14:paraId="6D6A7589" w14:textId="77777777" w:rsidR="00527D0A" w:rsidRPr="001378AF" w:rsidRDefault="00527D0A" w:rsidP="00D875B6">
      <w:pPr>
        <w:rPr>
          <w:rFonts w:cs="Calibri"/>
          <w:lang w:val="es-ES"/>
        </w:rPr>
      </w:pPr>
      <w:r w:rsidRPr="001378AF">
        <w:rPr>
          <w:rFonts w:cs="Calibri"/>
          <w:lang w:val="es-ES"/>
        </w:rPr>
        <w:t xml:space="preserve">Ésta es la razón por la que el Laboratorio de Transformación Digital ha empezado a crear otros servicios, entre </w:t>
      </w:r>
      <w:r w:rsidRPr="00D875B6">
        <w:rPr>
          <w:lang w:val="es-ES"/>
        </w:rPr>
        <w:t>los</w:t>
      </w:r>
      <w:r w:rsidRPr="001378AF">
        <w:rPr>
          <w:rFonts w:cs="Calibri"/>
          <w:lang w:val="es-ES"/>
        </w:rPr>
        <w:t xml:space="preserve"> que cabe destacar el fomento de previsiones estratégicas de la UIT y el servicio Café Mundial sobre Innovación para las oficinas regionales. Estos servicios han suscitado gran interés por parte de los países.</w:t>
      </w:r>
    </w:p>
    <w:p w14:paraId="282BFC9C" w14:textId="1857C563" w:rsidR="00527D0A" w:rsidRPr="001378AF" w:rsidRDefault="00527D0A" w:rsidP="00D875B6">
      <w:pPr>
        <w:rPr>
          <w:rFonts w:cs="Calibri"/>
          <w:lang w:val="es-ES"/>
        </w:rPr>
      </w:pPr>
      <w:r w:rsidRPr="001378AF">
        <w:rPr>
          <w:rFonts w:cs="Calibri"/>
          <w:lang w:val="es-ES"/>
        </w:rPr>
        <w:t xml:space="preserve">El Laboratorio de Transformación Digital colabora con el Centro de Innovación de la Oficina de Zona de la UIT para Asia Meridional en apoyo de la prestación de servicios, incluidos los cafés de innovación, y ha desarrollado un proyecto piloto de </w:t>
      </w:r>
      <w:hyperlink r:id="rId50" w:anchor="/es" w:history="1">
        <w:r w:rsidRPr="00AA54FA">
          <w:rPr>
            <w:rStyle w:val="Hyperlink"/>
            <w:rFonts w:cs="Calibri"/>
            <w:lang w:val="es-ES"/>
          </w:rPr>
          <w:t>Acelerador de Iniciativas Regionales</w:t>
        </w:r>
      </w:hyperlink>
      <w:r w:rsidRPr="001378AF">
        <w:rPr>
          <w:rFonts w:cs="Calibri"/>
          <w:lang w:val="es-ES"/>
        </w:rPr>
        <w:t xml:space="preserve"> como parte de un proyecto financiado por el MIIT de China.</w:t>
      </w:r>
      <w:hyperlink r:id="rId51" w:history="1"/>
    </w:p>
    <w:p w14:paraId="3A86BF9E" w14:textId="77777777" w:rsidR="00527D0A" w:rsidRPr="001378AF" w:rsidRDefault="00527D0A" w:rsidP="00D875B6">
      <w:pPr>
        <w:rPr>
          <w:rFonts w:cs="Calibri"/>
          <w:lang w:val="es-ES"/>
        </w:rPr>
      </w:pPr>
      <w:r w:rsidRPr="001378AF">
        <w:rPr>
          <w:rFonts w:cs="Calibri"/>
          <w:lang w:val="es-ES"/>
        </w:rPr>
        <w:t xml:space="preserve">Además, el </w:t>
      </w:r>
      <w:r w:rsidRPr="00D875B6">
        <w:rPr>
          <w:lang w:val="es-ES"/>
        </w:rPr>
        <w:t>Laboratorio</w:t>
      </w:r>
      <w:r w:rsidRPr="001378AF">
        <w:rPr>
          <w:rFonts w:cs="Calibri"/>
          <w:lang w:val="es-ES"/>
        </w:rPr>
        <w:t xml:space="preserve"> de Transformación Digital prestó apoyo a la Oficina Regional para los Estados Árabes facilitando un mecanismo piloto destinado a configurar las próximas iniciativas regionales en los Estados Árabes mediante la utilización de metodologías de prospectiva.</w:t>
      </w:r>
    </w:p>
    <w:p w14:paraId="5E71ED28" w14:textId="48F05D83" w:rsidR="00527D0A" w:rsidRPr="0011566D" w:rsidRDefault="007E2155" w:rsidP="007E2155">
      <w:pPr>
        <w:pStyle w:val="Heading2"/>
        <w:rPr>
          <w:lang w:val="es-ES"/>
        </w:rPr>
      </w:pPr>
      <w:r>
        <w:rPr>
          <w:lang w:val="es-ES"/>
        </w:rPr>
        <w:t>c)</w:t>
      </w:r>
      <w:r>
        <w:rPr>
          <w:lang w:val="es-ES"/>
        </w:rPr>
        <w:tab/>
      </w:r>
      <w:r w:rsidR="00527D0A" w:rsidRPr="007E2155">
        <w:rPr>
          <w:lang w:val="es-ES"/>
        </w:rPr>
        <w:t>Red</w:t>
      </w:r>
      <w:r w:rsidR="00527D0A" w:rsidRPr="001378AF">
        <w:rPr>
          <w:lang w:val="es-ES"/>
        </w:rPr>
        <w:t xml:space="preserve"> de </w:t>
      </w:r>
      <w:r w:rsidR="000F5D2E">
        <w:rPr>
          <w:lang w:val="es-ES"/>
        </w:rPr>
        <w:t>C</w:t>
      </w:r>
      <w:r w:rsidR="00527D0A" w:rsidRPr="001378AF">
        <w:rPr>
          <w:lang w:val="es-ES"/>
        </w:rPr>
        <w:t xml:space="preserve">entros de </w:t>
      </w:r>
      <w:r w:rsidR="000F5D2E">
        <w:rPr>
          <w:lang w:val="es-ES"/>
        </w:rPr>
        <w:t>A</w:t>
      </w:r>
      <w:r w:rsidR="00527D0A" w:rsidRPr="001378AF">
        <w:rPr>
          <w:lang w:val="es-ES"/>
        </w:rPr>
        <w:t>celeración</w:t>
      </w:r>
    </w:p>
    <w:p w14:paraId="53A412CA" w14:textId="737C99CD" w:rsidR="00527D0A" w:rsidRPr="001378AF" w:rsidRDefault="00527D0A" w:rsidP="00D875B6">
      <w:pPr>
        <w:rPr>
          <w:rFonts w:cs="Calibri"/>
          <w:lang w:val="es-ES"/>
        </w:rPr>
      </w:pPr>
      <w:r w:rsidRPr="001378AF">
        <w:rPr>
          <w:rFonts w:cs="Calibri"/>
          <w:lang w:val="es-ES"/>
        </w:rPr>
        <w:t xml:space="preserve">La </w:t>
      </w:r>
      <w:hyperlink r:id="rId52" w:anchor="/es" w:history="1">
        <w:r w:rsidR="000F5D2E">
          <w:rPr>
            <w:rStyle w:val="Hyperlink"/>
            <w:rFonts w:cs="Calibri"/>
            <w:lang w:val="es-ES"/>
          </w:rPr>
          <w:t>R</w:t>
        </w:r>
        <w:r w:rsidRPr="007E2155">
          <w:rPr>
            <w:rStyle w:val="Hyperlink"/>
            <w:rFonts w:cs="Calibri"/>
            <w:lang w:val="es-ES"/>
          </w:rPr>
          <w:t xml:space="preserve">ed de </w:t>
        </w:r>
        <w:r w:rsidR="000F5D2E">
          <w:rPr>
            <w:rStyle w:val="Hyperlink"/>
            <w:rFonts w:cs="Calibri"/>
            <w:lang w:val="es-ES"/>
          </w:rPr>
          <w:t>C</w:t>
        </w:r>
        <w:r w:rsidRPr="007E2155">
          <w:rPr>
            <w:rStyle w:val="Hyperlink"/>
            <w:rFonts w:cs="Calibri"/>
            <w:lang w:val="es-ES"/>
          </w:rPr>
          <w:t xml:space="preserve">entros de </w:t>
        </w:r>
        <w:r w:rsidR="000F5D2E">
          <w:rPr>
            <w:rStyle w:val="Hyperlink"/>
            <w:rFonts w:cs="Calibri"/>
            <w:lang w:val="es-ES"/>
          </w:rPr>
          <w:t>A</w:t>
        </w:r>
        <w:r w:rsidRPr="007E2155">
          <w:rPr>
            <w:rStyle w:val="Hyperlink"/>
            <w:rFonts w:cs="Calibri"/>
            <w:lang w:val="es-ES"/>
          </w:rPr>
          <w:t>celeración de la UIT</w:t>
        </w:r>
      </w:hyperlink>
      <w:r w:rsidRPr="001378AF">
        <w:rPr>
          <w:rFonts w:cs="Calibri"/>
          <w:lang w:val="es-ES"/>
        </w:rPr>
        <w:t xml:space="preserve"> fomenta las capacidades de innovación mundiales, regionales y nacionales, y aprovecha la tecnología, las políticas y el desarrollo de iniciativas emblemáticas, además de impulsar la innovación y la iniciativa empresarial a escala local para acelerar la transformación digital.</w:t>
      </w:r>
      <w:hyperlink r:id="rId53"/>
    </w:p>
    <w:p w14:paraId="5871A181" w14:textId="77777777" w:rsidR="00527D0A" w:rsidRPr="000E7154" w:rsidRDefault="00527D0A" w:rsidP="00D875B6">
      <w:pPr>
        <w:rPr>
          <w:rFonts w:ascii="Calibri" w:hAnsi="Calibri" w:cs="Calibri"/>
          <w:lang w:val="es-ES"/>
        </w:rPr>
      </w:pPr>
      <w:r w:rsidRPr="001378AF">
        <w:rPr>
          <w:rFonts w:ascii="Calibri" w:hAnsi="Calibri" w:cs="Calibri"/>
          <w:lang w:val="es-ES"/>
        </w:rPr>
        <w:t xml:space="preserve">En 2024, </w:t>
      </w:r>
      <w:r w:rsidRPr="00D875B6">
        <w:rPr>
          <w:lang w:val="es-ES"/>
        </w:rPr>
        <w:t>la</w:t>
      </w:r>
      <w:r w:rsidRPr="001378AF">
        <w:rPr>
          <w:rFonts w:ascii="Calibri" w:hAnsi="Calibri" w:cs="Calibri"/>
          <w:lang w:val="es-ES"/>
        </w:rPr>
        <w:t xml:space="preserve"> BDT seleccionó a </w:t>
      </w:r>
      <w:hyperlink r:id="rId54" w:anchor="/es" w:history="1">
        <w:r w:rsidRPr="000E7154">
          <w:rPr>
            <w:rStyle w:val="Hyperlink"/>
            <w:rFonts w:ascii="Calibri" w:hAnsi="Calibri" w:cs="Calibri"/>
            <w:lang w:val="es-ES"/>
          </w:rPr>
          <w:t>17 organizaciones para acoger los centros</w:t>
        </w:r>
      </w:hyperlink>
      <w:r w:rsidRPr="001378AF">
        <w:rPr>
          <w:rFonts w:ascii="Calibri" w:hAnsi="Calibri" w:cs="Calibri"/>
          <w:lang w:val="es-ES"/>
        </w:rPr>
        <w:t>. A tal efecto, cada una de ellas debía:</w:t>
      </w:r>
      <w:hyperlink r:id="rId55" w:history="1"/>
    </w:p>
    <w:p w14:paraId="1A4DAEB4" w14:textId="4CB5CBF2" w:rsidR="00527D0A" w:rsidRPr="001378AF" w:rsidRDefault="007E2155" w:rsidP="007E2155">
      <w:pPr>
        <w:pStyle w:val="enumlev1"/>
        <w:rPr>
          <w:lang w:val="es-ES"/>
        </w:rPr>
      </w:pPr>
      <w:r w:rsidRPr="007E2155">
        <w:rPr>
          <w:lang w:val="es-ES"/>
        </w:rPr>
        <w:t>–</w:t>
      </w:r>
      <w:r>
        <w:rPr>
          <w:lang w:val="es-ES"/>
        </w:rPr>
        <w:tab/>
      </w:r>
      <w:r w:rsidR="00527D0A" w:rsidRPr="001378AF">
        <w:rPr>
          <w:lang w:val="es-ES"/>
        </w:rPr>
        <w:t>firmar un acuerdo de cooperación con la BDT que rija la actividad del centro y su relación con la UIT;</w:t>
      </w:r>
    </w:p>
    <w:p w14:paraId="3133E4E4" w14:textId="48C68881" w:rsidR="00527D0A" w:rsidRPr="001378AF" w:rsidRDefault="007E2155" w:rsidP="007E2155">
      <w:pPr>
        <w:pStyle w:val="enumlev1"/>
        <w:rPr>
          <w:lang w:val="es-ES"/>
        </w:rPr>
      </w:pPr>
      <w:r w:rsidRPr="007E2155">
        <w:rPr>
          <w:lang w:val="es-ES"/>
        </w:rPr>
        <w:t>–</w:t>
      </w:r>
      <w:r>
        <w:rPr>
          <w:lang w:val="es-ES"/>
        </w:rPr>
        <w:tab/>
      </w:r>
      <w:r w:rsidR="00527D0A" w:rsidRPr="001378AF">
        <w:rPr>
          <w:lang w:val="es-ES"/>
        </w:rPr>
        <w:t>disponer de suficiente financiación y apoyo político para emprender el proceso transformador</w:t>
      </w:r>
      <w:r>
        <w:rPr>
          <w:lang w:val="es-ES"/>
        </w:rPr>
        <w:t>, y</w:t>
      </w:r>
    </w:p>
    <w:p w14:paraId="2EE0CCD4" w14:textId="6C5C98E5" w:rsidR="00527D0A" w:rsidRPr="001378AF" w:rsidRDefault="007E2155" w:rsidP="007E2155">
      <w:pPr>
        <w:pStyle w:val="enumlev1"/>
        <w:rPr>
          <w:lang w:val="es-ES"/>
        </w:rPr>
      </w:pPr>
      <w:r w:rsidRPr="007E2155">
        <w:rPr>
          <w:lang w:val="es-ES"/>
        </w:rPr>
        <w:lastRenderedPageBreak/>
        <w:t>–</w:t>
      </w:r>
      <w:r>
        <w:rPr>
          <w:lang w:val="es-ES"/>
        </w:rPr>
        <w:tab/>
      </w:r>
      <w:r w:rsidR="00527D0A" w:rsidRPr="001378AF">
        <w:rPr>
          <w:lang w:val="es-ES"/>
        </w:rPr>
        <w:t>participar en el proceso de diseño y recibir ayuda de la UIT en materia de capacitación respecto de los manuales para alcanzar sus objetivos estratégicos.</w:t>
      </w:r>
    </w:p>
    <w:p w14:paraId="011EBE3B" w14:textId="77777777" w:rsidR="00527D0A" w:rsidRPr="001378AF" w:rsidRDefault="00527D0A" w:rsidP="007E2155">
      <w:pPr>
        <w:rPr>
          <w:lang w:val="es-ES"/>
        </w:rPr>
      </w:pPr>
      <w:r w:rsidRPr="001378AF">
        <w:rPr>
          <w:lang w:val="es-ES"/>
        </w:rPr>
        <w:t xml:space="preserve">Algunos centros ya están operativos y reciben asistencia y seguimiento para garantizar el </w:t>
      </w:r>
      <w:r w:rsidRPr="00D875B6">
        <w:rPr>
          <w:lang w:val="es-ES"/>
        </w:rPr>
        <w:t>cumplimiento</w:t>
      </w:r>
      <w:r w:rsidRPr="001378AF">
        <w:rPr>
          <w:lang w:val="es-ES"/>
        </w:rPr>
        <w:t xml:space="preserve"> de estos requisitos y el despliegue de sus servicios. Cabe destacar que cada centro se pone en marcha a su ritmo en cuanto cumple los requisitos establecidos por la UIT.</w:t>
      </w:r>
    </w:p>
    <w:p w14:paraId="13748F6A" w14:textId="77777777" w:rsidR="00527D0A" w:rsidRPr="001378AF" w:rsidRDefault="00527D0A" w:rsidP="00B51C0C">
      <w:pPr>
        <w:rPr>
          <w:lang w:val="es-ES"/>
        </w:rPr>
      </w:pPr>
      <w:r w:rsidRPr="001378AF">
        <w:rPr>
          <w:lang w:val="es-ES"/>
        </w:rPr>
        <w:t xml:space="preserve">La BDT </w:t>
      </w:r>
      <w:r w:rsidRPr="00D875B6">
        <w:rPr>
          <w:lang w:val="es-ES"/>
        </w:rPr>
        <w:t>está</w:t>
      </w:r>
      <w:r w:rsidRPr="001378AF">
        <w:rPr>
          <w:lang w:val="es-ES"/>
        </w:rPr>
        <w:t xml:space="preserve"> apoyando la reunión de centros para permitirles la creación de capacidades sobre el enfoque de la Alianza, compartir prácticas, compartir experiencias y desarrollar asociaciones:</w:t>
      </w:r>
    </w:p>
    <w:p w14:paraId="79AE8EE7" w14:textId="7564333C" w:rsidR="00527D0A" w:rsidRPr="001378AF" w:rsidRDefault="007E2155" w:rsidP="007E2155">
      <w:pPr>
        <w:pStyle w:val="enumlev1"/>
        <w:rPr>
          <w:rFonts w:cs="Calibri"/>
          <w:lang w:val="es-ES"/>
        </w:rPr>
      </w:pPr>
      <w:r w:rsidRPr="007E2155">
        <w:rPr>
          <w:lang w:val="es-ES"/>
        </w:rPr>
        <w:t>–</w:t>
      </w:r>
      <w:r>
        <w:rPr>
          <w:lang w:val="es-ES"/>
        </w:rPr>
        <w:tab/>
      </w:r>
      <w:r w:rsidR="00527D0A" w:rsidRPr="001378AF">
        <w:rPr>
          <w:rFonts w:cs="Calibri"/>
          <w:lang w:val="es-ES"/>
        </w:rPr>
        <w:t xml:space="preserve">La </w:t>
      </w:r>
      <w:hyperlink r:id="rId56" w:anchor="/es" w:history="1">
        <w:r w:rsidR="00527D0A" w:rsidRPr="008A6511">
          <w:rPr>
            <w:rStyle w:val="Hyperlink"/>
            <w:rFonts w:cs="Calibri"/>
            <w:lang w:val="es-ES"/>
          </w:rPr>
          <w:t xml:space="preserve">primera reunión de la </w:t>
        </w:r>
        <w:r w:rsidR="000F5D2E">
          <w:rPr>
            <w:rStyle w:val="Hyperlink"/>
            <w:rFonts w:cs="Calibri"/>
            <w:lang w:val="es-ES"/>
          </w:rPr>
          <w:t>R</w:t>
        </w:r>
        <w:r w:rsidR="00527D0A" w:rsidRPr="008A6511">
          <w:rPr>
            <w:rStyle w:val="Hyperlink"/>
            <w:rFonts w:cs="Calibri"/>
            <w:lang w:val="es-ES"/>
          </w:rPr>
          <w:t xml:space="preserve">ed de </w:t>
        </w:r>
        <w:r w:rsidR="000F5D2E">
          <w:rPr>
            <w:rStyle w:val="Hyperlink"/>
            <w:rFonts w:cs="Calibri"/>
            <w:lang w:val="es-ES"/>
          </w:rPr>
          <w:t>C</w:t>
        </w:r>
        <w:r w:rsidR="00527D0A" w:rsidRPr="008A6511">
          <w:rPr>
            <w:rStyle w:val="Hyperlink"/>
            <w:rFonts w:cs="Calibri"/>
            <w:lang w:val="es-ES"/>
          </w:rPr>
          <w:t xml:space="preserve">entros de </w:t>
        </w:r>
        <w:r w:rsidR="000F5D2E">
          <w:rPr>
            <w:rStyle w:val="Hyperlink"/>
            <w:rFonts w:cs="Calibri"/>
            <w:lang w:val="es-ES"/>
          </w:rPr>
          <w:t>A</w:t>
        </w:r>
        <w:r w:rsidR="00527D0A" w:rsidRPr="008A6511">
          <w:rPr>
            <w:rStyle w:val="Hyperlink"/>
            <w:rFonts w:cs="Calibri"/>
            <w:lang w:val="es-ES"/>
          </w:rPr>
          <w:t>celeración</w:t>
        </w:r>
      </w:hyperlink>
      <w:r w:rsidR="00527D0A" w:rsidRPr="001378AF">
        <w:rPr>
          <w:rFonts w:cs="Calibri"/>
          <w:lang w:val="es-ES"/>
        </w:rPr>
        <w:t xml:space="preserve"> se organizó del 4 al 8 de marzo de </w:t>
      </w:r>
      <w:r w:rsidR="00527D0A" w:rsidRPr="007E2155">
        <w:rPr>
          <w:lang w:val="es-ES"/>
        </w:rPr>
        <w:t>2024</w:t>
      </w:r>
      <w:r w:rsidR="00527D0A" w:rsidRPr="001378AF">
        <w:rPr>
          <w:rFonts w:cs="Calibri"/>
          <w:lang w:val="es-ES"/>
        </w:rPr>
        <w:t xml:space="preserve"> en Dubái (EAU). Durante esta </w:t>
      </w:r>
      <w:hyperlink r:id="rId57" w:anchor="/es" w:history="1">
        <w:r w:rsidR="00527D0A" w:rsidRPr="004922E1">
          <w:rPr>
            <w:rStyle w:val="Hyperlink"/>
            <w:rFonts w:cs="Calibri"/>
            <w:lang w:val="es-ES"/>
          </w:rPr>
          <w:t>reunión inaugural</w:t>
        </w:r>
      </w:hyperlink>
      <w:r w:rsidR="00527D0A" w:rsidRPr="001378AF">
        <w:rPr>
          <w:rFonts w:cs="Calibri"/>
          <w:lang w:val="es-ES"/>
        </w:rPr>
        <w:t>, los Centros pudieron comprender el diseño y el marco operativo, identificar áreas de colaboración e iniciar las actividades de capacitación necesarias para poner en marcha la prestación de servicios en las áreas de previsión estratégica y desarrollo de iniciativas de ecosistema.</w:t>
      </w:r>
      <w:hyperlink r:id="rId58" w:history="1"/>
      <w:hyperlink r:id="rId59" w:history="1"/>
    </w:p>
    <w:p w14:paraId="38AD1E81" w14:textId="0435D3B0" w:rsidR="00527D0A" w:rsidRPr="001378AF" w:rsidRDefault="007E2155" w:rsidP="007E2155">
      <w:pPr>
        <w:pStyle w:val="enumlev1"/>
        <w:rPr>
          <w:rFonts w:cs="Calibri"/>
          <w:lang w:val="es-ES"/>
        </w:rPr>
      </w:pPr>
      <w:r w:rsidRPr="007E2155">
        <w:rPr>
          <w:lang w:val="es-ES"/>
        </w:rPr>
        <w:t>–</w:t>
      </w:r>
      <w:r>
        <w:rPr>
          <w:lang w:val="es-ES"/>
        </w:rPr>
        <w:tab/>
      </w:r>
      <w:r w:rsidR="00527D0A" w:rsidRPr="001378AF">
        <w:rPr>
          <w:rFonts w:cs="Calibri"/>
          <w:lang w:val="es-ES"/>
        </w:rPr>
        <w:t xml:space="preserve">La </w:t>
      </w:r>
      <w:hyperlink r:id="rId60" w:anchor="/es" w:history="1">
        <w:r w:rsidR="00527D0A" w:rsidRPr="006749C1">
          <w:rPr>
            <w:rStyle w:val="Hyperlink"/>
            <w:rFonts w:cs="Calibri"/>
            <w:lang w:val="es-ES"/>
          </w:rPr>
          <w:t xml:space="preserve">segunda reunión de la </w:t>
        </w:r>
        <w:r w:rsidR="000F5D2E">
          <w:rPr>
            <w:rStyle w:val="Hyperlink"/>
            <w:rFonts w:cs="Calibri"/>
            <w:lang w:val="es-ES"/>
          </w:rPr>
          <w:t>R</w:t>
        </w:r>
        <w:r w:rsidR="00527D0A" w:rsidRPr="006749C1">
          <w:rPr>
            <w:rStyle w:val="Hyperlink"/>
            <w:rFonts w:cs="Calibri"/>
            <w:lang w:val="es-ES"/>
          </w:rPr>
          <w:t xml:space="preserve">ed de </w:t>
        </w:r>
        <w:r w:rsidR="000F5D2E">
          <w:rPr>
            <w:rStyle w:val="Hyperlink"/>
            <w:rFonts w:cs="Calibri"/>
            <w:lang w:val="es-ES"/>
          </w:rPr>
          <w:t>C</w:t>
        </w:r>
        <w:r w:rsidR="00527D0A" w:rsidRPr="006749C1">
          <w:rPr>
            <w:rStyle w:val="Hyperlink"/>
            <w:rFonts w:cs="Calibri"/>
            <w:lang w:val="es-ES"/>
          </w:rPr>
          <w:t xml:space="preserve">entros de </w:t>
        </w:r>
        <w:r w:rsidR="000F5D2E">
          <w:rPr>
            <w:rStyle w:val="Hyperlink"/>
            <w:rFonts w:cs="Calibri"/>
            <w:lang w:val="es-ES"/>
          </w:rPr>
          <w:t>A</w:t>
        </w:r>
        <w:r w:rsidR="00527D0A" w:rsidRPr="006749C1">
          <w:rPr>
            <w:rStyle w:val="Hyperlink"/>
            <w:rFonts w:cs="Calibri"/>
            <w:lang w:val="es-ES"/>
          </w:rPr>
          <w:t>celeración</w:t>
        </w:r>
      </w:hyperlink>
      <w:r w:rsidR="00527D0A" w:rsidRPr="001378AF">
        <w:rPr>
          <w:rFonts w:cs="Calibri"/>
          <w:lang w:val="es-ES"/>
        </w:rPr>
        <w:t xml:space="preserve"> se organizó del 28 al 30 de octubre de 2024 en La Valetta (Malta), durante el </w:t>
      </w:r>
      <w:hyperlink r:id="rId61" w:anchor="/es" w:history="1">
        <w:r w:rsidR="00527D0A" w:rsidRPr="00B51C0C">
          <w:rPr>
            <w:rStyle w:val="Hyperlink"/>
            <w:rFonts w:cs="Calibri"/>
            <w:lang w:val="es-ES"/>
          </w:rPr>
          <w:t>Foro Mundial de Innovación 2024</w:t>
        </w:r>
      </w:hyperlink>
      <w:r w:rsidR="00527D0A" w:rsidRPr="001378AF">
        <w:rPr>
          <w:rFonts w:cs="Calibri"/>
          <w:lang w:val="es-ES"/>
        </w:rPr>
        <w:t xml:space="preserve">. Durante esta </w:t>
      </w:r>
      <w:r w:rsidR="00527D0A" w:rsidRPr="007E2155">
        <w:rPr>
          <w:lang w:val="es-ES"/>
        </w:rPr>
        <w:t>reunión</w:t>
      </w:r>
      <w:r w:rsidR="00527D0A" w:rsidRPr="001378AF">
        <w:rPr>
          <w:rFonts w:cs="Calibri"/>
          <w:lang w:val="es-ES"/>
        </w:rPr>
        <w:t>, los representantes de los Centros se reunieron para examinar los progresos, identificar los desafíos y explorar soluciones para garantizar la sostenibilidad de los Centros y su armonización con las Iniciativas Regionales de la UIT.</w:t>
      </w:r>
      <w:hyperlink r:id="rId62" w:history="1"/>
      <w:hyperlink r:id="rId63" w:history="1"/>
    </w:p>
    <w:p w14:paraId="6478105B" w14:textId="50FA6CFF" w:rsidR="00527D0A" w:rsidRPr="001378AF" w:rsidRDefault="007E2155" w:rsidP="007E2155">
      <w:pPr>
        <w:pStyle w:val="enumlev1"/>
        <w:rPr>
          <w:rFonts w:cs="Calibri"/>
          <w:lang w:val="es-ES"/>
        </w:rPr>
      </w:pPr>
      <w:r w:rsidRPr="007E2155">
        <w:rPr>
          <w:lang w:val="es-ES"/>
        </w:rPr>
        <w:t>–</w:t>
      </w:r>
      <w:r>
        <w:rPr>
          <w:lang w:val="es-ES"/>
        </w:rPr>
        <w:tab/>
      </w:r>
      <w:r w:rsidR="00527D0A" w:rsidRPr="001378AF">
        <w:rPr>
          <w:rFonts w:cs="Calibri"/>
          <w:lang w:val="es-ES"/>
        </w:rPr>
        <w:t xml:space="preserve">La </w:t>
      </w:r>
      <w:hyperlink r:id="rId64" w:anchor="/es" w:history="1">
        <w:r w:rsidR="00527D0A" w:rsidRPr="008C45CA">
          <w:rPr>
            <w:rStyle w:val="Hyperlink"/>
            <w:rFonts w:cs="Calibri"/>
            <w:lang w:val="es-ES"/>
          </w:rPr>
          <w:t xml:space="preserve">tercera reunión de la </w:t>
        </w:r>
        <w:r w:rsidR="000F5D2E">
          <w:rPr>
            <w:rStyle w:val="Hyperlink"/>
            <w:rFonts w:cs="Calibri"/>
            <w:lang w:val="es-ES"/>
          </w:rPr>
          <w:t>R</w:t>
        </w:r>
        <w:r w:rsidR="00527D0A" w:rsidRPr="008C45CA">
          <w:rPr>
            <w:rStyle w:val="Hyperlink"/>
            <w:rFonts w:cs="Calibri"/>
            <w:lang w:val="es-ES"/>
          </w:rPr>
          <w:t xml:space="preserve">ed de </w:t>
        </w:r>
        <w:r w:rsidR="000F5D2E">
          <w:rPr>
            <w:rStyle w:val="Hyperlink"/>
            <w:rFonts w:cs="Calibri"/>
            <w:lang w:val="es-ES"/>
          </w:rPr>
          <w:t>C</w:t>
        </w:r>
        <w:r w:rsidR="00527D0A" w:rsidRPr="008C45CA">
          <w:rPr>
            <w:rStyle w:val="Hyperlink"/>
            <w:rFonts w:cs="Calibri"/>
            <w:lang w:val="es-ES"/>
          </w:rPr>
          <w:t xml:space="preserve">entros de </w:t>
        </w:r>
        <w:r w:rsidR="000F5D2E">
          <w:rPr>
            <w:rStyle w:val="Hyperlink"/>
            <w:rFonts w:cs="Calibri"/>
            <w:lang w:val="es-ES"/>
          </w:rPr>
          <w:t>A</w:t>
        </w:r>
        <w:r w:rsidR="00527D0A" w:rsidRPr="008C45CA">
          <w:rPr>
            <w:rStyle w:val="Hyperlink"/>
            <w:rFonts w:cs="Calibri"/>
            <w:lang w:val="es-ES"/>
          </w:rPr>
          <w:t>celeración</w:t>
        </w:r>
      </w:hyperlink>
      <w:r w:rsidR="00527D0A" w:rsidRPr="001378AF">
        <w:rPr>
          <w:rFonts w:cs="Calibri"/>
          <w:lang w:val="es-ES"/>
        </w:rPr>
        <w:t xml:space="preserve"> se celebró del 18 al 22 de agosto de 2025 en Dubái (EAU). Durante esta reunión, los Centros examinaron los progresos </w:t>
      </w:r>
      <w:r w:rsidR="00527D0A" w:rsidRPr="007E2155">
        <w:rPr>
          <w:lang w:val="es-ES"/>
        </w:rPr>
        <w:t>realizados</w:t>
      </w:r>
      <w:r w:rsidR="00527D0A" w:rsidRPr="001378AF">
        <w:rPr>
          <w:rFonts w:cs="Calibri"/>
          <w:lang w:val="es-ES"/>
        </w:rPr>
        <w:t xml:space="preserve"> en la puesta en marcha de sus actividades, exploraron las oportunidades de colaboración con otros Centros de la Red y crearon capacidad en la experimentación de políticas para mejorar la prestación de servicios.</w:t>
      </w:r>
      <w:hyperlink r:id="rId65" w:history="1"/>
    </w:p>
    <w:p w14:paraId="6D185690" w14:textId="1BDF7090" w:rsidR="00527D0A" w:rsidRPr="000F5D2E" w:rsidRDefault="006609C6" w:rsidP="006609C6">
      <w:pPr>
        <w:pStyle w:val="Heading2"/>
        <w:rPr>
          <w:lang w:val="es-ES"/>
        </w:rPr>
      </w:pPr>
      <w:r>
        <w:rPr>
          <w:lang w:val="es-ES"/>
        </w:rPr>
        <w:t>d)</w:t>
      </w:r>
      <w:r>
        <w:rPr>
          <w:lang w:val="es-ES"/>
        </w:rPr>
        <w:tab/>
      </w:r>
      <w:r w:rsidR="00527D0A" w:rsidRPr="001378AF">
        <w:rPr>
          <w:lang w:val="es-ES"/>
        </w:rPr>
        <w:t xml:space="preserve">Red de </w:t>
      </w:r>
      <w:r w:rsidR="000F5D2E">
        <w:rPr>
          <w:lang w:val="es-ES"/>
        </w:rPr>
        <w:t>E</w:t>
      </w:r>
      <w:r w:rsidR="00527D0A" w:rsidRPr="001378AF">
        <w:rPr>
          <w:lang w:val="es-ES"/>
        </w:rPr>
        <w:t>xpertos</w:t>
      </w:r>
    </w:p>
    <w:p w14:paraId="59BDB48B" w14:textId="34C03BA0" w:rsidR="00527D0A" w:rsidRPr="001378AF" w:rsidRDefault="00527D0A" w:rsidP="00D875B6">
      <w:pPr>
        <w:rPr>
          <w:rStyle w:val="None"/>
          <w:rFonts w:cs="Calibri"/>
          <w:lang w:val="es-ES"/>
        </w:rPr>
      </w:pPr>
      <w:r w:rsidRPr="001378AF">
        <w:rPr>
          <w:rFonts w:cs="Calibri"/>
          <w:lang w:val="es-ES"/>
        </w:rPr>
        <w:t xml:space="preserve">En julio de 2025, la BDT puso en marcha la </w:t>
      </w:r>
      <w:hyperlink r:id="rId66" w:anchor="/es" w:history="1">
        <w:r w:rsidR="000F5D2E">
          <w:rPr>
            <w:rStyle w:val="Hyperlink"/>
            <w:rFonts w:cs="Calibri"/>
            <w:lang w:val="es-ES"/>
          </w:rPr>
          <w:t>R</w:t>
        </w:r>
        <w:r w:rsidRPr="00406FF9">
          <w:rPr>
            <w:rStyle w:val="Hyperlink"/>
            <w:rFonts w:cs="Calibri"/>
            <w:lang w:val="es-ES"/>
          </w:rPr>
          <w:t xml:space="preserve">ed de </w:t>
        </w:r>
        <w:r w:rsidR="000F5D2E">
          <w:rPr>
            <w:rStyle w:val="Hyperlink"/>
            <w:rFonts w:cs="Calibri"/>
            <w:lang w:val="es-ES"/>
          </w:rPr>
          <w:t>E</w:t>
        </w:r>
        <w:r w:rsidRPr="00406FF9">
          <w:rPr>
            <w:rStyle w:val="Hyperlink"/>
            <w:rFonts w:cs="Calibri"/>
            <w:lang w:val="es-ES"/>
          </w:rPr>
          <w:t>xpertos</w:t>
        </w:r>
      </w:hyperlink>
      <w:r w:rsidRPr="001378AF">
        <w:rPr>
          <w:rFonts w:cs="Calibri"/>
          <w:lang w:val="es-ES"/>
        </w:rPr>
        <w:t xml:space="preserve"> de la </w:t>
      </w:r>
      <w:hyperlink r:id="rId67" w:anchor="/es" w:history="1">
        <w:r w:rsidRPr="002B0ABB">
          <w:rPr>
            <w:rStyle w:val="Hyperlink"/>
            <w:rFonts w:cs="Calibri"/>
            <w:lang w:val="es-ES"/>
          </w:rPr>
          <w:t>Alianza sobre innovación e iniciativa empresarial en aras del desarrollo digital</w:t>
        </w:r>
      </w:hyperlink>
      <w:r w:rsidRPr="001378AF">
        <w:rPr>
          <w:rFonts w:cs="Calibri"/>
          <w:lang w:val="es-ES"/>
        </w:rPr>
        <w:t xml:space="preserve">. La </w:t>
      </w:r>
      <w:r w:rsidR="000F5D2E">
        <w:rPr>
          <w:rFonts w:cs="Calibri"/>
          <w:lang w:val="es-ES"/>
        </w:rPr>
        <w:t>R</w:t>
      </w:r>
      <w:r w:rsidRPr="001378AF">
        <w:rPr>
          <w:rFonts w:cs="Calibri"/>
          <w:lang w:val="es-ES"/>
        </w:rPr>
        <w:t xml:space="preserve">ed de </w:t>
      </w:r>
      <w:r w:rsidR="000F5D2E">
        <w:rPr>
          <w:rFonts w:cs="Calibri"/>
          <w:lang w:val="es-ES"/>
        </w:rPr>
        <w:t>E</w:t>
      </w:r>
      <w:r w:rsidRPr="001378AF">
        <w:rPr>
          <w:rFonts w:cs="Calibri"/>
          <w:lang w:val="es-ES"/>
        </w:rPr>
        <w:t xml:space="preserve">xpertos es una comunidad de colaboración mundial basada en conocimientos especializados que facilita el acceso al conocimiento, las herramientas, el aprendizaje entre pares y las oportunidades de colaboración y acción conjunta. Reúne a más de 75 expertos de la </w:t>
      </w:r>
      <w:r w:rsidR="000F5D2E">
        <w:rPr>
          <w:rFonts w:cs="Calibri"/>
          <w:lang w:val="es-ES"/>
        </w:rPr>
        <w:t>R</w:t>
      </w:r>
      <w:r w:rsidRPr="001378AF">
        <w:rPr>
          <w:rFonts w:cs="Calibri"/>
          <w:lang w:val="es-ES"/>
        </w:rPr>
        <w:t xml:space="preserve">ed de </w:t>
      </w:r>
      <w:r w:rsidR="000F5D2E">
        <w:rPr>
          <w:rFonts w:cs="Calibri"/>
          <w:lang w:val="es-ES"/>
        </w:rPr>
        <w:t>C</w:t>
      </w:r>
      <w:r>
        <w:rPr>
          <w:rFonts w:cs="Calibri"/>
          <w:lang w:val="es-ES"/>
        </w:rPr>
        <w:t>en</w:t>
      </w:r>
      <w:r w:rsidRPr="001378AF">
        <w:rPr>
          <w:rFonts w:cs="Calibri"/>
          <w:lang w:val="es-ES"/>
        </w:rPr>
        <w:t xml:space="preserve">tros de </w:t>
      </w:r>
      <w:r w:rsidR="000F5D2E">
        <w:rPr>
          <w:rFonts w:cs="Calibri"/>
          <w:lang w:val="es-ES"/>
        </w:rPr>
        <w:t>A</w:t>
      </w:r>
      <w:r w:rsidRPr="001378AF">
        <w:rPr>
          <w:rFonts w:cs="Calibri"/>
          <w:lang w:val="es-ES"/>
        </w:rPr>
        <w:t xml:space="preserve">celeración, la Junta de </w:t>
      </w:r>
      <w:r w:rsidR="000F5D2E">
        <w:rPr>
          <w:rFonts w:cs="Calibri"/>
          <w:lang w:val="es-ES"/>
        </w:rPr>
        <w:t>I</w:t>
      </w:r>
      <w:r w:rsidRPr="001378AF">
        <w:rPr>
          <w:rFonts w:cs="Calibri"/>
          <w:lang w:val="es-ES"/>
        </w:rPr>
        <w:t xml:space="preserve">nnovación </w:t>
      </w:r>
      <w:r w:rsidR="000F5D2E">
        <w:rPr>
          <w:lang w:val="es-ES"/>
        </w:rPr>
        <w:t>D</w:t>
      </w:r>
      <w:r w:rsidRPr="00D875B6">
        <w:rPr>
          <w:lang w:val="es-ES"/>
        </w:rPr>
        <w:t>igital</w:t>
      </w:r>
      <w:r w:rsidRPr="001378AF">
        <w:rPr>
          <w:rFonts w:cs="Calibri"/>
          <w:lang w:val="es-ES"/>
        </w:rPr>
        <w:t>, el Laboratorio de Transformación Digital, así como a otros expertos en áreas de colaboración específicas para apoyar la implementación de las decisiones de la Junta de Innovación Digital a través de la colaboración, la lluvia de ideas y el intercambio de conocimientos.</w:t>
      </w:r>
      <w:hyperlink r:id="rId68" w:history="1"/>
      <w:hyperlink r:id="rId69" w:history="1"/>
    </w:p>
    <w:p w14:paraId="5DC4176E" w14:textId="0E976345" w:rsidR="00527D0A" w:rsidRPr="001253D7" w:rsidRDefault="00527D0A" w:rsidP="00D875B6">
      <w:pPr>
        <w:rPr>
          <w:rFonts w:cs="Calibri"/>
          <w:lang w:val="es-ES"/>
        </w:rPr>
      </w:pPr>
      <w:r w:rsidRPr="00D875B6">
        <w:rPr>
          <w:lang w:val="es-ES"/>
        </w:rPr>
        <w:t>Estos</w:t>
      </w:r>
      <w:r w:rsidRPr="001378AF">
        <w:rPr>
          <w:rFonts w:cs="Calibri"/>
          <w:lang w:val="es-ES"/>
        </w:rPr>
        <w:t xml:space="preserve"> expertos trabajan en siete áreas de colaboración alineadas con los objetivos estratégicos de la Alianza, cada una supervisada por un grupo de miembros de la Junta con interés en esa área específica de especialización. Las siete áreas de colaboración son la </w:t>
      </w:r>
      <w:r w:rsidRPr="00B035F4">
        <w:rPr>
          <w:rFonts w:cs="Calibri"/>
          <w:b/>
          <w:bCs/>
          <w:lang w:val="es-ES"/>
        </w:rPr>
        <w:t>previsión estratégica, la experimentación política, el desarrollo de iniciativas para el ecosistema, el crecimiento de las pymes y las nuevas empresas tecnológicas, la innovación de tecnologías abiertas</w:t>
      </w:r>
      <w:r w:rsidR="001253D7">
        <w:rPr>
          <w:rFonts w:cs="Calibri"/>
          <w:b/>
          <w:bCs/>
          <w:lang w:val="es-ES"/>
        </w:rPr>
        <w:t>,</w:t>
      </w:r>
      <w:r w:rsidRPr="00B035F4">
        <w:rPr>
          <w:rFonts w:cs="Calibri"/>
          <w:b/>
          <w:bCs/>
          <w:lang w:val="es-ES"/>
        </w:rPr>
        <w:t xml:space="preserve"> la movilización de recursos</w:t>
      </w:r>
      <w:r w:rsidR="001253D7">
        <w:rPr>
          <w:rFonts w:cs="Calibri"/>
          <w:b/>
          <w:bCs/>
          <w:lang w:val="es-ES"/>
        </w:rPr>
        <w:t xml:space="preserve"> y la </w:t>
      </w:r>
      <w:r w:rsidR="001253D7" w:rsidRPr="001253D7">
        <w:rPr>
          <w:rFonts w:cs="Calibri"/>
          <w:b/>
          <w:bCs/>
          <w:lang w:val="es-ES"/>
        </w:rPr>
        <w:t>comunicación estratégica</w:t>
      </w:r>
      <w:r w:rsidR="001253D7">
        <w:rPr>
          <w:rFonts w:cs="Calibri"/>
          <w:b/>
          <w:bCs/>
          <w:lang w:val="es-ES"/>
        </w:rPr>
        <w:t>.</w:t>
      </w:r>
    </w:p>
    <w:p w14:paraId="46C3B61F" w14:textId="38E689C6" w:rsidR="00527D0A" w:rsidRPr="001378AF" w:rsidRDefault="00527D0A" w:rsidP="00D875B6">
      <w:pPr>
        <w:rPr>
          <w:rFonts w:cs="Calibri"/>
          <w:lang w:val="es-ES"/>
        </w:rPr>
      </w:pPr>
      <w:r w:rsidRPr="001378AF">
        <w:rPr>
          <w:rFonts w:cs="Calibri"/>
          <w:lang w:val="es-ES"/>
        </w:rPr>
        <w:t xml:space="preserve">Durante la </w:t>
      </w:r>
      <w:hyperlink r:id="rId70" w:anchor="/es" w:history="1">
        <w:r w:rsidRPr="00080E25">
          <w:rPr>
            <w:rStyle w:val="Hyperlink"/>
            <w:rFonts w:cs="Calibri"/>
            <w:lang w:val="es-ES"/>
          </w:rPr>
          <w:t xml:space="preserve">tercera reunión de la Junta de </w:t>
        </w:r>
        <w:r w:rsidR="000F5D2E">
          <w:rPr>
            <w:rStyle w:val="Hyperlink"/>
            <w:rFonts w:cs="Calibri"/>
            <w:lang w:val="es-ES"/>
          </w:rPr>
          <w:t>I</w:t>
        </w:r>
        <w:r w:rsidRPr="00080E25">
          <w:rPr>
            <w:rStyle w:val="Hyperlink"/>
            <w:rFonts w:cs="Calibri"/>
            <w:lang w:val="es-ES"/>
          </w:rPr>
          <w:t xml:space="preserve">nnovación </w:t>
        </w:r>
        <w:r w:rsidR="000F5D2E">
          <w:rPr>
            <w:rStyle w:val="Hyperlink"/>
            <w:rFonts w:cs="Calibri"/>
            <w:lang w:val="es-ES"/>
          </w:rPr>
          <w:t>D</w:t>
        </w:r>
        <w:r w:rsidRPr="00080E25">
          <w:rPr>
            <w:rStyle w:val="Hyperlink"/>
            <w:rFonts w:cs="Calibri"/>
            <w:lang w:val="es-ES"/>
          </w:rPr>
          <w:t>igital</w:t>
        </w:r>
      </w:hyperlink>
      <w:r w:rsidRPr="001378AF">
        <w:rPr>
          <w:rFonts w:cs="Calibri"/>
          <w:lang w:val="es-ES"/>
        </w:rPr>
        <w:t>, los expertos presentaron sus aspiraciones y retos en sus ámbitos de colaboración y recibieron orientaciones claras de los miembros de la Junta para mejorar la incidencia en la Alianza. Estos planes de acción concretos guiarán sus esfuerzos para seguir fortaleciendo la Alianza.</w:t>
      </w:r>
      <w:hyperlink r:id="rId71" w:history="1"/>
    </w:p>
    <w:p w14:paraId="5D2E90F6" w14:textId="4AA8FD56" w:rsidR="00527D0A" w:rsidRPr="009F0E1B" w:rsidRDefault="00C91CD1" w:rsidP="00C91CD1">
      <w:pPr>
        <w:pStyle w:val="Heading2"/>
        <w:rPr>
          <w:lang w:val="es-ES"/>
        </w:rPr>
      </w:pPr>
      <w:r>
        <w:rPr>
          <w:lang w:val="es-ES"/>
        </w:rPr>
        <w:lastRenderedPageBreak/>
        <w:t>e)</w:t>
      </w:r>
      <w:r>
        <w:rPr>
          <w:lang w:val="es-ES"/>
        </w:rPr>
        <w:tab/>
      </w:r>
      <w:r w:rsidR="00527D0A" w:rsidRPr="001378AF">
        <w:rPr>
          <w:lang w:val="es-ES"/>
        </w:rPr>
        <w:t xml:space="preserve">Serie de informes </w:t>
      </w:r>
      <w:r w:rsidR="00527D0A">
        <w:rPr>
          <w:lang w:val="es-ES"/>
        </w:rPr>
        <w:t>de previsión</w:t>
      </w:r>
    </w:p>
    <w:p w14:paraId="5E7C1511" w14:textId="77777777" w:rsidR="00527D0A" w:rsidRPr="001378AF" w:rsidRDefault="00527D0A" w:rsidP="00D875B6">
      <w:pPr>
        <w:rPr>
          <w:rFonts w:cs="Calibri"/>
          <w:lang w:val="es-ES"/>
        </w:rPr>
      </w:pPr>
      <w:r w:rsidRPr="001378AF">
        <w:rPr>
          <w:rFonts w:cs="Calibri"/>
          <w:lang w:val="es-ES"/>
        </w:rPr>
        <w:t>En consonancia con el flujo de trabajo de la serie de prospectiva estratégica de la Dirección de Innovación Digital, la BDT ha desarrollado y puesto en marcha nuevas capacidades de previsión estratégica para ayudar a los Miembros de la UIT a desarrollar capacidades de pensamiento prospectivo y mantenerse a la vanguardia.</w:t>
      </w:r>
    </w:p>
    <w:p w14:paraId="59411600" w14:textId="77777777" w:rsidR="00527D0A" w:rsidRPr="001378AF" w:rsidRDefault="00527D0A" w:rsidP="00D875B6">
      <w:pPr>
        <w:rPr>
          <w:rFonts w:cs="Calibri"/>
          <w:lang w:val="es-ES"/>
        </w:rPr>
      </w:pPr>
      <w:r w:rsidRPr="001378AF">
        <w:rPr>
          <w:rFonts w:cs="Calibri"/>
          <w:lang w:val="es-ES"/>
        </w:rPr>
        <w:t xml:space="preserve">En la reunión de la Junta de octubre de 2025, se presentaron cinco informes de la </w:t>
      </w:r>
      <w:hyperlink r:id="rId72" w:anchor="/es" w:history="1">
        <w:r>
          <w:rPr>
            <w:rStyle w:val="Hyperlink"/>
            <w:rFonts w:cs="Calibri"/>
            <w:lang w:val="es-ES"/>
          </w:rPr>
          <w:t>serie de informes de previsión</w:t>
        </w:r>
      </w:hyperlink>
      <w:r w:rsidRPr="001378AF">
        <w:rPr>
          <w:rFonts w:cs="Calibri"/>
          <w:lang w:val="es-ES"/>
        </w:rPr>
        <w:t>:</w:t>
      </w:r>
      <w:hyperlink r:id="rId73" w:history="1"/>
    </w:p>
    <w:p w14:paraId="30F5DC43" w14:textId="7A2F5C1D" w:rsidR="00527D0A" w:rsidRPr="00C91CD1" w:rsidRDefault="00C91CD1" w:rsidP="00C91CD1">
      <w:pPr>
        <w:pStyle w:val="enumlev1"/>
      </w:pPr>
      <w:r w:rsidRPr="00C91CD1">
        <w:rPr>
          <w:lang w:val="es-ES"/>
        </w:rPr>
        <w:t>1</w:t>
      </w:r>
      <w:r>
        <w:rPr>
          <w:lang w:val="es-ES"/>
        </w:rPr>
        <w:t>)</w:t>
      </w:r>
      <w:r>
        <w:rPr>
          <w:lang w:val="es-ES"/>
        </w:rPr>
        <w:tab/>
      </w:r>
      <w:hyperlink r:id="rId74" w:history="1">
        <w:r w:rsidR="00527D0A" w:rsidRPr="00C91CD1">
          <w:rPr>
            <w:rStyle w:val="Hyperlink"/>
          </w:rPr>
          <w:t>Forjar la educación para el mañana</w:t>
        </w:r>
        <w:r w:rsidR="00527D0A" w:rsidRPr="00C91CD1">
          <w:t>,</w:t>
        </w:r>
      </w:hyperlink>
    </w:p>
    <w:p w14:paraId="630FBD25" w14:textId="0FD68312" w:rsidR="00527D0A" w:rsidRPr="00C91CD1" w:rsidRDefault="00C91CD1" w:rsidP="00C91CD1">
      <w:pPr>
        <w:pStyle w:val="enumlev1"/>
        <w:rPr>
          <w:lang w:val="es-ES"/>
        </w:rPr>
      </w:pPr>
      <w:r w:rsidRPr="00C91CD1">
        <w:rPr>
          <w:lang w:val="es-ES"/>
        </w:rPr>
        <w:t>2</w:t>
      </w:r>
      <w:r>
        <w:rPr>
          <w:lang w:val="es-ES"/>
        </w:rPr>
        <w:t>)</w:t>
      </w:r>
      <w:r>
        <w:rPr>
          <w:lang w:val="es-ES"/>
        </w:rPr>
        <w:tab/>
      </w:r>
      <w:hyperlink r:id="rId75" w:history="1">
        <w:r w:rsidR="00527D0A" w:rsidRPr="00C91CD1">
          <w:rPr>
            <w:rStyle w:val="Hyperlink"/>
          </w:rPr>
          <w:t>Forjar el futuro de las jóvenes empresas y las pymes</w:t>
        </w:r>
        <w:r w:rsidR="00527D0A" w:rsidRPr="00C91CD1">
          <w:rPr>
            <w:lang w:val="es-ES"/>
          </w:rPr>
          <w:t>,</w:t>
        </w:r>
      </w:hyperlink>
    </w:p>
    <w:p w14:paraId="6DD8273B" w14:textId="6540E333" w:rsidR="00527D0A" w:rsidRPr="00E26AA9" w:rsidRDefault="00C91CD1" w:rsidP="00C91CD1">
      <w:pPr>
        <w:pStyle w:val="enumlev1"/>
      </w:pPr>
      <w:r w:rsidRPr="00C91CD1">
        <w:rPr>
          <w:lang w:val="es-ES"/>
        </w:rPr>
        <w:t>3)</w:t>
      </w:r>
      <w:r>
        <w:rPr>
          <w:lang w:val="es-ES"/>
        </w:rPr>
        <w:tab/>
      </w:r>
      <w:hyperlink r:id="rId76" w:history="1">
        <w:r w:rsidR="00527D0A" w:rsidRPr="00C91CD1">
          <w:rPr>
            <w:rStyle w:val="Hyperlink"/>
          </w:rPr>
          <w:t>Configurar el futuro de un panorama africano de capital de riesgo</w:t>
        </w:r>
        <w:r w:rsidR="00527D0A" w:rsidRPr="00C91CD1">
          <w:t>,</w:t>
        </w:r>
      </w:hyperlink>
    </w:p>
    <w:p w14:paraId="1865E6C4" w14:textId="6A8A461E" w:rsidR="00527D0A" w:rsidRPr="00E26AA9" w:rsidRDefault="00C91CD1" w:rsidP="00C91CD1">
      <w:pPr>
        <w:pStyle w:val="enumlev1"/>
      </w:pPr>
      <w:r w:rsidRPr="00C91CD1">
        <w:rPr>
          <w:lang w:val="es-ES"/>
        </w:rPr>
        <w:t>4</w:t>
      </w:r>
      <w:r>
        <w:rPr>
          <w:lang w:val="es-ES"/>
        </w:rPr>
        <w:t>)</w:t>
      </w:r>
      <w:r>
        <w:rPr>
          <w:lang w:val="es-ES"/>
        </w:rPr>
        <w:tab/>
      </w:r>
      <w:hyperlink r:id="rId77" w:history="1">
        <w:r w:rsidR="00527D0A" w:rsidRPr="00E26AA9">
          <w:rPr>
            <w:rStyle w:val="Hyperlink"/>
            <w:lang w:val="es-ES"/>
          </w:rPr>
          <w:t>Creación</w:t>
        </w:r>
        <w:r w:rsidR="00527D0A" w:rsidRPr="00C91CD1">
          <w:rPr>
            <w:rStyle w:val="Hyperlink"/>
          </w:rPr>
          <w:t xml:space="preserve"> de ciudades más inteligentes</w:t>
        </w:r>
        <w:r w:rsidR="00527D0A" w:rsidRPr="00C91CD1">
          <w:t>, y</w:t>
        </w:r>
      </w:hyperlink>
    </w:p>
    <w:p w14:paraId="1852A913" w14:textId="2745D529" w:rsidR="00527D0A" w:rsidRPr="00E26AA9" w:rsidRDefault="00C91CD1" w:rsidP="00C91CD1">
      <w:pPr>
        <w:pStyle w:val="enumlev1"/>
      </w:pPr>
      <w:r>
        <w:rPr>
          <w:lang w:val="es-ES"/>
        </w:rPr>
        <w:t>5)</w:t>
      </w:r>
      <w:r>
        <w:rPr>
          <w:lang w:val="es-ES"/>
        </w:rPr>
        <w:tab/>
      </w:r>
      <w:hyperlink r:id="rId78" w:history="1">
        <w:r w:rsidR="00527D0A" w:rsidRPr="00C91CD1">
          <w:rPr>
            <w:rStyle w:val="Hyperlink"/>
          </w:rPr>
          <w:t>Transformar la atención sanitaria para el mañana</w:t>
        </w:r>
        <w:r w:rsidR="00527D0A" w:rsidRPr="00C91CD1">
          <w:t>.</w:t>
        </w:r>
      </w:hyperlink>
    </w:p>
    <w:p w14:paraId="362CF666" w14:textId="77777777" w:rsidR="00527D0A" w:rsidRPr="001378AF" w:rsidRDefault="00527D0A" w:rsidP="00D875B6">
      <w:pPr>
        <w:rPr>
          <w:rFonts w:cs="Calibri"/>
          <w:lang w:val="es-ES"/>
        </w:rPr>
      </w:pPr>
      <w:r w:rsidRPr="0049457C">
        <w:rPr>
          <w:rFonts w:cs="Calibri"/>
          <w:lang w:val="es-ES"/>
        </w:rPr>
        <w:t xml:space="preserve">La metodología de prospectiva de la BDT, que se basa en el </w:t>
      </w:r>
      <w:r w:rsidRPr="009C2785">
        <w:rPr>
          <w:rFonts w:cs="Calibri"/>
          <w:i/>
          <w:iCs/>
          <w:lang w:val="es-ES"/>
        </w:rPr>
        <w:t>Playbook on Strategic Foresight</w:t>
      </w:r>
      <w:r w:rsidRPr="0049457C">
        <w:rPr>
          <w:rFonts w:cs="Calibri"/>
          <w:lang w:val="es-ES"/>
        </w:rPr>
        <w:t xml:space="preserve">, ayuda a los </w:t>
      </w:r>
      <w:r w:rsidRPr="00D875B6">
        <w:rPr>
          <w:lang w:val="es-ES"/>
        </w:rPr>
        <w:t>Miembros</w:t>
      </w:r>
      <w:r w:rsidRPr="0049457C">
        <w:rPr>
          <w:rFonts w:cs="Calibri"/>
          <w:lang w:val="es-ES"/>
        </w:rPr>
        <w:t xml:space="preserve"> de la UIT a acelerar la transformación digital, fomentar la innovación y armonizar las agendas nacionales de desarrollo con visiones futuras.</w:t>
      </w:r>
      <w:hyperlink r:id="rId79" w:history="1"/>
    </w:p>
    <w:p w14:paraId="75F57F3E" w14:textId="5429C958" w:rsidR="00527D0A" w:rsidRPr="0049457C" w:rsidRDefault="00C91CD1" w:rsidP="00C91CD1">
      <w:pPr>
        <w:pStyle w:val="Heading2"/>
        <w:rPr>
          <w:lang w:val="es-ES"/>
        </w:rPr>
      </w:pPr>
      <w:r>
        <w:rPr>
          <w:lang w:val="es-ES"/>
        </w:rPr>
        <w:t>f)</w:t>
      </w:r>
      <w:r>
        <w:rPr>
          <w:lang w:val="es-ES"/>
        </w:rPr>
        <w:tab/>
      </w:r>
      <w:r w:rsidR="00527D0A" w:rsidRPr="00C91CD1">
        <w:rPr>
          <w:lang w:val="es-ES"/>
        </w:rPr>
        <w:t>Acelerador</w:t>
      </w:r>
      <w:r w:rsidR="00527D0A" w:rsidRPr="001378AF">
        <w:rPr>
          <w:lang w:val="es-ES"/>
        </w:rPr>
        <w:t xml:space="preserve"> de iniciativas regionales</w:t>
      </w:r>
    </w:p>
    <w:p w14:paraId="661F65B5" w14:textId="2B011B6D" w:rsidR="00527D0A" w:rsidRPr="001378AF" w:rsidRDefault="00527D0A" w:rsidP="00D875B6">
      <w:pPr>
        <w:rPr>
          <w:rFonts w:cs="Calibri"/>
          <w:lang w:val="es-ES"/>
        </w:rPr>
      </w:pPr>
      <w:r w:rsidRPr="001378AF">
        <w:rPr>
          <w:rFonts w:cs="Calibri"/>
          <w:lang w:val="es-ES"/>
        </w:rPr>
        <w:t xml:space="preserve">Con el apoyo financiero del Ministerio de Industria y Tecnología de la Información (MIIT) de China, la BDT creó el </w:t>
      </w:r>
      <w:hyperlink r:id="rId80" w:anchor="/es" w:history="1">
        <w:r w:rsidRPr="00AD7479">
          <w:rPr>
            <w:rStyle w:val="Hyperlink"/>
            <w:rFonts w:cs="Calibri"/>
            <w:lang w:val="es-ES"/>
          </w:rPr>
          <w:t>Acelerador de Iniciativas Regionales</w:t>
        </w:r>
      </w:hyperlink>
      <w:r w:rsidRPr="001378AF">
        <w:rPr>
          <w:rFonts w:cs="Calibri"/>
          <w:lang w:val="es-ES"/>
        </w:rPr>
        <w:t xml:space="preserve"> (</w:t>
      </w:r>
      <w:r>
        <w:rPr>
          <w:rFonts w:cs="Calibri"/>
          <w:lang w:val="es-ES"/>
        </w:rPr>
        <w:t>AIR</w:t>
      </w:r>
      <w:r w:rsidRPr="001378AF">
        <w:rPr>
          <w:rFonts w:cs="Calibri"/>
          <w:lang w:val="es-ES"/>
        </w:rPr>
        <w:t>) para mejorar la capacidad de las Oficinas Regionales de la UIT para abordar eficazmente las prioridades regionales mediante un piloto de nuevo enfoque que trabaja con los Miembros de la UIT en sus respectivas regiones para acelerar la transformación de las Iniciativas Regionales en proyectos financiables.</w:t>
      </w:r>
      <w:hyperlink r:id="rId81" w:history="1"/>
    </w:p>
    <w:p w14:paraId="5D8DB814" w14:textId="77777777" w:rsidR="00527D0A" w:rsidRPr="001378AF" w:rsidRDefault="00527D0A" w:rsidP="00D875B6">
      <w:pPr>
        <w:rPr>
          <w:rFonts w:cs="Calibri"/>
          <w:lang w:val="es-ES"/>
        </w:rPr>
      </w:pPr>
      <w:r w:rsidRPr="001378AF">
        <w:rPr>
          <w:rFonts w:cs="Calibri"/>
          <w:lang w:val="es-ES"/>
        </w:rPr>
        <w:t xml:space="preserve">La BDT acogió el primer taller piloto del Acelerador de Iniciativas Regionales del </w:t>
      </w:r>
      <w:hyperlink r:id="rId82" w:history="1">
        <w:r w:rsidRPr="00B2406C">
          <w:rPr>
            <w:rStyle w:val="Hyperlink"/>
            <w:rFonts w:cs="Calibri"/>
            <w:lang w:val="es-ES"/>
          </w:rPr>
          <w:t>3 al 5 de febrero de 2025 en Podgorica (Montenegro)</w:t>
        </w:r>
      </w:hyperlink>
      <w:r w:rsidRPr="001378AF">
        <w:rPr>
          <w:rFonts w:cs="Calibri"/>
          <w:lang w:val="es-ES"/>
        </w:rPr>
        <w:t xml:space="preserve">. El evento congregó a representantes de cinco países de los Balcanes Occidentales para diseñar conjuntamente y validar cinco proyectos por un valor </w:t>
      </w:r>
      <w:r w:rsidRPr="00D875B6">
        <w:rPr>
          <w:lang w:val="es-ES"/>
        </w:rPr>
        <w:t>combinado</w:t>
      </w:r>
      <w:r w:rsidRPr="001378AF">
        <w:rPr>
          <w:rFonts w:cs="Calibri"/>
          <w:lang w:val="es-ES"/>
        </w:rPr>
        <w:t xml:space="preserve"> de 20 millones USD.</w:t>
      </w:r>
      <w:hyperlink r:id="rId83" w:history="1"/>
    </w:p>
    <w:p w14:paraId="20DBC39D" w14:textId="77777777" w:rsidR="00527D0A" w:rsidRPr="001378AF" w:rsidRDefault="00527D0A" w:rsidP="00D875B6">
      <w:pPr>
        <w:rPr>
          <w:rFonts w:cs="Calibri"/>
          <w:lang w:val="es-ES"/>
        </w:rPr>
      </w:pPr>
      <w:r w:rsidRPr="001378AF">
        <w:rPr>
          <w:rFonts w:cs="Calibri"/>
          <w:lang w:val="es-ES"/>
        </w:rPr>
        <w:t xml:space="preserve">El </w:t>
      </w:r>
      <w:r w:rsidRPr="00D875B6">
        <w:rPr>
          <w:lang w:val="es-ES"/>
        </w:rPr>
        <w:t>siguiente</w:t>
      </w:r>
      <w:r w:rsidRPr="001378AF">
        <w:rPr>
          <w:rFonts w:cs="Calibri"/>
          <w:lang w:val="es-ES"/>
        </w:rPr>
        <w:t xml:space="preserve"> taller piloto del Acelerador de Iniciativas Regionales fue organizado por la BDT del </w:t>
      </w:r>
      <w:hyperlink r:id="rId84" w:history="1">
        <w:r w:rsidRPr="00BD556D">
          <w:rPr>
            <w:rStyle w:val="Hyperlink"/>
            <w:rFonts w:cs="Calibri"/>
            <w:lang w:val="es-ES"/>
          </w:rPr>
          <w:t>28 al 30 de abril de 2025 en Shenzhen (China)</w:t>
        </w:r>
      </w:hyperlink>
      <w:r w:rsidRPr="001378AF">
        <w:rPr>
          <w:rFonts w:cs="Calibri"/>
          <w:lang w:val="es-ES"/>
        </w:rPr>
        <w:t>. El evento congregó a representantes de 10 países de Asia para diseñar y validar conjuntamente los proyectos a fin de acelerar la transformación digital.</w:t>
      </w:r>
      <w:hyperlink r:id="rId85" w:history="1"/>
    </w:p>
    <w:p w14:paraId="29EC2A8A" w14:textId="77777777" w:rsidR="00527D0A" w:rsidRPr="001378AF" w:rsidRDefault="00527D0A" w:rsidP="00D875B6">
      <w:pPr>
        <w:rPr>
          <w:rFonts w:cs="Calibri"/>
          <w:lang w:val="es-ES"/>
        </w:rPr>
      </w:pPr>
      <w:r w:rsidRPr="001378AF">
        <w:rPr>
          <w:rFonts w:cs="Calibri"/>
          <w:lang w:val="es-ES"/>
        </w:rPr>
        <w:t xml:space="preserve">Se está desarrollando y probando el RIA, y se han atribuido fondos del MIIT para ampliar las </w:t>
      </w:r>
      <w:r w:rsidRPr="00D875B6">
        <w:rPr>
          <w:lang w:val="es-ES"/>
        </w:rPr>
        <w:t>implementaciones</w:t>
      </w:r>
      <w:r w:rsidRPr="001378AF">
        <w:rPr>
          <w:rFonts w:cs="Calibri"/>
          <w:lang w:val="es-ES"/>
        </w:rPr>
        <w:t xml:space="preserve"> piloto una vez que se aprueben las nuevas iniciativas regionales en Bakú.</w:t>
      </w:r>
    </w:p>
    <w:p w14:paraId="6428B511" w14:textId="3FD7E210" w:rsidR="00527D0A" w:rsidRPr="001378AF" w:rsidRDefault="00B21293" w:rsidP="00B21293">
      <w:pPr>
        <w:pStyle w:val="Heading2"/>
        <w:rPr>
          <w:lang w:val="es-ES"/>
        </w:rPr>
      </w:pPr>
      <w:r>
        <w:rPr>
          <w:lang w:val="es-ES"/>
        </w:rPr>
        <w:t>g)</w:t>
      </w:r>
      <w:r>
        <w:rPr>
          <w:lang w:val="es-ES"/>
        </w:rPr>
        <w:tab/>
      </w:r>
      <w:r w:rsidR="00527D0A" w:rsidRPr="00B21293">
        <w:rPr>
          <w:lang w:val="es-ES"/>
        </w:rPr>
        <w:t>Capacitación</w:t>
      </w:r>
      <w:r w:rsidR="00527D0A" w:rsidRPr="001378AF">
        <w:rPr>
          <w:lang w:val="es-ES"/>
        </w:rPr>
        <w:t xml:space="preserve"> para la Alianza </w:t>
      </w:r>
      <w:r w:rsidR="00527D0A">
        <w:rPr>
          <w:lang w:val="es-ES"/>
        </w:rPr>
        <w:t>sobre la innovación</w:t>
      </w:r>
    </w:p>
    <w:p w14:paraId="08B72B37" w14:textId="77777777" w:rsidR="00527D0A" w:rsidRPr="001378AF" w:rsidRDefault="00527D0A" w:rsidP="00D875B6">
      <w:pPr>
        <w:rPr>
          <w:rFonts w:cs="Calibri"/>
          <w:lang w:val="es-ES"/>
        </w:rPr>
      </w:pPr>
      <w:r w:rsidRPr="001378AF">
        <w:rPr>
          <w:rFonts w:cs="Calibri"/>
          <w:lang w:val="es-ES"/>
        </w:rPr>
        <w:t xml:space="preserve">La BDT elaboró un marco de competencias de capacitación para el tema de la innovación y la iniciativa </w:t>
      </w:r>
      <w:r w:rsidRPr="00D875B6">
        <w:rPr>
          <w:lang w:val="es-ES"/>
        </w:rPr>
        <w:t>empresarial</w:t>
      </w:r>
      <w:r w:rsidRPr="001378AF">
        <w:rPr>
          <w:rFonts w:cs="Calibri"/>
          <w:lang w:val="es-ES"/>
        </w:rPr>
        <w:t>, junto con un plan de estudios conexo que se está implementando a través de la plataforma Academia de la UIT y los talleres iCodi coorganizados por la TDRA en los EAU y en eventos mundiales.</w:t>
      </w:r>
    </w:p>
    <w:p w14:paraId="76018EE1" w14:textId="276CB0D1" w:rsidR="00527D0A" w:rsidRPr="001378AF" w:rsidRDefault="00B21293" w:rsidP="00B21293">
      <w:pPr>
        <w:pStyle w:val="enumlev1"/>
        <w:rPr>
          <w:rFonts w:cs="Calibri"/>
          <w:lang w:val="es-ES"/>
        </w:rPr>
      </w:pPr>
      <w:r w:rsidRPr="00B21293">
        <w:rPr>
          <w:rFonts w:cs="Calibri"/>
          <w:lang w:val="es-ES"/>
        </w:rPr>
        <w:t>–</w:t>
      </w:r>
      <w:r>
        <w:rPr>
          <w:rFonts w:cs="Calibri"/>
          <w:lang w:val="es-ES"/>
        </w:rPr>
        <w:tab/>
      </w:r>
      <w:r w:rsidR="00527D0A" w:rsidRPr="001378AF">
        <w:rPr>
          <w:rFonts w:cs="Calibri"/>
          <w:lang w:val="es-ES"/>
        </w:rPr>
        <w:t xml:space="preserve">En la plataforma de la Academia de la UIT, la BDT lanzó el </w:t>
      </w:r>
      <w:hyperlink r:id="rId86" w:anchor="/es" w:history="1">
        <w:r w:rsidR="00527D0A" w:rsidRPr="00A64DCD">
          <w:rPr>
            <w:rStyle w:val="Hyperlink"/>
            <w:rFonts w:cs="Calibri"/>
            <w:lang w:val="es-ES"/>
          </w:rPr>
          <w:t>Ecosistema 101</w:t>
        </w:r>
      </w:hyperlink>
      <w:r w:rsidR="00527D0A" w:rsidRPr="001378AF">
        <w:rPr>
          <w:rFonts w:cs="Calibri"/>
          <w:lang w:val="es-ES"/>
        </w:rPr>
        <w:t xml:space="preserve">, la </w:t>
      </w:r>
      <w:hyperlink r:id="rId87" w:anchor="/es" w:history="1">
        <w:r w:rsidR="00527D0A" w:rsidRPr="00D55780">
          <w:rPr>
            <w:rStyle w:val="Hyperlink"/>
            <w:rFonts w:cs="Calibri"/>
            <w:lang w:val="es-ES"/>
          </w:rPr>
          <w:t>Previsión Estratégica 101</w:t>
        </w:r>
      </w:hyperlink>
      <w:r w:rsidR="00527D0A" w:rsidRPr="001378AF">
        <w:rPr>
          <w:rFonts w:cs="Calibri"/>
          <w:lang w:val="es-ES"/>
        </w:rPr>
        <w:t xml:space="preserve">, la </w:t>
      </w:r>
      <w:hyperlink r:id="rId88" w:anchor="/es" w:history="1">
        <w:r w:rsidR="00527D0A" w:rsidRPr="00E6362E">
          <w:rPr>
            <w:rStyle w:val="Hyperlink"/>
            <w:rFonts w:cs="Calibri"/>
            <w:lang w:val="es-ES"/>
          </w:rPr>
          <w:t>Previsión Estratégica 201</w:t>
        </w:r>
      </w:hyperlink>
      <w:r w:rsidR="00527D0A" w:rsidRPr="001378AF">
        <w:rPr>
          <w:rFonts w:cs="Calibri"/>
          <w:lang w:val="es-ES"/>
        </w:rPr>
        <w:t xml:space="preserve"> y el </w:t>
      </w:r>
      <w:hyperlink r:id="rId89" w:anchor="/es" w:history="1">
        <w:r w:rsidR="00527D0A" w:rsidRPr="00525F9E">
          <w:rPr>
            <w:rStyle w:val="Hyperlink"/>
            <w:rFonts w:cs="Calibri"/>
            <w:lang w:val="es-ES"/>
          </w:rPr>
          <w:t>Desarrollo de Iniciativas de Ecosistemas 201</w:t>
        </w:r>
      </w:hyperlink>
      <w:r w:rsidR="00527D0A" w:rsidRPr="001378AF">
        <w:rPr>
          <w:rFonts w:cs="Calibri"/>
          <w:lang w:val="es-ES"/>
        </w:rPr>
        <w:t>.</w:t>
      </w:r>
      <w:hyperlink r:id="rId90" w:history="1"/>
      <w:hyperlink r:id="rId91" w:history="1"/>
      <w:hyperlink r:id="rId92" w:history="1"/>
      <w:hyperlink r:id="rId93" w:history="1"/>
    </w:p>
    <w:p w14:paraId="34D34CE5" w14:textId="1CD33A66" w:rsidR="00527D0A" w:rsidRPr="001378AF" w:rsidRDefault="00B21293" w:rsidP="00B21293">
      <w:pPr>
        <w:pStyle w:val="enumlev1"/>
        <w:rPr>
          <w:rFonts w:cs="Calibri"/>
          <w:lang w:val="es-ES"/>
        </w:rPr>
      </w:pPr>
      <w:r w:rsidRPr="00B21293">
        <w:rPr>
          <w:rFonts w:cs="Calibri"/>
          <w:lang w:val="es-ES"/>
        </w:rPr>
        <w:t>–</w:t>
      </w:r>
      <w:r>
        <w:rPr>
          <w:rFonts w:cs="Calibri"/>
          <w:lang w:val="es-ES"/>
        </w:rPr>
        <w:tab/>
      </w:r>
      <w:r w:rsidR="00527D0A" w:rsidRPr="001378AF">
        <w:rPr>
          <w:rFonts w:cs="Calibri"/>
          <w:lang w:val="es-ES"/>
        </w:rPr>
        <w:t>A través de los talleres mundiales de iCodi, la BDT impartió una serie de cursos de formación sobre desarrollo de iniciativas de ecosistema (</w:t>
      </w:r>
      <w:hyperlink r:id="rId94" w:anchor="/es" w:history="1">
        <w:r w:rsidR="00527D0A" w:rsidRPr="00B15BA7">
          <w:rPr>
            <w:rStyle w:val="Hyperlink"/>
            <w:rFonts w:cs="Calibri"/>
            <w:lang w:val="es-ES"/>
          </w:rPr>
          <w:t>Taller global ICODI 2024</w:t>
        </w:r>
      </w:hyperlink>
      <w:r w:rsidR="00527D0A" w:rsidRPr="001378AF">
        <w:rPr>
          <w:rFonts w:cs="Calibri"/>
          <w:lang w:val="es-ES"/>
        </w:rPr>
        <w:t xml:space="preserve"> y </w:t>
      </w:r>
      <w:hyperlink r:id="rId95" w:anchor="/es" w:history="1">
        <w:r w:rsidR="00527D0A" w:rsidRPr="00AF292B">
          <w:rPr>
            <w:rStyle w:val="Hyperlink"/>
            <w:rFonts w:cs="Calibri"/>
            <w:lang w:val="es-ES"/>
          </w:rPr>
          <w:t>Taller global ICODI 2025</w:t>
        </w:r>
      </w:hyperlink>
      <w:r w:rsidR="00527D0A" w:rsidRPr="001378AF">
        <w:rPr>
          <w:rFonts w:cs="Calibri"/>
          <w:lang w:val="es-ES"/>
        </w:rPr>
        <w:t>), experimentación de políticas y prospectiva estratégica.</w:t>
      </w:r>
      <w:hyperlink r:id="rId96" w:history="1"/>
      <w:hyperlink r:id="rId97" w:history="1"/>
    </w:p>
    <w:p w14:paraId="2939AA1C" w14:textId="24EDB576" w:rsidR="00527D0A" w:rsidRPr="001378AF" w:rsidRDefault="00B21293" w:rsidP="00B21293">
      <w:pPr>
        <w:pStyle w:val="enumlev1"/>
        <w:rPr>
          <w:rFonts w:cs="Calibri"/>
          <w:lang w:val="es-ES"/>
        </w:rPr>
      </w:pPr>
      <w:r w:rsidRPr="00B21293">
        <w:rPr>
          <w:rFonts w:cs="Calibri"/>
          <w:lang w:val="es-ES"/>
        </w:rPr>
        <w:lastRenderedPageBreak/>
        <w:t>–</w:t>
      </w:r>
      <w:r>
        <w:rPr>
          <w:rFonts w:cs="Calibri"/>
          <w:lang w:val="es-ES"/>
        </w:rPr>
        <w:tab/>
      </w:r>
      <w:r w:rsidR="00527D0A" w:rsidRPr="001378AF">
        <w:rPr>
          <w:rFonts w:cs="Calibri"/>
          <w:lang w:val="es-ES"/>
        </w:rPr>
        <w:t xml:space="preserve">En el </w:t>
      </w:r>
      <w:hyperlink r:id="rId98" w:anchor="/es" w:history="1">
        <w:r w:rsidR="00527D0A" w:rsidRPr="00924EEE">
          <w:rPr>
            <w:rStyle w:val="Hyperlink"/>
            <w:rFonts w:cs="Calibri"/>
            <w:lang w:val="es-ES"/>
          </w:rPr>
          <w:t>GSR-25</w:t>
        </w:r>
      </w:hyperlink>
      <w:r w:rsidR="00527D0A" w:rsidRPr="001378AF">
        <w:rPr>
          <w:rFonts w:cs="Calibri"/>
          <w:lang w:val="es-ES"/>
        </w:rPr>
        <w:t xml:space="preserve"> y el </w:t>
      </w:r>
      <w:hyperlink r:id="rId99" w:anchor="/es" w:history="1">
        <w:r w:rsidR="00527D0A" w:rsidRPr="009C5CDA">
          <w:rPr>
            <w:rStyle w:val="Hyperlink"/>
            <w:rFonts w:cs="Calibri"/>
            <w:lang w:val="es-ES"/>
          </w:rPr>
          <w:t>GIF-24</w:t>
        </w:r>
      </w:hyperlink>
      <w:r w:rsidR="00527D0A" w:rsidRPr="001378AF">
        <w:rPr>
          <w:rFonts w:cs="Calibri"/>
          <w:lang w:val="es-ES"/>
        </w:rPr>
        <w:t>, la BDT también impartió clases magistrales sobre previsión estratégica.</w:t>
      </w:r>
      <w:hyperlink r:id="rId100" w:anchor="event-gsr-25" w:history="1"/>
      <w:hyperlink r:id="rId101" w:history="1"/>
    </w:p>
    <w:p w14:paraId="243FC180" w14:textId="63E3DF20" w:rsidR="00527D0A" w:rsidRPr="001378AF" w:rsidRDefault="00527D0A" w:rsidP="00D875B6">
      <w:pPr>
        <w:rPr>
          <w:rFonts w:cs="Calibri"/>
          <w:lang w:val="es-ES"/>
        </w:rPr>
      </w:pPr>
      <w:r w:rsidRPr="001378AF">
        <w:rPr>
          <w:rFonts w:cs="Calibri"/>
          <w:lang w:val="es-ES"/>
        </w:rPr>
        <w:t>Los talleres de</w:t>
      </w:r>
      <w:r w:rsidR="00423322">
        <w:rPr>
          <w:rFonts w:cs="Calibri"/>
          <w:lang w:val="es-ES"/>
        </w:rPr>
        <w:t>l</w:t>
      </w:r>
      <w:r w:rsidRPr="001378AF">
        <w:rPr>
          <w:rFonts w:cs="Calibri"/>
          <w:lang w:val="es-ES"/>
        </w:rPr>
        <w:t xml:space="preserve"> ICODI Mundial contaron con el apoyo del compromiso Partner2Connect de la</w:t>
      </w:r>
      <w:r w:rsidR="00B21293">
        <w:rPr>
          <w:rFonts w:cs="Calibri"/>
          <w:lang w:val="es-ES"/>
        </w:rPr>
        <w:t> </w:t>
      </w:r>
      <w:r w:rsidRPr="001378AF">
        <w:rPr>
          <w:rFonts w:cs="Calibri"/>
          <w:lang w:val="es-ES"/>
        </w:rPr>
        <w:t xml:space="preserve">TDRA de invertir 5 millones </w:t>
      </w:r>
      <w:r>
        <w:rPr>
          <w:rFonts w:cs="Calibri"/>
          <w:lang w:val="es-ES"/>
        </w:rPr>
        <w:t>AED</w:t>
      </w:r>
      <w:r w:rsidRPr="001378AF">
        <w:rPr>
          <w:rFonts w:cs="Calibri"/>
          <w:lang w:val="es-ES"/>
        </w:rPr>
        <w:t xml:space="preserve"> para apoyar la iniciativa conjunta UIT-TDRA, el Centro </w:t>
      </w:r>
      <w:r w:rsidRPr="00D875B6">
        <w:rPr>
          <w:lang w:val="es-ES"/>
        </w:rPr>
        <w:t>Internacional</w:t>
      </w:r>
      <w:r w:rsidRPr="001378AF">
        <w:rPr>
          <w:rFonts w:cs="Calibri"/>
          <w:lang w:val="es-ES"/>
        </w:rPr>
        <w:t xml:space="preserve"> de Innovación Digital (CIdID), destinada a empoderar a los Estados Miembros en la innovación digital de las tecnologías de la información y la comunicación (TIC).</w:t>
      </w:r>
    </w:p>
    <w:p w14:paraId="3CEF105C" w14:textId="3A58DF28" w:rsidR="00527D0A" w:rsidRPr="001378AF" w:rsidRDefault="00B21293" w:rsidP="00B21293">
      <w:pPr>
        <w:pStyle w:val="Heading1"/>
        <w:rPr>
          <w:rStyle w:val="None"/>
          <w:rFonts w:ascii="Calibri" w:hAnsi="Calibri" w:cs="Calibri"/>
          <w:sz w:val="24"/>
          <w:szCs w:val="24"/>
        </w:rPr>
      </w:pPr>
      <w:r>
        <w:rPr>
          <w:lang w:val="es-ES"/>
        </w:rPr>
        <w:t>3</w:t>
      </w:r>
      <w:r>
        <w:rPr>
          <w:lang w:val="es-ES"/>
        </w:rPr>
        <w:tab/>
      </w:r>
      <w:r w:rsidR="00527D0A" w:rsidRPr="001378AF">
        <w:rPr>
          <w:lang w:val="es-ES"/>
        </w:rPr>
        <w:t>Próximas etapas</w:t>
      </w:r>
    </w:p>
    <w:p w14:paraId="3A53707D" w14:textId="037396C0" w:rsidR="00527D0A" w:rsidRPr="001378AF" w:rsidRDefault="00527D0A" w:rsidP="00D875B6">
      <w:pPr>
        <w:rPr>
          <w:rFonts w:cs="Calibri"/>
          <w:lang w:val="es-ES"/>
        </w:rPr>
      </w:pPr>
      <w:r w:rsidRPr="001378AF">
        <w:rPr>
          <w:rFonts w:cs="Calibri"/>
          <w:lang w:val="es-ES"/>
        </w:rPr>
        <w:t xml:space="preserve">La BDT seguirá poniendo en funcionamiento todos los </w:t>
      </w:r>
      <w:r>
        <w:rPr>
          <w:rFonts w:cs="Calibri"/>
          <w:lang w:val="es-ES"/>
        </w:rPr>
        <w:t xml:space="preserve">mecanismos </w:t>
      </w:r>
      <w:r w:rsidRPr="001378AF">
        <w:rPr>
          <w:rFonts w:cs="Calibri"/>
          <w:lang w:val="es-ES"/>
        </w:rPr>
        <w:t xml:space="preserve">de la Alianza y movilizando recursos </w:t>
      </w:r>
      <w:r w:rsidRPr="00D875B6">
        <w:rPr>
          <w:lang w:val="es-ES"/>
        </w:rPr>
        <w:t>para</w:t>
      </w:r>
      <w:r w:rsidRPr="001378AF">
        <w:rPr>
          <w:rFonts w:cs="Calibri"/>
          <w:lang w:val="es-ES"/>
        </w:rPr>
        <w:t xml:space="preserve"> ayudar a los países. Muchos países han expresado su interés en adherirse a la </w:t>
      </w:r>
      <w:r w:rsidR="00577BB2">
        <w:rPr>
          <w:rFonts w:cs="Calibri"/>
          <w:lang w:val="es-ES"/>
        </w:rPr>
        <w:t>R</w:t>
      </w:r>
      <w:r w:rsidRPr="001378AF">
        <w:rPr>
          <w:rFonts w:cs="Calibri"/>
          <w:lang w:val="es-ES"/>
        </w:rPr>
        <w:t xml:space="preserve">ed de </w:t>
      </w:r>
      <w:r w:rsidR="00577BB2">
        <w:rPr>
          <w:rFonts w:cs="Calibri"/>
          <w:lang w:val="es-ES"/>
        </w:rPr>
        <w:t>C</w:t>
      </w:r>
      <w:r w:rsidRPr="001378AF">
        <w:rPr>
          <w:rFonts w:cs="Calibri"/>
          <w:lang w:val="es-ES"/>
        </w:rPr>
        <w:t xml:space="preserve">entros de la Alianza, mientras que el Laboratorio de Transformación Digital y la Junta de </w:t>
      </w:r>
      <w:r w:rsidR="000F5D2E">
        <w:rPr>
          <w:rFonts w:cs="Calibri"/>
          <w:lang w:val="es-ES"/>
        </w:rPr>
        <w:t>I</w:t>
      </w:r>
      <w:r w:rsidRPr="001378AF">
        <w:rPr>
          <w:rFonts w:cs="Calibri"/>
          <w:lang w:val="es-ES"/>
        </w:rPr>
        <w:t xml:space="preserve">nnovación </w:t>
      </w:r>
      <w:r w:rsidR="000F5D2E">
        <w:rPr>
          <w:rFonts w:cs="Calibri"/>
          <w:lang w:val="es-ES"/>
        </w:rPr>
        <w:t>D</w:t>
      </w:r>
      <w:r w:rsidRPr="001378AF">
        <w:rPr>
          <w:rFonts w:cs="Calibri"/>
          <w:lang w:val="es-ES"/>
        </w:rPr>
        <w:t xml:space="preserve">igital siguen velando por que la Alianza siga siendo un mecanismo ágil para acelerar la innovación digital en los </w:t>
      </w:r>
      <w:r w:rsidRPr="00D875B6">
        <w:rPr>
          <w:lang w:val="es-ES"/>
        </w:rPr>
        <w:t>países</w:t>
      </w:r>
      <w:r w:rsidRPr="001378AF">
        <w:rPr>
          <w:rFonts w:cs="Calibri"/>
          <w:lang w:val="es-ES"/>
        </w:rPr>
        <w:t>, en consonancia con el mandato de la UIT.</w:t>
      </w:r>
    </w:p>
    <w:p w14:paraId="2E0F47CC" w14:textId="77777777" w:rsidR="00527D0A" w:rsidRPr="001378AF" w:rsidRDefault="00527D0A" w:rsidP="00D875B6">
      <w:pPr>
        <w:rPr>
          <w:rFonts w:cs="Calibri"/>
          <w:lang w:val="es-ES"/>
        </w:rPr>
      </w:pPr>
      <w:r w:rsidRPr="001378AF">
        <w:rPr>
          <w:rFonts w:cs="Calibri"/>
          <w:lang w:val="es-ES"/>
        </w:rPr>
        <w:t xml:space="preserve">Se invita a los </w:t>
      </w:r>
      <w:r w:rsidRPr="00D875B6">
        <w:rPr>
          <w:lang w:val="es-ES"/>
        </w:rPr>
        <w:t>Miembros</w:t>
      </w:r>
      <w:r w:rsidRPr="001378AF">
        <w:rPr>
          <w:rFonts w:cs="Calibri"/>
          <w:lang w:val="es-ES"/>
        </w:rPr>
        <w:t xml:space="preserve"> a tomar nota de este documento informativo sobre los progresos de la Alianza como nuevo mecanismo dentro de la BDT.</w:t>
      </w:r>
    </w:p>
    <w:p w14:paraId="4E78591A" w14:textId="77777777" w:rsidR="00527D0A" w:rsidRDefault="00527D0A" w:rsidP="00E034AF"/>
    <w:p w14:paraId="79FF0A77" w14:textId="77777777" w:rsidR="00527D0A" w:rsidRDefault="00527D0A">
      <w:pPr>
        <w:jc w:val="center"/>
      </w:pPr>
      <w:r>
        <w:t>______________</w:t>
      </w:r>
    </w:p>
    <w:sectPr w:rsidR="00527D0A" w:rsidSect="0039169B">
      <w:headerReference w:type="default" r:id="rId102"/>
      <w:footerReference w:type="even" r:id="rId103"/>
      <w:footerReference w:type="first" r:id="rId104"/>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E0D3" w14:textId="77777777" w:rsidR="00EC7576" w:rsidRDefault="00EC7576">
      <w:r>
        <w:separator/>
      </w:r>
    </w:p>
  </w:endnote>
  <w:endnote w:type="continuationSeparator" w:id="0">
    <w:p w14:paraId="1E67D54C" w14:textId="77777777" w:rsidR="00EC7576" w:rsidRDefault="00E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64EAFC3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E034AF">
      <w:rPr>
        <w:noProof/>
      </w:rPr>
      <w:t>21.10.25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1134"/>
      <w:gridCol w:w="2552"/>
      <w:gridCol w:w="6095"/>
    </w:tblGrid>
    <w:tr w:rsidR="000B3246" w:rsidRPr="009A55C7" w14:paraId="7EA83A66" w14:textId="77777777" w:rsidTr="000B3246">
      <w:tc>
        <w:tcPr>
          <w:tcW w:w="1134" w:type="dxa"/>
          <w:tcBorders>
            <w:top w:val="single" w:sz="4" w:space="0" w:color="000000"/>
          </w:tcBorders>
        </w:tcPr>
        <w:p w14:paraId="54BF4A44" w14:textId="77777777" w:rsidR="000B3246" w:rsidRPr="004D495C" w:rsidRDefault="000B3246" w:rsidP="00D83BF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tcPr>
        <w:p w14:paraId="4990EBCC" w14:textId="49B3D218" w:rsidR="000B3246" w:rsidRPr="004D495C" w:rsidRDefault="000B3246"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tcPr>
        <w:p w14:paraId="57B2BA77" w14:textId="7159BDE6" w:rsidR="000B3246" w:rsidRPr="009A55C7" w:rsidRDefault="009A55C7" w:rsidP="000B3246">
          <w:pPr>
            <w:pStyle w:val="FirstFooter"/>
            <w:tabs>
              <w:tab w:val="left" w:pos="2302"/>
            </w:tabs>
            <w:rPr>
              <w:sz w:val="18"/>
              <w:szCs w:val="18"/>
              <w:highlight w:val="yellow"/>
              <w:lang w:val="es-ES"/>
            </w:rPr>
          </w:pPr>
          <w:r w:rsidRPr="000F5D2E">
            <w:rPr>
              <w:sz w:val="18"/>
              <w:szCs w:val="18"/>
              <w:lang w:val="es-ES"/>
            </w:rPr>
            <w:t>Sr.</w:t>
          </w:r>
          <w:r w:rsidR="000F5D2E" w:rsidRPr="000F5D2E">
            <w:rPr>
              <w:sz w:val="18"/>
              <w:szCs w:val="18"/>
              <w:lang w:val="es-ES"/>
            </w:rPr>
            <w:t> </w:t>
          </w:r>
          <w:r w:rsidRPr="000F5D2E">
            <w:rPr>
              <w:sz w:val="18"/>
              <w:szCs w:val="18"/>
              <w:lang w:val="es-ES"/>
            </w:rPr>
            <w:t>Mohamed Ba, Jefe de Servicio, BDT/DKS/DIS</w:t>
          </w:r>
        </w:p>
      </w:tc>
    </w:tr>
    <w:tr w:rsidR="000B3246" w:rsidRPr="004D495C" w14:paraId="357B3672" w14:textId="77777777" w:rsidTr="000B3246">
      <w:tc>
        <w:tcPr>
          <w:tcW w:w="1134" w:type="dxa"/>
        </w:tcPr>
        <w:p w14:paraId="16D54CB9" w14:textId="77777777" w:rsidR="000B3246" w:rsidRPr="009A55C7" w:rsidRDefault="000B3246" w:rsidP="00D83BF5">
          <w:pPr>
            <w:pStyle w:val="FirstFooter"/>
            <w:tabs>
              <w:tab w:val="left" w:pos="1559"/>
              <w:tab w:val="left" w:pos="3828"/>
            </w:tabs>
            <w:rPr>
              <w:sz w:val="20"/>
              <w:lang w:val="es-ES"/>
            </w:rPr>
          </w:pPr>
        </w:p>
      </w:tc>
      <w:tc>
        <w:tcPr>
          <w:tcW w:w="2552" w:type="dxa"/>
        </w:tcPr>
        <w:p w14:paraId="0FED1DD1" w14:textId="31441479" w:rsidR="000B3246" w:rsidRPr="004D495C" w:rsidRDefault="000B3246" w:rsidP="00D83BF5">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tcPr>
        <w:p w14:paraId="169D8EC7" w14:textId="6FC53B88" w:rsidR="000B3246" w:rsidRPr="004D495C" w:rsidRDefault="009A55C7" w:rsidP="00D83BF5">
          <w:pPr>
            <w:pStyle w:val="FirstFooter"/>
            <w:tabs>
              <w:tab w:val="left" w:pos="2302"/>
            </w:tabs>
            <w:rPr>
              <w:sz w:val="18"/>
              <w:szCs w:val="18"/>
              <w:highlight w:val="yellow"/>
              <w:lang w:val="en-US"/>
            </w:rPr>
          </w:pPr>
          <w:bookmarkStart w:id="9" w:name="PhoneNo"/>
          <w:bookmarkEnd w:id="9"/>
          <w:r w:rsidRPr="009A55C7">
            <w:rPr>
              <w:sz w:val="18"/>
              <w:szCs w:val="18"/>
              <w:lang w:val="en-US"/>
            </w:rPr>
            <w:t>+41 22 730 5338</w:t>
          </w:r>
        </w:p>
      </w:tc>
    </w:tr>
    <w:tr w:rsidR="000B3246" w:rsidRPr="004D495C" w14:paraId="5CCDBCE4" w14:textId="77777777" w:rsidTr="000B3246">
      <w:tc>
        <w:tcPr>
          <w:tcW w:w="1134" w:type="dxa"/>
        </w:tcPr>
        <w:p w14:paraId="52E47833" w14:textId="77777777" w:rsidR="000B3246" w:rsidRPr="004D495C" w:rsidRDefault="000B3246" w:rsidP="00D83BF5">
          <w:pPr>
            <w:pStyle w:val="FirstFooter"/>
            <w:tabs>
              <w:tab w:val="left" w:pos="1559"/>
              <w:tab w:val="left" w:pos="3828"/>
            </w:tabs>
            <w:rPr>
              <w:sz w:val="20"/>
              <w:lang w:val="en-US"/>
            </w:rPr>
          </w:pPr>
        </w:p>
      </w:tc>
      <w:tc>
        <w:tcPr>
          <w:tcW w:w="2552" w:type="dxa"/>
        </w:tcPr>
        <w:p w14:paraId="21E40CA1" w14:textId="6A84B6B0" w:rsidR="000B3246" w:rsidRPr="004D495C" w:rsidRDefault="000B3246"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10" w:name="Email"/>
      <w:bookmarkEnd w:id="10"/>
      <w:tc>
        <w:tcPr>
          <w:tcW w:w="6095" w:type="dxa"/>
        </w:tcPr>
        <w:p w14:paraId="44C536A2" w14:textId="2FF042BC" w:rsidR="000B3246" w:rsidRPr="009A55C7" w:rsidRDefault="009A55C7" w:rsidP="00D83BF5">
          <w:pPr>
            <w:pStyle w:val="FirstFooter"/>
            <w:tabs>
              <w:tab w:val="left" w:pos="2302"/>
            </w:tabs>
            <w:rPr>
              <w:sz w:val="18"/>
              <w:szCs w:val="18"/>
              <w:lang w:val="en-US"/>
            </w:rPr>
          </w:pPr>
          <w:r w:rsidRPr="009A55C7">
            <w:rPr>
              <w:sz w:val="18"/>
              <w:szCs w:val="18"/>
              <w:lang w:val="en-US"/>
            </w:rPr>
            <w:fldChar w:fldCharType="begin"/>
          </w:r>
          <w:r w:rsidRPr="009A55C7">
            <w:rPr>
              <w:sz w:val="18"/>
              <w:szCs w:val="18"/>
              <w:lang w:val="en-US"/>
            </w:rPr>
            <w:instrText>HYPERLINK "mailto:mohamed.ba@itu.int"</w:instrText>
          </w:r>
          <w:r w:rsidRPr="009A55C7">
            <w:rPr>
              <w:sz w:val="18"/>
              <w:szCs w:val="18"/>
              <w:lang w:val="en-US"/>
            </w:rPr>
          </w:r>
          <w:r w:rsidRPr="009A55C7">
            <w:rPr>
              <w:sz w:val="18"/>
              <w:szCs w:val="18"/>
              <w:lang w:val="en-US"/>
            </w:rPr>
            <w:fldChar w:fldCharType="separate"/>
          </w:r>
          <w:r w:rsidRPr="009A55C7">
            <w:rPr>
              <w:rStyle w:val="Hyperlink"/>
              <w:sz w:val="18"/>
              <w:szCs w:val="18"/>
              <w:lang w:val="en-US"/>
            </w:rPr>
            <w:t xml:space="preserve">mohamed.ba@itu.int </w:t>
          </w:r>
          <w:r w:rsidRPr="009A55C7">
            <w:rPr>
              <w:sz w:val="18"/>
              <w:szCs w:val="18"/>
              <w:lang w:val="en-US"/>
            </w:rPr>
            <w:fldChar w:fldCharType="end"/>
          </w:r>
        </w:p>
      </w:tc>
    </w:tr>
  </w:tbl>
  <w:p w14:paraId="7D9D0578" w14:textId="41D71847" w:rsidR="000B1248" w:rsidRPr="00D83BF5" w:rsidRDefault="007E1CA3" w:rsidP="00616175">
    <w:pPr>
      <w:jc w:val="center"/>
    </w:pPr>
    <w:hyperlink r:id="rId1" w:anchor="/es" w:history="1">
      <w:r>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A6FA" w14:textId="77777777" w:rsidR="00EC7576" w:rsidRDefault="00EC7576">
      <w:r>
        <w:rPr>
          <w:b/>
        </w:rPr>
        <w:t>_______________</w:t>
      </w:r>
    </w:p>
  </w:footnote>
  <w:footnote w:type="continuationSeparator" w:id="0">
    <w:p w14:paraId="2AC9D1B9" w14:textId="77777777" w:rsidR="00EC7576" w:rsidRDefault="00EC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FA70" w14:textId="40D6788C"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B21293">
      <w:rPr>
        <w:sz w:val="22"/>
        <w:szCs w:val="22"/>
      </w:rPr>
      <w:t>14</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060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780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8EFA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B841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7A47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C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3E75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8E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C8D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E4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02E08BA"/>
    <w:multiLevelType w:val="hybridMultilevel"/>
    <w:tmpl w:val="D5D8772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2352A77"/>
    <w:multiLevelType w:val="hybridMultilevel"/>
    <w:tmpl w:val="07802FE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51521A"/>
    <w:multiLevelType w:val="hybridMultilevel"/>
    <w:tmpl w:val="A2BED28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BF69DD"/>
    <w:multiLevelType w:val="hybridMultilevel"/>
    <w:tmpl w:val="139E10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855E2A"/>
    <w:multiLevelType w:val="hybridMultilevel"/>
    <w:tmpl w:val="A2D428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533754"/>
    <w:multiLevelType w:val="hybridMultilevel"/>
    <w:tmpl w:val="0C4E646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602E10DE"/>
    <w:multiLevelType w:val="hybridMultilevel"/>
    <w:tmpl w:val="63DA09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831918"/>
    <w:multiLevelType w:val="hybridMultilevel"/>
    <w:tmpl w:val="E4681DD6"/>
    <w:lvl w:ilvl="0" w:tplc="E8BAB078">
      <w:start w:val="1"/>
      <w:numFmt w:val="lowerLetter"/>
      <w:lvlText w:val="%1."/>
      <w:lvlJc w:val="left"/>
      <w:pPr>
        <w:ind w:left="360" w:hanging="360"/>
      </w:pPr>
      <w:rPr>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4365">
    <w:abstractNumId w:val="8"/>
  </w:num>
  <w:num w:numId="2" w16cid:durableId="92538763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21"/>
  </w:num>
  <w:num w:numId="4" w16cid:durableId="573588472">
    <w:abstractNumId w:val="12"/>
  </w:num>
  <w:num w:numId="5" w16cid:durableId="1959336486">
    <w:abstractNumId w:val="18"/>
  </w:num>
  <w:num w:numId="6" w16cid:durableId="2061173220">
    <w:abstractNumId w:val="19"/>
  </w:num>
  <w:num w:numId="7" w16cid:durableId="453451786">
    <w:abstractNumId w:val="20"/>
  </w:num>
  <w:num w:numId="8" w16cid:durableId="326203420">
    <w:abstractNumId w:val="15"/>
  </w:num>
  <w:num w:numId="9" w16cid:durableId="1775052975">
    <w:abstractNumId w:val="11"/>
  </w:num>
  <w:num w:numId="10" w16cid:durableId="1908495994">
    <w:abstractNumId w:val="14"/>
  </w:num>
  <w:num w:numId="11" w16cid:durableId="1047488855">
    <w:abstractNumId w:val="17"/>
  </w:num>
  <w:num w:numId="12" w16cid:durableId="1192105181">
    <w:abstractNumId w:val="13"/>
  </w:num>
  <w:num w:numId="13" w16cid:durableId="794637323">
    <w:abstractNumId w:val="16"/>
  </w:num>
  <w:num w:numId="14" w16cid:durableId="1606890198">
    <w:abstractNumId w:val="9"/>
  </w:num>
  <w:num w:numId="15" w16cid:durableId="2066486615">
    <w:abstractNumId w:val="7"/>
  </w:num>
  <w:num w:numId="16" w16cid:durableId="24599672">
    <w:abstractNumId w:val="6"/>
  </w:num>
  <w:num w:numId="17" w16cid:durableId="1633167193">
    <w:abstractNumId w:val="5"/>
  </w:num>
  <w:num w:numId="18" w16cid:durableId="473110947">
    <w:abstractNumId w:val="4"/>
  </w:num>
  <w:num w:numId="19" w16cid:durableId="506091557">
    <w:abstractNumId w:val="8"/>
  </w:num>
  <w:num w:numId="20" w16cid:durableId="2024356909">
    <w:abstractNumId w:val="3"/>
  </w:num>
  <w:num w:numId="21" w16cid:durableId="1213343633">
    <w:abstractNumId w:val="2"/>
  </w:num>
  <w:num w:numId="22" w16cid:durableId="434400416">
    <w:abstractNumId w:val="1"/>
  </w:num>
  <w:num w:numId="23" w16cid:durableId="380373678">
    <w:abstractNumId w:val="0"/>
  </w:num>
  <w:num w:numId="24" w16cid:durableId="1728450441">
    <w:abstractNumId w:val="8"/>
  </w:num>
  <w:num w:numId="25" w16cid:durableId="242959388">
    <w:abstractNumId w:val="3"/>
  </w:num>
  <w:num w:numId="26" w16cid:durableId="1359627568">
    <w:abstractNumId w:val="2"/>
  </w:num>
  <w:num w:numId="27" w16cid:durableId="352192712">
    <w:abstractNumId w:val="1"/>
  </w:num>
  <w:num w:numId="28" w16cid:durableId="1725829895">
    <w:abstractNumId w:val="0"/>
  </w:num>
  <w:num w:numId="29" w16cid:durableId="1303660502">
    <w:abstractNumId w:val="8"/>
  </w:num>
  <w:num w:numId="30" w16cid:durableId="1268926199">
    <w:abstractNumId w:val="3"/>
  </w:num>
  <w:num w:numId="31" w16cid:durableId="447167705">
    <w:abstractNumId w:val="2"/>
  </w:num>
  <w:num w:numId="32" w16cid:durableId="814033899">
    <w:abstractNumId w:val="1"/>
  </w:num>
  <w:num w:numId="33" w16cid:durableId="176358666">
    <w:abstractNumId w:val="0"/>
  </w:num>
  <w:num w:numId="34" w16cid:durableId="701367191">
    <w:abstractNumId w:val="8"/>
  </w:num>
  <w:num w:numId="35" w16cid:durableId="432360307">
    <w:abstractNumId w:val="3"/>
  </w:num>
  <w:num w:numId="36" w16cid:durableId="1676227685">
    <w:abstractNumId w:val="2"/>
  </w:num>
  <w:num w:numId="37" w16cid:durableId="2104565275">
    <w:abstractNumId w:val="1"/>
  </w:num>
  <w:num w:numId="38" w16cid:durableId="5940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5D2E"/>
    <w:rsid w:val="000F73FF"/>
    <w:rsid w:val="00114CF7"/>
    <w:rsid w:val="00123B68"/>
    <w:rsid w:val="001253D7"/>
    <w:rsid w:val="00126F2E"/>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39DC"/>
    <w:rsid w:val="002154A6"/>
    <w:rsid w:val="002162CD"/>
    <w:rsid w:val="002255B3"/>
    <w:rsid w:val="00236E8A"/>
    <w:rsid w:val="00245A45"/>
    <w:rsid w:val="00264BCD"/>
    <w:rsid w:val="00271316"/>
    <w:rsid w:val="00296313"/>
    <w:rsid w:val="002A2717"/>
    <w:rsid w:val="002D58BE"/>
    <w:rsid w:val="003013EE"/>
    <w:rsid w:val="003711D7"/>
    <w:rsid w:val="00371686"/>
    <w:rsid w:val="00377BD3"/>
    <w:rsid w:val="00384088"/>
    <w:rsid w:val="0038489B"/>
    <w:rsid w:val="0039169B"/>
    <w:rsid w:val="003A7F8C"/>
    <w:rsid w:val="003B532E"/>
    <w:rsid w:val="003B6F14"/>
    <w:rsid w:val="003D009F"/>
    <w:rsid w:val="003D0F8B"/>
    <w:rsid w:val="004131D4"/>
    <w:rsid w:val="0041348E"/>
    <w:rsid w:val="00423322"/>
    <w:rsid w:val="00437E3B"/>
    <w:rsid w:val="00447308"/>
    <w:rsid w:val="004765FF"/>
    <w:rsid w:val="00492075"/>
    <w:rsid w:val="004969AD"/>
    <w:rsid w:val="004A4403"/>
    <w:rsid w:val="004B13CB"/>
    <w:rsid w:val="004B4FDF"/>
    <w:rsid w:val="004D5D5C"/>
    <w:rsid w:val="004E0DD0"/>
    <w:rsid w:val="004E5C86"/>
    <w:rsid w:val="0050139F"/>
    <w:rsid w:val="00521223"/>
    <w:rsid w:val="00524DF1"/>
    <w:rsid w:val="00527D0A"/>
    <w:rsid w:val="00531FE9"/>
    <w:rsid w:val="0055140B"/>
    <w:rsid w:val="00554C4F"/>
    <w:rsid w:val="00561D72"/>
    <w:rsid w:val="00577BB2"/>
    <w:rsid w:val="005964AB"/>
    <w:rsid w:val="005B44F5"/>
    <w:rsid w:val="005B759F"/>
    <w:rsid w:val="005C099A"/>
    <w:rsid w:val="005C31A5"/>
    <w:rsid w:val="005E1050"/>
    <w:rsid w:val="005E10C9"/>
    <w:rsid w:val="005E61DD"/>
    <w:rsid w:val="005E6321"/>
    <w:rsid w:val="006023DF"/>
    <w:rsid w:val="00607EF3"/>
    <w:rsid w:val="00616175"/>
    <w:rsid w:val="00623233"/>
    <w:rsid w:val="0064322F"/>
    <w:rsid w:val="00657DE0"/>
    <w:rsid w:val="006609C6"/>
    <w:rsid w:val="0067199F"/>
    <w:rsid w:val="00685313"/>
    <w:rsid w:val="00687B47"/>
    <w:rsid w:val="006A3B90"/>
    <w:rsid w:val="006A6E9B"/>
    <w:rsid w:val="006B7C2A"/>
    <w:rsid w:val="006C23DA"/>
    <w:rsid w:val="006C571D"/>
    <w:rsid w:val="006C59B9"/>
    <w:rsid w:val="006C5E3F"/>
    <w:rsid w:val="006E3D45"/>
    <w:rsid w:val="007149F9"/>
    <w:rsid w:val="00716D34"/>
    <w:rsid w:val="00733A30"/>
    <w:rsid w:val="00745AEE"/>
    <w:rsid w:val="007479EA"/>
    <w:rsid w:val="00750F10"/>
    <w:rsid w:val="007742CA"/>
    <w:rsid w:val="007A1872"/>
    <w:rsid w:val="007D06F0"/>
    <w:rsid w:val="007D45E3"/>
    <w:rsid w:val="007D5320"/>
    <w:rsid w:val="007E1CA3"/>
    <w:rsid w:val="007E2155"/>
    <w:rsid w:val="007F735C"/>
    <w:rsid w:val="00800972"/>
    <w:rsid w:val="00804475"/>
    <w:rsid w:val="00811633"/>
    <w:rsid w:val="00821CEF"/>
    <w:rsid w:val="00826B9A"/>
    <w:rsid w:val="00832828"/>
    <w:rsid w:val="0083645A"/>
    <w:rsid w:val="00840B0F"/>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766C5"/>
    <w:rsid w:val="009A55C7"/>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76EC7"/>
    <w:rsid w:val="00A93B85"/>
    <w:rsid w:val="00AA0B18"/>
    <w:rsid w:val="00AA14C0"/>
    <w:rsid w:val="00AA666F"/>
    <w:rsid w:val="00AB4927"/>
    <w:rsid w:val="00AF5994"/>
    <w:rsid w:val="00B004E5"/>
    <w:rsid w:val="00B15F9D"/>
    <w:rsid w:val="00B21293"/>
    <w:rsid w:val="00B471EF"/>
    <w:rsid w:val="00B51C0C"/>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1CD1"/>
    <w:rsid w:val="00C97C68"/>
    <w:rsid w:val="00CA1A47"/>
    <w:rsid w:val="00CB2BB6"/>
    <w:rsid w:val="00CC247A"/>
    <w:rsid w:val="00CE5E47"/>
    <w:rsid w:val="00CF020F"/>
    <w:rsid w:val="00CF2B5B"/>
    <w:rsid w:val="00D02508"/>
    <w:rsid w:val="00D14CE0"/>
    <w:rsid w:val="00D36333"/>
    <w:rsid w:val="00D5651D"/>
    <w:rsid w:val="00D61C5B"/>
    <w:rsid w:val="00D70CE0"/>
    <w:rsid w:val="00D74898"/>
    <w:rsid w:val="00D801ED"/>
    <w:rsid w:val="00D81E43"/>
    <w:rsid w:val="00D83BF5"/>
    <w:rsid w:val="00D875B6"/>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4AF"/>
    <w:rsid w:val="00E03C94"/>
    <w:rsid w:val="00E07105"/>
    <w:rsid w:val="00E245CC"/>
    <w:rsid w:val="00E26226"/>
    <w:rsid w:val="00E26AA9"/>
    <w:rsid w:val="00E4165C"/>
    <w:rsid w:val="00E45D05"/>
    <w:rsid w:val="00E55816"/>
    <w:rsid w:val="00E55AEF"/>
    <w:rsid w:val="00E976C1"/>
    <w:rsid w:val="00EA12E5"/>
    <w:rsid w:val="00EC7576"/>
    <w:rsid w:val="00F02766"/>
    <w:rsid w:val="00F04067"/>
    <w:rsid w:val="00F05BD4"/>
    <w:rsid w:val="00F10562"/>
    <w:rsid w:val="00F11A98"/>
    <w:rsid w:val="00F21A1D"/>
    <w:rsid w:val="00F2683C"/>
    <w:rsid w:val="00F55058"/>
    <w:rsid w:val="00F65C19"/>
    <w:rsid w:val="00F87CC0"/>
    <w:rsid w:val="00F93E9E"/>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F7130158-68A6-46CB-8861-310E2E95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styleId="FollowedHyperlink">
    <w:name w:val="FollowedHyperlink"/>
    <w:basedOn w:val="DefaultParagraphFont"/>
    <w:semiHidden/>
    <w:unhideWhenUsed/>
    <w:rsid w:val="009A55C7"/>
    <w:rPr>
      <w:color w:val="800080" w:themeColor="followedHyperlink"/>
      <w:u w:val="single"/>
    </w:rPr>
  </w:style>
  <w:style w:type="paragraph" w:customStyle="1" w:styleId="Body">
    <w:name w:val="Body"/>
    <w:rsid w:val="00527D0A"/>
    <w:pPr>
      <w:pBdr>
        <w:top w:val="nil"/>
        <w:left w:val="nil"/>
        <w:bottom w:val="nil"/>
        <w:right w:val="nil"/>
        <w:between w:val="nil"/>
        <w:bar w:val="nil"/>
      </w:pBdr>
      <w:tabs>
        <w:tab w:val="left" w:pos="1134"/>
        <w:tab w:val="left" w:pos="1871"/>
        <w:tab w:val="left" w:pos="2268"/>
      </w:tabs>
      <w:spacing w:after="160" w:line="257" w:lineRule="auto"/>
    </w:pPr>
    <w:rPr>
      <w:rFonts w:ascii="Calibri" w:eastAsia="Arial Unicode MS" w:hAnsi="Calibri" w:cs="Arial Unicode MS"/>
      <w:color w:val="000000"/>
      <w:sz w:val="24"/>
      <w:szCs w:val="24"/>
      <w:u w:color="000000"/>
      <w:bdr w:val="nil"/>
      <w:lang w:val="en-GB" w:eastAsia="en-GB"/>
      <w14:textOutline w14:w="0" w14:cap="flat" w14:cmpd="sng" w14:algn="ctr">
        <w14:noFill/>
        <w14:prstDash w14:val="solid"/>
        <w14:bevel/>
      </w14:textOutline>
    </w:rPr>
  </w:style>
  <w:style w:type="character" w:customStyle="1" w:styleId="Link">
    <w:name w:val="Link"/>
    <w:rsid w:val="00527D0A"/>
    <w:rPr>
      <w:outline w:val="0"/>
      <w:color w:val="0000FF"/>
      <w:u w:val="single" w:color="0000FF"/>
    </w:rPr>
  </w:style>
  <w:style w:type="character" w:customStyle="1" w:styleId="None">
    <w:name w:val="None"/>
    <w:rsid w:val="00527D0A"/>
  </w:style>
  <w:style w:type="table" w:styleId="TableGrid">
    <w:name w:val="Table Grid"/>
    <w:basedOn w:val="TableNormal"/>
    <w:uiPriority w:val="39"/>
    <w:rsid w:val="00527D0A"/>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527D0A"/>
    <w:rPr>
      <w:rFonts w:asciiTheme="minorHAnsi" w:hAnsiTheme="minorHAnsi"/>
      <w:sz w:val="24"/>
      <w:lang w:val="en-GB" w:eastAsia="en-US"/>
    </w:rPr>
  </w:style>
  <w:style w:type="paragraph" w:styleId="BodyText">
    <w:name w:val="Body Text"/>
    <w:basedOn w:val="Normal"/>
    <w:link w:val="BodyTextChar"/>
    <w:semiHidden/>
    <w:unhideWhenUsed/>
    <w:rsid w:val="00527D0A"/>
    <w:pPr>
      <w:spacing w:after="120"/>
    </w:pPr>
  </w:style>
  <w:style w:type="character" w:customStyle="1" w:styleId="BodyTextChar">
    <w:name w:val="Body Text Char"/>
    <w:basedOn w:val="DefaultParagraphFont"/>
    <w:link w:val="BodyText"/>
    <w:semiHidden/>
    <w:rsid w:val="00527D0A"/>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itu-d/sites/innovation-alliance/events/news/announcement-board/" TargetMode="External"/><Relationship Id="rId21" Type="http://schemas.openxmlformats.org/officeDocument/2006/relationships/hyperlink" Target="https://www.itu.int/pub/D-RES-D.89-2022/es" TargetMode="External"/><Relationship Id="rId42" Type="http://schemas.openxmlformats.org/officeDocument/2006/relationships/hyperlink" Target="https://www.itu.int/itu-d/sites/innovation-alliance/third-meeting-of-the-digital-innovation-board/" TargetMode="External"/><Relationship Id="rId47" Type="http://schemas.openxmlformats.org/officeDocument/2006/relationships/hyperlink" Target="https://www.itu.int/itu-d/sites/innovation-alliance/wp-content/uploads/sites/35/2025/10/Bridging-the-Digital-Innovation-Divide-Manifesto_Draft_3rdBoardMeeting.CMdocx-final.pdf" TargetMode="External"/><Relationship Id="rId63" Type="http://schemas.openxmlformats.org/officeDocument/2006/relationships/hyperlink" Target="https://www.itu.int/itu-d/meetings/gif-24/" TargetMode="External"/><Relationship Id="rId68" Type="http://schemas.openxmlformats.org/officeDocument/2006/relationships/hyperlink" Target="https://www.itu.int/itu-d/sites/innovation-alliance/the-expert-network/" TargetMode="External"/><Relationship Id="rId84" Type="http://schemas.openxmlformats.org/officeDocument/2006/relationships/hyperlink" Target="https://www.itu.int/en/ITU-D/Innovation/Documents/RIA/RIA%20ASP_Shenzhen_Event%20Report_version%204.pdf" TargetMode="External"/><Relationship Id="rId89" Type="http://schemas.openxmlformats.org/officeDocument/2006/relationships/hyperlink" Target="https://academy.itu.int/training-courses/full-catalogue/ecosystem-initiative-development-201" TargetMode="External"/><Relationship Id="rId16" Type="http://schemas.openxmlformats.org/officeDocument/2006/relationships/hyperlink" Target="https://www.itu.int/es/ITU-D/Innovation/Pages/Ecosystem-Development-Strategies-and-Roadmaps.aspx" TargetMode="External"/><Relationship Id="rId11" Type="http://schemas.openxmlformats.org/officeDocument/2006/relationships/endnotes" Target="endnotes.xml"/><Relationship Id="rId32" Type="http://schemas.openxmlformats.org/officeDocument/2006/relationships/hyperlink" Target="https://www.itu.int/itu-d/sites/innovation-alliance/wp-content/uploads/sites/35/2024/12/Second-Meeting-of-the-Digital-Innovation-Board-28-October-2024-Summary.pdf" TargetMode="External"/><Relationship Id="rId37" Type="http://schemas.openxmlformats.org/officeDocument/2006/relationships/hyperlink" Target="https://www.itu.int/itu-d/meetings/gif-24/" TargetMode="External"/><Relationship Id="rId53" Type="http://schemas.openxmlformats.org/officeDocument/2006/relationships/hyperlink" Target="https://www.itu.int/itu-d/sites/innovation-alliance/network-of-itu-acceleration-centres/" TargetMode="External"/><Relationship Id="rId58" Type="http://schemas.openxmlformats.org/officeDocument/2006/relationships/hyperlink" Target="https://www.itu.int/itu-d/sites/innovation-alliance/events/news/acceleration-centre-event-dubai/" TargetMode="External"/><Relationship Id="rId74" Type="http://schemas.openxmlformats.org/officeDocument/2006/relationships/hyperlink" Target="https://www.itu.int/itu-d/sites/innovation-alliance/wp-content/uploads/sites/35/2025/10/Shaping-education-for-tomorrow.pdf" TargetMode="External"/><Relationship Id="rId79" Type="http://schemas.openxmlformats.org/officeDocument/2006/relationships/hyperlink" Target="https://www.itu.int/en/ITU-D/Innovation/Pages/Strategic%20Foresight/Strategic-Foresight.aspx" TargetMode="External"/><Relationship Id="rId102"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academy.itu.int/training-courses/full-catalogue/innovation-ecosystem-101-fundamentals-building-competitive-and-innovative-ict-centric-ecosystems-2" TargetMode="External"/><Relationship Id="rId95" Type="http://schemas.openxmlformats.org/officeDocument/2006/relationships/hyperlink" Target="https://www.itu.int/itu-d/sites/innovation-alliance/itu-acceleration-centre-meeting/" TargetMode="External"/><Relationship Id="rId22" Type="http://schemas.openxmlformats.org/officeDocument/2006/relationships/hyperlink" Target="https://www.itu.int/pub/D-RES-D.85-2022/es" TargetMode="External"/><Relationship Id="rId27" Type="http://schemas.openxmlformats.org/officeDocument/2006/relationships/hyperlink" Target="https://www.itu.int/itu-d/sites/innovation-alliance/events/news/announcement-board/" TargetMode="External"/><Relationship Id="rId43" Type="http://schemas.openxmlformats.org/officeDocument/2006/relationships/hyperlink" Target="https://www.itu.int/itu-d/sites/innovation-alliance/strategic-foresight-reports/" TargetMode="External"/><Relationship Id="rId48" Type="http://schemas.openxmlformats.org/officeDocument/2006/relationships/hyperlink" Target="https://www.itu.int/itu-d/sites/innovation-alliance/digital-transformation-lab/" TargetMode="External"/><Relationship Id="rId64" Type="http://schemas.openxmlformats.org/officeDocument/2006/relationships/hyperlink" Target="https://www.itu.int/itu-d/sites/innovation-alliance/itu-acceleration-centre-meeting/" TargetMode="External"/><Relationship Id="rId69" Type="http://schemas.openxmlformats.org/officeDocument/2006/relationships/hyperlink" Target="https://www.itu.int/itu-d/sites/innovation-alliance/" TargetMode="External"/><Relationship Id="rId80" Type="http://schemas.openxmlformats.org/officeDocument/2006/relationships/hyperlink" Target="https://www.itu.int/en/ITU-D/Innovation/Pages/RIA/Regional-Initiative-Accelerator.aspx" TargetMode="External"/><Relationship Id="rId85" Type="http://schemas.openxmlformats.org/officeDocument/2006/relationships/hyperlink" Target="https://www.itu.int/en/ITU-D/Innovation/Documents/RIA/RIA%20ASP_Shenzhen_Event%20Report_version%204.pdf" TargetMode="External"/><Relationship Id="rId12" Type="http://schemas.openxmlformats.org/officeDocument/2006/relationships/image" Target="media/image1.jpeg"/><Relationship Id="rId17" Type="http://schemas.openxmlformats.org/officeDocument/2006/relationships/hyperlink" Target="https://www.itu.int/es/ITU-D/Innovation/Pages/Global-Innovation-Forum.aspx" TargetMode="External"/><Relationship Id="rId33" Type="http://schemas.openxmlformats.org/officeDocument/2006/relationships/hyperlink" Target="https://www.itu.int/itu-d/meetings/gif-24/" TargetMode="External"/><Relationship Id="rId38" Type="http://schemas.openxmlformats.org/officeDocument/2006/relationships/hyperlink" Target="https://www.itu.int/itu-d/sites/innovation-alliance/wp-content/uploads/sites/35/2024/12/Second-Meeting-of-the-Digital-Innovation-Board-28-October-2024-Summary.pdf" TargetMode="External"/><Relationship Id="rId59" Type="http://schemas.openxmlformats.org/officeDocument/2006/relationships/hyperlink" Target="https://www.itu.int/itu-d/sites/innovation-alliance/events/news/acceleration-centre-event-dubai/" TargetMode="External"/><Relationship Id="rId103" Type="http://schemas.openxmlformats.org/officeDocument/2006/relationships/footer" Target="footer1.xml"/><Relationship Id="rId20" Type="http://schemas.openxmlformats.org/officeDocument/2006/relationships/hyperlink" Target="https://www.itu.int/pub/D-RES-D.90-2022/es" TargetMode="External"/><Relationship Id="rId41" Type="http://schemas.openxmlformats.org/officeDocument/2006/relationships/hyperlink" Target="https://www.itu.int/itu-d/sites/innovation-alliance/strategic-foresight-reports/" TargetMode="External"/><Relationship Id="rId54" Type="http://schemas.openxmlformats.org/officeDocument/2006/relationships/hyperlink" Target="https://www.itu.int/itu-d/sites/innovation-alliance/events/news/member-communique-2023-september/" TargetMode="External"/><Relationship Id="rId62" Type="http://schemas.openxmlformats.org/officeDocument/2006/relationships/hyperlink" Target="https://www.itu.int/itu-d/meetings/gif-24/programme/tuesday-29-october/session-details-tuesday/?sessionid=12" TargetMode="External"/><Relationship Id="rId70" Type="http://schemas.openxmlformats.org/officeDocument/2006/relationships/hyperlink" Target="https://www.itu.int/itu-d/sites/innovation-alliance/third-meeting-of-the-digital-innovation-board/" TargetMode="External"/><Relationship Id="rId75" Type="http://schemas.openxmlformats.org/officeDocument/2006/relationships/hyperlink" Target="https://www.itu.int/itu-d/sites/innovation-alliance/wp-content/uploads/sites/35/2025/10/FBS_-Shaping-the-future-of-startups-and-SMEs_October-2025_Signed-BDTDirector.pdf" TargetMode="External"/><Relationship Id="rId83" Type="http://schemas.openxmlformats.org/officeDocument/2006/relationships/hyperlink" Target="https://www.itu.int/en/ITU-D/Regional-Presence/Europe/Documents/Publications/2025/RIA%20EUR_Montenegro_Event%20Report_CLEAN%20(002).pdf" TargetMode="External"/><Relationship Id="rId88" Type="http://schemas.openxmlformats.org/officeDocument/2006/relationships/hyperlink" Target="https://academy.itu.int/training-courses/full-catalogue/strategic-foresight-201" TargetMode="External"/><Relationship Id="rId91" Type="http://schemas.openxmlformats.org/officeDocument/2006/relationships/hyperlink" Target="https://academy.itu.int/training-courses/full-catalogue/strategic-foresight-101" TargetMode="External"/><Relationship Id="rId96" Type="http://schemas.openxmlformats.org/officeDocument/2006/relationships/hyperlink" Target="https://www.itu.int/itu-d/sites/innovation-alliance/events/news/acceleration-centre-event-dubai/"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itu-d/sites/innovation/es/" TargetMode="External"/><Relationship Id="rId23" Type="http://schemas.openxmlformats.org/officeDocument/2006/relationships/hyperlink" Target="https://www.itu.int/pub/D-RES-D.90-2022" TargetMode="External"/><Relationship Id="rId28" Type="http://schemas.openxmlformats.org/officeDocument/2006/relationships/hyperlink" Target="https://www.itu.int/itu-d/sites/innovation-alliance/events/news/inaugural-board-meeting/" TargetMode="External"/><Relationship Id="rId36" Type="http://schemas.openxmlformats.org/officeDocument/2006/relationships/hyperlink" Target="https://www.itu.int/itu-d/sites/innovation-alliance/wp-content/uploads/sites/35/2024/12/Second-Meeting-of-the-Digital-Innovation-Board-28-October-2024-Summary.pdf" TargetMode="External"/><Relationship Id="rId49" Type="http://schemas.openxmlformats.org/officeDocument/2006/relationships/hyperlink" Target="https://www.itu.int/itu-d/sites/innovation-alliance/digital-transformation-lab/" TargetMode="External"/><Relationship Id="rId57" Type="http://schemas.openxmlformats.org/officeDocument/2006/relationships/hyperlink" Target="https://www.itu.int/itu-d/sites/innovation-alliance/events/news/acceleration-centre-event-dubai/"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itu.int/itu-d/sites/innovation-alliance/wp-content/uploads/sites/35/2024/05/Inaugural_Meeting_of_the_Digital_Innovation_Board_-_Summary_rev1.pdf" TargetMode="External"/><Relationship Id="rId44" Type="http://schemas.openxmlformats.org/officeDocument/2006/relationships/hyperlink" Target="https://www.itu.int/itu-d/sites/innovation-alliance/wp-content/uploads/sites/35/2025/10/BDT-Member-Communique-3rd-digital-innovation-board-meeting.pdf" TargetMode="External"/><Relationship Id="rId52" Type="http://schemas.openxmlformats.org/officeDocument/2006/relationships/hyperlink" Target="https://www.itu.int/itu-d/sites/innovation-alliance/network-of-itu-acceleration-centres/" TargetMode="External"/><Relationship Id="rId60" Type="http://schemas.openxmlformats.org/officeDocument/2006/relationships/hyperlink" Target="https://www.itu.int/itu-d/meetings/gif-24/programme/tuesday-29-october/session-details-tuesday/?sessionid=12" TargetMode="External"/><Relationship Id="rId65" Type="http://schemas.openxmlformats.org/officeDocument/2006/relationships/hyperlink" Target="https://www.itu.int/itu-d/sites/innovation-alliance/itu-acceleration-centre-meeting/" TargetMode="External"/><Relationship Id="rId73" Type="http://schemas.openxmlformats.org/officeDocument/2006/relationships/hyperlink" Target="https://www.itu.int/en/ITU-D/Innovation/Pages/Strategic%20Foresight/Strategic-Foresight.aspx" TargetMode="External"/><Relationship Id="rId78" Type="http://schemas.openxmlformats.org/officeDocument/2006/relationships/hyperlink" Target="https://www.itu.int/itu-d/sites/innovation-alliance/strategic-foresight-reports/" TargetMode="External"/><Relationship Id="rId81" Type="http://schemas.openxmlformats.org/officeDocument/2006/relationships/hyperlink" Target="https://www.itu.int/en/ITU-D/Innovation/Pages/RIA/Regional-Initiative-Accelerator.aspx" TargetMode="External"/><Relationship Id="rId86" Type="http://schemas.openxmlformats.org/officeDocument/2006/relationships/hyperlink" Target="https://academy.itu.int/training-courses/full-catalogue/innovation-ecosystem-101-fundamentals-building-competitive-and-innovative-ict-centric-ecosystems-2" TargetMode="External"/><Relationship Id="rId94" Type="http://schemas.openxmlformats.org/officeDocument/2006/relationships/hyperlink" Target="https://www.itu.int/itu-d/sites/innovation-alliance/events/news/acceleration-centre-event-dubai/" TargetMode="External"/><Relationship Id="rId99" Type="http://schemas.openxmlformats.org/officeDocument/2006/relationships/hyperlink" Target="https://www.itu.int/itu-d/meetings/gif-24/" TargetMode="External"/><Relationship Id="rId101" Type="http://schemas.openxmlformats.org/officeDocument/2006/relationships/hyperlink" Target="https://www.itu.int/itu-d/meetings/gif-24/"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itu-d/sites/innovation-alliance/" TargetMode="External"/><Relationship Id="rId39" Type="http://schemas.openxmlformats.org/officeDocument/2006/relationships/hyperlink" Target="https://www.itu.int/en/ITU-D/Innovation/Pages/RIA/Regional-Initiative-Accelerator.aspx" TargetMode="External"/><Relationship Id="rId34" Type="http://schemas.openxmlformats.org/officeDocument/2006/relationships/hyperlink" Target="https://www.itu.int/itu-d/sites/innovation-alliance/wp-content/uploads/sites/35/2024/12/Second-Meeting-of-the-Digital-Innovation-Board-28-October-2024-Summary.pdf" TargetMode="External"/><Relationship Id="rId50" Type="http://schemas.openxmlformats.org/officeDocument/2006/relationships/hyperlink" Target="https://www.itu.int/en/ITU-D/Innovation/Pages/RIA/Regional-Initiative-Accelerator.aspx" TargetMode="External"/><Relationship Id="rId55" Type="http://schemas.openxmlformats.org/officeDocument/2006/relationships/hyperlink" Target="https://www.itu.int/itu-d/sites/innovation-alliance/events/news/member-communique-2023-september/" TargetMode="External"/><Relationship Id="rId76" Type="http://schemas.openxmlformats.org/officeDocument/2006/relationships/hyperlink" Target="https://www.itu.int/itu-d/sites/innovation-alliance/wp-content/uploads/sites/35/2025/10/FBS_-Shaping-the-future-of-an-African-VC-landscape_Signed-BDTDirector.pdf" TargetMode="External"/><Relationship Id="rId97" Type="http://schemas.openxmlformats.org/officeDocument/2006/relationships/hyperlink" Target="https://www.itu.int/itu-d/sites/innovation-alliance/itu-acceleration-centre-meeting/" TargetMode="External"/><Relationship Id="rId104"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itu.int/itu-d/sites/innovation-alliance/third-meeting-of-the-digital-innovation-board/" TargetMode="External"/><Relationship Id="rId92" Type="http://schemas.openxmlformats.org/officeDocument/2006/relationships/hyperlink" Target="https://academy.itu.int/training-courses/full-catalogue/strategic-foresight-201" TargetMode="External"/><Relationship Id="rId2" Type="http://schemas.openxmlformats.org/officeDocument/2006/relationships/customXml" Target="../customXml/item2.xml"/><Relationship Id="rId29" Type="http://schemas.openxmlformats.org/officeDocument/2006/relationships/hyperlink" Target="https://www.itu.int/itu-d/sites/innovation-alliance/wp-content/uploads/sites/35/2024/05/Inaugural_Meeting_of_the_Digital_Innovation_Board_-_Summary_rev1.pdf" TargetMode="External"/><Relationship Id="rId24" Type="http://schemas.openxmlformats.org/officeDocument/2006/relationships/hyperlink" Target="https://www.itu.int/pub/D-RES-D.89-2022" TargetMode="External"/><Relationship Id="rId40" Type="http://schemas.openxmlformats.org/officeDocument/2006/relationships/hyperlink" Target="https://www.itu.int/itu-d/sites/innovation-alliance/third-meeting-of-the-digital-innovation-board/" TargetMode="External"/><Relationship Id="rId45" Type="http://schemas.openxmlformats.org/officeDocument/2006/relationships/hyperlink" Target="https://www.itu.int/itu-d/sites/innovation-alliance/" TargetMode="External"/><Relationship Id="rId66" Type="http://schemas.openxmlformats.org/officeDocument/2006/relationships/hyperlink" Target="https://www.itu.int/itu-d/sites/innovation-alliance/the-expert-network/" TargetMode="External"/><Relationship Id="rId87" Type="http://schemas.openxmlformats.org/officeDocument/2006/relationships/hyperlink" Target="https://academy.itu.int/training-courses/full-catalogue/strategic-foresight-101" TargetMode="External"/><Relationship Id="rId61" Type="http://schemas.openxmlformats.org/officeDocument/2006/relationships/hyperlink" Target="https://www.itu.int/itu-d/meetings/gif-24/" TargetMode="External"/><Relationship Id="rId82" Type="http://schemas.openxmlformats.org/officeDocument/2006/relationships/hyperlink" Target="https://www.itu.int/en/ITU-D/Regional-Presence/Europe/Documents/Publications/2025/RIA%20EUR_Montenegro_Event%20Report_CLEAN%20(002).pdf" TargetMode="External"/><Relationship Id="rId19" Type="http://schemas.openxmlformats.org/officeDocument/2006/relationships/hyperlink" Target="https://www.itu.int/itu-d/sites/innovation/es/" TargetMode="External"/><Relationship Id="rId14" Type="http://schemas.openxmlformats.org/officeDocument/2006/relationships/hyperlink" Target="https://www.itu.int/itu-d/sites/innovation-alliance/" TargetMode="External"/><Relationship Id="rId30" Type="http://schemas.openxmlformats.org/officeDocument/2006/relationships/hyperlink" Target="https://www.itu.int/itu-d/sites/innovation-alliance/events/news/inaugural-board-meeting/" TargetMode="External"/><Relationship Id="rId35" Type="http://schemas.openxmlformats.org/officeDocument/2006/relationships/hyperlink" Target="https://www.itu.int/en/ITU-D/Innovation/Pages/RIA/Regional-Initiative-Accelerator.aspx" TargetMode="External"/><Relationship Id="rId56" Type="http://schemas.openxmlformats.org/officeDocument/2006/relationships/hyperlink" Target="https://www.itu.int/itu-d/sites/innovation-alliance/events/news/acceleration-centre-event-dubai/" TargetMode="External"/><Relationship Id="rId77" Type="http://schemas.openxmlformats.org/officeDocument/2006/relationships/hyperlink" Target="https://www.itu.int/itu-d/sites/innovation-alliance/strategic-foresight-reports/" TargetMode="External"/><Relationship Id="rId100" Type="http://schemas.openxmlformats.org/officeDocument/2006/relationships/hyperlink" Target="https://www.itu.int/itu-d/meetings/gsr-25/"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tu.int/en/ITU-D/Innovation/Pages/RIA/Regional-Initiative-Accelerator.aspx" TargetMode="External"/><Relationship Id="rId72" Type="http://schemas.openxmlformats.org/officeDocument/2006/relationships/hyperlink" Target="https://www.itu.int/en/ITU-D/Innovation/Pages/Strategic%20Foresight/Strategic-Foresight.aspx" TargetMode="External"/><Relationship Id="rId93" Type="http://schemas.openxmlformats.org/officeDocument/2006/relationships/hyperlink" Target="https://academy.itu.int/training-courses/full-catalogue/ecosystem-initiative-development-201" TargetMode="External"/><Relationship Id="rId98" Type="http://schemas.openxmlformats.org/officeDocument/2006/relationships/hyperlink" Target="https://www.itu.int/itu-d/meetings/gsr-25/" TargetMode="External"/><Relationship Id="rId3" Type="http://schemas.openxmlformats.org/officeDocument/2006/relationships/customXml" Target="../customXml/item3.xml"/><Relationship Id="rId25" Type="http://schemas.openxmlformats.org/officeDocument/2006/relationships/hyperlink" Target="https://www.itu.int/pub/D-RES-D.85-2022" TargetMode="External"/><Relationship Id="rId46" Type="http://schemas.openxmlformats.org/officeDocument/2006/relationships/hyperlink" Target="https://www.itu.int/itu-d/sites/innovation-alliance/wp-content/uploads/sites/35/2025/10/BDT-Member-Communique-3rd-digital-innovation-board-meeting.pdf" TargetMode="External"/><Relationship Id="rId67" Type="http://schemas.openxmlformats.org/officeDocument/2006/relationships/hyperlink" Target="https://www.itu.int/itu-d/sites/innovation-alli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8</Pages>
  <Words>3422</Words>
  <Characters>27810</Characters>
  <Application>Microsoft Office Word</Application>
  <DocSecurity>0</DocSecurity>
  <Lines>231</Lines>
  <Paragraphs>62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31170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BDT (S.B.)</cp:lastModifiedBy>
  <cp:revision>7</cp:revision>
  <cp:lastPrinted>2017-03-09T15:07:00Z</cp:lastPrinted>
  <dcterms:created xsi:type="dcterms:W3CDTF">2025-10-20T14:59:00Z</dcterms:created>
  <dcterms:modified xsi:type="dcterms:W3CDTF">2025-11-10T10:50:00Z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